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964DA7" w:rsidRPr="0016743F" w14:paraId="457F08B5" w14:textId="4C73B2F8">
      <w:pPr>
        <w:pStyle w:val="HTMLPreformatted"/>
        <w:tabs>
          <w:tab w:val="clear" w:pos="4580"/>
        </w:tabs>
        <w:jc w:val="center"/>
        <w:rPr>
          <w:rFonts w:ascii="Times New Roman" w:hAnsi="Times New Roman" w:cs="Times New Roman"/>
          <w:b/>
          <w:bCs/>
          <w:sz w:val="24"/>
          <w:szCs w:val="24"/>
        </w:rPr>
      </w:pPr>
      <w:r w:rsidRPr="0016743F">
        <w:rPr>
          <w:rFonts w:ascii="Times New Roman" w:hAnsi="Times New Roman" w:cs="Times New Roman"/>
          <w:b/>
          <w:bCs/>
          <w:sz w:val="24"/>
          <w:szCs w:val="24"/>
        </w:rPr>
        <w:t>BEFORE</w:t>
      </w:r>
    </w:p>
    <w:p w:rsidR="00964DA7" w:rsidRPr="0016743F" w14:paraId="357DEC89" w14:textId="77777777">
      <w:pPr>
        <w:pStyle w:val="HTMLPreformatted"/>
        <w:jc w:val="center"/>
        <w:rPr>
          <w:rFonts w:ascii="Times New Roman" w:hAnsi="Times New Roman" w:cs="Times New Roman"/>
          <w:sz w:val="24"/>
          <w:szCs w:val="24"/>
        </w:rPr>
      </w:pPr>
      <w:r w:rsidRPr="0016743F">
        <w:rPr>
          <w:rFonts w:ascii="Times New Roman" w:hAnsi="Times New Roman" w:cs="Times New Roman"/>
          <w:b/>
          <w:bCs/>
          <w:sz w:val="24"/>
          <w:szCs w:val="24"/>
        </w:rPr>
        <w:t>THE PUBLIC UTILITIES COMMISSION OF OHIO</w:t>
      </w:r>
    </w:p>
    <w:p w:rsidR="00964DA7" w:rsidRPr="0016743F" w14:paraId="3AE80302" w14:textId="77777777">
      <w:pPr>
        <w:pStyle w:val="HTMLPreformatted"/>
        <w:rPr>
          <w:rFonts w:ascii="Times New Roman" w:hAnsi="Times New Roman" w:cs="Times New Roman"/>
          <w:sz w:val="24"/>
          <w:szCs w:val="24"/>
        </w:rPr>
      </w:pPr>
      <w:r w:rsidRPr="0016743F">
        <w:rPr>
          <w:rFonts w:ascii="Times New Roman" w:hAnsi="Times New Roman" w:cs="Times New Roman"/>
          <w:sz w:val="24"/>
          <w:szCs w:val="24"/>
        </w:rPr>
        <w:tab/>
      </w:r>
    </w:p>
    <w:tbl>
      <w:tblPr>
        <w:tblW w:w="9092" w:type="dxa"/>
        <w:tblLook w:val="01E0"/>
      </w:tblPr>
      <w:tblGrid>
        <w:gridCol w:w="8946"/>
        <w:gridCol w:w="222"/>
        <w:gridCol w:w="222"/>
      </w:tblGrid>
      <w:tr w14:paraId="3CFD05DA" w14:textId="77777777" w:rsidTr="00964DA7">
        <w:tblPrEx>
          <w:tblW w:w="9092" w:type="dxa"/>
          <w:tblLook w:val="01E0"/>
        </w:tblPrEx>
        <w:trPr>
          <w:trHeight w:val="807"/>
        </w:trPr>
        <w:tc>
          <w:tcPr>
            <w:tcW w:w="4332" w:type="dxa"/>
            <w:shd w:val="clear" w:color="auto" w:fill="auto"/>
          </w:tcPr>
          <w:tbl>
            <w:tblPr>
              <w:tblW w:w="8730" w:type="dxa"/>
              <w:tblLook w:val="01E0"/>
            </w:tblPr>
            <w:tblGrid>
              <w:gridCol w:w="4122"/>
              <w:gridCol w:w="576"/>
              <w:gridCol w:w="4032"/>
            </w:tblGrid>
            <w:tr w14:paraId="53D1EC99" w14:textId="77777777" w:rsidTr="00964DA7">
              <w:tblPrEx>
                <w:tblW w:w="8730" w:type="dxa"/>
                <w:tblLook w:val="01E0"/>
              </w:tblPrEx>
              <w:trPr>
                <w:trHeight w:val="807"/>
              </w:trPr>
              <w:tc>
                <w:tcPr>
                  <w:tcW w:w="4122" w:type="dxa"/>
                </w:tcPr>
                <w:p w:rsidR="00F76094" w:rsidRPr="0016743F" w:rsidP="00EA767E" w14:paraId="692ADD76" w14:textId="0877FB6E">
                  <w:pPr>
                    <w:tabs>
                      <w:tab w:val="left" w:pos="8730"/>
                    </w:tabs>
                    <w:adjustRightInd w:val="0"/>
                    <w:rPr>
                      <w:rFonts w:eastAsia="Calibri"/>
                      <w:szCs w:val="24"/>
                    </w:rPr>
                  </w:pPr>
                  <w:r w:rsidRPr="0016743F">
                    <w:rPr>
                      <w:rFonts w:eastAsia="Calibri"/>
                      <w:szCs w:val="24"/>
                    </w:rPr>
                    <w:t xml:space="preserve">In the Matter of the </w:t>
                  </w:r>
                  <w:r w:rsidRPr="0016743F" w:rsidR="00D24F4F">
                    <w:rPr>
                      <w:rFonts w:eastAsia="Calibri"/>
                      <w:szCs w:val="24"/>
                    </w:rPr>
                    <w:t xml:space="preserve">Application of Duke Energy Ohio, Inc., for an Increase in Electric Distribution Rates. </w:t>
                  </w:r>
                </w:p>
                <w:p w:rsidR="00D24F4F" w:rsidRPr="0016743F" w:rsidP="00EA767E" w14:paraId="1D7E4208" w14:textId="77777777">
                  <w:pPr>
                    <w:tabs>
                      <w:tab w:val="left" w:pos="8730"/>
                    </w:tabs>
                    <w:adjustRightInd w:val="0"/>
                    <w:rPr>
                      <w:rFonts w:eastAsia="Calibri"/>
                      <w:szCs w:val="24"/>
                    </w:rPr>
                  </w:pPr>
                </w:p>
                <w:p w:rsidR="00D24F4F" w:rsidRPr="0016743F" w:rsidP="00EA767E" w14:paraId="46BEB224" w14:textId="77777777">
                  <w:pPr>
                    <w:tabs>
                      <w:tab w:val="left" w:pos="8730"/>
                    </w:tabs>
                    <w:adjustRightInd w:val="0"/>
                    <w:rPr>
                      <w:rFonts w:eastAsia="Calibri"/>
                      <w:szCs w:val="24"/>
                    </w:rPr>
                  </w:pPr>
                  <w:r w:rsidRPr="0016743F">
                    <w:rPr>
                      <w:rFonts w:eastAsia="Calibri"/>
                      <w:szCs w:val="24"/>
                    </w:rPr>
                    <w:t>In the Matter of the Application of Duke Energy Ohio, Inc., for Tariff Approval.</w:t>
                  </w:r>
                </w:p>
                <w:p w:rsidR="00D24F4F" w:rsidRPr="0016743F" w:rsidP="00EA767E" w14:paraId="46C6EC76" w14:textId="77777777">
                  <w:pPr>
                    <w:tabs>
                      <w:tab w:val="left" w:pos="8730"/>
                    </w:tabs>
                    <w:adjustRightInd w:val="0"/>
                    <w:rPr>
                      <w:szCs w:val="24"/>
                    </w:rPr>
                  </w:pPr>
                </w:p>
                <w:p w:rsidR="00D24F4F" w:rsidRPr="0016743F" w:rsidP="00EA767E" w14:paraId="789877D0" w14:textId="008B788C">
                  <w:pPr>
                    <w:tabs>
                      <w:tab w:val="left" w:pos="8730"/>
                    </w:tabs>
                    <w:adjustRightInd w:val="0"/>
                    <w:rPr>
                      <w:szCs w:val="24"/>
                    </w:rPr>
                  </w:pPr>
                  <w:r w:rsidRPr="0016743F">
                    <w:rPr>
                      <w:szCs w:val="24"/>
                    </w:rPr>
                    <w:t>In the Matter of the Application of Duke Energy Ohio, Inc., for Approval to Change Accounting Methods.</w:t>
                  </w:r>
                </w:p>
              </w:tc>
              <w:tc>
                <w:tcPr>
                  <w:tcW w:w="576" w:type="dxa"/>
                </w:tcPr>
                <w:p w:rsidR="00F76094" w:rsidRPr="0016743F" w:rsidP="00F76094" w14:paraId="0C3956CF"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F76094" w:rsidRPr="0016743F" w:rsidP="00F76094" w14:paraId="4537F8BD"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EA767E" w:rsidRPr="0016743F" w:rsidP="00F76094" w14:paraId="22FFADD7"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EA767E" w:rsidRPr="0016743F" w:rsidP="00F76094" w14:paraId="4EB12EE4"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EA767E" w:rsidRPr="0016743F" w:rsidP="00F76094" w14:paraId="2A5085B5"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D24F4F" w:rsidRPr="0016743F" w:rsidP="00F76094" w14:paraId="143E0213"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D24F4F" w:rsidRPr="0016743F" w:rsidP="00F76094" w14:paraId="3D66E3DE"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D24F4F" w:rsidRPr="0016743F" w:rsidP="00F76094" w14:paraId="139AA71C"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D24F4F" w:rsidRPr="0016743F" w:rsidP="00F76094" w14:paraId="41335AA0"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p w:rsidR="00D24F4F" w:rsidRPr="0016743F" w:rsidP="00F76094" w14:paraId="50CF7F86" w14:textId="4DE94A2A">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w:t>
                  </w:r>
                </w:p>
              </w:tc>
              <w:tc>
                <w:tcPr>
                  <w:tcW w:w="4032" w:type="dxa"/>
                </w:tcPr>
                <w:p w:rsidR="00F76094" w:rsidRPr="0016743F" w:rsidP="00F76094" w14:paraId="40E47B73" w14:textId="77777777">
                  <w:pPr>
                    <w:pStyle w:val="HTMLPreformatted"/>
                    <w:tabs>
                      <w:tab w:val="left" w:pos="8730"/>
                      <w:tab w:val="clear" w:pos="10076"/>
                    </w:tabs>
                    <w:rPr>
                      <w:rFonts w:ascii="Times New Roman" w:hAnsi="Times New Roman" w:cs="Times New Roman"/>
                      <w:sz w:val="24"/>
                      <w:szCs w:val="24"/>
                    </w:rPr>
                  </w:pPr>
                </w:p>
                <w:p w:rsidR="00EA767E" w:rsidRPr="0016743F" w:rsidP="00F76094" w14:paraId="31252B0F" w14:textId="77777777">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Case No. 21-</w:t>
                  </w:r>
                  <w:r w:rsidRPr="0016743F" w:rsidR="00D24F4F">
                    <w:rPr>
                      <w:rFonts w:ascii="Times New Roman" w:hAnsi="Times New Roman" w:cs="Times New Roman"/>
                      <w:sz w:val="24"/>
                      <w:szCs w:val="24"/>
                    </w:rPr>
                    <w:t>887-EL-AIR</w:t>
                  </w:r>
                </w:p>
                <w:p w:rsidR="00D24F4F" w:rsidRPr="0016743F" w:rsidP="00F76094" w14:paraId="461E6440" w14:textId="77777777">
                  <w:pPr>
                    <w:pStyle w:val="HTMLPreformatted"/>
                    <w:tabs>
                      <w:tab w:val="left" w:pos="8730"/>
                      <w:tab w:val="clear" w:pos="10076"/>
                    </w:tabs>
                    <w:rPr>
                      <w:rFonts w:ascii="Times New Roman" w:hAnsi="Times New Roman" w:cs="Times New Roman"/>
                      <w:sz w:val="24"/>
                      <w:szCs w:val="24"/>
                    </w:rPr>
                  </w:pPr>
                </w:p>
                <w:p w:rsidR="00D24F4F" w:rsidRPr="0016743F" w:rsidP="00F76094" w14:paraId="5E9CECD2" w14:textId="77777777">
                  <w:pPr>
                    <w:pStyle w:val="HTMLPreformatted"/>
                    <w:tabs>
                      <w:tab w:val="left" w:pos="8730"/>
                      <w:tab w:val="clear" w:pos="10076"/>
                    </w:tabs>
                    <w:rPr>
                      <w:rFonts w:ascii="Times New Roman" w:hAnsi="Times New Roman" w:cs="Times New Roman"/>
                      <w:sz w:val="24"/>
                      <w:szCs w:val="24"/>
                    </w:rPr>
                  </w:pPr>
                </w:p>
                <w:p w:rsidR="00D24F4F" w:rsidRPr="0016743F" w:rsidP="00F76094" w14:paraId="4A1E67BD" w14:textId="77777777">
                  <w:pPr>
                    <w:pStyle w:val="HTMLPreformatted"/>
                    <w:tabs>
                      <w:tab w:val="left" w:pos="8730"/>
                      <w:tab w:val="clear" w:pos="10076"/>
                    </w:tabs>
                    <w:rPr>
                      <w:rFonts w:ascii="Times New Roman" w:hAnsi="Times New Roman" w:cs="Times New Roman"/>
                      <w:sz w:val="24"/>
                      <w:szCs w:val="24"/>
                    </w:rPr>
                  </w:pPr>
                </w:p>
                <w:p w:rsidR="00D24F4F" w:rsidRPr="0016743F" w:rsidP="00F76094" w14:paraId="4C49DB12" w14:textId="6049D461">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Case No. 21-888-EL-AIR</w:t>
                  </w:r>
                </w:p>
                <w:p w:rsidR="00D24F4F" w:rsidRPr="0016743F" w:rsidP="00F76094" w14:paraId="1203F517" w14:textId="77777777">
                  <w:pPr>
                    <w:pStyle w:val="HTMLPreformatted"/>
                    <w:tabs>
                      <w:tab w:val="left" w:pos="8730"/>
                      <w:tab w:val="clear" w:pos="10076"/>
                    </w:tabs>
                    <w:rPr>
                      <w:rFonts w:ascii="Times New Roman" w:hAnsi="Times New Roman" w:cs="Times New Roman"/>
                      <w:sz w:val="24"/>
                      <w:szCs w:val="24"/>
                    </w:rPr>
                  </w:pPr>
                </w:p>
                <w:p w:rsidR="00D24F4F" w:rsidRPr="0016743F" w:rsidP="00F76094" w14:paraId="3580FD24" w14:textId="77777777">
                  <w:pPr>
                    <w:pStyle w:val="HTMLPreformatted"/>
                    <w:tabs>
                      <w:tab w:val="left" w:pos="8730"/>
                      <w:tab w:val="clear" w:pos="10076"/>
                    </w:tabs>
                    <w:rPr>
                      <w:rFonts w:ascii="Times New Roman" w:hAnsi="Times New Roman" w:cs="Times New Roman"/>
                      <w:sz w:val="24"/>
                      <w:szCs w:val="24"/>
                    </w:rPr>
                  </w:pPr>
                </w:p>
                <w:p w:rsidR="00D24F4F" w:rsidRPr="0016743F" w:rsidP="00F76094" w14:paraId="217C5D97" w14:textId="4DF0A7C3">
                  <w:pPr>
                    <w:pStyle w:val="HTMLPreformatted"/>
                    <w:tabs>
                      <w:tab w:val="left" w:pos="8730"/>
                      <w:tab w:val="clear" w:pos="10076"/>
                    </w:tabs>
                    <w:rPr>
                      <w:rFonts w:ascii="Times New Roman" w:hAnsi="Times New Roman" w:cs="Times New Roman"/>
                      <w:sz w:val="24"/>
                      <w:szCs w:val="24"/>
                    </w:rPr>
                  </w:pPr>
                  <w:r w:rsidRPr="0016743F">
                    <w:rPr>
                      <w:rFonts w:ascii="Times New Roman" w:hAnsi="Times New Roman" w:cs="Times New Roman"/>
                      <w:sz w:val="24"/>
                      <w:szCs w:val="24"/>
                    </w:rPr>
                    <w:t>Case No. 21-889-EL-AIR</w:t>
                  </w:r>
                </w:p>
                <w:p w:rsidR="00D24F4F" w:rsidRPr="0016743F" w:rsidP="00F76094" w14:paraId="3A64929C" w14:textId="77777777">
                  <w:pPr>
                    <w:pStyle w:val="HTMLPreformatted"/>
                    <w:tabs>
                      <w:tab w:val="left" w:pos="8730"/>
                      <w:tab w:val="clear" w:pos="10076"/>
                    </w:tabs>
                    <w:rPr>
                      <w:rFonts w:ascii="Times New Roman" w:hAnsi="Times New Roman" w:cs="Times New Roman"/>
                      <w:sz w:val="24"/>
                      <w:szCs w:val="24"/>
                    </w:rPr>
                  </w:pPr>
                </w:p>
                <w:p w:rsidR="00D24F4F" w:rsidRPr="0016743F" w:rsidP="00F76094" w14:paraId="597AB72C" w14:textId="0461E396">
                  <w:pPr>
                    <w:pStyle w:val="HTMLPreformatted"/>
                    <w:tabs>
                      <w:tab w:val="left" w:pos="8730"/>
                      <w:tab w:val="clear" w:pos="10076"/>
                    </w:tabs>
                    <w:rPr>
                      <w:rFonts w:ascii="Times New Roman" w:hAnsi="Times New Roman" w:cs="Times New Roman"/>
                      <w:sz w:val="24"/>
                      <w:szCs w:val="24"/>
                    </w:rPr>
                  </w:pPr>
                </w:p>
              </w:tc>
            </w:tr>
          </w:tbl>
          <w:p w:rsidR="00964DA7" w:rsidRPr="0016743F" w14:paraId="376E8CB7" w14:textId="77777777">
            <w:pPr>
              <w:pStyle w:val="HTMLPreformatted"/>
              <w:rPr>
                <w:rFonts w:ascii="Times New Roman" w:hAnsi="Times New Roman" w:cs="Times New Roman"/>
                <w:sz w:val="24"/>
                <w:szCs w:val="24"/>
              </w:rPr>
            </w:pPr>
          </w:p>
        </w:tc>
        <w:tc>
          <w:tcPr>
            <w:tcW w:w="360" w:type="dxa"/>
            <w:shd w:val="clear" w:color="auto" w:fill="auto"/>
          </w:tcPr>
          <w:p w:rsidR="00964DA7" w:rsidRPr="0016743F" w14:paraId="271907DF" w14:textId="77777777">
            <w:pPr>
              <w:pStyle w:val="HTMLPreformatted"/>
              <w:rPr>
                <w:rFonts w:ascii="Times New Roman" w:hAnsi="Times New Roman" w:cs="Times New Roman"/>
                <w:sz w:val="24"/>
                <w:szCs w:val="24"/>
              </w:rPr>
            </w:pPr>
          </w:p>
        </w:tc>
        <w:tc>
          <w:tcPr>
            <w:tcW w:w="4400" w:type="dxa"/>
            <w:shd w:val="clear" w:color="auto" w:fill="auto"/>
          </w:tcPr>
          <w:p w:rsidR="00964DA7" w:rsidRPr="0016743F" w14:paraId="064FC31E" w14:textId="77777777">
            <w:pPr>
              <w:pStyle w:val="HTMLPreformatted"/>
              <w:rPr>
                <w:rFonts w:ascii="Times New Roman" w:hAnsi="Times New Roman" w:cs="Times New Roman"/>
                <w:sz w:val="24"/>
                <w:szCs w:val="24"/>
              </w:rPr>
            </w:pPr>
          </w:p>
        </w:tc>
      </w:tr>
    </w:tbl>
    <w:p w:rsidR="00964DA7" w:rsidRPr="0016743F" w14:paraId="51D65FA0" w14:textId="77777777">
      <w:pPr>
        <w:pStyle w:val="HTMLPreformatted"/>
        <w:pBdr>
          <w:top w:val="single" w:sz="12" w:space="1" w:color="auto"/>
        </w:pBdr>
        <w:rPr>
          <w:rFonts w:ascii="Times New Roman" w:hAnsi="Times New Roman" w:cs="Times New Roman"/>
          <w:sz w:val="24"/>
          <w:szCs w:val="24"/>
        </w:rPr>
      </w:pPr>
    </w:p>
    <w:p w:rsidR="00F76094" w:rsidP="00326174" w14:paraId="1AF9DA48" w14:textId="61B0ABEB">
      <w:pPr>
        <w:jc w:val="center"/>
        <w:rPr>
          <w:b/>
          <w:bCs/>
          <w:szCs w:val="24"/>
        </w:rPr>
      </w:pPr>
      <w:r w:rsidRPr="0016743F">
        <w:rPr>
          <w:b/>
          <w:bCs/>
          <w:szCs w:val="24"/>
        </w:rPr>
        <w:t>MEMORANDUM CONTR</w:t>
      </w:r>
      <w:r w:rsidR="00143A3A">
        <w:rPr>
          <w:b/>
          <w:bCs/>
          <w:szCs w:val="24"/>
        </w:rPr>
        <w:t>A THE</w:t>
      </w:r>
      <w:r w:rsidRPr="0016743F">
        <w:rPr>
          <w:b/>
          <w:bCs/>
          <w:szCs w:val="24"/>
        </w:rPr>
        <w:t xml:space="preserve"> </w:t>
      </w:r>
      <w:r w:rsidRPr="0016743F" w:rsidR="00D24F4F">
        <w:rPr>
          <w:b/>
          <w:bCs/>
          <w:szCs w:val="24"/>
        </w:rPr>
        <w:t>JOINT MOTION TO STRIKE OF THE OHIO MANUFACTURERS’ ASSOCIATION ENERGY GROUP AND THE KROGER CO.</w:t>
      </w:r>
    </w:p>
    <w:p w:rsidR="00326174" w:rsidP="00326174" w14:paraId="505D4AC4" w14:textId="11413B37">
      <w:pPr>
        <w:jc w:val="center"/>
        <w:rPr>
          <w:b/>
          <w:bCs/>
          <w:szCs w:val="24"/>
        </w:rPr>
      </w:pPr>
      <w:r>
        <w:rPr>
          <w:b/>
          <w:bCs/>
          <w:szCs w:val="24"/>
        </w:rPr>
        <w:t>BY</w:t>
      </w:r>
    </w:p>
    <w:p w:rsidR="00326174" w:rsidRPr="0016743F" w:rsidP="00326174" w14:paraId="0E895E36" w14:textId="1D9E9922">
      <w:pPr>
        <w:jc w:val="center"/>
        <w:rPr>
          <w:b/>
          <w:bCs/>
          <w:szCs w:val="24"/>
        </w:rPr>
      </w:pPr>
      <w:r>
        <w:rPr>
          <w:b/>
          <w:bCs/>
          <w:szCs w:val="24"/>
        </w:rPr>
        <w:t>OFFICE OF THE OHIO CONSUMERS’ COUNSEL</w:t>
      </w:r>
    </w:p>
    <w:p w:rsidR="00964DA7" w:rsidRPr="0016743F" w14:paraId="7E37AB5C" w14:textId="77777777">
      <w:pPr>
        <w:pBdr>
          <w:bottom w:val="single" w:sz="12" w:space="1" w:color="auto"/>
        </w:pBdr>
        <w:tabs>
          <w:tab w:val="left" w:pos="4320"/>
        </w:tabs>
        <w:rPr>
          <w:szCs w:val="24"/>
        </w:rPr>
      </w:pPr>
    </w:p>
    <w:p w:rsidR="00964DA7" w:rsidRPr="0016743F" w14:paraId="38B5D2E5" w14:textId="77777777">
      <w:pPr>
        <w:tabs>
          <w:tab w:val="left" w:pos="4320"/>
        </w:tabs>
        <w:rPr>
          <w:szCs w:val="24"/>
        </w:rPr>
      </w:pPr>
    </w:p>
    <w:p w:rsidR="00EA767E" w:rsidRPr="0016743F" w:rsidP="00BB7084" w14:paraId="0833B0FB" w14:textId="5B2E8991">
      <w:pPr>
        <w:pStyle w:val="Heading1"/>
        <w:rPr>
          <w:rFonts w:ascii="Times New Roman" w:hAnsi="Times New Roman"/>
        </w:rPr>
      </w:pPr>
      <w:bookmarkStart w:id="0" w:name="_Toc104905064"/>
      <w:r w:rsidRPr="0016743F">
        <w:rPr>
          <w:rFonts w:ascii="Times New Roman" w:hAnsi="Times New Roman"/>
        </w:rPr>
        <w:t>I.</w:t>
      </w:r>
      <w:r w:rsidRPr="0016743F">
        <w:rPr>
          <w:rFonts w:ascii="Times New Roman" w:hAnsi="Times New Roman"/>
        </w:rPr>
        <w:tab/>
        <w:t xml:space="preserve">INTRODUCTION </w:t>
      </w:r>
    </w:p>
    <w:p w:rsidR="00484FDC" w:rsidRPr="0016743F" w:rsidP="00637B51" w14:paraId="5A50BE07" w14:textId="498ACEE6">
      <w:pPr>
        <w:pStyle w:val="BodyTextIndent3"/>
        <w:widowControl w:val="0"/>
        <w:spacing w:line="480" w:lineRule="auto"/>
        <w:rPr>
          <w:szCs w:val="24"/>
        </w:rPr>
      </w:pPr>
      <w:r w:rsidRPr="0016743F">
        <w:rPr>
          <w:szCs w:val="24"/>
        </w:rPr>
        <w:t>At a time of soaring energy prices, inflation and a potential recession, the Ohio Manufacturers’ Association Energy Group</w:t>
      </w:r>
      <w:r>
        <w:rPr>
          <w:rStyle w:val="FootnoteReference"/>
          <w:szCs w:val="24"/>
        </w:rPr>
        <w:footnoteReference w:id="2"/>
      </w:r>
      <w:r w:rsidRPr="0016743F" w:rsidR="00280C54">
        <w:rPr>
          <w:szCs w:val="24"/>
        </w:rPr>
        <w:t xml:space="preserve"> </w:t>
      </w:r>
      <w:r w:rsidRPr="0016743F">
        <w:rPr>
          <w:szCs w:val="24"/>
        </w:rPr>
        <w:t xml:space="preserve">and </w:t>
      </w:r>
      <w:r w:rsidR="009E289D">
        <w:rPr>
          <w:szCs w:val="24"/>
        </w:rPr>
        <w:t>t</w:t>
      </w:r>
      <w:r w:rsidRPr="0016743F">
        <w:rPr>
          <w:szCs w:val="24"/>
        </w:rPr>
        <w:t>he Kroger Co.</w:t>
      </w:r>
      <w:r>
        <w:rPr>
          <w:rStyle w:val="FootnoteReference"/>
          <w:szCs w:val="24"/>
        </w:rPr>
        <w:footnoteReference w:id="3"/>
      </w:r>
      <w:r w:rsidRPr="0016743F">
        <w:rPr>
          <w:szCs w:val="24"/>
        </w:rPr>
        <w:t>, among others, have signed a settlement</w:t>
      </w:r>
      <w:r>
        <w:rPr>
          <w:rStyle w:val="FootnoteReference"/>
          <w:szCs w:val="24"/>
        </w:rPr>
        <w:footnoteReference w:id="4"/>
      </w:r>
      <w:r w:rsidRPr="0016743F">
        <w:rPr>
          <w:szCs w:val="24"/>
        </w:rPr>
        <w:t xml:space="preserve"> to raise rates for consumers of Duke Energy Ohio, Inc.</w:t>
      </w:r>
      <w:r>
        <w:rPr>
          <w:rStyle w:val="FootnoteReference"/>
          <w:szCs w:val="24"/>
        </w:rPr>
        <w:footnoteReference w:id="5"/>
      </w:r>
      <w:r w:rsidRPr="0016743F" w:rsidR="00280C54">
        <w:rPr>
          <w:szCs w:val="24"/>
        </w:rPr>
        <w:t xml:space="preserve"> The settlement provides Duke with a $23.1 million distribution service rate increase and costly rider charges, at the expense of residential consumers. </w:t>
      </w:r>
    </w:p>
    <w:p w:rsidR="002D0B55" w:rsidRPr="0016743F" w:rsidP="00637B51" w14:paraId="720B317C" w14:textId="5026DF9C">
      <w:pPr>
        <w:pStyle w:val="BodyTextIndent3"/>
        <w:widowControl w:val="0"/>
        <w:spacing w:line="480" w:lineRule="auto"/>
        <w:rPr>
          <w:szCs w:val="24"/>
        </w:rPr>
      </w:pPr>
      <w:r w:rsidRPr="0016743F">
        <w:rPr>
          <w:szCs w:val="24"/>
        </w:rPr>
        <w:t xml:space="preserve">Now, the Joint Movants seek to keep the </w:t>
      </w:r>
      <w:r w:rsidRPr="0016743F" w:rsidR="006B2E39">
        <w:rPr>
          <w:szCs w:val="24"/>
        </w:rPr>
        <w:t>Public Utilities Commission of Ohio</w:t>
      </w:r>
      <w:r>
        <w:rPr>
          <w:rStyle w:val="FootnoteReference"/>
          <w:szCs w:val="24"/>
        </w:rPr>
        <w:footnoteReference w:id="6"/>
      </w:r>
      <w:r w:rsidRPr="0016743F">
        <w:rPr>
          <w:szCs w:val="24"/>
        </w:rPr>
        <w:t xml:space="preserve"> from considering </w:t>
      </w:r>
      <w:r w:rsidRPr="0016743F" w:rsidR="00C95BBD">
        <w:rPr>
          <w:szCs w:val="24"/>
        </w:rPr>
        <w:t>the perspective of</w:t>
      </w:r>
      <w:r w:rsidRPr="0016743F">
        <w:rPr>
          <w:szCs w:val="24"/>
        </w:rPr>
        <w:t xml:space="preserve"> residential utility consumers</w:t>
      </w:r>
      <w:r w:rsidRPr="0016743F" w:rsidR="00C95BBD">
        <w:rPr>
          <w:szCs w:val="24"/>
        </w:rPr>
        <w:t xml:space="preserve"> by moving to strike </w:t>
      </w:r>
      <w:r w:rsidRPr="0016743F" w:rsidR="00C95BBD">
        <w:rPr>
          <w:szCs w:val="24"/>
        </w:rPr>
        <w:t xml:space="preserve">arguments </w:t>
      </w:r>
      <w:r w:rsidRPr="0016743F" w:rsidR="006B2E39">
        <w:rPr>
          <w:szCs w:val="24"/>
        </w:rPr>
        <w:t>Ohio Consumers’ Counsel</w:t>
      </w:r>
      <w:r>
        <w:rPr>
          <w:rStyle w:val="FootnoteReference"/>
          <w:szCs w:val="24"/>
        </w:rPr>
        <w:footnoteReference w:id="7"/>
      </w:r>
      <w:r w:rsidRPr="0016743F" w:rsidR="00C95BBD">
        <w:rPr>
          <w:szCs w:val="24"/>
        </w:rPr>
        <w:t xml:space="preserve"> made on their behalf</w:t>
      </w:r>
      <w:r w:rsidRPr="0016743F">
        <w:rPr>
          <w:szCs w:val="24"/>
        </w:rPr>
        <w:t xml:space="preserve">. </w:t>
      </w:r>
      <w:r w:rsidRPr="0016743F">
        <w:rPr>
          <w:szCs w:val="24"/>
        </w:rPr>
        <w:t>Specifically, the Joint Movants request</w:t>
      </w:r>
      <w:r w:rsidRPr="0016743F">
        <w:rPr>
          <w:szCs w:val="24"/>
        </w:rPr>
        <w:t>ed</w:t>
      </w:r>
      <w:r w:rsidRPr="0016743F">
        <w:rPr>
          <w:szCs w:val="24"/>
        </w:rPr>
        <w:t xml:space="preserve"> that the Commission strike the following portions of OCC’s Initial Brief:</w:t>
      </w:r>
    </w:p>
    <w:p w:rsidR="002D0B55" w:rsidRPr="0016743F" w:rsidP="00637B51" w14:paraId="73221A93" w14:textId="77777777">
      <w:pPr>
        <w:pStyle w:val="BodyTextIndent3"/>
        <w:widowControl w:val="0"/>
        <w:numPr>
          <w:ilvl w:val="0"/>
          <w:numId w:val="28"/>
        </w:numPr>
        <w:spacing w:line="240" w:lineRule="auto"/>
        <w:rPr>
          <w:szCs w:val="24"/>
        </w:rPr>
      </w:pPr>
      <w:r w:rsidRPr="0016743F">
        <w:rPr>
          <w:szCs w:val="24"/>
        </w:rPr>
        <w:t>Page 4, the sentence beginning with the words “Ohio State Professor,” and ending with “Dr. Hill’s recommendations,” including all related footnotes.</w:t>
      </w:r>
    </w:p>
    <w:p w:rsidR="002D0B55" w:rsidRPr="0016743F" w:rsidP="00637B51" w14:paraId="4894B114" w14:textId="77777777">
      <w:pPr>
        <w:pStyle w:val="BodyTextIndent3"/>
        <w:widowControl w:val="0"/>
        <w:numPr>
          <w:ilvl w:val="0"/>
          <w:numId w:val="28"/>
        </w:numPr>
        <w:spacing w:line="240" w:lineRule="auto"/>
        <w:rPr>
          <w:szCs w:val="24"/>
        </w:rPr>
      </w:pPr>
      <w:r w:rsidRPr="0016743F">
        <w:rPr>
          <w:szCs w:val="24"/>
        </w:rPr>
        <w:t>Page 10, beginning with “The Settlement should,” through page 11, ending “a diversity of interests,” including all related footnotes.</w:t>
      </w:r>
    </w:p>
    <w:p w:rsidR="002D0B55" w:rsidRPr="0016743F" w:rsidP="00637B51" w14:paraId="6D3BBB39" w14:textId="2777B85B">
      <w:pPr>
        <w:pStyle w:val="BodyTextIndent3"/>
        <w:widowControl w:val="0"/>
        <w:numPr>
          <w:ilvl w:val="0"/>
          <w:numId w:val="28"/>
        </w:numPr>
        <w:spacing w:line="240" w:lineRule="auto"/>
        <w:rPr>
          <w:color w:val="FF0000"/>
          <w:szCs w:val="24"/>
        </w:rPr>
      </w:pPr>
      <w:r w:rsidRPr="0016743F">
        <w:rPr>
          <w:szCs w:val="24"/>
        </w:rPr>
        <w:t>Page 29, beginning with “8. The settlement,” through page 30, ending with “reject the settlement,” including all related footnotes.</w:t>
      </w:r>
    </w:p>
    <w:p w:rsidR="002D0B55" w:rsidRPr="0016743F" w:rsidP="00637B51" w14:paraId="36E83744" w14:textId="77777777">
      <w:pPr>
        <w:pStyle w:val="BodyTextIndent3"/>
        <w:widowControl w:val="0"/>
        <w:spacing w:line="240" w:lineRule="auto"/>
        <w:ind w:left="720" w:firstLine="0"/>
        <w:rPr>
          <w:color w:val="FF0000"/>
          <w:szCs w:val="24"/>
        </w:rPr>
      </w:pPr>
    </w:p>
    <w:p w:rsidR="00DD65FF" w:rsidRPr="0016743F" w:rsidP="00637B51" w14:paraId="3120C7F0" w14:textId="06ADA18E">
      <w:pPr>
        <w:pStyle w:val="BodyTextIndent3"/>
        <w:widowControl w:val="0"/>
        <w:spacing w:line="480" w:lineRule="auto"/>
        <w:rPr>
          <w:szCs w:val="24"/>
        </w:rPr>
      </w:pPr>
      <w:r w:rsidRPr="0016743F">
        <w:rPr>
          <w:szCs w:val="24"/>
        </w:rPr>
        <w:t xml:space="preserve">The PUCO should </w:t>
      </w:r>
      <w:r w:rsidRPr="0016743F" w:rsidR="00621F95">
        <w:rPr>
          <w:szCs w:val="24"/>
        </w:rPr>
        <w:t xml:space="preserve">not </w:t>
      </w:r>
      <w:r w:rsidRPr="0016743F" w:rsidR="00FB5E9E">
        <w:rPr>
          <w:szCs w:val="24"/>
        </w:rPr>
        <w:t>grant the Joint Motion to Strike</w:t>
      </w:r>
      <w:r w:rsidRPr="0016743F" w:rsidR="00621F95">
        <w:rPr>
          <w:szCs w:val="24"/>
        </w:rPr>
        <w:t>.</w:t>
      </w:r>
      <w:r w:rsidRPr="0016743F" w:rsidR="00280C54">
        <w:rPr>
          <w:szCs w:val="24"/>
        </w:rPr>
        <w:t xml:space="preserve"> The PUCO must determine whether the </w:t>
      </w:r>
      <w:r w:rsidRPr="0016743F" w:rsidR="00457C92">
        <w:rPr>
          <w:szCs w:val="24"/>
        </w:rPr>
        <w:t>s</w:t>
      </w:r>
      <w:r w:rsidRPr="0016743F" w:rsidR="00280C54">
        <w:rPr>
          <w:szCs w:val="24"/>
        </w:rPr>
        <w:t xml:space="preserve">ettlement is the product of serious bargaining, benefits consumers and the public interest, and </w:t>
      </w:r>
      <w:r w:rsidRPr="0016743F" w:rsidR="00FB5E9E">
        <w:rPr>
          <w:szCs w:val="24"/>
        </w:rPr>
        <w:t xml:space="preserve">does not </w:t>
      </w:r>
      <w:r w:rsidRPr="0016743F" w:rsidR="00280C54">
        <w:rPr>
          <w:szCs w:val="24"/>
        </w:rPr>
        <w:t>violate important regulatory principles and practices.</w:t>
      </w:r>
      <w:r>
        <w:rPr>
          <w:rStyle w:val="FootnoteReference"/>
          <w:szCs w:val="24"/>
        </w:rPr>
        <w:footnoteReference w:id="8"/>
      </w:r>
      <w:r w:rsidRPr="0016743F" w:rsidR="00280C54">
        <w:rPr>
          <w:szCs w:val="24"/>
        </w:rPr>
        <w:t xml:space="preserve"> To do so, the PUCO must </w:t>
      </w:r>
      <w:r w:rsidRPr="0016743F" w:rsidR="00C95BBD">
        <w:rPr>
          <w:szCs w:val="24"/>
        </w:rPr>
        <w:t>assess</w:t>
      </w:r>
      <w:r w:rsidRPr="0016743F" w:rsidR="00280C54">
        <w:rPr>
          <w:szCs w:val="24"/>
        </w:rPr>
        <w:t xml:space="preserve"> a full and accurate record and consider perspectives of all stakeholders, including residential consumers. </w:t>
      </w:r>
      <w:r w:rsidRPr="0016743F" w:rsidR="00C95BBD">
        <w:rPr>
          <w:szCs w:val="24"/>
        </w:rPr>
        <w:t>That includes</w:t>
      </w:r>
      <w:r w:rsidRPr="0016743F" w:rsidR="00457C92">
        <w:rPr>
          <w:szCs w:val="24"/>
        </w:rPr>
        <w:t xml:space="preserve"> OCC’s arguments based on </w:t>
      </w:r>
      <w:r w:rsidRPr="0016743F" w:rsidR="00C95BBD">
        <w:rPr>
          <w:szCs w:val="24"/>
        </w:rPr>
        <w:t xml:space="preserve">Dr. Hill’s testimony, which </w:t>
      </w:r>
      <w:r w:rsidRPr="0016743F" w:rsidR="00280C54">
        <w:rPr>
          <w:szCs w:val="24"/>
        </w:rPr>
        <w:t>is relevant to whether the stipulation is a product of serious bargaining</w:t>
      </w:r>
      <w:r w:rsidRPr="0016743F" w:rsidR="00C95BBD">
        <w:rPr>
          <w:szCs w:val="24"/>
        </w:rPr>
        <w:t xml:space="preserve"> and benefits consumers and the public interest</w:t>
      </w:r>
      <w:r w:rsidRPr="0016743F" w:rsidR="00280C54">
        <w:rPr>
          <w:szCs w:val="24"/>
        </w:rPr>
        <w:t>. Further, hearsay rules and their purpose</w:t>
      </w:r>
      <w:r w:rsidRPr="0016743F" w:rsidR="00457C92">
        <w:rPr>
          <w:szCs w:val="24"/>
        </w:rPr>
        <w:t>s</w:t>
      </w:r>
      <w:r w:rsidRPr="0016743F" w:rsidR="00280C54">
        <w:rPr>
          <w:szCs w:val="24"/>
        </w:rPr>
        <w:t xml:space="preserve"> do not require exclusion of Dr. Hill’s testimony, for two reasons. First, the PUCO has the expertise to weigh Dr. Hill’s testimony appropriately. Second, the Joint Movants themselves cross examined Dr. Hill on his testimony during a hearing in a prior case.</w:t>
      </w:r>
      <w:r>
        <w:rPr>
          <w:rStyle w:val="FootnoteReference"/>
          <w:szCs w:val="24"/>
        </w:rPr>
        <w:footnoteReference w:id="9"/>
      </w:r>
      <w:r w:rsidRPr="0016743F" w:rsidR="00280C54">
        <w:rPr>
          <w:szCs w:val="24"/>
        </w:rPr>
        <w:t xml:space="preserve"> </w:t>
      </w:r>
    </w:p>
    <w:p w:rsidR="00DA1455" w14:paraId="6D7544E4" w14:textId="77777777">
      <w:pPr>
        <w:rPr>
          <w:szCs w:val="24"/>
        </w:rPr>
      </w:pPr>
      <w:r>
        <w:rPr>
          <w:szCs w:val="24"/>
        </w:rPr>
        <w:br w:type="page"/>
      </w:r>
    </w:p>
    <w:p w:rsidR="007743C1" w:rsidP="00637B51" w14:paraId="7ED6439F" w14:textId="46E0E21A">
      <w:pPr>
        <w:pStyle w:val="BodyTextIndent3"/>
        <w:widowControl w:val="0"/>
        <w:spacing w:line="480" w:lineRule="auto"/>
        <w:rPr>
          <w:szCs w:val="24"/>
        </w:rPr>
      </w:pPr>
      <w:r w:rsidRPr="0016743F">
        <w:rPr>
          <w:szCs w:val="24"/>
        </w:rPr>
        <w:t>Finally, OCC’s references to Dr. Hill’s testimony come from the PUCO’s own orders.</w:t>
      </w:r>
      <w:r>
        <w:rPr>
          <w:rStyle w:val="FootnoteReference"/>
          <w:szCs w:val="24"/>
        </w:rPr>
        <w:footnoteReference w:id="10"/>
      </w:r>
      <w:r w:rsidRPr="0016743F">
        <w:rPr>
          <w:szCs w:val="24"/>
        </w:rPr>
        <w:t xml:space="preserve"> OCC may properly rely on the PUCO’s discussions of Dr. Hill’s testimony in those orders. </w:t>
      </w:r>
      <w:r w:rsidRPr="0016743F" w:rsidR="00280C54">
        <w:rPr>
          <w:szCs w:val="24"/>
        </w:rPr>
        <w:t xml:space="preserve">For these reasons, </w:t>
      </w:r>
      <w:r w:rsidRPr="0016743F" w:rsidR="0083098A">
        <w:rPr>
          <w:szCs w:val="24"/>
        </w:rPr>
        <w:t xml:space="preserve">OCC </w:t>
      </w:r>
      <w:r w:rsidRPr="0016743F">
        <w:rPr>
          <w:szCs w:val="24"/>
        </w:rPr>
        <w:t xml:space="preserve">asks the PUCO to reject </w:t>
      </w:r>
      <w:r w:rsidRPr="0016743F" w:rsidR="00280C54">
        <w:rPr>
          <w:szCs w:val="24"/>
        </w:rPr>
        <w:t xml:space="preserve">the Joint Movants’ Motion to Strike. </w:t>
      </w:r>
    </w:p>
    <w:p w:rsidR="00DA1455" w:rsidRPr="0016743F" w:rsidP="00DA1455" w14:paraId="3C4EE247" w14:textId="77777777">
      <w:pPr>
        <w:pStyle w:val="BodyTextIndent3"/>
        <w:widowControl w:val="0"/>
        <w:spacing w:line="240" w:lineRule="auto"/>
        <w:rPr>
          <w:szCs w:val="24"/>
        </w:rPr>
      </w:pPr>
    </w:p>
    <w:p w:rsidR="00621F95" w:rsidRPr="0016743F" w:rsidP="00BB7084" w14:paraId="56D3B7D1" w14:textId="76912EBF">
      <w:pPr>
        <w:pStyle w:val="Heading1"/>
        <w:rPr>
          <w:rFonts w:ascii="Times New Roman" w:hAnsi="Times New Roman"/>
        </w:rPr>
      </w:pPr>
      <w:r w:rsidRPr="0016743F">
        <w:rPr>
          <w:rFonts w:ascii="Times New Roman" w:hAnsi="Times New Roman"/>
        </w:rPr>
        <w:t xml:space="preserve">II. </w:t>
      </w:r>
      <w:r w:rsidRPr="0016743F">
        <w:rPr>
          <w:rFonts w:ascii="Times New Roman" w:hAnsi="Times New Roman"/>
        </w:rPr>
        <w:tab/>
        <w:t>LAW AND ARGUMENT</w:t>
      </w:r>
    </w:p>
    <w:p w:rsidR="00621F95" w:rsidRPr="0016743F" w:rsidP="00621F95" w14:paraId="133FB634" w14:textId="26F75584">
      <w:pPr>
        <w:pStyle w:val="ListParagraph"/>
        <w:numPr>
          <w:ilvl w:val="0"/>
          <w:numId w:val="25"/>
        </w:numPr>
        <w:ind w:left="1440" w:hanging="720"/>
        <w:contextualSpacing/>
        <w:rPr>
          <w:rStyle w:val="Heading2Char"/>
          <w:rFonts w:ascii="Times New Roman" w:hAnsi="Times New Roman"/>
          <w:bCs/>
          <w:color w:val="000000" w:themeColor="text1"/>
        </w:rPr>
      </w:pPr>
      <w:r w:rsidRPr="0016743F">
        <w:rPr>
          <w:rStyle w:val="Heading2Char"/>
          <w:rFonts w:ascii="Times New Roman" w:hAnsi="Times New Roman"/>
          <w:bCs/>
          <w:color w:val="000000" w:themeColor="text1"/>
        </w:rPr>
        <w:t>Dr. Hill’s</w:t>
      </w:r>
      <w:r w:rsidRPr="0016743F" w:rsidR="00287978">
        <w:rPr>
          <w:rStyle w:val="Heading2Char"/>
          <w:rFonts w:ascii="Times New Roman" w:hAnsi="Times New Roman"/>
          <w:bCs/>
          <w:color w:val="000000" w:themeColor="text1"/>
        </w:rPr>
        <w:t xml:space="preserve"> expert</w:t>
      </w:r>
      <w:r w:rsidRPr="0016743F">
        <w:rPr>
          <w:rStyle w:val="Heading2Char"/>
          <w:rFonts w:ascii="Times New Roman" w:hAnsi="Times New Roman"/>
          <w:bCs/>
          <w:color w:val="000000" w:themeColor="text1"/>
        </w:rPr>
        <w:t xml:space="preserve"> testimony</w:t>
      </w:r>
      <w:r w:rsidRPr="0016743F" w:rsidR="00287978">
        <w:rPr>
          <w:rStyle w:val="Heading2Char"/>
          <w:rFonts w:ascii="Times New Roman" w:hAnsi="Times New Roman"/>
          <w:bCs/>
          <w:color w:val="000000" w:themeColor="text1"/>
        </w:rPr>
        <w:t xml:space="preserve"> about the PUCO settlement process</w:t>
      </w:r>
      <w:r w:rsidRPr="0016743F">
        <w:rPr>
          <w:rStyle w:val="Heading2Char"/>
          <w:rFonts w:ascii="Times New Roman" w:hAnsi="Times New Roman"/>
          <w:bCs/>
          <w:color w:val="000000" w:themeColor="text1"/>
        </w:rPr>
        <w:t xml:space="preserve"> is relevant to whether the stipulation meets the PUCO’s three-prong standard for approving settlements.</w:t>
      </w:r>
    </w:p>
    <w:p w:rsidR="007F69A1" w:rsidRPr="0016743F" w:rsidP="007F69A1" w14:paraId="71D13807" w14:textId="638989DC">
      <w:pPr>
        <w:contextualSpacing/>
        <w:rPr>
          <w:b/>
          <w:bCs/>
          <w:color w:val="000000" w:themeColor="text1"/>
          <w:szCs w:val="24"/>
        </w:rPr>
      </w:pPr>
    </w:p>
    <w:p w:rsidR="00457C92" w:rsidRPr="0016743F" w:rsidP="00C95BBD" w14:paraId="098E05CA" w14:textId="09A6CD5C">
      <w:pPr>
        <w:spacing w:line="480" w:lineRule="auto"/>
        <w:ind w:firstLine="720"/>
        <w:contextualSpacing/>
        <w:rPr>
          <w:color w:val="000000" w:themeColor="text1"/>
          <w:szCs w:val="24"/>
        </w:rPr>
      </w:pPr>
      <w:r w:rsidRPr="0016743F">
        <w:rPr>
          <w:color w:val="000000" w:themeColor="text1"/>
          <w:szCs w:val="24"/>
        </w:rPr>
        <w:t xml:space="preserve">Dr. Hill’s testimony </w:t>
      </w:r>
      <w:r w:rsidRPr="0016743F" w:rsidR="00DA734F">
        <w:rPr>
          <w:color w:val="000000" w:themeColor="text1"/>
          <w:szCs w:val="24"/>
        </w:rPr>
        <w:t>is relevant because it concerns</w:t>
      </w:r>
      <w:r w:rsidRPr="0016743F">
        <w:rPr>
          <w:color w:val="000000" w:themeColor="text1"/>
          <w:szCs w:val="24"/>
        </w:rPr>
        <w:t xml:space="preserve"> </w:t>
      </w:r>
      <w:r w:rsidRPr="0016743F" w:rsidR="00DA734F">
        <w:rPr>
          <w:color w:val="000000" w:themeColor="text1"/>
          <w:szCs w:val="24"/>
        </w:rPr>
        <w:t>whether the stipulation is the product of serious bargaining</w:t>
      </w:r>
      <w:r w:rsidRPr="0016743F" w:rsidR="00C63119">
        <w:rPr>
          <w:color w:val="000000" w:themeColor="text1"/>
          <w:szCs w:val="24"/>
        </w:rPr>
        <w:t xml:space="preserve"> as well as whether it benefits consumers and the public interest. </w:t>
      </w:r>
      <w:r w:rsidRPr="0016743F" w:rsidR="00C95BBD">
        <w:rPr>
          <w:color w:val="000000" w:themeColor="text1"/>
          <w:szCs w:val="24"/>
        </w:rPr>
        <w:t>Dr. Hill is an expert in</w:t>
      </w:r>
      <w:r w:rsidRPr="0016743F">
        <w:rPr>
          <w:color w:val="000000" w:themeColor="text1"/>
          <w:szCs w:val="24"/>
        </w:rPr>
        <w:t xml:space="preserve"> regulation and</w:t>
      </w:r>
      <w:r w:rsidRPr="0016743F" w:rsidR="00C95BBD">
        <w:rPr>
          <w:color w:val="000000" w:themeColor="text1"/>
          <w:szCs w:val="24"/>
        </w:rPr>
        <w:t xml:space="preserve"> energy economic</w:t>
      </w:r>
      <w:r w:rsidRPr="0016743F" w:rsidR="00287978">
        <w:rPr>
          <w:color w:val="000000" w:themeColor="text1"/>
          <w:szCs w:val="24"/>
        </w:rPr>
        <w:t>s</w:t>
      </w:r>
      <w:r w:rsidRPr="0016743F" w:rsidR="00C63119">
        <w:rPr>
          <w:color w:val="000000" w:themeColor="text1"/>
          <w:szCs w:val="24"/>
        </w:rPr>
        <w:t>.</w:t>
      </w:r>
      <w:r>
        <w:rPr>
          <w:rStyle w:val="FootnoteReference"/>
          <w:color w:val="000000" w:themeColor="text1"/>
          <w:szCs w:val="24"/>
        </w:rPr>
        <w:footnoteReference w:id="11"/>
      </w:r>
      <w:r w:rsidRPr="0016743F" w:rsidR="00C63119">
        <w:rPr>
          <w:color w:val="000000" w:themeColor="text1"/>
          <w:szCs w:val="24"/>
        </w:rPr>
        <w:t xml:space="preserve"> On this topic, he has authored several academic research papers and testified before the Ohio General Assembly as well as multiple regulatory </w:t>
      </w:r>
      <w:r w:rsidRPr="0016743F" w:rsidR="00FB5E9E">
        <w:rPr>
          <w:color w:val="000000" w:themeColor="text1"/>
          <w:szCs w:val="24"/>
        </w:rPr>
        <w:t>bodies</w:t>
      </w:r>
      <w:r w:rsidRPr="0016743F" w:rsidR="00C63119">
        <w:rPr>
          <w:color w:val="000000" w:themeColor="text1"/>
          <w:szCs w:val="24"/>
        </w:rPr>
        <w:t>, including the PUCO.</w:t>
      </w:r>
      <w:r>
        <w:rPr>
          <w:rStyle w:val="FootnoteReference"/>
          <w:color w:val="000000" w:themeColor="text1"/>
          <w:szCs w:val="24"/>
        </w:rPr>
        <w:footnoteReference w:id="12"/>
      </w:r>
      <w:r w:rsidRPr="0016743F" w:rsidR="00C63119">
        <w:rPr>
          <w:color w:val="000000" w:themeColor="text1"/>
          <w:szCs w:val="24"/>
        </w:rPr>
        <w:t xml:space="preserve"> As an expert, </w:t>
      </w:r>
      <w:r w:rsidRPr="0016743F" w:rsidR="006B2E39">
        <w:rPr>
          <w:color w:val="000000" w:themeColor="text1"/>
          <w:szCs w:val="24"/>
        </w:rPr>
        <w:t xml:space="preserve">Dr. Hill </w:t>
      </w:r>
      <w:r w:rsidRPr="0016743F" w:rsidR="00C63119">
        <w:rPr>
          <w:color w:val="000000" w:themeColor="text1"/>
          <w:szCs w:val="24"/>
        </w:rPr>
        <w:t xml:space="preserve">may provide his opinion about matters outside his personal knowledge, per Evid. R. 602. </w:t>
      </w:r>
    </w:p>
    <w:p w:rsidR="00EA767E" w:rsidRPr="0016743F" w:rsidP="00C95BBD" w14:paraId="6DCDBFD9" w14:textId="37EBFFCF">
      <w:pPr>
        <w:spacing w:line="480" w:lineRule="auto"/>
        <w:ind w:firstLine="720"/>
        <w:contextualSpacing/>
        <w:rPr>
          <w:color w:val="000000" w:themeColor="text1"/>
          <w:szCs w:val="24"/>
        </w:rPr>
      </w:pPr>
      <w:r w:rsidRPr="0016743F">
        <w:rPr>
          <w:color w:val="000000" w:themeColor="text1"/>
          <w:szCs w:val="24"/>
        </w:rPr>
        <w:t>Dr. Hill</w:t>
      </w:r>
      <w:r w:rsidRPr="0016743F" w:rsidR="00457C92">
        <w:rPr>
          <w:color w:val="000000" w:themeColor="text1"/>
          <w:szCs w:val="24"/>
        </w:rPr>
        <w:t xml:space="preserve">’s expert testimony is </w:t>
      </w:r>
      <w:r w:rsidRPr="0016743F">
        <w:rPr>
          <w:color w:val="000000" w:themeColor="text1"/>
          <w:szCs w:val="24"/>
        </w:rPr>
        <w:t xml:space="preserve">relevant to OCC’s arguments in opposition to this stipulation. In summary, Dr. Hill </w:t>
      </w:r>
      <w:r w:rsidRPr="0016743F" w:rsidR="00457C92">
        <w:rPr>
          <w:color w:val="000000" w:themeColor="text1"/>
          <w:szCs w:val="24"/>
        </w:rPr>
        <w:t xml:space="preserve">previously </w:t>
      </w:r>
      <w:r w:rsidRPr="0016743F">
        <w:rPr>
          <w:color w:val="000000" w:themeColor="text1"/>
          <w:szCs w:val="24"/>
        </w:rPr>
        <w:t>testified</w:t>
      </w:r>
      <w:r w:rsidRPr="0016743F" w:rsidR="00457C92">
        <w:rPr>
          <w:color w:val="000000" w:themeColor="text1"/>
          <w:szCs w:val="24"/>
        </w:rPr>
        <w:t xml:space="preserve"> at hearing</w:t>
      </w:r>
      <w:r w:rsidRPr="0016743F">
        <w:rPr>
          <w:color w:val="000000" w:themeColor="text1"/>
          <w:szCs w:val="24"/>
        </w:rPr>
        <w:t xml:space="preserve"> that a group of signatories</w:t>
      </w:r>
      <w:r w:rsidRPr="0016743F" w:rsidR="006B2E39">
        <w:rPr>
          <w:color w:val="000000" w:themeColor="text1"/>
          <w:szCs w:val="24"/>
        </w:rPr>
        <w:t xml:space="preserve"> </w:t>
      </w:r>
      <w:r w:rsidRPr="0016743F" w:rsidR="00457C92">
        <w:rPr>
          <w:color w:val="000000" w:themeColor="text1"/>
          <w:szCs w:val="24"/>
        </w:rPr>
        <w:t xml:space="preserve">(a “redistributive coalition”) </w:t>
      </w:r>
      <w:r w:rsidRPr="0016743F" w:rsidR="006B2E39">
        <w:rPr>
          <w:color w:val="000000" w:themeColor="text1"/>
          <w:szCs w:val="24"/>
        </w:rPr>
        <w:t>representing narrow special interests</w:t>
      </w:r>
      <w:r w:rsidRPr="0016743F">
        <w:rPr>
          <w:color w:val="000000" w:themeColor="text1"/>
          <w:szCs w:val="24"/>
        </w:rPr>
        <w:t xml:space="preserve"> can create the illusion of widespread support for a </w:t>
      </w:r>
      <w:r w:rsidRPr="0016743F" w:rsidR="006B2E39">
        <w:rPr>
          <w:color w:val="000000" w:themeColor="text1"/>
          <w:szCs w:val="24"/>
        </w:rPr>
        <w:t>stipulation that does not benefit most consumers.</w:t>
      </w:r>
      <w:r>
        <w:rPr>
          <w:rStyle w:val="FootnoteReference"/>
          <w:color w:val="000000" w:themeColor="text1"/>
          <w:szCs w:val="24"/>
        </w:rPr>
        <w:footnoteReference w:id="13"/>
      </w:r>
      <w:r w:rsidRPr="0016743F" w:rsidR="006B2E39">
        <w:rPr>
          <w:color w:val="000000" w:themeColor="text1"/>
          <w:szCs w:val="24"/>
        </w:rPr>
        <w:t xml:space="preserve"> A utility </w:t>
      </w:r>
      <w:r w:rsidRPr="0016743F" w:rsidR="00457C92">
        <w:rPr>
          <w:color w:val="000000" w:themeColor="text1"/>
          <w:szCs w:val="24"/>
        </w:rPr>
        <w:t>may induce</w:t>
      </w:r>
      <w:r w:rsidRPr="0016743F" w:rsidR="006B2E39">
        <w:rPr>
          <w:color w:val="000000" w:themeColor="text1"/>
          <w:szCs w:val="24"/>
        </w:rPr>
        <w:t xml:space="preserve"> these parties to support a stipulation by including provisions that benefit their </w:t>
      </w:r>
      <w:r w:rsidRPr="0016743F" w:rsidR="006B2E39">
        <w:rPr>
          <w:color w:val="000000" w:themeColor="text1"/>
          <w:szCs w:val="24"/>
        </w:rPr>
        <w:t>narrow self-interests, rather than consumers generally.</w:t>
      </w:r>
      <w:r>
        <w:rPr>
          <w:rStyle w:val="FootnoteReference"/>
          <w:color w:val="000000" w:themeColor="text1"/>
          <w:szCs w:val="24"/>
        </w:rPr>
        <w:footnoteReference w:id="14"/>
      </w:r>
      <w:r w:rsidRPr="0016743F" w:rsidR="006B2E39">
        <w:rPr>
          <w:color w:val="000000" w:themeColor="text1"/>
          <w:szCs w:val="24"/>
        </w:rPr>
        <w:t xml:space="preserve"> Dr. Hill provided this opinion about the PUCO settlement process generally, in his capacity as an expert on </w:t>
      </w:r>
      <w:r w:rsidRPr="0016743F" w:rsidR="00457C92">
        <w:rPr>
          <w:color w:val="000000" w:themeColor="text1"/>
          <w:szCs w:val="24"/>
        </w:rPr>
        <w:t>regulation</w:t>
      </w:r>
      <w:r w:rsidRPr="0016743F" w:rsidR="006B2E39">
        <w:rPr>
          <w:color w:val="000000" w:themeColor="text1"/>
          <w:szCs w:val="24"/>
        </w:rPr>
        <w:t xml:space="preserve"> and energy economics. This testimony </w:t>
      </w:r>
      <w:r w:rsidRPr="0016743F" w:rsidR="00457C92">
        <w:rPr>
          <w:color w:val="000000" w:themeColor="text1"/>
          <w:szCs w:val="24"/>
        </w:rPr>
        <w:t>is relevant to whether any stipulation before the PUCO, including the one at issue in this case, is the</w:t>
      </w:r>
      <w:r w:rsidRPr="0016743F" w:rsidR="006B2E39">
        <w:rPr>
          <w:color w:val="000000" w:themeColor="text1"/>
          <w:szCs w:val="24"/>
        </w:rPr>
        <w:t xml:space="preserve"> product of serious bargaining and benefit</w:t>
      </w:r>
      <w:r w:rsidRPr="0016743F" w:rsidR="00457C92">
        <w:rPr>
          <w:color w:val="000000" w:themeColor="text1"/>
          <w:szCs w:val="24"/>
        </w:rPr>
        <w:t>s</w:t>
      </w:r>
      <w:r w:rsidRPr="0016743F" w:rsidR="006B2E39">
        <w:rPr>
          <w:color w:val="000000" w:themeColor="text1"/>
          <w:szCs w:val="24"/>
        </w:rPr>
        <w:t xml:space="preserve"> consumers. </w:t>
      </w:r>
      <w:r w:rsidRPr="0016743F" w:rsidR="00C95BBD">
        <w:rPr>
          <w:color w:val="000000" w:themeColor="text1"/>
          <w:szCs w:val="24"/>
        </w:rPr>
        <w:t xml:space="preserve">Because Dr. Hill’s expert opinion about the PUCO settlement process is relevant to the first two prongs of the PUCO’s standard for assessing stipulations, the PUCO should not strike it. </w:t>
      </w:r>
    </w:p>
    <w:p w:rsidR="007F69A1" w:rsidRPr="0016743F" w:rsidP="0095608D" w14:paraId="349CF582" w14:textId="785755A7">
      <w:pPr>
        <w:pStyle w:val="ListParagraph"/>
        <w:numPr>
          <w:ilvl w:val="0"/>
          <w:numId w:val="25"/>
        </w:numPr>
        <w:ind w:left="1440" w:hanging="720"/>
        <w:contextualSpacing/>
        <w:rPr>
          <w:rStyle w:val="Heading2Char"/>
          <w:rFonts w:ascii="Times New Roman" w:hAnsi="Times New Roman"/>
          <w:bCs/>
          <w:color w:val="000000" w:themeColor="text1"/>
        </w:rPr>
      </w:pPr>
      <w:r w:rsidRPr="0016743F">
        <w:rPr>
          <w:rStyle w:val="Heading2Char"/>
          <w:rFonts w:ascii="Times New Roman" w:hAnsi="Times New Roman"/>
          <w:color w:val="000000" w:themeColor="text1"/>
        </w:rPr>
        <w:t xml:space="preserve">The PUCO can </w:t>
      </w:r>
      <w:r w:rsidRPr="0016743F" w:rsidR="00467F11">
        <w:rPr>
          <w:rStyle w:val="Heading2Char"/>
          <w:rFonts w:ascii="Times New Roman" w:hAnsi="Times New Roman"/>
          <w:color w:val="000000" w:themeColor="text1"/>
        </w:rPr>
        <w:t xml:space="preserve">give </w:t>
      </w:r>
      <w:r w:rsidRPr="0016743F" w:rsidR="0095608D">
        <w:rPr>
          <w:rStyle w:val="Heading2Char"/>
          <w:rFonts w:ascii="Times New Roman" w:hAnsi="Times New Roman"/>
          <w:color w:val="000000" w:themeColor="text1"/>
        </w:rPr>
        <w:t xml:space="preserve">Dr. Hill’s testimony </w:t>
      </w:r>
      <w:r w:rsidRPr="0016743F" w:rsidR="00467F11">
        <w:rPr>
          <w:rStyle w:val="Heading2Char"/>
          <w:rFonts w:ascii="Times New Roman" w:hAnsi="Times New Roman"/>
          <w:color w:val="000000" w:themeColor="text1"/>
        </w:rPr>
        <w:t xml:space="preserve">appropriate weight </w:t>
      </w:r>
      <w:r w:rsidRPr="0016743F" w:rsidR="0095608D">
        <w:rPr>
          <w:rStyle w:val="Heading2Char"/>
          <w:rFonts w:ascii="Times New Roman" w:hAnsi="Times New Roman"/>
          <w:color w:val="000000" w:themeColor="text1"/>
        </w:rPr>
        <w:t>without striking it from the record.</w:t>
      </w:r>
    </w:p>
    <w:p w:rsidR="0095608D" w:rsidRPr="0016743F" w:rsidP="0095608D" w14:paraId="57D31CBF" w14:textId="77777777">
      <w:pPr>
        <w:pStyle w:val="ListParagraph"/>
        <w:rPr>
          <w:b/>
          <w:bCs/>
          <w:color w:val="000000" w:themeColor="text1"/>
          <w:szCs w:val="24"/>
        </w:rPr>
      </w:pPr>
    </w:p>
    <w:p w:rsidR="00467F11" w:rsidRPr="0016743F" w:rsidP="00467F11" w14:paraId="23909F23" w14:textId="5E38B8CE">
      <w:pPr>
        <w:spacing w:line="480" w:lineRule="auto"/>
        <w:ind w:firstLine="720"/>
        <w:contextualSpacing/>
        <w:rPr>
          <w:color w:val="000000"/>
          <w:szCs w:val="24"/>
        </w:rPr>
      </w:pPr>
      <w:r w:rsidRPr="0016743F">
        <w:rPr>
          <w:color w:val="000000" w:themeColor="text1"/>
          <w:szCs w:val="24"/>
        </w:rPr>
        <w:t>The PUCO should not strike Dr. Hill’s testimony because the</w:t>
      </w:r>
      <w:r w:rsidRPr="0016743F" w:rsidR="0095608D">
        <w:rPr>
          <w:color w:val="000000" w:themeColor="text1"/>
          <w:szCs w:val="24"/>
        </w:rPr>
        <w:t xml:space="preserve"> PUCO is not strictly bound by the rule </w:t>
      </w:r>
      <w:r w:rsidRPr="0016743F">
        <w:rPr>
          <w:color w:val="000000" w:themeColor="text1"/>
          <w:szCs w:val="24"/>
        </w:rPr>
        <w:t>excluding</w:t>
      </w:r>
      <w:r w:rsidRPr="0016743F" w:rsidR="0095608D">
        <w:rPr>
          <w:color w:val="000000" w:themeColor="text1"/>
          <w:szCs w:val="24"/>
        </w:rPr>
        <w:t xml:space="preserve"> hearsay. </w:t>
      </w:r>
      <w:r w:rsidRPr="0016743F">
        <w:rPr>
          <w:color w:val="000000" w:themeColor="text1"/>
          <w:szCs w:val="24"/>
        </w:rPr>
        <w:t>The</w:t>
      </w:r>
      <w:r w:rsidRPr="0016743F">
        <w:rPr>
          <w:color w:val="000000" w:themeColor="text1"/>
          <w:szCs w:val="24"/>
        </w:rPr>
        <w:t xml:space="preserve"> PUCO has “allowed the admission of hearsay testimony” when it has “deemed it appropriate.”</w:t>
      </w:r>
      <w:r>
        <w:rPr>
          <w:rStyle w:val="FootnoteReference"/>
          <w:color w:val="000000"/>
          <w:szCs w:val="24"/>
        </w:rPr>
        <w:footnoteReference w:id="15"/>
      </w:r>
      <w:r w:rsidRPr="0016743F">
        <w:rPr>
          <w:color w:val="000000"/>
          <w:szCs w:val="24"/>
        </w:rPr>
        <w:t> </w:t>
      </w:r>
      <w:r w:rsidRPr="0016743F">
        <w:rPr>
          <w:color w:val="000000" w:themeColor="text1"/>
          <w:szCs w:val="24"/>
        </w:rPr>
        <w:t>One</w:t>
      </w:r>
      <w:r w:rsidRPr="0016743F">
        <w:rPr>
          <w:color w:val="000000" w:themeColor="text1"/>
          <w:szCs w:val="24"/>
        </w:rPr>
        <w:t xml:space="preserve"> purpose of the hearsay rules is to address “concerns regarding jurors’ inability to weight evidence appropriately</w:t>
      </w:r>
      <w:r w:rsidRPr="0016743F">
        <w:rPr>
          <w:color w:val="000000" w:themeColor="text1"/>
          <w:szCs w:val="24"/>
        </w:rPr>
        <w:t>….</w:t>
      </w:r>
      <w:r w:rsidRPr="0016743F">
        <w:rPr>
          <w:color w:val="000000" w:themeColor="text1"/>
          <w:szCs w:val="24"/>
        </w:rPr>
        <w:t>”</w:t>
      </w:r>
      <w:r>
        <w:rPr>
          <w:rStyle w:val="FootnoteReference"/>
          <w:color w:val="000000" w:themeColor="text1"/>
          <w:szCs w:val="24"/>
        </w:rPr>
        <w:footnoteReference w:id="16"/>
      </w:r>
      <w:r w:rsidRPr="0016743F">
        <w:rPr>
          <w:color w:val="000000" w:themeColor="text1"/>
          <w:szCs w:val="24"/>
        </w:rPr>
        <w:t xml:space="preserve"> </w:t>
      </w:r>
      <w:r w:rsidRPr="0016743F">
        <w:rPr>
          <w:color w:val="000000" w:themeColor="text1"/>
          <w:szCs w:val="24"/>
        </w:rPr>
        <w:t>This concern is</w:t>
      </w:r>
      <w:r w:rsidRPr="0016743F">
        <w:rPr>
          <w:color w:val="000000" w:themeColor="text1"/>
          <w:szCs w:val="24"/>
        </w:rPr>
        <w:t xml:space="preserve"> “inapplicable to administrative proceedings before the Commissio</w:t>
      </w:r>
      <w:r w:rsidRPr="0016743F">
        <w:rPr>
          <w:color w:val="000000" w:themeColor="text1"/>
          <w:szCs w:val="24"/>
        </w:rPr>
        <w:t>n</w:t>
      </w:r>
      <w:r w:rsidRPr="0016743F" w:rsidR="00DA52F2">
        <w:rPr>
          <w:color w:val="000000" w:themeColor="text1"/>
          <w:szCs w:val="24"/>
        </w:rPr>
        <w:t xml:space="preserve"> because </w:t>
      </w:r>
      <w:r w:rsidRPr="0016743F">
        <w:rPr>
          <w:color w:val="000000" w:themeColor="text1"/>
          <w:szCs w:val="24"/>
        </w:rPr>
        <w:t>the Commission has the expertise to give the appropriate weight to testimony</w:t>
      </w:r>
      <w:r w:rsidRPr="0016743F">
        <w:rPr>
          <w:color w:val="000000"/>
          <w:szCs w:val="24"/>
        </w:rPr>
        <w:t xml:space="preserve"> and evidence.”</w:t>
      </w:r>
      <w:r>
        <w:rPr>
          <w:rStyle w:val="FootnoteReference"/>
          <w:color w:val="000000"/>
          <w:szCs w:val="24"/>
        </w:rPr>
        <w:footnoteReference w:id="17"/>
      </w:r>
      <w:r w:rsidRPr="0016743F" w:rsidR="00B9163B">
        <w:rPr>
          <w:color w:val="000000"/>
          <w:szCs w:val="24"/>
        </w:rPr>
        <w:t xml:space="preserve"> </w:t>
      </w:r>
      <w:r w:rsidRPr="0016743F" w:rsidR="00DA52F2">
        <w:rPr>
          <w:color w:val="000000"/>
          <w:szCs w:val="24"/>
        </w:rPr>
        <w:t>So</w:t>
      </w:r>
      <w:r w:rsidRPr="0016743F" w:rsidR="00B9163B">
        <w:rPr>
          <w:color w:val="000000"/>
          <w:szCs w:val="24"/>
        </w:rPr>
        <w:t xml:space="preserve">, even </w:t>
      </w:r>
      <w:r w:rsidRPr="0016743F" w:rsidR="00DA52F2">
        <w:rPr>
          <w:color w:val="000000"/>
          <w:szCs w:val="24"/>
        </w:rPr>
        <w:t>if Dr. Hill’s testimony is hearsay</w:t>
      </w:r>
      <w:r w:rsidRPr="0016743F" w:rsidR="00B9163B">
        <w:rPr>
          <w:color w:val="000000"/>
          <w:szCs w:val="24"/>
        </w:rPr>
        <w:t xml:space="preserve">, the PUCO </w:t>
      </w:r>
      <w:r w:rsidRPr="0016743F" w:rsidR="00DA52F2">
        <w:rPr>
          <w:color w:val="000000"/>
          <w:szCs w:val="24"/>
        </w:rPr>
        <w:t>need not</w:t>
      </w:r>
      <w:r w:rsidRPr="0016743F" w:rsidR="00B9163B">
        <w:rPr>
          <w:color w:val="000000"/>
          <w:szCs w:val="24"/>
        </w:rPr>
        <w:t xml:space="preserve"> strike it or OCC’s related arguments. The PUCO has the expertise to weigh </w:t>
      </w:r>
      <w:r w:rsidRPr="0016743F" w:rsidR="00DA52F2">
        <w:rPr>
          <w:color w:val="000000"/>
          <w:szCs w:val="24"/>
        </w:rPr>
        <w:t>Dr. Hill’s</w:t>
      </w:r>
      <w:r w:rsidRPr="0016743F" w:rsidR="00B9163B">
        <w:rPr>
          <w:color w:val="000000"/>
          <w:szCs w:val="24"/>
        </w:rPr>
        <w:t xml:space="preserve"> testimony as it </w:t>
      </w:r>
      <w:r w:rsidRPr="0016743F" w:rsidR="00DA52F2">
        <w:rPr>
          <w:color w:val="000000"/>
          <w:szCs w:val="24"/>
        </w:rPr>
        <w:t>deems</w:t>
      </w:r>
      <w:r w:rsidRPr="0016743F" w:rsidR="00B9163B">
        <w:rPr>
          <w:color w:val="000000"/>
          <w:szCs w:val="24"/>
        </w:rPr>
        <w:t xml:space="preserve"> appropriate.  </w:t>
      </w:r>
    </w:p>
    <w:p w:rsidR="00977797" w:rsidRPr="0016743F" w:rsidP="00977797" w14:paraId="7524FEF3" w14:textId="4DC58EF3">
      <w:pPr>
        <w:spacing w:line="480" w:lineRule="auto"/>
        <w:contextualSpacing/>
        <w:rPr>
          <w:color w:val="000000"/>
          <w:szCs w:val="24"/>
        </w:rPr>
      </w:pPr>
      <w:r w:rsidRPr="0016743F">
        <w:rPr>
          <w:color w:val="000000"/>
          <w:szCs w:val="24"/>
        </w:rPr>
        <w:tab/>
        <w:t xml:space="preserve">Another </w:t>
      </w:r>
      <w:r w:rsidRPr="0016743F" w:rsidR="00C52C3B">
        <w:rPr>
          <w:color w:val="000000"/>
          <w:szCs w:val="24"/>
        </w:rPr>
        <w:t>“purpose of the rule against hearsay is to keep unreliable evidence, particularly evidence that is not subject to cross-examination,” out of the record.</w:t>
      </w:r>
      <w:r>
        <w:rPr>
          <w:rStyle w:val="FootnoteReference"/>
          <w:color w:val="000000"/>
          <w:szCs w:val="24"/>
        </w:rPr>
        <w:footnoteReference w:id="18"/>
      </w:r>
      <w:r w:rsidRPr="0016743F" w:rsidR="00C23727">
        <w:rPr>
          <w:color w:val="000000"/>
          <w:szCs w:val="24"/>
        </w:rPr>
        <w:t xml:space="preserve"> </w:t>
      </w:r>
      <w:r w:rsidRPr="0016743F" w:rsidR="00993758">
        <w:rPr>
          <w:color w:val="000000"/>
          <w:szCs w:val="24"/>
        </w:rPr>
        <w:t>This purpose does not apply to Dr. Hill’s testimony, about which he was cross examined at a prior hearing</w:t>
      </w:r>
      <w:r w:rsidRPr="0016743F" w:rsidR="004B3D74">
        <w:rPr>
          <w:color w:val="000000"/>
          <w:szCs w:val="24"/>
        </w:rPr>
        <w:t>.</w:t>
      </w:r>
      <w:r w:rsidRPr="0016743F" w:rsidR="00C23727">
        <w:rPr>
          <w:color w:val="000000"/>
          <w:szCs w:val="24"/>
        </w:rPr>
        <w:t xml:space="preserve"> </w:t>
      </w:r>
      <w:r w:rsidRPr="0016743F" w:rsidR="004B3D74">
        <w:rPr>
          <w:color w:val="000000"/>
          <w:szCs w:val="24"/>
        </w:rPr>
        <w:t>And u</w:t>
      </w:r>
      <w:r w:rsidRPr="0016743F" w:rsidR="00C23727">
        <w:rPr>
          <w:color w:val="000000"/>
          <w:szCs w:val="24"/>
        </w:rPr>
        <w:t>nder Evid.</w:t>
      </w:r>
      <w:r w:rsidR="005F587F">
        <w:rPr>
          <w:color w:val="000000"/>
          <w:szCs w:val="24"/>
        </w:rPr>
        <w:t xml:space="preserve"> </w:t>
      </w:r>
      <w:r w:rsidRPr="0016743F" w:rsidR="00C23727">
        <w:rPr>
          <w:color w:val="000000"/>
          <w:szCs w:val="24"/>
        </w:rPr>
        <w:t>R. 804(b)(1), a now-unavailable witness’s testimony in a prior hearing is admissible where parties had “an opportunity and similar motive to develop it by direct, cross-, or redirect examination.”</w:t>
      </w:r>
      <w:r>
        <w:rPr>
          <w:rStyle w:val="FootnoteReference"/>
          <w:color w:val="000000"/>
          <w:szCs w:val="24"/>
        </w:rPr>
        <w:footnoteReference w:id="19"/>
      </w:r>
      <w:r w:rsidRPr="0016743F" w:rsidR="00AA5426">
        <w:rPr>
          <w:color w:val="000000"/>
          <w:szCs w:val="24"/>
        </w:rPr>
        <w:t xml:space="preserve"> </w:t>
      </w:r>
      <w:r w:rsidRPr="0016743F" w:rsidR="00A77433">
        <w:rPr>
          <w:color w:val="000000"/>
          <w:szCs w:val="24"/>
        </w:rPr>
        <w:t xml:space="preserve">Dr. Hill testified </w:t>
      </w:r>
      <w:r w:rsidRPr="0016743F" w:rsidR="00E72943">
        <w:rPr>
          <w:color w:val="000000"/>
          <w:szCs w:val="24"/>
        </w:rPr>
        <w:t>in opposition to a</w:t>
      </w:r>
      <w:r w:rsidRPr="0016743F" w:rsidR="00A77433">
        <w:rPr>
          <w:color w:val="000000"/>
          <w:szCs w:val="24"/>
        </w:rPr>
        <w:t xml:space="preserve">nother </w:t>
      </w:r>
      <w:r w:rsidRPr="0016743F" w:rsidR="00E72943">
        <w:rPr>
          <w:color w:val="000000"/>
          <w:szCs w:val="24"/>
        </w:rPr>
        <w:t>stipulat</w:t>
      </w:r>
      <w:r w:rsidRPr="0016743F" w:rsidR="005433D7">
        <w:rPr>
          <w:color w:val="000000"/>
          <w:szCs w:val="24"/>
        </w:rPr>
        <w:t>ed rate increase</w:t>
      </w:r>
      <w:r w:rsidRPr="0016743F" w:rsidR="00993758">
        <w:rPr>
          <w:color w:val="000000"/>
          <w:szCs w:val="24"/>
        </w:rPr>
        <w:t xml:space="preserve"> that parties similar to this case’s supported</w:t>
      </w:r>
      <w:r w:rsidRPr="0016743F" w:rsidR="00042739">
        <w:rPr>
          <w:color w:val="000000"/>
          <w:szCs w:val="24"/>
        </w:rPr>
        <w:t>.</w:t>
      </w:r>
      <w:r>
        <w:rPr>
          <w:rStyle w:val="FootnoteReference"/>
          <w:color w:val="000000"/>
          <w:szCs w:val="24"/>
        </w:rPr>
        <w:footnoteReference w:id="20"/>
      </w:r>
      <w:r w:rsidRPr="0016743F" w:rsidR="00042739">
        <w:rPr>
          <w:color w:val="000000"/>
          <w:szCs w:val="24"/>
        </w:rPr>
        <w:t xml:space="preserve"> </w:t>
      </w:r>
      <w:r w:rsidRPr="0016743F" w:rsidR="004B3D74">
        <w:rPr>
          <w:color w:val="000000"/>
          <w:szCs w:val="24"/>
        </w:rPr>
        <w:t>As in the present case, these</w:t>
      </w:r>
      <w:r w:rsidRPr="0016743F" w:rsidR="00042739">
        <w:rPr>
          <w:color w:val="000000"/>
          <w:szCs w:val="24"/>
        </w:rPr>
        <w:t xml:space="preserve"> parties included utilities, retail suppliers, PUCO Staff, </w:t>
      </w:r>
      <w:r w:rsidRPr="0016743F" w:rsidR="00AA5426">
        <w:rPr>
          <w:color w:val="000000"/>
          <w:szCs w:val="24"/>
        </w:rPr>
        <w:t xml:space="preserve">as well as </w:t>
      </w:r>
      <w:r w:rsidRPr="0016743F" w:rsidR="00042739">
        <w:rPr>
          <w:color w:val="000000"/>
          <w:szCs w:val="24"/>
        </w:rPr>
        <w:t>commercial and industrial customers</w:t>
      </w:r>
      <w:r w:rsidRPr="0016743F" w:rsidR="004B3D74">
        <w:rPr>
          <w:color w:val="000000"/>
          <w:szCs w:val="24"/>
        </w:rPr>
        <w:t xml:space="preserve">, </w:t>
      </w:r>
      <w:r w:rsidRPr="0016743F" w:rsidR="004B3D74">
        <w:rPr>
          <w:i/>
          <w:iCs/>
          <w:color w:val="000000"/>
          <w:szCs w:val="24"/>
        </w:rPr>
        <w:t>including</w:t>
      </w:r>
      <w:r w:rsidRPr="0016743F" w:rsidR="004B3D74">
        <w:rPr>
          <w:color w:val="000000"/>
          <w:szCs w:val="24"/>
        </w:rPr>
        <w:t xml:space="preserve"> </w:t>
      </w:r>
      <w:r w:rsidRPr="0016743F" w:rsidR="00AA5426">
        <w:rPr>
          <w:i/>
          <w:iCs/>
          <w:color w:val="000000"/>
          <w:szCs w:val="24"/>
        </w:rPr>
        <w:t xml:space="preserve">the </w:t>
      </w:r>
      <w:r w:rsidRPr="0016743F" w:rsidR="004B3D74">
        <w:rPr>
          <w:i/>
          <w:iCs/>
          <w:color w:val="000000"/>
          <w:szCs w:val="24"/>
        </w:rPr>
        <w:t>J</w:t>
      </w:r>
      <w:r w:rsidRPr="0016743F" w:rsidR="00AA5426">
        <w:rPr>
          <w:i/>
          <w:iCs/>
          <w:color w:val="000000"/>
          <w:szCs w:val="24"/>
        </w:rPr>
        <w:t xml:space="preserve">oint </w:t>
      </w:r>
      <w:r w:rsidRPr="0016743F" w:rsidR="004B3D74">
        <w:rPr>
          <w:i/>
          <w:iCs/>
          <w:color w:val="000000"/>
          <w:szCs w:val="24"/>
        </w:rPr>
        <w:t>M</w:t>
      </w:r>
      <w:r w:rsidRPr="0016743F" w:rsidR="00AA5426">
        <w:rPr>
          <w:i/>
          <w:iCs/>
          <w:color w:val="000000"/>
          <w:szCs w:val="24"/>
        </w:rPr>
        <w:t>ovants</w:t>
      </w:r>
      <w:r w:rsidRPr="0016743F" w:rsidR="00E72943">
        <w:rPr>
          <w:i/>
          <w:iCs/>
          <w:color w:val="000000"/>
          <w:szCs w:val="24"/>
        </w:rPr>
        <w:t xml:space="preserve"> – OMA and </w:t>
      </w:r>
      <w:r w:rsidR="004D308F">
        <w:rPr>
          <w:i/>
          <w:iCs/>
          <w:color w:val="000000"/>
          <w:szCs w:val="24"/>
        </w:rPr>
        <w:t>t</w:t>
      </w:r>
      <w:r w:rsidRPr="0016743F" w:rsidR="00E72943">
        <w:rPr>
          <w:i/>
          <w:iCs/>
          <w:color w:val="000000"/>
          <w:szCs w:val="24"/>
        </w:rPr>
        <w:t>he Kroger Co</w:t>
      </w:r>
      <w:r w:rsidRPr="0016743F" w:rsidR="00AA5426">
        <w:rPr>
          <w:color w:val="000000"/>
          <w:szCs w:val="24"/>
        </w:rPr>
        <w:t>.</w:t>
      </w:r>
      <w:r>
        <w:rPr>
          <w:rStyle w:val="FootnoteReference"/>
          <w:color w:val="000000"/>
          <w:szCs w:val="24"/>
        </w:rPr>
        <w:footnoteReference w:id="21"/>
      </w:r>
      <w:r w:rsidRPr="0016743F" w:rsidR="00AA5426">
        <w:rPr>
          <w:color w:val="000000"/>
          <w:szCs w:val="24"/>
        </w:rPr>
        <w:t xml:space="preserve"> </w:t>
      </w:r>
      <w:r w:rsidRPr="0016743F" w:rsidR="00993758">
        <w:rPr>
          <w:color w:val="000000"/>
          <w:szCs w:val="24"/>
        </w:rPr>
        <w:t>Further, a</w:t>
      </w:r>
      <w:r w:rsidRPr="0016743F" w:rsidR="004B3D74">
        <w:rPr>
          <w:color w:val="000000"/>
          <w:szCs w:val="24"/>
        </w:rPr>
        <w:t xml:space="preserve">t hearing, both </w:t>
      </w:r>
      <w:r w:rsidRPr="0016743F" w:rsidR="00576D0C">
        <w:rPr>
          <w:color w:val="000000"/>
          <w:szCs w:val="24"/>
        </w:rPr>
        <w:t xml:space="preserve">OMA and </w:t>
      </w:r>
      <w:r w:rsidR="004D308F">
        <w:rPr>
          <w:color w:val="000000"/>
          <w:szCs w:val="24"/>
        </w:rPr>
        <w:t>t</w:t>
      </w:r>
      <w:r w:rsidRPr="0016743F" w:rsidR="00576D0C">
        <w:rPr>
          <w:color w:val="000000"/>
          <w:szCs w:val="24"/>
        </w:rPr>
        <w:t>he Kroger Co.</w:t>
      </w:r>
      <w:r w:rsidRPr="0016743F" w:rsidR="004B3D74">
        <w:rPr>
          <w:color w:val="000000"/>
          <w:szCs w:val="24"/>
        </w:rPr>
        <w:t xml:space="preserve"> cross examined Dr. Hill extensively on the topic of redistributive coalitions.</w:t>
      </w:r>
      <w:r>
        <w:rPr>
          <w:rStyle w:val="FootnoteReference"/>
          <w:color w:val="000000"/>
          <w:szCs w:val="24"/>
        </w:rPr>
        <w:footnoteReference w:id="22"/>
      </w:r>
      <w:r w:rsidRPr="0016743F" w:rsidR="00C52C3B">
        <w:rPr>
          <w:color w:val="000000"/>
          <w:szCs w:val="24"/>
        </w:rPr>
        <w:t xml:space="preserve"> </w:t>
      </w:r>
      <w:r w:rsidRPr="0016743F" w:rsidR="00AA5426">
        <w:rPr>
          <w:color w:val="000000"/>
          <w:szCs w:val="24"/>
        </w:rPr>
        <w:t>Since</w:t>
      </w:r>
      <w:r w:rsidRPr="0016743F" w:rsidR="00DA52F2">
        <w:rPr>
          <w:color w:val="000000"/>
          <w:szCs w:val="24"/>
        </w:rPr>
        <w:t xml:space="preserve"> </w:t>
      </w:r>
      <w:r w:rsidRPr="0016743F" w:rsidR="004B3D74">
        <w:rPr>
          <w:color w:val="000000"/>
          <w:szCs w:val="24"/>
        </w:rPr>
        <w:t xml:space="preserve">the parties </w:t>
      </w:r>
      <w:r w:rsidRPr="0016743F" w:rsidR="00993758">
        <w:rPr>
          <w:color w:val="000000"/>
          <w:szCs w:val="24"/>
        </w:rPr>
        <w:t xml:space="preserve">seeking </w:t>
      </w:r>
      <w:r w:rsidRPr="0016743F" w:rsidR="004B3D74">
        <w:rPr>
          <w:color w:val="000000"/>
          <w:szCs w:val="24"/>
        </w:rPr>
        <w:t xml:space="preserve">to </w:t>
      </w:r>
      <w:r w:rsidRPr="0016743F" w:rsidR="00993758">
        <w:rPr>
          <w:color w:val="000000"/>
          <w:szCs w:val="24"/>
        </w:rPr>
        <w:t>strike</w:t>
      </w:r>
      <w:r w:rsidRPr="0016743F" w:rsidR="004B3D74">
        <w:rPr>
          <w:color w:val="000000"/>
          <w:szCs w:val="24"/>
        </w:rPr>
        <w:t xml:space="preserve"> Dr. Hill’s testimony </w:t>
      </w:r>
      <w:r w:rsidRPr="0016743F" w:rsidR="00993758">
        <w:rPr>
          <w:color w:val="000000"/>
          <w:szCs w:val="24"/>
        </w:rPr>
        <w:t xml:space="preserve">about </w:t>
      </w:r>
      <w:r w:rsidRPr="0016743F" w:rsidR="00A77433">
        <w:rPr>
          <w:color w:val="000000"/>
          <w:szCs w:val="24"/>
        </w:rPr>
        <w:t xml:space="preserve">redistributive coalitions </w:t>
      </w:r>
      <w:r w:rsidRPr="0016743F" w:rsidR="004B3D74">
        <w:rPr>
          <w:color w:val="000000"/>
          <w:szCs w:val="24"/>
        </w:rPr>
        <w:t>already cross examined</w:t>
      </w:r>
      <w:r w:rsidRPr="0016743F" w:rsidR="00DA52F2">
        <w:rPr>
          <w:color w:val="000000"/>
          <w:szCs w:val="24"/>
        </w:rPr>
        <w:t xml:space="preserve"> </w:t>
      </w:r>
      <w:r w:rsidRPr="0016743F" w:rsidR="00993758">
        <w:rPr>
          <w:color w:val="000000"/>
          <w:szCs w:val="24"/>
        </w:rPr>
        <w:t>him on it in a prior case</w:t>
      </w:r>
      <w:r w:rsidRPr="0016743F" w:rsidR="00DA52F2">
        <w:rPr>
          <w:color w:val="000000"/>
          <w:szCs w:val="24"/>
        </w:rPr>
        <w:t>, it is</w:t>
      </w:r>
      <w:r w:rsidRPr="0016743F" w:rsidR="00993758">
        <w:rPr>
          <w:color w:val="000000"/>
          <w:szCs w:val="24"/>
        </w:rPr>
        <w:t xml:space="preserve"> </w:t>
      </w:r>
      <w:r w:rsidRPr="0016743F" w:rsidR="00A77433">
        <w:rPr>
          <w:color w:val="000000"/>
          <w:szCs w:val="24"/>
        </w:rPr>
        <w:t xml:space="preserve">uniquely </w:t>
      </w:r>
      <w:r w:rsidRPr="0016743F" w:rsidR="00DA52F2">
        <w:rPr>
          <w:color w:val="000000"/>
          <w:szCs w:val="24"/>
        </w:rPr>
        <w:t>reliable</w:t>
      </w:r>
      <w:bookmarkEnd w:id="0"/>
      <w:r w:rsidRPr="0016743F">
        <w:rPr>
          <w:color w:val="000000"/>
          <w:szCs w:val="24"/>
        </w:rPr>
        <w:t>.</w:t>
      </w:r>
      <w:r w:rsidRPr="0016743F" w:rsidR="00576D0C">
        <w:rPr>
          <w:color w:val="000000"/>
          <w:szCs w:val="24"/>
        </w:rPr>
        <w:t xml:space="preserve"> The PUCO should not exclude the testimony or OCC’s arguments</w:t>
      </w:r>
      <w:r w:rsidRPr="0016743F" w:rsidR="001E3A31">
        <w:rPr>
          <w:color w:val="000000"/>
          <w:szCs w:val="24"/>
        </w:rPr>
        <w:t xml:space="preserve"> on the basis of the hearsay rules</w:t>
      </w:r>
      <w:r w:rsidRPr="0016743F" w:rsidR="00576D0C">
        <w:rPr>
          <w:color w:val="000000"/>
          <w:szCs w:val="24"/>
        </w:rPr>
        <w:t>.</w:t>
      </w:r>
    </w:p>
    <w:p w:rsidR="00BB7084" w:rsidRPr="00DA1455" w:rsidP="00DA1455" w14:paraId="2A2331E4" w14:textId="3275DA64">
      <w:pPr>
        <w:pStyle w:val="Heading2"/>
      </w:pPr>
      <w:r>
        <w:t>C.</w:t>
      </w:r>
      <w:r>
        <w:tab/>
      </w:r>
      <w:r w:rsidRPr="0016743F">
        <w:t>The motion to strike improperly seeks to strike OCC’s arguments based on the record evidence in this case</w:t>
      </w:r>
      <w:r w:rsidR="00077949">
        <w:t>, and from PUCO Orders</w:t>
      </w:r>
      <w:r w:rsidRPr="0016743F">
        <w:t>.</w:t>
      </w:r>
    </w:p>
    <w:p w:rsidR="00BB7084" w:rsidP="006565B5" w14:paraId="543AA34A" w14:textId="68F77C74">
      <w:pPr>
        <w:spacing w:line="480" w:lineRule="auto"/>
        <w:ind w:firstLine="720"/>
        <w:contextualSpacing/>
        <w:rPr>
          <w:i/>
          <w:iCs/>
          <w:szCs w:val="24"/>
        </w:rPr>
      </w:pPr>
      <w:r w:rsidRPr="0016743F">
        <w:rPr>
          <w:szCs w:val="24"/>
        </w:rPr>
        <w:t xml:space="preserve">Joint Movants’ motion to strike should also be denied because it is overbroad and seeks to strike OCC’s arguments based on evidence in this record. For example, Joint Movants seek to strike OCC’s arguments at pages 10-11 regarding the narrow interests of </w:t>
      </w:r>
      <w:r w:rsidRPr="0016743F">
        <w:rPr>
          <w:szCs w:val="24"/>
        </w:rPr>
        <w:t>the City of Cincinnati</w:t>
      </w:r>
      <w:r w:rsidRPr="0016743F" w:rsidR="00986103">
        <w:rPr>
          <w:szCs w:val="24"/>
        </w:rPr>
        <w:t>. Joint Movants also seek to strike similar arguments at pages 29-30 regarding the City of Cincinnati,</w:t>
      </w:r>
      <w:r w:rsidRPr="0016743F">
        <w:rPr>
          <w:szCs w:val="24"/>
        </w:rPr>
        <w:t xml:space="preserve"> People Working Cooperatively, and Ohio Partners for Affordable Energy. </w:t>
      </w:r>
      <w:r w:rsidRPr="0016743F" w:rsidR="00986103">
        <w:rPr>
          <w:szCs w:val="24"/>
        </w:rPr>
        <w:t>But OCC’s arguments</w:t>
      </w:r>
      <w:r w:rsidRPr="0016743F">
        <w:rPr>
          <w:szCs w:val="24"/>
        </w:rPr>
        <w:t xml:space="preserve"> </w:t>
      </w:r>
      <w:r w:rsidRPr="0016743F" w:rsidR="00986103">
        <w:rPr>
          <w:szCs w:val="24"/>
        </w:rPr>
        <w:t>are</w:t>
      </w:r>
      <w:r w:rsidRPr="0016743F">
        <w:rPr>
          <w:szCs w:val="24"/>
        </w:rPr>
        <w:t xml:space="preserve"> supported by OCC witness Williams </w:t>
      </w:r>
      <w:r w:rsidRPr="0016743F">
        <w:rPr>
          <w:i/>
          <w:iCs/>
          <w:szCs w:val="24"/>
        </w:rPr>
        <w:t>in this case</w:t>
      </w:r>
      <w:r w:rsidRPr="0016743F" w:rsidR="00986103">
        <w:rPr>
          <w:szCs w:val="24"/>
        </w:rPr>
        <w:t>,</w:t>
      </w:r>
      <w:r>
        <w:rPr>
          <w:rStyle w:val="FootnoteReference"/>
          <w:szCs w:val="24"/>
        </w:rPr>
        <w:footnoteReference w:id="23"/>
      </w:r>
      <w:r w:rsidRPr="0016743F" w:rsidR="00986103">
        <w:rPr>
          <w:szCs w:val="24"/>
        </w:rPr>
        <w:t xml:space="preserve"> independent from Dr. Hill’s testimony in prior matters. Accordingly, the PUCO should deny the motion to strike.</w:t>
      </w:r>
      <w:r w:rsidRPr="0016743F" w:rsidR="00986103">
        <w:rPr>
          <w:i/>
          <w:iCs/>
          <w:szCs w:val="24"/>
        </w:rPr>
        <w:t xml:space="preserve"> </w:t>
      </w:r>
      <w:r w:rsidRPr="007233EA" w:rsidR="007233EA">
        <w:rPr>
          <w:szCs w:val="24"/>
        </w:rPr>
        <w:t>Fina</w:t>
      </w:r>
      <w:r w:rsidR="007233EA">
        <w:rPr>
          <w:szCs w:val="24"/>
        </w:rPr>
        <w:t>lly, OCC’s references to Dr. Hill’s testimony come from the PUCO’s own orders. OCC may properly rely on the PUCO’s discussions of Dr. Hill’s testimony in those Orders.</w:t>
      </w:r>
    </w:p>
    <w:p w:rsidR="000F5B7F" w:rsidRPr="0016743F" w:rsidP="000F5B7F" w14:paraId="523881B9" w14:textId="77777777">
      <w:pPr>
        <w:ind w:firstLine="720"/>
        <w:contextualSpacing/>
        <w:rPr>
          <w:color w:val="000000"/>
          <w:szCs w:val="24"/>
        </w:rPr>
      </w:pPr>
    </w:p>
    <w:p w:rsidR="00964DA7" w:rsidRPr="0016743F" w:rsidP="00BB7084" w14:paraId="7CD5D28D" w14:textId="77777777">
      <w:pPr>
        <w:pStyle w:val="Heading1"/>
        <w:rPr>
          <w:rFonts w:ascii="Times New Roman" w:hAnsi="Times New Roman"/>
        </w:rPr>
      </w:pPr>
      <w:bookmarkStart w:id="1" w:name="_Toc104905072"/>
      <w:r w:rsidRPr="0016743F">
        <w:rPr>
          <w:rFonts w:ascii="Times New Roman" w:hAnsi="Times New Roman"/>
        </w:rPr>
        <w:t>III.</w:t>
      </w:r>
      <w:r w:rsidRPr="0016743F">
        <w:rPr>
          <w:rFonts w:ascii="Times New Roman" w:hAnsi="Times New Roman"/>
        </w:rPr>
        <w:tab/>
        <w:t>CONCLUSION</w:t>
      </w:r>
      <w:bookmarkEnd w:id="1"/>
    </w:p>
    <w:p w:rsidR="00D73BC8" w:rsidRPr="000F5B7F" w:rsidP="000F5B7F" w14:paraId="0302333D" w14:textId="5CD577FD">
      <w:pPr>
        <w:pStyle w:val="BodyTextIndent3"/>
        <w:widowControl w:val="0"/>
        <w:spacing w:line="480" w:lineRule="auto"/>
        <w:ind w:right="24"/>
        <w:rPr>
          <w:color w:val="000000" w:themeColor="text1"/>
          <w:szCs w:val="24"/>
        </w:rPr>
      </w:pPr>
      <w:r w:rsidRPr="0016743F">
        <w:rPr>
          <w:color w:val="000000" w:themeColor="text1"/>
          <w:szCs w:val="24"/>
        </w:rPr>
        <w:t>To determine whether the stipulation meets its three-prong standard for approval,</w:t>
      </w:r>
      <w:r w:rsidRPr="0016743F" w:rsidR="007F69A1">
        <w:rPr>
          <w:color w:val="000000" w:themeColor="text1"/>
          <w:szCs w:val="24"/>
        </w:rPr>
        <w:t xml:space="preserve"> the PUCO must </w:t>
      </w:r>
      <w:r w:rsidRPr="0016743F">
        <w:rPr>
          <w:color w:val="000000" w:themeColor="text1"/>
          <w:szCs w:val="24"/>
        </w:rPr>
        <w:t xml:space="preserve">consider a </w:t>
      </w:r>
      <w:r w:rsidRPr="0016743F" w:rsidR="007F69A1">
        <w:rPr>
          <w:color w:val="000000" w:themeColor="text1"/>
          <w:szCs w:val="24"/>
        </w:rPr>
        <w:t xml:space="preserve">full and accurate record </w:t>
      </w:r>
      <w:r w:rsidRPr="0016743F">
        <w:rPr>
          <w:color w:val="000000" w:themeColor="text1"/>
          <w:szCs w:val="24"/>
        </w:rPr>
        <w:t xml:space="preserve">that reflects </w:t>
      </w:r>
      <w:r w:rsidRPr="0016743F" w:rsidR="007F69A1">
        <w:rPr>
          <w:color w:val="000000" w:themeColor="text1"/>
          <w:szCs w:val="24"/>
        </w:rPr>
        <w:t>perspectives of all stakeholders</w:t>
      </w:r>
      <w:r w:rsidRPr="0016743F" w:rsidR="00FE7946">
        <w:rPr>
          <w:color w:val="000000" w:themeColor="text1"/>
          <w:szCs w:val="24"/>
        </w:rPr>
        <w:t>, including residential consumers</w:t>
      </w:r>
      <w:r w:rsidRPr="0016743F" w:rsidR="007F69A1">
        <w:rPr>
          <w:color w:val="000000" w:themeColor="text1"/>
          <w:szCs w:val="24"/>
        </w:rPr>
        <w:t xml:space="preserve">. Striking OCC’s arguments and excluding </w:t>
      </w:r>
      <w:r w:rsidRPr="0016743F" w:rsidR="00FE7946">
        <w:rPr>
          <w:color w:val="000000" w:themeColor="text1"/>
          <w:szCs w:val="24"/>
        </w:rPr>
        <w:t>Dr. Hill’s testimony</w:t>
      </w:r>
      <w:r w:rsidRPr="0016743F" w:rsidR="007F69A1">
        <w:rPr>
          <w:color w:val="000000" w:themeColor="text1"/>
          <w:szCs w:val="24"/>
        </w:rPr>
        <w:t xml:space="preserve"> from consideration would</w:t>
      </w:r>
      <w:r w:rsidRPr="0016743F" w:rsidR="00A77433">
        <w:rPr>
          <w:color w:val="000000" w:themeColor="text1"/>
          <w:szCs w:val="24"/>
        </w:rPr>
        <w:t xml:space="preserve"> be unfairly prejudicial to consumers</w:t>
      </w:r>
      <w:r w:rsidRPr="0016743F" w:rsidR="007F69A1">
        <w:rPr>
          <w:color w:val="000000" w:themeColor="text1"/>
          <w:szCs w:val="24"/>
        </w:rPr>
        <w:t>.</w:t>
      </w:r>
      <w:r w:rsidRPr="0016743F" w:rsidR="00556272">
        <w:rPr>
          <w:color w:val="000000" w:themeColor="text1"/>
          <w:szCs w:val="24"/>
        </w:rPr>
        <w:t xml:space="preserve"> </w:t>
      </w:r>
      <w:r w:rsidRPr="0016743F" w:rsidR="00FE7946">
        <w:rPr>
          <w:color w:val="000000" w:themeColor="text1"/>
          <w:szCs w:val="24"/>
        </w:rPr>
        <w:t xml:space="preserve">The </w:t>
      </w:r>
      <w:r w:rsidRPr="0016743F" w:rsidR="00556272">
        <w:rPr>
          <w:color w:val="000000" w:themeColor="text1"/>
          <w:szCs w:val="24"/>
        </w:rPr>
        <w:t>PUCO</w:t>
      </w:r>
      <w:r w:rsidRPr="0016743F" w:rsidR="00FE7946">
        <w:rPr>
          <w:color w:val="000000" w:themeColor="text1"/>
          <w:szCs w:val="24"/>
        </w:rPr>
        <w:t xml:space="preserve"> should</w:t>
      </w:r>
      <w:r w:rsidRPr="0016743F" w:rsidR="00556272">
        <w:rPr>
          <w:color w:val="000000" w:themeColor="text1"/>
          <w:szCs w:val="24"/>
        </w:rPr>
        <w:t xml:space="preserve"> deny the Joint</w:t>
      </w:r>
      <w:r w:rsidRPr="0016743F" w:rsidR="001E3A31">
        <w:rPr>
          <w:color w:val="000000" w:themeColor="text1"/>
          <w:szCs w:val="24"/>
        </w:rPr>
        <w:t xml:space="preserve"> Movants’</w:t>
      </w:r>
      <w:r w:rsidRPr="0016743F" w:rsidR="00556272">
        <w:rPr>
          <w:color w:val="000000" w:themeColor="text1"/>
          <w:szCs w:val="24"/>
        </w:rPr>
        <w:t xml:space="preserve"> Motion to Strik</w:t>
      </w:r>
      <w:r w:rsidRPr="0016743F" w:rsidR="00FE7946">
        <w:rPr>
          <w:color w:val="000000" w:themeColor="text1"/>
          <w:szCs w:val="24"/>
        </w:rPr>
        <w:t>e</w:t>
      </w:r>
      <w:r w:rsidRPr="0016743F" w:rsidR="00556272">
        <w:rPr>
          <w:color w:val="000000" w:themeColor="text1"/>
          <w:szCs w:val="24"/>
        </w:rPr>
        <w:t xml:space="preserve">. </w:t>
      </w:r>
    </w:p>
    <w:p w:rsidR="000F5B7F" w14:paraId="4B3E3AB5" w14:textId="77777777">
      <w:pPr>
        <w:rPr>
          <w:szCs w:val="24"/>
        </w:rPr>
      </w:pPr>
      <w:r>
        <w:rPr>
          <w:szCs w:val="24"/>
        </w:rPr>
        <w:br w:type="page"/>
      </w:r>
    </w:p>
    <w:p w:rsidR="00535C4D" w:rsidRPr="0016743F" w:rsidP="00535C4D" w14:paraId="6FCACC66" w14:textId="04690054">
      <w:pPr>
        <w:tabs>
          <w:tab w:val="left" w:pos="8730"/>
        </w:tabs>
        <w:ind w:left="4320"/>
        <w:rPr>
          <w:szCs w:val="24"/>
        </w:rPr>
      </w:pPr>
      <w:r w:rsidRPr="0016743F">
        <w:rPr>
          <w:szCs w:val="24"/>
        </w:rPr>
        <w:t>Respectfully submitted,</w:t>
      </w:r>
    </w:p>
    <w:p w:rsidR="00535C4D" w:rsidRPr="0016743F" w:rsidP="00535C4D" w14:paraId="52104842" w14:textId="77777777">
      <w:pPr>
        <w:tabs>
          <w:tab w:val="left" w:pos="8730"/>
        </w:tabs>
        <w:ind w:left="4320"/>
        <w:rPr>
          <w:szCs w:val="24"/>
        </w:rPr>
      </w:pPr>
    </w:p>
    <w:p w:rsidR="00535C4D" w:rsidRPr="0016743F" w:rsidP="00535C4D" w14:paraId="55B0F8B2" w14:textId="77777777">
      <w:pPr>
        <w:tabs>
          <w:tab w:val="left" w:pos="8730"/>
        </w:tabs>
        <w:ind w:left="4320"/>
        <w:rPr>
          <w:szCs w:val="24"/>
        </w:rPr>
      </w:pPr>
      <w:r w:rsidRPr="0016743F">
        <w:rPr>
          <w:szCs w:val="24"/>
        </w:rPr>
        <w:t xml:space="preserve">Bruce Weston (0016973) </w:t>
      </w:r>
    </w:p>
    <w:p w:rsidR="00535C4D" w:rsidRPr="0016743F" w:rsidP="00535C4D" w14:paraId="0141B403" w14:textId="77777777">
      <w:pPr>
        <w:tabs>
          <w:tab w:val="left" w:pos="8730"/>
        </w:tabs>
        <w:ind w:left="4320"/>
        <w:rPr>
          <w:szCs w:val="24"/>
        </w:rPr>
      </w:pPr>
      <w:r w:rsidRPr="0016743F">
        <w:rPr>
          <w:szCs w:val="24"/>
        </w:rPr>
        <w:t>Ohio Consumers’ Counsel</w:t>
      </w:r>
    </w:p>
    <w:p w:rsidR="00535C4D" w:rsidRPr="0016743F" w:rsidP="00535C4D" w14:paraId="50A3876B" w14:textId="77777777">
      <w:pPr>
        <w:tabs>
          <w:tab w:val="left" w:pos="8730"/>
        </w:tabs>
        <w:ind w:left="4320"/>
        <w:rPr>
          <w:szCs w:val="24"/>
        </w:rPr>
      </w:pPr>
    </w:p>
    <w:p w:rsidR="00535C4D" w:rsidRPr="0016743F" w:rsidP="00535C4D" w14:paraId="2C8EF3C8" w14:textId="2429F29D">
      <w:pPr>
        <w:tabs>
          <w:tab w:val="left" w:pos="8730"/>
        </w:tabs>
        <w:ind w:left="4320"/>
        <w:rPr>
          <w:szCs w:val="24"/>
        </w:rPr>
      </w:pPr>
      <w:r w:rsidRPr="0016743F">
        <w:rPr>
          <w:i/>
          <w:szCs w:val="24"/>
          <w:u w:val="single"/>
        </w:rPr>
        <w:t xml:space="preserve">/s/ </w:t>
      </w:r>
      <w:r w:rsidRPr="0016743F" w:rsidR="002C40FF">
        <w:rPr>
          <w:i/>
          <w:szCs w:val="24"/>
          <w:u w:val="single"/>
        </w:rPr>
        <w:t>Angela D. O’Brien</w:t>
      </w:r>
      <w:r w:rsidRPr="0016743F">
        <w:rPr>
          <w:i/>
          <w:szCs w:val="24"/>
        </w:rPr>
        <w:br/>
      </w:r>
      <w:r w:rsidRPr="0016743F" w:rsidR="002C40FF">
        <w:rPr>
          <w:szCs w:val="24"/>
        </w:rPr>
        <w:t>Angela D. O’Brien (0097579)</w:t>
      </w:r>
      <w:r w:rsidRPr="0016743F">
        <w:rPr>
          <w:szCs w:val="24"/>
        </w:rPr>
        <w:t xml:space="preserve"> </w:t>
      </w:r>
      <w:r w:rsidRPr="0016743F">
        <w:rPr>
          <w:szCs w:val="24"/>
        </w:rPr>
        <w:br/>
        <w:t>Counsel of Record</w:t>
      </w:r>
    </w:p>
    <w:p w:rsidR="002C40FF" w:rsidRPr="0016743F" w:rsidP="00535C4D" w14:paraId="7A394D30" w14:textId="77777777">
      <w:pPr>
        <w:tabs>
          <w:tab w:val="left" w:pos="8730"/>
        </w:tabs>
        <w:ind w:left="4320"/>
        <w:rPr>
          <w:szCs w:val="24"/>
        </w:rPr>
      </w:pPr>
      <w:r w:rsidRPr="0016743F">
        <w:rPr>
          <w:szCs w:val="24"/>
        </w:rPr>
        <w:t>Ambrosia E. Wilson (0096598)</w:t>
      </w:r>
    </w:p>
    <w:p w:rsidR="002C40FF" w:rsidRPr="0016743F" w:rsidP="00535C4D" w14:paraId="18BF4C7A" w14:textId="77777777">
      <w:pPr>
        <w:tabs>
          <w:tab w:val="left" w:pos="8730"/>
        </w:tabs>
        <w:ind w:left="4320"/>
        <w:rPr>
          <w:szCs w:val="24"/>
        </w:rPr>
      </w:pPr>
      <w:r w:rsidRPr="0016743F">
        <w:rPr>
          <w:szCs w:val="24"/>
        </w:rPr>
        <w:t>John Finnigan (0018689)</w:t>
      </w:r>
    </w:p>
    <w:p w:rsidR="00535C4D" w:rsidRPr="0016743F" w:rsidP="00535C4D" w14:paraId="032B11C8" w14:textId="253F8212">
      <w:pPr>
        <w:tabs>
          <w:tab w:val="left" w:pos="8730"/>
        </w:tabs>
        <w:ind w:left="4320"/>
        <w:rPr>
          <w:szCs w:val="24"/>
        </w:rPr>
      </w:pPr>
      <w:r w:rsidRPr="0016743F">
        <w:rPr>
          <w:szCs w:val="24"/>
        </w:rPr>
        <w:t>Connor D. Semple (0101102)</w:t>
      </w:r>
      <w:r w:rsidRPr="0016743F" w:rsidR="001D52FC">
        <w:rPr>
          <w:szCs w:val="24"/>
        </w:rPr>
        <w:br/>
        <w:t>Assistant Consumers’ Counsel</w:t>
      </w:r>
    </w:p>
    <w:p w:rsidR="00535C4D" w:rsidRPr="0016743F" w:rsidP="00535C4D" w14:paraId="2655DC22" w14:textId="77777777">
      <w:pPr>
        <w:tabs>
          <w:tab w:val="left" w:pos="8730"/>
        </w:tabs>
        <w:ind w:left="4320"/>
        <w:rPr>
          <w:szCs w:val="24"/>
        </w:rPr>
      </w:pPr>
    </w:p>
    <w:p w:rsidR="00535C4D" w:rsidRPr="0016743F" w:rsidP="00535C4D" w14:paraId="46EAB9DA" w14:textId="77777777">
      <w:pPr>
        <w:tabs>
          <w:tab w:val="left" w:pos="8730"/>
        </w:tabs>
        <w:ind w:left="4320"/>
        <w:rPr>
          <w:b/>
          <w:bCs/>
          <w:szCs w:val="24"/>
        </w:rPr>
      </w:pPr>
      <w:r w:rsidRPr="0016743F">
        <w:rPr>
          <w:b/>
          <w:bCs/>
          <w:szCs w:val="24"/>
        </w:rPr>
        <w:t>Office of the Ohio Consumers' Counsel</w:t>
      </w:r>
    </w:p>
    <w:p w:rsidR="00535C4D" w:rsidRPr="0016743F" w:rsidP="00535C4D" w14:paraId="35E8C533" w14:textId="77777777">
      <w:pPr>
        <w:tabs>
          <w:tab w:val="left" w:pos="8730"/>
        </w:tabs>
        <w:ind w:left="4320"/>
        <w:rPr>
          <w:szCs w:val="24"/>
        </w:rPr>
      </w:pPr>
      <w:r w:rsidRPr="0016743F">
        <w:rPr>
          <w:szCs w:val="24"/>
        </w:rPr>
        <w:t>65 East State Street, Suite 700</w:t>
      </w:r>
    </w:p>
    <w:p w:rsidR="00535C4D" w:rsidRPr="0016743F" w:rsidP="00535C4D" w14:paraId="3DE209AC" w14:textId="77777777">
      <w:pPr>
        <w:tabs>
          <w:tab w:val="left" w:pos="8730"/>
        </w:tabs>
        <w:ind w:left="4320"/>
        <w:rPr>
          <w:szCs w:val="24"/>
        </w:rPr>
      </w:pPr>
      <w:r w:rsidRPr="0016743F">
        <w:rPr>
          <w:szCs w:val="24"/>
        </w:rPr>
        <w:t>Columbus, Ohio 43215</w:t>
      </w:r>
    </w:p>
    <w:p w:rsidR="001D52FC" w:rsidRPr="0016743F" w:rsidP="00535C4D" w14:paraId="1C34EF87" w14:textId="6C03DAB1">
      <w:pPr>
        <w:tabs>
          <w:tab w:val="left" w:pos="8730"/>
        </w:tabs>
        <w:ind w:left="4320"/>
        <w:rPr>
          <w:szCs w:val="24"/>
        </w:rPr>
      </w:pPr>
      <w:r w:rsidRPr="0016743F">
        <w:rPr>
          <w:szCs w:val="24"/>
        </w:rPr>
        <w:t>Telephone: [O’Brien]: (614) 466-9531</w:t>
      </w:r>
    </w:p>
    <w:p w:rsidR="002C40FF" w:rsidRPr="0016743F" w:rsidP="00535C4D" w14:paraId="2D2B6EBD" w14:textId="40245293">
      <w:pPr>
        <w:tabs>
          <w:tab w:val="left" w:pos="8730"/>
        </w:tabs>
        <w:ind w:left="4320"/>
        <w:rPr>
          <w:szCs w:val="24"/>
        </w:rPr>
      </w:pPr>
      <w:r w:rsidRPr="0016743F">
        <w:rPr>
          <w:szCs w:val="24"/>
        </w:rPr>
        <w:t>Telephone: [Wilson]: (614) 466-1292</w:t>
      </w:r>
    </w:p>
    <w:p w:rsidR="002C40FF" w:rsidRPr="0016743F" w:rsidP="00535C4D" w14:paraId="42C4CD9C" w14:textId="381BE3B8">
      <w:pPr>
        <w:tabs>
          <w:tab w:val="left" w:pos="8730"/>
        </w:tabs>
        <w:ind w:left="4320"/>
        <w:rPr>
          <w:szCs w:val="24"/>
        </w:rPr>
      </w:pPr>
      <w:r w:rsidRPr="0016743F">
        <w:rPr>
          <w:szCs w:val="24"/>
        </w:rPr>
        <w:t>Telephone [Finnigan]: (614) 466-9585</w:t>
      </w:r>
    </w:p>
    <w:p w:rsidR="002C40FF" w:rsidRPr="0016743F" w:rsidP="00535C4D" w14:paraId="0A103FA6" w14:textId="7D7E165A">
      <w:pPr>
        <w:tabs>
          <w:tab w:val="left" w:pos="8730"/>
        </w:tabs>
        <w:ind w:left="4320"/>
        <w:rPr>
          <w:szCs w:val="24"/>
        </w:rPr>
      </w:pPr>
      <w:r w:rsidRPr="0016743F">
        <w:rPr>
          <w:szCs w:val="24"/>
        </w:rPr>
        <w:t>Telephone [Semple]: (614) 466-9565</w:t>
      </w:r>
    </w:p>
    <w:p w:rsidR="00535C4D" w:rsidRPr="0016743F" w:rsidP="00535C4D" w14:paraId="61E593FD" w14:textId="130914E6">
      <w:pPr>
        <w:tabs>
          <w:tab w:val="left" w:pos="8730"/>
        </w:tabs>
        <w:ind w:left="4320"/>
        <w:rPr>
          <w:color w:val="0000FF"/>
          <w:szCs w:val="24"/>
        </w:rPr>
      </w:pPr>
      <w:hyperlink r:id="rId6" w:history="1">
        <w:r w:rsidRPr="0016743F" w:rsidR="00232377">
          <w:rPr>
            <w:rStyle w:val="Hyperlink"/>
            <w:szCs w:val="24"/>
          </w:rPr>
          <w:t>william.michael@occ.ohio.gov</w:t>
        </w:r>
      </w:hyperlink>
      <w:r w:rsidRPr="0016743F" w:rsidR="00232377">
        <w:rPr>
          <w:color w:val="0000FF"/>
          <w:szCs w:val="24"/>
        </w:rPr>
        <w:t xml:space="preserve"> </w:t>
      </w:r>
    </w:p>
    <w:p w:rsidR="002C40FF" w:rsidRPr="0016743F" w:rsidP="002C40FF" w14:paraId="0EC4C894" w14:textId="77777777">
      <w:pPr>
        <w:tabs>
          <w:tab w:val="left" w:pos="8730"/>
        </w:tabs>
        <w:ind w:left="4320"/>
        <w:rPr>
          <w:color w:val="0000FF"/>
          <w:szCs w:val="24"/>
        </w:rPr>
      </w:pPr>
      <w:r w:rsidRPr="0016743F">
        <w:rPr>
          <w:rStyle w:val="Hyperlink"/>
          <w:szCs w:val="24"/>
        </w:rPr>
        <w:t>ambrosia.wilson@occ.ohio.gov</w:t>
      </w:r>
    </w:p>
    <w:p w:rsidR="002C40FF" w:rsidRPr="0016743F" w:rsidP="002C40FF" w14:paraId="5E7377B8" w14:textId="541FC308">
      <w:pPr>
        <w:tabs>
          <w:tab w:val="left" w:pos="8730"/>
        </w:tabs>
        <w:ind w:left="4320"/>
        <w:rPr>
          <w:color w:val="0000FF"/>
          <w:szCs w:val="24"/>
          <w:u w:val="single"/>
        </w:rPr>
      </w:pPr>
      <w:r w:rsidRPr="0016743F">
        <w:rPr>
          <w:rStyle w:val="Hyperlink"/>
          <w:szCs w:val="24"/>
        </w:rPr>
        <w:t>john.finnigan@occ.ohio.gov</w:t>
      </w:r>
    </w:p>
    <w:p w:rsidR="00232377" w:rsidRPr="0016743F" w:rsidP="00232377" w14:paraId="24BE4538" w14:textId="6AE9B7C0">
      <w:pPr>
        <w:tabs>
          <w:tab w:val="left" w:pos="8730"/>
        </w:tabs>
        <w:ind w:left="4320"/>
        <w:rPr>
          <w:rStyle w:val="Hyperlink"/>
          <w:szCs w:val="24"/>
        </w:rPr>
      </w:pPr>
      <w:hyperlink r:id="rId7" w:history="1">
        <w:r w:rsidRPr="0016743F">
          <w:rPr>
            <w:rStyle w:val="Hyperlink"/>
            <w:szCs w:val="24"/>
          </w:rPr>
          <w:t>connor.semple@occ.ohio.gov</w:t>
        </w:r>
      </w:hyperlink>
    </w:p>
    <w:p w:rsidR="00535C4D" w:rsidRPr="0016743F" w:rsidP="00232377" w14:paraId="3F6B2907" w14:textId="51D99F3A">
      <w:pPr>
        <w:tabs>
          <w:tab w:val="left" w:pos="8730"/>
        </w:tabs>
        <w:ind w:left="4320"/>
        <w:rPr>
          <w:color w:val="0000FF"/>
          <w:szCs w:val="24"/>
        </w:rPr>
      </w:pPr>
      <w:r w:rsidRPr="0016743F">
        <w:rPr>
          <w:szCs w:val="24"/>
        </w:rPr>
        <w:t>(willing to accept service by e-mail)</w:t>
      </w:r>
    </w:p>
    <w:p w:rsidR="00964DA7" w:rsidRPr="0016743F" w:rsidP="007744C6" w14:paraId="7C755A23" w14:textId="493C2FEA">
      <w:pPr>
        <w:jc w:val="center"/>
        <w:rPr>
          <w:b/>
          <w:bCs/>
          <w:szCs w:val="24"/>
          <w:u w:val="single"/>
        </w:rPr>
      </w:pPr>
      <w:r w:rsidRPr="0016743F">
        <w:rPr>
          <w:szCs w:val="24"/>
        </w:rPr>
        <w:br w:type="page"/>
      </w:r>
      <w:r w:rsidRPr="0016743F">
        <w:rPr>
          <w:b/>
          <w:bCs/>
          <w:szCs w:val="24"/>
          <w:u w:val="single"/>
        </w:rPr>
        <w:t>CERTIFICATE OF SERVICE</w:t>
      </w:r>
    </w:p>
    <w:p w:rsidR="007744C6" w:rsidRPr="0016743F" w:rsidP="007744C6" w14:paraId="7C69256F" w14:textId="77777777">
      <w:pPr>
        <w:rPr>
          <w:szCs w:val="24"/>
        </w:rPr>
      </w:pPr>
    </w:p>
    <w:p w:rsidR="007744C6" w:rsidRPr="0016743F" w:rsidP="00446E8B" w14:paraId="34F1B3F9" w14:textId="03D5A2E9">
      <w:pPr>
        <w:spacing w:line="480" w:lineRule="auto"/>
        <w:ind w:firstLine="720"/>
        <w:rPr>
          <w:szCs w:val="24"/>
        </w:rPr>
      </w:pPr>
      <w:r w:rsidRPr="0016743F">
        <w:rPr>
          <w:szCs w:val="24"/>
        </w:rPr>
        <w:t>I hereby certify that a copy of this Memorandum Contra</w:t>
      </w:r>
      <w:r w:rsidRPr="0016743F" w:rsidR="002C40FF">
        <w:rPr>
          <w:szCs w:val="24"/>
        </w:rPr>
        <w:t xml:space="preserve"> the Joint Motion to Strike of</w:t>
      </w:r>
      <w:r w:rsidRPr="0016743F">
        <w:rPr>
          <w:szCs w:val="24"/>
        </w:rPr>
        <w:t xml:space="preserve"> </w:t>
      </w:r>
      <w:r w:rsidR="004D308F">
        <w:rPr>
          <w:szCs w:val="24"/>
        </w:rPr>
        <w:t>t</w:t>
      </w:r>
      <w:r w:rsidRPr="0016743F" w:rsidR="002C40FF">
        <w:rPr>
          <w:szCs w:val="24"/>
        </w:rPr>
        <w:t xml:space="preserve">he Ohio Manufacturers’ Association Energy Group and </w:t>
      </w:r>
      <w:r w:rsidR="004D308F">
        <w:rPr>
          <w:szCs w:val="24"/>
        </w:rPr>
        <w:t>t</w:t>
      </w:r>
      <w:r w:rsidRPr="0016743F" w:rsidR="002C40FF">
        <w:rPr>
          <w:szCs w:val="24"/>
        </w:rPr>
        <w:t>he Kroger Co.</w:t>
      </w:r>
      <w:r w:rsidRPr="0016743F">
        <w:rPr>
          <w:szCs w:val="24"/>
        </w:rPr>
        <w:t xml:space="preserve"> was served on the persons stated below via electronic transmission, this </w:t>
      </w:r>
      <w:r w:rsidR="004D308F">
        <w:rPr>
          <w:szCs w:val="24"/>
        </w:rPr>
        <w:t>21</w:t>
      </w:r>
      <w:r w:rsidRPr="004D308F" w:rsidR="004D308F">
        <w:rPr>
          <w:szCs w:val="24"/>
          <w:vertAlign w:val="superscript"/>
        </w:rPr>
        <w:t>st</w:t>
      </w:r>
      <w:r w:rsidR="004D308F">
        <w:rPr>
          <w:szCs w:val="24"/>
        </w:rPr>
        <w:t xml:space="preserve"> </w:t>
      </w:r>
      <w:r w:rsidRPr="0016743F">
        <w:rPr>
          <w:szCs w:val="24"/>
        </w:rPr>
        <w:t xml:space="preserve">day of </w:t>
      </w:r>
      <w:r w:rsidRPr="0016743F" w:rsidR="002C40FF">
        <w:rPr>
          <w:szCs w:val="24"/>
        </w:rPr>
        <w:t>November</w:t>
      </w:r>
      <w:r w:rsidRPr="0016743F">
        <w:rPr>
          <w:szCs w:val="24"/>
        </w:rPr>
        <w:t xml:space="preserve"> 2022.</w:t>
      </w:r>
    </w:p>
    <w:p w:rsidR="007744C6" w:rsidRPr="0016743F" w:rsidP="007744C6" w14:paraId="37922635" w14:textId="1415634B">
      <w:pPr>
        <w:tabs>
          <w:tab w:val="left" w:pos="4320"/>
        </w:tabs>
        <w:rPr>
          <w:i/>
          <w:iCs/>
          <w:szCs w:val="24"/>
          <w:u w:val="single"/>
        </w:rPr>
      </w:pPr>
      <w:r w:rsidRPr="0016743F">
        <w:rPr>
          <w:szCs w:val="24"/>
        </w:rPr>
        <w:tab/>
      </w:r>
      <w:r w:rsidRPr="0016743F">
        <w:rPr>
          <w:i/>
          <w:iCs/>
          <w:szCs w:val="24"/>
          <w:u w:val="single"/>
        </w:rPr>
        <w:t xml:space="preserve">/s/ </w:t>
      </w:r>
      <w:r w:rsidRPr="0016743F" w:rsidR="002C40FF">
        <w:rPr>
          <w:i/>
          <w:iCs/>
          <w:szCs w:val="24"/>
          <w:u w:val="single"/>
        </w:rPr>
        <w:t>Angela D. O’Brien</w:t>
      </w:r>
      <w:r w:rsidRPr="0016743F">
        <w:rPr>
          <w:i/>
          <w:iCs/>
          <w:szCs w:val="24"/>
          <w:u w:val="single"/>
        </w:rPr>
        <w:tab/>
      </w:r>
    </w:p>
    <w:p w:rsidR="007744C6" w:rsidRPr="0016743F" w:rsidP="007744C6" w14:paraId="7CD0956B" w14:textId="21F308C4">
      <w:pPr>
        <w:tabs>
          <w:tab w:val="left" w:pos="4320"/>
        </w:tabs>
        <w:rPr>
          <w:szCs w:val="24"/>
        </w:rPr>
      </w:pPr>
      <w:r w:rsidRPr="0016743F">
        <w:rPr>
          <w:szCs w:val="24"/>
        </w:rPr>
        <w:tab/>
      </w:r>
      <w:r w:rsidRPr="0016743F" w:rsidR="002C40FF">
        <w:rPr>
          <w:szCs w:val="24"/>
        </w:rPr>
        <w:t>Angela D. O’Brien</w:t>
      </w:r>
    </w:p>
    <w:p w:rsidR="007744C6" w:rsidRPr="0016743F" w:rsidP="007744C6" w14:paraId="690125BA" w14:textId="77777777">
      <w:pPr>
        <w:tabs>
          <w:tab w:val="left" w:pos="4320"/>
        </w:tabs>
        <w:rPr>
          <w:szCs w:val="24"/>
        </w:rPr>
      </w:pPr>
      <w:r w:rsidRPr="0016743F">
        <w:rPr>
          <w:szCs w:val="24"/>
        </w:rPr>
        <w:tab/>
        <w:t>Assistant Consumers’ Counsel</w:t>
      </w:r>
    </w:p>
    <w:p w:rsidR="007744C6" w:rsidRPr="0016743F" w:rsidP="007744C6" w14:paraId="6C113426" w14:textId="77777777">
      <w:pPr>
        <w:pStyle w:val="CommentSubject"/>
        <w:rPr>
          <w:szCs w:val="24"/>
        </w:rPr>
      </w:pPr>
    </w:p>
    <w:p w:rsidR="007744C6" w:rsidRPr="0016743F" w:rsidP="007744C6" w14:paraId="6B0A7F00" w14:textId="77777777">
      <w:pPr>
        <w:pStyle w:val="CommentText"/>
      </w:pPr>
      <w:r w:rsidRPr="0016743F">
        <w:t>The PUCO’s e-filing system will electronically serve notice of the filing of this document on the following parties:</w:t>
      </w:r>
    </w:p>
    <w:p w:rsidR="007744C6" w:rsidRPr="0016743F" w:rsidP="007744C6" w14:paraId="0CB7241B" w14:textId="77777777">
      <w:pPr>
        <w:pStyle w:val="CommentText"/>
      </w:pPr>
    </w:p>
    <w:p w:rsidR="007744C6" w:rsidRPr="0016743F" w:rsidP="007744C6" w14:paraId="68F0D215" w14:textId="77777777">
      <w:pPr>
        <w:pStyle w:val="CommentText"/>
        <w:jc w:val="center"/>
        <w:rPr>
          <w:b/>
          <w:u w:val="single"/>
        </w:rPr>
      </w:pPr>
      <w:r w:rsidRPr="0016743F">
        <w:rPr>
          <w:b/>
          <w:u w:val="single"/>
        </w:rPr>
        <w:t>SERVICE LIST</w:t>
      </w:r>
    </w:p>
    <w:p w:rsidR="007744C6" w:rsidRPr="0016743F" w:rsidP="009F14BC" w14:paraId="79B86B42" w14:textId="77777777">
      <w:pPr>
        <w:pStyle w:val="BodyText"/>
        <w:jc w:val="left"/>
        <w:rPr>
          <w:b/>
          <w:bCs/>
          <w:szCs w:val="24"/>
        </w:rPr>
      </w:pPr>
    </w:p>
    <w:tbl>
      <w:tblPr>
        <w:tblW w:w="0" w:type="auto"/>
        <w:tblCellMar>
          <w:left w:w="0" w:type="dxa"/>
          <w:right w:w="0" w:type="dxa"/>
        </w:tblCellMar>
        <w:tblLook w:val="04A0"/>
      </w:tblPr>
      <w:tblGrid>
        <w:gridCol w:w="4251"/>
        <w:gridCol w:w="4389"/>
      </w:tblGrid>
      <w:tr w14:paraId="5027E517" w14:textId="77777777" w:rsidTr="00AA16DC">
        <w:tblPrEx>
          <w:tblW w:w="0" w:type="auto"/>
          <w:tblCellMar>
            <w:left w:w="0" w:type="dxa"/>
            <w:right w:w="0" w:type="dxa"/>
          </w:tblCellMar>
          <w:tblLook w:val="04A0"/>
        </w:tblPrEx>
        <w:tc>
          <w:tcPr>
            <w:tcW w:w="4428" w:type="dxa"/>
            <w:tcMar>
              <w:top w:w="0" w:type="dxa"/>
              <w:left w:w="108" w:type="dxa"/>
              <w:bottom w:w="0" w:type="dxa"/>
              <w:right w:w="108" w:type="dxa"/>
            </w:tcMar>
          </w:tcPr>
          <w:p w:rsidR="00344814" w:rsidRPr="007D4C6F" w:rsidP="00AA16DC" w14:paraId="3D309570" w14:textId="77777777">
            <w:pPr>
              <w:autoSpaceDE w:val="0"/>
              <w:autoSpaceDN w:val="0"/>
              <w:snapToGrid w:val="0"/>
              <w:jc w:val="both"/>
              <w:rPr>
                <w:rFonts w:eastAsia="Calibri"/>
                <w:color w:val="0000FF"/>
                <w:u w:val="single"/>
              </w:rPr>
            </w:pPr>
            <w:hyperlink r:id="rId8" w:history="1">
              <w:r w:rsidRPr="007D4C6F">
                <w:rPr>
                  <w:rFonts w:eastAsia="Calibri"/>
                  <w:color w:val="0000FF"/>
                  <w:u w:val="single"/>
                </w:rPr>
                <w:t>robert.eubanks@ohioAGO.gov</w:t>
              </w:r>
            </w:hyperlink>
          </w:p>
          <w:p w:rsidR="00344814" w:rsidRPr="007D4C6F" w:rsidP="00AA16DC" w14:paraId="0BE1C075" w14:textId="77777777">
            <w:pPr>
              <w:autoSpaceDE w:val="0"/>
              <w:autoSpaceDN w:val="0"/>
              <w:snapToGrid w:val="0"/>
              <w:jc w:val="both"/>
              <w:rPr>
                <w:rFonts w:eastAsia="Calibri"/>
              </w:rPr>
            </w:pPr>
            <w:hyperlink r:id="rId9" w:history="1">
              <w:r w:rsidRPr="007D4C6F">
                <w:rPr>
                  <w:rFonts w:eastAsia="Calibri"/>
                  <w:color w:val="0000FF"/>
                  <w:u w:val="single"/>
                </w:rPr>
                <w:t>shaun.lyons@ohioAGO.gov</w:t>
              </w:r>
            </w:hyperlink>
          </w:p>
          <w:p w:rsidR="00344814" w:rsidRPr="007D4C6F" w:rsidP="00AA16DC" w14:paraId="6EA10904" w14:textId="77777777">
            <w:pPr>
              <w:autoSpaceDE w:val="0"/>
              <w:autoSpaceDN w:val="0"/>
              <w:snapToGrid w:val="0"/>
              <w:jc w:val="both"/>
              <w:rPr>
                <w:rFonts w:eastAsia="Calibri"/>
              </w:rPr>
            </w:pPr>
            <w:hyperlink r:id="rId10" w:history="1">
              <w:r w:rsidRPr="007D4C6F">
                <w:rPr>
                  <w:rFonts w:eastAsia="Calibri"/>
                  <w:color w:val="0000FF"/>
                  <w:u w:val="single"/>
                </w:rPr>
                <w:t>werner.margard@ohioAGO.gov</w:t>
              </w:r>
            </w:hyperlink>
          </w:p>
          <w:p w:rsidR="00344814" w:rsidRPr="007D4C6F" w:rsidP="00AA16DC" w14:paraId="32E3C75B" w14:textId="77777777">
            <w:pPr>
              <w:autoSpaceDE w:val="0"/>
              <w:autoSpaceDN w:val="0"/>
              <w:snapToGrid w:val="0"/>
              <w:jc w:val="both"/>
              <w:rPr>
                <w:rFonts w:eastAsia="Calibri"/>
                <w:color w:val="0000FF"/>
              </w:rPr>
            </w:pPr>
            <w:hyperlink r:id="rId11" w:history="1">
              <w:r w:rsidRPr="007D4C6F">
                <w:rPr>
                  <w:rFonts w:eastAsia="Calibri"/>
                  <w:color w:val="0000FF"/>
                  <w:u w:val="single"/>
                </w:rPr>
                <w:t>mkurtz@BKLlawfirm.com</w:t>
              </w:r>
            </w:hyperlink>
          </w:p>
          <w:p w:rsidR="00344814" w:rsidRPr="007D4C6F" w:rsidP="00AA16DC" w14:paraId="6763ACEC" w14:textId="77777777">
            <w:pPr>
              <w:autoSpaceDE w:val="0"/>
              <w:autoSpaceDN w:val="0"/>
              <w:snapToGrid w:val="0"/>
              <w:jc w:val="both"/>
              <w:rPr>
                <w:rFonts w:eastAsia="Calibri"/>
                <w:color w:val="0000FF"/>
              </w:rPr>
            </w:pPr>
            <w:hyperlink r:id="rId12" w:history="1">
              <w:r w:rsidRPr="007D4C6F">
                <w:rPr>
                  <w:rFonts w:eastAsia="Calibri"/>
                  <w:color w:val="0000FF"/>
                  <w:u w:val="single"/>
                </w:rPr>
                <w:t>kboehm@BKLlawfirm.com</w:t>
              </w:r>
            </w:hyperlink>
          </w:p>
          <w:p w:rsidR="00344814" w:rsidRPr="007D4C6F" w:rsidP="00AA16DC" w14:paraId="75EDC2C8" w14:textId="77777777">
            <w:pPr>
              <w:autoSpaceDE w:val="0"/>
              <w:autoSpaceDN w:val="0"/>
              <w:snapToGrid w:val="0"/>
              <w:jc w:val="both"/>
              <w:rPr>
                <w:rFonts w:eastAsia="Calibri"/>
                <w:color w:val="0000FF"/>
              </w:rPr>
            </w:pPr>
            <w:hyperlink r:id="rId13" w:history="1">
              <w:r w:rsidRPr="007D4C6F">
                <w:rPr>
                  <w:rFonts w:eastAsia="Calibri"/>
                  <w:color w:val="0000FF"/>
                  <w:u w:val="single"/>
                </w:rPr>
                <w:t>jkylercohn@BKLlawfirm.com</w:t>
              </w:r>
            </w:hyperlink>
          </w:p>
          <w:p w:rsidR="00344814" w:rsidRPr="007D4C6F" w:rsidP="00AA16DC" w14:paraId="3D5665D2" w14:textId="77777777">
            <w:pPr>
              <w:autoSpaceDE w:val="0"/>
              <w:autoSpaceDN w:val="0"/>
              <w:snapToGrid w:val="0"/>
              <w:jc w:val="both"/>
              <w:rPr>
                <w:rFonts w:eastAsia="Calibri"/>
                <w:color w:val="0000FF"/>
                <w:u w:val="single"/>
              </w:rPr>
            </w:pPr>
            <w:hyperlink r:id="rId14" w:history="1">
              <w:r w:rsidRPr="007D4C6F">
                <w:rPr>
                  <w:rFonts w:eastAsia="Calibri"/>
                  <w:color w:val="0000FF"/>
                  <w:u w:val="single"/>
                </w:rPr>
                <w:t>mwarnock@bricker.com</w:t>
              </w:r>
            </w:hyperlink>
          </w:p>
          <w:p w:rsidR="00344814" w:rsidRPr="007D4C6F" w:rsidP="00AA16DC" w14:paraId="368D0A2C" w14:textId="77777777">
            <w:pPr>
              <w:autoSpaceDE w:val="0"/>
              <w:autoSpaceDN w:val="0"/>
              <w:snapToGrid w:val="0"/>
              <w:jc w:val="both"/>
              <w:rPr>
                <w:rFonts w:eastAsia="Calibri"/>
                <w:color w:val="0000FF"/>
              </w:rPr>
            </w:pPr>
            <w:hyperlink r:id="rId15" w:history="1">
              <w:r w:rsidRPr="007D4C6F">
                <w:rPr>
                  <w:rFonts w:eastAsia="Calibri"/>
                  <w:color w:val="0000FF"/>
                  <w:u w:val="single"/>
                </w:rPr>
                <w:t>kherrnstein@bricker.com</w:t>
              </w:r>
            </w:hyperlink>
          </w:p>
          <w:p w:rsidR="00344814" w:rsidRPr="007D4C6F" w:rsidP="00AA16DC" w14:paraId="5BCC0E81" w14:textId="77777777">
            <w:pPr>
              <w:autoSpaceDE w:val="0"/>
              <w:autoSpaceDN w:val="0"/>
              <w:snapToGrid w:val="0"/>
              <w:jc w:val="both"/>
              <w:rPr>
                <w:rFonts w:eastAsia="Calibri"/>
                <w:color w:val="0000FF"/>
              </w:rPr>
            </w:pPr>
            <w:hyperlink r:id="rId16" w:history="1">
              <w:r w:rsidRPr="007D4C6F">
                <w:rPr>
                  <w:rFonts w:eastAsia="Calibri"/>
                  <w:color w:val="0000FF"/>
                  <w:u w:val="single"/>
                </w:rPr>
                <w:t>ktreadway@oneenergyllc.com</w:t>
              </w:r>
            </w:hyperlink>
          </w:p>
          <w:p w:rsidR="00344814" w:rsidRPr="007D4C6F" w:rsidP="00AA16DC" w14:paraId="3E554082" w14:textId="77777777">
            <w:pPr>
              <w:autoSpaceDE w:val="0"/>
              <w:autoSpaceDN w:val="0"/>
              <w:snapToGrid w:val="0"/>
              <w:jc w:val="both"/>
              <w:rPr>
                <w:rFonts w:eastAsia="Calibri"/>
                <w:color w:val="0000FF"/>
                <w:u w:val="single"/>
              </w:rPr>
            </w:pPr>
            <w:hyperlink r:id="rId17" w:history="1">
              <w:r w:rsidRPr="007D4C6F">
                <w:rPr>
                  <w:rFonts w:eastAsia="Calibri"/>
                  <w:color w:val="0000FF"/>
                  <w:u w:val="single"/>
                </w:rPr>
                <w:t>jdunn@oneenergyllc.com</w:t>
              </w:r>
            </w:hyperlink>
          </w:p>
          <w:p w:rsidR="00344814" w:rsidRPr="007D4C6F" w:rsidP="00AA16DC" w14:paraId="6798864D" w14:textId="77777777">
            <w:pPr>
              <w:autoSpaceDE w:val="0"/>
              <w:autoSpaceDN w:val="0"/>
              <w:snapToGrid w:val="0"/>
              <w:jc w:val="both"/>
              <w:rPr>
                <w:rFonts w:eastAsia="Calibri"/>
                <w:color w:val="0000FF"/>
                <w:u w:val="single"/>
              </w:rPr>
            </w:pPr>
            <w:hyperlink r:id="rId18" w:history="1">
              <w:r w:rsidRPr="007D4C6F">
                <w:rPr>
                  <w:rFonts w:eastAsia="Calibri"/>
                  <w:color w:val="0000FF"/>
                  <w:u w:val="single"/>
                </w:rPr>
                <w:t>dborchers@bricker.com</w:t>
              </w:r>
            </w:hyperlink>
          </w:p>
          <w:p w:rsidR="00344814" w:rsidRPr="007D4C6F" w:rsidP="00AA16DC" w14:paraId="61653853" w14:textId="77777777">
            <w:pPr>
              <w:autoSpaceDE w:val="0"/>
              <w:autoSpaceDN w:val="0"/>
              <w:snapToGrid w:val="0"/>
              <w:jc w:val="both"/>
              <w:rPr>
                <w:rFonts w:eastAsia="Calibri"/>
                <w:color w:val="0000FF"/>
                <w:u w:val="single"/>
              </w:rPr>
            </w:pPr>
            <w:hyperlink r:id="rId15" w:history="1">
              <w:r w:rsidRPr="007D4C6F">
                <w:rPr>
                  <w:rFonts w:eastAsia="Calibri"/>
                  <w:color w:val="0000FF"/>
                  <w:u w:val="single"/>
                </w:rPr>
                <w:t>kherrnstein@bricker.com</w:t>
              </w:r>
            </w:hyperlink>
          </w:p>
          <w:p w:rsidR="00344814" w:rsidRPr="007D4C6F" w:rsidP="00AA16DC" w14:paraId="032EA7C4" w14:textId="77777777">
            <w:pPr>
              <w:autoSpaceDE w:val="0"/>
              <w:autoSpaceDN w:val="0"/>
              <w:snapToGrid w:val="0"/>
              <w:jc w:val="both"/>
              <w:rPr>
                <w:rFonts w:eastAsia="Calibri"/>
                <w:color w:val="0000FF"/>
                <w:u w:val="single"/>
              </w:rPr>
            </w:pPr>
            <w:hyperlink r:id="rId19" w:history="1">
              <w:r w:rsidRPr="007D4C6F">
                <w:rPr>
                  <w:rFonts w:eastAsia="Calibri"/>
                  <w:color w:val="0000FF"/>
                  <w:u w:val="single"/>
                </w:rPr>
                <w:t>Fdarr2019@gmail.com</w:t>
              </w:r>
            </w:hyperlink>
          </w:p>
          <w:p w:rsidR="00344814" w:rsidRPr="007D4C6F" w:rsidP="00AA16DC" w14:paraId="2FE6B4FD" w14:textId="77777777">
            <w:pPr>
              <w:autoSpaceDE w:val="0"/>
              <w:autoSpaceDN w:val="0"/>
              <w:snapToGrid w:val="0"/>
              <w:jc w:val="both"/>
              <w:rPr>
                <w:rFonts w:eastAsia="Calibri"/>
                <w:color w:val="0000FF"/>
                <w:u w:val="single"/>
              </w:rPr>
            </w:pPr>
            <w:hyperlink r:id="rId20" w:history="1">
              <w:r w:rsidRPr="007D4C6F">
                <w:rPr>
                  <w:rFonts w:eastAsia="Calibri"/>
                  <w:color w:val="0000FF"/>
                  <w:u w:val="single"/>
                </w:rPr>
                <w:t>paul@carpenterlipps.com</w:t>
              </w:r>
            </w:hyperlink>
          </w:p>
          <w:p w:rsidR="00344814" w:rsidRPr="007D4C6F" w:rsidP="00AA16DC" w14:paraId="40BA1CE3" w14:textId="77777777">
            <w:pPr>
              <w:autoSpaceDE w:val="0"/>
              <w:autoSpaceDN w:val="0"/>
              <w:snapToGrid w:val="0"/>
              <w:jc w:val="both"/>
              <w:rPr>
                <w:rFonts w:eastAsia="Calibri"/>
                <w:color w:val="0000FF"/>
                <w:u w:val="single"/>
              </w:rPr>
            </w:pPr>
            <w:hyperlink r:id="rId21" w:history="1">
              <w:r w:rsidRPr="007D4C6F">
                <w:rPr>
                  <w:rFonts w:eastAsia="Calibri"/>
                  <w:color w:val="0000FF"/>
                  <w:u w:val="single"/>
                </w:rPr>
                <w:t>rdove@keglerbrown.com</w:t>
              </w:r>
            </w:hyperlink>
          </w:p>
          <w:p w:rsidR="00344814" w:rsidRPr="007D4C6F" w:rsidP="00AA16DC" w14:paraId="3EF30C2D" w14:textId="77777777">
            <w:pPr>
              <w:autoSpaceDE w:val="0"/>
              <w:autoSpaceDN w:val="0"/>
              <w:snapToGrid w:val="0"/>
              <w:jc w:val="both"/>
              <w:rPr>
                <w:rFonts w:eastAsia="Calibri"/>
                <w:color w:val="0000FF"/>
              </w:rPr>
            </w:pPr>
            <w:hyperlink r:id="rId22" w:history="1">
              <w:r w:rsidRPr="007D4C6F">
                <w:rPr>
                  <w:rFonts w:eastAsia="Calibri"/>
                  <w:color w:val="0000FF"/>
                  <w:u w:val="single"/>
                </w:rPr>
                <w:t>nbobb@keglerbrown.com</w:t>
              </w:r>
            </w:hyperlink>
          </w:p>
          <w:p w:rsidR="00344814" w:rsidRPr="007D4C6F" w:rsidP="00AA16DC" w14:paraId="0D2700C7" w14:textId="77777777">
            <w:pPr>
              <w:autoSpaceDE w:val="0"/>
              <w:autoSpaceDN w:val="0"/>
              <w:snapToGrid w:val="0"/>
              <w:jc w:val="both"/>
              <w:rPr>
                <w:rFonts w:eastAsia="Calibri"/>
                <w:color w:val="0000FF"/>
                <w:u w:val="single"/>
              </w:rPr>
            </w:pPr>
            <w:hyperlink r:id="rId23" w:history="1">
              <w:r w:rsidRPr="007D4C6F">
                <w:rPr>
                  <w:rFonts w:eastAsia="Calibri"/>
                  <w:color w:val="0000FF"/>
                  <w:u w:val="single"/>
                </w:rPr>
                <w:t>trent@hubaydougherty.com</w:t>
              </w:r>
            </w:hyperlink>
            <w:r w:rsidRPr="007D4C6F">
              <w:rPr>
                <w:rFonts w:eastAsia="Calibri"/>
                <w:color w:val="0000FF"/>
              </w:rPr>
              <w:t xml:space="preserve"> </w:t>
            </w:r>
          </w:p>
          <w:p w:rsidR="00344814" w:rsidRPr="007D4C6F" w:rsidP="00AA16DC" w14:paraId="2C559162" w14:textId="77777777">
            <w:pPr>
              <w:autoSpaceDE w:val="0"/>
              <w:autoSpaceDN w:val="0"/>
              <w:snapToGrid w:val="0"/>
              <w:jc w:val="both"/>
              <w:rPr>
                <w:rFonts w:eastAsia="Calibri"/>
                <w:color w:val="0000FF"/>
              </w:rPr>
            </w:pPr>
          </w:p>
          <w:p w:rsidR="00344814" w:rsidRPr="007D4C6F" w:rsidP="00AA16DC" w14:paraId="69B73431" w14:textId="77777777">
            <w:pPr>
              <w:autoSpaceDE w:val="0"/>
              <w:autoSpaceDN w:val="0"/>
              <w:snapToGrid w:val="0"/>
              <w:jc w:val="both"/>
              <w:rPr>
                <w:rFonts w:eastAsia="Calibri"/>
              </w:rPr>
            </w:pPr>
            <w:r w:rsidRPr="007D4C6F">
              <w:rPr>
                <w:rFonts w:eastAsia="Calibri"/>
              </w:rPr>
              <w:t>Attorney Examiners:</w:t>
            </w:r>
          </w:p>
          <w:p w:rsidR="00344814" w:rsidRPr="007D4C6F" w:rsidP="00AA16DC" w14:paraId="345A229A" w14:textId="77777777">
            <w:pPr>
              <w:autoSpaceDE w:val="0"/>
              <w:autoSpaceDN w:val="0"/>
              <w:snapToGrid w:val="0"/>
              <w:jc w:val="both"/>
              <w:rPr>
                <w:rFonts w:eastAsia="Calibri"/>
              </w:rPr>
            </w:pPr>
            <w:hyperlink r:id="rId24" w:history="1">
              <w:r w:rsidRPr="007D4C6F">
                <w:rPr>
                  <w:rFonts w:eastAsia="Calibri"/>
                  <w:color w:val="0000FF"/>
                  <w:u w:val="single"/>
                </w:rPr>
                <w:t>matthew.sandor@puco.ohio.gov</w:t>
              </w:r>
            </w:hyperlink>
          </w:p>
          <w:p w:rsidR="00344814" w:rsidRPr="007D4C6F" w:rsidP="00AA16DC" w14:paraId="00EE4FE1" w14:textId="77777777">
            <w:pPr>
              <w:autoSpaceDE w:val="0"/>
              <w:autoSpaceDN w:val="0"/>
              <w:snapToGrid w:val="0"/>
              <w:jc w:val="both"/>
              <w:rPr>
                <w:rFonts w:eastAsia="Calibri"/>
              </w:rPr>
            </w:pPr>
            <w:hyperlink r:id="rId25" w:history="1">
              <w:r w:rsidRPr="007D4C6F">
                <w:rPr>
                  <w:rFonts w:eastAsia="Calibri"/>
                  <w:color w:val="0000FF"/>
                  <w:u w:val="single"/>
                </w:rPr>
                <w:t>nicholas.walstra@puco.ohio.gov</w:t>
              </w:r>
            </w:hyperlink>
          </w:p>
          <w:p w:rsidR="00344814" w:rsidRPr="007D4C6F" w:rsidP="00AA16DC" w14:paraId="517B2DB9" w14:textId="77777777">
            <w:pPr>
              <w:autoSpaceDE w:val="0"/>
              <w:autoSpaceDN w:val="0"/>
              <w:snapToGrid w:val="0"/>
              <w:jc w:val="both"/>
              <w:rPr>
                <w:rFonts w:eastAsia="Calibri"/>
              </w:rPr>
            </w:pPr>
          </w:p>
        </w:tc>
        <w:tc>
          <w:tcPr>
            <w:tcW w:w="4428" w:type="dxa"/>
            <w:tcMar>
              <w:top w:w="0" w:type="dxa"/>
              <w:left w:w="108" w:type="dxa"/>
              <w:bottom w:w="0" w:type="dxa"/>
              <w:right w:w="108" w:type="dxa"/>
            </w:tcMar>
            <w:hideMark/>
          </w:tcPr>
          <w:p w:rsidR="00344814" w:rsidRPr="007D4C6F" w:rsidP="00AA16DC" w14:paraId="7D95FAE1" w14:textId="77777777">
            <w:pPr>
              <w:snapToGrid w:val="0"/>
              <w:ind w:left="100"/>
              <w:jc w:val="both"/>
              <w:rPr>
                <w:rFonts w:eastAsia="Calibri"/>
              </w:rPr>
            </w:pPr>
            <w:hyperlink r:id="rId26" w:history="1">
              <w:r w:rsidRPr="007D4C6F">
                <w:rPr>
                  <w:rFonts w:eastAsia="Calibri"/>
                  <w:color w:val="0000FF"/>
                  <w:u w:val="single"/>
                </w:rPr>
                <w:t>Rocco.dascenzo@duke-energy.com</w:t>
              </w:r>
            </w:hyperlink>
          </w:p>
          <w:p w:rsidR="00344814" w:rsidRPr="007D4C6F" w:rsidP="00AA16DC" w14:paraId="7DC68BE3" w14:textId="77777777">
            <w:pPr>
              <w:snapToGrid w:val="0"/>
              <w:ind w:left="100"/>
              <w:jc w:val="both"/>
              <w:rPr>
                <w:rFonts w:eastAsia="Calibri"/>
              </w:rPr>
            </w:pPr>
            <w:hyperlink r:id="rId27" w:history="1">
              <w:r w:rsidRPr="007D4C6F">
                <w:rPr>
                  <w:rFonts w:eastAsia="Calibri"/>
                  <w:color w:val="0000FF"/>
                  <w:u w:val="single"/>
                </w:rPr>
                <w:t>Jeanne.kingery@duke-energy.com</w:t>
              </w:r>
            </w:hyperlink>
          </w:p>
          <w:p w:rsidR="00344814" w:rsidRPr="007D4C6F" w:rsidP="00AA16DC" w14:paraId="44F170EF" w14:textId="77777777">
            <w:pPr>
              <w:snapToGrid w:val="0"/>
              <w:ind w:left="100"/>
              <w:jc w:val="both"/>
              <w:rPr>
                <w:rFonts w:eastAsia="Calibri"/>
                <w:color w:val="0000FF"/>
                <w:u w:val="single"/>
              </w:rPr>
            </w:pPr>
            <w:hyperlink r:id="rId28" w:history="1">
              <w:r w:rsidRPr="007D4C6F">
                <w:rPr>
                  <w:rFonts w:eastAsia="Calibri"/>
                  <w:color w:val="0000FF"/>
                  <w:u w:val="single"/>
                </w:rPr>
                <w:t>Larisa.vaysman@duke-energy.com</w:t>
              </w:r>
            </w:hyperlink>
          </w:p>
          <w:p w:rsidR="00344814" w:rsidRPr="007D4C6F" w:rsidP="00AA16DC" w14:paraId="7D866932" w14:textId="77777777">
            <w:pPr>
              <w:snapToGrid w:val="0"/>
              <w:ind w:left="100"/>
              <w:jc w:val="both"/>
              <w:rPr>
                <w:rFonts w:eastAsia="Calibri"/>
              </w:rPr>
            </w:pPr>
            <w:hyperlink r:id="rId29" w:history="1">
              <w:r w:rsidRPr="007D4C6F">
                <w:rPr>
                  <w:rFonts w:eastAsia="Calibri"/>
                  <w:color w:val="0000FF"/>
                  <w:u w:val="single"/>
                </w:rPr>
                <w:t>elyse.akhbari@duke-energy.com</w:t>
              </w:r>
            </w:hyperlink>
          </w:p>
          <w:p w:rsidR="00344814" w:rsidRPr="007D4C6F" w:rsidP="00AA16DC" w14:paraId="287EA458" w14:textId="77777777">
            <w:pPr>
              <w:snapToGrid w:val="0"/>
              <w:ind w:left="100"/>
              <w:jc w:val="both"/>
              <w:rPr>
                <w:rFonts w:eastAsia="Calibri"/>
                <w:color w:val="0000FF"/>
                <w:u w:val="single"/>
              </w:rPr>
            </w:pPr>
            <w:hyperlink r:id="rId30" w:history="1">
              <w:r w:rsidRPr="007D4C6F">
                <w:rPr>
                  <w:rFonts w:eastAsia="Calibri"/>
                  <w:color w:val="0000FF"/>
                  <w:u w:val="single"/>
                </w:rPr>
                <w:t>ebrama@taftlaw.com</w:t>
              </w:r>
            </w:hyperlink>
          </w:p>
          <w:p w:rsidR="00344814" w:rsidRPr="007D4C6F" w:rsidP="00AA16DC" w14:paraId="1D737D24" w14:textId="77777777">
            <w:pPr>
              <w:snapToGrid w:val="0"/>
              <w:ind w:left="100"/>
              <w:jc w:val="both"/>
              <w:rPr>
                <w:rFonts w:eastAsia="Calibri"/>
              </w:rPr>
            </w:pPr>
            <w:hyperlink r:id="rId31" w:history="1">
              <w:r w:rsidRPr="007D4C6F">
                <w:rPr>
                  <w:rFonts w:eastAsia="Calibri"/>
                  <w:color w:val="0000FF"/>
                  <w:u w:val="single"/>
                </w:rPr>
                <w:t>kverhalen@taftlaw.com</w:t>
              </w:r>
            </w:hyperlink>
          </w:p>
          <w:p w:rsidR="00344814" w:rsidRPr="007D4C6F" w:rsidP="00AA16DC" w14:paraId="72949841" w14:textId="77777777">
            <w:pPr>
              <w:snapToGrid w:val="0"/>
              <w:ind w:left="100"/>
              <w:jc w:val="both"/>
              <w:rPr>
                <w:rFonts w:eastAsia="Calibri"/>
              </w:rPr>
            </w:pPr>
            <w:hyperlink r:id="rId32" w:history="1">
              <w:r w:rsidRPr="007D4C6F">
                <w:rPr>
                  <w:rFonts w:eastAsia="Calibri"/>
                  <w:color w:val="0000FF"/>
                  <w:u w:val="single"/>
                </w:rPr>
                <w:t>Bethany.allen@igs.com</w:t>
              </w:r>
            </w:hyperlink>
          </w:p>
          <w:p w:rsidR="00344814" w:rsidRPr="007D4C6F" w:rsidP="00AA16DC" w14:paraId="49A1EF12" w14:textId="77777777">
            <w:pPr>
              <w:snapToGrid w:val="0"/>
              <w:ind w:left="100"/>
              <w:jc w:val="both"/>
              <w:rPr>
                <w:rFonts w:eastAsia="Calibri"/>
              </w:rPr>
            </w:pPr>
            <w:hyperlink r:id="rId33" w:history="1">
              <w:r w:rsidRPr="007D4C6F">
                <w:rPr>
                  <w:rFonts w:eastAsia="Calibri"/>
                  <w:color w:val="0000FF"/>
                  <w:u w:val="single"/>
                </w:rPr>
                <w:t>Joe.oliker@igs.com</w:t>
              </w:r>
            </w:hyperlink>
          </w:p>
          <w:p w:rsidR="00344814" w:rsidRPr="007D4C6F" w:rsidP="00AA16DC" w14:paraId="645D704F" w14:textId="77777777">
            <w:pPr>
              <w:snapToGrid w:val="0"/>
              <w:ind w:left="100"/>
              <w:jc w:val="both"/>
              <w:rPr>
                <w:rFonts w:eastAsia="Calibri"/>
                <w:color w:val="0000FF"/>
                <w:u w:val="single"/>
              </w:rPr>
            </w:pPr>
            <w:hyperlink r:id="rId34" w:history="1">
              <w:r w:rsidRPr="007D4C6F">
                <w:rPr>
                  <w:rFonts w:eastAsia="Calibri"/>
                  <w:color w:val="0000FF"/>
                  <w:u w:val="single"/>
                </w:rPr>
                <w:t>Evan.betterton@igs.com</w:t>
              </w:r>
            </w:hyperlink>
          </w:p>
          <w:p w:rsidR="00344814" w:rsidRPr="007D4C6F" w:rsidP="00AA16DC" w14:paraId="6FAA80AE" w14:textId="77777777">
            <w:pPr>
              <w:snapToGrid w:val="0"/>
              <w:ind w:left="100"/>
              <w:jc w:val="both"/>
              <w:rPr>
                <w:rFonts w:eastAsia="Calibri"/>
                <w:color w:val="0000FF"/>
                <w:u w:val="single"/>
              </w:rPr>
            </w:pPr>
            <w:hyperlink r:id="rId35" w:history="1">
              <w:r w:rsidRPr="007D4C6F">
                <w:rPr>
                  <w:rFonts w:eastAsia="Calibri"/>
                  <w:color w:val="0000FF"/>
                  <w:u w:val="single"/>
                </w:rPr>
                <w:t>Stacie.cathcart@igs.com</w:t>
              </w:r>
            </w:hyperlink>
          </w:p>
          <w:p w:rsidR="00344814" w:rsidRPr="007D4C6F" w:rsidP="00AA16DC" w14:paraId="7B178852" w14:textId="77777777">
            <w:pPr>
              <w:snapToGrid w:val="0"/>
              <w:ind w:left="100"/>
              <w:jc w:val="both"/>
              <w:rPr>
                <w:rFonts w:eastAsia="Calibri"/>
                <w:color w:val="0000FF"/>
                <w:u w:val="single"/>
              </w:rPr>
            </w:pPr>
            <w:hyperlink r:id="rId36" w:history="1">
              <w:r w:rsidRPr="007D4C6F">
                <w:rPr>
                  <w:rFonts w:eastAsia="Calibri"/>
                  <w:color w:val="0000FF"/>
                  <w:u w:val="single"/>
                </w:rPr>
                <w:t>michael.nugent@igs.com</w:t>
              </w:r>
            </w:hyperlink>
          </w:p>
          <w:p w:rsidR="00344814" w:rsidRPr="007D4C6F" w:rsidP="00AA16DC" w14:paraId="50D5AE65" w14:textId="77777777">
            <w:pPr>
              <w:snapToGrid w:val="0"/>
              <w:ind w:left="100"/>
              <w:jc w:val="both"/>
              <w:rPr>
                <w:rFonts w:eastAsia="Calibri"/>
                <w:color w:val="0000FF"/>
                <w:u w:val="single"/>
              </w:rPr>
            </w:pPr>
            <w:hyperlink r:id="rId37" w:history="1">
              <w:r w:rsidRPr="007D4C6F">
                <w:rPr>
                  <w:rFonts w:eastAsia="Calibri"/>
                  <w:color w:val="0000FF"/>
                  <w:u w:val="single"/>
                </w:rPr>
                <w:t>jlang@calfee.com</w:t>
              </w:r>
            </w:hyperlink>
          </w:p>
          <w:p w:rsidR="00344814" w:rsidRPr="007D4C6F" w:rsidP="00AA16DC" w14:paraId="3090353B" w14:textId="77777777">
            <w:pPr>
              <w:snapToGrid w:val="0"/>
              <w:ind w:left="100"/>
              <w:jc w:val="both"/>
              <w:rPr>
                <w:rFonts w:eastAsia="Calibri"/>
                <w:color w:val="0000FF"/>
                <w:u w:val="single"/>
              </w:rPr>
            </w:pPr>
            <w:hyperlink r:id="rId38" w:history="1">
              <w:r w:rsidRPr="007D4C6F">
                <w:rPr>
                  <w:rFonts w:eastAsia="Calibri"/>
                  <w:color w:val="0000FF"/>
                  <w:u w:val="single"/>
                </w:rPr>
                <w:t>gjewell@calfee.com</w:t>
              </w:r>
            </w:hyperlink>
          </w:p>
          <w:p w:rsidR="00344814" w:rsidRPr="007D4C6F" w:rsidP="00AA16DC" w14:paraId="2756D86D" w14:textId="77777777">
            <w:pPr>
              <w:snapToGrid w:val="0"/>
              <w:ind w:left="100"/>
              <w:jc w:val="both"/>
              <w:rPr>
                <w:rFonts w:eastAsia="Calibri"/>
                <w:color w:val="0000FF"/>
                <w:u w:val="single"/>
              </w:rPr>
            </w:pPr>
            <w:hyperlink r:id="rId39" w:history="1">
              <w:r w:rsidRPr="007D4C6F">
                <w:rPr>
                  <w:rFonts w:eastAsia="Calibri"/>
                  <w:color w:val="0000FF"/>
                  <w:u w:val="single"/>
                </w:rPr>
                <w:t>gwhaling@calfee.com</w:t>
              </w:r>
            </w:hyperlink>
          </w:p>
          <w:p w:rsidR="00344814" w:rsidRPr="007D4C6F" w:rsidP="00AA16DC" w14:paraId="49B985B8" w14:textId="77777777">
            <w:pPr>
              <w:snapToGrid w:val="0"/>
              <w:ind w:left="100"/>
              <w:jc w:val="both"/>
              <w:rPr>
                <w:rFonts w:eastAsia="Calibri"/>
                <w:color w:val="0000FF"/>
                <w:u w:val="single"/>
              </w:rPr>
            </w:pPr>
            <w:hyperlink r:id="rId40" w:history="1">
              <w:r w:rsidRPr="007D4C6F">
                <w:rPr>
                  <w:rFonts w:eastAsia="Calibri"/>
                  <w:color w:val="0000FF"/>
                  <w:u w:val="single"/>
                </w:rPr>
                <w:t>sfranson@calfee.com</w:t>
              </w:r>
            </w:hyperlink>
          </w:p>
          <w:p w:rsidR="00344814" w:rsidRPr="007D4C6F" w:rsidP="00AA16DC" w14:paraId="6D4BBF8E" w14:textId="77777777">
            <w:pPr>
              <w:snapToGrid w:val="0"/>
              <w:ind w:left="100"/>
              <w:jc w:val="both"/>
              <w:rPr>
                <w:rFonts w:eastAsia="Calibri"/>
              </w:rPr>
            </w:pPr>
            <w:hyperlink r:id="rId41" w:history="1">
              <w:r w:rsidRPr="007D4C6F">
                <w:rPr>
                  <w:rFonts w:eastAsia="Calibri"/>
                  <w:color w:val="0000FF"/>
                  <w:u w:val="single"/>
                </w:rPr>
                <w:t>dromig@nationwideenergypartners.com</w:t>
              </w:r>
            </w:hyperlink>
          </w:p>
          <w:p w:rsidR="00344814" w:rsidRPr="007D4C6F" w:rsidP="00AA16DC" w14:paraId="0E009104" w14:textId="77777777">
            <w:pPr>
              <w:snapToGrid w:val="0"/>
              <w:ind w:left="100"/>
              <w:jc w:val="both"/>
              <w:rPr>
                <w:rFonts w:eastAsia="Calibri"/>
                <w:color w:val="0000FF"/>
                <w:u w:val="single"/>
              </w:rPr>
            </w:pPr>
            <w:hyperlink r:id="rId42" w:history="1">
              <w:r w:rsidRPr="007D4C6F">
                <w:rPr>
                  <w:rFonts w:eastAsia="Calibri"/>
                  <w:color w:val="0000FF"/>
                  <w:u w:val="single"/>
                </w:rPr>
                <w:t>Bojko@carpenterlipps.com</w:t>
              </w:r>
            </w:hyperlink>
          </w:p>
          <w:p w:rsidR="00344814" w:rsidRPr="007D4C6F" w:rsidP="00AA16DC" w14:paraId="46C8059E" w14:textId="77777777">
            <w:pPr>
              <w:snapToGrid w:val="0"/>
              <w:ind w:left="100"/>
              <w:jc w:val="both"/>
              <w:rPr>
                <w:rFonts w:eastAsia="Calibri"/>
              </w:rPr>
            </w:pPr>
            <w:hyperlink r:id="rId43" w:history="1">
              <w:r w:rsidRPr="007D4C6F">
                <w:rPr>
                  <w:rFonts w:eastAsia="Calibri"/>
                  <w:color w:val="0000FF"/>
                  <w:u w:val="single"/>
                </w:rPr>
                <w:t>Wygonski@carpenterlipps.com</w:t>
              </w:r>
            </w:hyperlink>
          </w:p>
          <w:p w:rsidR="00344814" w:rsidRPr="007D4C6F" w:rsidP="00AA16DC" w14:paraId="028C5CF6" w14:textId="77777777">
            <w:pPr>
              <w:snapToGrid w:val="0"/>
              <w:ind w:left="100"/>
              <w:jc w:val="both"/>
              <w:rPr>
                <w:rFonts w:eastAsia="Calibri"/>
              </w:rPr>
            </w:pPr>
            <w:hyperlink r:id="rId44" w:history="1">
              <w:r w:rsidRPr="007D4C6F">
                <w:rPr>
                  <w:rFonts w:eastAsia="Calibri"/>
                  <w:color w:val="0000FF"/>
                  <w:u w:val="single"/>
                </w:rPr>
                <w:t>cgrundmann@spilmanlaw.com</w:t>
              </w:r>
            </w:hyperlink>
          </w:p>
          <w:p w:rsidR="00344814" w:rsidRPr="007D4C6F" w:rsidP="00AA16DC" w14:paraId="5DD705AF" w14:textId="77777777">
            <w:pPr>
              <w:snapToGrid w:val="0"/>
              <w:ind w:left="100"/>
              <w:jc w:val="both"/>
              <w:rPr>
                <w:rFonts w:eastAsia="Calibri"/>
                <w:color w:val="0000FF"/>
                <w:u w:val="single"/>
              </w:rPr>
            </w:pPr>
            <w:hyperlink r:id="rId45" w:history="1">
              <w:r w:rsidRPr="007D4C6F">
                <w:rPr>
                  <w:rFonts w:eastAsia="Calibri"/>
                  <w:color w:val="0000FF"/>
                  <w:u w:val="single"/>
                </w:rPr>
                <w:t>dwilliamson@spilmanlaw.com</w:t>
              </w:r>
            </w:hyperlink>
          </w:p>
          <w:p w:rsidR="00344814" w:rsidRPr="007D4C6F" w:rsidP="00AA16DC" w14:paraId="1D01ECE3" w14:textId="77777777">
            <w:pPr>
              <w:autoSpaceDE w:val="0"/>
              <w:autoSpaceDN w:val="0"/>
              <w:snapToGrid w:val="0"/>
              <w:ind w:left="100"/>
              <w:jc w:val="both"/>
              <w:rPr>
                <w:rFonts w:eastAsia="Calibri"/>
                <w:color w:val="0000FF"/>
              </w:rPr>
            </w:pPr>
            <w:hyperlink r:id="rId46" w:history="1">
              <w:r w:rsidRPr="007D4C6F">
                <w:rPr>
                  <w:rFonts w:eastAsia="Calibri"/>
                  <w:color w:val="0000FF"/>
                  <w:u w:val="single"/>
                </w:rPr>
                <w:t>cpirik@dickinsonwright.com</w:t>
              </w:r>
            </w:hyperlink>
          </w:p>
          <w:p w:rsidR="00344814" w:rsidRPr="007D4C6F" w:rsidP="00AA16DC" w14:paraId="6DE97091" w14:textId="77777777">
            <w:pPr>
              <w:autoSpaceDE w:val="0"/>
              <w:autoSpaceDN w:val="0"/>
              <w:snapToGrid w:val="0"/>
              <w:ind w:left="100"/>
              <w:jc w:val="both"/>
              <w:rPr>
                <w:rFonts w:eastAsia="Calibri"/>
                <w:color w:val="0000FF"/>
              </w:rPr>
            </w:pPr>
            <w:hyperlink r:id="rId47" w:history="1">
              <w:r w:rsidRPr="007D4C6F">
                <w:rPr>
                  <w:rFonts w:eastAsia="Calibri"/>
                  <w:color w:val="0000FF"/>
                  <w:u w:val="single"/>
                </w:rPr>
                <w:t>todonnell@dickinsonwright.com</w:t>
              </w:r>
            </w:hyperlink>
          </w:p>
          <w:p w:rsidR="00344814" w:rsidRPr="007D4C6F" w:rsidP="00AA16DC" w14:paraId="2F905C0B" w14:textId="77777777">
            <w:pPr>
              <w:autoSpaceDE w:val="0"/>
              <w:autoSpaceDN w:val="0"/>
              <w:snapToGrid w:val="0"/>
              <w:ind w:left="100"/>
              <w:jc w:val="both"/>
              <w:rPr>
                <w:rFonts w:eastAsia="Calibri"/>
              </w:rPr>
            </w:pPr>
            <w:hyperlink r:id="rId48" w:history="1">
              <w:r w:rsidRPr="007D4C6F">
                <w:rPr>
                  <w:rFonts w:eastAsia="Calibri"/>
                  <w:color w:val="0000FF"/>
                  <w:u w:val="single"/>
                </w:rPr>
                <w:t>mmcdonnell@dickinsonwright.com</w:t>
              </w:r>
            </w:hyperlink>
          </w:p>
        </w:tc>
      </w:tr>
    </w:tbl>
    <w:p w:rsidR="007744C6" w:rsidRPr="0016743F" w14:paraId="19A2E5AE" w14:textId="19520CAB">
      <w:pPr>
        <w:rPr>
          <w:szCs w:val="24"/>
        </w:rPr>
      </w:pPr>
    </w:p>
    <w:sectPr w:rsidSect="009B01CD">
      <w:footerReference w:type="default" r:id="rId49"/>
      <w:footerReference w:type="first" r:id="rId50"/>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6593812"/>
      <w:docPartObj>
        <w:docPartGallery w:val="Page Numbers (Bottom of Page)"/>
        <w:docPartUnique/>
      </w:docPartObj>
    </w:sdtPr>
    <w:sdtEndPr>
      <w:rPr>
        <w:noProof/>
        <w:sz w:val="24"/>
        <w:szCs w:val="24"/>
      </w:rPr>
    </w:sdtEndPr>
    <w:sdtContent>
      <w:p w:rsidR="009B01CD" w:rsidRPr="009B01CD" w14:paraId="3E7268F6" w14:textId="5666A783">
        <w:pPr>
          <w:pStyle w:val="Footer"/>
          <w:jc w:val="center"/>
          <w:rPr>
            <w:sz w:val="24"/>
            <w:szCs w:val="24"/>
          </w:rPr>
        </w:pPr>
        <w:r w:rsidRPr="009B01CD">
          <w:rPr>
            <w:sz w:val="24"/>
            <w:szCs w:val="24"/>
          </w:rPr>
          <w:fldChar w:fldCharType="begin"/>
        </w:r>
        <w:r w:rsidRPr="009B01CD">
          <w:rPr>
            <w:sz w:val="24"/>
            <w:szCs w:val="24"/>
          </w:rPr>
          <w:instrText xml:space="preserve"> PAGE   \* MERGEFORMAT </w:instrText>
        </w:r>
        <w:r w:rsidRPr="009B01CD">
          <w:rPr>
            <w:sz w:val="24"/>
            <w:szCs w:val="24"/>
          </w:rPr>
          <w:fldChar w:fldCharType="separate"/>
        </w:r>
        <w:r w:rsidRPr="009B01CD">
          <w:rPr>
            <w:noProof/>
            <w:sz w:val="24"/>
            <w:szCs w:val="24"/>
          </w:rPr>
          <w:t>2</w:t>
        </w:r>
        <w:r w:rsidRPr="009B01CD">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3631" w:rsidRPr="00943631" w14:paraId="445C279B" w14:textId="575AA9C6">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D1CBA" w14:paraId="379FB33B" w14:textId="77777777">
      <w:r>
        <w:separator/>
      </w:r>
    </w:p>
  </w:footnote>
  <w:footnote w:type="continuationSeparator" w:id="1">
    <w:p w:rsidR="002D1CBA" w14:paraId="4711B1E9" w14:textId="77777777">
      <w:r>
        <w:continuationSeparator/>
      </w:r>
    </w:p>
  </w:footnote>
  <w:footnote w:id="2">
    <w:p w:rsidR="00280C54" w:rsidP="00B6421B" w14:paraId="0DE296C7" w14:textId="09C69527">
      <w:pPr>
        <w:pStyle w:val="FootnoteText"/>
        <w:spacing w:after="120"/>
      </w:pPr>
      <w:r>
        <w:rPr>
          <w:rStyle w:val="FootnoteReference"/>
        </w:rPr>
        <w:footnoteRef/>
      </w:r>
      <w:r>
        <w:t xml:space="preserve"> “OMA</w:t>
      </w:r>
      <w:r w:rsidR="00B6421B">
        <w:t>.</w:t>
      </w:r>
      <w:r>
        <w:t>”</w:t>
      </w:r>
    </w:p>
  </w:footnote>
  <w:footnote w:id="3">
    <w:p w:rsidR="00576D0C" w:rsidP="00B6421B" w14:paraId="0DCE4B65" w14:textId="2392DD15">
      <w:pPr>
        <w:pStyle w:val="FootnoteText"/>
        <w:spacing w:after="120"/>
      </w:pPr>
      <w:r>
        <w:rPr>
          <w:rStyle w:val="FootnoteReference"/>
        </w:rPr>
        <w:footnoteRef/>
      </w:r>
      <w:r>
        <w:t xml:space="preserve"> Collectively referred </w:t>
      </w:r>
      <w:r w:rsidR="00457C92">
        <w:t xml:space="preserve">to </w:t>
      </w:r>
      <w:r>
        <w:t>as “</w:t>
      </w:r>
      <w:r w:rsidR="00457C92">
        <w:t>the</w:t>
      </w:r>
      <w:r>
        <w:t xml:space="preserve"> Joint Movants</w:t>
      </w:r>
      <w:r w:rsidR="00B6421B">
        <w:t>.</w:t>
      </w:r>
      <w:r>
        <w:t>”</w:t>
      </w:r>
    </w:p>
  </w:footnote>
  <w:footnote w:id="4">
    <w:p w:rsidR="00576D0C" w:rsidP="00B6421B" w14:paraId="1116783E" w14:textId="16528337">
      <w:pPr>
        <w:pStyle w:val="FootnoteText"/>
        <w:spacing w:after="120"/>
      </w:pPr>
      <w:r>
        <w:rPr>
          <w:rStyle w:val="FootnoteReference"/>
        </w:rPr>
        <w:footnoteRef/>
      </w:r>
      <w:r>
        <w:t xml:space="preserve"> Stipulation and Recommendation (September 19, 2022)</w:t>
      </w:r>
      <w:r w:rsidR="00457C92">
        <w:t xml:space="preserve"> (“the settlement” or “the stipulation”)</w:t>
      </w:r>
      <w:r>
        <w:t>.</w:t>
      </w:r>
    </w:p>
  </w:footnote>
  <w:footnote w:id="5">
    <w:p w:rsidR="00280C54" w:rsidP="00B6421B" w14:paraId="5C045296" w14:textId="0D38812B">
      <w:pPr>
        <w:pStyle w:val="FootnoteText"/>
        <w:spacing w:after="120"/>
      </w:pPr>
      <w:r>
        <w:rPr>
          <w:rStyle w:val="FootnoteReference"/>
        </w:rPr>
        <w:footnoteRef/>
      </w:r>
      <w:r>
        <w:t xml:space="preserve"> “Duke</w:t>
      </w:r>
      <w:r w:rsidR="00B6421B">
        <w:t>.</w:t>
      </w:r>
      <w:r>
        <w:t>”</w:t>
      </w:r>
    </w:p>
  </w:footnote>
  <w:footnote w:id="6">
    <w:p w:rsidR="006B2E39" w:rsidP="00B6421B" w14:paraId="67E4C91C" w14:textId="1B490254">
      <w:pPr>
        <w:pStyle w:val="FootnoteText"/>
        <w:spacing w:after="120"/>
      </w:pPr>
      <w:r>
        <w:rPr>
          <w:rStyle w:val="FootnoteReference"/>
        </w:rPr>
        <w:footnoteRef/>
      </w:r>
      <w:r>
        <w:t xml:space="preserve"> “PUCO” or “the Commission</w:t>
      </w:r>
      <w:r w:rsidR="00A15F7E">
        <w:t>.</w:t>
      </w:r>
      <w:r>
        <w:t>”</w:t>
      </w:r>
    </w:p>
  </w:footnote>
  <w:footnote w:id="7">
    <w:p w:rsidR="006B2E39" w:rsidP="00B6421B" w14:paraId="7E5D4AB2" w14:textId="04CB7B89">
      <w:pPr>
        <w:pStyle w:val="FootnoteText"/>
        <w:spacing w:after="120"/>
      </w:pPr>
      <w:r>
        <w:rPr>
          <w:rStyle w:val="FootnoteReference"/>
        </w:rPr>
        <w:footnoteRef/>
      </w:r>
      <w:r>
        <w:t xml:space="preserve"> “OCC</w:t>
      </w:r>
      <w:r w:rsidR="00A15F7E">
        <w:t>.</w:t>
      </w:r>
      <w:r>
        <w:t>”</w:t>
      </w:r>
    </w:p>
  </w:footnote>
  <w:footnote w:id="8">
    <w:p w:rsidR="00457C92" w:rsidP="00B6421B" w14:paraId="2129D583" w14:textId="50C1CD08">
      <w:pPr>
        <w:pStyle w:val="FootnoteText"/>
        <w:spacing w:after="120"/>
      </w:pPr>
      <w:r>
        <w:rPr>
          <w:rStyle w:val="FootnoteReference"/>
        </w:rPr>
        <w:footnoteRef/>
      </w:r>
      <w:r>
        <w:t xml:space="preserve"> Consumers’ Counsel v. Pub. Util. Comm’n. (1992), 64 Ohio St.3d 123, 126.</w:t>
      </w:r>
    </w:p>
  </w:footnote>
  <w:footnote w:id="9">
    <w:p w:rsidR="00C95BBD" w:rsidP="00B6421B" w14:paraId="38548E78" w14:textId="1DCB06B8">
      <w:pPr>
        <w:pStyle w:val="FootnoteText"/>
        <w:spacing w:after="120"/>
      </w:pPr>
      <w:r>
        <w:rPr>
          <w:rStyle w:val="FootnoteReference"/>
        </w:rPr>
        <w:footnoteRef/>
      </w:r>
      <w:r>
        <w:t xml:space="preserve"> </w:t>
      </w:r>
      <w:r w:rsidRPr="00FC2C83">
        <w:rPr>
          <w:i/>
          <w:iCs/>
        </w:rPr>
        <w:t>See</w:t>
      </w:r>
      <w:r>
        <w:t xml:space="preserve"> </w:t>
      </w:r>
      <w:r>
        <w:rPr>
          <w:i/>
          <w:iCs/>
        </w:rPr>
        <w:t xml:space="preserve">In the Matter of the Application of </w:t>
      </w:r>
      <w:r w:rsidR="0042087C">
        <w:rPr>
          <w:i/>
          <w:iCs/>
        </w:rPr>
        <w:t>t</w:t>
      </w:r>
      <w:r>
        <w:rPr>
          <w:i/>
          <w:iCs/>
        </w:rPr>
        <w:t>he Dayton Power and Light Company for Approval of Its Plan to Modernize Its Distribution Grid</w:t>
      </w:r>
      <w:r>
        <w:t>, Case No. 18-1875-EL-GRD.</w:t>
      </w:r>
    </w:p>
  </w:footnote>
  <w:footnote w:id="10">
    <w:p w:rsidR="006565B5" w:rsidP="00B6421B" w14:paraId="0DD212CC" w14:textId="28B80F8A">
      <w:pPr>
        <w:pStyle w:val="FootnoteText"/>
        <w:spacing w:after="120"/>
      </w:pPr>
      <w:r>
        <w:rPr>
          <w:rStyle w:val="FootnoteReference"/>
        </w:rPr>
        <w:footnoteRef/>
      </w:r>
      <w:r>
        <w:t xml:space="preserve"> OCC Initial Brief at 4 (“Ohio State Professor Ned Hill has criticized such settlement practices, </w:t>
      </w:r>
      <w:r>
        <w:rPr>
          <w:i/>
          <w:iCs/>
        </w:rPr>
        <w:t xml:space="preserve">as described in PUCO orders </w:t>
      </w:r>
      <w:r w:rsidRPr="006565B5">
        <w:t>where the PUCO did not act upon Dr. Hill’s recommendations</w:t>
      </w:r>
      <w:r>
        <w:t>.”</w:t>
      </w:r>
      <w:r w:rsidR="0042087C">
        <w:t>)</w:t>
      </w:r>
      <w:r>
        <w:t xml:space="preserve"> (emphasis added); </w:t>
      </w:r>
      <w:r>
        <w:rPr>
          <w:i/>
          <w:iCs/>
        </w:rPr>
        <w:t xml:space="preserve">see also </w:t>
      </w:r>
      <w:r>
        <w:t>OCC Initial Brief at 10, notes 23 and 24</w:t>
      </w:r>
      <w:r w:rsidR="00F15978">
        <w:t>.</w:t>
      </w:r>
      <w:r>
        <w:t xml:space="preserve"> </w:t>
      </w:r>
    </w:p>
  </w:footnote>
  <w:footnote w:id="11">
    <w:p w:rsidR="00C95BBD" w:rsidP="00B6421B" w14:paraId="61C4189E" w14:textId="15DDD7B0">
      <w:pPr>
        <w:pStyle w:val="FootnoteText"/>
        <w:spacing w:after="120"/>
      </w:pPr>
      <w:r>
        <w:rPr>
          <w:rStyle w:val="FootnoteReference"/>
        </w:rPr>
        <w:footnoteRef/>
      </w:r>
      <w:r>
        <w:t xml:space="preserve"> Direct Testimony of Edward W. Hill, Ph.D. (December 17, 2020)</w:t>
      </w:r>
      <w:r w:rsidR="006B2E39">
        <w:t xml:space="preserve"> (“Hill Direct”)</w:t>
      </w:r>
      <w:r>
        <w:t xml:space="preserve"> at 1-19 to 4-14. </w:t>
      </w:r>
    </w:p>
  </w:footnote>
  <w:footnote w:id="12">
    <w:p w:rsidR="00457C92" w:rsidRPr="00457C92" w:rsidP="00B6421B" w14:paraId="593FCED7" w14:textId="18BC6352">
      <w:pPr>
        <w:pStyle w:val="FootnoteText"/>
        <w:spacing w:after="120"/>
      </w:pPr>
      <w:r>
        <w:rPr>
          <w:rStyle w:val="FootnoteReference"/>
        </w:rPr>
        <w:footnoteRef/>
      </w:r>
      <w:r>
        <w:t xml:space="preserve"> </w:t>
      </w:r>
      <w:r>
        <w:rPr>
          <w:i/>
          <w:iCs/>
        </w:rPr>
        <w:t xml:space="preserve">Id. </w:t>
      </w:r>
    </w:p>
  </w:footnote>
  <w:footnote w:id="13">
    <w:p w:rsidR="006B2E39" w:rsidP="00B6421B" w14:paraId="29DD1496" w14:textId="59AC0147">
      <w:pPr>
        <w:pStyle w:val="FootnoteText"/>
        <w:spacing w:after="120"/>
      </w:pPr>
      <w:r>
        <w:rPr>
          <w:rStyle w:val="FootnoteReference"/>
        </w:rPr>
        <w:footnoteRef/>
      </w:r>
      <w:r>
        <w:t xml:space="preserve"> Hill Direct at</w:t>
      </w:r>
      <w:r w:rsidR="00457C92">
        <w:t xml:space="preserve"> 6-15 to 9.</w:t>
      </w:r>
    </w:p>
  </w:footnote>
  <w:footnote w:id="14">
    <w:p w:rsidR="00457C92" w:rsidRPr="00457C92" w:rsidP="00B6421B" w14:paraId="12C8ED3E" w14:textId="7C82036D">
      <w:pPr>
        <w:pStyle w:val="FootnoteText"/>
        <w:spacing w:after="120"/>
        <w:rPr>
          <w:i/>
          <w:iCs/>
        </w:rPr>
      </w:pPr>
      <w:r>
        <w:rPr>
          <w:rStyle w:val="FootnoteReference"/>
        </w:rPr>
        <w:footnoteRef/>
      </w:r>
      <w:r>
        <w:t xml:space="preserve"> </w:t>
      </w:r>
      <w:r>
        <w:rPr>
          <w:i/>
          <w:iCs/>
        </w:rPr>
        <w:t>Id.</w:t>
      </w:r>
    </w:p>
  </w:footnote>
  <w:footnote w:id="15">
    <w:p w:rsidR="00467F11" w:rsidRPr="00467F11" w:rsidP="00B6421B" w14:paraId="1E2F7F61" w14:textId="77777777">
      <w:pPr>
        <w:pStyle w:val="FootnoteText"/>
        <w:spacing w:after="120"/>
      </w:pPr>
      <w:r>
        <w:rPr>
          <w:rStyle w:val="FootnoteReference"/>
        </w:rPr>
        <w:footnoteRef/>
      </w:r>
      <w:r>
        <w:t xml:space="preserve"> </w:t>
      </w:r>
      <w:r>
        <w:rPr>
          <w:i/>
          <w:iCs/>
        </w:rPr>
        <w:t>In the Matter of the Application of Ohio Power Company and Columbus Southern Power Company for Authority to Merge and Related Approvals</w:t>
      </w:r>
      <w:r>
        <w:t xml:space="preserve">, Case No. 10-2376, Opinion and Order (December 14, 2011) at 29. </w:t>
      </w:r>
    </w:p>
  </w:footnote>
  <w:footnote w:id="16">
    <w:p w:rsidR="005433D7" w:rsidP="00B6421B" w14:paraId="7AE28C2A" w14:textId="7B008B41">
      <w:pPr>
        <w:pStyle w:val="FootnoteText"/>
        <w:spacing w:after="120"/>
      </w:pPr>
      <w:r>
        <w:rPr>
          <w:rStyle w:val="FootnoteReference"/>
        </w:rPr>
        <w:footnoteRef/>
      </w:r>
      <w:r>
        <w:t xml:space="preserve"> </w:t>
      </w:r>
      <w:r w:rsidRPr="005433D7">
        <w:rPr>
          <w:i/>
          <w:iCs/>
        </w:rPr>
        <w:t>Id.</w:t>
      </w:r>
      <w:r>
        <w:t xml:space="preserve"> </w:t>
      </w:r>
    </w:p>
  </w:footnote>
  <w:footnote w:id="17">
    <w:p w:rsidR="00467F11" w:rsidRPr="008F3C1E" w:rsidP="00B6421B" w14:paraId="30AC4A24" w14:textId="3F3DDF35">
      <w:pPr>
        <w:pStyle w:val="FootnoteText"/>
        <w:spacing w:after="120"/>
        <w:rPr>
          <w:i/>
          <w:iCs/>
        </w:rPr>
      </w:pPr>
      <w:r w:rsidRPr="008F3C1E">
        <w:rPr>
          <w:rStyle w:val="FootnoteReference"/>
        </w:rPr>
        <w:footnoteRef/>
      </w:r>
      <w:r w:rsidRPr="008F3C1E">
        <w:t xml:space="preserve"> </w:t>
      </w:r>
      <w:r w:rsidRPr="008F3C1E">
        <w:rPr>
          <w:i/>
          <w:iCs/>
        </w:rPr>
        <w:t>Id.</w:t>
      </w:r>
    </w:p>
  </w:footnote>
  <w:footnote w:id="18">
    <w:p w:rsidR="008F3C1E" w:rsidRPr="008F3C1E" w:rsidP="00B6421B" w14:paraId="5A5B57E1" w14:textId="2129DB2B">
      <w:pPr>
        <w:pStyle w:val="NormalWeb"/>
        <w:shd w:val="clear" w:color="auto" w:fill="FFFFFF"/>
        <w:spacing w:before="0" w:beforeAutospacing="0" w:after="120" w:afterAutospacing="0"/>
        <w:textAlignment w:val="baseline"/>
        <w:rPr>
          <w:color w:val="000000"/>
          <w:sz w:val="20"/>
          <w:szCs w:val="20"/>
        </w:rPr>
      </w:pPr>
      <w:r w:rsidRPr="008F3C1E">
        <w:rPr>
          <w:rStyle w:val="FootnoteReference"/>
          <w:sz w:val="20"/>
          <w:szCs w:val="20"/>
        </w:rPr>
        <w:footnoteRef/>
      </w:r>
      <w:r w:rsidRPr="008F3C1E">
        <w:rPr>
          <w:sz w:val="20"/>
          <w:szCs w:val="20"/>
        </w:rPr>
        <w:t xml:space="preserve"> </w:t>
      </w:r>
      <w:r w:rsidRPr="008F3C1E">
        <w:rPr>
          <w:i/>
          <w:iCs/>
          <w:sz w:val="20"/>
          <w:szCs w:val="20"/>
          <w:bdr w:val="none" w:sz="0" w:space="0" w:color="auto" w:frame="1"/>
          <w:shd w:val="clear" w:color="auto" w:fill="FFFFFF"/>
        </w:rPr>
        <w:t>State v. Bradley</w:t>
      </w:r>
      <w:r w:rsidRPr="008F3C1E">
        <w:rPr>
          <w:sz w:val="20"/>
          <w:szCs w:val="20"/>
          <w:bdr w:val="none" w:sz="0" w:space="0" w:color="auto" w:frame="1"/>
          <w:shd w:val="clear" w:color="auto" w:fill="FFFFFF"/>
        </w:rPr>
        <w:t xml:space="preserve">, </w:t>
      </w:r>
      <w:r w:rsidR="00C23727">
        <w:rPr>
          <w:sz w:val="20"/>
          <w:szCs w:val="20"/>
          <w:bdr w:val="none" w:sz="0" w:space="0" w:color="auto" w:frame="1"/>
          <w:shd w:val="clear" w:color="auto" w:fill="FFFFFF"/>
        </w:rPr>
        <w:t>7</w:t>
      </w:r>
      <w:r w:rsidRPr="00C23727" w:rsidR="00C23727">
        <w:rPr>
          <w:sz w:val="20"/>
          <w:szCs w:val="20"/>
          <w:bdr w:val="none" w:sz="0" w:space="0" w:color="auto" w:frame="1"/>
          <w:shd w:val="clear" w:color="auto" w:fill="FFFFFF"/>
          <w:vertAlign w:val="superscript"/>
        </w:rPr>
        <w:t>th</w:t>
      </w:r>
      <w:r w:rsidR="00C23727">
        <w:rPr>
          <w:sz w:val="20"/>
          <w:szCs w:val="20"/>
          <w:bdr w:val="none" w:sz="0" w:space="0" w:color="auto" w:frame="1"/>
          <w:shd w:val="clear" w:color="auto" w:fill="FFFFFF"/>
        </w:rPr>
        <w:t xml:space="preserve"> Dist. Columbiana No. 11 CO 26, 2012-Ohio-5880, </w:t>
      </w:r>
      <w:r w:rsidRPr="008F3C1E">
        <w:rPr>
          <w:sz w:val="20"/>
          <w:szCs w:val="20"/>
          <w:bdr w:val="none" w:sz="0" w:space="0" w:color="auto" w:frame="1"/>
          <w:shd w:val="clear" w:color="auto" w:fill="FFFFFF"/>
        </w:rPr>
        <w:t>¶ 39</w:t>
      </w:r>
      <w:r w:rsidR="00C23727">
        <w:rPr>
          <w:sz w:val="20"/>
          <w:szCs w:val="20"/>
          <w:bdr w:val="none" w:sz="0" w:space="0" w:color="auto" w:frame="1"/>
          <w:shd w:val="clear" w:color="auto" w:fill="FFFFFF"/>
        </w:rPr>
        <w:t>.</w:t>
      </w:r>
    </w:p>
  </w:footnote>
  <w:footnote w:id="19">
    <w:p w:rsidR="00B9163B" w:rsidRPr="008F3C1E" w:rsidP="00B6421B" w14:paraId="486B4569" w14:textId="5369EE46">
      <w:pPr>
        <w:spacing w:after="120"/>
        <w:contextualSpacing/>
        <w:rPr>
          <w:color w:val="000000"/>
          <w:sz w:val="20"/>
        </w:rPr>
      </w:pPr>
      <w:r w:rsidRPr="008F3C1E">
        <w:rPr>
          <w:rStyle w:val="FootnoteReference"/>
          <w:sz w:val="20"/>
        </w:rPr>
        <w:footnoteRef/>
      </w:r>
      <w:r w:rsidR="00977797">
        <w:rPr>
          <w:sz w:val="20"/>
        </w:rPr>
        <w:t xml:space="preserve"> </w:t>
      </w:r>
      <w:r w:rsidRPr="00F33AAC" w:rsidR="00977797">
        <w:rPr>
          <w:i/>
          <w:iCs/>
          <w:sz w:val="20"/>
        </w:rPr>
        <w:t>See</w:t>
      </w:r>
      <w:r w:rsidR="00977797">
        <w:rPr>
          <w:sz w:val="20"/>
        </w:rPr>
        <w:t xml:space="preserve"> </w:t>
      </w:r>
      <w:r w:rsidRPr="008F3C1E">
        <w:rPr>
          <w:i/>
          <w:iCs/>
          <w:color w:val="000000"/>
          <w:sz w:val="20"/>
        </w:rPr>
        <w:t>Clay v. Johns-Manville Sales Corp</w:t>
      </w:r>
      <w:r w:rsidRPr="008F3C1E">
        <w:rPr>
          <w:color w:val="000000"/>
          <w:sz w:val="20"/>
        </w:rPr>
        <w:t>., 722 F.2d 1289, 1295 (6th Cir. 1983)</w:t>
      </w:r>
      <w:r w:rsidR="00977797">
        <w:rPr>
          <w:color w:val="000000"/>
          <w:sz w:val="20"/>
        </w:rPr>
        <w:t xml:space="preserve"> (deposition testimony of witness in prior case was admissible where defendants in that case “had a similar motive in confronting [expert]’s testimony, both in terms of appropriate objections and searching cross-examination, to that which [defendant] has in the current litigation”). </w:t>
      </w:r>
    </w:p>
  </w:footnote>
  <w:footnote w:id="20">
    <w:p w:rsidR="00DA52F2" w:rsidRPr="00A77433" w:rsidP="00B6421B" w14:paraId="1962D267" w14:textId="5EF23470">
      <w:pPr>
        <w:pStyle w:val="FootnoteText"/>
        <w:spacing w:after="120"/>
      </w:pPr>
      <w:r w:rsidRPr="008F3C1E">
        <w:rPr>
          <w:rStyle w:val="FootnoteReference"/>
        </w:rPr>
        <w:footnoteRef/>
      </w:r>
      <w:r w:rsidRPr="008F3C1E">
        <w:t xml:space="preserve"> </w:t>
      </w:r>
      <w:r w:rsidR="00C95BBD">
        <w:t>Hill Direct at</w:t>
      </w:r>
      <w:r w:rsidR="00A77433">
        <w:t xml:space="preserve"> 4. </w:t>
      </w:r>
    </w:p>
  </w:footnote>
  <w:footnote w:id="21">
    <w:p w:rsidR="00DA52F2" w:rsidP="00B6421B" w14:paraId="6589AA96" w14:textId="6ABAB370">
      <w:pPr>
        <w:pStyle w:val="FootnoteText"/>
        <w:spacing w:after="120"/>
      </w:pPr>
      <w:r w:rsidRPr="008F3C1E">
        <w:rPr>
          <w:rStyle w:val="FootnoteReference"/>
        </w:rPr>
        <w:footnoteRef/>
      </w:r>
      <w:r>
        <w:t xml:space="preserve"> </w:t>
      </w:r>
      <w:r w:rsidR="00A77433">
        <w:t xml:space="preserve">Joint Stipulation and Recommendation (December 23, 2020) at 54. </w:t>
      </w:r>
    </w:p>
  </w:footnote>
  <w:footnote w:id="22">
    <w:p w:rsidR="00993758" w:rsidP="00B6421B" w14:paraId="0BC2D707" w14:textId="0A00A0A3">
      <w:pPr>
        <w:pStyle w:val="FootnoteText"/>
        <w:spacing w:after="120"/>
      </w:pPr>
      <w:r>
        <w:rPr>
          <w:rStyle w:val="FootnoteReference"/>
        </w:rPr>
        <w:footnoteRef/>
      </w:r>
      <w:r>
        <w:t xml:space="preserve"> Hearing Transcript I</w:t>
      </w:r>
      <w:r w:rsidR="00A77433">
        <w:t xml:space="preserve"> (January 28, 2021)</w:t>
      </w:r>
      <w:r>
        <w:t>, at 603-682.</w:t>
      </w:r>
    </w:p>
  </w:footnote>
  <w:footnote w:id="23">
    <w:p w:rsidR="00986103" w:rsidRPr="00986103" w:rsidP="00B6421B" w14:paraId="3E879E70" w14:textId="77CB64C3">
      <w:pPr>
        <w:pStyle w:val="FootnoteText"/>
        <w:spacing w:after="120"/>
      </w:pPr>
      <w:r>
        <w:rPr>
          <w:rStyle w:val="FootnoteReference"/>
        </w:rPr>
        <w:footnoteRef/>
      </w:r>
      <w:r>
        <w:t xml:space="preserve"> </w:t>
      </w:r>
      <w:r>
        <w:rPr>
          <w:i/>
          <w:iCs/>
        </w:rPr>
        <w:t xml:space="preserve">See </w:t>
      </w:r>
      <w:r>
        <w:t xml:space="preserve">OCC Ex. 3 (Williams Supplemental) at </w:t>
      </w:r>
      <w:r w:rsidR="00835605">
        <w:t xml:space="preserve">5, </w:t>
      </w:r>
      <w:r>
        <w:t xml:space="preserve">7-8.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D621098"/>
    <w:lvl w:ilvl="0">
      <w:start w:val="1"/>
      <w:numFmt w:val="decimal"/>
      <w:lvlText w:val="%1."/>
      <w:lvlJc w:val="left"/>
      <w:pPr>
        <w:tabs>
          <w:tab w:val="num" w:pos="1800"/>
        </w:tabs>
        <w:ind w:left="1800" w:hanging="360"/>
      </w:pPr>
    </w:lvl>
  </w:abstractNum>
  <w:abstractNum w:abstractNumId="1">
    <w:nsid w:val="FFFFFF7D"/>
    <w:multiLevelType w:val="singleLevel"/>
    <w:tmpl w:val="C2FA930C"/>
    <w:lvl w:ilvl="0">
      <w:start w:val="1"/>
      <w:numFmt w:val="decimal"/>
      <w:lvlText w:val="%1."/>
      <w:lvlJc w:val="left"/>
      <w:pPr>
        <w:tabs>
          <w:tab w:val="num" w:pos="1440"/>
        </w:tabs>
        <w:ind w:left="1440" w:hanging="360"/>
      </w:pPr>
    </w:lvl>
  </w:abstractNum>
  <w:abstractNum w:abstractNumId="2">
    <w:nsid w:val="FFFFFF7E"/>
    <w:multiLevelType w:val="singleLevel"/>
    <w:tmpl w:val="42A41BF4"/>
    <w:lvl w:ilvl="0">
      <w:start w:val="1"/>
      <w:numFmt w:val="decimal"/>
      <w:lvlText w:val="%1."/>
      <w:lvlJc w:val="left"/>
      <w:pPr>
        <w:tabs>
          <w:tab w:val="num" w:pos="1080"/>
        </w:tabs>
        <w:ind w:left="1080" w:hanging="360"/>
      </w:pPr>
    </w:lvl>
  </w:abstractNum>
  <w:abstractNum w:abstractNumId="3">
    <w:nsid w:val="FFFFFF7F"/>
    <w:multiLevelType w:val="singleLevel"/>
    <w:tmpl w:val="7BF01812"/>
    <w:lvl w:ilvl="0">
      <w:start w:val="1"/>
      <w:numFmt w:val="decimal"/>
      <w:lvlText w:val="%1."/>
      <w:lvlJc w:val="left"/>
      <w:pPr>
        <w:tabs>
          <w:tab w:val="num" w:pos="720"/>
        </w:tabs>
        <w:ind w:left="720" w:hanging="360"/>
      </w:pPr>
    </w:lvl>
  </w:abstractNum>
  <w:abstractNum w:abstractNumId="4">
    <w:nsid w:val="FFFFFF80"/>
    <w:multiLevelType w:val="singleLevel"/>
    <w:tmpl w:val="93E8AA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856E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3CC7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1C93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2CF4B0"/>
    <w:lvl w:ilvl="0">
      <w:start w:val="1"/>
      <w:numFmt w:val="decimal"/>
      <w:lvlText w:val="%1."/>
      <w:lvlJc w:val="left"/>
      <w:pPr>
        <w:tabs>
          <w:tab w:val="num" w:pos="360"/>
        </w:tabs>
        <w:ind w:left="360" w:hanging="360"/>
      </w:pPr>
    </w:lvl>
  </w:abstractNum>
  <w:abstractNum w:abstractNumId="9">
    <w:nsid w:val="FFFFFF89"/>
    <w:multiLevelType w:val="singleLevel"/>
    <w:tmpl w:val="4AA623EA"/>
    <w:lvl w:ilvl="0">
      <w:start w:val="1"/>
      <w:numFmt w:val="bullet"/>
      <w:lvlText w:val=""/>
      <w:lvlJc w:val="left"/>
      <w:pPr>
        <w:tabs>
          <w:tab w:val="num" w:pos="360"/>
        </w:tabs>
        <w:ind w:left="360" w:hanging="360"/>
      </w:pPr>
      <w:rPr>
        <w:rFonts w:ascii="Symbol" w:hAnsi="Symbol" w:hint="default"/>
      </w:rPr>
    </w:lvl>
  </w:abstractNum>
  <w:abstractNum w:abstractNumId="10">
    <w:nsid w:val="02DA24F1"/>
    <w:multiLevelType w:val="hybridMultilevel"/>
    <w:tmpl w:val="F158431C"/>
    <w:lvl w:ilvl="0">
      <w:start w:val="1"/>
      <w:numFmt w:val="lowerLetter"/>
      <w:lvlText w:val="%1."/>
      <w:lvlJc w:val="left"/>
      <w:pPr>
        <w:tabs>
          <w:tab w:val="num" w:pos="3600"/>
        </w:tabs>
        <w:ind w:left="3600" w:hanging="144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06A21865"/>
    <w:multiLevelType w:val="hybridMultilevel"/>
    <w:tmpl w:val="4B788BD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8124D5F"/>
    <w:multiLevelType w:val="hybridMultilevel"/>
    <w:tmpl w:val="C3F65CA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7240BCD"/>
    <w:multiLevelType w:val="hybridMultilevel"/>
    <w:tmpl w:val="9558D1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771558"/>
    <w:multiLevelType w:val="hybridMultilevel"/>
    <w:tmpl w:val="5C7C587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66E7E41"/>
    <w:multiLevelType w:val="hybridMultilevel"/>
    <w:tmpl w:val="E0663A8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B274279"/>
    <w:multiLevelType w:val="hybridMultilevel"/>
    <w:tmpl w:val="9CBEC9AC"/>
    <w:lvl w:ilvl="0">
      <w:start w:val="1"/>
      <w:numFmt w:val="decimal"/>
      <w:lvlText w:val="%1)"/>
      <w:lvlJc w:val="left"/>
      <w:pPr>
        <w:tabs>
          <w:tab w:val="num" w:pos="1710"/>
        </w:tabs>
        <w:ind w:left="1710" w:hanging="9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6A396A1E"/>
    <w:multiLevelType w:val="hybridMultilevel"/>
    <w:tmpl w:val="B374DB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CB1E78"/>
    <w:multiLevelType w:val="hybridMultilevel"/>
    <w:tmpl w:val="A0CC3B8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4">
    <w:nsid w:val="71411A17"/>
    <w:multiLevelType w:val="hybridMultilevel"/>
    <w:tmpl w:val="41B8A9B6"/>
    <w:lvl w:ilvl="0">
      <w:start w:val="2"/>
      <w:numFmt w:val="upperRoman"/>
      <w:lvlText w:val="%1&gt;"/>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6527290"/>
    <w:multiLevelType w:val="hybridMultilevel"/>
    <w:tmpl w:val="D5ACD3AC"/>
    <w:lvl w:ilvl="0">
      <w:start w:val="1"/>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7F150E18"/>
    <w:multiLevelType w:val="hybridMultilevel"/>
    <w:tmpl w:val="9B86CAF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8"/>
  </w:num>
  <w:num w:numId="2">
    <w:abstractNumId w:val="16"/>
  </w:num>
  <w:num w:numId="3">
    <w:abstractNumId w:val="21"/>
  </w:num>
  <w:num w:numId="4">
    <w:abstractNumId w:val="20"/>
  </w:num>
  <w:num w:numId="5">
    <w:abstractNumId w:val="13"/>
  </w:num>
  <w:num w:numId="6">
    <w:abstractNumId w:val="26"/>
  </w:num>
  <w:num w:numId="7">
    <w:abstractNumId w:val="23"/>
  </w:num>
  <w:num w:numId="8">
    <w:abstractNumId w:val="27"/>
  </w:num>
  <w:num w:numId="9">
    <w:abstractNumId w:val="25"/>
  </w:num>
  <w:num w:numId="10">
    <w:abstractNumId w:val="19"/>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2"/>
  </w:num>
  <w:num w:numId="24">
    <w:abstractNumId w:val="14"/>
  </w:num>
  <w:num w:numId="25">
    <w:abstractNumId w:val="11"/>
  </w:num>
  <w:num w:numId="26">
    <w:abstractNumId w:val="1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26"/>
    <w:rsid w:val="00010B59"/>
    <w:rsid w:val="0001103E"/>
    <w:rsid w:val="0001128B"/>
    <w:rsid w:val="00023448"/>
    <w:rsid w:val="00024614"/>
    <w:rsid w:val="00025833"/>
    <w:rsid w:val="00027C64"/>
    <w:rsid w:val="00032949"/>
    <w:rsid w:val="00032DA0"/>
    <w:rsid w:val="0004130B"/>
    <w:rsid w:val="00042739"/>
    <w:rsid w:val="000609AC"/>
    <w:rsid w:val="000637AC"/>
    <w:rsid w:val="0007139E"/>
    <w:rsid w:val="00077949"/>
    <w:rsid w:val="0008241A"/>
    <w:rsid w:val="00082F86"/>
    <w:rsid w:val="00096109"/>
    <w:rsid w:val="000A1E61"/>
    <w:rsid w:val="000A7A2B"/>
    <w:rsid w:val="000B1CB4"/>
    <w:rsid w:val="000B2735"/>
    <w:rsid w:val="000C4C02"/>
    <w:rsid w:val="000C5C18"/>
    <w:rsid w:val="000D5DC2"/>
    <w:rsid w:val="000E0326"/>
    <w:rsid w:val="000E0AE1"/>
    <w:rsid w:val="000E55B1"/>
    <w:rsid w:val="000E6BBD"/>
    <w:rsid w:val="000F0633"/>
    <w:rsid w:val="000F5B7F"/>
    <w:rsid w:val="000F7329"/>
    <w:rsid w:val="00101244"/>
    <w:rsid w:val="00112549"/>
    <w:rsid w:val="001133CC"/>
    <w:rsid w:val="001161B5"/>
    <w:rsid w:val="001179CC"/>
    <w:rsid w:val="00120D8D"/>
    <w:rsid w:val="00121A2E"/>
    <w:rsid w:val="001232D9"/>
    <w:rsid w:val="00124D1C"/>
    <w:rsid w:val="00137BF3"/>
    <w:rsid w:val="00143A3A"/>
    <w:rsid w:val="001573A9"/>
    <w:rsid w:val="0016048E"/>
    <w:rsid w:val="00162DAE"/>
    <w:rsid w:val="0016743F"/>
    <w:rsid w:val="0018182B"/>
    <w:rsid w:val="00181BC5"/>
    <w:rsid w:val="001A073F"/>
    <w:rsid w:val="001A0C05"/>
    <w:rsid w:val="001A10D2"/>
    <w:rsid w:val="001A639F"/>
    <w:rsid w:val="001B17ED"/>
    <w:rsid w:val="001C0724"/>
    <w:rsid w:val="001C4904"/>
    <w:rsid w:val="001D52FC"/>
    <w:rsid w:val="001D535F"/>
    <w:rsid w:val="001E33AF"/>
    <w:rsid w:val="001E3A31"/>
    <w:rsid w:val="001E7837"/>
    <w:rsid w:val="001F346E"/>
    <w:rsid w:val="001F5F3C"/>
    <w:rsid w:val="001F73CA"/>
    <w:rsid w:val="0020260E"/>
    <w:rsid w:val="00203E7A"/>
    <w:rsid w:val="0020461B"/>
    <w:rsid w:val="00206E19"/>
    <w:rsid w:val="00225924"/>
    <w:rsid w:val="0022796A"/>
    <w:rsid w:val="00232377"/>
    <w:rsid w:val="00237D52"/>
    <w:rsid w:val="002434B2"/>
    <w:rsid w:val="00244ED5"/>
    <w:rsid w:val="00254036"/>
    <w:rsid w:val="00257C9F"/>
    <w:rsid w:val="002673F2"/>
    <w:rsid w:val="002715CB"/>
    <w:rsid w:val="00275D11"/>
    <w:rsid w:val="00280C54"/>
    <w:rsid w:val="00281640"/>
    <w:rsid w:val="00287978"/>
    <w:rsid w:val="00294EF2"/>
    <w:rsid w:val="002A1D69"/>
    <w:rsid w:val="002A2A08"/>
    <w:rsid w:val="002A57A7"/>
    <w:rsid w:val="002A5E15"/>
    <w:rsid w:val="002B7E2B"/>
    <w:rsid w:val="002C40FF"/>
    <w:rsid w:val="002D0B55"/>
    <w:rsid w:val="002D1CBA"/>
    <w:rsid w:val="002E0376"/>
    <w:rsid w:val="002E1D26"/>
    <w:rsid w:val="002F0C0D"/>
    <w:rsid w:val="002F0D09"/>
    <w:rsid w:val="002F4A32"/>
    <w:rsid w:val="00300539"/>
    <w:rsid w:val="0030435B"/>
    <w:rsid w:val="003044B1"/>
    <w:rsid w:val="003056EB"/>
    <w:rsid w:val="0031477A"/>
    <w:rsid w:val="00325D1C"/>
    <w:rsid w:val="00326174"/>
    <w:rsid w:val="00326A10"/>
    <w:rsid w:val="00341930"/>
    <w:rsid w:val="00344814"/>
    <w:rsid w:val="00347C65"/>
    <w:rsid w:val="0035186B"/>
    <w:rsid w:val="00361D3E"/>
    <w:rsid w:val="00366501"/>
    <w:rsid w:val="003764D5"/>
    <w:rsid w:val="00382CF9"/>
    <w:rsid w:val="00384F51"/>
    <w:rsid w:val="00387A24"/>
    <w:rsid w:val="00393BC8"/>
    <w:rsid w:val="003A235F"/>
    <w:rsid w:val="003A2F1E"/>
    <w:rsid w:val="003A4F34"/>
    <w:rsid w:val="003B5088"/>
    <w:rsid w:val="003C1E3B"/>
    <w:rsid w:val="003C5F17"/>
    <w:rsid w:val="003D64C5"/>
    <w:rsid w:val="003E1BBB"/>
    <w:rsid w:val="003E4519"/>
    <w:rsid w:val="003E5BC5"/>
    <w:rsid w:val="003E5D45"/>
    <w:rsid w:val="0042087C"/>
    <w:rsid w:val="004347E5"/>
    <w:rsid w:val="00434DAB"/>
    <w:rsid w:val="00445EE2"/>
    <w:rsid w:val="00446E8B"/>
    <w:rsid w:val="004561A3"/>
    <w:rsid w:val="00457C92"/>
    <w:rsid w:val="004664A0"/>
    <w:rsid w:val="00467F11"/>
    <w:rsid w:val="00471D2C"/>
    <w:rsid w:val="00484FDC"/>
    <w:rsid w:val="00485A92"/>
    <w:rsid w:val="00486361"/>
    <w:rsid w:val="004931C7"/>
    <w:rsid w:val="004970D7"/>
    <w:rsid w:val="004A2AEA"/>
    <w:rsid w:val="004A3F72"/>
    <w:rsid w:val="004A757B"/>
    <w:rsid w:val="004B3D74"/>
    <w:rsid w:val="004D0A73"/>
    <w:rsid w:val="004D308F"/>
    <w:rsid w:val="004E4001"/>
    <w:rsid w:val="004E4FE5"/>
    <w:rsid w:val="00512125"/>
    <w:rsid w:val="0051409B"/>
    <w:rsid w:val="00517BC7"/>
    <w:rsid w:val="00517CA3"/>
    <w:rsid w:val="005211B7"/>
    <w:rsid w:val="005321D9"/>
    <w:rsid w:val="00532502"/>
    <w:rsid w:val="00535351"/>
    <w:rsid w:val="00535C4D"/>
    <w:rsid w:val="005433D7"/>
    <w:rsid w:val="00556272"/>
    <w:rsid w:val="00562C23"/>
    <w:rsid w:val="00564ECC"/>
    <w:rsid w:val="00566DB1"/>
    <w:rsid w:val="0057090F"/>
    <w:rsid w:val="00576D0C"/>
    <w:rsid w:val="005828C5"/>
    <w:rsid w:val="00583B06"/>
    <w:rsid w:val="00585170"/>
    <w:rsid w:val="00591EFB"/>
    <w:rsid w:val="00594356"/>
    <w:rsid w:val="00594A1E"/>
    <w:rsid w:val="005A7640"/>
    <w:rsid w:val="005C27C3"/>
    <w:rsid w:val="005C370A"/>
    <w:rsid w:val="005C49D4"/>
    <w:rsid w:val="005D08A4"/>
    <w:rsid w:val="005E60FC"/>
    <w:rsid w:val="005F12CD"/>
    <w:rsid w:val="005F587F"/>
    <w:rsid w:val="005F7921"/>
    <w:rsid w:val="00607F89"/>
    <w:rsid w:val="00610F07"/>
    <w:rsid w:val="006113C4"/>
    <w:rsid w:val="00613F3E"/>
    <w:rsid w:val="00621EAC"/>
    <w:rsid w:val="00621F95"/>
    <w:rsid w:val="006227A7"/>
    <w:rsid w:val="006259FD"/>
    <w:rsid w:val="0062762F"/>
    <w:rsid w:val="00637B51"/>
    <w:rsid w:val="00644057"/>
    <w:rsid w:val="006565B5"/>
    <w:rsid w:val="006568FC"/>
    <w:rsid w:val="006611C6"/>
    <w:rsid w:val="006720BF"/>
    <w:rsid w:val="00687B04"/>
    <w:rsid w:val="0069101B"/>
    <w:rsid w:val="00693299"/>
    <w:rsid w:val="006947B3"/>
    <w:rsid w:val="006B2E39"/>
    <w:rsid w:val="006B3D30"/>
    <w:rsid w:val="006B6324"/>
    <w:rsid w:val="006C1B77"/>
    <w:rsid w:val="006C4413"/>
    <w:rsid w:val="006C6603"/>
    <w:rsid w:val="006C6D5F"/>
    <w:rsid w:val="006D1915"/>
    <w:rsid w:val="006F4B02"/>
    <w:rsid w:val="007009B3"/>
    <w:rsid w:val="0071475C"/>
    <w:rsid w:val="00722DD3"/>
    <w:rsid w:val="007233EA"/>
    <w:rsid w:val="00735276"/>
    <w:rsid w:val="007369C8"/>
    <w:rsid w:val="007371F3"/>
    <w:rsid w:val="00753193"/>
    <w:rsid w:val="00754107"/>
    <w:rsid w:val="007613E8"/>
    <w:rsid w:val="00762C8B"/>
    <w:rsid w:val="00763597"/>
    <w:rsid w:val="00763ACF"/>
    <w:rsid w:val="00767BFD"/>
    <w:rsid w:val="007727DB"/>
    <w:rsid w:val="007743C1"/>
    <w:rsid w:val="007744C6"/>
    <w:rsid w:val="0077599C"/>
    <w:rsid w:val="00780847"/>
    <w:rsid w:val="0078755F"/>
    <w:rsid w:val="00791369"/>
    <w:rsid w:val="007974F8"/>
    <w:rsid w:val="007A34E9"/>
    <w:rsid w:val="007B0711"/>
    <w:rsid w:val="007B55DE"/>
    <w:rsid w:val="007C11A8"/>
    <w:rsid w:val="007C1D25"/>
    <w:rsid w:val="007D4C6F"/>
    <w:rsid w:val="007E2309"/>
    <w:rsid w:val="007E6B07"/>
    <w:rsid w:val="007F1157"/>
    <w:rsid w:val="007F2BE5"/>
    <w:rsid w:val="007F3E01"/>
    <w:rsid w:val="007F55EA"/>
    <w:rsid w:val="007F5CA4"/>
    <w:rsid w:val="007F69A1"/>
    <w:rsid w:val="007F73A1"/>
    <w:rsid w:val="008102A3"/>
    <w:rsid w:val="00814BC0"/>
    <w:rsid w:val="00817035"/>
    <w:rsid w:val="008221EE"/>
    <w:rsid w:val="0083098A"/>
    <w:rsid w:val="00833E01"/>
    <w:rsid w:val="00835605"/>
    <w:rsid w:val="00844334"/>
    <w:rsid w:val="0084570A"/>
    <w:rsid w:val="0085576C"/>
    <w:rsid w:val="008562D9"/>
    <w:rsid w:val="008658CE"/>
    <w:rsid w:val="00867177"/>
    <w:rsid w:val="00876080"/>
    <w:rsid w:val="00880C61"/>
    <w:rsid w:val="00892793"/>
    <w:rsid w:val="00895776"/>
    <w:rsid w:val="008B2315"/>
    <w:rsid w:val="008C3969"/>
    <w:rsid w:val="008D4814"/>
    <w:rsid w:val="008F1DDE"/>
    <w:rsid w:val="008F3C1E"/>
    <w:rsid w:val="008F3D5C"/>
    <w:rsid w:val="00903EF9"/>
    <w:rsid w:val="00915BA7"/>
    <w:rsid w:val="00915E0E"/>
    <w:rsid w:val="009213C3"/>
    <w:rsid w:val="00921BEA"/>
    <w:rsid w:val="00942778"/>
    <w:rsid w:val="00943631"/>
    <w:rsid w:val="00954F23"/>
    <w:rsid w:val="0095608D"/>
    <w:rsid w:val="009626AF"/>
    <w:rsid w:val="00964DA7"/>
    <w:rsid w:val="009663F7"/>
    <w:rsid w:val="009730E4"/>
    <w:rsid w:val="00977797"/>
    <w:rsid w:val="00985645"/>
    <w:rsid w:val="00986103"/>
    <w:rsid w:val="009875C3"/>
    <w:rsid w:val="00993758"/>
    <w:rsid w:val="0099500D"/>
    <w:rsid w:val="00997AB3"/>
    <w:rsid w:val="009A3B33"/>
    <w:rsid w:val="009A4265"/>
    <w:rsid w:val="009B01CD"/>
    <w:rsid w:val="009B6724"/>
    <w:rsid w:val="009B7423"/>
    <w:rsid w:val="009C1E0C"/>
    <w:rsid w:val="009C2A91"/>
    <w:rsid w:val="009C6EA7"/>
    <w:rsid w:val="009D5AFF"/>
    <w:rsid w:val="009E289D"/>
    <w:rsid w:val="009E2EF0"/>
    <w:rsid w:val="009E48DF"/>
    <w:rsid w:val="009F11C4"/>
    <w:rsid w:val="009F14BC"/>
    <w:rsid w:val="009F5033"/>
    <w:rsid w:val="009F5D6A"/>
    <w:rsid w:val="009F7064"/>
    <w:rsid w:val="00A05643"/>
    <w:rsid w:val="00A057D4"/>
    <w:rsid w:val="00A076C0"/>
    <w:rsid w:val="00A15F7E"/>
    <w:rsid w:val="00A22FE8"/>
    <w:rsid w:val="00A3235E"/>
    <w:rsid w:val="00A34191"/>
    <w:rsid w:val="00A37646"/>
    <w:rsid w:val="00A4133F"/>
    <w:rsid w:val="00A51B0B"/>
    <w:rsid w:val="00A6060A"/>
    <w:rsid w:val="00A644B5"/>
    <w:rsid w:val="00A77433"/>
    <w:rsid w:val="00A81BEE"/>
    <w:rsid w:val="00A83132"/>
    <w:rsid w:val="00A96992"/>
    <w:rsid w:val="00AA14FD"/>
    <w:rsid w:val="00AA16DC"/>
    <w:rsid w:val="00AA5426"/>
    <w:rsid w:val="00AB5B08"/>
    <w:rsid w:val="00AC4F77"/>
    <w:rsid w:val="00AC7371"/>
    <w:rsid w:val="00AE1D72"/>
    <w:rsid w:val="00AE227B"/>
    <w:rsid w:val="00AE306B"/>
    <w:rsid w:val="00AF3CCB"/>
    <w:rsid w:val="00B00658"/>
    <w:rsid w:val="00B05638"/>
    <w:rsid w:val="00B20DA8"/>
    <w:rsid w:val="00B34637"/>
    <w:rsid w:val="00B4498F"/>
    <w:rsid w:val="00B51A30"/>
    <w:rsid w:val="00B52CA7"/>
    <w:rsid w:val="00B608F4"/>
    <w:rsid w:val="00B6421B"/>
    <w:rsid w:val="00B725F2"/>
    <w:rsid w:val="00B72C0B"/>
    <w:rsid w:val="00B7356F"/>
    <w:rsid w:val="00B8069F"/>
    <w:rsid w:val="00B9163B"/>
    <w:rsid w:val="00BB582F"/>
    <w:rsid w:val="00BB7084"/>
    <w:rsid w:val="00BC25D6"/>
    <w:rsid w:val="00BD48C1"/>
    <w:rsid w:val="00BE650F"/>
    <w:rsid w:val="00BF0031"/>
    <w:rsid w:val="00C00091"/>
    <w:rsid w:val="00C00BA5"/>
    <w:rsid w:val="00C16468"/>
    <w:rsid w:val="00C16470"/>
    <w:rsid w:val="00C23727"/>
    <w:rsid w:val="00C2766A"/>
    <w:rsid w:val="00C306DF"/>
    <w:rsid w:val="00C34FD5"/>
    <w:rsid w:val="00C355AA"/>
    <w:rsid w:val="00C43CA2"/>
    <w:rsid w:val="00C44644"/>
    <w:rsid w:val="00C52C3B"/>
    <w:rsid w:val="00C5409C"/>
    <w:rsid w:val="00C55D23"/>
    <w:rsid w:val="00C63119"/>
    <w:rsid w:val="00C6655A"/>
    <w:rsid w:val="00C66EF5"/>
    <w:rsid w:val="00C77822"/>
    <w:rsid w:val="00C800CA"/>
    <w:rsid w:val="00C95BBD"/>
    <w:rsid w:val="00C96DF2"/>
    <w:rsid w:val="00CA0188"/>
    <w:rsid w:val="00CA35A1"/>
    <w:rsid w:val="00CA37C5"/>
    <w:rsid w:val="00CA669E"/>
    <w:rsid w:val="00CB48D6"/>
    <w:rsid w:val="00CB64C6"/>
    <w:rsid w:val="00CD3C1D"/>
    <w:rsid w:val="00CD6248"/>
    <w:rsid w:val="00CD789E"/>
    <w:rsid w:val="00CE2969"/>
    <w:rsid w:val="00CF30AD"/>
    <w:rsid w:val="00D01424"/>
    <w:rsid w:val="00D045E7"/>
    <w:rsid w:val="00D04759"/>
    <w:rsid w:val="00D055FC"/>
    <w:rsid w:val="00D05D46"/>
    <w:rsid w:val="00D15376"/>
    <w:rsid w:val="00D24F4F"/>
    <w:rsid w:val="00D2773C"/>
    <w:rsid w:val="00D33226"/>
    <w:rsid w:val="00D35CE2"/>
    <w:rsid w:val="00D421A0"/>
    <w:rsid w:val="00D466A8"/>
    <w:rsid w:val="00D50CD2"/>
    <w:rsid w:val="00D70870"/>
    <w:rsid w:val="00D73B66"/>
    <w:rsid w:val="00D73BC8"/>
    <w:rsid w:val="00D81F4E"/>
    <w:rsid w:val="00D943FE"/>
    <w:rsid w:val="00DA1455"/>
    <w:rsid w:val="00DA52F2"/>
    <w:rsid w:val="00DA6671"/>
    <w:rsid w:val="00DA734F"/>
    <w:rsid w:val="00DB1F71"/>
    <w:rsid w:val="00DB62AB"/>
    <w:rsid w:val="00DC6A55"/>
    <w:rsid w:val="00DD0A94"/>
    <w:rsid w:val="00DD4DDF"/>
    <w:rsid w:val="00DD65FF"/>
    <w:rsid w:val="00DE46DA"/>
    <w:rsid w:val="00E02A22"/>
    <w:rsid w:val="00E02B6E"/>
    <w:rsid w:val="00E04518"/>
    <w:rsid w:val="00E049F7"/>
    <w:rsid w:val="00E04F2C"/>
    <w:rsid w:val="00E061DE"/>
    <w:rsid w:val="00E06719"/>
    <w:rsid w:val="00E276B3"/>
    <w:rsid w:val="00E40CA9"/>
    <w:rsid w:val="00E460BA"/>
    <w:rsid w:val="00E46DB6"/>
    <w:rsid w:val="00E51266"/>
    <w:rsid w:val="00E54A05"/>
    <w:rsid w:val="00E66042"/>
    <w:rsid w:val="00E72943"/>
    <w:rsid w:val="00E8476B"/>
    <w:rsid w:val="00E86CE0"/>
    <w:rsid w:val="00E95A13"/>
    <w:rsid w:val="00E96311"/>
    <w:rsid w:val="00E975AC"/>
    <w:rsid w:val="00EA1791"/>
    <w:rsid w:val="00EA2CDF"/>
    <w:rsid w:val="00EA767E"/>
    <w:rsid w:val="00ED13DE"/>
    <w:rsid w:val="00ED41FE"/>
    <w:rsid w:val="00EE471A"/>
    <w:rsid w:val="00EF23FE"/>
    <w:rsid w:val="00EF5955"/>
    <w:rsid w:val="00F00582"/>
    <w:rsid w:val="00F0065E"/>
    <w:rsid w:val="00F01E13"/>
    <w:rsid w:val="00F02C9A"/>
    <w:rsid w:val="00F13BA9"/>
    <w:rsid w:val="00F15978"/>
    <w:rsid w:val="00F15F5C"/>
    <w:rsid w:val="00F17826"/>
    <w:rsid w:val="00F211FD"/>
    <w:rsid w:val="00F25B74"/>
    <w:rsid w:val="00F322DF"/>
    <w:rsid w:val="00F33AAC"/>
    <w:rsid w:val="00F36FD9"/>
    <w:rsid w:val="00F4309B"/>
    <w:rsid w:val="00F45212"/>
    <w:rsid w:val="00F50D5E"/>
    <w:rsid w:val="00F55683"/>
    <w:rsid w:val="00F62A4C"/>
    <w:rsid w:val="00F7444B"/>
    <w:rsid w:val="00F76094"/>
    <w:rsid w:val="00F8522E"/>
    <w:rsid w:val="00F90686"/>
    <w:rsid w:val="00F9095C"/>
    <w:rsid w:val="00F92058"/>
    <w:rsid w:val="00F93B73"/>
    <w:rsid w:val="00F94FCF"/>
    <w:rsid w:val="00F9612C"/>
    <w:rsid w:val="00F9782B"/>
    <w:rsid w:val="00FA0304"/>
    <w:rsid w:val="00FA07E8"/>
    <w:rsid w:val="00FA3655"/>
    <w:rsid w:val="00FA39AA"/>
    <w:rsid w:val="00FA3AFE"/>
    <w:rsid w:val="00FA4814"/>
    <w:rsid w:val="00FA58F9"/>
    <w:rsid w:val="00FB1592"/>
    <w:rsid w:val="00FB1E99"/>
    <w:rsid w:val="00FB3E40"/>
    <w:rsid w:val="00FB5E9E"/>
    <w:rsid w:val="00FC2C83"/>
    <w:rsid w:val="00FC3728"/>
    <w:rsid w:val="00FD51A2"/>
    <w:rsid w:val="00FE7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rsid w:val="00BB7084"/>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link w:val="Heading2Char"/>
    <w:autoRedefine/>
    <w:qFormat/>
    <w:rsid w:val="00BB582F"/>
    <w:pPr>
      <w:keepNext/>
      <w:spacing w:after="240"/>
      <w:ind w:left="1440" w:hanging="720"/>
      <w:outlineLvl w:val="1"/>
    </w:pPr>
    <w:rPr>
      <w:rFonts w:ascii="Times New Roman Bold" w:hAnsi="Times New Roman Bold"/>
      <w:b/>
      <w:szCs w:val="24"/>
    </w:rPr>
  </w:style>
  <w:style w:type="paragraph" w:styleId="Heading3">
    <w:name w:val="heading 3"/>
    <w:basedOn w:val="Normal"/>
    <w:next w:val="Normal"/>
    <w:autoRedefine/>
    <w:qFormat/>
    <w:rsid w:val="001E7837"/>
    <w:pPr>
      <w:keepNext/>
      <w:spacing w:after="240"/>
      <w:ind w:left="2160" w:hanging="720"/>
      <w:outlineLvl w:val="2"/>
    </w:pPr>
    <w:rPr>
      <w:rFonts w:ascii="Times New Roman Bold" w:hAnsi="Times New Roman Bold"/>
      <w:b/>
      <w:bCs/>
      <w:szCs w:val="24"/>
    </w:rPr>
  </w:style>
  <w:style w:type="paragraph" w:styleId="Heading4">
    <w:name w:val="heading 4"/>
    <w:basedOn w:val="Normal"/>
    <w:next w:val="Normal"/>
    <w:autoRedefine/>
    <w:qFormat/>
    <w:pPr>
      <w:keepNext/>
      <w:spacing w:after="240"/>
      <w:ind w:left="2880" w:right="720" w:hanging="7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link w:val="CommentSubjectChar"/>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HTMLPreformattedChar">
    <w:name w:val="HTML Preformatted Char"/>
    <w:link w:val="HTMLPreformatted"/>
    <w:rsid w:val="00F76094"/>
    <w:rPr>
      <w:rFonts w:ascii="Courier New" w:eastAsia="Courier New" w:hAnsi="Courier New" w:cs="Courier New"/>
    </w:rPr>
  </w:style>
  <w:style w:type="paragraph" w:styleId="TOC1">
    <w:name w:val="toc 1"/>
    <w:basedOn w:val="Normal"/>
    <w:next w:val="Normal"/>
    <w:autoRedefine/>
    <w:uiPriority w:val="39"/>
    <w:pPr>
      <w:tabs>
        <w:tab w:val="left" w:pos="720"/>
        <w:tab w:val="decimal" w:leader="dot" w:pos="8640"/>
      </w:tabs>
      <w:spacing w:after="240"/>
      <w:ind w:left="720" w:hanging="720"/>
    </w:pPr>
    <w:rPr>
      <w:caps/>
      <w:szCs w:val="24"/>
    </w:r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rPr>
      <w:szCs w:val="24"/>
    </w:rPr>
  </w:style>
  <w:style w:type="paragraph" w:styleId="TOC3">
    <w:name w:val="toc 3"/>
    <w:basedOn w:val="Normal"/>
    <w:next w:val="Normal"/>
    <w:autoRedefine/>
    <w:uiPriority w:val="39"/>
    <w:pPr>
      <w:tabs>
        <w:tab w:val="left" w:pos="720"/>
        <w:tab w:val="decimal" w:leader="dot" w:pos="8640"/>
      </w:tabs>
      <w:spacing w:after="240"/>
      <w:ind w:left="2160" w:hanging="720"/>
    </w:pPr>
    <w:rPr>
      <w:szCs w:val="24"/>
    </w:rPr>
  </w:style>
  <w:style w:type="paragraph" w:styleId="TOC4">
    <w:name w:val="toc 4"/>
    <w:basedOn w:val="Normal"/>
    <w:next w:val="Normal"/>
    <w:autoRedefine/>
    <w:uiPriority w:val="39"/>
    <w:pPr>
      <w:tabs>
        <w:tab w:val="left" w:pos="720"/>
        <w:tab w:val="left" w:pos="1440"/>
        <w:tab w:val="decimal" w:leader="dot" w:pos="8640"/>
      </w:tabs>
      <w:spacing w:after="240"/>
      <w:ind w:left="2880" w:hanging="720"/>
    </w:pPr>
    <w:rPr>
      <w:szCs w:val="24"/>
    </w:rPr>
  </w:style>
  <w:style w:type="paragraph" w:styleId="ListParagraph">
    <w:name w:val="List Paragraph"/>
    <w:basedOn w:val="Normal"/>
    <w:uiPriority w:val="34"/>
    <w:qFormat/>
    <w:rsid w:val="00754107"/>
    <w:pPr>
      <w:ind w:left="720"/>
    </w:p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link w:val="FootnoteText"/>
    <w:uiPriority w:val="99"/>
    <w:rsid w:val="00203E7A"/>
  </w:style>
  <w:style w:type="character" w:customStyle="1" w:styleId="FooterChar">
    <w:name w:val="Footer Char"/>
    <w:basedOn w:val="DefaultParagraphFont"/>
    <w:link w:val="Footer"/>
    <w:uiPriority w:val="99"/>
    <w:rsid w:val="00E51266"/>
  </w:style>
  <w:style w:type="character" w:customStyle="1" w:styleId="BodyTextChar">
    <w:name w:val="Body Text Char"/>
    <w:basedOn w:val="DefaultParagraphFont"/>
    <w:link w:val="BodyText"/>
    <w:rsid w:val="007744C6"/>
    <w:rPr>
      <w:sz w:val="24"/>
    </w:rPr>
  </w:style>
  <w:style w:type="character" w:customStyle="1" w:styleId="CommentTextChar">
    <w:name w:val="Comment Text Char"/>
    <w:basedOn w:val="DefaultParagraphFont"/>
    <w:link w:val="CommentText"/>
    <w:rsid w:val="007744C6"/>
    <w:rPr>
      <w:sz w:val="24"/>
      <w:szCs w:val="24"/>
    </w:rPr>
  </w:style>
  <w:style w:type="character" w:customStyle="1" w:styleId="CommentSubjectChar">
    <w:name w:val="Comment Subject Char"/>
    <w:basedOn w:val="CommentTextChar"/>
    <w:link w:val="CommentSubject"/>
    <w:semiHidden/>
    <w:rsid w:val="007744C6"/>
    <w:rPr>
      <w:sz w:val="24"/>
      <w:szCs w:val="24"/>
    </w:rPr>
  </w:style>
  <w:style w:type="character" w:customStyle="1" w:styleId="UnresolvedMention1">
    <w:name w:val="Unresolved Mention1"/>
    <w:basedOn w:val="DefaultParagraphFont"/>
    <w:uiPriority w:val="99"/>
    <w:semiHidden/>
    <w:unhideWhenUsed/>
    <w:rsid w:val="00997AB3"/>
    <w:rPr>
      <w:color w:val="605E5C"/>
      <w:shd w:val="clear" w:color="auto" w:fill="E1DFDD"/>
    </w:rPr>
  </w:style>
  <w:style w:type="paragraph" w:styleId="Revision">
    <w:name w:val="Revision"/>
    <w:hidden/>
    <w:uiPriority w:val="99"/>
    <w:semiHidden/>
    <w:rsid w:val="005A7640"/>
    <w:rPr>
      <w:sz w:val="24"/>
    </w:rPr>
  </w:style>
  <w:style w:type="character" w:customStyle="1" w:styleId="UnresolvedMention2">
    <w:name w:val="Unresolved Mention2"/>
    <w:basedOn w:val="DefaultParagraphFont"/>
    <w:rsid w:val="00985645"/>
    <w:rPr>
      <w:color w:val="605E5C"/>
      <w:shd w:val="clear" w:color="auto" w:fill="E1DFDD"/>
    </w:rPr>
  </w:style>
  <w:style w:type="character" w:customStyle="1" w:styleId="UnresolvedMention">
    <w:name w:val="Unresolved Mention"/>
    <w:basedOn w:val="DefaultParagraphFont"/>
    <w:rsid w:val="00232377"/>
    <w:rPr>
      <w:color w:val="605E5C"/>
      <w:shd w:val="clear" w:color="auto" w:fill="E1DFDD"/>
    </w:rPr>
  </w:style>
  <w:style w:type="character" w:customStyle="1" w:styleId="Heading2Char">
    <w:name w:val="Heading 2 Char"/>
    <w:basedOn w:val="DefaultParagraphFont"/>
    <w:link w:val="Heading2"/>
    <w:rsid w:val="00621F95"/>
    <w:rPr>
      <w:rFonts w:ascii="Times New Roman Bold" w:hAnsi="Times New Roman Bold"/>
      <w:b/>
      <w:sz w:val="24"/>
      <w:szCs w:val="24"/>
    </w:rPr>
  </w:style>
  <w:style w:type="paragraph" w:styleId="NormalWeb">
    <w:name w:val="Normal (Web)"/>
    <w:basedOn w:val="Normal"/>
    <w:uiPriority w:val="99"/>
    <w:unhideWhenUsed/>
    <w:rsid w:val="00467F11"/>
    <w:pPr>
      <w:spacing w:before="100" w:beforeAutospacing="1" w:after="100" w:afterAutospacing="1"/>
    </w:pPr>
    <w:rPr>
      <w:szCs w:val="24"/>
    </w:rPr>
  </w:style>
  <w:style w:type="character" w:customStyle="1" w:styleId="apple-converted-space">
    <w:name w:val="apple-converted-space"/>
    <w:basedOn w:val="DefaultParagraphFont"/>
    <w:rsid w:val="00467F11"/>
  </w:style>
  <w:style w:type="character" w:customStyle="1" w:styleId="sssh">
    <w:name w:val="ss_sh"/>
    <w:basedOn w:val="DefaultParagraphFont"/>
    <w:rsid w:val="00467F11"/>
  </w:style>
  <w:style w:type="character" w:customStyle="1" w:styleId="ac">
    <w:name w:val="ac"/>
    <w:basedOn w:val="DefaultParagraphFont"/>
    <w:rsid w:val="0046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erner.margard@ohioAGO.gov" TargetMode="External" /><Relationship Id="rId11" Type="http://schemas.openxmlformats.org/officeDocument/2006/relationships/hyperlink" Target="mailto:mkurtz@BKLlawfirm.com" TargetMode="External" /><Relationship Id="rId12" Type="http://schemas.openxmlformats.org/officeDocument/2006/relationships/hyperlink" Target="mailto:kboehm@BKLlawfirm.com" TargetMode="External" /><Relationship Id="rId13" Type="http://schemas.openxmlformats.org/officeDocument/2006/relationships/hyperlink" Target="mailto:jkylercohn@BKLlawfirm.com" TargetMode="External" /><Relationship Id="rId14" Type="http://schemas.openxmlformats.org/officeDocument/2006/relationships/hyperlink" Target="mailto:mwarnock@bricker.com" TargetMode="External" /><Relationship Id="rId15" Type="http://schemas.openxmlformats.org/officeDocument/2006/relationships/hyperlink" Target="mailto:kherrnstein@bricker.com" TargetMode="External" /><Relationship Id="rId16" Type="http://schemas.openxmlformats.org/officeDocument/2006/relationships/hyperlink" Target="mailto:ktreadway@oneenergyllc.com" TargetMode="External" /><Relationship Id="rId17" Type="http://schemas.openxmlformats.org/officeDocument/2006/relationships/hyperlink" Target="mailto:jdunn@oneenergyllc.com" TargetMode="External" /><Relationship Id="rId18" Type="http://schemas.openxmlformats.org/officeDocument/2006/relationships/hyperlink" Target="mailto:dborchers@bricker.com" TargetMode="External" /><Relationship Id="rId19" Type="http://schemas.openxmlformats.org/officeDocument/2006/relationships/hyperlink" Target="mailto:Fdarr2019@gmail.com" TargetMode="External" /><Relationship Id="rId2" Type="http://schemas.openxmlformats.org/officeDocument/2006/relationships/settings" Target="settings.xml" /><Relationship Id="rId20" Type="http://schemas.openxmlformats.org/officeDocument/2006/relationships/hyperlink" Target="mailto:paul@carpenterlipps.com" TargetMode="External" /><Relationship Id="rId21" Type="http://schemas.openxmlformats.org/officeDocument/2006/relationships/hyperlink" Target="mailto:rdove@keglerbrown.com" TargetMode="External" /><Relationship Id="rId22" Type="http://schemas.openxmlformats.org/officeDocument/2006/relationships/hyperlink" Target="mailto:nbobb@keglerbrown.com" TargetMode="External" /><Relationship Id="rId23" Type="http://schemas.openxmlformats.org/officeDocument/2006/relationships/hyperlink" Target="mailto:trent@hubaydougherty.com" TargetMode="External" /><Relationship Id="rId24" Type="http://schemas.openxmlformats.org/officeDocument/2006/relationships/hyperlink" Target="mailto:matthew.sandor@puco.ohio.gov" TargetMode="External" /><Relationship Id="rId25" Type="http://schemas.openxmlformats.org/officeDocument/2006/relationships/hyperlink" Target="mailto:nicholas.walstra@puco.ohio.gov" TargetMode="External" /><Relationship Id="rId26" Type="http://schemas.openxmlformats.org/officeDocument/2006/relationships/hyperlink" Target="mailto:Rocco.dascenzo@duke-energy.com" TargetMode="External" /><Relationship Id="rId27" Type="http://schemas.openxmlformats.org/officeDocument/2006/relationships/hyperlink" Target="mailto:Jeanne.kingery@duke-energy.com" TargetMode="External" /><Relationship Id="rId28" Type="http://schemas.openxmlformats.org/officeDocument/2006/relationships/hyperlink" Target="mailto:Larisa.vaysman@duke-energy.com" TargetMode="External" /><Relationship Id="rId29" Type="http://schemas.openxmlformats.org/officeDocument/2006/relationships/hyperlink" Target="mailto:elyse.akhbari@duke-energy.com" TargetMode="External" /><Relationship Id="rId3" Type="http://schemas.openxmlformats.org/officeDocument/2006/relationships/webSettings" Target="webSettings.xml" /><Relationship Id="rId30" Type="http://schemas.openxmlformats.org/officeDocument/2006/relationships/hyperlink" Target="mailto:ebrama@taftlaw.com" TargetMode="External" /><Relationship Id="rId31" Type="http://schemas.openxmlformats.org/officeDocument/2006/relationships/hyperlink" Target="mailto:kverhalen@taftlaw.com" TargetMode="External" /><Relationship Id="rId32" Type="http://schemas.openxmlformats.org/officeDocument/2006/relationships/hyperlink" Target="mailto:Bethany.allen@igs.com" TargetMode="External" /><Relationship Id="rId33" Type="http://schemas.openxmlformats.org/officeDocument/2006/relationships/hyperlink" Target="mailto:Joe.oliker@igs.com" TargetMode="External" /><Relationship Id="rId34" Type="http://schemas.openxmlformats.org/officeDocument/2006/relationships/hyperlink" Target="mailto:Evan.betterton@igs.com" TargetMode="External" /><Relationship Id="rId35" Type="http://schemas.openxmlformats.org/officeDocument/2006/relationships/hyperlink" Target="mailto:Stacie.cathcart@igs.com" TargetMode="External" /><Relationship Id="rId36" Type="http://schemas.openxmlformats.org/officeDocument/2006/relationships/hyperlink" Target="mailto:michael.nugent@igs.com" TargetMode="External" /><Relationship Id="rId37" Type="http://schemas.openxmlformats.org/officeDocument/2006/relationships/hyperlink" Target="mailto:jlang@calfee.com" TargetMode="External" /><Relationship Id="rId38" Type="http://schemas.openxmlformats.org/officeDocument/2006/relationships/hyperlink" Target="mailto:gjewell@calfee.com" TargetMode="External" /><Relationship Id="rId39" Type="http://schemas.openxmlformats.org/officeDocument/2006/relationships/hyperlink" Target="mailto:gwhaling@calfee.com" TargetMode="External" /><Relationship Id="rId4" Type="http://schemas.openxmlformats.org/officeDocument/2006/relationships/fontTable" Target="fontTable.xml" /><Relationship Id="rId40" Type="http://schemas.openxmlformats.org/officeDocument/2006/relationships/hyperlink" Target="mailto:sfranson@calfee.com" TargetMode="External" /><Relationship Id="rId41" Type="http://schemas.openxmlformats.org/officeDocument/2006/relationships/hyperlink" Target="mailto:dromig@nationwideenergypartners.com" TargetMode="External" /><Relationship Id="rId42" Type="http://schemas.openxmlformats.org/officeDocument/2006/relationships/hyperlink" Target="mailto:Bojko@carpenterlipps.com" TargetMode="External" /><Relationship Id="rId43" Type="http://schemas.openxmlformats.org/officeDocument/2006/relationships/hyperlink" Target="mailto:Wygonski@carpenterlipps.com" TargetMode="External" /><Relationship Id="rId44" Type="http://schemas.openxmlformats.org/officeDocument/2006/relationships/hyperlink" Target="mailto:cgrundmann@spilmanlaw.com" TargetMode="External" /><Relationship Id="rId45" Type="http://schemas.openxmlformats.org/officeDocument/2006/relationships/hyperlink" Target="mailto:dwilliamson@spilmanlaw.com" TargetMode="External" /><Relationship Id="rId46" Type="http://schemas.openxmlformats.org/officeDocument/2006/relationships/hyperlink" Target="mailto:cpirik@dickinsonwright.com" TargetMode="External" /><Relationship Id="rId47" Type="http://schemas.openxmlformats.org/officeDocument/2006/relationships/hyperlink" Target="mailto:todonnell@dickinsonwright.com" TargetMode="External" /><Relationship Id="rId48" Type="http://schemas.openxmlformats.org/officeDocument/2006/relationships/hyperlink" Target="mailto:mmcdonnell@dickinsonwright.com" TargetMode="External" /><Relationship Id="rId49" Type="http://schemas.openxmlformats.org/officeDocument/2006/relationships/footer" Target="footer1.xml" /><Relationship Id="rId5" Type="http://schemas.openxmlformats.org/officeDocument/2006/relationships/customXml" Target="../customXml/item1.xml" /><Relationship Id="rId50" Type="http://schemas.openxmlformats.org/officeDocument/2006/relationships/footer" Target="footer2.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hyperlink" Target="mailto:william.michael@occ.ohio.gov" TargetMode="External" /><Relationship Id="rId7" Type="http://schemas.openxmlformats.org/officeDocument/2006/relationships/hyperlink" Target="mailto:connor.semple@occ.ohio.gov" TargetMode="External" /><Relationship Id="rId8" Type="http://schemas.openxmlformats.org/officeDocument/2006/relationships/hyperlink" Target="mailto:robert.eubanks@ohioAGO.gov" TargetMode="External" /><Relationship Id="rId9" Type="http://schemas.openxmlformats.org/officeDocument/2006/relationships/hyperlink" Target="mailto:shaun.lyons@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2DBB3-0F38-4C59-943C-B8FB247D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2022-11-21T20:11:35Z</dcterms:created>
  <dcterms:modified xsi:type="dcterms:W3CDTF">2022-11-21T20:11:35Z</dcterms:modified>
</cp:coreProperties>
</file>