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01" w:rsidRDefault="00ED0501" w:rsidP="00ED050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ED0501" w:rsidRDefault="00ED0501" w:rsidP="00ED0501">
      <w:pPr>
        <w:pStyle w:val="HTMLPreformatted"/>
        <w:jc w:val="center"/>
        <w:rPr>
          <w:rFonts w:ascii="Times New Roman" w:hAnsi="Times New Roman"/>
          <w:sz w:val="24"/>
        </w:rPr>
      </w:pPr>
      <w:r>
        <w:rPr>
          <w:rFonts w:ascii="Times New Roman" w:hAnsi="Times New Roman"/>
          <w:b/>
          <w:bCs/>
          <w:sz w:val="24"/>
        </w:rPr>
        <w:t>THE PUBLIC UTILITIES COMMISSION OF OHIO</w:t>
      </w:r>
    </w:p>
    <w:p w:rsidR="00ED0501" w:rsidRDefault="00ED0501" w:rsidP="00ED0501">
      <w:pPr>
        <w:pStyle w:val="HTMLPreformatted"/>
        <w:rPr>
          <w:rFonts w:ascii="Times New Roman" w:hAnsi="Times New Roman"/>
          <w:sz w:val="24"/>
        </w:rPr>
      </w:pPr>
    </w:p>
    <w:tbl>
      <w:tblPr>
        <w:tblW w:w="9008" w:type="dxa"/>
        <w:tblLook w:val="01E0" w:firstRow="1" w:lastRow="1" w:firstColumn="1" w:lastColumn="1" w:noHBand="0" w:noVBand="0"/>
      </w:tblPr>
      <w:tblGrid>
        <w:gridCol w:w="4248"/>
        <w:gridCol w:w="360"/>
        <w:gridCol w:w="4400"/>
      </w:tblGrid>
      <w:tr w:rsidR="00ED0501" w:rsidTr="0013575E">
        <w:trPr>
          <w:trHeight w:val="807"/>
        </w:trPr>
        <w:tc>
          <w:tcPr>
            <w:tcW w:w="4248" w:type="dxa"/>
            <w:shd w:val="clear" w:color="auto" w:fill="auto"/>
          </w:tcPr>
          <w:p w:rsidR="00ED0501" w:rsidRPr="005717D2" w:rsidRDefault="00ED0501" w:rsidP="0013575E">
            <w:pPr>
              <w:autoSpaceDE w:val="0"/>
              <w:autoSpaceDN w:val="0"/>
              <w:adjustRightInd w:val="0"/>
              <w:rPr>
                <w:szCs w:val="24"/>
              </w:rPr>
            </w:pPr>
            <w:r>
              <w:t>In the Matter of the Application of Middle Point Home Telephone Company to Amend its Basic Local Exchange Service Tariff and to Authorize a Mechanism to Change Its Residential BLES Rates under R.C.4927.15(C)</w:t>
            </w:r>
            <w:r w:rsidRPr="005717D2">
              <w:rPr>
                <w:szCs w:val="24"/>
              </w:rPr>
              <w:t xml:space="preserve">. </w:t>
            </w:r>
          </w:p>
        </w:tc>
        <w:tc>
          <w:tcPr>
            <w:tcW w:w="360" w:type="dxa"/>
            <w:shd w:val="clear" w:color="auto" w:fill="auto"/>
          </w:tcPr>
          <w:p w:rsidR="00ED0501" w:rsidRPr="005717D2" w:rsidRDefault="00ED0501" w:rsidP="0013575E">
            <w:pPr>
              <w:pStyle w:val="HTMLPreformatted"/>
              <w:rPr>
                <w:rFonts w:ascii="Times New Roman" w:hAnsi="Times New Roman"/>
                <w:sz w:val="24"/>
              </w:rPr>
            </w:pPr>
            <w:r w:rsidRPr="005717D2">
              <w:rPr>
                <w:rFonts w:ascii="Times New Roman" w:hAnsi="Times New Roman"/>
                <w:sz w:val="24"/>
              </w:rPr>
              <w:t>)</w:t>
            </w:r>
          </w:p>
          <w:p w:rsidR="00ED0501" w:rsidRPr="005717D2" w:rsidRDefault="00ED0501" w:rsidP="0013575E">
            <w:pPr>
              <w:pStyle w:val="HTMLPreformatted"/>
              <w:rPr>
                <w:rFonts w:ascii="Times New Roman" w:hAnsi="Times New Roman"/>
                <w:sz w:val="24"/>
              </w:rPr>
            </w:pPr>
            <w:r w:rsidRPr="005717D2">
              <w:rPr>
                <w:rFonts w:ascii="Times New Roman" w:hAnsi="Times New Roman"/>
                <w:sz w:val="24"/>
              </w:rPr>
              <w:t>)</w:t>
            </w:r>
          </w:p>
          <w:p w:rsidR="00ED0501" w:rsidRDefault="00ED0501" w:rsidP="0013575E">
            <w:pPr>
              <w:pStyle w:val="HTMLPreformatted"/>
              <w:rPr>
                <w:rFonts w:ascii="Times New Roman" w:hAnsi="Times New Roman"/>
                <w:sz w:val="24"/>
              </w:rPr>
            </w:pPr>
            <w:r w:rsidRPr="005717D2">
              <w:rPr>
                <w:rFonts w:ascii="Times New Roman" w:hAnsi="Times New Roman"/>
                <w:sz w:val="24"/>
              </w:rPr>
              <w:t>)</w:t>
            </w:r>
          </w:p>
          <w:p w:rsidR="00ED0501" w:rsidRDefault="00ED0501" w:rsidP="0013575E">
            <w:pPr>
              <w:pStyle w:val="HTMLPreformatted"/>
              <w:rPr>
                <w:rFonts w:ascii="Times New Roman" w:hAnsi="Times New Roman"/>
                <w:sz w:val="24"/>
              </w:rPr>
            </w:pPr>
            <w:r>
              <w:rPr>
                <w:rFonts w:ascii="Times New Roman" w:hAnsi="Times New Roman"/>
                <w:sz w:val="24"/>
              </w:rPr>
              <w:t>)</w:t>
            </w:r>
          </w:p>
          <w:p w:rsidR="00ED0501" w:rsidRDefault="00ED0501" w:rsidP="0013575E">
            <w:pPr>
              <w:pStyle w:val="HTMLPreformatted"/>
              <w:rPr>
                <w:rFonts w:ascii="Times New Roman" w:hAnsi="Times New Roman"/>
                <w:sz w:val="24"/>
              </w:rPr>
            </w:pPr>
            <w:r>
              <w:rPr>
                <w:rFonts w:ascii="Times New Roman" w:hAnsi="Times New Roman"/>
                <w:sz w:val="24"/>
              </w:rPr>
              <w:t>)</w:t>
            </w:r>
          </w:p>
          <w:p w:rsidR="00ED0501" w:rsidRPr="005717D2" w:rsidRDefault="00ED0501" w:rsidP="0013575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ED0501" w:rsidRPr="005717D2" w:rsidRDefault="00ED0501" w:rsidP="0013575E">
            <w:pPr>
              <w:pStyle w:val="HTMLPreformatted"/>
              <w:rPr>
                <w:rFonts w:ascii="Times New Roman" w:hAnsi="Times New Roman"/>
                <w:sz w:val="24"/>
              </w:rPr>
            </w:pPr>
          </w:p>
          <w:p w:rsidR="00ED0501" w:rsidRPr="005717D2" w:rsidRDefault="00ED0501" w:rsidP="0013575E">
            <w:pPr>
              <w:pStyle w:val="HTMLPreformatted"/>
              <w:rPr>
                <w:rFonts w:ascii="Times New Roman" w:hAnsi="Times New Roman"/>
                <w:sz w:val="24"/>
              </w:rPr>
            </w:pPr>
            <w:r w:rsidRPr="005717D2">
              <w:rPr>
                <w:rFonts w:ascii="Times New Roman" w:hAnsi="Times New Roman"/>
                <w:sz w:val="24"/>
              </w:rPr>
              <w:t>Case No</w:t>
            </w:r>
            <w:r>
              <w:rPr>
                <w:rFonts w:ascii="Times New Roman" w:hAnsi="Times New Roman"/>
                <w:sz w:val="24"/>
              </w:rPr>
              <w:t>. 14-191-TP-UNC</w:t>
            </w:r>
          </w:p>
          <w:p w:rsidR="00ED0501" w:rsidRPr="005717D2" w:rsidRDefault="00ED0501" w:rsidP="0013575E">
            <w:pPr>
              <w:pStyle w:val="HTMLPreformatted"/>
              <w:rPr>
                <w:rFonts w:ascii="Times New Roman" w:hAnsi="Times New Roman"/>
                <w:sz w:val="24"/>
              </w:rPr>
            </w:pPr>
          </w:p>
          <w:p w:rsidR="00ED0501" w:rsidRPr="005717D2" w:rsidRDefault="00ED0501" w:rsidP="0013575E">
            <w:pPr>
              <w:pStyle w:val="HTMLPreformatted"/>
              <w:rPr>
                <w:rFonts w:ascii="Times New Roman" w:hAnsi="Times New Roman"/>
                <w:sz w:val="24"/>
              </w:rPr>
            </w:pPr>
          </w:p>
        </w:tc>
      </w:tr>
    </w:tbl>
    <w:p w:rsidR="00ED0501" w:rsidRDefault="00ED0501" w:rsidP="00ED0501">
      <w:pPr>
        <w:pStyle w:val="HTMLPreformatted"/>
        <w:rPr>
          <w:rFonts w:ascii="Times New Roman" w:hAnsi="Times New Roman"/>
          <w:sz w:val="24"/>
        </w:rPr>
      </w:pPr>
    </w:p>
    <w:p w:rsidR="00ED0501" w:rsidRDefault="00ED0501" w:rsidP="00ED0501">
      <w:pPr>
        <w:pStyle w:val="HTMLPreformatted"/>
        <w:pBdr>
          <w:top w:val="single" w:sz="12" w:space="1" w:color="auto"/>
        </w:pBdr>
        <w:rPr>
          <w:rFonts w:ascii="Times New Roman" w:hAnsi="Times New Roman"/>
          <w:sz w:val="24"/>
        </w:rPr>
      </w:pPr>
    </w:p>
    <w:p w:rsidR="00ED0501" w:rsidRDefault="00ED0501" w:rsidP="00ED0501">
      <w:pPr>
        <w:jc w:val="center"/>
        <w:rPr>
          <w:b/>
          <w:bCs/>
        </w:rPr>
      </w:pPr>
      <w:r>
        <w:rPr>
          <w:b/>
          <w:bCs/>
        </w:rPr>
        <w:t>MOTION TO INTERVENE</w:t>
      </w:r>
    </w:p>
    <w:p w:rsidR="00ED0501" w:rsidRDefault="00ED0501" w:rsidP="00ED0501">
      <w:pPr>
        <w:jc w:val="center"/>
        <w:rPr>
          <w:b/>
          <w:bCs/>
        </w:rPr>
      </w:pPr>
      <w:r>
        <w:rPr>
          <w:b/>
          <w:bCs/>
        </w:rPr>
        <w:t>AND</w:t>
      </w:r>
    </w:p>
    <w:p w:rsidR="00ED0501" w:rsidRDefault="00ED0501" w:rsidP="00ED0501">
      <w:pPr>
        <w:jc w:val="center"/>
        <w:rPr>
          <w:b/>
          <w:bCs/>
        </w:rPr>
      </w:pPr>
      <w:r>
        <w:rPr>
          <w:b/>
          <w:bCs/>
        </w:rPr>
        <w:t>COMMENTS</w:t>
      </w:r>
    </w:p>
    <w:p w:rsidR="00ED0501" w:rsidRDefault="00ED0501" w:rsidP="00ED0501">
      <w:pPr>
        <w:jc w:val="center"/>
        <w:rPr>
          <w:b/>
          <w:bCs/>
        </w:rPr>
      </w:pPr>
      <w:r>
        <w:rPr>
          <w:b/>
          <w:bCs/>
        </w:rPr>
        <w:t>BY</w:t>
      </w:r>
    </w:p>
    <w:p w:rsidR="00ED0501" w:rsidRDefault="00ED0501" w:rsidP="00ED0501">
      <w:pPr>
        <w:jc w:val="center"/>
        <w:rPr>
          <w:b/>
          <w:bCs/>
        </w:rPr>
      </w:pPr>
      <w:r>
        <w:rPr>
          <w:b/>
          <w:bCs/>
        </w:rPr>
        <w:t>THE OFFICE OF THE OHIO CONSUMERS’ COUNSEL</w:t>
      </w:r>
    </w:p>
    <w:p w:rsidR="00ED0501" w:rsidRDefault="00ED0501" w:rsidP="00ED0501">
      <w:pPr>
        <w:pBdr>
          <w:bottom w:val="single" w:sz="12" w:space="1" w:color="auto"/>
        </w:pBdr>
        <w:tabs>
          <w:tab w:val="left" w:pos="4320"/>
        </w:tabs>
      </w:pPr>
    </w:p>
    <w:p w:rsidR="00ED0501" w:rsidRDefault="00ED0501">
      <w:pPr>
        <w:spacing w:after="200" w:line="276" w:lineRule="auto"/>
        <w:rPr>
          <w:rFonts w:eastAsia="Courier New" w:cs="Courier New"/>
          <w:b/>
          <w:bCs/>
          <w:szCs w:val="20"/>
        </w:rPr>
      </w:pPr>
    </w:p>
    <w:p w:rsidR="00ED0501" w:rsidRDefault="00ED0501" w:rsidP="00ED0501">
      <w:pPr>
        <w:pStyle w:val="Footer"/>
        <w:tabs>
          <w:tab w:val="clear" w:pos="8640"/>
          <w:tab w:val="left" w:pos="4320"/>
        </w:tabs>
        <w:spacing w:before="240"/>
        <w:rPr>
          <w:sz w:val="24"/>
          <w:szCs w:val="24"/>
        </w:rPr>
      </w:pPr>
      <w:r>
        <w:rPr>
          <w:sz w:val="24"/>
          <w:szCs w:val="24"/>
        </w:rPr>
        <w:tab/>
      </w:r>
    </w:p>
    <w:p w:rsidR="00ED0501" w:rsidRDefault="00ED0501" w:rsidP="00ED0501">
      <w:pPr>
        <w:pStyle w:val="Footer"/>
        <w:tabs>
          <w:tab w:val="clear" w:pos="8640"/>
          <w:tab w:val="left" w:pos="4320"/>
        </w:tabs>
        <w:spacing w:before="240"/>
        <w:rPr>
          <w:sz w:val="24"/>
          <w:szCs w:val="24"/>
        </w:rPr>
      </w:pPr>
    </w:p>
    <w:p w:rsidR="00ED0501" w:rsidRDefault="00ED0501" w:rsidP="00ED0501">
      <w:pPr>
        <w:pStyle w:val="Footer"/>
        <w:tabs>
          <w:tab w:val="clear" w:pos="8640"/>
          <w:tab w:val="left" w:pos="4320"/>
        </w:tabs>
        <w:spacing w:before="240"/>
        <w:rPr>
          <w:sz w:val="24"/>
          <w:szCs w:val="24"/>
        </w:rPr>
      </w:pPr>
    </w:p>
    <w:p w:rsidR="00ED0501" w:rsidRDefault="00ED0501" w:rsidP="00ED0501">
      <w:pPr>
        <w:pStyle w:val="Footer"/>
        <w:tabs>
          <w:tab w:val="clear" w:pos="8640"/>
          <w:tab w:val="left" w:pos="4320"/>
        </w:tabs>
        <w:spacing w:before="240"/>
        <w:rPr>
          <w:sz w:val="24"/>
          <w:szCs w:val="24"/>
        </w:rPr>
      </w:pPr>
    </w:p>
    <w:p w:rsidR="00ED0501" w:rsidRDefault="00ED0501" w:rsidP="00ED0501">
      <w:pPr>
        <w:pStyle w:val="Footer"/>
        <w:tabs>
          <w:tab w:val="clear" w:pos="8640"/>
          <w:tab w:val="left" w:pos="4320"/>
        </w:tabs>
        <w:spacing w:before="240"/>
        <w:rPr>
          <w:sz w:val="24"/>
          <w:szCs w:val="24"/>
        </w:rPr>
      </w:pPr>
    </w:p>
    <w:p w:rsidR="00ED0501" w:rsidRDefault="00ED0501" w:rsidP="00ED0501">
      <w:pPr>
        <w:pStyle w:val="Footer"/>
        <w:tabs>
          <w:tab w:val="clear" w:pos="8640"/>
          <w:tab w:val="left" w:pos="4320"/>
        </w:tabs>
        <w:spacing w:before="240"/>
        <w:rPr>
          <w:sz w:val="24"/>
          <w:szCs w:val="24"/>
        </w:rPr>
      </w:pPr>
    </w:p>
    <w:p w:rsidR="00ED0501" w:rsidRDefault="00ED0501" w:rsidP="00ED0501">
      <w:pPr>
        <w:pStyle w:val="Footer"/>
        <w:tabs>
          <w:tab w:val="clear" w:pos="8640"/>
          <w:tab w:val="left" w:pos="4320"/>
        </w:tabs>
        <w:spacing w:before="240"/>
        <w:rPr>
          <w:sz w:val="24"/>
          <w:szCs w:val="24"/>
        </w:rPr>
      </w:pPr>
    </w:p>
    <w:p w:rsidR="00ED0501" w:rsidRDefault="00ED0501" w:rsidP="00ED0501">
      <w:pPr>
        <w:pStyle w:val="Footer"/>
        <w:tabs>
          <w:tab w:val="clear" w:pos="8640"/>
          <w:tab w:val="left" w:pos="4320"/>
        </w:tabs>
        <w:spacing w:before="240"/>
        <w:rPr>
          <w:sz w:val="24"/>
          <w:szCs w:val="24"/>
        </w:rPr>
      </w:pPr>
      <w:r>
        <w:rPr>
          <w:sz w:val="24"/>
          <w:szCs w:val="24"/>
        </w:rPr>
        <w:tab/>
        <w:t>BRUCE J. WESTON</w:t>
      </w:r>
    </w:p>
    <w:p w:rsidR="00ED0501" w:rsidRDefault="00ED0501" w:rsidP="00ED0501">
      <w:pPr>
        <w:tabs>
          <w:tab w:val="left" w:pos="4320"/>
        </w:tabs>
        <w:rPr>
          <w:szCs w:val="24"/>
        </w:rPr>
      </w:pPr>
      <w:r>
        <w:rPr>
          <w:szCs w:val="24"/>
        </w:rPr>
        <w:tab/>
        <w:t>OHIO CONSUMERS’ COUNSEL</w:t>
      </w:r>
    </w:p>
    <w:p w:rsidR="00ED0501" w:rsidRDefault="00ED0501" w:rsidP="00ED0501">
      <w:pPr>
        <w:tabs>
          <w:tab w:val="left" w:pos="4320"/>
        </w:tabs>
        <w:rPr>
          <w:szCs w:val="24"/>
        </w:rPr>
      </w:pPr>
      <w:r>
        <w:rPr>
          <w:szCs w:val="24"/>
        </w:rPr>
        <w:tab/>
      </w:r>
    </w:p>
    <w:p w:rsidR="00ED0501" w:rsidRDefault="00ED0501" w:rsidP="00ED0501">
      <w:pPr>
        <w:tabs>
          <w:tab w:val="left" w:pos="4320"/>
        </w:tabs>
        <w:rPr>
          <w:szCs w:val="24"/>
        </w:rPr>
      </w:pPr>
      <w:r>
        <w:rPr>
          <w:szCs w:val="24"/>
        </w:rPr>
        <w:tab/>
        <w:t>Terry L. Etter, Counsel of Record</w:t>
      </w:r>
    </w:p>
    <w:p w:rsidR="00ED0501" w:rsidRDefault="00ED0501" w:rsidP="00ED0501">
      <w:pPr>
        <w:tabs>
          <w:tab w:val="left" w:pos="4320"/>
        </w:tabs>
        <w:rPr>
          <w:szCs w:val="24"/>
        </w:rPr>
      </w:pPr>
      <w:r>
        <w:rPr>
          <w:szCs w:val="24"/>
        </w:rPr>
        <w:tab/>
        <w:t>Assistant Consumers’ Counsel</w:t>
      </w:r>
    </w:p>
    <w:p w:rsidR="00ED0501" w:rsidRDefault="00ED0501" w:rsidP="00ED0501">
      <w:r>
        <w:tab/>
      </w:r>
    </w:p>
    <w:p w:rsidR="00ED0501" w:rsidRPr="00ED0501" w:rsidRDefault="00ED0501" w:rsidP="00ED0501">
      <w:pPr>
        <w:rPr>
          <w:b/>
        </w:rPr>
      </w:pPr>
      <w:r>
        <w:tab/>
      </w:r>
      <w:r>
        <w:tab/>
      </w:r>
      <w:r>
        <w:tab/>
      </w:r>
      <w:r>
        <w:tab/>
      </w:r>
      <w:r>
        <w:tab/>
      </w:r>
      <w:r>
        <w:tab/>
      </w:r>
      <w:r w:rsidRPr="00ED0501">
        <w:rPr>
          <w:b/>
        </w:rPr>
        <w:t>Office of the Ohio Consumers’ Counsel</w:t>
      </w:r>
    </w:p>
    <w:p w:rsidR="00ED0501" w:rsidRDefault="00ED0501" w:rsidP="00617907">
      <w:r>
        <w:tab/>
      </w:r>
      <w:r w:rsidR="00617907">
        <w:tab/>
      </w:r>
      <w:r w:rsidR="00617907">
        <w:tab/>
      </w:r>
      <w:r w:rsidR="00617907">
        <w:tab/>
      </w:r>
      <w:r w:rsidR="00617907">
        <w:tab/>
      </w:r>
      <w:r w:rsidR="00617907">
        <w:tab/>
      </w:r>
      <w:r>
        <w:t>10 West Broad Street, Suite 1800</w:t>
      </w:r>
    </w:p>
    <w:p w:rsidR="00ED0501" w:rsidRDefault="00ED0501" w:rsidP="00617907">
      <w:r>
        <w:tab/>
      </w:r>
      <w:r w:rsidR="00617907">
        <w:tab/>
      </w:r>
      <w:r w:rsidR="00617907">
        <w:tab/>
      </w:r>
      <w:r w:rsidR="00617907">
        <w:tab/>
      </w:r>
      <w:r w:rsidR="00617907">
        <w:tab/>
      </w:r>
      <w:r w:rsidR="00617907">
        <w:tab/>
      </w:r>
      <w:r>
        <w:t>Columbus, Ohio 43215-3485</w:t>
      </w:r>
    </w:p>
    <w:p w:rsidR="00ED0501" w:rsidRPr="00FD5BCF" w:rsidRDefault="00ED0501" w:rsidP="00617907">
      <w:pPr>
        <w:ind w:left="3600" w:firstLine="720"/>
      </w:pPr>
      <w:r>
        <w:t>(614) 466-7964 (Etter direct)</w:t>
      </w:r>
    </w:p>
    <w:p w:rsidR="00ED0501" w:rsidRDefault="00ED0501" w:rsidP="00617907">
      <w:pPr>
        <w:rPr>
          <w:rFonts w:eastAsia="Courier New" w:cs="Courier New"/>
          <w:bCs/>
          <w:szCs w:val="20"/>
        </w:rPr>
      </w:pPr>
      <w:r>
        <w:t>February 21, 2014</w:t>
      </w:r>
      <w:r>
        <w:tab/>
      </w:r>
      <w:r>
        <w:tab/>
      </w:r>
      <w:r>
        <w:tab/>
      </w:r>
      <w:r>
        <w:tab/>
      </w:r>
      <w:hyperlink r:id="rId8" w:history="1">
        <w:r w:rsidRPr="004E09FD">
          <w:rPr>
            <w:rStyle w:val="Hyperlink"/>
            <w:szCs w:val="24"/>
          </w:rPr>
          <w:t>terry.etter@occ.ohio.gov</w:t>
        </w:r>
      </w:hyperlink>
    </w:p>
    <w:p w:rsidR="00ED0501" w:rsidRDefault="00ED0501" w:rsidP="00950010">
      <w:pPr>
        <w:pStyle w:val="HTMLPreformatted"/>
        <w:jc w:val="center"/>
        <w:rPr>
          <w:rFonts w:ascii="Times New Roman" w:hAnsi="Times New Roman"/>
          <w:b/>
          <w:bCs/>
          <w:sz w:val="24"/>
        </w:rPr>
        <w:sectPr w:rsidR="00ED0501" w:rsidSect="00ED050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26"/>
        </w:sectPr>
      </w:pPr>
    </w:p>
    <w:p w:rsidR="00950010" w:rsidRDefault="00950010" w:rsidP="00950010">
      <w:pPr>
        <w:pStyle w:val="HTMLPreformatted"/>
        <w:jc w:val="center"/>
        <w:rPr>
          <w:rFonts w:ascii="Times New Roman" w:hAnsi="Times New Roman"/>
          <w:b/>
          <w:bCs/>
          <w:sz w:val="24"/>
        </w:rPr>
      </w:pPr>
      <w:r>
        <w:rPr>
          <w:rFonts w:ascii="Times New Roman" w:hAnsi="Times New Roman"/>
          <w:b/>
          <w:bCs/>
          <w:sz w:val="24"/>
        </w:rPr>
        <w:lastRenderedPageBreak/>
        <w:t>BEFORE</w:t>
      </w:r>
    </w:p>
    <w:p w:rsidR="00950010" w:rsidRDefault="00950010" w:rsidP="00950010">
      <w:pPr>
        <w:pStyle w:val="HTMLPreformatted"/>
        <w:jc w:val="center"/>
        <w:rPr>
          <w:rFonts w:ascii="Times New Roman" w:hAnsi="Times New Roman"/>
          <w:sz w:val="24"/>
        </w:rPr>
      </w:pPr>
      <w:r>
        <w:rPr>
          <w:rFonts w:ascii="Times New Roman" w:hAnsi="Times New Roman"/>
          <w:b/>
          <w:bCs/>
          <w:sz w:val="24"/>
        </w:rPr>
        <w:t>THE PUBLIC UTILITIES COMMISSION OF OHIO</w:t>
      </w:r>
    </w:p>
    <w:p w:rsidR="00950010" w:rsidRDefault="00950010" w:rsidP="00950010">
      <w:pPr>
        <w:pStyle w:val="HTMLPreformatted"/>
        <w:rPr>
          <w:rFonts w:ascii="Times New Roman" w:hAnsi="Times New Roman"/>
          <w:sz w:val="24"/>
        </w:rPr>
      </w:pPr>
    </w:p>
    <w:tbl>
      <w:tblPr>
        <w:tblW w:w="9008" w:type="dxa"/>
        <w:tblLook w:val="01E0" w:firstRow="1" w:lastRow="1" w:firstColumn="1" w:lastColumn="1" w:noHBand="0" w:noVBand="0"/>
      </w:tblPr>
      <w:tblGrid>
        <w:gridCol w:w="4248"/>
        <w:gridCol w:w="360"/>
        <w:gridCol w:w="4400"/>
      </w:tblGrid>
      <w:tr w:rsidR="00950010" w:rsidTr="0018726C">
        <w:trPr>
          <w:trHeight w:val="807"/>
        </w:trPr>
        <w:tc>
          <w:tcPr>
            <w:tcW w:w="4248" w:type="dxa"/>
            <w:shd w:val="clear" w:color="auto" w:fill="auto"/>
          </w:tcPr>
          <w:p w:rsidR="00950010" w:rsidRPr="005717D2" w:rsidRDefault="004B0A26" w:rsidP="004B0A26">
            <w:pPr>
              <w:autoSpaceDE w:val="0"/>
              <w:autoSpaceDN w:val="0"/>
              <w:adjustRightInd w:val="0"/>
              <w:rPr>
                <w:szCs w:val="24"/>
              </w:rPr>
            </w:pPr>
            <w:r>
              <w:t>In the Matter of the Application of Middle Point Home Telephone Company to Amend its Basic Local Exchange Service Tariff and to Authorize a Mechanism to Change Its Residential BLES Rates under R.C.4927.15(C)</w:t>
            </w:r>
            <w:r w:rsidR="00950010" w:rsidRPr="005717D2">
              <w:rPr>
                <w:szCs w:val="24"/>
              </w:rPr>
              <w:t xml:space="preserve">. </w:t>
            </w:r>
          </w:p>
        </w:tc>
        <w:tc>
          <w:tcPr>
            <w:tcW w:w="360" w:type="dxa"/>
            <w:shd w:val="clear" w:color="auto" w:fill="auto"/>
          </w:tcPr>
          <w:p w:rsidR="00950010" w:rsidRPr="005717D2" w:rsidRDefault="00950010" w:rsidP="006F0D16">
            <w:pPr>
              <w:pStyle w:val="HTMLPreformatted"/>
              <w:rPr>
                <w:rFonts w:ascii="Times New Roman" w:hAnsi="Times New Roman"/>
                <w:sz w:val="24"/>
              </w:rPr>
            </w:pPr>
            <w:r w:rsidRPr="005717D2">
              <w:rPr>
                <w:rFonts w:ascii="Times New Roman" w:hAnsi="Times New Roman"/>
                <w:sz w:val="24"/>
              </w:rPr>
              <w:t>)</w:t>
            </w:r>
          </w:p>
          <w:p w:rsidR="00950010" w:rsidRPr="005717D2" w:rsidRDefault="00950010" w:rsidP="006F0D16">
            <w:pPr>
              <w:pStyle w:val="HTMLPreformatted"/>
              <w:rPr>
                <w:rFonts w:ascii="Times New Roman" w:hAnsi="Times New Roman"/>
                <w:sz w:val="24"/>
              </w:rPr>
            </w:pPr>
            <w:r w:rsidRPr="005717D2">
              <w:rPr>
                <w:rFonts w:ascii="Times New Roman" w:hAnsi="Times New Roman"/>
                <w:sz w:val="24"/>
              </w:rPr>
              <w:t>)</w:t>
            </w:r>
          </w:p>
          <w:p w:rsidR="00950010" w:rsidRDefault="00950010" w:rsidP="006F0D16">
            <w:pPr>
              <w:pStyle w:val="HTMLPreformatted"/>
              <w:rPr>
                <w:rFonts w:ascii="Times New Roman" w:hAnsi="Times New Roman"/>
                <w:sz w:val="24"/>
              </w:rPr>
            </w:pPr>
            <w:r w:rsidRPr="005717D2">
              <w:rPr>
                <w:rFonts w:ascii="Times New Roman" w:hAnsi="Times New Roman"/>
                <w:sz w:val="24"/>
              </w:rPr>
              <w:t>)</w:t>
            </w:r>
          </w:p>
          <w:p w:rsidR="004B0A26" w:rsidRDefault="004B0A26" w:rsidP="006F0D16">
            <w:pPr>
              <w:pStyle w:val="HTMLPreformatted"/>
              <w:rPr>
                <w:rFonts w:ascii="Times New Roman" w:hAnsi="Times New Roman"/>
                <w:sz w:val="24"/>
              </w:rPr>
            </w:pPr>
            <w:r>
              <w:rPr>
                <w:rFonts w:ascii="Times New Roman" w:hAnsi="Times New Roman"/>
                <w:sz w:val="24"/>
              </w:rPr>
              <w:t>)</w:t>
            </w:r>
          </w:p>
          <w:p w:rsidR="004B0A26" w:rsidRDefault="004B0A26" w:rsidP="006F0D16">
            <w:pPr>
              <w:pStyle w:val="HTMLPreformatted"/>
              <w:rPr>
                <w:rFonts w:ascii="Times New Roman" w:hAnsi="Times New Roman"/>
                <w:sz w:val="24"/>
              </w:rPr>
            </w:pPr>
            <w:r>
              <w:rPr>
                <w:rFonts w:ascii="Times New Roman" w:hAnsi="Times New Roman"/>
                <w:sz w:val="24"/>
              </w:rPr>
              <w:t>)</w:t>
            </w:r>
          </w:p>
          <w:p w:rsidR="004B0A26" w:rsidRPr="005717D2" w:rsidRDefault="004B0A26" w:rsidP="006F0D16">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950010" w:rsidRPr="005717D2" w:rsidRDefault="00950010" w:rsidP="006F0D16">
            <w:pPr>
              <w:pStyle w:val="HTMLPreformatted"/>
              <w:rPr>
                <w:rFonts w:ascii="Times New Roman" w:hAnsi="Times New Roman"/>
                <w:sz w:val="24"/>
              </w:rPr>
            </w:pPr>
          </w:p>
          <w:p w:rsidR="00950010" w:rsidRPr="005717D2" w:rsidRDefault="00950010" w:rsidP="006F0D16">
            <w:pPr>
              <w:pStyle w:val="HTMLPreformatted"/>
              <w:rPr>
                <w:rFonts w:ascii="Times New Roman" w:hAnsi="Times New Roman"/>
                <w:sz w:val="24"/>
              </w:rPr>
            </w:pPr>
            <w:r w:rsidRPr="005717D2">
              <w:rPr>
                <w:rFonts w:ascii="Times New Roman" w:hAnsi="Times New Roman"/>
                <w:sz w:val="24"/>
              </w:rPr>
              <w:t>Case No</w:t>
            </w:r>
            <w:r>
              <w:rPr>
                <w:rFonts w:ascii="Times New Roman" w:hAnsi="Times New Roman"/>
                <w:sz w:val="24"/>
              </w:rPr>
              <w:t>. 1</w:t>
            </w:r>
            <w:r w:rsidR="004B0A26">
              <w:rPr>
                <w:rFonts w:ascii="Times New Roman" w:hAnsi="Times New Roman"/>
                <w:sz w:val="24"/>
              </w:rPr>
              <w:t>4</w:t>
            </w:r>
            <w:r>
              <w:rPr>
                <w:rFonts w:ascii="Times New Roman" w:hAnsi="Times New Roman"/>
                <w:sz w:val="24"/>
              </w:rPr>
              <w:t>-</w:t>
            </w:r>
            <w:r w:rsidR="004B0A26">
              <w:rPr>
                <w:rFonts w:ascii="Times New Roman" w:hAnsi="Times New Roman"/>
                <w:sz w:val="24"/>
              </w:rPr>
              <w:t>191</w:t>
            </w:r>
            <w:r>
              <w:rPr>
                <w:rFonts w:ascii="Times New Roman" w:hAnsi="Times New Roman"/>
                <w:sz w:val="24"/>
              </w:rPr>
              <w:t>-TP-</w:t>
            </w:r>
            <w:r w:rsidR="004B0A26">
              <w:rPr>
                <w:rFonts w:ascii="Times New Roman" w:hAnsi="Times New Roman"/>
                <w:sz w:val="24"/>
              </w:rPr>
              <w:t>UNC</w:t>
            </w:r>
          </w:p>
          <w:p w:rsidR="00950010" w:rsidRPr="005717D2" w:rsidRDefault="00950010" w:rsidP="006F0D16">
            <w:pPr>
              <w:pStyle w:val="HTMLPreformatted"/>
              <w:rPr>
                <w:rFonts w:ascii="Times New Roman" w:hAnsi="Times New Roman"/>
                <w:sz w:val="24"/>
              </w:rPr>
            </w:pPr>
          </w:p>
          <w:p w:rsidR="00950010" w:rsidRPr="005717D2" w:rsidRDefault="00950010" w:rsidP="006F0D16">
            <w:pPr>
              <w:pStyle w:val="HTMLPreformatted"/>
              <w:rPr>
                <w:rFonts w:ascii="Times New Roman" w:hAnsi="Times New Roman"/>
                <w:sz w:val="24"/>
              </w:rPr>
            </w:pPr>
          </w:p>
        </w:tc>
      </w:tr>
    </w:tbl>
    <w:p w:rsidR="00950010" w:rsidRDefault="00950010" w:rsidP="00950010">
      <w:pPr>
        <w:pStyle w:val="HTMLPreformatted"/>
        <w:rPr>
          <w:rFonts w:ascii="Times New Roman" w:hAnsi="Times New Roman"/>
          <w:sz w:val="24"/>
        </w:rPr>
      </w:pPr>
      <w:r>
        <w:rPr>
          <w:rFonts w:ascii="Times New Roman" w:hAnsi="Times New Roman"/>
          <w:sz w:val="24"/>
        </w:rPr>
        <w:tab/>
      </w:r>
    </w:p>
    <w:p w:rsidR="00950010" w:rsidRDefault="00950010" w:rsidP="00950010">
      <w:pPr>
        <w:pStyle w:val="HTMLPreformatted"/>
        <w:pBdr>
          <w:top w:val="single" w:sz="12" w:space="1" w:color="auto"/>
        </w:pBdr>
        <w:rPr>
          <w:rFonts w:ascii="Times New Roman" w:hAnsi="Times New Roman"/>
          <w:sz w:val="24"/>
        </w:rPr>
      </w:pPr>
    </w:p>
    <w:p w:rsidR="00950010" w:rsidRDefault="00950010" w:rsidP="00950010">
      <w:pPr>
        <w:jc w:val="center"/>
        <w:rPr>
          <w:b/>
          <w:bCs/>
        </w:rPr>
      </w:pPr>
      <w:r>
        <w:rPr>
          <w:b/>
          <w:bCs/>
        </w:rPr>
        <w:t>MOTION TO INTERVENE</w:t>
      </w:r>
    </w:p>
    <w:p w:rsidR="00950010" w:rsidRDefault="00950010" w:rsidP="00950010">
      <w:pPr>
        <w:jc w:val="center"/>
        <w:rPr>
          <w:b/>
          <w:bCs/>
        </w:rPr>
      </w:pPr>
      <w:r>
        <w:rPr>
          <w:b/>
          <w:bCs/>
        </w:rPr>
        <w:t>AND</w:t>
      </w:r>
    </w:p>
    <w:p w:rsidR="00950010" w:rsidRDefault="00950010" w:rsidP="00950010">
      <w:pPr>
        <w:jc w:val="center"/>
        <w:rPr>
          <w:b/>
          <w:bCs/>
        </w:rPr>
      </w:pPr>
      <w:r>
        <w:rPr>
          <w:b/>
          <w:bCs/>
        </w:rPr>
        <w:t>COMMENTS</w:t>
      </w:r>
    </w:p>
    <w:p w:rsidR="00950010" w:rsidRDefault="00950010" w:rsidP="00950010">
      <w:pPr>
        <w:jc w:val="center"/>
        <w:rPr>
          <w:b/>
          <w:bCs/>
        </w:rPr>
      </w:pPr>
      <w:r>
        <w:rPr>
          <w:b/>
          <w:bCs/>
        </w:rPr>
        <w:t>BY</w:t>
      </w:r>
    </w:p>
    <w:p w:rsidR="00950010" w:rsidRDefault="00950010" w:rsidP="00950010">
      <w:pPr>
        <w:jc w:val="center"/>
        <w:rPr>
          <w:b/>
          <w:bCs/>
        </w:rPr>
      </w:pPr>
      <w:r>
        <w:rPr>
          <w:b/>
          <w:bCs/>
        </w:rPr>
        <w:t>THE OFFICE OF THE OHIO CONSUMERS</w:t>
      </w:r>
      <w:r w:rsidR="008D7BCE">
        <w:rPr>
          <w:b/>
          <w:bCs/>
        </w:rPr>
        <w:t>’</w:t>
      </w:r>
      <w:r>
        <w:rPr>
          <w:b/>
          <w:bCs/>
        </w:rPr>
        <w:t xml:space="preserve"> COUNSEL</w:t>
      </w:r>
    </w:p>
    <w:p w:rsidR="00950010" w:rsidRDefault="00950010" w:rsidP="00950010">
      <w:pPr>
        <w:pBdr>
          <w:bottom w:val="single" w:sz="12" w:space="1" w:color="auto"/>
        </w:pBdr>
        <w:tabs>
          <w:tab w:val="left" w:pos="4320"/>
        </w:tabs>
      </w:pPr>
    </w:p>
    <w:p w:rsidR="00950010" w:rsidRDefault="00950010" w:rsidP="00950010">
      <w:pPr>
        <w:tabs>
          <w:tab w:val="left" w:pos="4320"/>
        </w:tabs>
      </w:pPr>
    </w:p>
    <w:p w:rsidR="00950010" w:rsidRDefault="00950010" w:rsidP="00950010">
      <w:pPr>
        <w:pStyle w:val="BodyTextIndent3"/>
        <w:suppressAutoHyphens/>
        <w:spacing w:line="480" w:lineRule="auto"/>
      </w:pPr>
      <w:r w:rsidRPr="003735FD">
        <w:t>The Office of the Ohio Consumers</w:t>
      </w:r>
      <w:r w:rsidR="008D7BCE">
        <w:t>’</w:t>
      </w:r>
      <w:r w:rsidRPr="003735FD">
        <w:t xml:space="preserve"> Counsel (</w:t>
      </w:r>
      <w:r w:rsidR="008D7BCE">
        <w:t>“</w:t>
      </w:r>
      <w:r w:rsidRPr="003735FD">
        <w:t>OCC</w:t>
      </w:r>
      <w:r w:rsidR="008D7BCE">
        <w:t>”</w:t>
      </w:r>
      <w:r w:rsidRPr="003735FD">
        <w:t xml:space="preserve">) moves to intervene in this case where </w:t>
      </w:r>
      <w:r w:rsidR="00CF6322">
        <w:t xml:space="preserve">Middle Point Home Telephone Company </w:t>
      </w:r>
      <w:r w:rsidR="00FC7110">
        <w:t>(</w:t>
      </w:r>
      <w:r w:rsidR="008D7BCE">
        <w:t>“</w:t>
      </w:r>
      <w:r w:rsidR="00FC7110">
        <w:t>Middle Point</w:t>
      </w:r>
      <w:r w:rsidR="008D7BCE">
        <w:t>”</w:t>
      </w:r>
      <w:r w:rsidR="00FC7110">
        <w:t xml:space="preserve">) </w:t>
      </w:r>
      <w:r w:rsidR="00CF6322">
        <w:t>seeks special approval to raise the rates its residential customers pay for</w:t>
      </w:r>
      <w:r>
        <w:t xml:space="preserve"> basic local exchange service</w:t>
      </w:r>
      <w:r w:rsidRPr="0077355B">
        <w:t xml:space="preserve">.  </w:t>
      </w:r>
      <w:r w:rsidR="001B7817">
        <w:t>Under the basic service pricing flexibility Middle Point sought and received last year,</w:t>
      </w:r>
      <w:r w:rsidR="008653BF">
        <w:rPr>
          <w:rStyle w:val="FootnoteReference"/>
        </w:rPr>
        <w:footnoteReference w:id="1"/>
      </w:r>
      <w:r w:rsidR="001B7817">
        <w:t xml:space="preserve"> Middle Point may increase its monthly basic service rates by $1.25 per year.</w:t>
      </w:r>
      <w:r w:rsidR="001B7817">
        <w:rPr>
          <w:rStyle w:val="FootnoteReference"/>
        </w:rPr>
        <w:footnoteReference w:id="2"/>
      </w:r>
      <w:r w:rsidR="001B7817">
        <w:t xml:space="preserve">  </w:t>
      </w:r>
      <w:r w:rsidR="00AC079B">
        <w:t>In order to meet the floor established by the Federal Communications Commission (</w:t>
      </w:r>
      <w:r w:rsidR="008D7BCE">
        <w:t>“</w:t>
      </w:r>
      <w:r w:rsidR="00AC079B">
        <w:t>FCC</w:t>
      </w:r>
      <w:r w:rsidR="008D7BCE">
        <w:t>”</w:t>
      </w:r>
      <w:r w:rsidR="00AC079B">
        <w:t xml:space="preserve">) for high-cost Universal Service funding, Middle Point wants to raise its </w:t>
      </w:r>
      <w:r w:rsidR="00257F9D">
        <w:t xml:space="preserve">monthly </w:t>
      </w:r>
      <w:r w:rsidR="00AC079B">
        <w:t>basic service rate by 122%, from the current rate of $6.30 to $14.</w:t>
      </w:r>
      <w:r w:rsidR="00AC079B">
        <w:rPr>
          <w:rStyle w:val="FootnoteReference"/>
        </w:rPr>
        <w:footnoteReference w:id="3"/>
      </w:r>
      <w:r w:rsidR="00AC079B">
        <w:t xml:space="preserve">  </w:t>
      </w:r>
      <w:r w:rsidRPr="003735FD">
        <w:t xml:space="preserve">OCC is filing on behalf of </w:t>
      </w:r>
      <w:r w:rsidR="00CF6322">
        <w:t>Middle Point</w:t>
      </w:r>
      <w:r w:rsidR="008D7BCE">
        <w:t>’</w:t>
      </w:r>
      <w:r w:rsidR="00CF6322">
        <w:t>s</w:t>
      </w:r>
      <w:r>
        <w:t xml:space="preserve"> </w:t>
      </w:r>
      <w:r w:rsidRPr="003735FD">
        <w:t xml:space="preserve">residential </w:t>
      </w:r>
      <w:r>
        <w:t>telephone</w:t>
      </w:r>
      <w:r w:rsidRPr="003735FD">
        <w:t xml:space="preserve"> customers.  The reasons the </w:t>
      </w:r>
      <w:r w:rsidRPr="0077355B">
        <w:t>Public Utilit</w:t>
      </w:r>
      <w:r>
        <w:t>ies</w:t>
      </w:r>
      <w:r w:rsidRPr="0077355B">
        <w:t xml:space="preserve"> Commission of Ohio</w:t>
      </w:r>
      <w:r w:rsidRPr="003735FD">
        <w:t xml:space="preserve"> </w:t>
      </w:r>
      <w:r>
        <w:t>(</w:t>
      </w:r>
      <w:r w:rsidR="008D7BCE">
        <w:t>“</w:t>
      </w:r>
      <w:r w:rsidRPr="003735FD">
        <w:t>PUCO</w:t>
      </w:r>
      <w:r w:rsidR="008D7BCE">
        <w:t>”</w:t>
      </w:r>
      <w:r>
        <w:t>)</w:t>
      </w:r>
      <w:r w:rsidRPr="003735FD">
        <w:t xml:space="preserve"> should grant OCC</w:t>
      </w:r>
      <w:r w:rsidR="008D7BCE">
        <w:t>’</w:t>
      </w:r>
      <w:r w:rsidRPr="003735FD">
        <w:t>s Motion are further set forth in the attached Memorandum</w:t>
      </w:r>
      <w:r>
        <w:t xml:space="preserve"> in Support.  </w:t>
      </w:r>
      <w:r w:rsidRPr="0061425F">
        <w:rPr>
          <w:szCs w:val="24"/>
        </w:rPr>
        <w:t xml:space="preserve">OCC also includes </w:t>
      </w:r>
      <w:r>
        <w:rPr>
          <w:szCs w:val="24"/>
        </w:rPr>
        <w:t xml:space="preserve">Comments on </w:t>
      </w:r>
      <w:r w:rsidR="00CF6322">
        <w:rPr>
          <w:szCs w:val="24"/>
        </w:rPr>
        <w:t>Middle Point</w:t>
      </w:r>
      <w:r w:rsidR="008D7BCE">
        <w:rPr>
          <w:szCs w:val="24"/>
        </w:rPr>
        <w:t>’</w:t>
      </w:r>
      <w:r w:rsidR="00CF6322">
        <w:rPr>
          <w:szCs w:val="24"/>
        </w:rPr>
        <w:t>s</w:t>
      </w:r>
      <w:r>
        <w:rPr>
          <w:szCs w:val="24"/>
        </w:rPr>
        <w:t xml:space="preserve"> proposed </w:t>
      </w:r>
      <w:r w:rsidR="00CF6322">
        <w:rPr>
          <w:szCs w:val="24"/>
        </w:rPr>
        <w:t>rate increase</w:t>
      </w:r>
      <w:r>
        <w:rPr>
          <w:szCs w:val="24"/>
        </w:rPr>
        <w:t>.</w:t>
      </w:r>
      <w:r w:rsidR="00D173D6">
        <w:rPr>
          <w:rStyle w:val="FootnoteReference"/>
          <w:szCs w:val="24"/>
        </w:rPr>
        <w:footnoteReference w:id="4"/>
      </w:r>
    </w:p>
    <w:p w:rsidR="00950010" w:rsidRDefault="00950010" w:rsidP="00950010">
      <w:pPr>
        <w:pStyle w:val="BodyTextIndent3"/>
        <w:widowControl w:val="0"/>
        <w:ind w:left="3600" w:right="-672"/>
        <w:rPr>
          <w:szCs w:val="24"/>
        </w:rPr>
      </w:pPr>
      <w:r>
        <w:rPr>
          <w:szCs w:val="24"/>
        </w:rPr>
        <w:t>Respectfully submitted,</w:t>
      </w:r>
    </w:p>
    <w:p w:rsidR="00950010" w:rsidRDefault="00950010" w:rsidP="00950010">
      <w:pPr>
        <w:pStyle w:val="Footer"/>
        <w:tabs>
          <w:tab w:val="clear" w:pos="8640"/>
          <w:tab w:val="left" w:pos="4320"/>
        </w:tabs>
        <w:spacing w:before="240"/>
        <w:rPr>
          <w:sz w:val="24"/>
          <w:szCs w:val="24"/>
        </w:rPr>
      </w:pPr>
      <w:r>
        <w:rPr>
          <w:sz w:val="24"/>
          <w:szCs w:val="24"/>
        </w:rPr>
        <w:tab/>
        <w:t>BRUCE J. WESTON</w:t>
      </w:r>
    </w:p>
    <w:p w:rsidR="00950010" w:rsidRDefault="00950010" w:rsidP="00950010">
      <w:pPr>
        <w:tabs>
          <w:tab w:val="left" w:pos="4320"/>
        </w:tabs>
        <w:rPr>
          <w:szCs w:val="24"/>
        </w:rPr>
      </w:pPr>
      <w:r>
        <w:rPr>
          <w:szCs w:val="24"/>
        </w:rPr>
        <w:tab/>
        <w:t>OHIO CONSUMERS</w:t>
      </w:r>
      <w:r w:rsidR="008D7BCE">
        <w:rPr>
          <w:szCs w:val="24"/>
        </w:rPr>
        <w:t>’</w:t>
      </w:r>
      <w:r>
        <w:rPr>
          <w:szCs w:val="24"/>
        </w:rPr>
        <w:t xml:space="preserve"> COUNSEL</w:t>
      </w:r>
    </w:p>
    <w:p w:rsidR="00950010" w:rsidRDefault="00950010" w:rsidP="00950010">
      <w:pPr>
        <w:tabs>
          <w:tab w:val="left" w:pos="4320"/>
        </w:tabs>
        <w:rPr>
          <w:szCs w:val="24"/>
        </w:rPr>
      </w:pPr>
      <w:r>
        <w:rPr>
          <w:szCs w:val="24"/>
        </w:rPr>
        <w:tab/>
      </w:r>
    </w:p>
    <w:p w:rsidR="00950010" w:rsidRDefault="00950010" w:rsidP="00950010">
      <w:pPr>
        <w:autoSpaceDE w:val="0"/>
        <w:autoSpaceDN w:val="0"/>
        <w:adjustRightInd w:val="0"/>
        <w:ind w:left="4320"/>
        <w:rPr>
          <w:i/>
        </w:rPr>
      </w:pPr>
      <w:r>
        <w:rPr>
          <w:i/>
          <w:u w:val="single"/>
        </w:rPr>
        <w:t>/s/ Terry L. Etter                           </w:t>
      </w:r>
    </w:p>
    <w:p w:rsidR="00950010" w:rsidRDefault="00950010" w:rsidP="00950010">
      <w:pPr>
        <w:tabs>
          <w:tab w:val="left" w:pos="4320"/>
        </w:tabs>
        <w:rPr>
          <w:szCs w:val="24"/>
        </w:rPr>
      </w:pPr>
      <w:r>
        <w:rPr>
          <w:szCs w:val="24"/>
        </w:rPr>
        <w:tab/>
        <w:t>Terry L. Etter, Counsel of Record</w:t>
      </w:r>
    </w:p>
    <w:p w:rsidR="00950010" w:rsidRDefault="00950010" w:rsidP="00950010">
      <w:pPr>
        <w:tabs>
          <w:tab w:val="left" w:pos="4320"/>
        </w:tabs>
        <w:rPr>
          <w:szCs w:val="24"/>
        </w:rPr>
      </w:pPr>
      <w:r>
        <w:rPr>
          <w:szCs w:val="24"/>
        </w:rPr>
        <w:tab/>
        <w:t>Assistant Consumers</w:t>
      </w:r>
      <w:r w:rsidR="008D7BCE">
        <w:rPr>
          <w:szCs w:val="24"/>
        </w:rPr>
        <w:t>’</w:t>
      </w:r>
      <w:r>
        <w:rPr>
          <w:szCs w:val="24"/>
        </w:rPr>
        <w:t xml:space="preserve"> Counsel</w:t>
      </w:r>
    </w:p>
    <w:p w:rsidR="00ED0501" w:rsidRDefault="00950010" w:rsidP="00ED0501">
      <w:r>
        <w:tab/>
      </w:r>
      <w:r>
        <w:tab/>
      </w:r>
      <w:r w:rsidR="00ED0501">
        <w:tab/>
      </w:r>
      <w:r w:rsidR="00ED0501">
        <w:tab/>
      </w:r>
      <w:r w:rsidR="00ED0501">
        <w:tab/>
      </w:r>
      <w:r w:rsidR="00ED0501">
        <w:tab/>
      </w:r>
    </w:p>
    <w:p w:rsidR="00950010" w:rsidRPr="00ED0501" w:rsidRDefault="00950010" w:rsidP="00ED0501">
      <w:pPr>
        <w:ind w:left="3600" w:firstLine="720"/>
        <w:rPr>
          <w:b/>
        </w:rPr>
      </w:pPr>
      <w:r w:rsidRPr="00ED0501">
        <w:rPr>
          <w:b/>
        </w:rPr>
        <w:t>Office of the Ohio Consumers</w:t>
      </w:r>
      <w:r w:rsidR="008D7BCE" w:rsidRPr="00ED0501">
        <w:rPr>
          <w:b/>
        </w:rPr>
        <w:t>’</w:t>
      </w:r>
      <w:r w:rsidRPr="00ED0501">
        <w:rPr>
          <w:b/>
        </w:rPr>
        <w:t xml:space="preserve"> Counsel</w:t>
      </w:r>
    </w:p>
    <w:p w:rsidR="00950010" w:rsidRDefault="00950010" w:rsidP="00C410CD">
      <w:r>
        <w:tab/>
      </w:r>
      <w:r w:rsidR="00C410CD">
        <w:tab/>
      </w:r>
      <w:r w:rsidR="00C410CD">
        <w:tab/>
      </w:r>
      <w:r w:rsidR="00C410CD">
        <w:tab/>
      </w:r>
      <w:r w:rsidR="00C410CD">
        <w:tab/>
      </w:r>
      <w:r w:rsidR="00C410CD">
        <w:tab/>
      </w:r>
      <w:r w:rsidR="00ED0501">
        <w:t>10 West Broad Street, Suite 1800</w:t>
      </w:r>
    </w:p>
    <w:p w:rsidR="00950010" w:rsidRDefault="00ED0501" w:rsidP="00C410CD">
      <w:r>
        <w:tab/>
      </w:r>
      <w:r w:rsidR="00C410CD">
        <w:tab/>
      </w:r>
      <w:r w:rsidR="00C410CD">
        <w:tab/>
      </w:r>
      <w:r w:rsidR="00C410CD">
        <w:tab/>
      </w:r>
      <w:r w:rsidR="00C410CD">
        <w:tab/>
      </w:r>
      <w:r w:rsidR="00C410CD">
        <w:tab/>
      </w:r>
      <w:r>
        <w:t>Columbus, Ohio 43215-3485</w:t>
      </w:r>
    </w:p>
    <w:p w:rsidR="00950010" w:rsidRPr="00FD5BCF" w:rsidRDefault="00950010" w:rsidP="00ED0501">
      <w:pPr>
        <w:ind w:left="4320"/>
      </w:pPr>
      <w:r>
        <w:t>(614) 466-7964 (Etter direct)</w:t>
      </w:r>
    </w:p>
    <w:p w:rsidR="00950010" w:rsidRDefault="00CF591D" w:rsidP="00ED0501">
      <w:pPr>
        <w:autoSpaceDE w:val="0"/>
        <w:autoSpaceDN w:val="0"/>
        <w:adjustRightInd w:val="0"/>
        <w:ind w:left="3600" w:firstLine="720"/>
        <w:rPr>
          <w:rStyle w:val="Hyperlink"/>
          <w:szCs w:val="24"/>
        </w:rPr>
      </w:pPr>
      <w:hyperlink r:id="rId15" w:history="1">
        <w:r w:rsidR="00950010" w:rsidRPr="004E09FD">
          <w:rPr>
            <w:rStyle w:val="Hyperlink"/>
            <w:szCs w:val="24"/>
          </w:rPr>
          <w:t>terry.etter@occ.ohio.gov</w:t>
        </w:r>
      </w:hyperlink>
    </w:p>
    <w:p w:rsidR="00ED0501" w:rsidRDefault="00ED0501" w:rsidP="00950010">
      <w:pPr>
        <w:autoSpaceDE w:val="0"/>
        <w:autoSpaceDN w:val="0"/>
        <w:adjustRightInd w:val="0"/>
        <w:ind w:left="3600" w:firstLine="720"/>
        <w:rPr>
          <w:rStyle w:val="Hyperlink"/>
          <w:szCs w:val="24"/>
        </w:rPr>
      </w:pPr>
    </w:p>
    <w:p w:rsidR="00ED0501" w:rsidRDefault="00ED0501" w:rsidP="00950010">
      <w:pPr>
        <w:autoSpaceDE w:val="0"/>
        <w:autoSpaceDN w:val="0"/>
        <w:adjustRightInd w:val="0"/>
        <w:ind w:left="3600" w:firstLine="720"/>
        <w:rPr>
          <w:szCs w:val="24"/>
        </w:rPr>
        <w:sectPr w:rsidR="00ED0501" w:rsidSect="00ED0501">
          <w:headerReference w:type="default" r:id="rId16"/>
          <w:footerReference w:type="default" r:id="rId17"/>
          <w:footerReference w:type="first" r:id="rId18"/>
          <w:pgSz w:w="12240" w:h="15840"/>
          <w:pgMar w:top="1440" w:right="1800" w:bottom="1440" w:left="1800" w:header="720" w:footer="720" w:gutter="0"/>
          <w:cols w:space="720"/>
          <w:titlePg/>
          <w:docGrid w:linePitch="326"/>
        </w:sectPr>
      </w:pPr>
    </w:p>
    <w:p w:rsidR="00ED0501" w:rsidRPr="00ED0501" w:rsidRDefault="00ED0501" w:rsidP="00ED0501">
      <w:pPr>
        <w:autoSpaceDE w:val="0"/>
        <w:autoSpaceDN w:val="0"/>
        <w:adjustRightInd w:val="0"/>
        <w:jc w:val="center"/>
        <w:rPr>
          <w:b/>
          <w:szCs w:val="24"/>
        </w:rPr>
      </w:pPr>
      <w:r w:rsidRPr="00ED0501">
        <w:rPr>
          <w:b/>
          <w:szCs w:val="24"/>
        </w:rPr>
        <w:t>TABLE OF CONTENTS</w:t>
      </w:r>
    </w:p>
    <w:p w:rsidR="00ED0501" w:rsidRDefault="00ED0501" w:rsidP="00950010">
      <w:pPr>
        <w:autoSpaceDE w:val="0"/>
        <w:autoSpaceDN w:val="0"/>
        <w:adjustRightInd w:val="0"/>
        <w:ind w:left="3600" w:firstLine="720"/>
        <w:rPr>
          <w:szCs w:val="24"/>
        </w:rPr>
      </w:pPr>
    </w:p>
    <w:p w:rsidR="00ED0501" w:rsidRDefault="00ED0501" w:rsidP="00950010">
      <w:pPr>
        <w:autoSpaceDE w:val="0"/>
        <w:autoSpaceDN w:val="0"/>
        <w:adjustRightInd w:val="0"/>
        <w:ind w:left="3600" w:firstLine="720"/>
        <w:rPr>
          <w:szCs w:val="24"/>
        </w:rPr>
      </w:pPr>
    </w:p>
    <w:p w:rsidR="00ED0501" w:rsidRPr="00617907" w:rsidRDefault="00ED0501" w:rsidP="00950010">
      <w:pPr>
        <w:autoSpaceDE w:val="0"/>
        <w:autoSpaceDN w:val="0"/>
        <w:adjustRightInd w:val="0"/>
        <w:ind w:left="3600" w:firstLine="720"/>
        <w:rPr>
          <w:b/>
          <w:szCs w:val="24"/>
        </w:rPr>
      </w:pPr>
      <w:r>
        <w:rPr>
          <w:szCs w:val="24"/>
        </w:rPr>
        <w:tab/>
      </w:r>
      <w:r>
        <w:rPr>
          <w:szCs w:val="24"/>
        </w:rPr>
        <w:tab/>
      </w:r>
      <w:r>
        <w:rPr>
          <w:szCs w:val="24"/>
        </w:rPr>
        <w:tab/>
      </w:r>
      <w:r>
        <w:rPr>
          <w:szCs w:val="24"/>
        </w:rPr>
        <w:tab/>
      </w:r>
      <w:r>
        <w:rPr>
          <w:szCs w:val="24"/>
        </w:rPr>
        <w:tab/>
      </w:r>
      <w:r w:rsidRPr="00617907">
        <w:rPr>
          <w:b/>
          <w:szCs w:val="24"/>
        </w:rPr>
        <w:t>PAGE</w:t>
      </w:r>
    </w:p>
    <w:p w:rsidR="00ED0501" w:rsidRDefault="00ED0501" w:rsidP="00950010">
      <w:pPr>
        <w:autoSpaceDE w:val="0"/>
        <w:autoSpaceDN w:val="0"/>
        <w:adjustRightInd w:val="0"/>
        <w:ind w:left="3600" w:firstLine="720"/>
        <w:rPr>
          <w:szCs w:val="24"/>
        </w:rPr>
      </w:pPr>
    </w:p>
    <w:p w:rsidR="00C410CD" w:rsidRDefault="00617907">
      <w:pPr>
        <w:pStyle w:val="TOC1"/>
        <w:tabs>
          <w:tab w:val="right" w:leader="dot" w:pos="8630"/>
        </w:tabs>
        <w:rPr>
          <w:rFonts w:asciiTheme="minorHAnsi" w:eastAsiaTheme="minorEastAsia" w:hAnsiTheme="minorHAnsi"/>
          <w:caps w:val="0"/>
          <w:noProof/>
          <w:sz w:val="22"/>
        </w:rPr>
      </w:pPr>
      <w:r>
        <w:rPr>
          <w:szCs w:val="24"/>
        </w:rPr>
        <w:fldChar w:fldCharType="begin"/>
      </w:r>
      <w:r>
        <w:rPr>
          <w:szCs w:val="24"/>
        </w:rPr>
        <w:instrText xml:space="preserve"> TOC \o "1-1" \h \z \u </w:instrText>
      </w:r>
      <w:r>
        <w:rPr>
          <w:szCs w:val="24"/>
        </w:rPr>
        <w:fldChar w:fldCharType="separate"/>
      </w:r>
      <w:hyperlink w:anchor="_Toc380765455" w:history="1">
        <w:r w:rsidR="00C410CD" w:rsidRPr="009158F9">
          <w:rPr>
            <w:rStyle w:val="Hyperlink"/>
            <w:noProof/>
          </w:rPr>
          <w:t>i.</w:t>
        </w:r>
        <w:r w:rsidR="00C410CD">
          <w:rPr>
            <w:rFonts w:asciiTheme="minorHAnsi" w:eastAsiaTheme="minorEastAsia" w:hAnsiTheme="minorHAnsi"/>
            <w:caps w:val="0"/>
            <w:noProof/>
            <w:sz w:val="22"/>
          </w:rPr>
          <w:tab/>
        </w:r>
        <w:r w:rsidR="00C410CD" w:rsidRPr="009158F9">
          <w:rPr>
            <w:rStyle w:val="Hyperlink"/>
            <w:noProof/>
          </w:rPr>
          <w:t>INTERVENTION</w:t>
        </w:r>
        <w:r w:rsidR="00C410CD">
          <w:rPr>
            <w:noProof/>
            <w:webHidden/>
          </w:rPr>
          <w:tab/>
        </w:r>
        <w:r w:rsidR="00C410CD">
          <w:rPr>
            <w:noProof/>
            <w:webHidden/>
          </w:rPr>
          <w:fldChar w:fldCharType="begin"/>
        </w:r>
        <w:r w:rsidR="00C410CD">
          <w:rPr>
            <w:noProof/>
            <w:webHidden/>
          </w:rPr>
          <w:instrText xml:space="preserve"> PAGEREF _Toc380765455 \h </w:instrText>
        </w:r>
        <w:r w:rsidR="00C410CD">
          <w:rPr>
            <w:noProof/>
            <w:webHidden/>
          </w:rPr>
        </w:r>
        <w:r w:rsidR="00C410CD">
          <w:rPr>
            <w:noProof/>
            <w:webHidden/>
          </w:rPr>
          <w:fldChar w:fldCharType="separate"/>
        </w:r>
        <w:r w:rsidR="000E6477">
          <w:rPr>
            <w:noProof/>
            <w:webHidden/>
          </w:rPr>
          <w:t>1</w:t>
        </w:r>
        <w:r w:rsidR="00C410CD">
          <w:rPr>
            <w:noProof/>
            <w:webHidden/>
          </w:rPr>
          <w:fldChar w:fldCharType="end"/>
        </w:r>
      </w:hyperlink>
    </w:p>
    <w:p w:rsidR="00C410CD" w:rsidRDefault="00CF591D">
      <w:pPr>
        <w:pStyle w:val="TOC1"/>
        <w:tabs>
          <w:tab w:val="right" w:leader="dot" w:pos="8630"/>
        </w:tabs>
        <w:rPr>
          <w:rFonts w:asciiTheme="minorHAnsi" w:eastAsiaTheme="minorEastAsia" w:hAnsiTheme="minorHAnsi"/>
          <w:caps w:val="0"/>
          <w:noProof/>
          <w:sz w:val="22"/>
        </w:rPr>
      </w:pPr>
      <w:hyperlink w:anchor="_Toc380765456" w:history="1">
        <w:r w:rsidR="00C410CD" w:rsidRPr="009158F9">
          <w:rPr>
            <w:rStyle w:val="Hyperlink"/>
            <w:noProof/>
          </w:rPr>
          <w:t>ii.</w:t>
        </w:r>
        <w:r w:rsidR="00C410CD">
          <w:rPr>
            <w:rFonts w:asciiTheme="minorHAnsi" w:eastAsiaTheme="minorEastAsia" w:hAnsiTheme="minorHAnsi"/>
            <w:caps w:val="0"/>
            <w:noProof/>
            <w:sz w:val="22"/>
          </w:rPr>
          <w:tab/>
        </w:r>
        <w:r w:rsidR="00C410CD" w:rsidRPr="009158F9">
          <w:rPr>
            <w:rStyle w:val="Hyperlink"/>
            <w:noProof/>
          </w:rPr>
          <w:t>COMMENTS</w:t>
        </w:r>
        <w:r w:rsidR="00C410CD">
          <w:rPr>
            <w:noProof/>
            <w:webHidden/>
          </w:rPr>
          <w:tab/>
        </w:r>
        <w:r w:rsidR="00C410CD">
          <w:rPr>
            <w:noProof/>
            <w:webHidden/>
          </w:rPr>
          <w:fldChar w:fldCharType="begin"/>
        </w:r>
        <w:r w:rsidR="00C410CD">
          <w:rPr>
            <w:noProof/>
            <w:webHidden/>
          </w:rPr>
          <w:instrText xml:space="preserve"> PAGEREF _Toc380765456 \h </w:instrText>
        </w:r>
        <w:r w:rsidR="00C410CD">
          <w:rPr>
            <w:noProof/>
            <w:webHidden/>
          </w:rPr>
        </w:r>
        <w:r w:rsidR="00C410CD">
          <w:rPr>
            <w:noProof/>
            <w:webHidden/>
          </w:rPr>
          <w:fldChar w:fldCharType="separate"/>
        </w:r>
        <w:r w:rsidR="000E6477">
          <w:rPr>
            <w:noProof/>
            <w:webHidden/>
          </w:rPr>
          <w:t>4</w:t>
        </w:r>
        <w:r w:rsidR="00C410CD">
          <w:rPr>
            <w:noProof/>
            <w:webHidden/>
          </w:rPr>
          <w:fldChar w:fldCharType="end"/>
        </w:r>
      </w:hyperlink>
    </w:p>
    <w:p w:rsidR="00C410CD" w:rsidRDefault="00CF591D">
      <w:pPr>
        <w:pStyle w:val="TOC1"/>
        <w:tabs>
          <w:tab w:val="right" w:leader="dot" w:pos="8630"/>
        </w:tabs>
        <w:rPr>
          <w:rFonts w:asciiTheme="minorHAnsi" w:eastAsiaTheme="minorEastAsia" w:hAnsiTheme="minorHAnsi"/>
          <w:caps w:val="0"/>
          <w:noProof/>
          <w:sz w:val="22"/>
        </w:rPr>
      </w:pPr>
      <w:hyperlink w:anchor="_Toc380765457" w:history="1">
        <w:r w:rsidR="00C410CD" w:rsidRPr="009158F9">
          <w:rPr>
            <w:rStyle w:val="Hyperlink"/>
            <w:noProof/>
          </w:rPr>
          <w:t>iii.</w:t>
        </w:r>
        <w:r w:rsidR="00C410CD">
          <w:rPr>
            <w:rFonts w:asciiTheme="minorHAnsi" w:eastAsiaTheme="minorEastAsia" w:hAnsiTheme="minorHAnsi"/>
            <w:caps w:val="0"/>
            <w:noProof/>
            <w:sz w:val="22"/>
          </w:rPr>
          <w:tab/>
        </w:r>
        <w:r w:rsidR="00C410CD" w:rsidRPr="009158F9">
          <w:rPr>
            <w:rStyle w:val="Hyperlink"/>
            <w:noProof/>
          </w:rPr>
          <w:t>CONCLUSION</w:t>
        </w:r>
        <w:r w:rsidR="00C410CD">
          <w:rPr>
            <w:noProof/>
            <w:webHidden/>
          </w:rPr>
          <w:tab/>
        </w:r>
        <w:r w:rsidR="00C410CD">
          <w:rPr>
            <w:noProof/>
            <w:webHidden/>
          </w:rPr>
          <w:fldChar w:fldCharType="begin"/>
        </w:r>
        <w:r w:rsidR="00C410CD">
          <w:rPr>
            <w:noProof/>
            <w:webHidden/>
          </w:rPr>
          <w:instrText xml:space="preserve"> PAGEREF _Toc380765457 \h </w:instrText>
        </w:r>
        <w:r w:rsidR="00C410CD">
          <w:rPr>
            <w:noProof/>
            <w:webHidden/>
          </w:rPr>
        </w:r>
        <w:r w:rsidR="00C410CD">
          <w:rPr>
            <w:noProof/>
            <w:webHidden/>
          </w:rPr>
          <w:fldChar w:fldCharType="separate"/>
        </w:r>
        <w:r w:rsidR="000E6477">
          <w:rPr>
            <w:noProof/>
            <w:webHidden/>
          </w:rPr>
          <w:t>10</w:t>
        </w:r>
        <w:r w:rsidR="00C410CD">
          <w:rPr>
            <w:noProof/>
            <w:webHidden/>
          </w:rPr>
          <w:fldChar w:fldCharType="end"/>
        </w:r>
      </w:hyperlink>
    </w:p>
    <w:p w:rsidR="00ED0501" w:rsidRDefault="00617907" w:rsidP="00950010">
      <w:pPr>
        <w:autoSpaceDE w:val="0"/>
        <w:autoSpaceDN w:val="0"/>
        <w:adjustRightInd w:val="0"/>
        <w:ind w:left="3600" w:firstLine="720"/>
        <w:rPr>
          <w:szCs w:val="24"/>
        </w:rPr>
      </w:pPr>
      <w:r>
        <w:rPr>
          <w:szCs w:val="24"/>
        </w:rPr>
        <w:fldChar w:fldCharType="end"/>
      </w:r>
    </w:p>
    <w:p w:rsidR="00C410CD" w:rsidRDefault="00C410CD" w:rsidP="00950010">
      <w:pPr>
        <w:autoSpaceDE w:val="0"/>
        <w:autoSpaceDN w:val="0"/>
        <w:adjustRightInd w:val="0"/>
        <w:ind w:left="3600" w:firstLine="720"/>
        <w:rPr>
          <w:szCs w:val="24"/>
        </w:rPr>
        <w:sectPr w:rsidR="00C410CD" w:rsidSect="00617907">
          <w:footerReference w:type="first" r:id="rId19"/>
          <w:pgSz w:w="12240" w:h="15840"/>
          <w:pgMar w:top="1440" w:right="1800" w:bottom="1440" w:left="1800" w:header="720" w:footer="720" w:gutter="0"/>
          <w:pgNumType w:fmt="lowerRoman" w:start="1"/>
          <w:cols w:space="720"/>
          <w:titlePg/>
          <w:docGrid w:linePitch="326"/>
        </w:sectPr>
      </w:pPr>
    </w:p>
    <w:p w:rsidR="00950010" w:rsidRDefault="00950010" w:rsidP="00950010">
      <w:pPr>
        <w:pStyle w:val="HTMLPreformatted"/>
        <w:jc w:val="center"/>
        <w:rPr>
          <w:rFonts w:ascii="Times New Roman" w:hAnsi="Times New Roman"/>
          <w:b/>
          <w:bCs/>
          <w:sz w:val="24"/>
        </w:rPr>
      </w:pPr>
      <w:r>
        <w:rPr>
          <w:rFonts w:ascii="Times New Roman" w:hAnsi="Times New Roman"/>
          <w:b/>
          <w:bCs/>
          <w:sz w:val="24"/>
        </w:rPr>
        <w:t>BEFORE</w:t>
      </w:r>
    </w:p>
    <w:p w:rsidR="00950010" w:rsidRDefault="00950010" w:rsidP="00950010">
      <w:pPr>
        <w:pStyle w:val="HTMLPreformatted"/>
        <w:jc w:val="center"/>
        <w:rPr>
          <w:rFonts w:ascii="Times New Roman" w:hAnsi="Times New Roman"/>
          <w:sz w:val="24"/>
        </w:rPr>
      </w:pPr>
      <w:r>
        <w:rPr>
          <w:rFonts w:ascii="Times New Roman" w:hAnsi="Times New Roman"/>
          <w:b/>
          <w:bCs/>
          <w:sz w:val="24"/>
        </w:rPr>
        <w:t>THE PUBLIC UTILITIES COMMISSION OF OHIO</w:t>
      </w:r>
    </w:p>
    <w:p w:rsidR="00950010" w:rsidRDefault="00950010" w:rsidP="00950010">
      <w:pPr>
        <w:pStyle w:val="HTMLPreformatted"/>
        <w:rPr>
          <w:rFonts w:ascii="Times New Roman" w:hAnsi="Times New Roman"/>
          <w:sz w:val="24"/>
        </w:rPr>
      </w:pPr>
    </w:p>
    <w:tbl>
      <w:tblPr>
        <w:tblW w:w="9008" w:type="dxa"/>
        <w:tblLook w:val="01E0" w:firstRow="1" w:lastRow="1" w:firstColumn="1" w:lastColumn="1" w:noHBand="0" w:noVBand="0"/>
      </w:tblPr>
      <w:tblGrid>
        <w:gridCol w:w="4248"/>
        <w:gridCol w:w="360"/>
        <w:gridCol w:w="4400"/>
      </w:tblGrid>
      <w:tr w:rsidR="0018726C" w:rsidTr="0018726C">
        <w:trPr>
          <w:trHeight w:val="807"/>
        </w:trPr>
        <w:tc>
          <w:tcPr>
            <w:tcW w:w="4248" w:type="dxa"/>
            <w:shd w:val="clear" w:color="auto" w:fill="auto"/>
          </w:tcPr>
          <w:p w:rsidR="0018726C" w:rsidRPr="005717D2" w:rsidRDefault="0018726C" w:rsidP="00830445">
            <w:pPr>
              <w:autoSpaceDE w:val="0"/>
              <w:autoSpaceDN w:val="0"/>
              <w:adjustRightInd w:val="0"/>
              <w:rPr>
                <w:szCs w:val="24"/>
              </w:rPr>
            </w:pPr>
            <w:r w:rsidRPr="0018726C">
              <w:rPr>
                <w:szCs w:val="24"/>
              </w:rPr>
              <w:t>In the Matter of the Application of Middle Point Home Telephone Company to Amend its Basic Local Exchange Service Tariff and to Authorize a Mechanism to Change Its Residential BLES Rates under R.C.4927.15(C)</w:t>
            </w:r>
            <w:r w:rsidRPr="005717D2">
              <w:rPr>
                <w:szCs w:val="24"/>
              </w:rPr>
              <w:t xml:space="preserve">. </w:t>
            </w:r>
          </w:p>
        </w:tc>
        <w:tc>
          <w:tcPr>
            <w:tcW w:w="360" w:type="dxa"/>
            <w:shd w:val="clear" w:color="auto" w:fill="auto"/>
          </w:tcPr>
          <w:p w:rsidR="0018726C" w:rsidRPr="005717D2" w:rsidRDefault="0018726C" w:rsidP="00830445">
            <w:pPr>
              <w:pStyle w:val="HTMLPreformatted"/>
              <w:rPr>
                <w:rFonts w:ascii="Times New Roman" w:hAnsi="Times New Roman"/>
                <w:sz w:val="24"/>
              </w:rPr>
            </w:pPr>
            <w:r w:rsidRPr="005717D2">
              <w:rPr>
                <w:rFonts w:ascii="Times New Roman" w:hAnsi="Times New Roman"/>
                <w:sz w:val="24"/>
              </w:rPr>
              <w:t>)</w:t>
            </w:r>
          </w:p>
          <w:p w:rsidR="0018726C" w:rsidRPr="005717D2" w:rsidRDefault="0018726C" w:rsidP="00830445">
            <w:pPr>
              <w:pStyle w:val="HTMLPreformatted"/>
              <w:rPr>
                <w:rFonts w:ascii="Times New Roman" w:hAnsi="Times New Roman"/>
                <w:sz w:val="24"/>
              </w:rPr>
            </w:pPr>
            <w:r w:rsidRPr="005717D2">
              <w:rPr>
                <w:rFonts w:ascii="Times New Roman" w:hAnsi="Times New Roman"/>
                <w:sz w:val="24"/>
              </w:rPr>
              <w:t>)</w:t>
            </w:r>
          </w:p>
          <w:p w:rsidR="0018726C" w:rsidRDefault="0018726C" w:rsidP="00830445">
            <w:pPr>
              <w:pStyle w:val="HTMLPreformatted"/>
              <w:rPr>
                <w:rFonts w:ascii="Times New Roman" w:hAnsi="Times New Roman"/>
                <w:sz w:val="24"/>
              </w:rPr>
            </w:pPr>
            <w:r w:rsidRPr="005717D2">
              <w:rPr>
                <w:rFonts w:ascii="Times New Roman" w:hAnsi="Times New Roman"/>
                <w:sz w:val="24"/>
              </w:rPr>
              <w:t>)</w:t>
            </w:r>
          </w:p>
          <w:p w:rsidR="0018726C" w:rsidRDefault="0018726C" w:rsidP="00830445">
            <w:pPr>
              <w:pStyle w:val="HTMLPreformatted"/>
              <w:rPr>
                <w:rFonts w:ascii="Times New Roman" w:hAnsi="Times New Roman"/>
                <w:sz w:val="24"/>
              </w:rPr>
            </w:pPr>
            <w:r>
              <w:rPr>
                <w:rFonts w:ascii="Times New Roman" w:hAnsi="Times New Roman"/>
                <w:sz w:val="24"/>
              </w:rPr>
              <w:t>)</w:t>
            </w:r>
          </w:p>
          <w:p w:rsidR="0018726C" w:rsidRDefault="0018726C" w:rsidP="00830445">
            <w:pPr>
              <w:pStyle w:val="HTMLPreformatted"/>
              <w:rPr>
                <w:rFonts w:ascii="Times New Roman" w:hAnsi="Times New Roman"/>
                <w:sz w:val="24"/>
              </w:rPr>
            </w:pPr>
            <w:r>
              <w:rPr>
                <w:rFonts w:ascii="Times New Roman" w:hAnsi="Times New Roman"/>
                <w:sz w:val="24"/>
              </w:rPr>
              <w:t>)</w:t>
            </w:r>
          </w:p>
          <w:p w:rsidR="0018726C" w:rsidRPr="005717D2" w:rsidRDefault="0018726C" w:rsidP="00830445">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18726C" w:rsidRPr="005717D2" w:rsidRDefault="0018726C" w:rsidP="00830445">
            <w:pPr>
              <w:pStyle w:val="HTMLPreformatted"/>
              <w:rPr>
                <w:rFonts w:ascii="Times New Roman" w:hAnsi="Times New Roman"/>
                <w:sz w:val="24"/>
              </w:rPr>
            </w:pPr>
          </w:p>
          <w:p w:rsidR="0018726C" w:rsidRPr="005717D2" w:rsidRDefault="0018726C" w:rsidP="00830445">
            <w:pPr>
              <w:pStyle w:val="HTMLPreformatted"/>
              <w:rPr>
                <w:rFonts w:ascii="Times New Roman" w:hAnsi="Times New Roman"/>
                <w:sz w:val="24"/>
              </w:rPr>
            </w:pPr>
            <w:r w:rsidRPr="005717D2">
              <w:rPr>
                <w:rFonts w:ascii="Times New Roman" w:hAnsi="Times New Roman"/>
                <w:sz w:val="24"/>
              </w:rPr>
              <w:t>Case No</w:t>
            </w:r>
            <w:r>
              <w:rPr>
                <w:rFonts w:ascii="Times New Roman" w:hAnsi="Times New Roman"/>
                <w:sz w:val="24"/>
              </w:rPr>
              <w:t>. 14-191-TP-UNC</w:t>
            </w:r>
          </w:p>
          <w:p w:rsidR="0018726C" w:rsidRPr="005717D2" w:rsidRDefault="0018726C" w:rsidP="00830445">
            <w:pPr>
              <w:pStyle w:val="HTMLPreformatted"/>
              <w:rPr>
                <w:rFonts w:ascii="Times New Roman" w:hAnsi="Times New Roman"/>
                <w:sz w:val="24"/>
              </w:rPr>
            </w:pPr>
          </w:p>
          <w:p w:rsidR="0018726C" w:rsidRPr="005717D2" w:rsidRDefault="0018726C" w:rsidP="00830445">
            <w:pPr>
              <w:pStyle w:val="HTMLPreformatted"/>
              <w:rPr>
                <w:rFonts w:ascii="Times New Roman" w:hAnsi="Times New Roman"/>
                <w:sz w:val="24"/>
              </w:rPr>
            </w:pPr>
          </w:p>
        </w:tc>
      </w:tr>
    </w:tbl>
    <w:p w:rsidR="00950010" w:rsidRDefault="00950010" w:rsidP="00ED0501">
      <w:pPr>
        <w:pBdr>
          <w:bottom w:val="single" w:sz="12" w:space="1" w:color="auto"/>
        </w:pBdr>
      </w:pPr>
    </w:p>
    <w:p w:rsidR="00ED0501" w:rsidRDefault="00ED0501" w:rsidP="00ED0501"/>
    <w:p w:rsidR="00950010" w:rsidRPr="00617907" w:rsidRDefault="00950010" w:rsidP="00ED0501">
      <w:pPr>
        <w:pBdr>
          <w:bottom w:val="single" w:sz="12" w:space="1" w:color="auto"/>
        </w:pBdr>
        <w:jc w:val="center"/>
        <w:rPr>
          <w:b/>
        </w:rPr>
      </w:pPr>
      <w:r w:rsidRPr="00617907">
        <w:rPr>
          <w:b/>
        </w:rPr>
        <w:t>MEMORANDUM IN SUPPORT</w:t>
      </w:r>
      <w:r w:rsidRPr="00617907">
        <w:rPr>
          <w:b/>
        </w:rPr>
        <w:br/>
      </w:r>
    </w:p>
    <w:p w:rsidR="00ED0501" w:rsidRDefault="00ED0501" w:rsidP="00950010">
      <w:pPr>
        <w:pStyle w:val="BodyTextIndent"/>
        <w:spacing w:line="240" w:lineRule="auto"/>
        <w:ind w:firstLine="0"/>
        <w:rPr>
          <w:b/>
          <w:bCs/>
        </w:rPr>
      </w:pPr>
    </w:p>
    <w:p w:rsidR="00950010" w:rsidRPr="009B2F69" w:rsidRDefault="00ED0501" w:rsidP="00ED0501">
      <w:pPr>
        <w:pStyle w:val="Heading1"/>
      </w:pPr>
      <w:bookmarkStart w:id="1" w:name="_Toc380765455"/>
      <w:r>
        <w:t>i.</w:t>
      </w:r>
      <w:r>
        <w:tab/>
      </w:r>
      <w:r w:rsidR="00950010">
        <w:t>INTERVENTION</w:t>
      </w:r>
      <w:bookmarkEnd w:id="1"/>
    </w:p>
    <w:p w:rsidR="00950010" w:rsidRPr="003735FD" w:rsidRDefault="00950010" w:rsidP="00950010">
      <w:pPr>
        <w:pStyle w:val="BodyTextIndent3"/>
        <w:suppressAutoHyphens/>
        <w:spacing w:line="480" w:lineRule="auto"/>
        <w:rPr>
          <w:szCs w:val="24"/>
        </w:rPr>
      </w:pPr>
      <w:r w:rsidRPr="0077355B">
        <w:rPr>
          <w:szCs w:val="24"/>
        </w:rPr>
        <w:t xml:space="preserve">In its </w:t>
      </w:r>
      <w:r>
        <w:rPr>
          <w:szCs w:val="24"/>
        </w:rPr>
        <w:t xml:space="preserve">Application filed on </w:t>
      </w:r>
      <w:r w:rsidR="007927CC">
        <w:rPr>
          <w:szCs w:val="24"/>
        </w:rPr>
        <w:t>February 3, 2014</w:t>
      </w:r>
      <w:r>
        <w:rPr>
          <w:szCs w:val="24"/>
        </w:rPr>
        <w:t xml:space="preserve"> in this proceeding, </w:t>
      </w:r>
      <w:r w:rsidR="007927CC">
        <w:rPr>
          <w:szCs w:val="24"/>
        </w:rPr>
        <w:t>Middle Point</w:t>
      </w:r>
      <w:r>
        <w:rPr>
          <w:szCs w:val="24"/>
        </w:rPr>
        <w:t xml:space="preserve"> </w:t>
      </w:r>
      <w:r w:rsidR="007927CC">
        <w:rPr>
          <w:szCs w:val="24"/>
        </w:rPr>
        <w:t>asks the PUCO for special approval so that Middle Point can raise the rates it charges residential customers for</w:t>
      </w:r>
      <w:r>
        <w:rPr>
          <w:szCs w:val="24"/>
        </w:rPr>
        <w:t xml:space="preserve"> basic service</w:t>
      </w:r>
      <w:r w:rsidR="006969DE">
        <w:rPr>
          <w:szCs w:val="24"/>
        </w:rPr>
        <w:t xml:space="preserve"> by 122%</w:t>
      </w:r>
      <w:r>
        <w:rPr>
          <w:szCs w:val="24"/>
        </w:rPr>
        <w:t xml:space="preserve">.  </w:t>
      </w:r>
      <w:r w:rsidR="007927CC">
        <w:rPr>
          <w:szCs w:val="24"/>
        </w:rPr>
        <w:t xml:space="preserve">Middle Point states that it must </w:t>
      </w:r>
      <w:r w:rsidR="006969DE">
        <w:rPr>
          <w:szCs w:val="24"/>
        </w:rPr>
        <w:t>raise its basic service rate to $14, from the current rate of $6.30, to meet the floor for High Cost Line Support (</w:t>
      </w:r>
      <w:r w:rsidR="008D7BCE">
        <w:rPr>
          <w:szCs w:val="24"/>
        </w:rPr>
        <w:t>“</w:t>
      </w:r>
      <w:r w:rsidR="006969DE">
        <w:rPr>
          <w:szCs w:val="24"/>
        </w:rPr>
        <w:t>HCLS</w:t>
      </w:r>
      <w:r w:rsidR="008D7BCE">
        <w:rPr>
          <w:szCs w:val="24"/>
        </w:rPr>
        <w:t>”</w:t>
      </w:r>
      <w:r w:rsidR="006969DE">
        <w:rPr>
          <w:szCs w:val="24"/>
        </w:rPr>
        <w:t>) established by the FCC</w:t>
      </w:r>
      <w:r>
        <w:rPr>
          <w:szCs w:val="24"/>
        </w:rPr>
        <w:t>.</w:t>
      </w:r>
      <w:r w:rsidR="006969DE">
        <w:rPr>
          <w:rStyle w:val="FootnoteReference"/>
          <w:szCs w:val="24"/>
        </w:rPr>
        <w:footnoteReference w:id="5"/>
      </w:r>
      <w:r>
        <w:rPr>
          <w:szCs w:val="24"/>
        </w:rPr>
        <w:t xml:space="preserve">  </w:t>
      </w:r>
      <w:r w:rsidRPr="0077355B">
        <w:rPr>
          <w:szCs w:val="24"/>
        </w:rPr>
        <w:t xml:space="preserve">OCC has authority under law to represent </w:t>
      </w:r>
      <w:r w:rsidRPr="0077355B">
        <w:t xml:space="preserve">the interests </w:t>
      </w:r>
      <w:r>
        <w:t xml:space="preserve">of </w:t>
      </w:r>
      <w:r w:rsidR="006969DE">
        <w:t>Middle Point</w:t>
      </w:r>
      <w:r w:rsidR="008D7BCE">
        <w:t>’</w:t>
      </w:r>
      <w:r w:rsidR="006969DE">
        <w:t>s</w:t>
      </w:r>
      <w:r w:rsidRPr="0077355B">
        <w:t xml:space="preserve"> residential custom</w:t>
      </w:r>
      <w:r>
        <w:t>ers</w:t>
      </w:r>
      <w:r w:rsidRPr="0077355B">
        <w:t>.</w:t>
      </w:r>
      <w:r>
        <w:rPr>
          <w:rStyle w:val="FootnoteReference"/>
        </w:rPr>
        <w:footnoteReference w:id="6"/>
      </w:r>
      <w:r w:rsidRPr="003735FD">
        <w:rPr>
          <w:szCs w:val="24"/>
        </w:rPr>
        <w:t xml:space="preserve"> </w:t>
      </w:r>
    </w:p>
    <w:p w:rsidR="00950010" w:rsidRPr="003735FD" w:rsidRDefault="00950010" w:rsidP="00950010">
      <w:pPr>
        <w:pStyle w:val="BodyTextIndent3"/>
        <w:suppressAutoHyphens/>
        <w:spacing w:line="480" w:lineRule="auto"/>
      </w:pPr>
      <w:r w:rsidRPr="0077355B">
        <w:t xml:space="preserve">R.C. 4903.221 provides, in part, that any person </w:t>
      </w:r>
      <w:r w:rsidR="008D7BCE">
        <w:t>“</w:t>
      </w:r>
      <w:r w:rsidRPr="0077355B">
        <w:t>who may be adversely affected</w:t>
      </w:r>
      <w:r w:rsidR="008D7BCE">
        <w:t>”</w:t>
      </w:r>
      <w:r w:rsidRPr="0077355B">
        <w:t xml:space="preserve"> by a PUCO proceeding is entitled to seek intervention in that proceeding.  The interests of Ohio</w:t>
      </w:r>
      <w:r w:rsidR="008D7BCE">
        <w:t>’</w:t>
      </w:r>
      <w:r w:rsidRPr="0077355B">
        <w:t xml:space="preserve">s residential customers may be </w:t>
      </w:r>
      <w:r w:rsidR="008D7BCE">
        <w:t>“</w:t>
      </w:r>
      <w:r w:rsidRPr="0077355B">
        <w:t>adversely affected</w:t>
      </w:r>
      <w:r w:rsidR="008D7BCE">
        <w:t>”</w:t>
      </w:r>
      <w:r w:rsidRPr="0077355B">
        <w:t xml:space="preserve"> by this case, especially if the customers were unrepresented in this case </w:t>
      </w:r>
      <w:r w:rsidRPr="0077355B">
        <w:rPr>
          <w:szCs w:val="24"/>
        </w:rPr>
        <w:t xml:space="preserve">where </w:t>
      </w:r>
      <w:r w:rsidR="006969DE">
        <w:rPr>
          <w:szCs w:val="24"/>
        </w:rPr>
        <w:t>Middle Point</w:t>
      </w:r>
      <w:r w:rsidRPr="0077355B">
        <w:rPr>
          <w:szCs w:val="24"/>
        </w:rPr>
        <w:t xml:space="preserve"> is seeking </w:t>
      </w:r>
      <w:r>
        <w:rPr>
          <w:szCs w:val="24"/>
        </w:rPr>
        <w:t xml:space="preserve">authority to </w:t>
      </w:r>
      <w:r w:rsidR="006969DE">
        <w:rPr>
          <w:szCs w:val="24"/>
        </w:rPr>
        <w:t xml:space="preserve">raise the rates its </w:t>
      </w:r>
      <w:r>
        <w:rPr>
          <w:szCs w:val="24"/>
        </w:rPr>
        <w:t xml:space="preserve">residential </w:t>
      </w:r>
      <w:r w:rsidR="006969DE">
        <w:rPr>
          <w:szCs w:val="24"/>
        </w:rPr>
        <w:t xml:space="preserve">customers must pay for </w:t>
      </w:r>
      <w:r>
        <w:rPr>
          <w:szCs w:val="24"/>
        </w:rPr>
        <w:t>basic service</w:t>
      </w:r>
      <w:r w:rsidRPr="0077355B">
        <w:rPr>
          <w:szCs w:val="24"/>
        </w:rPr>
        <w:t>.</w:t>
      </w:r>
      <w:r w:rsidRPr="0077355B">
        <w:t xml:space="preserve">  Thus, this element of the intervention standard in R.C. 4903.221 is satisfied.</w:t>
      </w:r>
      <w:r w:rsidRPr="003735FD">
        <w:t xml:space="preserve"> </w:t>
      </w:r>
    </w:p>
    <w:p w:rsidR="00950010" w:rsidRPr="003735FD" w:rsidRDefault="00950010" w:rsidP="00950010">
      <w:pPr>
        <w:suppressAutoHyphens/>
        <w:spacing w:line="480" w:lineRule="auto"/>
        <w:ind w:firstLine="720"/>
        <w:rPr>
          <w:szCs w:val="24"/>
        </w:rPr>
      </w:pPr>
      <w:r w:rsidRPr="003735FD">
        <w:rPr>
          <w:szCs w:val="24"/>
        </w:rPr>
        <w:t xml:space="preserve">R.C. 4903.221(B) requires the </w:t>
      </w:r>
      <w:r>
        <w:rPr>
          <w:szCs w:val="24"/>
        </w:rPr>
        <w:t xml:space="preserve">PUCO </w:t>
      </w:r>
      <w:r w:rsidRPr="003735FD">
        <w:rPr>
          <w:szCs w:val="24"/>
        </w:rPr>
        <w:t>to consider the following criteria in ruling on motions to intervene:</w:t>
      </w:r>
    </w:p>
    <w:p w:rsidR="00950010" w:rsidRPr="003735FD" w:rsidRDefault="00950010" w:rsidP="00ED0501">
      <w:pPr>
        <w:suppressAutoHyphens/>
        <w:spacing w:line="480" w:lineRule="auto"/>
        <w:ind w:left="2160" w:right="720" w:hanging="720"/>
        <w:rPr>
          <w:szCs w:val="24"/>
        </w:rPr>
      </w:pPr>
      <w:r w:rsidRPr="003735FD">
        <w:rPr>
          <w:szCs w:val="24"/>
        </w:rPr>
        <w:t>(1)</w:t>
      </w:r>
      <w:r w:rsidRPr="003735FD">
        <w:rPr>
          <w:szCs w:val="24"/>
        </w:rPr>
        <w:tab/>
        <w:t>The nature and extent of the prospective intervenor</w:t>
      </w:r>
      <w:r w:rsidR="008D7BCE">
        <w:rPr>
          <w:szCs w:val="24"/>
        </w:rPr>
        <w:t>’</w:t>
      </w:r>
      <w:r w:rsidRPr="003735FD">
        <w:rPr>
          <w:szCs w:val="24"/>
        </w:rPr>
        <w:t>s interest;</w:t>
      </w:r>
    </w:p>
    <w:p w:rsidR="00950010" w:rsidRPr="003735FD" w:rsidRDefault="00950010" w:rsidP="00ED0501">
      <w:pPr>
        <w:suppressAutoHyphens/>
        <w:spacing w:line="480" w:lineRule="auto"/>
        <w:ind w:left="2160" w:right="720" w:hanging="720"/>
        <w:rPr>
          <w:szCs w:val="24"/>
        </w:rPr>
      </w:pPr>
      <w:r w:rsidRPr="003735FD">
        <w:rPr>
          <w:szCs w:val="24"/>
        </w:rPr>
        <w:t>(2)</w:t>
      </w:r>
      <w:r w:rsidRPr="003735FD">
        <w:rPr>
          <w:szCs w:val="24"/>
        </w:rPr>
        <w:tab/>
        <w:t>The legal position advanced by the prospective intervenor and its probable relation to the merits of the case;</w:t>
      </w:r>
    </w:p>
    <w:p w:rsidR="00950010" w:rsidRPr="003735FD" w:rsidRDefault="00950010" w:rsidP="00ED0501">
      <w:pPr>
        <w:suppressAutoHyphens/>
        <w:spacing w:line="480" w:lineRule="auto"/>
        <w:ind w:left="2160" w:right="720" w:hanging="720"/>
        <w:rPr>
          <w:szCs w:val="24"/>
        </w:rPr>
      </w:pPr>
      <w:r w:rsidRPr="003735FD">
        <w:rPr>
          <w:szCs w:val="24"/>
        </w:rPr>
        <w:t>(3)</w:t>
      </w:r>
      <w:r w:rsidRPr="003735FD">
        <w:rPr>
          <w:szCs w:val="24"/>
        </w:rPr>
        <w:tab/>
        <w:t>Whether the intervention by the prospective intervenor will unduly prolong or delay the proceeding; and</w:t>
      </w:r>
    </w:p>
    <w:p w:rsidR="00950010" w:rsidRPr="003735FD" w:rsidRDefault="00950010" w:rsidP="00ED0501">
      <w:pPr>
        <w:pStyle w:val="BodyTextIndent2"/>
        <w:tabs>
          <w:tab w:val="clear" w:pos="720"/>
        </w:tabs>
        <w:suppressAutoHyphens/>
        <w:spacing w:before="0" w:after="0" w:line="480" w:lineRule="auto"/>
        <w:ind w:left="2160" w:right="720" w:hanging="720"/>
        <w:rPr>
          <w:szCs w:val="24"/>
        </w:rPr>
      </w:pPr>
      <w:r w:rsidRPr="003735FD">
        <w:rPr>
          <w:szCs w:val="24"/>
        </w:rPr>
        <w:t>(4)</w:t>
      </w:r>
      <w:r w:rsidRPr="003735FD">
        <w:rPr>
          <w:szCs w:val="24"/>
        </w:rPr>
        <w:tab/>
        <w:t>Whether the prospective intervenor will significantly contribute to the full development and equitable resolution of the factual issues.</w:t>
      </w:r>
    </w:p>
    <w:p w:rsidR="00950010" w:rsidRPr="003735FD" w:rsidRDefault="00950010" w:rsidP="00950010">
      <w:pPr>
        <w:pStyle w:val="BodyTextIndent3"/>
        <w:suppressAutoHyphens/>
        <w:spacing w:line="480" w:lineRule="auto"/>
        <w:rPr>
          <w:szCs w:val="24"/>
        </w:rPr>
      </w:pPr>
      <w:r w:rsidRPr="0077355B">
        <w:t>First, the nature and extent of OCC</w:t>
      </w:r>
      <w:r w:rsidR="008D7BCE">
        <w:t>’</w:t>
      </w:r>
      <w:r w:rsidRPr="0077355B">
        <w:t xml:space="preserve">s interest is representing </w:t>
      </w:r>
      <w:r w:rsidR="006969DE">
        <w:t>Middle Point</w:t>
      </w:r>
      <w:r w:rsidR="008D7BCE">
        <w:t>’</w:t>
      </w:r>
      <w:r w:rsidR="006969DE">
        <w:t>s</w:t>
      </w:r>
      <w:r w:rsidRPr="0077355B">
        <w:t xml:space="preserve"> residential customers </w:t>
      </w:r>
      <w:r w:rsidRPr="0077355B">
        <w:rPr>
          <w:szCs w:val="24"/>
        </w:rPr>
        <w:t xml:space="preserve">in this case involving </w:t>
      </w:r>
      <w:r w:rsidR="006969DE">
        <w:rPr>
          <w:szCs w:val="24"/>
        </w:rPr>
        <w:t xml:space="preserve">a request to significantly increase the rate </w:t>
      </w:r>
      <w:r w:rsidR="00113BED">
        <w:rPr>
          <w:szCs w:val="24"/>
        </w:rPr>
        <w:t>they</w:t>
      </w:r>
      <w:r w:rsidR="006969DE">
        <w:rPr>
          <w:szCs w:val="24"/>
        </w:rPr>
        <w:t xml:space="preserve"> must pay for</w:t>
      </w:r>
      <w:r>
        <w:rPr>
          <w:szCs w:val="24"/>
        </w:rPr>
        <w:t xml:space="preserve"> basic service</w:t>
      </w:r>
      <w:r w:rsidRPr="0077355B">
        <w:rPr>
          <w:szCs w:val="24"/>
        </w:rPr>
        <w:t>.  This interest is different than that of any other party and especially different than that of the utility whose advocacy includes the financial interest of stockholders.</w:t>
      </w:r>
    </w:p>
    <w:p w:rsidR="00950010" w:rsidRPr="0033121A" w:rsidRDefault="00950010" w:rsidP="00950010">
      <w:pPr>
        <w:pStyle w:val="Footer"/>
        <w:tabs>
          <w:tab w:val="clear" w:pos="4320"/>
          <w:tab w:val="clear" w:pos="8640"/>
        </w:tabs>
        <w:suppressAutoHyphens/>
        <w:spacing w:line="480" w:lineRule="auto"/>
        <w:ind w:firstLine="720"/>
        <w:rPr>
          <w:sz w:val="24"/>
          <w:szCs w:val="24"/>
        </w:rPr>
      </w:pPr>
      <w:r w:rsidRPr="0077355B">
        <w:rPr>
          <w:sz w:val="24"/>
          <w:szCs w:val="24"/>
        </w:rPr>
        <w:t>Second, OCC</w:t>
      </w:r>
      <w:r w:rsidR="008D7BCE">
        <w:rPr>
          <w:sz w:val="24"/>
          <w:szCs w:val="24"/>
        </w:rPr>
        <w:t>’</w:t>
      </w:r>
      <w:r w:rsidRPr="0077355B">
        <w:rPr>
          <w:sz w:val="24"/>
          <w:szCs w:val="24"/>
        </w:rPr>
        <w:t xml:space="preserve">s advocacy for residential customers will include advancing the position that </w:t>
      </w:r>
      <w:r w:rsidR="00C37C3F">
        <w:rPr>
          <w:sz w:val="24"/>
          <w:szCs w:val="24"/>
        </w:rPr>
        <w:t>Middle Point</w:t>
      </w:r>
      <w:r w:rsidR="008D7BCE">
        <w:rPr>
          <w:sz w:val="24"/>
          <w:szCs w:val="24"/>
        </w:rPr>
        <w:t>’</w:t>
      </w:r>
      <w:r w:rsidR="00C37C3F">
        <w:rPr>
          <w:sz w:val="24"/>
          <w:szCs w:val="24"/>
        </w:rPr>
        <w:t>s residential customers should pay rates that are just, reasonable and no higher than allowed by law</w:t>
      </w:r>
      <w:r>
        <w:rPr>
          <w:sz w:val="24"/>
          <w:szCs w:val="24"/>
        </w:rPr>
        <w:t>.</w:t>
      </w:r>
      <w:r w:rsidRPr="0077355B">
        <w:rPr>
          <w:sz w:val="24"/>
          <w:szCs w:val="24"/>
        </w:rPr>
        <w:t xml:space="preserve">  OCC</w:t>
      </w:r>
      <w:r w:rsidR="008D7BCE">
        <w:rPr>
          <w:sz w:val="24"/>
          <w:szCs w:val="24"/>
        </w:rPr>
        <w:t>’</w:t>
      </w:r>
      <w:r w:rsidRPr="0077355B">
        <w:rPr>
          <w:sz w:val="24"/>
          <w:szCs w:val="24"/>
        </w:rPr>
        <w:t>s position is therefore directly related to the merits of this case that is pending before the PUCO, the authority with regulatory control of public utilities</w:t>
      </w:r>
      <w:r w:rsidR="008D7BCE">
        <w:rPr>
          <w:sz w:val="24"/>
          <w:szCs w:val="24"/>
        </w:rPr>
        <w:t>’</w:t>
      </w:r>
      <w:r w:rsidRPr="0077355B">
        <w:rPr>
          <w:sz w:val="24"/>
          <w:szCs w:val="24"/>
        </w:rPr>
        <w:t xml:space="preserve"> rates and service quality in Ohio.</w:t>
      </w:r>
    </w:p>
    <w:p w:rsidR="00950010" w:rsidRDefault="00950010" w:rsidP="00950010">
      <w:pPr>
        <w:pStyle w:val="BodyTextIndent3"/>
        <w:suppressAutoHyphens/>
        <w:spacing w:line="480" w:lineRule="auto"/>
        <w:rPr>
          <w:szCs w:val="24"/>
        </w:rPr>
      </w:pPr>
      <w:r w:rsidRPr="003735FD">
        <w:t xml:space="preserve">Third, </w:t>
      </w:r>
      <w:r w:rsidRPr="003735FD">
        <w:rPr>
          <w:szCs w:val="24"/>
        </w:rPr>
        <w:t>OCC</w:t>
      </w:r>
      <w:r w:rsidR="008D7BCE">
        <w:rPr>
          <w:szCs w:val="24"/>
        </w:rPr>
        <w:t>’</w:t>
      </w:r>
      <w:r w:rsidRPr="003735FD">
        <w:rPr>
          <w:szCs w:val="24"/>
        </w:rPr>
        <w:t>s intervention will not unduly prolong or delay the</w:t>
      </w:r>
      <w:r>
        <w:rPr>
          <w:szCs w:val="24"/>
        </w:rPr>
        <w:t xml:space="preserve"> proceedings.  OCC, with its longstanding expertise and experience in PUCO proceedings, will duly allow for the efficient processing of the case with consideration of the public interest.</w:t>
      </w:r>
    </w:p>
    <w:p w:rsidR="00950010" w:rsidRDefault="00950010" w:rsidP="00950010">
      <w:pPr>
        <w:pStyle w:val="Footer"/>
        <w:tabs>
          <w:tab w:val="clear" w:pos="4320"/>
          <w:tab w:val="clear" w:pos="8640"/>
        </w:tabs>
        <w:suppressAutoHyphens/>
        <w:spacing w:line="480" w:lineRule="auto"/>
        <w:ind w:firstLine="720"/>
        <w:rPr>
          <w:sz w:val="24"/>
          <w:szCs w:val="24"/>
        </w:rPr>
      </w:pPr>
      <w:r>
        <w:rPr>
          <w:sz w:val="24"/>
          <w:szCs w:val="24"/>
        </w:rPr>
        <w:t>Fourth, OCC</w:t>
      </w:r>
      <w:r w:rsidR="008D7BCE">
        <w:rPr>
          <w:sz w:val="24"/>
          <w:szCs w:val="24"/>
        </w:rPr>
        <w:t>’</w:t>
      </w:r>
      <w:r>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950010" w:rsidRPr="003735FD" w:rsidRDefault="00950010" w:rsidP="00950010">
      <w:pPr>
        <w:pStyle w:val="WW-BodyTextIndent3"/>
        <w:spacing w:line="480" w:lineRule="auto"/>
        <w:rPr>
          <w:szCs w:val="24"/>
        </w:rPr>
      </w:pPr>
      <w:r w:rsidRPr="0077355B">
        <w:rPr>
          <w:szCs w:val="24"/>
        </w:rPr>
        <w:t xml:space="preserve">OCC also satisfies the intervention criteria in the Ohio Administrative Code (which are subordinate to the criteria that OCC satisfies in the Ohio Revised Code).  To intervene, a party should have a </w:t>
      </w:r>
      <w:r w:rsidR="008D7BCE">
        <w:rPr>
          <w:szCs w:val="24"/>
        </w:rPr>
        <w:t>“</w:t>
      </w:r>
      <w:r w:rsidRPr="0077355B">
        <w:rPr>
          <w:szCs w:val="24"/>
        </w:rPr>
        <w:t>real and substantial interest</w:t>
      </w:r>
      <w:r w:rsidR="008D7BCE">
        <w:rPr>
          <w:szCs w:val="24"/>
        </w:rPr>
        <w:t>”</w:t>
      </w:r>
      <w:r w:rsidRPr="0077355B">
        <w:rPr>
          <w:szCs w:val="24"/>
        </w:rPr>
        <w:t xml:space="preserve"> according to Ohio Adm. Code 4901-1-11(A)(2).  As the advocate for residential utility customers, OCC has a very real and substantial interest in this case where </w:t>
      </w:r>
      <w:r w:rsidR="00857BE1">
        <w:rPr>
          <w:szCs w:val="24"/>
        </w:rPr>
        <w:t>Middle Point</w:t>
      </w:r>
      <w:r>
        <w:rPr>
          <w:szCs w:val="24"/>
        </w:rPr>
        <w:t xml:space="preserve"> seeks </w:t>
      </w:r>
      <w:r w:rsidR="00857BE1">
        <w:rPr>
          <w:szCs w:val="24"/>
        </w:rPr>
        <w:t>special</w:t>
      </w:r>
      <w:r>
        <w:rPr>
          <w:szCs w:val="24"/>
        </w:rPr>
        <w:t xml:space="preserve"> authority to </w:t>
      </w:r>
      <w:r w:rsidR="00857BE1">
        <w:rPr>
          <w:szCs w:val="24"/>
        </w:rPr>
        <w:t>raise the rates</w:t>
      </w:r>
      <w:r>
        <w:rPr>
          <w:szCs w:val="24"/>
        </w:rPr>
        <w:t xml:space="preserve"> residential customers </w:t>
      </w:r>
      <w:r w:rsidR="00857BE1">
        <w:rPr>
          <w:szCs w:val="24"/>
        </w:rPr>
        <w:t>must pay for basic service</w:t>
      </w:r>
      <w:r>
        <w:rPr>
          <w:szCs w:val="24"/>
        </w:rPr>
        <w:t>.</w:t>
      </w:r>
    </w:p>
    <w:p w:rsidR="00950010" w:rsidRDefault="00950010" w:rsidP="00950010">
      <w:pPr>
        <w:pStyle w:val="BodyTextIndent3"/>
        <w:suppressAutoHyphens/>
        <w:spacing w:line="480" w:lineRule="auto"/>
        <w:rPr>
          <w:szCs w:val="24"/>
        </w:rPr>
      </w:pPr>
      <w:r w:rsidRPr="003735FD">
        <w:rPr>
          <w:szCs w:val="24"/>
        </w:rPr>
        <w:t>In addition, OCC meets the criteria of Ohio Adm. Code 4901-1-11(B)(1)-(4).  These criteria mirror the statutory criteria in R.C. 4903.221(B) that OCC already has addressed and that OCC satisfies.</w:t>
      </w:r>
    </w:p>
    <w:p w:rsidR="00950010" w:rsidRDefault="00950010" w:rsidP="00950010">
      <w:pPr>
        <w:pStyle w:val="BodyTextIndent3"/>
        <w:suppressAutoHyphens/>
        <w:spacing w:line="480" w:lineRule="auto"/>
        <w:rPr>
          <w:szCs w:val="24"/>
        </w:rPr>
      </w:pPr>
      <w:r>
        <w:rPr>
          <w:szCs w:val="24"/>
        </w:rPr>
        <w:t xml:space="preserve">Ohio Adm. Code 4901-1-11(B)(5) states that the PUCO shall consider the </w:t>
      </w:r>
      <w:r w:rsidR="008D7BCE">
        <w:rPr>
          <w:szCs w:val="24"/>
        </w:rPr>
        <w:t>“</w:t>
      </w:r>
      <w:r>
        <w:rPr>
          <w:szCs w:val="24"/>
        </w:rPr>
        <w:t>extent to which the person</w:t>
      </w:r>
      <w:r w:rsidR="008D7BCE">
        <w:rPr>
          <w:szCs w:val="24"/>
        </w:rPr>
        <w:t>’</w:t>
      </w:r>
      <w:r>
        <w:rPr>
          <w:szCs w:val="24"/>
        </w:rPr>
        <w:t>s interest is represented by existing parties.</w:t>
      </w:r>
      <w:r w:rsidR="008D7BCE">
        <w:rPr>
          <w:szCs w:val="24"/>
        </w:rPr>
        <w:t>”</w:t>
      </w:r>
      <w:r>
        <w:rPr>
          <w:szCs w:val="24"/>
        </w:rPr>
        <w:t xml:space="preserve">  While OCC does not concede the lawfulness of this criterion, OCC satisfies this criterion in that it uniquely has been designated as the state representative of the interests of Ohio</w:t>
      </w:r>
      <w:r w:rsidR="008D7BCE">
        <w:rPr>
          <w:szCs w:val="24"/>
        </w:rPr>
        <w:t>’</w:t>
      </w:r>
      <w:r>
        <w:rPr>
          <w:szCs w:val="24"/>
        </w:rPr>
        <w:t>s residential utility customers.  That interest is different from, and not represented by, any other entity in Ohio.</w:t>
      </w:r>
    </w:p>
    <w:p w:rsidR="00950010" w:rsidRDefault="00950010" w:rsidP="00950010">
      <w:pPr>
        <w:pStyle w:val="WW-BodyTextIndent3"/>
        <w:spacing w:line="480" w:lineRule="auto"/>
        <w:rPr>
          <w:szCs w:val="24"/>
        </w:rPr>
      </w:pPr>
      <w:r>
        <w:rPr>
          <w:szCs w:val="24"/>
        </w:rPr>
        <w:t>Moreover, the Supreme Court of Ohio confirmed OCC</w:t>
      </w:r>
      <w:r w:rsidR="008D7BCE">
        <w:rPr>
          <w:szCs w:val="24"/>
        </w:rPr>
        <w:t>’</w:t>
      </w:r>
      <w:r>
        <w:rPr>
          <w:szCs w:val="24"/>
        </w:rPr>
        <w:t>s right to intervene in PUCO proceedings, in deciding two appeals in which OCC claimed the PUCO erred by denying its interventions.  The Court found that the PUCO abused its discretion in denying OCC</w:t>
      </w:r>
      <w:r w:rsidR="008D7BCE">
        <w:rPr>
          <w:szCs w:val="24"/>
        </w:rPr>
        <w:t>’</w:t>
      </w:r>
      <w:r>
        <w:rPr>
          <w:szCs w:val="24"/>
        </w:rPr>
        <w:t>s interventions and that OCC should have been granted intervention in both proceedings.</w:t>
      </w:r>
      <w:r>
        <w:rPr>
          <w:rStyle w:val="FootnoteReference"/>
          <w:szCs w:val="24"/>
        </w:rPr>
        <w:footnoteReference w:id="7"/>
      </w:r>
      <w:r>
        <w:rPr>
          <w:szCs w:val="24"/>
        </w:rPr>
        <w:t xml:space="preserve">  </w:t>
      </w:r>
    </w:p>
    <w:p w:rsidR="00950010" w:rsidRDefault="00950010" w:rsidP="00950010">
      <w:pPr>
        <w:suppressAutoHyphens/>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w:t>
      </w:r>
      <w:r w:rsidR="008D7BCE">
        <w:rPr>
          <w:szCs w:val="24"/>
        </w:rPr>
        <w:t>’</w:t>
      </w:r>
      <w:r>
        <w:rPr>
          <w:szCs w:val="24"/>
        </w:rPr>
        <w:t>s Motion to Intervene.</w:t>
      </w:r>
    </w:p>
    <w:p w:rsidR="00ED0501" w:rsidRDefault="00ED0501" w:rsidP="00ED0501">
      <w:pPr>
        <w:suppressAutoHyphens/>
        <w:ind w:firstLine="720"/>
        <w:rPr>
          <w:szCs w:val="24"/>
        </w:rPr>
      </w:pPr>
    </w:p>
    <w:p w:rsidR="00950010" w:rsidRPr="009B2F69" w:rsidRDefault="00ED0501" w:rsidP="00ED0501">
      <w:pPr>
        <w:pStyle w:val="Heading1"/>
      </w:pPr>
      <w:bookmarkStart w:id="2" w:name="_Toc380765456"/>
      <w:r>
        <w:t>ii.</w:t>
      </w:r>
      <w:r>
        <w:tab/>
      </w:r>
      <w:r w:rsidR="00950010">
        <w:t>COMMENTS</w:t>
      </w:r>
      <w:bookmarkEnd w:id="2"/>
    </w:p>
    <w:p w:rsidR="00D45177" w:rsidRDefault="00FC7110" w:rsidP="00FC7110">
      <w:pPr>
        <w:pStyle w:val="NormalWeb"/>
        <w:spacing w:before="0" w:beforeAutospacing="0" w:after="0" w:afterAutospacing="0" w:line="480" w:lineRule="auto"/>
        <w:ind w:firstLine="720"/>
      </w:pPr>
      <w:bookmarkStart w:id="3" w:name="4927.15(B)"/>
      <w:r>
        <w:t xml:space="preserve">In adopting its </w:t>
      </w:r>
      <w:r>
        <w:rPr>
          <w:i/>
        </w:rPr>
        <w:t>Transformation Order</w:t>
      </w:r>
      <w:r>
        <w:t xml:space="preserve"> in 2011,</w:t>
      </w:r>
      <w:r w:rsidR="00AB4C7B">
        <w:rPr>
          <w:rStyle w:val="FootnoteReference"/>
        </w:rPr>
        <w:footnoteReference w:id="8"/>
      </w:r>
      <w:r>
        <w:t xml:space="preserve"> the FCC moved from providing Universal Service support for local voice service to providing Universal Service support for broadband service.  The FCC determined that it would no longer allow telephone companies to use HCLS to keep basic service rates artificially low.  The FCC stated: </w:t>
      </w:r>
    </w:p>
    <w:p w:rsidR="00FC7110" w:rsidRDefault="00FC7110" w:rsidP="00ED0501">
      <w:pPr>
        <w:pStyle w:val="NormalWeb"/>
        <w:spacing w:before="0" w:beforeAutospacing="0" w:after="240" w:afterAutospacing="0"/>
        <w:ind w:left="1440" w:right="720"/>
      </w:pPr>
      <w:r>
        <w:t>We do not believe that Congress intended to create a regime in which universal service subsidizes artificially low local rates in rural areas when it adopted the reasonably comparable principle in section 254(b); rather, it is clear from the overall context and structure of the statute that its purpose is to ensure that rates in rural areas not be significantly higher than in urban areas.</w:t>
      </w:r>
      <w:r>
        <w:rPr>
          <w:rStyle w:val="FootnoteReference"/>
        </w:rPr>
        <w:footnoteReference w:id="9"/>
      </w:r>
    </w:p>
    <w:p w:rsidR="00FC7110" w:rsidRDefault="00FC7110" w:rsidP="00FC7110">
      <w:pPr>
        <w:pStyle w:val="NormalWeb"/>
        <w:spacing w:before="0" w:beforeAutospacing="0" w:after="0" w:afterAutospacing="0" w:line="480" w:lineRule="auto"/>
        <w:ind w:firstLine="720"/>
      </w:pPr>
      <w:r>
        <w:t xml:space="preserve">The FCC also recognized that the previous HCLS regime served as a disincentive for small, rural telephone companies to increase their rates through rate cases.  The FCC noted: </w:t>
      </w:r>
      <w:r w:rsidR="008D7BCE">
        <w:t>“</w:t>
      </w:r>
      <w:r>
        <w:t>Section 254 obligates states to share in the responsibility of ensuring universal service.  We recognize some state commissions may not have examined local rates in many years, and carriers may lack incentives to pursue a rate increase when federal universal service support is available.  Based on evidence in the record, however, there are a number of carriers with local rates that are significantly lower than rates that urban consumers pay.</w:t>
      </w:r>
      <w:r w:rsidR="008D7BCE">
        <w:t>”</w:t>
      </w:r>
      <w:r>
        <w:rPr>
          <w:rStyle w:val="FootnoteReference"/>
        </w:rPr>
        <w:footnoteReference w:id="10"/>
      </w:r>
    </w:p>
    <w:p w:rsidR="00FC7110" w:rsidRDefault="00FC7110" w:rsidP="00FC7110">
      <w:pPr>
        <w:pStyle w:val="NormalWeb"/>
        <w:spacing w:before="0" w:beforeAutospacing="0" w:after="0" w:afterAutospacing="0" w:line="480" w:lineRule="auto"/>
        <w:ind w:firstLine="720"/>
      </w:pPr>
      <w:r>
        <w:t>To help ease the transition to its new HCLS regime, the FCC phased-in its urban floor.  The FCC set the initial rate floor of $10 for the period July 1, 2012 through June 30, 2013 and $14 for the period July 1, 2013 through June 30, 2014.</w:t>
      </w:r>
      <w:r>
        <w:rPr>
          <w:rStyle w:val="FootnoteReference"/>
        </w:rPr>
        <w:footnoteReference w:id="11"/>
      </w:r>
      <w:r>
        <w:t xml:space="preserve">  Beginning July 1, 2014, and in each subsequent calendar year, the rate floor will be established after the </w:t>
      </w:r>
      <w:r w:rsidR="00113BED">
        <w:t xml:space="preserve">FCC’s </w:t>
      </w:r>
      <w:r>
        <w:t>Wireline Competition Bureau completes an updated annual survey of voice rates.</w:t>
      </w:r>
      <w:r>
        <w:rPr>
          <w:rStyle w:val="FootnoteReference"/>
        </w:rPr>
        <w:footnoteReference w:id="12"/>
      </w:r>
    </w:p>
    <w:p w:rsidR="00FC7110" w:rsidRPr="0035323F" w:rsidRDefault="00FC7110" w:rsidP="00FC7110">
      <w:pPr>
        <w:pStyle w:val="NormalWeb"/>
        <w:spacing w:before="0" w:beforeAutospacing="0" w:after="0" w:afterAutospacing="0" w:line="480" w:lineRule="auto"/>
        <w:ind w:firstLine="720"/>
      </w:pPr>
      <w:r>
        <w:t xml:space="preserve">The FCC expected affected telephone companies to prepare for the implementation of the urban floor so that the effects on the companies and their customers would be lessened.  The FCC stated: </w:t>
      </w:r>
      <w:r w:rsidR="008D7BCE">
        <w:t>“</w:t>
      </w:r>
      <w:r>
        <w:rPr>
          <w:color w:val="000000"/>
        </w:rPr>
        <w:t>We assume, however, that by 2013 carriers will have taken necessary steps to mitigate the impact of the rule change.  By adopting a multi-year transition, we seek to avoid a flash cut that would dramatically affect either carriers or the consumers they serve.</w:t>
      </w:r>
      <w:r w:rsidR="008D7BCE">
        <w:rPr>
          <w:color w:val="000000"/>
        </w:rPr>
        <w:t>”</w:t>
      </w:r>
      <w:r>
        <w:rPr>
          <w:rStyle w:val="FootnoteReference"/>
        </w:rPr>
        <w:footnoteReference w:id="13"/>
      </w:r>
      <w:r>
        <w:rPr>
          <w:color w:val="000000"/>
        </w:rPr>
        <w:t xml:space="preserve">  The Application in this case would create the flash cut the FCC sought to avoid in its </w:t>
      </w:r>
      <w:r w:rsidRPr="00FC7110">
        <w:rPr>
          <w:i/>
          <w:color w:val="000000"/>
        </w:rPr>
        <w:t>Transformation Order</w:t>
      </w:r>
      <w:r>
        <w:rPr>
          <w:color w:val="000000"/>
        </w:rPr>
        <w:t>.</w:t>
      </w:r>
    </w:p>
    <w:p w:rsidR="008B0CC5" w:rsidRDefault="00FC7110" w:rsidP="006215CC">
      <w:pPr>
        <w:pStyle w:val="NormalWeb"/>
        <w:spacing w:before="0" w:beforeAutospacing="0" w:after="0" w:afterAutospacing="0" w:line="480" w:lineRule="auto"/>
        <w:ind w:firstLine="720"/>
      </w:pPr>
      <w:r>
        <w:t>Middle Point</w:t>
      </w:r>
      <w:r w:rsidR="008D7BCE">
        <w:t>’</w:t>
      </w:r>
      <w:r w:rsidR="000E034A">
        <w:t>s current basic service rate is $6.30 per month,</w:t>
      </w:r>
      <w:r w:rsidR="000E034A">
        <w:rPr>
          <w:rStyle w:val="FootnoteReference"/>
        </w:rPr>
        <w:footnoteReference w:id="14"/>
      </w:r>
      <w:r>
        <w:t xml:space="preserve"> </w:t>
      </w:r>
      <w:r w:rsidR="000E034A">
        <w:t>which is $7.70 below the current floor the FCC established for HCLS.  Middle Point states that because</w:t>
      </w:r>
      <w:r w:rsidR="00113BED">
        <w:t>, under the requirements of the basic service pricing flexibility it applied for and received in 2013, Middle Point</w:t>
      </w:r>
      <w:r w:rsidR="000E034A">
        <w:t xml:space="preserve"> may raise its monthly basic service rates by $1.25 per year</w:t>
      </w:r>
      <w:r w:rsidR="00113BED">
        <w:t xml:space="preserve">.  Middle Point asks </w:t>
      </w:r>
      <w:r w:rsidR="008B0CC5">
        <w:t xml:space="preserve">the PUCO </w:t>
      </w:r>
      <w:r w:rsidR="00113BED">
        <w:t>to</w:t>
      </w:r>
      <w:r w:rsidR="008B0CC5">
        <w:t xml:space="preserve"> create a mechanism for Middle Point to increase its basic service rates to meet the floor.</w:t>
      </w:r>
      <w:r w:rsidR="008B0CC5">
        <w:rPr>
          <w:rStyle w:val="FootnoteReference"/>
        </w:rPr>
        <w:footnoteReference w:id="15"/>
      </w:r>
      <w:r w:rsidR="008B0CC5">
        <w:t xml:space="preserve">  </w:t>
      </w:r>
    </w:p>
    <w:p w:rsidR="009943CD" w:rsidRDefault="008B0CC5" w:rsidP="006215CC">
      <w:pPr>
        <w:pStyle w:val="NormalWeb"/>
        <w:spacing w:before="0" w:beforeAutospacing="0" w:after="0" w:afterAutospacing="0" w:line="480" w:lineRule="auto"/>
        <w:ind w:firstLine="720"/>
      </w:pPr>
      <w:r>
        <w:t xml:space="preserve">Middle Point thus </w:t>
      </w:r>
      <w:r w:rsidR="00FC7110">
        <w:t xml:space="preserve">asks the PUCO to approve </w:t>
      </w:r>
      <w:r w:rsidR="00171154">
        <w:t xml:space="preserve">a 122% increase </w:t>
      </w:r>
      <w:r w:rsidR="00F3407F">
        <w:t xml:space="preserve">in </w:t>
      </w:r>
      <w:r w:rsidR="00171154">
        <w:t xml:space="preserve">the rates </w:t>
      </w:r>
      <w:r w:rsidR="006215CC">
        <w:t>Middle Point</w:t>
      </w:r>
      <w:r w:rsidR="008D7BCE">
        <w:t>’</w:t>
      </w:r>
      <w:r w:rsidR="00171154">
        <w:t>s residential customers pay for basic service</w:t>
      </w:r>
      <w:r w:rsidR="00F3407F">
        <w:t>,</w:t>
      </w:r>
      <w:r>
        <w:rPr>
          <w:rStyle w:val="FootnoteReference"/>
        </w:rPr>
        <w:footnoteReference w:id="16"/>
      </w:r>
      <w:r w:rsidR="00F3407F">
        <w:t xml:space="preserve"> to become effective June 1, 2014</w:t>
      </w:r>
      <w:r w:rsidR="00171154">
        <w:t xml:space="preserve">.  </w:t>
      </w:r>
      <w:r w:rsidR="000E034A">
        <w:t>I</w:t>
      </w:r>
      <w:r w:rsidR="00171154">
        <w:t>f the PUCO approves the Application, the 122% increase would become effective in less than four months and with just 30 days</w:t>
      </w:r>
      <w:r w:rsidR="008D7BCE">
        <w:t>’</w:t>
      </w:r>
      <w:r w:rsidR="00171154">
        <w:t xml:space="preserve"> notice to affected customers. </w:t>
      </w:r>
      <w:r w:rsidR="006215CC">
        <w:t xml:space="preserve"> </w:t>
      </w:r>
      <w:r w:rsidR="00F3407F">
        <w:t xml:space="preserve">This would dramatically </w:t>
      </w:r>
      <w:r w:rsidR="000E034A">
        <w:t xml:space="preserve">and adversely </w:t>
      </w:r>
      <w:r w:rsidR="00F3407F">
        <w:t>affect customers</w:t>
      </w:r>
      <w:r w:rsidR="000E034A">
        <w:t xml:space="preserve">.  Customers </w:t>
      </w:r>
      <w:r w:rsidR="00F3407F">
        <w:t>would have little option but to pay the increase; the alternative services available to them are even higher priced than the new rate they would pay for Middle Point</w:t>
      </w:r>
      <w:r w:rsidR="008D7BCE">
        <w:t>’</w:t>
      </w:r>
      <w:r w:rsidR="00F3407F">
        <w:t>s basic service.</w:t>
      </w:r>
    </w:p>
    <w:p w:rsidR="006215CC" w:rsidRDefault="009943CD" w:rsidP="006215CC">
      <w:pPr>
        <w:pStyle w:val="NormalWeb"/>
        <w:spacing w:before="0" w:beforeAutospacing="0" w:after="0" w:afterAutospacing="0" w:line="480" w:lineRule="auto"/>
        <w:ind w:firstLine="720"/>
      </w:pPr>
      <w:r>
        <w:t xml:space="preserve">Middle Point </w:t>
      </w:r>
      <w:r w:rsidR="00FF5A40">
        <w:t>contends</w:t>
      </w:r>
      <w:r w:rsidR="006215CC">
        <w:t xml:space="preserve"> that the PUCO </w:t>
      </w:r>
      <w:r w:rsidR="008D7BCE">
        <w:t>“</w:t>
      </w:r>
      <w:r w:rsidR="006215CC">
        <w:t>is authorized to address changes in HCLS</w:t>
      </w:r>
      <w:r w:rsidR="008D7BCE">
        <w:t>”</w:t>
      </w:r>
      <w:r w:rsidR="006215CC">
        <w:t xml:space="preserve"> and points to two statutes: R.C. 4927.15(B) and (C).</w:t>
      </w:r>
      <w:r w:rsidR="002B25A4">
        <w:rPr>
          <w:rStyle w:val="FootnoteReference"/>
        </w:rPr>
        <w:footnoteReference w:id="17"/>
      </w:r>
      <w:r w:rsidR="00C15F9D">
        <w:t xml:space="preserve">  </w:t>
      </w:r>
      <w:r w:rsidR="00D52BFA">
        <w:t>Contrary to Middle Point</w:t>
      </w:r>
      <w:r w:rsidR="008D7BCE">
        <w:t>’</w:t>
      </w:r>
      <w:r w:rsidR="00D52BFA">
        <w:t xml:space="preserve">s assertions, there is no statutory basis for the PUCO to approve the Application.  </w:t>
      </w:r>
    </w:p>
    <w:p w:rsidR="007C482B" w:rsidRDefault="002B25A4" w:rsidP="006215CC">
      <w:pPr>
        <w:pStyle w:val="NormalWeb"/>
        <w:spacing w:before="0" w:beforeAutospacing="0" w:after="0" w:afterAutospacing="0" w:line="480" w:lineRule="auto"/>
        <w:ind w:firstLine="720"/>
      </w:pPr>
      <w:r>
        <w:t xml:space="preserve">R.C. 4927.15(B) and (C) specifically address carrier access charges, i.e., the charges one telephone company must </w:t>
      </w:r>
      <w:r w:rsidR="00A42FEF">
        <w:t xml:space="preserve">pay </w:t>
      </w:r>
      <w:r>
        <w:t xml:space="preserve">to another telephone company to access its network.  </w:t>
      </w:r>
      <w:r w:rsidR="007C482B">
        <w:t xml:space="preserve">Neither authorizes the PUCO to raise the basic service rates </w:t>
      </w:r>
      <w:r w:rsidR="00A42FEF">
        <w:t xml:space="preserve">paid by residential customers </w:t>
      </w:r>
      <w:r w:rsidR="007C482B">
        <w:t xml:space="preserve">of telephone companies to avoid reductions in federal </w:t>
      </w:r>
      <w:r>
        <w:t xml:space="preserve">HCLS.  </w:t>
      </w:r>
      <w:r w:rsidR="00BB3B72">
        <w:t>The two statutes provide:</w:t>
      </w:r>
    </w:p>
    <w:p w:rsidR="002459EF" w:rsidRDefault="00BB3B72" w:rsidP="00ED0501">
      <w:pPr>
        <w:pStyle w:val="NormalWeb"/>
        <w:spacing w:before="0" w:beforeAutospacing="0" w:after="240" w:afterAutospacing="0"/>
        <w:ind w:left="1440" w:right="720"/>
      </w:pPr>
      <w:r>
        <w:t xml:space="preserve">(B) </w:t>
      </w:r>
      <w:r w:rsidR="002459EF">
        <w:t>The public utilities commission may order changes in a telephone company</w:t>
      </w:r>
      <w:r w:rsidR="008D7BCE">
        <w:t>’</w:t>
      </w:r>
      <w:r w:rsidR="002459EF">
        <w:t>s rates for carrier access in this state subject to this division.  In the event that the public utilities commission reduces a telephone company</w:t>
      </w:r>
      <w:r w:rsidR="008D7BCE">
        <w:t>’</w:t>
      </w:r>
      <w:r w:rsidR="002459EF">
        <w:t xml:space="preserve">s rates for carrier access that are in effect on September 13, 2010, that reduction shall be on a revenue-neutral basis under terms and conditions established by the public utilities commission, and any resulting rate changes necessary to comply with division (B) or (C) of this section shall be in addition to any upward rate alteration made under section </w:t>
      </w:r>
      <w:r w:rsidR="002459EF" w:rsidRPr="002B25A4">
        <w:t>4927.12</w:t>
      </w:r>
      <w:r w:rsidR="002459EF">
        <w:t xml:space="preserve"> of the Revised Code. </w:t>
      </w:r>
    </w:p>
    <w:p w:rsidR="00BB3B72" w:rsidRDefault="00BB3B72" w:rsidP="00ED0501">
      <w:pPr>
        <w:pStyle w:val="NormalWeb"/>
        <w:spacing w:before="0" w:beforeAutospacing="0" w:after="240" w:afterAutospacing="0"/>
        <w:ind w:left="1440" w:right="720"/>
      </w:pPr>
      <w:r>
        <w:t xml:space="preserve">(C) The public utilities commission </w:t>
      </w:r>
      <w:r w:rsidRPr="00BB3B72">
        <w:t>has authority to</w:t>
      </w:r>
      <w:r>
        <w:t xml:space="preserve"> address carrier access policy and to create and administer mechanisms for carrier access reform, including, but not limited to, high cost support.</w:t>
      </w:r>
    </w:p>
    <w:p w:rsidR="006737B7" w:rsidRDefault="006737B7" w:rsidP="006215CC">
      <w:pPr>
        <w:pStyle w:val="NormalWeb"/>
        <w:spacing w:before="0" w:beforeAutospacing="0" w:after="0" w:afterAutospacing="0" w:line="480" w:lineRule="auto"/>
        <w:ind w:firstLine="720"/>
      </w:pPr>
      <w:r>
        <w:t xml:space="preserve">Middle Point states that R.C. 4927.15(C) </w:t>
      </w:r>
      <w:r w:rsidR="008D7BCE">
        <w:t>“</w:t>
      </w:r>
      <w:r>
        <w:t>directs the Commission to address carrier access policy and to create and administer mechanisms for carrier access reforms including high cost support.</w:t>
      </w:r>
      <w:r w:rsidR="008D7BCE">
        <w:t>”</w:t>
      </w:r>
      <w:r>
        <w:rPr>
          <w:rStyle w:val="FootnoteReference"/>
        </w:rPr>
        <w:footnoteReference w:id="18"/>
      </w:r>
      <w:r>
        <w:t xml:space="preserve">  Middle Point misreads the statute.</w:t>
      </w:r>
    </w:p>
    <w:p w:rsidR="006737B7" w:rsidRDefault="006737B7" w:rsidP="006215CC">
      <w:pPr>
        <w:pStyle w:val="NormalWeb"/>
        <w:spacing w:before="0" w:beforeAutospacing="0" w:after="0" w:afterAutospacing="0" w:line="480" w:lineRule="auto"/>
        <w:ind w:firstLine="720"/>
      </w:pPr>
      <w:r>
        <w:t xml:space="preserve">R.C. 4927.15(C) </w:t>
      </w:r>
      <w:r w:rsidR="00033169">
        <w:t xml:space="preserve">gives the PUCO the </w:t>
      </w:r>
      <w:r w:rsidR="00A00CB6" w:rsidRPr="00A00CB6">
        <w:rPr>
          <w:b/>
        </w:rPr>
        <w:t>authority to</w:t>
      </w:r>
      <w:r w:rsidR="00A00CB6">
        <w:t xml:space="preserve"> address carrier access issues.  </w:t>
      </w:r>
      <w:r w:rsidR="00B53CC7">
        <w:t>I</w:t>
      </w:r>
      <w:r w:rsidR="00A00CB6">
        <w:t xml:space="preserve">t does not </w:t>
      </w:r>
      <w:r w:rsidR="00A00CB6">
        <w:rPr>
          <w:i/>
        </w:rPr>
        <w:t>direct</w:t>
      </w:r>
      <w:r w:rsidR="00A00CB6">
        <w:t xml:space="preserve"> the PUCO to do anything regarding carrier access issues.</w:t>
      </w:r>
    </w:p>
    <w:p w:rsidR="00AE56DA" w:rsidRDefault="00752B40" w:rsidP="006215CC">
      <w:pPr>
        <w:pStyle w:val="NormalWeb"/>
        <w:spacing w:before="0" w:beforeAutospacing="0" w:after="0" w:afterAutospacing="0" w:line="480" w:lineRule="auto"/>
        <w:ind w:firstLine="720"/>
      </w:pPr>
      <w:r>
        <w:t xml:space="preserve">In addition, </w:t>
      </w:r>
      <w:r w:rsidR="00AE56DA">
        <w:t>R.C. 4927.15(C)</w:t>
      </w:r>
      <w:r>
        <w:t xml:space="preserve"> mentions HCLS only in conjunction with carrier access reform.  Thus, the statute authorizes the PUCO to address HCLS </w:t>
      </w:r>
      <w:r>
        <w:rPr>
          <w:i/>
        </w:rPr>
        <w:t>only if</w:t>
      </w:r>
      <w:r>
        <w:t xml:space="preserve"> the PUCO creates or </w:t>
      </w:r>
      <w:r w:rsidRPr="00752B40">
        <w:t>administers</w:t>
      </w:r>
      <w:r>
        <w:t xml:space="preserve"> mechanisms for carrier access reform.  </w:t>
      </w:r>
    </w:p>
    <w:p w:rsidR="00752B40" w:rsidRDefault="00752B40" w:rsidP="006215CC">
      <w:pPr>
        <w:pStyle w:val="NormalWeb"/>
        <w:spacing w:before="0" w:beforeAutospacing="0" w:after="0" w:afterAutospacing="0" w:line="480" w:lineRule="auto"/>
        <w:ind w:firstLine="720"/>
      </w:pPr>
      <w:r>
        <w:t xml:space="preserve">In order to address HCLS under </w:t>
      </w:r>
      <w:r w:rsidR="00AE56DA">
        <w:t>R.C. 4927.15(C)</w:t>
      </w:r>
      <w:r>
        <w:t xml:space="preserve">, the PUCO may do so only as part of a proceeding dealing with the </w:t>
      </w:r>
      <w:r w:rsidR="00B53CC7">
        <w:t>generic</w:t>
      </w:r>
      <w:r>
        <w:t xml:space="preserve"> issue of the charges that carriers charge one another to access their networks.  </w:t>
      </w:r>
      <w:r w:rsidR="00B53CC7">
        <w:t xml:space="preserve">Unlike R.C. 4927.15(B), </w:t>
      </w:r>
      <w:r w:rsidR="00AE56DA">
        <w:t xml:space="preserve">R.C. 4927.15(C) does not contain the phrase </w:t>
      </w:r>
      <w:r w:rsidR="008D7BCE">
        <w:t>“</w:t>
      </w:r>
      <w:r w:rsidR="00AE56DA">
        <w:t>a telephone company.</w:t>
      </w:r>
      <w:r w:rsidR="008D7BCE">
        <w:t>”</w:t>
      </w:r>
      <w:r w:rsidR="00AE56DA">
        <w:t xml:space="preserve"> </w:t>
      </w:r>
      <w:r w:rsidR="00FF7E61">
        <w:t xml:space="preserve"> </w:t>
      </w:r>
      <w:r w:rsidR="001B6527">
        <w:t xml:space="preserve">R.C. 4927.15(C) </w:t>
      </w:r>
      <w:r w:rsidR="00AE56DA">
        <w:t xml:space="preserve">thus </w:t>
      </w:r>
      <w:r w:rsidR="001B6527">
        <w:t xml:space="preserve">does not authorize the PUCO to address carrier access policy or create/administer mechanisms for carrier access reform solely for one telephone </w:t>
      </w:r>
      <w:r w:rsidR="008D7BCE">
        <w:t>c</w:t>
      </w:r>
      <w:r w:rsidR="001B6527">
        <w:t xml:space="preserve">ompany.  </w:t>
      </w:r>
      <w:r w:rsidR="00396842">
        <w:t>The statute does not provide for the company-specific mechanism that Middle Point requests.</w:t>
      </w:r>
      <w:r w:rsidR="00AE56DA">
        <w:t xml:space="preserve">  </w:t>
      </w:r>
      <w:r w:rsidR="009E6F37">
        <w:t>R.C. 4927.15(C) would require either a rulemaking or a PUCO-ordered investigation to create or administer mechanisms.</w:t>
      </w:r>
    </w:p>
    <w:p w:rsidR="00EB0C4C" w:rsidRDefault="00EB0C4C" w:rsidP="006215CC">
      <w:pPr>
        <w:pStyle w:val="NormalWeb"/>
        <w:spacing w:before="0" w:beforeAutospacing="0" w:after="0" w:afterAutospacing="0" w:line="480" w:lineRule="auto"/>
        <w:ind w:firstLine="720"/>
      </w:pPr>
      <w:r>
        <w:t>R.C. 4927.15(B) also is inapplicable to Middle Point</w:t>
      </w:r>
      <w:r w:rsidR="008D7BCE">
        <w:t>’</w:t>
      </w:r>
      <w:r>
        <w:t xml:space="preserve">s request.  Although the statute allows the PUCO to address access charge issues on a company-specific basis, it does not apply </w:t>
      </w:r>
      <w:r w:rsidR="00396842">
        <w:t>to Middle Point</w:t>
      </w:r>
      <w:r w:rsidR="008D7BCE">
        <w:t>’</w:t>
      </w:r>
      <w:r w:rsidR="00396842">
        <w:t xml:space="preserve">s situation </w:t>
      </w:r>
      <w:r>
        <w:t xml:space="preserve">for two reasons.  First, </w:t>
      </w:r>
      <w:r w:rsidR="002C118D">
        <w:t>like paragraph (C), paragraph (B)</w:t>
      </w:r>
      <w:r>
        <w:t xml:space="preserve"> also deals specifically with access charges, not high cost universal service support.  Second, the statute allows the PUCO to make rate changes only if the PUCO itself reduces a telephone company</w:t>
      </w:r>
      <w:r w:rsidR="008D7BCE">
        <w:t>’</w:t>
      </w:r>
      <w:r>
        <w:t>s carrier access rates.  The circumstance</w:t>
      </w:r>
      <w:r w:rsidR="00EB1ABF">
        <w:t>s</w:t>
      </w:r>
      <w:r>
        <w:t xml:space="preserve"> for which Middle Point seeks relief </w:t>
      </w:r>
      <w:r w:rsidR="00EB1ABF">
        <w:t>are</w:t>
      </w:r>
      <w:r>
        <w:t xml:space="preserve"> the result of FCC action.  R.C. 4927.15(B) thus does not apply.</w:t>
      </w:r>
    </w:p>
    <w:p w:rsidR="00EB1D5A" w:rsidRDefault="00ED7FDE" w:rsidP="006215CC">
      <w:pPr>
        <w:pStyle w:val="NormalWeb"/>
        <w:spacing w:before="0" w:beforeAutospacing="0" w:after="0" w:afterAutospacing="0" w:line="480" w:lineRule="auto"/>
        <w:ind w:firstLine="720"/>
      </w:pPr>
      <w:r>
        <w:t xml:space="preserve">Hence the PUCO cannot adopt the mechanism Middle Point seeks.  Middle Point does not contend that its </w:t>
      </w:r>
      <w:r w:rsidR="00CC74B7">
        <w:t>situation</w:t>
      </w:r>
      <w:r>
        <w:t xml:space="preserve"> is the result of carrier access reform.  Instead, Middle Point</w:t>
      </w:r>
      <w:r w:rsidR="008D7BCE">
        <w:t>’</w:t>
      </w:r>
      <w:r>
        <w:t xml:space="preserve">s </w:t>
      </w:r>
      <w:r w:rsidR="0014088C">
        <w:t xml:space="preserve">request </w:t>
      </w:r>
      <w:r>
        <w:t xml:space="preserve">is designed </w:t>
      </w:r>
      <w:r w:rsidR="008D7BCE">
        <w:t>“</w:t>
      </w:r>
      <w:r>
        <w:t>[t]o address the FCC</w:t>
      </w:r>
      <w:r w:rsidR="008D7BCE">
        <w:t>’</w:t>
      </w:r>
      <w:r>
        <w:t>s adoption of an urban local floor rate and the timing of reporting requirements affecting HCLS and to avoid a reduction in HCLS….</w:t>
      </w:r>
      <w:r w:rsidR="008D7BCE">
        <w:t>”</w:t>
      </w:r>
      <w:r>
        <w:rPr>
          <w:rStyle w:val="FootnoteReference"/>
        </w:rPr>
        <w:footnoteReference w:id="19"/>
      </w:r>
      <w:r>
        <w:t xml:space="preserve">  The catalyst for this mechanism was not the FCC</w:t>
      </w:r>
      <w:r w:rsidR="008D7BCE">
        <w:t>’</w:t>
      </w:r>
      <w:r>
        <w:t>s access charge reform.  Instead, it was the FCC</w:t>
      </w:r>
      <w:r w:rsidR="008D7BCE">
        <w:t>’</w:t>
      </w:r>
      <w:r>
        <w:t xml:space="preserve">s adoption of an urban local floor rate for HCLS </w:t>
      </w:r>
      <w:r w:rsidR="00CC74B7">
        <w:t>as part of</w:t>
      </w:r>
      <w:r>
        <w:t xml:space="preserve"> </w:t>
      </w:r>
      <w:r w:rsidR="00CC74B7" w:rsidRPr="002A02FE">
        <w:t>u</w:t>
      </w:r>
      <w:r w:rsidRPr="002A02FE">
        <w:t xml:space="preserve">niversal </w:t>
      </w:r>
      <w:r w:rsidR="00CC74B7" w:rsidRPr="002A02FE">
        <w:t>s</w:t>
      </w:r>
      <w:r w:rsidRPr="002A02FE">
        <w:t>ervice</w:t>
      </w:r>
      <w:r>
        <w:t xml:space="preserve"> </w:t>
      </w:r>
      <w:r w:rsidR="00CC74B7">
        <w:t>reform</w:t>
      </w:r>
      <w:r>
        <w:t xml:space="preserve">.  </w:t>
      </w:r>
    </w:p>
    <w:p w:rsidR="00DB3A61" w:rsidRDefault="004C095D" w:rsidP="00DB3A61">
      <w:pPr>
        <w:pStyle w:val="NormalWeb"/>
        <w:spacing w:before="0" w:beforeAutospacing="0" w:after="0" w:afterAutospacing="0" w:line="480" w:lineRule="auto"/>
        <w:ind w:firstLine="720"/>
      </w:pPr>
      <w:r>
        <w:t xml:space="preserve">Although </w:t>
      </w:r>
      <w:r w:rsidR="002A02FE">
        <w:t xml:space="preserve">the FCC </w:t>
      </w:r>
      <w:r>
        <w:t xml:space="preserve">addressed </w:t>
      </w:r>
      <w:r w:rsidR="002A02FE">
        <w:t xml:space="preserve">access charge reform and universal service reform </w:t>
      </w:r>
      <w:r>
        <w:t xml:space="preserve">in the same document </w:t>
      </w:r>
      <w:r w:rsidR="002A02FE">
        <w:t>as part of its implementation of the National Broadband Plan</w:t>
      </w:r>
      <w:r w:rsidR="00DB3A61">
        <w:t>,</w:t>
      </w:r>
      <w:r w:rsidR="00DB3A61">
        <w:rPr>
          <w:rStyle w:val="FootnoteReference"/>
        </w:rPr>
        <w:footnoteReference w:id="20"/>
      </w:r>
      <w:r w:rsidR="00DB3A61">
        <w:t xml:space="preserve"> the FCC</w:t>
      </w:r>
      <w:r w:rsidR="008D7BCE">
        <w:t>’</w:t>
      </w:r>
      <w:r w:rsidR="00DB3A61">
        <w:t>s access charge reform and its universal service reform are separate and distinct matters.  The limitations upon HCLS that Middle Point addresses in its Application did not result from access charge reform and were not imposed by the PUCO.  Thus the company-specific mechanism provided in R.C. 4927.15(B) is not available to Middle Point.</w:t>
      </w:r>
    </w:p>
    <w:bookmarkEnd w:id="3"/>
    <w:p w:rsidR="00CB315A" w:rsidRDefault="00EB1ABF" w:rsidP="006A6407">
      <w:pPr>
        <w:spacing w:line="480" w:lineRule="auto"/>
        <w:ind w:firstLine="720"/>
        <w:rPr>
          <w:spacing w:val="-2"/>
          <w:szCs w:val="24"/>
        </w:rPr>
      </w:pPr>
      <w:r>
        <w:rPr>
          <w:spacing w:val="-2"/>
          <w:szCs w:val="24"/>
        </w:rPr>
        <w:t>A</w:t>
      </w:r>
      <w:r w:rsidR="004678FF">
        <w:rPr>
          <w:spacing w:val="-2"/>
          <w:szCs w:val="24"/>
        </w:rPr>
        <w:t>ny proceedings involving a telephone company</w:t>
      </w:r>
      <w:r w:rsidR="008D7BCE">
        <w:rPr>
          <w:spacing w:val="-2"/>
          <w:szCs w:val="24"/>
        </w:rPr>
        <w:t>’</w:t>
      </w:r>
      <w:r w:rsidR="004678FF">
        <w:rPr>
          <w:spacing w:val="-2"/>
          <w:szCs w:val="24"/>
        </w:rPr>
        <w:t>s request to increase its basic service rates because of the FCC</w:t>
      </w:r>
      <w:r w:rsidR="008D7BCE">
        <w:rPr>
          <w:spacing w:val="-2"/>
          <w:szCs w:val="24"/>
        </w:rPr>
        <w:t>’</w:t>
      </w:r>
      <w:r w:rsidR="004678FF">
        <w:rPr>
          <w:spacing w:val="-2"/>
          <w:szCs w:val="24"/>
        </w:rPr>
        <w:t>s HCLS decision</w:t>
      </w:r>
      <w:r w:rsidR="007F4E16">
        <w:rPr>
          <w:spacing w:val="-2"/>
          <w:szCs w:val="24"/>
        </w:rPr>
        <w:t xml:space="preserve"> should </w:t>
      </w:r>
      <w:r w:rsidR="006A6407">
        <w:rPr>
          <w:spacing w:val="-2"/>
          <w:szCs w:val="24"/>
        </w:rPr>
        <w:t>include a thorough company-specific financial examination.  The FCC recognized this when it noted:</w:t>
      </w:r>
    </w:p>
    <w:p w:rsidR="006A6407" w:rsidRDefault="00CB315A" w:rsidP="00ED0501">
      <w:pPr>
        <w:pStyle w:val="ParaNum"/>
        <w:widowControl/>
        <w:numPr>
          <w:ilvl w:val="0"/>
          <w:numId w:val="0"/>
        </w:numPr>
        <w:spacing w:after="240"/>
        <w:ind w:left="1440" w:right="720"/>
        <w:rPr>
          <w:color w:val="000000"/>
          <w:sz w:val="24"/>
          <w:szCs w:val="24"/>
        </w:rPr>
      </w:pPr>
      <w:bookmarkStart w:id="4" w:name="_Ref309218559"/>
      <w:r w:rsidRPr="006A6407">
        <w:rPr>
          <w:color w:val="000000"/>
          <w:sz w:val="24"/>
          <w:szCs w:val="24"/>
        </w:rPr>
        <w:t>During the course of this proceeding, various parties, both incumbents and competitive ETCs, have argued that reductions in current support levels would threaten their financial viability, imperiling service to consumers in the areas they serve.</w:t>
      </w:r>
      <w:r w:rsidR="00DF7028" w:rsidRPr="00DF7028">
        <w:rPr>
          <w:color w:val="000000"/>
          <w:sz w:val="24"/>
          <w:szCs w:val="24"/>
        </w:rPr>
        <w:t xml:space="preserve"> </w:t>
      </w:r>
      <w:r w:rsidR="007F4E16">
        <w:rPr>
          <w:color w:val="000000"/>
          <w:sz w:val="24"/>
          <w:szCs w:val="24"/>
        </w:rPr>
        <w:t xml:space="preserve"> </w:t>
      </w:r>
      <w:r w:rsidR="00DF7028" w:rsidRPr="006A6407">
        <w:rPr>
          <w:color w:val="000000"/>
          <w:sz w:val="24"/>
          <w:szCs w:val="24"/>
        </w:rPr>
        <w:t xml:space="preserve">We cannot, however, evaluate those claims absent detailed information about individualized circumstances, and conclude that they are better handled in the </w:t>
      </w:r>
      <w:r w:rsidR="00DF7028">
        <w:rPr>
          <w:color w:val="000000"/>
          <w:sz w:val="24"/>
          <w:szCs w:val="24"/>
        </w:rPr>
        <w:t>course of case-by-case review.</w:t>
      </w:r>
      <w:r w:rsidR="006A6407">
        <w:rPr>
          <w:rStyle w:val="FootnoteReference"/>
          <w:szCs w:val="24"/>
        </w:rPr>
        <w:footnoteReference w:id="21"/>
      </w:r>
    </w:p>
    <w:p w:rsidR="006C6F96" w:rsidRDefault="006C6F96" w:rsidP="00EB1ABF">
      <w:pPr>
        <w:pStyle w:val="ParaNum"/>
        <w:widowControl/>
        <w:numPr>
          <w:ilvl w:val="0"/>
          <w:numId w:val="0"/>
        </w:numPr>
        <w:tabs>
          <w:tab w:val="num" w:pos="1482"/>
        </w:tabs>
        <w:spacing w:after="0" w:line="480" w:lineRule="auto"/>
        <w:ind w:firstLine="720"/>
        <w:rPr>
          <w:color w:val="000000"/>
          <w:sz w:val="24"/>
          <w:szCs w:val="24"/>
        </w:rPr>
      </w:pPr>
      <w:r>
        <w:rPr>
          <w:color w:val="000000"/>
          <w:sz w:val="24"/>
          <w:szCs w:val="24"/>
        </w:rPr>
        <w:t xml:space="preserve">In considering requests for waiver of its urban floor for HCLS, the FCC intends to </w:t>
      </w:r>
      <w:r w:rsidR="008D7BCE">
        <w:rPr>
          <w:color w:val="000000"/>
          <w:sz w:val="24"/>
          <w:szCs w:val="24"/>
        </w:rPr>
        <w:t>“</w:t>
      </w:r>
      <w:r w:rsidRPr="006C6F96">
        <w:rPr>
          <w:color w:val="000000"/>
          <w:sz w:val="24"/>
          <w:szCs w:val="24"/>
        </w:rPr>
        <w:t>subject such requests to a rigorous, thorough and searching review comparable to a total company earnings review</w:t>
      </w:r>
      <w:r>
        <w:rPr>
          <w:color w:val="000000"/>
          <w:sz w:val="24"/>
          <w:szCs w:val="24"/>
        </w:rPr>
        <w:t>.</w:t>
      </w:r>
      <w:r w:rsidR="008D7BCE">
        <w:rPr>
          <w:color w:val="000000"/>
          <w:sz w:val="24"/>
          <w:szCs w:val="24"/>
        </w:rPr>
        <w:t>”</w:t>
      </w:r>
      <w:r>
        <w:rPr>
          <w:rStyle w:val="FootnoteReference"/>
          <w:szCs w:val="24"/>
        </w:rPr>
        <w:footnoteReference w:id="22"/>
      </w:r>
      <w:r>
        <w:rPr>
          <w:color w:val="000000"/>
          <w:sz w:val="24"/>
          <w:szCs w:val="24"/>
        </w:rPr>
        <w:t xml:space="preserve">  The also FCC stated: </w:t>
      </w:r>
      <w:r w:rsidR="008D7BCE">
        <w:rPr>
          <w:color w:val="000000"/>
          <w:sz w:val="24"/>
          <w:szCs w:val="24"/>
        </w:rPr>
        <w:t>“</w:t>
      </w:r>
      <w:r w:rsidRPr="006C6F96">
        <w:rPr>
          <w:color w:val="000000"/>
          <w:sz w:val="24"/>
          <w:szCs w:val="24"/>
        </w:rPr>
        <w:t>In particular, we intend to take into account not only all revenues derived from network facilities that are supported by universal service but also revenues derived from unregulated and unsupported services as well</w:t>
      </w:r>
      <w:r>
        <w:rPr>
          <w:color w:val="000000"/>
          <w:sz w:val="24"/>
          <w:szCs w:val="24"/>
        </w:rPr>
        <w:t>.</w:t>
      </w:r>
      <w:r w:rsidR="008D7BCE">
        <w:rPr>
          <w:color w:val="000000"/>
          <w:sz w:val="24"/>
          <w:szCs w:val="24"/>
        </w:rPr>
        <w:t>”</w:t>
      </w:r>
      <w:r>
        <w:rPr>
          <w:rStyle w:val="FootnoteReference"/>
          <w:szCs w:val="24"/>
        </w:rPr>
        <w:footnoteReference w:id="23"/>
      </w:r>
      <w:r w:rsidR="00263591">
        <w:rPr>
          <w:color w:val="000000"/>
          <w:sz w:val="24"/>
          <w:szCs w:val="24"/>
        </w:rPr>
        <w:t xml:space="preserve">  A similar review should be undertaken by the PUCO when considering </w:t>
      </w:r>
      <w:r w:rsidR="00263591" w:rsidRPr="00914050">
        <w:rPr>
          <w:spacing w:val="-2"/>
          <w:sz w:val="24"/>
          <w:szCs w:val="24"/>
        </w:rPr>
        <w:t>a telephone company</w:t>
      </w:r>
      <w:r w:rsidR="008D7BCE" w:rsidRPr="00914050">
        <w:rPr>
          <w:spacing w:val="-2"/>
          <w:sz w:val="24"/>
          <w:szCs w:val="24"/>
        </w:rPr>
        <w:t>’</w:t>
      </w:r>
      <w:r w:rsidR="00263591" w:rsidRPr="00914050">
        <w:rPr>
          <w:spacing w:val="-2"/>
          <w:sz w:val="24"/>
          <w:szCs w:val="24"/>
        </w:rPr>
        <w:t>s request to increase its basic service rates because of the FCC</w:t>
      </w:r>
      <w:r w:rsidR="008D7BCE" w:rsidRPr="00914050">
        <w:rPr>
          <w:spacing w:val="-2"/>
          <w:sz w:val="24"/>
          <w:szCs w:val="24"/>
        </w:rPr>
        <w:t>’</w:t>
      </w:r>
      <w:r w:rsidR="00263591" w:rsidRPr="00914050">
        <w:rPr>
          <w:spacing w:val="-2"/>
          <w:sz w:val="24"/>
          <w:szCs w:val="24"/>
        </w:rPr>
        <w:t>s HCLS decision.</w:t>
      </w:r>
    </w:p>
    <w:p w:rsidR="00B54DCE" w:rsidRDefault="005925C1" w:rsidP="00EB1ABF">
      <w:pPr>
        <w:pStyle w:val="ParaNum"/>
        <w:widowControl/>
        <w:numPr>
          <w:ilvl w:val="0"/>
          <w:numId w:val="0"/>
        </w:numPr>
        <w:tabs>
          <w:tab w:val="num" w:pos="1482"/>
        </w:tabs>
        <w:spacing w:after="0" w:line="480" w:lineRule="auto"/>
        <w:ind w:firstLine="720"/>
        <w:rPr>
          <w:color w:val="000000"/>
          <w:sz w:val="24"/>
          <w:szCs w:val="24"/>
        </w:rPr>
      </w:pPr>
      <w:r>
        <w:rPr>
          <w:color w:val="000000"/>
          <w:sz w:val="24"/>
          <w:szCs w:val="24"/>
        </w:rPr>
        <w:t>Middle Point was purchased last year by TSC.</w:t>
      </w:r>
      <w:r>
        <w:rPr>
          <w:rStyle w:val="FootnoteReference"/>
          <w:szCs w:val="24"/>
        </w:rPr>
        <w:footnoteReference w:id="24"/>
      </w:r>
      <w:r>
        <w:rPr>
          <w:color w:val="000000"/>
          <w:sz w:val="24"/>
          <w:szCs w:val="24"/>
        </w:rPr>
        <w:t xml:space="preserve">  Thus, in determining the impact </w:t>
      </w:r>
      <w:r w:rsidR="00914050">
        <w:rPr>
          <w:color w:val="000000"/>
          <w:sz w:val="24"/>
          <w:szCs w:val="24"/>
        </w:rPr>
        <w:t xml:space="preserve">that </w:t>
      </w:r>
      <w:r>
        <w:rPr>
          <w:color w:val="000000"/>
          <w:sz w:val="24"/>
          <w:szCs w:val="24"/>
        </w:rPr>
        <w:t xml:space="preserve">reduced HSLC would have on Middle Point and its customers, the PUCO should </w:t>
      </w:r>
      <w:r w:rsidR="006C6F96">
        <w:rPr>
          <w:color w:val="000000"/>
          <w:sz w:val="24"/>
          <w:szCs w:val="24"/>
        </w:rPr>
        <w:t xml:space="preserve">also </w:t>
      </w:r>
      <w:r>
        <w:rPr>
          <w:color w:val="000000"/>
          <w:sz w:val="24"/>
          <w:szCs w:val="24"/>
        </w:rPr>
        <w:t>examine TSC</w:t>
      </w:r>
      <w:r w:rsidR="008D7BCE">
        <w:rPr>
          <w:color w:val="000000"/>
          <w:sz w:val="24"/>
          <w:szCs w:val="24"/>
        </w:rPr>
        <w:t>’</w:t>
      </w:r>
      <w:r>
        <w:rPr>
          <w:color w:val="000000"/>
          <w:sz w:val="24"/>
          <w:szCs w:val="24"/>
        </w:rPr>
        <w:t>s ability to absorb any reduction in HSLC because of Middle Point</w:t>
      </w:r>
      <w:r w:rsidR="008D7BCE">
        <w:rPr>
          <w:color w:val="000000"/>
          <w:sz w:val="24"/>
          <w:szCs w:val="24"/>
        </w:rPr>
        <w:t>’</w:t>
      </w:r>
      <w:r>
        <w:rPr>
          <w:color w:val="000000"/>
          <w:sz w:val="24"/>
          <w:szCs w:val="24"/>
        </w:rPr>
        <w:t xml:space="preserve">s </w:t>
      </w:r>
      <w:r w:rsidR="006377D1">
        <w:rPr>
          <w:color w:val="000000"/>
          <w:sz w:val="24"/>
          <w:szCs w:val="24"/>
        </w:rPr>
        <w:t>low basic service rates.  The PUCO</w:t>
      </w:r>
      <w:r w:rsidR="008D7BCE">
        <w:rPr>
          <w:color w:val="000000"/>
          <w:sz w:val="24"/>
          <w:szCs w:val="24"/>
        </w:rPr>
        <w:t>’</w:t>
      </w:r>
      <w:r w:rsidR="005227F1">
        <w:rPr>
          <w:color w:val="000000"/>
          <w:sz w:val="24"/>
          <w:szCs w:val="24"/>
        </w:rPr>
        <w:t>s examination</w:t>
      </w:r>
      <w:r w:rsidR="006377D1">
        <w:rPr>
          <w:color w:val="000000"/>
          <w:sz w:val="24"/>
          <w:szCs w:val="24"/>
        </w:rPr>
        <w:t xml:space="preserve"> should </w:t>
      </w:r>
      <w:r w:rsidR="005227F1">
        <w:rPr>
          <w:color w:val="000000"/>
          <w:sz w:val="24"/>
          <w:szCs w:val="24"/>
        </w:rPr>
        <w:t>include the extent to which</w:t>
      </w:r>
      <w:r w:rsidR="006377D1">
        <w:rPr>
          <w:color w:val="000000"/>
          <w:sz w:val="24"/>
          <w:szCs w:val="24"/>
        </w:rPr>
        <w:t xml:space="preserve"> TSC</w:t>
      </w:r>
      <w:r w:rsidR="005227F1">
        <w:rPr>
          <w:color w:val="000000"/>
          <w:sz w:val="24"/>
          <w:szCs w:val="24"/>
        </w:rPr>
        <w:t xml:space="preserve"> is able</w:t>
      </w:r>
      <w:r w:rsidR="006377D1">
        <w:rPr>
          <w:color w:val="000000"/>
          <w:sz w:val="24"/>
          <w:szCs w:val="24"/>
        </w:rPr>
        <w:t xml:space="preserve"> to offset HSLC reductions through increases in rates to its non-basic services.</w:t>
      </w:r>
      <w:r w:rsidR="00EB1ABF">
        <w:rPr>
          <w:color w:val="000000"/>
          <w:sz w:val="24"/>
          <w:szCs w:val="24"/>
        </w:rPr>
        <w:t xml:space="preserve">  This would help further the FCC</w:t>
      </w:r>
      <w:r w:rsidR="008D7BCE">
        <w:rPr>
          <w:color w:val="000000"/>
          <w:sz w:val="24"/>
          <w:szCs w:val="24"/>
        </w:rPr>
        <w:t>’</w:t>
      </w:r>
      <w:r w:rsidR="00EB1ABF">
        <w:rPr>
          <w:color w:val="000000"/>
          <w:sz w:val="24"/>
          <w:szCs w:val="24"/>
        </w:rPr>
        <w:t>s goal of avoiding dramatic rate increases to be paid by basic service</w:t>
      </w:r>
      <w:r w:rsidR="005227F1">
        <w:rPr>
          <w:color w:val="000000"/>
          <w:sz w:val="24"/>
          <w:szCs w:val="24"/>
        </w:rPr>
        <w:t xml:space="preserve"> </w:t>
      </w:r>
      <w:r w:rsidR="00EB1ABF">
        <w:rPr>
          <w:color w:val="000000"/>
          <w:sz w:val="24"/>
          <w:szCs w:val="24"/>
        </w:rPr>
        <w:t>customers.</w:t>
      </w:r>
    </w:p>
    <w:p w:rsidR="00ED0501" w:rsidRDefault="00ED0501" w:rsidP="00ED0501">
      <w:pPr>
        <w:pStyle w:val="ParaNum"/>
        <w:widowControl/>
        <w:numPr>
          <w:ilvl w:val="0"/>
          <w:numId w:val="0"/>
        </w:numPr>
        <w:tabs>
          <w:tab w:val="num" w:pos="1482"/>
        </w:tabs>
        <w:spacing w:after="0"/>
        <w:ind w:firstLine="720"/>
        <w:rPr>
          <w:color w:val="000000"/>
          <w:sz w:val="24"/>
          <w:szCs w:val="24"/>
        </w:rPr>
      </w:pPr>
    </w:p>
    <w:p w:rsidR="00950010" w:rsidRPr="004F039B" w:rsidRDefault="00ED0501" w:rsidP="00ED0501">
      <w:pPr>
        <w:pStyle w:val="Heading1"/>
      </w:pPr>
      <w:bookmarkStart w:id="5" w:name="_Toc380765457"/>
      <w:bookmarkEnd w:id="4"/>
      <w:r>
        <w:t>iii.</w:t>
      </w:r>
      <w:r>
        <w:tab/>
      </w:r>
      <w:r w:rsidR="00950010" w:rsidRPr="004F039B">
        <w:t>CONCLUSION</w:t>
      </w:r>
      <w:bookmarkEnd w:id="5"/>
    </w:p>
    <w:p w:rsidR="00950010" w:rsidRDefault="00950010" w:rsidP="00950010">
      <w:pPr>
        <w:suppressAutoHyphens/>
        <w:spacing w:line="480" w:lineRule="auto"/>
        <w:ind w:firstLine="720"/>
        <w:rPr>
          <w:szCs w:val="24"/>
        </w:rPr>
      </w:pPr>
      <w:r>
        <w:rPr>
          <w:szCs w:val="24"/>
        </w:rPr>
        <w:t>OCC has met the criteria for intervention in this proceeding.  The PUCO should grant OCC</w:t>
      </w:r>
      <w:r w:rsidR="008D7BCE">
        <w:rPr>
          <w:szCs w:val="24"/>
        </w:rPr>
        <w:t>’</w:t>
      </w:r>
      <w:r>
        <w:rPr>
          <w:szCs w:val="24"/>
        </w:rPr>
        <w:t>s motion to intervene.</w:t>
      </w:r>
    </w:p>
    <w:p w:rsidR="00950010" w:rsidRDefault="004F039B" w:rsidP="00950010">
      <w:pPr>
        <w:suppressAutoHyphens/>
        <w:spacing w:line="480" w:lineRule="auto"/>
        <w:ind w:firstLine="720"/>
        <w:rPr>
          <w:spacing w:val="-2"/>
          <w:szCs w:val="24"/>
        </w:rPr>
      </w:pPr>
      <w:r>
        <w:rPr>
          <w:szCs w:val="24"/>
        </w:rPr>
        <w:t>Middle Point</w:t>
      </w:r>
      <w:r w:rsidR="008D7BCE">
        <w:rPr>
          <w:szCs w:val="24"/>
        </w:rPr>
        <w:t>’</w:t>
      </w:r>
      <w:r>
        <w:rPr>
          <w:szCs w:val="24"/>
        </w:rPr>
        <w:t xml:space="preserve">s </w:t>
      </w:r>
      <w:r w:rsidR="007514A1">
        <w:rPr>
          <w:szCs w:val="24"/>
        </w:rPr>
        <w:t>A</w:t>
      </w:r>
      <w:r>
        <w:rPr>
          <w:szCs w:val="24"/>
        </w:rPr>
        <w:t xml:space="preserve">pplication is not </w:t>
      </w:r>
      <w:r w:rsidR="007514A1">
        <w:rPr>
          <w:szCs w:val="24"/>
        </w:rPr>
        <w:t>prompted by</w:t>
      </w:r>
      <w:r>
        <w:rPr>
          <w:szCs w:val="24"/>
        </w:rPr>
        <w:t xml:space="preserve"> reduced access charges, and thus the PUCO does not have the statutory authority to increase basic service rates as Middle Point requests.  Any mechanism to address HSLC can only be developed through a rulemaking or a PUCO-ordered investigation</w:t>
      </w:r>
      <w:r w:rsidR="007514A1">
        <w:rPr>
          <w:szCs w:val="24"/>
        </w:rPr>
        <w:t xml:space="preserve"> that also addresses generic access charge policy and/or reform</w:t>
      </w:r>
      <w:r w:rsidR="00950010">
        <w:rPr>
          <w:szCs w:val="24"/>
        </w:rPr>
        <w:t>.</w:t>
      </w:r>
      <w:r w:rsidR="0008098C">
        <w:rPr>
          <w:szCs w:val="24"/>
        </w:rPr>
        <w:t xml:space="preserve">  </w:t>
      </w:r>
      <w:r w:rsidR="0008098C">
        <w:rPr>
          <w:spacing w:val="-2"/>
          <w:szCs w:val="24"/>
        </w:rPr>
        <w:t>And any proceedings involving a telephone company</w:t>
      </w:r>
      <w:r w:rsidR="008D7BCE">
        <w:rPr>
          <w:spacing w:val="-2"/>
          <w:szCs w:val="24"/>
        </w:rPr>
        <w:t>’</w:t>
      </w:r>
      <w:r w:rsidR="0008098C">
        <w:rPr>
          <w:spacing w:val="-2"/>
          <w:szCs w:val="24"/>
        </w:rPr>
        <w:t>s request to increase its basic service rates because of the FCC</w:t>
      </w:r>
      <w:r w:rsidR="008D7BCE">
        <w:rPr>
          <w:spacing w:val="-2"/>
          <w:szCs w:val="24"/>
        </w:rPr>
        <w:t>’</w:t>
      </w:r>
      <w:r w:rsidR="0008098C">
        <w:rPr>
          <w:spacing w:val="-2"/>
          <w:szCs w:val="24"/>
        </w:rPr>
        <w:t xml:space="preserve">s HCLS decision should include a thorough company-specific financial examination.  </w:t>
      </w:r>
    </w:p>
    <w:p w:rsidR="008B3FD6" w:rsidRDefault="008B3FD6" w:rsidP="008B3FD6">
      <w:pPr>
        <w:pStyle w:val="NormalWeb"/>
        <w:spacing w:before="0" w:beforeAutospacing="0" w:after="0" w:afterAutospacing="0" w:line="480" w:lineRule="auto"/>
        <w:ind w:firstLine="720"/>
        <w:rPr>
          <w:color w:val="000000"/>
        </w:rPr>
      </w:pPr>
      <w:r>
        <w:rPr>
          <w:spacing w:val="-2"/>
        </w:rPr>
        <w:t>The problem that Middle Point now presents for its customers is what the FCC intended that telephone companies avoid.</w:t>
      </w:r>
      <w:r w:rsidRPr="00DB5F43">
        <w:t xml:space="preserve"> </w:t>
      </w:r>
      <w:r>
        <w:t xml:space="preserve"> The FCC stated: </w:t>
      </w:r>
      <w:r w:rsidR="008D7BCE">
        <w:t>“</w:t>
      </w:r>
      <w:r>
        <w:rPr>
          <w:color w:val="000000"/>
        </w:rPr>
        <w:t>We assume, however, that by 2013 carriers will have taken necessary steps to mitigate the impact of the rule change.  By adopting a multi-year transition, we seek to avoid a flash cut that would dramatically affect either carriers or the consumers they serve.</w:t>
      </w:r>
      <w:r w:rsidR="008D7BCE">
        <w:rPr>
          <w:color w:val="000000"/>
        </w:rPr>
        <w:t>”</w:t>
      </w:r>
      <w:r>
        <w:rPr>
          <w:rStyle w:val="FootnoteReference"/>
        </w:rPr>
        <w:footnoteReference w:id="25"/>
      </w:r>
      <w:r>
        <w:rPr>
          <w:color w:val="000000"/>
        </w:rPr>
        <w:t xml:space="preserve">  </w:t>
      </w:r>
    </w:p>
    <w:p w:rsidR="008B3FD6" w:rsidRPr="008B3FD6" w:rsidRDefault="008B3FD6" w:rsidP="008B3FD6">
      <w:pPr>
        <w:pStyle w:val="NormalWeb"/>
        <w:spacing w:before="0" w:beforeAutospacing="0" w:after="0" w:afterAutospacing="0" w:line="480" w:lineRule="auto"/>
        <w:ind w:firstLine="720"/>
      </w:pPr>
      <w:r>
        <w:rPr>
          <w:color w:val="000000"/>
        </w:rPr>
        <w:t>Unfortunately, for Middle Point</w:t>
      </w:r>
      <w:r w:rsidR="008D7BCE">
        <w:rPr>
          <w:color w:val="000000"/>
        </w:rPr>
        <w:t>’</w:t>
      </w:r>
      <w:r>
        <w:rPr>
          <w:color w:val="000000"/>
        </w:rPr>
        <w:t xml:space="preserve">s customers, the Application in this case would create the flash cut the FCC sought to avoid in its </w:t>
      </w:r>
      <w:r w:rsidRPr="00FC7110">
        <w:rPr>
          <w:i/>
          <w:color w:val="000000"/>
        </w:rPr>
        <w:t>Transformation Order</w:t>
      </w:r>
      <w:r>
        <w:rPr>
          <w:color w:val="000000"/>
        </w:rPr>
        <w:t>.  The PUCO should act to protect customers.</w:t>
      </w:r>
    </w:p>
    <w:p w:rsidR="00ED0501" w:rsidRDefault="00950010" w:rsidP="00950010">
      <w:pPr>
        <w:pStyle w:val="BodyTextIndent3"/>
        <w:widowControl w:val="0"/>
        <w:spacing w:line="480" w:lineRule="auto"/>
        <w:ind w:left="3600" w:right="-672" w:firstLine="0"/>
        <w:rPr>
          <w:szCs w:val="24"/>
        </w:rPr>
      </w:pPr>
      <w:r>
        <w:rPr>
          <w:szCs w:val="24"/>
        </w:rPr>
        <w:tab/>
      </w:r>
    </w:p>
    <w:p w:rsidR="00ED0501" w:rsidRDefault="00ED0501">
      <w:pPr>
        <w:spacing w:after="200" w:line="276" w:lineRule="auto"/>
        <w:rPr>
          <w:rFonts w:eastAsia="Times New Roman" w:cs="Times New Roman"/>
          <w:szCs w:val="24"/>
        </w:rPr>
      </w:pPr>
      <w:r>
        <w:rPr>
          <w:szCs w:val="24"/>
        </w:rPr>
        <w:br w:type="page"/>
      </w:r>
    </w:p>
    <w:p w:rsidR="00950010" w:rsidRDefault="00950010" w:rsidP="00ED0501">
      <w:pPr>
        <w:pStyle w:val="BodyTextIndent3"/>
        <w:widowControl w:val="0"/>
        <w:spacing w:line="480" w:lineRule="auto"/>
        <w:ind w:left="3600" w:right="-672"/>
        <w:rPr>
          <w:szCs w:val="24"/>
        </w:rPr>
      </w:pPr>
      <w:r>
        <w:rPr>
          <w:szCs w:val="24"/>
        </w:rPr>
        <w:t>Respectfully submitted,</w:t>
      </w:r>
    </w:p>
    <w:p w:rsidR="00950010" w:rsidRDefault="00950010" w:rsidP="00950010">
      <w:pPr>
        <w:pStyle w:val="Footer"/>
        <w:tabs>
          <w:tab w:val="clear" w:pos="8640"/>
          <w:tab w:val="left" w:pos="4320"/>
        </w:tabs>
        <w:rPr>
          <w:sz w:val="24"/>
          <w:szCs w:val="24"/>
        </w:rPr>
      </w:pPr>
      <w:r>
        <w:rPr>
          <w:sz w:val="24"/>
          <w:szCs w:val="24"/>
        </w:rPr>
        <w:tab/>
        <w:t>BRUCE J. WESTON</w:t>
      </w:r>
    </w:p>
    <w:p w:rsidR="00950010" w:rsidRDefault="00950010" w:rsidP="00950010">
      <w:pPr>
        <w:tabs>
          <w:tab w:val="left" w:pos="4320"/>
        </w:tabs>
        <w:rPr>
          <w:szCs w:val="24"/>
        </w:rPr>
      </w:pPr>
      <w:r>
        <w:rPr>
          <w:szCs w:val="24"/>
        </w:rPr>
        <w:tab/>
        <w:t>OHIO CONSUMERS</w:t>
      </w:r>
      <w:r w:rsidR="008D7BCE">
        <w:rPr>
          <w:szCs w:val="24"/>
        </w:rPr>
        <w:t>’</w:t>
      </w:r>
      <w:r>
        <w:rPr>
          <w:szCs w:val="24"/>
        </w:rPr>
        <w:t xml:space="preserve"> COUNSEL</w:t>
      </w:r>
    </w:p>
    <w:p w:rsidR="00950010" w:rsidRDefault="00950010" w:rsidP="00950010">
      <w:pPr>
        <w:tabs>
          <w:tab w:val="left" w:pos="4320"/>
        </w:tabs>
        <w:rPr>
          <w:szCs w:val="24"/>
        </w:rPr>
      </w:pPr>
      <w:r>
        <w:rPr>
          <w:szCs w:val="24"/>
        </w:rPr>
        <w:tab/>
      </w:r>
    </w:p>
    <w:p w:rsidR="00950010" w:rsidRDefault="00950010" w:rsidP="00950010">
      <w:pPr>
        <w:autoSpaceDE w:val="0"/>
        <w:autoSpaceDN w:val="0"/>
        <w:adjustRightInd w:val="0"/>
        <w:ind w:left="4320"/>
        <w:rPr>
          <w:i/>
        </w:rPr>
      </w:pPr>
      <w:r>
        <w:rPr>
          <w:i/>
          <w:u w:val="single"/>
        </w:rPr>
        <w:t>/s/ Terry L. Etter                           </w:t>
      </w:r>
    </w:p>
    <w:p w:rsidR="00950010" w:rsidRDefault="00950010" w:rsidP="00950010">
      <w:pPr>
        <w:tabs>
          <w:tab w:val="left" w:pos="4320"/>
        </w:tabs>
        <w:rPr>
          <w:szCs w:val="24"/>
        </w:rPr>
      </w:pPr>
      <w:r>
        <w:rPr>
          <w:szCs w:val="24"/>
        </w:rPr>
        <w:tab/>
        <w:t>Terry L. Etter, Counsel of Record</w:t>
      </w:r>
    </w:p>
    <w:p w:rsidR="00950010" w:rsidRDefault="00950010" w:rsidP="00950010">
      <w:pPr>
        <w:tabs>
          <w:tab w:val="left" w:pos="4320"/>
        </w:tabs>
        <w:rPr>
          <w:szCs w:val="24"/>
        </w:rPr>
      </w:pPr>
      <w:r>
        <w:rPr>
          <w:szCs w:val="24"/>
        </w:rPr>
        <w:tab/>
        <w:t>Assistant Consumers</w:t>
      </w:r>
      <w:r w:rsidR="008D7BCE">
        <w:rPr>
          <w:szCs w:val="24"/>
        </w:rPr>
        <w:t>’</w:t>
      </w:r>
      <w:r>
        <w:rPr>
          <w:szCs w:val="24"/>
        </w:rPr>
        <w:t xml:space="preserve"> Counsel</w:t>
      </w:r>
    </w:p>
    <w:p w:rsidR="00ED0501" w:rsidRDefault="00ED0501" w:rsidP="00950010">
      <w:pPr>
        <w:tabs>
          <w:tab w:val="left" w:pos="4320"/>
        </w:tabs>
        <w:rPr>
          <w:szCs w:val="24"/>
        </w:rPr>
      </w:pPr>
    </w:p>
    <w:p w:rsidR="00950010" w:rsidRPr="00ED0501" w:rsidRDefault="00950010" w:rsidP="00ED0501">
      <w:pPr>
        <w:rPr>
          <w:b/>
        </w:rPr>
      </w:pPr>
      <w:r>
        <w:tab/>
      </w:r>
      <w:r w:rsidR="00ED0501">
        <w:tab/>
      </w:r>
      <w:r w:rsidR="00ED0501">
        <w:tab/>
      </w:r>
      <w:r w:rsidR="00ED0501">
        <w:tab/>
      </w:r>
      <w:r w:rsidR="00ED0501">
        <w:tab/>
      </w:r>
      <w:r w:rsidR="00ED0501">
        <w:tab/>
      </w:r>
      <w:r w:rsidRPr="00ED0501">
        <w:rPr>
          <w:b/>
        </w:rPr>
        <w:t>Office of the Ohio Consumers</w:t>
      </w:r>
      <w:r w:rsidR="008D7BCE" w:rsidRPr="00ED0501">
        <w:rPr>
          <w:b/>
        </w:rPr>
        <w:t>’</w:t>
      </w:r>
      <w:r w:rsidRPr="00ED0501">
        <w:rPr>
          <w:b/>
        </w:rPr>
        <w:t xml:space="preserve"> Counsel</w:t>
      </w:r>
    </w:p>
    <w:p w:rsidR="00950010" w:rsidRDefault="00950010" w:rsidP="00C410CD">
      <w:r>
        <w:tab/>
      </w:r>
      <w:r w:rsidR="00C410CD">
        <w:tab/>
      </w:r>
      <w:r w:rsidR="00C410CD">
        <w:tab/>
      </w:r>
      <w:r w:rsidR="00C410CD">
        <w:tab/>
      </w:r>
      <w:r w:rsidR="00C410CD">
        <w:tab/>
      </w:r>
      <w:r w:rsidR="00C410CD">
        <w:tab/>
      </w:r>
      <w:r w:rsidR="00ED0501">
        <w:t>10 West Broad Street, Suite 1800</w:t>
      </w:r>
    </w:p>
    <w:p w:rsidR="00950010" w:rsidRDefault="00ED0501" w:rsidP="00C410CD">
      <w:r>
        <w:tab/>
      </w:r>
      <w:r w:rsidR="00C410CD">
        <w:tab/>
      </w:r>
      <w:r w:rsidR="00C410CD">
        <w:tab/>
      </w:r>
      <w:r w:rsidR="00C410CD">
        <w:tab/>
      </w:r>
      <w:r w:rsidR="00C410CD">
        <w:tab/>
      </w:r>
      <w:r w:rsidR="00C410CD">
        <w:tab/>
      </w:r>
      <w:r>
        <w:t>Columbus, Ohio 43215-3485</w:t>
      </w:r>
    </w:p>
    <w:p w:rsidR="00950010" w:rsidRPr="009830AB" w:rsidRDefault="00950010" w:rsidP="00C410CD">
      <w:pPr>
        <w:ind w:left="3600" w:firstLine="720"/>
      </w:pPr>
      <w:r>
        <w:t>(614) 466-7964 (Etter direct)</w:t>
      </w:r>
    </w:p>
    <w:p w:rsidR="00950010" w:rsidRDefault="00CF591D" w:rsidP="00ED0501">
      <w:pPr>
        <w:autoSpaceDE w:val="0"/>
        <w:autoSpaceDN w:val="0"/>
        <w:adjustRightInd w:val="0"/>
        <w:ind w:left="3600" w:firstLine="720"/>
        <w:rPr>
          <w:szCs w:val="24"/>
        </w:rPr>
      </w:pPr>
      <w:hyperlink r:id="rId20" w:history="1">
        <w:r w:rsidR="00950010" w:rsidRPr="004E09FD">
          <w:rPr>
            <w:rStyle w:val="Hyperlink"/>
            <w:szCs w:val="24"/>
          </w:rPr>
          <w:t>terry.etter@occ.ohio.gov</w:t>
        </w:r>
      </w:hyperlink>
    </w:p>
    <w:p w:rsidR="00950010" w:rsidRPr="004A2837" w:rsidRDefault="00950010" w:rsidP="00ED0501">
      <w:pPr>
        <w:autoSpaceDE w:val="0"/>
        <w:autoSpaceDN w:val="0"/>
        <w:adjustRightInd w:val="0"/>
        <w:jc w:val="center"/>
        <w:rPr>
          <w:szCs w:val="24"/>
        </w:rPr>
      </w:pPr>
      <w:r>
        <w:rPr>
          <w:szCs w:val="24"/>
        </w:rPr>
        <w:br w:type="page"/>
      </w:r>
      <w:r>
        <w:rPr>
          <w:b/>
          <w:bCs/>
          <w:u w:val="single"/>
        </w:rPr>
        <w:t>CERTIFICATE OF SERVICE</w:t>
      </w:r>
    </w:p>
    <w:p w:rsidR="00950010" w:rsidRDefault="00950010" w:rsidP="00950010">
      <w:pPr>
        <w:spacing w:line="480" w:lineRule="atLeast"/>
      </w:pPr>
      <w:r>
        <w:tab/>
        <w:t xml:space="preserve">I hereby certify that a copy of this </w:t>
      </w:r>
      <w:r w:rsidRPr="00384489">
        <w:t>Motion to Intervene</w:t>
      </w:r>
      <w:r>
        <w:t xml:space="preserve"> and Comments was served on the persons stated below via electronic transmission this 2</w:t>
      </w:r>
      <w:r w:rsidR="007E1C59">
        <w:t>1</w:t>
      </w:r>
      <w:r w:rsidR="007E1C59" w:rsidRPr="007E1C59">
        <w:rPr>
          <w:vertAlign w:val="superscript"/>
        </w:rPr>
        <w:t>st</w:t>
      </w:r>
      <w:r w:rsidR="007E1C59">
        <w:t xml:space="preserve"> </w:t>
      </w:r>
      <w:r>
        <w:t xml:space="preserve">day of </w:t>
      </w:r>
      <w:r w:rsidR="007E1C59">
        <w:t>February 2014</w:t>
      </w:r>
      <w:r>
        <w:t>.</w:t>
      </w:r>
    </w:p>
    <w:p w:rsidR="00950010" w:rsidRDefault="00950010" w:rsidP="00950010">
      <w:pPr>
        <w:spacing w:line="480" w:lineRule="atLeast"/>
      </w:pPr>
    </w:p>
    <w:p w:rsidR="00950010" w:rsidRDefault="00950010" w:rsidP="00950010">
      <w:pPr>
        <w:autoSpaceDE w:val="0"/>
        <w:autoSpaceDN w:val="0"/>
        <w:adjustRightInd w:val="0"/>
        <w:ind w:left="4320"/>
        <w:rPr>
          <w:i/>
        </w:rPr>
      </w:pPr>
      <w:r>
        <w:rPr>
          <w:i/>
          <w:u w:val="single"/>
        </w:rPr>
        <w:t>/s/ Terry L. Etter                           </w:t>
      </w:r>
    </w:p>
    <w:p w:rsidR="00950010" w:rsidRDefault="00950010" w:rsidP="00950010">
      <w:pPr>
        <w:tabs>
          <w:tab w:val="left" w:pos="4320"/>
        </w:tabs>
      </w:pPr>
      <w:r>
        <w:tab/>
        <w:t>Terry L. Etter</w:t>
      </w:r>
    </w:p>
    <w:p w:rsidR="00950010" w:rsidRDefault="00950010" w:rsidP="00950010">
      <w:pPr>
        <w:tabs>
          <w:tab w:val="left" w:pos="4320"/>
        </w:tabs>
      </w:pPr>
      <w:r>
        <w:tab/>
        <w:t>Assistant Consumers</w:t>
      </w:r>
      <w:r w:rsidR="008D7BCE">
        <w:t>’</w:t>
      </w:r>
      <w:r>
        <w:t xml:space="preserve"> Counsel</w:t>
      </w:r>
    </w:p>
    <w:p w:rsidR="00950010" w:rsidRDefault="00950010" w:rsidP="00950010">
      <w:pPr>
        <w:pStyle w:val="CommentSubject"/>
      </w:pPr>
    </w:p>
    <w:p w:rsidR="00950010" w:rsidRDefault="00950010" w:rsidP="00950010">
      <w:pPr>
        <w:pStyle w:val="CommentText"/>
      </w:pPr>
    </w:p>
    <w:p w:rsidR="00950010" w:rsidRDefault="00950010" w:rsidP="00950010">
      <w:pPr>
        <w:pStyle w:val="CommentText"/>
        <w:jc w:val="center"/>
        <w:rPr>
          <w:b/>
          <w:u w:val="single"/>
        </w:rPr>
      </w:pPr>
      <w:r>
        <w:rPr>
          <w:b/>
          <w:u w:val="single"/>
        </w:rPr>
        <w:t>SERVICE LIST</w:t>
      </w:r>
    </w:p>
    <w:p w:rsidR="00950010" w:rsidRDefault="00950010" w:rsidP="00950010">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D0501" w:rsidRPr="00337A62" w:rsidTr="0013575E">
        <w:tc>
          <w:tcPr>
            <w:tcW w:w="4428" w:type="dxa"/>
          </w:tcPr>
          <w:p w:rsidR="00ED0501" w:rsidRPr="00337A62" w:rsidRDefault="00ED0501" w:rsidP="0013575E">
            <w:pPr>
              <w:rPr>
                <w:rFonts w:cs="Times New Roman"/>
                <w:szCs w:val="24"/>
              </w:rPr>
            </w:pPr>
            <w:r w:rsidRPr="00337A62">
              <w:rPr>
                <w:rFonts w:cs="Times New Roman"/>
                <w:szCs w:val="24"/>
              </w:rPr>
              <w:t>William Wright</w:t>
            </w:r>
          </w:p>
          <w:p w:rsidR="00ED0501" w:rsidRPr="00337A62" w:rsidRDefault="00ED0501" w:rsidP="0013575E">
            <w:pPr>
              <w:rPr>
                <w:rFonts w:cs="Times New Roman"/>
                <w:szCs w:val="24"/>
              </w:rPr>
            </w:pPr>
            <w:r w:rsidRPr="00337A62">
              <w:rPr>
                <w:rFonts w:cs="Times New Roman"/>
                <w:szCs w:val="24"/>
              </w:rPr>
              <w:t>Attorney General’s Office</w:t>
            </w:r>
          </w:p>
          <w:p w:rsidR="00ED0501" w:rsidRPr="00337A62" w:rsidRDefault="00ED0501" w:rsidP="0013575E">
            <w:pPr>
              <w:rPr>
                <w:rFonts w:cs="Times New Roman"/>
                <w:szCs w:val="24"/>
              </w:rPr>
            </w:pPr>
            <w:r w:rsidRPr="00337A62">
              <w:rPr>
                <w:rFonts w:cs="Times New Roman"/>
                <w:szCs w:val="24"/>
              </w:rPr>
              <w:t>Public Utilities Commission of Ohio</w:t>
            </w:r>
          </w:p>
          <w:p w:rsidR="00ED0501" w:rsidRPr="00337A62" w:rsidRDefault="00ED0501" w:rsidP="0013575E">
            <w:pPr>
              <w:rPr>
                <w:rFonts w:cs="Times New Roman"/>
                <w:szCs w:val="24"/>
              </w:rPr>
            </w:pPr>
            <w:r w:rsidRPr="00337A62">
              <w:rPr>
                <w:rFonts w:cs="Times New Roman"/>
                <w:szCs w:val="24"/>
              </w:rPr>
              <w:t>180 E. Broad St., 6</w:t>
            </w:r>
            <w:r w:rsidRPr="00337A62">
              <w:rPr>
                <w:rFonts w:cs="Times New Roman"/>
                <w:szCs w:val="24"/>
                <w:vertAlign w:val="superscript"/>
              </w:rPr>
              <w:t>th</w:t>
            </w:r>
            <w:r w:rsidRPr="00337A62">
              <w:rPr>
                <w:rFonts w:cs="Times New Roman"/>
                <w:szCs w:val="24"/>
              </w:rPr>
              <w:t xml:space="preserve"> Fl.</w:t>
            </w:r>
          </w:p>
          <w:p w:rsidR="00ED0501" w:rsidRPr="00337A62" w:rsidRDefault="00ED0501" w:rsidP="0013575E">
            <w:pPr>
              <w:rPr>
                <w:rFonts w:cs="Times New Roman"/>
                <w:szCs w:val="24"/>
              </w:rPr>
            </w:pPr>
            <w:r w:rsidRPr="00337A62">
              <w:rPr>
                <w:rFonts w:cs="Times New Roman"/>
                <w:szCs w:val="24"/>
              </w:rPr>
              <w:t>Columbus, Ohio 43215</w:t>
            </w:r>
          </w:p>
          <w:p w:rsidR="00ED0501" w:rsidRPr="00337A62" w:rsidRDefault="00CF591D" w:rsidP="0013575E">
            <w:pPr>
              <w:rPr>
                <w:rFonts w:cs="Times New Roman"/>
                <w:szCs w:val="24"/>
              </w:rPr>
            </w:pPr>
            <w:hyperlink r:id="rId21" w:history="1">
              <w:r w:rsidR="00ED0501" w:rsidRPr="00337A62">
                <w:rPr>
                  <w:rStyle w:val="Hyperlink"/>
                  <w:rFonts w:cs="Times New Roman"/>
                  <w:szCs w:val="24"/>
                </w:rPr>
                <w:t>William.wright@puc.state.oh.us</w:t>
              </w:r>
            </w:hyperlink>
          </w:p>
          <w:p w:rsidR="00ED0501" w:rsidRPr="00337A62" w:rsidRDefault="00ED0501" w:rsidP="0013575E">
            <w:pPr>
              <w:rPr>
                <w:rFonts w:cs="Times New Roman"/>
                <w:szCs w:val="24"/>
              </w:rPr>
            </w:pPr>
          </w:p>
        </w:tc>
        <w:tc>
          <w:tcPr>
            <w:tcW w:w="4428" w:type="dxa"/>
          </w:tcPr>
          <w:p w:rsidR="00ED0501" w:rsidRPr="00337A62" w:rsidRDefault="00ED0501" w:rsidP="0013575E">
            <w:pPr>
              <w:autoSpaceDE w:val="0"/>
              <w:autoSpaceDN w:val="0"/>
              <w:adjustRightInd w:val="0"/>
              <w:rPr>
                <w:rFonts w:eastAsia="Times New Roman" w:cs="Times New Roman"/>
                <w:szCs w:val="24"/>
              </w:rPr>
            </w:pPr>
            <w:r w:rsidRPr="00337A62">
              <w:rPr>
                <w:rFonts w:eastAsia="Times New Roman" w:cs="Times New Roman"/>
                <w:szCs w:val="24"/>
              </w:rPr>
              <w:t>Frank P. Darr</w:t>
            </w:r>
          </w:p>
          <w:p w:rsidR="00ED0501" w:rsidRPr="00337A62" w:rsidRDefault="00ED0501" w:rsidP="0013575E">
            <w:pPr>
              <w:autoSpaceDE w:val="0"/>
              <w:autoSpaceDN w:val="0"/>
              <w:adjustRightInd w:val="0"/>
              <w:rPr>
                <w:rFonts w:eastAsia="Times New Roman" w:cs="Times New Roman"/>
                <w:szCs w:val="24"/>
              </w:rPr>
            </w:pPr>
            <w:r w:rsidRPr="00337A62">
              <w:rPr>
                <w:rFonts w:eastAsia="Times New Roman" w:cs="Times New Roman"/>
                <w:szCs w:val="24"/>
              </w:rPr>
              <w:t>McNees Wallace &amp; Nurick LLC</w:t>
            </w:r>
          </w:p>
          <w:p w:rsidR="00ED0501" w:rsidRPr="00337A62" w:rsidRDefault="00ED0501" w:rsidP="0013575E">
            <w:pPr>
              <w:autoSpaceDE w:val="0"/>
              <w:autoSpaceDN w:val="0"/>
              <w:adjustRightInd w:val="0"/>
              <w:rPr>
                <w:rFonts w:eastAsia="Times New Roman" w:cs="Times New Roman"/>
                <w:szCs w:val="24"/>
              </w:rPr>
            </w:pPr>
            <w:r w:rsidRPr="00337A62">
              <w:rPr>
                <w:rFonts w:eastAsia="Times New Roman" w:cs="Times New Roman"/>
                <w:szCs w:val="24"/>
              </w:rPr>
              <w:t>21 East State Street, 17th Fl.</w:t>
            </w:r>
          </w:p>
          <w:p w:rsidR="00ED0501" w:rsidRPr="00337A62" w:rsidRDefault="00ED0501" w:rsidP="0013575E">
            <w:pPr>
              <w:autoSpaceDE w:val="0"/>
              <w:autoSpaceDN w:val="0"/>
              <w:adjustRightInd w:val="0"/>
              <w:rPr>
                <w:rFonts w:eastAsia="Times New Roman" w:cs="Times New Roman"/>
                <w:szCs w:val="24"/>
              </w:rPr>
            </w:pPr>
            <w:r w:rsidRPr="00337A62">
              <w:rPr>
                <w:rFonts w:eastAsia="Times New Roman" w:cs="Times New Roman"/>
                <w:szCs w:val="24"/>
              </w:rPr>
              <w:t>Columbus, Ohio 43215</w:t>
            </w:r>
          </w:p>
          <w:p w:rsidR="00ED0501" w:rsidRPr="00337A62" w:rsidRDefault="00CF591D" w:rsidP="0013575E">
            <w:pPr>
              <w:autoSpaceDE w:val="0"/>
              <w:autoSpaceDN w:val="0"/>
              <w:adjustRightInd w:val="0"/>
              <w:rPr>
                <w:rFonts w:eastAsia="Times New Roman" w:cs="Times New Roman"/>
                <w:szCs w:val="24"/>
              </w:rPr>
            </w:pPr>
            <w:hyperlink r:id="rId22" w:history="1">
              <w:r w:rsidR="00ED0501" w:rsidRPr="00337A62">
                <w:rPr>
                  <w:rFonts w:eastAsia="Times New Roman" w:cs="Times New Roman"/>
                  <w:color w:val="0000FF"/>
                  <w:szCs w:val="24"/>
                  <w:u w:val="single"/>
                </w:rPr>
                <w:t>fdarr@mwncmh.com</w:t>
              </w:r>
            </w:hyperlink>
          </w:p>
          <w:p w:rsidR="00ED0501" w:rsidRPr="00337A62" w:rsidRDefault="00ED0501" w:rsidP="0013575E">
            <w:pPr>
              <w:rPr>
                <w:rFonts w:cs="Times New Roman"/>
                <w:szCs w:val="24"/>
              </w:rPr>
            </w:pPr>
          </w:p>
        </w:tc>
      </w:tr>
      <w:tr w:rsidR="00ED0501" w:rsidRPr="00337A62" w:rsidTr="0013575E">
        <w:tc>
          <w:tcPr>
            <w:tcW w:w="4428" w:type="dxa"/>
          </w:tcPr>
          <w:p w:rsidR="00ED0501" w:rsidRPr="00337A62" w:rsidRDefault="00ED0501" w:rsidP="0013575E">
            <w:pPr>
              <w:autoSpaceDE w:val="0"/>
              <w:autoSpaceDN w:val="0"/>
              <w:adjustRightInd w:val="0"/>
              <w:rPr>
                <w:rFonts w:cs="Times New Roman"/>
                <w:szCs w:val="24"/>
              </w:rPr>
            </w:pPr>
            <w:r w:rsidRPr="00337A62">
              <w:rPr>
                <w:rFonts w:cs="Times New Roman"/>
                <w:szCs w:val="24"/>
              </w:rPr>
              <w:t>Jon F. Kelly</w:t>
            </w:r>
          </w:p>
          <w:p w:rsidR="00ED0501" w:rsidRPr="00337A62" w:rsidRDefault="00ED0501" w:rsidP="0013575E">
            <w:pPr>
              <w:autoSpaceDE w:val="0"/>
              <w:autoSpaceDN w:val="0"/>
              <w:adjustRightInd w:val="0"/>
              <w:rPr>
                <w:rFonts w:cs="Times New Roman"/>
                <w:szCs w:val="24"/>
              </w:rPr>
            </w:pPr>
            <w:r w:rsidRPr="00337A62">
              <w:rPr>
                <w:rFonts w:cs="Times New Roman"/>
                <w:szCs w:val="24"/>
              </w:rPr>
              <w:t>AT&amp;T Services, Inc.</w:t>
            </w:r>
          </w:p>
          <w:p w:rsidR="00ED0501" w:rsidRPr="00337A62" w:rsidRDefault="00ED0501" w:rsidP="0013575E">
            <w:pPr>
              <w:autoSpaceDE w:val="0"/>
              <w:autoSpaceDN w:val="0"/>
              <w:adjustRightInd w:val="0"/>
              <w:rPr>
                <w:rFonts w:cs="Times New Roman"/>
                <w:szCs w:val="24"/>
              </w:rPr>
            </w:pPr>
            <w:r w:rsidRPr="00337A62">
              <w:rPr>
                <w:rFonts w:cs="Times New Roman"/>
                <w:szCs w:val="24"/>
              </w:rPr>
              <w:t>150 E. Gay St., Rm. 4-A</w:t>
            </w:r>
          </w:p>
          <w:p w:rsidR="00ED0501" w:rsidRPr="00337A62" w:rsidRDefault="00ED0501" w:rsidP="0013575E">
            <w:pPr>
              <w:autoSpaceDE w:val="0"/>
              <w:autoSpaceDN w:val="0"/>
              <w:adjustRightInd w:val="0"/>
              <w:rPr>
                <w:rFonts w:cs="Times New Roman"/>
                <w:szCs w:val="24"/>
              </w:rPr>
            </w:pPr>
            <w:r w:rsidRPr="00337A62">
              <w:rPr>
                <w:rFonts w:cs="Times New Roman"/>
                <w:szCs w:val="24"/>
              </w:rPr>
              <w:t>Columbus, Ohio 43215</w:t>
            </w:r>
          </w:p>
          <w:p w:rsidR="00ED0501" w:rsidRPr="00337A62" w:rsidRDefault="00CF591D" w:rsidP="0013575E">
            <w:pPr>
              <w:rPr>
                <w:rFonts w:cs="Times New Roman"/>
                <w:szCs w:val="24"/>
              </w:rPr>
            </w:pPr>
            <w:hyperlink r:id="rId23" w:history="1">
              <w:r w:rsidR="00ED0501" w:rsidRPr="00337A62">
                <w:rPr>
                  <w:rStyle w:val="Hyperlink"/>
                  <w:rFonts w:cs="Times New Roman"/>
                  <w:szCs w:val="24"/>
                </w:rPr>
                <w:t>jk2961@att.com</w:t>
              </w:r>
            </w:hyperlink>
          </w:p>
          <w:p w:rsidR="00ED0501" w:rsidRPr="00337A62" w:rsidRDefault="00ED0501" w:rsidP="0013575E">
            <w:pPr>
              <w:rPr>
                <w:rFonts w:cs="Times New Roman"/>
                <w:szCs w:val="24"/>
              </w:rPr>
            </w:pPr>
          </w:p>
        </w:tc>
        <w:tc>
          <w:tcPr>
            <w:tcW w:w="4428" w:type="dxa"/>
          </w:tcPr>
          <w:p w:rsidR="00ED0501" w:rsidRPr="00337A62" w:rsidRDefault="00ED0501" w:rsidP="0013575E">
            <w:pPr>
              <w:rPr>
                <w:rFonts w:cs="Times New Roman"/>
                <w:szCs w:val="24"/>
              </w:rPr>
            </w:pPr>
            <w:r w:rsidRPr="00337A62">
              <w:rPr>
                <w:rFonts w:cs="Times New Roman"/>
                <w:szCs w:val="24"/>
              </w:rPr>
              <w:t>Attorney Examiner:</w:t>
            </w:r>
          </w:p>
          <w:p w:rsidR="00ED0501" w:rsidRPr="00337A62" w:rsidRDefault="00ED0501" w:rsidP="0013575E">
            <w:pPr>
              <w:rPr>
                <w:rFonts w:cs="Times New Roman"/>
                <w:szCs w:val="24"/>
              </w:rPr>
            </w:pPr>
          </w:p>
          <w:p w:rsidR="00ED0501" w:rsidRPr="00337A62" w:rsidRDefault="00CF591D" w:rsidP="0013575E">
            <w:pPr>
              <w:rPr>
                <w:rFonts w:cs="Times New Roman"/>
                <w:szCs w:val="24"/>
              </w:rPr>
            </w:pPr>
            <w:hyperlink r:id="rId24" w:history="1">
              <w:r w:rsidR="00ED0501" w:rsidRPr="00337A62">
                <w:rPr>
                  <w:rStyle w:val="Hyperlink"/>
                  <w:rFonts w:cs="Times New Roman"/>
                  <w:szCs w:val="24"/>
                </w:rPr>
                <w:t>Jay.Agranoff@puc.state.oh.us</w:t>
              </w:r>
            </w:hyperlink>
          </w:p>
          <w:p w:rsidR="00ED0501" w:rsidRPr="00337A62" w:rsidRDefault="00ED0501" w:rsidP="0013575E">
            <w:pPr>
              <w:rPr>
                <w:rFonts w:cs="Times New Roman"/>
                <w:szCs w:val="24"/>
              </w:rPr>
            </w:pPr>
          </w:p>
        </w:tc>
      </w:tr>
    </w:tbl>
    <w:p w:rsidR="00CB315A" w:rsidRDefault="00CB315A" w:rsidP="00CB315A"/>
    <w:sectPr w:rsidR="00CB315A" w:rsidSect="00C410CD">
      <w:foot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42" w:rsidRDefault="007C0842" w:rsidP="00AD0F5B">
      <w:r>
        <w:separator/>
      </w:r>
    </w:p>
  </w:endnote>
  <w:endnote w:type="continuationSeparator" w:id="0">
    <w:p w:rsidR="007C0842" w:rsidRDefault="007C0842" w:rsidP="00AD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0" w:rsidRDefault="00950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50010" w:rsidRDefault="00950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0036"/>
      <w:docPartObj>
        <w:docPartGallery w:val="Page Numbers (Bottom of Page)"/>
        <w:docPartUnique/>
      </w:docPartObj>
    </w:sdtPr>
    <w:sdtEndPr>
      <w:rPr>
        <w:noProof/>
      </w:rPr>
    </w:sdtEndPr>
    <w:sdtContent>
      <w:p w:rsidR="00C410CD" w:rsidRDefault="00C410CD" w:rsidP="00C410CD">
        <w:pPr>
          <w:pStyle w:val="Footer"/>
          <w:tabs>
            <w:tab w:val="left" w:pos="4160"/>
          </w:tabs>
        </w:pPr>
        <w:r>
          <w:tab/>
        </w:r>
        <w:r>
          <w:tab/>
        </w:r>
        <w:r>
          <w:fldChar w:fldCharType="begin"/>
        </w:r>
        <w:r>
          <w:instrText xml:space="preserve"> PAGE   \* MERGEFORMAT </w:instrText>
        </w:r>
        <w:r>
          <w:fldChar w:fldCharType="separate"/>
        </w:r>
        <w:r>
          <w:rPr>
            <w:noProof/>
          </w:rPr>
          <w:t>3</w:t>
        </w:r>
        <w:r>
          <w:rPr>
            <w:noProof/>
          </w:rPr>
          <w:fldChar w:fldCharType="end"/>
        </w:r>
      </w:p>
    </w:sdtContent>
  </w:sdt>
  <w:p w:rsidR="00C410CD" w:rsidRDefault="00C41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07" w:rsidRDefault="00617907">
    <w:pPr>
      <w:pStyle w:val="Footer"/>
      <w:jc w:val="center"/>
    </w:pPr>
  </w:p>
  <w:p w:rsidR="00617907" w:rsidRDefault="006179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CD" w:rsidRDefault="00C410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07" w:rsidRDefault="00617907">
    <w:pPr>
      <w:pStyle w:val="Footer"/>
      <w:jc w:val="center"/>
    </w:pPr>
  </w:p>
  <w:p w:rsidR="00617907" w:rsidRDefault="006179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25251"/>
      <w:docPartObj>
        <w:docPartGallery w:val="Page Numbers (Bottom of Page)"/>
        <w:docPartUnique/>
      </w:docPartObj>
    </w:sdtPr>
    <w:sdtEndPr>
      <w:rPr>
        <w:noProof/>
      </w:rPr>
    </w:sdtEndPr>
    <w:sdtContent>
      <w:p w:rsidR="00617907" w:rsidRDefault="00617907">
        <w:pPr>
          <w:pStyle w:val="Footer"/>
          <w:jc w:val="center"/>
        </w:pPr>
        <w:r>
          <w:fldChar w:fldCharType="begin"/>
        </w:r>
        <w:r>
          <w:instrText xml:space="preserve"> PAGE   \* MERGEFORMAT </w:instrText>
        </w:r>
        <w:r>
          <w:fldChar w:fldCharType="separate"/>
        </w:r>
        <w:r w:rsidR="000E6477">
          <w:rPr>
            <w:noProof/>
          </w:rPr>
          <w:t>i</w:t>
        </w:r>
        <w:r>
          <w:rPr>
            <w:noProof/>
          </w:rPr>
          <w:fldChar w:fldCharType="end"/>
        </w:r>
      </w:p>
    </w:sdtContent>
  </w:sdt>
  <w:p w:rsidR="00617907" w:rsidRDefault="006179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99354"/>
      <w:docPartObj>
        <w:docPartGallery w:val="Page Numbers (Bottom of Page)"/>
        <w:docPartUnique/>
      </w:docPartObj>
    </w:sdtPr>
    <w:sdtEndPr>
      <w:rPr>
        <w:noProof/>
      </w:rPr>
    </w:sdtEndPr>
    <w:sdtContent>
      <w:p w:rsidR="00C410CD" w:rsidRDefault="00C410CD">
        <w:pPr>
          <w:pStyle w:val="Footer"/>
          <w:jc w:val="center"/>
        </w:pPr>
        <w:r>
          <w:fldChar w:fldCharType="begin"/>
        </w:r>
        <w:r>
          <w:instrText xml:space="preserve"> PAGE   \* MERGEFORMAT </w:instrText>
        </w:r>
        <w:r>
          <w:fldChar w:fldCharType="separate"/>
        </w:r>
        <w:r w:rsidR="000E6477">
          <w:rPr>
            <w:noProof/>
          </w:rPr>
          <w:t>12</w:t>
        </w:r>
        <w:r>
          <w:rPr>
            <w:noProof/>
          </w:rPr>
          <w:fldChar w:fldCharType="end"/>
        </w:r>
      </w:p>
    </w:sdtContent>
  </w:sdt>
  <w:p w:rsidR="00C410CD" w:rsidRDefault="00C4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42" w:rsidRDefault="007C0842" w:rsidP="00AD0F5B">
      <w:r>
        <w:separator/>
      </w:r>
    </w:p>
  </w:footnote>
  <w:footnote w:type="continuationSeparator" w:id="0">
    <w:p w:rsidR="007C0842" w:rsidRDefault="007C0842" w:rsidP="00AD0F5B">
      <w:r>
        <w:continuationSeparator/>
      </w:r>
    </w:p>
  </w:footnote>
  <w:footnote w:id="1">
    <w:p w:rsidR="008653BF" w:rsidRDefault="008653BF">
      <w:pPr>
        <w:pStyle w:val="FootnoteText"/>
      </w:pPr>
      <w:r>
        <w:rPr>
          <w:rStyle w:val="FootnoteReference"/>
        </w:rPr>
        <w:footnoteRef/>
      </w:r>
      <w:r>
        <w:t xml:space="preserve"> </w:t>
      </w:r>
      <w:r w:rsidRPr="008653BF">
        <w:rPr>
          <w:i/>
        </w:rPr>
        <w:t>In the Matter of Middle Point Home Telephone Company to Obtain BLES Pricing Flexibility</w:t>
      </w:r>
      <w:r>
        <w:t>, Case No. 13-1249-TP-BLS.</w:t>
      </w:r>
    </w:p>
  </w:footnote>
  <w:footnote w:id="2">
    <w:p w:rsidR="001B7817" w:rsidRDefault="001B7817">
      <w:pPr>
        <w:pStyle w:val="FootnoteText"/>
      </w:pPr>
      <w:r>
        <w:rPr>
          <w:rStyle w:val="FootnoteReference"/>
        </w:rPr>
        <w:footnoteRef/>
      </w:r>
      <w:r>
        <w:t xml:space="preserve"> </w:t>
      </w:r>
      <w:r w:rsidR="00A42FEF">
        <w:t xml:space="preserve">See </w:t>
      </w:r>
      <w:r>
        <w:t>R.C. 4927.12(C)</w:t>
      </w:r>
      <w:r w:rsidR="00A42FEF">
        <w:t>(1)(b)</w:t>
      </w:r>
      <w:r>
        <w:t>.</w:t>
      </w:r>
    </w:p>
  </w:footnote>
  <w:footnote w:id="3">
    <w:p w:rsidR="00AC079B" w:rsidRDefault="00AC079B">
      <w:pPr>
        <w:pStyle w:val="FootnoteText"/>
      </w:pPr>
      <w:r>
        <w:rPr>
          <w:rStyle w:val="FootnoteReference"/>
        </w:rPr>
        <w:footnoteRef/>
      </w:r>
      <w:r>
        <w:t xml:space="preserve"> See Application, Exhibit C at 1, 2.</w:t>
      </w:r>
    </w:p>
  </w:footnote>
  <w:footnote w:id="4">
    <w:p w:rsidR="00D173D6" w:rsidRDefault="00D173D6">
      <w:pPr>
        <w:pStyle w:val="FootnoteText"/>
      </w:pPr>
      <w:r>
        <w:rPr>
          <w:rStyle w:val="FootnoteReference"/>
        </w:rPr>
        <w:footnoteRef/>
      </w:r>
      <w:r>
        <w:t xml:space="preserve"> </w:t>
      </w:r>
      <w:r w:rsidR="00D06A44">
        <w:t>OCC</w:t>
      </w:r>
      <w:r w:rsidR="008D7BCE">
        <w:t>’</w:t>
      </w:r>
      <w:r w:rsidR="00D06A44">
        <w:t>s Motion to Intervene and Comments are filed in response to the Entry issued in this proceeding on February 7, 2014.</w:t>
      </w:r>
    </w:p>
  </w:footnote>
  <w:footnote w:id="5">
    <w:p w:rsidR="006969DE" w:rsidRDefault="006969DE">
      <w:pPr>
        <w:pStyle w:val="FootnoteText"/>
      </w:pPr>
      <w:r>
        <w:rPr>
          <w:rStyle w:val="FootnoteReference"/>
        </w:rPr>
        <w:footnoteRef/>
      </w:r>
      <w:r>
        <w:t xml:space="preserve"> Id.</w:t>
      </w:r>
    </w:p>
  </w:footnote>
  <w:footnote w:id="6">
    <w:p w:rsidR="00950010" w:rsidRDefault="00950010" w:rsidP="00950010">
      <w:pPr>
        <w:pStyle w:val="FootnoteText"/>
      </w:pPr>
      <w:r>
        <w:rPr>
          <w:rStyle w:val="FootnoteReference"/>
        </w:rPr>
        <w:footnoteRef/>
      </w:r>
      <w:r>
        <w:t xml:space="preserve"> </w:t>
      </w:r>
      <w:r w:rsidRPr="0077355B">
        <w:t>R.C. Chapter 4911</w:t>
      </w:r>
      <w:r>
        <w:t>.</w:t>
      </w:r>
    </w:p>
  </w:footnote>
  <w:footnote w:id="7">
    <w:p w:rsidR="00950010" w:rsidRDefault="00950010" w:rsidP="00950010">
      <w:pPr>
        <w:pStyle w:val="FootnoteText"/>
      </w:pPr>
      <w:r>
        <w:rPr>
          <w:rStyle w:val="FootnoteReference"/>
        </w:rPr>
        <w:footnoteRef/>
      </w:r>
      <w:r>
        <w:rPr>
          <w:i/>
        </w:rPr>
        <w:t xml:space="preserve"> </w:t>
      </w:r>
      <w:r w:rsidRPr="0061425F">
        <w:t>See</w:t>
      </w:r>
      <w:r>
        <w:rPr>
          <w:i/>
        </w:rPr>
        <w:t xml:space="preserve"> Ohio Consumers</w:t>
      </w:r>
      <w:r w:rsidR="008D7BCE">
        <w:rPr>
          <w:i/>
        </w:rPr>
        <w:t>’</w:t>
      </w:r>
      <w:r>
        <w:rPr>
          <w:i/>
        </w:rPr>
        <w:t xml:space="preserve"> Counsel v. Pub. Util. Comm</w:t>
      </w:r>
      <w:r>
        <w:t>., 111 Ohio St.3d 384, 2006-Ohio-5853, ¶¶13-20 (2006).</w:t>
      </w:r>
    </w:p>
  </w:footnote>
  <w:footnote w:id="8">
    <w:p w:rsidR="00AB4C7B" w:rsidRDefault="00AB4C7B" w:rsidP="00AB4C7B">
      <w:pPr>
        <w:pStyle w:val="FootnoteText"/>
      </w:pPr>
      <w:r>
        <w:rPr>
          <w:rStyle w:val="FootnoteReference"/>
        </w:rPr>
        <w:footnoteRef/>
      </w:r>
      <w:r>
        <w:t xml:space="preserve"> </w:t>
      </w:r>
      <w:r w:rsidRPr="00A42FEF">
        <w:rPr>
          <w:i/>
        </w:rPr>
        <w:t>Connect America Fund</w:t>
      </w:r>
      <w:r>
        <w:t xml:space="preserve">, </w:t>
      </w:r>
      <w:r w:rsidRPr="00AD5F66">
        <w:t xml:space="preserve">FCC </w:t>
      </w:r>
      <w:r w:rsidRPr="00AD5F66">
        <w:rPr>
          <w:spacing w:val="-2"/>
        </w:rPr>
        <w:t>WC Docket No. 10-90,</w:t>
      </w:r>
      <w:r>
        <w:rPr>
          <w:spacing w:val="-2"/>
          <w:sz w:val="22"/>
          <w:szCs w:val="22"/>
        </w:rPr>
        <w:t xml:space="preserve"> </w:t>
      </w:r>
      <w:r w:rsidRPr="00A42FEF">
        <w:rPr>
          <w:spacing w:val="-2"/>
        </w:rPr>
        <w:t xml:space="preserve">Report </w:t>
      </w:r>
      <w:r>
        <w:rPr>
          <w:spacing w:val="-2"/>
        </w:rPr>
        <w:t>a</w:t>
      </w:r>
      <w:r w:rsidRPr="00A42FEF">
        <w:rPr>
          <w:spacing w:val="-2"/>
        </w:rPr>
        <w:t xml:space="preserve">nd Order </w:t>
      </w:r>
      <w:r>
        <w:rPr>
          <w:spacing w:val="-2"/>
        </w:rPr>
        <w:t>a</w:t>
      </w:r>
      <w:r w:rsidRPr="00A42FEF">
        <w:rPr>
          <w:spacing w:val="-2"/>
        </w:rPr>
        <w:t xml:space="preserve">nd Further Notice </w:t>
      </w:r>
      <w:r>
        <w:rPr>
          <w:spacing w:val="-2"/>
        </w:rPr>
        <w:t>o</w:t>
      </w:r>
      <w:r w:rsidRPr="00A42FEF">
        <w:rPr>
          <w:spacing w:val="-2"/>
        </w:rPr>
        <w:t>f Proposed Rulemaking</w:t>
      </w:r>
      <w:r>
        <w:rPr>
          <w:spacing w:val="-2"/>
        </w:rPr>
        <w:t>, FCC 11-161, released November 18, 2011.</w:t>
      </w:r>
    </w:p>
  </w:footnote>
  <w:footnote w:id="9">
    <w:p w:rsidR="00FC7110" w:rsidRDefault="00FC7110" w:rsidP="00FC7110">
      <w:pPr>
        <w:pStyle w:val="FootnoteText"/>
      </w:pPr>
      <w:r>
        <w:rPr>
          <w:rStyle w:val="FootnoteReference"/>
        </w:rPr>
        <w:footnoteRef/>
      </w:r>
      <w:r>
        <w:t xml:space="preserve"> </w:t>
      </w:r>
      <w:r w:rsidR="00AB4C7B">
        <w:t>Id.</w:t>
      </w:r>
      <w:r>
        <w:t>, ¶ 235.</w:t>
      </w:r>
    </w:p>
  </w:footnote>
  <w:footnote w:id="10">
    <w:p w:rsidR="00FC7110" w:rsidRDefault="00FC7110" w:rsidP="00FC7110">
      <w:pPr>
        <w:pStyle w:val="FootnoteText"/>
      </w:pPr>
      <w:r>
        <w:rPr>
          <w:rStyle w:val="FootnoteReference"/>
        </w:rPr>
        <w:footnoteRef/>
      </w:r>
      <w:r>
        <w:t xml:space="preserve"> Id.</w:t>
      </w:r>
    </w:p>
  </w:footnote>
  <w:footnote w:id="11">
    <w:p w:rsidR="00FC7110" w:rsidRDefault="00FC7110" w:rsidP="00FC7110">
      <w:pPr>
        <w:pStyle w:val="FootnoteText"/>
      </w:pPr>
      <w:r>
        <w:rPr>
          <w:rStyle w:val="FootnoteReference"/>
        </w:rPr>
        <w:footnoteRef/>
      </w:r>
      <w:r>
        <w:t xml:space="preserve"> Id., ¶ 239.</w:t>
      </w:r>
    </w:p>
  </w:footnote>
  <w:footnote w:id="12">
    <w:p w:rsidR="00FC7110" w:rsidRDefault="00FC7110" w:rsidP="00FC7110">
      <w:pPr>
        <w:pStyle w:val="FootnoteText"/>
      </w:pPr>
      <w:r>
        <w:rPr>
          <w:rStyle w:val="FootnoteReference"/>
        </w:rPr>
        <w:footnoteRef/>
      </w:r>
      <w:r>
        <w:t xml:space="preserve"> Id.</w:t>
      </w:r>
    </w:p>
  </w:footnote>
  <w:footnote w:id="13">
    <w:p w:rsidR="00FC7110" w:rsidRDefault="00FC7110" w:rsidP="00FC7110">
      <w:pPr>
        <w:pStyle w:val="FootnoteText"/>
      </w:pPr>
      <w:r>
        <w:rPr>
          <w:rStyle w:val="FootnoteReference"/>
        </w:rPr>
        <w:footnoteRef/>
      </w:r>
      <w:r>
        <w:t xml:space="preserve"> Id., ¶ 242.</w:t>
      </w:r>
    </w:p>
  </w:footnote>
  <w:footnote w:id="14">
    <w:p w:rsidR="000E034A" w:rsidRDefault="000E034A">
      <w:pPr>
        <w:pStyle w:val="FootnoteText"/>
      </w:pPr>
      <w:r>
        <w:rPr>
          <w:rStyle w:val="FootnoteReference"/>
        </w:rPr>
        <w:footnoteRef/>
      </w:r>
      <w:r>
        <w:t xml:space="preserve"> See Application, Exhibit A.</w:t>
      </w:r>
    </w:p>
  </w:footnote>
  <w:footnote w:id="15">
    <w:p w:rsidR="008B0CC5" w:rsidRDefault="008B0CC5">
      <w:pPr>
        <w:pStyle w:val="FootnoteText"/>
      </w:pPr>
      <w:r>
        <w:rPr>
          <w:rStyle w:val="FootnoteReference"/>
        </w:rPr>
        <w:footnoteRef/>
      </w:r>
      <w:r>
        <w:t xml:space="preserve"> Id., Exhibit C at 1.</w:t>
      </w:r>
    </w:p>
  </w:footnote>
  <w:footnote w:id="16">
    <w:p w:rsidR="008B0CC5" w:rsidRDefault="008B0CC5">
      <w:pPr>
        <w:pStyle w:val="FootnoteText"/>
      </w:pPr>
      <w:r>
        <w:rPr>
          <w:rStyle w:val="FootnoteReference"/>
        </w:rPr>
        <w:footnoteRef/>
      </w:r>
      <w:r>
        <w:t xml:space="preserve"> $7.70 is 122% of $6.30.</w:t>
      </w:r>
    </w:p>
  </w:footnote>
  <w:footnote w:id="17">
    <w:p w:rsidR="002B25A4" w:rsidRDefault="002B25A4">
      <w:pPr>
        <w:pStyle w:val="FootnoteText"/>
      </w:pPr>
      <w:r>
        <w:rPr>
          <w:rStyle w:val="FootnoteReference"/>
        </w:rPr>
        <w:footnoteRef/>
      </w:r>
      <w:r>
        <w:t xml:space="preserve"> Application</w:t>
      </w:r>
      <w:r w:rsidR="006737B7">
        <w:t>, Exhibit C</w:t>
      </w:r>
      <w:r>
        <w:t xml:space="preserve"> at 3.</w:t>
      </w:r>
    </w:p>
  </w:footnote>
  <w:footnote w:id="18">
    <w:p w:rsidR="006737B7" w:rsidRDefault="006737B7">
      <w:pPr>
        <w:pStyle w:val="FootnoteText"/>
      </w:pPr>
      <w:r>
        <w:rPr>
          <w:rStyle w:val="FootnoteReference"/>
        </w:rPr>
        <w:footnoteRef/>
      </w:r>
      <w:r>
        <w:t xml:space="preserve"> Id.</w:t>
      </w:r>
    </w:p>
  </w:footnote>
  <w:footnote w:id="19">
    <w:p w:rsidR="00ED7FDE" w:rsidRDefault="00ED7FDE">
      <w:pPr>
        <w:pStyle w:val="FootnoteText"/>
      </w:pPr>
      <w:r>
        <w:rPr>
          <w:rStyle w:val="FootnoteReference"/>
        </w:rPr>
        <w:footnoteRef/>
      </w:r>
      <w:r>
        <w:t xml:space="preserve"> Id.</w:t>
      </w:r>
    </w:p>
  </w:footnote>
  <w:footnote w:id="20">
    <w:p w:rsidR="00DB3A61" w:rsidRDefault="00DB3A61" w:rsidP="00DB3A61">
      <w:pPr>
        <w:pStyle w:val="FootnoteText"/>
      </w:pPr>
      <w:r>
        <w:rPr>
          <w:rStyle w:val="FootnoteReference"/>
        </w:rPr>
        <w:footnoteRef/>
      </w:r>
      <w:r>
        <w:t xml:space="preserve"> </w:t>
      </w:r>
      <w:r w:rsidR="008E5EA7">
        <w:t xml:space="preserve">See </w:t>
      </w:r>
      <w:r w:rsidR="008E5EA7" w:rsidRPr="00A42FEF">
        <w:rPr>
          <w:i/>
        </w:rPr>
        <w:t>Connect America Fund</w:t>
      </w:r>
      <w:r w:rsidR="008E5EA7">
        <w:t xml:space="preserve">, FCC </w:t>
      </w:r>
      <w:r w:rsidR="008E5EA7" w:rsidRPr="00AD5F66">
        <w:rPr>
          <w:spacing w:val="-2"/>
        </w:rPr>
        <w:t>WC Docket No. 10-90,</w:t>
      </w:r>
      <w:r w:rsidR="008E5EA7">
        <w:rPr>
          <w:spacing w:val="-2"/>
          <w:sz w:val="22"/>
          <w:szCs w:val="22"/>
        </w:rPr>
        <w:t xml:space="preserve"> </w:t>
      </w:r>
      <w:r w:rsidR="008E5EA7">
        <w:rPr>
          <w:spacing w:val="-2"/>
        </w:rPr>
        <w:t>Notice of Proposed Rulemaking</w:t>
      </w:r>
      <w:r w:rsidR="008E5EA7" w:rsidRPr="00A42FEF">
        <w:rPr>
          <w:spacing w:val="-2"/>
        </w:rPr>
        <w:t xml:space="preserve"> </w:t>
      </w:r>
      <w:r w:rsidR="008E5EA7">
        <w:rPr>
          <w:spacing w:val="-2"/>
        </w:rPr>
        <w:t>a</w:t>
      </w:r>
      <w:r w:rsidR="008E5EA7" w:rsidRPr="00A42FEF">
        <w:rPr>
          <w:spacing w:val="-2"/>
        </w:rPr>
        <w:t xml:space="preserve">nd Further Notice </w:t>
      </w:r>
      <w:r w:rsidR="008E5EA7">
        <w:rPr>
          <w:spacing w:val="-2"/>
        </w:rPr>
        <w:t>o</w:t>
      </w:r>
      <w:r w:rsidR="008E5EA7" w:rsidRPr="00A42FEF">
        <w:rPr>
          <w:spacing w:val="-2"/>
        </w:rPr>
        <w:t>f Proposed Rulemaking</w:t>
      </w:r>
      <w:r w:rsidR="008E5EA7">
        <w:rPr>
          <w:spacing w:val="-2"/>
        </w:rPr>
        <w:t>, FCC 11-13, released February 9, 2011, ¶¶ 6, 7.</w:t>
      </w:r>
    </w:p>
  </w:footnote>
  <w:footnote w:id="21">
    <w:p w:rsidR="006A6407" w:rsidRDefault="006A6407">
      <w:pPr>
        <w:pStyle w:val="FootnoteText"/>
      </w:pPr>
      <w:r>
        <w:rPr>
          <w:rStyle w:val="FootnoteReference"/>
        </w:rPr>
        <w:footnoteRef/>
      </w:r>
      <w:r>
        <w:t xml:space="preserve"> </w:t>
      </w:r>
      <w:r w:rsidR="008E5EA7">
        <w:rPr>
          <w:i/>
        </w:rPr>
        <w:t>Transformation Order</w:t>
      </w:r>
      <w:r>
        <w:t xml:space="preserve">, </w:t>
      </w:r>
      <w:r w:rsidR="00DF7028">
        <w:t xml:space="preserve">¶ </w:t>
      </w:r>
      <w:r w:rsidR="008E5EA7">
        <w:t>539</w:t>
      </w:r>
      <w:r w:rsidR="00DF7028">
        <w:t xml:space="preserve"> (footnote omitted).</w:t>
      </w:r>
    </w:p>
  </w:footnote>
  <w:footnote w:id="22">
    <w:p w:rsidR="006C6F96" w:rsidRDefault="006C6F96">
      <w:pPr>
        <w:pStyle w:val="FootnoteText"/>
      </w:pPr>
      <w:r>
        <w:rPr>
          <w:rStyle w:val="FootnoteReference"/>
        </w:rPr>
        <w:footnoteRef/>
      </w:r>
      <w:r>
        <w:t xml:space="preserve"> Id., ¶ 540.</w:t>
      </w:r>
    </w:p>
  </w:footnote>
  <w:footnote w:id="23">
    <w:p w:rsidR="006C6F96" w:rsidRDefault="006C6F96">
      <w:pPr>
        <w:pStyle w:val="FootnoteText"/>
      </w:pPr>
      <w:r>
        <w:rPr>
          <w:rStyle w:val="FootnoteReference"/>
        </w:rPr>
        <w:footnoteRef/>
      </w:r>
      <w:r>
        <w:t xml:space="preserve"> Id.</w:t>
      </w:r>
    </w:p>
  </w:footnote>
  <w:footnote w:id="24">
    <w:p w:rsidR="005925C1" w:rsidRDefault="005925C1">
      <w:pPr>
        <w:pStyle w:val="FootnoteText"/>
      </w:pPr>
      <w:r>
        <w:rPr>
          <w:rStyle w:val="FootnoteReference"/>
        </w:rPr>
        <w:footnoteRef/>
      </w:r>
      <w:r>
        <w:t xml:space="preserve"> </w:t>
      </w:r>
      <w:r w:rsidR="008B3FD6" w:rsidRPr="008B3FD6">
        <w:rPr>
          <w:i/>
        </w:rPr>
        <w:t>In the Matter of the Application of The Middle Point Home Telephone Company, Telephone Service Company and Middle Point Acquisition Co., Pursuant to Section 4905.402 of the Revised Code</w:t>
      </w:r>
      <w:r w:rsidR="008B3FD6">
        <w:t>, Case No. 13-184-TP-AMT.</w:t>
      </w:r>
    </w:p>
  </w:footnote>
  <w:footnote w:id="25">
    <w:p w:rsidR="008B3FD6" w:rsidRDefault="008B3FD6" w:rsidP="008B3FD6">
      <w:pPr>
        <w:pStyle w:val="FootnoteText"/>
      </w:pPr>
      <w:r>
        <w:rPr>
          <w:rStyle w:val="FootnoteReference"/>
        </w:rPr>
        <w:footnoteRef/>
      </w:r>
      <w:r>
        <w:t xml:space="preserve"> </w:t>
      </w:r>
      <w:r>
        <w:rPr>
          <w:i/>
        </w:rPr>
        <w:t>Transformation Order</w:t>
      </w:r>
      <w:r>
        <w:t>, ¶ 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77" w:rsidRDefault="000E6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0" w:rsidRDefault="009500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77" w:rsidRDefault="000E64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01" w:rsidRDefault="00ED05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7D6B79E"/>
    <w:lvl w:ilvl="0">
      <w:start w:val="1"/>
      <w:numFmt w:val="decimal"/>
      <w:lvlText w:val="%1."/>
      <w:lvlJc w:val="left"/>
      <w:pPr>
        <w:tabs>
          <w:tab w:val="num" w:pos="720"/>
        </w:tabs>
        <w:ind w:left="720" w:hanging="360"/>
      </w:pPr>
    </w:lvl>
  </w:abstractNum>
  <w:abstractNum w:abstractNumId="1">
    <w:nsid w:val="FFFFFF80"/>
    <w:multiLevelType w:val="singleLevel"/>
    <w:tmpl w:val="FE56C760"/>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C3F064A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02C686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00225288"/>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5B8A454E"/>
    <w:lvl w:ilvl="0">
      <w:start w:val="1"/>
      <w:numFmt w:val="decimal"/>
      <w:lvlText w:val="%1."/>
      <w:lvlJc w:val="left"/>
      <w:pPr>
        <w:tabs>
          <w:tab w:val="num" w:pos="360"/>
        </w:tabs>
        <w:ind w:left="360" w:hanging="360"/>
      </w:pPr>
    </w:lvl>
  </w:abstractNum>
  <w:abstractNum w:abstractNumId="6">
    <w:nsid w:val="FFFFFF89"/>
    <w:multiLevelType w:val="singleLevel"/>
    <w:tmpl w:val="ED02090A"/>
    <w:lvl w:ilvl="0">
      <w:start w:val="1"/>
      <w:numFmt w:val="bullet"/>
      <w:lvlText w:val=""/>
      <w:lvlJc w:val="left"/>
      <w:pPr>
        <w:tabs>
          <w:tab w:val="num" w:pos="360"/>
        </w:tabs>
        <w:ind w:left="360" w:hanging="360"/>
      </w:pPr>
      <w:rPr>
        <w:rFonts w:ascii="Symbol" w:hAnsi="Symbol" w:hint="default"/>
      </w:rPr>
    </w:lvl>
  </w:abstractNum>
  <w:abstractNum w:abstractNumId="7">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B332188"/>
    <w:multiLevelType w:val="hybridMultilevel"/>
    <w:tmpl w:val="E24AE14E"/>
    <w:lvl w:ilvl="0" w:tplc="4D0E98CA">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nsid w:val="64321642"/>
    <w:multiLevelType w:val="hybridMultilevel"/>
    <w:tmpl w:val="2724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A0A60"/>
    <w:multiLevelType w:val="hybridMultilevel"/>
    <w:tmpl w:val="808E5A50"/>
    <w:lvl w:ilvl="0" w:tplc="4E56A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5B"/>
    <w:rsid w:val="000062EC"/>
    <w:rsid w:val="00033169"/>
    <w:rsid w:val="00064A8C"/>
    <w:rsid w:val="0008098C"/>
    <w:rsid w:val="000A143B"/>
    <w:rsid w:val="000A4636"/>
    <w:rsid w:val="000E034A"/>
    <w:rsid w:val="000E6477"/>
    <w:rsid w:val="00113BED"/>
    <w:rsid w:val="0013660D"/>
    <w:rsid w:val="0014088C"/>
    <w:rsid w:val="00171154"/>
    <w:rsid w:val="0018726C"/>
    <w:rsid w:val="001B6527"/>
    <w:rsid w:val="001B7817"/>
    <w:rsid w:val="001C7470"/>
    <w:rsid w:val="001D53C8"/>
    <w:rsid w:val="002459EF"/>
    <w:rsid w:val="00257F9D"/>
    <w:rsid w:val="00263591"/>
    <w:rsid w:val="002838E2"/>
    <w:rsid w:val="002A02FE"/>
    <w:rsid w:val="002B25A4"/>
    <w:rsid w:val="002C118D"/>
    <w:rsid w:val="0035323F"/>
    <w:rsid w:val="00396842"/>
    <w:rsid w:val="003B07B2"/>
    <w:rsid w:val="0041729C"/>
    <w:rsid w:val="00450335"/>
    <w:rsid w:val="004678FF"/>
    <w:rsid w:val="004B0A26"/>
    <w:rsid w:val="004C095D"/>
    <w:rsid w:val="004F039B"/>
    <w:rsid w:val="005227F1"/>
    <w:rsid w:val="00567DBB"/>
    <w:rsid w:val="005925C1"/>
    <w:rsid w:val="005E4B9B"/>
    <w:rsid w:val="006046FD"/>
    <w:rsid w:val="00615E24"/>
    <w:rsid w:val="00617907"/>
    <w:rsid w:val="006215CC"/>
    <w:rsid w:val="006377D1"/>
    <w:rsid w:val="006737B7"/>
    <w:rsid w:val="006969DE"/>
    <w:rsid w:val="006A6407"/>
    <w:rsid w:val="006C6F96"/>
    <w:rsid w:val="0071357C"/>
    <w:rsid w:val="00737A3F"/>
    <w:rsid w:val="007514A1"/>
    <w:rsid w:val="00752B40"/>
    <w:rsid w:val="007544D7"/>
    <w:rsid w:val="007927CC"/>
    <w:rsid w:val="007B0A41"/>
    <w:rsid w:val="007C0842"/>
    <w:rsid w:val="007C482B"/>
    <w:rsid w:val="007E1C59"/>
    <w:rsid w:val="007F4E16"/>
    <w:rsid w:val="00857572"/>
    <w:rsid w:val="00857BE1"/>
    <w:rsid w:val="008653BF"/>
    <w:rsid w:val="008871C2"/>
    <w:rsid w:val="008A139C"/>
    <w:rsid w:val="008B0CC5"/>
    <w:rsid w:val="008B3FD6"/>
    <w:rsid w:val="008D6F88"/>
    <w:rsid w:val="008D7BCE"/>
    <w:rsid w:val="008E5EA7"/>
    <w:rsid w:val="00914050"/>
    <w:rsid w:val="00923803"/>
    <w:rsid w:val="00946EC2"/>
    <w:rsid w:val="00950010"/>
    <w:rsid w:val="009943CD"/>
    <w:rsid w:val="009E169C"/>
    <w:rsid w:val="009E6F37"/>
    <w:rsid w:val="00A00CB6"/>
    <w:rsid w:val="00A16E3C"/>
    <w:rsid w:val="00A42FEF"/>
    <w:rsid w:val="00A51CD4"/>
    <w:rsid w:val="00A540F7"/>
    <w:rsid w:val="00A62608"/>
    <w:rsid w:val="00AA244B"/>
    <w:rsid w:val="00AA45DA"/>
    <w:rsid w:val="00AB4C7B"/>
    <w:rsid w:val="00AC079B"/>
    <w:rsid w:val="00AD0F5B"/>
    <w:rsid w:val="00AD5F66"/>
    <w:rsid w:val="00AD6A2B"/>
    <w:rsid w:val="00AE00D6"/>
    <w:rsid w:val="00AE56DA"/>
    <w:rsid w:val="00AF338D"/>
    <w:rsid w:val="00B35F7C"/>
    <w:rsid w:val="00B53CC7"/>
    <w:rsid w:val="00B54DCE"/>
    <w:rsid w:val="00B6792A"/>
    <w:rsid w:val="00B76BA7"/>
    <w:rsid w:val="00B900E4"/>
    <w:rsid w:val="00BB3B72"/>
    <w:rsid w:val="00C15F9D"/>
    <w:rsid w:val="00C32464"/>
    <w:rsid w:val="00C37C3F"/>
    <w:rsid w:val="00C410CD"/>
    <w:rsid w:val="00C822F4"/>
    <w:rsid w:val="00C85A91"/>
    <w:rsid w:val="00CA7F78"/>
    <w:rsid w:val="00CB315A"/>
    <w:rsid w:val="00CC74B7"/>
    <w:rsid w:val="00CF591D"/>
    <w:rsid w:val="00CF6322"/>
    <w:rsid w:val="00D06A44"/>
    <w:rsid w:val="00D173D6"/>
    <w:rsid w:val="00D45177"/>
    <w:rsid w:val="00D52BFA"/>
    <w:rsid w:val="00DB3A61"/>
    <w:rsid w:val="00DC0CC0"/>
    <w:rsid w:val="00DF7028"/>
    <w:rsid w:val="00E65329"/>
    <w:rsid w:val="00E9062F"/>
    <w:rsid w:val="00EA26E5"/>
    <w:rsid w:val="00EB0C4C"/>
    <w:rsid w:val="00EB1ABF"/>
    <w:rsid w:val="00EB1D5A"/>
    <w:rsid w:val="00ED0501"/>
    <w:rsid w:val="00ED5E15"/>
    <w:rsid w:val="00ED7FDE"/>
    <w:rsid w:val="00F3407F"/>
    <w:rsid w:val="00FC34FA"/>
    <w:rsid w:val="00FC7110"/>
    <w:rsid w:val="00FF5A4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01"/>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ED0501"/>
    <w:pPr>
      <w:keepNext/>
      <w:spacing w:after="240"/>
      <w:ind w:left="720" w:hanging="720"/>
      <w:outlineLvl w:val="0"/>
    </w:pPr>
    <w:rPr>
      <w:rFonts w:eastAsia="Times New Roman" w:cs="Times New Roman"/>
      <w:b/>
      <w:caps/>
      <w:szCs w:val="24"/>
    </w:rPr>
  </w:style>
  <w:style w:type="paragraph" w:styleId="Heading2">
    <w:name w:val="heading 2"/>
    <w:basedOn w:val="Normal"/>
    <w:next w:val="Normal"/>
    <w:link w:val="Heading2Char"/>
    <w:autoRedefine/>
    <w:qFormat/>
    <w:rsid w:val="00ED0501"/>
    <w:pPr>
      <w:keepNext/>
      <w:tabs>
        <w:tab w:val="left" w:pos="4320"/>
      </w:tabs>
      <w:spacing w:after="240"/>
      <w:ind w:left="1440" w:hanging="720"/>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AD0F5B"/>
    <w:pPr>
      <w:spacing w:after="120"/>
    </w:pPr>
    <w:rPr>
      <w:rFonts w:eastAsia="MS Mincho" w:cs="Times New Roman"/>
      <w:sz w:val="20"/>
      <w:szCs w:val="20"/>
    </w:rPr>
  </w:style>
  <w:style w:type="character" w:customStyle="1" w:styleId="FootnoteTextChar">
    <w:name w:val="Footnote Text Char"/>
    <w:basedOn w:val="DefaultParagraphFont"/>
    <w:uiPriority w:val="99"/>
    <w:semiHidden/>
    <w:rsid w:val="00AD0F5B"/>
    <w:rPr>
      <w:rFonts w:ascii="Times New Roman" w:hAnsi="Times New Roman"/>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AD0F5B"/>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AD0F5B"/>
    <w:rPr>
      <w:rFonts w:ascii="Times New Roman" w:hAnsi="Times New Roman" w:cs="Times New Roman"/>
      <w:color w:val="auto"/>
      <w:sz w:val="22"/>
      <w:vertAlign w:val="superscript"/>
    </w:rPr>
  </w:style>
  <w:style w:type="paragraph" w:customStyle="1" w:styleId="ParaNum">
    <w:name w:val="ParaNum"/>
    <w:basedOn w:val="Normal"/>
    <w:link w:val="ParaNumCharChar1"/>
    <w:rsid w:val="00CB315A"/>
    <w:pPr>
      <w:widowControl w:val="0"/>
      <w:numPr>
        <w:numId w:val="2"/>
      </w:numPr>
      <w:spacing w:after="120"/>
    </w:pPr>
    <w:rPr>
      <w:rFonts w:eastAsia="MS Mincho" w:cs="Times New Roman"/>
      <w:kern w:val="28"/>
      <w:sz w:val="22"/>
      <w:szCs w:val="20"/>
    </w:rPr>
  </w:style>
  <w:style w:type="character" w:customStyle="1" w:styleId="ParaNumCharChar1">
    <w:name w:val="ParaNum Char Char1"/>
    <w:link w:val="ParaNum"/>
    <w:locked/>
    <w:rsid w:val="00CB315A"/>
    <w:rPr>
      <w:rFonts w:ascii="Times New Roman" w:eastAsia="MS Mincho" w:hAnsi="Times New Roman" w:cs="Times New Roman"/>
      <w:kern w:val="28"/>
      <w:szCs w:val="20"/>
    </w:rPr>
  </w:style>
  <w:style w:type="paragraph" w:styleId="ListParagraph">
    <w:name w:val="List Paragraph"/>
    <w:basedOn w:val="Normal"/>
    <w:uiPriority w:val="34"/>
    <w:qFormat/>
    <w:rsid w:val="00CB315A"/>
    <w:pPr>
      <w:ind w:left="720"/>
      <w:contextualSpacing/>
    </w:pPr>
  </w:style>
  <w:style w:type="character" w:customStyle="1" w:styleId="Heading1Char">
    <w:name w:val="Heading 1 Char"/>
    <w:basedOn w:val="DefaultParagraphFont"/>
    <w:link w:val="Heading1"/>
    <w:rsid w:val="00ED0501"/>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ED0501"/>
    <w:rPr>
      <w:rFonts w:ascii="Times New Roman" w:eastAsia="Times New Roman" w:hAnsi="Times New Roman" w:cs="Times New Roman"/>
      <w:b/>
      <w:sz w:val="24"/>
      <w:szCs w:val="20"/>
    </w:rPr>
  </w:style>
  <w:style w:type="paragraph" w:styleId="HTMLPreformatted">
    <w:name w:val="HTML Preformatted"/>
    <w:basedOn w:val="Normal"/>
    <w:link w:val="HTMLPreformattedChar"/>
    <w:rsid w:val="0095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50010"/>
    <w:rPr>
      <w:rFonts w:ascii="Courier New" w:eastAsia="Courier New" w:hAnsi="Courier New" w:cs="Courier New"/>
      <w:sz w:val="20"/>
      <w:szCs w:val="20"/>
    </w:rPr>
  </w:style>
  <w:style w:type="paragraph" w:styleId="Footer">
    <w:name w:val="footer"/>
    <w:basedOn w:val="Normal"/>
    <w:link w:val="FooterChar"/>
    <w:uiPriority w:val="99"/>
    <w:rsid w:val="00950010"/>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950010"/>
    <w:rPr>
      <w:rFonts w:ascii="Times New Roman" w:eastAsia="Times New Roman" w:hAnsi="Times New Roman" w:cs="Times New Roman"/>
      <w:sz w:val="20"/>
      <w:szCs w:val="20"/>
    </w:rPr>
  </w:style>
  <w:style w:type="character" w:styleId="Hyperlink">
    <w:name w:val="Hyperlink"/>
    <w:uiPriority w:val="99"/>
    <w:rsid w:val="00950010"/>
    <w:rPr>
      <w:color w:val="0000FF"/>
      <w:u w:val="single"/>
    </w:rPr>
  </w:style>
  <w:style w:type="paragraph" w:styleId="BodyTextIndent">
    <w:name w:val="Body Text Indent"/>
    <w:basedOn w:val="Normal"/>
    <w:link w:val="BodyTextIndentChar"/>
    <w:rsid w:val="00950010"/>
    <w:pPr>
      <w:spacing w:line="48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950010"/>
    <w:rPr>
      <w:rFonts w:ascii="Times New Roman" w:eastAsia="Times New Roman" w:hAnsi="Times New Roman" w:cs="Times New Roman"/>
      <w:sz w:val="24"/>
      <w:szCs w:val="20"/>
    </w:rPr>
  </w:style>
  <w:style w:type="paragraph" w:styleId="BodyTextIndent3">
    <w:name w:val="Body Text Indent 3"/>
    <w:basedOn w:val="Normal"/>
    <w:link w:val="BodyTextIndent3Char"/>
    <w:rsid w:val="00950010"/>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950010"/>
    <w:rPr>
      <w:rFonts w:ascii="Times New Roman" w:eastAsia="Times New Roman" w:hAnsi="Times New Roman" w:cs="Times New Roman"/>
      <w:sz w:val="24"/>
      <w:szCs w:val="20"/>
    </w:rPr>
  </w:style>
  <w:style w:type="paragraph" w:styleId="BodyTextIndent2">
    <w:name w:val="Body Text Indent 2"/>
    <w:basedOn w:val="Normal"/>
    <w:link w:val="BodyTextIndent2Char"/>
    <w:rsid w:val="00950010"/>
    <w:pPr>
      <w:tabs>
        <w:tab w:val="left" w:pos="720"/>
      </w:tabs>
      <w:spacing w:before="240" w:after="240"/>
      <w:ind w:left="1464" w:hanging="744"/>
    </w:pPr>
    <w:rPr>
      <w:rFonts w:eastAsia="Times New Roman" w:cs="Times New Roman"/>
      <w:szCs w:val="20"/>
    </w:rPr>
  </w:style>
  <w:style w:type="character" w:customStyle="1" w:styleId="BodyTextIndent2Char">
    <w:name w:val="Body Text Indent 2 Char"/>
    <w:basedOn w:val="DefaultParagraphFont"/>
    <w:link w:val="BodyTextIndent2"/>
    <w:rsid w:val="00950010"/>
    <w:rPr>
      <w:rFonts w:ascii="Times New Roman" w:eastAsia="Times New Roman" w:hAnsi="Times New Roman" w:cs="Times New Roman"/>
      <w:sz w:val="24"/>
      <w:szCs w:val="20"/>
    </w:rPr>
  </w:style>
  <w:style w:type="character" w:styleId="PageNumber">
    <w:name w:val="page number"/>
    <w:basedOn w:val="DefaultParagraphFont"/>
    <w:rsid w:val="00950010"/>
  </w:style>
  <w:style w:type="paragraph" w:styleId="Header">
    <w:name w:val="header"/>
    <w:basedOn w:val="Normal"/>
    <w:link w:val="HeaderChar"/>
    <w:rsid w:val="00950010"/>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950010"/>
    <w:rPr>
      <w:rFonts w:ascii="Times New Roman" w:eastAsia="Times New Roman" w:hAnsi="Times New Roman" w:cs="Times New Roman"/>
      <w:sz w:val="24"/>
      <w:szCs w:val="20"/>
    </w:rPr>
  </w:style>
  <w:style w:type="paragraph" w:customStyle="1" w:styleId="WW-BodyTextIndent3">
    <w:name w:val="WW-Body Text Indent 3"/>
    <w:basedOn w:val="Normal"/>
    <w:rsid w:val="00950010"/>
    <w:pPr>
      <w:suppressAutoHyphens/>
      <w:spacing w:line="480" w:lineRule="atLeast"/>
      <w:ind w:firstLine="720"/>
    </w:pPr>
    <w:rPr>
      <w:rFonts w:eastAsia="Times New Roman" w:cs="Times New Roman"/>
      <w:szCs w:val="20"/>
      <w:lang w:eastAsia="ar-SA"/>
    </w:rPr>
  </w:style>
  <w:style w:type="paragraph" w:styleId="BodyText">
    <w:name w:val="Body Text"/>
    <w:basedOn w:val="Normal"/>
    <w:link w:val="BodyTextChar"/>
    <w:uiPriority w:val="99"/>
    <w:semiHidden/>
    <w:unhideWhenUsed/>
    <w:rsid w:val="00950010"/>
    <w:pPr>
      <w:spacing w:after="120"/>
    </w:pPr>
  </w:style>
  <w:style w:type="character" w:customStyle="1" w:styleId="BodyTextChar">
    <w:name w:val="Body Text Char"/>
    <w:basedOn w:val="DefaultParagraphFont"/>
    <w:link w:val="BodyText"/>
    <w:uiPriority w:val="99"/>
    <w:semiHidden/>
    <w:rsid w:val="00950010"/>
    <w:rPr>
      <w:rFonts w:ascii="Times New Roman" w:hAnsi="Times New Roman"/>
      <w:sz w:val="24"/>
    </w:rPr>
  </w:style>
  <w:style w:type="paragraph" w:styleId="CommentText">
    <w:name w:val="annotation text"/>
    <w:basedOn w:val="Normal"/>
    <w:link w:val="CommentTextChar"/>
    <w:semiHidden/>
    <w:rsid w:val="00950010"/>
    <w:rPr>
      <w:rFonts w:eastAsia="Times New Roman" w:cs="Times New Roman"/>
      <w:szCs w:val="24"/>
    </w:rPr>
  </w:style>
  <w:style w:type="character" w:customStyle="1" w:styleId="CommentTextChar">
    <w:name w:val="Comment Text Char"/>
    <w:basedOn w:val="DefaultParagraphFont"/>
    <w:link w:val="CommentText"/>
    <w:semiHidden/>
    <w:rsid w:val="0095001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950010"/>
    <w:rPr>
      <w:szCs w:val="20"/>
    </w:rPr>
  </w:style>
  <w:style w:type="character" w:customStyle="1" w:styleId="CommentSubjectChar">
    <w:name w:val="Comment Subject Char"/>
    <w:basedOn w:val="CommentTextChar"/>
    <w:link w:val="CommentSubject"/>
    <w:semiHidden/>
    <w:rsid w:val="00950010"/>
    <w:rPr>
      <w:rFonts w:ascii="Times New Roman" w:eastAsia="Times New Roman" w:hAnsi="Times New Roman" w:cs="Times New Roman"/>
      <w:sz w:val="24"/>
      <w:szCs w:val="20"/>
    </w:rPr>
  </w:style>
  <w:style w:type="paragraph" w:styleId="NormalWeb">
    <w:name w:val="Normal (Web)"/>
    <w:basedOn w:val="Normal"/>
    <w:uiPriority w:val="99"/>
    <w:unhideWhenUsed/>
    <w:rsid w:val="00E9062F"/>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0E034A"/>
    <w:rPr>
      <w:sz w:val="16"/>
      <w:szCs w:val="16"/>
    </w:rPr>
  </w:style>
  <w:style w:type="paragraph" w:styleId="BalloonText">
    <w:name w:val="Balloon Text"/>
    <w:basedOn w:val="Normal"/>
    <w:link w:val="BalloonTextChar"/>
    <w:uiPriority w:val="99"/>
    <w:semiHidden/>
    <w:unhideWhenUsed/>
    <w:rsid w:val="000E034A"/>
    <w:rPr>
      <w:rFonts w:ascii="Tahoma" w:hAnsi="Tahoma" w:cs="Tahoma"/>
      <w:sz w:val="16"/>
      <w:szCs w:val="16"/>
    </w:rPr>
  </w:style>
  <w:style w:type="character" w:customStyle="1" w:styleId="BalloonTextChar">
    <w:name w:val="Balloon Text Char"/>
    <w:basedOn w:val="DefaultParagraphFont"/>
    <w:link w:val="BalloonText"/>
    <w:uiPriority w:val="99"/>
    <w:semiHidden/>
    <w:rsid w:val="000E034A"/>
    <w:rPr>
      <w:rFonts w:ascii="Tahoma" w:hAnsi="Tahoma" w:cs="Tahoma"/>
      <w:sz w:val="16"/>
      <w:szCs w:val="16"/>
    </w:rPr>
  </w:style>
  <w:style w:type="table" w:styleId="TableGrid">
    <w:name w:val="Table Grid"/>
    <w:basedOn w:val="TableNormal"/>
    <w:uiPriority w:val="59"/>
    <w:rsid w:val="00ED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617907"/>
    <w:pPr>
      <w:spacing w:after="240"/>
      <w:ind w:left="720" w:hanging="72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01"/>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ED0501"/>
    <w:pPr>
      <w:keepNext/>
      <w:spacing w:after="240"/>
      <w:ind w:left="720" w:hanging="720"/>
      <w:outlineLvl w:val="0"/>
    </w:pPr>
    <w:rPr>
      <w:rFonts w:eastAsia="Times New Roman" w:cs="Times New Roman"/>
      <w:b/>
      <w:caps/>
      <w:szCs w:val="24"/>
    </w:rPr>
  </w:style>
  <w:style w:type="paragraph" w:styleId="Heading2">
    <w:name w:val="heading 2"/>
    <w:basedOn w:val="Normal"/>
    <w:next w:val="Normal"/>
    <w:link w:val="Heading2Char"/>
    <w:autoRedefine/>
    <w:qFormat/>
    <w:rsid w:val="00ED0501"/>
    <w:pPr>
      <w:keepNext/>
      <w:tabs>
        <w:tab w:val="left" w:pos="4320"/>
      </w:tabs>
      <w:spacing w:after="240"/>
      <w:ind w:left="1440" w:hanging="720"/>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AD0F5B"/>
    <w:pPr>
      <w:spacing w:after="120"/>
    </w:pPr>
    <w:rPr>
      <w:rFonts w:eastAsia="MS Mincho" w:cs="Times New Roman"/>
      <w:sz w:val="20"/>
      <w:szCs w:val="20"/>
    </w:rPr>
  </w:style>
  <w:style w:type="character" w:customStyle="1" w:styleId="FootnoteTextChar">
    <w:name w:val="Footnote Text Char"/>
    <w:basedOn w:val="DefaultParagraphFont"/>
    <w:uiPriority w:val="99"/>
    <w:semiHidden/>
    <w:rsid w:val="00AD0F5B"/>
    <w:rPr>
      <w:rFonts w:ascii="Times New Roman" w:hAnsi="Times New Roman"/>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AD0F5B"/>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AD0F5B"/>
    <w:rPr>
      <w:rFonts w:ascii="Times New Roman" w:hAnsi="Times New Roman" w:cs="Times New Roman"/>
      <w:color w:val="auto"/>
      <w:sz w:val="22"/>
      <w:vertAlign w:val="superscript"/>
    </w:rPr>
  </w:style>
  <w:style w:type="paragraph" w:customStyle="1" w:styleId="ParaNum">
    <w:name w:val="ParaNum"/>
    <w:basedOn w:val="Normal"/>
    <w:link w:val="ParaNumCharChar1"/>
    <w:rsid w:val="00CB315A"/>
    <w:pPr>
      <w:widowControl w:val="0"/>
      <w:numPr>
        <w:numId w:val="2"/>
      </w:numPr>
      <w:spacing w:after="120"/>
    </w:pPr>
    <w:rPr>
      <w:rFonts w:eastAsia="MS Mincho" w:cs="Times New Roman"/>
      <w:kern w:val="28"/>
      <w:sz w:val="22"/>
      <w:szCs w:val="20"/>
    </w:rPr>
  </w:style>
  <w:style w:type="character" w:customStyle="1" w:styleId="ParaNumCharChar1">
    <w:name w:val="ParaNum Char Char1"/>
    <w:link w:val="ParaNum"/>
    <w:locked/>
    <w:rsid w:val="00CB315A"/>
    <w:rPr>
      <w:rFonts w:ascii="Times New Roman" w:eastAsia="MS Mincho" w:hAnsi="Times New Roman" w:cs="Times New Roman"/>
      <w:kern w:val="28"/>
      <w:szCs w:val="20"/>
    </w:rPr>
  </w:style>
  <w:style w:type="paragraph" w:styleId="ListParagraph">
    <w:name w:val="List Paragraph"/>
    <w:basedOn w:val="Normal"/>
    <w:uiPriority w:val="34"/>
    <w:qFormat/>
    <w:rsid w:val="00CB315A"/>
    <w:pPr>
      <w:ind w:left="720"/>
      <w:contextualSpacing/>
    </w:pPr>
  </w:style>
  <w:style w:type="character" w:customStyle="1" w:styleId="Heading1Char">
    <w:name w:val="Heading 1 Char"/>
    <w:basedOn w:val="DefaultParagraphFont"/>
    <w:link w:val="Heading1"/>
    <w:rsid w:val="00ED0501"/>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ED0501"/>
    <w:rPr>
      <w:rFonts w:ascii="Times New Roman" w:eastAsia="Times New Roman" w:hAnsi="Times New Roman" w:cs="Times New Roman"/>
      <w:b/>
      <w:sz w:val="24"/>
      <w:szCs w:val="20"/>
    </w:rPr>
  </w:style>
  <w:style w:type="paragraph" w:styleId="HTMLPreformatted">
    <w:name w:val="HTML Preformatted"/>
    <w:basedOn w:val="Normal"/>
    <w:link w:val="HTMLPreformattedChar"/>
    <w:rsid w:val="0095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50010"/>
    <w:rPr>
      <w:rFonts w:ascii="Courier New" w:eastAsia="Courier New" w:hAnsi="Courier New" w:cs="Courier New"/>
      <w:sz w:val="20"/>
      <w:szCs w:val="20"/>
    </w:rPr>
  </w:style>
  <w:style w:type="paragraph" w:styleId="Footer">
    <w:name w:val="footer"/>
    <w:basedOn w:val="Normal"/>
    <w:link w:val="FooterChar"/>
    <w:uiPriority w:val="99"/>
    <w:rsid w:val="00950010"/>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950010"/>
    <w:rPr>
      <w:rFonts w:ascii="Times New Roman" w:eastAsia="Times New Roman" w:hAnsi="Times New Roman" w:cs="Times New Roman"/>
      <w:sz w:val="20"/>
      <w:szCs w:val="20"/>
    </w:rPr>
  </w:style>
  <w:style w:type="character" w:styleId="Hyperlink">
    <w:name w:val="Hyperlink"/>
    <w:uiPriority w:val="99"/>
    <w:rsid w:val="00950010"/>
    <w:rPr>
      <w:color w:val="0000FF"/>
      <w:u w:val="single"/>
    </w:rPr>
  </w:style>
  <w:style w:type="paragraph" w:styleId="BodyTextIndent">
    <w:name w:val="Body Text Indent"/>
    <w:basedOn w:val="Normal"/>
    <w:link w:val="BodyTextIndentChar"/>
    <w:rsid w:val="00950010"/>
    <w:pPr>
      <w:spacing w:line="48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950010"/>
    <w:rPr>
      <w:rFonts w:ascii="Times New Roman" w:eastAsia="Times New Roman" w:hAnsi="Times New Roman" w:cs="Times New Roman"/>
      <w:sz w:val="24"/>
      <w:szCs w:val="20"/>
    </w:rPr>
  </w:style>
  <w:style w:type="paragraph" w:styleId="BodyTextIndent3">
    <w:name w:val="Body Text Indent 3"/>
    <w:basedOn w:val="Normal"/>
    <w:link w:val="BodyTextIndent3Char"/>
    <w:rsid w:val="00950010"/>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950010"/>
    <w:rPr>
      <w:rFonts w:ascii="Times New Roman" w:eastAsia="Times New Roman" w:hAnsi="Times New Roman" w:cs="Times New Roman"/>
      <w:sz w:val="24"/>
      <w:szCs w:val="20"/>
    </w:rPr>
  </w:style>
  <w:style w:type="paragraph" w:styleId="BodyTextIndent2">
    <w:name w:val="Body Text Indent 2"/>
    <w:basedOn w:val="Normal"/>
    <w:link w:val="BodyTextIndent2Char"/>
    <w:rsid w:val="00950010"/>
    <w:pPr>
      <w:tabs>
        <w:tab w:val="left" w:pos="720"/>
      </w:tabs>
      <w:spacing w:before="240" w:after="240"/>
      <w:ind w:left="1464" w:hanging="744"/>
    </w:pPr>
    <w:rPr>
      <w:rFonts w:eastAsia="Times New Roman" w:cs="Times New Roman"/>
      <w:szCs w:val="20"/>
    </w:rPr>
  </w:style>
  <w:style w:type="character" w:customStyle="1" w:styleId="BodyTextIndent2Char">
    <w:name w:val="Body Text Indent 2 Char"/>
    <w:basedOn w:val="DefaultParagraphFont"/>
    <w:link w:val="BodyTextIndent2"/>
    <w:rsid w:val="00950010"/>
    <w:rPr>
      <w:rFonts w:ascii="Times New Roman" w:eastAsia="Times New Roman" w:hAnsi="Times New Roman" w:cs="Times New Roman"/>
      <w:sz w:val="24"/>
      <w:szCs w:val="20"/>
    </w:rPr>
  </w:style>
  <w:style w:type="character" w:styleId="PageNumber">
    <w:name w:val="page number"/>
    <w:basedOn w:val="DefaultParagraphFont"/>
    <w:rsid w:val="00950010"/>
  </w:style>
  <w:style w:type="paragraph" w:styleId="Header">
    <w:name w:val="header"/>
    <w:basedOn w:val="Normal"/>
    <w:link w:val="HeaderChar"/>
    <w:rsid w:val="00950010"/>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950010"/>
    <w:rPr>
      <w:rFonts w:ascii="Times New Roman" w:eastAsia="Times New Roman" w:hAnsi="Times New Roman" w:cs="Times New Roman"/>
      <w:sz w:val="24"/>
      <w:szCs w:val="20"/>
    </w:rPr>
  </w:style>
  <w:style w:type="paragraph" w:customStyle="1" w:styleId="WW-BodyTextIndent3">
    <w:name w:val="WW-Body Text Indent 3"/>
    <w:basedOn w:val="Normal"/>
    <w:rsid w:val="00950010"/>
    <w:pPr>
      <w:suppressAutoHyphens/>
      <w:spacing w:line="480" w:lineRule="atLeast"/>
      <w:ind w:firstLine="720"/>
    </w:pPr>
    <w:rPr>
      <w:rFonts w:eastAsia="Times New Roman" w:cs="Times New Roman"/>
      <w:szCs w:val="20"/>
      <w:lang w:eastAsia="ar-SA"/>
    </w:rPr>
  </w:style>
  <w:style w:type="paragraph" w:styleId="BodyText">
    <w:name w:val="Body Text"/>
    <w:basedOn w:val="Normal"/>
    <w:link w:val="BodyTextChar"/>
    <w:uiPriority w:val="99"/>
    <w:semiHidden/>
    <w:unhideWhenUsed/>
    <w:rsid w:val="00950010"/>
    <w:pPr>
      <w:spacing w:after="120"/>
    </w:pPr>
  </w:style>
  <w:style w:type="character" w:customStyle="1" w:styleId="BodyTextChar">
    <w:name w:val="Body Text Char"/>
    <w:basedOn w:val="DefaultParagraphFont"/>
    <w:link w:val="BodyText"/>
    <w:uiPriority w:val="99"/>
    <w:semiHidden/>
    <w:rsid w:val="00950010"/>
    <w:rPr>
      <w:rFonts w:ascii="Times New Roman" w:hAnsi="Times New Roman"/>
      <w:sz w:val="24"/>
    </w:rPr>
  </w:style>
  <w:style w:type="paragraph" w:styleId="CommentText">
    <w:name w:val="annotation text"/>
    <w:basedOn w:val="Normal"/>
    <w:link w:val="CommentTextChar"/>
    <w:semiHidden/>
    <w:rsid w:val="00950010"/>
    <w:rPr>
      <w:rFonts w:eastAsia="Times New Roman" w:cs="Times New Roman"/>
      <w:szCs w:val="24"/>
    </w:rPr>
  </w:style>
  <w:style w:type="character" w:customStyle="1" w:styleId="CommentTextChar">
    <w:name w:val="Comment Text Char"/>
    <w:basedOn w:val="DefaultParagraphFont"/>
    <w:link w:val="CommentText"/>
    <w:semiHidden/>
    <w:rsid w:val="0095001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950010"/>
    <w:rPr>
      <w:szCs w:val="20"/>
    </w:rPr>
  </w:style>
  <w:style w:type="character" w:customStyle="1" w:styleId="CommentSubjectChar">
    <w:name w:val="Comment Subject Char"/>
    <w:basedOn w:val="CommentTextChar"/>
    <w:link w:val="CommentSubject"/>
    <w:semiHidden/>
    <w:rsid w:val="00950010"/>
    <w:rPr>
      <w:rFonts w:ascii="Times New Roman" w:eastAsia="Times New Roman" w:hAnsi="Times New Roman" w:cs="Times New Roman"/>
      <w:sz w:val="24"/>
      <w:szCs w:val="20"/>
    </w:rPr>
  </w:style>
  <w:style w:type="paragraph" w:styleId="NormalWeb">
    <w:name w:val="Normal (Web)"/>
    <w:basedOn w:val="Normal"/>
    <w:uiPriority w:val="99"/>
    <w:unhideWhenUsed/>
    <w:rsid w:val="00E9062F"/>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0E034A"/>
    <w:rPr>
      <w:sz w:val="16"/>
      <w:szCs w:val="16"/>
    </w:rPr>
  </w:style>
  <w:style w:type="paragraph" w:styleId="BalloonText">
    <w:name w:val="Balloon Text"/>
    <w:basedOn w:val="Normal"/>
    <w:link w:val="BalloonTextChar"/>
    <w:uiPriority w:val="99"/>
    <w:semiHidden/>
    <w:unhideWhenUsed/>
    <w:rsid w:val="000E034A"/>
    <w:rPr>
      <w:rFonts w:ascii="Tahoma" w:hAnsi="Tahoma" w:cs="Tahoma"/>
      <w:sz w:val="16"/>
      <w:szCs w:val="16"/>
    </w:rPr>
  </w:style>
  <w:style w:type="character" w:customStyle="1" w:styleId="BalloonTextChar">
    <w:name w:val="Balloon Text Char"/>
    <w:basedOn w:val="DefaultParagraphFont"/>
    <w:link w:val="BalloonText"/>
    <w:uiPriority w:val="99"/>
    <w:semiHidden/>
    <w:rsid w:val="000E034A"/>
    <w:rPr>
      <w:rFonts w:ascii="Tahoma" w:hAnsi="Tahoma" w:cs="Tahoma"/>
      <w:sz w:val="16"/>
      <w:szCs w:val="16"/>
    </w:rPr>
  </w:style>
  <w:style w:type="table" w:styleId="TableGrid">
    <w:name w:val="Table Grid"/>
    <w:basedOn w:val="TableNormal"/>
    <w:uiPriority w:val="59"/>
    <w:rsid w:val="00ED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617907"/>
    <w:pPr>
      <w:spacing w:after="240"/>
      <w:ind w:left="720" w:hanging="72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5491">
      <w:bodyDiv w:val="1"/>
      <w:marLeft w:val="0"/>
      <w:marRight w:val="0"/>
      <w:marTop w:val="0"/>
      <w:marBottom w:val="0"/>
      <w:divBdr>
        <w:top w:val="none" w:sz="0" w:space="0" w:color="auto"/>
        <w:left w:val="none" w:sz="0" w:space="0" w:color="auto"/>
        <w:bottom w:val="none" w:sz="0" w:space="0" w:color="auto"/>
        <w:right w:val="none" w:sz="0" w:space="0" w:color="auto"/>
      </w:divBdr>
    </w:div>
    <w:div w:id="19510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William.wright@puc.state.oh.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terry.etter@occ.ohio.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ay.Agranoff@puc.state.oh.us" TargetMode="External"/><Relationship Id="rId5" Type="http://schemas.openxmlformats.org/officeDocument/2006/relationships/webSettings" Target="webSettings.xml"/><Relationship Id="rId15" Type="http://schemas.openxmlformats.org/officeDocument/2006/relationships/hyperlink" Target="mailto:terry.etter@occ.ohio.gov" TargetMode="External"/><Relationship Id="rId23" Type="http://schemas.openxmlformats.org/officeDocument/2006/relationships/hyperlink" Target="mailto:jk2961@att.com"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fdarr@mwncmh.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2968</Words>
  <Characters>15987</Characters>
  <Application>Microsoft Office Word</Application>
  <DocSecurity>0</DocSecurity>
  <Lines>398</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2014-02-21T22:11:00Z</dcterms:created>
  <dcterms:modified xsi:type="dcterms:W3CDTF">2014-02-21T22:11:00Z</dcterms:modified>
  <cp:category> </cp:category>
  <cp:contentStatus> </cp:contentStatus>
</cp:coreProperties>
</file>