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o:title="5%" type="pattern"/>
    </v:background>
  </w:background>
  <w:body>
    <w:p w:rsidR="00012829" w:rsidRPr="002B1EEC" w:rsidRDefault="007D36FD" w:rsidP="00A63CE4">
      <w:pPr>
        <w:tabs>
          <w:tab w:val="left" w:pos="5760"/>
        </w:tabs>
        <w:rPr>
          <w:b/>
        </w:rPr>
      </w:pPr>
      <w:bookmarkStart w:id="0" w:name="_GoBack"/>
      <w:bookmarkEnd w:id="0"/>
      <w:r>
        <w:tab/>
      </w:r>
      <w:r w:rsidRPr="002B1EEC">
        <w:rPr>
          <w:b/>
          <w:i/>
        </w:rPr>
        <w:t>OCC EXHIBIT</w:t>
      </w:r>
      <w:r w:rsidRPr="002B1EEC">
        <w:rPr>
          <w:b/>
        </w:rPr>
        <w:t xml:space="preserve"> _______</w:t>
      </w:r>
    </w:p>
    <w:p w:rsidR="00012829" w:rsidRDefault="00012829" w:rsidP="002A159E"/>
    <w:p w:rsidR="00012829" w:rsidRDefault="00012829" w:rsidP="002A159E"/>
    <w:p w:rsidR="00012829" w:rsidRDefault="00012829" w:rsidP="002A159E"/>
    <w:p w:rsidR="00012829" w:rsidRPr="002B1EEC" w:rsidRDefault="007D36FD" w:rsidP="002A159E">
      <w:pPr>
        <w:jc w:val="center"/>
        <w:rPr>
          <w:b/>
          <w:szCs w:val="24"/>
        </w:rPr>
      </w:pPr>
      <w:bookmarkStart w:id="1" w:name="_Toc517170611"/>
      <w:r w:rsidRPr="002B1EEC">
        <w:rPr>
          <w:b/>
          <w:szCs w:val="24"/>
        </w:rPr>
        <w:t>BEFORE</w:t>
      </w:r>
    </w:p>
    <w:p w:rsidR="00012829" w:rsidRPr="002B1EEC" w:rsidRDefault="007D36FD" w:rsidP="002A159E">
      <w:pPr>
        <w:jc w:val="center"/>
        <w:rPr>
          <w:b/>
          <w:szCs w:val="24"/>
        </w:rPr>
      </w:pPr>
      <w:r w:rsidRPr="002B1EEC">
        <w:rPr>
          <w:b/>
          <w:szCs w:val="24"/>
        </w:rPr>
        <w:t>THE PUBLIC UTILITIES COMMISSION OF OHIO</w:t>
      </w:r>
    </w:p>
    <w:p w:rsidR="00012829" w:rsidRDefault="00012829" w:rsidP="002A159E">
      <w:pPr>
        <w:rPr>
          <w:szCs w:val="24"/>
        </w:rPr>
      </w:pPr>
    </w:p>
    <w:tbl>
      <w:tblPr>
        <w:tblW w:w="9278" w:type="dxa"/>
        <w:jc w:val="center"/>
        <w:tblLook w:val="01E0" w:firstRow="1" w:lastRow="1" w:firstColumn="1" w:lastColumn="1" w:noHBand="0" w:noVBand="0"/>
      </w:tblPr>
      <w:tblGrid>
        <w:gridCol w:w="4518"/>
        <w:gridCol w:w="360"/>
        <w:gridCol w:w="4400"/>
      </w:tblGrid>
      <w:tr w:rsidR="00012829" w:rsidTr="00770CA9">
        <w:trPr>
          <w:trHeight w:val="807"/>
          <w:jc w:val="center"/>
        </w:trPr>
        <w:tc>
          <w:tcPr>
            <w:tcW w:w="4518" w:type="dxa"/>
          </w:tcPr>
          <w:p w:rsidR="00012829" w:rsidRPr="00F33FAB" w:rsidRDefault="007D36FD" w:rsidP="002A159E">
            <w:pPr>
              <w:rPr>
                <w:szCs w:val="24"/>
                <w:lang w:bidi="he-IL"/>
              </w:rPr>
            </w:pPr>
            <w:r w:rsidRPr="00F33FAB">
              <w:rPr>
                <w:szCs w:val="24"/>
                <w:lang w:bidi="he-IL"/>
              </w:rPr>
              <w:t>In the Matter of the Application of</w:t>
            </w:r>
          </w:p>
          <w:p w:rsidR="00012829" w:rsidRDefault="007F20D9" w:rsidP="007F20D9">
            <w:r w:rsidRPr="00F33FAB">
              <w:rPr>
                <w:szCs w:val="24"/>
                <w:lang w:bidi="he-IL"/>
              </w:rPr>
              <w:t>The Dayton Power and Light Company for Authority to Recover Certain Storm-Related Service Restoration Costs.</w:t>
            </w:r>
          </w:p>
        </w:tc>
        <w:tc>
          <w:tcPr>
            <w:tcW w:w="360" w:type="dxa"/>
          </w:tcPr>
          <w:p w:rsidR="00012829" w:rsidRDefault="007D36FD" w:rsidP="002A159E">
            <w:r>
              <w:t>)</w:t>
            </w:r>
          </w:p>
          <w:p w:rsidR="00012829" w:rsidRDefault="007D36FD" w:rsidP="002A159E">
            <w:r>
              <w:t>)</w:t>
            </w:r>
          </w:p>
          <w:p w:rsidR="00012829" w:rsidRDefault="007D36FD" w:rsidP="002A159E">
            <w:r>
              <w:t>)</w:t>
            </w:r>
          </w:p>
          <w:p w:rsidR="00012829" w:rsidRDefault="007D36FD" w:rsidP="002A159E">
            <w:r>
              <w:t>)</w:t>
            </w:r>
          </w:p>
          <w:p w:rsidR="00012829" w:rsidRDefault="00012829" w:rsidP="002A159E"/>
        </w:tc>
        <w:tc>
          <w:tcPr>
            <w:tcW w:w="4400" w:type="dxa"/>
          </w:tcPr>
          <w:p w:rsidR="00012829" w:rsidRDefault="00012829" w:rsidP="002A159E"/>
          <w:p w:rsidR="00012829" w:rsidRDefault="007D36FD" w:rsidP="007F20D9">
            <w:r>
              <w:t>Case No. 1</w:t>
            </w:r>
            <w:r w:rsidR="007F20D9">
              <w:t>2</w:t>
            </w:r>
            <w:r>
              <w:t>-</w:t>
            </w:r>
            <w:r w:rsidR="007F20D9">
              <w:t>3062</w:t>
            </w:r>
            <w:r>
              <w:t>-EL-</w:t>
            </w:r>
            <w:r w:rsidR="007F20D9">
              <w:t>RDR</w:t>
            </w:r>
          </w:p>
        </w:tc>
      </w:tr>
      <w:tr w:rsidR="00012829" w:rsidTr="00770CA9">
        <w:trPr>
          <w:jc w:val="center"/>
        </w:trPr>
        <w:tc>
          <w:tcPr>
            <w:tcW w:w="4518" w:type="dxa"/>
          </w:tcPr>
          <w:p w:rsidR="00012829" w:rsidRPr="00F33FAB" w:rsidRDefault="007D36FD" w:rsidP="002A159E">
            <w:pPr>
              <w:rPr>
                <w:szCs w:val="24"/>
                <w:lang w:bidi="he-IL"/>
              </w:rPr>
            </w:pPr>
            <w:r w:rsidRPr="00F33FAB">
              <w:rPr>
                <w:szCs w:val="24"/>
                <w:lang w:bidi="he-IL"/>
              </w:rPr>
              <w:t>In the Matter of the Application of</w:t>
            </w:r>
          </w:p>
          <w:p w:rsidR="00012829" w:rsidRDefault="007F20D9" w:rsidP="002A159E">
            <w:pPr>
              <w:rPr>
                <w:szCs w:val="24"/>
              </w:rPr>
            </w:pPr>
            <w:r w:rsidRPr="00F33FAB">
              <w:rPr>
                <w:szCs w:val="24"/>
                <w:lang w:bidi="he-IL"/>
              </w:rPr>
              <w:t>The Dayton Power and Light Company for Approval of Certain Accounting Authority</w:t>
            </w:r>
            <w:r w:rsidR="007D36FD" w:rsidRPr="00F33FAB">
              <w:rPr>
                <w:szCs w:val="24"/>
                <w:lang w:bidi="he-IL"/>
              </w:rPr>
              <w:t>.</w:t>
            </w:r>
            <w:r w:rsidR="007D36FD">
              <w:rPr>
                <w:szCs w:val="24"/>
              </w:rPr>
              <w:t xml:space="preserve">  </w:t>
            </w:r>
          </w:p>
        </w:tc>
        <w:tc>
          <w:tcPr>
            <w:tcW w:w="360" w:type="dxa"/>
          </w:tcPr>
          <w:p w:rsidR="00012829" w:rsidRDefault="007D36FD" w:rsidP="002A159E">
            <w:r>
              <w:t>)</w:t>
            </w:r>
          </w:p>
          <w:p w:rsidR="00012829" w:rsidRDefault="007D36FD" w:rsidP="002A159E">
            <w:r>
              <w:t>)</w:t>
            </w:r>
          </w:p>
          <w:p w:rsidR="007F20D9" w:rsidRDefault="007F20D9" w:rsidP="00BA518F">
            <w:r>
              <w:t>)</w:t>
            </w:r>
          </w:p>
          <w:p w:rsidR="00BA518F" w:rsidRDefault="00BA518F" w:rsidP="00BA518F"/>
        </w:tc>
        <w:tc>
          <w:tcPr>
            <w:tcW w:w="4400" w:type="dxa"/>
          </w:tcPr>
          <w:p w:rsidR="00012829" w:rsidRDefault="00012829" w:rsidP="002A159E"/>
          <w:p w:rsidR="00012829" w:rsidRDefault="007D36FD" w:rsidP="007F20D9">
            <w:r>
              <w:t>Case No. 1</w:t>
            </w:r>
            <w:r w:rsidR="007F20D9">
              <w:t>2</w:t>
            </w:r>
            <w:r>
              <w:t>-</w:t>
            </w:r>
            <w:r w:rsidR="007F20D9">
              <w:t>326</w:t>
            </w:r>
            <w:r>
              <w:t>6-EL-AAM</w:t>
            </w:r>
          </w:p>
        </w:tc>
      </w:tr>
    </w:tbl>
    <w:p w:rsidR="00012829" w:rsidRDefault="00012829" w:rsidP="002A159E">
      <w:pPr>
        <w:rPr>
          <w:szCs w:val="24"/>
        </w:rPr>
      </w:pPr>
    </w:p>
    <w:p w:rsidR="00012829" w:rsidRDefault="00012829" w:rsidP="002A159E">
      <w:pPr>
        <w:rPr>
          <w:szCs w:val="24"/>
        </w:rPr>
      </w:pPr>
    </w:p>
    <w:p w:rsidR="00012829" w:rsidRDefault="00012829" w:rsidP="002A159E">
      <w:pPr>
        <w:rPr>
          <w:szCs w:val="24"/>
        </w:rPr>
      </w:pPr>
    </w:p>
    <w:p w:rsidR="00012829" w:rsidRDefault="00012829" w:rsidP="002A159E">
      <w:pPr>
        <w:rPr>
          <w:szCs w:val="24"/>
        </w:rPr>
      </w:pPr>
    </w:p>
    <w:p w:rsidR="00091200" w:rsidRDefault="00091200" w:rsidP="00091200">
      <w:pPr>
        <w:pStyle w:val="BodyText"/>
        <w:jc w:val="center"/>
        <w:rPr>
          <w:b/>
        </w:rPr>
      </w:pPr>
      <w:r>
        <w:rPr>
          <w:b/>
        </w:rPr>
        <w:t>TESTIMONY</w:t>
      </w:r>
    </w:p>
    <w:p w:rsidR="00091200" w:rsidRDefault="00091200" w:rsidP="00091200">
      <w:pPr>
        <w:pStyle w:val="BodyText"/>
        <w:jc w:val="center"/>
        <w:rPr>
          <w:b/>
          <w:bCs/>
        </w:rPr>
      </w:pPr>
      <w:r>
        <w:rPr>
          <w:b/>
          <w:bCs/>
        </w:rPr>
        <w:t>OF</w:t>
      </w:r>
    </w:p>
    <w:p w:rsidR="00012829" w:rsidRDefault="007D36FD" w:rsidP="002A159E">
      <w:pPr>
        <w:jc w:val="center"/>
        <w:rPr>
          <w:b/>
          <w:szCs w:val="24"/>
        </w:rPr>
      </w:pPr>
      <w:r w:rsidRPr="002B1EEC">
        <w:rPr>
          <w:b/>
          <w:szCs w:val="24"/>
        </w:rPr>
        <w:t>DAVID J. EFFRON</w:t>
      </w:r>
    </w:p>
    <w:p w:rsidR="00091200" w:rsidRDefault="00091200" w:rsidP="00091200">
      <w:pPr>
        <w:pStyle w:val="List2"/>
        <w:ind w:left="540" w:hanging="540"/>
        <w:jc w:val="center"/>
      </w:pPr>
      <w:r>
        <w:rPr>
          <w:b/>
        </w:rPr>
        <w:t>IN OPPOSITION TO THE STIPULATION AND RECOMMENDATION</w:t>
      </w:r>
    </w:p>
    <w:p w:rsidR="00012829" w:rsidRPr="002B1EEC" w:rsidRDefault="00012829" w:rsidP="002A159E">
      <w:pPr>
        <w:jc w:val="center"/>
        <w:rPr>
          <w:b/>
          <w:szCs w:val="24"/>
        </w:rPr>
      </w:pPr>
    </w:p>
    <w:p w:rsidR="00012829" w:rsidRPr="002B1EEC" w:rsidRDefault="00012829" w:rsidP="002A159E">
      <w:pPr>
        <w:jc w:val="center"/>
        <w:rPr>
          <w:b/>
          <w:szCs w:val="24"/>
        </w:rPr>
      </w:pPr>
    </w:p>
    <w:p w:rsidR="00012829" w:rsidRPr="002B1EEC" w:rsidRDefault="00012829" w:rsidP="002A159E">
      <w:pPr>
        <w:jc w:val="center"/>
        <w:rPr>
          <w:b/>
          <w:szCs w:val="24"/>
        </w:rPr>
      </w:pPr>
    </w:p>
    <w:p w:rsidR="00012829" w:rsidRPr="002B1EEC" w:rsidRDefault="007D36FD" w:rsidP="002A159E">
      <w:pPr>
        <w:jc w:val="center"/>
        <w:rPr>
          <w:b/>
          <w:szCs w:val="24"/>
        </w:rPr>
      </w:pPr>
      <w:r w:rsidRPr="002B1EEC">
        <w:rPr>
          <w:b/>
          <w:szCs w:val="24"/>
        </w:rPr>
        <w:t>On Behalf of the</w:t>
      </w:r>
    </w:p>
    <w:p w:rsidR="00012829" w:rsidRPr="002B1EEC" w:rsidRDefault="00A342E9" w:rsidP="002A159E">
      <w:pPr>
        <w:jc w:val="center"/>
        <w:rPr>
          <w:b/>
        </w:rPr>
      </w:pPr>
      <w:r w:rsidRPr="002B1EEC">
        <w:rPr>
          <w:b/>
        </w:rPr>
        <w:t xml:space="preserve">Office </w:t>
      </w:r>
      <w:r w:rsidR="0020484F">
        <w:rPr>
          <w:b/>
        </w:rPr>
        <w:t>o</w:t>
      </w:r>
      <w:r w:rsidRPr="002B1EEC">
        <w:rPr>
          <w:b/>
        </w:rPr>
        <w:t xml:space="preserve">f </w:t>
      </w:r>
      <w:r w:rsidR="0020484F">
        <w:rPr>
          <w:b/>
        </w:rPr>
        <w:t>t</w:t>
      </w:r>
      <w:r w:rsidRPr="002B1EEC">
        <w:rPr>
          <w:b/>
        </w:rPr>
        <w:t>he Ohio Consumers' Counsel</w:t>
      </w:r>
    </w:p>
    <w:p w:rsidR="00012829" w:rsidRPr="00A342E9" w:rsidRDefault="007D36FD" w:rsidP="002A159E">
      <w:pPr>
        <w:jc w:val="center"/>
        <w:rPr>
          <w:i/>
        </w:rPr>
      </w:pPr>
      <w:r w:rsidRPr="00A342E9">
        <w:rPr>
          <w:i/>
        </w:rPr>
        <w:t>10 West Broad St., Suite 1800</w:t>
      </w:r>
    </w:p>
    <w:p w:rsidR="00012829" w:rsidRPr="00A342E9" w:rsidRDefault="007D36FD" w:rsidP="002A159E">
      <w:pPr>
        <w:jc w:val="center"/>
        <w:rPr>
          <w:i/>
          <w:szCs w:val="24"/>
        </w:rPr>
      </w:pPr>
      <w:r w:rsidRPr="00A342E9">
        <w:rPr>
          <w:i/>
          <w:szCs w:val="24"/>
        </w:rPr>
        <w:t>Columbus, OH  43215</w:t>
      </w:r>
    </w:p>
    <w:p w:rsidR="00012829" w:rsidRPr="002B1EEC" w:rsidRDefault="00012829" w:rsidP="002A159E">
      <w:pPr>
        <w:jc w:val="center"/>
        <w:rPr>
          <w:b/>
          <w:szCs w:val="24"/>
        </w:rPr>
      </w:pPr>
    </w:p>
    <w:p w:rsidR="00012829" w:rsidRPr="002B1EEC" w:rsidRDefault="00012829" w:rsidP="002A159E">
      <w:pPr>
        <w:jc w:val="center"/>
        <w:rPr>
          <w:b/>
          <w:szCs w:val="24"/>
        </w:rPr>
      </w:pPr>
    </w:p>
    <w:p w:rsidR="00012829" w:rsidRPr="002B1EEC" w:rsidRDefault="00012829" w:rsidP="002A159E">
      <w:pPr>
        <w:jc w:val="center"/>
        <w:rPr>
          <w:b/>
          <w:szCs w:val="24"/>
        </w:rPr>
      </w:pPr>
    </w:p>
    <w:p w:rsidR="008A3E10" w:rsidRPr="00091200" w:rsidRDefault="007D36FD" w:rsidP="005241F5">
      <w:pPr>
        <w:jc w:val="center"/>
        <w:rPr>
          <w:b/>
          <w:i/>
          <w:iCs/>
          <w:szCs w:val="24"/>
        </w:rPr>
        <w:sectPr w:rsidR="008A3E10" w:rsidRPr="00091200">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titlePg/>
        </w:sectPr>
      </w:pPr>
      <w:r w:rsidRPr="00091200">
        <w:rPr>
          <w:b/>
          <w:i/>
          <w:iCs/>
          <w:szCs w:val="24"/>
        </w:rPr>
        <w:t xml:space="preserve">MAY </w:t>
      </w:r>
      <w:r w:rsidR="007F20D9" w:rsidRPr="00091200">
        <w:rPr>
          <w:b/>
          <w:i/>
          <w:iCs/>
          <w:szCs w:val="24"/>
        </w:rPr>
        <w:t>2</w:t>
      </w:r>
      <w:r w:rsidR="005241F5" w:rsidRPr="00091200">
        <w:rPr>
          <w:b/>
          <w:i/>
          <w:iCs/>
          <w:szCs w:val="24"/>
        </w:rPr>
        <w:t>7</w:t>
      </w:r>
      <w:r w:rsidRPr="00091200">
        <w:rPr>
          <w:b/>
          <w:i/>
          <w:iCs/>
          <w:szCs w:val="24"/>
        </w:rPr>
        <w:t>, 2014</w:t>
      </w:r>
    </w:p>
    <w:bookmarkEnd w:id="1"/>
    <w:p w:rsidR="00012829" w:rsidRDefault="007D36FD" w:rsidP="008A3E10">
      <w:pPr>
        <w:ind w:right="-86"/>
        <w:jc w:val="center"/>
      </w:pPr>
      <w:r>
        <w:rPr>
          <w:b/>
        </w:rPr>
        <w:lastRenderedPageBreak/>
        <w:t>TABLE OF CONTENTS</w:t>
      </w:r>
    </w:p>
    <w:p w:rsidR="00012829" w:rsidRDefault="00012829">
      <w:pPr>
        <w:ind w:right="-90"/>
      </w:pPr>
    </w:p>
    <w:p w:rsidR="00012829" w:rsidRDefault="007D36FD">
      <w:pPr>
        <w:ind w:right="-90"/>
        <w:jc w:val="right"/>
        <w:rPr>
          <w:b/>
          <w:u w:val="single"/>
        </w:rPr>
      </w:pPr>
      <w:r>
        <w:tab/>
      </w:r>
      <w:r>
        <w:rPr>
          <w:b/>
          <w:u w:val="single"/>
        </w:rPr>
        <w:t>Page</w:t>
      </w:r>
    </w:p>
    <w:p w:rsidR="00012829" w:rsidRDefault="00012829">
      <w:pPr>
        <w:ind w:right="-90"/>
        <w:jc w:val="right"/>
        <w:rPr>
          <w:b/>
        </w:rPr>
      </w:pPr>
    </w:p>
    <w:p w:rsidR="0039697A" w:rsidRDefault="005638B4">
      <w:pPr>
        <w:pStyle w:val="TOC1"/>
        <w:rPr>
          <w:rFonts w:asciiTheme="minorHAnsi" w:eastAsiaTheme="minorEastAsia" w:hAnsiTheme="minorHAnsi" w:cstheme="minorBidi"/>
          <w:caps w:val="0"/>
          <w:noProof/>
          <w:sz w:val="22"/>
          <w:szCs w:val="22"/>
          <w:lang w:bidi="he-IL"/>
        </w:rPr>
      </w:pPr>
      <w:r>
        <w:rPr>
          <w:noProof/>
        </w:rPr>
        <w:fldChar w:fldCharType="begin"/>
      </w:r>
      <w:r w:rsidR="005B5296">
        <w:rPr>
          <w:noProof/>
        </w:rPr>
        <w:instrText xml:space="preserve"> TOC \o "1-3" \h \z \u </w:instrText>
      </w:r>
      <w:r>
        <w:rPr>
          <w:noProof/>
        </w:rPr>
        <w:fldChar w:fldCharType="separate"/>
      </w:r>
      <w:hyperlink w:anchor="_Toc388960489" w:history="1">
        <w:r w:rsidR="0039697A" w:rsidRPr="00E242A9">
          <w:rPr>
            <w:rStyle w:val="Hyperlink"/>
            <w:noProof/>
          </w:rPr>
          <w:t>I.</w:t>
        </w:r>
        <w:r w:rsidR="0039697A">
          <w:rPr>
            <w:rFonts w:asciiTheme="minorHAnsi" w:eastAsiaTheme="minorEastAsia" w:hAnsiTheme="minorHAnsi" w:cstheme="minorBidi"/>
            <w:caps w:val="0"/>
            <w:noProof/>
            <w:sz w:val="22"/>
            <w:szCs w:val="22"/>
            <w:lang w:bidi="he-IL"/>
          </w:rPr>
          <w:tab/>
        </w:r>
        <w:r w:rsidR="0039697A" w:rsidRPr="00E242A9">
          <w:rPr>
            <w:rStyle w:val="Hyperlink"/>
            <w:noProof/>
          </w:rPr>
          <w:t>INTRODUCTION</w:t>
        </w:r>
        <w:r w:rsidR="0039697A">
          <w:rPr>
            <w:noProof/>
            <w:webHidden/>
          </w:rPr>
          <w:tab/>
        </w:r>
        <w:r w:rsidR="0039697A">
          <w:rPr>
            <w:noProof/>
            <w:webHidden/>
          </w:rPr>
          <w:fldChar w:fldCharType="begin"/>
        </w:r>
        <w:r w:rsidR="0039697A">
          <w:rPr>
            <w:noProof/>
            <w:webHidden/>
          </w:rPr>
          <w:instrText xml:space="preserve"> PAGEREF _Toc388960489 \h </w:instrText>
        </w:r>
        <w:r w:rsidR="0039697A">
          <w:rPr>
            <w:noProof/>
            <w:webHidden/>
          </w:rPr>
        </w:r>
        <w:r w:rsidR="0039697A">
          <w:rPr>
            <w:noProof/>
            <w:webHidden/>
          </w:rPr>
          <w:fldChar w:fldCharType="separate"/>
        </w:r>
        <w:r w:rsidR="00707C43">
          <w:rPr>
            <w:noProof/>
            <w:webHidden/>
          </w:rPr>
          <w:t>1</w:t>
        </w:r>
        <w:r w:rsidR="0039697A">
          <w:rPr>
            <w:noProof/>
            <w:webHidden/>
          </w:rPr>
          <w:fldChar w:fldCharType="end"/>
        </w:r>
      </w:hyperlink>
    </w:p>
    <w:p w:rsidR="0039697A" w:rsidRDefault="005B07E2">
      <w:pPr>
        <w:pStyle w:val="TOC1"/>
        <w:rPr>
          <w:rFonts w:asciiTheme="minorHAnsi" w:eastAsiaTheme="minorEastAsia" w:hAnsiTheme="minorHAnsi" w:cstheme="minorBidi"/>
          <w:caps w:val="0"/>
          <w:noProof/>
          <w:sz w:val="22"/>
          <w:szCs w:val="22"/>
          <w:lang w:bidi="he-IL"/>
        </w:rPr>
      </w:pPr>
      <w:hyperlink w:anchor="_Toc388960490" w:history="1">
        <w:r w:rsidR="0039697A" w:rsidRPr="00E242A9">
          <w:rPr>
            <w:rStyle w:val="Hyperlink"/>
            <w:noProof/>
          </w:rPr>
          <w:t>II.</w:t>
        </w:r>
        <w:r w:rsidR="0039697A">
          <w:rPr>
            <w:rFonts w:asciiTheme="minorHAnsi" w:eastAsiaTheme="minorEastAsia" w:hAnsiTheme="minorHAnsi" w:cstheme="minorBidi"/>
            <w:caps w:val="0"/>
            <w:noProof/>
            <w:sz w:val="22"/>
            <w:szCs w:val="22"/>
            <w:lang w:bidi="he-IL"/>
          </w:rPr>
          <w:tab/>
        </w:r>
        <w:r w:rsidR="0039697A" w:rsidRPr="00E242A9">
          <w:rPr>
            <w:rStyle w:val="Hyperlink"/>
            <w:noProof/>
          </w:rPr>
          <w:t>PURPOSE OF TESTIMONY</w:t>
        </w:r>
        <w:r w:rsidR="0039697A">
          <w:rPr>
            <w:noProof/>
            <w:webHidden/>
          </w:rPr>
          <w:tab/>
        </w:r>
        <w:r w:rsidR="0039697A">
          <w:rPr>
            <w:noProof/>
            <w:webHidden/>
          </w:rPr>
          <w:fldChar w:fldCharType="begin"/>
        </w:r>
        <w:r w:rsidR="0039697A">
          <w:rPr>
            <w:noProof/>
            <w:webHidden/>
          </w:rPr>
          <w:instrText xml:space="preserve"> PAGEREF _Toc388960490 \h </w:instrText>
        </w:r>
        <w:r w:rsidR="0039697A">
          <w:rPr>
            <w:noProof/>
            <w:webHidden/>
          </w:rPr>
        </w:r>
        <w:r w:rsidR="0039697A">
          <w:rPr>
            <w:noProof/>
            <w:webHidden/>
          </w:rPr>
          <w:fldChar w:fldCharType="separate"/>
        </w:r>
        <w:r w:rsidR="00707C43">
          <w:rPr>
            <w:noProof/>
            <w:webHidden/>
          </w:rPr>
          <w:t>3</w:t>
        </w:r>
        <w:r w:rsidR="0039697A">
          <w:rPr>
            <w:noProof/>
            <w:webHidden/>
          </w:rPr>
          <w:fldChar w:fldCharType="end"/>
        </w:r>
      </w:hyperlink>
    </w:p>
    <w:p w:rsidR="0039697A" w:rsidRDefault="005B07E2">
      <w:pPr>
        <w:pStyle w:val="TOC1"/>
        <w:rPr>
          <w:rFonts w:asciiTheme="minorHAnsi" w:eastAsiaTheme="minorEastAsia" w:hAnsiTheme="minorHAnsi" w:cstheme="minorBidi"/>
          <w:caps w:val="0"/>
          <w:noProof/>
          <w:sz w:val="22"/>
          <w:szCs w:val="22"/>
          <w:lang w:bidi="he-IL"/>
        </w:rPr>
      </w:pPr>
      <w:hyperlink w:anchor="_Toc388960491" w:history="1">
        <w:r w:rsidR="0039697A" w:rsidRPr="00E242A9">
          <w:rPr>
            <w:rStyle w:val="Hyperlink"/>
            <w:noProof/>
          </w:rPr>
          <w:t>III.</w:t>
        </w:r>
        <w:r w:rsidR="0039697A">
          <w:rPr>
            <w:rFonts w:asciiTheme="minorHAnsi" w:eastAsiaTheme="minorEastAsia" w:hAnsiTheme="minorHAnsi" w:cstheme="minorBidi"/>
            <w:caps w:val="0"/>
            <w:noProof/>
            <w:sz w:val="22"/>
            <w:szCs w:val="22"/>
            <w:lang w:bidi="he-IL"/>
          </w:rPr>
          <w:tab/>
        </w:r>
        <w:r w:rsidR="0039697A" w:rsidRPr="00E242A9">
          <w:rPr>
            <w:rStyle w:val="Hyperlink"/>
            <w:noProof/>
          </w:rPr>
          <w:t>2011 Storm EXPENSES</w:t>
        </w:r>
        <w:r w:rsidR="0039697A">
          <w:rPr>
            <w:noProof/>
            <w:webHidden/>
          </w:rPr>
          <w:tab/>
        </w:r>
        <w:r w:rsidR="0039697A">
          <w:rPr>
            <w:noProof/>
            <w:webHidden/>
          </w:rPr>
          <w:fldChar w:fldCharType="begin"/>
        </w:r>
        <w:r w:rsidR="0039697A">
          <w:rPr>
            <w:noProof/>
            <w:webHidden/>
          </w:rPr>
          <w:instrText xml:space="preserve"> PAGEREF _Toc388960491 \h </w:instrText>
        </w:r>
        <w:r w:rsidR="0039697A">
          <w:rPr>
            <w:noProof/>
            <w:webHidden/>
          </w:rPr>
        </w:r>
        <w:r w:rsidR="0039697A">
          <w:rPr>
            <w:noProof/>
            <w:webHidden/>
          </w:rPr>
          <w:fldChar w:fldCharType="separate"/>
        </w:r>
        <w:r w:rsidR="00707C43">
          <w:rPr>
            <w:noProof/>
            <w:webHidden/>
          </w:rPr>
          <w:t>4</w:t>
        </w:r>
        <w:r w:rsidR="0039697A">
          <w:rPr>
            <w:noProof/>
            <w:webHidden/>
          </w:rPr>
          <w:fldChar w:fldCharType="end"/>
        </w:r>
      </w:hyperlink>
    </w:p>
    <w:p w:rsidR="0039697A" w:rsidRDefault="005B07E2">
      <w:pPr>
        <w:pStyle w:val="TOC1"/>
        <w:rPr>
          <w:rFonts w:asciiTheme="minorHAnsi" w:eastAsiaTheme="minorEastAsia" w:hAnsiTheme="minorHAnsi" w:cstheme="minorBidi"/>
          <w:caps w:val="0"/>
          <w:noProof/>
          <w:sz w:val="22"/>
          <w:szCs w:val="22"/>
          <w:lang w:bidi="he-IL"/>
        </w:rPr>
      </w:pPr>
      <w:hyperlink w:anchor="_Toc388960492" w:history="1">
        <w:r w:rsidR="0039697A" w:rsidRPr="00E242A9">
          <w:rPr>
            <w:rStyle w:val="Hyperlink"/>
            <w:noProof/>
          </w:rPr>
          <w:t>IV.</w:t>
        </w:r>
        <w:r w:rsidR="0039697A">
          <w:rPr>
            <w:rFonts w:asciiTheme="minorHAnsi" w:eastAsiaTheme="minorEastAsia" w:hAnsiTheme="minorHAnsi" w:cstheme="minorBidi"/>
            <w:caps w:val="0"/>
            <w:noProof/>
            <w:sz w:val="22"/>
            <w:szCs w:val="22"/>
            <w:lang w:bidi="he-IL"/>
          </w:rPr>
          <w:tab/>
        </w:r>
        <w:r w:rsidR="0039697A" w:rsidRPr="00E242A9">
          <w:rPr>
            <w:rStyle w:val="Hyperlink"/>
            <w:noProof/>
          </w:rPr>
          <w:t>CONCLUSION</w:t>
        </w:r>
        <w:r w:rsidR="0039697A">
          <w:rPr>
            <w:noProof/>
            <w:webHidden/>
          </w:rPr>
          <w:tab/>
        </w:r>
        <w:r w:rsidR="0039697A">
          <w:rPr>
            <w:noProof/>
            <w:webHidden/>
          </w:rPr>
          <w:fldChar w:fldCharType="begin"/>
        </w:r>
        <w:r w:rsidR="0039697A">
          <w:rPr>
            <w:noProof/>
            <w:webHidden/>
          </w:rPr>
          <w:instrText xml:space="preserve"> PAGEREF _Toc388960492 \h </w:instrText>
        </w:r>
        <w:r w:rsidR="0039697A">
          <w:rPr>
            <w:noProof/>
            <w:webHidden/>
          </w:rPr>
        </w:r>
        <w:r w:rsidR="0039697A">
          <w:rPr>
            <w:noProof/>
            <w:webHidden/>
          </w:rPr>
          <w:fldChar w:fldCharType="separate"/>
        </w:r>
        <w:r w:rsidR="00707C43">
          <w:rPr>
            <w:noProof/>
            <w:webHidden/>
          </w:rPr>
          <w:t>8</w:t>
        </w:r>
        <w:r w:rsidR="0039697A">
          <w:rPr>
            <w:noProof/>
            <w:webHidden/>
          </w:rPr>
          <w:fldChar w:fldCharType="end"/>
        </w:r>
      </w:hyperlink>
    </w:p>
    <w:p w:rsidR="006F12C6" w:rsidRDefault="005638B4" w:rsidP="00CD541D">
      <w:pPr>
        <w:pStyle w:val="TOC1"/>
        <w:rPr>
          <w:rFonts w:asciiTheme="minorHAnsi" w:eastAsiaTheme="minorEastAsia" w:hAnsiTheme="minorHAnsi" w:cstheme="minorBidi"/>
          <w:caps w:val="0"/>
          <w:noProof/>
          <w:sz w:val="22"/>
          <w:szCs w:val="22"/>
        </w:rPr>
      </w:pPr>
      <w:r>
        <w:rPr>
          <w:noProof/>
        </w:rPr>
        <w:fldChar w:fldCharType="end"/>
      </w:r>
    </w:p>
    <w:p w:rsidR="001663A3" w:rsidRDefault="001663A3">
      <w:pPr>
        <w:ind w:right="-90"/>
        <w:rPr>
          <w:b/>
          <w:szCs w:val="24"/>
          <w:u w:val="single"/>
        </w:rPr>
      </w:pPr>
    </w:p>
    <w:p w:rsidR="001663A3" w:rsidRDefault="001663A3">
      <w:pPr>
        <w:ind w:right="-90"/>
        <w:rPr>
          <w:b/>
          <w:szCs w:val="24"/>
          <w:u w:val="single"/>
        </w:rPr>
      </w:pPr>
    </w:p>
    <w:p w:rsidR="00932942" w:rsidRPr="00932942" w:rsidRDefault="00932942" w:rsidP="002A159E"/>
    <w:p w:rsidR="00932942" w:rsidRDefault="00932942" w:rsidP="002A159E">
      <w:pPr>
        <w:rPr>
          <w:u w:val="single"/>
        </w:rPr>
      </w:pPr>
    </w:p>
    <w:p w:rsidR="00932942" w:rsidRPr="00932942" w:rsidRDefault="00932942" w:rsidP="002A159E">
      <w:pPr>
        <w:rPr>
          <w:u w:val="single"/>
        </w:rPr>
      </w:pPr>
    </w:p>
    <w:p w:rsidR="00012829" w:rsidRDefault="00012829" w:rsidP="002A159E"/>
    <w:p w:rsidR="00012829" w:rsidRDefault="00012829">
      <w:pPr>
        <w:spacing w:line="480" w:lineRule="auto"/>
        <w:ind w:right="-90"/>
        <w:rPr>
          <w:shd w:val="clear" w:color="auto" w:fill="FFFFFF"/>
        </w:rPr>
      </w:pPr>
    </w:p>
    <w:p w:rsidR="008A3E10" w:rsidRDefault="008A3E10" w:rsidP="00F939F7">
      <w:pPr>
        <w:pStyle w:val="Heading1"/>
        <w:sectPr w:rsidR="008A3E10" w:rsidSect="008A3E10">
          <w:headerReference w:type="even" r:id="rId15"/>
          <w:headerReference w:type="default" r:id="rId16"/>
          <w:footerReference w:type="default" r:id="rId17"/>
          <w:headerReference w:type="first" r:id="rId18"/>
          <w:footerReference w:type="first" r:id="rId19"/>
          <w:pgSz w:w="12240" w:h="15840" w:code="1"/>
          <w:pgMar w:top="1440" w:right="1800" w:bottom="1440" w:left="1800" w:header="720" w:footer="720" w:gutter="0"/>
          <w:pgNumType w:fmt="lowerRoman" w:start="1"/>
          <w:cols w:space="720"/>
          <w:docGrid w:linePitch="360"/>
        </w:sectPr>
      </w:pPr>
      <w:bookmarkStart w:id="2" w:name="_Toc386442349"/>
      <w:bookmarkStart w:id="3" w:name="_Toc387071427"/>
    </w:p>
    <w:p w:rsidR="00012829" w:rsidRDefault="00D333AC" w:rsidP="00770CA9">
      <w:pPr>
        <w:pStyle w:val="Heading1"/>
      </w:pPr>
      <w:bookmarkStart w:id="4" w:name="_Toc388960489"/>
      <w:r>
        <w:t>I.</w:t>
      </w:r>
      <w:r>
        <w:tab/>
      </w:r>
      <w:r w:rsidR="007D36FD">
        <w:t>INTRODUCTION</w:t>
      </w:r>
      <w:bookmarkEnd w:id="2"/>
      <w:bookmarkEnd w:id="3"/>
      <w:bookmarkEnd w:id="4"/>
    </w:p>
    <w:p w:rsidR="00770CA9" w:rsidRPr="00770CA9" w:rsidRDefault="00770CA9" w:rsidP="00770CA9">
      <w:pPr>
        <w:spacing w:line="480" w:lineRule="auto"/>
      </w:pPr>
    </w:p>
    <w:p w:rsidR="00012829" w:rsidRDefault="007D36FD" w:rsidP="00770CA9">
      <w:pPr>
        <w:tabs>
          <w:tab w:val="left" w:pos="-720"/>
          <w:tab w:val="left" w:pos="0"/>
        </w:tabs>
        <w:suppressAutoHyphens/>
        <w:spacing w:line="480" w:lineRule="auto"/>
        <w:ind w:left="720" w:right="-90" w:hanging="720"/>
        <w:rPr>
          <w:b/>
          <w:bCs/>
          <w:i/>
          <w:spacing w:val="-2"/>
        </w:rPr>
      </w:pPr>
      <w:r>
        <w:rPr>
          <w:b/>
          <w:bCs/>
          <w:i/>
          <w:spacing w:val="-2"/>
        </w:rPr>
        <w:t>Q1.</w:t>
      </w:r>
      <w:r>
        <w:rPr>
          <w:b/>
          <w:bCs/>
          <w:i/>
          <w:spacing w:val="-2"/>
        </w:rPr>
        <w:tab/>
        <w:t>PLEASE STATE YOUR NAME AND BUSINESS ADDRESS.</w:t>
      </w:r>
    </w:p>
    <w:p w:rsidR="00012829" w:rsidRDefault="007D36FD" w:rsidP="00770CA9">
      <w:pPr>
        <w:tabs>
          <w:tab w:val="left" w:pos="-720"/>
          <w:tab w:val="left" w:pos="0"/>
        </w:tabs>
        <w:suppressAutoHyphens/>
        <w:spacing w:line="480" w:lineRule="auto"/>
        <w:ind w:left="720" w:right="-90" w:hanging="720"/>
        <w:rPr>
          <w:spacing w:val="-2"/>
        </w:rPr>
      </w:pPr>
      <w:r>
        <w:rPr>
          <w:b/>
          <w:i/>
          <w:spacing w:val="-2"/>
        </w:rPr>
        <w:t>A1.</w:t>
      </w:r>
      <w:r>
        <w:rPr>
          <w:b/>
          <w:spacing w:val="-2"/>
        </w:rPr>
        <w:tab/>
      </w:r>
      <w:r>
        <w:rPr>
          <w:spacing w:val="-2"/>
        </w:rPr>
        <w:t xml:space="preserve">My name is David J. Effron.  My address is 12 Pond Path, </w:t>
      </w:r>
      <w:smartTag w:uri="urn:schemas-microsoft-com:office:smarttags" w:element="place">
        <w:smartTag w:uri="urn:schemas-microsoft-com:office:smarttags" w:element="City">
          <w:r>
            <w:rPr>
              <w:spacing w:val="-2"/>
            </w:rPr>
            <w:t>North Hampton</w:t>
          </w:r>
        </w:smartTag>
        <w:r>
          <w:rPr>
            <w:spacing w:val="-2"/>
          </w:rPr>
          <w:t xml:space="preserve">, </w:t>
        </w:r>
        <w:smartTag w:uri="urn:schemas-microsoft-com:office:smarttags" w:element="State">
          <w:r>
            <w:rPr>
              <w:spacing w:val="-2"/>
            </w:rPr>
            <w:t>New Hampshire</w:t>
          </w:r>
        </w:smartTag>
        <w:r>
          <w:rPr>
            <w:spacing w:val="-2"/>
          </w:rPr>
          <w:t xml:space="preserve">, </w:t>
        </w:r>
        <w:smartTag w:uri="urn:schemas-microsoft-com:office:smarttags" w:element="PostalCode">
          <w:r>
            <w:rPr>
              <w:spacing w:val="-2"/>
            </w:rPr>
            <w:t>03862</w:t>
          </w:r>
        </w:smartTag>
      </w:smartTag>
      <w:r>
        <w:rPr>
          <w:spacing w:val="-2"/>
        </w:rPr>
        <w:t>.</w:t>
      </w:r>
    </w:p>
    <w:p w:rsidR="00012829" w:rsidRDefault="00012829" w:rsidP="00770CA9">
      <w:pPr>
        <w:tabs>
          <w:tab w:val="left" w:pos="-720"/>
        </w:tabs>
        <w:suppressAutoHyphens/>
        <w:spacing w:line="480" w:lineRule="auto"/>
        <w:ind w:right="-90"/>
        <w:rPr>
          <w:spacing w:val="-2"/>
        </w:rPr>
      </w:pPr>
    </w:p>
    <w:p w:rsidR="00012829" w:rsidRDefault="007D36FD" w:rsidP="00770CA9">
      <w:pPr>
        <w:tabs>
          <w:tab w:val="left" w:pos="-720"/>
          <w:tab w:val="left" w:pos="0"/>
        </w:tabs>
        <w:suppressAutoHyphens/>
        <w:spacing w:line="480" w:lineRule="auto"/>
        <w:ind w:left="720" w:right="-90" w:hanging="720"/>
        <w:rPr>
          <w:b/>
          <w:bCs/>
          <w:i/>
          <w:spacing w:val="-2"/>
        </w:rPr>
      </w:pPr>
      <w:r>
        <w:rPr>
          <w:b/>
          <w:bCs/>
          <w:i/>
          <w:spacing w:val="-2"/>
        </w:rPr>
        <w:t>Q2.</w:t>
      </w:r>
      <w:r>
        <w:rPr>
          <w:b/>
          <w:bCs/>
          <w:i/>
          <w:spacing w:val="-2"/>
        </w:rPr>
        <w:tab/>
        <w:t>WHAT IS YOUR PRESENT OCCUPATION?</w:t>
      </w:r>
    </w:p>
    <w:p w:rsidR="00012829" w:rsidRDefault="007D36FD" w:rsidP="00770CA9">
      <w:pPr>
        <w:tabs>
          <w:tab w:val="left" w:pos="-720"/>
          <w:tab w:val="left" w:pos="0"/>
        </w:tabs>
        <w:suppressAutoHyphens/>
        <w:spacing w:line="480" w:lineRule="auto"/>
        <w:ind w:left="720" w:right="-90" w:hanging="720"/>
        <w:rPr>
          <w:spacing w:val="-2"/>
        </w:rPr>
      </w:pPr>
      <w:r>
        <w:rPr>
          <w:b/>
          <w:i/>
          <w:spacing w:val="-2"/>
        </w:rPr>
        <w:t>A2.</w:t>
      </w:r>
      <w:r>
        <w:rPr>
          <w:spacing w:val="-2"/>
        </w:rPr>
        <w:tab/>
        <w:t>I am a consultant specializing in utility regulation.</w:t>
      </w:r>
    </w:p>
    <w:p w:rsidR="00012829" w:rsidRDefault="00012829" w:rsidP="00770CA9">
      <w:pPr>
        <w:tabs>
          <w:tab w:val="left" w:pos="-720"/>
        </w:tabs>
        <w:suppressAutoHyphens/>
        <w:spacing w:line="480" w:lineRule="auto"/>
        <w:ind w:right="-90"/>
        <w:rPr>
          <w:spacing w:val="-2"/>
        </w:rPr>
      </w:pPr>
    </w:p>
    <w:p w:rsidR="00012829" w:rsidRDefault="007D36FD" w:rsidP="00770CA9">
      <w:pPr>
        <w:tabs>
          <w:tab w:val="left" w:pos="-720"/>
          <w:tab w:val="left" w:pos="0"/>
        </w:tabs>
        <w:suppressAutoHyphens/>
        <w:spacing w:line="480" w:lineRule="auto"/>
        <w:ind w:left="720" w:right="-90" w:hanging="720"/>
        <w:rPr>
          <w:b/>
          <w:bCs/>
          <w:i/>
          <w:spacing w:val="-2"/>
        </w:rPr>
      </w:pPr>
      <w:r>
        <w:rPr>
          <w:b/>
          <w:bCs/>
          <w:i/>
          <w:spacing w:val="-2"/>
        </w:rPr>
        <w:t>Q3.</w:t>
      </w:r>
      <w:r>
        <w:rPr>
          <w:b/>
          <w:bCs/>
          <w:i/>
          <w:spacing w:val="-2"/>
        </w:rPr>
        <w:tab/>
        <w:t>PLEASE SUMMARIZE YOUR PROFESSIONAL EXPERIENCE.</w:t>
      </w:r>
    </w:p>
    <w:p w:rsidR="00012829" w:rsidRDefault="007D36FD" w:rsidP="00770CA9">
      <w:pPr>
        <w:tabs>
          <w:tab w:val="left" w:pos="-720"/>
          <w:tab w:val="left" w:pos="0"/>
        </w:tabs>
        <w:suppressAutoHyphens/>
        <w:spacing w:line="480" w:lineRule="auto"/>
        <w:ind w:left="720" w:right="-90" w:hanging="720"/>
        <w:rPr>
          <w:spacing w:val="-2"/>
        </w:rPr>
      </w:pPr>
      <w:r>
        <w:rPr>
          <w:b/>
          <w:i/>
          <w:spacing w:val="-2"/>
        </w:rPr>
        <w:t>A3.</w:t>
      </w:r>
      <w:r>
        <w:rPr>
          <w:spacing w:val="-2"/>
        </w:rPr>
        <w:tab/>
        <w:t>My professional career includes over thirty years as a regulatory consultant, two years as a supervisor of capital investment analysis and controls at Gulf &amp; Western Industries and two years at Touche Ross &amp; Co.</w:t>
      </w:r>
      <w:r w:rsidR="008B75C9">
        <w:rPr>
          <w:spacing w:val="-2"/>
        </w:rPr>
        <w:t>,</w:t>
      </w:r>
      <w:r>
        <w:rPr>
          <w:spacing w:val="-2"/>
        </w:rPr>
        <w:t xml:space="preserve"> as a consultant and staff auditor.  I am a Certified Public Accountant and I have served as an instructor in the business program at Western Connecticut State College.</w:t>
      </w:r>
    </w:p>
    <w:p w:rsidR="00012829" w:rsidRDefault="00012829" w:rsidP="00770CA9">
      <w:pPr>
        <w:tabs>
          <w:tab w:val="left" w:pos="-720"/>
        </w:tabs>
        <w:suppressAutoHyphens/>
        <w:spacing w:line="480" w:lineRule="auto"/>
        <w:ind w:right="-90"/>
        <w:rPr>
          <w:spacing w:val="-2"/>
        </w:rPr>
      </w:pPr>
    </w:p>
    <w:p w:rsidR="00012829" w:rsidRDefault="007D36FD" w:rsidP="00770CA9">
      <w:pPr>
        <w:tabs>
          <w:tab w:val="left" w:pos="-720"/>
          <w:tab w:val="left" w:pos="0"/>
        </w:tabs>
        <w:suppressAutoHyphens/>
        <w:spacing w:line="480" w:lineRule="auto"/>
        <w:ind w:left="720" w:right="-90" w:hanging="720"/>
        <w:rPr>
          <w:b/>
          <w:bCs/>
          <w:i/>
          <w:spacing w:val="-2"/>
        </w:rPr>
      </w:pPr>
      <w:r>
        <w:rPr>
          <w:b/>
          <w:bCs/>
          <w:i/>
          <w:spacing w:val="-2"/>
        </w:rPr>
        <w:t>Q4.</w:t>
      </w:r>
      <w:r>
        <w:rPr>
          <w:b/>
          <w:bCs/>
          <w:i/>
          <w:spacing w:val="-2"/>
        </w:rPr>
        <w:tab/>
        <w:t>WHAT EXPERIENCE DO YOU HAVE IN THE AREA OF UTILITY RATE SETTING PROCEEDINGS AND OTHER UTILITY MATTERS?</w:t>
      </w:r>
    </w:p>
    <w:p w:rsidR="00A342E9" w:rsidRDefault="007D36FD" w:rsidP="00770CA9">
      <w:pPr>
        <w:tabs>
          <w:tab w:val="left" w:pos="-720"/>
          <w:tab w:val="left" w:pos="0"/>
        </w:tabs>
        <w:suppressAutoHyphens/>
        <w:spacing w:line="480" w:lineRule="auto"/>
        <w:ind w:left="720" w:right="-90" w:hanging="720"/>
        <w:rPr>
          <w:spacing w:val="-2"/>
        </w:rPr>
      </w:pPr>
      <w:r>
        <w:rPr>
          <w:b/>
          <w:i/>
          <w:spacing w:val="-2"/>
        </w:rPr>
        <w:t>A4.</w:t>
      </w:r>
      <w:r>
        <w:rPr>
          <w:spacing w:val="-2"/>
        </w:rPr>
        <w:tab/>
        <w:t xml:space="preserve">I have analyzed numerous electric, gas, telephone, and water filings in different jurisdictions.  </w:t>
      </w:r>
      <w:r w:rsidR="006A0282">
        <w:rPr>
          <w:spacing w:val="-2"/>
        </w:rPr>
        <w:t>In regard</w:t>
      </w:r>
      <w:r>
        <w:rPr>
          <w:spacing w:val="-2"/>
        </w:rPr>
        <w:t xml:space="preserve"> to those analyses, I have prepared testimony, assisted attorneys in case preparation, and provided assistance during settlement negotiations with various utility companies.</w:t>
      </w:r>
    </w:p>
    <w:p w:rsidR="00012829" w:rsidRDefault="007D36FD" w:rsidP="00770CA9">
      <w:pPr>
        <w:tabs>
          <w:tab w:val="left" w:pos="-720"/>
          <w:tab w:val="left" w:pos="0"/>
        </w:tabs>
        <w:suppressAutoHyphens/>
        <w:spacing w:line="480" w:lineRule="auto"/>
        <w:ind w:left="720" w:right="-90"/>
        <w:rPr>
          <w:spacing w:val="-2"/>
        </w:rPr>
      </w:pPr>
      <w:r>
        <w:rPr>
          <w:spacing w:val="-2"/>
        </w:rPr>
        <w:t xml:space="preserve">I have testified in over three hundred cases before regulatory </w:t>
      </w:r>
      <w:r w:rsidR="006A0282">
        <w:rPr>
          <w:spacing w:val="-2"/>
        </w:rPr>
        <w:t xml:space="preserve">utility </w:t>
      </w:r>
      <w:r>
        <w:rPr>
          <w:spacing w:val="-2"/>
        </w:rPr>
        <w:t>commissions in Alabama, Colorado, Connecticut, Florida, Georgia, Illinois, Indiana, Kansas, Kentucky, Maine, Maryland, Massachusetts, Missouri, Nevada, New Jersey, New York, North Dakota, Ohio, Pennsylvania, Rhode Island, South Carolina, Texas, Vermont, Virginia, and Washington.</w:t>
      </w:r>
    </w:p>
    <w:p w:rsidR="00012829" w:rsidRDefault="00012829" w:rsidP="00770CA9">
      <w:pPr>
        <w:tabs>
          <w:tab w:val="left" w:pos="-720"/>
        </w:tabs>
        <w:suppressAutoHyphens/>
        <w:spacing w:line="480" w:lineRule="auto"/>
        <w:ind w:right="-90"/>
        <w:rPr>
          <w:spacing w:val="-2"/>
        </w:rPr>
      </w:pPr>
    </w:p>
    <w:p w:rsidR="00012829" w:rsidRDefault="007D36FD" w:rsidP="00770CA9">
      <w:pPr>
        <w:tabs>
          <w:tab w:val="left" w:pos="-720"/>
          <w:tab w:val="left" w:pos="0"/>
        </w:tabs>
        <w:suppressAutoHyphens/>
        <w:spacing w:line="480" w:lineRule="auto"/>
        <w:ind w:left="720" w:right="-90" w:hanging="720"/>
        <w:rPr>
          <w:b/>
          <w:bCs/>
          <w:i/>
          <w:spacing w:val="-2"/>
        </w:rPr>
      </w:pPr>
      <w:r>
        <w:rPr>
          <w:b/>
          <w:bCs/>
          <w:i/>
          <w:spacing w:val="-2"/>
        </w:rPr>
        <w:t>Q5.</w:t>
      </w:r>
      <w:r>
        <w:rPr>
          <w:b/>
          <w:bCs/>
          <w:i/>
          <w:spacing w:val="-2"/>
        </w:rPr>
        <w:tab/>
        <w:t>PLEASE DESCRIBE YOUR OTHER WORK EXPERIENCE.</w:t>
      </w:r>
    </w:p>
    <w:p w:rsidR="00012829" w:rsidRDefault="007D36FD" w:rsidP="00770CA9">
      <w:pPr>
        <w:tabs>
          <w:tab w:val="left" w:pos="-720"/>
          <w:tab w:val="left" w:pos="0"/>
        </w:tabs>
        <w:suppressAutoHyphens/>
        <w:spacing w:line="480" w:lineRule="auto"/>
        <w:ind w:left="720" w:right="-90" w:hanging="720"/>
        <w:rPr>
          <w:spacing w:val="-2"/>
        </w:rPr>
      </w:pPr>
      <w:r>
        <w:rPr>
          <w:b/>
          <w:i/>
          <w:spacing w:val="-2"/>
        </w:rPr>
        <w:t>A5</w:t>
      </w:r>
      <w:r>
        <w:rPr>
          <w:b/>
          <w:spacing w:val="-2"/>
        </w:rPr>
        <w:t>.</w:t>
      </w:r>
      <w:r>
        <w:rPr>
          <w:spacing w:val="-2"/>
        </w:rPr>
        <w:tab/>
        <w:t>As a supervisor of capital investment analysis at Gulf &amp; Western Industries, I was responsible for reports and analyses concerning capital spending programs, including project analysis, formulation of capital budgets, establishment of accounting procedures, monitoring capital spending, and administration of the leasing program.  At Touche Ross &amp; Co., I was an associate consultant in management services for one year and a staff auditor for one year.</w:t>
      </w:r>
    </w:p>
    <w:p w:rsidR="00012829" w:rsidRDefault="00012829" w:rsidP="00770CA9">
      <w:pPr>
        <w:tabs>
          <w:tab w:val="left" w:pos="-720"/>
        </w:tabs>
        <w:suppressAutoHyphens/>
        <w:spacing w:line="480" w:lineRule="auto"/>
        <w:ind w:right="-90"/>
        <w:rPr>
          <w:spacing w:val="-2"/>
        </w:rPr>
      </w:pPr>
    </w:p>
    <w:p w:rsidR="00012829" w:rsidRDefault="007D36FD" w:rsidP="00770CA9">
      <w:pPr>
        <w:tabs>
          <w:tab w:val="left" w:pos="-720"/>
          <w:tab w:val="left" w:pos="0"/>
        </w:tabs>
        <w:suppressAutoHyphens/>
        <w:spacing w:line="480" w:lineRule="auto"/>
        <w:ind w:left="720" w:right="-90" w:hanging="720"/>
        <w:rPr>
          <w:b/>
          <w:bCs/>
          <w:i/>
          <w:spacing w:val="-2"/>
        </w:rPr>
      </w:pPr>
      <w:r>
        <w:rPr>
          <w:b/>
          <w:bCs/>
          <w:i/>
          <w:spacing w:val="-2"/>
        </w:rPr>
        <w:t>Q6.</w:t>
      </w:r>
      <w:r>
        <w:rPr>
          <w:b/>
          <w:bCs/>
          <w:i/>
          <w:spacing w:val="-2"/>
        </w:rPr>
        <w:tab/>
        <w:t>HAVE YOU EARNED ANY DISTINCTIONS AS A CERTIFIED PUBLIC ACCOUNTANT?</w:t>
      </w:r>
    </w:p>
    <w:p w:rsidR="00141CDD" w:rsidRDefault="007D36FD" w:rsidP="00770CA9">
      <w:pPr>
        <w:tabs>
          <w:tab w:val="left" w:pos="-720"/>
          <w:tab w:val="left" w:pos="0"/>
        </w:tabs>
        <w:suppressAutoHyphens/>
        <w:spacing w:line="480" w:lineRule="auto"/>
        <w:ind w:left="720" w:right="-90" w:hanging="720"/>
        <w:rPr>
          <w:spacing w:val="-2"/>
        </w:rPr>
      </w:pPr>
      <w:r>
        <w:rPr>
          <w:b/>
          <w:i/>
          <w:spacing w:val="-2"/>
        </w:rPr>
        <w:t>A6.</w:t>
      </w:r>
      <w:r>
        <w:rPr>
          <w:spacing w:val="-2"/>
        </w:rPr>
        <w:tab/>
        <w:t>Yes.  I received the Gold Charles Waldo Haskins Memorial Award for the highest scores in the May 1974 certified public accounting examination in New York State.</w:t>
      </w:r>
    </w:p>
    <w:p w:rsidR="005241F5" w:rsidRDefault="005241F5" w:rsidP="00770CA9">
      <w:pPr>
        <w:pStyle w:val="BodyTextIndent"/>
        <w:ind w:right="-90"/>
        <w:jc w:val="left"/>
        <w:rPr>
          <w:rFonts w:ascii="Times New Roman" w:hAnsi="Times New Roman"/>
          <w:b/>
          <w:bCs/>
          <w:i/>
          <w:spacing w:val="-2"/>
        </w:rPr>
      </w:pPr>
    </w:p>
    <w:p w:rsidR="00012829" w:rsidRDefault="007D36FD" w:rsidP="00770CA9">
      <w:pPr>
        <w:pStyle w:val="BodyTextIndent"/>
        <w:ind w:right="-90"/>
        <w:jc w:val="left"/>
        <w:rPr>
          <w:rFonts w:ascii="Times New Roman" w:hAnsi="Times New Roman"/>
          <w:b/>
          <w:bCs/>
          <w:i/>
          <w:spacing w:val="-2"/>
        </w:rPr>
      </w:pPr>
      <w:r>
        <w:rPr>
          <w:rFonts w:ascii="Times New Roman" w:hAnsi="Times New Roman"/>
          <w:b/>
          <w:bCs/>
          <w:i/>
          <w:spacing w:val="-2"/>
        </w:rPr>
        <w:t>Q7.</w:t>
      </w:r>
      <w:r>
        <w:rPr>
          <w:rFonts w:ascii="Times New Roman" w:hAnsi="Times New Roman"/>
          <w:b/>
          <w:bCs/>
          <w:i/>
          <w:spacing w:val="-2"/>
        </w:rPr>
        <w:tab/>
        <w:t>PLEASE DESCRIBE YOUR EDUCATIONAL BACKGROUND.</w:t>
      </w:r>
    </w:p>
    <w:p w:rsidR="00012829" w:rsidRDefault="007D36FD" w:rsidP="00770CA9">
      <w:pPr>
        <w:pStyle w:val="BodyTextIndent"/>
        <w:ind w:right="-90"/>
        <w:jc w:val="left"/>
        <w:rPr>
          <w:rFonts w:ascii="Times New Roman" w:hAnsi="Times New Roman"/>
        </w:rPr>
      </w:pPr>
      <w:r>
        <w:rPr>
          <w:rFonts w:ascii="Times New Roman" w:hAnsi="Times New Roman"/>
          <w:b/>
          <w:i/>
        </w:rPr>
        <w:t>A7.</w:t>
      </w:r>
      <w:r>
        <w:rPr>
          <w:rFonts w:ascii="Times New Roman" w:hAnsi="Times New Roman"/>
        </w:rPr>
        <w:tab/>
        <w:t>I have a Bachelor's degree in Economics (with distinction) from Dartmouth College and a Masters of Business Administration Degree from Columbia University.</w:t>
      </w:r>
    </w:p>
    <w:p w:rsidR="00012829" w:rsidRDefault="00D333AC" w:rsidP="00770CA9">
      <w:pPr>
        <w:pStyle w:val="Heading1"/>
      </w:pPr>
      <w:bookmarkStart w:id="5" w:name="_Toc386442351"/>
      <w:bookmarkStart w:id="6" w:name="_Toc387071428"/>
      <w:bookmarkStart w:id="7" w:name="_Toc388960490"/>
      <w:r>
        <w:t>II.</w:t>
      </w:r>
      <w:r>
        <w:tab/>
      </w:r>
      <w:r w:rsidR="007D36FD">
        <w:t>PURPOSE OF TESTIMONY</w:t>
      </w:r>
      <w:bookmarkEnd w:id="5"/>
      <w:bookmarkEnd w:id="6"/>
      <w:bookmarkEnd w:id="7"/>
    </w:p>
    <w:p w:rsidR="003B3BD9" w:rsidRPr="003B3BD9" w:rsidRDefault="003B3BD9" w:rsidP="00770CA9">
      <w:pPr>
        <w:spacing w:line="480" w:lineRule="auto"/>
      </w:pPr>
    </w:p>
    <w:p w:rsidR="00012829" w:rsidRDefault="007D36FD" w:rsidP="00770CA9">
      <w:pPr>
        <w:tabs>
          <w:tab w:val="left" w:pos="-720"/>
          <w:tab w:val="left" w:pos="0"/>
        </w:tabs>
        <w:suppressAutoHyphens/>
        <w:spacing w:line="480" w:lineRule="auto"/>
        <w:ind w:left="720" w:right="-90" w:hanging="720"/>
        <w:rPr>
          <w:b/>
          <w:i/>
          <w:spacing w:val="-2"/>
        </w:rPr>
      </w:pPr>
      <w:r>
        <w:rPr>
          <w:b/>
          <w:i/>
          <w:spacing w:val="-2"/>
        </w:rPr>
        <w:t>Q8.</w:t>
      </w:r>
      <w:r>
        <w:rPr>
          <w:b/>
          <w:i/>
          <w:spacing w:val="-2"/>
        </w:rPr>
        <w:tab/>
        <w:t>ON WHOSE BEHALF ARE YOU TESTIFYING?</w:t>
      </w:r>
    </w:p>
    <w:p w:rsidR="00012829" w:rsidRDefault="007D36FD" w:rsidP="00770CA9">
      <w:pPr>
        <w:tabs>
          <w:tab w:val="left" w:pos="-720"/>
          <w:tab w:val="left" w:pos="0"/>
        </w:tabs>
        <w:suppressAutoHyphens/>
        <w:spacing w:line="480" w:lineRule="auto"/>
        <w:ind w:left="720" w:right="-90" w:hanging="720"/>
        <w:rPr>
          <w:spacing w:val="-2"/>
        </w:rPr>
      </w:pPr>
      <w:r>
        <w:rPr>
          <w:b/>
          <w:i/>
          <w:spacing w:val="-2"/>
        </w:rPr>
        <w:t>A8.</w:t>
      </w:r>
      <w:r>
        <w:rPr>
          <w:spacing w:val="-2"/>
        </w:rPr>
        <w:tab/>
        <w:t xml:space="preserve">I am testifying on behalf of the Office of the Ohio Consumers’ Counsel (“OCC”). </w:t>
      </w:r>
    </w:p>
    <w:p w:rsidR="00012829" w:rsidRDefault="00012829" w:rsidP="00770CA9">
      <w:pPr>
        <w:tabs>
          <w:tab w:val="left" w:pos="-720"/>
          <w:tab w:val="left" w:pos="0"/>
        </w:tabs>
        <w:suppressAutoHyphens/>
        <w:spacing w:line="480" w:lineRule="auto"/>
        <w:ind w:left="720" w:right="-90" w:hanging="720"/>
        <w:rPr>
          <w:spacing w:val="-2"/>
        </w:rPr>
      </w:pPr>
    </w:p>
    <w:p w:rsidR="00012829" w:rsidRDefault="007D36FD" w:rsidP="00770CA9">
      <w:pPr>
        <w:tabs>
          <w:tab w:val="left" w:pos="-720"/>
          <w:tab w:val="left" w:pos="0"/>
        </w:tabs>
        <w:suppressAutoHyphens/>
        <w:spacing w:line="480" w:lineRule="auto"/>
        <w:ind w:left="720" w:right="-90" w:hanging="720"/>
        <w:rPr>
          <w:b/>
          <w:i/>
          <w:spacing w:val="-2"/>
        </w:rPr>
      </w:pPr>
      <w:r>
        <w:rPr>
          <w:b/>
          <w:i/>
          <w:spacing w:val="-2"/>
        </w:rPr>
        <w:t>Q9.</w:t>
      </w:r>
      <w:r>
        <w:rPr>
          <w:b/>
          <w:i/>
          <w:spacing w:val="-2"/>
        </w:rPr>
        <w:tab/>
        <w:t>WHAT IS THE PURPOSE OF YOUR TESTIMONY?</w:t>
      </w:r>
    </w:p>
    <w:p w:rsidR="00141CDD" w:rsidRDefault="007D36FD" w:rsidP="00770CA9">
      <w:pPr>
        <w:tabs>
          <w:tab w:val="left" w:pos="-720"/>
          <w:tab w:val="left" w:pos="0"/>
        </w:tabs>
        <w:suppressAutoHyphens/>
        <w:spacing w:line="480" w:lineRule="auto"/>
        <w:ind w:left="720" w:right="-90" w:hanging="720"/>
        <w:rPr>
          <w:szCs w:val="24"/>
          <w:lang w:bidi="he-IL"/>
        </w:rPr>
      </w:pPr>
      <w:r>
        <w:rPr>
          <w:b/>
          <w:i/>
          <w:spacing w:val="-2"/>
        </w:rPr>
        <w:t>A9.</w:t>
      </w:r>
      <w:r>
        <w:rPr>
          <w:spacing w:val="-2"/>
        </w:rPr>
        <w:tab/>
      </w:r>
      <w:r>
        <w:t xml:space="preserve"> </w:t>
      </w:r>
      <w:r w:rsidR="007F20D9">
        <w:rPr>
          <w:szCs w:val="24"/>
          <w:lang w:bidi="he-IL"/>
        </w:rPr>
        <w:t>On December 21</w:t>
      </w:r>
      <w:r w:rsidR="006E5067">
        <w:rPr>
          <w:szCs w:val="24"/>
          <w:lang w:bidi="he-IL"/>
        </w:rPr>
        <w:t>, 2012</w:t>
      </w:r>
      <w:r>
        <w:rPr>
          <w:szCs w:val="24"/>
          <w:lang w:bidi="he-IL"/>
        </w:rPr>
        <w:t xml:space="preserve">, </w:t>
      </w:r>
      <w:r w:rsidR="007F20D9">
        <w:rPr>
          <w:szCs w:val="24"/>
          <w:lang w:bidi="he-IL"/>
        </w:rPr>
        <w:t xml:space="preserve">Dayton </w:t>
      </w:r>
      <w:r>
        <w:rPr>
          <w:szCs w:val="24"/>
          <w:lang w:bidi="he-IL"/>
        </w:rPr>
        <w:t xml:space="preserve">Power </w:t>
      </w:r>
      <w:r w:rsidR="007F20D9">
        <w:rPr>
          <w:szCs w:val="24"/>
          <w:lang w:bidi="he-IL"/>
        </w:rPr>
        <w:t xml:space="preserve">and Light </w:t>
      </w:r>
      <w:r>
        <w:rPr>
          <w:szCs w:val="24"/>
          <w:lang w:bidi="he-IL"/>
        </w:rPr>
        <w:t>Company (“</w:t>
      </w:r>
      <w:r w:rsidR="002A45D9">
        <w:rPr>
          <w:szCs w:val="24"/>
          <w:lang w:bidi="he-IL"/>
        </w:rPr>
        <w:t>DP&amp;L</w:t>
      </w:r>
      <w:r>
        <w:rPr>
          <w:szCs w:val="24"/>
          <w:lang w:bidi="he-IL"/>
        </w:rPr>
        <w:t xml:space="preserve">” or “the Utility”) filed an </w:t>
      </w:r>
      <w:r w:rsidR="008B75C9">
        <w:rPr>
          <w:szCs w:val="24"/>
          <w:lang w:bidi="he-IL"/>
        </w:rPr>
        <w:t>A</w:t>
      </w:r>
      <w:r>
        <w:rPr>
          <w:szCs w:val="24"/>
          <w:lang w:bidi="he-IL"/>
        </w:rPr>
        <w:t>pplication with the Public Utilities Com</w:t>
      </w:r>
      <w:r w:rsidRPr="00CA2CDD">
        <w:rPr>
          <w:szCs w:val="24"/>
          <w:lang w:bidi="he-IL"/>
        </w:rPr>
        <w:t xml:space="preserve">mission of Ohio (“PUCO”) seeking </w:t>
      </w:r>
      <w:r w:rsidR="007F20D9" w:rsidRPr="00CA2CDD">
        <w:rPr>
          <w:szCs w:val="24"/>
          <w:lang w:bidi="he-IL"/>
        </w:rPr>
        <w:t xml:space="preserve">authority to recover storm </w:t>
      </w:r>
      <w:r w:rsidR="006E5067">
        <w:rPr>
          <w:szCs w:val="24"/>
          <w:lang w:bidi="he-IL"/>
        </w:rPr>
        <w:t>o</w:t>
      </w:r>
      <w:r w:rsidR="007F20D9" w:rsidRPr="00CA2CDD">
        <w:rPr>
          <w:szCs w:val="24"/>
          <w:lang w:bidi="he-IL"/>
        </w:rPr>
        <w:t xml:space="preserve">peration and </w:t>
      </w:r>
      <w:r w:rsidR="006E5067">
        <w:rPr>
          <w:szCs w:val="24"/>
          <w:lang w:bidi="he-IL"/>
        </w:rPr>
        <w:t>m</w:t>
      </w:r>
      <w:r w:rsidR="007F20D9" w:rsidRPr="00CA2CDD">
        <w:rPr>
          <w:szCs w:val="24"/>
          <w:lang w:bidi="he-IL"/>
        </w:rPr>
        <w:t xml:space="preserve">aintenance </w:t>
      </w:r>
      <w:r w:rsidR="00CA2CDD" w:rsidRPr="00CA2CDD">
        <w:rPr>
          <w:szCs w:val="24"/>
          <w:lang w:bidi="he-IL"/>
        </w:rPr>
        <w:t>(</w:t>
      </w:r>
      <w:r w:rsidR="008B75C9">
        <w:rPr>
          <w:szCs w:val="24"/>
          <w:lang w:bidi="he-IL"/>
        </w:rPr>
        <w:t>“</w:t>
      </w:r>
      <w:r w:rsidR="00CA2CDD" w:rsidRPr="00CA2CDD">
        <w:rPr>
          <w:szCs w:val="24"/>
          <w:lang w:bidi="he-IL"/>
        </w:rPr>
        <w:t>O&amp;M</w:t>
      </w:r>
      <w:r w:rsidR="008B75C9">
        <w:rPr>
          <w:szCs w:val="24"/>
          <w:lang w:bidi="he-IL"/>
        </w:rPr>
        <w:t>”</w:t>
      </w:r>
      <w:r w:rsidR="00CA2CDD" w:rsidRPr="00CA2CDD">
        <w:rPr>
          <w:szCs w:val="24"/>
          <w:lang w:bidi="he-IL"/>
        </w:rPr>
        <w:t xml:space="preserve">) expenses for storm events in 2008, 2011, and 2012, authority to implement a </w:t>
      </w:r>
      <w:r w:rsidR="00393690">
        <w:rPr>
          <w:szCs w:val="24"/>
          <w:lang w:bidi="he-IL"/>
        </w:rPr>
        <w:t>S</w:t>
      </w:r>
      <w:r w:rsidR="00CA2CDD" w:rsidRPr="00CA2CDD">
        <w:rPr>
          <w:szCs w:val="24"/>
          <w:lang w:bidi="he-IL"/>
        </w:rPr>
        <w:t xml:space="preserve">torm </w:t>
      </w:r>
      <w:r w:rsidR="00393690">
        <w:rPr>
          <w:szCs w:val="24"/>
          <w:lang w:bidi="he-IL"/>
        </w:rPr>
        <w:t>C</w:t>
      </w:r>
      <w:r w:rsidR="00CA2CDD" w:rsidRPr="00CA2CDD">
        <w:rPr>
          <w:szCs w:val="24"/>
          <w:lang w:bidi="he-IL"/>
        </w:rPr>
        <w:t xml:space="preserve">ost </w:t>
      </w:r>
      <w:r w:rsidR="00393690">
        <w:rPr>
          <w:szCs w:val="24"/>
          <w:lang w:bidi="he-IL"/>
        </w:rPr>
        <w:t>R</w:t>
      </w:r>
      <w:r w:rsidR="00CA2CDD" w:rsidRPr="00CA2CDD">
        <w:rPr>
          <w:szCs w:val="24"/>
          <w:lang w:bidi="he-IL"/>
        </w:rPr>
        <w:t xml:space="preserve">ecovery </w:t>
      </w:r>
      <w:r w:rsidR="00393690">
        <w:rPr>
          <w:szCs w:val="24"/>
          <w:lang w:bidi="he-IL"/>
        </w:rPr>
        <w:t>R</w:t>
      </w:r>
      <w:r w:rsidR="00CA2CDD" w:rsidRPr="00CA2CDD">
        <w:rPr>
          <w:szCs w:val="24"/>
          <w:lang w:bidi="he-IL"/>
        </w:rPr>
        <w:t>ider, and authority to defer O&amp;M costs until they are recovered through the requested rider.</w:t>
      </w:r>
      <w:r w:rsidR="008A78E9" w:rsidRPr="00CA2CDD">
        <w:rPr>
          <w:szCs w:val="24"/>
          <w:lang w:bidi="he-IL"/>
        </w:rPr>
        <w:t xml:space="preserve">  </w:t>
      </w:r>
      <w:r w:rsidR="008A78E9">
        <w:rPr>
          <w:szCs w:val="24"/>
          <w:lang w:bidi="he-IL"/>
        </w:rPr>
        <w:t xml:space="preserve">On April 30, 2014, DP&amp;L, the PUCO Staff, and The Kroger Co. agreed to a Stipulation and Recommendation (“Stipulation”) that </w:t>
      </w:r>
      <w:r w:rsidR="00EB6C2D">
        <w:rPr>
          <w:szCs w:val="24"/>
          <w:lang w:bidi="he-IL"/>
        </w:rPr>
        <w:t>included</w:t>
      </w:r>
      <w:r w:rsidR="008A78E9">
        <w:rPr>
          <w:szCs w:val="24"/>
          <w:lang w:bidi="he-IL"/>
        </w:rPr>
        <w:t xml:space="preserve"> </w:t>
      </w:r>
      <w:r w:rsidR="00423528">
        <w:rPr>
          <w:szCs w:val="24"/>
          <w:lang w:bidi="he-IL"/>
        </w:rPr>
        <w:t>as one of</w:t>
      </w:r>
      <w:r w:rsidR="008A78E9">
        <w:rPr>
          <w:szCs w:val="24"/>
          <w:lang w:bidi="he-IL"/>
        </w:rPr>
        <w:t xml:space="preserve"> its terms and conditions</w:t>
      </w:r>
      <w:r w:rsidR="00423528">
        <w:rPr>
          <w:szCs w:val="24"/>
          <w:lang w:bidi="he-IL"/>
        </w:rPr>
        <w:t>:</w:t>
      </w:r>
      <w:r w:rsidR="00A63CE4">
        <w:rPr>
          <w:szCs w:val="24"/>
          <w:lang w:bidi="he-IL"/>
        </w:rPr>
        <w:t xml:space="preserve"> </w:t>
      </w:r>
      <w:r w:rsidR="008A78E9">
        <w:rPr>
          <w:szCs w:val="24"/>
          <w:lang w:bidi="he-IL"/>
        </w:rPr>
        <w:t xml:space="preserve"> </w:t>
      </w:r>
      <w:r w:rsidR="008A78E9" w:rsidRPr="00623423">
        <w:rPr>
          <w:szCs w:val="24"/>
          <w:lang w:bidi="he-IL"/>
        </w:rPr>
        <w:t>“DP&amp;L's recovery for storms in 2008, 2011 and 2012 as identified in its Application shall be $22.3 million.”</w:t>
      </w:r>
      <w:r w:rsidR="008A78E9">
        <w:rPr>
          <w:rFonts w:ascii="ArialMT" w:hAnsi="ArialMT" w:cs="ArialMT"/>
          <w:sz w:val="23"/>
          <w:szCs w:val="23"/>
          <w:lang w:bidi="he-IL"/>
        </w:rPr>
        <w:t xml:space="preserve"> </w:t>
      </w:r>
      <w:r w:rsidRPr="00CA2CDD">
        <w:rPr>
          <w:szCs w:val="24"/>
          <w:lang w:bidi="he-IL"/>
        </w:rPr>
        <w:t xml:space="preserve"> </w:t>
      </w:r>
      <w:r w:rsidR="0004247D" w:rsidRPr="00CA2CDD">
        <w:rPr>
          <w:szCs w:val="24"/>
          <w:lang w:bidi="he-IL"/>
        </w:rPr>
        <w:t xml:space="preserve">My </w:t>
      </w:r>
      <w:r w:rsidRPr="00CA2CDD">
        <w:rPr>
          <w:szCs w:val="24"/>
          <w:lang w:bidi="he-IL"/>
        </w:rPr>
        <w:t>testimony</w:t>
      </w:r>
      <w:r w:rsidR="00B10499" w:rsidRPr="00CA2CDD">
        <w:rPr>
          <w:szCs w:val="24"/>
          <w:lang w:bidi="he-IL"/>
        </w:rPr>
        <w:t xml:space="preserve"> </w:t>
      </w:r>
      <w:r w:rsidRPr="00CA2CDD">
        <w:rPr>
          <w:szCs w:val="24"/>
          <w:lang w:bidi="he-IL"/>
        </w:rPr>
        <w:t>address</w:t>
      </w:r>
      <w:r w:rsidR="0004247D" w:rsidRPr="00CA2CDD">
        <w:rPr>
          <w:szCs w:val="24"/>
          <w:lang w:bidi="he-IL"/>
        </w:rPr>
        <w:t>es</w:t>
      </w:r>
      <w:r w:rsidRPr="00CA2CDD">
        <w:rPr>
          <w:szCs w:val="24"/>
          <w:lang w:bidi="he-IL"/>
        </w:rPr>
        <w:t xml:space="preserve"> the </w:t>
      </w:r>
      <w:r w:rsidR="00CA2CDD" w:rsidRPr="00CA2CDD">
        <w:rPr>
          <w:szCs w:val="24"/>
          <w:lang w:bidi="he-IL"/>
        </w:rPr>
        <w:t xml:space="preserve">inclusion of </w:t>
      </w:r>
      <w:r w:rsidR="005241F5">
        <w:rPr>
          <w:szCs w:val="24"/>
          <w:lang w:bidi="he-IL"/>
        </w:rPr>
        <w:t>deferred O&amp;M expenses</w:t>
      </w:r>
      <w:r w:rsidR="00CA2CDD" w:rsidRPr="00CA2CDD">
        <w:rPr>
          <w:szCs w:val="24"/>
          <w:lang w:bidi="he-IL"/>
        </w:rPr>
        <w:t xml:space="preserve"> associated with the </w:t>
      </w:r>
      <w:r w:rsidR="00EB6C2D">
        <w:rPr>
          <w:szCs w:val="24"/>
          <w:lang w:bidi="he-IL"/>
        </w:rPr>
        <w:t xml:space="preserve">2011 </w:t>
      </w:r>
      <w:r w:rsidR="00CA2CDD" w:rsidRPr="00CA2CDD">
        <w:rPr>
          <w:szCs w:val="24"/>
          <w:lang w:bidi="he-IL"/>
        </w:rPr>
        <w:t xml:space="preserve">storms in the total storm costs </w:t>
      </w:r>
      <w:r w:rsidR="00EB6C2D">
        <w:rPr>
          <w:szCs w:val="24"/>
          <w:lang w:bidi="he-IL"/>
        </w:rPr>
        <w:t xml:space="preserve">of $22.3 million </w:t>
      </w:r>
      <w:r w:rsidR="00CA2CDD" w:rsidRPr="00CA2CDD">
        <w:rPr>
          <w:szCs w:val="24"/>
          <w:lang w:bidi="he-IL"/>
        </w:rPr>
        <w:t>subject to prospective recovery</w:t>
      </w:r>
      <w:r w:rsidR="008A78E9">
        <w:rPr>
          <w:szCs w:val="24"/>
          <w:lang w:bidi="he-IL"/>
        </w:rPr>
        <w:t xml:space="preserve"> in the Stipulation</w:t>
      </w:r>
      <w:r w:rsidRPr="00CA2CDD">
        <w:rPr>
          <w:szCs w:val="24"/>
          <w:lang w:bidi="he-IL"/>
        </w:rPr>
        <w:t>.</w:t>
      </w:r>
    </w:p>
    <w:p w:rsidR="006E5067" w:rsidRDefault="006E5067" w:rsidP="00770CA9">
      <w:pPr>
        <w:tabs>
          <w:tab w:val="left" w:pos="-720"/>
          <w:tab w:val="left" w:pos="0"/>
        </w:tabs>
        <w:suppressAutoHyphens/>
        <w:spacing w:line="480" w:lineRule="auto"/>
        <w:ind w:left="720" w:right="-90" w:hanging="720"/>
        <w:rPr>
          <w:b/>
          <w:i/>
        </w:rPr>
      </w:pPr>
      <w:bookmarkStart w:id="8" w:name="_Toc187651136"/>
    </w:p>
    <w:p w:rsidR="006E5067" w:rsidRDefault="007D36FD" w:rsidP="00770CA9">
      <w:pPr>
        <w:tabs>
          <w:tab w:val="left" w:pos="-720"/>
          <w:tab w:val="left" w:pos="0"/>
        </w:tabs>
        <w:suppressAutoHyphens/>
        <w:spacing w:line="480" w:lineRule="auto"/>
        <w:ind w:left="720" w:right="-90" w:hanging="720"/>
        <w:rPr>
          <w:b/>
          <w:i/>
          <w:spacing w:val="-2"/>
        </w:rPr>
      </w:pPr>
      <w:r>
        <w:rPr>
          <w:b/>
          <w:i/>
        </w:rPr>
        <w:t xml:space="preserve"> </w:t>
      </w:r>
      <w:r w:rsidR="006E5067">
        <w:rPr>
          <w:b/>
          <w:i/>
          <w:spacing w:val="-2"/>
        </w:rPr>
        <w:t>Q10.</w:t>
      </w:r>
      <w:r w:rsidR="006E5067">
        <w:rPr>
          <w:b/>
          <w:i/>
          <w:spacing w:val="-2"/>
        </w:rPr>
        <w:tab/>
      </w:r>
      <w:r w:rsidR="00CD5F68">
        <w:rPr>
          <w:b/>
          <w:i/>
          <w:spacing w:val="-2"/>
        </w:rPr>
        <w:t xml:space="preserve">ARE THERE ANY EXHIBITS OR SCHEDULES ACCOMPANYING </w:t>
      </w:r>
      <w:r w:rsidR="00941BBF">
        <w:rPr>
          <w:b/>
          <w:i/>
          <w:spacing w:val="-2"/>
        </w:rPr>
        <w:t>YOUR</w:t>
      </w:r>
      <w:r w:rsidR="00CD5F68">
        <w:rPr>
          <w:b/>
          <w:i/>
          <w:spacing w:val="-2"/>
        </w:rPr>
        <w:t xml:space="preserve"> TESTIMONY</w:t>
      </w:r>
      <w:r w:rsidR="006E5067">
        <w:rPr>
          <w:b/>
          <w:i/>
          <w:spacing w:val="-2"/>
        </w:rPr>
        <w:t>?</w:t>
      </w:r>
    </w:p>
    <w:p w:rsidR="006E5067" w:rsidRDefault="006E5067" w:rsidP="00770CA9">
      <w:pPr>
        <w:tabs>
          <w:tab w:val="left" w:pos="-720"/>
          <w:tab w:val="left" w:pos="0"/>
        </w:tabs>
        <w:suppressAutoHyphens/>
        <w:spacing w:line="480" w:lineRule="auto"/>
        <w:ind w:left="720" w:right="-90" w:hanging="720"/>
        <w:rPr>
          <w:spacing w:val="-2"/>
        </w:rPr>
      </w:pPr>
      <w:r>
        <w:rPr>
          <w:b/>
          <w:i/>
          <w:spacing w:val="-2"/>
        </w:rPr>
        <w:t>A10.</w:t>
      </w:r>
      <w:r>
        <w:rPr>
          <w:spacing w:val="-2"/>
        </w:rPr>
        <w:tab/>
      </w:r>
      <w:r w:rsidR="00CD5F68">
        <w:rPr>
          <w:spacing w:val="-2"/>
        </w:rPr>
        <w:t>No</w:t>
      </w:r>
      <w:r>
        <w:rPr>
          <w:spacing w:val="-2"/>
        </w:rPr>
        <w:t xml:space="preserve">. </w:t>
      </w:r>
    </w:p>
    <w:p w:rsidR="00012829" w:rsidRDefault="007D36FD" w:rsidP="00770CA9">
      <w:pPr>
        <w:pStyle w:val="Heading1"/>
      </w:pPr>
      <w:bookmarkStart w:id="9" w:name="_Toc386442352"/>
      <w:bookmarkStart w:id="10" w:name="_Toc387071429"/>
      <w:bookmarkStart w:id="11" w:name="_Toc388960491"/>
      <w:r>
        <w:t>I</w:t>
      </w:r>
      <w:r w:rsidR="001A49A3">
        <w:t>I</w:t>
      </w:r>
      <w:r>
        <w:t>I.</w:t>
      </w:r>
      <w:r>
        <w:tab/>
      </w:r>
      <w:bookmarkEnd w:id="8"/>
      <w:r w:rsidR="006919A8">
        <w:t xml:space="preserve">2011 Storm </w:t>
      </w:r>
      <w:r w:rsidR="006E5067">
        <w:t>EXPENSES</w:t>
      </w:r>
      <w:bookmarkEnd w:id="9"/>
      <w:bookmarkEnd w:id="10"/>
      <w:bookmarkEnd w:id="11"/>
    </w:p>
    <w:p w:rsidR="003B3BD9" w:rsidRPr="003B3BD9" w:rsidRDefault="003B3BD9" w:rsidP="00770CA9">
      <w:pPr>
        <w:spacing w:line="480" w:lineRule="auto"/>
      </w:pPr>
    </w:p>
    <w:p w:rsidR="00012829" w:rsidRDefault="007D36FD" w:rsidP="00770CA9">
      <w:pPr>
        <w:tabs>
          <w:tab w:val="left" w:pos="-720"/>
          <w:tab w:val="left" w:pos="0"/>
        </w:tabs>
        <w:suppressAutoHyphens/>
        <w:spacing w:line="480" w:lineRule="auto"/>
        <w:ind w:left="720" w:right="-90" w:hanging="720"/>
        <w:rPr>
          <w:b/>
          <w:i/>
        </w:rPr>
      </w:pPr>
      <w:r>
        <w:rPr>
          <w:b/>
          <w:i/>
        </w:rPr>
        <w:t>Q</w:t>
      </w:r>
      <w:r w:rsidR="003B3BD9">
        <w:rPr>
          <w:b/>
          <w:i/>
        </w:rPr>
        <w:t>11</w:t>
      </w:r>
      <w:r>
        <w:rPr>
          <w:b/>
          <w:i/>
        </w:rPr>
        <w:t>.</w:t>
      </w:r>
      <w:r>
        <w:rPr>
          <w:b/>
          <w:i/>
        </w:rPr>
        <w:tab/>
        <w:t xml:space="preserve">PLEASE </w:t>
      </w:r>
      <w:r w:rsidR="0054117C">
        <w:rPr>
          <w:b/>
          <w:i/>
        </w:rPr>
        <w:t>SUMMARIZE THE</w:t>
      </w:r>
      <w:r>
        <w:rPr>
          <w:b/>
          <w:i/>
        </w:rPr>
        <w:t xml:space="preserve"> </w:t>
      </w:r>
      <w:r w:rsidR="006919A8">
        <w:rPr>
          <w:b/>
          <w:i/>
        </w:rPr>
        <w:t>2011</w:t>
      </w:r>
      <w:r w:rsidR="005241F5">
        <w:rPr>
          <w:b/>
          <w:i/>
        </w:rPr>
        <w:t xml:space="preserve"> STORM EXPENSES</w:t>
      </w:r>
      <w:r w:rsidR="006919A8">
        <w:rPr>
          <w:b/>
          <w:i/>
        </w:rPr>
        <w:t xml:space="preserve"> THAT </w:t>
      </w:r>
      <w:r w:rsidR="002A45D9">
        <w:rPr>
          <w:b/>
          <w:i/>
        </w:rPr>
        <w:t>DP&amp;L</w:t>
      </w:r>
      <w:r w:rsidR="006919A8">
        <w:rPr>
          <w:b/>
          <w:i/>
        </w:rPr>
        <w:t xml:space="preserve"> S</w:t>
      </w:r>
      <w:r w:rsidR="00EB6C2D">
        <w:rPr>
          <w:b/>
          <w:i/>
        </w:rPr>
        <w:t>OUGHT</w:t>
      </w:r>
      <w:r w:rsidR="006919A8">
        <w:rPr>
          <w:b/>
          <w:i/>
        </w:rPr>
        <w:t xml:space="preserve"> TO INCLUDE IN </w:t>
      </w:r>
      <w:r w:rsidR="00EB6C2D">
        <w:rPr>
          <w:b/>
          <w:i/>
        </w:rPr>
        <w:t>ITS</w:t>
      </w:r>
      <w:r w:rsidR="006919A8">
        <w:rPr>
          <w:b/>
          <w:i/>
        </w:rPr>
        <w:t xml:space="preserve"> </w:t>
      </w:r>
      <w:r w:rsidR="00B46C60">
        <w:rPr>
          <w:b/>
          <w:i/>
        </w:rPr>
        <w:t>STORM COST RECOVERY</w:t>
      </w:r>
      <w:r w:rsidR="006919A8">
        <w:rPr>
          <w:b/>
          <w:i/>
        </w:rPr>
        <w:t xml:space="preserve"> RIDER</w:t>
      </w:r>
      <w:r>
        <w:rPr>
          <w:b/>
          <w:i/>
        </w:rPr>
        <w:t>.</w:t>
      </w:r>
    </w:p>
    <w:p w:rsidR="00012829" w:rsidRDefault="007D36FD" w:rsidP="00770CA9">
      <w:pPr>
        <w:tabs>
          <w:tab w:val="left" w:pos="-720"/>
          <w:tab w:val="left" w:pos="0"/>
        </w:tabs>
        <w:suppressAutoHyphens/>
        <w:spacing w:line="480" w:lineRule="auto"/>
        <w:ind w:left="720" w:right="-90" w:hanging="720"/>
        <w:rPr>
          <w:szCs w:val="24"/>
        </w:rPr>
      </w:pPr>
      <w:r>
        <w:rPr>
          <w:b/>
          <w:i/>
        </w:rPr>
        <w:t>A</w:t>
      </w:r>
      <w:r w:rsidR="003B3BD9">
        <w:rPr>
          <w:b/>
          <w:i/>
        </w:rPr>
        <w:t>11</w:t>
      </w:r>
      <w:r>
        <w:rPr>
          <w:b/>
          <w:i/>
        </w:rPr>
        <w:t>.</w:t>
      </w:r>
      <w:r>
        <w:tab/>
      </w:r>
      <w:r w:rsidR="002A45D9">
        <w:t>DP&amp;L</w:t>
      </w:r>
      <w:r w:rsidR="0054117C">
        <w:t xml:space="preserve"> </w:t>
      </w:r>
      <w:r w:rsidR="00434540">
        <w:t>s</w:t>
      </w:r>
      <w:r w:rsidR="009F3339">
        <w:t>ought</w:t>
      </w:r>
      <w:r w:rsidR="00434540">
        <w:t xml:space="preserve"> to collect, through the Storm Cost Recovery Rider, </w:t>
      </w:r>
      <w:r w:rsidR="005241F5">
        <w:t>O&amp;M expenses</w:t>
      </w:r>
      <w:r w:rsidR="00434540">
        <w:t xml:space="preserve"> that were</w:t>
      </w:r>
      <w:r w:rsidR="005241F5">
        <w:t xml:space="preserve"> </w:t>
      </w:r>
      <w:r w:rsidR="0054117C">
        <w:t xml:space="preserve">incurred </w:t>
      </w:r>
      <w:r w:rsidR="00434540">
        <w:t xml:space="preserve">as a result of the following </w:t>
      </w:r>
      <w:r w:rsidR="0054117C">
        <w:t>five storms in 2011:</w:t>
      </w:r>
    </w:p>
    <w:tbl>
      <w:tblPr>
        <w:tblpPr w:leftFromText="180" w:rightFromText="180" w:vertAnchor="text" w:horzAnchor="page" w:tblpXSpec="center" w:tblpY="207"/>
        <w:tblW w:w="0" w:type="auto"/>
        <w:tblLook w:val="04A0" w:firstRow="1" w:lastRow="0" w:firstColumn="1" w:lastColumn="0" w:noHBand="0" w:noVBand="1"/>
      </w:tblPr>
      <w:tblGrid>
        <w:gridCol w:w="1195"/>
        <w:gridCol w:w="222"/>
        <w:gridCol w:w="1663"/>
      </w:tblGrid>
      <w:tr w:rsidR="006C69FF" w:rsidRPr="006C69FF" w:rsidTr="00770CA9">
        <w:trPr>
          <w:trHeight w:val="285"/>
        </w:trPr>
        <w:tc>
          <w:tcPr>
            <w:tcW w:w="1195" w:type="dxa"/>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jc w:val="center"/>
              <w:textAlignment w:val="auto"/>
              <w:rPr>
                <w:color w:val="000000"/>
                <w:szCs w:val="24"/>
                <w:u w:val="single"/>
                <w:lang w:bidi="he-IL"/>
              </w:rPr>
            </w:pPr>
            <w:r w:rsidRPr="006C69FF">
              <w:rPr>
                <w:color w:val="000000"/>
                <w:szCs w:val="24"/>
                <w:u w:val="single"/>
                <w:lang w:bidi="he-IL"/>
              </w:rPr>
              <w:t>Date</w:t>
            </w:r>
          </w:p>
        </w:tc>
        <w:tc>
          <w:tcPr>
            <w:tcW w:w="0" w:type="auto"/>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textAlignment w:val="auto"/>
              <w:rPr>
                <w:color w:val="000000"/>
                <w:szCs w:val="24"/>
                <w:lang w:bidi="he-IL"/>
              </w:rPr>
            </w:pPr>
          </w:p>
        </w:tc>
        <w:tc>
          <w:tcPr>
            <w:tcW w:w="0" w:type="auto"/>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jc w:val="center"/>
              <w:textAlignment w:val="auto"/>
              <w:rPr>
                <w:color w:val="000000"/>
                <w:szCs w:val="24"/>
                <w:u w:val="single"/>
                <w:lang w:bidi="he-IL"/>
              </w:rPr>
            </w:pPr>
            <w:r w:rsidRPr="006C69FF">
              <w:rPr>
                <w:color w:val="000000"/>
                <w:szCs w:val="24"/>
                <w:u w:val="single"/>
                <w:lang w:bidi="he-IL"/>
              </w:rPr>
              <w:t>O&amp;M Expense</w:t>
            </w:r>
          </w:p>
        </w:tc>
      </w:tr>
      <w:tr w:rsidR="006C69FF" w:rsidRPr="006C69FF" w:rsidTr="00770CA9">
        <w:trPr>
          <w:trHeight w:val="285"/>
        </w:trPr>
        <w:tc>
          <w:tcPr>
            <w:tcW w:w="1195" w:type="dxa"/>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jc w:val="right"/>
              <w:textAlignment w:val="auto"/>
              <w:rPr>
                <w:color w:val="000000"/>
                <w:szCs w:val="24"/>
                <w:lang w:bidi="he-IL"/>
              </w:rPr>
            </w:pPr>
            <w:r w:rsidRPr="006C69FF">
              <w:rPr>
                <w:color w:val="000000"/>
                <w:szCs w:val="24"/>
                <w:lang w:bidi="he-IL"/>
              </w:rPr>
              <w:t>1/31/2011</w:t>
            </w:r>
          </w:p>
        </w:tc>
        <w:tc>
          <w:tcPr>
            <w:tcW w:w="0" w:type="auto"/>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textAlignment w:val="auto"/>
              <w:rPr>
                <w:color w:val="000000"/>
                <w:szCs w:val="24"/>
                <w:lang w:bidi="he-IL"/>
              </w:rPr>
            </w:pPr>
          </w:p>
        </w:tc>
        <w:tc>
          <w:tcPr>
            <w:tcW w:w="0" w:type="auto"/>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textAlignment w:val="auto"/>
              <w:rPr>
                <w:color w:val="000000"/>
                <w:szCs w:val="24"/>
                <w:lang w:bidi="he-IL"/>
              </w:rPr>
            </w:pPr>
            <w:r w:rsidRPr="006C69FF">
              <w:rPr>
                <w:color w:val="000000"/>
                <w:szCs w:val="24"/>
                <w:lang w:bidi="he-IL"/>
              </w:rPr>
              <w:t xml:space="preserve"> $   6,383,876 </w:t>
            </w:r>
          </w:p>
        </w:tc>
      </w:tr>
      <w:tr w:rsidR="006C69FF" w:rsidRPr="006C69FF" w:rsidTr="00770CA9">
        <w:trPr>
          <w:trHeight w:val="285"/>
        </w:trPr>
        <w:tc>
          <w:tcPr>
            <w:tcW w:w="1195" w:type="dxa"/>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jc w:val="right"/>
              <w:textAlignment w:val="auto"/>
              <w:rPr>
                <w:color w:val="000000"/>
                <w:szCs w:val="24"/>
                <w:lang w:bidi="he-IL"/>
              </w:rPr>
            </w:pPr>
            <w:r w:rsidRPr="006C69FF">
              <w:rPr>
                <w:color w:val="000000"/>
                <w:szCs w:val="24"/>
                <w:lang w:bidi="he-IL"/>
              </w:rPr>
              <w:t>5/22/2011</w:t>
            </w:r>
          </w:p>
        </w:tc>
        <w:tc>
          <w:tcPr>
            <w:tcW w:w="0" w:type="auto"/>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textAlignment w:val="auto"/>
              <w:rPr>
                <w:color w:val="000000"/>
                <w:szCs w:val="24"/>
                <w:lang w:bidi="he-IL"/>
              </w:rPr>
            </w:pPr>
          </w:p>
        </w:tc>
        <w:tc>
          <w:tcPr>
            <w:tcW w:w="0" w:type="auto"/>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textAlignment w:val="auto"/>
              <w:rPr>
                <w:color w:val="000000"/>
                <w:szCs w:val="24"/>
                <w:lang w:bidi="he-IL"/>
              </w:rPr>
            </w:pPr>
            <w:r w:rsidRPr="006C69FF">
              <w:rPr>
                <w:color w:val="000000"/>
                <w:szCs w:val="24"/>
                <w:lang w:bidi="he-IL"/>
              </w:rPr>
              <w:t xml:space="preserve">      1,147,344 </w:t>
            </w:r>
          </w:p>
        </w:tc>
      </w:tr>
      <w:tr w:rsidR="006C69FF" w:rsidRPr="006C69FF" w:rsidTr="00770CA9">
        <w:trPr>
          <w:trHeight w:val="285"/>
        </w:trPr>
        <w:tc>
          <w:tcPr>
            <w:tcW w:w="1195" w:type="dxa"/>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jc w:val="right"/>
              <w:textAlignment w:val="auto"/>
              <w:rPr>
                <w:color w:val="000000"/>
                <w:szCs w:val="24"/>
                <w:lang w:bidi="he-IL"/>
              </w:rPr>
            </w:pPr>
            <w:r w:rsidRPr="006C69FF">
              <w:rPr>
                <w:color w:val="000000"/>
                <w:szCs w:val="24"/>
                <w:lang w:bidi="he-IL"/>
              </w:rPr>
              <w:t>5/11/2011</w:t>
            </w:r>
          </w:p>
        </w:tc>
        <w:tc>
          <w:tcPr>
            <w:tcW w:w="0" w:type="auto"/>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textAlignment w:val="auto"/>
              <w:rPr>
                <w:color w:val="000000"/>
                <w:szCs w:val="24"/>
                <w:lang w:bidi="he-IL"/>
              </w:rPr>
            </w:pPr>
          </w:p>
        </w:tc>
        <w:tc>
          <w:tcPr>
            <w:tcW w:w="0" w:type="auto"/>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textAlignment w:val="auto"/>
              <w:rPr>
                <w:color w:val="000000"/>
                <w:szCs w:val="24"/>
                <w:lang w:bidi="he-IL"/>
              </w:rPr>
            </w:pPr>
            <w:r w:rsidRPr="006C69FF">
              <w:rPr>
                <w:color w:val="000000"/>
                <w:szCs w:val="24"/>
                <w:lang w:bidi="he-IL"/>
              </w:rPr>
              <w:t xml:space="preserve">      1,941,825 </w:t>
            </w:r>
          </w:p>
        </w:tc>
      </w:tr>
      <w:tr w:rsidR="006C69FF" w:rsidRPr="006C69FF" w:rsidTr="00770CA9">
        <w:trPr>
          <w:trHeight w:val="285"/>
        </w:trPr>
        <w:tc>
          <w:tcPr>
            <w:tcW w:w="1195" w:type="dxa"/>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jc w:val="right"/>
              <w:textAlignment w:val="auto"/>
              <w:rPr>
                <w:color w:val="000000"/>
                <w:szCs w:val="24"/>
                <w:lang w:bidi="he-IL"/>
              </w:rPr>
            </w:pPr>
            <w:r w:rsidRPr="006C69FF">
              <w:rPr>
                <w:color w:val="000000"/>
                <w:szCs w:val="24"/>
                <w:lang w:bidi="he-IL"/>
              </w:rPr>
              <w:t>7/24/2011</w:t>
            </w:r>
          </w:p>
        </w:tc>
        <w:tc>
          <w:tcPr>
            <w:tcW w:w="0" w:type="auto"/>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textAlignment w:val="auto"/>
              <w:rPr>
                <w:color w:val="000000"/>
                <w:szCs w:val="24"/>
                <w:lang w:bidi="he-IL"/>
              </w:rPr>
            </w:pPr>
          </w:p>
        </w:tc>
        <w:tc>
          <w:tcPr>
            <w:tcW w:w="0" w:type="auto"/>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textAlignment w:val="auto"/>
              <w:rPr>
                <w:color w:val="000000"/>
                <w:szCs w:val="24"/>
                <w:lang w:bidi="he-IL"/>
              </w:rPr>
            </w:pPr>
            <w:r w:rsidRPr="006C69FF">
              <w:rPr>
                <w:color w:val="000000"/>
                <w:szCs w:val="24"/>
                <w:lang w:bidi="he-IL"/>
              </w:rPr>
              <w:t xml:space="preserve">         283,667 </w:t>
            </w:r>
          </w:p>
        </w:tc>
      </w:tr>
      <w:tr w:rsidR="006C69FF" w:rsidRPr="006C69FF" w:rsidTr="00770CA9">
        <w:trPr>
          <w:trHeight w:val="330"/>
        </w:trPr>
        <w:tc>
          <w:tcPr>
            <w:tcW w:w="1195" w:type="dxa"/>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jc w:val="right"/>
              <w:textAlignment w:val="auto"/>
              <w:rPr>
                <w:color w:val="000000"/>
                <w:szCs w:val="24"/>
                <w:lang w:bidi="he-IL"/>
              </w:rPr>
            </w:pPr>
            <w:r w:rsidRPr="006C69FF">
              <w:rPr>
                <w:color w:val="000000"/>
                <w:szCs w:val="24"/>
                <w:lang w:bidi="he-IL"/>
              </w:rPr>
              <w:t>9/3/20</w:t>
            </w:r>
            <w:r w:rsidR="009C0F2D" w:rsidRPr="005E5C80">
              <w:rPr>
                <w:color w:val="000000"/>
                <w:szCs w:val="24"/>
                <w:lang w:bidi="he-IL"/>
              </w:rPr>
              <w:t>11</w:t>
            </w:r>
          </w:p>
        </w:tc>
        <w:tc>
          <w:tcPr>
            <w:tcW w:w="0" w:type="auto"/>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textAlignment w:val="auto"/>
              <w:rPr>
                <w:color w:val="000000"/>
                <w:szCs w:val="24"/>
                <w:lang w:bidi="he-IL"/>
              </w:rPr>
            </w:pPr>
          </w:p>
        </w:tc>
        <w:tc>
          <w:tcPr>
            <w:tcW w:w="0" w:type="auto"/>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textAlignment w:val="auto"/>
              <w:rPr>
                <w:color w:val="000000"/>
                <w:szCs w:val="24"/>
                <w:u w:val="single"/>
                <w:lang w:bidi="he-IL"/>
              </w:rPr>
            </w:pPr>
            <w:r w:rsidRPr="006C69FF">
              <w:rPr>
                <w:color w:val="000000"/>
                <w:szCs w:val="24"/>
                <w:u w:val="single"/>
                <w:lang w:bidi="he-IL"/>
              </w:rPr>
              <w:t xml:space="preserve">         278,585 </w:t>
            </w:r>
          </w:p>
        </w:tc>
      </w:tr>
      <w:tr w:rsidR="006C69FF" w:rsidRPr="006C69FF" w:rsidTr="00770CA9">
        <w:trPr>
          <w:trHeight w:val="330"/>
        </w:trPr>
        <w:tc>
          <w:tcPr>
            <w:tcW w:w="1195" w:type="dxa"/>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jc w:val="center"/>
              <w:textAlignment w:val="auto"/>
              <w:rPr>
                <w:color w:val="000000"/>
                <w:szCs w:val="24"/>
                <w:lang w:bidi="he-IL"/>
              </w:rPr>
            </w:pPr>
            <w:r w:rsidRPr="006C69FF">
              <w:rPr>
                <w:color w:val="000000"/>
                <w:szCs w:val="24"/>
                <w:lang w:bidi="he-IL"/>
              </w:rPr>
              <w:t>Total</w:t>
            </w:r>
          </w:p>
        </w:tc>
        <w:tc>
          <w:tcPr>
            <w:tcW w:w="0" w:type="auto"/>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textAlignment w:val="auto"/>
              <w:rPr>
                <w:color w:val="000000"/>
                <w:szCs w:val="24"/>
                <w:lang w:bidi="he-IL"/>
              </w:rPr>
            </w:pPr>
          </w:p>
        </w:tc>
        <w:tc>
          <w:tcPr>
            <w:tcW w:w="0" w:type="auto"/>
            <w:tcBorders>
              <w:top w:val="nil"/>
              <w:left w:val="nil"/>
              <w:bottom w:val="nil"/>
              <w:right w:val="nil"/>
            </w:tcBorders>
            <w:shd w:val="clear" w:color="auto" w:fill="auto"/>
            <w:noWrap/>
            <w:vAlign w:val="bottom"/>
            <w:hideMark/>
          </w:tcPr>
          <w:p w:rsidR="006C69FF" w:rsidRPr="006C69FF" w:rsidRDefault="006C69FF" w:rsidP="00770CA9">
            <w:pPr>
              <w:keepNext/>
              <w:keepLines/>
              <w:widowControl w:val="0"/>
              <w:overflowPunct/>
              <w:autoSpaceDE/>
              <w:autoSpaceDN/>
              <w:adjustRightInd/>
              <w:textAlignment w:val="auto"/>
              <w:rPr>
                <w:color w:val="000000"/>
                <w:szCs w:val="24"/>
                <w:u w:val="double"/>
                <w:lang w:bidi="he-IL"/>
              </w:rPr>
            </w:pPr>
            <w:r w:rsidRPr="006C69FF">
              <w:rPr>
                <w:color w:val="000000"/>
                <w:szCs w:val="24"/>
                <w:u w:val="double"/>
                <w:lang w:bidi="he-IL"/>
              </w:rPr>
              <w:t xml:space="preserve"> $ 10,035,297 </w:t>
            </w:r>
          </w:p>
        </w:tc>
      </w:tr>
    </w:tbl>
    <w:p w:rsidR="006C69FF" w:rsidRPr="00A63CE4" w:rsidRDefault="006C69FF" w:rsidP="00A63CE4">
      <w:pPr>
        <w:spacing w:line="480" w:lineRule="auto"/>
      </w:pPr>
    </w:p>
    <w:p w:rsidR="006C69FF" w:rsidRDefault="006C69FF" w:rsidP="00770CA9">
      <w:pPr>
        <w:widowControl w:val="0"/>
        <w:tabs>
          <w:tab w:val="left" w:pos="-720"/>
          <w:tab w:val="left" w:pos="0"/>
        </w:tabs>
        <w:suppressAutoHyphens/>
        <w:spacing w:line="480" w:lineRule="auto"/>
        <w:ind w:left="720" w:right="-90" w:hanging="720"/>
      </w:pPr>
    </w:p>
    <w:p w:rsidR="006C69FF" w:rsidRDefault="006C69FF" w:rsidP="00770CA9">
      <w:pPr>
        <w:tabs>
          <w:tab w:val="left" w:pos="-720"/>
          <w:tab w:val="left" w:pos="0"/>
        </w:tabs>
        <w:suppressAutoHyphens/>
        <w:spacing w:line="480" w:lineRule="auto"/>
        <w:ind w:left="720" w:right="-90" w:hanging="720"/>
        <w:rPr>
          <w:b/>
          <w:i/>
        </w:rPr>
      </w:pPr>
    </w:p>
    <w:p w:rsidR="006E5067" w:rsidRDefault="006E5067" w:rsidP="00770CA9">
      <w:pPr>
        <w:tabs>
          <w:tab w:val="left" w:pos="-720"/>
          <w:tab w:val="left" w:pos="0"/>
        </w:tabs>
        <w:suppressAutoHyphens/>
        <w:spacing w:line="480" w:lineRule="auto"/>
        <w:ind w:left="720" w:right="-90" w:hanging="720"/>
        <w:rPr>
          <w:b/>
          <w:i/>
        </w:rPr>
      </w:pPr>
    </w:p>
    <w:p w:rsidR="006E5067" w:rsidRDefault="006E5067" w:rsidP="00770CA9">
      <w:pPr>
        <w:tabs>
          <w:tab w:val="left" w:pos="-720"/>
          <w:tab w:val="left" w:pos="0"/>
        </w:tabs>
        <w:suppressAutoHyphens/>
        <w:spacing w:line="480" w:lineRule="auto"/>
        <w:ind w:left="720" w:right="-90" w:hanging="720"/>
        <w:rPr>
          <w:b/>
          <w:i/>
        </w:rPr>
      </w:pPr>
    </w:p>
    <w:p w:rsidR="00012829" w:rsidRDefault="007D36FD" w:rsidP="00770CA9">
      <w:pPr>
        <w:tabs>
          <w:tab w:val="left" w:pos="-720"/>
          <w:tab w:val="left" w:pos="0"/>
        </w:tabs>
        <w:suppressAutoHyphens/>
        <w:spacing w:line="480" w:lineRule="auto"/>
        <w:ind w:left="720" w:right="-90" w:hanging="720"/>
        <w:rPr>
          <w:b/>
          <w:i/>
        </w:rPr>
      </w:pPr>
      <w:r>
        <w:rPr>
          <w:b/>
          <w:i/>
        </w:rPr>
        <w:t>Q</w:t>
      </w:r>
      <w:r w:rsidR="003B3BD9">
        <w:rPr>
          <w:b/>
          <w:i/>
        </w:rPr>
        <w:t>12</w:t>
      </w:r>
      <w:r>
        <w:rPr>
          <w:b/>
          <w:i/>
        </w:rPr>
        <w:t>.</w:t>
      </w:r>
      <w:r>
        <w:rPr>
          <w:b/>
          <w:i/>
        </w:rPr>
        <w:tab/>
      </w:r>
      <w:r w:rsidR="00AE1945">
        <w:rPr>
          <w:b/>
          <w:i/>
        </w:rPr>
        <w:t>DID THE UTILITY DEFER THESE EXPENSES A</w:t>
      </w:r>
      <w:r w:rsidR="006E5067">
        <w:rPr>
          <w:b/>
          <w:i/>
        </w:rPr>
        <w:t>S</w:t>
      </w:r>
      <w:r w:rsidR="00AE1945">
        <w:rPr>
          <w:b/>
          <w:i/>
        </w:rPr>
        <w:t xml:space="preserve"> THEY WERE INCURRED IN 2011</w:t>
      </w:r>
      <w:r>
        <w:rPr>
          <w:b/>
          <w:i/>
        </w:rPr>
        <w:t>?</w:t>
      </w:r>
    </w:p>
    <w:p w:rsidR="00141CDD" w:rsidRPr="00141CDD" w:rsidRDefault="007D36FD" w:rsidP="00770CA9">
      <w:pPr>
        <w:tabs>
          <w:tab w:val="left" w:pos="-720"/>
          <w:tab w:val="left" w:pos="0"/>
        </w:tabs>
        <w:suppressAutoHyphens/>
        <w:spacing w:line="480" w:lineRule="auto"/>
        <w:ind w:left="720" w:right="-90" w:hanging="720"/>
      </w:pPr>
      <w:r>
        <w:rPr>
          <w:b/>
          <w:i/>
        </w:rPr>
        <w:t>A</w:t>
      </w:r>
      <w:r w:rsidR="003B3BD9">
        <w:rPr>
          <w:b/>
          <w:i/>
        </w:rPr>
        <w:t>12</w:t>
      </w:r>
      <w:r>
        <w:rPr>
          <w:b/>
          <w:i/>
        </w:rPr>
        <w:t>.</w:t>
      </w:r>
      <w:r>
        <w:tab/>
      </w:r>
      <w:r w:rsidR="00AE1945">
        <w:t xml:space="preserve">No.  As part of its </w:t>
      </w:r>
      <w:r w:rsidR="00434540">
        <w:t>A</w:t>
      </w:r>
      <w:r w:rsidR="00AE1945">
        <w:t xml:space="preserve">pplication in the present case, </w:t>
      </w:r>
      <w:r w:rsidR="00393690">
        <w:t xml:space="preserve">which was </w:t>
      </w:r>
      <w:r w:rsidR="00AE1945">
        <w:t xml:space="preserve">filed in December 2012, </w:t>
      </w:r>
      <w:r w:rsidR="002A45D9">
        <w:t>DP&amp;L</w:t>
      </w:r>
      <w:r w:rsidR="006E5067">
        <w:t xml:space="preserve"> for the first time</w:t>
      </w:r>
      <w:r w:rsidR="00AE1945">
        <w:t xml:space="preserve"> sought </w:t>
      </w:r>
      <w:r w:rsidR="00BF7610">
        <w:t xml:space="preserve">accounting </w:t>
      </w:r>
      <w:r w:rsidR="00AE1945">
        <w:t xml:space="preserve">authority to defer these expenses </w:t>
      </w:r>
      <w:r w:rsidR="00B46C60">
        <w:t>(</w:t>
      </w:r>
      <w:r w:rsidR="00AE1945">
        <w:t xml:space="preserve">and </w:t>
      </w:r>
      <w:r w:rsidR="00B46C60">
        <w:t xml:space="preserve">also to </w:t>
      </w:r>
      <w:r w:rsidR="00AE1945">
        <w:t>recover them pro</w:t>
      </w:r>
      <w:r w:rsidR="00393690">
        <w:t>spectively through it</w:t>
      </w:r>
      <w:r w:rsidR="00BF7610">
        <w:t>s</w:t>
      </w:r>
      <w:r w:rsidR="00393690">
        <w:t xml:space="preserve"> proposed S</w:t>
      </w:r>
      <w:r w:rsidR="00AE1945">
        <w:t xml:space="preserve">torm </w:t>
      </w:r>
      <w:r w:rsidR="00393690">
        <w:t>C</w:t>
      </w:r>
      <w:r w:rsidR="00AE1945">
        <w:t xml:space="preserve">ost </w:t>
      </w:r>
      <w:r w:rsidR="00393690">
        <w:t>Recovery R</w:t>
      </w:r>
      <w:r w:rsidR="00AE1945">
        <w:t>ider</w:t>
      </w:r>
      <w:r w:rsidR="00B46C60">
        <w:t>)</w:t>
      </w:r>
      <w:r w:rsidR="00AE1945">
        <w:t xml:space="preserve">.  </w:t>
      </w:r>
      <w:r w:rsidR="00B647F5">
        <w:t>In December 2012, t</w:t>
      </w:r>
      <w:r w:rsidR="00BD3280">
        <w:t>he Utility also recorded a journal entry to retroactively defer</w:t>
      </w:r>
      <w:r w:rsidR="00BF7610">
        <w:t>, and record as a regulatory asset,</w:t>
      </w:r>
      <w:r w:rsidR="00BD3280">
        <w:t xml:space="preserve"> $4,359,108 of 2011 storm expenses</w:t>
      </w:r>
      <w:r w:rsidR="00B647F5">
        <w:t>.</w:t>
      </w:r>
      <w:r w:rsidR="00BD3280">
        <w:t xml:space="preserve"> </w:t>
      </w:r>
      <w:r w:rsidR="00B647F5">
        <w:t xml:space="preserve"> Thus, it was not until December 2012 that </w:t>
      </w:r>
      <w:r w:rsidR="00BD3280">
        <w:t xml:space="preserve">DP&amp;L deemed that amount of the 2011 expenses to be probable of </w:t>
      </w:r>
      <w:r w:rsidR="00BF7610">
        <w:t xml:space="preserve">inclusion in </w:t>
      </w:r>
      <w:r w:rsidR="00BD3280">
        <w:t>future re</w:t>
      </w:r>
      <w:r w:rsidR="00BF7610">
        <w:t>venues</w:t>
      </w:r>
      <w:r w:rsidR="00BD3280">
        <w:t>.  The effect of recognizing the deferral in 2012</w:t>
      </w:r>
      <w:r w:rsidR="002A45D9">
        <w:t xml:space="preserve"> was to reduce </w:t>
      </w:r>
      <w:r w:rsidR="00B46C60">
        <w:t xml:space="preserve">reported </w:t>
      </w:r>
      <w:r w:rsidR="002A45D9">
        <w:t>expenses on the 2012 financial statements and to increase reported income accordingly.</w:t>
      </w:r>
    </w:p>
    <w:p w:rsidR="00012829" w:rsidRDefault="007D36FD" w:rsidP="00770CA9">
      <w:pPr>
        <w:pStyle w:val="BodyTextIndent2"/>
        <w:spacing w:after="0"/>
        <w:ind w:left="720" w:right="-90" w:hanging="720"/>
        <w:rPr>
          <w:rFonts w:ascii="Times New Roman" w:hAnsi="Times New Roman"/>
          <w:i/>
        </w:rPr>
      </w:pPr>
      <w:r>
        <w:rPr>
          <w:rFonts w:ascii="Times New Roman" w:hAnsi="Times New Roman"/>
          <w:b/>
          <w:i/>
          <w:spacing w:val="-2"/>
        </w:rPr>
        <w:t>Q</w:t>
      </w:r>
      <w:r w:rsidR="003B3BD9">
        <w:rPr>
          <w:rFonts w:ascii="Times New Roman" w:hAnsi="Times New Roman"/>
          <w:b/>
          <w:i/>
          <w:spacing w:val="-2"/>
        </w:rPr>
        <w:t>13</w:t>
      </w:r>
      <w:r>
        <w:rPr>
          <w:rFonts w:ascii="Times New Roman" w:hAnsi="Times New Roman"/>
          <w:b/>
          <w:i/>
          <w:spacing w:val="-2"/>
        </w:rPr>
        <w:t>.</w:t>
      </w:r>
      <w:r>
        <w:rPr>
          <w:rFonts w:ascii="Times New Roman" w:hAnsi="Times New Roman"/>
          <w:b/>
          <w:i/>
          <w:spacing w:val="-2"/>
        </w:rPr>
        <w:tab/>
      </w:r>
      <w:r w:rsidR="009C0F2D">
        <w:rPr>
          <w:rFonts w:ascii="Times New Roman" w:hAnsi="Times New Roman"/>
          <w:b/>
          <w:i/>
          <w:spacing w:val="-2"/>
        </w:rPr>
        <w:t xml:space="preserve">HAS THE UTILITY CITED ANY EVENTS OR </w:t>
      </w:r>
      <w:r w:rsidR="00BF7610">
        <w:rPr>
          <w:rFonts w:ascii="Times New Roman" w:hAnsi="Times New Roman"/>
          <w:b/>
          <w:i/>
          <w:spacing w:val="-2"/>
        </w:rPr>
        <w:t xml:space="preserve">NEW </w:t>
      </w:r>
      <w:r w:rsidR="00B46C60">
        <w:rPr>
          <w:rFonts w:ascii="Times New Roman" w:hAnsi="Times New Roman"/>
          <w:b/>
          <w:i/>
          <w:spacing w:val="-2"/>
        </w:rPr>
        <w:t>INFORMATION</w:t>
      </w:r>
      <w:r w:rsidR="00BF7610">
        <w:rPr>
          <w:rFonts w:ascii="Times New Roman" w:hAnsi="Times New Roman"/>
          <w:b/>
          <w:i/>
          <w:spacing w:val="-2"/>
        </w:rPr>
        <w:t xml:space="preserve"> </w:t>
      </w:r>
      <w:r w:rsidR="009C0F2D">
        <w:rPr>
          <w:rFonts w:ascii="Times New Roman" w:hAnsi="Times New Roman"/>
          <w:b/>
          <w:i/>
          <w:spacing w:val="-2"/>
        </w:rPr>
        <w:t xml:space="preserve">IN 2012 THAT WOULD IMPLY THAT APPROXIMATELY $4.4 MILLION OF </w:t>
      </w:r>
      <w:r w:rsidR="00B647F5">
        <w:rPr>
          <w:rFonts w:ascii="Times New Roman" w:hAnsi="Times New Roman"/>
          <w:b/>
          <w:i/>
          <w:spacing w:val="-2"/>
        </w:rPr>
        <w:t>THE O</w:t>
      </w:r>
      <w:r w:rsidR="008C7E3E">
        <w:rPr>
          <w:rFonts w:ascii="Times New Roman" w:hAnsi="Times New Roman"/>
          <w:b/>
          <w:i/>
          <w:spacing w:val="-2"/>
        </w:rPr>
        <w:t xml:space="preserve">PERATION AND MAINTAINANCE </w:t>
      </w:r>
      <w:r w:rsidR="009C0F2D">
        <w:rPr>
          <w:rFonts w:ascii="Times New Roman" w:hAnsi="Times New Roman"/>
          <w:b/>
          <w:i/>
          <w:spacing w:val="-2"/>
        </w:rPr>
        <w:t>EXPENSES ASSOCIATED WITH 2011 STORMS WERE MORE PROBABLE OF RECOVERY AS OF DECEMBER 2012 THAN THEY WERE IN 2011</w:t>
      </w:r>
      <w:r>
        <w:rPr>
          <w:rFonts w:ascii="Times New Roman" w:hAnsi="Times New Roman"/>
          <w:b/>
          <w:i/>
        </w:rPr>
        <w:t>?</w:t>
      </w:r>
    </w:p>
    <w:p w:rsidR="00BC7B4E" w:rsidRDefault="007D36FD" w:rsidP="00770CA9">
      <w:pPr>
        <w:spacing w:line="480" w:lineRule="auto"/>
        <w:ind w:left="720" w:right="-90" w:hanging="720"/>
      </w:pPr>
      <w:r>
        <w:rPr>
          <w:b/>
          <w:i/>
        </w:rPr>
        <w:t>A</w:t>
      </w:r>
      <w:r w:rsidR="003B3BD9">
        <w:rPr>
          <w:b/>
          <w:i/>
        </w:rPr>
        <w:t>13</w:t>
      </w:r>
      <w:r>
        <w:rPr>
          <w:i/>
        </w:rPr>
        <w:t>.</w:t>
      </w:r>
      <w:r>
        <w:tab/>
      </w:r>
      <w:r w:rsidR="009C0F2D">
        <w:t>No</w:t>
      </w:r>
      <w:r w:rsidR="001A49A3">
        <w:t>.</w:t>
      </w:r>
      <w:r w:rsidR="009C0F2D">
        <w:t xml:space="preserve">  December 2012 was approximately 23 months after the bulk of the 2011 storm expenses were incurred and 15 months after the last of the 2011</w:t>
      </w:r>
      <w:r w:rsidR="009C0F2D" w:rsidRPr="009C0F2D">
        <w:t xml:space="preserve"> </w:t>
      </w:r>
      <w:r w:rsidR="009C0F2D">
        <w:t xml:space="preserve">storm expenses were incurred.  </w:t>
      </w:r>
      <w:r w:rsidR="00F76D54">
        <w:t xml:space="preserve">Logically, the passage of time without any authority to defer expenses would make the probability of future recovery less probable, not more probable.  For example, if DP&amp;L applied in 2012 to defer expenses that were incurred </w:t>
      </w:r>
      <w:r w:rsidR="00B647F5">
        <w:t xml:space="preserve">in </w:t>
      </w:r>
      <w:r w:rsidR="00F76D54">
        <w:t xml:space="preserve">2002 or 2003, I think that </w:t>
      </w:r>
      <w:r w:rsidR="006E5067">
        <w:t xml:space="preserve">any forthcoming </w:t>
      </w:r>
      <w:r w:rsidR="00F76D54">
        <w:t xml:space="preserve">authorization to defer such expenses </w:t>
      </w:r>
      <w:r w:rsidR="00BF7610">
        <w:t xml:space="preserve">for future recovery </w:t>
      </w:r>
      <w:r w:rsidR="00F76D54">
        <w:t>would have to be a considered a long shot, at best.</w:t>
      </w:r>
    </w:p>
    <w:p w:rsidR="00770CA9" w:rsidRDefault="00770CA9" w:rsidP="00A63CE4">
      <w:pPr>
        <w:spacing w:line="480" w:lineRule="auto"/>
        <w:ind w:left="720" w:right="-90"/>
      </w:pPr>
    </w:p>
    <w:p w:rsidR="00770CA9" w:rsidRDefault="00423528" w:rsidP="00770CA9">
      <w:pPr>
        <w:spacing w:line="480" w:lineRule="auto"/>
        <w:ind w:left="720" w:right="-90"/>
        <w:rPr>
          <w:b/>
          <w:bCs/>
          <w:i/>
        </w:rPr>
      </w:pPr>
      <w:r>
        <w:t>A</w:t>
      </w:r>
      <w:r w:rsidR="00F76D54">
        <w:t xml:space="preserve">pplying for authority in December 2012 to defer expenses from 2011 does not </w:t>
      </w:r>
      <w:r w:rsidR="00B647F5">
        <w:t xml:space="preserve">substantively </w:t>
      </w:r>
      <w:r w:rsidR="00F76D54">
        <w:t>make such expenses more probable of future recovery.</w:t>
      </w:r>
      <w:r w:rsidR="00760CCD">
        <w:t xml:space="preserve">  There was no action by regulators in December 2012, or immediately thereafter, that made any 2011 storm expenses probable of future recovery whereas they had previously not been.</w:t>
      </w:r>
      <w:r w:rsidR="00D62429">
        <w:t xml:space="preserve">  DP&amp;L has not identified any criteria </w:t>
      </w:r>
      <w:r w:rsidR="00095460">
        <w:t xml:space="preserve">or reasons </w:t>
      </w:r>
      <w:r w:rsidR="00D62429">
        <w:t xml:space="preserve">for </w:t>
      </w:r>
      <w:r w:rsidR="00095460">
        <w:t xml:space="preserve">recognizing this $4.4 million in O&amp;M expenses </w:t>
      </w:r>
      <w:r w:rsidR="00D928F1">
        <w:t>as a regulatory asset</w:t>
      </w:r>
      <w:r w:rsidR="00D62429">
        <w:t xml:space="preserve"> </w:t>
      </w:r>
      <w:r w:rsidR="00D928F1">
        <w:t>in 2012</w:t>
      </w:r>
      <w:r w:rsidR="00095460">
        <w:t xml:space="preserve"> that were not also met in 2011</w:t>
      </w:r>
      <w:r w:rsidR="00D928F1">
        <w:t>.</w:t>
      </w:r>
      <w:r w:rsidR="00770CA9">
        <w:rPr>
          <w:b/>
          <w:bCs/>
          <w:i/>
        </w:rPr>
        <w:br w:type="page"/>
      </w:r>
    </w:p>
    <w:p w:rsidR="00872598" w:rsidRDefault="00872598" w:rsidP="00770CA9">
      <w:pPr>
        <w:spacing w:line="480" w:lineRule="auto"/>
        <w:ind w:left="720" w:right="-90" w:hanging="720"/>
        <w:rPr>
          <w:b/>
          <w:bCs/>
          <w:i/>
        </w:rPr>
      </w:pPr>
      <w:r>
        <w:rPr>
          <w:b/>
          <w:bCs/>
          <w:i/>
        </w:rPr>
        <w:t>Q</w:t>
      </w:r>
      <w:r w:rsidR="003B3BD9">
        <w:rPr>
          <w:b/>
          <w:bCs/>
          <w:i/>
        </w:rPr>
        <w:t>14</w:t>
      </w:r>
      <w:r>
        <w:rPr>
          <w:b/>
          <w:bCs/>
          <w:i/>
        </w:rPr>
        <w:t>.</w:t>
      </w:r>
      <w:r>
        <w:rPr>
          <w:b/>
          <w:bCs/>
          <w:i/>
        </w:rPr>
        <w:tab/>
        <w:t>HAS THE UTILITY RECEIVED PUCO APPROVAL TO DEFER THE 2011 STORM RESTORATION EXPENSES</w:t>
      </w:r>
      <w:r>
        <w:rPr>
          <w:b/>
          <w:i/>
          <w:spacing w:val="-2"/>
        </w:rPr>
        <w:t>?</w:t>
      </w:r>
    </w:p>
    <w:p w:rsidR="00872598" w:rsidRDefault="00872598" w:rsidP="00770CA9">
      <w:pPr>
        <w:spacing w:line="480" w:lineRule="auto"/>
        <w:ind w:left="720" w:right="-90" w:hanging="720"/>
      </w:pPr>
      <w:r>
        <w:rPr>
          <w:b/>
          <w:i/>
        </w:rPr>
        <w:t>A</w:t>
      </w:r>
      <w:r w:rsidR="003B3BD9">
        <w:rPr>
          <w:b/>
          <w:i/>
        </w:rPr>
        <w:t>14</w:t>
      </w:r>
      <w:r>
        <w:rPr>
          <w:i/>
        </w:rPr>
        <w:t>.</w:t>
      </w:r>
      <w:r>
        <w:rPr>
          <w:i/>
        </w:rPr>
        <w:tab/>
      </w:r>
      <w:r>
        <w:rPr>
          <w:iCs/>
        </w:rPr>
        <w:t>To my knowledge, it has not</w:t>
      </w:r>
      <w:r w:rsidR="00095460">
        <w:rPr>
          <w:iCs/>
        </w:rPr>
        <w:t>.</w:t>
      </w:r>
    </w:p>
    <w:p w:rsidR="00872598" w:rsidRDefault="00872598" w:rsidP="00770CA9">
      <w:pPr>
        <w:spacing w:line="480" w:lineRule="auto"/>
        <w:ind w:left="720" w:right="-90" w:hanging="720"/>
      </w:pPr>
    </w:p>
    <w:p w:rsidR="00E22B05" w:rsidRDefault="00E22B05" w:rsidP="00770CA9">
      <w:pPr>
        <w:spacing w:line="480" w:lineRule="auto"/>
        <w:ind w:left="720" w:right="-90" w:hanging="720"/>
        <w:rPr>
          <w:b/>
          <w:bCs/>
          <w:i/>
        </w:rPr>
      </w:pPr>
      <w:r>
        <w:rPr>
          <w:b/>
          <w:bCs/>
          <w:i/>
        </w:rPr>
        <w:t>Q</w:t>
      </w:r>
      <w:r w:rsidR="003B3BD9">
        <w:rPr>
          <w:b/>
          <w:bCs/>
          <w:i/>
        </w:rPr>
        <w:t>15</w:t>
      </w:r>
      <w:r>
        <w:rPr>
          <w:b/>
          <w:bCs/>
          <w:i/>
        </w:rPr>
        <w:t>.</w:t>
      </w:r>
      <w:r>
        <w:rPr>
          <w:b/>
          <w:bCs/>
          <w:i/>
        </w:rPr>
        <w:tab/>
        <w:t xml:space="preserve">IS </w:t>
      </w:r>
      <w:r w:rsidR="007329FC">
        <w:rPr>
          <w:b/>
          <w:bCs/>
          <w:i/>
        </w:rPr>
        <w:t xml:space="preserve">THE </w:t>
      </w:r>
      <w:r>
        <w:rPr>
          <w:b/>
          <w:bCs/>
          <w:i/>
        </w:rPr>
        <w:t xml:space="preserve">TIMING OF </w:t>
      </w:r>
      <w:r w:rsidR="008C7E3E">
        <w:rPr>
          <w:b/>
          <w:bCs/>
          <w:i/>
        </w:rPr>
        <w:t>DP&amp;L’S</w:t>
      </w:r>
      <w:r>
        <w:rPr>
          <w:b/>
          <w:bCs/>
          <w:i/>
        </w:rPr>
        <w:t xml:space="preserve"> DECISION TO DEFER THESE COSTS RELEVANT TO CONSIDERATION OF</w:t>
      </w:r>
      <w:r w:rsidR="00ED7BA5">
        <w:rPr>
          <w:b/>
          <w:bCs/>
          <w:i/>
        </w:rPr>
        <w:t xml:space="preserve"> THE EXTENT TO WHICH</w:t>
      </w:r>
      <w:r w:rsidR="007F7C64">
        <w:rPr>
          <w:b/>
          <w:bCs/>
          <w:i/>
        </w:rPr>
        <w:t xml:space="preserve"> A</w:t>
      </w:r>
      <w:r w:rsidR="00ED7BA5">
        <w:rPr>
          <w:b/>
          <w:bCs/>
          <w:i/>
        </w:rPr>
        <w:t xml:space="preserve"> DEFERRAL SHOULD BE AUTHORIZED</w:t>
      </w:r>
      <w:r>
        <w:rPr>
          <w:b/>
          <w:i/>
          <w:spacing w:val="-2"/>
        </w:rPr>
        <w:t>?</w:t>
      </w:r>
    </w:p>
    <w:p w:rsidR="00E22B05" w:rsidRDefault="00E22B05" w:rsidP="00770CA9">
      <w:pPr>
        <w:spacing w:line="480" w:lineRule="auto"/>
        <w:ind w:left="720" w:right="-90" w:hanging="720"/>
      </w:pPr>
      <w:r>
        <w:rPr>
          <w:b/>
          <w:i/>
        </w:rPr>
        <w:t>A</w:t>
      </w:r>
      <w:r w:rsidR="003B3BD9">
        <w:rPr>
          <w:b/>
          <w:i/>
        </w:rPr>
        <w:t>15</w:t>
      </w:r>
      <w:r>
        <w:rPr>
          <w:i/>
        </w:rPr>
        <w:t>.</w:t>
      </w:r>
      <w:r>
        <w:rPr>
          <w:i/>
        </w:rPr>
        <w:tab/>
      </w:r>
      <w:r>
        <w:rPr>
          <w:iCs/>
        </w:rPr>
        <w:t>Yes, I believe that it is.  In Case No. 04-1931-EL-AAM, the FirstEnergy companies filed an application on December 30, 2004</w:t>
      </w:r>
      <w:r w:rsidR="00095460">
        <w:rPr>
          <w:iCs/>
        </w:rPr>
        <w:t>,</w:t>
      </w:r>
      <w:r>
        <w:rPr>
          <w:iCs/>
        </w:rPr>
        <w:t xml:space="preserve"> seeking authority to defer </w:t>
      </w:r>
      <w:r>
        <w:t xml:space="preserve">incremental transmission and ancillary service-related charges related to membership in the Midwest Independent Transmission System Operator, Inc.  The relevant costs had commenced in October 2003 and were expected to continue </w:t>
      </w:r>
      <w:r w:rsidR="00872598">
        <w:t>until January 1,</w:t>
      </w:r>
      <w:r>
        <w:t xml:space="preserve"> 2006.  The PUCO determined that:</w:t>
      </w:r>
      <w:r w:rsidR="00A63CE4">
        <w:t xml:space="preserve"> </w:t>
      </w:r>
      <w:r>
        <w:t xml:space="preserve"> “For those charges incurred prior to the filing of the application, the [PUCO] notes that FirstEnergy has been aware that it was incurring these charges since it joined MISO on October 1, 2003; however, FirstEnergy did not file its application to defer these charges until December 30, 2004.  Therefore, FirstEnergy will not be granted authority to defer charges incurred prior to the filing of the application.  FirstEnergy will be permitted to defer only those charges incurred on a going-forward basis after the filing of the application and ending January 1, 2006.”</w:t>
      </w:r>
      <w:r>
        <w:rPr>
          <w:rStyle w:val="FootnoteReference"/>
        </w:rPr>
        <w:footnoteReference w:id="1"/>
      </w:r>
    </w:p>
    <w:p w:rsidR="00872598" w:rsidRDefault="00872598" w:rsidP="00770CA9">
      <w:pPr>
        <w:spacing w:line="480" w:lineRule="auto"/>
        <w:ind w:left="720" w:right="-90"/>
      </w:pPr>
      <w:r>
        <w:rPr>
          <w:bCs/>
          <w:iCs/>
        </w:rPr>
        <w:t>The PUCO found that FirstEnergy’s delay in seeking authority to defer the costs in question was relevant to its determination of the extent to which the deferrals should be authorized.  I believe that DP&amp;L’s delay in seeking authority to defer the 2011 storm restoration costs is a similarly relevant consideration in the present case.</w:t>
      </w:r>
      <w:r w:rsidR="007329FC" w:rsidRPr="007329FC">
        <w:t xml:space="preserve"> </w:t>
      </w:r>
      <w:r w:rsidR="007329FC">
        <w:t xml:space="preserve"> Like FirstEnergy, DP&amp;L was aware in 2011 of the storm damage expenses that had been incurred in that year.  However, DP&amp;L unreasonably delayed seeking authority to defer those 2011 expenses.  Therefore, DP&amp;L should not be given deferral authority for restoration expenses that </w:t>
      </w:r>
      <w:r w:rsidR="00095460">
        <w:t xml:space="preserve">were </w:t>
      </w:r>
      <w:r w:rsidR="007329FC">
        <w:t xml:space="preserve">incurred prior to the </w:t>
      </w:r>
      <w:r w:rsidR="00095460">
        <w:t>A</w:t>
      </w:r>
      <w:r w:rsidR="007329FC">
        <w:t>pplication – which in this case, would be all of 2011 major storm restoration expenses.</w:t>
      </w:r>
    </w:p>
    <w:p w:rsidR="00770CA9" w:rsidRPr="00872598" w:rsidRDefault="00770CA9" w:rsidP="00770CA9">
      <w:pPr>
        <w:spacing w:line="480" w:lineRule="auto"/>
        <w:ind w:left="720" w:right="-90"/>
        <w:rPr>
          <w:bCs/>
          <w:iCs/>
        </w:rPr>
      </w:pPr>
    </w:p>
    <w:p w:rsidR="00E22B05" w:rsidRPr="00095460" w:rsidRDefault="00E22B05" w:rsidP="00770CA9">
      <w:pPr>
        <w:spacing w:line="480" w:lineRule="auto"/>
        <w:ind w:left="720" w:right="-90" w:hanging="720"/>
        <w:rPr>
          <w:b/>
          <w:i/>
        </w:rPr>
      </w:pPr>
      <w:r w:rsidRPr="00095460">
        <w:rPr>
          <w:b/>
          <w:i/>
        </w:rPr>
        <w:t xml:space="preserve"> </w:t>
      </w:r>
      <w:r w:rsidR="00095460" w:rsidRPr="00095460">
        <w:rPr>
          <w:b/>
          <w:i/>
        </w:rPr>
        <w:t>Q</w:t>
      </w:r>
      <w:r w:rsidR="003B3BD9">
        <w:rPr>
          <w:b/>
          <w:i/>
        </w:rPr>
        <w:t>16</w:t>
      </w:r>
      <w:r w:rsidR="00095460" w:rsidRPr="00095460">
        <w:rPr>
          <w:b/>
          <w:i/>
        </w:rPr>
        <w:t>.</w:t>
      </w:r>
      <w:r w:rsidR="00095460" w:rsidRPr="00095460">
        <w:rPr>
          <w:b/>
          <w:i/>
        </w:rPr>
        <w:tab/>
        <w:t>WAS THE UTILITY’S INCOME IN 2012 LOWER THAN ITS INCOME IN 2011?</w:t>
      </w:r>
    </w:p>
    <w:p w:rsidR="00095460" w:rsidRDefault="00095460" w:rsidP="00770CA9">
      <w:pPr>
        <w:spacing w:line="480" w:lineRule="auto"/>
        <w:ind w:left="720" w:right="-90" w:hanging="720"/>
      </w:pPr>
      <w:r w:rsidRPr="003B3BD9">
        <w:rPr>
          <w:b/>
          <w:bCs/>
          <w:i/>
          <w:iCs/>
        </w:rPr>
        <w:t>A</w:t>
      </w:r>
      <w:r w:rsidR="003B3BD9" w:rsidRPr="003B3BD9">
        <w:rPr>
          <w:b/>
          <w:bCs/>
          <w:i/>
          <w:iCs/>
        </w:rPr>
        <w:t>16</w:t>
      </w:r>
      <w:r w:rsidRPr="003B3BD9">
        <w:rPr>
          <w:b/>
          <w:bCs/>
          <w:i/>
          <w:iCs/>
        </w:rPr>
        <w:t>.</w:t>
      </w:r>
      <w:r w:rsidRPr="00095460">
        <w:tab/>
        <w:t>Yes, the Utility’s reported net income in 2011 was $</w:t>
      </w:r>
      <w:r>
        <w:rPr>
          <w:iCs/>
        </w:rPr>
        <w:t>193.2 million</w:t>
      </w:r>
      <w:r w:rsidRPr="00095460">
        <w:t xml:space="preserve">, </w:t>
      </w:r>
      <w:r>
        <w:t>which dropped to</w:t>
      </w:r>
      <w:r w:rsidRPr="00095460">
        <w:t xml:space="preserve"> $91.1 million</w:t>
      </w:r>
      <w:r>
        <w:t xml:space="preserve"> in 2012</w:t>
      </w:r>
      <w:r w:rsidRPr="00095460">
        <w:t>.</w:t>
      </w:r>
    </w:p>
    <w:p w:rsidR="003B3BD9" w:rsidRPr="00095460" w:rsidRDefault="003B3BD9" w:rsidP="00770CA9">
      <w:pPr>
        <w:spacing w:line="480" w:lineRule="auto"/>
        <w:ind w:left="720" w:right="-90" w:hanging="720"/>
      </w:pPr>
    </w:p>
    <w:p w:rsidR="00012829" w:rsidRDefault="007D36FD" w:rsidP="00770CA9">
      <w:pPr>
        <w:spacing w:line="480" w:lineRule="auto"/>
        <w:ind w:left="720" w:right="-90" w:hanging="720"/>
        <w:rPr>
          <w:b/>
          <w:bCs/>
          <w:i/>
        </w:rPr>
      </w:pPr>
      <w:r>
        <w:rPr>
          <w:b/>
          <w:bCs/>
          <w:i/>
        </w:rPr>
        <w:t>Q</w:t>
      </w:r>
      <w:r w:rsidR="003B3BD9">
        <w:rPr>
          <w:b/>
          <w:bCs/>
          <w:i/>
        </w:rPr>
        <w:t>17</w:t>
      </w:r>
      <w:r>
        <w:rPr>
          <w:b/>
          <w:bCs/>
          <w:i/>
        </w:rPr>
        <w:t>.</w:t>
      </w:r>
      <w:r>
        <w:rPr>
          <w:b/>
          <w:bCs/>
          <w:i/>
        </w:rPr>
        <w:tab/>
      </w:r>
      <w:r w:rsidR="00524221">
        <w:rPr>
          <w:b/>
          <w:i/>
          <w:spacing w:val="-2"/>
        </w:rPr>
        <w:t xml:space="preserve">WAS THE </w:t>
      </w:r>
      <w:r w:rsidR="00095460">
        <w:rPr>
          <w:b/>
          <w:i/>
          <w:spacing w:val="-2"/>
        </w:rPr>
        <w:t xml:space="preserve">UTILITY’S </w:t>
      </w:r>
      <w:r w:rsidR="00524221">
        <w:rPr>
          <w:b/>
          <w:i/>
          <w:spacing w:val="-2"/>
        </w:rPr>
        <w:t>LOWER INCOME IN 2012 GROUNDS FOR RECORDING A DEFERRAL OF COSTS THAT HAD BEEN CHARGED TO EXPENSE INA PREVIOUS PERIOD?</w:t>
      </w:r>
    </w:p>
    <w:p w:rsidR="0054117C" w:rsidRDefault="007D36FD" w:rsidP="00770CA9">
      <w:pPr>
        <w:spacing w:line="480" w:lineRule="auto"/>
        <w:ind w:left="720" w:right="-90" w:hanging="720"/>
      </w:pPr>
      <w:r>
        <w:rPr>
          <w:b/>
          <w:i/>
        </w:rPr>
        <w:t>A</w:t>
      </w:r>
      <w:r w:rsidR="003B3BD9">
        <w:rPr>
          <w:b/>
          <w:i/>
        </w:rPr>
        <w:t>17</w:t>
      </w:r>
      <w:r>
        <w:rPr>
          <w:i/>
        </w:rPr>
        <w:t>.</w:t>
      </w:r>
      <w:r>
        <w:rPr>
          <w:i/>
        </w:rPr>
        <w:tab/>
      </w:r>
      <w:r w:rsidR="00524221">
        <w:rPr>
          <w:iCs/>
        </w:rPr>
        <w:t xml:space="preserve">No.  </w:t>
      </w:r>
      <w:r w:rsidR="00BC4569">
        <w:rPr>
          <w:szCs w:val="24"/>
        </w:rPr>
        <w:t xml:space="preserve">The </w:t>
      </w:r>
      <w:r w:rsidR="00095460">
        <w:rPr>
          <w:szCs w:val="24"/>
        </w:rPr>
        <w:t xml:space="preserve">Utility’s </w:t>
      </w:r>
      <w:r w:rsidR="00BC4569">
        <w:rPr>
          <w:szCs w:val="24"/>
        </w:rPr>
        <w:t xml:space="preserve">net income </w:t>
      </w:r>
      <w:r w:rsidR="006E5067">
        <w:rPr>
          <w:szCs w:val="24"/>
        </w:rPr>
        <w:t xml:space="preserve">in 2012 </w:t>
      </w:r>
      <w:r w:rsidR="00BC4569">
        <w:rPr>
          <w:szCs w:val="24"/>
        </w:rPr>
        <w:t>was affected by an impairment charge of $80.8 million</w:t>
      </w:r>
      <w:r w:rsidR="005848A4">
        <w:rPr>
          <w:szCs w:val="24"/>
        </w:rPr>
        <w:t xml:space="preserve">, which </w:t>
      </w:r>
      <w:r w:rsidR="00513580">
        <w:rPr>
          <w:szCs w:val="24"/>
        </w:rPr>
        <w:t>would reduce</w:t>
      </w:r>
      <w:r w:rsidR="005848A4">
        <w:rPr>
          <w:szCs w:val="24"/>
        </w:rPr>
        <w:t xml:space="preserve"> </w:t>
      </w:r>
      <w:r w:rsidR="00513580">
        <w:rPr>
          <w:szCs w:val="24"/>
        </w:rPr>
        <w:t>after-tax</w:t>
      </w:r>
      <w:r w:rsidR="005848A4">
        <w:rPr>
          <w:szCs w:val="24"/>
        </w:rPr>
        <w:t xml:space="preserve"> income by </w:t>
      </w:r>
      <w:r w:rsidR="00513580">
        <w:rPr>
          <w:szCs w:val="24"/>
        </w:rPr>
        <w:t xml:space="preserve">approximately </w:t>
      </w:r>
      <w:r w:rsidR="005848A4">
        <w:rPr>
          <w:szCs w:val="24"/>
        </w:rPr>
        <w:t>$52.5 million</w:t>
      </w:r>
      <w:r w:rsidR="00095460">
        <w:rPr>
          <w:szCs w:val="24"/>
        </w:rPr>
        <w:t>.  Nevertheless</w:t>
      </w:r>
      <w:r w:rsidR="005848A4">
        <w:rPr>
          <w:szCs w:val="24"/>
        </w:rPr>
        <w:t xml:space="preserve">, the 2012 net income was significantly below the 2011 net income, </w:t>
      </w:r>
      <w:r w:rsidR="00095460">
        <w:rPr>
          <w:szCs w:val="24"/>
        </w:rPr>
        <w:t>irrespective</w:t>
      </w:r>
      <w:r w:rsidR="005848A4">
        <w:rPr>
          <w:szCs w:val="24"/>
        </w:rPr>
        <w:t xml:space="preserve"> of the impairment charge</w:t>
      </w:r>
      <w:r w:rsidR="00095460">
        <w:rPr>
          <w:szCs w:val="24"/>
        </w:rPr>
        <w:t>’s effect</w:t>
      </w:r>
      <w:r w:rsidR="00524221">
        <w:rPr>
          <w:szCs w:val="24"/>
        </w:rPr>
        <w:t>.</w:t>
      </w:r>
      <w:r w:rsidR="00524221">
        <w:t xml:space="preserve">  However,</w:t>
      </w:r>
      <w:r w:rsidR="005848A4">
        <w:t xml:space="preserve"> </w:t>
      </w:r>
      <w:r w:rsidR="00524221">
        <w:t>t</w:t>
      </w:r>
      <w:r w:rsidR="005848A4">
        <w:t>he lower income in 2012 is irrelevant to the probability of future recovery of expenses</w:t>
      </w:r>
      <w:r w:rsidR="00913EE6">
        <w:t xml:space="preserve"> that had been incurred in 2011</w:t>
      </w:r>
      <w:r w:rsidR="005848A4">
        <w:t>.</w:t>
      </w:r>
    </w:p>
    <w:p w:rsidR="0054117C" w:rsidRDefault="0054117C" w:rsidP="00770CA9">
      <w:pPr>
        <w:spacing w:line="480" w:lineRule="auto"/>
        <w:ind w:left="720" w:right="-90" w:hanging="720"/>
      </w:pPr>
    </w:p>
    <w:p w:rsidR="0054117C" w:rsidRDefault="0054117C" w:rsidP="00770CA9">
      <w:pPr>
        <w:spacing w:line="480" w:lineRule="auto"/>
        <w:ind w:left="720" w:right="-90" w:hanging="720"/>
        <w:rPr>
          <w:b/>
          <w:bCs/>
          <w:i/>
        </w:rPr>
      </w:pPr>
      <w:r>
        <w:rPr>
          <w:b/>
          <w:bCs/>
          <w:i/>
        </w:rPr>
        <w:t>Q</w:t>
      </w:r>
      <w:r w:rsidR="003B3BD9">
        <w:rPr>
          <w:b/>
          <w:bCs/>
          <w:i/>
        </w:rPr>
        <w:t>18</w:t>
      </w:r>
      <w:r>
        <w:rPr>
          <w:b/>
          <w:bCs/>
          <w:i/>
        </w:rPr>
        <w:t>.</w:t>
      </w:r>
      <w:r>
        <w:rPr>
          <w:b/>
          <w:bCs/>
          <w:i/>
        </w:rPr>
        <w:tab/>
      </w:r>
      <w:r w:rsidR="005848A4">
        <w:rPr>
          <w:b/>
          <w:bCs/>
          <w:i/>
        </w:rPr>
        <w:t xml:space="preserve">SHOULD ANY WEIGHT </w:t>
      </w:r>
      <w:r w:rsidR="003F04C1">
        <w:rPr>
          <w:b/>
          <w:bCs/>
          <w:i/>
        </w:rPr>
        <w:t xml:space="preserve">BE GIVEN </w:t>
      </w:r>
      <w:r w:rsidR="005848A4">
        <w:rPr>
          <w:b/>
          <w:bCs/>
          <w:i/>
        </w:rPr>
        <w:t xml:space="preserve">TO THE UTILITY’S </w:t>
      </w:r>
      <w:r w:rsidR="00941BBF">
        <w:rPr>
          <w:b/>
          <w:bCs/>
          <w:i/>
        </w:rPr>
        <w:t xml:space="preserve">2012 </w:t>
      </w:r>
      <w:r w:rsidR="005848A4">
        <w:rPr>
          <w:b/>
          <w:bCs/>
          <w:i/>
        </w:rPr>
        <w:t>DECISION</w:t>
      </w:r>
      <w:r w:rsidR="00941BBF">
        <w:rPr>
          <w:b/>
          <w:bCs/>
          <w:i/>
        </w:rPr>
        <w:t xml:space="preserve"> </w:t>
      </w:r>
      <w:r w:rsidR="005848A4">
        <w:rPr>
          <w:b/>
          <w:bCs/>
          <w:i/>
        </w:rPr>
        <w:t>TO DEEM THE</w:t>
      </w:r>
      <w:r w:rsidR="005E5C80">
        <w:rPr>
          <w:b/>
          <w:bCs/>
          <w:i/>
        </w:rPr>
        <w:t xml:space="preserve"> 2011</w:t>
      </w:r>
      <w:r w:rsidR="005848A4">
        <w:rPr>
          <w:b/>
          <w:bCs/>
          <w:i/>
        </w:rPr>
        <w:t xml:space="preserve"> </w:t>
      </w:r>
      <w:r w:rsidR="005E5C80">
        <w:rPr>
          <w:b/>
          <w:bCs/>
          <w:i/>
        </w:rPr>
        <w:t xml:space="preserve">STORM </w:t>
      </w:r>
      <w:r w:rsidR="005848A4">
        <w:rPr>
          <w:b/>
          <w:bCs/>
          <w:i/>
        </w:rPr>
        <w:t xml:space="preserve">EXPENSES PROBABLE OF FUTURE RECOVERY </w:t>
      </w:r>
      <w:r w:rsidR="005E5C80">
        <w:rPr>
          <w:b/>
          <w:bCs/>
          <w:i/>
        </w:rPr>
        <w:t>IN DETERMIN</w:t>
      </w:r>
      <w:r w:rsidR="003F04C1">
        <w:rPr>
          <w:b/>
          <w:bCs/>
          <w:i/>
        </w:rPr>
        <w:t>ING</w:t>
      </w:r>
      <w:r w:rsidR="005E5C80">
        <w:rPr>
          <w:b/>
          <w:bCs/>
          <w:i/>
        </w:rPr>
        <w:t xml:space="preserve"> WHETHER TO A</w:t>
      </w:r>
      <w:r w:rsidR="003F01FA">
        <w:rPr>
          <w:b/>
          <w:bCs/>
          <w:i/>
        </w:rPr>
        <w:t>UTHORIZE</w:t>
      </w:r>
      <w:r w:rsidR="005E5C80">
        <w:rPr>
          <w:b/>
          <w:bCs/>
          <w:i/>
        </w:rPr>
        <w:t xml:space="preserve"> </w:t>
      </w:r>
      <w:r w:rsidR="00AC0086">
        <w:rPr>
          <w:b/>
          <w:bCs/>
          <w:i/>
        </w:rPr>
        <w:t xml:space="preserve">PROSPECTIVE </w:t>
      </w:r>
      <w:r w:rsidR="005E5C80">
        <w:rPr>
          <w:b/>
          <w:bCs/>
          <w:i/>
        </w:rPr>
        <w:t>RECOVERY OF THE 2011 STORM EXPENSES</w:t>
      </w:r>
      <w:r>
        <w:rPr>
          <w:b/>
          <w:bCs/>
          <w:i/>
        </w:rPr>
        <w:t>?</w:t>
      </w:r>
    </w:p>
    <w:p w:rsidR="0054117C" w:rsidRDefault="0054117C" w:rsidP="00770CA9">
      <w:pPr>
        <w:spacing w:line="480" w:lineRule="auto"/>
        <w:ind w:left="720" w:right="-90" w:hanging="720"/>
        <w:rPr>
          <w:szCs w:val="24"/>
        </w:rPr>
      </w:pPr>
      <w:r>
        <w:rPr>
          <w:b/>
          <w:i/>
        </w:rPr>
        <w:t>A</w:t>
      </w:r>
      <w:r w:rsidR="003B3BD9">
        <w:rPr>
          <w:b/>
          <w:i/>
        </w:rPr>
        <w:t>18</w:t>
      </w:r>
      <w:r>
        <w:rPr>
          <w:i/>
        </w:rPr>
        <w:t>.</w:t>
      </w:r>
      <w:r>
        <w:rPr>
          <w:i/>
        </w:rPr>
        <w:tab/>
      </w:r>
      <w:r w:rsidR="005E5C80">
        <w:rPr>
          <w:iCs/>
        </w:rPr>
        <w:t>No</w:t>
      </w:r>
      <w:r>
        <w:rPr>
          <w:szCs w:val="24"/>
        </w:rPr>
        <w:t>.</w:t>
      </w:r>
      <w:r w:rsidR="005E5C80">
        <w:rPr>
          <w:szCs w:val="24"/>
        </w:rPr>
        <w:t xml:space="preserve">  That would turn the ratemaking process on its head.  R</w:t>
      </w:r>
      <w:r w:rsidR="003F04C1">
        <w:rPr>
          <w:szCs w:val="24"/>
        </w:rPr>
        <w:t>ate</w:t>
      </w:r>
      <w:r w:rsidR="005E5C80">
        <w:rPr>
          <w:szCs w:val="24"/>
        </w:rPr>
        <w:t xml:space="preserve"> action</w:t>
      </w:r>
      <w:r w:rsidR="003F04C1">
        <w:rPr>
          <w:szCs w:val="24"/>
        </w:rPr>
        <w:t>s</w:t>
      </w:r>
      <w:r w:rsidR="005E5C80">
        <w:rPr>
          <w:szCs w:val="24"/>
        </w:rPr>
        <w:t xml:space="preserve"> determine the extent to which incurred expenses are probable of future recovery.  A utility</w:t>
      </w:r>
      <w:r w:rsidR="003F04C1">
        <w:rPr>
          <w:szCs w:val="24"/>
        </w:rPr>
        <w:t>’s</w:t>
      </w:r>
      <w:r w:rsidR="005E5C80">
        <w:rPr>
          <w:szCs w:val="24"/>
        </w:rPr>
        <w:t xml:space="preserve"> unilateral</w:t>
      </w:r>
      <w:r w:rsidR="003F04C1">
        <w:rPr>
          <w:szCs w:val="24"/>
        </w:rPr>
        <w:t xml:space="preserve"> decision to</w:t>
      </w:r>
      <w:r w:rsidR="005E5C80">
        <w:rPr>
          <w:szCs w:val="24"/>
        </w:rPr>
        <w:t xml:space="preserve"> </w:t>
      </w:r>
      <w:r w:rsidR="003F04C1">
        <w:rPr>
          <w:szCs w:val="24"/>
        </w:rPr>
        <w:t>treat</w:t>
      </w:r>
      <w:r w:rsidR="005E5C80">
        <w:rPr>
          <w:szCs w:val="24"/>
        </w:rPr>
        <w:t xml:space="preserve"> previously incurred expenses </w:t>
      </w:r>
      <w:r w:rsidR="003F04C1">
        <w:rPr>
          <w:szCs w:val="24"/>
        </w:rPr>
        <w:t xml:space="preserve">as being </w:t>
      </w:r>
      <w:r w:rsidR="005E5C80">
        <w:rPr>
          <w:szCs w:val="24"/>
        </w:rPr>
        <w:t>probable of future recovery does not determine the appropriate r</w:t>
      </w:r>
      <w:r w:rsidR="003F04C1">
        <w:rPr>
          <w:szCs w:val="24"/>
        </w:rPr>
        <w:t>ate</w:t>
      </w:r>
      <w:r w:rsidR="005E5C80">
        <w:rPr>
          <w:szCs w:val="24"/>
        </w:rPr>
        <w:t xml:space="preserve"> action.</w:t>
      </w:r>
    </w:p>
    <w:p w:rsidR="008A78E9" w:rsidRPr="00A63CE4" w:rsidRDefault="008A78E9" w:rsidP="00A63CE4">
      <w:pPr>
        <w:spacing w:line="480" w:lineRule="auto"/>
      </w:pPr>
    </w:p>
    <w:p w:rsidR="008A78E9" w:rsidRDefault="008A78E9" w:rsidP="00770CA9">
      <w:pPr>
        <w:pStyle w:val="Heading1"/>
      </w:pPr>
      <w:bookmarkStart w:id="12" w:name="_Toc388960492"/>
      <w:r>
        <w:t>IV.</w:t>
      </w:r>
      <w:r>
        <w:tab/>
        <w:t>CONCLUSION</w:t>
      </w:r>
      <w:bookmarkEnd w:id="12"/>
    </w:p>
    <w:p w:rsidR="003B3BD9" w:rsidRPr="003B3BD9" w:rsidRDefault="003B3BD9" w:rsidP="00770CA9">
      <w:pPr>
        <w:spacing w:line="480" w:lineRule="auto"/>
      </w:pPr>
    </w:p>
    <w:p w:rsidR="008A78E9" w:rsidRDefault="008A78E9" w:rsidP="00770CA9">
      <w:pPr>
        <w:tabs>
          <w:tab w:val="left" w:pos="-720"/>
          <w:tab w:val="left" w:pos="0"/>
        </w:tabs>
        <w:suppressAutoHyphens/>
        <w:spacing w:line="480" w:lineRule="auto"/>
        <w:ind w:left="720" w:right="-90" w:hanging="720"/>
        <w:rPr>
          <w:b/>
          <w:i/>
          <w:spacing w:val="-2"/>
        </w:rPr>
      </w:pPr>
      <w:r>
        <w:rPr>
          <w:b/>
          <w:i/>
          <w:spacing w:val="-2"/>
        </w:rPr>
        <w:t>Q</w:t>
      </w:r>
      <w:r w:rsidR="003B3BD9">
        <w:rPr>
          <w:b/>
          <w:i/>
          <w:spacing w:val="-2"/>
        </w:rPr>
        <w:t>19</w:t>
      </w:r>
      <w:r>
        <w:rPr>
          <w:b/>
          <w:i/>
          <w:spacing w:val="-2"/>
        </w:rPr>
        <w:t>.</w:t>
      </w:r>
      <w:r>
        <w:rPr>
          <w:b/>
          <w:i/>
          <w:spacing w:val="-2"/>
        </w:rPr>
        <w:tab/>
        <w:t>WOULD ANY REGULATORY PRIN</w:t>
      </w:r>
      <w:r w:rsidR="00DB1F50">
        <w:rPr>
          <w:b/>
          <w:i/>
          <w:spacing w:val="-2"/>
        </w:rPr>
        <w:t>CIPLES</w:t>
      </w:r>
      <w:r w:rsidR="00472311">
        <w:rPr>
          <w:b/>
          <w:i/>
          <w:spacing w:val="-2"/>
        </w:rPr>
        <w:t xml:space="preserve"> BE VIOLATED</w:t>
      </w:r>
      <w:r w:rsidR="00DB1F50">
        <w:rPr>
          <w:b/>
          <w:i/>
          <w:spacing w:val="-2"/>
        </w:rPr>
        <w:t xml:space="preserve"> </w:t>
      </w:r>
      <w:r w:rsidR="00472311">
        <w:rPr>
          <w:b/>
          <w:i/>
          <w:spacing w:val="-2"/>
        </w:rPr>
        <w:t>BY</w:t>
      </w:r>
      <w:r w:rsidR="00DB1F50">
        <w:rPr>
          <w:b/>
          <w:i/>
          <w:spacing w:val="-2"/>
        </w:rPr>
        <w:t xml:space="preserve"> </w:t>
      </w:r>
      <w:r w:rsidR="00472311">
        <w:rPr>
          <w:b/>
          <w:i/>
          <w:spacing w:val="-2"/>
        </w:rPr>
        <w:t>AUTHORIZATION OF</w:t>
      </w:r>
      <w:r w:rsidR="00DB1F50">
        <w:rPr>
          <w:b/>
          <w:i/>
          <w:spacing w:val="-2"/>
        </w:rPr>
        <w:t xml:space="preserve"> PROSPECTIVE RECOVERY OF THE 2011 STORM COSTS BASED ON THE UTILITY’S DECISION TO RECORD A REGULATORY ASSET RELATED TO THOSE STORM COSTS</w:t>
      </w:r>
      <w:r>
        <w:rPr>
          <w:b/>
          <w:i/>
          <w:spacing w:val="-2"/>
        </w:rPr>
        <w:t>?</w:t>
      </w:r>
    </w:p>
    <w:p w:rsidR="008A78E9" w:rsidRDefault="008A78E9" w:rsidP="00A63CE4">
      <w:pPr>
        <w:tabs>
          <w:tab w:val="left" w:pos="-720"/>
          <w:tab w:val="left" w:pos="0"/>
        </w:tabs>
        <w:suppressAutoHyphens/>
        <w:spacing w:line="480" w:lineRule="auto"/>
        <w:ind w:left="720" w:right="-90" w:hanging="720"/>
        <w:rPr>
          <w:spacing w:val="-2"/>
        </w:rPr>
      </w:pPr>
      <w:r>
        <w:rPr>
          <w:b/>
          <w:i/>
          <w:spacing w:val="-2"/>
        </w:rPr>
        <w:t>A</w:t>
      </w:r>
      <w:r w:rsidR="003B3BD9">
        <w:rPr>
          <w:b/>
          <w:i/>
          <w:spacing w:val="-2"/>
        </w:rPr>
        <w:t>19</w:t>
      </w:r>
      <w:r>
        <w:rPr>
          <w:b/>
          <w:i/>
          <w:spacing w:val="-2"/>
        </w:rPr>
        <w:t>.</w:t>
      </w:r>
      <w:r>
        <w:rPr>
          <w:spacing w:val="-2"/>
        </w:rPr>
        <w:tab/>
      </w:r>
      <w:r w:rsidR="00DB1F50">
        <w:rPr>
          <w:spacing w:val="-2"/>
        </w:rPr>
        <w:t>Yes</w:t>
      </w:r>
      <w:r>
        <w:rPr>
          <w:spacing w:val="-2"/>
        </w:rPr>
        <w:t>.</w:t>
      </w:r>
      <w:r w:rsidR="00DB1F50">
        <w:rPr>
          <w:spacing w:val="-2"/>
        </w:rPr>
        <w:t xml:space="preserve"> </w:t>
      </w:r>
      <w:r>
        <w:rPr>
          <w:spacing w:val="-2"/>
        </w:rPr>
        <w:t xml:space="preserve"> </w:t>
      </w:r>
      <w:r w:rsidR="00AC0086">
        <w:rPr>
          <w:spacing w:val="-2"/>
        </w:rPr>
        <w:t>In effect, th</w:t>
      </w:r>
      <w:r w:rsidR="001B3134">
        <w:rPr>
          <w:spacing w:val="-2"/>
        </w:rPr>
        <w:t>at</w:t>
      </w:r>
      <w:r w:rsidR="00AC0086">
        <w:rPr>
          <w:spacing w:val="-2"/>
        </w:rPr>
        <w:t xml:space="preserve"> would allow the Utility </w:t>
      </w:r>
      <w:r w:rsidR="001B3134">
        <w:rPr>
          <w:spacing w:val="-2"/>
        </w:rPr>
        <w:t xml:space="preserve">to increase rates to recover a regulatory asset that it had no clear authority to record in the first place.  Again, it is rate actions that should determine the probability of recovery, not </w:t>
      </w:r>
      <w:r w:rsidR="003F01FA">
        <w:rPr>
          <w:spacing w:val="-2"/>
        </w:rPr>
        <w:t>a</w:t>
      </w:r>
      <w:r w:rsidR="001B3134">
        <w:rPr>
          <w:spacing w:val="-2"/>
        </w:rPr>
        <w:t xml:space="preserve"> utility’s own estimate of the probability of recovery that should determine the appropriate rate action.</w:t>
      </w:r>
      <w:r w:rsidR="0040066E">
        <w:rPr>
          <w:spacing w:val="-2"/>
        </w:rPr>
        <w:t xml:space="preserve">  If there is a reasonable expectation of future recovery, a regulated public utility can book a regulatory asset; however</w:t>
      </w:r>
      <w:r w:rsidR="00095460">
        <w:rPr>
          <w:spacing w:val="-2"/>
        </w:rPr>
        <w:t>,</w:t>
      </w:r>
      <w:r w:rsidR="0040066E">
        <w:rPr>
          <w:spacing w:val="-2"/>
        </w:rPr>
        <w:t xml:space="preserve"> the </w:t>
      </w:r>
      <w:r w:rsidR="003F01FA">
        <w:rPr>
          <w:spacing w:val="-2"/>
        </w:rPr>
        <w:t xml:space="preserve">mere act of </w:t>
      </w:r>
      <w:r w:rsidR="0040066E">
        <w:rPr>
          <w:spacing w:val="-2"/>
        </w:rPr>
        <w:t>recording of a regulatory asset cannot spontaneously create a reasonable expectation of future recovery.</w:t>
      </w:r>
    </w:p>
    <w:p w:rsidR="008A78E9" w:rsidRDefault="008A78E9" w:rsidP="00770CA9">
      <w:pPr>
        <w:tabs>
          <w:tab w:val="left" w:pos="-720"/>
          <w:tab w:val="left" w:pos="0"/>
        </w:tabs>
        <w:suppressAutoHyphens/>
        <w:spacing w:line="480" w:lineRule="auto"/>
        <w:ind w:left="720" w:right="-90" w:hanging="720"/>
        <w:rPr>
          <w:spacing w:val="-2"/>
        </w:rPr>
      </w:pPr>
    </w:p>
    <w:p w:rsidR="008A78E9" w:rsidRDefault="008A78E9" w:rsidP="00770CA9">
      <w:pPr>
        <w:tabs>
          <w:tab w:val="left" w:pos="-720"/>
          <w:tab w:val="left" w:pos="0"/>
        </w:tabs>
        <w:suppressAutoHyphens/>
        <w:spacing w:line="480" w:lineRule="auto"/>
        <w:ind w:left="720" w:right="-90" w:hanging="720"/>
        <w:rPr>
          <w:b/>
          <w:i/>
          <w:spacing w:val="-2"/>
        </w:rPr>
      </w:pPr>
      <w:r>
        <w:rPr>
          <w:b/>
          <w:i/>
          <w:spacing w:val="-2"/>
        </w:rPr>
        <w:t>Q</w:t>
      </w:r>
      <w:r w:rsidR="003B3BD9">
        <w:rPr>
          <w:b/>
          <w:i/>
          <w:spacing w:val="-2"/>
        </w:rPr>
        <w:t>20</w:t>
      </w:r>
      <w:r>
        <w:rPr>
          <w:b/>
          <w:i/>
          <w:spacing w:val="-2"/>
        </w:rPr>
        <w:t>.</w:t>
      </w:r>
      <w:r>
        <w:rPr>
          <w:b/>
          <w:i/>
          <w:spacing w:val="-2"/>
        </w:rPr>
        <w:tab/>
      </w:r>
      <w:r w:rsidR="00DB1F50">
        <w:rPr>
          <w:b/>
          <w:i/>
          <w:spacing w:val="-2"/>
        </w:rPr>
        <w:t>HOW DOES THIS RELATE TO THE DETERMINATION OF WHETHER TO APPROVE THE STIPULATION</w:t>
      </w:r>
      <w:r>
        <w:rPr>
          <w:b/>
          <w:i/>
          <w:spacing w:val="-2"/>
        </w:rPr>
        <w:t>?</w:t>
      </w:r>
    </w:p>
    <w:p w:rsidR="008A78E9" w:rsidRDefault="008A78E9" w:rsidP="00770CA9">
      <w:pPr>
        <w:tabs>
          <w:tab w:val="left" w:pos="-720"/>
          <w:tab w:val="left" w:pos="0"/>
        </w:tabs>
        <w:suppressAutoHyphens/>
        <w:spacing w:line="480" w:lineRule="auto"/>
        <w:ind w:left="720" w:right="-90" w:hanging="720"/>
        <w:rPr>
          <w:spacing w:val="-2"/>
        </w:rPr>
      </w:pPr>
      <w:r>
        <w:rPr>
          <w:b/>
          <w:i/>
          <w:spacing w:val="-2"/>
        </w:rPr>
        <w:t>A</w:t>
      </w:r>
      <w:r w:rsidR="003B3BD9">
        <w:rPr>
          <w:b/>
          <w:i/>
          <w:spacing w:val="-2"/>
        </w:rPr>
        <w:t>2</w:t>
      </w:r>
      <w:r w:rsidR="00770CA9">
        <w:rPr>
          <w:b/>
          <w:i/>
          <w:spacing w:val="-2"/>
        </w:rPr>
        <w:t>0</w:t>
      </w:r>
      <w:r>
        <w:rPr>
          <w:b/>
          <w:i/>
          <w:spacing w:val="-2"/>
        </w:rPr>
        <w:t>.</w:t>
      </w:r>
      <w:r>
        <w:rPr>
          <w:spacing w:val="-2"/>
        </w:rPr>
        <w:tab/>
      </w:r>
      <w:r w:rsidR="00DB1F50">
        <w:rPr>
          <w:spacing w:val="-2"/>
        </w:rPr>
        <w:t xml:space="preserve">It is my understanding that one of the elements of </w:t>
      </w:r>
      <w:r w:rsidR="00AC0086">
        <w:rPr>
          <w:spacing w:val="-2"/>
        </w:rPr>
        <w:t xml:space="preserve">the </w:t>
      </w:r>
      <w:r w:rsidR="00DB1F50">
        <w:rPr>
          <w:spacing w:val="-2"/>
        </w:rPr>
        <w:t xml:space="preserve">three-prong </w:t>
      </w:r>
      <w:r w:rsidR="007F7C64">
        <w:rPr>
          <w:spacing w:val="-2"/>
        </w:rPr>
        <w:t xml:space="preserve">test </w:t>
      </w:r>
      <w:r w:rsidR="00DB1F50">
        <w:rPr>
          <w:spacing w:val="-2"/>
        </w:rPr>
        <w:t xml:space="preserve">relied on by the PUCO in evaluating whether to approve a stipulation is whether the </w:t>
      </w:r>
      <w:r w:rsidR="00CE5929">
        <w:rPr>
          <w:spacing w:val="-2"/>
        </w:rPr>
        <w:t>terms of the stipulation</w:t>
      </w:r>
      <w:r w:rsidR="00DB1F50" w:rsidRPr="00C44506">
        <w:rPr>
          <w:szCs w:val="24"/>
        </w:rPr>
        <w:t xml:space="preserve"> violate any important regulatory principle or practice</w:t>
      </w:r>
      <w:r>
        <w:rPr>
          <w:spacing w:val="-2"/>
        </w:rPr>
        <w:t xml:space="preserve">. </w:t>
      </w:r>
      <w:r w:rsidR="00A63CE4">
        <w:rPr>
          <w:spacing w:val="-2"/>
        </w:rPr>
        <w:t xml:space="preserve"> </w:t>
      </w:r>
      <w:r w:rsidR="00AC0086">
        <w:rPr>
          <w:spacing w:val="-2"/>
        </w:rPr>
        <w:t xml:space="preserve">To the extent that the $22.3 million recovery agreed to in the Stipulation includes the 2011 storm costs based on the Utility’s </w:t>
      </w:r>
      <w:r w:rsidR="003F01FA">
        <w:rPr>
          <w:spacing w:val="-2"/>
        </w:rPr>
        <w:t xml:space="preserve">act of </w:t>
      </w:r>
      <w:r w:rsidR="00AC0086">
        <w:rPr>
          <w:spacing w:val="-2"/>
        </w:rPr>
        <w:t>recording of a regulatory asset for those costs,</w:t>
      </w:r>
      <w:r w:rsidR="001B3134">
        <w:rPr>
          <w:spacing w:val="-2"/>
        </w:rPr>
        <w:t xml:space="preserve"> </w:t>
      </w:r>
      <w:r w:rsidR="0040066E">
        <w:rPr>
          <w:spacing w:val="-2"/>
        </w:rPr>
        <w:t xml:space="preserve">approval of the Stipulation would violate the </w:t>
      </w:r>
      <w:r w:rsidR="00EB6C2D">
        <w:rPr>
          <w:spacing w:val="-2"/>
        </w:rPr>
        <w:t xml:space="preserve">regulatory </w:t>
      </w:r>
      <w:r w:rsidR="0040066E">
        <w:rPr>
          <w:spacing w:val="-2"/>
        </w:rPr>
        <w:t xml:space="preserve">principle that a utility’s own internal accounting decision cannot by itself </w:t>
      </w:r>
      <w:r w:rsidR="00EB6C2D">
        <w:rPr>
          <w:spacing w:val="-2"/>
        </w:rPr>
        <w:t>establish a right to prospective recovery of expenses deferred on its books of account</w:t>
      </w:r>
      <w:r w:rsidR="00AC0086">
        <w:rPr>
          <w:spacing w:val="-2"/>
        </w:rPr>
        <w:t>.</w:t>
      </w:r>
    </w:p>
    <w:p w:rsidR="00012829" w:rsidRDefault="00012829" w:rsidP="00770CA9">
      <w:pPr>
        <w:spacing w:line="480" w:lineRule="auto"/>
        <w:ind w:left="720" w:right="-90" w:hanging="720"/>
        <w:rPr>
          <w:b/>
          <w:i/>
        </w:rPr>
      </w:pPr>
    </w:p>
    <w:p w:rsidR="00012829" w:rsidRDefault="007D36FD" w:rsidP="00770CA9">
      <w:pPr>
        <w:spacing w:line="480" w:lineRule="auto"/>
        <w:ind w:left="720" w:right="-90" w:hanging="720"/>
      </w:pPr>
      <w:r>
        <w:rPr>
          <w:b/>
          <w:i/>
        </w:rPr>
        <w:t>Q</w:t>
      </w:r>
      <w:r w:rsidR="003B3BD9">
        <w:rPr>
          <w:b/>
          <w:i/>
        </w:rPr>
        <w:t>2</w:t>
      </w:r>
      <w:r w:rsidR="00770CA9">
        <w:rPr>
          <w:b/>
          <w:i/>
        </w:rPr>
        <w:t>1</w:t>
      </w:r>
      <w:r>
        <w:rPr>
          <w:b/>
          <w:i/>
        </w:rPr>
        <w:t>.</w:t>
      </w:r>
      <w:r>
        <w:rPr>
          <w:b/>
          <w:i/>
        </w:rPr>
        <w:tab/>
        <w:t>DOES THIS CONCLUDE YOUR DIRECT TESTIMONY?</w:t>
      </w:r>
    </w:p>
    <w:p w:rsidR="00012829" w:rsidRDefault="007D36FD" w:rsidP="00770CA9">
      <w:pPr>
        <w:spacing w:line="480" w:lineRule="auto"/>
        <w:ind w:left="720" w:right="-90" w:hanging="720"/>
      </w:pPr>
      <w:r>
        <w:rPr>
          <w:b/>
          <w:i/>
        </w:rPr>
        <w:t>A</w:t>
      </w:r>
      <w:r w:rsidR="003B3BD9">
        <w:rPr>
          <w:b/>
          <w:i/>
        </w:rPr>
        <w:t>2</w:t>
      </w:r>
      <w:r w:rsidR="00770CA9">
        <w:rPr>
          <w:b/>
          <w:i/>
        </w:rPr>
        <w:t>1</w:t>
      </w:r>
      <w:r>
        <w:rPr>
          <w:b/>
          <w:i/>
        </w:rPr>
        <w:t>.</w:t>
      </w:r>
      <w:r>
        <w:tab/>
        <w:t>Yes.</w:t>
      </w:r>
    </w:p>
    <w:p w:rsidR="00012829" w:rsidRDefault="00012829">
      <w:pPr>
        <w:spacing w:line="480" w:lineRule="auto"/>
        <w:ind w:right="-90"/>
        <w:sectPr w:rsidR="00012829">
          <w:headerReference w:type="default" r:id="rId20"/>
          <w:pgSz w:w="12240" w:h="15840" w:code="1"/>
          <w:pgMar w:top="1440" w:right="1800" w:bottom="1440" w:left="1800" w:header="720" w:footer="720" w:gutter="0"/>
          <w:lnNumType w:countBy="1"/>
          <w:pgNumType w:start="1"/>
          <w:cols w:space="720"/>
          <w:docGrid w:linePitch="360"/>
        </w:sectPr>
      </w:pPr>
    </w:p>
    <w:p w:rsidR="00012829" w:rsidRDefault="007D36FD">
      <w:pPr>
        <w:spacing w:line="480" w:lineRule="auto"/>
        <w:ind w:right="-90"/>
        <w:jc w:val="center"/>
      </w:pPr>
      <w:r>
        <w:rPr>
          <w:b/>
          <w:u w:val="single"/>
        </w:rPr>
        <w:t>CERTIFICATE OF SERVICE</w:t>
      </w:r>
    </w:p>
    <w:p w:rsidR="00012829" w:rsidRDefault="007D36FD" w:rsidP="0054117C">
      <w:pPr>
        <w:suppressAutoHyphens/>
        <w:spacing w:line="480" w:lineRule="auto"/>
        <w:ind w:right="-90" w:firstLine="720"/>
        <w:rPr>
          <w:bCs/>
          <w:spacing w:val="-3"/>
        </w:rPr>
      </w:pPr>
      <w:r>
        <w:rPr>
          <w:bCs/>
          <w:spacing w:val="-3"/>
        </w:rPr>
        <w:t xml:space="preserve">It is hereby certified that a true copy of the foregoing </w:t>
      </w:r>
      <w:r>
        <w:rPr>
          <w:bCs/>
          <w:i/>
          <w:spacing w:val="-3"/>
        </w:rPr>
        <w:t>Testimony of</w:t>
      </w:r>
      <w:r>
        <w:rPr>
          <w:bCs/>
          <w:i/>
          <w:spacing w:val="-3"/>
          <w:u w:val="single"/>
        </w:rPr>
        <w:t xml:space="preserve"> </w:t>
      </w:r>
      <w:r>
        <w:rPr>
          <w:bCs/>
          <w:i/>
          <w:spacing w:val="-3"/>
        </w:rPr>
        <w:t xml:space="preserve">David J. Effron on Behalf of </w:t>
      </w:r>
      <w:r w:rsidR="00DA562C">
        <w:rPr>
          <w:bCs/>
          <w:i/>
          <w:spacing w:val="-3"/>
        </w:rPr>
        <w:t xml:space="preserve">the Office of the </w:t>
      </w:r>
      <w:r>
        <w:rPr>
          <w:bCs/>
          <w:i/>
          <w:iCs/>
          <w:spacing w:val="-3"/>
        </w:rPr>
        <w:t>Ohio Consumers’ Counsel</w:t>
      </w:r>
      <w:r>
        <w:rPr>
          <w:bCs/>
          <w:spacing w:val="-3"/>
        </w:rPr>
        <w:t xml:space="preserve"> was served </w:t>
      </w:r>
      <w:r w:rsidR="00770CA9">
        <w:rPr>
          <w:bCs/>
          <w:spacing w:val="-3"/>
        </w:rPr>
        <w:t xml:space="preserve">on the persons state below </w:t>
      </w:r>
      <w:r>
        <w:rPr>
          <w:bCs/>
          <w:spacing w:val="-3"/>
        </w:rPr>
        <w:t xml:space="preserve">via </w:t>
      </w:r>
      <w:r w:rsidR="002A159E">
        <w:rPr>
          <w:bCs/>
          <w:spacing w:val="-3"/>
        </w:rPr>
        <w:t>electronic transmission this</w:t>
      </w:r>
      <w:r w:rsidR="006E5067">
        <w:rPr>
          <w:bCs/>
          <w:spacing w:val="-3"/>
        </w:rPr>
        <w:t xml:space="preserve"> 27</w:t>
      </w:r>
      <w:r w:rsidR="0054117C">
        <w:rPr>
          <w:bCs/>
          <w:spacing w:val="-3"/>
        </w:rPr>
        <w:t>th</w:t>
      </w:r>
      <w:r>
        <w:rPr>
          <w:bCs/>
          <w:spacing w:val="-3"/>
        </w:rPr>
        <w:t xml:space="preserve"> day of May, 2014.</w:t>
      </w:r>
    </w:p>
    <w:p w:rsidR="00770CA9" w:rsidRDefault="00770CA9" w:rsidP="0054117C">
      <w:pPr>
        <w:suppressAutoHyphens/>
        <w:spacing w:line="480" w:lineRule="auto"/>
        <w:ind w:right="-90" w:firstLine="720"/>
        <w:rPr>
          <w:bCs/>
          <w:spacing w:val="-3"/>
        </w:rPr>
      </w:pPr>
    </w:p>
    <w:p w:rsidR="00770CA9" w:rsidRDefault="00770CA9" w:rsidP="00770CA9">
      <w:pPr>
        <w:tabs>
          <w:tab w:val="left" w:pos="4320"/>
        </w:tabs>
        <w:rPr>
          <w:i/>
          <w:u w:val="single"/>
        </w:rPr>
      </w:pPr>
      <w:r w:rsidRPr="00770CA9">
        <w:rPr>
          <w:i/>
        </w:rPr>
        <w:tab/>
      </w:r>
      <w:r>
        <w:rPr>
          <w:i/>
          <w:u w:val="single"/>
        </w:rPr>
        <w:t>/s/</w:t>
      </w:r>
      <w:r>
        <w:rPr>
          <w:i/>
          <w:iCs/>
          <w:u w:val="single"/>
        </w:rPr>
        <w:t xml:space="preserve"> Melissa R. Yost</w:t>
      </w:r>
      <w:r>
        <w:rPr>
          <w:i/>
          <w:iCs/>
          <w:u w:val="single"/>
        </w:rPr>
        <w:tab/>
      </w:r>
      <w:r>
        <w:rPr>
          <w:i/>
          <w:iCs/>
          <w:u w:val="single"/>
        </w:rPr>
        <w:tab/>
      </w:r>
      <w:r>
        <w:rPr>
          <w:i/>
          <w:iCs/>
          <w:u w:val="single"/>
        </w:rPr>
        <w:tab/>
      </w:r>
      <w:r>
        <w:rPr>
          <w:i/>
          <w:u w:val="single"/>
        </w:rPr>
        <w:t xml:space="preserve"> </w:t>
      </w:r>
    </w:p>
    <w:p w:rsidR="00770CA9" w:rsidRDefault="00770CA9" w:rsidP="00770CA9">
      <w:pPr>
        <w:pStyle w:val="BodyText"/>
        <w:tabs>
          <w:tab w:val="left" w:pos="4320"/>
        </w:tabs>
        <w:spacing w:after="0"/>
      </w:pPr>
      <w:r>
        <w:tab/>
        <w:t>Melissa R. Yost</w:t>
      </w:r>
    </w:p>
    <w:p w:rsidR="00770CA9" w:rsidRDefault="00770CA9" w:rsidP="00770CA9">
      <w:pPr>
        <w:pStyle w:val="EndnoteText"/>
        <w:widowControl/>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Deputy Consumers’ Counsel</w:t>
      </w:r>
    </w:p>
    <w:p w:rsidR="00770CA9" w:rsidRDefault="00770CA9" w:rsidP="0054117C">
      <w:pPr>
        <w:suppressAutoHyphens/>
        <w:spacing w:line="480" w:lineRule="auto"/>
        <w:ind w:right="-90" w:firstLine="720"/>
        <w:rPr>
          <w:bCs/>
          <w:spacing w:val="-3"/>
        </w:rPr>
      </w:pPr>
    </w:p>
    <w:p w:rsidR="00770CA9" w:rsidRDefault="00770CA9" w:rsidP="00770CA9">
      <w:pPr>
        <w:pStyle w:val="CommentText"/>
        <w:jc w:val="center"/>
        <w:rPr>
          <w:b/>
          <w:sz w:val="24"/>
          <w:szCs w:val="24"/>
          <w:u w:val="single"/>
        </w:rPr>
      </w:pPr>
      <w:r>
        <w:rPr>
          <w:b/>
          <w:sz w:val="24"/>
          <w:szCs w:val="24"/>
          <w:u w:val="single"/>
        </w:rPr>
        <w:t>SERVICE LIST</w:t>
      </w:r>
    </w:p>
    <w:p w:rsidR="00012829" w:rsidRDefault="00012829">
      <w:pPr>
        <w:pStyle w:val="EndnoteText"/>
        <w:widowControl/>
        <w:tabs>
          <w:tab w:val="left" w:pos="-720"/>
        </w:tabs>
        <w:suppressAutoHyphens/>
        <w:ind w:right="-90"/>
        <w:rPr>
          <w:rFonts w:ascii="Times New Roman" w:hAnsi="Times New Roman"/>
          <w:bCs/>
          <w:snapToGrid/>
          <w:spacing w:val="-3"/>
          <w:szCs w:val="24"/>
        </w:rPr>
      </w:pPr>
    </w:p>
    <w:p w:rsidR="00770CA9" w:rsidRDefault="007D36FD" w:rsidP="00770CA9">
      <w:pPr>
        <w:tabs>
          <w:tab w:val="left" w:pos="4320"/>
        </w:tabs>
        <w:ind w:right="-90"/>
        <w:rPr>
          <w:b/>
          <w:bCs/>
          <w:szCs w:val="24"/>
        </w:rPr>
      </w:pPr>
      <w:r>
        <w:rPr>
          <w:rFonts w:eastAsia="Calibri"/>
          <w:i/>
          <w:iCs/>
        </w:rPr>
        <w:tab/>
      </w:r>
    </w:p>
    <w:tbl>
      <w:tblPr>
        <w:tblW w:w="0" w:type="auto"/>
        <w:jc w:val="center"/>
        <w:tblLook w:val="01E0" w:firstRow="1" w:lastRow="1" w:firstColumn="1" w:lastColumn="1" w:noHBand="0" w:noVBand="0"/>
      </w:tblPr>
      <w:tblGrid>
        <w:gridCol w:w="4428"/>
        <w:gridCol w:w="4428"/>
      </w:tblGrid>
      <w:tr w:rsidR="00770CA9" w:rsidTr="003C5539">
        <w:trPr>
          <w:jc w:val="center"/>
        </w:trPr>
        <w:tc>
          <w:tcPr>
            <w:tcW w:w="4428" w:type="dxa"/>
          </w:tcPr>
          <w:p w:rsidR="00770CA9" w:rsidRDefault="00770CA9" w:rsidP="003C5539">
            <w:pPr>
              <w:rPr>
                <w:bCs/>
              </w:rPr>
            </w:pPr>
            <w:r>
              <w:rPr>
                <w:bCs/>
              </w:rPr>
              <w:t>Ryan O’Rourke</w:t>
            </w:r>
          </w:p>
          <w:p w:rsidR="00770CA9" w:rsidRDefault="00770CA9" w:rsidP="003C5539">
            <w:pPr>
              <w:rPr>
                <w:bCs/>
              </w:rPr>
            </w:pPr>
            <w:r>
              <w:rPr>
                <w:bCs/>
              </w:rPr>
              <w:t>Attorney General’s Office</w:t>
            </w:r>
          </w:p>
          <w:p w:rsidR="00770CA9" w:rsidRDefault="00770CA9" w:rsidP="003C5539">
            <w:pPr>
              <w:rPr>
                <w:bCs/>
              </w:rPr>
            </w:pPr>
            <w:r>
              <w:rPr>
                <w:bCs/>
              </w:rPr>
              <w:t>Public Utilities Commission of Ohio</w:t>
            </w:r>
          </w:p>
          <w:p w:rsidR="00770CA9" w:rsidRDefault="00770CA9" w:rsidP="003C5539">
            <w:pPr>
              <w:rPr>
                <w:bCs/>
              </w:rPr>
            </w:pPr>
            <w:r>
              <w:rPr>
                <w:bCs/>
              </w:rPr>
              <w:t>180 East Broad St., 6</w:t>
            </w:r>
            <w:r>
              <w:rPr>
                <w:bCs/>
                <w:vertAlign w:val="superscript"/>
              </w:rPr>
              <w:t>th</w:t>
            </w:r>
            <w:r>
              <w:rPr>
                <w:bCs/>
              </w:rPr>
              <w:t xml:space="preserve"> Fl.</w:t>
            </w:r>
          </w:p>
          <w:p w:rsidR="00770CA9" w:rsidRDefault="00770CA9" w:rsidP="003C5539">
            <w:pPr>
              <w:rPr>
                <w:bCs/>
              </w:rPr>
            </w:pPr>
            <w:r>
              <w:rPr>
                <w:bCs/>
              </w:rPr>
              <w:t>Columbus, Ohio 43215</w:t>
            </w:r>
          </w:p>
          <w:p w:rsidR="00770CA9" w:rsidRDefault="00770CA9" w:rsidP="003C5539">
            <w:pPr>
              <w:rPr>
                <w:bCs/>
              </w:rPr>
            </w:pPr>
            <w:r w:rsidRPr="009445EA">
              <w:rPr>
                <w:rFonts w:eastAsiaTheme="majorEastAsia"/>
                <w:bCs/>
              </w:rPr>
              <w:t>Ryan.orourke@puc.state.oh.us</w:t>
            </w:r>
          </w:p>
          <w:p w:rsidR="00770CA9" w:rsidRDefault="00770CA9" w:rsidP="003C5539">
            <w:pPr>
              <w:rPr>
                <w:bCs/>
              </w:rPr>
            </w:pPr>
          </w:p>
        </w:tc>
        <w:tc>
          <w:tcPr>
            <w:tcW w:w="4428" w:type="dxa"/>
          </w:tcPr>
          <w:p w:rsidR="00770CA9" w:rsidRDefault="00770CA9" w:rsidP="003C5539">
            <w:pPr>
              <w:jc w:val="both"/>
              <w:rPr>
                <w:bCs/>
              </w:rPr>
            </w:pPr>
            <w:r>
              <w:rPr>
                <w:bCs/>
              </w:rPr>
              <w:t>Judi L. Sebeka</w:t>
            </w:r>
          </w:p>
          <w:p w:rsidR="00770CA9" w:rsidRDefault="00770CA9" w:rsidP="003C5539">
            <w:pPr>
              <w:jc w:val="both"/>
              <w:rPr>
                <w:bCs/>
              </w:rPr>
            </w:pPr>
            <w:r>
              <w:rPr>
                <w:bCs/>
              </w:rPr>
              <w:t>Randall V. Griffin</w:t>
            </w:r>
          </w:p>
          <w:p w:rsidR="00770CA9" w:rsidRDefault="00770CA9" w:rsidP="003C5539">
            <w:pPr>
              <w:jc w:val="both"/>
              <w:rPr>
                <w:bCs/>
              </w:rPr>
            </w:pPr>
            <w:r>
              <w:rPr>
                <w:bCs/>
              </w:rPr>
              <w:t>The Dayton Power and Light Company</w:t>
            </w:r>
          </w:p>
          <w:p w:rsidR="00770CA9" w:rsidRDefault="00770CA9" w:rsidP="003C5539">
            <w:pPr>
              <w:jc w:val="both"/>
              <w:rPr>
                <w:bCs/>
              </w:rPr>
            </w:pPr>
            <w:r>
              <w:rPr>
                <w:bCs/>
              </w:rPr>
              <w:t>1065 Woodman Drive</w:t>
            </w:r>
          </w:p>
          <w:p w:rsidR="00770CA9" w:rsidRDefault="00770CA9" w:rsidP="003C5539">
            <w:pPr>
              <w:jc w:val="both"/>
              <w:rPr>
                <w:bCs/>
              </w:rPr>
            </w:pPr>
            <w:r>
              <w:rPr>
                <w:bCs/>
              </w:rPr>
              <w:t>Dayton, Ohio 45432</w:t>
            </w:r>
          </w:p>
          <w:p w:rsidR="00770CA9" w:rsidRDefault="00770CA9" w:rsidP="003C5539">
            <w:pPr>
              <w:jc w:val="both"/>
              <w:rPr>
                <w:bCs/>
              </w:rPr>
            </w:pPr>
            <w:r w:rsidRPr="009445EA">
              <w:rPr>
                <w:rFonts w:eastAsiaTheme="majorEastAsia"/>
                <w:bCs/>
              </w:rPr>
              <w:t>Judi.sobecki@dplinc.com</w:t>
            </w:r>
          </w:p>
          <w:p w:rsidR="00770CA9" w:rsidRDefault="00770CA9" w:rsidP="003C5539">
            <w:pPr>
              <w:jc w:val="both"/>
              <w:rPr>
                <w:bCs/>
              </w:rPr>
            </w:pPr>
            <w:r w:rsidRPr="009445EA">
              <w:rPr>
                <w:rFonts w:eastAsiaTheme="majorEastAsia"/>
                <w:bCs/>
              </w:rPr>
              <w:t>Randall.griffin@dplinc.com</w:t>
            </w:r>
          </w:p>
          <w:p w:rsidR="00770CA9" w:rsidRDefault="00770CA9" w:rsidP="003C5539">
            <w:pPr>
              <w:jc w:val="both"/>
              <w:rPr>
                <w:bCs/>
              </w:rPr>
            </w:pPr>
          </w:p>
          <w:p w:rsidR="00770CA9" w:rsidRDefault="00770CA9" w:rsidP="003C5539">
            <w:pPr>
              <w:jc w:val="both"/>
              <w:rPr>
                <w:bCs/>
              </w:rPr>
            </w:pPr>
          </w:p>
        </w:tc>
      </w:tr>
      <w:tr w:rsidR="00770CA9" w:rsidTr="003C5539">
        <w:trPr>
          <w:jc w:val="center"/>
        </w:trPr>
        <w:tc>
          <w:tcPr>
            <w:tcW w:w="4428" w:type="dxa"/>
          </w:tcPr>
          <w:p w:rsidR="00770CA9" w:rsidRDefault="00770CA9" w:rsidP="003C5539">
            <w:pPr>
              <w:rPr>
                <w:bCs/>
              </w:rPr>
            </w:pPr>
            <w:r>
              <w:rPr>
                <w:bCs/>
              </w:rPr>
              <w:t>Mark S. Yurick</w:t>
            </w:r>
          </w:p>
          <w:p w:rsidR="00770CA9" w:rsidRDefault="00770CA9" w:rsidP="003C5539">
            <w:pPr>
              <w:rPr>
                <w:bCs/>
              </w:rPr>
            </w:pPr>
            <w:r>
              <w:rPr>
                <w:bCs/>
              </w:rPr>
              <w:t>Zachary D. Kraits</w:t>
            </w:r>
          </w:p>
          <w:p w:rsidR="00770CA9" w:rsidRDefault="00770CA9" w:rsidP="003C5539">
            <w:pPr>
              <w:rPr>
                <w:bCs/>
              </w:rPr>
            </w:pPr>
            <w:r>
              <w:rPr>
                <w:bCs/>
              </w:rPr>
              <w:t>Taft Stettinius &amp; Hollister LLP</w:t>
            </w:r>
          </w:p>
          <w:p w:rsidR="00770CA9" w:rsidRDefault="00770CA9" w:rsidP="003C5539">
            <w:pPr>
              <w:rPr>
                <w:bCs/>
              </w:rPr>
            </w:pPr>
            <w:r>
              <w:rPr>
                <w:bCs/>
              </w:rPr>
              <w:t>65 East State Street, Suite 1000</w:t>
            </w:r>
          </w:p>
          <w:p w:rsidR="00770CA9" w:rsidRDefault="00770CA9" w:rsidP="003C5539">
            <w:pPr>
              <w:rPr>
                <w:bCs/>
              </w:rPr>
            </w:pPr>
            <w:r>
              <w:rPr>
                <w:bCs/>
              </w:rPr>
              <w:t>Columbus, Ohio 43215</w:t>
            </w:r>
          </w:p>
          <w:p w:rsidR="00770CA9" w:rsidRDefault="00770CA9" w:rsidP="003C5539">
            <w:pPr>
              <w:rPr>
                <w:bCs/>
              </w:rPr>
            </w:pPr>
            <w:r w:rsidRPr="009445EA">
              <w:rPr>
                <w:rFonts w:eastAsiaTheme="majorEastAsia"/>
                <w:bCs/>
              </w:rPr>
              <w:t>myurick@taftlaw.com</w:t>
            </w:r>
          </w:p>
          <w:p w:rsidR="00770CA9" w:rsidRDefault="00770CA9" w:rsidP="003C5539">
            <w:pPr>
              <w:rPr>
                <w:bCs/>
              </w:rPr>
            </w:pPr>
            <w:r w:rsidRPr="009445EA">
              <w:rPr>
                <w:rFonts w:eastAsiaTheme="majorEastAsia"/>
                <w:bCs/>
              </w:rPr>
              <w:t>zkravitz@taftlaw.com</w:t>
            </w:r>
          </w:p>
          <w:p w:rsidR="00770CA9" w:rsidRDefault="00770CA9" w:rsidP="003C5539">
            <w:pPr>
              <w:rPr>
                <w:bCs/>
              </w:rPr>
            </w:pPr>
          </w:p>
        </w:tc>
        <w:tc>
          <w:tcPr>
            <w:tcW w:w="4428" w:type="dxa"/>
          </w:tcPr>
          <w:p w:rsidR="00770CA9" w:rsidRDefault="00770CA9" w:rsidP="003C5539">
            <w:pPr>
              <w:jc w:val="both"/>
              <w:rPr>
                <w:bCs/>
              </w:rPr>
            </w:pPr>
            <w:r>
              <w:rPr>
                <w:bCs/>
              </w:rPr>
              <w:t>Charles J. Faruki</w:t>
            </w:r>
          </w:p>
          <w:p w:rsidR="00770CA9" w:rsidRDefault="00770CA9" w:rsidP="003C5539">
            <w:pPr>
              <w:jc w:val="both"/>
              <w:rPr>
                <w:bCs/>
              </w:rPr>
            </w:pPr>
            <w:r>
              <w:rPr>
                <w:bCs/>
              </w:rPr>
              <w:t>Jeffrey S. Sharkey</w:t>
            </w:r>
          </w:p>
          <w:p w:rsidR="00770CA9" w:rsidRDefault="00770CA9" w:rsidP="003C5539">
            <w:pPr>
              <w:jc w:val="both"/>
              <w:rPr>
                <w:bCs/>
              </w:rPr>
            </w:pPr>
            <w:r>
              <w:rPr>
                <w:bCs/>
              </w:rPr>
              <w:t>Faruki Ireland &amp; Cox PLL</w:t>
            </w:r>
          </w:p>
          <w:p w:rsidR="00770CA9" w:rsidRDefault="00770CA9" w:rsidP="003C5539">
            <w:pPr>
              <w:jc w:val="both"/>
              <w:rPr>
                <w:bCs/>
              </w:rPr>
            </w:pPr>
            <w:r>
              <w:rPr>
                <w:bCs/>
              </w:rPr>
              <w:t>500 Courthouse Plazas, S.W.</w:t>
            </w:r>
          </w:p>
          <w:p w:rsidR="00770CA9" w:rsidRDefault="00770CA9" w:rsidP="003C5539">
            <w:pPr>
              <w:jc w:val="both"/>
              <w:rPr>
                <w:bCs/>
              </w:rPr>
            </w:pPr>
            <w:r>
              <w:rPr>
                <w:bCs/>
              </w:rPr>
              <w:t>10 North Ludlow Street</w:t>
            </w:r>
          </w:p>
          <w:p w:rsidR="00770CA9" w:rsidRDefault="00770CA9" w:rsidP="003C5539">
            <w:pPr>
              <w:jc w:val="both"/>
              <w:rPr>
                <w:bCs/>
              </w:rPr>
            </w:pPr>
            <w:r>
              <w:rPr>
                <w:bCs/>
              </w:rPr>
              <w:t>Dayton, Ohio 45402</w:t>
            </w:r>
          </w:p>
          <w:p w:rsidR="00770CA9" w:rsidRDefault="00770CA9" w:rsidP="003C5539">
            <w:pPr>
              <w:jc w:val="both"/>
              <w:rPr>
                <w:bCs/>
                <w:color w:val="0000FF"/>
                <w:u w:val="single"/>
              </w:rPr>
            </w:pPr>
            <w:r w:rsidRPr="009445EA">
              <w:rPr>
                <w:rFonts w:eastAsiaTheme="majorEastAsia"/>
                <w:bCs/>
              </w:rPr>
              <w:t>cfaruki@ficlaw.com</w:t>
            </w:r>
          </w:p>
          <w:p w:rsidR="00770CA9" w:rsidRDefault="00770CA9" w:rsidP="003C5539">
            <w:pPr>
              <w:jc w:val="both"/>
              <w:rPr>
                <w:bCs/>
                <w:color w:val="0000FF"/>
                <w:u w:val="single"/>
              </w:rPr>
            </w:pPr>
            <w:r w:rsidRPr="009445EA">
              <w:rPr>
                <w:rFonts w:eastAsiaTheme="majorEastAsia"/>
                <w:bCs/>
              </w:rPr>
              <w:t>jsharkey@ficlaw.com</w:t>
            </w:r>
          </w:p>
          <w:p w:rsidR="00770CA9" w:rsidRDefault="00770CA9" w:rsidP="003C5539">
            <w:pPr>
              <w:jc w:val="both"/>
              <w:rPr>
                <w:bCs/>
              </w:rPr>
            </w:pPr>
          </w:p>
        </w:tc>
      </w:tr>
    </w:tbl>
    <w:p w:rsidR="00770CA9" w:rsidRDefault="00770CA9" w:rsidP="00770CA9">
      <w:pPr>
        <w:tabs>
          <w:tab w:val="left" w:pos="4320"/>
        </w:tabs>
      </w:pPr>
      <w:r>
        <w:t xml:space="preserve">AEs: </w:t>
      </w:r>
      <w:r w:rsidRPr="009445EA">
        <w:rPr>
          <w:rFonts w:eastAsiaTheme="majorEastAsia"/>
        </w:rPr>
        <w:t>Bryce.mckenney@puc.state.oh.us</w:t>
      </w:r>
    </w:p>
    <w:p w:rsidR="00770CA9" w:rsidRDefault="00770CA9" w:rsidP="00770CA9">
      <w:pPr>
        <w:tabs>
          <w:tab w:val="left" w:pos="4320"/>
        </w:tabs>
      </w:pPr>
      <w:r>
        <w:t xml:space="preserve">         </w:t>
      </w:r>
      <w:r w:rsidRPr="009445EA">
        <w:rPr>
          <w:rFonts w:eastAsiaTheme="majorEastAsia"/>
        </w:rPr>
        <w:t>Gregory.price@puc.state.oh.us</w:t>
      </w:r>
    </w:p>
    <w:p w:rsidR="00012829" w:rsidRDefault="00012829" w:rsidP="00770CA9">
      <w:pPr>
        <w:tabs>
          <w:tab w:val="left" w:pos="4320"/>
        </w:tabs>
        <w:ind w:right="-90"/>
        <w:rPr>
          <w:b/>
          <w:bCs/>
          <w:szCs w:val="24"/>
        </w:rPr>
      </w:pPr>
    </w:p>
    <w:sectPr w:rsidR="00012829" w:rsidSect="00735559">
      <w:headerReference w:type="even" r:id="rId21"/>
      <w:headerReference w:type="default" r:id="rId22"/>
      <w:headerReference w:type="first" r:id="rId23"/>
      <w:footerReference w:type="first" r:id="rId2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B2" w:rsidRDefault="00B10DB2">
      <w:r>
        <w:separator/>
      </w:r>
    </w:p>
  </w:endnote>
  <w:endnote w:type="continuationSeparator" w:id="0">
    <w:p w:rsidR="00B10DB2" w:rsidRDefault="00B1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5638B4">
    <w:pPr>
      <w:pStyle w:val="Footer"/>
      <w:framePr w:wrap="around" w:vAnchor="text" w:hAnchor="margin" w:xAlign="center" w:y="1"/>
      <w:rPr>
        <w:rStyle w:val="PageNumber"/>
      </w:rPr>
    </w:pPr>
    <w:r>
      <w:rPr>
        <w:rStyle w:val="PageNumber"/>
      </w:rPr>
      <w:fldChar w:fldCharType="begin"/>
    </w:r>
    <w:r w:rsidR="002369D9">
      <w:rPr>
        <w:rStyle w:val="PageNumber"/>
      </w:rPr>
      <w:instrText xml:space="preserve">PAGE  </w:instrText>
    </w:r>
    <w:r>
      <w:rPr>
        <w:rStyle w:val="PageNumber"/>
      </w:rPr>
      <w:fldChar w:fldCharType="separate"/>
    </w:r>
    <w:r w:rsidR="0039697A">
      <w:rPr>
        <w:rStyle w:val="PageNumber"/>
        <w:noProof/>
      </w:rPr>
      <w:t>10</w:t>
    </w:r>
    <w:r>
      <w:rPr>
        <w:rStyle w:val="PageNumber"/>
      </w:rPr>
      <w:fldChar w:fldCharType="end"/>
    </w:r>
  </w:p>
  <w:p w:rsidR="002369D9" w:rsidRDefault="00236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5638B4">
    <w:pPr>
      <w:pStyle w:val="Footer"/>
      <w:framePr w:wrap="around" w:vAnchor="text" w:hAnchor="margin" w:xAlign="center" w:y="1"/>
      <w:rPr>
        <w:rStyle w:val="PageNumber"/>
      </w:rPr>
    </w:pPr>
    <w:r>
      <w:rPr>
        <w:rStyle w:val="PageNumber"/>
      </w:rPr>
      <w:fldChar w:fldCharType="begin"/>
    </w:r>
    <w:r w:rsidR="002369D9">
      <w:rPr>
        <w:rStyle w:val="PageNumber"/>
      </w:rPr>
      <w:instrText xml:space="preserve">PAGE  </w:instrText>
    </w:r>
    <w:r>
      <w:rPr>
        <w:rStyle w:val="PageNumber"/>
      </w:rPr>
      <w:fldChar w:fldCharType="separate"/>
    </w:r>
    <w:r w:rsidR="0039697A">
      <w:rPr>
        <w:rStyle w:val="PageNumber"/>
        <w:noProof/>
      </w:rPr>
      <w:t>10</w:t>
    </w:r>
    <w:r>
      <w:rPr>
        <w:rStyle w:val="PageNumber"/>
      </w:rPr>
      <w:fldChar w:fldCharType="end"/>
    </w:r>
  </w:p>
  <w:p w:rsidR="002369D9" w:rsidRDefault="00236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43" w:rsidRDefault="00707C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0" w:rsidRDefault="005638B4">
    <w:pPr>
      <w:pStyle w:val="Footer"/>
      <w:framePr w:wrap="around" w:vAnchor="text" w:hAnchor="margin" w:xAlign="center" w:y="1"/>
      <w:rPr>
        <w:rStyle w:val="PageNumber"/>
      </w:rPr>
    </w:pPr>
    <w:r>
      <w:rPr>
        <w:rStyle w:val="PageNumber"/>
      </w:rPr>
      <w:fldChar w:fldCharType="begin"/>
    </w:r>
    <w:r w:rsidR="008A3E10">
      <w:rPr>
        <w:rStyle w:val="PageNumber"/>
      </w:rPr>
      <w:instrText xml:space="preserve">PAGE  </w:instrText>
    </w:r>
    <w:r>
      <w:rPr>
        <w:rStyle w:val="PageNumber"/>
      </w:rPr>
      <w:fldChar w:fldCharType="separate"/>
    </w:r>
    <w:r w:rsidR="00707C43">
      <w:rPr>
        <w:rStyle w:val="PageNumber"/>
        <w:noProof/>
      </w:rPr>
      <w:t>9</w:t>
    </w:r>
    <w:r>
      <w:rPr>
        <w:rStyle w:val="PageNumber"/>
      </w:rPr>
      <w:fldChar w:fldCharType="end"/>
    </w:r>
  </w:p>
  <w:p w:rsidR="008A3E10" w:rsidRDefault="008A3E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5638B4">
    <w:pPr>
      <w:pStyle w:val="Footer"/>
      <w:framePr w:wrap="around" w:vAnchor="text" w:hAnchor="margin" w:xAlign="center" w:y="1"/>
      <w:rPr>
        <w:rStyle w:val="PageNumber"/>
      </w:rPr>
    </w:pPr>
    <w:r>
      <w:rPr>
        <w:rStyle w:val="PageNumber"/>
      </w:rPr>
      <w:fldChar w:fldCharType="begin"/>
    </w:r>
    <w:r w:rsidR="002369D9">
      <w:rPr>
        <w:rStyle w:val="PageNumber"/>
      </w:rPr>
      <w:instrText xml:space="preserve">PAGE  </w:instrText>
    </w:r>
    <w:r>
      <w:rPr>
        <w:rStyle w:val="PageNumber"/>
      </w:rPr>
      <w:fldChar w:fldCharType="separate"/>
    </w:r>
    <w:r w:rsidR="0039697A">
      <w:rPr>
        <w:rStyle w:val="PageNumber"/>
        <w:noProof/>
      </w:rPr>
      <w:t>x</w:t>
    </w:r>
    <w:r>
      <w:rPr>
        <w:rStyle w:val="PageNumber"/>
      </w:rPr>
      <w:fldChar w:fldCharType="end"/>
    </w:r>
  </w:p>
  <w:p w:rsidR="002369D9" w:rsidRDefault="002369D9">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B2" w:rsidRDefault="00B10DB2">
      <w:r>
        <w:separator/>
      </w:r>
    </w:p>
  </w:footnote>
  <w:footnote w:type="continuationSeparator" w:id="0">
    <w:p w:rsidR="00B10DB2" w:rsidRDefault="00B10DB2">
      <w:r>
        <w:continuationSeparator/>
      </w:r>
    </w:p>
  </w:footnote>
  <w:footnote w:id="1">
    <w:p w:rsidR="00E22B05" w:rsidRDefault="00E22B05" w:rsidP="00D22371">
      <w:pPr>
        <w:pStyle w:val="FootnoteText"/>
        <w:spacing w:after="120"/>
      </w:pPr>
      <w:r>
        <w:rPr>
          <w:rStyle w:val="FootnoteReference"/>
        </w:rPr>
        <w:footnoteRef/>
      </w:r>
      <w:r>
        <w:t xml:space="preserve"> </w:t>
      </w:r>
      <w:r w:rsidR="00872598">
        <w:rPr>
          <w:i/>
        </w:rPr>
        <w:t xml:space="preserve">In the Matter of the Application of Ohio Edison Company, The Cleveland Electric Illuminating Company, and The Toledo Edison Company for Authority to Modify Their Accounting Procedures, </w:t>
      </w:r>
      <w:r w:rsidR="00872598">
        <w:t>Case No. 04-1931-EL-AAM, Finding and Order at 6 (May 18,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43" w:rsidRDefault="00707C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43" w:rsidRDefault="00707C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43" w:rsidRDefault="00707C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Header"/>
      <w:jc w:val="center"/>
      <w:rPr>
        <w:i/>
        <w:sz w:val="20"/>
      </w:rPr>
    </w:pPr>
    <w:r>
      <w:rPr>
        <w:i/>
        <w:sz w:val="20"/>
      </w:rPr>
      <w:t>Direct Testimony of David J. Effron</w:t>
    </w:r>
  </w:p>
  <w:p w:rsidR="002369D9" w:rsidRDefault="002369D9">
    <w:pPr>
      <w:pStyle w:val="Header"/>
      <w:jc w:val="center"/>
      <w:rPr>
        <w:i/>
        <w:sz w:val="20"/>
      </w:rPr>
    </w:pPr>
    <w:r>
      <w:rPr>
        <w:i/>
        <w:sz w:val="20"/>
      </w:rPr>
      <w:t xml:space="preserve">On Behalf of the Office of the </w:t>
    </w:r>
    <w:smartTag w:uri="urn:schemas-microsoft-com:office:smarttags" w:element="State">
      <w:smartTag w:uri="urn:schemas-microsoft-com:office:smarttags" w:element="place">
        <w:r>
          <w:rPr>
            <w:i/>
            <w:sz w:val="20"/>
          </w:rPr>
          <w:t>Ohio</w:t>
        </w:r>
      </w:smartTag>
    </w:smartTag>
    <w:r>
      <w:rPr>
        <w:i/>
        <w:sz w:val="20"/>
      </w:rPr>
      <w:t xml:space="preserve"> Consumers’ Counsel</w:t>
    </w:r>
  </w:p>
  <w:p w:rsidR="002369D9" w:rsidRDefault="002369D9">
    <w:pPr>
      <w:pStyle w:val="Header"/>
      <w:jc w:val="center"/>
      <w:rPr>
        <w:i/>
        <w:sz w:val="20"/>
      </w:rPr>
    </w:pPr>
    <w:r>
      <w:rPr>
        <w:i/>
        <w:sz w:val="20"/>
      </w:rPr>
      <w:t>PUCO Case No 08-709-EL-AIR et al.</w:t>
    </w:r>
  </w:p>
  <w:p w:rsidR="002369D9" w:rsidRDefault="002369D9">
    <w:pPr>
      <w:pStyle w:val="Header"/>
      <w:jc w:val="center"/>
      <w:rPr>
        <w:sz w:val="20"/>
      </w:rPr>
    </w:pPr>
  </w:p>
  <w:p w:rsidR="002369D9" w:rsidRDefault="002369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3F" w:rsidRDefault="009D023F" w:rsidP="009D023F">
    <w:pPr>
      <w:pStyle w:val="Header"/>
      <w:jc w:val="center"/>
      <w:rPr>
        <w:i/>
        <w:sz w:val="20"/>
      </w:rPr>
    </w:pPr>
    <w:r>
      <w:rPr>
        <w:i/>
        <w:sz w:val="20"/>
      </w:rPr>
      <w:t>Testimony of David J. Effron</w:t>
    </w:r>
  </w:p>
  <w:p w:rsidR="00091200" w:rsidRPr="00091200" w:rsidRDefault="00091200" w:rsidP="00091200">
    <w:pPr>
      <w:pStyle w:val="Header"/>
      <w:tabs>
        <w:tab w:val="left" w:pos="6937"/>
      </w:tabs>
      <w:jc w:val="center"/>
      <w:rPr>
        <w:i/>
        <w:iCs/>
        <w:sz w:val="20"/>
      </w:rPr>
    </w:pPr>
    <w:r>
      <w:rPr>
        <w:i/>
        <w:iCs/>
        <w:sz w:val="20"/>
      </w:rPr>
      <w:t>in Opposition to the Stipulation and Recommendation</w:t>
    </w:r>
  </w:p>
  <w:p w:rsidR="009D023F" w:rsidRDefault="009D023F" w:rsidP="009D023F">
    <w:pPr>
      <w:pStyle w:val="Header"/>
      <w:jc w:val="center"/>
      <w:rPr>
        <w:i/>
        <w:sz w:val="20"/>
      </w:rPr>
    </w:pPr>
    <w:r>
      <w:rPr>
        <w:i/>
        <w:sz w:val="20"/>
      </w:rPr>
      <w:t xml:space="preserve">On Behalf of the Office of the </w:t>
    </w:r>
    <w:smartTag w:uri="urn:schemas-microsoft-com:office:smarttags" w:element="place">
      <w:smartTag w:uri="urn:schemas-microsoft-com:office:smarttags" w:element="State">
        <w:r>
          <w:rPr>
            <w:i/>
            <w:sz w:val="20"/>
          </w:rPr>
          <w:t>Ohio</w:t>
        </w:r>
      </w:smartTag>
    </w:smartTag>
    <w:r>
      <w:rPr>
        <w:i/>
        <w:sz w:val="20"/>
      </w:rPr>
      <w:t xml:space="preserve"> Consumers’ Counsel</w:t>
    </w:r>
  </w:p>
  <w:p w:rsidR="009D023F" w:rsidRDefault="00091200" w:rsidP="00D22371">
    <w:pPr>
      <w:pStyle w:val="Header"/>
      <w:jc w:val="center"/>
      <w:rPr>
        <w:i/>
        <w:sz w:val="20"/>
      </w:rPr>
    </w:pPr>
    <w:r>
      <w:rPr>
        <w:i/>
        <w:sz w:val="20"/>
      </w:rPr>
      <w:t>PUCO Case No</w:t>
    </w:r>
    <w:r w:rsidR="009D023F">
      <w:rPr>
        <w:i/>
        <w:sz w:val="20"/>
      </w:rPr>
      <w:t>. 1</w:t>
    </w:r>
    <w:r w:rsidR="007F20D9">
      <w:rPr>
        <w:i/>
        <w:sz w:val="20"/>
      </w:rPr>
      <w:t>2</w:t>
    </w:r>
    <w:r w:rsidR="009D023F">
      <w:rPr>
        <w:i/>
        <w:sz w:val="20"/>
      </w:rPr>
      <w:t>-</w:t>
    </w:r>
    <w:r w:rsidR="007F20D9">
      <w:rPr>
        <w:i/>
        <w:sz w:val="20"/>
      </w:rPr>
      <w:t>3062</w:t>
    </w:r>
    <w:r w:rsidR="009D023F">
      <w:rPr>
        <w:i/>
        <w:sz w:val="20"/>
      </w:rPr>
      <w:t>-EL-</w:t>
    </w:r>
    <w:r w:rsidR="007F20D9">
      <w:rPr>
        <w:i/>
        <w:sz w:val="20"/>
      </w:rPr>
      <w:t>RDR</w:t>
    </w:r>
    <w:r w:rsidR="009D023F">
      <w:rPr>
        <w:i/>
        <w:sz w:val="20"/>
      </w:rPr>
      <w:t xml:space="preserve"> et al.</w:t>
    </w:r>
  </w:p>
  <w:p w:rsidR="009D023F" w:rsidRDefault="009D02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774BEC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2196C3A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F7AAF26E"/>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202C83CE"/>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03042B6C"/>
    <w:lvl w:ilvl="0">
      <w:start w:val="1"/>
      <w:numFmt w:val="decimal"/>
      <w:lvlText w:val="%1."/>
      <w:lvlJc w:val="left"/>
      <w:pPr>
        <w:tabs>
          <w:tab w:val="num" w:pos="360"/>
        </w:tabs>
        <w:ind w:left="360" w:hanging="360"/>
      </w:pPr>
    </w:lvl>
  </w:abstractNum>
  <w:abstractNum w:abstractNumId="5">
    <w:nsid w:val="FFFFFF89"/>
    <w:multiLevelType w:val="singleLevel"/>
    <w:tmpl w:val="613E1222"/>
    <w:lvl w:ilvl="0">
      <w:start w:val="1"/>
      <w:numFmt w:val="bullet"/>
      <w:lvlText w:val=""/>
      <w:lvlJc w:val="left"/>
      <w:pPr>
        <w:tabs>
          <w:tab w:val="num" w:pos="360"/>
        </w:tabs>
        <w:ind w:left="360" w:hanging="360"/>
      </w:pPr>
      <w:rPr>
        <w:rFonts w:ascii="Symbol" w:hAnsi="Symbol" w:hint="default"/>
      </w:rPr>
    </w:lvl>
  </w:abstractNum>
  <w:abstractNum w:abstractNumId="6">
    <w:nsid w:val="0034031A"/>
    <w:multiLevelType w:val="hybridMultilevel"/>
    <w:tmpl w:val="787805E6"/>
    <w:lvl w:ilvl="0" w:tplc="B372BF6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9E7634"/>
    <w:multiLevelType w:val="hybridMultilevel"/>
    <w:tmpl w:val="2FD2D978"/>
    <w:lvl w:ilvl="0" w:tplc="742678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4712ED"/>
    <w:multiLevelType w:val="multilevel"/>
    <w:tmpl w:val="4B9C2F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4B6514CA"/>
    <w:multiLevelType w:val="hybridMultilevel"/>
    <w:tmpl w:val="5F467A72"/>
    <w:lvl w:ilvl="0" w:tplc="CC5EE3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D6AB0"/>
    <w:multiLevelType w:val="hybridMultilevel"/>
    <w:tmpl w:val="27BCE35E"/>
    <w:lvl w:ilvl="0" w:tplc="17B835FE">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0"/>
  </w:num>
  <w:num w:numId="2">
    <w:abstractNumId w:val="8"/>
  </w:num>
  <w:num w:numId="3">
    <w:abstractNumId w:val="8"/>
  </w:num>
  <w:num w:numId="4">
    <w:abstractNumId w:val="8"/>
  </w:num>
  <w:num w:numId="5">
    <w:abstractNumId w:val="8"/>
  </w:num>
  <w:num w:numId="6">
    <w:abstractNumId w:val="8"/>
  </w:num>
  <w:num w:numId="7">
    <w:abstractNumId w:val="8"/>
  </w:num>
  <w:num w:numId="8">
    <w:abstractNumId w:val="9"/>
  </w:num>
  <w:num w:numId="9">
    <w:abstractNumId w:val="6"/>
  </w:num>
  <w:num w:numId="10">
    <w:abstractNumId w:val="7"/>
  </w:num>
  <w:num w:numId="11">
    <w:abstractNumId w:val="5"/>
  </w:num>
  <w:num w:numId="12">
    <w:abstractNumId w:val="3"/>
  </w:num>
  <w:num w:numId="13">
    <w:abstractNumId w:val="2"/>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isplayBackgroundShape/>
  <w:gutterAtTop/>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012829"/>
    <w:rsid w:val="00012829"/>
    <w:rsid w:val="0004247D"/>
    <w:rsid w:val="0004644E"/>
    <w:rsid w:val="00051A05"/>
    <w:rsid w:val="00057EE1"/>
    <w:rsid w:val="00091200"/>
    <w:rsid w:val="00095460"/>
    <w:rsid w:val="000B0D55"/>
    <w:rsid w:val="00114F45"/>
    <w:rsid w:val="00116C40"/>
    <w:rsid w:val="00124C3B"/>
    <w:rsid w:val="00141CDD"/>
    <w:rsid w:val="001663A3"/>
    <w:rsid w:val="001A49A3"/>
    <w:rsid w:val="001B3134"/>
    <w:rsid w:val="0020484F"/>
    <w:rsid w:val="002369D9"/>
    <w:rsid w:val="002963A9"/>
    <w:rsid w:val="002A159E"/>
    <w:rsid w:val="002A45D9"/>
    <w:rsid w:val="002B1EEC"/>
    <w:rsid w:val="002E5E5E"/>
    <w:rsid w:val="002E6E72"/>
    <w:rsid w:val="003306E6"/>
    <w:rsid w:val="00331BF3"/>
    <w:rsid w:val="00390688"/>
    <w:rsid w:val="00390D79"/>
    <w:rsid w:val="00393690"/>
    <w:rsid w:val="0039697A"/>
    <w:rsid w:val="003B3BD9"/>
    <w:rsid w:val="003B542C"/>
    <w:rsid w:val="003F01FA"/>
    <w:rsid w:val="003F04C1"/>
    <w:rsid w:val="003F48D9"/>
    <w:rsid w:val="0040066E"/>
    <w:rsid w:val="00423528"/>
    <w:rsid w:val="00433AD6"/>
    <w:rsid w:val="00434540"/>
    <w:rsid w:val="00466C36"/>
    <w:rsid w:val="00472311"/>
    <w:rsid w:val="00475978"/>
    <w:rsid w:val="00481B20"/>
    <w:rsid w:val="004845D6"/>
    <w:rsid w:val="004A38AB"/>
    <w:rsid w:val="00513580"/>
    <w:rsid w:val="005241F5"/>
    <w:rsid w:val="00524221"/>
    <w:rsid w:val="0054117C"/>
    <w:rsid w:val="00555FEA"/>
    <w:rsid w:val="005638B4"/>
    <w:rsid w:val="005848A4"/>
    <w:rsid w:val="00584E42"/>
    <w:rsid w:val="005914F3"/>
    <w:rsid w:val="005A462D"/>
    <w:rsid w:val="005B07E2"/>
    <w:rsid w:val="005B4D6A"/>
    <w:rsid w:val="005B5296"/>
    <w:rsid w:val="005E5C80"/>
    <w:rsid w:val="005F23B8"/>
    <w:rsid w:val="00602945"/>
    <w:rsid w:val="00612A91"/>
    <w:rsid w:val="006774D2"/>
    <w:rsid w:val="006919A8"/>
    <w:rsid w:val="006A0282"/>
    <w:rsid w:val="006A4161"/>
    <w:rsid w:val="006C234E"/>
    <w:rsid w:val="006C69FF"/>
    <w:rsid w:val="006E5067"/>
    <w:rsid w:val="006E6CE5"/>
    <w:rsid w:val="006F12C6"/>
    <w:rsid w:val="00707C43"/>
    <w:rsid w:val="007329FC"/>
    <w:rsid w:val="00735559"/>
    <w:rsid w:val="00751130"/>
    <w:rsid w:val="00760CCD"/>
    <w:rsid w:val="00770CA9"/>
    <w:rsid w:val="00785C39"/>
    <w:rsid w:val="00790E8F"/>
    <w:rsid w:val="007C22AD"/>
    <w:rsid w:val="007D36FD"/>
    <w:rsid w:val="007D6C00"/>
    <w:rsid w:val="007E2664"/>
    <w:rsid w:val="007F121B"/>
    <w:rsid w:val="007F20D9"/>
    <w:rsid w:val="007F5946"/>
    <w:rsid w:val="007F7C64"/>
    <w:rsid w:val="00831748"/>
    <w:rsid w:val="00866AFD"/>
    <w:rsid w:val="00870F30"/>
    <w:rsid w:val="00872598"/>
    <w:rsid w:val="008A3E10"/>
    <w:rsid w:val="008A78E9"/>
    <w:rsid w:val="008B75C9"/>
    <w:rsid w:val="008C7E3E"/>
    <w:rsid w:val="00913EE6"/>
    <w:rsid w:val="0091480B"/>
    <w:rsid w:val="00915821"/>
    <w:rsid w:val="009242D4"/>
    <w:rsid w:val="00932942"/>
    <w:rsid w:val="00941BBF"/>
    <w:rsid w:val="009472F5"/>
    <w:rsid w:val="00962724"/>
    <w:rsid w:val="00962DAF"/>
    <w:rsid w:val="00985016"/>
    <w:rsid w:val="0098503B"/>
    <w:rsid w:val="009C0F2D"/>
    <w:rsid w:val="009D023F"/>
    <w:rsid w:val="009F3339"/>
    <w:rsid w:val="00A342E9"/>
    <w:rsid w:val="00A63CE4"/>
    <w:rsid w:val="00AC0086"/>
    <w:rsid w:val="00AC4DCD"/>
    <w:rsid w:val="00AD1230"/>
    <w:rsid w:val="00AE1945"/>
    <w:rsid w:val="00B10499"/>
    <w:rsid w:val="00B10DB2"/>
    <w:rsid w:val="00B46C60"/>
    <w:rsid w:val="00B647F5"/>
    <w:rsid w:val="00BA518F"/>
    <w:rsid w:val="00BC4569"/>
    <w:rsid w:val="00BC7B4E"/>
    <w:rsid w:val="00BD3280"/>
    <w:rsid w:val="00BF7610"/>
    <w:rsid w:val="00BF7FC3"/>
    <w:rsid w:val="00C150E5"/>
    <w:rsid w:val="00C21A32"/>
    <w:rsid w:val="00C44511"/>
    <w:rsid w:val="00C61981"/>
    <w:rsid w:val="00C82EAF"/>
    <w:rsid w:val="00CA2CDD"/>
    <w:rsid w:val="00CD541D"/>
    <w:rsid w:val="00CD5644"/>
    <w:rsid w:val="00CD5F68"/>
    <w:rsid w:val="00CE5929"/>
    <w:rsid w:val="00D22371"/>
    <w:rsid w:val="00D333AC"/>
    <w:rsid w:val="00D34718"/>
    <w:rsid w:val="00D40AC1"/>
    <w:rsid w:val="00D62429"/>
    <w:rsid w:val="00D851C6"/>
    <w:rsid w:val="00D928F1"/>
    <w:rsid w:val="00D950D3"/>
    <w:rsid w:val="00DA562C"/>
    <w:rsid w:val="00DB1F50"/>
    <w:rsid w:val="00DC2824"/>
    <w:rsid w:val="00E22B05"/>
    <w:rsid w:val="00E30EF2"/>
    <w:rsid w:val="00E44506"/>
    <w:rsid w:val="00EB3D99"/>
    <w:rsid w:val="00EB6C2D"/>
    <w:rsid w:val="00ED7BA5"/>
    <w:rsid w:val="00F33FAB"/>
    <w:rsid w:val="00F44057"/>
    <w:rsid w:val="00F76D54"/>
    <w:rsid w:val="00F857BC"/>
    <w:rsid w:val="00F939F7"/>
    <w:rsid w:val="00F964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uiPriority="99"/>
    <w:lsdException w:name="head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2C6"/>
    <w:pPr>
      <w:overflowPunct w:val="0"/>
      <w:autoSpaceDE w:val="0"/>
      <w:autoSpaceDN w:val="0"/>
      <w:adjustRightInd w:val="0"/>
      <w:textAlignment w:val="baseline"/>
    </w:pPr>
    <w:rPr>
      <w:sz w:val="24"/>
      <w:lang w:bidi="ar-SA"/>
    </w:rPr>
  </w:style>
  <w:style w:type="paragraph" w:styleId="Heading1">
    <w:name w:val="heading 1"/>
    <w:basedOn w:val="Normal"/>
    <w:next w:val="Normal"/>
    <w:autoRedefine/>
    <w:qFormat/>
    <w:rsid w:val="00F939F7"/>
    <w:pPr>
      <w:keepNext/>
      <w:spacing w:line="480" w:lineRule="auto"/>
      <w:outlineLvl w:val="0"/>
    </w:pPr>
    <w:rPr>
      <w:rFonts w:ascii="Times New Roman Bold" w:hAnsi="Times New Roman Bold" w:cs="Arial"/>
      <w:b/>
      <w:bCs/>
      <w:caps/>
      <w:kern w:val="32"/>
    </w:rPr>
  </w:style>
  <w:style w:type="paragraph" w:styleId="Heading2">
    <w:name w:val="heading 2"/>
    <w:basedOn w:val="Normal"/>
    <w:next w:val="Normal"/>
    <w:autoRedefine/>
    <w:qFormat/>
    <w:rsid w:val="00D333AC"/>
    <w:pPr>
      <w:keepNext/>
      <w:spacing w:after="240"/>
      <w:ind w:left="1440" w:hanging="720"/>
      <w:outlineLvl w:val="1"/>
    </w:pPr>
    <w:rPr>
      <w:rFonts w:ascii="Times New Roman Bold" w:hAnsi="Times New Roman Bold" w:cs="Arial"/>
      <w:b/>
      <w:bCs/>
      <w:iCs/>
    </w:rPr>
  </w:style>
  <w:style w:type="paragraph" w:styleId="Heading3">
    <w:name w:val="heading 3"/>
    <w:basedOn w:val="Normal"/>
    <w:next w:val="Normal"/>
    <w:qFormat/>
    <w:rsid w:val="00735559"/>
    <w:pPr>
      <w:keepNext/>
      <w:spacing w:after="240"/>
      <w:ind w:left="2160" w:hanging="720"/>
      <w:outlineLvl w:val="2"/>
    </w:pPr>
    <w:rPr>
      <w:rFonts w:ascii="Times New Roman Bold" w:eastAsia="Calibri" w:hAnsi="Times New Roman Bold" w:cs="Arial"/>
      <w:b/>
      <w:bCs/>
    </w:rPr>
  </w:style>
  <w:style w:type="paragraph" w:styleId="Heading4">
    <w:name w:val="heading 4"/>
    <w:basedOn w:val="Normal"/>
    <w:next w:val="Normal"/>
    <w:qFormat/>
    <w:rsid w:val="00735559"/>
    <w:pPr>
      <w:keepNext/>
      <w:widowControl w:val="0"/>
      <w:numPr>
        <w:ilvl w:val="3"/>
        <w:numId w:val="7"/>
      </w:numPr>
      <w:spacing w:after="240"/>
      <w:jc w:val="center"/>
      <w:outlineLvl w:val="3"/>
    </w:pPr>
    <w:rPr>
      <w:rFonts w:ascii="Times New Roman Bold" w:hAnsi="Times New Roman Bold"/>
      <w:b/>
      <w:bCs/>
      <w:caps/>
      <w:snapToGrid w:val="0"/>
      <w:kern w:val="28"/>
    </w:rPr>
  </w:style>
  <w:style w:type="paragraph" w:styleId="Heading5">
    <w:name w:val="heading 5"/>
    <w:basedOn w:val="Normal"/>
    <w:next w:val="Normal"/>
    <w:qFormat/>
    <w:rsid w:val="00735559"/>
    <w:pPr>
      <w:spacing w:after="240"/>
      <w:ind w:left="3600" w:hanging="720"/>
      <w:outlineLvl w:val="4"/>
    </w:pPr>
    <w:rPr>
      <w:rFonts w:ascii="Times New Roman Bold" w:hAnsi="Times New Roman Bold"/>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6F12C6"/>
    <w:pPr>
      <w:tabs>
        <w:tab w:val="right" w:leader="dot" w:pos="8640"/>
      </w:tabs>
      <w:spacing w:after="240"/>
      <w:ind w:left="720" w:hanging="720"/>
    </w:pPr>
    <w:rPr>
      <w:caps/>
      <w:szCs w:val="24"/>
    </w:rPr>
  </w:style>
  <w:style w:type="paragraph" w:styleId="TOC2">
    <w:name w:val="toc 2"/>
    <w:basedOn w:val="Normal"/>
    <w:next w:val="Normal"/>
    <w:autoRedefine/>
    <w:uiPriority w:val="39"/>
    <w:qFormat/>
    <w:rsid w:val="008A3E10"/>
    <w:pPr>
      <w:tabs>
        <w:tab w:val="left" w:pos="720"/>
        <w:tab w:val="right" w:leader="dot" w:pos="8640"/>
      </w:tabs>
      <w:spacing w:after="240"/>
    </w:pPr>
    <w:rPr>
      <w:szCs w:val="24"/>
    </w:rPr>
  </w:style>
  <w:style w:type="paragraph" w:customStyle="1" w:styleId="Style1">
    <w:name w:val="Style1"/>
    <w:basedOn w:val="Heading5"/>
    <w:rsid w:val="00735559"/>
    <w:pPr>
      <w:tabs>
        <w:tab w:val="left" w:pos="-720"/>
      </w:tabs>
      <w:suppressAutoHyphens/>
      <w:ind w:left="9360" w:hanging="7200"/>
    </w:pPr>
    <w:rPr>
      <w:b w:val="0"/>
      <w:i/>
      <w:sz w:val="24"/>
    </w:rPr>
  </w:style>
  <w:style w:type="paragraph" w:customStyle="1" w:styleId="StyleHeading2LeftLeft05Hanging05After12pt">
    <w:name w:val="Style Heading 2 + Left Left:  0.5&quot; Hanging:  0.5&quot; After:  12 pt"/>
    <w:basedOn w:val="Heading2"/>
    <w:rsid w:val="00735559"/>
    <w:pPr>
      <w:tabs>
        <w:tab w:val="left" w:pos="0"/>
        <w:tab w:val="left" w:pos="720"/>
      </w:tabs>
    </w:pPr>
    <w:rPr>
      <w:bCs w:val="0"/>
      <w:szCs w:val="24"/>
    </w:rPr>
  </w:style>
  <w:style w:type="paragraph" w:styleId="TOC3">
    <w:name w:val="toc 3"/>
    <w:basedOn w:val="Normal"/>
    <w:next w:val="Normal"/>
    <w:autoRedefine/>
    <w:semiHidden/>
    <w:rsid w:val="00735559"/>
    <w:pPr>
      <w:tabs>
        <w:tab w:val="left" w:pos="720"/>
        <w:tab w:val="left" w:pos="1440"/>
        <w:tab w:val="decimal" w:leader="dot" w:pos="8640"/>
      </w:tabs>
      <w:spacing w:after="240"/>
      <w:ind w:left="2160" w:hanging="720"/>
    </w:pPr>
    <w:rPr>
      <w:rFonts w:eastAsia="Calibri"/>
    </w:rPr>
  </w:style>
  <w:style w:type="paragraph" w:styleId="TOC4">
    <w:name w:val="toc 4"/>
    <w:basedOn w:val="Normal"/>
    <w:next w:val="Normal"/>
    <w:autoRedefine/>
    <w:semiHidden/>
    <w:rsid w:val="00735559"/>
    <w:pPr>
      <w:widowControl w:val="0"/>
      <w:spacing w:after="240"/>
      <w:ind w:left="720" w:hanging="720"/>
    </w:pPr>
    <w:rPr>
      <w:caps/>
      <w:snapToGrid w:val="0"/>
      <w:kern w:val="28"/>
    </w:rPr>
  </w:style>
  <w:style w:type="paragraph" w:styleId="TOC5">
    <w:name w:val="toc 5"/>
    <w:basedOn w:val="Normal"/>
    <w:next w:val="Normal"/>
    <w:autoRedefine/>
    <w:semiHidden/>
    <w:rsid w:val="00735559"/>
    <w:pPr>
      <w:spacing w:after="240"/>
      <w:ind w:left="3600" w:hanging="720"/>
    </w:pPr>
  </w:style>
  <w:style w:type="paragraph" w:customStyle="1" w:styleId="StyleHeading1NounderlineLeft3">
    <w:name w:val="Style Heading 1 + No underline Left:  3&quot;"/>
    <w:basedOn w:val="Heading1"/>
    <w:rsid w:val="00735559"/>
    <w:rPr>
      <w:bCs w:val="0"/>
    </w:rPr>
  </w:style>
  <w:style w:type="paragraph" w:customStyle="1" w:styleId="StyleHeading5TimesNewRoman12pt">
    <w:name w:val="Style Heading 5 + Times New Roman 12 pt"/>
    <w:basedOn w:val="Heading5"/>
    <w:rsid w:val="00735559"/>
    <w:rPr>
      <w:iCs w:val="0"/>
      <w:sz w:val="24"/>
      <w:szCs w:val="24"/>
    </w:rPr>
  </w:style>
  <w:style w:type="character" w:customStyle="1" w:styleId="Style">
    <w:name w:val="Style"/>
    <w:basedOn w:val="FootnoteReference"/>
    <w:rsid w:val="00735559"/>
    <w:rPr>
      <w:rFonts w:ascii="Times New Roman" w:hAnsi="Times New Roman"/>
      <w:dstrike w:val="0"/>
      <w:spacing w:val="-1"/>
      <w:sz w:val="20"/>
      <w:szCs w:val="20"/>
      <w:vertAlign w:val="baseline"/>
    </w:rPr>
  </w:style>
  <w:style w:type="character" w:styleId="FootnoteReference">
    <w:name w:val="footnote reference"/>
    <w:basedOn w:val="DefaultParagraphFont"/>
    <w:semiHidden/>
    <w:rsid w:val="00735559"/>
    <w:rPr>
      <w:vertAlign w:val="superscript"/>
    </w:rPr>
  </w:style>
  <w:style w:type="paragraph" w:customStyle="1" w:styleId="QUESTION">
    <w:name w:val="QUESTION"/>
    <w:basedOn w:val="Normal"/>
    <w:next w:val="ANSWER"/>
    <w:rsid w:val="00735559"/>
    <w:pPr>
      <w:spacing w:line="480" w:lineRule="auto"/>
      <w:ind w:left="835" w:hanging="547"/>
    </w:pPr>
    <w:rPr>
      <w:b/>
      <w:i/>
      <w:caps/>
    </w:rPr>
  </w:style>
  <w:style w:type="paragraph" w:customStyle="1" w:styleId="ANSWER">
    <w:name w:val="ANSWER"/>
    <w:basedOn w:val="Normal"/>
    <w:rsid w:val="00735559"/>
    <w:pPr>
      <w:spacing w:line="480" w:lineRule="auto"/>
      <w:ind w:left="1008" w:hanging="720"/>
    </w:pPr>
  </w:style>
  <w:style w:type="character" w:styleId="PageNumber">
    <w:name w:val="page number"/>
    <w:basedOn w:val="DefaultParagraphFont"/>
    <w:rsid w:val="00735559"/>
  </w:style>
  <w:style w:type="paragraph" w:styleId="Footer">
    <w:name w:val="footer"/>
    <w:basedOn w:val="Normal"/>
    <w:rsid w:val="00735559"/>
    <w:pPr>
      <w:tabs>
        <w:tab w:val="center" w:pos="4320"/>
        <w:tab w:val="right" w:pos="8640"/>
      </w:tabs>
    </w:pPr>
  </w:style>
  <w:style w:type="paragraph" w:styleId="Header">
    <w:name w:val="header"/>
    <w:basedOn w:val="Normal"/>
    <w:link w:val="HeaderChar"/>
    <w:uiPriority w:val="99"/>
    <w:rsid w:val="00735559"/>
    <w:pPr>
      <w:tabs>
        <w:tab w:val="center" w:pos="4320"/>
        <w:tab w:val="right" w:pos="8640"/>
      </w:tabs>
    </w:pPr>
  </w:style>
  <w:style w:type="paragraph" w:styleId="BlockText">
    <w:name w:val="Block Text"/>
    <w:basedOn w:val="Normal"/>
    <w:rsid w:val="00735559"/>
    <w:pPr>
      <w:overflowPunct/>
      <w:autoSpaceDE/>
      <w:autoSpaceDN/>
      <w:adjustRightInd/>
      <w:spacing w:line="480" w:lineRule="exact"/>
      <w:ind w:left="720" w:hanging="720"/>
      <w:jc w:val="both"/>
      <w:textAlignment w:val="auto"/>
    </w:pPr>
  </w:style>
  <w:style w:type="paragraph" w:styleId="List2">
    <w:name w:val="List 2"/>
    <w:basedOn w:val="Normal"/>
    <w:rsid w:val="00735559"/>
    <w:pPr>
      <w:overflowPunct/>
      <w:autoSpaceDE/>
      <w:autoSpaceDN/>
      <w:adjustRightInd/>
      <w:ind w:left="720" w:hanging="360"/>
      <w:textAlignment w:val="auto"/>
    </w:pPr>
  </w:style>
  <w:style w:type="paragraph" w:styleId="Title">
    <w:name w:val="Title"/>
    <w:basedOn w:val="Normal"/>
    <w:qFormat/>
    <w:rsid w:val="00735559"/>
    <w:pPr>
      <w:overflowPunct/>
      <w:autoSpaceDE/>
      <w:autoSpaceDN/>
      <w:adjustRightInd/>
      <w:jc w:val="center"/>
      <w:textAlignment w:val="auto"/>
    </w:pPr>
    <w:rPr>
      <w:b/>
      <w:sz w:val="32"/>
    </w:rPr>
  </w:style>
  <w:style w:type="paragraph" w:styleId="PlainText">
    <w:name w:val="Plain Text"/>
    <w:basedOn w:val="Normal"/>
    <w:rsid w:val="00735559"/>
    <w:pPr>
      <w:overflowPunct/>
      <w:autoSpaceDE/>
      <w:autoSpaceDN/>
      <w:adjustRightInd/>
      <w:textAlignment w:val="auto"/>
    </w:pPr>
    <w:rPr>
      <w:rFonts w:ascii="Courier New" w:hAnsi="Courier New"/>
      <w:sz w:val="20"/>
    </w:rPr>
  </w:style>
  <w:style w:type="paragraph" w:styleId="HTMLPreformatted">
    <w:name w:val="HTML Preformatted"/>
    <w:basedOn w:val="Normal"/>
    <w:rsid w:val="00735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sz w:val="20"/>
    </w:rPr>
  </w:style>
  <w:style w:type="character" w:styleId="Hyperlink">
    <w:name w:val="Hyperlink"/>
    <w:basedOn w:val="DefaultParagraphFont"/>
    <w:uiPriority w:val="99"/>
    <w:rsid w:val="00735559"/>
    <w:rPr>
      <w:color w:val="0000FF"/>
      <w:u w:val="single"/>
    </w:rPr>
  </w:style>
  <w:style w:type="paragraph" w:styleId="EndnoteText">
    <w:name w:val="endnote text"/>
    <w:basedOn w:val="Normal"/>
    <w:link w:val="EndnoteTextChar"/>
    <w:uiPriority w:val="99"/>
    <w:semiHidden/>
    <w:rsid w:val="00735559"/>
    <w:pPr>
      <w:widowControl w:val="0"/>
      <w:overflowPunct/>
      <w:autoSpaceDE/>
      <w:autoSpaceDN/>
      <w:adjustRightInd/>
      <w:textAlignment w:val="auto"/>
    </w:pPr>
    <w:rPr>
      <w:rFonts w:ascii="Courier New" w:hAnsi="Courier New"/>
      <w:snapToGrid w:val="0"/>
    </w:rPr>
  </w:style>
  <w:style w:type="character" w:styleId="LineNumber">
    <w:name w:val="line number"/>
    <w:basedOn w:val="DefaultParagraphFont"/>
    <w:rsid w:val="00735559"/>
  </w:style>
  <w:style w:type="paragraph" w:styleId="BodyTextIndent">
    <w:name w:val="Body Text Indent"/>
    <w:basedOn w:val="Normal"/>
    <w:link w:val="BodyTextIndentChar"/>
    <w:rsid w:val="00735559"/>
    <w:pPr>
      <w:tabs>
        <w:tab w:val="left" w:pos="-720"/>
        <w:tab w:val="left" w:pos="0"/>
      </w:tabs>
      <w:suppressAutoHyphens/>
      <w:overflowPunct/>
      <w:autoSpaceDE/>
      <w:autoSpaceDN/>
      <w:adjustRightInd/>
      <w:spacing w:line="480" w:lineRule="auto"/>
      <w:ind w:left="720" w:hanging="720"/>
      <w:jc w:val="both"/>
      <w:textAlignment w:val="auto"/>
    </w:pPr>
    <w:rPr>
      <w:rFonts w:ascii="Century Schoolbook" w:hAnsi="Century Schoolbook"/>
      <w:szCs w:val="24"/>
    </w:rPr>
  </w:style>
  <w:style w:type="paragraph" w:styleId="DocumentMap">
    <w:name w:val="Document Map"/>
    <w:basedOn w:val="Normal"/>
    <w:semiHidden/>
    <w:rsid w:val="00735559"/>
    <w:pPr>
      <w:shd w:val="clear" w:color="auto" w:fill="000080"/>
    </w:pPr>
    <w:rPr>
      <w:rFonts w:ascii="Tahoma" w:hAnsi="Tahoma" w:cs="Tahoma"/>
      <w:sz w:val="20"/>
    </w:rPr>
  </w:style>
  <w:style w:type="paragraph" w:styleId="BodyTextIndent2">
    <w:name w:val="Body Text Indent 2"/>
    <w:basedOn w:val="Normal"/>
    <w:rsid w:val="00735559"/>
    <w:pPr>
      <w:overflowPunct/>
      <w:autoSpaceDE/>
      <w:autoSpaceDN/>
      <w:adjustRightInd/>
      <w:spacing w:after="120" w:line="480" w:lineRule="auto"/>
      <w:ind w:left="360"/>
      <w:textAlignment w:val="auto"/>
    </w:pPr>
    <w:rPr>
      <w:rFonts w:ascii="Arial" w:hAnsi="Arial"/>
      <w:szCs w:val="24"/>
    </w:rPr>
  </w:style>
  <w:style w:type="paragraph" w:styleId="FootnoteText">
    <w:name w:val="footnote text"/>
    <w:basedOn w:val="Normal"/>
    <w:link w:val="FootnoteTextChar"/>
    <w:rsid w:val="00735559"/>
    <w:rPr>
      <w:sz w:val="20"/>
    </w:rPr>
  </w:style>
  <w:style w:type="character" w:customStyle="1" w:styleId="FootnoteTextChar">
    <w:name w:val="Footnote Text Char"/>
    <w:basedOn w:val="DefaultParagraphFont"/>
    <w:link w:val="FootnoteText"/>
    <w:rsid w:val="00735559"/>
    <w:rPr>
      <w:lang w:bidi="ar-SA"/>
    </w:rPr>
  </w:style>
  <w:style w:type="paragraph" w:customStyle="1" w:styleId="Default">
    <w:name w:val="Default"/>
    <w:rsid w:val="00735559"/>
    <w:pPr>
      <w:autoSpaceDE w:val="0"/>
      <w:autoSpaceDN w:val="0"/>
      <w:adjustRightInd w:val="0"/>
    </w:pPr>
    <w:rPr>
      <w:color w:val="000000"/>
      <w:sz w:val="24"/>
      <w:szCs w:val="24"/>
    </w:rPr>
  </w:style>
  <w:style w:type="character" w:styleId="CommentReference">
    <w:name w:val="annotation reference"/>
    <w:basedOn w:val="DefaultParagraphFont"/>
    <w:rsid w:val="00735559"/>
    <w:rPr>
      <w:sz w:val="16"/>
      <w:szCs w:val="16"/>
    </w:rPr>
  </w:style>
  <w:style w:type="paragraph" w:styleId="CommentText">
    <w:name w:val="annotation text"/>
    <w:basedOn w:val="Normal"/>
    <w:link w:val="CommentTextChar"/>
    <w:uiPriority w:val="99"/>
    <w:rsid w:val="00735559"/>
    <w:rPr>
      <w:sz w:val="20"/>
    </w:rPr>
  </w:style>
  <w:style w:type="character" w:customStyle="1" w:styleId="CommentTextChar">
    <w:name w:val="Comment Text Char"/>
    <w:basedOn w:val="DefaultParagraphFont"/>
    <w:link w:val="CommentText"/>
    <w:uiPriority w:val="99"/>
    <w:rsid w:val="00735559"/>
    <w:rPr>
      <w:lang w:bidi="ar-SA"/>
    </w:rPr>
  </w:style>
  <w:style w:type="paragraph" w:styleId="CommentSubject">
    <w:name w:val="annotation subject"/>
    <w:basedOn w:val="CommentText"/>
    <w:next w:val="CommentText"/>
    <w:link w:val="CommentSubjectChar"/>
    <w:rsid w:val="00735559"/>
    <w:rPr>
      <w:b/>
      <w:bCs/>
    </w:rPr>
  </w:style>
  <w:style w:type="character" w:customStyle="1" w:styleId="CommentSubjectChar">
    <w:name w:val="Comment Subject Char"/>
    <w:basedOn w:val="CommentTextChar"/>
    <w:link w:val="CommentSubject"/>
    <w:rsid w:val="00735559"/>
    <w:rPr>
      <w:b/>
      <w:bCs/>
      <w:lang w:bidi="ar-SA"/>
    </w:rPr>
  </w:style>
  <w:style w:type="paragraph" w:styleId="BalloonText">
    <w:name w:val="Balloon Text"/>
    <w:basedOn w:val="Normal"/>
    <w:link w:val="BalloonTextChar"/>
    <w:rsid w:val="00735559"/>
    <w:rPr>
      <w:rFonts w:ascii="Tahoma" w:hAnsi="Tahoma" w:cs="Tahoma"/>
      <w:sz w:val="16"/>
      <w:szCs w:val="16"/>
    </w:rPr>
  </w:style>
  <w:style w:type="character" w:customStyle="1" w:styleId="BalloonTextChar">
    <w:name w:val="Balloon Text Char"/>
    <w:basedOn w:val="DefaultParagraphFont"/>
    <w:link w:val="BalloonText"/>
    <w:rsid w:val="00735559"/>
    <w:rPr>
      <w:rFonts w:ascii="Tahoma" w:hAnsi="Tahoma" w:cs="Tahoma"/>
      <w:sz w:val="16"/>
      <w:szCs w:val="16"/>
      <w:lang w:bidi="ar-SA"/>
    </w:rPr>
  </w:style>
  <w:style w:type="paragraph" w:styleId="ListParagraph">
    <w:name w:val="List Paragraph"/>
    <w:basedOn w:val="Normal"/>
    <w:uiPriority w:val="34"/>
    <w:qFormat/>
    <w:rsid w:val="00141CDD"/>
    <w:pPr>
      <w:ind w:left="720"/>
      <w:contextualSpacing/>
    </w:pPr>
  </w:style>
  <w:style w:type="character" w:customStyle="1" w:styleId="BodyTextIndentChar">
    <w:name w:val="Body Text Indent Char"/>
    <w:basedOn w:val="DefaultParagraphFont"/>
    <w:link w:val="BodyTextIndent"/>
    <w:rsid w:val="006F12C6"/>
    <w:rPr>
      <w:rFonts w:ascii="Century Schoolbook" w:hAnsi="Century Schoolbook"/>
      <w:sz w:val="24"/>
      <w:szCs w:val="24"/>
      <w:lang w:bidi="ar-SA"/>
    </w:rPr>
  </w:style>
  <w:style w:type="paragraph" w:styleId="BodyText">
    <w:name w:val="Body Text"/>
    <w:basedOn w:val="Normal"/>
    <w:link w:val="BodyTextChar"/>
    <w:rsid w:val="00091200"/>
    <w:pPr>
      <w:spacing w:after="120"/>
    </w:pPr>
  </w:style>
  <w:style w:type="character" w:customStyle="1" w:styleId="BodyTextChar">
    <w:name w:val="Body Text Char"/>
    <w:basedOn w:val="DefaultParagraphFont"/>
    <w:link w:val="BodyText"/>
    <w:rsid w:val="00091200"/>
    <w:rPr>
      <w:sz w:val="24"/>
      <w:lang w:bidi="ar-SA"/>
    </w:rPr>
  </w:style>
  <w:style w:type="character" w:customStyle="1" w:styleId="HeaderChar">
    <w:name w:val="Header Char"/>
    <w:link w:val="Header"/>
    <w:uiPriority w:val="99"/>
    <w:locked/>
    <w:rsid w:val="00091200"/>
    <w:rPr>
      <w:sz w:val="24"/>
      <w:lang w:bidi="ar-SA"/>
    </w:rPr>
  </w:style>
  <w:style w:type="character" w:customStyle="1" w:styleId="EndnoteTextChar">
    <w:name w:val="Endnote Text Char"/>
    <w:link w:val="EndnoteText"/>
    <w:uiPriority w:val="99"/>
    <w:semiHidden/>
    <w:locked/>
    <w:rsid w:val="00770CA9"/>
    <w:rPr>
      <w:rFonts w:ascii="Courier New" w:hAnsi="Courier New"/>
      <w:snapToGrid w:val="0"/>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image" Target="media/image1.gif"/><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1986</Words>
  <Characters>10636</Characters>
  <Application>Microsoft Office Word</Application>
  <DocSecurity>0</DocSecurity>
  <Lines>324</Lines>
  <Paragraphs>130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12599</CharactersWithSpaces>
  <SharedDoc>false</SharedDoc>
  <HyperlinkBase> </HyperlinkBase>
  <HLinks>
    <vt:vector size="66" baseType="variant">
      <vt:variant>
        <vt:i4>1638448</vt:i4>
      </vt:variant>
      <vt:variant>
        <vt:i4>64</vt:i4>
      </vt:variant>
      <vt:variant>
        <vt:i4>0</vt:i4>
      </vt:variant>
      <vt:variant>
        <vt:i4>5</vt:i4>
      </vt:variant>
      <vt:variant>
        <vt:lpwstr/>
      </vt:variant>
      <vt:variant>
        <vt:lpwstr>_Toc222890945</vt:lpwstr>
      </vt:variant>
      <vt:variant>
        <vt:i4>1638448</vt:i4>
      </vt:variant>
      <vt:variant>
        <vt:i4>58</vt:i4>
      </vt:variant>
      <vt:variant>
        <vt:i4>0</vt:i4>
      </vt:variant>
      <vt:variant>
        <vt:i4>5</vt:i4>
      </vt:variant>
      <vt:variant>
        <vt:lpwstr/>
      </vt:variant>
      <vt:variant>
        <vt:lpwstr>_Toc222890944</vt:lpwstr>
      </vt:variant>
      <vt:variant>
        <vt:i4>1638448</vt:i4>
      </vt:variant>
      <vt:variant>
        <vt:i4>52</vt:i4>
      </vt:variant>
      <vt:variant>
        <vt:i4>0</vt:i4>
      </vt:variant>
      <vt:variant>
        <vt:i4>5</vt:i4>
      </vt:variant>
      <vt:variant>
        <vt:lpwstr/>
      </vt:variant>
      <vt:variant>
        <vt:lpwstr>_Toc222890943</vt:lpwstr>
      </vt:variant>
      <vt:variant>
        <vt:i4>1638448</vt:i4>
      </vt:variant>
      <vt:variant>
        <vt:i4>46</vt:i4>
      </vt:variant>
      <vt:variant>
        <vt:i4>0</vt:i4>
      </vt:variant>
      <vt:variant>
        <vt:i4>5</vt:i4>
      </vt:variant>
      <vt:variant>
        <vt:lpwstr/>
      </vt:variant>
      <vt:variant>
        <vt:lpwstr>_Toc222890942</vt:lpwstr>
      </vt:variant>
      <vt:variant>
        <vt:i4>1638448</vt:i4>
      </vt:variant>
      <vt:variant>
        <vt:i4>40</vt:i4>
      </vt:variant>
      <vt:variant>
        <vt:i4>0</vt:i4>
      </vt:variant>
      <vt:variant>
        <vt:i4>5</vt:i4>
      </vt:variant>
      <vt:variant>
        <vt:lpwstr/>
      </vt:variant>
      <vt:variant>
        <vt:lpwstr>_Toc222890941</vt:lpwstr>
      </vt:variant>
      <vt:variant>
        <vt:i4>1638448</vt:i4>
      </vt:variant>
      <vt:variant>
        <vt:i4>34</vt:i4>
      </vt:variant>
      <vt:variant>
        <vt:i4>0</vt:i4>
      </vt:variant>
      <vt:variant>
        <vt:i4>5</vt:i4>
      </vt:variant>
      <vt:variant>
        <vt:lpwstr/>
      </vt:variant>
      <vt:variant>
        <vt:lpwstr>_Toc222890940</vt:lpwstr>
      </vt:variant>
      <vt:variant>
        <vt:i4>1966128</vt:i4>
      </vt:variant>
      <vt:variant>
        <vt:i4>28</vt:i4>
      </vt:variant>
      <vt:variant>
        <vt:i4>0</vt:i4>
      </vt:variant>
      <vt:variant>
        <vt:i4>5</vt:i4>
      </vt:variant>
      <vt:variant>
        <vt:lpwstr/>
      </vt:variant>
      <vt:variant>
        <vt:lpwstr>_Toc222890939</vt:lpwstr>
      </vt:variant>
      <vt:variant>
        <vt:i4>1966128</vt:i4>
      </vt:variant>
      <vt:variant>
        <vt:i4>22</vt:i4>
      </vt:variant>
      <vt:variant>
        <vt:i4>0</vt:i4>
      </vt:variant>
      <vt:variant>
        <vt:i4>5</vt:i4>
      </vt:variant>
      <vt:variant>
        <vt:lpwstr/>
      </vt:variant>
      <vt:variant>
        <vt:lpwstr>_Toc222890938</vt:lpwstr>
      </vt:variant>
      <vt:variant>
        <vt:i4>1966128</vt:i4>
      </vt:variant>
      <vt:variant>
        <vt:i4>16</vt:i4>
      </vt:variant>
      <vt:variant>
        <vt:i4>0</vt:i4>
      </vt:variant>
      <vt:variant>
        <vt:i4>5</vt:i4>
      </vt:variant>
      <vt:variant>
        <vt:lpwstr/>
      </vt:variant>
      <vt:variant>
        <vt:lpwstr>_Toc222890937</vt:lpwstr>
      </vt:variant>
      <vt:variant>
        <vt:i4>1966128</vt:i4>
      </vt:variant>
      <vt:variant>
        <vt:i4>10</vt:i4>
      </vt:variant>
      <vt:variant>
        <vt:i4>0</vt:i4>
      </vt:variant>
      <vt:variant>
        <vt:i4>5</vt:i4>
      </vt:variant>
      <vt:variant>
        <vt:lpwstr/>
      </vt:variant>
      <vt:variant>
        <vt:lpwstr>_Toc222890936</vt:lpwstr>
      </vt:variant>
      <vt:variant>
        <vt:i4>1966128</vt:i4>
      </vt:variant>
      <vt:variant>
        <vt:i4>4</vt:i4>
      </vt:variant>
      <vt:variant>
        <vt:i4>0</vt:i4>
      </vt:variant>
      <vt:variant>
        <vt:i4>5</vt:i4>
      </vt:variant>
      <vt:variant>
        <vt:lpwstr/>
      </vt:variant>
      <vt:variant>
        <vt:lpwstr>_Toc222890935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2014-05-27T17:25:00Z</cp:lastPrinted>
  <dcterms:created xsi:type="dcterms:W3CDTF">2014-05-27T19:28:00Z</dcterms:created>
  <dcterms:modified xsi:type="dcterms:W3CDTF">2014-05-27T19:28:00Z</dcterms:modified>
  <cp:category> </cp:category>
  <cp:contentStatus> </cp:contentStatus>
</cp:coreProperties>
</file>