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3364" w:rsidRPr="009D71F6" w:rsidRDefault="00493364" w:rsidP="00493364">
      <w:pPr>
        <w:pStyle w:val="Title"/>
        <w:widowControl w:val="0"/>
        <w:rPr>
          <w:rFonts w:ascii="Arial" w:hAnsi="Arial" w:cs="Arial"/>
          <w:szCs w:val="24"/>
        </w:rPr>
      </w:pPr>
      <w:bookmarkStart w:id="0" w:name="_GoBack"/>
      <w:bookmarkEnd w:id="0"/>
      <w:r w:rsidRPr="009D71F6">
        <w:rPr>
          <w:rFonts w:ascii="Arial" w:hAnsi="Arial" w:cs="Arial"/>
          <w:szCs w:val="24"/>
        </w:rPr>
        <w:t>BEFORE</w:t>
      </w:r>
    </w:p>
    <w:p w:rsidR="00493364" w:rsidRPr="009D71F6" w:rsidRDefault="00493364" w:rsidP="00493364">
      <w:pPr>
        <w:widowControl w:val="0"/>
        <w:jc w:val="center"/>
        <w:rPr>
          <w:rFonts w:ascii="Arial" w:hAnsi="Arial" w:cs="Arial"/>
          <w:b/>
          <w:sz w:val="24"/>
          <w:szCs w:val="24"/>
        </w:rPr>
      </w:pPr>
      <w:r w:rsidRPr="009D71F6">
        <w:rPr>
          <w:rFonts w:ascii="Arial" w:hAnsi="Arial" w:cs="Arial"/>
          <w:b/>
          <w:sz w:val="24"/>
          <w:szCs w:val="24"/>
        </w:rPr>
        <w:t>THE PUBLIC UTILITIES COMMISSION OF OHIO</w:t>
      </w:r>
    </w:p>
    <w:tbl>
      <w:tblPr>
        <w:tblW w:w="0" w:type="auto"/>
        <w:jc w:val="center"/>
        <w:tblLook w:val="01E0" w:firstRow="1" w:lastRow="1" w:firstColumn="1" w:lastColumn="1" w:noHBand="0" w:noVBand="0"/>
      </w:tblPr>
      <w:tblGrid>
        <w:gridCol w:w="4739"/>
        <w:gridCol w:w="630"/>
        <w:gridCol w:w="3928"/>
      </w:tblGrid>
      <w:tr w:rsidR="00493364" w:rsidRPr="009D71F6" w:rsidTr="00493364">
        <w:trPr>
          <w:trHeight w:val="3168"/>
          <w:jc w:val="center"/>
        </w:trPr>
        <w:tc>
          <w:tcPr>
            <w:tcW w:w="4739" w:type="dxa"/>
          </w:tcPr>
          <w:p w:rsidR="00493364" w:rsidRPr="00D27158" w:rsidRDefault="00493364" w:rsidP="00CC6C7A">
            <w:pPr>
              <w:autoSpaceDE w:val="0"/>
              <w:autoSpaceDN w:val="0"/>
              <w:adjustRightInd w:val="0"/>
              <w:spacing w:after="0" w:line="240" w:lineRule="auto"/>
              <w:rPr>
                <w:rFonts w:ascii="Arial" w:hAnsi="Arial" w:cs="Arial"/>
                <w:sz w:val="24"/>
                <w:szCs w:val="24"/>
              </w:rPr>
            </w:pPr>
            <w:r w:rsidRPr="00D27158">
              <w:rPr>
                <w:rFonts w:ascii="Arial" w:hAnsi="Arial" w:cs="Arial"/>
                <w:sz w:val="24"/>
                <w:szCs w:val="24"/>
              </w:rPr>
              <w:t>In the Matter of the Application of The</w:t>
            </w:r>
          </w:p>
          <w:p w:rsidR="00493364" w:rsidRPr="00D27158" w:rsidRDefault="00493364" w:rsidP="00CC6C7A">
            <w:pPr>
              <w:autoSpaceDE w:val="0"/>
              <w:autoSpaceDN w:val="0"/>
              <w:adjustRightInd w:val="0"/>
              <w:spacing w:after="0" w:line="240" w:lineRule="auto"/>
              <w:rPr>
                <w:rFonts w:ascii="Arial" w:hAnsi="Arial" w:cs="Arial"/>
                <w:sz w:val="24"/>
                <w:szCs w:val="24"/>
              </w:rPr>
            </w:pPr>
            <w:r w:rsidRPr="00D27158">
              <w:rPr>
                <w:rFonts w:ascii="Arial" w:hAnsi="Arial" w:cs="Arial"/>
                <w:sz w:val="24"/>
                <w:szCs w:val="24"/>
              </w:rPr>
              <w:t>Dayton Power and Light Company for an</w:t>
            </w:r>
          </w:p>
          <w:p w:rsidR="00493364" w:rsidRDefault="00493364" w:rsidP="00CC6C7A">
            <w:pPr>
              <w:autoSpaceDE w:val="0"/>
              <w:autoSpaceDN w:val="0"/>
              <w:adjustRightInd w:val="0"/>
              <w:spacing w:after="0" w:line="240" w:lineRule="auto"/>
              <w:rPr>
                <w:rFonts w:ascii="Arial" w:hAnsi="Arial" w:cs="Arial"/>
                <w:sz w:val="24"/>
                <w:szCs w:val="24"/>
              </w:rPr>
            </w:pPr>
            <w:r w:rsidRPr="00D27158">
              <w:rPr>
                <w:rFonts w:ascii="Arial" w:hAnsi="Arial" w:cs="Arial"/>
                <w:sz w:val="24"/>
                <w:szCs w:val="24"/>
              </w:rPr>
              <w:t>Increase in its Electric Distribution Rates</w:t>
            </w:r>
          </w:p>
          <w:p w:rsidR="00493364" w:rsidRPr="00542A3B" w:rsidRDefault="00493364" w:rsidP="00CC6C7A">
            <w:pPr>
              <w:autoSpaceDE w:val="0"/>
              <w:autoSpaceDN w:val="0"/>
              <w:adjustRightInd w:val="0"/>
              <w:spacing w:after="0" w:line="240" w:lineRule="auto"/>
              <w:rPr>
                <w:rFonts w:ascii="Arial" w:hAnsi="Arial" w:cs="Arial"/>
                <w:sz w:val="24"/>
                <w:szCs w:val="24"/>
              </w:rPr>
            </w:pPr>
          </w:p>
          <w:p w:rsidR="00493364" w:rsidRPr="00D27158" w:rsidRDefault="00493364" w:rsidP="00CC6C7A">
            <w:pPr>
              <w:autoSpaceDE w:val="0"/>
              <w:autoSpaceDN w:val="0"/>
              <w:adjustRightInd w:val="0"/>
              <w:spacing w:after="0" w:line="240" w:lineRule="auto"/>
              <w:rPr>
                <w:rFonts w:ascii="Arial" w:hAnsi="Arial" w:cs="Arial"/>
                <w:sz w:val="24"/>
                <w:szCs w:val="24"/>
              </w:rPr>
            </w:pPr>
            <w:r>
              <w:rPr>
                <w:rFonts w:ascii="Arial" w:hAnsi="Arial" w:cs="Arial"/>
                <w:sz w:val="24"/>
                <w:szCs w:val="24"/>
              </w:rPr>
              <w:t>I</w:t>
            </w:r>
            <w:r w:rsidRPr="00D27158">
              <w:rPr>
                <w:rFonts w:ascii="Arial" w:hAnsi="Arial" w:cs="Arial"/>
                <w:sz w:val="24"/>
                <w:szCs w:val="24"/>
              </w:rPr>
              <w:t>n the Matter of the Application of The</w:t>
            </w:r>
          </w:p>
          <w:p w:rsidR="00493364" w:rsidRPr="00D27158" w:rsidRDefault="00493364" w:rsidP="00CC6C7A">
            <w:pPr>
              <w:autoSpaceDE w:val="0"/>
              <w:autoSpaceDN w:val="0"/>
              <w:adjustRightInd w:val="0"/>
              <w:spacing w:after="0" w:line="240" w:lineRule="auto"/>
              <w:rPr>
                <w:rFonts w:ascii="Arial" w:hAnsi="Arial" w:cs="Arial"/>
                <w:sz w:val="24"/>
                <w:szCs w:val="24"/>
              </w:rPr>
            </w:pPr>
            <w:r w:rsidRPr="00D27158">
              <w:rPr>
                <w:rFonts w:ascii="Arial" w:hAnsi="Arial" w:cs="Arial"/>
                <w:sz w:val="24"/>
                <w:szCs w:val="24"/>
              </w:rPr>
              <w:t>Dayton Power and Light Company for</w:t>
            </w:r>
          </w:p>
          <w:p w:rsidR="00493364" w:rsidRDefault="00493364" w:rsidP="00CC6C7A">
            <w:pPr>
              <w:autoSpaceDE w:val="0"/>
              <w:autoSpaceDN w:val="0"/>
              <w:adjustRightInd w:val="0"/>
              <w:spacing w:after="0" w:line="240" w:lineRule="auto"/>
              <w:rPr>
                <w:rFonts w:ascii="Arial" w:hAnsi="Arial" w:cs="Arial"/>
                <w:sz w:val="24"/>
                <w:szCs w:val="24"/>
              </w:rPr>
            </w:pPr>
            <w:r w:rsidRPr="00D27158">
              <w:rPr>
                <w:rFonts w:ascii="Arial" w:hAnsi="Arial" w:cs="Arial"/>
                <w:sz w:val="24"/>
                <w:szCs w:val="24"/>
              </w:rPr>
              <w:t>Accounting Authority</w:t>
            </w:r>
            <w:r>
              <w:rPr>
                <w:rFonts w:ascii="Arial" w:hAnsi="Arial" w:cs="Arial"/>
                <w:sz w:val="24"/>
                <w:szCs w:val="24"/>
              </w:rPr>
              <w:t xml:space="preserve"> </w:t>
            </w:r>
          </w:p>
          <w:p w:rsidR="00493364" w:rsidRDefault="00493364" w:rsidP="00CC6C7A">
            <w:pPr>
              <w:autoSpaceDE w:val="0"/>
              <w:autoSpaceDN w:val="0"/>
              <w:adjustRightInd w:val="0"/>
              <w:spacing w:after="0" w:line="240" w:lineRule="auto"/>
              <w:rPr>
                <w:rFonts w:ascii="Arial" w:hAnsi="Arial" w:cs="Arial"/>
                <w:sz w:val="24"/>
                <w:szCs w:val="24"/>
              </w:rPr>
            </w:pPr>
          </w:p>
          <w:p w:rsidR="00493364" w:rsidRPr="00D27158" w:rsidRDefault="00493364" w:rsidP="00CC6C7A">
            <w:pPr>
              <w:autoSpaceDE w:val="0"/>
              <w:autoSpaceDN w:val="0"/>
              <w:adjustRightInd w:val="0"/>
              <w:spacing w:after="0" w:line="240" w:lineRule="auto"/>
              <w:rPr>
                <w:rFonts w:ascii="Arial" w:hAnsi="Arial" w:cs="Arial"/>
                <w:sz w:val="24"/>
                <w:szCs w:val="24"/>
              </w:rPr>
            </w:pPr>
            <w:r w:rsidRPr="00D27158">
              <w:rPr>
                <w:rFonts w:ascii="Arial" w:hAnsi="Arial" w:cs="Arial"/>
                <w:sz w:val="24"/>
                <w:szCs w:val="24"/>
              </w:rPr>
              <w:t>In the Matter of the Application of Dayton</w:t>
            </w:r>
          </w:p>
          <w:p w:rsidR="00493364" w:rsidRPr="00D27158" w:rsidRDefault="00493364" w:rsidP="00CC6C7A">
            <w:pPr>
              <w:autoSpaceDE w:val="0"/>
              <w:autoSpaceDN w:val="0"/>
              <w:adjustRightInd w:val="0"/>
              <w:spacing w:after="0" w:line="240" w:lineRule="auto"/>
              <w:rPr>
                <w:rFonts w:ascii="Arial" w:hAnsi="Arial" w:cs="Arial"/>
                <w:sz w:val="24"/>
                <w:szCs w:val="24"/>
              </w:rPr>
            </w:pPr>
            <w:r w:rsidRPr="00D27158">
              <w:rPr>
                <w:rFonts w:ascii="Arial" w:hAnsi="Arial" w:cs="Arial"/>
                <w:sz w:val="24"/>
                <w:szCs w:val="24"/>
              </w:rPr>
              <w:t>Power and Light Company for Approval of</w:t>
            </w:r>
          </w:p>
          <w:p w:rsidR="00493364" w:rsidRPr="009D71F6" w:rsidRDefault="00493364" w:rsidP="00CC6C7A">
            <w:pPr>
              <w:autoSpaceDE w:val="0"/>
              <w:autoSpaceDN w:val="0"/>
              <w:adjustRightInd w:val="0"/>
              <w:spacing w:after="0" w:line="240" w:lineRule="auto"/>
              <w:rPr>
                <w:rFonts w:ascii="Arial" w:hAnsi="Arial" w:cs="Arial"/>
                <w:sz w:val="24"/>
                <w:szCs w:val="24"/>
              </w:rPr>
            </w:pPr>
            <w:r w:rsidRPr="00D27158">
              <w:rPr>
                <w:rFonts w:ascii="Arial" w:hAnsi="Arial" w:cs="Arial"/>
                <w:sz w:val="24"/>
                <w:szCs w:val="24"/>
              </w:rPr>
              <w:t>Revised Tariffs</w:t>
            </w:r>
          </w:p>
        </w:tc>
        <w:tc>
          <w:tcPr>
            <w:tcW w:w="630" w:type="dxa"/>
          </w:tcPr>
          <w:p w:rsidR="00493364" w:rsidRPr="009D71F6" w:rsidRDefault="00493364" w:rsidP="00CC6C7A">
            <w:pPr>
              <w:widowControl w:val="0"/>
              <w:spacing w:after="0" w:line="240" w:lineRule="auto"/>
              <w:jc w:val="center"/>
              <w:rPr>
                <w:rFonts w:ascii="Arial" w:hAnsi="Arial" w:cs="Arial"/>
                <w:sz w:val="24"/>
                <w:szCs w:val="24"/>
              </w:rPr>
            </w:pPr>
            <w:r w:rsidRPr="009D71F6">
              <w:rPr>
                <w:rFonts w:ascii="Arial" w:hAnsi="Arial" w:cs="Arial"/>
                <w:sz w:val="24"/>
                <w:szCs w:val="24"/>
              </w:rPr>
              <w:t>)</w:t>
            </w:r>
          </w:p>
          <w:p w:rsidR="00493364" w:rsidRPr="009D71F6" w:rsidRDefault="00493364" w:rsidP="00CC6C7A">
            <w:pPr>
              <w:widowControl w:val="0"/>
              <w:spacing w:after="0" w:line="240" w:lineRule="auto"/>
              <w:jc w:val="center"/>
              <w:rPr>
                <w:rFonts w:ascii="Arial" w:hAnsi="Arial" w:cs="Arial"/>
                <w:sz w:val="24"/>
                <w:szCs w:val="24"/>
              </w:rPr>
            </w:pPr>
            <w:r w:rsidRPr="009D71F6">
              <w:rPr>
                <w:rFonts w:ascii="Arial" w:hAnsi="Arial" w:cs="Arial"/>
                <w:sz w:val="24"/>
                <w:szCs w:val="24"/>
              </w:rPr>
              <w:t>)</w:t>
            </w:r>
          </w:p>
          <w:p w:rsidR="00493364" w:rsidRPr="009D71F6" w:rsidRDefault="00493364" w:rsidP="00CC6C7A">
            <w:pPr>
              <w:widowControl w:val="0"/>
              <w:spacing w:after="0" w:line="240" w:lineRule="auto"/>
              <w:jc w:val="center"/>
              <w:rPr>
                <w:rFonts w:ascii="Arial" w:hAnsi="Arial" w:cs="Arial"/>
                <w:sz w:val="24"/>
                <w:szCs w:val="24"/>
              </w:rPr>
            </w:pPr>
            <w:r w:rsidRPr="009D71F6">
              <w:rPr>
                <w:rFonts w:ascii="Arial" w:hAnsi="Arial" w:cs="Arial"/>
                <w:sz w:val="24"/>
                <w:szCs w:val="24"/>
              </w:rPr>
              <w:t>)</w:t>
            </w:r>
          </w:p>
          <w:p w:rsidR="00493364" w:rsidRPr="009D71F6" w:rsidRDefault="00493364" w:rsidP="00CC6C7A">
            <w:pPr>
              <w:widowControl w:val="0"/>
              <w:spacing w:after="0" w:line="240" w:lineRule="auto"/>
              <w:jc w:val="center"/>
              <w:rPr>
                <w:rFonts w:ascii="Arial" w:hAnsi="Arial" w:cs="Arial"/>
                <w:sz w:val="24"/>
                <w:szCs w:val="24"/>
              </w:rPr>
            </w:pPr>
            <w:r w:rsidRPr="009D71F6">
              <w:rPr>
                <w:rFonts w:ascii="Arial" w:hAnsi="Arial" w:cs="Arial"/>
                <w:sz w:val="24"/>
                <w:szCs w:val="24"/>
              </w:rPr>
              <w:t>)</w:t>
            </w:r>
          </w:p>
          <w:p w:rsidR="00493364" w:rsidRDefault="00493364" w:rsidP="00CC6C7A">
            <w:pPr>
              <w:widowControl w:val="0"/>
              <w:spacing w:after="0" w:line="240" w:lineRule="auto"/>
              <w:jc w:val="center"/>
              <w:rPr>
                <w:rFonts w:ascii="Arial" w:hAnsi="Arial" w:cs="Arial"/>
                <w:sz w:val="24"/>
                <w:szCs w:val="24"/>
              </w:rPr>
            </w:pPr>
            <w:r>
              <w:rPr>
                <w:rFonts w:ascii="Arial" w:hAnsi="Arial" w:cs="Arial"/>
                <w:sz w:val="24"/>
                <w:szCs w:val="24"/>
              </w:rPr>
              <w:t>)</w:t>
            </w:r>
          </w:p>
          <w:p w:rsidR="00493364" w:rsidRDefault="00493364" w:rsidP="00CC6C7A">
            <w:pPr>
              <w:widowControl w:val="0"/>
              <w:spacing w:after="0" w:line="240" w:lineRule="auto"/>
              <w:jc w:val="center"/>
              <w:rPr>
                <w:rFonts w:ascii="Arial" w:hAnsi="Arial" w:cs="Arial"/>
                <w:sz w:val="24"/>
                <w:szCs w:val="24"/>
              </w:rPr>
            </w:pPr>
            <w:r>
              <w:rPr>
                <w:rFonts w:ascii="Arial" w:hAnsi="Arial" w:cs="Arial"/>
                <w:sz w:val="24"/>
                <w:szCs w:val="24"/>
              </w:rPr>
              <w:t>)</w:t>
            </w:r>
          </w:p>
          <w:p w:rsidR="00493364" w:rsidRDefault="00493364" w:rsidP="00CC6C7A">
            <w:pPr>
              <w:widowControl w:val="0"/>
              <w:spacing w:after="0" w:line="240" w:lineRule="auto"/>
              <w:jc w:val="center"/>
              <w:rPr>
                <w:rFonts w:ascii="Arial" w:hAnsi="Arial" w:cs="Arial"/>
                <w:sz w:val="24"/>
                <w:szCs w:val="24"/>
              </w:rPr>
            </w:pPr>
            <w:r>
              <w:rPr>
                <w:rFonts w:ascii="Arial" w:hAnsi="Arial" w:cs="Arial"/>
                <w:sz w:val="24"/>
                <w:szCs w:val="24"/>
              </w:rPr>
              <w:t>)</w:t>
            </w:r>
          </w:p>
          <w:p w:rsidR="00493364" w:rsidRDefault="00493364" w:rsidP="00CC6C7A">
            <w:pPr>
              <w:widowControl w:val="0"/>
              <w:spacing w:after="0" w:line="240" w:lineRule="auto"/>
              <w:jc w:val="center"/>
              <w:rPr>
                <w:rFonts w:ascii="Arial" w:hAnsi="Arial" w:cs="Arial"/>
                <w:sz w:val="24"/>
                <w:szCs w:val="24"/>
              </w:rPr>
            </w:pPr>
            <w:r>
              <w:rPr>
                <w:rFonts w:ascii="Arial" w:hAnsi="Arial" w:cs="Arial"/>
                <w:sz w:val="24"/>
                <w:szCs w:val="24"/>
              </w:rPr>
              <w:t>)</w:t>
            </w:r>
            <w:r>
              <w:rPr>
                <w:rFonts w:ascii="Arial" w:hAnsi="Arial" w:cs="Arial"/>
                <w:sz w:val="24"/>
                <w:szCs w:val="24"/>
              </w:rPr>
              <w:br/>
              <w:t>)</w:t>
            </w:r>
          </w:p>
          <w:p w:rsidR="00493364" w:rsidRDefault="00493364" w:rsidP="00CC6C7A">
            <w:pPr>
              <w:widowControl w:val="0"/>
              <w:spacing w:after="0" w:line="240" w:lineRule="auto"/>
              <w:jc w:val="center"/>
              <w:rPr>
                <w:rFonts w:ascii="Arial" w:hAnsi="Arial" w:cs="Arial"/>
                <w:sz w:val="24"/>
                <w:szCs w:val="24"/>
              </w:rPr>
            </w:pPr>
            <w:r>
              <w:rPr>
                <w:rFonts w:ascii="Arial" w:hAnsi="Arial" w:cs="Arial"/>
                <w:sz w:val="24"/>
                <w:szCs w:val="24"/>
              </w:rPr>
              <w:t>)</w:t>
            </w:r>
          </w:p>
          <w:p w:rsidR="00493364" w:rsidRDefault="00493364" w:rsidP="00CC6C7A">
            <w:pPr>
              <w:widowControl w:val="0"/>
              <w:spacing w:after="0" w:line="240" w:lineRule="auto"/>
              <w:jc w:val="center"/>
              <w:rPr>
                <w:rFonts w:ascii="Arial" w:hAnsi="Arial" w:cs="Arial"/>
                <w:sz w:val="24"/>
                <w:szCs w:val="24"/>
              </w:rPr>
            </w:pPr>
            <w:r>
              <w:rPr>
                <w:rFonts w:ascii="Arial" w:hAnsi="Arial" w:cs="Arial"/>
                <w:sz w:val="24"/>
                <w:szCs w:val="24"/>
              </w:rPr>
              <w:t>)</w:t>
            </w:r>
          </w:p>
          <w:p w:rsidR="00493364" w:rsidRDefault="00493364" w:rsidP="00CC6C7A">
            <w:pPr>
              <w:widowControl w:val="0"/>
              <w:spacing w:after="0" w:line="240" w:lineRule="auto"/>
              <w:jc w:val="center"/>
              <w:rPr>
                <w:rFonts w:ascii="Arial" w:hAnsi="Arial" w:cs="Arial"/>
                <w:sz w:val="24"/>
                <w:szCs w:val="24"/>
              </w:rPr>
            </w:pPr>
          </w:p>
          <w:p w:rsidR="00493364" w:rsidRPr="009D71F6" w:rsidRDefault="00493364" w:rsidP="00CC6C7A">
            <w:pPr>
              <w:widowControl w:val="0"/>
              <w:spacing w:after="0" w:line="240" w:lineRule="auto"/>
              <w:rPr>
                <w:rFonts w:ascii="Arial" w:hAnsi="Arial" w:cs="Arial"/>
                <w:sz w:val="24"/>
                <w:szCs w:val="24"/>
              </w:rPr>
            </w:pPr>
          </w:p>
        </w:tc>
        <w:tc>
          <w:tcPr>
            <w:tcW w:w="3928" w:type="dxa"/>
          </w:tcPr>
          <w:p w:rsidR="00493364" w:rsidRPr="009D71F6" w:rsidRDefault="00493364" w:rsidP="00CC6C7A">
            <w:pPr>
              <w:widowControl w:val="0"/>
              <w:spacing w:after="0" w:line="240" w:lineRule="auto"/>
              <w:rPr>
                <w:rFonts w:ascii="Arial" w:hAnsi="Arial" w:cs="Arial"/>
                <w:sz w:val="24"/>
                <w:szCs w:val="24"/>
              </w:rPr>
            </w:pPr>
          </w:p>
          <w:p w:rsidR="00493364" w:rsidRDefault="00493364" w:rsidP="00CC6C7A">
            <w:pPr>
              <w:widowControl w:val="0"/>
              <w:spacing w:after="0" w:line="240" w:lineRule="auto"/>
              <w:rPr>
                <w:rFonts w:ascii="Arial" w:hAnsi="Arial" w:cs="Arial"/>
                <w:sz w:val="24"/>
                <w:szCs w:val="24"/>
              </w:rPr>
            </w:pPr>
            <w:r>
              <w:rPr>
                <w:rFonts w:ascii="Arial" w:hAnsi="Arial" w:cs="Arial"/>
                <w:sz w:val="24"/>
                <w:szCs w:val="24"/>
              </w:rPr>
              <w:t>Case No. 15-1830-EL-AIR</w:t>
            </w:r>
          </w:p>
          <w:p w:rsidR="00493364" w:rsidRPr="009D71F6" w:rsidRDefault="00493364" w:rsidP="00CC6C7A">
            <w:pPr>
              <w:widowControl w:val="0"/>
              <w:spacing w:after="0" w:line="240" w:lineRule="auto"/>
              <w:rPr>
                <w:rFonts w:ascii="Arial" w:hAnsi="Arial" w:cs="Arial"/>
                <w:sz w:val="24"/>
                <w:szCs w:val="24"/>
              </w:rPr>
            </w:pPr>
          </w:p>
          <w:p w:rsidR="00493364" w:rsidRDefault="00493364" w:rsidP="00CC6C7A">
            <w:pPr>
              <w:widowControl w:val="0"/>
              <w:spacing w:after="0" w:line="240" w:lineRule="auto"/>
              <w:rPr>
                <w:rFonts w:ascii="Arial" w:hAnsi="Arial" w:cs="Arial"/>
                <w:sz w:val="24"/>
                <w:szCs w:val="24"/>
              </w:rPr>
            </w:pPr>
          </w:p>
          <w:p w:rsidR="00493364" w:rsidRDefault="00493364" w:rsidP="00CC6C7A">
            <w:pPr>
              <w:widowControl w:val="0"/>
              <w:spacing w:after="0" w:line="240" w:lineRule="auto"/>
              <w:rPr>
                <w:rFonts w:ascii="Arial" w:hAnsi="Arial" w:cs="Arial"/>
                <w:sz w:val="24"/>
                <w:szCs w:val="24"/>
              </w:rPr>
            </w:pPr>
          </w:p>
          <w:p w:rsidR="00493364" w:rsidRDefault="00493364" w:rsidP="00CC6C7A">
            <w:pPr>
              <w:widowControl w:val="0"/>
              <w:spacing w:after="0" w:line="240" w:lineRule="auto"/>
              <w:rPr>
                <w:rFonts w:ascii="Arial" w:hAnsi="Arial" w:cs="Arial"/>
                <w:sz w:val="24"/>
                <w:szCs w:val="24"/>
              </w:rPr>
            </w:pPr>
            <w:r>
              <w:rPr>
                <w:rFonts w:ascii="Arial" w:hAnsi="Arial" w:cs="Arial"/>
                <w:sz w:val="24"/>
                <w:szCs w:val="24"/>
              </w:rPr>
              <w:t>Case No. 15-1831-EL-AAM</w:t>
            </w:r>
          </w:p>
          <w:p w:rsidR="00493364" w:rsidRDefault="00493364" w:rsidP="00CC6C7A">
            <w:pPr>
              <w:widowControl w:val="0"/>
              <w:spacing w:after="0" w:line="240" w:lineRule="auto"/>
              <w:rPr>
                <w:rFonts w:ascii="Arial" w:hAnsi="Arial" w:cs="Arial"/>
                <w:sz w:val="24"/>
                <w:szCs w:val="24"/>
              </w:rPr>
            </w:pPr>
          </w:p>
          <w:p w:rsidR="00493364" w:rsidRPr="009D71F6" w:rsidRDefault="00493364" w:rsidP="00CC6C7A">
            <w:pPr>
              <w:widowControl w:val="0"/>
              <w:spacing w:after="0" w:line="240" w:lineRule="auto"/>
              <w:rPr>
                <w:rFonts w:ascii="Arial" w:hAnsi="Arial" w:cs="Arial"/>
                <w:sz w:val="24"/>
                <w:szCs w:val="24"/>
              </w:rPr>
            </w:pPr>
          </w:p>
          <w:p w:rsidR="00493364" w:rsidRDefault="00493364" w:rsidP="00CC6C7A">
            <w:pPr>
              <w:widowControl w:val="0"/>
              <w:spacing w:after="0" w:line="240" w:lineRule="auto"/>
              <w:rPr>
                <w:rFonts w:ascii="Arial" w:hAnsi="Arial" w:cs="Arial"/>
                <w:sz w:val="24"/>
                <w:szCs w:val="24"/>
              </w:rPr>
            </w:pPr>
          </w:p>
          <w:p w:rsidR="00493364" w:rsidRDefault="00493364" w:rsidP="00CC6C7A">
            <w:pPr>
              <w:widowControl w:val="0"/>
              <w:spacing w:after="0" w:line="240" w:lineRule="auto"/>
              <w:rPr>
                <w:rFonts w:ascii="Arial" w:hAnsi="Arial" w:cs="Arial"/>
                <w:sz w:val="24"/>
                <w:szCs w:val="24"/>
              </w:rPr>
            </w:pPr>
            <w:r>
              <w:rPr>
                <w:rFonts w:ascii="Arial" w:hAnsi="Arial" w:cs="Arial"/>
                <w:sz w:val="24"/>
                <w:szCs w:val="24"/>
              </w:rPr>
              <w:t>Case No. 15-1832-EL-UNC</w:t>
            </w:r>
          </w:p>
          <w:p w:rsidR="00493364" w:rsidRPr="009D71F6" w:rsidRDefault="00493364" w:rsidP="00CC6C7A">
            <w:pPr>
              <w:widowControl w:val="0"/>
              <w:spacing w:after="0" w:line="240" w:lineRule="auto"/>
              <w:rPr>
                <w:rFonts w:ascii="Arial" w:hAnsi="Arial" w:cs="Arial"/>
                <w:sz w:val="24"/>
                <w:szCs w:val="24"/>
              </w:rPr>
            </w:pPr>
          </w:p>
        </w:tc>
      </w:tr>
    </w:tbl>
    <w:p w:rsidR="00545F29" w:rsidRPr="009D71F6" w:rsidRDefault="00545F29">
      <w:pPr>
        <w:widowControl w:val="0"/>
        <w:pBdr>
          <w:bottom w:val="single" w:sz="12" w:space="0" w:color="auto"/>
        </w:pBdr>
        <w:spacing w:after="0" w:line="240" w:lineRule="auto"/>
        <w:rPr>
          <w:rFonts w:ascii="Arial" w:hAnsi="Arial" w:cs="Arial"/>
          <w:sz w:val="24"/>
          <w:szCs w:val="24"/>
        </w:rPr>
      </w:pPr>
    </w:p>
    <w:p w:rsidR="00280A2E" w:rsidRDefault="00280A2E" w:rsidP="00280A2E">
      <w:pPr>
        <w:widowControl w:val="0"/>
        <w:spacing w:after="0" w:line="240" w:lineRule="auto"/>
        <w:jc w:val="center"/>
        <w:rPr>
          <w:rFonts w:ascii="Arial" w:hAnsi="Arial" w:cs="Arial"/>
          <w:b/>
          <w:bCs/>
          <w:sz w:val="24"/>
          <w:szCs w:val="24"/>
        </w:rPr>
      </w:pPr>
    </w:p>
    <w:p w:rsidR="00545F29" w:rsidRPr="009D71F6" w:rsidRDefault="00280A2E" w:rsidP="00280A2E">
      <w:pPr>
        <w:widowControl w:val="0"/>
        <w:spacing w:after="0" w:line="240" w:lineRule="auto"/>
        <w:jc w:val="center"/>
        <w:rPr>
          <w:rFonts w:ascii="Arial" w:hAnsi="Arial" w:cs="Arial"/>
          <w:b/>
          <w:bCs/>
          <w:sz w:val="24"/>
          <w:szCs w:val="24"/>
        </w:rPr>
      </w:pPr>
      <w:r>
        <w:rPr>
          <w:rFonts w:ascii="Arial" w:hAnsi="Arial" w:cs="Arial"/>
          <w:b/>
          <w:bCs/>
          <w:sz w:val="24"/>
          <w:szCs w:val="24"/>
        </w:rPr>
        <w:t xml:space="preserve">OBJECTIONS TO STAFF REPORT OF INVESTIGATION AND SUMMARY OF MAJOR ISSUES </w:t>
      </w:r>
      <w:r w:rsidR="00AA75B4">
        <w:rPr>
          <w:rFonts w:ascii="Arial" w:hAnsi="Arial" w:cs="Arial"/>
          <w:b/>
          <w:bCs/>
          <w:sz w:val="24"/>
          <w:szCs w:val="24"/>
        </w:rPr>
        <w:t xml:space="preserve">OF </w:t>
      </w:r>
      <w:r w:rsidR="0040267C">
        <w:rPr>
          <w:rFonts w:ascii="Arial" w:hAnsi="Arial" w:cs="Arial"/>
          <w:b/>
          <w:bCs/>
          <w:sz w:val="24"/>
          <w:szCs w:val="24"/>
        </w:rPr>
        <w:t>INTERSTATE GAS SUPPLY, INC.</w:t>
      </w:r>
    </w:p>
    <w:p w:rsidR="00545F29" w:rsidRPr="009D71F6" w:rsidRDefault="00545F29">
      <w:pPr>
        <w:widowControl w:val="0"/>
        <w:pBdr>
          <w:bottom w:val="single" w:sz="12" w:space="1" w:color="auto"/>
        </w:pBdr>
        <w:tabs>
          <w:tab w:val="left" w:pos="6461"/>
        </w:tabs>
        <w:spacing w:after="0" w:line="240" w:lineRule="auto"/>
        <w:jc w:val="center"/>
        <w:rPr>
          <w:rFonts w:ascii="Arial" w:hAnsi="Arial" w:cs="Arial"/>
          <w:sz w:val="24"/>
          <w:szCs w:val="24"/>
        </w:rPr>
      </w:pPr>
    </w:p>
    <w:p w:rsidR="00545F29" w:rsidRPr="009D71F6" w:rsidRDefault="00545F29">
      <w:pPr>
        <w:tabs>
          <w:tab w:val="left" w:pos="360"/>
        </w:tabs>
        <w:spacing w:after="0" w:line="240" w:lineRule="auto"/>
        <w:ind w:left="360" w:hanging="360"/>
        <w:jc w:val="both"/>
        <w:rPr>
          <w:rFonts w:ascii="Arial" w:hAnsi="Arial" w:cs="Arial"/>
          <w:sz w:val="24"/>
          <w:szCs w:val="24"/>
        </w:rPr>
      </w:pPr>
    </w:p>
    <w:p w:rsidR="00237730" w:rsidRDefault="00237730" w:rsidP="00F5720A">
      <w:pPr>
        <w:autoSpaceDE w:val="0"/>
        <w:autoSpaceDN w:val="0"/>
        <w:adjustRightInd w:val="0"/>
        <w:spacing w:after="120" w:line="480" w:lineRule="auto"/>
        <w:ind w:firstLine="720"/>
        <w:jc w:val="both"/>
        <w:rPr>
          <w:rFonts w:ascii="Arial" w:hAnsi="Arial" w:cs="Arial"/>
          <w:sz w:val="24"/>
          <w:szCs w:val="24"/>
        </w:rPr>
      </w:pPr>
    </w:p>
    <w:p w:rsidR="00237730" w:rsidRDefault="00237730" w:rsidP="00A75F7D">
      <w:pPr>
        <w:autoSpaceDE w:val="0"/>
        <w:autoSpaceDN w:val="0"/>
        <w:adjustRightInd w:val="0"/>
        <w:spacing w:after="120" w:line="480" w:lineRule="auto"/>
        <w:jc w:val="both"/>
        <w:rPr>
          <w:rFonts w:ascii="Arial" w:hAnsi="Arial" w:cs="Arial"/>
          <w:sz w:val="24"/>
          <w:szCs w:val="24"/>
        </w:rPr>
      </w:pPr>
    </w:p>
    <w:p w:rsidR="00237730" w:rsidRDefault="00237730" w:rsidP="00237730">
      <w:pPr>
        <w:spacing w:after="0" w:line="240" w:lineRule="auto"/>
        <w:ind w:left="5040"/>
        <w:rPr>
          <w:rFonts w:ascii="Arial" w:eastAsia="Calibri" w:hAnsi="Arial" w:cs="Arial"/>
          <w:sz w:val="24"/>
          <w:szCs w:val="24"/>
          <w:u w:val="single"/>
        </w:rPr>
      </w:pPr>
    </w:p>
    <w:p w:rsidR="006E5083" w:rsidRDefault="006E5083" w:rsidP="00493364">
      <w:pPr>
        <w:spacing w:after="0" w:line="240" w:lineRule="auto"/>
        <w:rPr>
          <w:rFonts w:ascii="Arial" w:hAnsi="Arial" w:cs="Arial"/>
          <w:sz w:val="24"/>
          <w:szCs w:val="24"/>
        </w:rPr>
      </w:pPr>
    </w:p>
    <w:p w:rsidR="006E5083" w:rsidRDefault="006E5083" w:rsidP="00BE3B88">
      <w:pPr>
        <w:spacing w:after="0" w:line="240" w:lineRule="auto"/>
        <w:ind w:left="5040"/>
        <w:rPr>
          <w:rFonts w:ascii="Arial" w:hAnsi="Arial" w:cs="Arial"/>
          <w:sz w:val="24"/>
          <w:szCs w:val="24"/>
        </w:rPr>
      </w:pPr>
    </w:p>
    <w:p w:rsidR="006E5083" w:rsidRDefault="006E5083" w:rsidP="00BE3B88">
      <w:pPr>
        <w:spacing w:after="0" w:line="240" w:lineRule="auto"/>
        <w:ind w:left="5040"/>
        <w:rPr>
          <w:rFonts w:ascii="Arial" w:hAnsi="Arial" w:cs="Arial"/>
          <w:sz w:val="24"/>
          <w:szCs w:val="24"/>
        </w:rPr>
      </w:pPr>
    </w:p>
    <w:p w:rsidR="006E5083" w:rsidRDefault="006E5083" w:rsidP="00BE3B88">
      <w:pPr>
        <w:spacing w:after="0" w:line="240" w:lineRule="auto"/>
        <w:ind w:left="5040"/>
        <w:rPr>
          <w:rFonts w:ascii="Arial" w:hAnsi="Arial" w:cs="Arial"/>
          <w:sz w:val="24"/>
          <w:szCs w:val="24"/>
        </w:rPr>
      </w:pPr>
    </w:p>
    <w:p w:rsidR="006E5083" w:rsidRPr="00C51B26" w:rsidRDefault="006E5083" w:rsidP="00C51B26">
      <w:pPr>
        <w:spacing w:after="0" w:line="240" w:lineRule="auto"/>
        <w:rPr>
          <w:rFonts w:ascii="Arial" w:hAnsi="Arial" w:cs="Arial"/>
          <w:sz w:val="24"/>
          <w:szCs w:val="24"/>
        </w:rPr>
      </w:pPr>
    </w:p>
    <w:p w:rsidR="00BE3B88" w:rsidRDefault="00BE3B88" w:rsidP="00BE3B88">
      <w:pPr>
        <w:spacing w:after="0" w:line="240" w:lineRule="auto"/>
        <w:ind w:left="5040"/>
        <w:rPr>
          <w:rFonts w:ascii="Arial" w:hAnsi="Arial" w:cs="Arial"/>
          <w:sz w:val="24"/>
          <w:szCs w:val="24"/>
        </w:rPr>
      </w:pPr>
      <w:r w:rsidRPr="00C51B26">
        <w:rPr>
          <w:rFonts w:ascii="Arial" w:hAnsi="Arial" w:cs="Arial"/>
          <w:sz w:val="24"/>
          <w:szCs w:val="24"/>
        </w:rPr>
        <w:t>Joseph Oliker (0086088)</w:t>
      </w:r>
    </w:p>
    <w:p w:rsidR="00C51B26" w:rsidRPr="00C51B26" w:rsidRDefault="00C51B26" w:rsidP="00BE3B88">
      <w:pPr>
        <w:spacing w:after="0" w:line="240" w:lineRule="auto"/>
        <w:ind w:left="5040"/>
        <w:rPr>
          <w:rFonts w:ascii="Arial" w:hAnsi="Arial" w:cs="Arial"/>
          <w:sz w:val="24"/>
          <w:szCs w:val="24"/>
        </w:rPr>
      </w:pPr>
      <w:r>
        <w:rPr>
          <w:rFonts w:ascii="Arial" w:hAnsi="Arial" w:cs="Arial"/>
          <w:sz w:val="24"/>
          <w:szCs w:val="24"/>
        </w:rPr>
        <w:t xml:space="preserve">Counsel of Record </w:t>
      </w:r>
    </w:p>
    <w:p w:rsidR="00BE3B88" w:rsidRPr="00C51B26" w:rsidRDefault="00BE3B88" w:rsidP="00BE3B88">
      <w:pPr>
        <w:spacing w:after="0" w:line="240" w:lineRule="auto"/>
        <w:ind w:left="5040"/>
        <w:rPr>
          <w:rStyle w:val="Hyperlink"/>
          <w:rFonts w:ascii="Arial" w:hAnsi="Arial" w:cs="Arial"/>
          <w:color w:val="auto"/>
          <w:sz w:val="24"/>
          <w:szCs w:val="24"/>
          <w:u w:val="none"/>
        </w:rPr>
      </w:pPr>
      <w:r w:rsidRPr="00C51B26">
        <w:rPr>
          <w:rFonts w:ascii="Arial" w:hAnsi="Arial" w:cs="Arial"/>
          <w:sz w:val="24"/>
          <w:szCs w:val="24"/>
        </w:rPr>
        <w:t xml:space="preserve">Email: </w:t>
      </w:r>
      <w:hyperlink r:id="rId8" w:history="1">
        <w:r w:rsidRPr="00C51B26">
          <w:rPr>
            <w:rStyle w:val="Hyperlink"/>
            <w:rFonts w:ascii="Arial" w:hAnsi="Arial" w:cs="Arial"/>
            <w:color w:val="auto"/>
            <w:sz w:val="24"/>
            <w:szCs w:val="24"/>
            <w:u w:val="none"/>
          </w:rPr>
          <w:t>joliker@igsenergy.com</w:t>
        </w:r>
      </w:hyperlink>
    </w:p>
    <w:p w:rsidR="00C51B26" w:rsidRPr="00C51B26" w:rsidRDefault="00C51B26" w:rsidP="00BE3B88">
      <w:pPr>
        <w:spacing w:after="0" w:line="240" w:lineRule="auto"/>
        <w:ind w:left="5040"/>
        <w:rPr>
          <w:rStyle w:val="Hyperlink"/>
          <w:rFonts w:ascii="Arial" w:hAnsi="Arial" w:cs="Arial"/>
          <w:color w:val="auto"/>
          <w:sz w:val="24"/>
          <w:szCs w:val="24"/>
          <w:u w:val="none"/>
        </w:rPr>
      </w:pPr>
      <w:r w:rsidRPr="00C51B26">
        <w:rPr>
          <w:rStyle w:val="Hyperlink"/>
          <w:rFonts w:ascii="Arial" w:hAnsi="Arial" w:cs="Arial"/>
          <w:color w:val="auto"/>
          <w:sz w:val="24"/>
          <w:szCs w:val="24"/>
          <w:u w:val="none"/>
        </w:rPr>
        <w:t>Michael Nugent</w:t>
      </w:r>
    </w:p>
    <w:p w:rsidR="00C51B26" w:rsidRPr="00C51B26" w:rsidRDefault="00C51B26" w:rsidP="00BE3B88">
      <w:pPr>
        <w:spacing w:after="0" w:line="240" w:lineRule="auto"/>
        <w:ind w:left="5040"/>
        <w:rPr>
          <w:rFonts w:ascii="Arial" w:hAnsi="Arial" w:cs="Arial"/>
          <w:sz w:val="24"/>
          <w:szCs w:val="24"/>
        </w:rPr>
      </w:pPr>
      <w:r>
        <w:rPr>
          <w:rStyle w:val="Hyperlink"/>
          <w:rFonts w:ascii="Arial" w:hAnsi="Arial" w:cs="Arial"/>
          <w:color w:val="auto"/>
          <w:sz w:val="24"/>
          <w:szCs w:val="24"/>
          <w:u w:val="none"/>
        </w:rPr>
        <w:t xml:space="preserve">Email:  </w:t>
      </w:r>
      <w:r w:rsidRPr="00C51B26">
        <w:rPr>
          <w:rStyle w:val="Hyperlink"/>
          <w:rFonts w:ascii="Arial" w:hAnsi="Arial" w:cs="Arial"/>
          <w:color w:val="auto"/>
          <w:sz w:val="24"/>
          <w:szCs w:val="24"/>
          <w:u w:val="none"/>
        </w:rPr>
        <w:t>Mnugent@igsenergy.com</w:t>
      </w:r>
    </w:p>
    <w:p w:rsidR="00BE3B88" w:rsidRPr="00C51B26" w:rsidRDefault="00BE3B88" w:rsidP="00BE3B88">
      <w:pPr>
        <w:spacing w:after="0" w:line="240" w:lineRule="auto"/>
        <w:ind w:left="5040"/>
        <w:rPr>
          <w:rFonts w:ascii="Arial" w:hAnsi="Arial" w:cs="Arial"/>
          <w:sz w:val="24"/>
          <w:szCs w:val="24"/>
        </w:rPr>
      </w:pPr>
      <w:r w:rsidRPr="00C51B26">
        <w:rPr>
          <w:rFonts w:ascii="Arial" w:hAnsi="Arial" w:cs="Arial"/>
          <w:sz w:val="24"/>
          <w:szCs w:val="24"/>
        </w:rPr>
        <w:t>IGS Energy</w:t>
      </w:r>
    </w:p>
    <w:p w:rsidR="00BE3B88" w:rsidRPr="00C51B26" w:rsidRDefault="00BE3B88" w:rsidP="00BE3B88">
      <w:pPr>
        <w:spacing w:after="0" w:line="240" w:lineRule="auto"/>
        <w:ind w:left="5040"/>
        <w:rPr>
          <w:rFonts w:ascii="Arial" w:hAnsi="Arial" w:cs="Arial"/>
          <w:sz w:val="24"/>
          <w:szCs w:val="24"/>
        </w:rPr>
      </w:pPr>
      <w:r w:rsidRPr="00C51B26">
        <w:rPr>
          <w:rFonts w:ascii="Arial" w:hAnsi="Arial" w:cs="Arial"/>
          <w:sz w:val="24"/>
          <w:szCs w:val="24"/>
        </w:rPr>
        <w:t>6100 Emerald Parkway</w:t>
      </w:r>
    </w:p>
    <w:p w:rsidR="00BE3B88" w:rsidRPr="00C51B26" w:rsidRDefault="00BE3B88" w:rsidP="00BE3B88">
      <w:pPr>
        <w:spacing w:after="0" w:line="240" w:lineRule="auto"/>
        <w:ind w:left="5040"/>
        <w:rPr>
          <w:rFonts w:ascii="Arial" w:hAnsi="Arial" w:cs="Arial"/>
          <w:sz w:val="24"/>
          <w:szCs w:val="24"/>
        </w:rPr>
      </w:pPr>
      <w:r w:rsidRPr="00C51B26">
        <w:rPr>
          <w:rFonts w:ascii="Arial" w:hAnsi="Arial" w:cs="Arial"/>
          <w:sz w:val="24"/>
          <w:szCs w:val="24"/>
        </w:rPr>
        <w:t>Dublin, Ohio 43016</w:t>
      </w:r>
    </w:p>
    <w:p w:rsidR="00BE3B88" w:rsidRDefault="00BE3B88" w:rsidP="00BE3B88">
      <w:pPr>
        <w:spacing w:after="0" w:line="240" w:lineRule="auto"/>
        <w:ind w:left="5040"/>
        <w:rPr>
          <w:rFonts w:ascii="Arial" w:hAnsi="Arial" w:cs="Arial"/>
          <w:sz w:val="24"/>
          <w:szCs w:val="24"/>
        </w:rPr>
      </w:pPr>
      <w:r w:rsidRPr="00C51B26">
        <w:rPr>
          <w:rFonts w:ascii="Arial" w:hAnsi="Arial" w:cs="Arial"/>
          <w:sz w:val="24"/>
          <w:szCs w:val="24"/>
        </w:rPr>
        <w:t>Telephone:</w:t>
      </w:r>
      <w:r w:rsidRPr="00C51B26">
        <w:rPr>
          <w:rFonts w:ascii="Arial" w:hAnsi="Arial" w:cs="Arial"/>
          <w:sz w:val="24"/>
          <w:szCs w:val="24"/>
        </w:rPr>
        <w:tab/>
        <w:t>(614) 659</w:t>
      </w:r>
      <w:r>
        <w:rPr>
          <w:rFonts w:ascii="Arial" w:hAnsi="Arial" w:cs="Arial"/>
          <w:sz w:val="24"/>
          <w:szCs w:val="24"/>
        </w:rPr>
        <w:t>-5000</w:t>
      </w:r>
    </w:p>
    <w:p w:rsidR="00BE3B88" w:rsidRDefault="00BE3B88" w:rsidP="00BE3B88">
      <w:pPr>
        <w:spacing w:after="0" w:line="240" w:lineRule="auto"/>
        <w:ind w:left="5040"/>
        <w:rPr>
          <w:rFonts w:ascii="Arial" w:hAnsi="Arial" w:cs="Arial"/>
          <w:sz w:val="24"/>
          <w:szCs w:val="24"/>
        </w:rPr>
      </w:pPr>
      <w:r>
        <w:rPr>
          <w:rFonts w:ascii="Arial" w:hAnsi="Arial" w:cs="Arial"/>
          <w:sz w:val="24"/>
          <w:szCs w:val="24"/>
        </w:rPr>
        <w:t>Facsimile:</w:t>
      </w:r>
      <w:r>
        <w:rPr>
          <w:rFonts w:ascii="Arial" w:hAnsi="Arial" w:cs="Arial"/>
          <w:sz w:val="24"/>
          <w:szCs w:val="24"/>
        </w:rPr>
        <w:tab/>
        <w:t>(614) 659-5073</w:t>
      </w:r>
    </w:p>
    <w:p w:rsidR="00BE3B88" w:rsidRDefault="00BE3B88" w:rsidP="00BE3B88">
      <w:pPr>
        <w:spacing w:after="0" w:line="240" w:lineRule="auto"/>
        <w:ind w:left="5040"/>
        <w:rPr>
          <w:rFonts w:ascii="Arial" w:hAnsi="Arial" w:cs="Arial"/>
          <w:sz w:val="24"/>
          <w:szCs w:val="24"/>
        </w:rPr>
      </w:pPr>
    </w:p>
    <w:p w:rsidR="00237730" w:rsidRDefault="00BE3B88" w:rsidP="00C51B26">
      <w:pPr>
        <w:spacing w:after="0" w:line="240" w:lineRule="auto"/>
        <w:ind w:left="5040"/>
        <w:rPr>
          <w:rFonts w:ascii="Arial" w:hAnsi="Arial" w:cs="Arial"/>
          <w:b/>
          <w:i/>
          <w:sz w:val="24"/>
          <w:szCs w:val="24"/>
        </w:rPr>
      </w:pPr>
      <w:r>
        <w:rPr>
          <w:rFonts w:ascii="Arial" w:hAnsi="Arial" w:cs="Arial"/>
          <w:b/>
          <w:i/>
          <w:sz w:val="24"/>
          <w:szCs w:val="24"/>
        </w:rPr>
        <w:t>Attorney</w:t>
      </w:r>
      <w:r w:rsidR="00C51B26">
        <w:rPr>
          <w:rFonts w:ascii="Arial" w:hAnsi="Arial" w:cs="Arial"/>
          <w:b/>
          <w:i/>
          <w:sz w:val="24"/>
          <w:szCs w:val="24"/>
        </w:rPr>
        <w:t>s</w:t>
      </w:r>
      <w:r>
        <w:rPr>
          <w:rFonts w:ascii="Arial" w:hAnsi="Arial" w:cs="Arial"/>
          <w:b/>
          <w:i/>
          <w:sz w:val="24"/>
          <w:szCs w:val="24"/>
        </w:rPr>
        <w:t xml:space="preserve"> for IGS Energy</w:t>
      </w:r>
    </w:p>
    <w:p w:rsidR="00BE3B88" w:rsidRDefault="00493364" w:rsidP="006E5083">
      <w:pPr>
        <w:spacing w:after="0" w:line="240" w:lineRule="auto"/>
        <w:rPr>
          <w:rFonts w:ascii="Arial" w:hAnsi="Arial" w:cs="Arial"/>
          <w:b/>
          <w:sz w:val="24"/>
          <w:szCs w:val="24"/>
        </w:rPr>
      </w:pPr>
      <w:r>
        <w:rPr>
          <w:rFonts w:ascii="Arial" w:hAnsi="Arial" w:cs="Arial"/>
          <w:b/>
          <w:sz w:val="24"/>
          <w:szCs w:val="24"/>
        </w:rPr>
        <w:t>April 11</w:t>
      </w:r>
      <w:r w:rsidR="0082522C">
        <w:rPr>
          <w:rFonts w:ascii="Arial" w:hAnsi="Arial" w:cs="Arial"/>
          <w:b/>
          <w:sz w:val="24"/>
          <w:szCs w:val="24"/>
        </w:rPr>
        <w:t>,</w:t>
      </w:r>
      <w:r>
        <w:rPr>
          <w:rFonts w:ascii="Arial" w:hAnsi="Arial" w:cs="Arial"/>
          <w:b/>
          <w:sz w:val="24"/>
          <w:szCs w:val="24"/>
        </w:rPr>
        <w:t xml:space="preserve"> 2018</w:t>
      </w:r>
    </w:p>
    <w:p w:rsidR="005948BC" w:rsidRDefault="005948BC" w:rsidP="005948BC">
      <w:pPr>
        <w:widowControl w:val="0"/>
        <w:spacing w:after="0" w:line="240" w:lineRule="auto"/>
        <w:jc w:val="center"/>
        <w:rPr>
          <w:rFonts w:ascii="Arial" w:hAnsi="Arial" w:cs="Arial"/>
          <w:b/>
          <w:bCs/>
          <w:sz w:val="24"/>
          <w:szCs w:val="24"/>
          <w:u w:val="single"/>
        </w:rPr>
      </w:pPr>
      <w:r w:rsidRPr="00EC2ABB">
        <w:rPr>
          <w:rFonts w:ascii="Arial" w:hAnsi="Arial" w:cs="Arial"/>
          <w:b/>
          <w:bCs/>
          <w:sz w:val="24"/>
          <w:szCs w:val="24"/>
          <w:u w:val="single"/>
        </w:rPr>
        <w:lastRenderedPageBreak/>
        <w:t>TABLE OF CONTENTS</w:t>
      </w:r>
    </w:p>
    <w:p w:rsidR="005948BC" w:rsidRPr="00AE7A34" w:rsidRDefault="005948BC" w:rsidP="005948BC">
      <w:pPr>
        <w:widowControl w:val="0"/>
        <w:spacing w:after="0" w:line="240" w:lineRule="auto"/>
        <w:jc w:val="center"/>
        <w:rPr>
          <w:rFonts w:ascii="Arial" w:hAnsi="Arial" w:cs="Arial"/>
          <w:b/>
          <w:bCs/>
          <w:sz w:val="24"/>
          <w:szCs w:val="24"/>
          <w:u w:val="single"/>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u w:val="single"/>
        </w:rPr>
        <w:t>PAGE</w:t>
      </w:r>
    </w:p>
    <w:p w:rsidR="005948BC" w:rsidRDefault="005948BC" w:rsidP="005948BC">
      <w:pPr>
        <w:pStyle w:val="Level1"/>
        <w:rPr>
          <w:webHidden/>
        </w:rPr>
      </w:pPr>
    </w:p>
    <w:p w:rsidR="005948BC" w:rsidRPr="00AE7A34" w:rsidRDefault="005948BC" w:rsidP="005948BC">
      <w:pPr>
        <w:pStyle w:val="Level1"/>
        <w:numPr>
          <w:ilvl w:val="0"/>
          <w:numId w:val="16"/>
        </w:numPr>
        <w:rPr>
          <w:rFonts w:ascii="Arial" w:hAnsi="Arial" w:cs="Arial"/>
        </w:rPr>
      </w:pPr>
      <w:r w:rsidRPr="00AE7A34">
        <w:rPr>
          <w:rFonts w:ascii="Arial" w:hAnsi="Arial" w:cs="Arial"/>
          <w:webHidden/>
        </w:rPr>
        <w:t xml:space="preserve">introduction </w:t>
      </w:r>
      <w:r w:rsidRPr="00AE7A34">
        <w:rPr>
          <w:rFonts w:ascii="Arial" w:hAnsi="Arial" w:cs="Arial"/>
          <w:webHidden/>
        </w:rPr>
        <w:tab/>
      </w:r>
      <w:r w:rsidR="00191E30">
        <w:rPr>
          <w:rFonts w:ascii="Arial" w:hAnsi="Arial" w:cs="Arial"/>
          <w:webHidden/>
        </w:rPr>
        <w:tab/>
      </w:r>
      <w:r>
        <w:rPr>
          <w:rFonts w:ascii="Arial" w:hAnsi="Arial" w:cs="Arial"/>
          <w:webHidden/>
        </w:rPr>
        <w:t>3</w:t>
      </w:r>
    </w:p>
    <w:p w:rsidR="005948BC" w:rsidRDefault="005948BC" w:rsidP="005948BC">
      <w:pPr>
        <w:pStyle w:val="Level1"/>
        <w:numPr>
          <w:ilvl w:val="0"/>
          <w:numId w:val="16"/>
        </w:numPr>
        <w:rPr>
          <w:rFonts w:ascii="Arial" w:hAnsi="Arial" w:cs="Arial"/>
          <w:webHidden/>
        </w:rPr>
      </w:pPr>
      <w:r>
        <w:rPr>
          <w:rFonts w:ascii="Arial" w:hAnsi="Arial" w:cs="Arial"/>
          <w:webHidden/>
        </w:rPr>
        <w:t>OBJECTIONS TO THE STAFF REPORT</w:t>
      </w:r>
      <w:r w:rsidRPr="00AE7A34">
        <w:rPr>
          <w:rFonts w:ascii="Arial" w:hAnsi="Arial" w:cs="Arial"/>
          <w:webHidden/>
        </w:rPr>
        <w:tab/>
      </w:r>
      <w:r w:rsidR="00191E30">
        <w:rPr>
          <w:rFonts w:ascii="Arial" w:hAnsi="Arial" w:cs="Arial"/>
          <w:webHidden/>
        </w:rPr>
        <w:tab/>
      </w:r>
      <w:r>
        <w:rPr>
          <w:rFonts w:ascii="Arial" w:hAnsi="Arial" w:cs="Arial"/>
          <w:webHidden/>
        </w:rPr>
        <w:t>4</w:t>
      </w:r>
    </w:p>
    <w:p w:rsidR="005948BC" w:rsidRDefault="005948BC" w:rsidP="00CB1772">
      <w:pPr>
        <w:pStyle w:val="Level1"/>
        <w:numPr>
          <w:ilvl w:val="1"/>
          <w:numId w:val="16"/>
        </w:numPr>
        <w:rPr>
          <w:rFonts w:ascii="Arial" w:hAnsi="Arial" w:cs="Arial"/>
        </w:rPr>
      </w:pPr>
      <w:r w:rsidRPr="00F2733B">
        <w:rPr>
          <w:rFonts w:ascii="Arial" w:hAnsi="Arial" w:cs="Arial"/>
        </w:rPr>
        <w:t>The Staff Rep</w:t>
      </w:r>
      <w:r w:rsidR="009C4043">
        <w:rPr>
          <w:rFonts w:ascii="Arial" w:hAnsi="Arial" w:cs="Arial"/>
        </w:rPr>
        <w:t>ort fails to recommend that DP&amp;L</w:t>
      </w:r>
      <w:r w:rsidRPr="00F2733B">
        <w:rPr>
          <w:rFonts w:ascii="Arial" w:hAnsi="Arial" w:cs="Arial"/>
        </w:rPr>
        <w:t xml:space="preserve"> unbundle </w:t>
      </w:r>
      <w:r>
        <w:rPr>
          <w:rFonts w:ascii="Arial" w:hAnsi="Arial" w:cs="Arial"/>
        </w:rPr>
        <w:t xml:space="preserve">                </w:t>
      </w:r>
      <w:r w:rsidRPr="00F2733B">
        <w:rPr>
          <w:rFonts w:ascii="Arial" w:hAnsi="Arial" w:cs="Arial"/>
        </w:rPr>
        <w:t xml:space="preserve">from distribution rates </w:t>
      </w:r>
      <w:r w:rsidR="00CB1772">
        <w:rPr>
          <w:rFonts w:ascii="Arial" w:hAnsi="Arial" w:cs="Arial"/>
        </w:rPr>
        <w:t xml:space="preserve">all </w:t>
      </w:r>
      <w:r w:rsidRPr="00F2733B">
        <w:rPr>
          <w:rFonts w:ascii="Arial" w:hAnsi="Arial" w:cs="Arial"/>
        </w:rPr>
        <w:t xml:space="preserve">costs related to the provision </w:t>
      </w:r>
      <w:r w:rsidR="003372ED">
        <w:rPr>
          <w:rFonts w:ascii="Arial" w:hAnsi="Arial" w:cs="Arial"/>
        </w:rPr>
        <w:t xml:space="preserve">                 </w:t>
      </w:r>
      <w:r w:rsidRPr="00F2733B">
        <w:rPr>
          <w:rFonts w:ascii="Arial" w:hAnsi="Arial" w:cs="Arial"/>
        </w:rPr>
        <w:t>of the standard service offer</w:t>
      </w:r>
      <w:r w:rsidR="00CB1772">
        <w:rPr>
          <w:rFonts w:ascii="Arial" w:hAnsi="Arial" w:cs="Arial"/>
        </w:rPr>
        <w:t xml:space="preserve">.  </w:t>
      </w:r>
      <w:r w:rsidR="00CB1772" w:rsidRPr="00CB1772">
        <w:rPr>
          <w:rFonts w:ascii="Arial" w:hAnsi="Arial" w:cs="Arial"/>
        </w:rPr>
        <w:t>The Staff Report further incorrectly proposes an avoided cost analysis to unbundle distribution rates</w:t>
      </w:r>
      <w:r w:rsidR="00191E30" w:rsidRPr="00AE7A34">
        <w:rPr>
          <w:rFonts w:ascii="Arial" w:hAnsi="Arial" w:cs="Arial"/>
          <w:webHidden/>
        </w:rPr>
        <w:tab/>
      </w:r>
      <w:r w:rsidR="00191E30">
        <w:rPr>
          <w:rFonts w:ascii="Arial" w:hAnsi="Arial" w:cs="Arial"/>
          <w:webHidden/>
        </w:rPr>
        <w:t>.</w:t>
      </w:r>
      <w:r w:rsidR="00191E30">
        <w:rPr>
          <w:rFonts w:ascii="Arial" w:hAnsi="Arial" w:cs="Arial"/>
          <w:webHidden/>
        </w:rPr>
        <w:tab/>
      </w:r>
      <w:r w:rsidR="00191E30">
        <w:rPr>
          <w:rFonts w:ascii="Arial" w:hAnsi="Arial" w:cs="Arial"/>
          <w:webHidden/>
        </w:rPr>
        <w:t>4</w:t>
      </w:r>
      <w:r w:rsidRPr="00F2733B">
        <w:rPr>
          <w:rFonts w:ascii="Arial" w:hAnsi="Arial" w:cs="Arial"/>
        </w:rPr>
        <w:t xml:space="preserve"> </w:t>
      </w:r>
    </w:p>
    <w:p w:rsidR="00921CFB" w:rsidRPr="00921CFB" w:rsidRDefault="00921CFB" w:rsidP="00921CFB">
      <w:pPr>
        <w:pStyle w:val="ListParagraph"/>
        <w:numPr>
          <w:ilvl w:val="1"/>
          <w:numId w:val="16"/>
        </w:numPr>
        <w:rPr>
          <w:rFonts w:ascii="Arial" w:eastAsia="Times New Roman" w:hAnsi="Arial" w:cs="Arial"/>
          <w:b/>
          <w:bCs/>
          <w:caps/>
          <w:sz w:val="20"/>
          <w:szCs w:val="20"/>
        </w:rPr>
      </w:pPr>
      <w:r w:rsidRPr="00921CFB">
        <w:rPr>
          <w:rFonts w:ascii="Arial" w:eastAsia="Times New Roman" w:hAnsi="Arial" w:cs="Arial"/>
          <w:b/>
          <w:bCs/>
          <w:caps/>
          <w:sz w:val="20"/>
          <w:szCs w:val="20"/>
        </w:rPr>
        <w:t xml:space="preserve">DP&amp;L’s historical usage fees are excessive and not </w:t>
      </w:r>
      <w:r w:rsidR="00191E30">
        <w:rPr>
          <w:rFonts w:ascii="Arial" w:eastAsia="Times New Roman" w:hAnsi="Arial" w:cs="Arial"/>
          <w:b/>
          <w:bCs/>
          <w:caps/>
          <w:sz w:val="20"/>
          <w:szCs w:val="20"/>
        </w:rPr>
        <w:t xml:space="preserve">              </w:t>
      </w:r>
      <w:r w:rsidRPr="00921CFB">
        <w:rPr>
          <w:rFonts w:ascii="Arial" w:eastAsia="Times New Roman" w:hAnsi="Arial" w:cs="Arial"/>
          <w:b/>
          <w:bCs/>
          <w:caps/>
          <w:sz w:val="20"/>
          <w:szCs w:val="20"/>
        </w:rPr>
        <w:t>supported by the application to increase rates or the Staff Report</w:t>
      </w:r>
      <w:r w:rsidR="00191E30">
        <w:rPr>
          <w:rFonts w:ascii="Arial" w:eastAsia="Times New Roman" w:hAnsi="Arial" w:cs="Arial"/>
          <w:b/>
          <w:bCs/>
          <w:caps/>
          <w:sz w:val="20"/>
          <w:szCs w:val="20"/>
        </w:rPr>
        <w:t>……………………………………………………………………………….….</w:t>
      </w:r>
      <w:r w:rsidR="00191E30">
        <w:rPr>
          <w:rFonts w:ascii="Arial" w:eastAsia="Times New Roman" w:hAnsi="Arial" w:cs="Arial"/>
          <w:b/>
          <w:bCs/>
          <w:caps/>
          <w:sz w:val="20"/>
          <w:szCs w:val="20"/>
        </w:rPr>
        <w:tab/>
        <w:t>9</w:t>
      </w:r>
    </w:p>
    <w:p w:rsidR="00921CFB" w:rsidRDefault="00921CFB" w:rsidP="00191E30">
      <w:pPr>
        <w:pStyle w:val="ListParagraph"/>
        <w:numPr>
          <w:ilvl w:val="1"/>
          <w:numId w:val="16"/>
        </w:numPr>
        <w:tabs>
          <w:tab w:val="left" w:pos="8640"/>
          <w:tab w:val="left" w:pos="8730"/>
        </w:tabs>
        <w:rPr>
          <w:rFonts w:ascii="Arial" w:eastAsia="Times New Roman" w:hAnsi="Arial" w:cs="Arial"/>
          <w:b/>
          <w:bCs/>
          <w:caps/>
          <w:sz w:val="20"/>
          <w:szCs w:val="20"/>
        </w:rPr>
      </w:pPr>
      <w:r w:rsidRPr="00921CFB">
        <w:rPr>
          <w:rFonts w:ascii="Arial" w:eastAsia="Times New Roman" w:hAnsi="Arial" w:cs="Arial"/>
          <w:b/>
          <w:bCs/>
          <w:caps/>
          <w:sz w:val="20"/>
          <w:szCs w:val="20"/>
        </w:rPr>
        <w:t xml:space="preserve">DP&amp;L’s </w:t>
      </w:r>
      <w:r w:rsidR="00CB1772">
        <w:rPr>
          <w:rFonts w:ascii="Arial" w:eastAsia="Times New Roman" w:hAnsi="Arial" w:cs="Arial"/>
          <w:b/>
          <w:bCs/>
          <w:caps/>
          <w:sz w:val="20"/>
          <w:szCs w:val="20"/>
        </w:rPr>
        <w:t xml:space="preserve">credit and </w:t>
      </w:r>
      <w:r w:rsidRPr="00921CFB">
        <w:rPr>
          <w:rFonts w:ascii="Arial" w:eastAsia="Times New Roman" w:hAnsi="Arial" w:cs="Arial"/>
          <w:b/>
          <w:bCs/>
          <w:caps/>
          <w:sz w:val="20"/>
          <w:szCs w:val="20"/>
        </w:rPr>
        <w:t xml:space="preserve">collateral requirements are not </w:t>
      </w:r>
      <w:r w:rsidR="00191E30">
        <w:rPr>
          <w:rFonts w:ascii="Arial" w:eastAsia="Times New Roman" w:hAnsi="Arial" w:cs="Arial"/>
          <w:b/>
          <w:bCs/>
          <w:caps/>
          <w:sz w:val="20"/>
          <w:szCs w:val="20"/>
        </w:rPr>
        <w:t xml:space="preserve">       </w:t>
      </w:r>
      <w:r w:rsidRPr="00921CFB">
        <w:rPr>
          <w:rFonts w:ascii="Arial" w:eastAsia="Times New Roman" w:hAnsi="Arial" w:cs="Arial"/>
          <w:b/>
          <w:bCs/>
          <w:caps/>
          <w:sz w:val="20"/>
          <w:szCs w:val="20"/>
        </w:rPr>
        <w:t xml:space="preserve">transparent or </w:t>
      </w:r>
      <w:r w:rsidR="00CB1772">
        <w:rPr>
          <w:rFonts w:ascii="Arial" w:eastAsia="Times New Roman" w:hAnsi="Arial" w:cs="Arial"/>
          <w:b/>
          <w:bCs/>
          <w:caps/>
          <w:sz w:val="20"/>
          <w:szCs w:val="20"/>
        </w:rPr>
        <w:t>reasonable</w:t>
      </w:r>
      <w:r w:rsidR="00191E30">
        <w:rPr>
          <w:rFonts w:ascii="Arial" w:eastAsia="Times New Roman" w:hAnsi="Arial" w:cs="Arial"/>
          <w:b/>
          <w:bCs/>
          <w:caps/>
          <w:sz w:val="20"/>
          <w:szCs w:val="20"/>
        </w:rPr>
        <w:t>…………………………………………….........9</w:t>
      </w:r>
    </w:p>
    <w:p w:rsidR="00CB1772" w:rsidRPr="00921CFB" w:rsidRDefault="00CB1772" w:rsidP="00921CFB">
      <w:pPr>
        <w:pStyle w:val="ListParagraph"/>
        <w:numPr>
          <w:ilvl w:val="1"/>
          <w:numId w:val="16"/>
        </w:numPr>
        <w:rPr>
          <w:rFonts w:ascii="Arial" w:eastAsia="Times New Roman" w:hAnsi="Arial" w:cs="Arial"/>
          <w:b/>
          <w:bCs/>
          <w:caps/>
          <w:sz w:val="20"/>
          <w:szCs w:val="20"/>
        </w:rPr>
      </w:pPr>
      <w:r>
        <w:rPr>
          <w:rFonts w:ascii="Arial" w:eastAsia="Times New Roman" w:hAnsi="Arial" w:cs="Arial"/>
          <w:b/>
          <w:bCs/>
          <w:caps/>
          <w:sz w:val="20"/>
          <w:szCs w:val="20"/>
        </w:rPr>
        <w:t xml:space="preserve">the staff report proposes unsubstantiated and </w:t>
      </w:r>
      <w:r w:rsidR="00191E30">
        <w:rPr>
          <w:rFonts w:ascii="Arial" w:eastAsia="Times New Roman" w:hAnsi="Arial" w:cs="Arial"/>
          <w:b/>
          <w:bCs/>
          <w:caps/>
          <w:sz w:val="20"/>
          <w:szCs w:val="20"/>
        </w:rPr>
        <w:t xml:space="preserve">          </w:t>
      </w:r>
      <w:r>
        <w:rPr>
          <w:rFonts w:ascii="Arial" w:eastAsia="Times New Roman" w:hAnsi="Arial" w:cs="Arial"/>
          <w:b/>
          <w:bCs/>
          <w:caps/>
          <w:sz w:val="20"/>
          <w:szCs w:val="20"/>
        </w:rPr>
        <w:t xml:space="preserve">unreasonable customer charges and demand charge calculations that will discourage distributed energy </w:t>
      </w:r>
      <w:r w:rsidR="00191E30">
        <w:rPr>
          <w:rFonts w:ascii="Arial" w:eastAsia="Times New Roman" w:hAnsi="Arial" w:cs="Arial"/>
          <w:b/>
          <w:bCs/>
          <w:caps/>
          <w:sz w:val="20"/>
          <w:szCs w:val="20"/>
        </w:rPr>
        <w:t xml:space="preserve">       </w:t>
      </w:r>
      <w:r>
        <w:rPr>
          <w:rFonts w:ascii="Arial" w:eastAsia="Times New Roman" w:hAnsi="Arial" w:cs="Arial"/>
          <w:b/>
          <w:bCs/>
          <w:caps/>
          <w:sz w:val="20"/>
          <w:szCs w:val="20"/>
        </w:rPr>
        <w:t>resource deployment</w:t>
      </w:r>
      <w:r w:rsidR="00191E30">
        <w:rPr>
          <w:rFonts w:ascii="Arial" w:eastAsia="Times New Roman" w:hAnsi="Arial" w:cs="Arial"/>
          <w:b/>
          <w:bCs/>
          <w:caps/>
          <w:sz w:val="20"/>
          <w:szCs w:val="20"/>
        </w:rPr>
        <w:t>……………………………………………………………</w:t>
      </w:r>
      <w:r w:rsidR="00191E30">
        <w:rPr>
          <w:rFonts w:ascii="Arial" w:eastAsia="Times New Roman" w:hAnsi="Arial" w:cs="Arial"/>
          <w:b/>
          <w:bCs/>
          <w:caps/>
          <w:sz w:val="20"/>
          <w:szCs w:val="20"/>
        </w:rPr>
        <w:tab/>
        <w:t>11</w:t>
      </w:r>
    </w:p>
    <w:p w:rsidR="005948BC" w:rsidRPr="00AE7A34" w:rsidRDefault="005948BC" w:rsidP="005948BC">
      <w:pPr>
        <w:pStyle w:val="Level1"/>
        <w:numPr>
          <w:ilvl w:val="0"/>
          <w:numId w:val="16"/>
        </w:numPr>
        <w:rPr>
          <w:rFonts w:ascii="Arial" w:hAnsi="Arial" w:cs="Arial"/>
        </w:rPr>
      </w:pPr>
      <w:r>
        <w:rPr>
          <w:rFonts w:ascii="Arial" w:hAnsi="Arial" w:cs="Arial"/>
        </w:rPr>
        <w:t>summary of major issues</w:t>
      </w:r>
      <w:r w:rsidRPr="00AE7A34">
        <w:rPr>
          <w:rFonts w:ascii="Arial" w:hAnsi="Arial" w:cs="Arial"/>
          <w:webHidden/>
        </w:rPr>
        <w:tab/>
      </w:r>
      <w:r w:rsidR="00191E30">
        <w:rPr>
          <w:rFonts w:ascii="Arial" w:hAnsi="Arial" w:cs="Arial"/>
          <w:webHidden/>
        </w:rPr>
        <w:tab/>
      </w:r>
      <w:r w:rsidR="00223E92">
        <w:rPr>
          <w:rFonts w:ascii="Arial" w:hAnsi="Arial" w:cs="Arial"/>
          <w:webHidden/>
        </w:rPr>
        <w:t>1</w:t>
      </w:r>
      <w:r w:rsidR="00CB1772">
        <w:rPr>
          <w:rFonts w:ascii="Arial" w:hAnsi="Arial" w:cs="Arial"/>
          <w:webHidden/>
        </w:rPr>
        <w:t>3</w:t>
      </w:r>
    </w:p>
    <w:p w:rsidR="005948BC" w:rsidRPr="005948BC" w:rsidRDefault="005948BC" w:rsidP="005948BC">
      <w:pPr>
        <w:rPr>
          <w:rFonts w:ascii="Arial" w:eastAsia="Times New Roman" w:hAnsi="Arial" w:cs="Arial"/>
          <w:b/>
          <w:sz w:val="24"/>
          <w:szCs w:val="24"/>
        </w:rPr>
      </w:pPr>
      <w:r>
        <w:rPr>
          <w:rFonts w:ascii="Arial" w:eastAsia="Times New Roman" w:hAnsi="Arial" w:cs="Arial"/>
          <w:b/>
          <w:sz w:val="24"/>
          <w:szCs w:val="24"/>
        </w:rPr>
        <w:br w:type="page"/>
      </w:r>
    </w:p>
    <w:p w:rsidR="00493364" w:rsidRPr="009D71F6" w:rsidRDefault="00493364" w:rsidP="00493364">
      <w:pPr>
        <w:pStyle w:val="Title"/>
        <w:widowControl w:val="0"/>
        <w:rPr>
          <w:rFonts w:ascii="Arial" w:hAnsi="Arial" w:cs="Arial"/>
          <w:szCs w:val="24"/>
        </w:rPr>
      </w:pPr>
      <w:r w:rsidRPr="009D71F6">
        <w:rPr>
          <w:rFonts w:ascii="Arial" w:hAnsi="Arial" w:cs="Arial"/>
          <w:szCs w:val="24"/>
        </w:rPr>
        <w:lastRenderedPageBreak/>
        <w:t>BEFORE</w:t>
      </w:r>
    </w:p>
    <w:p w:rsidR="00493364" w:rsidRPr="009D71F6" w:rsidRDefault="00493364" w:rsidP="00493364">
      <w:pPr>
        <w:widowControl w:val="0"/>
        <w:jc w:val="center"/>
        <w:rPr>
          <w:rFonts w:ascii="Arial" w:hAnsi="Arial" w:cs="Arial"/>
          <w:b/>
          <w:sz w:val="24"/>
          <w:szCs w:val="24"/>
        </w:rPr>
      </w:pPr>
      <w:r w:rsidRPr="009D71F6">
        <w:rPr>
          <w:rFonts w:ascii="Arial" w:hAnsi="Arial" w:cs="Arial"/>
          <w:b/>
          <w:sz w:val="24"/>
          <w:szCs w:val="24"/>
        </w:rPr>
        <w:t>THE PUBLIC UTILITIES COMMISSION OF OHIO</w:t>
      </w:r>
    </w:p>
    <w:tbl>
      <w:tblPr>
        <w:tblW w:w="0" w:type="auto"/>
        <w:jc w:val="center"/>
        <w:tblLook w:val="01E0" w:firstRow="1" w:lastRow="1" w:firstColumn="1" w:lastColumn="1" w:noHBand="0" w:noVBand="0"/>
      </w:tblPr>
      <w:tblGrid>
        <w:gridCol w:w="4739"/>
        <w:gridCol w:w="630"/>
        <w:gridCol w:w="3928"/>
      </w:tblGrid>
      <w:tr w:rsidR="00493364" w:rsidRPr="009D71F6" w:rsidTr="00CC6C7A">
        <w:trPr>
          <w:trHeight w:val="873"/>
          <w:jc w:val="center"/>
        </w:trPr>
        <w:tc>
          <w:tcPr>
            <w:tcW w:w="4739" w:type="dxa"/>
          </w:tcPr>
          <w:p w:rsidR="00493364" w:rsidRPr="00D27158" w:rsidRDefault="00493364" w:rsidP="00CC6C7A">
            <w:pPr>
              <w:autoSpaceDE w:val="0"/>
              <w:autoSpaceDN w:val="0"/>
              <w:adjustRightInd w:val="0"/>
              <w:spacing w:after="0" w:line="240" w:lineRule="auto"/>
              <w:rPr>
                <w:rFonts w:ascii="Arial" w:hAnsi="Arial" w:cs="Arial"/>
                <w:sz w:val="24"/>
                <w:szCs w:val="24"/>
              </w:rPr>
            </w:pPr>
            <w:r w:rsidRPr="00D27158">
              <w:rPr>
                <w:rFonts w:ascii="Arial" w:hAnsi="Arial" w:cs="Arial"/>
                <w:sz w:val="24"/>
                <w:szCs w:val="24"/>
              </w:rPr>
              <w:t>In the Matter of the Application of The</w:t>
            </w:r>
          </w:p>
          <w:p w:rsidR="00493364" w:rsidRPr="00D27158" w:rsidRDefault="00493364" w:rsidP="00CC6C7A">
            <w:pPr>
              <w:autoSpaceDE w:val="0"/>
              <w:autoSpaceDN w:val="0"/>
              <w:adjustRightInd w:val="0"/>
              <w:spacing w:after="0" w:line="240" w:lineRule="auto"/>
              <w:rPr>
                <w:rFonts w:ascii="Arial" w:hAnsi="Arial" w:cs="Arial"/>
                <w:sz w:val="24"/>
                <w:szCs w:val="24"/>
              </w:rPr>
            </w:pPr>
            <w:r w:rsidRPr="00D27158">
              <w:rPr>
                <w:rFonts w:ascii="Arial" w:hAnsi="Arial" w:cs="Arial"/>
                <w:sz w:val="24"/>
                <w:szCs w:val="24"/>
              </w:rPr>
              <w:t>Dayton Power and Light Company for an</w:t>
            </w:r>
          </w:p>
          <w:p w:rsidR="00493364" w:rsidRDefault="00493364" w:rsidP="00CC6C7A">
            <w:pPr>
              <w:autoSpaceDE w:val="0"/>
              <w:autoSpaceDN w:val="0"/>
              <w:adjustRightInd w:val="0"/>
              <w:spacing w:after="0" w:line="240" w:lineRule="auto"/>
              <w:rPr>
                <w:rFonts w:ascii="Arial" w:hAnsi="Arial" w:cs="Arial"/>
                <w:sz w:val="24"/>
                <w:szCs w:val="24"/>
              </w:rPr>
            </w:pPr>
            <w:r w:rsidRPr="00D27158">
              <w:rPr>
                <w:rFonts w:ascii="Arial" w:hAnsi="Arial" w:cs="Arial"/>
                <w:sz w:val="24"/>
                <w:szCs w:val="24"/>
              </w:rPr>
              <w:t>Increase in its Electric Distribution Rates</w:t>
            </w:r>
          </w:p>
          <w:p w:rsidR="00493364" w:rsidRPr="00542A3B" w:rsidRDefault="00493364" w:rsidP="00CC6C7A">
            <w:pPr>
              <w:autoSpaceDE w:val="0"/>
              <w:autoSpaceDN w:val="0"/>
              <w:adjustRightInd w:val="0"/>
              <w:spacing w:after="0" w:line="240" w:lineRule="auto"/>
              <w:rPr>
                <w:rFonts w:ascii="Arial" w:hAnsi="Arial" w:cs="Arial"/>
                <w:sz w:val="24"/>
                <w:szCs w:val="24"/>
              </w:rPr>
            </w:pPr>
          </w:p>
          <w:p w:rsidR="00493364" w:rsidRPr="00D27158" w:rsidRDefault="00493364" w:rsidP="00CC6C7A">
            <w:pPr>
              <w:autoSpaceDE w:val="0"/>
              <w:autoSpaceDN w:val="0"/>
              <w:adjustRightInd w:val="0"/>
              <w:spacing w:after="0" w:line="240" w:lineRule="auto"/>
              <w:rPr>
                <w:rFonts w:ascii="Arial" w:hAnsi="Arial" w:cs="Arial"/>
                <w:sz w:val="24"/>
                <w:szCs w:val="24"/>
              </w:rPr>
            </w:pPr>
            <w:r>
              <w:rPr>
                <w:rFonts w:ascii="Arial" w:hAnsi="Arial" w:cs="Arial"/>
                <w:sz w:val="24"/>
                <w:szCs w:val="24"/>
              </w:rPr>
              <w:t>I</w:t>
            </w:r>
            <w:r w:rsidRPr="00D27158">
              <w:rPr>
                <w:rFonts w:ascii="Arial" w:hAnsi="Arial" w:cs="Arial"/>
                <w:sz w:val="24"/>
                <w:szCs w:val="24"/>
              </w:rPr>
              <w:t>n the Matter of the Application of The</w:t>
            </w:r>
          </w:p>
          <w:p w:rsidR="00493364" w:rsidRPr="00D27158" w:rsidRDefault="00493364" w:rsidP="00CC6C7A">
            <w:pPr>
              <w:autoSpaceDE w:val="0"/>
              <w:autoSpaceDN w:val="0"/>
              <w:adjustRightInd w:val="0"/>
              <w:spacing w:after="0" w:line="240" w:lineRule="auto"/>
              <w:rPr>
                <w:rFonts w:ascii="Arial" w:hAnsi="Arial" w:cs="Arial"/>
                <w:sz w:val="24"/>
                <w:szCs w:val="24"/>
              </w:rPr>
            </w:pPr>
            <w:r w:rsidRPr="00D27158">
              <w:rPr>
                <w:rFonts w:ascii="Arial" w:hAnsi="Arial" w:cs="Arial"/>
                <w:sz w:val="24"/>
                <w:szCs w:val="24"/>
              </w:rPr>
              <w:t>Dayton Power and Light Company for</w:t>
            </w:r>
          </w:p>
          <w:p w:rsidR="00493364" w:rsidRDefault="00493364" w:rsidP="00CC6C7A">
            <w:pPr>
              <w:autoSpaceDE w:val="0"/>
              <w:autoSpaceDN w:val="0"/>
              <w:adjustRightInd w:val="0"/>
              <w:spacing w:after="0" w:line="240" w:lineRule="auto"/>
              <w:rPr>
                <w:rFonts w:ascii="Arial" w:hAnsi="Arial" w:cs="Arial"/>
                <w:sz w:val="24"/>
                <w:szCs w:val="24"/>
              </w:rPr>
            </w:pPr>
            <w:r w:rsidRPr="00D27158">
              <w:rPr>
                <w:rFonts w:ascii="Arial" w:hAnsi="Arial" w:cs="Arial"/>
                <w:sz w:val="24"/>
                <w:szCs w:val="24"/>
              </w:rPr>
              <w:t>Accounting Authority</w:t>
            </w:r>
            <w:r>
              <w:rPr>
                <w:rFonts w:ascii="Arial" w:hAnsi="Arial" w:cs="Arial"/>
                <w:sz w:val="24"/>
                <w:szCs w:val="24"/>
              </w:rPr>
              <w:t xml:space="preserve"> </w:t>
            </w:r>
          </w:p>
          <w:p w:rsidR="00493364" w:rsidRDefault="00493364" w:rsidP="00CC6C7A">
            <w:pPr>
              <w:autoSpaceDE w:val="0"/>
              <w:autoSpaceDN w:val="0"/>
              <w:adjustRightInd w:val="0"/>
              <w:spacing w:after="0" w:line="240" w:lineRule="auto"/>
              <w:rPr>
                <w:rFonts w:ascii="Arial" w:hAnsi="Arial" w:cs="Arial"/>
                <w:sz w:val="24"/>
                <w:szCs w:val="24"/>
              </w:rPr>
            </w:pPr>
          </w:p>
          <w:p w:rsidR="00493364" w:rsidRPr="00D27158" w:rsidRDefault="00493364" w:rsidP="00CC6C7A">
            <w:pPr>
              <w:autoSpaceDE w:val="0"/>
              <w:autoSpaceDN w:val="0"/>
              <w:adjustRightInd w:val="0"/>
              <w:spacing w:after="0" w:line="240" w:lineRule="auto"/>
              <w:rPr>
                <w:rFonts w:ascii="Arial" w:hAnsi="Arial" w:cs="Arial"/>
                <w:sz w:val="24"/>
                <w:szCs w:val="24"/>
              </w:rPr>
            </w:pPr>
            <w:r w:rsidRPr="00D27158">
              <w:rPr>
                <w:rFonts w:ascii="Arial" w:hAnsi="Arial" w:cs="Arial"/>
                <w:sz w:val="24"/>
                <w:szCs w:val="24"/>
              </w:rPr>
              <w:t>In the Matter of the Application of Dayton</w:t>
            </w:r>
          </w:p>
          <w:p w:rsidR="00493364" w:rsidRPr="00D27158" w:rsidRDefault="00493364" w:rsidP="00CC6C7A">
            <w:pPr>
              <w:autoSpaceDE w:val="0"/>
              <w:autoSpaceDN w:val="0"/>
              <w:adjustRightInd w:val="0"/>
              <w:spacing w:after="0" w:line="240" w:lineRule="auto"/>
              <w:rPr>
                <w:rFonts w:ascii="Arial" w:hAnsi="Arial" w:cs="Arial"/>
                <w:sz w:val="24"/>
                <w:szCs w:val="24"/>
              </w:rPr>
            </w:pPr>
            <w:r w:rsidRPr="00D27158">
              <w:rPr>
                <w:rFonts w:ascii="Arial" w:hAnsi="Arial" w:cs="Arial"/>
                <w:sz w:val="24"/>
                <w:szCs w:val="24"/>
              </w:rPr>
              <w:t>Power and Light Company for Approval of</w:t>
            </w:r>
          </w:p>
          <w:p w:rsidR="00493364" w:rsidRPr="009D71F6" w:rsidRDefault="00493364" w:rsidP="00CC6C7A">
            <w:pPr>
              <w:autoSpaceDE w:val="0"/>
              <w:autoSpaceDN w:val="0"/>
              <w:adjustRightInd w:val="0"/>
              <w:spacing w:after="0" w:line="240" w:lineRule="auto"/>
              <w:rPr>
                <w:rFonts w:ascii="Arial" w:hAnsi="Arial" w:cs="Arial"/>
                <w:sz w:val="24"/>
                <w:szCs w:val="24"/>
              </w:rPr>
            </w:pPr>
            <w:r w:rsidRPr="00D27158">
              <w:rPr>
                <w:rFonts w:ascii="Arial" w:hAnsi="Arial" w:cs="Arial"/>
                <w:sz w:val="24"/>
                <w:szCs w:val="24"/>
              </w:rPr>
              <w:t>Revised Tariffs</w:t>
            </w:r>
          </w:p>
        </w:tc>
        <w:tc>
          <w:tcPr>
            <w:tcW w:w="630" w:type="dxa"/>
          </w:tcPr>
          <w:p w:rsidR="00493364" w:rsidRPr="009D71F6" w:rsidRDefault="00493364" w:rsidP="00CC6C7A">
            <w:pPr>
              <w:widowControl w:val="0"/>
              <w:spacing w:after="0" w:line="240" w:lineRule="auto"/>
              <w:jc w:val="center"/>
              <w:rPr>
                <w:rFonts w:ascii="Arial" w:hAnsi="Arial" w:cs="Arial"/>
                <w:sz w:val="24"/>
                <w:szCs w:val="24"/>
              </w:rPr>
            </w:pPr>
            <w:r w:rsidRPr="009D71F6">
              <w:rPr>
                <w:rFonts w:ascii="Arial" w:hAnsi="Arial" w:cs="Arial"/>
                <w:sz w:val="24"/>
                <w:szCs w:val="24"/>
              </w:rPr>
              <w:t>)</w:t>
            </w:r>
          </w:p>
          <w:p w:rsidR="00493364" w:rsidRPr="009D71F6" w:rsidRDefault="00493364" w:rsidP="00CC6C7A">
            <w:pPr>
              <w:widowControl w:val="0"/>
              <w:spacing w:after="0" w:line="240" w:lineRule="auto"/>
              <w:jc w:val="center"/>
              <w:rPr>
                <w:rFonts w:ascii="Arial" w:hAnsi="Arial" w:cs="Arial"/>
                <w:sz w:val="24"/>
                <w:szCs w:val="24"/>
              </w:rPr>
            </w:pPr>
            <w:r w:rsidRPr="009D71F6">
              <w:rPr>
                <w:rFonts w:ascii="Arial" w:hAnsi="Arial" w:cs="Arial"/>
                <w:sz w:val="24"/>
                <w:szCs w:val="24"/>
              </w:rPr>
              <w:t>)</w:t>
            </w:r>
          </w:p>
          <w:p w:rsidR="00493364" w:rsidRPr="009D71F6" w:rsidRDefault="00493364" w:rsidP="00CC6C7A">
            <w:pPr>
              <w:widowControl w:val="0"/>
              <w:spacing w:after="0" w:line="240" w:lineRule="auto"/>
              <w:jc w:val="center"/>
              <w:rPr>
                <w:rFonts w:ascii="Arial" w:hAnsi="Arial" w:cs="Arial"/>
                <w:sz w:val="24"/>
                <w:szCs w:val="24"/>
              </w:rPr>
            </w:pPr>
            <w:r w:rsidRPr="009D71F6">
              <w:rPr>
                <w:rFonts w:ascii="Arial" w:hAnsi="Arial" w:cs="Arial"/>
                <w:sz w:val="24"/>
                <w:szCs w:val="24"/>
              </w:rPr>
              <w:t>)</w:t>
            </w:r>
          </w:p>
          <w:p w:rsidR="00493364" w:rsidRPr="009D71F6" w:rsidRDefault="00493364" w:rsidP="00CC6C7A">
            <w:pPr>
              <w:widowControl w:val="0"/>
              <w:spacing w:after="0" w:line="240" w:lineRule="auto"/>
              <w:jc w:val="center"/>
              <w:rPr>
                <w:rFonts w:ascii="Arial" w:hAnsi="Arial" w:cs="Arial"/>
                <w:sz w:val="24"/>
                <w:szCs w:val="24"/>
              </w:rPr>
            </w:pPr>
            <w:r w:rsidRPr="009D71F6">
              <w:rPr>
                <w:rFonts w:ascii="Arial" w:hAnsi="Arial" w:cs="Arial"/>
                <w:sz w:val="24"/>
                <w:szCs w:val="24"/>
              </w:rPr>
              <w:t>)</w:t>
            </w:r>
          </w:p>
          <w:p w:rsidR="00493364" w:rsidRDefault="00493364" w:rsidP="00CC6C7A">
            <w:pPr>
              <w:widowControl w:val="0"/>
              <w:spacing w:after="0" w:line="240" w:lineRule="auto"/>
              <w:jc w:val="center"/>
              <w:rPr>
                <w:rFonts w:ascii="Arial" w:hAnsi="Arial" w:cs="Arial"/>
                <w:sz w:val="24"/>
                <w:szCs w:val="24"/>
              </w:rPr>
            </w:pPr>
            <w:r>
              <w:rPr>
                <w:rFonts w:ascii="Arial" w:hAnsi="Arial" w:cs="Arial"/>
                <w:sz w:val="24"/>
                <w:szCs w:val="24"/>
              </w:rPr>
              <w:t>)</w:t>
            </w:r>
          </w:p>
          <w:p w:rsidR="00493364" w:rsidRDefault="00493364" w:rsidP="00CC6C7A">
            <w:pPr>
              <w:widowControl w:val="0"/>
              <w:spacing w:after="0" w:line="240" w:lineRule="auto"/>
              <w:jc w:val="center"/>
              <w:rPr>
                <w:rFonts w:ascii="Arial" w:hAnsi="Arial" w:cs="Arial"/>
                <w:sz w:val="24"/>
                <w:szCs w:val="24"/>
              </w:rPr>
            </w:pPr>
            <w:r>
              <w:rPr>
                <w:rFonts w:ascii="Arial" w:hAnsi="Arial" w:cs="Arial"/>
                <w:sz w:val="24"/>
                <w:szCs w:val="24"/>
              </w:rPr>
              <w:t>)</w:t>
            </w:r>
          </w:p>
          <w:p w:rsidR="00493364" w:rsidRDefault="00493364" w:rsidP="00CC6C7A">
            <w:pPr>
              <w:widowControl w:val="0"/>
              <w:spacing w:after="0" w:line="240" w:lineRule="auto"/>
              <w:jc w:val="center"/>
              <w:rPr>
                <w:rFonts w:ascii="Arial" w:hAnsi="Arial" w:cs="Arial"/>
                <w:sz w:val="24"/>
                <w:szCs w:val="24"/>
              </w:rPr>
            </w:pPr>
            <w:r>
              <w:rPr>
                <w:rFonts w:ascii="Arial" w:hAnsi="Arial" w:cs="Arial"/>
                <w:sz w:val="24"/>
                <w:szCs w:val="24"/>
              </w:rPr>
              <w:t>)</w:t>
            </w:r>
          </w:p>
          <w:p w:rsidR="00493364" w:rsidRDefault="00493364" w:rsidP="00CC6C7A">
            <w:pPr>
              <w:widowControl w:val="0"/>
              <w:spacing w:after="0" w:line="240" w:lineRule="auto"/>
              <w:jc w:val="center"/>
              <w:rPr>
                <w:rFonts w:ascii="Arial" w:hAnsi="Arial" w:cs="Arial"/>
                <w:sz w:val="24"/>
                <w:szCs w:val="24"/>
              </w:rPr>
            </w:pPr>
            <w:r>
              <w:rPr>
                <w:rFonts w:ascii="Arial" w:hAnsi="Arial" w:cs="Arial"/>
                <w:sz w:val="24"/>
                <w:szCs w:val="24"/>
              </w:rPr>
              <w:t>)</w:t>
            </w:r>
            <w:r>
              <w:rPr>
                <w:rFonts w:ascii="Arial" w:hAnsi="Arial" w:cs="Arial"/>
                <w:sz w:val="24"/>
                <w:szCs w:val="24"/>
              </w:rPr>
              <w:br/>
              <w:t>)</w:t>
            </w:r>
          </w:p>
          <w:p w:rsidR="00493364" w:rsidRDefault="00493364" w:rsidP="00CC6C7A">
            <w:pPr>
              <w:widowControl w:val="0"/>
              <w:spacing w:after="0" w:line="240" w:lineRule="auto"/>
              <w:jc w:val="center"/>
              <w:rPr>
                <w:rFonts w:ascii="Arial" w:hAnsi="Arial" w:cs="Arial"/>
                <w:sz w:val="24"/>
                <w:szCs w:val="24"/>
              </w:rPr>
            </w:pPr>
            <w:r>
              <w:rPr>
                <w:rFonts w:ascii="Arial" w:hAnsi="Arial" w:cs="Arial"/>
                <w:sz w:val="24"/>
                <w:szCs w:val="24"/>
              </w:rPr>
              <w:t>)</w:t>
            </w:r>
          </w:p>
          <w:p w:rsidR="00493364" w:rsidRDefault="00493364" w:rsidP="00CC6C7A">
            <w:pPr>
              <w:widowControl w:val="0"/>
              <w:spacing w:after="0" w:line="240" w:lineRule="auto"/>
              <w:jc w:val="center"/>
              <w:rPr>
                <w:rFonts w:ascii="Arial" w:hAnsi="Arial" w:cs="Arial"/>
                <w:sz w:val="24"/>
                <w:szCs w:val="24"/>
              </w:rPr>
            </w:pPr>
            <w:r>
              <w:rPr>
                <w:rFonts w:ascii="Arial" w:hAnsi="Arial" w:cs="Arial"/>
                <w:sz w:val="24"/>
                <w:szCs w:val="24"/>
              </w:rPr>
              <w:t>)</w:t>
            </w:r>
          </w:p>
          <w:p w:rsidR="00493364" w:rsidRDefault="00493364" w:rsidP="00CC6C7A">
            <w:pPr>
              <w:widowControl w:val="0"/>
              <w:spacing w:after="0" w:line="240" w:lineRule="auto"/>
              <w:jc w:val="center"/>
              <w:rPr>
                <w:rFonts w:ascii="Arial" w:hAnsi="Arial" w:cs="Arial"/>
                <w:sz w:val="24"/>
                <w:szCs w:val="24"/>
              </w:rPr>
            </w:pPr>
          </w:p>
          <w:p w:rsidR="00493364" w:rsidRPr="009D71F6" w:rsidRDefault="00493364" w:rsidP="00CC6C7A">
            <w:pPr>
              <w:widowControl w:val="0"/>
              <w:spacing w:after="0" w:line="240" w:lineRule="auto"/>
              <w:rPr>
                <w:rFonts w:ascii="Arial" w:hAnsi="Arial" w:cs="Arial"/>
                <w:sz w:val="24"/>
                <w:szCs w:val="24"/>
              </w:rPr>
            </w:pPr>
          </w:p>
        </w:tc>
        <w:tc>
          <w:tcPr>
            <w:tcW w:w="3928" w:type="dxa"/>
          </w:tcPr>
          <w:p w:rsidR="00493364" w:rsidRPr="009D71F6" w:rsidRDefault="00493364" w:rsidP="00CC6C7A">
            <w:pPr>
              <w:widowControl w:val="0"/>
              <w:spacing w:after="0" w:line="240" w:lineRule="auto"/>
              <w:rPr>
                <w:rFonts w:ascii="Arial" w:hAnsi="Arial" w:cs="Arial"/>
                <w:sz w:val="24"/>
                <w:szCs w:val="24"/>
              </w:rPr>
            </w:pPr>
          </w:p>
          <w:p w:rsidR="00493364" w:rsidRDefault="00493364" w:rsidP="00CC6C7A">
            <w:pPr>
              <w:widowControl w:val="0"/>
              <w:spacing w:after="0" w:line="240" w:lineRule="auto"/>
              <w:rPr>
                <w:rFonts w:ascii="Arial" w:hAnsi="Arial" w:cs="Arial"/>
                <w:sz w:val="24"/>
                <w:szCs w:val="24"/>
              </w:rPr>
            </w:pPr>
            <w:r>
              <w:rPr>
                <w:rFonts w:ascii="Arial" w:hAnsi="Arial" w:cs="Arial"/>
                <w:sz w:val="24"/>
                <w:szCs w:val="24"/>
              </w:rPr>
              <w:t>Case No. 15-1830-EL-AIR</w:t>
            </w:r>
          </w:p>
          <w:p w:rsidR="00493364" w:rsidRPr="009D71F6" w:rsidRDefault="00493364" w:rsidP="00CC6C7A">
            <w:pPr>
              <w:widowControl w:val="0"/>
              <w:spacing w:after="0" w:line="240" w:lineRule="auto"/>
              <w:rPr>
                <w:rFonts w:ascii="Arial" w:hAnsi="Arial" w:cs="Arial"/>
                <w:sz w:val="24"/>
                <w:szCs w:val="24"/>
              </w:rPr>
            </w:pPr>
          </w:p>
          <w:p w:rsidR="00493364" w:rsidRDefault="00493364" w:rsidP="00CC6C7A">
            <w:pPr>
              <w:widowControl w:val="0"/>
              <w:spacing w:after="0" w:line="240" w:lineRule="auto"/>
              <w:rPr>
                <w:rFonts w:ascii="Arial" w:hAnsi="Arial" w:cs="Arial"/>
                <w:sz w:val="24"/>
                <w:szCs w:val="24"/>
              </w:rPr>
            </w:pPr>
          </w:p>
          <w:p w:rsidR="00493364" w:rsidRDefault="00493364" w:rsidP="00CC6C7A">
            <w:pPr>
              <w:widowControl w:val="0"/>
              <w:spacing w:after="0" w:line="240" w:lineRule="auto"/>
              <w:rPr>
                <w:rFonts w:ascii="Arial" w:hAnsi="Arial" w:cs="Arial"/>
                <w:sz w:val="24"/>
                <w:szCs w:val="24"/>
              </w:rPr>
            </w:pPr>
          </w:p>
          <w:p w:rsidR="00493364" w:rsidRDefault="00493364" w:rsidP="00CC6C7A">
            <w:pPr>
              <w:widowControl w:val="0"/>
              <w:spacing w:after="0" w:line="240" w:lineRule="auto"/>
              <w:rPr>
                <w:rFonts w:ascii="Arial" w:hAnsi="Arial" w:cs="Arial"/>
                <w:sz w:val="24"/>
                <w:szCs w:val="24"/>
              </w:rPr>
            </w:pPr>
            <w:r>
              <w:rPr>
                <w:rFonts w:ascii="Arial" w:hAnsi="Arial" w:cs="Arial"/>
                <w:sz w:val="24"/>
                <w:szCs w:val="24"/>
              </w:rPr>
              <w:t>Case No. 15-1831-EL-AAM</w:t>
            </w:r>
          </w:p>
          <w:p w:rsidR="00493364" w:rsidRDefault="00493364" w:rsidP="00CC6C7A">
            <w:pPr>
              <w:widowControl w:val="0"/>
              <w:spacing w:after="0" w:line="240" w:lineRule="auto"/>
              <w:rPr>
                <w:rFonts w:ascii="Arial" w:hAnsi="Arial" w:cs="Arial"/>
                <w:sz w:val="24"/>
                <w:szCs w:val="24"/>
              </w:rPr>
            </w:pPr>
          </w:p>
          <w:p w:rsidR="00493364" w:rsidRPr="009D71F6" w:rsidRDefault="00493364" w:rsidP="00CC6C7A">
            <w:pPr>
              <w:widowControl w:val="0"/>
              <w:spacing w:after="0" w:line="240" w:lineRule="auto"/>
              <w:rPr>
                <w:rFonts w:ascii="Arial" w:hAnsi="Arial" w:cs="Arial"/>
                <w:sz w:val="24"/>
                <w:szCs w:val="24"/>
              </w:rPr>
            </w:pPr>
          </w:p>
          <w:p w:rsidR="00493364" w:rsidRDefault="00493364" w:rsidP="00CC6C7A">
            <w:pPr>
              <w:widowControl w:val="0"/>
              <w:spacing w:after="0" w:line="240" w:lineRule="auto"/>
              <w:rPr>
                <w:rFonts w:ascii="Arial" w:hAnsi="Arial" w:cs="Arial"/>
                <w:sz w:val="24"/>
                <w:szCs w:val="24"/>
              </w:rPr>
            </w:pPr>
          </w:p>
          <w:p w:rsidR="00493364" w:rsidRDefault="00493364" w:rsidP="00CC6C7A">
            <w:pPr>
              <w:widowControl w:val="0"/>
              <w:spacing w:after="0" w:line="240" w:lineRule="auto"/>
              <w:rPr>
                <w:rFonts w:ascii="Arial" w:hAnsi="Arial" w:cs="Arial"/>
                <w:sz w:val="24"/>
                <w:szCs w:val="24"/>
              </w:rPr>
            </w:pPr>
            <w:r>
              <w:rPr>
                <w:rFonts w:ascii="Arial" w:hAnsi="Arial" w:cs="Arial"/>
                <w:sz w:val="24"/>
                <w:szCs w:val="24"/>
              </w:rPr>
              <w:t>Case No. 15-1832-EL-UNC</w:t>
            </w:r>
          </w:p>
          <w:p w:rsidR="00493364" w:rsidRPr="009D71F6" w:rsidRDefault="00493364" w:rsidP="00CC6C7A">
            <w:pPr>
              <w:widowControl w:val="0"/>
              <w:spacing w:after="0" w:line="240" w:lineRule="auto"/>
              <w:rPr>
                <w:rFonts w:ascii="Arial" w:hAnsi="Arial" w:cs="Arial"/>
                <w:sz w:val="24"/>
                <w:szCs w:val="24"/>
              </w:rPr>
            </w:pPr>
          </w:p>
        </w:tc>
      </w:tr>
    </w:tbl>
    <w:p w:rsidR="00237730" w:rsidRPr="009D71F6" w:rsidRDefault="00237730" w:rsidP="00237730">
      <w:pPr>
        <w:widowControl w:val="0"/>
        <w:pBdr>
          <w:bottom w:val="single" w:sz="12" w:space="0" w:color="auto"/>
        </w:pBdr>
        <w:spacing w:after="0" w:line="240" w:lineRule="auto"/>
        <w:rPr>
          <w:rFonts w:ascii="Arial" w:hAnsi="Arial" w:cs="Arial"/>
          <w:sz w:val="24"/>
          <w:szCs w:val="24"/>
        </w:rPr>
      </w:pPr>
    </w:p>
    <w:p w:rsidR="00280A2E" w:rsidRDefault="00280A2E" w:rsidP="00280A2E">
      <w:pPr>
        <w:widowControl w:val="0"/>
        <w:spacing w:after="0" w:line="240" w:lineRule="auto"/>
        <w:rPr>
          <w:rFonts w:ascii="Arial" w:hAnsi="Arial" w:cs="Arial"/>
          <w:b/>
          <w:bCs/>
          <w:sz w:val="24"/>
          <w:szCs w:val="24"/>
        </w:rPr>
      </w:pPr>
    </w:p>
    <w:p w:rsidR="00237730" w:rsidRPr="009D71F6" w:rsidRDefault="00280A2E" w:rsidP="00280A2E">
      <w:pPr>
        <w:widowControl w:val="0"/>
        <w:spacing w:after="0" w:line="240" w:lineRule="auto"/>
        <w:jc w:val="center"/>
        <w:rPr>
          <w:rFonts w:ascii="Arial" w:hAnsi="Arial" w:cs="Arial"/>
          <w:b/>
          <w:bCs/>
          <w:sz w:val="24"/>
          <w:szCs w:val="24"/>
        </w:rPr>
      </w:pPr>
      <w:r>
        <w:rPr>
          <w:rFonts w:ascii="Arial" w:hAnsi="Arial" w:cs="Arial"/>
          <w:b/>
          <w:bCs/>
          <w:sz w:val="24"/>
          <w:szCs w:val="24"/>
        </w:rPr>
        <w:t>OBJECTIONS TO STAFF REPORT OF INVESTIGATION AND SUMMARY OF MAJOR ISSUES OF INTERSTATE GAS SUPPLY, INC.</w:t>
      </w:r>
    </w:p>
    <w:p w:rsidR="00237730" w:rsidRPr="009D71F6" w:rsidRDefault="00237730" w:rsidP="00237730">
      <w:pPr>
        <w:widowControl w:val="0"/>
        <w:pBdr>
          <w:bottom w:val="single" w:sz="12" w:space="1" w:color="auto"/>
        </w:pBdr>
        <w:tabs>
          <w:tab w:val="left" w:pos="6461"/>
        </w:tabs>
        <w:spacing w:after="0" w:line="240" w:lineRule="auto"/>
        <w:jc w:val="center"/>
        <w:rPr>
          <w:rFonts w:ascii="Arial" w:hAnsi="Arial" w:cs="Arial"/>
          <w:sz w:val="24"/>
          <w:szCs w:val="24"/>
        </w:rPr>
      </w:pPr>
    </w:p>
    <w:p w:rsidR="008814AB" w:rsidRPr="00796D66" w:rsidRDefault="008814AB" w:rsidP="00796D66">
      <w:pPr>
        <w:autoSpaceDE w:val="0"/>
        <w:autoSpaceDN w:val="0"/>
        <w:adjustRightInd w:val="0"/>
        <w:spacing w:after="120" w:line="480" w:lineRule="auto"/>
        <w:jc w:val="both"/>
        <w:rPr>
          <w:rFonts w:ascii="Arial" w:hAnsi="Arial" w:cs="Arial"/>
          <w:b/>
          <w:sz w:val="24"/>
          <w:szCs w:val="24"/>
        </w:rPr>
      </w:pPr>
    </w:p>
    <w:p w:rsidR="00785F0D" w:rsidRPr="00785F0D" w:rsidRDefault="00785F0D" w:rsidP="00785F0D">
      <w:pPr>
        <w:pStyle w:val="ListParagraph"/>
        <w:numPr>
          <w:ilvl w:val="0"/>
          <w:numId w:val="8"/>
        </w:numPr>
        <w:autoSpaceDE w:val="0"/>
        <w:autoSpaceDN w:val="0"/>
        <w:adjustRightInd w:val="0"/>
        <w:spacing w:after="120" w:line="480" w:lineRule="auto"/>
        <w:jc w:val="both"/>
        <w:rPr>
          <w:rFonts w:ascii="Arial" w:hAnsi="Arial" w:cs="Arial"/>
          <w:b/>
          <w:sz w:val="24"/>
          <w:szCs w:val="24"/>
        </w:rPr>
      </w:pPr>
      <w:r>
        <w:rPr>
          <w:rFonts w:ascii="Arial" w:hAnsi="Arial" w:cs="Arial"/>
          <w:b/>
          <w:sz w:val="24"/>
          <w:szCs w:val="24"/>
        </w:rPr>
        <w:t>INTRODUCTION</w:t>
      </w:r>
    </w:p>
    <w:p w:rsidR="000D2057" w:rsidRDefault="00493364" w:rsidP="000D2057">
      <w:pPr>
        <w:autoSpaceDE w:val="0"/>
        <w:autoSpaceDN w:val="0"/>
        <w:adjustRightInd w:val="0"/>
        <w:spacing w:after="120" w:line="480" w:lineRule="auto"/>
        <w:ind w:firstLine="720"/>
        <w:jc w:val="both"/>
        <w:rPr>
          <w:rFonts w:ascii="Arial" w:hAnsi="Arial" w:cs="Arial"/>
          <w:sz w:val="24"/>
          <w:szCs w:val="24"/>
        </w:rPr>
      </w:pPr>
      <w:r>
        <w:rPr>
          <w:rFonts w:ascii="Arial" w:hAnsi="Arial" w:cs="Arial"/>
          <w:sz w:val="24"/>
          <w:szCs w:val="24"/>
        </w:rPr>
        <w:t>On October 30, 2015</w:t>
      </w:r>
      <w:r w:rsidR="000D2057">
        <w:rPr>
          <w:rFonts w:ascii="Arial" w:hAnsi="Arial" w:cs="Arial"/>
          <w:sz w:val="24"/>
          <w:szCs w:val="24"/>
        </w:rPr>
        <w:t xml:space="preserve">, </w:t>
      </w:r>
      <w:r>
        <w:rPr>
          <w:rFonts w:ascii="Arial" w:hAnsi="Arial" w:cs="Arial"/>
          <w:sz w:val="24"/>
          <w:szCs w:val="24"/>
        </w:rPr>
        <w:t>the Dayton Power and Light Company</w:t>
      </w:r>
      <w:r w:rsidR="00961F44">
        <w:rPr>
          <w:rFonts w:ascii="Arial" w:hAnsi="Arial" w:cs="Arial"/>
          <w:sz w:val="24"/>
          <w:szCs w:val="24"/>
        </w:rPr>
        <w:t xml:space="preserve"> (“DP&amp;L”)</w:t>
      </w:r>
      <w:r>
        <w:rPr>
          <w:rFonts w:ascii="Arial" w:hAnsi="Arial" w:cs="Arial"/>
          <w:sz w:val="24"/>
          <w:szCs w:val="24"/>
        </w:rPr>
        <w:t xml:space="preserve"> </w:t>
      </w:r>
      <w:r w:rsidR="000D2057">
        <w:rPr>
          <w:rFonts w:ascii="Arial" w:hAnsi="Arial" w:cs="Arial"/>
          <w:sz w:val="24"/>
          <w:szCs w:val="24"/>
        </w:rPr>
        <w:t xml:space="preserve">filed an application to increase in distribution rates, for tariff approval, and to change its accounting methods (“Application”).  </w:t>
      </w:r>
      <w:r w:rsidR="000D2057" w:rsidRPr="000D2057">
        <w:rPr>
          <w:rFonts w:ascii="Arial" w:hAnsi="Arial" w:cs="Arial"/>
          <w:sz w:val="24"/>
          <w:szCs w:val="24"/>
        </w:rPr>
        <w:t>The Staff Report</w:t>
      </w:r>
      <w:r w:rsidR="000D2057">
        <w:rPr>
          <w:rFonts w:ascii="Arial" w:hAnsi="Arial" w:cs="Arial"/>
          <w:sz w:val="24"/>
          <w:szCs w:val="24"/>
        </w:rPr>
        <w:t xml:space="preserve"> of Investigation (“Staff Report”)</w:t>
      </w:r>
      <w:r w:rsidR="000D2057" w:rsidRPr="000D2057">
        <w:rPr>
          <w:rFonts w:ascii="Arial" w:hAnsi="Arial" w:cs="Arial"/>
          <w:sz w:val="24"/>
          <w:szCs w:val="24"/>
        </w:rPr>
        <w:t xml:space="preserve"> was filed with the Public Utilities Commission of Oh</w:t>
      </w:r>
      <w:r>
        <w:rPr>
          <w:rFonts w:ascii="Arial" w:hAnsi="Arial" w:cs="Arial"/>
          <w:sz w:val="24"/>
          <w:szCs w:val="24"/>
        </w:rPr>
        <w:t>io ("Commission") on March 12, 2018</w:t>
      </w:r>
      <w:r w:rsidR="000D2057" w:rsidRPr="000D2057">
        <w:rPr>
          <w:rFonts w:ascii="Arial" w:hAnsi="Arial" w:cs="Arial"/>
          <w:sz w:val="24"/>
          <w:szCs w:val="24"/>
        </w:rPr>
        <w:t>, setting forth the Commission Staff</w:t>
      </w:r>
      <w:r w:rsidR="004417DE">
        <w:rPr>
          <w:rFonts w:ascii="Arial" w:hAnsi="Arial" w:cs="Arial"/>
          <w:sz w:val="24"/>
          <w:szCs w:val="24"/>
        </w:rPr>
        <w:t>’</w:t>
      </w:r>
      <w:r w:rsidR="000D2057" w:rsidRPr="000D2057">
        <w:rPr>
          <w:rFonts w:ascii="Arial" w:hAnsi="Arial" w:cs="Arial"/>
          <w:sz w:val="24"/>
          <w:szCs w:val="24"/>
        </w:rPr>
        <w:t>s ("Staff') findings reg</w:t>
      </w:r>
      <w:r w:rsidR="000D2057">
        <w:rPr>
          <w:rFonts w:ascii="Arial" w:hAnsi="Arial" w:cs="Arial"/>
          <w:sz w:val="24"/>
          <w:szCs w:val="24"/>
        </w:rPr>
        <w:t>arding the Application.</w:t>
      </w:r>
    </w:p>
    <w:p w:rsidR="00C02EFC" w:rsidRPr="000D2057" w:rsidRDefault="002E2896" w:rsidP="0028380C">
      <w:pPr>
        <w:autoSpaceDE w:val="0"/>
        <w:autoSpaceDN w:val="0"/>
        <w:adjustRightInd w:val="0"/>
        <w:spacing w:after="120" w:line="480" w:lineRule="auto"/>
        <w:ind w:firstLine="720"/>
        <w:jc w:val="both"/>
        <w:rPr>
          <w:rFonts w:ascii="Arial" w:hAnsi="Arial" w:cs="Arial"/>
          <w:sz w:val="24"/>
          <w:szCs w:val="24"/>
        </w:rPr>
      </w:pPr>
      <w:r>
        <w:rPr>
          <w:rFonts w:ascii="Arial" w:hAnsi="Arial" w:cs="Arial"/>
          <w:sz w:val="24"/>
          <w:szCs w:val="24"/>
        </w:rPr>
        <w:t>Pursuant to R.C. 4909.19,</w:t>
      </w:r>
      <w:r w:rsidR="000D2057">
        <w:rPr>
          <w:rFonts w:ascii="Arial" w:hAnsi="Arial" w:cs="Arial"/>
          <w:sz w:val="24"/>
          <w:szCs w:val="24"/>
        </w:rPr>
        <w:t xml:space="preserve"> Rule 4901-1-28, Ohio </w:t>
      </w:r>
      <w:r w:rsidR="000D2057" w:rsidRPr="000D2057">
        <w:rPr>
          <w:rFonts w:ascii="Arial" w:hAnsi="Arial" w:cs="Arial"/>
          <w:sz w:val="24"/>
          <w:szCs w:val="24"/>
        </w:rPr>
        <w:t>Administrative Code ("O.A.C"), and the Attorney Exa</w:t>
      </w:r>
      <w:r w:rsidR="00493364">
        <w:rPr>
          <w:rFonts w:ascii="Arial" w:hAnsi="Arial" w:cs="Arial"/>
          <w:sz w:val="24"/>
          <w:szCs w:val="24"/>
        </w:rPr>
        <w:t>miner's Entry dated March 14</w:t>
      </w:r>
      <w:r w:rsidR="000D2057" w:rsidRPr="000D2057">
        <w:rPr>
          <w:rFonts w:ascii="Arial" w:hAnsi="Arial" w:cs="Arial"/>
          <w:sz w:val="24"/>
          <w:szCs w:val="24"/>
        </w:rPr>
        <w:t>,</w:t>
      </w:r>
      <w:r w:rsidR="00493364">
        <w:rPr>
          <w:rFonts w:ascii="Arial" w:hAnsi="Arial" w:cs="Arial"/>
          <w:sz w:val="24"/>
          <w:szCs w:val="24"/>
        </w:rPr>
        <w:t xml:space="preserve"> 2018</w:t>
      </w:r>
      <w:r w:rsidR="000D2057">
        <w:rPr>
          <w:rFonts w:ascii="Arial" w:hAnsi="Arial" w:cs="Arial"/>
          <w:sz w:val="24"/>
          <w:szCs w:val="24"/>
        </w:rPr>
        <w:t>, Interstate Gas Supply, Inc. (“IGS”)</w:t>
      </w:r>
      <w:r w:rsidR="000D2057" w:rsidRPr="000D2057">
        <w:rPr>
          <w:rFonts w:ascii="Arial" w:hAnsi="Arial" w:cs="Arial"/>
          <w:sz w:val="24"/>
          <w:szCs w:val="24"/>
        </w:rPr>
        <w:t xml:space="preserve"> hereby files its Objections to the Staff</w:t>
      </w:r>
      <w:r w:rsidR="000D2057">
        <w:rPr>
          <w:rFonts w:ascii="Arial" w:hAnsi="Arial" w:cs="Arial"/>
          <w:sz w:val="24"/>
          <w:szCs w:val="24"/>
        </w:rPr>
        <w:t xml:space="preserve"> Report</w:t>
      </w:r>
      <w:r w:rsidR="000D2057" w:rsidRPr="000D2057">
        <w:rPr>
          <w:rFonts w:ascii="Arial" w:hAnsi="Arial" w:cs="Arial"/>
          <w:sz w:val="24"/>
          <w:szCs w:val="24"/>
        </w:rPr>
        <w:t xml:space="preserve"> and Summary</w:t>
      </w:r>
      <w:r w:rsidR="000D2057">
        <w:rPr>
          <w:rFonts w:ascii="Arial" w:hAnsi="Arial" w:cs="Arial"/>
          <w:sz w:val="24"/>
          <w:szCs w:val="24"/>
        </w:rPr>
        <w:t xml:space="preserve"> of Major Issues</w:t>
      </w:r>
      <w:r w:rsidR="000D2057" w:rsidRPr="000D2057">
        <w:rPr>
          <w:rFonts w:ascii="Arial" w:hAnsi="Arial" w:cs="Arial"/>
          <w:sz w:val="24"/>
          <w:szCs w:val="24"/>
        </w:rPr>
        <w:t xml:space="preserve"> in the above</w:t>
      </w:r>
      <w:r w:rsidR="000D2057">
        <w:rPr>
          <w:rFonts w:ascii="Arial" w:hAnsi="Arial" w:cs="Arial"/>
          <w:sz w:val="24"/>
          <w:szCs w:val="24"/>
        </w:rPr>
        <w:t>-</w:t>
      </w:r>
      <w:r w:rsidR="000D2057" w:rsidRPr="000D2057">
        <w:rPr>
          <w:rFonts w:ascii="Arial" w:hAnsi="Arial" w:cs="Arial"/>
          <w:sz w:val="24"/>
          <w:szCs w:val="24"/>
        </w:rPr>
        <w:t>captioned</w:t>
      </w:r>
      <w:r w:rsidR="000D2057">
        <w:rPr>
          <w:rFonts w:ascii="Arial" w:hAnsi="Arial" w:cs="Arial"/>
          <w:sz w:val="24"/>
          <w:szCs w:val="24"/>
        </w:rPr>
        <w:t xml:space="preserve"> matters.  IGS reserves the right to contest</w:t>
      </w:r>
      <w:r w:rsidR="00785F0D">
        <w:rPr>
          <w:rFonts w:ascii="Arial" w:hAnsi="Arial" w:cs="Arial"/>
          <w:sz w:val="24"/>
          <w:szCs w:val="24"/>
        </w:rPr>
        <w:t xml:space="preserve"> through cross-examination, </w:t>
      </w:r>
      <w:r w:rsidR="00785F0D">
        <w:rPr>
          <w:rFonts w:ascii="Arial" w:hAnsi="Arial" w:cs="Arial"/>
          <w:sz w:val="24"/>
          <w:szCs w:val="24"/>
        </w:rPr>
        <w:lastRenderedPageBreak/>
        <w:t>testimony, or exhibits any</w:t>
      </w:r>
      <w:r w:rsidR="000D2057">
        <w:rPr>
          <w:rFonts w:ascii="Arial" w:hAnsi="Arial" w:cs="Arial"/>
          <w:sz w:val="24"/>
          <w:szCs w:val="24"/>
        </w:rPr>
        <w:t xml:space="preserve"> newly raised issues, issues raised by any other party,</w:t>
      </w:r>
      <w:r w:rsidR="00785F0D">
        <w:rPr>
          <w:rFonts w:ascii="Arial" w:hAnsi="Arial" w:cs="Arial"/>
          <w:sz w:val="24"/>
          <w:szCs w:val="24"/>
        </w:rPr>
        <w:t xml:space="preserve"> or</w:t>
      </w:r>
      <w:r w:rsidR="000D2057">
        <w:rPr>
          <w:rFonts w:ascii="Arial" w:hAnsi="Arial" w:cs="Arial"/>
          <w:sz w:val="24"/>
          <w:szCs w:val="24"/>
        </w:rPr>
        <w:t xml:space="preserve"> </w:t>
      </w:r>
      <w:r w:rsidR="00785F0D">
        <w:rPr>
          <w:rFonts w:ascii="Arial" w:hAnsi="Arial" w:cs="Arial"/>
          <w:sz w:val="24"/>
          <w:szCs w:val="24"/>
        </w:rPr>
        <w:t>any position set forth in the Staff Report that changes prior to the close of the record.</w:t>
      </w:r>
    </w:p>
    <w:p w:rsidR="00785F0D" w:rsidRDefault="00785F0D" w:rsidP="00785F0D">
      <w:pPr>
        <w:pStyle w:val="ListParagraph"/>
        <w:numPr>
          <w:ilvl w:val="0"/>
          <w:numId w:val="8"/>
        </w:numPr>
        <w:autoSpaceDE w:val="0"/>
        <w:autoSpaceDN w:val="0"/>
        <w:adjustRightInd w:val="0"/>
        <w:spacing w:after="120" w:line="480" w:lineRule="auto"/>
        <w:jc w:val="both"/>
        <w:rPr>
          <w:rFonts w:ascii="Arial" w:hAnsi="Arial" w:cs="Arial"/>
          <w:b/>
          <w:sz w:val="24"/>
          <w:szCs w:val="24"/>
        </w:rPr>
      </w:pPr>
      <w:r>
        <w:rPr>
          <w:rFonts w:ascii="Arial" w:hAnsi="Arial" w:cs="Arial"/>
          <w:b/>
          <w:sz w:val="24"/>
          <w:szCs w:val="24"/>
        </w:rPr>
        <w:t>OBJECTIONS TO THE STAFF REPORT</w:t>
      </w:r>
    </w:p>
    <w:p w:rsidR="00CB0EF6" w:rsidRDefault="00785F0D" w:rsidP="00CB0EF6">
      <w:pPr>
        <w:autoSpaceDE w:val="0"/>
        <w:autoSpaceDN w:val="0"/>
        <w:adjustRightInd w:val="0"/>
        <w:spacing w:after="120" w:line="480" w:lineRule="auto"/>
        <w:ind w:left="720"/>
        <w:jc w:val="both"/>
        <w:rPr>
          <w:rFonts w:ascii="Arial" w:hAnsi="Arial" w:cs="Arial"/>
          <w:sz w:val="24"/>
          <w:szCs w:val="24"/>
        </w:rPr>
      </w:pPr>
      <w:r>
        <w:rPr>
          <w:rFonts w:ascii="Arial" w:hAnsi="Arial" w:cs="Arial"/>
          <w:sz w:val="24"/>
          <w:szCs w:val="24"/>
        </w:rPr>
        <w:t>IGS objects to the following specific recommendations in the Staff Report:</w:t>
      </w:r>
    </w:p>
    <w:p w:rsidR="00CB0EF6" w:rsidRPr="00CB0EF6" w:rsidRDefault="00CB0EF6" w:rsidP="00CB0EF6">
      <w:pPr>
        <w:autoSpaceDE w:val="0"/>
        <w:autoSpaceDN w:val="0"/>
        <w:adjustRightInd w:val="0"/>
        <w:spacing w:after="120" w:line="480" w:lineRule="auto"/>
        <w:jc w:val="center"/>
        <w:rPr>
          <w:rFonts w:ascii="Arial" w:hAnsi="Arial" w:cs="Arial"/>
          <w:sz w:val="24"/>
          <w:szCs w:val="24"/>
        </w:rPr>
      </w:pPr>
      <w:r>
        <w:rPr>
          <w:rFonts w:ascii="Arial" w:hAnsi="Arial" w:cs="Arial"/>
          <w:b/>
          <w:sz w:val="24"/>
          <w:szCs w:val="24"/>
          <w:u w:val="single"/>
        </w:rPr>
        <w:t>RATES AND TARIFFS AND COST OF SERVICE STUDY</w:t>
      </w:r>
    </w:p>
    <w:p w:rsidR="00E93D1C" w:rsidRPr="0028380C" w:rsidRDefault="000B5141" w:rsidP="0028380C">
      <w:pPr>
        <w:pStyle w:val="ListParagraph"/>
        <w:numPr>
          <w:ilvl w:val="0"/>
          <w:numId w:val="9"/>
        </w:numPr>
        <w:autoSpaceDE w:val="0"/>
        <w:autoSpaceDN w:val="0"/>
        <w:adjustRightInd w:val="0"/>
        <w:spacing w:after="120" w:line="240" w:lineRule="auto"/>
        <w:jc w:val="both"/>
        <w:rPr>
          <w:rFonts w:ascii="Arial" w:hAnsi="Arial" w:cs="Arial"/>
          <w:b/>
          <w:sz w:val="24"/>
          <w:szCs w:val="24"/>
        </w:rPr>
      </w:pPr>
      <w:r>
        <w:rPr>
          <w:rFonts w:ascii="Arial" w:hAnsi="Arial" w:cs="Arial"/>
          <w:b/>
          <w:sz w:val="24"/>
          <w:szCs w:val="24"/>
        </w:rPr>
        <w:t xml:space="preserve">The Staff Report fails to recommend that </w:t>
      </w:r>
      <w:r w:rsidR="00961F44">
        <w:rPr>
          <w:rFonts w:ascii="Arial" w:hAnsi="Arial" w:cs="Arial"/>
          <w:b/>
          <w:sz w:val="24"/>
          <w:szCs w:val="24"/>
        </w:rPr>
        <w:t xml:space="preserve">DP&amp;L </w:t>
      </w:r>
      <w:r>
        <w:rPr>
          <w:rFonts w:ascii="Arial" w:hAnsi="Arial" w:cs="Arial"/>
          <w:b/>
          <w:sz w:val="24"/>
          <w:szCs w:val="24"/>
        </w:rPr>
        <w:t xml:space="preserve">unbundle from distribution rates </w:t>
      </w:r>
      <w:r w:rsidR="0028380C">
        <w:rPr>
          <w:rFonts w:ascii="Arial" w:hAnsi="Arial" w:cs="Arial"/>
          <w:b/>
          <w:sz w:val="24"/>
          <w:szCs w:val="24"/>
        </w:rPr>
        <w:t xml:space="preserve">all </w:t>
      </w:r>
      <w:r>
        <w:rPr>
          <w:rFonts w:ascii="Arial" w:hAnsi="Arial" w:cs="Arial"/>
          <w:b/>
          <w:sz w:val="24"/>
          <w:szCs w:val="24"/>
        </w:rPr>
        <w:t>costs related to the provisio</w:t>
      </w:r>
      <w:r w:rsidR="002E2896">
        <w:rPr>
          <w:rFonts w:ascii="Arial" w:hAnsi="Arial" w:cs="Arial"/>
          <w:b/>
          <w:sz w:val="24"/>
          <w:szCs w:val="24"/>
        </w:rPr>
        <w:t>n of the standard service offer</w:t>
      </w:r>
      <w:r w:rsidR="0028380C">
        <w:rPr>
          <w:rFonts w:ascii="Arial" w:hAnsi="Arial" w:cs="Arial"/>
          <w:b/>
          <w:sz w:val="24"/>
          <w:szCs w:val="24"/>
        </w:rPr>
        <w:t>.  The Staff Report further incorrectly proposes an avoided cost analysis to unbundle distribution rates.</w:t>
      </w:r>
      <w:r w:rsidR="00E93D1C" w:rsidRPr="0028380C">
        <w:rPr>
          <w:rFonts w:ascii="Arial" w:hAnsi="Arial" w:cs="Arial"/>
          <w:b/>
          <w:sz w:val="24"/>
          <w:szCs w:val="24"/>
        </w:rPr>
        <w:t xml:space="preserve">  </w:t>
      </w:r>
    </w:p>
    <w:p w:rsidR="0028380C" w:rsidRDefault="00C91B0D" w:rsidP="0028380C">
      <w:pPr>
        <w:autoSpaceDE w:val="0"/>
        <w:autoSpaceDN w:val="0"/>
        <w:adjustRightInd w:val="0"/>
        <w:spacing w:after="120" w:line="480" w:lineRule="auto"/>
        <w:ind w:firstLine="720"/>
        <w:jc w:val="both"/>
        <w:rPr>
          <w:rFonts w:ascii="Arial" w:hAnsi="Arial" w:cs="Arial"/>
          <w:sz w:val="24"/>
          <w:szCs w:val="24"/>
        </w:rPr>
      </w:pPr>
      <w:r>
        <w:rPr>
          <w:rFonts w:ascii="Arial" w:hAnsi="Arial" w:cs="Arial"/>
          <w:sz w:val="24"/>
          <w:szCs w:val="24"/>
        </w:rPr>
        <w:t xml:space="preserve">IGS </w:t>
      </w:r>
      <w:r w:rsidR="00AE71A9">
        <w:rPr>
          <w:rFonts w:ascii="Arial" w:hAnsi="Arial" w:cs="Arial"/>
          <w:sz w:val="24"/>
          <w:szCs w:val="24"/>
        </w:rPr>
        <w:t>objects to the Staff Report</w:t>
      </w:r>
      <w:r w:rsidR="00341EFF">
        <w:rPr>
          <w:rFonts w:ascii="Arial" w:hAnsi="Arial" w:cs="Arial"/>
          <w:sz w:val="24"/>
          <w:szCs w:val="24"/>
        </w:rPr>
        <w:t>’</w:t>
      </w:r>
      <w:r w:rsidR="00AE71A9">
        <w:rPr>
          <w:rFonts w:ascii="Arial" w:hAnsi="Arial" w:cs="Arial"/>
          <w:sz w:val="24"/>
          <w:szCs w:val="24"/>
        </w:rPr>
        <w:t>s</w:t>
      </w:r>
      <w:r w:rsidR="005A0BD9">
        <w:rPr>
          <w:rFonts w:ascii="Arial" w:hAnsi="Arial" w:cs="Arial"/>
          <w:sz w:val="24"/>
          <w:szCs w:val="24"/>
        </w:rPr>
        <w:t xml:space="preserve"> </w:t>
      </w:r>
      <w:r w:rsidR="0028380C">
        <w:rPr>
          <w:rFonts w:ascii="Arial" w:hAnsi="Arial" w:cs="Arial"/>
          <w:sz w:val="24"/>
          <w:szCs w:val="24"/>
        </w:rPr>
        <w:t xml:space="preserve">failure to identify and recommend that DP&amp;L allocate to the </w:t>
      </w:r>
      <w:r w:rsidR="0028380C" w:rsidRPr="0028380C">
        <w:rPr>
          <w:rFonts w:ascii="Arial" w:hAnsi="Arial" w:cs="Arial"/>
          <w:sz w:val="24"/>
          <w:szCs w:val="24"/>
        </w:rPr>
        <w:t>default service/</w:t>
      </w:r>
      <w:r w:rsidR="0028380C">
        <w:rPr>
          <w:rFonts w:ascii="Arial" w:hAnsi="Arial" w:cs="Arial"/>
          <w:sz w:val="24"/>
          <w:szCs w:val="24"/>
        </w:rPr>
        <w:t xml:space="preserve">standard service offer (“SSO”) all costs contained in </w:t>
      </w:r>
      <w:r w:rsidR="0028380C" w:rsidRPr="0028380C">
        <w:rPr>
          <w:rFonts w:ascii="Arial" w:hAnsi="Arial" w:cs="Arial"/>
          <w:sz w:val="24"/>
          <w:szCs w:val="24"/>
        </w:rPr>
        <w:t xml:space="preserve">distribution rates that may </w:t>
      </w:r>
      <w:r w:rsidR="0028380C">
        <w:rPr>
          <w:rFonts w:ascii="Arial" w:hAnsi="Arial" w:cs="Arial"/>
          <w:sz w:val="24"/>
          <w:szCs w:val="24"/>
        </w:rPr>
        <w:t>be necessary to provide that service</w:t>
      </w:r>
      <w:r w:rsidR="00AE71A9">
        <w:rPr>
          <w:rFonts w:ascii="Arial" w:hAnsi="Arial" w:cs="Arial"/>
          <w:sz w:val="24"/>
          <w:szCs w:val="24"/>
        </w:rPr>
        <w:t>.</w:t>
      </w:r>
      <w:r w:rsidR="009D1C4B">
        <w:rPr>
          <w:rStyle w:val="FootnoteReference"/>
          <w:rFonts w:ascii="Arial" w:hAnsi="Arial" w:cs="Arial"/>
          <w:sz w:val="24"/>
          <w:szCs w:val="24"/>
        </w:rPr>
        <w:footnoteReference w:id="1"/>
      </w:r>
      <w:r w:rsidR="00EB1189">
        <w:rPr>
          <w:rFonts w:ascii="Arial" w:hAnsi="Arial" w:cs="Arial"/>
          <w:sz w:val="24"/>
          <w:szCs w:val="24"/>
        </w:rPr>
        <w:t xml:space="preserve">  IGS further objects to </w:t>
      </w:r>
      <w:r w:rsidR="0028380C">
        <w:rPr>
          <w:rFonts w:ascii="Arial" w:hAnsi="Arial" w:cs="Arial"/>
          <w:sz w:val="24"/>
          <w:szCs w:val="24"/>
        </w:rPr>
        <w:t xml:space="preserve">   the Staff Report’s recommendation to unbundle distribution rates using a short-term avoided cost analysis.  </w:t>
      </w:r>
    </w:p>
    <w:p w:rsidR="0028380C" w:rsidRDefault="0028380C" w:rsidP="0028380C">
      <w:pPr>
        <w:autoSpaceDE w:val="0"/>
        <w:autoSpaceDN w:val="0"/>
        <w:adjustRightInd w:val="0"/>
        <w:spacing w:after="120" w:line="480" w:lineRule="auto"/>
        <w:ind w:firstLine="720"/>
        <w:jc w:val="both"/>
        <w:rPr>
          <w:rFonts w:ascii="Arial" w:hAnsi="Arial" w:cs="Arial"/>
          <w:sz w:val="24"/>
          <w:szCs w:val="24"/>
        </w:rPr>
      </w:pPr>
      <w:r>
        <w:rPr>
          <w:rFonts w:ascii="Arial" w:hAnsi="Arial" w:cs="Arial"/>
          <w:sz w:val="24"/>
          <w:szCs w:val="24"/>
        </w:rPr>
        <w:t xml:space="preserve">The Staff Report acknowledges that, in accordance with the Stipulation and Recommendation </w:t>
      </w:r>
      <w:r w:rsidR="009C4043">
        <w:rPr>
          <w:rFonts w:ascii="Arial" w:hAnsi="Arial" w:cs="Arial"/>
          <w:sz w:val="24"/>
          <w:szCs w:val="24"/>
        </w:rPr>
        <w:t xml:space="preserve">approved </w:t>
      </w:r>
      <w:r>
        <w:rPr>
          <w:rFonts w:ascii="Arial" w:hAnsi="Arial" w:cs="Arial"/>
          <w:sz w:val="24"/>
          <w:szCs w:val="24"/>
        </w:rPr>
        <w:t xml:space="preserve">in Case Nos. 16-395-EL-SSO, </w:t>
      </w:r>
      <w:r>
        <w:rPr>
          <w:rFonts w:ascii="Arial" w:hAnsi="Arial" w:cs="Arial"/>
          <w:i/>
          <w:sz w:val="24"/>
          <w:szCs w:val="24"/>
        </w:rPr>
        <w:t>et al</w:t>
      </w:r>
      <w:r>
        <w:rPr>
          <w:rFonts w:ascii="Arial" w:hAnsi="Arial" w:cs="Arial"/>
          <w:sz w:val="24"/>
          <w:szCs w:val="24"/>
        </w:rPr>
        <w:t>., “[</w:t>
      </w:r>
      <w:proofErr w:type="spellStart"/>
      <w:r>
        <w:rPr>
          <w:rFonts w:ascii="Arial" w:hAnsi="Arial" w:cs="Arial"/>
          <w:sz w:val="24"/>
          <w:szCs w:val="24"/>
        </w:rPr>
        <w:t>i</w:t>
      </w:r>
      <w:proofErr w:type="spellEnd"/>
      <w:r>
        <w:rPr>
          <w:rFonts w:ascii="Arial" w:hAnsi="Arial" w:cs="Arial"/>
          <w:sz w:val="24"/>
          <w:szCs w:val="24"/>
        </w:rPr>
        <w:t xml:space="preserve">]n DP&amp;L’s filed </w:t>
      </w:r>
      <w:r w:rsidRPr="0028380C">
        <w:rPr>
          <w:rFonts w:ascii="Arial" w:hAnsi="Arial" w:cs="Arial"/>
          <w:sz w:val="24"/>
          <w:szCs w:val="24"/>
        </w:rPr>
        <w:t>distribution rate case (Case No. 15-1830-EL-AIR), there will be an evaluation of costs contained in</w:t>
      </w:r>
      <w:r>
        <w:rPr>
          <w:rFonts w:ascii="Arial" w:hAnsi="Arial" w:cs="Arial"/>
          <w:sz w:val="24"/>
          <w:szCs w:val="24"/>
        </w:rPr>
        <w:t xml:space="preserve"> </w:t>
      </w:r>
      <w:r w:rsidRPr="0028380C">
        <w:rPr>
          <w:rFonts w:ascii="Arial" w:hAnsi="Arial" w:cs="Arial"/>
          <w:sz w:val="24"/>
          <w:szCs w:val="24"/>
        </w:rPr>
        <w:t xml:space="preserve">distribution rates that may be necessary to provide </w:t>
      </w:r>
      <w:r>
        <w:rPr>
          <w:rFonts w:ascii="Arial" w:hAnsi="Arial" w:cs="Arial"/>
          <w:sz w:val="24"/>
          <w:szCs w:val="24"/>
        </w:rPr>
        <w:t>standard service offer service.”</w:t>
      </w:r>
      <w:r>
        <w:rPr>
          <w:rStyle w:val="FootnoteReference"/>
          <w:rFonts w:ascii="Arial" w:hAnsi="Arial" w:cs="Arial"/>
          <w:sz w:val="24"/>
          <w:szCs w:val="24"/>
        </w:rPr>
        <w:footnoteReference w:id="2"/>
      </w:r>
      <w:r w:rsidR="00BC6288">
        <w:rPr>
          <w:rFonts w:ascii="Arial" w:hAnsi="Arial" w:cs="Arial"/>
          <w:sz w:val="24"/>
          <w:szCs w:val="24"/>
        </w:rPr>
        <w:t xml:space="preserve">  But the Staff Report then states that the DP&amp;L was unable to identify these costs as such </w:t>
      </w:r>
      <w:r w:rsidR="00961F44">
        <w:rPr>
          <w:rFonts w:ascii="Arial" w:hAnsi="Arial" w:cs="Arial"/>
          <w:sz w:val="24"/>
          <w:szCs w:val="24"/>
        </w:rPr>
        <w:t xml:space="preserve">a </w:t>
      </w:r>
      <w:r w:rsidR="00BC6288">
        <w:rPr>
          <w:rFonts w:ascii="Arial" w:hAnsi="Arial" w:cs="Arial"/>
          <w:sz w:val="24"/>
          <w:szCs w:val="24"/>
        </w:rPr>
        <w:t xml:space="preserve">task would be cost prohibitive: </w:t>
      </w:r>
    </w:p>
    <w:p w:rsidR="00960FEE" w:rsidRDefault="00BC6288" w:rsidP="00960FEE">
      <w:pPr>
        <w:autoSpaceDE w:val="0"/>
        <w:autoSpaceDN w:val="0"/>
        <w:adjustRightInd w:val="0"/>
        <w:spacing w:after="120" w:line="240" w:lineRule="auto"/>
        <w:ind w:left="720" w:right="720"/>
        <w:jc w:val="both"/>
        <w:rPr>
          <w:rFonts w:ascii="Arial" w:hAnsi="Arial" w:cs="Arial"/>
          <w:sz w:val="24"/>
          <w:szCs w:val="24"/>
        </w:rPr>
      </w:pPr>
      <w:r w:rsidRPr="00BC6288">
        <w:rPr>
          <w:rFonts w:ascii="Arial" w:hAnsi="Arial" w:cs="Arial"/>
          <w:sz w:val="24"/>
          <w:szCs w:val="24"/>
        </w:rPr>
        <w:t xml:space="preserve">The Company </w:t>
      </w:r>
      <w:proofErr w:type="gramStart"/>
      <w:r w:rsidRPr="00BC6288">
        <w:rPr>
          <w:rFonts w:ascii="Arial" w:hAnsi="Arial" w:cs="Arial"/>
          <w:sz w:val="24"/>
          <w:szCs w:val="24"/>
        </w:rPr>
        <w:t>at this time</w:t>
      </w:r>
      <w:proofErr w:type="gramEnd"/>
      <w:r w:rsidRPr="00BC6288">
        <w:rPr>
          <w:rFonts w:ascii="Arial" w:hAnsi="Arial" w:cs="Arial"/>
          <w:sz w:val="24"/>
          <w:szCs w:val="24"/>
        </w:rPr>
        <w:t xml:space="preserve"> is unable to quantify different costs between shopping and non-shopping</w:t>
      </w:r>
      <w:r>
        <w:rPr>
          <w:rFonts w:ascii="Arial" w:hAnsi="Arial" w:cs="Arial"/>
          <w:sz w:val="24"/>
          <w:szCs w:val="24"/>
        </w:rPr>
        <w:t xml:space="preserve"> </w:t>
      </w:r>
      <w:r w:rsidRPr="00BC6288">
        <w:rPr>
          <w:rFonts w:ascii="Arial" w:hAnsi="Arial" w:cs="Arial"/>
          <w:sz w:val="24"/>
          <w:szCs w:val="24"/>
        </w:rPr>
        <w:t>customers and expressed that it would be prohibitively expensive to track costs for the function</w:t>
      </w:r>
      <w:r>
        <w:rPr>
          <w:rFonts w:ascii="Arial" w:hAnsi="Arial" w:cs="Arial"/>
          <w:sz w:val="24"/>
          <w:szCs w:val="24"/>
        </w:rPr>
        <w:t xml:space="preserve">s of </w:t>
      </w:r>
      <w:r w:rsidRPr="00BC6288">
        <w:rPr>
          <w:rFonts w:ascii="Arial" w:hAnsi="Arial" w:cs="Arial"/>
          <w:sz w:val="24"/>
          <w:szCs w:val="24"/>
        </w:rPr>
        <w:t xml:space="preserve">administering the </w:t>
      </w:r>
      <w:r w:rsidRPr="00BC6288">
        <w:rPr>
          <w:rFonts w:ascii="Arial" w:hAnsi="Arial" w:cs="Arial"/>
          <w:sz w:val="24"/>
          <w:szCs w:val="24"/>
        </w:rPr>
        <w:lastRenderedPageBreak/>
        <w:t>competitive retail market or providing a standard service offer. In fact, the Company</w:t>
      </w:r>
      <w:r>
        <w:rPr>
          <w:rFonts w:ascii="Arial" w:hAnsi="Arial" w:cs="Arial"/>
          <w:sz w:val="24"/>
          <w:szCs w:val="24"/>
        </w:rPr>
        <w:t xml:space="preserve"> </w:t>
      </w:r>
      <w:r w:rsidRPr="00BC6288">
        <w:rPr>
          <w:rFonts w:ascii="Arial" w:hAnsi="Arial" w:cs="Arial"/>
          <w:sz w:val="24"/>
          <w:szCs w:val="24"/>
        </w:rPr>
        <w:t xml:space="preserve">stated in its response to a Staff data request that </w:t>
      </w:r>
      <w:proofErr w:type="gramStart"/>
      <w:r w:rsidRPr="00BC6288">
        <w:rPr>
          <w:rFonts w:ascii="Arial" w:hAnsi="Arial" w:cs="Arial"/>
          <w:sz w:val="24"/>
          <w:szCs w:val="24"/>
        </w:rPr>
        <w:t>all of</w:t>
      </w:r>
      <w:proofErr w:type="gramEnd"/>
      <w:r w:rsidRPr="00BC6288">
        <w:rPr>
          <w:rFonts w:ascii="Arial" w:hAnsi="Arial" w:cs="Arial"/>
          <w:sz w:val="24"/>
          <w:szCs w:val="24"/>
        </w:rPr>
        <w:t xml:space="preserve"> the costs that DP&amp;L incurs to provide particular</w:t>
      </w:r>
      <w:r>
        <w:rPr>
          <w:rFonts w:ascii="Arial" w:hAnsi="Arial" w:cs="Arial"/>
          <w:sz w:val="24"/>
          <w:szCs w:val="24"/>
        </w:rPr>
        <w:t xml:space="preserve"> </w:t>
      </w:r>
      <w:r w:rsidRPr="00BC6288">
        <w:rPr>
          <w:rFonts w:ascii="Arial" w:hAnsi="Arial" w:cs="Arial"/>
          <w:sz w:val="24"/>
          <w:szCs w:val="24"/>
        </w:rPr>
        <w:t>services to or on behalf of shopping and non-shopping customers are appropriately assigned to the</w:t>
      </w:r>
      <w:r>
        <w:rPr>
          <w:rFonts w:ascii="Arial" w:hAnsi="Arial" w:cs="Arial"/>
          <w:sz w:val="24"/>
          <w:szCs w:val="24"/>
        </w:rPr>
        <w:t xml:space="preserve"> </w:t>
      </w:r>
      <w:r w:rsidRPr="00BC6288">
        <w:rPr>
          <w:rFonts w:ascii="Arial" w:hAnsi="Arial" w:cs="Arial"/>
          <w:sz w:val="24"/>
          <w:szCs w:val="24"/>
        </w:rPr>
        <w:t>distribution function of DP&amp;L because a distribution utility is required by law to offer a standard service</w:t>
      </w:r>
      <w:r>
        <w:rPr>
          <w:rFonts w:ascii="Arial" w:hAnsi="Arial" w:cs="Arial"/>
          <w:sz w:val="24"/>
          <w:szCs w:val="24"/>
        </w:rPr>
        <w:t xml:space="preserve"> </w:t>
      </w:r>
      <w:r w:rsidRPr="00BC6288">
        <w:rPr>
          <w:rFonts w:ascii="Arial" w:hAnsi="Arial" w:cs="Arial"/>
          <w:sz w:val="24"/>
          <w:szCs w:val="24"/>
        </w:rPr>
        <w:t>offer and has obligations with regard to administering aspects of the competitive market.</w:t>
      </w:r>
      <w:r w:rsidR="00960FEE">
        <w:rPr>
          <w:rStyle w:val="FootnoteReference"/>
          <w:rFonts w:ascii="Arial" w:hAnsi="Arial" w:cs="Arial"/>
          <w:sz w:val="24"/>
          <w:szCs w:val="24"/>
        </w:rPr>
        <w:footnoteReference w:id="3"/>
      </w:r>
    </w:p>
    <w:p w:rsidR="00262461" w:rsidRPr="00262461" w:rsidRDefault="00960FEE" w:rsidP="00262461">
      <w:pPr>
        <w:autoSpaceDE w:val="0"/>
        <w:autoSpaceDN w:val="0"/>
        <w:adjustRightInd w:val="0"/>
        <w:spacing w:after="120" w:line="480" w:lineRule="auto"/>
        <w:jc w:val="both"/>
        <w:rPr>
          <w:rFonts w:ascii="Arial" w:hAnsi="Arial" w:cs="Arial"/>
          <w:sz w:val="24"/>
          <w:szCs w:val="24"/>
        </w:rPr>
      </w:pPr>
      <w:r>
        <w:rPr>
          <w:rFonts w:ascii="Arial" w:hAnsi="Arial" w:cs="Arial"/>
          <w:sz w:val="24"/>
          <w:szCs w:val="24"/>
        </w:rPr>
        <w:t>DP&amp;L’s difficulties aside, the Staff Report independently identifies one category of costs to allocate to default service, stating</w:t>
      </w:r>
      <w:r w:rsidR="00573086">
        <w:rPr>
          <w:rFonts w:ascii="Arial" w:hAnsi="Arial" w:cs="Arial"/>
          <w:sz w:val="24"/>
          <w:szCs w:val="24"/>
        </w:rPr>
        <w:t>: “</w:t>
      </w:r>
      <w:r w:rsidRPr="00960FEE">
        <w:rPr>
          <w:rFonts w:ascii="Arial" w:hAnsi="Arial" w:cs="Arial"/>
          <w:sz w:val="24"/>
          <w:szCs w:val="24"/>
        </w:rPr>
        <w:t>Nevertheless, Staff has identified one potential area, the cost associate</w:t>
      </w:r>
      <w:r>
        <w:rPr>
          <w:rFonts w:ascii="Arial" w:hAnsi="Arial" w:cs="Arial"/>
          <w:sz w:val="24"/>
          <w:szCs w:val="24"/>
        </w:rPr>
        <w:t xml:space="preserve">d with Regulatory Expense (FERC </w:t>
      </w:r>
      <w:r w:rsidRPr="00960FEE">
        <w:rPr>
          <w:rFonts w:ascii="Arial" w:hAnsi="Arial" w:cs="Arial"/>
          <w:sz w:val="24"/>
          <w:szCs w:val="24"/>
        </w:rPr>
        <w:t>928), which contains the PUCO/OCC assessment expense</w:t>
      </w:r>
      <w:r>
        <w:rPr>
          <w:rFonts w:ascii="Arial" w:hAnsi="Arial" w:cs="Arial"/>
          <w:sz w:val="24"/>
          <w:szCs w:val="24"/>
        </w:rPr>
        <w:t>.</w:t>
      </w:r>
      <w:r w:rsidR="00262461" w:rsidRPr="00262461">
        <w:t xml:space="preserve"> </w:t>
      </w:r>
      <w:r w:rsidR="00262461" w:rsidRPr="00262461">
        <w:rPr>
          <w:rFonts w:ascii="Arial" w:hAnsi="Arial" w:cs="Arial"/>
          <w:sz w:val="24"/>
          <w:szCs w:val="24"/>
        </w:rPr>
        <w:t>Staff rec</w:t>
      </w:r>
      <w:r w:rsidR="00262461">
        <w:rPr>
          <w:rFonts w:ascii="Arial" w:hAnsi="Arial" w:cs="Arial"/>
          <w:sz w:val="24"/>
          <w:szCs w:val="24"/>
        </w:rPr>
        <w:t xml:space="preserve">ommends that the SSO generation </w:t>
      </w:r>
      <w:r w:rsidR="00262461" w:rsidRPr="00262461">
        <w:rPr>
          <w:rFonts w:ascii="Arial" w:hAnsi="Arial" w:cs="Arial"/>
          <w:sz w:val="24"/>
          <w:szCs w:val="24"/>
        </w:rPr>
        <w:t>revenue percentage of the PUCO/OCC assessment expense be recovered through an appropriate</w:t>
      </w:r>
    </w:p>
    <w:p w:rsidR="009C4043" w:rsidRDefault="00262461" w:rsidP="00262461">
      <w:pPr>
        <w:autoSpaceDE w:val="0"/>
        <w:autoSpaceDN w:val="0"/>
        <w:adjustRightInd w:val="0"/>
        <w:spacing w:after="120" w:line="480" w:lineRule="auto"/>
        <w:jc w:val="both"/>
        <w:rPr>
          <w:rFonts w:ascii="Arial" w:hAnsi="Arial" w:cs="Arial"/>
          <w:sz w:val="24"/>
          <w:szCs w:val="24"/>
        </w:rPr>
      </w:pPr>
      <w:proofErr w:type="spellStart"/>
      <w:r w:rsidRPr="00262461">
        <w:rPr>
          <w:rFonts w:ascii="Arial" w:hAnsi="Arial" w:cs="Arial"/>
          <w:sz w:val="24"/>
          <w:szCs w:val="24"/>
        </w:rPr>
        <w:t>bypassable</w:t>
      </w:r>
      <w:proofErr w:type="spellEnd"/>
      <w:r w:rsidRPr="00262461">
        <w:rPr>
          <w:rFonts w:ascii="Arial" w:hAnsi="Arial" w:cs="Arial"/>
          <w:sz w:val="24"/>
          <w:szCs w:val="24"/>
        </w:rPr>
        <w:t xml:space="preserve"> rider.</w:t>
      </w:r>
      <w:r w:rsidR="00960FEE">
        <w:rPr>
          <w:rFonts w:ascii="Arial" w:hAnsi="Arial" w:cs="Arial"/>
          <w:sz w:val="24"/>
          <w:szCs w:val="24"/>
        </w:rPr>
        <w:t>”</w:t>
      </w:r>
      <w:r w:rsidR="00960FEE">
        <w:rPr>
          <w:rStyle w:val="FootnoteReference"/>
          <w:rFonts w:ascii="Arial" w:hAnsi="Arial" w:cs="Arial"/>
          <w:sz w:val="24"/>
          <w:szCs w:val="24"/>
        </w:rPr>
        <w:footnoteReference w:id="4"/>
      </w:r>
      <w:r w:rsidR="00960FEE">
        <w:rPr>
          <w:rFonts w:ascii="Arial" w:hAnsi="Arial" w:cs="Arial"/>
          <w:sz w:val="24"/>
          <w:szCs w:val="24"/>
        </w:rPr>
        <w:t xml:space="preserve"> </w:t>
      </w:r>
    </w:p>
    <w:p w:rsidR="00EB1189" w:rsidRDefault="00960FEE" w:rsidP="009C4043">
      <w:pPr>
        <w:autoSpaceDE w:val="0"/>
        <w:autoSpaceDN w:val="0"/>
        <w:adjustRightInd w:val="0"/>
        <w:spacing w:after="120" w:line="480" w:lineRule="auto"/>
        <w:ind w:firstLine="720"/>
        <w:jc w:val="both"/>
        <w:rPr>
          <w:rFonts w:ascii="Arial" w:hAnsi="Arial" w:cs="Arial"/>
          <w:sz w:val="24"/>
          <w:szCs w:val="24"/>
        </w:rPr>
      </w:pPr>
      <w:r>
        <w:rPr>
          <w:rFonts w:ascii="Arial" w:hAnsi="Arial" w:cs="Arial"/>
          <w:sz w:val="24"/>
          <w:szCs w:val="24"/>
        </w:rPr>
        <w:t>While IGS appreciates the Staff Report</w:t>
      </w:r>
      <w:r w:rsidR="009C4043">
        <w:rPr>
          <w:rFonts w:ascii="Arial" w:hAnsi="Arial" w:cs="Arial"/>
          <w:sz w:val="24"/>
          <w:szCs w:val="24"/>
        </w:rPr>
        <w:t>’</w:t>
      </w:r>
      <w:r>
        <w:rPr>
          <w:rFonts w:ascii="Arial" w:hAnsi="Arial" w:cs="Arial"/>
          <w:sz w:val="24"/>
          <w:szCs w:val="24"/>
        </w:rPr>
        <w:t xml:space="preserve">s identification of </w:t>
      </w:r>
      <w:r>
        <w:rPr>
          <w:rFonts w:ascii="Arial" w:hAnsi="Arial" w:cs="Arial"/>
          <w:i/>
          <w:sz w:val="24"/>
          <w:szCs w:val="24"/>
        </w:rPr>
        <w:t xml:space="preserve">some costs </w:t>
      </w:r>
      <w:r>
        <w:rPr>
          <w:rFonts w:ascii="Arial" w:hAnsi="Arial" w:cs="Arial"/>
          <w:sz w:val="24"/>
          <w:szCs w:val="24"/>
        </w:rPr>
        <w:t>associated with default service proposed for recover</w:t>
      </w:r>
      <w:r w:rsidR="00961F44">
        <w:rPr>
          <w:rFonts w:ascii="Arial" w:hAnsi="Arial" w:cs="Arial"/>
          <w:sz w:val="24"/>
          <w:szCs w:val="24"/>
        </w:rPr>
        <w:t>y</w:t>
      </w:r>
      <w:r>
        <w:rPr>
          <w:rFonts w:ascii="Arial" w:hAnsi="Arial" w:cs="Arial"/>
          <w:sz w:val="24"/>
          <w:szCs w:val="24"/>
        </w:rPr>
        <w:t xml:space="preserve"> in distribution rates, IGS objects to the Staff Report’s process for evaluation as well as the amount of costs identified.</w:t>
      </w:r>
      <w:r w:rsidR="0029088A" w:rsidRPr="0029088A">
        <w:rPr>
          <w:rFonts w:ascii="Arial" w:hAnsi="Arial" w:cs="Arial"/>
          <w:sz w:val="24"/>
          <w:szCs w:val="24"/>
        </w:rPr>
        <w:t xml:space="preserve"> </w:t>
      </w:r>
      <w:r w:rsidR="009C4043">
        <w:rPr>
          <w:rFonts w:ascii="Arial" w:hAnsi="Arial" w:cs="Arial"/>
          <w:sz w:val="24"/>
          <w:szCs w:val="24"/>
        </w:rPr>
        <w:t xml:space="preserve"> </w:t>
      </w:r>
      <w:r w:rsidR="00BC6288">
        <w:rPr>
          <w:rFonts w:ascii="Arial" w:hAnsi="Arial" w:cs="Arial"/>
          <w:sz w:val="24"/>
          <w:szCs w:val="24"/>
        </w:rPr>
        <w:t xml:space="preserve">Whether DP&amp;L has difficulty identifying costs in distribution rates necessary to support default service is irrelevant.  The purpose of </w:t>
      </w:r>
      <w:r>
        <w:rPr>
          <w:rFonts w:ascii="Arial" w:hAnsi="Arial" w:cs="Arial"/>
          <w:sz w:val="24"/>
          <w:szCs w:val="24"/>
        </w:rPr>
        <w:t>a</w:t>
      </w:r>
      <w:r w:rsidR="00BC6288">
        <w:rPr>
          <w:rFonts w:ascii="Arial" w:hAnsi="Arial" w:cs="Arial"/>
          <w:sz w:val="24"/>
          <w:szCs w:val="24"/>
        </w:rPr>
        <w:t xml:space="preserve"> Staff Report is to perform an independent evaluation</w:t>
      </w:r>
      <w:r>
        <w:rPr>
          <w:rFonts w:ascii="Arial" w:hAnsi="Arial" w:cs="Arial"/>
          <w:sz w:val="24"/>
          <w:szCs w:val="24"/>
        </w:rPr>
        <w:t xml:space="preserve"> of the utility’s proposal to increase its rates—it is not intended to rely on the</w:t>
      </w:r>
      <w:r w:rsidR="00BC6288">
        <w:rPr>
          <w:rFonts w:ascii="Arial" w:hAnsi="Arial" w:cs="Arial"/>
          <w:sz w:val="24"/>
          <w:szCs w:val="24"/>
        </w:rPr>
        <w:t xml:space="preserve"> exclusive analysis of the utility.  If that were the case, there would simply be no statutory obligation</w:t>
      </w:r>
      <w:r>
        <w:rPr>
          <w:rFonts w:ascii="Arial" w:hAnsi="Arial" w:cs="Arial"/>
          <w:sz w:val="24"/>
          <w:szCs w:val="24"/>
        </w:rPr>
        <w:t xml:space="preserve"> or benefit of a</w:t>
      </w:r>
      <w:r w:rsidR="00BC6288">
        <w:rPr>
          <w:rFonts w:ascii="Arial" w:hAnsi="Arial" w:cs="Arial"/>
          <w:sz w:val="24"/>
          <w:szCs w:val="24"/>
        </w:rPr>
        <w:t xml:space="preserve"> staff report.</w:t>
      </w:r>
      <w:r w:rsidR="00262461">
        <w:rPr>
          <w:rFonts w:ascii="Arial" w:hAnsi="Arial" w:cs="Arial"/>
          <w:sz w:val="24"/>
          <w:szCs w:val="24"/>
        </w:rPr>
        <w:t xml:space="preserve">  Accordingly, the Staff Report should have independently evaluated each category of costs and derived a methodology to identify and allocate costs associated with default service to that service.  As the Staff Report acknowledges, the relationship between default service revenue and </w:t>
      </w:r>
      <w:r w:rsidR="0029088A">
        <w:rPr>
          <w:rFonts w:ascii="Arial" w:hAnsi="Arial" w:cs="Arial"/>
          <w:sz w:val="24"/>
          <w:szCs w:val="24"/>
        </w:rPr>
        <w:t xml:space="preserve">total utility revenue may provide a basis for that cost </w:t>
      </w:r>
      <w:r w:rsidR="0029088A">
        <w:rPr>
          <w:rFonts w:ascii="Arial" w:hAnsi="Arial" w:cs="Arial"/>
          <w:sz w:val="24"/>
          <w:szCs w:val="24"/>
        </w:rPr>
        <w:lastRenderedPageBreak/>
        <w:t>allocation</w:t>
      </w:r>
      <w:r w:rsidR="00D60FB4">
        <w:rPr>
          <w:rFonts w:ascii="Arial" w:hAnsi="Arial" w:cs="Arial"/>
          <w:sz w:val="24"/>
          <w:szCs w:val="24"/>
        </w:rPr>
        <w:t>.</w:t>
      </w:r>
      <w:r w:rsidR="00603FC4">
        <w:rPr>
          <w:rFonts w:ascii="Arial" w:hAnsi="Arial" w:cs="Arial"/>
          <w:sz w:val="24"/>
          <w:szCs w:val="24"/>
        </w:rPr>
        <w:t xml:space="preserve">  The quantity of customers taking default service relative to total customers may also provide a methodology to allocate these costs.</w:t>
      </w:r>
    </w:p>
    <w:p w:rsidR="00BC6288" w:rsidRDefault="00EB1189" w:rsidP="009C4043">
      <w:pPr>
        <w:autoSpaceDE w:val="0"/>
        <w:autoSpaceDN w:val="0"/>
        <w:adjustRightInd w:val="0"/>
        <w:spacing w:after="120" w:line="480" w:lineRule="auto"/>
        <w:ind w:firstLine="720"/>
        <w:jc w:val="both"/>
        <w:rPr>
          <w:rFonts w:ascii="Arial" w:hAnsi="Arial" w:cs="Arial"/>
          <w:sz w:val="24"/>
          <w:szCs w:val="24"/>
        </w:rPr>
      </w:pPr>
      <w:r>
        <w:rPr>
          <w:rFonts w:ascii="Arial" w:hAnsi="Arial" w:cs="Arial"/>
          <w:sz w:val="24"/>
          <w:szCs w:val="24"/>
        </w:rPr>
        <w:t xml:space="preserve">IGS objects to the Staff Report’s acceptance of DP&amp;L’s cost of service study.  </w:t>
      </w:r>
      <w:r w:rsidR="009C4043">
        <w:rPr>
          <w:rFonts w:ascii="Arial" w:hAnsi="Arial" w:cs="Arial"/>
          <w:sz w:val="24"/>
          <w:szCs w:val="24"/>
        </w:rPr>
        <w:t>The Staff Report failed to properly functionalize, classify, or allocate costs associated with the provision of the SSO.</w:t>
      </w:r>
    </w:p>
    <w:p w:rsidR="00AE71A9" w:rsidRDefault="004417DE" w:rsidP="0028380C">
      <w:pPr>
        <w:autoSpaceDE w:val="0"/>
        <w:autoSpaceDN w:val="0"/>
        <w:adjustRightInd w:val="0"/>
        <w:spacing w:after="120" w:line="480" w:lineRule="auto"/>
        <w:ind w:firstLine="720"/>
        <w:jc w:val="both"/>
        <w:rPr>
          <w:rFonts w:ascii="Arial" w:hAnsi="Arial" w:cs="Arial"/>
          <w:sz w:val="24"/>
          <w:szCs w:val="24"/>
        </w:rPr>
      </w:pPr>
      <w:r>
        <w:rPr>
          <w:rFonts w:ascii="Arial" w:hAnsi="Arial" w:cs="Arial"/>
          <w:sz w:val="24"/>
          <w:szCs w:val="24"/>
        </w:rPr>
        <w:t xml:space="preserve">The specific details supporting these </w:t>
      </w:r>
      <w:r w:rsidR="005A0BD9">
        <w:rPr>
          <w:rFonts w:ascii="Arial" w:hAnsi="Arial" w:cs="Arial"/>
          <w:sz w:val="24"/>
          <w:szCs w:val="24"/>
        </w:rPr>
        <w:t>objections are discussed in detail below.</w:t>
      </w:r>
      <w:r w:rsidR="00AE71A9">
        <w:rPr>
          <w:rFonts w:ascii="Arial" w:hAnsi="Arial" w:cs="Arial"/>
          <w:sz w:val="24"/>
          <w:szCs w:val="24"/>
        </w:rPr>
        <w:t xml:space="preserve"> </w:t>
      </w:r>
    </w:p>
    <w:p w:rsidR="00824A9B" w:rsidRPr="0029088A" w:rsidRDefault="00AE71A9" w:rsidP="0029088A">
      <w:pPr>
        <w:spacing w:line="480" w:lineRule="auto"/>
        <w:ind w:firstLine="720"/>
        <w:jc w:val="both"/>
        <w:rPr>
          <w:rFonts w:ascii="Arial" w:hAnsi="Arial" w:cs="Arial"/>
          <w:sz w:val="24"/>
          <w:szCs w:val="24"/>
        </w:rPr>
      </w:pPr>
      <w:r>
        <w:rPr>
          <w:rFonts w:ascii="Arial" w:hAnsi="Arial" w:cs="Arial"/>
          <w:sz w:val="24"/>
          <w:szCs w:val="24"/>
        </w:rPr>
        <w:t>Many of the co</w:t>
      </w:r>
      <w:r w:rsidR="009C4043">
        <w:rPr>
          <w:rFonts w:ascii="Arial" w:hAnsi="Arial" w:cs="Arial"/>
          <w:sz w:val="24"/>
          <w:szCs w:val="24"/>
        </w:rPr>
        <w:t>sts necessary to support the default service</w:t>
      </w:r>
      <w:r>
        <w:rPr>
          <w:rFonts w:ascii="Arial" w:hAnsi="Arial" w:cs="Arial"/>
          <w:sz w:val="24"/>
          <w:szCs w:val="24"/>
        </w:rPr>
        <w:t xml:space="preserve"> are proposed for recovery in</w:t>
      </w:r>
      <w:r w:rsidR="00314A32">
        <w:rPr>
          <w:rFonts w:ascii="Arial" w:hAnsi="Arial" w:cs="Arial"/>
          <w:sz w:val="24"/>
          <w:szCs w:val="24"/>
        </w:rPr>
        <w:t xml:space="preserve"> </w:t>
      </w:r>
      <w:r w:rsidR="0029088A">
        <w:rPr>
          <w:rFonts w:ascii="Arial" w:hAnsi="Arial" w:cs="Arial"/>
          <w:sz w:val="24"/>
          <w:szCs w:val="24"/>
        </w:rPr>
        <w:t>DP&amp;L’s</w:t>
      </w:r>
      <w:r w:rsidR="00314A32">
        <w:rPr>
          <w:rFonts w:ascii="Arial" w:hAnsi="Arial" w:cs="Arial"/>
          <w:sz w:val="24"/>
          <w:szCs w:val="24"/>
        </w:rPr>
        <w:t xml:space="preserve"> allowance for operation</w:t>
      </w:r>
      <w:r>
        <w:rPr>
          <w:rFonts w:ascii="Arial" w:hAnsi="Arial" w:cs="Arial"/>
          <w:sz w:val="24"/>
          <w:szCs w:val="24"/>
        </w:rPr>
        <w:t xml:space="preserve"> expense</w:t>
      </w:r>
      <w:r w:rsidR="00314A32">
        <w:rPr>
          <w:rFonts w:ascii="Arial" w:hAnsi="Arial" w:cs="Arial"/>
          <w:sz w:val="24"/>
          <w:szCs w:val="24"/>
        </w:rPr>
        <w:t xml:space="preserve"> (operation and maintenance expense or “O&amp;M”)</w:t>
      </w:r>
      <w:r>
        <w:rPr>
          <w:rFonts w:ascii="Arial" w:hAnsi="Arial" w:cs="Arial"/>
          <w:sz w:val="24"/>
          <w:szCs w:val="24"/>
        </w:rPr>
        <w:t xml:space="preserve">.  These costs are identified and supported in the C-Schedules attached to the Application.  The Staff Report provides an analysis of the costs contained on these schedules.  </w:t>
      </w:r>
      <w:r w:rsidR="0029088A">
        <w:rPr>
          <w:rFonts w:ascii="Arial" w:hAnsi="Arial" w:cs="Arial"/>
          <w:sz w:val="24"/>
          <w:szCs w:val="24"/>
        </w:rPr>
        <w:t>As mentioned above, the Staff Report identifies only one small category of costs that relate to the provision of default service</w:t>
      </w:r>
      <w:r w:rsidR="00824A9B">
        <w:rPr>
          <w:rFonts w:ascii="Arial" w:hAnsi="Arial" w:cs="Arial"/>
          <w:sz w:val="24"/>
          <w:szCs w:val="24"/>
        </w:rPr>
        <w:t xml:space="preserve">.  </w:t>
      </w:r>
      <w:r w:rsidR="00824A9B">
        <w:rPr>
          <w:rFonts w:ascii="Arial" w:eastAsiaTheme="minorHAnsi" w:hAnsi="Arial" w:cs="Arial"/>
          <w:sz w:val="24"/>
          <w:szCs w:val="24"/>
        </w:rPr>
        <w:t>The operation and maintenance expense categories that the Staff Report failed to analyze and allocate to the default service include</w:t>
      </w:r>
      <w:r w:rsidR="00824A9B" w:rsidRPr="00824A9B">
        <w:rPr>
          <w:rFonts w:ascii="Arial" w:eastAsiaTheme="minorHAnsi" w:hAnsi="Arial" w:cs="Arial"/>
          <w:sz w:val="24"/>
          <w:szCs w:val="24"/>
        </w:rPr>
        <w:t>:</w:t>
      </w:r>
    </w:p>
    <w:p w:rsidR="008044DE" w:rsidRPr="008044DE" w:rsidRDefault="008044DE" w:rsidP="008044DE">
      <w:pPr>
        <w:spacing w:line="480" w:lineRule="auto"/>
        <w:ind w:left="1440" w:hanging="720"/>
        <w:jc w:val="both"/>
        <w:rPr>
          <w:rFonts w:ascii="Arial" w:eastAsiaTheme="minorHAnsi" w:hAnsi="Arial" w:cs="Arial"/>
          <w:sz w:val="24"/>
          <w:szCs w:val="24"/>
        </w:rPr>
      </w:pPr>
      <w:r w:rsidRPr="008044DE">
        <w:rPr>
          <w:rFonts w:ascii="Arial" w:eastAsiaTheme="minorHAnsi" w:hAnsi="Arial" w:cs="Arial"/>
          <w:sz w:val="24"/>
          <w:szCs w:val="24"/>
        </w:rPr>
        <w:t>(1)</w:t>
      </w:r>
      <w:r w:rsidRPr="008044DE">
        <w:rPr>
          <w:rFonts w:ascii="Arial" w:eastAsiaTheme="minorHAnsi" w:hAnsi="Arial" w:cs="Arial"/>
          <w:sz w:val="24"/>
          <w:szCs w:val="24"/>
        </w:rPr>
        <w:tab/>
        <w:t>Call center infrastructure and employees to maintain appropriate customer service for SSO customers;</w:t>
      </w:r>
    </w:p>
    <w:p w:rsidR="008044DE" w:rsidRPr="008044DE" w:rsidRDefault="008044DE" w:rsidP="008044DE">
      <w:pPr>
        <w:spacing w:line="480" w:lineRule="auto"/>
        <w:ind w:left="1440" w:hanging="720"/>
        <w:jc w:val="both"/>
        <w:rPr>
          <w:rFonts w:ascii="Arial" w:eastAsiaTheme="minorHAnsi" w:hAnsi="Arial" w:cs="Arial"/>
          <w:sz w:val="24"/>
          <w:szCs w:val="24"/>
        </w:rPr>
      </w:pPr>
      <w:r w:rsidRPr="008044DE">
        <w:rPr>
          <w:rFonts w:ascii="Arial" w:eastAsiaTheme="minorHAnsi" w:hAnsi="Arial" w:cs="Arial"/>
          <w:sz w:val="24"/>
          <w:szCs w:val="24"/>
        </w:rPr>
        <w:t>(2)</w:t>
      </w:r>
      <w:r w:rsidRPr="008044DE">
        <w:rPr>
          <w:rFonts w:ascii="Arial" w:eastAsiaTheme="minorHAnsi" w:hAnsi="Arial" w:cs="Arial"/>
          <w:sz w:val="24"/>
          <w:szCs w:val="24"/>
        </w:rPr>
        <w:tab/>
        <w:t>Outside and inside legal, regulatory, and compliance personnel to comply with the regulatory rule requirements for the SSO</w:t>
      </w:r>
      <w:r w:rsidR="001351A7">
        <w:rPr>
          <w:rFonts w:ascii="Arial" w:eastAsiaTheme="minorHAnsi" w:hAnsi="Arial" w:cs="Arial"/>
          <w:sz w:val="24"/>
          <w:szCs w:val="24"/>
        </w:rPr>
        <w:t>;</w:t>
      </w:r>
      <w:r w:rsidR="00441C45">
        <w:rPr>
          <w:rStyle w:val="FootnoteReference"/>
          <w:rFonts w:ascii="Arial" w:eastAsiaTheme="minorHAnsi" w:hAnsi="Arial" w:cs="Arial"/>
          <w:sz w:val="24"/>
          <w:szCs w:val="24"/>
        </w:rPr>
        <w:footnoteReference w:id="5"/>
      </w:r>
    </w:p>
    <w:p w:rsidR="008044DE" w:rsidRPr="008044DE" w:rsidRDefault="008044DE" w:rsidP="008044DE">
      <w:pPr>
        <w:spacing w:line="480" w:lineRule="auto"/>
        <w:ind w:firstLine="720"/>
        <w:jc w:val="both"/>
        <w:rPr>
          <w:rFonts w:ascii="Arial" w:eastAsiaTheme="minorHAnsi" w:hAnsi="Arial" w:cs="Arial"/>
          <w:sz w:val="24"/>
          <w:szCs w:val="24"/>
        </w:rPr>
      </w:pPr>
      <w:r w:rsidRPr="008044DE">
        <w:rPr>
          <w:rFonts w:ascii="Arial" w:eastAsiaTheme="minorHAnsi" w:hAnsi="Arial" w:cs="Arial"/>
          <w:sz w:val="24"/>
          <w:szCs w:val="24"/>
        </w:rPr>
        <w:lastRenderedPageBreak/>
        <w:t>(3)</w:t>
      </w:r>
      <w:r w:rsidRPr="008044DE">
        <w:rPr>
          <w:rFonts w:ascii="Arial" w:eastAsiaTheme="minorHAnsi" w:hAnsi="Arial" w:cs="Arial"/>
          <w:sz w:val="24"/>
          <w:szCs w:val="24"/>
        </w:rPr>
        <w:tab/>
        <w:t xml:space="preserve">IT employees, infrastructure, and software; </w:t>
      </w:r>
    </w:p>
    <w:p w:rsidR="008044DE" w:rsidRPr="008044DE" w:rsidRDefault="008044DE" w:rsidP="008044DE">
      <w:pPr>
        <w:spacing w:line="480" w:lineRule="auto"/>
        <w:ind w:firstLine="720"/>
        <w:jc w:val="both"/>
        <w:rPr>
          <w:rFonts w:ascii="Arial" w:eastAsiaTheme="minorHAnsi" w:hAnsi="Arial" w:cs="Arial"/>
          <w:sz w:val="24"/>
          <w:szCs w:val="24"/>
        </w:rPr>
      </w:pPr>
      <w:r w:rsidRPr="008044DE">
        <w:rPr>
          <w:rFonts w:ascii="Arial" w:eastAsiaTheme="minorHAnsi" w:hAnsi="Arial" w:cs="Arial"/>
          <w:sz w:val="24"/>
          <w:szCs w:val="24"/>
        </w:rPr>
        <w:t>(4)</w:t>
      </w:r>
      <w:r w:rsidRPr="008044DE">
        <w:rPr>
          <w:rFonts w:ascii="Arial" w:eastAsiaTheme="minorHAnsi" w:hAnsi="Arial" w:cs="Arial"/>
          <w:sz w:val="24"/>
          <w:szCs w:val="24"/>
        </w:rPr>
        <w:tab/>
        <w:t xml:space="preserve">Office space for employees; </w:t>
      </w:r>
    </w:p>
    <w:p w:rsidR="008044DE" w:rsidRPr="008044DE" w:rsidRDefault="008044DE" w:rsidP="008044DE">
      <w:pPr>
        <w:spacing w:line="480" w:lineRule="auto"/>
        <w:ind w:firstLine="720"/>
        <w:jc w:val="both"/>
        <w:rPr>
          <w:rFonts w:ascii="Arial" w:eastAsiaTheme="minorHAnsi" w:hAnsi="Arial" w:cs="Arial"/>
          <w:sz w:val="24"/>
          <w:szCs w:val="24"/>
        </w:rPr>
      </w:pPr>
      <w:r w:rsidRPr="008044DE">
        <w:rPr>
          <w:rFonts w:ascii="Arial" w:eastAsiaTheme="minorHAnsi" w:hAnsi="Arial" w:cs="Arial"/>
          <w:sz w:val="24"/>
          <w:szCs w:val="24"/>
        </w:rPr>
        <w:t>(5)</w:t>
      </w:r>
      <w:r w:rsidRPr="008044DE">
        <w:rPr>
          <w:rFonts w:ascii="Arial" w:eastAsiaTheme="minorHAnsi" w:hAnsi="Arial" w:cs="Arial"/>
          <w:sz w:val="24"/>
          <w:szCs w:val="24"/>
        </w:rPr>
        <w:tab/>
        <w:t xml:space="preserve">Administrative and human resources staff to support the employees; </w:t>
      </w:r>
    </w:p>
    <w:p w:rsidR="008044DE" w:rsidRPr="008044DE" w:rsidRDefault="008044DE" w:rsidP="008044DE">
      <w:pPr>
        <w:spacing w:line="480" w:lineRule="auto"/>
        <w:ind w:firstLine="720"/>
        <w:jc w:val="both"/>
        <w:rPr>
          <w:rFonts w:ascii="Arial" w:eastAsiaTheme="minorHAnsi" w:hAnsi="Arial" w:cs="Arial"/>
          <w:sz w:val="24"/>
          <w:szCs w:val="24"/>
        </w:rPr>
      </w:pPr>
      <w:r w:rsidRPr="008044DE">
        <w:rPr>
          <w:rFonts w:ascii="Arial" w:eastAsiaTheme="minorHAnsi" w:hAnsi="Arial" w:cs="Arial"/>
          <w:sz w:val="24"/>
          <w:szCs w:val="24"/>
        </w:rPr>
        <w:t>(6)</w:t>
      </w:r>
      <w:r w:rsidRPr="008044DE">
        <w:rPr>
          <w:rFonts w:ascii="Arial" w:eastAsiaTheme="minorHAnsi" w:hAnsi="Arial" w:cs="Arial"/>
          <w:sz w:val="24"/>
          <w:szCs w:val="24"/>
        </w:rPr>
        <w:tab/>
        <w:t xml:space="preserve">Office supplies; </w:t>
      </w:r>
    </w:p>
    <w:p w:rsidR="008044DE" w:rsidRPr="008044DE" w:rsidRDefault="008044DE" w:rsidP="008044DE">
      <w:pPr>
        <w:spacing w:line="480" w:lineRule="auto"/>
        <w:ind w:firstLine="720"/>
        <w:jc w:val="both"/>
        <w:rPr>
          <w:rFonts w:ascii="Arial" w:eastAsiaTheme="minorHAnsi" w:hAnsi="Arial" w:cs="Arial"/>
          <w:sz w:val="24"/>
          <w:szCs w:val="24"/>
        </w:rPr>
      </w:pPr>
      <w:r w:rsidRPr="008044DE">
        <w:rPr>
          <w:rFonts w:ascii="Arial" w:eastAsiaTheme="minorHAnsi" w:hAnsi="Arial" w:cs="Arial"/>
          <w:sz w:val="24"/>
          <w:szCs w:val="24"/>
        </w:rPr>
        <w:t>(7)</w:t>
      </w:r>
      <w:r w:rsidRPr="008044DE">
        <w:rPr>
          <w:rFonts w:ascii="Arial" w:eastAsiaTheme="minorHAnsi" w:hAnsi="Arial" w:cs="Arial"/>
          <w:sz w:val="24"/>
          <w:szCs w:val="24"/>
        </w:rPr>
        <w:tab/>
        <w:t xml:space="preserve">Accounting and auditing services; </w:t>
      </w:r>
    </w:p>
    <w:p w:rsidR="008044DE" w:rsidRPr="008044DE" w:rsidRDefault="008044DE" w:rsidP="008044DE">
      <w:pPr>
        <w:spacing w:line="480" w:lineRule="auto"/>
        <w:ind w:firstLine="720"/>
        <w:jc w:val="both"/>
        <w:rPr>
          <w:rFonts w:ascii="Arial" w:eastAsiaTheme="minorHAnsi" w:hAnsi="Arial" w:cs="Arial"/>
          <w:sz w:val="24"/>
          <w:szCs w:val="24"/>
        </w:rPr>
      </w:pPr>
      <w:r w:rsidRPr="008044DE">
        <w:rPr>
          <w:rFonts w:ascii="Arial" w:eastAsiaTheme="minorHAnsi" w:hAnsi="Arial" w:cs="Arial"/>
          <w:sz w:val="24"/>
          <w:szCs w:val="24"/>
        </w:rPr>
        <w:t>(8)</w:t>
      </w:r>
      <w:r w:rsidRPr="008044DE">
        <w:rPr>
          <w:rFonts w:ascii="Arial" w:eastAsiaTheme="minorHAnsi" w:hAnsi="Arial" w:cs="Arial"/>
          <w:sz w:val="24"/>
          <w:szCs w:val="24"/>
        </w:rPr>
        <w:tab/>
        <w:t xml:space="preserve">Printing and postage to communicate with customers; </w:t>
      </w:r>
    </w:p>
    <w:p w:rsidR="00832866" w:rsidRDefault="008044DE" w:rsidP="00BA212D">
      <w:pPr>
        <w:spacing w:line="480" w:lineRule="auto"/>
        <w:ind w:left="1440" w:hanging="720"/>
        <w:jc w:val="both"/>
        <w:rPr>
          <w:rFonts w:ascii="Arial" w:eastAsiaTheme="minorHAnsi" w:hAnsi="Arial" w:cs="Arial"/>
          <w:sz w:val="24"/>
          <w:szCs w:val="24"/>
        </w:rPr>
      </w:pPr>
      <w:r>
        <w:rPr>
          <w:rFonts w:ascii="Arial" w:eastAsiaTheme="minorHAnsi" w:hAnsi="Arial" w:cs="Arial"/>
          <w:sz w:val="24"/>
          <w:szCs w:val="24"/>
        </w:rPr>
        <w:t>(9)</w:t>
      </w:r>
      <w:r>
        <w:rPr>
          <w:rFonts w:ascii="Arial" w:eastAsiaTheme="minorHAnsi" w:hAnsi="Arial" w:cs="Arial"/>
          <w:sz w:val="24"/>
          <w:szCs w:val="24"/>
        </w:rPr>
        <w:tab/>
      </w:r>
      <w:r w:rsidR="007F6649">
        <w:rPr>
          <w:rFonts w:ascii="Arial" w:eastAsiaTheme="minorHAnsi" w:hAnsi="Arial" w:cs="Arial"/>
          <w:sz w:val="24"/>
          <w:szCs w:val="24"/>
        </w:rPr>
        <w:t>All u</w:t>
      </w:r>
      <w:r w:rsidR="00832866">
        <w:rPr>
          <w:rFonts w:ascii="Arial" w:eastAsiaTheme="minorHAnsi" w:hAnsi="Arial" w:cs="Arial"/>
          <w:sz w:val="24"/>
          <w:szCs w:val="24"/>
        </w:rPr>
        <w:t>ncollectible expense, to the extent that a purchase of receivable program contains a discount rate</w:t>
      </w:r>
      <w:r w:rsidR="007F6649">
        <w:rPr>
          <w:rFonts w:ascii="Arial" w:eastAsiaTheme="minorHAnsi" w:hAnsi="Arial" w:cs="Arial"/>
          <w:sz w:val="24"/>
          <w:szCs w:val="24"/>
        </w:rPr>
        <w:t>;</w:t>
      </w:r>
      <w:r w:rsidR="007F6649">
        <w:rPr>
          <w:rStyle w:val="FootnoteReference"/>
          <w:rFonts w:ascii="Arial" w:eastAsiaTheme="minorHAnsi" w:hAnsi="Arial" w:cs="Arial"/>
          <w:sz w:val="24"/>
          <w:szCs w:val="24"/>
        </w:rPr>
        <w:footnoteReference w:id="6"/>
      </w:r>
    </w:p>
    <w:p w:rsidR="00832866" w:rsidRDefault="004417DE" w:rsidP="00832866">
      <w:pPr>
        <w:autoSpaceDE w:val="0"/>
        <w:autoSpaceDN w:val="0"/>
        <w:adjustRightInd w:val="0"/>
        <w:spacing w:after="120" w:line="480" w:lineRule="auto"/>
        <w:ind w:firstLine="720"/>
        <w:jc w:val="both"/>
        <w:rPr>
          <w:rFonts w:ascii="Arial" w:hAnsi="Arial" w:cs="Arial"/>
          <w:sz w:val="24"/>
          <w:szCs w:val="24"/>
        </w:rPr>
      </w:pPr>
      <w:r>
        <w:rPr>
          <w:rFonts w:ascii="Arial" w:hAnsi="Arial" w:cs="Arial"/>
          <w:sz w:val="24"/>
          <w:szCs w:val="24"/>
        </w:rPr>
        <w:t xml:space="preserve"> </w:t>
      </w:r>
      <w:r w:rsidR="00BA212D">
        <w:rPr>
          <w:rFonts w:ascii="Arial" w:hAnsi="Arial" w:cs="Arial"/>
          <w:sz w:val="24"/>
          <w:szCs w:val="24"/>
        </w:rPr>
        <w:t>(10</w:t>
      </w:r>
      <w:r w:rsidR="00832866">
        <w:rPr>
          <w:rFonts w:ascii="Arial" w:hAnsi="Arial" w:cs="Arial"/>
          <w:sz w:val="24"/>
          <w:szCs w:val="24"/>
        </w:rPr>
        <w:t>)     Cash Working Capital</w:t>
      </w:r>
      <w:r>
        <w:rPr>
          <w:rFonts w:ascii="Arial" w:hAnsi="Arial" w:cs="Arial"/>
          <w:sz w:val="24"/>
          <w:szCs w:val="24"/>
        </w:rPr>
        <w:t>.</w:t>
      </w:r>
      <w:r w:rsidR="00832866">
        <w:rPr>
          <w:rStyle w:val="FootnoteReference"/>
          <w:rFonts w:ascii="Arial" w:hAnsi="Arial" w:cs="Arial"/>
          <w:sz w:val="24"/>
          <w:szCs w:val="24"/>
        </w:rPr>
        <w:footnoteReference w:id="7"/>
      </w:r>
    </w:p>
    <w:p w:rsidR="00832866" w:rsidRPr="00832866" w:rsidRDefault="00832866" w:rsidP="00832866">
      <w:pPr>
        <w:autoSpaceDE w:val="0"/>
        <w:autoSpaceDN w:val="0"/>
        <w:adjustRightInd w:val="0"/>
        <w:spacing w:after="120" w:line="480" w:lineRule="auto"/>
        <w:jc w:val="both"/>
        <w:rPr>
          <w:rFonts w:ascii="Arial" w:hAnsi="Arial" w:cs="Arial"/>
          <w:sz w:val="24"/>
          <w:szCs w:val="24"/>
        </w:rPr>
      </w:pPr>
      <w:r>
        <w:rPr>
          <w:rFonts w:ascii="Arial" w:hAnsi="Arial" w:cs="Arial"/>
          <w:sz w:val="24"/>
          <w:szCs w:val="24"/>
        </w:rPr>
        <w:t>These categories of cost are mainly identified in the following FERC Accounts (903-905; 908-910; 912; 920-935; 408).</w:t>
      </w:r>
    </w:p>
    <w:p w:rsidR="00824A9B" w:rsidRPr="00824A9B" w:rsidRDefault="00832866" w:rsidP="00832866">
      <w:pPr>
        <w:spacing w:line="480" w:lineRule="auto"/>
        <w:ind w:firstLine="720"/>
        <w:jc w:val="both"/>
        <w:rPr>
          <w:rFonts w:ascii="Arial" w:hAnsi="Arial" w:cs="Arial"/>
          <w:sz w:val="24"/>
          <w:szCs w:val="24"/>
        </w:rPr>
      </w:pPr>
      <w:r>
        <w:rPr>
          <w:rFonts w:ascii="Arial" w:hAnsi="Arial" w:cs="Arial"/>
          <w:sz w:val="24"/>
          <w:szCs w:val="24"/>
        </w:rPr>
        <w:t>Moreover, t</w:t>
      </w:r>
      <w:r w:rsidR="00824A9B" w:rsidRPr="00832866">
        <w:rPr>
          <w:rFonts w:ascii="Arial" w:hAnsi="Arial" w:cs="Arial"/>
          <w:sz w:val="24"/>
          <w:szCs w:val="24"/>
        </w:rPr>
        <w:t>he Staff Report further failed to analyze and allocate to the default service costs embedded in rate base that are necessary to support default service.</w:t>
      </w:r>
      <w:r w:rsidR="005A0BD9">
        <w:rPr>
          <w:rFonts w:ascii="Arial" w:hAnsi="Arial" w:cs="Arial"/>
          <w:sz w:val="24"/>
          <w:szCs w:val="24"/>
        </w:rPr>
        <w:t xml:space="preserve">  These </w:t>
      </w:r>
      <w:r w:rsidR="005A0BD9">
        <w:rPr>
          <w:rFonts w:ascii="Arial" w:hAnsi="Arial" w:cs="Arial"/>
          <w:sz w:val="24"/>
          <w:szCs w:val="24"/>
        </w:rPr>
        <w:lastRenderedPageBreak/>
        <w:t>costs are proposed in the B Schedules.  The Staff Report failed to analyze or identify costs on these schedules that relate to the provision of SSO service and should therefore be allocated to that service.</w:t>
      </w:r>
      <w:r>
        <w:rPr>
          <w:rFonts w:ascii="Arial" w:hAnsi="Arial" w:cs="Arial"/>
          <w:sz w:val="24"/>
          <w:szCs w:val="24"/>
        </w:rPr>
        <w:t xml:space="preserve">  Such costs include rate base related to categories of costs identified above, as well </w:t>
      </w:r>
      <w:r w:rsidR="007F6649">
        <w:rPr>
          <w:rFonts w:ascii="Arial" w:hAnsi="Arial" w:cs="Arial"/>
          <w:sz w:val="24"/>
          <w:szCs w:val="24"/>
        </w:rPr>
        <w:t>DP&amp;L’s headquarters (MacGregor Park) in Dayton.</w:t>
      </w:r>
    </w:p>
    <w:p w:rsidR="003A7774" w:rsidRDefault="00832866" w:rsidP="00A25C42">
      <w:pPr>
        <w:autoSpaceDE w:val="0"/>
        <w:autoSpaceDN w:val="0"/>
        <w:adjustRightInd w:val="0"/>
        <w:spacing w:after="120" w:line="480" w:lineRule="auto"/>
        <w:jc w:val="both"/>
        <w:rPr>
          <w:rFonts w:ascii="Arial" w:hAnsi="Arial" w:cs="Arial"/>
          <w:sz w:val="24"/>
          <w:szCs w:val="24"/>
        </w:rPr>
      </w:pPr>
      <w:r>
        <w:rPr>
          <w:rFonts w:ascii="Arial" w:hAnsi="Arial" w:cs="Arial"/>
          <w:sz w:val="24"/>
          <w:szCs w:val="24"/>
        </w:rPr>
        <w:tab/>
        <w:t xml:space="preserve">Each of the </w:t>
      </w:r>
      <w:proofErr w:type="gramStart"/>
      <w:r w:rsidR="005A0BD9">
        <w:rPr>
          <w:rFonts w:ascii="Arial" w:hAnsi="Arial" w:cs="Arial"/>
          <w:sz w:val="24"/>
          <w:szCs w:val="24"/>
        </w:rPr>
        <w:t xml:space="preserve">aforementioned </w:t>
      </w:r>
      <w:r>
        <w:rPr>
          <w:rFonts w:ascii="Arial" w:hAnsi="Arial" w:cs="Arial"/>
          <w:sz w:val="24"/>
          <w:szCs w:val="24"/>
        </w:rPr>
        <w:t>expenses</w:t>
      </w:r>
      <w:proofErr w:type="gramEnd"/>
      <w:r>
        <w:rPr>
          <w:rFonts w:ascii="Arial" w:hAnsi="Arial" w:cs="Arial"/>
          <w:sz w:val="24"/>
          <w:szCs w:val="24"/>
        </w:rPr>
        <w:t xml:space="preserve"> and investments</w:t>
      </w:r>
      <w:r w:rsidR="00AE71A9">
        <w:rPr>
          <w:rFonts w:ascii="Arial" w:hAnsi="Arial" w:cs="Arial"/>
          <w:sz w:val="24"/>
          <w:szCs w:val="24"/>
        </w:rPr>
        <w:t xml:space="preserve"> are necessary to support the SSO.  Moreover, each of these services reflect costs that CRES suppliers must i</w:t>
      </w:r>
      <w:r w:rsidR="004417DE">
        <w:rPr>
          <w:rFonts w:ascii="Arial" w:hAnsi="Arial" w:cs="Arial"/>
          <w:sz w:val="24"/>
          <w:szCs w:val="24"/>
        </w:rPr>
        <w:t xml:space="preserve">ncur to support their own rates.  Indeed, in addition to these internal costs, </w:t>
      </w:r>
      <w:r w:rsidR="00AE71A9">
        <w:rPr>
          <w:rFonts w:ascii="Arial" w:hAnsi="Arial" w:cs="Arial"/>
          <w:sz w:val="24"/>
          <w:szCs w:val="24"/>
        </w:rPr>
        <w:t>CRES providers</w:t>
      </w:r>
      <w:r w:rsidR="004417DE">
        <w:rPr>
          <w:rFonts w:ascii="Arial" w:hAnsi="Arial" w:cs="Arial"/>
          <w:sz w:val="24"/>
          <w:szCs w:val="24"/>
        </w:rPr>
        <w:t xml:space="preserve"> often must pay</w:t>
      </w:r>
      <w:r w:rsidR="007F6649">
        <w:rPr>
          <w:rFonts w:ascii="Arial" w:hAnsi="Arial" w:cs="Arial"/>
          <w:sz w:val="24"/>
          <w:szCs w:val="24"/>
        </w:rPr>
        <w:t xml:space="preserve"> DP&amp;L</w:t>
      </w:r>
      <w:r w:rsidR="004417DE">
        <w:rPr>
          <w:rFonts w:ascii="Arial" w:hAnsi="Arial" w:cs="Arial"/>
          <w:sz w:val="24"/>
          <w:szCs w:val="24"/>
        </w:rPr>
        <w:t xml:space="preserve"> additional fees</w:t>
      </w:r>
      <w:r w:rsidR="00AE71A9">
        <w:rPr>
          <w:rFonts w:ascii="Arial" w:hAnsi="Arial" w:cs="Arial"/>
          <w:sz w:val="24"/>
          <w:szCs w:val="24"/>
        </w:rPr>
        <w:t xml:space="preserve">, </w:t>
      </w:r>
      <w:r w:rsidR="002E2896">
        <w:rPr>
          <w:rFonts w:ascii="Arial" w:hAnsi="Arial" w:cs="Arial"/>
          <w:sz w:val="24"/>
          <w:szCs w:val="24"/>
        </w:rPr>
        <w:t xml:space="preserve">for example, switching fees, </w:t>
      </w:r>
      <w:r w:rsidR="00AE71A9">
        <w:rPr>
          <w:rFonts w:ascii="Arial" w:hAnsi="Arial" w:cs="Arial"/>
          <w:sz w:val="24"/>
          <w:szCs w:val="24"/>
        </w:rPr>
        <w:t>billing fees</w:t>
      </w:r>
      <w:r w:rsidR="002E2896">
        <w:rPr>
          <w:rFonts w:ascii="Arial" w:hAnsi="Arial" w:cs="Arial"/>
          <w:sz w:val="24"/>
          <w:szCs w:val="24"/>
        </w:rPr>
        <w:t>, and interval data fees</w:t>
      </w:r>
      <w:r w:rsidR="007F6649">
        <w:rPr>
          <w:rFonts w:ascii="Arial" w:hAnsi="Arial" w:cs="Arial"/>
          <w:sz w:val="24"/>
          <w:szCs w:val="24"/>
        </w:rPr>
        <w:t>.  In the test year</w:t>
      </w:r>
      <w:r w:rsidR="00AE71A9">
        <w:rPr>
          <w:rFonts w:ascii="Arial" w:hAnsi="Arial" w:cs="Arial"/>
          <w:sz w:val="24"/>
          <w:szCs w:val="24"/>
        </w:rPr>
        <w:t xml:space="preserve"> alone, CRES suppliers and th</w:t>
      </w:r>
      <w:r w:rsidR="00307D81">
        <w:rPr>
          <w:rFonts w:ascii="Arial" w:hAnsi="Arial" w:cs="Arial"/>
          <w:sz w:val="24"/>
          <w:szCs w:val="24"/>
        </w:rPr>
        <w:t xml:space="preserve">eir customers paid </w:t>
      </w:r>
      <w:r w:rsidR="007F6649">
        <w:rPr>
          <w:rFonts w:ascii="Arial" w:hAnsi="Arial" w:cs="Arial"/>
          <w:sz w:val="24"/>
          <w:szCs w:val="24"/>
        </w:rPr>
        <w:t>DP&amp;L</w:t>
      </w:r>
      <w:r w:rsidR="00307D81">
        <w:rPr>
          <w:rFonts w:ascii="Arial" w:hAnsi="Arial" w:cs="Arial"/>
          <w:sz w:val="24"/>
          <w:szCs w:val="24"/>
        </w:rPr>
        <w:t xml:space="preserve"> $</w:t>
      </w:r>
      <w:r w:rsidR="007F6649" w:rsidRPr="007F6649">
        <w:rPr>
          <w:rFonts w:ascii="Arial" w:hAnsi="Arial" w:cs="Arial"/>
          <w:sz w:val="24"/>
          <w:szCs w:val="24"/>
        </w:rPr>
        <w:t>247,120</w:t>
      </w:r>
      <w:r w:rsidR="00C5337B">
        <w:rPr>
          <w:rFonts w:ascii="Arial" w:hAnsi="Arial" w:cs="Arial"/>
          <w:sz w:val="24"/>
          <w:szCs w:val="24"/>
        </w:rPr>
        <w:t xml:space="preserve"> </w:t>
      </w:r>
      <w:r w:rsidR="00AE71A9">
        <w:rPr>
          <w:rFonts w:ascii="Arial" w:hAnsi="Arial" w:cs="Arial"/>
          <w:sz w:val="24"/>
          <w:szCs w:val="24"/>
        </w:rPr>
        <w:t>in switching fees.</w:t>
      </w:r>
      <w:r w:rsidR="00E43E55">
        <w:rPr>
          <w:rStyle w:val="FootnoteReference"/>
          <w:rFonts w:ascii="Arial" w:hAnsi="Arial" w:cs="Arial"/>
          <w:sz w:val="24"/>
          <w:szCs w:val="24"/>
        </w:rPr>
        <w:footnoteReference w:id="8"/>
      </w:r>
      <w:r w:rsidR="00E43E55">
        <w:rPr>
          <w:rFonts w:ascii="Arial" w:hAnsi="Arial" w:cs="Arial"/>
          <w:sz w:val="24"/>
          <w:szCs w:val="24"/>
        </w:rPr>
        <w:t xml:space="preserve">  These fees likely exceeded $1 million since 2012.</w:t>
      </w:r>
      <w:r w:rsidR="00E43E55">
        <w:rPr>
          <w:rStyle w:val="FootnoteReference"/>
          <w:rFonts w:ascii="Arial" w:hAnsi="Arial" w:cs="Arial"/>
          <w:sz w:val="24"/>
          <w:szCs w:val="24"/>
        </w:rPr>
        <w:footnoteReference w:id="9"/>
      </w:r>
      <w:r w:rsidR="00BD7A3B">
        <w:rPr>
          <w:rFonts w:ascii="Arial" w:hAnsi="Arial" w:cs="Arial"/>
          <w:sz w:val="24"/>
          <w:szCs w:val="24"/>
        </w:rPr>
        <w:t xml:space="preserve">  </w:t>
      </w:r>
      <w:r w:rsidR="00347D69">
        <w:rPr>
          <w:rFonts w:ascii="Arial" w:hAnsi="Arial" w:cs="Arial"/>
          <w:sz w:val="24"/>
          <w:szCs w:val="24"/>
        </w:rPr>
        <w:t>Yet, customers are not required to pay switching fees to return to the SSO.</w:t>
      </w:r>
      <w:r w:rsidR="00347D69">
        <w:rPr>
          <w:rStyle w:val="FootnoteReference"/>
          <w:rFonts w:ascii="Arial" w:hAnsi="Arial" w:cs="Arial"/>
          <w:sz w:val="24"/>
          <w:szCs w:val="24"/>
        </w:rPr>
        <w:footnoteReference w:id="10"/>
      </w:r>
      <w:r w:rsidR="00347D69">
        <w:rPr>
          <w:rFonts w:ascii="Arial" w:hAnsi="Arial" w:cs="Arial"/>
          <w:sz w:val="24"/>
          <w:szCs w:val="24"/>
        </w:rPr>
        <w:t xml:space="preserve">  </w:t>
      </w:r>
      <w:r w:rsidR="00D60FB4">
        <w:rPr>
          <w:rFonts w:ascii="Arial" w:hAnsi="Arial" w:cs="Arial"/>
          <w:sz w:val="24"/>
          <w:szCs w:val="24"/>
        </w:rPr>
        <w:t>Moreover, DP&amp;L</w:t>
      </w:r>
      <w:r w:rsidR="007F6649">
        <w:rPr>
          <w:rFonts w:ascii="Arial" w:hAnsi="Arial" w:cs="Arial"/>
          <w:sz w:val="24"/>
          <w:szCs w:val="24"/>
        </w:rPr>
        <w:t xml:space="preserve"> charges CRES providers $150</w:t>
      </w:r>
      <w:r w:rsidR="002E2896">
        <w:rPr>
          <w:rFonts w:ascii="Arial" w:hAnsi="Arial" w:cs="Arial"/>
          <w:sz w:val="24"/>
          <w:szCs w:val="24"/>
        </w:rPr>
        <w:t xml:space="preserve"> for </w:t>
      </w:r>
      <w:r w:rsidR="007F6649">
        <w:rPr>
          <w:rFonts w:ascii="Arial" w:hAnsi="Arial" w:cs="Arial"/>
          <w:sz w:val="24"/>
          <w:szCs w:val="24"/>
        </w:rPr>
        <w:t>each interval data request.  During the test year, CRES providers paid DP&amp;L</w:t>
      </w:r>
      <w:r w:rsidR="002E2896">
        <w:rPr>
          <w:rFonts w:ascii="Arial" w:hAnsi="Arial" w:cs="Arial"/>
          <w:sz w:val="24"/>
          <w:szCs w:val="24"/>
        </w:rPr>
        <w:t xml:space="preserve"> $</w:t>
      </w:r>
      <w:r w:rsidR="007F6649" w:rsidRPr="007F6649">
        <w:rPr>
          <w:rFonts w:ascii="Arial" w:hAnsi="Arial" w:cs="Arial"/>
          <w:sz w:val="24"/>
          <w:szCs w:val="24"/>
        </w:rPr>
        <w:t>339,300</w:t>
      </w:r>
      <w:r w:rsidR="00815E1B">
        <w:rPr>
          <w:rFonts w:ascii="Arial" w:hAnsi="Arial" w:cs="Arial"/>
          <w:sz w:val="24"/>
          <w:szCs w:val="24"/>
        </w:rPr>
        <w:t xml:space="preserve"> </w:t>
      </w:r>
      <w:r w:rsidR="00405979">
        <w:rPr>
          <w:rFonts w:ascii="Arial" w:hAnsi="Arial" w:cs="Arial"/>
          <w:sz w:val="24"/>
          <w:szCs w:val="24"/>
        </w:rPr>
        <w:t>in interval data fees.</w:t>
      </w:r>
      <w:r w:rsidR="00B727CC">
        <w:rPr>
          <w:rStyle w:val="FootnoteReference"/>
          <w:rFonts w:ascii="Arial" w:hAnsi="Arial" w:cs="Arial"/>
          <w:sz w:val="24"/>
          <w:szCs w:val="24"/>
        </w:rPr>
        <w:footnoteReference w:id="11"/>
      </w:r>
      <w:r w:rsidR="00E43E55">
        <w:rPr>
          <w:rFonts w:ascii="Arial" w:hAnsi="Arial" w:cs="Arial"/>
          <w:sz w:val="24"/>
          <w:szCs w:val="24"/>
        </w:rPr>
        <w:t xml:space="preserve">  The historical usage</w:t>
      </w:r>
      <w:r w:rsidR="007F6649">
        <w:rPr>
          <w:rFonts w:ascii="Arial" w:hAnsi="Arial" w:cs="Arial"/>
          <w:sz w:val="24"/>
          <w:szCs w:val="24"/>
        </w:rPr>
        <w:t xml:space="preserve"> fees amounted to over $500,000 in 2016 alone, and approximately $2.7 million since 2012.</w:t>
      </w:r>
      <w:r w:rsidR="007F6649">
        <w:rPr>
          <w:rStyle w:val="FootnoteReference"/>
          <w:rFonts w:ascii="Arial" w:hAnsi="Arial" w:cs="Arial"/>
          <w:sz w:val="24"/>
          <w:szCs w:val="24"/>
        </w:rPr>
        <w:footnoteReference w:id="12"/>
      </w:r>
      <w:r w:rsidR="007F6649">
        <w:rPr>
          <w:rFonts w:ascii="Arial" w:hAnsi="Arial" w:cs="Arial"/>
          <w:sz w:val="24"/>
          <w:szCs w:val="24"/>
        </w:rPr>
        <w:t xml:space="preserve">   </w:t>
      </w:r>
      <w:r w:rsidR="00405979">
        <w:rPr>
          <w:rFonts w:ascii="Arial" w:hAnsi="Arial" w:cs="Arial"/>
          <w:sz w:val="24"/>
          <w:szCs w:val="24"/>
        </w:rPr>
        <w:t xml:space="preserve">  </w:t>
      </w:r>
      <w:r w:rsidR="00A25C42">
        <w:rPr>
          <w:rFonts w:ascii="Arial" w:hAnsi="Arial" w:cs="Arial"/>
          <w:sz w:val="24"/>
          <w:szCs w:val="24"/>
        </w:rPr>
        <w:t>Each of the</w:t>
      </w:r>
      <w:r w:rsidR="00AE71A9">
        <w:rPr>
          <w:rFonts w:ascii="Arial" w:hAnsi="Arial" w:cs="Arial"/>
          <w:sz w:val="24"/>
          <w:szCs w:val="24"/>
        </w:rPr>
        <w:t xml:space="preserve"> fees </w:t>
      </w:r>
      <w:r w:rsidR="00A25C42">
        <w:rPr>
          <w:rFonts w:ascii="Arial" w:hAnsi="Arial" w:cs="Arial"/>
          <w:sz w:val="24"/>
          <w:szCs w:val="24"/>
        </w:rPr>
        <w:t xml:space="preserve">discussed above </w:t>
      </w:r>
      <w:r w:rsidR="00AE71A9">
        <w:rPr>
          <w:rFonts w:ascii="Arial" w:hAnsi="Arial" w:cs="Arial"/>
          <w:sz w:val="24"/>
          <w:szCs w:val="24"/>
        </w:rPr>
        <w:t>are separate and apart from internal costs that CRES providers must incur to make a</w:t>
      </w:r>
      <w:r w:rsidR="00B727CC">
        <w:rPr>
          <w:rFonts w:ascii="Arial" w:hAnsi="Arial" w:cs="Arial"/>
          <w:sz w:val="24"/>
          <w:szCs w:val="24"/>
        </w:rPr>
        <w:t xml:space="preserve"> competitive product available.  </w:t>
      </w:r>
    </w:p>
    <w:p w:rsidR="00A25C42" w:rsidRDefault="00405979" w:rsidP="00A25C42">
      <w:pPr>
        <w:autoSpaceDE w:val="0"/>
        <w:autoSpaceDN w:val="0"/>
        <w:adjustRightInd w:val="0"/>
        <w:spacing w:after="120" w:line="480" w:lineRule="auto"/>
        <w:ind w:firstLine="720"/>
        <w:jc w:val="both"/>
        <w:rPr>
          <w:rFonts w:ascii="Arial" w:hAnsi="Arial" w:cs="Arial"/>
          <w:sz w:val="24"/>
          <w:szCs w:val="24"/>
        </w:rPr>
      </w:pPr>
      <w:r>
        <w:rPr>
          <w:rFonts w:ascii="Arial" w:hAnsi="Arial" w:cs="Arial"/>
          <w:sz w:val="24"/>
          <w:szCs w:val="24"/>
        </w:rPr>
        <w:lastRenderedPageBreak/>
        <w:t>Failure to unbundle and allocate SSO-related</w:t>
      </w:r>
      <w:r w:rsidR="00A25C42">
        <w:rPr>
          <w:rFonts w:ascii="Arial" w:hAnsi="Arial" w:cs="Arial"/>
          <w:sz w:val="24"/>
          <w:szCs w:val="24"/>
        </w:rPr>
        <w:t xml:space="preserve"> costs</w:t>
      </w:r>
      <w:r>
        <w:rPr>
          <w:rFonts w:ascii="Arial" w:hAnsi="Arial" w:cs="Arial"/>
          <w:sz w:val="24"/>
          <w:szCs w:val="24"/>
        </w:rPr>
        <w:t xml:space="preserve"> to that service would violate</w:t>
      </w:r>
      <w:r w:rsidR="00A25C42">
        <w:rPr>
          <w:rFonts w:ascii="Arial" w:hAnsi="Arial" w:cs="Arial"/>
          <w:sz w:val="24"/>
          <w:szCs w:val="24"/>
        </w:rPr>
        <w:t xml:space="preserve"> good ratemaking principles, Ohio law, and State Policy against anticompetitive subsidies and in favor of unbundled and comparable rates. </w:t>
      </w:r>
    </w:p>
    <w:p w:rsidR="00CB0EF6" w:rsidRDefault="00206BB1" w:rsidP="00CB0EF6">
      <w:pPr>
        <w:pStyle w:val="ListParagraph"/>
        <w:numPr>
          <w:ilvl w:val="0"/>
          <w:numId w:val="9"/>
        </w:numPr>
        <w:autoSpaceDE w:val="0"/>
        <w:autoSpaceDN w:val="0"/>
        <w:adjustRightInd w:val="0"/>
        <w:spacing w:after="120" w:line="240" w:lineRule="auto"/>
        <w:jc w:val="both"/>
        <w:rPr>
          <w:rFonts w:ascii="Arial" w:hAnsi="Arial" w:cs="Arial"/>
          <w:b/>
          <w:sz w:val="24"/>
          <w:szCs w:val="24"/>
        </w:rPr>
      </w:pPr>
      <w:r>
        <w:rPr>
          <w:rFonts w:ascii="Arial" w:hAnsi="Arial" w:cs="Arial"/>
          <w:b/>
          <w:sz w:val="24"/>
          <w:szCs w:val="24"/>
        </w:rPr>
        <w:t>DP&amp;L’s historical usage fees are</w:t>
      </w:r>
      <w:r w:rsidR="00CB0EF6" w:rsidRPr="00BD7A3B">
        <w:rPr>
          <w:rFonts w:ascii="Arial" w:hAnsi="Arial" w:cs="Arial"/>
          <w:b/>
          <w:sz w:val="24"/>
          <w:szCs w:val="24"/>
        </w:rPr>
        <w:t xml:space="preserve"> excessive and not supported by the application to increase rates or the Staff Report</w:t>
      </w:r>
    </w:p>
    <w:p w:rsidR="00CB0EF6" w:rsidRPr="00BD7A3B" w:rsidRDefault="00CB0EF6" w:rsidP="00CB0EF6">
      <w:pPr>
        <w:pStyle w:val="ListParagraph"/>
        <w:autoSpaceDE w:val="0"/>
        <w:autoSpaceDN w:val="0"/>
        <w:adjustRightInd w:val="0"/>
        <w:spacing w:after="120" w:line="240" w:lineRule="auto"/>
        <w:ind w:left="1080"/>
        <w:jc w:val="both"/>
        <w:rPr>
          <w:rFonts w:ascii="Arial" w:hAnsi="Arial" w:cs="Arial"/>
          <w:b/>
          <w:sz w:val="24"/>
          <w:szCs w:val="24"/>
        </w:rPr>
      </w:pPr>
    </w:p>
    <w:p w:rsidR="00CB0EF6" w:rsidRPr="00BD7A3B" w:rsidRDefault="00CB0EF6" w:rsidP="00CB0EF6">
      <w:pPr>
        <w:autoSpaceDE w:val="0"/>
        <w:autoSpaceDN w:val="0"/>
        <w:adjustRightInd w:val="0"/>
        <w:spacing w:after="120" w:line="480" w:lineRule="auto"/>
        <w:ind w:firstLine="720"/>
        <w:jc w:val="both"/>
        <w:rPr>
          <w:rFonts w:ascii="Arial" w:hAnsi="Arial" w:cs="Arial"/>
          <w:sz w:val="24"/>
          <w:szCs w:val="24"/>
        </w:rPr>
      </w:pPr>
      <w:r w:rsidRPr="00BD7A3B">
        <w:rPr>
          <w:rFonts w:ascii="Arial" w:hAnsi="Arial" w:cs="Arial"/>
          <w:sz w:val="24"/>
          <w:szCs w:val="24"/>
        </w:rPr>
        <w:t>DP&amp;L's Alternate Generation Supplier Coordination Tariff's Schedule of Fees and</w:t>
      </w:r>
    </w:p>
    <w:p w:rsidR="00CB0EF6" w:rsidRDefault="00CB0EF6" w:rsidP="00CB0EF6">
      <w:pPr>
        <w:autoSpaceDE w:val="0"/>
        <w:autoSpaceDN w:val="0"/>
        <w:adjustRightInd w:val="0"/>
        <w:spacing w:after="120" w:line="480" w:lineRule="auto"/>
        <w:jc w:val="both"/>
        <w:rPr>
          <w:rFonts w:ascii="Arial" w:hAnsi="Arial" w:cs="Arial"/>
          <w:sz w:val="24"/>
          <w:szCs w:val="24"/>
        </w:rPr>
      </w:pPr>
      <w:r w:rsidRPr="00BD7A3B">
        <w:rPr>
          <w:rFonts w:ascii="Arial" w:hAnsi="Arial" w:cs="Arial"/>
          <w:sz w:val="24"/>
          <w:szCs w:val="24"/>
        </w:rPr>
        <w:t>Charges, page 30</w:t>
      </w:r>
      <w:r>
        <w:rPr>
          <w:rFonts w:ascii="Arial" w:hAnsi="Arial" w:cs="Arial"/>
          <w:sz w:val="24"/>
          <w:szCs w:val="24"/>
        </w:rPr>
        <w:t xml:space="preserve"> (the “Supplier Tariff”)</w:t>
      </w:r>
      <w:r w:rsidRPr="00BD7A3B">
        <w:rPr>
          <w:rFonts w:ascii="Arial" w:hAnsi="Arial" w:cs="Arial"/>
          <w:sz w:val="24"/>
          <w:szCs w:val="24"/>
        </w:rPr>
        <w:t xml:space="preserve"> identifies a charge of $150 for 12 months of interval hourly load data, per</w:t>
      </w:r>
      <w:r>
        <w:rPr>
          <w:rFonts w:ascii="Arial" w:hAnsi="Arial" w:cs="Arial"/>
          <w:sz w:val="24"/>
          <w:szCs w:val="24"/>
        </w:rPr>
        <w:t xml:space="preserve"> </w:t>
      </w:r>
      <w:r w:rsidRPr="00BD7A3B">
        <w:rPr>
          <w:rFonts w:ascii="Arial" w:hAnsi="Arial" w:cs="Arial"/>
          <w:sz w:val="24"/>
          <w:szCs w:val="24"/>
        </w:rPr>
        <w:t>account</w:t>
      </w:r>
      <w:r>
        <w:rPr>
          <w:rFonts w:ascii="Arial" w:hAnsi="Arial" w:cs="Arial"/>
          <w:sz w:val="24"/>
          <w:szCs w:val="24"/>
        </w:rPr>
        <w:t xml:space="preserve">.  IGS objects to the Staff Report’s failure to discuss or identify how </w:t>
      </w:r>
      <w:r w:rsidR="00FF39A9">
        <w:rPr>
          <w:rFonts w:ascii="Arial" w:hAnsi="Arial" w:cs="Arial"/>
          <w:sz w:val="24"/>
          <w:szCs w:val="24"/>
        </w:rPr>
        <w:t xml:space="preserve">either of </w:t>
      </w:r>
      <w:r>
        <w:rPr>
          <w:rFonts w:ascii="Arial" w:hAnsi="Arial" w:cs="Arial"/>
          <w:sz w:val="24"/>
          <w:szCs w:val="24"/>
        </w:rPr>
        <w:t xml:space="preserve">these charges were calculated or whether such charges are reasonable.  As discussed above, these charges </w:t>
      </w:r>
      <w:r w:rsidR="00206BB1">
        <w:rPr>
          <w:rFonts w:ascii="Arial" w:hAnsi="Arial" w:cs="Arial"/>
          <w:sz w:val="24"/>
          <w:szCs w:val="24"/>
        </w:rPr>
        <w:t xml:space="preserve">and other supplier fees </w:t>
      </w:r>
      <w:r>
        <w:rPr>
          <w:rFonts w:ascii="Arial" w:hAnsi="Arial" w:cs="Arial"/>
          <w:sz w:val="24"/>
          <w:szCs w:val="24"/>
        </w:rPr>
        <w:t xml:space="preserve">resulted nearly $1 million per year and several million since 2012.   These charges should be reduced or eliminated. </w:t>
      </w:r>
    </w:p>
    <w:p w:rsidR="00CB0EF6" w:rsidRDefault="00CB0EF6" w:rsidP="00CB0EF6">
      <w:pPr>
        <w:pStyle w:val="ListParagraph"/>
        <w:numPr>
          <w:ilvl w:val="0"/>
          <w:numId w:val="9"/>
        </w:numPr>
        <w:autoSpaceDE w:val="0"/>
        <w:autoSpaceDN w:val="0"/>
        <w:adjustRightInd w:val="0"/>
        <w:spacing w:after="120" w:line="240" w:lineRule="auto"/>
        <w:jc w:val="both"/>
        <w:rPr>
          <w:rFonts w:ascii="Arial" w:hAnsi="Arial" w:cs="Arial"/>
          <w:b/>
          <w:sz w:val="24"/>
          <w:szCs w:val="24"/>
        </w:rPr>
      </w:pPr>
      <w:r w:rsidRPr="00921CFB">
        <w:rPr>
          <w:rFonts w:ascii="Arial" w:hAnsi="Arial" w:cs="Arial"/>
          <w:b/>
          <w:sz w:val="24"/>
          <w:szCs w:val="24"/>
        </w:rPr>
        <w:t>DP&amp;L’s c</w:t>
      </w:r>
      <w:r>
        <w:rPr>
          <w:rFonts w:ascii="Arial" w:hAnsi="Arial" w:cs="Arial"/>
          <w:b/>
          <w:sz w:val="24"/>
          <w:szCs w:val="24"/>
        </w:rPr>
        <w:t xml:space="preserve">redit and collateral </w:t>
      </w:r>
      <w:r w:rsidRPr="00921CFB">
        <w:rPr>
          <w:rFonts w:ascii="Arial" w:hAnsi="Arial" w:cs="Arial"/>
          <w:b/>
          <w:sz w:val="24"/>
          <w:szCs w:val="24"/>
        </w:rPr>
        <w:t xml:space="preserve">requirements </w:t>
      </w:r>
      <w:r>
        <w:rPr>
          <w:rFonts w:ascii="Arial" w:hAnsi="Arial" w:cs="Arial"/>
          <w:b/>
          <w:sz w:val="24"/>
          <w:szCs w:val="24"/>
        </w:rPr>
        <w:t>are not transparent or reasonable</w:t>
      </w:r>
    </w:p>
    <w:p w:rsidR="00CB0EF6" w:rsidRDefault="00CB0EF6" w:rsidP="00CB0EF6">
      <w:pPr>
        <w:pStyle w:val="ListParagraph"/>
        <w:autoSpaceDE w:val="0"/>
        <w:autoSpaceDN w:val="0"/>
        <w:adjustRightInd w:val="0"/>
        <w:spacing w:after="120" w:line="240" w:lineRule="auto"/>
        <w:ind w:left="1080"/>
        <w:jc w:val="both"/>
        <w:rPr>
          <w:rFonts w:ascii="Arial" w:hAnsi="Arial" w:cs="Arial"/>
          <w:b/>
          <w:sz w:val="24"/>
          <w:szCs w:val="24"/>
        </w:rPr>
      </w:pPr>
    </w:p>
    <w:p w:rsidR="00CB0EF6" w:rsidRDefault="00CB0EF6" w:rsidP="00CB0EF6">
      <w:pPr>
        <w:autoSpaceDE w:val="0"/>
        <w:autoSpaceDN w:val="0"/>
        <w:adjustRightInd w:val="0"/>
        <w:spacing w:after="120" w:line="480" w:lineRule="auto"/>
        <w:ind w:firstLine="720"/>
        <w:jc w:val="both"/>
        <w:rPr>
          <w:rFonts w:ascii="Arial" w:hAnsi="Arial" w:cs="Arial"/>
          <w:sz w:val="24"/>
          <w:szCs w:val="24"/>
        </w:rPr>
      </w:pPr>
      <w:r w:rsidRPr="0044625A">
        <w:rPr>
          <w:rFonts w:ascii="Arial" w:hAnsi="Arial" w:cs="Arial"/>
          <w:sz w:val="24"/>
          <w:szCs w:val="24"/>
        </w:rPr>
        <w:t>IGS objects to the Staff Report’s failure to propose changes to</w:t>
      </w:r>
      <w:r>
        <w:rPr>
          <w:rFonts w:ascii="Arial" w:hAnsi="Arial" w:cs="Arial"/>
          <w:sz w:val="24"/>
          <w:szCs w:val="24"/>
        </w:rPr>
        <w:t xml:space="preserve"> the credit and collateral requirements contained in</w:t>
      </w:r>
      <w:r w:rsidRPr="0044625A">
        <w:rPr>
          <w:rFonts w:ascii="Arial" w:hAnsi="Arial" w:cs="Arial"/>
          <w:sz w:val="24"/>
          <w:szCs w:val="24"/>
        </w:rPr>
        <w:t xml:space="preserve"> DP&amp;</w:t>
      </w:r>
      <w:r>
        <w:rPr>
          <w:rFonts w:ascii="Arial" w:hAnsi="Arial" w:cs="Arial"/>
          <w:sz w:val="24"/>
          <w:szCs w:val="24"/>
        </w:rPr>
        <w:t>L’s Supplier Tariff.  DP&amp;L’s electric security plan case modified to some extent matters related to the Supplier Tariff.  But the Stipulation and Opinion and Order in that proceeding expressly permitted parties to raise additional matters related to the Supplier Tariff in this proceeding:  “[f]</w:t>
      </w:r>
      <w:r w:rsidRPr="009D27C4">
        <w:rPr>
          <w:rFonts w:ascii="Arial" w:hAnsi="Arial" w:cs="Arial"/>
          <w:sz w:val="24"/>
          <w:szCs w:val="24"/>
        </w:rPr>
        <w:t xml:space="preserve">or avoidance of doubt, resolution of DP&amp;L's current distribution rate case in Case No. 15-1830-EL-AIR may result in allocation of costs to the SSO rate and therefore, IGS and RESA are not prohibited </w:t>
      </w:r>
      <w:r w:rsidRPr="009D27C4">
        <w:rPr>
          <w:rFonts w:ascii="Arial" w:hAnsi="Arial" w:cs="Arial"/>
          <w:sz w:val="24"/>
          <w:szCs w:val="24"/>
        </w:rPr>
        <w:lastRenderedPageBreak/>
        <w:t xml:space="preserve">from advocating for unbundling or changes to SSO rate </w:t>
      </w:r>
      <w:r w:rsidRPr="009D27C4">
        <w:rPr>
          <w:rFonts w:ascii="Arial" w:hAnsi="Arial" w:cs="Arial"/>
          <w:i/>
          <w:sz w:val="24"/>
          <w:szCs w:val="24"/>
        </w:rPr>
        <w:t>or supplier tariffs in that proceeding or any other distribution rate case</w:t>
      </w:r>
      <w:r>
        <w:rPr>
          <w:rFonts w:ascii="Arial" w:hAnsi="Arial" w:cs="Arial"/>
          <w:sz w:val="24"/>
          <w:szCs w:val="24"/>
        </w:rPr>
        <w:t>.”</w:t>
      </w:r>
      <w:r>
        <w:rPr>
          <w:rStyle w:val="FootnoteReference"/>
          <w:rFonts w:ascii="Arial" w:hAnsi="Arial" w:cs="Arial"/>
          <w:sz w:val="24"/>
          <w:szCs w:val="24"/>
        </w:rPr>
        <w:footnoteReference w:id="13"/>
      </w:r>
      <w:r>
        <w:rPr>
          <w:rFonts w:ascii="Arial" w:hAnsi="Arial" w:cs="Arial"/>
          <w:sz w:val="24"/>
          <w:szCs w:val="24"/>
        </w:rPr>
        <w:t xml:space="preserve"> </w:t>
      </w:r>
    </w:p>
    <w:p w:rsidR="00CB0EF6" w:rsidRDefault="00CB0EF6" w:rsidP="00CB0EF6">
      <w:pPr>
        <w:autoSpaceDE w:val="0"/>
        <w:autoSpaceDN w:val="0"/>
        <w:adjustRightInd w:val="0"/>
        <w:spacing w:after="120" w:line="480" w:lineRule="auto"/>
        <w:ind w:firstLine="720"/>
        <w:jc w:val="both"/>
        <w:rPr>
          <w:rFonts w:ascii="Arial" w:hAnsi="Arial" w:cs="Arial"/>
          <w:sz w:val="24"/>
          <w:szCs w:val="24"/>
        </w:rPr>
      </w:pPr>
      <w:r>
        <w:rPr>
          <w:rFonts w:ascii="Arial" w:hAnsi="Arial" w:cs="Arial"/>
          <w:sz w:val="24"/>
          <w:szCs w:val="24"/>
        </w:rPr>
        <w:t xml:space="preserve">Since the authorization of the Stipulation and Recommendation approving DP&amp;L’s electric security plan, DP&amp;L has begun applying these requirements in its Supplier Tariff inconsistent with its historical practice and to the detriment of CRES providers that are not publicly traded.   Under these requirements—if DP&amp;L requires a CRES provider to post collateral, which it often does not if the CRES provider is associated with a publicly traded entity—DP&amp;L </w:t>
      </w:r>
      <w:r w:rsidRPr="00CB0EF6">
        <w:rPr>
          <w:rFonts w:ascii="Arial" w:hAnsi="Arial" w:cs="Arial"/>
          <w:sz w:val="24"/>
          <w:szCs w:val="24"/>
        </w:rPr>
        <w:t xml:space="preserve">multiplies 30 days of the supplier’s estimated summer usage by the highest monthly average megawatt-hour price from the prior summer’s PJM Day Ahead market and multiplies by 30 days of the supplier’s capacity obligation by the final Dayton zonal capacity megawatt-day price for the upcoming delivery year.  </w:t>
      </w:r>
      <w:r>
        <w:rPr>
          <w:rFonts w:ascii="Arial" w:hAnsi="Arial" w:cs="Arial"/>
          <w:sz w:val="24"/>
          <w:szCs w:val="24"/>
        </w:rPr>
        <w:t xml:space="preserve">The Supplier Tariff states that “[t]he </w:t>
      </w:r>
      <w:proofErr w:type="gramStart"/>
      <w:r>
        <w:rPr>
          <w:rFonts w:ascii="Arial" w:hAnsi="Arial" w:cs="Arial"/>
          <w:sz w:val="24"/>
          <w:szCs w:val="24"/>
        </w:rPr>
        <w:t>amount</w:t>
      </w:r>
      <w:proofErr w:type="gramEnd"/>
      <w:r>
        <w:rPr>
          <w:rFonts w:ascii="Arial" w:hAnsi="Arial" w:cs="Arial"/>
          <w:sz w:val="24"/>
          <w:szCs w:val="24"/>
        </w:rPr>
        <w:t xml:space="preserve"> of the security </w:t>
      </w:r>
      <w:r w:rsidRPr="0044625A">
        <w:rPr>
          <w:rFonts w:ascii="Arial" w:hAnsi="Arial" w:cs="Arial"/>
          <w:sz w:val="24"/>
          <w:szCs w:val="24"/>
        </w:rPr>
        <w:t>required must be and remain commensurate with the financial risks placed on the Company by that</w:t>
      </w:r>
      <w:r>
        <w:rPr>
          <w:rFonts w:ascii="Arial" w:hAnsi="Arial" w:cs="Arial"/>
          <w:sz w:val="24"/>
          <w:szCs w:val="24"/>
        </w:rPr>
        <w:t xml:space="preserve"> </w:t>
      </w:r>
      <w:r w:rsidRPr="0044625A">
        <w:rPr>
          <w:rFonts w:ascii="Arial" w:hAnsi="Arial" w:cs="Arial"/>
          <w:sz w:val="24"/>
          <w:szCs w:val="24"/>
        </w:rPr>
        <w:t xml:space="preserve">supplier, </w:t>
      </w:r>
      <w:r w:rsidRPr="0044625A">
        <w:rPr>
          <w:rFonts w:ascii="Arial" w:hAnsi="Arial" w:cs="Arial"/>
          <w:i/>
          <w:sz w:val="24"/>
          <w:szCs w:val="24"/>
        </w:rPr>
        <w:t>including recognition of that supplier’s performance</w:t>
      </w:r>
      <w:r>
        <w:rPr>
          <w:rFonts w:ascii="Arial" w:hAnsi="Arial" w:cs="Arial"/>
          <w:sz w:val="24"/>
          <w:szCs w:val="24"/>
        </w:rPr>
        <w:t>.”</w:t>
      </w:r>
      <w:r>
        <w:rPr>
          <w:rStyle w:val="FootnoteReference"/>
          <w:rFonts w:ascii="Arial" w:hAnsi="Arial" w:cs="Arial"/>
          <w:sz w:val="24"/>
          <w:szCs w:val="24"/>
        </w:rPr>
        <w:footnoteReference w:id="14"/>
      </w:r>
      <w:r>
        <w:rPr>
          <w:rFonts w:ascii="Arial" w:hAnsi="Arial" w:cs="Arial"/>
          <w:sz w:val="24"/>
          <w:szCs w:val="24"/>
        </w:rPr>
        <w:t xml:space="preserve">  But DP&amp;L does not take the latter factor or the general risk profile of a CRES provider into account when establishing collateral levels. Therefore, these requirements have b</w:t>
      </w:r>
      <w:r w:rsidRPr="0044625A">
        <w:rPr>
          <w:rFonts w:ascii="Arial" w:hAnsi="Arial" w:cs="Arial"/>
          <w:sz w:val="24"/>
          <w:szCs w:val="24"/>
        </w:rPr>
        <w:t>een</w:t>
      </w:r>
      <w:r>
        <w:rPr>
          <w:rFonts w:ascii="Arial" w:hAnsi="Arial" w:cs="Arial"/>
          <w:sz w:val="24"/>
          <w:szCs w:val="24"/>
        </w:rPr>
        <w:t xml:space="preserve"> arbitrarily and</w:t>
      </w:r>
      <w:r w:rsidRPr="0044625A">
        <w:rPr>
          <w:rFonts w:ascii="Arial" w:hAnsi="Arial" w:cs="Arial"/>
          <w:sz w:val="24"/>
          <w:szCs w:val="24"/>
        </w:rPr>
        <w:t xml:space="preserve"> inconsistently applied to the detriment of privately held CRES providers.  </w:t>
      </w:r>
    </w:p>
    <w:p w:rsidR="00CB0EF6" w:rsidRDefault="00CB0EF6" w:rsidP="00CB0EF6">
      <w:pPr>
        <w:autoSpaceDE w:val="0"/>
        <w:autoSpaceDN w:val="0"/>
        <w:adjustRightInd w:val="0"/>
        <w:spacing w:after="120" w:line="480" w:lineRule="auto"/>
        <w:ind w:firstLine="720"/>
        <w:jc w:val="both"/>
        <w:rPr>
          <w:rFonts w:ascii="Arial" w:hAnsi="Arial" w:cs="Arial"/>
          <w:sz w:val="24"/>
          <w:szCs w:val="24"/>
        </w:rPr>
      </w:pPr>
      <w:r>
        <w:rPr>
          <w:rFonts w:ascii="Arial" w:hAnsi="Arial" w:cs="Arial"/>
          <w:sz w:val="24"/>
          <w:szCs w:val="24"/>
        </w:rPr>
        <w:t xml:space="preserve"> DP&amp;L’s current collateral requirements are by far the most burdensome in the state of Ohio.  DP&amp;L’s collateral requirements increase the cost of doing business in its </w:t>
      </w:r>
      <w:r>
        <w:rPr>
          <w:rFonts w:ascii="Arial" w:hAnsi="Arial" w:cs="Arial"/>
          <w:sz w:val="24"/>
          <w:szCs w:val="24"/>
        </w:rPr>
        <w:lastRenderedPageBreak/>
        <w:t xml:space="preserve">service territory when less restrictive means could be utilized to safeguard against the risk to DP&amp;L.  </w:t>
      </w:r>
    </w:p>
    <w:p w:rsidR="00CB0EF6" w:rsidRDefault="00CB0EF6" w:rsidP="00CB0EF6">
      <w:pPr>
        <w:autoSpaceDE w:val="0"/>
        <w:autoSpaceDN w:val="0"/>
        <w:adjustRightInd w:val="0"/>
        <w:spacing w:after="120" w:line="480" w:lineRule="auto"/>
        <w:ind w:firstLine="720"/>
        <w:jc w:val="both"/>
        <w:rPr>
          <w:rFonts w:ascii="Arial" w:hAnsi="Arial" w:cs="Arial"/>
          <w:sz w:val="24"/>
          <w:szCs w:val="24"/>
        </w:rPr>
      </w:pPr>
      <w:r>
        <w:rPr>
          <w:rFonts w:ascii="Arial" w:hAnsi="Arial" w:cs="Arial"/>
          <w:sz w:val="24"/>
          <w:szCs w:val="24"/>
        </w:rPr>
        <w:t xml:space="preserve">Further, after establishing collateral levels for individual CRES providers, DP&amp;L is utilizing an unreasonable process by which the CRES must provide collateral.  Specifically, DP&amp;L utilizes a non-public bond form that contains terms DP&amp;L unilaterally modifies from time-to-time as it sees fit.  For example, DP&amp;L modified its most recent bond form to require payment from a source of collateral upon 30 days demand to 5 days demand.  DP&amp;L appears to have subsequently modified the form again to reflect 2 days.  DP&amp;L imposed this requirement without Commission approval or authorization.  </w:t>
      </w:r>
      <w:r>
        <w:rPr>
          <w:rFonts w:ascii="Arial" w:hAnsi="Arial" w:cs="Arial"/>
          <w:sz w:val="24"/>
          <w:szCs w:val="24"/>
        </w:rPr>
        <w:br/>
        <w:t xml:space="preserve">Accordingly, </w:t>
      </w:r>
      <w:r w:rsidRPr="00CB0EF6">
        <w:rPr>
          <w:rFonts w:ascii="Arial" w:hAnsi="Arial" w:cs="Arial"/>
          <w:sz w:val="24"/>
          <w:szCs w:val="24"/>
        </w:rPr>
        <w:t xml:space="preserve">IGS further objects to the Staff Report’s failure to recommend that DP&amp;L specifically obtain Commission approval of its bond form, and that the bond form include the requirement that payment from a collateral source be provided upon 30-days demand.   </w:t>
      </w:r>
    </w:p>
    <w:p w:rsidR="00CB0EF6" w:rsidRPr="00CB0EF6" w:rsidRDefault="00CB0EF6" w:rsidP="00CB0EF6">
      <w:pPr>
        <w:autoSpaceDE w:val="0"/>
        <w:autoSpaceDN w:val="0"/>
        <w:adjustRightInd w:val="0"/>
        <w:spacing w:after="120" w:line="480" w:lineRule="auto"/>
        <w:ind w:firstLine="720"/>
        <w:jc w:val="center"/>
        <w:rPr>
          <w:rFonts w:ascii="Arial" w:hAnsi="Arial" w:cs="Arial"/>
          <w:b/>
          <w:sz w:val="24"/>
          <w:szCs w:val="24"/>
          <w:u w:val="single"/>
        </w:rPr>
      </w:pPr>
      <w:r>
        <w:rPr>
          <w:rFonts w:ascii="Arial" w:hAnsi="Arial" w:cs="Arial"/>
          <w:b/>
          <w:sz w:val="24"/>
          <w:szCs w:val="24"/>
          <w:u w:val="single"/>
        </w:rPr>
        <w:t>RATE DESIGN</w:t>
      </w:r>
    </w:p>
    <w:p w:rsidR="00CC6C7A" w:rsidRDefault="00CC6C7A" w:rsidP="00CB0EF6">
      <w:pPr>
        <w:pStyle w:val="ListParagraph"/>
        <w:numPr>
          <w:ilvl w:val="0"/>
          <w:numId w:val="9"/>
        </w:numPr>
        <w:autoSpaceDE w:val="0"/>
        <w:autoSpaceDN w:val="0"/>
        <w:adjustRightInd w:val="0"/>
        <w:spacing w:after="120" w:line="240" w:lineRule="auto"/>
        <w:jc w:val="both"/>
        <w:rPr>
          <w:rFonts w:ascii="Arial" w:hAnsi="Arial" w:cs="Arial"/>
          <w:b/>
          <w:sz w:val="24"/>
          <w:szCs w:val="24"/>
        </w:rPr>
      </w:pPr>
      <w:r>
        <w:rPr>
          <w:rFonts w:ascii="Arial" w:hAnsi="Arial" w:cs="Arial"/>
          <w:b/>
          <w:sz w:val="24"/>
          <w:szCs w:val="24"/>
        </w:rPr>
        <w:t>The Staff Report proposes unsubstantiated and unreasonable customer charges</w:t>
      </w:r>
      <w:r w:rsidR="00CB0EF6">
        <w:rPr>
          <w:rFonts w:ascii="Arial" w:hAnsi="Arial" w:cs="Arial"/>
          <w:b/>
          <w:sz w:val="24"/>
          <w:szCs w:val="24"/>
        </w:rPr>
        <w:t xml:space="preserve"> and demand charge calculations</w:t>
      </w:r>
      <w:r>
        <w:rPr>
          <w:rFonts w:ascii="Arial" w:hAnsi="Arial" w:cs="Arial"/>
          <w:b/>
          <w:sz w:val="24"/>
          <w:szCs w:val="24"/>
        </w:rPr>
        <w:t xml:space="preserve"> that will discourage distributed energy resource deployment</w:t>
      </w:r>
    </w:p>
    <w:p w:rsidR="00CB0EF6" w:rsidRPr="00CB0EF6" w:rsidRDefault="00CB0EF6" w:rsidP="00CB0EF6">
      <w:pPr>
        <w:pStyle w:val="ListParagraph"/>
        <w:autoSpaceDE w:val="0"/>
        <w:autoSpaceDN w:val="0"/>
        <w:adjustRightInd w:val="0"/>
        <w:spacing w:after="120" w:line="240" w:lineRule="auto"/>
        <w:ind w:left="1080"/>
        <w:jc w:val="both"/>
        <w:rPr>
          <w:rFonts w:ascii="Arial" w:hAnsi="Arial" w:cs="Arial"/>
          <w:b/>
          <w:sz w:val="24"/>
          <w:szCs w:val="24"/>
        </w:rPr>
      </w:pPr>
    </w:p>
    <w:p w:rsidR="008B56A1" w:rsidRPr="008B56A1" w:rsidRDefault="008B56A1" w:rsidP="008B56A1">
      <w:pPr>
        <w:spacing w:after="120" w:line="480" w:lineRule="auto"/>
        <w:ind w:firstLine="720"/>
        <w:jc w:val="both"/>
        <w:rPr>
          <w:rFonts w:ascii="Arial" w:hAnsi="Arial" w:cs="Arial"/>
          <w:sz w:val="24"/>
          <w:szCs w:val="24"/>
        </w:rPr>
      </w:pPr>
      <w:r w:rsidRPr="008B56A1">
        <w:rPr>
          <w:rFonts w:ascii="Arial" w:hAnsi="Arial" w:cs="Arial"/>
          <w:sz w:val="24"/>
          <w:szCs w:val="24"/>
        </w:rPr>
        <w:t>IGS objects to the Staff Report’s</w:t>
      </w:r>
      <w:r>
        <w:rPr>
          <w:rFonts w:ascii="Arial" w:hAnsi="Arial" w:cs="Arial"/>
          <w:sz w:val="24"/>
          <w:szCs w:val="24"/>
        </w:rPr>
        <w:t xml:space="preserve"> acceptance of </w:t>
      </w:r>
      <w:r w:rsidR="00C0462D">
        <w:rPr>
          <w:rFonts w:ascii="Arial" w:hAnsi="Arial" w:cs="Arial"/>
          <w:sz w:val="24"/>
          <w:szCs w:val="24"/>
        </w:rPr>
        <w:t>DP&amp;L’s</w:t>
      </w:r>
      <w:r>
        <w:rPr>
          <w:rFonts w:ascii="Arial" w:hAnsi="Arial" w:cs="Arial"/>
          <w:sz w:val="24"/>
          <w:szCs w:val="24"/>
        </w:rPr>
        <w:t xml:space="preserve"> proposed </w:t>
      </w:r>
      <w:r w:rsidRPr="008B56A1">
        <w:rPr>
          <w:rFonts w:ascii="Arial" w:hAnsi="Arial" w:cs="Arial"/>
          <w:sz w:val="24"/>
          <w:szCs w:val="24"/>
        </w:rPr>
        <w:t>straight fixed variable rate design</w:t>
      </w:r>
      <w:r>
        <w:rPr>
          <w:rFonts w:ascii="Arial" w:hAnsi="Arial" w:cs="Arial"/>
          <w:sz w:val="24"/>
          <w:szCs w:val="24"/>
        </w:rPr>
        <w:t xml:space="preserve"> and</w:t>
      </w:r>
      <w:r w:rsidRPr="008B56A1">
        <w:rPr>
          <w:rFonts w:ascii="Arial" w:hAnsi="Arial" w:cs="Arial"/>
          <w:sz w:val="24"/>
          <w:szCs w:val="24"/>
        </w:rPr>
        <w:t xml:space="preserve"> increase </w:t>
      </w:r>
      <w:r>
        <w:rPr>
          <w:rFonts w:ascii="Arial" w:hAnsi="Arial" w:cs="Arial"/>
          <w:sz w:val="24"/>
          <w:szCs w:val="24"/>
        </w:rPr>
        <w:t>to the residential customer charges as well as the increase to the primary/secondary customer charges.</w:t>
      </w:r>
      <w:r>
        <w:rPr>
          <w:rStyle w:val="FootnoteReference"/>
          <w:rFonts w:ascii="Arial" w:hAnsi="Arial" w:cs="Arial"/>
          <w:sz w:val="24"/>
          <w:szCs w:val="24"/>
        </w:rPr>
        <w:footnoteReference w:id="15"/>
      </w:r>
      <w:r>
        <w:rPr>
          <w:rFonts w:ascii="Arial" w:hAnsi="Arial" w:cs="Arial"/>
          <w:sz w:val="24"/>
          <w:szCs w:val="24"/>
        </w:rPr>
        <w:t xml:space="preserve">  U</w:t>
      </w:r>
      <w:r w:rsidRPr="008B56A1">
        <w:rPr>
          <w:rFonts w:ascii="Arial" w:hAnsi="Arial" w:cs="Arial"/>
          <w:sz w:val="24"/>
          <w:szCs w:val="24"/>
        </w:rPr>
        <w:t>nder Staff’s proposed rate design, DP&amp;L’s fixed residential customer charge will</w:t>
      </w:r>
      <w:r>
        <w:rPr>
          <w:rFonts w:ascii="Arial" w:hAnsi="Arial" w:cs="Arial"/>
          <w:sz w:val="24"/>
          <w:szCs w:val="24"/>
        </w:rPr>
        <w:t xml:space="preserve"> increase from $4.25 to $7.88—</w:t>
      </w:r>
      <w:r w:rsidRPr="008B56A1">
        <w:rPr>
          <w:rFonts w:ascii="Arial" w:hAnsi="Arial" w:cs="Arial"/>
          <w:sz w:val="24"/>
          <w:szCs w:val="24"/>
        </w:rPr>
        <w:t>or eighty-five (85%) percent more than its current rate.</w:t>
      </w:r>
      <w:r>
        <w:rPr>
          <w:rStyle w:val="FootnoteReference"/>
          <w:rFonts w:ascii="Arial" w:hAnsi="Arial" w:cs="Arial"/>
          <w:sz w:val="24"/>
          <w:szCs w:val="24"/>
        </w:rPr>
        <w:footnoteReference w:id="16"/>
      </w:r>
      <w:r w:rsidRPr="008B56A1">
        <w:rPr>
          <w:rFonts w:ascii="Arial" w:hAnsi="Arial" w:cs="Arial"/>
          <w:sz w:val="24"/>
          <w:szCs w:val="24"/>
        </w:rPr>
        <w:t xml:space="preserve">  Staff acknowledges that it utilized </w:t>
      </w:r>
      <w:r w:rsidRPr="008B56A1">
        <w:rPr>
          <w:rFonts w:ascii="Arial" w:hAnsi="Arial" w:cs="Arial"/>
          <w:sz w:val="24"/>
          <w:szCs w:val="24"/>
        </w:rPr>
        <w:lastRenderedPageBreak/>
        <w:t>a minimally compensatory approach when designing the increas</w:t>
      </w:r>
      <w:r>
        <w:rPr>
          <w:rFonts w:ascii="Arial" w:hAnsi="Arial" w:cs="Arial"/>
          <w:sz w:val="24"/>
          <w:szCs w:val="24"/>
        </w:rPr>
        <w:t>ed residential customer charge.</w:t>
      </w:r>
      <w:r>
        <w:rPr>
          <w:rStyle w:val="FootnoteReference"/>
          <w:rFonts w:ascii="Arial" w:hAnsi="Arial" w:cs="Arial"/>
          <w:sz w:val="24"/>
          <w:szCs w:val="24"/>
        </w:rPr>
        <w:footnoteReference w:id="17"/>
      </w:r>
      <w:r>
        <w:rPr>
          <w:rFonts w:ascii="Arial" w:hAnsi="Arial" w:cs="Arial"/>
          <w:sz w:val="24"/>
          <w:szCs w:val="24"/>
        </w:rPr>
        <w:t xml:space="preserve"> T</w:t>
      </w:r>
      <w:r w:rsidRPr="008B56A1">
        <w:rPr>
          <w:rFonts w:ascii="Arial" w:hAnsi="Arial" w:cs="Arial"/>
          <w:sz w:val="24"/>
          <w:szCs w:val="24"/>
        </w:rPr>
        <w:t>he proposed increase to the fixed residential charge will have unintended consequences for th</w:t>
      </w:r>
      <w:r>
        <w:rPr>
          <w:rFonts w:ascii="Arial" w:hAnsi="Arial" w:cs="Arial"/>
          <w:sz w:val="24"/>
          <w:szCs w:val="24"/>
        </w:rPr>
        <w:t>ose residential customers deploying distribution energy resources</w:t>
      </w:r>
      <w:r w:rsidRPr="008B56A1">
        <w:rPr>
          <w:rFonts w:ascii="Arial" w:hAnsi="Arial" w:cs="Arial"/>
          <w:sz w:val="24"/>
          <w:szCs w:val="24"/>
        </w:rPr>
        <w:t xml:space="preserve"> and energy efficient products and services, and ultimately discourage investment.  </w:t>
      </w:r>
    </w:p>
    <w:p w:rsidR="008B56A1" w:rsidRPr="008B56A1" w:rsidRDefault="008B56A1" w:rsidP="008B56A1">
      <w:pPr>
        <w:autoSpaceDE w:val="0"/>
        <w:autoSpaceDN w:val="0"/>
        <w:adjustRightInd w:val="0"/>
        <w:spacing w:after="120" w:line="480" w:lineRule="auto"/>
        <w:ind w:firstLine="720"/>
        <w:jc w:val="both"/>
        <w:rPr>
          <w:rFonts w:ascii="Arial" w:hAnsi="Arial" w:cs="Arial"/>
          <w:sz w:val="24"/>
          <w:szCs w:val="24"/>
        </w:rPr>
      </w:pPr>
      <w:r w:rsidRPr="008B56A1">
        <w:rPr>
          <w:rFonts w:ascii="Arial" w:hAnsi="Arial" w:cs="Arial"/>
          <w:sz w:val="24"/>
          <w:szCs w:val="24"/>
        </w:rPr>
        <w:t xml:space="preserve">Energy efficiency customers would also save eighty-five (85%) percent less for every kilowatt hour </w:t>
      </w:r>
      <w:r w:rsidRPr="008B56A1">
        <w:rPr>
          <w:rFonts w:ascii="Arial" w:hAnsi="Arial" w:cs="Arial"/>
          <w:i/>
          <w:iCs/>
          <w:sz w:val="24"/>
          <w:szCs w:val="24"/>
        </w:rPr>
        <w:t>not</w:t>
      </w:r>
      <w:r w:rsidRPr="008B56A1">
        <w:rPr>
          <w:rFonts w:ascii="Arial" w:hAnsi="Arial" w:cs="Arial"/>
          <w:sz w:val="24"/>
          <w:szCs w:val="24"/>
        </w:rPr>
        <w:t xml:space="preserve"> consumed if Staff’s proposal is implemented.  Ultimately, the reduction in savings will deter residential customers from absorbing the up-front costs ass</w:t>
      </w:r>
      <w:r>
        <w:rPr>
          <w:rFonts w:ascii="Arial" w:hAnsi="Arial" w:cs="Arial"/>
          <w:sz w:val="24"/>
          <w:szCs w:val="24"/>
        </w:rPr>
        <w:t>ociated with deploying distributed energy resources</w:t>
      </w:r>
      <w:r w:rsidRPr="008B56A1">
        <w:rPr>
          <w:rFonts w:ascii="Arial" w:hAnsi="Arial" w:cs="Arial"/>
          <w:sz w:val="24"/>
          <w:szCs w:val="24"/>
        </w:rPr>
        <w:t xml:space="preserve"> and energy efficient produ</w:t>
      </w:r>
      <w:r>
        <w:rPr>
          <w:rFonts w:ascii="Arial" w:hAnsi="Arial" w:cs="Arial"/>
          <w:sz w:val="24"/>
          <w:szCs w:val="24"/>
        </w:rPr>
        <w:t>cts and services.</w:t>
      </w:r>
      <w:r w:rsidRPr="008B56A1">
        <w:rPr>
          <w:rFonts w:ascii="Arial" w:hAnsi="Arial" w:cs="Arial"/>
          <w:sz w:val="24"/>
          <w:szCs w:val="24"/>
        </w:rPr>
        <w:t xml:space="preserve"> </w:t>
      </w:r>
      <w:r>
        <w:rPr>
          <w:rFonts w:ascii="Arial" w:hAnsi="Arial" w:cs="Arial"/>
          <w:sz w:val="24"/>
          <w:szCs w:val="24"/>
        </w:rPr>
        <w:t xml:space="preserve">Thus, the proposed increase to the customer charge works against the state policy to facilitate the adoption and deployment of distributed energy resources.  </w:t>
      </w:r>
    </w:p>
    <w:p w:rsidR="009B14EE" w:rsidRPr="009B14EE" w:rsidRDefault="009B14EE" w:rsidP="009B14EE">
      <w:pPr>
        <w:autoSpaceDE w:val="0"/>
        <w:autoSpaceDN w:val="0"/>
        <w:adjustRightInd w:val="0"/>
        <w:spacing w:after="120" w:line="480" w:lineRule="auto"/>
        <w:ind w:firstLine="720"/>
        <w:jc w:val="both"/>
        <w:rPr>
          <w:rFonts w:ascii="Arial" w:hAnsi="Arial" w:cs="Arial"/>
          <w:sz w:val="24"/>
          <w:szCs w:val="24"/>
        </w:rPr>
      </w:pPr>
      <w:r>
        <w:rPr>
          <w:rFonts w:ascii="Arial" w:hAnsi="Arial" w:cs="Arial"/>
          <w:sz w:val="24"/>
          <w:szCs w:val="24"/>
        </w:rPr>
        <w:t xml:space="preserve">Although the Staff Report alleges that a certain level of distribution costs </w:t>
      </w:r>
      <w:proofErr w:type="gramStart"/>
      <w:r>
        <w:rPr>
          <w:rFonts w:ascii="Arial" w:hAnsi="Arial" w:cs="Arial"/>
          <w:sz w:val="24"/>
          <w:szCs w:val="24"/>
        </w:rPr>
        <w:t>are</w:t>
      </w:r>
      <w:proofErr w:type="gramEnd"/>
      <w:r>
        <w:rPr>
          <w:rFonts w:ascii="Arial" w:hAnsi="Arial" w:cs="Arial"/>
          <w:sz w:val="24"/>
          <w:szCs w:val="24"/>
        </w:rPr>
        <w:t xml:space="preserve"> fixed and should be allocated to a customer charge, the Staff gives no weight to positive impact that distributed energy resources may have on the distributed system—such as</w:t>
      </w:r>
      <w:r w:rsidR="008B56A1">
        <w:rPr>
          <w:rFonts w:ascii="Arial" w:hAnsi="Arial" w:cs="Arial"/>
          <w:sz w:val="24"/>
          <w:szCs w:val="24"/>
        </w:rPr>
        <w:t xml:space="preserve"> reducing line loss or</w:t>
      </w:r>
      <w:r>
        <w:rPr>
          <w:rFonts w:ascii="Arial" w:hAnsi="Arial" w:cs="Arial"/>
          <w:sz w:val="24"/>
          <w:szCs w:val="24"/>
        </w:rPr>
        <w:t xml:space="preserve"> avoiding the need for capital distribution investment by reducing load on a sect</w:t>
      </w:r>
      <w:r w:rsidR="008B56A1">
        <w:rPr>
          <w:rFonts w:ascii="Arial" w:hAnsi="Arial" w:cs="Arial"/>
          <w:sz w:val="24"/>
          <w:szCs w:val="24"/>
        </w:rPr>
        <w:t xml:space="preserve">ion of the distribution grid.  </w:t>
      </w:r>
    </w:p>
    <w:p w:rsidR="00CB0EF6" w:rsidRDefault="009B14EE" w:rsidP="009B14EE">
      <w:pPr>
        <w:autoSpaceDE w:val="0"/>
        <w:autoSpaceDN w:val="0"/>
        <w:adjustRightInd w:val="0"/>
        <w:spacing w:after="120" w:line="480" w:lineRule="auto"/>
        <w:ind w:firstLine="720"/>
        <w:jc w:val="both"/>
        <w:rPr>
          <w:rFonts w:ascii="Arial" w:hAnsi="Arial" w:cs="Arial"/>
          <w:sz w:val="24"/>
          <w:szCs w:val="24"/>
        </w:rPr>
      </w:pPr>
      <w:r>
        <w:rPr>
          <w:rFonts w:ascii="Arial" w:hAnsi="Arial" w:cs="Arial"/>
          <w:sz w:val="24"/>
          <w:szCs w:val="24"/>
        </w:rPr>
        <w:t>IGS objects to Staff Report’s acceptance of DP&amp;L’s proposed methodology for determining customer demand based upon the non-coincident peak of an indiv</w:t>
      </w:r>
      <w:r w:rsidR="008B56A1">
        <w:rPr>
          <w:rFonts w:ascii="Arial" w:hAnsi="Arial" w:cs="Arial"/>
          <w:sz w:val="24"/>
          <w:szCs w:val="24"/>
        </w:rPr>
        <w:t>id</w:t>
      </w:r>
      <w:r>
        <w:rPr>
          <w:rFonts w:ascii="Arial" w:hAnsi="Arial" w:cs="Arial"/>
          <w:sz w:val="24"/>
          <w:szCs w:val="24"/>
        </w:rPr>
        <w:t>ual customer.</w:t>
      </w:r>
      <w:r w:rsidR="00514822">
        <w:rPr>
          <w:rStyle w:val="FootnoteReference"/>
          <w:rFonts w:ascii="Arial" w:hAnsi="Arial" w:cs="Arial"/>
          <w:sz w:val="24"/>
          <w:szCs w:val="24"/>
        </w:rPr>
        <w:footnoteReference w:id="18"/>
      </w:r>
      <w:r>
        <w:rPr>
          <w:rFonts w:ascii="Arial" w:hAnsi="Arial" w:cs="Arial"/>
          <w:sz w:val="24"/>
          <w:szCs w:val="24"/>
        </w:rPr>
        <w:t xml:space="preserve"> </w:t>
      </w:r>
      <w:r w:rsidR="00CC6C7A">
        <w:rPr>
          <w:rFonts w:ascii="Arial" w:hAnsi="Arial" w:cs="Arial"/>
          <w:sz w:val="24"/>
          <w:szCs w:val="24"/>
        </w:rPr>
        <w:t>The Staff Report states “[t]</w:t>
      </w:r>
      <w:r w:rsidR="00CC6C7A" w:rsidRPr="00CC6C7A">
        <w:rPr>
          <w:rFonts w:ascii="Arial" w:hAnsi="Arial" w:cs="Arial"/>
          <w:sz w:val="24"/>
          <w:szCs w:val="24"/>
        </w:rPr>
        <w:t>he size of a distribution system does not depend on the</w:t>
      </w:r>
      <w:r>
        <w:rPr>
          <w:rFonts w:ascii="Arial" w:hAnsi="Arial" w:cs="Arial"/>
          <w:sz w:val="24"/>
          <w:szCs w:val="24"/>
        </w:rPr>
        <w:t xml:space="preserve"> </w:t>
      </w:r>
      <w:r w:rsidR="00CC6C7A" w:rsidRPr="00CC6C7A">
        <w:rPr>
          <w:rFonts w:ascii="Arial" w:hAnsi="Arial" w:cs="Arial"/>
          <w:sz w:val="24"/>
          <w:szCs w:val="24"/>
        </w:rPr>
        <w:t>highest coincident-peak demand on a utility’s system, but rather its siz</w:t>
      </w:r>
      <w:r w:rsidR="00CC6C7A">
        <w:rPr>
          <w:rFonts w:ascii="Arial" w:hAnsi="Arial" w:cs="Arial"/>
          <w:sz w:val="24"/>
          <w:szCs w:val="24"/>
        </w:rPr>
        <w:t xml:space="preserve">e depends on the non-coincident </w:t>
      </w:r>
      <w:r w:rsidR="00CC6C7A" w:rsidRPr="00CC6C7A">
        <w:rPr>
          <w:rFonts w:ascii="Arial" w:hAnsi="Arial" w:cs="Arial"/>
          <w:sz w:val="24"/>
          <w:szCs w:val="24"/>
        </w:rPr>
        <w:t>peak of the customers it serves.</w:t>
      </w:r>
      <w:r w:rsidR="00CC6C7A">
        <w:rPr>
          <w:rFonts w:ascii="Arial" w:hAnsi="Arial" w:cs="Arial"/>
          <w:sz w:val="24"/>
          <w:szCs w:val="24"/>
        </w:rPr>
        <w:t>”</w:t>
      </w:r>
      <w:r w:rsidR="00CB0EF6">
        <w:rPr>
          <w:rStyle w:val="FootnoteReference"/>
          <w:rFonts w:ascii="Arial" w:hAnsi="Arial" w:cs="Arial"/>
          <w:sz w:val="24"/>
          <w:szCs w:val="24"/>
        </w:rPr>
        <w:footnoteReference w:id="19"/>
      </w:r>
      <w:r w:rsidR="00CC6C7A">
        <w:rPr>
          <w:rFonts w:ascii="Arial" w:hAnsi="Arial" w:cs="Arial"/>
          <w:sz w:val="24"/>
          <w:szCs w:val="24"/>
        </w:rPr>
        <w:t xml:space="preserve"> This conclusion is </w:t>
      </w:r>
      <w:r w:rsidR="00CC6C7A">
        <w:rPr>
          <w:rFonts w:ascii="Arial" w:hAnsi="Arial" w:cs="Arial"/>
          <w:sz w:val="24"/>
          <w:szCs w:val="24"/>
        </w:rPr>
        <w:lastRenderedPageBreak/>
        <w:t>unsubstantiated</w:t>
      </w:r>
      <w:r w:rsidR="003D63A8">
        <w:rPr>
          <w:rFonts w:ascii="Arial" w:hAnsi="Arial" w:cs="Arial"/>
          <w:sz w:val="24"/>
          <w:szCs w:val="24"/>
        </w:rPr>
        <w:t xml:space="preserve"> and contradictory to principles of cost causation</w:t>
      </w:r>
      <w:r w:rsidR="00CC6C7A">
        <w:rPr>
          <w:rFonts w:ascii="Arial" w:hAnsi="Arial" w:cs="Arial"/>
          <w:sz w:val="24"/>
          <w:szCs w:val="24"/>
        </w:rPr>
        <w:t>.  While the</w:t>
      </w:r>
      <w:r w:rsidR="003D63A8">
        <w:rPr>
          <w:rFonts w:ascii="Arial" w:hAnsi="Arial" w:cs="Arial"/>
          <w:sz w:val="24"/>
          <w:szCs w:val="24"/>
        </w:rPr>
        <w:t xml:space="preserve"> system-wide coincident peak </w:t>
      </w:r>
      <w:r w:rsidR="00CC6C7A">
        <w:rPr>
          <w:rFonts w:ascii="Arial" w:hAnsi="Arial" w:cs="Arial"/>
          <w:sz w:val="24"/>
          <w:szCs w:val="24"/>
        </w:rPr>
        <w:t>may</w:t>
      </w:r>
      <w:r>
        <w:rPr>
          <w:rFonts w:ascii="Arial" w:hAnsi="Arial" w:cs="Arial"/>
          <w:sz w:val="24"/>
          <w:szCs w:val="24"/>
        </w:rPr>
        <w:t xml:space="preserve"> not</w:t>
      </w:r>
      <w:r w:rsidR="00CC6C7A">
        <w:rPr>
          <w:rFonts w:ascii="Arial" w:hAnsi="Arial" w:cs="Arial"/>
          <w:sz w:val="24"/>
          <w:szCs w:val="24"/>
        </w:rPr>
        <w:t xml:space="preserve"> dictate the size of the distribution system, nor does an individual cu</w:t>
      </w:r>
      <w:r>
        <w:rPr>
          <w:rFonts w:ascii="Arial" w:hAnsi="Arial" w:cs="Arial"/>
          <w:sz w:val="24"/>
          <w:szCs w:val="24"/>
        </w:rPr>
        <w:t>stomer’s non-coincident peak if that peak does not coincide with the localized peak on a distribution circuit</w:t>
      </w:r>
      <w:r w:rsidR="003D63A8">
        <w:rPr>
          <w:rFonts w:ascii="Arial" w:hAnsi="Arial" w:cs="Arial"/>
          <w:sz w:val="24"/>
          <w:szCs w:val="24"/>
        </w:rPr>
        <w:t xml:space="preserve"> or distribution feeder</w:t>
      </w:r>
      <w:r w:rsidR="008B56A1">
        <w:rPr>
          <w:rFonts w:ascii="Arial" w:hAnsi="Arial" w:cs="Arial"/>
          <w:sz w:val="24"/>
          <w:szCs w:val="24"/>
        </w:rPr>
        <w:t>.  A</w:t>
      </w:r>
      <w:r w:rsidR="003D63A8">
        <w:rPr>
          <w:rFonts w:ascii="Arial" w:hAnsi="Arial" w:cs="Arial"/>
          <w:sz w:val="24"/>
          <w:szCs w:val="24"/>
        </w:rPr>
        <w:t xml:space="preserve"> more localized m</w:t>
      </w:r>
      <w:r w:rsidR="008B56A1">
        <w:rPr>
          <w:rFonts w:ascii="Arial" w:hAnsi="Arial" w:cs="Arial"/>
          <w:sz w:val="24"/>
          <w:szCs w:val="24"/>
        </w:rPr>
        <w:t>easurement of customer usage at times when the local distribution system is operating near capacity or at a localized peak on the distribution circuit is a better reflection of the customer’s contribution to the cost of the distribution system.</w:t>
      </w:r>
      <w:r w:rsidR="00CB0EF6">
        <w:rPr>
          <w:rFonts w:ascii="Arial" w:hAnsi="Arial" w:cs="Arial"/>
          <w:sz w:val="24"/>
          <w:szCs w:val="24"/>
        </w:rPr>
        <w:t xml:space="preserve">  The </w:t>
      </w:r>
      <w:proofErr w:type="gramStart"/>
      <w:r w:rsidR="00CB0EF6">
        <w:rPr>
          <w:rFonts w:ascii="Arial" w:hAnsi="Arial" w:cs="Arial"/>
          <w:sz w:val="24"/>
          <w:szCs w:val="24"/>
        </w:rPr>
        <w:t>manner in which</w:t>
      </w:r>
      <w:proofErr w:type="gramEnd"/>
      <w:r w:rsidR="00CB0EF6">
        <w:rPr>
          <w:rFonts w:ascii="Arial" w:hAnsi="Arial" w:cs="Arial"/>
          <w:sz w:val="24"/>
          <w:szCs w:val="24"/>
        </w:rPr>
        <w:t xml:space="preserve"> the Staff Report proposes to calculate demand charges may discourage customers from deploying distributed energy resources that shift customer peak demand away from hours when the localized distribution system is under stress.</w:t>
      </w:r>
      <w:r w:rsidR="008B56A1">
        <w:rPr>
          <w:rFonts w:ascii="Arial" w:hAnsi="Arial" w:cs="Arial"/>
          <w:sz w:val="24"/>
          <w:szCs w:val="24"/>
        </w:rPr>
        <w:t xml:space="preserve"> </w:t>
      </w:r>
    </w:p>
    <w:p w:rsidR="009B14EE" w:rsidRPr="009B14EE" w:rsidRDefault="003D63A8" w:rsidP="009B14EE">
      <w:pPr>
        <w:autoSpaceDE w:val="0"/>
        <w:autoSpaceDN w:val="0"/>
        <w:adjustRightInd w:val="0"/>
        <w:spacing w:after="120" w:line="480" w:lineRule="auto"/>
        <w:ind w:firstLine="720"/>
        <w:jc w:val="both"/>
        <w:rPr>
          <w:rFonts w:ascii="Arial" w:hAnsi="Arial" w:cs="Arial"/>
          <w:sz w:val="24"/>
          <w:szCs w:val="24"/>
        </w:rPr>
      </w:pPr>
      <w:r>
        <w:rPr>
          <w:rFonts w:ascii="Arial" w:hAnsi="Arial" w:cs="Arial"/>
          <w:sz w:val="24"/>
          <w:szCs w:val="24"/>
        </w:rPr>
        <w:t xml:space="preserve">To that end, DP&amp;L </w:t>
      </w:r>
      <w:r w:rsidR="009B14EE">
        <w:rPr>
          <w:rFonts w:ascii="Arial" w:hAnsi="Arial" w:cs="Arial"/>
          <w:sz w:val="24"/>
          <w:szCs w:val="24"/>
        </w:rPr>
        <w:t>should calculate a customer’s demand based upon their usage at the time of the peak on that customer’s localized distribution circuit</w:t>
      </w:r>
      <w:r>
        <w:rPr>
          <w:rFonts w:ascii="Arial" w:hAnsi="Arial" w:cs="Arial"/>
          <w:sz w:val="24"/>
          <w:szCs w:val="24"/>
        </w:rPr>
        <w:t xml:space="preserve"> or feeder</w:t>
      </w:r>
      <w:r w:rsidR="009B14EE">
        <w:rPr>
          <w:rFonts w:ascii="Arial" w:hAnsi="Arial" w:cs="Arial"/>
          <w:sz w:val="24"/>
          <w:szCs w:val="24"/>
        </w:rPr>
        <w:t>.  This will ensure that distribution rates are more closely aligned with principles of cost causation.</w:t>
      </w:r>
    </w:p>
    <w:p w:rsidR="00A75711" w:rsidRPr="00921CFB" w:rsidRDefault="0030156F" w:rsidP="00921CFB">
      <w:pPr>
        <w:pStyle w:val="ListParagraph"/>
        <w:numPr>
          <w:ilvl w:val="0"/>
          <w:numId w:val="8"/>
        </w:numPr>
        <w:autoSpaceDE w:val="0"/>
        <w:autoSpaceDN w:val="0"/>
        <w:adjustRightInd w:val="0"/>
        <w:spacing w:after="120" w:line="480" w:lineRule="auto"/>
        <w:ind w:hanging="900"/>
        <w:jc w:val="both"/>
        <w:rPr>
          <w:rFonts w:ascii="Arial" w:hAnsi="Arial" w:cs="Arial"/>
          <w:b/>
          <w:sz w:val="24"/>
          <w:szCs w:val="24"/>
        </w:rPr>
      </w:pPr>
      <w:r w:rsidRPr="00921CFB">
        <w:rPr>
          <w:rFonts w:ascii="Arial" w:hAnsi="Arial" w:cs="Arial"/>
          <w:b/>
          <w:sz w:val="24"/>
          <w:szCs w:val="24"/>
        </w:rPr>
        <w:t>S</w:t>
      </w:r>
      <w:r w:rsidR="00921CFB" w:rsidRPr="00921CFB">
        <w:rPr>
          <w:rFonts w:ascii="Arial" w:hAnsi="Arial" w:cs="Arial"/>
          <w:b/>
          <w:sz w:val="24"/>
          <w:szCs w:val="24"/>
        </w:rPr>
        <w:t>ummary of Major Issues</w:t>
      </w:r>
    </w:p>
    <w:p w:rsidR="00A75711" w:rsidRDefault="00A75711" w:rsidP="00A75711">
      <w:pPr>
        <w:autoSpaceDE w:val="0"/>
        <w:autoSpaceDN w:val="0"/>
        <w:adjustRightInd w:val="0"/>
        <w:spacing w:after="120" w:line="480" w:lineRule="auto"/>
        <w:ind w:left="720"/>
        <w:jc w:val="both"/>
        <w:rPr>
          <w:rFonts w:ascii="Arial" w:hAnsi="Arial" w:cs="Arial"/>
          <w:sz w:val="24"/>
          <w:szCs w:val="24"/>
        </w:rPr>
      </w:pPr>
      <w:r>
        <w:rPr>
          <w:rFonts w:ascii="Arial" w:hAnsi="Arial" w:cs="Arial"/>
          <w:sz w:val="24"/>
          <w:szCs w:val="24"/>
        </w:rPr>
        <w:t>In summary, the major issues in this case will be:</w:t>
      </w:r>
    </w:p>
    <w:p w:rsidR="00A75711" w:rsidRDefault="00A75711" w:rsidP="00A75711">
      <w:pPr>
        <w:pStyle w:val="ListParagraph"/>
        <w:numPr>
          <w:ilvl w:val="0"/>
          <w:numId w:val="15"/>
        </w:numPr>
        <w:autoSpaceDE w:val="0"/>
        <w:autoSpaceDN w:val="0"/>
        <w:adjustRightInd w:val="0"/>
        <w:spacing w:after="120" w:line="480" w:lineRule="auto"/>
        <w:jc w:val="both"/>
        <w:rPr>
          <w:rFonts w:ascii="Arial" w:hAnsi="Arial" w:cs="Arial"/>
          <w:sz w:val="24"/>
          <w:szCs w:val="24"/>
        </w:rPr>
      </w:pPr>
      <w:r>
        <w:rPr>
          <w:rFonts w:ascii="Arial" w:hAnsi="Arial" w:cs="Arial"/>
          <w:sz w:val="24"/>
          <w:szCs w:val="24"/>
        </w:rPr>
        <w:t xml:space="preserve">The appropriate amount </w:t>
      </w:r>
      <w:r w:rsidR="00F96AFB">
        <w:rPr>
          <w:rFonts w:ascii="Arial" w:hAnsi="Arial" w:cs="Arial"/>
          <w:sz w:val="24"/>
          <w:szCs w:val="24"/>
        </w:rPr>
        <w:t xml:space="preserve">of </w:t>
      </w:r>
      <w:r>
        <w:rPr>
          <w:rFonts w:ascii="Arial" w:hAnsi="Arial" w:cs="Arial"/>
          <w:sz w:val="24"/>
          <w:szCs w:val="24"/>
        </w:rPr>
        <w:t>costs to unbundle from distribution rates and allocate to default service</w:t>
      </w:r>
      <w:r w:rsidR="00F96AFB">
        <w:rPr>
          <w:rFonts w:ascii="Arial" w:hAnsi="Arial" w:cs="Arial"/>
          <w:sz w:val="24"/>
          <w:szCs w:val="24"/>
        </w:rPr>
        <w:t>, as well as the appropriate credit to shopping customers</w:t>
      </w:r>
      <w:r>
        <w:rPr>
          <w:rFonts w:ascii="Arial" w:hAnsi="Arial" w:cs="Arial"/>
          <w:sz w:val="24"/>
          <w:szCs w:val="24"/>
        </w:rPr>
        <w:t>;</w:t>
      </w:r>
    </w:p>
    <w:p w:rsidR="0005328E" w:rsidRDefault="00931494" w:rsidP="0005328E">
      <w:pPr>
        <w:pStyle w:val="ListParagraph"/>
        <w:numPr>
          <w:ilvl w:val="0"/>
          <w:numId w:val="15"/>
        </w:numPr>
        <w:autoSpaceDE w:val="0"/>
        <w:autoSpaceDN w:val="0"/>
        <w:adjustRightInd w:val="0"/>
        <w:spacing w:after="120" w:line="480" w:lineRule="auto"/>
        <w:jc w:val="both"/>
        <w:rPr>
          <w:rFonts w:ascii="Arial" w:hAnsi="Arial" w:cs="Arial"/>
          <w:sz w:val="24"/>
          <w:szCs w:val="24"/>
        </w:rPr>
      </w:pPr>
      <w:r>
        <w:rPr>
          <w:rFonts w:ascii="Arial" w:hAnsi="Arial" w:cs="Arial"/>
          <w:sz w:val="24"/>
          <w:szCs w:val="24"/>
        </w:rPr>
        <w:t>The calculation of</w:t>
      </w:r>
      <w:r w:rsidR="0044625A">
        <w:rPr>
          <w:rFonts w:ascii="Arial" w:hAnsi="Arial" w:cs="Arial"/>
          <w:sz w:val="24"/>
          <w:szCs w:val="24"/>
        </w:rPr>
        <w:t xml:space="preserve"> historical usage fees</w:t>
      </w:r>
      <w:r>
        <w:rPr>
          <w:rFonts w:ascii="Arial" w:hAnsi="Arial" w:cs="Arial"/>
          <w:sz w:val="24"/>
          <w:szCs w:val="24"/>
        </w:rPr>
        <w:t xml:space="preserve"> and supplier fees</w:t>
      </w:r>
      <w:r w:rsidR="0044625A">
        <w:rPr>
          <w:rFonts w:ascii="Arial" w:hAnsi="Arial" w:cs="Arial"/>
          <w:sz w:val="24"/>
          <w:szCs w:val="24"/>
        </w:rPr>
        <w:t>;</w:t>
      </w:r>
    </w:p>
    <w:p w:rsidR="00983BD2" w:rsidRDefault="00CB0EF6" w:rsidP="0005328E">
      <w:pPr>
        <w:pStyle w:val="ListParagraph"/>
        <w:numPr>
          <w:ilvl w:val="0"/>
          <w:numId w:val="15"/>
        </w:numPr>
        <w:autoSpaceDE w:val="0"/>
        <w:autoSpaceDN w:val="0"/>
        <w:adjustRightInd w:val="0"/>
        <w:spacing w:after="120" w:line="480" w:lineRule="auto"/>
        <w:jc w:val="both"/>
        <w:rPr>
          <w:rFonts w:ascii="Arial" w:hAnsi="Arial" w:cs="Arial"/>
          <w:sz w:val="24"/>
          <w:szCs w:val="24"/>
        </w:rPr>
      </w:pPr>
      <w:r>
        <w:rPr>
          <w:rFonts w:ascii="Arial" w:hAnsi="Arial" w:cs="Arial"/>
          <w:sz w:val="24"/>
          <w:szCs w:val="24"/>
        </w:rPr>
        <w:t xml:space="preserve">The </w:t>
      </w:r>
      <w:r w:rsidR="0005328E">
        <w:rPr>
          <w:rFonts w:ascii="Arial" w:hAnsi="Arial" w:cs="Arial"/>
          <w:sz w:val="24"/>
          <w:szCs w:val="24"/>
        </w:rPr>
        <w:t xml:space="preserve">calculation </w:t>
      </w:r>
      <w:r>
        <w:rPr>
          <w:rFonts w:ascii="Arial" w:hAnsi="Arial" w:cs="Arial"/>
          <w:sz w:val="24"/>
          <w:szCs w:val="24"/>
        </w:rPr>
        <w:t>and application of DP&amp;L’s credit and</w:t>
      </w:r>
      <w:r w:rsidR="0005328E">
        <w:rPr>
          <w:rFonts w:ascii="Arial" w:hAnsi="Arial" w:cs="Arial"/>
          <w:sz w:val="24"/>
          <w:szCs w:val="24"/>
        </w:rPr>
        <w:t xml:space="preserve"> collateral requirements</w:t>
      </w:r>
      <w:r w:rsidR="0044625A">
        <w:rPr>
          <w:rFonts w:ascii="Arial" w:hAnsi="Arial" w:cs="Arial"/>
          <w:sz w:val="24"/>
          <w:szCs w:val="24"/>
        </w:rPr>
        <w:t>.</w:t>
      </w:r>
    </w:p>
    <w:p w:rsidR="00CB0EF6" w:rsidRDefault="00CB0EF6" w:rsidP="0005328E">
      <w:pPr>
        <w:pStyle w:val="ListParagraph"/>
        <w:numPr>
          <w:ilvl w:val="0"/>
          <w:numId w:val="15"/>
        </w:numPr>
        <w:autoSpaceDE w:val="0"/>
        <w:autoSpaceDN w:val="0"/>
        <w:adjustRightInd w:val="0"/>
        <w:spacing w:after="120" w:line="480" w:lineRule="auto"/>
        <w:jc w:val="both"/>
        <w:rPr>
          <w:rFonts w:ascii="Arial" w:hAnsi="Arial" w:cs="Arial"/>
          <w:sz w:val="24"/>
          <w:szCs w:val="24"/>
        </w:rPr>
      </w:pPr>
      <w:r>
        <w:rPr>
          <w:rFonts w:ascii="Arial" w:hAnsi="Arial" w:cs="Arial"/>
          <w:sz w:val="24"/>
          <w:szCs w:val="24"/>
        </w:rPr>
        <w:t>The calculation and level of customer chargers and demand charges.</w:t>
      </w:r>
    </w:p>
    <w:p w:rsidR="00545F29" w:rsidRDefault="0056270F">
      <w:pPr>
        <w:spacing w:after="0" w:line="240" w:lineRule="auto"/>
        <w:ind w:left="5040"/>
        <w:rPr>
          <w:rFonts w:ascii="Arial" w:eastAsia="Calibri" w:hAnsi="Arial" w:cs="Arial"/>
          <w:sz w:val="24"/>
          <w:szCs w:val="24"/>
        </w:rPr>
      </w:pPr>
      <w:r>
        <w:rPr>
          <w:rFonts w:ascii="Arial" w:eastAsia="Calibri" w:hAnsi="Arial" w:cs="Arial"/>
          <w:sz w:val="24"/>
          <w:szCs w:val="24"/>
        </w:rPr>
        <w:t>Respectfully submitted,</w:t>
      </w:r>
    </w:p>
    <w:p w:rsidR="00545F29" w:rsidRDefault="00545F29" w:rsidP="00D13280">
      <w:pPr>
        <w:spacing w:after="0" w:line="240" w:lineRule="auto"/>
        <w:rPr>
          <w:rFonts w:ascii="Arial" w:eastAsia="Calibri" w:hAnsi="Arial" w:cs="Arial"/>
          <w:sz w:val="24"/>
          <w:szCs w:val="24"/>
        </w:rPr>
      </w:pPr>
    </w:p>
    <w:p w:rsidR="00545F29" w:rsidRDefault="00545F29">
      <w:pPr>
        <w:spacing w:after="0" w:line="240" w:lineRule="auto"/>
        <w:ind w:left="5040"/>
        <w:rPr>
          <w:rFonts w:ascii="Arial" w:eastAsia="Calibri" w:hAnsi="Arial" w:cs="Arial"/>
          <w:sz w:val="24"/>
          <w:szCs w:val="24"/>
          <w:u w:val="single"/>
        </w:rPr>
      </w:pPr>
    </w:p>
    <w:p w:rsidR="009B3BB3" w:rsidRPr="00D65A08" w:rsidRDefault="009B3BB3" w:rsidP="009B3BB3">
      <w:pPr>
        <w:spacing w:after="0" w:line="240" w:lineRule="auto"/>
        <w:ind w:left="5040"/>
        <w:rPr>
          <w:rFonts w:ascii="Arial" w:eastAsia="Calibri" w:hAnsi="Arial" w:cs="Arial"/>
          <w:sz w:val="24"/>
          <w:szCs w:val="24"/>
          <w:u w:val="single"/>
        </w:rPr>
      </w:pPr>
      <w:r w:rsidRPr="00D51198">
        <w:rPr>
          <w:rFonts w:ascii="Arial" w:eastAsia="Arial" w:hAnsi="Arial" w:cs="Arial"/>
          <w:i/>
          <w:sz w:val="24"/>
          <w:szCs w:val="24"/>
          <w:u w:val="single"/>
        </w:rPr>
        <w:t xml:space="preserve">/s/ </w:t>
      </w:r>
      <w:r>
        <w:rPr>
          <w:rFonts w:ascii="Arial" w:eastAsia="Arial" w:hAnsi="Arial" w:cs="Arial"/>
          <w:i/>
          <w:sz w:val="24"/>
          <w:szCs w:val="24"/>
          <w:u w:val="single"/>
        </w:rPr>
        <w:t>Joseph Oliker_________</w:t>
      </w:r>
    </w:p>
    <w:p w:rsidR="009B3BB3" w:rsidRPr="00526ADC" w:rsidRDefault="009B3BB3" w:rsidP="009B3BB3">
      <w:pPr>
        <w:spacing w:after="0" w:line="240" w:lineRule="auto"/>
        <w:ind w:left="5040"/>
        <w:rPr>
          <w:rFonts w:ascii="Arial" w:hAnsi="Arial" w:cs="Arial"/>
          <w:sz w:val="24"/>
          <w:szCs w:val="24"/>
        </w:rPr>
      </w:pPr>
      <w:r w:rsidRPr="00526ADC">
        <w:rPr>
          <w:rFonts w:ascii="Arial" w:hAnsi="Arial" w:cs="Arial"/>
          <w:sz w:val="24"/>
          <w:szCs w:val="24"/>
        </w:rPr>
        <w:lastRenderedPageBreak/>
        <w:t>Joseph Oliker (0086088)</w:t>
      </w:r>
    </w:p>
    <w:p w:rsidR="009B3BB3" w:rsidRPr="00526ADC" w:rsidRDefault="009B3BB3" w:rsidP="009B3BB3">
      <w:pPr>
        <w:spacing w:after="0" w:line="240" w:lineRule="auto"/>
        <w:ind w:left="5040"/>
        <w:rPr>
          <w:rFonts w:ascii="Arial" w:hAnsi="Arial" w:cs="Arial"/>
          <w:sz w:val="24"/>
          <w:szCs w:val="24"/>
        </w:rPr>
      </w:pPr>
      <w:r w:rsidRPr="00526ADC">
        <w:rPr>
          <w:rFonts w:ascii="Arial" w:hAnsi="Arial" w:cs="Arial"/>
          <w:sz w:val="24"/>
          <w:szCs w:val="24"/>
        </w:rPr>
        <w:t xml:space="preserve">Email: </w:t>
      </w:r>
      <w:hyperlink r:id="rId9" w:history="1">
        <w:r w:rsidRPr="00526ADC">
          <w:rPr>
            <w:rStyle w:val="Hyperlink"/>
            <w:rFonts w:ascii="Arial" w:hAnsi="Arial" w:cs="Arial"/>
            <w:color w:val="auto"/>
            <w:sz w:val="24"/>
            <w:szCs w:val="24"/>
            <w:u w:val="none"/>
          </w:rPr>
          <w:t>joliker@igsenergy.com</w:t>
        </w:r>
      </w:hyperlink>
    </w:p>
    <w:p w:rsidR="009B3BB3" w:rsidRPr="00526ADC" w:rsidRDefault="009B3BB3" w:rsidP="009B3BB3">
      <w:pPr>
        <w:spacing w:after="0" w:line="240" w:lineRule="auto"/>
        <w:ind w:left="5040"/>
        <w:rPr>
          <w:rFonts w:ascii="Arial" w:hAnsi="Arial" w:cs="Arial"/>
          <w:sz w:val="24"/>
          <w:szCs w:val="24"/>
        </w:rPr>
      </w:pPr>
      <w:r w:rsidRPr="00526ADC">
        <w:rPr>
          <w:rFonts w:ascii="Arial" w:hAnsi="Arial" w:cs="Arial"/>
          <w:sz w:val="24"/>
          <w:szCs w:val="24"/>
        </w:rPr>
        <w:t>Counsel of Record</w:t>
      </w:r>
    </w:p>
    <w:p w:rsidR="00526ADC" w:rsidRPr="00526ADC" w:rsidRDefault="00526ADC" w:rsidP="009B3BB3">
      <w:pPr>
        <w:spacing w:after="0" w:line="240" w:lineRule="auto"/>
        <w:ind w:left="5040"/>
        <w:rPr>
          <w:rFonts w:ascii="Arial" w:hAnsi="Arial" w:cs="Arial"/>
          <w:sz w:val="24"/>
          <w:szCs w:val="24"/>
        </w:rPr>
      </w:pPr>
      <w:r w:rsidRPr="00526ADC">
        <w:rPr>
          <w:rFonts w:ascii="Arial" w:hAnsi="Arial" w:cs="Arial"/>
          <w:sz w:val="24"/>
          <w:szCs w:val="24"/>
        </w:rPr>
        <w:t>Michael Nugent</w:t>
      </w:r>
    </w:p>
    <w:p w:rsidR="00526ADC" w:rsidRPr="00526ADC" w:rsidRDefault="00526ADC" w:rsidP="009B3BB3">
      <w:pPr>
        <w:spacing w:after="0" w:line="240" w:lineRule="auto"/>
        <w:ind w:left="5040"/>
        <w:rPr>
          <w:rFonts w:ascii="Arial" w:hAnsi="Arial" w:cs="Arial"/>
          <w:sz w:val="24"/>
          <w:szCs w:val="24"/>
        </w:rPr>
      </w:pPr>
      <w:r w:rsidRPr="00526ADC">
        <w:rPr>
          <w:rFonts w:ascii="Arial" w:hAnsi="Arial" w:cs="Arial"/>
          <w:sz w:val="24"/>
          <w:szCs w:val="24"/>
        </w:rPr>
        <w:t>Mnugent@igsenergy.com</w:t>
      </w:r>
    </w:p>
    <w:p w:rsidR="009B3BB3" w:rsidRPr="00526ADC" w:rsidRDefault="009B3BB3" w:rsidP="009B3BB3">
      <w:pPr>
        <w:spacing w:after="0" w:line="240" w:lineRule="auto"/>
        <w:ind w:left="5040"/>
        <w:rPr>
          <w:rFonts w:ascii="Arial" w:hAnsi="Arial" w:cs="Arial"/>
          <w:sz w:val="24"/>
          <w:szCs w:val="24"/>
        </w:rPr>
      </w:pPr>
      <w:r w:rsidRPr="00526ADC">
        <w:rPr>
          <w:rFonts w:ascii="Arial" w:hAnsi="Arial" w:cs="Arial"/>
          <w:sz w:val="24"/>
          <w:szCs w:val="24"/>
        </w:rPr>
        <w:t>IGS Energy</w:t>
      </w:r>
    </w:p>
    <w:p w:rsidR="009B3BB3" w:rsidRPr="00526ADC" w:rsidRDefault="009B3BB3" w:rsidP="009B3BB3">
      <w:pPr>
        <w:spacing w:after="0" w:line="240" w:lineRule="auto"/>
        <w:ind w:left="5040"/>
        <w:rPr>
          <w:rFonts w:ascii="Arial" w:hAnsi="Arial" w:cs="Arial"/>
          <w:sz w:val="24"/>
          <w:szCs w:val="24"/>
        </w:rPr>
      </w:pPr>
      <w:r w:rsidRPr="00526ADC">
        <w:rPr>
          <w:rFonts w:ascii="Arial" w:hAnsi="Arial" w:cs="Arial"/>
          <w:sz w:val="24"/>
          <w:szCs w:val="24"/>
        </w:rPr>
        <w:t>6100 Emerald Parkway</w:t>
      </w:r>
    </w:p>
    <w:p w:rsidR="009B3BB3" w:rsidRPr="00526ADC" w:rsidRDefault="009B3BB3" w:rsidP="009B3BB3">
      <w:pPr>
        <w:spacing w:after="0" w:line="240" w:lineRule="auto"/>
        <w:ind w:left="5040"/>
        <w:rPr>
          <w:rFonts w:ascii="Arial" w:hAnsi="Arial" w:cs="Arial"/>
          <w:sz w:val="24"/>
          <w:szCs w:val="24"/>
        </w:rPr>
      </w:pPr>
      <w:r w:rsidRPr="00526ADC">
        <w:rPr>
          <w:rFonts w:ascii="Arial" w:hAnsi="Arial" w:cs="Arial"/>
          <w:sz w:val="24"/>
          <w:szCs w:val="24"/>
        </w:rPr>
        <w:t>Dublin, Ohio 43016</w:t>
      </w:r>
    </w:p>
    <w:p w:rsidR="009B3BB3" w:rsidRPr="00526ADC" w:rsidRDefault="009B3BB3" w:rsidP="009B3BB3">
      <w:pPr>
        <w:spacing w:after="0" w:line="240" w:lineRule="auto"/>
        <w:ind w:left="5040"/>
        <w:rPr>
          <w:rFonts w:ascii="Arial" w:hAnsi="Arial" w:cs="Arial"/>
          <w:sz w:val="24"/>
          <w:szCs w:val="24"/>
        </w:rPr>
      </w:pPr>
      <w:r w:rsidRPr="00526ADC">
        <w:rPr>
          <w:rFonts w:ascii="Arial" w:hAnsi="Arial" w:cs="Arial"/>
          <w:sz w:val="24"/>
          <w:szCs w:val="24"/>
        </w:rPr>
        <w:t>Telephone:</w:t>
      </w:r>
      <w:r w:rsidRPr="00526ADC">
        <w:rPr>
          <w:rFonts w:ascii="Arial" w:hAnsi="Arial" w:cs="Arial"/>
          <w:sz w:val="24"/>
          <w:szCs w:val="24"/>
        </w:rPr>
        <w:tab/>
        <w:t>(614) 659-5000</w:t>
      </w:r>
    </w:p>
    <w:p w:rsidR="009B3BB3" w:rsidRPr="00526ADC" w:rsidRDefault="009B3BB3" w:rsidP="009B3BB3">
      <w:pPr>
        <w:spacing w:after="0" w:line="240" w:lineRule="auto"/>
        <w:ind w:left="5040"/>
        <w:rPr>
          <w:rFonts w:ascii="Arial" w:hAnsi="Arial" w:cs="Arial"/>
          <w:sz w:val="24"/>
          <w:szCs w:val="24"/>
        </w:rPr>
      </w:pPr>
      <w:r w:rsidRPr="00526ADC">
        <w:rPr>
          <w:rFonts w:ascii="Arial" w:hAnsi="Arial" w:cs="Arial"/>
          <w:sz w:val="24"/>
          <w:szCs w:val="24"/>
        </w:rPr>
        <w:t>Facsimile:</w:t>
      </w:r>
      <w:r w:rsidRPr="00526ADC">
        <w:rPr>
          <w:rFonts w:ascii="Arial" w:hAnsi="Arial" w:cs="Arial"/>
          <w:sz w:val="24"/>
          <w:szCs w:val="24"/>
        </w:rPr>
        <w:tab/>
        <w:t>(614) 659-5073</w:t>
      </w:r>
    </w:p>
    <w:p w:rsidR="00545F29" w:rsidRDefault="00545F29">
      <w:pPr>
        <w:spacing w:after="0" w:line="240" w:lineRule="auto"/>
        <w:ind w:left="5040"/>
        <w:rPr>
          <w:rFonts w:ascii="Arial" w:hAnsi="Arial" w:cs="Arial"/>
          <w:sz w:val="24"/>
          <w:szCs w:val="24"/>
        </w:rPr>
      </w:pPr>
    </w:p>
    <w:p w:rsidR="00545F29" w:rsidRPr="00237730" w:rsidRDefault="00E9019F" w:rsidP="00237730">
      <w:pPr>
        <w:spacing w:after="0" w:line="240" w:lineRule="auto"/>
        <w:ind w:left="5040"/>
        <w:rPr>
          <w:rFonts w:ascii="Arial" w:hAnsi="Arial" w:cs="Arial"/>
          <w:b/>
          <w:i/>
          <w:sz w:val="24"/>
          <w:szCs w:val="24"/>
        </w:rPr>
      </w:pPr>
      <w:r>
        <w:rPr>
          <w:rFonts w:ascii="Arial" w:hAnsi="Arial" w:cs="Arial"/>
          <w:b/>
          <w:i/>
          <w:sz w:val="24"/>
          <w:szCs w:val="24"/>
        </w:rPr>
        <w:t>Attorney</w:t>
      </w:r>
      <w:r w:rsidR="00526ADC">
        <w:rPr>
          <w:rFonts w:ascii="Arial" w:hAnsi="Arial" w:cs="Arial"/>
          <w:b/>
          <w:i/>
          <w:sz w:val="24"/>
          <w:szCs w:val="24"/>
        </w:rPr>
        <w:t>s</w:t>
      </w:r>
      <w:r w:rsidR="0056270F">
        <w:rPr>
          <w:rFonts w:ascii="Arial" w:hAnsi="Arial" w:cs="Arial"/>
          <w:b/>
          <w:i/>
          <w:sz w:val="24"/>
          <w:szCs w:val="24"/>
        </w:rPr>
        <w:t xml:space="preserve"> for </w:t>
      </w:r>
      <w:r w:rsidR="00237730">
        <w:rPr>
          <w:rFonts w:ascii="Arial" w:hAnsi="Arial" w:cs="Arial"/>
          <w:b/>
          <w:i/>
          <w:sz w:val="24"/>
          <w:szCs w:val="24"/>
        </w:rPr>
        <w:t>IGS Energy</w:t>
      </w:r>
    </w:p>
    <w:p w:rsidR="005035A5" w:rsidRDefault="0056270F">
      <w:pPr>
        <w:spacing w:after="0" w:line="240" w:lineRule="auto"/>
        <w:ind w:left="4230"/>
        <w:rPr>
          <w:rFonts w:ascii="Arial" w:eastAsia="Calibri" w:hAnsi="Arial" w:cs="Arial"/>
          <w:b/>
          <w:sz w:val="24"/>
          <w:szCs w:val="24"/>
          <w:u w:val="single"/>
        </w:rPr>
        <w:sectPr w:rsidR="005035A5">
          <w:footerReference w:type="default" r:id="rId10"/>
          <w:headerReference w:type="first" r:id="rId11"/>
          <w:pgSz w:w="12240" w:h="15840"/>
          <w:pgMar w:top="1440" w:right="1440" w:bottom="1440" w:left="1440" w:header="720" w:footer="720" w:gutter="0"/>
          <w:cols w:space="720"/>
          <w:titlePg/>
          <w:docGrid w:linePitch="360"/>
        </w:sectPr>
      </w:pPr>
      <w:r>
        <w:rPr>
          <w:rFonts w:ascii="Arial" w:eastAsia="Calibri" w:hAnsi="Arial" w:cs="Arial"/>
          <w:b/>
          <w:sz w:val="24"/>
          <w:szCs w:val="24"/>
          <w:u w:val="single"/>
        </w:rPr>
        <w:br w:type="page"/>
      </w:r>
    </w:p>
    <w:p w:rsidR="00545F29" w:rsidRDefault="00545F29">
      <w:pPr>
        <w:spacing w:after="0" w:line="240" w:lineRule="auto"/>
        <w:ind w:left="4230"/>
        <w:rPr>
          <w:rFonts w:ascii="Arial" w:eastAsia="Calibri" w:hAnsi="Arial" w:cs="Arial"/>
          <w:b/>
          <w:sz w:val="24"/>
          <w:szCs w:val="24"/>
          <w:u w:val="single"/>
        </w:rPr>
      </w:pPr>
    </w:p>
    <w:p w:rsidR="00545F29" w:rsidRPr="009D71F6" w:rsidRDefault="0056270F">
      <w:pPr>
        <w:spacing w:after="0" w:line="240" w:lineRule="auto"/>
        <w:jc w:val="center"/>
        <w:rPr>
          <w:rFonts w:ascii="Arial" w:eastAsia="Arial" w:hAnsi="Arial" w:cs="Arial"/>
          <w:b/>
          <w:sz w:val="24"/>
          <w:szCs w:val="24"/>
          <w:u w:val="single"/>
        </w:rPr>
      </w:pPr>
      <w:r w:rsidRPr="009D71F6">
        <w:rPr>
          <w:rFonts w:ascii="Arial" w:eastAsia="Arial" w:hAnsi="Arial" w:cs="Arial"/>
          <w:b/>
          <w:sz w:val="24"/>
          <w:szCs w:val="24"/>
          <w:u w:val="single"/>
        </w:rPr>
        <w:t>CERTIFICATE OF SERVICE</w:t>
      </w:r>
    </w:p>
    <w:p w:rsidR="00545F29" w:rsidRPr="009D71F6" w:rsidRDefault="00545F29">
      <w:pPr>
        <w:spacing w:after="0" w:line="240" w:lineRule="auto"/>
        <w:jc w:val="center"/>
        <w:rPr>
          <w:rFonts w:ascii="Arial" w:eastAsia="Arial" w:hAnsi="Arial" w:cs="Arial"/>
          <w:b/>
          <w:sz w:val="24"/>
          <w:szCs w:val="24"/>
          <w:u w:val="single"/>
        </w:rPr>
      </w:pPr>
    </w:p>
    <w:p w:rsidR="00545F29" w:rsidRPr="009D71F6" w:rsidRDefault="0056270F" w:rsidP="008A2C5B">
      <w:pPr>
        <w:spacing w:after="0" w:line="240" w:lineRule="auto"/>
        <w:jc w:val="both"/>
        <w:rPr>
          <w:rFonts w:ascii="Arial" w:eastAsia="Calibri" w:hAnsi="Arial" w:cs="Arial"/>
          <w:sz w:val="24"/>
          <w:szCs w:val="24"/>
        </w:rPr>
      </w:pPr>
      <w:r w:rsidRPr="009D71F6">
        <w:rPr>
          <w:rFonts w:ascii="Arial" w:eastAsia="Arial" w:hAnsi="Arial" w:cs="Arial"/>
          <w:sz w:val="24"/>
          <w:szCs w:val="24"/>
        </w:rPr>
        <w:tab/>
      </w:r>
      <w:r w:rsidR="008A2C5B" w:rsidRPr="008A2C5B">
        <w:rPr>
          <w:rFonts w:ascii="Arial" w:eastAsia="Calibri" w:hAnsi="Arial" w:cs="Arial"/>
          <w:sz w:val="24"/>
          <w:szCs w:val="24"/>
        </w:rPr>
        <w:t>I certify that this</w:t>
      </w:r>
      <w:r w:rsidR="004B7E09">
        <w:rPr>
          <w:rFonts w:ascii="Arial" w:eastAsia="Calibri" w:hAnsi="Arial" w:cs="Arial"/>
          <w:sz w:val="24"/>
          <w:szCs w:val="24"/>
        </w:rPr>
        <w:t xml:space="preserve"> </w:t>
      </w:r>
      <w:r w:rsidR="004B7E09">
        <w:rPr>
          <w:rFonts w:ascii="Arial" w:eastAsia="Calibri" w:hAnsi="Arial" w:cs="Arial"/>
          <w:i/>
          <w:sz w:val="24"/>
          <w:szCs w:val="24"/>
        </w:rPr>
        <w:t>Objections to Staff Report of Investigation and Summary of Major Issues of</w:t>
      </w:r>
      <w:r w:rsidR="008A2C5B">
        <w:rPr>
          <w:rFonts w:ascii="Arial" w:eastAsia="Calibri" w:hAnsi="Arial" w:cs="Arial"/>
          <w:sz w:val="24"/>
          <w:szCs w:val="24"/>
        </w:rPr>
        <w:t xml:space="preserve"> </w:t>
      </w:r>
      <w:r w:rsidR="006E5083">
        <w:rPr>
          <w:rFonts w:ascii="Arial" w:eastAsia="Calibri" w:hAnsi="Arial" w:cs="Arial"/>
          <w:i/>
          <w:sz w:val="24"/>
          <w:szCs w:val="24"/>
        </w:rPr>
        <w:t>Interstate Gas Supply, Inc.</w:t>
      </w:r>
      <w:r w:rsidR="006E5083">
        <w:rPr>
          <w:rFonts w:ascii="Arial" w:eastAsia="Calibri" w:hAnsi="Arial" w:cs="Arial"/>
          <w:sz w:val="24"/>
          <w:szCs w:val="24"/>
        </w:rPr>
        <w:t xml:space="preserve"> </w:t>
      </w:r>
      <w:r w:rsidR="008A2C5B" w:rsidRPr="008A2C5B">
        <w:rPr>
          <w:rFonts w:ascii="Arial" w:eastAsia="Calibri" w:hAnsi="Arial" w:cs="Arial"/>
          <w:sz w:val="24"/>
          <w:szCs w:val="24"/>
        </w:rPr>
        <w:t>was filed electronically through the Docketing Information System of the Public Utilities</w:t>
      </w:r>
      <w:r w:rsidR="006E5083">
        <w:rPr>
          <w:rFonts w:ascii="Arial" w:eastAsia="Calibri" w:hAnsi="Arial" w:cs="Arial"/>
          <w:sz w:val="24"/>
          <w:szCs w:val="24"/>
        </w:rPr>
        <w:t xml:space="preserve"> </w:t>
      </w:r>
      <w:r w:rsidR="008A2C5B" w:rsidRPr="008A2C5B">
        <w:rPr>
          <w:rFonts w:ascii="Arial" w:eastAsia="Calibri" w:hAnsi="Arial" w:cs="Arial"/>
          <w:sz w:val="24"/>
          <w:szCs w:val="24"/>
        </w:rPr>
        <w:t>Commiss</w:t>
      </w:r>
      <w:r w:rsidR="00A75768">
        <w:rPr>
          <w:rFonts w:ascii="Arial" w:eastAsia="Calibri" w:hAnsi="Arial" w:cs="Arial"/>
          <w:sz w:val="24"/>
          <w:szCs w:val="24"/>
        </w:rPr>
        <w:t>ion of Ohio on this 11</w:t>
      </w:r>
      <w:r w:rsidR="00ED1193">
        <w:rPr>
          <w:rFonts w:ascii="Arial" w:eastAsia="Calibri" w:hAnsi="Arial" w:cs="Arial"/>
          <w:sz w:val="24"/>
          <w:szCs w:val="24"/>
          <w:vertAlign w:val="superscript"/>
        </w:rPr>
        <w:t>h</w:t>
      </w:r>
      <w:r w:rsidR="006E5083">
        <w:rPr>
          <w:rFonts w:ascii="Arial" w:eastAsia="Calibri" w:hAnsi="Arial" w:cs="Arial"/>
          <w:sz w:val="24"/>
          <w:szCs w:val="24"/>
        </w:rPr>
        <w:t xml:space="preserve"> day of </w:t>
      </w:r>
      <w:r w:rsidR="00A75768">
        <w:rPr>
          <w:rFonts w:ascii="Arial" w:eastAsia="Calibri" w:hAnsi="Arial" w:cs="Arial"/>
          <w:sz w:val="24"/>
          <w:szCs w:val="24"/>
        </w:rPr>
        <w:t>April 2018</w:t>
      </w:r>
      <w:r w:rsidR="008A2C5B" w:rsidRPr="008A2C5B">
        <w:rPr>
          <w:rFonts w:ascii="Arial" w:eastAsia="Calibri" w:hAnsi="Arial" w:cs="Arial"/>
          <w:sz w:val="24"/>
          <w:szCs w:val="24"/>
        </w:rPr>
        <w:t>. The PUCO’s e-filing system will</w:t>
      </w:r>
      <w:r w:rsidR="006E5083">
        <w:rPr>
          <w:rFonts w:ascii="Arial" w:eastAsia="Calibri" w:hAnsi="Arial" w:cs="Arial"/>
          <w:sz w:val="24"/>
          <w:szCs w:val="24"/>
        </w:rPr>
        <w:t xml:space="preserve"> </w:t>
      </w:r>
      <w:r w:rsidR="008A2C5B" w:rsidRPr="008A2C5B">
        <w:rPr>
          <w:rFonts w:ascii="Arial" w:eastAsia="Calibri" w:hAnsi="Arial" w:cs="Arial"/>
          <w:sz w:val="24"/>
          <w:szCs w:val="24"/>
        </w:rPr>
        <w:t>electronically serve notice of the filing of this document on the following parties</w:t>
      </w:r>
      <w:r w:rsidR="008A2C5B">
        <w:rPr>
          <w:rFonts w:ascii="Arial" w:eastAsia="Calibri" w:hAnsi="Arial" w:cs="Arial"/>
          <w:sz w:val="24"/>
          <w:szCs w:val="24"/>
        </w:rPr>
        <w:t>:</w:t>
      </w:r>
    </w:p>
    <w:p w:rsidR="00545F29" w:rsidRPr="00060C1F" w:rsidRDefault="00545F29">
      <w:pPr>
        <w:spacing w:after="0" w:line="240" w:lineRule="auto"/>
        <w:jc w:val="both"/>
        <w:rPr>
          <w:rFonts w:ascii="Arial" w:eastAsia="Arial" w:hAnsi="Arial" w:cs="Arial"/>
          <w:sz w:val="24"/>
          <w:szCs w:val="24"/>
        </w:rPr>
      </w:pPr>
    </w:p>
    <w:p w:rsidR="00B270B3" w:rsidRPr="00060C1F" w:rsidRDefault="00B270B3" w:rsidP="00B270B3">
      <w:pPr>
        <w:spacing w:after="0" w:line="240" w:lineRule="auto"/>
        <w:rPr>
          <w:rFonts w:ascii="Arial" w:hAnsi="Arial" w:cs="Arial"/>
          <w:sz w:val="24"/>
          <w:szCs w:val="24"/>
        </w:rPr>
      </w:pPr>
    </w:p>
    <w:p w:rsidR="008A2C5B" w:rsidRPr="00060C1F" w:rsidRDefault="008A2C5B" w:rsidP="008A2C5B">
      <w:pPr>
        <w:spacing w:after="0" w:line="240" w:lineRule="auto"/>
        <w:ind w:left="5040" w:firstLine="720"/>
        <w:rPr>
          <w:rFonts w:ascii="Arial" w:eastAsia="Arial" w:hAnsi="Arial" w:cs="Arial"/>
          <w:i/>
          <w:sz w:val="24"/>
          <w:szCs w:val="24"/>
        </w:rPr>
      </w:pPr>
    </w:p>
    <w:p w:rsidR="006E5083" w:rsidRPr="00FB7409" w:rsidRDefault="00FB7409" w:rsidP="006E5083">
      <w:pPr>
        <w:spacing w:after="0" w:line="240" w:lineRule="auto"/>
        <w:ind w:left="5040"/>
        <w:rPr>
          <w:rFonts w:ascii="Arial" w:eastAsia="Calibri" w:hAnsi="Arial" w:cs="Arial"/>
          <w:sz w:val="24"/>
          <w:szCs w:val="24"/>
          <w:u w:val="single"/>
        </w:rPr>
      </w:pPr>
      <w:r w:rsidRPr="00FB7409">
        <w:rPr>
          <w:rFonts w:ascii="Arial" w:eastAsia="Arial" w:hAnsi="Arial" w:cs="Arial"/>
          <w:i/>
          <w:sz w:val="24"/>
          <w:szCs w:val="24"/>
          <w:u w:val="single"/>
        </w:rPr>
        <w:t>/s/ Joseph Oliker</w:t>
      </w:r>
    </w:p>
    <w:p w:rsidR="00545F29" w:rsidRDefault="006E5083" w:rsidP="006E5083">
      <w:pPr>
        <w:spacing w:after="0" w:line="240" w:lineRule="auto"/>
        <w:ind w:left="4320" w:firstLine="720"/>
        <w:rPr>
          <w:rFonts w:ascii="Arial" w:hAnsi="Arial" w:cs="Arial"/>
          <w:sz w:val="24"/>
          <w:szCs w:val="24"/>
        </w:rPr>
      </w:pPr>
      <w:r w:rsidRPr="00060C1F">
        <w:rPr>
          <w:rFonts w:ascii="Arial" w:hAnsi="Arial" w:cs="Arial"/>
          <w:sz w:val="24"/>
          <w:szCs w:val="24"/>
        </w:rPr>
        <w:t>Joseph Oliker</w:t>
      </w:r>
    </w:p>
    <w:p w:rsidR="000967BC" w:rsidRDefault="000967BC" w:rsidP="006E5083">
      <w:pPr>
        <w:spacing w:after="0" w:line="240" w:lineRule="auto"/>
        <w:ind w:left="4320" w:firstLine="720"/>
        <w:rPr>
          <w:rFonts w:ascii="Arial" w:hAnsi="Arial" w:cs="Arial"/>
          <w:sz w:val="24"/>
          <w:szCs w:val="24"/>
        </w:rPr>
      </w:pPr>
    </w:p>
    <w:p w:rsidR="000967BC" w:rsidRDefault="000967BC" w:rsidP="006E5083">
      <w:pPr>
        <w:spacing w:after="0" w:line="240" w:lineRule="auto"/>
        <w:ind w:left="4320" w:firstLine="720"/>
        <w:rPr>
          <w:rFonts w:ascii="Arial" w:hAnsi="Arial" w:cs="Arial"/>
          <w:sz w:val="24"/>
          <w:szCs w:val="24"/>
        </w:rPr>
      </w:pPr>
    </w:p>
    <w:p w:rsidR="000967BC" w:rsidRDefault="000967BC" w:rsidP="000967BC">
      <w:pPr>
        <w:autoSpaceDE w:val="0"/>
        <w:autoSpaceDN w:val="0"/>
        <w:adjustRightInd w:val="0"/>
        <w:spacing w:after="0"/>
        <w:rPr>
          <w:color w:val="0000FF"/>
        </w:rPr>
      </w:pPr>
      <w:r>
        <w:rPr>
          <w:color w:val="0000FF"/>
        </w:rPr>
        <w:t>michael.schuler@aes.com</w:t>
      </w:r>
    </w:p>
    <w:p w:rsidR="000967BC" w:rsidRDefault="000967BC" w:rsidP="000967BC">
      <w:pPr>
        <w:autoSpaceDE w:val="0"/>
        <w:autoSpaceDN w:val="0"/>
        <w:adjustRightInd w:val="0"/>
        <w:spacing w:after="0"/>
        <w:rPr>
          <w:color w:val="0000FF"/>
        </w:rPr>
      </w:pPr>
      <w:r>
        <w:rPr>
          <w:color w:val="0000FF"/>
        </w:rPr>
        <w:t>jsharkey@ficlaw.com</w:t>
      </w:r>
    </w:p>
    <w:p w:rsidR="000967BC" w:rsidRDefault="000967BC" w:rsidP="000967BC">
      <w:pPr>
        <w:autoSpaceDE w:val="0"/>
        <w:autoSpaceDN w:val="0"/>
        <w:adjustRightInd w:val="0"/>
        <w:spacing w:after="0"/>
        <w:rPr>
          <w:color w:val="0000FF"/>
        </w:rPr>
      </w:pPr>
      <w:r>
        <w:rPr>
          <w:color w:val="0000FF"/>
        </w:rPr>
        <w:t>djireland@ficlaw.com</w:t>
      </w:r>
    </w:p>
    <w:p w:rsidR="000967BC" w:rsidRDefault="000967BC" w:rsidP="000967BC">
      <w:pPr>
        <w:autoSpaceDE w:val="0"/>
        <w:autoSpaceDN w:val="0"/>
        <w:adjustRightInd w:val="0"/>
        <w:spacing w:after="0"/>
        <w:rPr>
          <w:color w:val="0000FF"/>
        </w:rPr>
      </w:pPr>
      <w:r>
        <w:rPr>
          <w:color w:val="0000FF"/>
        </w:rPr>
        <w:t>chollon@ficlaw.com</w:t>
      </w:r>
    </w:p>
    <w:p w:rsidR="000967BC" w:rsidRDefault="000967BC" w:rsidP="000967BC">
      <w:pPr>
        <w:autoSpaceDE w:val="0"/>
        <w:autoSpaceDN w:val="0"/>
        <w:adjustRightInd w:val="0"/>
        <w:spacing w:after="0"/>
        <w:rPr>
          <w:color w:val="0000FF"/>
        </w:rPr>
      </w:pPr>
      <w:bookmarkStart w:id="1" w:name="_Hlk511210790"/>
      <w:r>
        <w:rPr>
          <w:color w:val="0000FF"/>
        </w:rPr>
        <w:t>thomas.mcnamee@ohioattomeygeneral.gov</w:t>
      </w:r>
    </w:p>
    <w:bookmarkEnd w:id="1"/>
    <w:p w:rsidR="000967BC" w:rsidRDefault="000967BC" w:rsidP="000967BC">
      <w:pPr>
        <w:autoSpaceDE w:val="0"/>
        <w:autoSpaceDN w:val="0"/>
        <w:adjustRightInd w:val="0"/>
        <w:spacing w:after="0"/>
        <w:rPr>
          <w:color w:val="0000FF"/>
        </w:rPr>
      </w:pPr>
      <w:r>
        <w:rPr>
          <w:color w:val="0000FF"/>
        </w:rPr>
        <w:t>christopher.healey@occ.ohio.gov</w:t>
      </w:r>
    </w:p>
    <w:p w:rsidR="000967BC" w:rsidRDefault="000967BC" w:rsidP="000967BC">
      <w:pPr>
        <w:autoSpaceDE w:val="0"/>
        <w:autoSpaceDN w:val="0"/>
        <w:adjustRightInd w:val="0"/>
        <w:spacing w:after="0"/>
        <w:rPr>
          <w:color w:val="0000FF"/>
        </w:rPr>
      </w:pPr>
      <w:r>
        <w:rPr>
          <w:color w:val="0000FF"/>
        </w:rPr>
        <w:t>terry.etter@occ.ohio.gov</w:t>
      </w:r>
    </w:p>
    <w:p w:rsidR="000967BC" w:rsidRDefault="000967BC" w:rsidP="000967BC">
      <w:pPr>
        <w:autoSpaceDE w:val="0"/>
        <w:autoSpaceDN w:val="0"/>
        <w:adjustRightInd w:val="0"/>
        <w:spacing w:after="0"/>
        <w:rPr>
          <w:color w:val="0000FF"/>
        </w:rPr>
      </w:pPr>
      <w:r>
        <w:rPr>
          <w:color w:val="0000FF"/>
        </w:rPr>
        <w:t>fdarr@mwncmh.com</w:t>
      </w:r>
    </w:p>
    <w:p w:rsidR="000967BC" w:rsidRDefault="000967BC" w:rsidP="000967BC">
      <w:pPr>
        <w:autoSpaceDE w:val="0"/>
        <w:autoSpaceDN w:val="0"/>
        <w:adjustRightInd w:val="0"/>
        <w:spacing w:after="0"/>
        <w:rPr>
          <w:color w:val="0000FF"/>
        </w:rPr>
      </w:pPr>
      <w:r>
        <w:rPr>
          <w:color w:val="0000FF"/>
        </w:rPr>
        <w:t>mpritchard@mwncmh.com</w:t>
      </w:r>
    </w:p>
    <w:p w:rsidR="000967BC" w:rsidRDefault="000967BC" w:rsidP="000967BC">
      <w:pPr>
        <w:autoSpaceDE w:val="0"/>
        <w:autoSpaceDN w:val="0"/>
        <w:adjustRightInd w:val="0"/>
        <w:spacing w:after="0"/>
        <w:rPr>
          <w:color w:val="0000FF"/>
        </w:rPr>
      </w:pPr>
      <w:r>
        <w:rPr>
          <w:color w:val="0000FF"/>
        </w:rPr>
        <w:t>sechler@carpenterlipps.com</w:t>
      </w:r>
    </w:p>
    <w:p w:rsidR="000967BC" w:rsidRDefault="000967BC" w:rsidP="000967BC">
      <w:pPr>
        <w:autoSpaceDE w:val="0"/>
        <w:autoSpaceDN w:val="0"/>
        <w:adjustRightInd w:val="0"/>
        <w:spacing w:after="0"/>
        <w:rPr>
          <w:color w:val="0000FF"/>
        </w:rPr>
      </w:pPr>
      <w:r>
        <w:rPr>
          <w:color w:val="0000FF"/>
        </w:rPr>
        <w:t>paul@carpenterlipps.com</w:t>
      </w:r>
    </w:p>
    <w:p w:rsidR="000967BC" w:rsidRDefault="000967BC" w:rsidP="000967BC">
      <w:pPr>
        <w:autoSpaceDE w:val="0"/>
        <w:autoSpaceDN w:val="0"/>
        <w:adjustRightInd w:val="0"/>
        <w:spacing w:after="0"/>
        <w:rPr>
          <w:color w:val="0000FF"/>
        </w:rPr>
      </w:pPr>
      <w:r>
        <w:rPr>
          <w:color w:val="0000FF"/>
        </w:rPr>
        <w:t>dboehm@BKLlawfirm.com</w:t>
      </w:r>
    </w:p>
    <w:p w:rsidR="000967BC" w:rsidRDefault="000967BC" w:rsidP="000967BC">
      <w:pPr>
        <w:autoSpaceDE w:val="0"/>
        <w:autoSpaceDN w:val="0"/>
        <w:adjustRightInd w:val="0"/>
        <w:spacing w:after="0"/>
        <w:rPr>
          <w:color w:val="0000FF"/>
        </w:rPr>
      </w:pPr>
      <w:r>
        <w:rPr>
          <w:color w:val="0000FF"/>
        </w:rPr>
        <w:t>mkurtz@BKLlawfirm.com</w:t>
      </w:r>
    </w:p>
    <w:p w:rsidR="000967BC" w:rsidRDefault="000967BC" w:rsidP="000967BC">
      <w:pPr>
        <w:autoSpaceDE w:val="0"/>
        <w:autoSpaceDN w:val="0"/>
        <w:adjustRightInd w:val="0"/>
        <w:spacing w:after="0"/>
        <w:rPr>
          <w:color w:val="0000FF"/>
        </w:rPr>
      </w:pPr>
      <w:r>
        <w:rPr>
          <w:color w:val="0000FF"/>
        </w:rPr>
        <w:t>kboehm@BKLIawfirm.com</w:t>
      </w:r>
    </w:p>
    <w:p w:rsidR="000967BC" w:rsidRDefault="000967BC" w:rsidP="000967BC">
      <w:pPr>
        <w:autoSpaceDE w:val="0"/>
        <w:autoSpaceDN w:val="0"/>
        <w:adjustRightInd w:val="0"/>
        <w:spacing w:after="0"/>
        <w:rPr>
          <w:color w:val="0000FF"/>
        </w:rPr>
      </w:pPr>
      <w:r>
        <w:rPr>
          <w:color w:val="0000FF"/>
        </w:rPr>
        <w:t>jkylercohn@BKLlawfirm.com</w:t>
      </w:r>
    </w:p>
    <w:p w:rsidR="000967BC" w:rsidRDefault="000967BC" w:rsidP="000967BC">
      <w:pPr>
        <w:autoSpaceDE w:val="0"/>
        <w:autoSpaceDN w:val="0"/>
        <w:adjustRightInd w:val="0"/>
        <w:spacing w:after="0"/>
        <w:rPr>
          <w:color w:val="0000FF"/>
        </w:rPr>
      </w:pPr>
      <w:r>
        <w:rPr>
          <w:color w:val="0000FF"/>
        </w:rPr>
        <w:t>bojko@carpenterlipps.com</w:t>
      </w:r>
    </w:p>
    <w:p w:rsidR="000967BC" w:rsidRDefault="000967BC" w:rsidP="000967BC">
      <w:pPr>
        <w:autoSpaceDE w:val="0"/>
        <w:autoSpaceDN w:val="0"/>
        <w:adjustRightInd w:val="0"/>
        <w:spacing w:after="0"/>
        <w:rPr>
          <w:color w:val="0000FF"/>
        </w:rPr>
      </w:pPr>
      <w:r>
        <w:rPr>
          <w:color w:val="0000FF"/>
        </w:rPr>
        <w:t>dressel@carpenterlipps.com</w:t>
      </w:r>
    </w:p>
    <w:p w:rsidR="000967BC" w:rsidRDefault="000967BC" w:rsidP="000967BC">
      <w:pPr>
        <w:autoSpaceDE w:val="0"/>
        <w:autoSpaceDN w:val="0"/>
        <w:adjustRightInd w:val="0"/>
        <w:spacing w:after="0"/>
        <w:rPr>
          <w:color w:val="0000FF"/>
        </w:rPr>
      </w:pPr>
      <w:r>
        <w:rPr>
          <w:color w:val="0000FF"/>
        </w:rPr>
        <w:t>mfleisher@elpc.org</w:t>
      </w:r>
    </w:p>
    <w:p w:rsidR="000967BC" w:rsidRDefault="000967BC" w:rsidP="000967BC">
      <w:pPr>
        <w:autoSpaceDE w:val="0"/>
        <w:autoSpaceDN w:val="0"/>
        <w:adjustRightInd w:val="0"/>
        <w:spacing w:after="0"/>
        <w:rPr>
          <w:color w:val="0000FF"/>
        </w:rPr>
      </w:pPr>
      <w:r>
        <w:rPr>
          <w:color w:val="0000FF"/>
        </w:rPr>
        <w:t>kfield@elpc.org</w:t>
      </w:r>
    </w:p>
    <w:p w:rsidR="000967BC" w:rsidRDefault="000967BC" w:rsidP="000967BC">
      <w:pPr>
        <w:autoSpaceDE w:val="0"/>
        <w:autoSpaceDN w:val="0"/>
        <w:adjustRightInd w:val="0"/>
        <w:spacing w:after="0"/>
        <w:rPr>
          <w:color w:val="0000FF"/>
        </w:rPr>
      </w:pPr>
      <w:r>
        <w:rPr>
          <w:color w:val="0000FF"/>
        </w:rPr>
        <w:t>thawrot@spilmanlaw.com</w:t>
      </w:r>
    </w:p>
    <w:p w:rsidR="000967BC" w:rsidRDefault="000967BC" w:rsidP="000967BC">
      <w:pPr>
        <w:autoSpaceDE w:val="0"/>
        <w:autoSpaceDN w:val="0"/>
        <w:adjustRightInd w:val="0"/>
        <w:spacing w:after="0"/>
        <w:rPr>
          <w:color w:val="0000FF"/>
        </w:rPr>
      </w:pPr>
      <w:r>
        <w:rPr>
          <w:color w:val="0000FF"/>
        </w:rPr>
        <w:t>rkelter@elpc.org</w:t>
      </w:r>
    </w:p>
    <w:p w:rsidR="000967BC" w:rsidRDefault="000967BC" w:rsidP="000967BC">
      <w:pPr>
        <w:autoSpaceDE w:val="0"/>
        <w:autoSpaceDN w:val="0"/>
        <w:adjustRightInd w:val="0"/>
        <w:spacing w:after="0"/>
        <w:rPr>
          <w:color w:val="0000FF"/>
        </w:rPr>
      </w:pPr>
      <w:r>
        <w:rPr>
          <w:color w:val="0000FF"/>
        </w:rPr>
        <w:t>jvickers@elpc.org</w:t>
      </w:r>
    </w:p>
    <w:p w:rsidR="000967BC" w:rsidRDefault="000967BC" w:rsidP="000967BC">
      <w:pPr>
        <w:autoSpaceDE w:val="0"/>
        <w:autoSpaceDN w:val="0"/>
        <w:adjustRightInd w:val="0"/>
        <w:spacing w:after="0"/>
        <w:rPr>
          <w:color w:val="0000FF"/>
        </w:rPr>
      </w:pPr>
      <w:r>
        <w:rPr>
          <w:color w:val="0000FF"/>
        </w:rPr>
        <w:t>slesser@calfee.com</w:t>
      </w:r>
    </w:p>
    <w:p w:rsidR="000967BC" w:rsidRDefault="000967BC" w:rsidP="000967BC">
      <w:pPr>
        <w:autoSpaceDE w:val="0"/>
        <w:autoSpaceDN w:val="0"/>
        <w:adjustRightInd w:val="0"/>
        <w:spacing w:after="0"/>
        <w:rPr>
          <w:color w:val="0000FF"/>
        </w:rPr>
      </w:pPr>
      <w:r>
        <w:rPr>
          <w:color w:val="0000FF"/>
        </w:rPr>
        <w:t>jlang@calfee.com</w:t>
      </w:r>
    </w:p>
    <w:p w:rsidR="000967BC" w:rsidRDefault="000967BC" w:rsidP="000967BC">
      <w:pPr>
        <w:autoSpaceDE w:val="0"/>
        <w:autoSpaceDN w:val="0"/>
        <w:adjustRightInd w:val="0"/>
        <w:spacing w:after="0"/>
        <w:rPr>
          <w:color w:val="0000FF"/>
        </w:rPr>
      </w:pPr>
      <w:r>
        <w:rPr>
          <w:color w:val="0000FF"/>
        </w:rPr>
        <w:t>talexander@calfee.com</w:t>
      </w:r>
    </w:p>
    <w:p w:rsidR="000967BC" w:rsidRDefault="000967BC" w:rsidP="000967BC">
      <w:pPr>
        <w:autoSpaceDE w:val="0"/>
        <w:autoSpaceDN w:val="0"/>
        <w:adjustRightInd w:val="0"/>
        <w:spacing w:after="0"/>
        <w:rPr>
          <w:color w:val="0000FF"/>
        </w:rPr>
      </w:pPr>
      <w:r>
        <w:rPr>
          <w:color w:val="0000FF"/>
        </w:rPr>
        <w:t>stephanie.chmiel@thompsonhine.com</w:t>
      </w:r>
    </w:p>
    <w:p w:rsidR="000967BC" w:rsidRDefault="000967BC" w:rsidP="000967BC">
      <w:pPr>
        <w:autoSpaceDE w:val="0"/>
        <w:autoSpaceDN w:val="0"/>
        <w:adjustRightInd w:val="0"/>
        <w:spacing w:after="0"/>
        <w:rPr>
          <w:color w:val="0000FF"/>
        </w:rPr>
      </w:pPr>
      <w:r>
        <w:rPr>
          <w:color w:val="0000FF"/>
        </w:rPr>
        <w:t>dwilliamson@spilmanlaw.com</w:t>
      </w:r>
    </w:p>
    <w:p w:rsidR="000967BC" w:rsidRDefault="000967BC" w:rsidP="000967BC">
      <w:pPr>
        <w:autoSpaceDE w:val="0"/>
        <w:autoSpaceDN w:val="0"/>
        <w:adjustRightInd w:val="0"/>
        <w:spacing w:after="0"/>
        <w:rPr>
          <w:color w:val="0000FF"/>
        </w:rPr>
      </w:pPr>
      <w:r>
        <w:rPr>
          <w:color w:val="0000FF"/>
        </w:rPr>
        <w:t>charris@spilmanlaw.com</w:t>
      </w:r>
    </w:p>
    <w:p w:rsidR="000967BC" w:rsidRDefault="000967BC" w:rsidP="000967BC">
      <w:pPr>
        <w:autoSpaceDE w:val="0"/>
        <w:autoSpaceDN w:val="0"/>
        <w:adjustRightInd w:val="0"/>
        <w:spacing w:after="0"/>
        <w:rPr>
          <w:color w:val="0000FF"/>
        </w:rPr>
      </w:pPr>
      <w:r>
        <w:rPr>
          <w:color w:val="0000FF"/>
        </w:rPr>
        <w:lastRenderedPageBreak/>
        <w:t>stephen.chriss@walmart.com</w:t>
      </w:r>
    </w:p>
    <w:p w:rsidR="000967BC" w:rsidRDefault="000967BC" w:rsidP="000967BC">
      <w:pPr>
        <w:autoSpaceDE w:val="0"/>
        <w:autoSpaceDN w:val="0"/>
        <w:adjustRightInd w:val="0"/>
        <w:spacing w:after="0"/>
        <w:rPr>
          <w:color w:val="0000FF"/>
        </w:rPr>
      </w:pPr>
      <w:r>
        <w:rPr>
          <w:color w:val="0000FF"/>
        </w:rPr>
        <w:t>greg.tillman@walmart.com</w:t>
      </w:r>
    </w:p>
    <w:p w:rsidR="000967BC" w:rsidRDefault="000967BC" w:rsidP="000967BC">
      <w:pPr>
        <w:autoSpaceDE w:val="0"/>
        <w:autoSpaceDN w:val="0"/>
        <w:adjustRightInd w:val="0"/>
        <w:spacing w:after="0"/>
        <w:rPr>
          <w:color w:val="0000FF"/>
        </w:rPr>
      </w:pPr>
      <w:proofErr w:type="spellStart"/>
      <w:r>
        <w:rPr>
          <w:color w:val="0000FF"/>
        </w:rPr>
        <w:t>John.Degnan@us.afmil</w:t>
      </w:r>
      <w:proofErr w:type="spellEnd"/>
    </w:p>
    <w:p w:rsidR="000967BC" w:rsidRDefault="000967BC" w:rsidP="000967BC">
      <w:pPr>
        <w:autoSpaceDE w:val="0"/>
        <w:autoSpaceDN w:val="0"/>
        <w:adjustRightInd w:val="0"/>
        <w:spacing w:after="0"/>
        <w:rPr>
          <w:color w:val="0000FF"/>
        </w:rPr>
      </w:pPr>
      <w:r>
        <w:rPr>
          <w:color w:val="0000FF"/>
        </w:rPr>
        <w:t>Thomas.Jernigan@us.af.mil</w:t>
      </w:r>
    </w:p>
    <w:p w:rsidR="000967BC" w:rsidRDefault="000967BC" w:rsidP="000967BC">
      <w:pPr>
        <w:autoSpaceDE w:val="0"/>
        <w:autoSpaceDN w:val="0"/>
        <w:adjustRightInd w:val="0"/>
        <w:spacing w:after="0"/>
        <w:rPr>
          <w:color w:val="0000FF"/>
        </w:rPr>
      </w:pPr>
      <w:r>
        <w:rPr>
          <w:color w:val="0000FF"/>
        </w:rPr>
        <w:t>Ebony.Payton.ctr@us.af.mil</w:t>
      </w:r>
    </w:p>
    <w:p w:rsidR="000967BC" w:rsidRDefault="000967BC" w:rsidP="000967BC">
      <w:pPr>
        <w:autoSpaceDE w:val="0"/>
        <w:autoSpaceDN w:val="0"/>
        <w:adjustRightInd w:val="0"/>
        <w:spacing w:after="0"/>
        <w:rPr>
          <w:color w:val="0000FF"/>
        </w:rPr>
      </w:pPr>
      <w:r>
        <w:rPr>
          <w:color w:val="0000FF"/>
        </w:rPr>
        <w:t>ejacobs@ablelaw.org</w:t>
      </w:r>
    </w:p>
    <w:p w:rsidR="000967BC" w:rsidRDefault="000967BC" w:rsidP="000967BC">
      <w:pPr>
        <w:autoSpaceDE w:val="0"/>
        <w:autoSpaceDN w:val="0"/>
        <w:adjustRightInd w:val="0"/>
        <w:spacing w:after="0"/>
        <w:rPr>
          <w:color w:val="0000FF"/>
        </w:rPr>
      </w:pPr>
      <w:r>
        <w:rPr>
          <w:color w:val="0000FF"/>
        </w:rPr>
        <w:t>jdoll@djflawfirm.com</w:t>
      </w:r>
    </w:p>
    <w:p w:rsidR="000967BC" w:rsidRDefault="000967BC" w:rsidP="000967BC">
      <w:pPr>
        <w:autoSpaceDE w:val="0"/>
        <w:autoSpaceDN w:val="0"/>
        <w:adjustRightInd w:val="0"/>
        <w:spacing w:after="0"/>
        <w:rPr>
          <w:color w:val="0000FF"/>
        </w:rPr>
      </w:pPr>
      <w:r>
        <w:rPr>
          <w:color w:val="0000FF"/>
        </w:rPr>
        <w:t>mcrawford@djflawfirm.com</w:t>
      </w:r>
    </w:p>
    <w:p w:rsidR="000967BC" w:rsidRDefault="000967BC" w:rsidP="000967BC">
      <w:pPr>
        <w:autoSpaceDE w:val="0"/>
        <w:autoSpaceDN w:val="0"/>
        <w:adjustRightInd w:val="0"/>
        <w:spacing w:after="0"/>
        <w:rPr>
          <w:color w:val="0000FF"/>
        </w:rPr>
      </w:pPr>
      <w:r>
        <w:rPr>
          <w:color w:val="0000FF"/>
        </w:rPr>
        <w:t>mjsettineri@vorys.com</w:t>
      </w:r>
    </w:p>
    <w:p w:rsidR="000967BC" w:rsidRDefault="000967BC" w:rsidP="000967BC">
      <w:pPr>
        <w:autoSpaceDE w:val="0"/>
        <w:autoSpaceDN w:val="0"/>
        <w:adjustRightInd w:val="0"/>
        <w:spacing w:after="0"/>
        <w:rPr>
          <w:color w:val="0000FF"/>
        </w:rPr>
      </w:pPr>
      <w:r>
        <w:rPr>
          <w:color w:val="0000FF"/>
        </w:rPr>
        <w:t>glpetrucci@vorys.com</w:t>
      </w:r>
    </w:p>
    <w:p w:rsidR="000967BC" w:rsidRDefault="000967BC" w:rsidP="000967BC">
      <w:pPr>
        <w:autoSpaceDE w:val="0"/>
        <w:autoSpaceDN w:val="0"/>
        <w:adjustRightInd w:val="0"/>
        <w:spacing w:after="0"/>
        <w:rPr>
          <w:color w:val="0000FF"/>
        </w:rPr>
      </w:pPr>
      <w:r>
        <w:rPr>
          <w:color w:val="0000FF"/>
        </w:rPr>
        <w:t>witt@whitt-sturtevanat.com</w:t>
      </w:r>
    </w:p>
    <w:p w:rsidR="000967BC" w:rsidRDefault="000967BC" w:rsidP="000967BC">
      <w:pPr>
        <w:autoSpaceDE w:val="0"/>
        <w:autoSpaceDN w:val="0"/>
        <w:adjustRightInd w:val="0"/>
        <w:spacing w:after="0"/>
        <w:rPr>
          <w:color w:val="0000FF"/>
        </w:rPr>
      </w:pPr>
      <w:r>
        <w:rPr>
          <w:color w:val="0000FF"/>
        </w:rPr>
        <w:t>campbell@whitt-sturtevanat.com</w:t>
      </w:r>
    </w:p>
    <w:p w:rsidR="000967BC" w:rsidRDefault="000967BC" w:rsidP="000967BC">
      <w:pPr>
        <w:autoSpaceDE w:val="0"/>
        <w:autoSpaceDN w:val="0"/>
        <w:adjustRightInd w:val="0"/>
        <w:spacing w:after="0"/>
        <w:rPr>
          <w:color w:val="0000FF"/>
        </w:rPr>
      </w:pPr>
      <w:r>
        <w:rPr>
          <w:color w:val="0000FF"/>
        </w:rPr>
        <w:t>glover@whitt-sturtevanat.com</w:t>
      </w:r>
    </w:p>
    <w:p w:rsidR="000967BC" w:rsidRDefault="000967BC" w:rsidP="000967BC">
      <w:pPr>
        <w:autoSpaceDE w:val="0"/>
        <w:autoSpaceDN w:val="0"/>
        <w:adjustRightInd w:val="0"/>
        <w:spacing w:after="0"/>
        <w:rPr>
          <w:color w:val="0000FF"/>
        </w:rPr>
      </w:pPr>
      <w:r>
        <w:rPr>
          <w:color w:val="0000FF"/>
        </w:rPr>
        <w:t>tdougherty@theoec.org</w:t>
      </w:r>
    </w:p>
    <w:p w:rsidR="000967BC" w:rsidRDefault="000967BC" w:rsidP="000967BC">
      <w:pPr>
        <w:autoSpaceDE w:val="0"/>
        <w:autoSpaceDN w:val="0"/>
        <w:adjustRightInd w:val="0"/>
        <w:spacing w:after="0"/>
        <w:rPr>
          <w:color w:val="0000FF"/>
        </w:rPr>
      </w:pPr>
      <w:r>
        <w:rPr>
          <w:color w:val="0000FF"/>
        </w:rPr>
        <w:t>mleppla@theoec.org</w:t>
      </w:r>
    </w:p>
    <w:p w:rsidR="000967BC" w:rsidRDefault="000967BC" w:rsidP="000967BC">
      <w:pPr>
        <w:autoSpaceDE w:val="0"/>
        <w:autoSpaceDN w:val="0"/>
        <w:adjustRightInd w:val="0"/>
        <w:spacing w:after="0"/>
        <w:rPr>
          <w:color w:val="0000FF"/>
        </w:rPr>
      </w:pPr>
      <w:r>
        <w:rPr>
          <w:color w:val="0000FF"/>
        </w:rPr>
        <w:t>jfinnigan@edf.com</w:t>
      </w:r>
    </w:p>
    <w:p w:rsidR="000967BC" w:rsidRDefault="000967BC" w:rsidP="000967BC">
      <w:pPr>
        <w:autoSpaceDE w:val="0"/>
        <w:autoSpaceDN w:val="0"/>
        <w:adjustRightInd w:val="0"/>
        <w:spacing w:after="0"/>
        <w:rPr>
          <w:color w:val="0000FF"/>
        </w:rPr>
      </w:pPr>
      <w:r>
        <w:rPr>
          <w:color w:val="0000FF"/>
        </w:rPr>
        <w:t>rdove@attorneydove.com</w:t>
      </w:r>
    </w:p>
    <w:p w:rsidR="000967BC" w:rsidRDefault="000967BC" w:rsidP="000967BC">
      <w:pPr>
        <w:autoSpaceDE w:val="0"/>
        <w:autoSpaceDN w:val="0"/>
        <w:adjustRightInd w:val="0"/>
        <w:spacing w:after="0"/>
        <w:rPr>
          <w:color w:val="0000FF"/>
        </w:rPr>
      </w:pPr>
      <w:r>
        <w:rPr>
          <w:color w:val="0000FF"/>
        </w:rPr>
        <w:t>swilliams@nrdc.org</w:t>
      </w:r>
    </w:p>
    <w:p w:rsidR="000967BC" w:rsidRDefault="00191E30" w:rsidP="000967BC">
      <w:pPr>
        <w:autoSpaceDE w:val="0"/>
        <w:autoSpaceDN w:val="0"/>
        <w:adjustRightInd w:val="0"/>
        <w:spacing w:after="0"/>
        <w:rPr>
          <w:color w:val="0000FF"/>
        </w:rPr>
      </w:pPr>
      <w:hyperlink r:id="rId12" w:history="1">
        <w:r w:rsidR="000967BC" w:rsidRPr="0073460D">
          <w:rPr>
            <w:color w:val="0000FF"/>
          </w:rPr>
          <w:t>cmooney@ohiopartners.org</w:t>
        </w:r>
      </w:hyperlink>
    </w:p>
    <w:p w:rsidR="000967BC" w:rsidRPr="0073460D" w:rsidRDefault="00191E30" w:rsidP="000967BC">
      <w:pPr>
        <w:autoSpaceDE w:val="0"/>
        <w:autoSpaceDN w:val="0"/>
        <w:adjustRightInd w:val="0"/>
        <w:spacing w:after="0"/>
        <w:rPr>
          <w:color w:val="0000FF"/>
        </w:rPr>
      </w:pPr>
      <w:hyperlink r:id="rId13" w:history="1">
        <w:r w:rsidR="000967BC" w:rsidRPr="0073460D">
          <w:rPr>
            <w:color w:val="0000FF"/>
          </w:rPr>
          <w:t>Patricia.Schabo@puco.ohio.gov</w:t>
        </w:r>
      </w:hyperlink>
    </w:p>
    <w:p w:rsidR="000967BC" w:rsidRDefault="00191E30" w:rsidP="000967BC">
      <w:pPr>
        <w:autoSpaceDE w:val="0"/>
        <w:autoSpaceDN w:val="0"/>
        <w:adjustRightInd w:val="0"/>
        <w:spacing w:after="0"/>
      </w:pPr>
      <w:hyperlink r:id="rId14" w:history="1">
        <w:r w:rsidR="000967BC" w:rsidRPr="0073460D">
          <w:rPr>
            <w:color w:val="0000FF"/>
          </w:rPr>
          <w:t>Greg.Price@puco.ohio.gov</w:t>
        </w:r>
      </w:hyperlink>
    </w:p>
    <w:p w:rsidR="000967BC" w:rsidRDefault="000967BC" w:rsidP="000967BC">
      <w:pPr>
        <w:spacing w:line="480" w:lineRule="auto"/>
      </w:pPr>
    </w:p>
    <w:p w:rsidR="000967BC" w:rsidRPr="00060C1F" w:rsidRDefault="000967BC" w:rsidP="006E5083">
      <w:pPr>
        <w:spacing w:after="0" w:line="240" w:lineRule="auto"/>
        <w:ind w:left="4320" w:firstLine="720"/>
        <w:rPr>
          <w:rFonts w:ascii="Arial" w:hAnsi="Arial" w:cs="Arial"/>
          <w:sz w:val="24"/>
          <w:szCs w:val="24"/>
        </w:rPr>
      </w:pPr>
    </w:p>
    <w:sectPr w:rsidR="000967BC" w:rsidRPr="00060C1F">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6802" w:rsidRDefault="003D6802">
      <w:pPr>
        <w:spacing w:after="0" w:line="240" w:lineRule="auto"/>
      </w:pPr>
      <w:r>
        <w:separator/>
      </w:r>
    </w:p>
  </w:endnote>
  <w:endnote w:type="continuationSeparator" w:id="0">
    <w:p w:rsidR="003D6802" w:rsidRDefault="003D68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910813"/>
      <w:docPartObj>
        <w:docPartGallery w:val="Page Numbers (Bottom of Page)"/>
        <w:docPartUnique/>
      </w:docPartObj>
    </w:sdtPr>
    <w:sdtEndPr>
      <w:rPr>
        <w:noProof/>
      </w:rPr>
    </w:sdtEndPr>
    <w:sdtContent>
      <w:p w:rsidR="00514822" w:rsidRDefault="00514822">
        <w:pPr>
          <w:pStyle w:val="Footer"/>
          <w:jc w:val="center"/>
        </w:pPr>
        <w:r>
          <w:fldChar w:fldCharType="begin"/>
        </w:r>
        <w:r>
          <w:instrText xml:space="preserve"> PAGE   \* MERGEFORMAT </w:instrText>
        </w:r>
        <w:r>
          <w:fldChar w:fldCharType="separate"/>
        </w:r>
        <w:r w:rsidR="00191E30">
          <w:rPr>
            <w:noProof/>
          </w:rPr>
          <w:t>5</w:t>
        </w:r>
        <w:r>
          <w:rPr>
            <w:noProof/>
          </w:rPr>
          <w:fldChar w:fldCharType="end"/>
        </w:r>
      </w:p>
    </w:sdtContent>
  </w:sdt>
  <w:p w:rsidR="00CB0EF6" w:rsidRDefault="00CB0E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6802" w:rsidRDefault="003D6802">
      <w:pPr>
        <w:spacing w:after="0" w:line="240" w:lineRule="auto"/>
      </w:pPr>
      <w:r>
        <w:separator/>
      </w:r>
    </w:p>
  </w:footnote>
  <w:footnote w:type="continuationSeparator" w:id="0">
    <w:p w:rsidR="003D6802" w:rsidRDefault="003D6802">
      <w:pPr>
        <w:spacing w:after="0" w:line="240" w:lineRule="auto"/>
      </w:pPr>
      <w:r>
        <w:continuationSeparator/>
      </w:r>
    </w:p>
  </w:footnote>
  <w:footnote w:id="1">
    <w:p w:rsidR="00CB0EF6" w:rsidRPr="00CC6C7A" w:rsidRDefault="00CB0EF6" w:rsidP="00526ADC">
      <w:pPr>
        <w:pStyle w:val="FootnoteText"/>
        <w:jc w:val="both"/>
        <w:rPr>
          <w:rFonts w:ascii="Arial" w:hAnsi="Arial" w:cs="Arial"/>
        </w:rPr>
      </w:pPr>
      <w:r w:rsidRPr="00CC6C7A">
        <w:rPr>
          <w:rStyle w:val="FootnoteReference"/>
          <w:rFonts w:ascii="Arial" w:hAnsi="Arial" w:cs="Arial"/>
        </w:rPr>
        <w:footnoteRef/>
      </w:r>
      <w:r w:rsidRPr="00CC6C7A">
        <w:rPr>
          <w:rFonts w:ascii="Arial" w:hAnsi="Arial" w:cs="Arial"/>
        </w:rPr>
        <w:t xml:space="preserve"> Staff Report at 24. </w:t>
      </w:r>
    </w:p>
    <w:p w:rsidR="00CB0EF6" w:rsidRPr="00CC6C7A" w:rsidRDefault="00CB0EF6" w:rsidP="00526ADC">
      <w:pPr>
        <w:pStyle w:val="FootnoteText"/>
        <w:jc w:val="both"/>
        <w:rPr>
          <w:rFonts w:ascii="Arial" w:hAnsi="Arial" w:cs="Arial"/>
        </w:rPr>
      </w:pPr>
    </w:p>
  </w:footnote>
  <w:footnote w:id="2">
    <w:p w:rsidR="00CB0EF6" w:rsidRPr="00CC6C7A" w:rsidRDefault="00CB0EF6">
      <w:pPr>
        <w:pStyle w:val="FootnoteText"/>
        <w:rPr>
          <w:rFonts w:ascii="Arial" w:hAnsi="Arial" w:cs="Arial"/>
        </w:rPr>
      </w:pPr>
      <w:r w:rsidRPr="00CC6C7A">
        <w:rPr>
          <w:rStyle w:val="FootnoteReference"/>
          <w:rFonts w:ascii="Arial" w:hAnsi="Arial" w:cs="Arial"/>
        </w:rPr>
        <w:footnoteRef/>
      </w:r>
      <w:r w:rsidRPr="00CC6C7A">
        <w:rPr>
          <w:rFonts w:ascii="Arial" w:hAnsi="Arial" w:cs="Arial"/>
        </w:rPr>
        <w:t xml:space="preserve"> Staff Report at 28.</w:t>
      </w:r>
    </w:p>
    <w:p w:rsidR="00CB0EF6" w:rsidRPr="00CC6C7A" w:rsidRDefault="00CB0EF6">
      <w:pPr>
        <w:pStyle w:val="FootnoteText"/>
        <w:rPr>
          <w:rFonts w:ascii="Arial" w:hAnsi="Arial" w:cs="Arial"/>
        </w:rPr>
      </w:pPr>
      <w:r w:rsidRPr="00CC6C7A">
        <w:rPr>
          <w:rFonts w:ascii="Arial" w:hAnsi="Arial" w:cs="Arial"/>
        </w:rPr>
        <w:t xml:space="preserve"> </w:t>
      </w:r>
    </w:p>
  </w:footnote>
  <w:footnote w:id="3">
    <w:p w:rsidR="00CB0EF6" w:rsidRPr="00CC6C7A" w:rsidRDefault="00CB0EF6">
      <w:pPr>
        <w:pStyle w:val="FootnoteText"/>
        <w:rPr>
          <w:rFonts w:ascii="Arial" w:hAnsi="Arial" w:cs="Arial"/>
        </w:rPr>
      </w:pPr>
      <w:r w:rsidRPr="00CC6C7A">
        <w:rPr>
          <w:rStyle w:val="FootnoteReference"/>
          <w:rFonts w:ascii="Arial" w:hAnsi="Arial" w:cs="Arial"/>
        </w:rPr>
        <w:footnoteRef/>
      </w:r>
      <w:r w:rsidRPr="00CC6C7A">
        <w:rPr>
          <w:rFonts w:ascii="Arial" w:hAnsi="Arial" w:cs="Arial"/>
        </w:rPr>
        <w:t xml:space="preserve"> </w:t>
      </w:r>
      <w:r w:rsidRPr="00CC6C7A">
        <w:rPr>
          <w:rFonts w:ascii="Arial" w:hAnsi="Arial" w:cs="Arial"/>
          <w:i/>
        </w:rPr>
        <w:t xml:space="preserve">Id. </w:t>
      </w:r>
      <w:r w:rsidRPr="00CC6C7A">
        <w:rPr>
          <w:rFonts w:ascii="Arial" w:hAnsi="Arial" w:cs="Arial"/>
        </w:rPr>
        <w:t>at 28.</w:t>
      </w:r>
    </w:p>
    <w:p w:rsidR="00CB0EF6" w:rsidRPr="00CC6C7A" w:rsidRDefault="00CB0EF6">
      <w:pPr>
        <w:pStyle w:val="FootnoteText"/>
        <w:rPr>
          <w:rFonts w:ascii="Arial" w:hAnsi="Arial" w:cs="Arial"/>
        </w:rPr>
      </w:pPr>
    </w:p>
  </w:footnote>
  <w:footnote w:id="4">
    <w:p w:rsidR="00CB0EF6" w:rsidRPr="00CC6C7A" w:rsidRDefault="00CB0EF6">
      <w:pPr>
        <w:pStyle w:val="FootnoteText"/>
        <w:rPr>
          <w:rFonts w:ascii="Arial" w:hAnsi="Arial" w:cs="Arial"/>
          <w:i/>
        </w:rPr>
      </w:pPr>
      <w:r w:rsidRPr="00CC6C7A">
        <w:rPr>
          <w:rStyle w:val="FootnoteReference"/>
          <w:rFonts w:ascii="Arial" w:hAnsi="Arial" w:cs="Arial"/>
        </w:rPr>
        <w:footnoteRef/>
      </w:r>
      <w:r w:rsidRPr="00CC6C7A">
        <w:rPr>
          <w:rFonts w:ascii="Arial" w:hAnsi="Arial" w:cs="Arial"/>
        </w:rPr>
        <w:t xml:space="preserve"> </w:t>
      </w:r>
      <w:r w:rsidRPr="00CC6C7A">
        <w:rPr>
          <w:rFonts w:ascii="Arial" w:hAnsi="Arial" w:cs="Arial"/>
          <w:i/>
        </w:rPr>
        <w:t>Id.</w:t>
      </w:r>
    </w:p>
  </w:footnote>
  <w:footnote w:id="5">
    <w:p w:rsidR="00CB0EF6" w:rsidRPr="00CC6C7A" w:rsidRDefault="00CB0EF6" w:rsidP="001351A7">
      <w:pPr>
        <w:pStyle w:val="FootnoteText"/>
        <w:jc w:val="both"/>
        <w:rPr>
          <w:rFonts w:ascii="Arial" w:hAnsi="Arial" w:cs="Arial"/>
        </w:rPr>
      </w:pPr>
      <w:r w:rsidRPr="00CC6C7A">
        <w:rPr>
          <w:rStyle w:val="FootnoteReference"/>
          <w:rFonts w:ascii="Arial" w:hAnsi="Arial" w:cs="Arial"/>
        </w:rPr>
        <w:footnoteRef/>
      </w:r>
      <w:r w:rsidRPr="00CC6C7A">
        <w:rPr>
          <w:rFonts w:ascii="Arial" w:hAnsi="Arial" w:cs="Arial"/>
        </w:rPr>
        <w:t xml:space="preserve"> The Staff Report recommends that DP&amp;L not be permitted to collect costs associated with litigating its electric security plan case.  Staff Report at 15.  The Staff Report concludes that these expenses are “inappropriate for ratemaking purposes.” </w:t>
      </w:r>
      <w:r w:rsidRPr="00CC6C7A">
        <w:rPr>
          <w:rFonts w:ascii="Arial" w:hAnsi="Arial" w:cs="Arial"/>
          <w:i/>
        </w:rPr>
        <w:t xml:space="preserve">Id.  </w:t>
      </w:r>
      <w:r w:rsidRPr="00CC6C7A">
        <w:rPr>
          <w:rFonts w:ascii="Arial" w:hAnsi="Arial" w:cs="Arial"/>
        </w:rPr>
        <w:t xml:space="preserve">Staff also proposed a 5-year amortization of rate case expense instead of 2-years as proposed by DP&amp;L. </w:t>
      </w:r>
      <w:r w:rsidRPr="00CC6C7A">
        <w:rPr>
          <w:rFonts w:ascii="Arial" w:hAnsi="Arial" w:cs="Arial"/>
          <w:i/>
        </w:rPr>
        <w:t xml:space="preserve"> </w:t>
      </w:r>
      <w:r w:rsidRPr="00CC6C7A">
        <w:rPr>
          <w:rFonts w:ascii="Arial" w:hAnsi="Arial" w:cs="Arial"/>
        </w:rPr>
        <w:t>The impact of Staff’s recommendation resulted in a reduction on C-3.16 from $4,917,606 to $417,765.  The Staff Report incorrectly recommended that DP&amp;L not collect these expenses</w:t>
      </w:r>
      <w:r w:rsidR="00057435">
        <w:rPr>
          <w:rFonts w:ascii="Arial" w:hAnsi="Arial" w:cs="Arial"/>
        </w:rPr>
        <w:t>; thus, IGS objects to this proposed reduction to allowable O&amp;M expense</w:t>
      </w:r>
      <w:r w:rsidRPr="00CC6C7A">
        <w:rPr>
          <w:rFonts w:ascii="Arial" w:hAnsi="Arial" w:cs="Arial"/>
        </w:rPr>
        <w:t xml:space="preserve">.  Rather, the Staff Report should have proposed an allocation methodology to allocate these expenses between distribution and default service.  Failure to appropriately allocate these costs to default service customers would require DP&amp;L to use its distribution service revenues to subsidize litigation expenses associated with providing a competitive service (default service). </w:t>
      </w:r>
    </w:p>
    <w:p w:rsidR="00CB0EF6" w:rsidRPr="00CC6C7A" w:rsidRDefault="00CB0EF6" w:rsidP="001351A7">
      <w:pPr>
        <w:pStyle w:val="FootnoteText"/>
        <w:jc w:val="both"/>
        <w:rPr>
          <w:rFonts w:ascii="Arial" w:hAnsi="Arial" w:cs="Arial"/>
        </w:rPr>
      </w:pPr>
    </w:p>
  </w:footnote>
  <w:footnote w:id="6">
    <w:p w:rsidR="00CB0EF6" w:rsidRPr="00CC6C7A" w:rsidRDefault="00CB0EF6" w:rsidP="00E43E55">
      <w:pPr>
        <w:pStyle w:val="FootnoteText"/>
        <w:jc w:val="both"/>
        <w:rPr>
          <w:rFonts w:ascii="Arial" w:hAnsi="Arial" w:cs="Arial"/>
        </w:rPr>
      </w:pPr>
      <w:r w:rsidRPr="00CC6C7A">
        <w:rPr>
          <w:rStyle w:val="FootnoteReference"/>
          <w:rFonts w:ascii="Arial" w:hAnsi="Arial" w:cs="Arial"/>
        </w:rPr>
        <w:footnoteRef/>
      </w:r>
      <w:r w:rsidRPr="00CC6C7A">
        <w:rPr>
          <w:rFonts w:ascii="Arial" w:hAnsi="Arial" w:cs="Arial"/>
        </w:rPr>
        <w:t xml:space="preserve"> The Staff Report indicates that uncollectible expenses shall be recovered through a rider.  But the adjustments recommended in the Staff Report do not in fact recommend that overhead associated with collections, software, etc., be recovered through the </w:t>
      </w:r>
      <w:proofErr w:type="spellStart"/>
      <w:r w:rsidRPr="00CC6C7A">
        <w:rPr>
          <w:rFonts w:ascii="Arial" w:hAnsi="Arial" w:cs="Arial"/>
        </w:rPr>
        <w:t>bypassable</w:t>
      </w:r>
      <w:proofErr w:type="spellEnd"/>
      <w:r w:rsidRPr="00CC6C7A">
        <w:rPr>
          <w:rFonts w:ascii="Arial" w:hAnsi="Arial" w:cs="Arial"/>
        </w:rPr>
        <w:t xml:space="preserve"> portion of the uncollectible rider.  Indeed, the Staff Report recommended that $3,543,913 be adjusted in uncollectible expense. But DP&amp;L’s actual uncollectible expense cost was $4,923,342.  DP&amp;L Response to IGS INT-3-4.</w:t>
      </w:r>
    </w:p>
    <w:p w:rsidR="00CB0EF6" w:rsidRPr="00CC6C7A" w:rsidRDefault="00CB0EF6" w:rsidP="00E43E55">
      <w:pPr>
        <w:pStyle w:val="FootnoteText"/>
        <w:jc w:val="both"/>
        <w:rPr>
          <w:rFonts w:ascii="Arial" w:hAnsi="Arial" w:cs="Arial"/>
        </w:rPr>
      </w:pPr>
    </w:p>
  </w:footnote>
  <w:footnote w:id="7">
    <w:p w:rsidR="00CB0EF6" w:rsidRPr="00CC6C7A" w:rsidRDefault="00CB0EF6" w:rsidP="00E43E55">
      <w:pPr>
        <w:pStyle w:val="FootnoteText"/>
        <w:jc w:val="both"/>
        <w:rPr>
          <w:rFonts w:ascii="Arial" w:hAnsi="Arial" w:cs="Arial"/>
        </w:rPr>
      </w:pPr>
      <w:r w:rsidRPr="00CC6C7A">
        <w:rPr>
          <w:rStyle w:val="FootnoteReference"/>
          <w:rFonts w:ascii="Arial" w:hAnsi="Arial" w:cs="Arial"/>
        </w:rPr>
        <w:footnoteRef/>
      </w:r>
      <w:r w:rsidRPr="00CC6C7A">
        <w:rPr>
          <w:rFonts w:ascii="Arial" w:hAnsi="Arial" w:cs="Arial"/>
        </w:rPr>
        <w:t xml:space="preserve"> Although the Staff Report recommends that DP&amp;L collect a Cash Working Capital expense related to its distribution rates, there is no recommendation that DP&amp;L collect cash working capital cost to pay auction suppliers.  By failing to allocate a cash working capital requirement to the SSO rate, DP&amp;L thereby subsidizes this cost through revenue collected through distribution rates.</w:t>
      </w:r>
    </w:p>
    <w:p w:rsidR="00CB0EF6" w:rsidRPr="00CC6C7A" w:rsidRDefault="00CB0EF6" w:rsidP="00E43E55">
      <w:pPr>
        <w:pStyle w:val="FootnoteText"/>
        <w:jc w:val="both"/>
        <w:rPr>
          <w:rFonts w:ascii="Arial" w:hAnsi="Arial" w:cs="Arial"/>
        </w:rPr>
      </w:pPr>
    </w:p>
  </w:footnote>
  <w:footnote w:id="8">
    <w:p w:rsidR="00CB0EF6" w:rsidRPr="00CC6C7A" w:rsidRDefault="00CB0EF6">
      <w:pPr>
        <w:pStyle w:val="FootnoteText"/>
        <w:rPr>
          <w:rFonts w:ascii="Arial" w:hAnsi="Arial" w:cs="Arial"/>
        </w:rPr>
      </w:pPr>
      <w:r w:rsidRPr="00CC6C7A">
        <w:rPr>
          <w:rStyle w:val="FootnoteReference"/>
          <w:rFonts w:ascii="Arial" w:hAnsi="Arial" w:cs="Arial"/>
        </w:rPr>
        <w:footnoteRef/>
      </w:r>
      <w:r w:rsidRPr="00CC6C7A">
        <w:rPr>
          <w:rFonts w:ascii="Arial" w:hAnsi="Arial" w:cs="Arial"/>
        </w:rPr>
        <w:t xml:space="preserve"> DP&amp;L Response to IGS-INT-4-3. </w:t>
      </w:r>
    </w:p>
    <w:p w:rsidR="00CB0EF6" w:rsidRPr="00CC6C7A" w:rsidRDefault="00CB0EF6">
      <w:pPr>
        <w:pStyle w:val="FootnoteText"/>
        <w:rPr>
          <w:rFonts w:ascii="Arial" w:hAnsi="Arial" w:cs="Arial"/>
        </w:rPr>
      </w:pPr>
    </w:p>
  </w:footnote>
  <w:footnote w:id="9">
    <w:p w:rsidR="00CB0EF6" w:rsidRPr="00CC6C7A" w:rsidRDefault="00CB0EF6">
      <w:pPr>
        <w:pStyle w:val="FootnoteText"/>
        <w:rPr>
          <w:rFonts w:ascii="Arial" w:hAnsi="Arial" w:cs="Arial"/>
        </w:rPr>
      </w:pPr>
      <w:r w:rsidRPr="00CC6C7A">
        <w:rPr>
          <w:rStyle w:val="FootnoteReference"/>
          <w:rFonts w:ascii="Arial" w:hAnsi="Arial" w:cs="Arial"/>
        </w:rPr>
        <w:footnoteRef/>
      </w:r>
      <w:r w:rsidRPr="00CC6C7A">
        <w:rPr>
          <w:rFonts w:ascii="Arial" w:hAnsi="Arial" w:cs="Arial"/>
        </w:rPr>
        <w:t xml:space="preserve"> </w:t>
      </w:r>
      <w:r w:rsidRPr="00CC6C7A">
        <w:rPr>
          <w:rFonts w:ascii="Arial" w:hAnsi="Arial" w:cs="Arial"/>
          <w:i/>
        </w:rPr>
        <w:t xml:space="preserve">Id. </w:t>
      </w:r>
      <w:r w:rsidRPr="00CC6C7A">
        <w:rPr>
          <w:rFonts w:ascii="Arial" w:hAnsi="Arial" w:cs="Arial"/>
        </w:rPr>
        <w:t>According to this discovery response, DP&amp;L lacked data for 2013, 2014, and a portion of 2015, but in no year where complete information was available were fees less than $223,000.</w:t>
      </w:r>
    </w:p>
    <w:p w:rsidR="00CB0EF6" w:rsidRPr="00CC6C7A" w:rsidRDefault="00CB0EF6">
      <w:pPr>
        <w:pStyle w:val="FootnoteText"/>
        <w:rPr>
          <w:rFonts w:ascii="Arial" w:hAnsi="Arial" w:cs="Arial"/>
        </w:rPr>
      </w:pPr>
    </w:p>
  </w:footnote>
  <w:footnote w:id="10">
    <w:p w:rsidR="00CB0EF6" w:rsidRPr="00CC6C7A" w:rsidRDefault="00CB0EF6" w:rsidP="00526ADC">
      <w:pPr>
        <w:pStyle w:val="FootnoteText"/>
        <w:jc w:val="both"/>
        <w:rPr>
          <w:rFonts w:ascii="Arial" w:hAnsi="Arial" w:cs="Arial"/>
        </w:rPr>
      </w:pPr>
      <w:r w:rsidRPr="00CC6C7A">
        <w:rPr>
          <w:rStyle w:val="FootnoteReference"/>
          <w:rFonts w:ascii="Arial" w:hAnsi="Arial" w:cs="Arial"/>
        </w:rPr>
        <w:footnoteRef/>
      </w:r>
      <w:r w:rsidRPr="00CC6C7A">
        <w:rPr>
          <w:rFonts w:ascii="Arial" w:hAnsi="Arial" w:cs="Arial"/>
        </w:rPr>
        <w:t xml:space="preserve"> The terms of this charge are set forth on Tariff Sheet Tariff Sheet D34. </w:t>
      </w:r>
    </w:p>
    <w:p w:rsidR="00CB0EF6" w:rsidRPr="00CC6C7A" w:rsidRDefault="00CB0EF6" w:rsidP="00E43E55">
      <w:pPr>
        <w:pStyle w:val="FootnoteText"/>
        <w:tabs>
          <w:tab w:val="left" w:pos="1560"/>
        </w:tabs>
        <w:jc w:val="both"/>
        <w:rPr>
          <w:rFonts w:ascii="Arial" w:hAnsi="Arial" w:cs="Arial"/>
        </w:rPr>
      </w:pPr>
      <w:r w:rsidRPr="00CC6C7A">
        <w:rPr>
          <w:rFonts w:ascii="Arial" w:hAnsi="Arial" w:cs="Arial"/>
        </w:rPr>
        <w:tab/>
      </w:r>
    </w:p>
  </w:footnote>
  <w:footnote w:id="11">
    <w:p w:rsidR="00CB0EF6" w:rsidRPr="00CC6C7A" w:rsidRDefault="00CB0EF6" w:rsidP="00526ADC">
      <w:pPr>
        <w:pStyle w:val="FootnoteText"/>
        <w:jc w:val="both"/>
        <w:rPr>
          <w:rFonts w:ascii="Arial" w:hAnsi="Arial" w:cs="Arial"/>
        </w:rPr>
      </w:pPr>
      <w:r w:rsidRPr="00CC6C7A">
        <w:rPr>
          <w:rStyle w:val="FootnoteReference"/>
          <w:rFonts w:ascii="Arial" w:hAnsi="Arial" w:cs="Arial"/>
        </w:rPr>
        <w:footnoteRef/>
      </w:r>
      <w:r w:rsidRPr="00CC6C7A">
        <w:rPr>
          <w:rFonts w:ascii="Arial" w:hAnsi="Arial" w:cs="Arial"/>
        </w:rPr>
        <w:t xml:space="preserve"> DP&amp;L Supplemental Response to IGS-INT-4-2.</w:t>
      </w:r>
    </w:p>
    <w:p w:rsidR="00CB0EF6" w:rsidRPr="00CC6C7A" w:rsidRDefault="00CB0EF6" w:rsidP="00526ADC">
      <w:pPr>
        <w:pStyle w:val="FootnoteText"/>
        <w:jc w:val="both"/>
        <w:rPr>
          <w:rFonts w:ascii="Arial" w:hAnsi="Arial" w:cs="Arial"/>
        </w:rPr>
      </w:pPr>
    </w:p>
  </w:footnote>
  <w:footnote w:id="12">
    <w:p w:rsidR="00CB0EF6" w:rsidRPr="00CC6C7A" w:rsidRDefault="00CB0EF6">
      <w:pPr>
        <w:pStyle w:val="FootnoteText"/>
        <w:rPr>
          <w:rFonts w:ascii="Arial" w:hAnsi="Arial" w:cs="Arial"/>
        </w:rPr>
      </w:pPr>
      <w:r w:rsidRPr="00CC6C7A">
        <w:rPr>
          <w:rStyle w:val="FootnoteReference"/>
          <w:rFonts w:ascii="Arial" w:hAnsi="Arial" w:cs="Arial"/>
        </w:rPr>
        <w:footnoteRef/>
      </w:r>
      <w:r w:rsidRPr="00CC6C7A">
        <w:rPr>
          <w:rFonts w:ascii="Arial" w:hAnsi="Arial" w:cs="Arial"/>
        </w:rPr>
        <w:t xml:space="preserve"> DP&amp;L Supplemental Response to IGS-INT-4-2.</w:t>
      </w:r>
    </w:p>
  </w:footnote>
  <w:footnote w:id="13">
    <w:p w:rsidR="00CB0EF6" w:rsidRDefault="00CB0EF6" w:rsidP="00CB0EF6">
      <w:pPr>
        <w:pStyle w:val="FootnoteText"/>
        <w:jc w:val="both"/>
        <w:rPr>
          <w:rFonts w:ascii="Arial" w:hAnsi="Arial" w:cs="Arial"/>
        </w:rPr>
      </w:pPr>
      <w:r w:rsidRPr="00CC6C7A">
        <w:rPr>
          <w:rStyle w:val="FootnoteReference"/>
          <w:rFonts w:ascii="Arial" w:hAnsi="Arial" w:cs="Arial"/>
        </w:rPr>
        <w:footnoteRef/>
      </w:r>
      <w:r w:rsidRPr="00CC6C7A">
        <w:rPr>
          <w:rFonts w:ascii="Arial" w:hAnsi="Arial" w:cs="Arial"/>
        </w:rPr>
        <w:t xml:space="preserve"> </w:t>
      </w:r>
      <w:r w:rsidRPr="00CC6C7A">
        <w:rPr>
          <w:rFonts w:ascii="Arial" w:hAnsi="Arial" w:cs="Arial"/>
          <w:i/>
        </w:rPr>
        <w:t>In the Matter of the Application of the Dayton Power and Light Company to Establish a Standard Service Offer in the Form of an Electric Security Plan</w:t>
      </w:r>
      <w:r w:rsidRPr="00CC6C7A">
        <w:rPr>
          <w:rFonts w:ascii="Arial" w:hAnsi="Arial" w:cs="Arial"/>
        </w:rPr>
        <w:t xml:space="preserve">, Amended Stipulation and Recommendation at 38, </w:t>
      </w:r>
      <w:proofErr w:type="spellStart"/>
      <w:r w:rsidRPr="00CC6C7A">
        <w:rPr>
          <w:rFonts w:ascii="Arial" w:hAnsi="Arial" w:cs="Arial"/>
        </w:rPr>
        <w:t>fn</w:t>
      </w:r>
      <w:proofErr w:type="spellEnd"/>
      <w:r w:rsidRPr="00CC6C7A">
        <w:rPr>
          <w:rFonts w:ascii="Arial" w:hAnsi="Arial" w:cs="Arial"/>
        </w:rPr>
        <w:t xml:space="preserve"> 10 (Mar. 14, 2017) (emphasis added).</w:t>
      </w:r>
    </w:p>
    <w:p w:rsidR="00CB0EF6" w:rsidRDefault="00CB0EF6" w:rsidP="00CB0EF6">
      <w:pPr>
        <w:pStyle w:val="FootnoteText"/>
        <w:jc w:val="both"/>
      </w:pPr>
    </w:p>
  </w:footnote>
  <w:footnote w:id="14">
    <w:p w:rsidR="00CB0EF6" w:rsidRDefault="00CB0EF6">
      <w:pPr>
        <w:pStyle w:val="FootnoteText"/>
      </w:pPr>
      <w:r>
        <w:rPr>
          <w:rStyle w:val="FootnoteReference"/>
        </w:rPr>
        <w:footnoteRef/>
      </w:r>
      <w:r>
        <w:t xml:space="preserve"> </w:t>
      </w:r>
      <w:r w:rsidRPr="00514822">
        <w:rPr>
          <w:rFonts w:ascii="Arial" w:hAnsi="Arial" w:cs="Arial"/>
        </w:rPr>
        <w:t>DP&amp;L Alternative Generation Supplier Coordination Tariff, sheet G8, page 24 of 30 (emphasis added).</w:t>
      </w:r>
      <w:r>
        <w:t xml:space="preserve"> </w:t>
      </w:r>
    </w:p>
  </w:footnote>
  <w:footnote w:id="15">
    <w:p w:rsidR="00CB0EF6" w:rsidRPr="00CB0EF6" w:rsidRDefault="00CB0EF6">
      <w:pPr>
        <w:pStyle w:val="FootnoteText"/>
        <w:rPr>
          <w:rFonts w:ascii="Arial" w:hAnsi="Arial" w:cs="Arial"/>
        </w:rPr>
      </w:pPr>
      <w:r w:rsidRPr="00CB0EF6">
        <w:rPr>
          <w:rStyle w:val="FootnoteReference"/>
          <w:rFonts w:ascii="Arial" w:hAnsi="Arial" w:cs="Arial"/>
        </w:rPr>
        <w:footnoteRef/>
      </w:r>
      <w:r w:rsidRPr="00CB0EF6">
        <w:rPr>
          <w:rFonts w:ascii="Arial" w:hAnsi="Arial" w:cs="Arial"/>
        </w:rPr>
        <w:t xml:space="preserve"> Staff Report at 36.</w:t>
      </w:r>
    </w:p>
    <w:p w:rsidR="00CB0EF6" w:rsidRPr="00CB0EF6" w:rsidRDefault="00CB0EF6">
      <w:pPr>
        <w:pStyle w:val="FootnoteText"/>
        <w:rPr>
          <w:rFonts w:ascii="Arial" w:hAnsi="Arial" w:cs="Arial"/>
        </w:rPr>
      </w:pPr>
    </w:p>
  </w:footnote>
  <w:footnote w:id="16">
    <w:p w:rsidR="00CB0EF6" w:rsidRPr="00CB0EF6" w:rsidRDefault="00CB0EF6">
      <w:pPr>
        <w:pStyle w:val="FootnoteText"/>
        <w:rPr>
          <w:rFonts w:ascii="Arial" w:hAnsi="Arial" w:cs="Arial"/>
          <w:i/>
        </w:rPr>
      </w:pPr>
      <w:r w:rsidRPr="00CB0EF6">
        <w:rPr>
          <w:rStyle w:val="FootnoteReference"/>
          <w:rFonts w:ascii="Arial" w:hAnsi="Arial" w:cs="Arial"/>
        </w:rPr>
        <w:footnoteRef/>
      </w:r>
      <w:r w:rsidRPr="00CB0EF6">
        <w:rPr>
          <w:rFonts w:ascii="Arial" w:hAnsi="Arial" w:cs="Arial"/>
        </w:rPr>
        <w:t xml:space="preserve"> </w:t>
      </w:r>
      <w:r w:rsidRPr="00CB0EF6">
        <w:rPr>
          <w:rFonts w:ascii="Arial" w:hAnsi="Arial" w:cs="Arial"/>
          <w:i/>
        </w:rPr>
        <w:t>Id.</w:t>
      </w:r>
    </w:p>
    <w:p w:rsidR="00CB0EF6" w:rsidRPr="00CB0EF6" w:rsidRDefault="00CB0EF6">
      <w:pPr>
        <w:pStyle w:val="FootnoteText"/>
        <w:rPr>
          <w:rFonts w:ascii="Arial" w:hAnsi="Arial" w:cs="Arial"/>
          <w:i/>
        </w:rPr>
      </w:pPr>
    </w:p>
  </w:footnote>
  <w:footnote w:id="17">
    <w:p w:rsidR="00CB0EF6" w:rsidRDefault="00CB0EF6">
      <w:pPr>
        <w:pStyle w:val="FootnoteText"/>
        <w:rPr>
          <w:rFonts w:ascii="Arial" w:hAnsi="Arial" w:cs="Arial"/>
          <w:i/>
        </w:rPr>
      </w:pPr>
      <w:r w:rsidRPr="00CB0EF6">
        <w:rPr>
          <w:rStyle w:val="FootnoteReference"/>
          <w:rFonts w:ascii="Arial" w:hAnsi="Arial" w:cs="Arial"/>
        </w:rPr>
        <w:footnoteRef/>
      </w:r>
      <w:r w:rsidRPr="00CB0EF6">
        <w:rPr>
          <w:rFonts w:ascii="Arial" w:hAnsi="Arial" w:cs="Arial"/>
        </w:rPr>
        <w:t xml:space="preserve"> </w:t>
      </w:r>
      <w:r w:rsidRPr="00CB0EF6">
        <w:rPr>
          <w:rFonts w:ascii="Arial" w:hAnsi="Arial" w:cs="Arial"/>
          <w:i/>
        </w:rPr>
        <w:t>Id.</w:t>
      </w:r>
    </w:p>
    <w:p w:rsidR="00514822" w:rsidRPr="00CB0EF6" w:rsidRDefault="00514822">
      <w:pPr>
        <w:pStyle w:val="FootnoteText"/>
        <w:rPr>
          <w:rFonts w:ascii="Arial" w:hAnsi="Arial" w:cs="Arial"/>
          <w:i/>
        </w:rPr>
      </w:pPr>
    </w:p>
  </w:footnote>
  <w:footnote w:id="18">
    <w:p w:rsidR="00514822" w:rsidRDefault="00514822">
      <w:pPr>
        <w:pStyle w:val="FootnoteText"/>
        <w:rPr>
          <w:rFonts w:ascii="Arial" w:hAnsi="Arial" w:cs="Arial"/>
          <w:sz w:val="22"/>
          <w:szCs w:val="22"/>
        </w:rPr>
      </w:pPr>
      <w:r>
        <w:rPr>
          <w:rStyle w:val="FootnoteReference"/>
        </w:rPr>
        <w:footnoteRef/>
      </w:r>
      <w:r>
        <w:t xml:space="preserve"> </w:t>
      </w:r>
      <w:r w:rsidRPr="00514822">
        <w:rPr>
          <w:rFonts w:ascii="Arial" w:hAnsi="Arial" w:cs="Arial"/>
        </w:rPr>
        <w:t>Staff Report at 38-43.</w:t>
      </w:r>
      <w:r w:rsidRPr="00514822">
        <w:rPr>
          <w:rFonts w:ascii="Arial" w:hAnsi="Arial" w:cs="Arial"/>
          <w:sz w:val="22"/>
          <w:szCs w:val="22"/>
        </w:rPr>
        <w:t xml:space="preserve">  </w:t>
      </w:r>
    </w:p>
    <w:p w:rsidR="00514822" w:rsidRDefault="00514822">
      <w:pPr>
        <w:pStyle w:val="FootnoteText"/>
      </w:pPr>
    </w:p>
  </w:footnote>
  <w:footnote w:id="19">
    <w:p w:rsidR="00CB0EF6" w:rsidRDefault="00CB0EF6">
      <w:pPr>
        <w:pStyle w:val="FootnoteText"/>
      </w:pPr>
      <w:r w:rsidRPr="00CB0EF6">
        <w:rPr>
          <w:rStyle w:val="FootnoteReference"/>
          <w:rFonts w:ascii="Arial" w:hAnsi="Arial" w:cs="Arial"/>
        </w:rPr>
        <w:footnoteRef/>
      </w:r>
      <w:r w:rsidRPr="00CB0EF6">
        <w:rPr>
          <w:rFonts w:ascii="Arial" w:hAnsi="Arial" w:cs="Arial"/>
        </w:rPr>
        <w:t xml:space="preserve"> Staff Report at 36.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0EF6" w:rsidRDefault="00CB0EF6">
    <w:pPr>
      <w:pStyle w:val="Header"/>
      <w:jc w:val="right"/>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B3191"/>
    <w:multiLevelType w:val="hybridMultilevel"/>
    <w:tmpl w:val="C9F2E9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DC62E7"/>
    <w:multiLevelType w:val="hybridMultilevel"/>
    <w:tmpl w:val="FB24402E"/>
    <w:lvl w:ilvl="0" w:tplc="02364310">
      <w:start w:val="1"/>
      <w:numFmt w:val="decimal"/>
      <w:lvlText w:val="(%1)"/>
      <w:lvlJc w:val="left"/>
      <w:pPr>
        <w:ind w:left="1170" w:hanging="360"/>
      </w:pPr>
      <w:rPr>
        <w:rFonts w:hint="default"/>
        <w:w w:val="10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59A667C"/>
    <w:multiLevelType w:val="hybridMultilevel"/>
    <w:tmpl w:val="40B6E02E"/>
    <w:lvl w:ilvl="0" w:tplc="79AE7DB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9C00231"/>
    <w:multiLevelType w:val="hybridMultilevel"/>
    <w:tmpl w:val="F2740ACC"/>
    <w:lvl w:ilvl="0" w:tplc="B9CC38BC">
      <w:start w:val="1"/>
      <w:numFmt w:val="upp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89601D"/>
    <w:multiLevelType w:val="hybridMultilevel"/>
    <w:tmpl w:val="725CD0FA"/>
    <w:lvl w:ilvl="0" w:tplc="8942479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22564D"/>
    <w:multiLevelType w:val="hybridMultilevel"/>
    <w:tmpl w:val="56020B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F02FE9"/>
    <w:multiLevelType w:val="hybridMultilevel"/>
    <w:tmpl w:val="546AD14C"/>
    <w:lvl w:ilvl="0" w:tplc="2708E36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64B3952"/>
    <w:multiLevelType w:val="hybridMultilevel"/>
    <w:tmpl w:val="41023A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AA67BD"/>
    <w:multiLevelType w:val="hybridMultilevel"/>
    <w:tmpl w:val="0F54584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37F7371B"/>
    <w:multiLevelType w:val="hybridMultilevel"/>
    <w:tmpl w:val="CC0213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13193B"/>
    <w:multiLevelType w:val="hybridMultilevel"/>
    <w:tmpl w:val="2A346226"/>
    <w:lvl w:ilvl="0" w:tplc="BCC44C4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A37690"/>
    <w:multiLevelType w:val="hybridMultilevel"/>
    <w:tmpl w:val="EC5C1B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734FD3"/>
    <w:multiLevelType w:val="hybridMultilevel"/>
    <w:tmpl w:val="9162E3BA"/>
    <w:lvl w:ilvl="0" w:tplc="D1B46CC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8F50537"/>
    <w:multiLevelType w:val="hybridMultilevel"/>
    <w:tmpl w:val="55ACFFCC"/>
    <w:lvl w:ilvl="0" w:tplc="1BF4DA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DA3273"/>
    <w:multiLevelType w:val="hybridMultilevel"/>
    <w:tmpl w:val="2A346226"/>
    <w:lvl w:ilvl="0" w:tplc="BCC44C4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E75776"/>
    <w:multiLevelType w:val="hybridMultilevel"/>
    <w:tmpl w:val="D3062A22"/>
    <w:lvl w:ilvl="0" w:tplc="1D14F1B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0855EA9"/>
    <w:multiLevelType w:val="hybridMultilevel"/>
    <w:tmpl w:val="E60AC61E"/>
    <w:lvl w:ilvl="0" w:tplc="74FAF42E">
      <w:start w:val="1"/>
      <w:numFmt w:val="upp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3"/>
  </w:num>
  <w:num w:numId="2">
    <w:abstractNumId w:val="0"/>
  </w:num>
  <w:num w:numId="3">
    <w:abstractNumId w:val="14"/>
  </w:num>
  <w:num w:numId="4">
    <w:abstractNumId w:val="10"/>
  </w:num>
  <w:num w:numId="5">
    <w:abstractNumId w:val="5"/>
  </w:num>
  <w:num w:numId="6">
    <w:abstractNumId w:val="11"/>
  </w:num>
  <w:num w:numId="7">
    <w:abstractNumId w:val="3"/>
  </w:num>
  <w:num w:numId="8">
    <w:abstractNumId w:val="15"/>
  </w:num>
  <w:num w:numId="9">
    <w:abstractNumId w:val="16"/>
  </w:num>
  <w:num w:numId="10">
    <w:abstractNumId w:val="2"/>
  </w:num>
  <w:num w:numId="11">
    <w:abstractNumId w:val="8"/>
  </w:num>
  <w:num w:numId="12">
    <w:abstractNumId w:val="6"/>
  </w:num>
  <w:num w:numId="13">
    <w:abstractNumId w:val="12"/>
  </w:num>
  <w:num w:numId="14">
    <w:abstractNumId w:val="1"/>
  </w:num>
  <w:num w:numId="15">
    <w:abstractNumId w:val="9"/>
  </w:num>
  <w:num w:numId="16">
    <w:abstractNumId w:val="4"/>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F29"/>
    <w:rsid w:val="00004E6B"/>
    <w:rsid w:val="000176D8"/>
    <w:rsid w:val="0005328E"/>
    <w:rsid w:val="00054ADC"/>
    <w:rsid w:val="00057435"/>
    <w:rsid w:val="00060C1F"/>
    <w:rsid w:val="00061DE8"/>
    <w:rsid w:val="00091A13"/>
    <w:rsid w:val="000967BC"/>
    <w:rsid w:val="000A045F"/>
    <w:rsid w:val="000B223F"/>
    <w:rsid w:val="000B5141"/>
    <w:rsid w:val="000D2057"/>
    <w:rsid w:val="00111E14"/>
    <w:rsid w:val="001144C4"/>
    <w:rsid w:val="00115436"/>
    <w:rsid w:val="00121836"/>
    <w:rsid w:val="001248A0"/>
    <w:rsid w:val="001267D8"/>
    <w:rsid w:val="001351A7"/>
    <w:rsid w:val="00140090"/>
    <w:rsid w:val="001704AC"/>
    <w:rsid w:val="00191E30"/>
    <w:rsid w:val="001A61A9"/>
    <w:rsid w:val="001B1912"/>
    <w:rsid w:val="001E7587"/>
    <w:rsid w:val="00206BB1"/>
    <w:rsid w:val="00223E92"/>
    <w:rsid w:val="00227C04"/>
    <w:rsid w:val="00231B62"/>
    <w:rsid w:val="00237730"/>
    <w:rsid w:val="002410B3"/>
    <w:rsid w:val="0025719F"/>
    <w:rsid w:val="0026046D"/>
    <w:rsid w:val="00262461"/>
    <w:rsid w:val="00277415"/>
    <w:rsid w:val="00280A2E"/>
    <w:rsid w:val="0028380C"/>
    <w:rsid w:val="0029088A"/>
    <w:rsid w:val="002E2896"/>
    <w:rsid w:val="002F05DC"/>
    <w:rsid w:val="003005D8"/>
    <w:rsid w:val="003011D7"/>
    <w:rsid w:val="0030156F"/>
    <w:rsid w:val="00304873"/>
    <w:rsid w:val="00307D81"/>
    <w:rsid w:val="00314A32"/>
    <w:rsid w:val="003372ED"/>
    <w:rsid w:val="00341EFF"/>
    <w:rsid w:val="00347D69"/>
    <w:rsid w:val="00355B90"/>
    <w:rsid w:val="00360E99"/>
    <w:rsid w:val="003963BC"/>
    <w:rsid w:val="003A08BA"/>
    <w:rsid w:val="003A51CC"/>
    <w:rsid w:val="003A7774"/>
    <w:rsid w:val="003C65D2"/>
    <w:rsid w:val="003D01DA"/>
    <w:rsid w:val="003D1EB6"/>
    <w:rsid w:val="003D63A8"/>
    <w:rsid w:val="003D6802"/>
    <w:rsid w:val="0040267C"/>
    <w:rsid w:val="00405979"/>
    <w:rsid w:val="00413918"/>
    <w:rsid w:val="00413EE0"/>
    <w:rsid w:val="004417DE"/>
    <w:rsid w:val="00441C45"/>
    <w:rsid w:val="0044625A"/>
    <w:rsid w:val="00446914"/>
    <w:rsid w:val="00474257"/>
    <w:rsid w:val="00483963"/>
    <w:rsid w:val="00486FF1"/>
    <w:rsid w:val="00492AD6"/>
    <w:rsid w:val="00493364"/>
    <w:rsid w:val="00496D63"/>
    <w:rsid w:val="004B061E"/>
    <w:rsid w:val="004B25DD"/>
    <w:rsid w:val="004B7E09"/>
    <w:rsid w:val="004D5FAA"/>
    <w:rsid w:val="004D65EC"/>
    <w:rsid w:val="004F0D2F"/>
    <w:rsid w:val="004F2E86"/>
    <w:rsid w:val="005035A5"/>
    <w:rsid w:val="005139B4"/>
    <w:rsid w:val="00514822"/>
    <w:rsid w:val="00526ADC"/>
    <w:rsid w:val="00542A3B"/>
    <w:rsid w:val="00544336"/>
    <w:rsid w:val="00545F29"/>
    <w:rsid w:val="00551BAD"/>
    <w:rsid w:val="0055339D"/>
    <w:rsid w:val="0056270F"/>
    <w:rsid w:val="00571CC0"/>
    <w:rsid w:val="00573086"/>
    <w:rsid w:val="00577375"/>
    <w:rsid w:val="0057737B"/>
    <w:rsid w:val="005809B7"/>
    <w:rsid w:val="005948BC"/>
    <w:rsid w:val="005A0BD9"/>
    <w:rsid w:val="005B34D0"/>
    <w:rsid w:val="005B37CC"/>
    <w:rsid w:val="005B63F0"/>
    <w:rsid w:val="005E5012"/>
    <w:rsid w:val="005F25EB"/>
    <w:rsid w:val="005F3574"/>
    <w:rsid w:val="00603FC4"/>
    <w:rsid w:val="00613140"/>
    <w:rsid w:val="0061450C"/>
    <w:rsid w:val="00623213"/>
    <w:rsid w:val="00630DDE"/>
    <w:rsid w:val="00645F8B"/>
    <w:rsid w:val="006768AB"/>
    <w:rsid w:val="006860E6"/>
    <w:rsid w:val="006C4EEB"/>
    <w:rsid w:val="006C5FBE"/>
    <w:rsid w:val="006E1025"/>
    <w:rsid w:val="006E5083"/>
    <w:rsid w:val="006E6BD9"/>
    <w:rsid w:val="00712301"/>
    <w:rsid w:val="007171AA"/>
    <w:rsid w:val="007233DD"/>
    <w:rsid w:val="00785B62"/>
    <w:rsid w:val="00785F0D"/>
    <w:rsid w:val="0078764E"/>
    <w:rsid w:val="00795C25"/>
    <w:rsid w:val="00796D66"/>
    <w:rsid w:val="007A0222"/>
    <w:rsid w:val="007A5C5A"/>
    <w:rsid w:val="007B3399"/>
    <w:rsid w:val="007B7D38"/>
    <w:rsid w:val="007D11D2"/>
    <w:rsid w:val="007D2210"/>
    <w:rsid w:val="007F6649"/>
    <w:rsid w:val="008044DE"/>
    <w:rsid w:val="00813BFB"/>
    <w:rsid w:val="00815E1B"/>
    <w:rsid w:val="0082422E"/>
    <w:rsid w:val="00824A9B"/>
    <w:rsid w:val="0082522C"/>
    <w:rsid w:val="00831E75"/>
    <w:rsid w:val="00832866"/>
    <w:rsid w:val="008361FD"/>
    <w:rsid w:val="00861A12"/>
    <w:rsid w:val="00862C3A"/>
    <w:rsid w:val="008814AB"/>
    <w:rsid w:val="00887174"/>
    <w:rsid w:val="008A1275"/>
    <w:rsid w:val="008A16F2"/>
    <w:rsid w:val="008A2C5B"/>
    <w:rsid w:val="008B2E8D"/>
    <w:rsid w:val="008B56A1"/>
    <w:rsid w:val="008C1FD0"/>
    <w:rsid w:val="00921CFB"/>
    <w:rsid w:val="00924790"/>
    <w:rsid w:val="00931494"/>
    <w:rsid w:val="00946BC1"/>
    <w:rsid w:val="00953619"/>
    <w:rsid w:val="00955F86"/>
    <w:rsid w:val="00960FEE"/>
    <w:rsid w:val="00961F44"/>
    <w:rsid w:val="009631C9"/>
    <w:rsid w:val="00972956"/>
    <w:rsid w:val="00976CF5"/>
    <w:rsid w:val="0098338B"/>
    <w:rsid w:val="00983BD2"/>
    <w:rsid w:val="0098755F"/>
    <w:rsid w:val="009B14EE"/>
    <w:rsid w:val="009B3BB3"/>
    <w:rsid w:val="009B4EBD"/>
    <w:rsid w:val="009B71AA"/>
    <w:rsid w:val="009C1465"/>
    <w:rsid w:val="009C4043"/>
    <w:rsid w:val="009D1C4B"/>
    <w:rsid w:val="009D27C4"/>
    <w:rsid w:val="009D40E0"/>
    <w:rsid w:val="009D5434"/>
    <w:rsid w:val="009D71F6"/>
    <w:rsid w:val="009F4632"/>
    <w:rsid w:val="009F6674"/>
    <w:rsid w:val="00A067A6"/>
    <w:rsid w:val="00A079ED"/>
    <w:rsid w:val="00A16FFA"/>
    <w:rsid w:val="00A25C42"/>
    <w:rsid w:val="00A71E20"/>
    <w:rsid w:val="00A7514B"/>
    <w:rsid w:val="00A75711"/>
    <w:rsid w:val="00A75768"/>
    <w:rsid w:val="00A75F7D"/>
    <w:rsid w:val="00A940AD"/>
    <w:rsid w:val="00AA75B4"/>
    <w:rsid w:val="00AD5E1E"/>
    <w:rsid w:val="00AE1FDC"/>
    <w:rsid w:val="00AE71A9"/>
    <w:rsid w:val="00B270B3"/>
    <w:rsid w:val="00B368F6"/>
    <w:rsid w:val="00B552D9"/>
    <w:rsid w:val="00B727CC"/>
    <w:rsid w:val="00B82DA1"/>
    <w:rsid w:val="00B92A76"/>
    <w:rsid w:val="00BA212D"/>
    <w:rsid w:val="00BA6835"/>
    <w:rsid w:val="00BC6288"/>
    <w:rsid w:val="00BD7A3B"/>
    <w:rsid w:val="00BE3B88"/>
    <w:rsid w:val="00BF505A"/>
    <w:rsid w:val="00BF6D36"/>
    <w:rsid w:val="00C02EFC"/>
    <w:rsid w:val="00C0462D"/>
    <w:rsid w:val="00C20F96"/>
    <w:rsid w:val="00C37789"/>
    <w:rsid w:val="00C51B26"/>
    <w:rsid w:val="00C5337B"/>
    <w:rsid w:val="00C607C9"/>
    <w:rsid w:val="00C81C96"/>
    <w:rsid w:val="00C84BD1"/>
    <w:rsid w:val="00C91B0D"/>
    <w:rsid w:val="00CB0EF6"/>
    <w:rsid w:val="00CB1772"/>
    <w:rsid w:val="00CC6C7A"/>
    <w:rsid w:val="00CD1784"/>
    <w:rsid w:val="00CE654B"/>
    <w:rsid w:val="00D13280"/>
    <w:rsid w:val="00D32605"/>
    <w:rsid w:val="00D357A3"/>
    <w:rsid w:val="00D51948"/>
    <w:rsid w:val="00D52B18"/>
    <w:rsid w:val="00D57E21"/>
    <w:rsid w:val="00D60FB4"/>
    <w:rsid w:val="00D86DE5"/>
    <w:rsid w:val="00D926B6"/>
    <w:rsid w:val="00DA7931"/>
    <w:rsid w:val="00DD2A51"/>
    <w:rsid w:val="00DE4973"/>
    <w:rsid w:val="00E04E5F"/>
    <w:rsid w:val="00E214E9"/>
    <w:rsid w:val="00E43E55"/>
    <w:rsid w:val="00E45F44"/>
    <w:rsid w:val="00E508F1"/>
    <w:rsid w:val="00E55133"/>
    <w:rsid w:val="00E553B8"/>
    <w:rsid w:val="00E866C3"/>
    <w:rsid w:val="00E86999"/>
    <w:rsid w:val="00E9019F"/>
    <w:rsid w:val="00E9359B"/>
    <w:rsid w:val="00E93D1C"/>
    <w:rsid w:val="00EA0431"/>
    <w:rsid w:val="00EA0C60"/>
    <w:rsid w:val="00EB1189"/>
    <w:rsid w:val="00EC019F"/>
    <w:rsid w:val="00ED1193"/>
    <w:rsid w:val="00EE0C04"/>
    <w:rsid w:val="00F10F9B"/>
    <w:rsid w:val="00F111C7"/>
    <w:rsid w:val="00F24087"/>
    <w:rsid w:val="00F42A40"/>
    <w:rsid w:val="00F5720A"/>
    <w:rsid w:val="00F661F7"/>
    <w:rsid w:val="00F72061"/>
    <w:rsid w:val="00F96AFB"/>
    <w:rsid w:val="00FA2C78"/>
    <w:rsid w:val="00FA4A29"/>
    <w:rsid w:val="00FA57D7"/>
    <w:rsid w:val="00FB7409"/>
    <w:rsid w:val="00FE2DE0"/>
    <w:rsid w:val="00FE5EB4"/>
    <w:rsid w:val="00FE6593"/>
    <w:rsid w:val="00FF39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3EFA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0A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Title">
    <w:name w:val="Title"/>
    <w:basedOn w:val="Normal"/>
    <w:link w:val="TitleChar"/>
    <w:qFormat/>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Pr>
      <w:rFonts w:ascii="Times New Roman" w:eastAsia="Times New Roman" w:hAnsi="Times New Roman" w:cs="Times New Roman"/>
      <w:b/>
      <w:sz w:val="24"/>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34"/>
    <w:qFormat/>
    <w:pPr>
      <w:ind w:left="720"/>
      <w:contextualSpacing/>
    </w:pPr>
  </w:style>
  <w:style w:type="character" w:styleId="FootnoteReference">
    <w:name w:val="footnote reference"/>
    <w:basedOn w:val="DefaultParagraphFont"/>
    <w:uiPriority w:val="99"/>
    <w:unhideWhenUsed/>
    <w:rPr>
      <w:vertAlign w:val="superscript"/>
    </w:rPr>
  </w:style>
  <w:style w:type="character" w:customStyle="1" w:styleId="apple-style-span">
    <w:name w:val="apple-style-span"/>
    <w:basedOn w:val="DefaultParagraphFont"/>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Hyperlink">
    <w:name w:val="Hyperlink"/>
    <w:basedOn w:val="DefaultParagraphFont"/>
    <w:rPr>
      <w:color w:val="0000FF"/>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converted-space">
    <w:name w:val="apple-converted-space"/>
    <w:basedOn w:val="DefaultParagraphFont"/>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customStyle="1" w:styleId="groupheading5">
    <w:name w:val="groupheading5"/>
    <w:basedOn w:val="DefaultParagraphFont"/>
    <w:rPr>
      <w:rFonts w:ascii="Verdana" w:hAnsi="Verdana" w:hint="default"/>
      <w:b/>
      <w:bCs/>
      <w:sz w:val="19"/>
      <w:szCs w:val="19"/>
    </w:rPr>
  </w:style>
  <w:style w:type="character" w:customStyle="1" w:styleId="informationalsmall4">
    <w:name w:val="informationalsmall4"/>
    <w:basedOn w:val="DefaultParagraphFont"/>
    <w:rPr>
      <w:rFonts w:ascii="Verdana" w:hAnsi="Verdana" w:hint="default"/>
      <w:sz w:val="14"/>
      <w:szCs w:val="14"/>
    </w:rPr>
  </w:style>
  <w:style w:type="paragraph" w:styleId="BodyTextIndent">
    <w:name w:val="Body Text Indent"/>
    <w:basedOn w:val="Normal"/>
    <w:link w:val="BodyTextIndentChar"/>
    <w:pPr>
      <w:spacing w:after="0" w:line="480" w:lineRule="auto"/>
      <w:ind w:firstLine="720"/>
      <w:jc w:val="both"/>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rPr>
  </w:style>
  <w:style w:type="paragraph" w:styleId="BodyText3">
    <w:name w:val="Body Text 3"/>
    <w:basedOn w:val="Normal"/>
    <w:link w:val="BodyText3Char"/>
    <w:uiPriority w:val="99"/>
    <w:semiHidden/>
    <w:unhideWhenUsed/>
    <w:pPr>
      <w:spacing w:after="120"/>
    </w:pPr>
    <w:rPr>
      <w:sz w:val="16"/>
      <w:szCs w:val="16"/>
    </w:rPr>
  </w:style>
  <w:style w:type="character" w:customStyle="1" w:styleId="BodyText3Char">
    <w:name w:val="Body Text 3 Char"/>
    <w:basedOn w:val="DefaultParagraphFont"/>
    <w:link w:val="BodyText3"/>
    <w:uiPriority w:val="99"/>
    <w:semiHidden/>
    <w:rPr>
      <w:sz w:val="16"/>
      <w:szCs w:val="16"/>
    </w:rPr>
  </w:style>
  <w:style w:type="paragraph" w:styleId="BodyText">
    <w:name w:val="Body Text"/>
    <w:basedOn w:val="Normal"/>
    <w:link w:val="BodyTextChar"/>
    <w:uiPriority w:val="99"/>
    <w:semiHidden/>
    <w:unhideWhenUsed/>
    <w:rsid w:val="00824A9B"/>
    <w:pPr>
      <w:spacing w:after="120"/>
    </w:pPr>
  </w:style>
  <w:style w:type="character" w:customStyle="1" w:styleId="BodyTextChar">
    <w:name w:val="Body Text Char"/>
    <w:basedOn w:val="DefaultParagraphFont"/>
    <w:link w:val="BodyText"/>
    <w:uiPriority w:val="99"/>
    <w:semiHidden/>
    <w:rsid w:val="00824A9B"/>
  </w:style>
  <w:style w:type="paragraph" w:customStyle="1" w:styleId="Level1">
    <w:name w:val="Level 1"/>
    <w:basedOn w:val="TOC1"/>
    <w:link w:val="Level1Char"/>
    <w:qFormat/>
    <w:rsid w:val="005948BC"/>
    <w:pPr>
      <w:tabs>
        <w:tab w:val="right" w:leader="dot" w:pos="8630"/>
      </w:tabs>
      <w:spacing w:before="120" w:after="120" w:line="240" w:lineRule="auto"/>
    </w:pPr>
    <w:rPr>
      <w:rFonts w:asciiTheme="majorHAnsi" w:eastAsia="Times New Roman" w:hAnsiTheme="majorHAnsi" w:cs="Times New Roman"/>
      <w:b/>
      <w:bCs/>
      <w:caps/>
      <w:sz w:val="20"/>
      <w:szCs w:val="20"/>
    </w:rPr>
  </w:style>
  <w:style w:type="character" w:customStyle="1" w:styleId="Level1Char">
    <w:name w:val="Level 1 Char"/>
    <w:basedOn w:val="DefaultParagraphFont"/>
    <w:link w:val="Level1"/>
    <w:rsid w:val="005948BC"/>
    <w:rPr>
      <w:rFonts w:asciiTheme="majorHAnsi" w:eastAsia="Times New Roman" w:hAnsiTheme="majorHAnsi" w:cs="Times New Roman"/>
      <w:b/>
      <w:bCs/>
      <w:caps/>
      <w:sz w:val="20"/>
      <w:szCs w:val="20"/>
    </w:rPr>
  </w:style>
  <w:style w:type="paragraph" w:styleId="TOC1">
    <w:name w:val="toc 1"/>
    <w:basedOn w:val="Normal"/>
    <w:next w:val="Normal"/>
    <w:autoRedefine/>
    <w:uiPriority w:val="39"/>
    <w:semiHidden/>
    <w:unhideWhenUsed/>
    <w:rsid w:val="005948BC"/>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426483">
      <w:bodyDiv w:val="1"/>
      <w:marLeft w:val="0"/>
      <w:marRight w:val="0"/>
      <w:marTop w:val="0"/>
      <w:marBottom w:val="0"/>
      <w:divBdr>
        <w:top w:val="none" w:sz="0" w:space="0" w:color="auto"/>
        <w:left w:val="none" w:sz="0" w:space="0" w:color="auto"/>
        <w:bottom w:val="none" w:sz="0" w:space="0" w:color="auto"/>
        <w:right w:val="none" w:sz="0" w:space="0" w:color="auto"/>
      </w:divBdr>
    </w:div>
    <w:div w:id="482551368">
      <w:bodyDiv w:val="1"/>
      <w:marLeft w:val="0"/>
      <w:marRight w:val="0"/>
      <w:marTop w:val="0"/>
      <w:marBottom w:val="0"/>
      <w:divBdr>
        <w:top w:val="none" w:sz="0" w:space="0" w:color="auto"/>
        <w:left w:val="none" w:sz="0" w:space="0" w:color="auto"/>
        <w:bottom w:val="none" w:sz="0" w:space="0" w:color="auto"/>
        <w:right w:val="none" w:sz="0" w:space="0" w:color="auto"/>
      </w:divBdr>
      <w:divsChild>
        <w:div w:id="356734965">
          <w:marLeft w:val="0"/>
          <w:marRight w:val="0"/>
          <w:marTop w:val="0"/>
          <w:marBottom w:val="0"/>
          <w:divBdr>
            <w:top w:val="none" w:sz="0" w:space="0" w:color="auto"/>
            <w:left w:val="none" w:sz="0" w:space="0" w:color="auto"/>
            <w:bottom w:val="none" w:sz="0" w:space="0" w:color="auto"/>
            <w:right w:val="none" w:sz="0" w:space="0" w:color="auto"/>
          </w:divBdr>
        </w:div>
        <w:div w:id="392047661">
          <w:marLeft w:val="0"/>
          <w:marRight w:val="0"/>
          <w:marTop w:val="0"/>
          <w:marBottom w:val="0"/>
          <w:divBdr>
            <w:top w:val="none" w:sz="0" w:space="0" w:color="auto"/>
            <w:left w:val="none" w:sz="0" w:space="0" w:color="auto"/>
            <w:bottom w:val="none" w:sz="0" w:space="0" w:color="auto"/>
            <w:right w:val="none" w:sz="0" w:space="0" w:color="auto"/>
          </w:divBdr>
        </w:div>
        <w:div w:id="667636263">
          <w:marLeft w:val="0"/>
          <w:marRight w:val="0"/>
          <w:marTop w:val="0"/>
          <w:marBottom w:val="0"/>
          <w:divBdr>
            <w:top w:val="none" w:sz="0" w:space="0" w:color="auto"/>
            <w:left w:val="none" w:sz="0" w:space="0" w:color="auto"/>
            <w:bottom w:val="none" w:sz="0" w:space="0" w:color="auto"/>
            <w:right w:val="none" w:sz="0" w:space="0" w:color="auto"/>
          </w:divBdr>
        </w:div>
        <w:div w:id="794908096">
          <w:marLeft w:val="0"/>
          <w:marRight w:val="0"/>
          <w:marTop w:val="0"/>
          <w:marBottom w:val="0"/>
          <w:divBdr>
            <w:top w:val="none" w:sz="0" w:space="0" w:color="auto"/>
            <w:left w:val="none" w:sz="0" w:space="0" w:color="auto"/>
            <w:bottom w:val="none" w:sz="0" w:space="0" w:color="auto"/>
            <w:right w:val="none" w:sz="0" w:space="0" w:color="auto"/>
          </w:divBdr>
        </w:div>
        <w:div w:id="893542688">
          <w:marLeft w:val="0"/>
          <w:marRight w:val="0"/>
          <w:marTop w:val="0"/>
          <w:marBottom w:val="0"/>
          <w:divBdr>
            <w:top w:val="none" w:sz="0" w:space="0" w:color="auto"/>
            <w:left w:val="none" w:sz="0" w:space="0" w:color="auto"/>
            <w:bottom w:val="none" w:sz="0" w:space="0" w:color="auto"/>
            <w:right w:val="none" w:sz="0" w:space="0" w:color="auto"/>
          </w:divBdr>
        </w:div>
        <w:div w:id="941912553">
          <w:marLeft w:val="0"/>
          <w:marRight w:val="0"/>
          <w:marTop w:val="0"/>
          <w:marBottom w:val="0"/>
          <w:divBdr>
            <w:top w:val="none" w:sz="0" w:space="0" w:color="auto"/>
            <w:left w:val="none" w:sz="0" w:space="0" w:color="auto"/>
            <w:bottom w:val="none" w:sz="0" w:space="0" w:color="auto"/>
            <w:right w:val="none" w:sz="0" w:space="0" w:color="auto"/>
          </w:divBdr>
        </w:div>
        <w:div w:id="963850134">
          <w:marLeft w:val="0"/>
          <w:marRight w:val="0"/>
          <w:marTop w:val="0"/>
          <w:marBottom w:val="0"/>
          <w:divBdr>
            <w:top w:val="none" w:sz="0" w:space="0" w:color="auto"/>
            <w:left w:val="none" w:sz="0" w:space="0" w:color="auto"/>
            <w:bottom w:val="none" w:sz="0" w:space="0" w:color="auto"/>
            <w:right w:val="none" w:sz="0" w:space="0" w:color="auto"/>
          </w:divBdr>
        </w:div>
        <w:div w:id="1013337914">
          <w:marLeft w:val="0"/>
          <w:marRight w:val="0"/>
          <w:marTop w:val="0"/>
          <w:marBottom w:val="0"/>
          <w:divBdr>
            <w:top w:val="none" w:sz="0" w:space="0" w:color="auto"/>
            <w:left w:val="none" w:sz="0" w:space="0" w:color="auto"/>
            <w:bottom w:val="none" w:sz="0" w:space="0" w:color="auto"/>
            <w:right w:val="none" w:sz="0" w:space="0" w:color="auto"/>
          </w:divBdr>
        </w:div>
        <w:div w:id="1047953127">
          <w:marLeft w:val="0"/>
          <w:marRight w:val="0"/>
          <w:marTop w:val="0"/>
          <w:marBottom w:val="0"/>
          <w:divBdr>
            <w:top w:val="none" w:sz="0" w:space="0" w:color="auto"/>
            <w:left w:val="none" w:sz="0" w:space="0" w:color="auto"/>
            <w:bottom w:val="none" w:sz="0" w:space="0" w:color="auto"/>
            <w:right w:val="none" w:sz="0" w:space="0" w:color="auto"/>
          </w:divBdr>
        </w:div>
        <w:div w:id="1063024580">
          <w:marLeft w:val="0"/>
          <w:marRight w:val="0"/>
          <w:marTop w:val="0"/>
          <w:marBottom w:val="0"/>
          <w:divBdr>
            <w:top w:val="none" w:sz="0" w:space="0" w:color="auto"/>
            <w:left w:val="none" w:sz="0" w:space="0" w:color="auto"/>
            <w:bottom w:val="none" w:sz="0" w:space="0" w:color="auto"/>
            <w:right w:val="none" w:sz="0" w:space="0" w:color="auto"/>
          </w:divBdr>
        </w:div>
        <w:div w:id="1117022135">
          <w:marLeft w:val="0"/>
          <w:marRight w:val="0"/>
          <w:marTop w:val="0"/>
          <w:marBottom w:val="0"/>
          <w:divBdr>
            <w:top w:val="none" w:sz="0" w:space="0" w:color="auto"/>
            <w:left w:val="none" w:sz="0" w:space="0" w:color="auto"/>
            <w:bottom w:val="none" w:sz="0" w:space="0" w:color="auto"/>
            <w:right w:val="none" w:sz="0" w:space="0" w:color="auto"/>
          </w:divBdr>
        </w:div>
        <w:div w:id="1467044011">
          <w:marLeft w:val="0"/>
          <w:marRight w:val="0"/>
          <w:marTop w:val="0"/>
          <w:marBottom w:val="0"/>
          <w:divBdr>
            <w:top w:val="none" w:sz="0" w:space="0" w:color="auto"/>
            <w:left w:val="none" w:sz="0" w:space="0" w:color="auto"/>
            <w:bottom w:val="none" w:sz="0" w:space="0" w:color="auto"/>
            <w:right w:val="none" w:sz="0" w:space="0" w:color="auto"/>
          </w:divBdr>
        </w:div>
        <w:div w:id="1505853408">
          <w:marLeft w:val="0"/>
          <w:marRight w:val="0"/>
          <w:marTop w:val="0"/>
          <w:marBottom w:val="0"/>
          <w:divBdr>
            <w:top w:val="none" w:sz="0" w:space="0" w:color="auto"/>
            <w:left w:val="none" w:sz="0" w:space="0" w:color="auto"/>
            <w:bottom w:val="none" w:sz="0" w:space="0" w:color="auto"/>
            <w:right w:val="none" w:sz="0" w:space="0" w:color="auto"/>
          </w:divBdr>
        </w:div>
        <w:div w:id="1506478763">
          <w:marLeft w:val="0"/>
          <w:marRight w:val="0"/>
          <w:marTop w:val="0"/>
          <w:marBottom w:val="0"/>
          <w:divBdr>
            <w:top w:val="none" w:sz="0" w:space="0" w:color="auto"/>
            <w:left w:val="none" w:sz="0" w:space="0" w:color="auto"/>
            <w:bottom w:val="none" w:sz="0" w:space="0" w:color="auto"/>
            <w:right w:val="none" w:sz="0" w:space="0" w:color="auto"/>
          </w:divBdr>
        </w:div>
        <w:div w:id="1523937029">
          <w:marLeft w:val="0"/>
          <w:marRight w:val="0"/>
          <w:marTop w:val="0"/>
          <w:marBottom w:val="0"/>
          <w:divBdr>
            <w:top w:val="none" w:sz="0" w:space="0" w:color="auto"/>
            <w:left w:val="none" w:sz="0" w:space="0" w:color="auto"/>
            <w:bottom w:val="none" w:sz="0" w:space="0" w:color="auto"/>
            <w:right w:val="none" w:sz="0" w:space="0" w:color="auto"/>
          </w:divBdr>
        </w:div>
        <w:div w:id="1605530184">
          <w:marLeft w:val="0"/>
          <w:marRight w:val="0"/>
          <w:marTop w:val="0"/>
          <w:marBottom w:val="0"/>
          <w:divBdr>
            <w:top w:val="none" w:sz="0" w:space="0" w:color="auto"/>
            <w:left w:val="none" w:sz="0" w:space="0" w:color="auto"/>
            <w:bottom w:val="none" w:sz="0" w:space="0" w:color="auto"/>
            <w:right w:val="none" w:sz="0" w:space="0" w:color="auto"/>
          </w:divBdr>
        </w:div>
        <w:div w:id="1648244697">
          <w:marLeft w:val="0"/>
          <w:marRight w:val="0"/>
          <w:marTop w:val="0"/>
          <w:marBottom w:val="0"/>
          <w:divBdr>
            <w:top w:val="none" w:sz="0" w:space="0" w:color="auto"/>
            <w:left w:val="none" w:sz="0" w:space="0" w:color="auto"/>
            <w:bottom w:val="none" w:sz="0" w:space="0" w:color="auto"/>
            <w:right w:val="none" w:sz="0" w:space="0" w:color="auto"/>
          </w:divBdr>
        </w:div>
        <w:div w:id="1678461065">
          <w:marLeft w:val="0"/>
          <w:marRight w:val="0"/>
          <w:marTop w:val="0"/>
          <w:marBottom w:val="0"/>
          <w:divBdr>
            <w:top w:val="none" w:sz="0" w:space="0" w:color="auto"/>
            <w:left w:val="none" w:sz="0" w:space="0" w:color="auto"/>
            <w:bottom w:val="none" w:sz="0" w:space="0" w:color="auto"/>
            <w:right w:val="none" w:sz="0" w:space="0" w:color="auto"/>
          </w:divBdr>
        </w:div>
        <w:div w:id="1872064995">
          <w:marLeft w:val="0"/>
          <w:marRight w:val="0"/>
          <w:marTop w:val="0"/>
          <w:marBottom w:val="0"/>
          <w:divBdr>
            <w:top w:val="none" w:sz="0" w:space="0" w:color="auto"/>
            <w:left w:val="none" w:sz="0" w:space="0" w:color="auto"/>
            <w:bottom w:val="none" w:sz="0" w:space="0" w:color="auto"/>
            <w:right w:val="none" w:sz="0" w:space="0" w:color="auto"/>
          </w:divBdr>
        </w:div>
        <w:div w:id="2128112257">
          <w:marLeft w:val="0"/>
          <w:marRight w:val="0"/>
          <w:marTop w:val="0"/>
          <w:marBottom w:val="0"/>
          <w:divBdr>
            <w:top w:val="none" w:sz="0" w:space="0" w:color="auto"/>
            <w:left w:val="none" w:sz="0" w:space="0" w:color="auto"/>
            <w:bottom w:val="none" w:sz="0" w:space="0" w:color="auto"/>
            <w:right w:val="none" w:sz="0" w:space="0" w:color="auto"/>
          </w:divBdr>
        </w:div>
        <w:div w:id="2136096212">
          <w:marLeft w:val="0"/>
          <w:marRight w:val="0"/>
          <w:marTop w:val="0"/>
          <w:marBottom w:val="0"/>
          <w:divBdr>
            <w:top w:val="none" w:sz="0" w:space="0" w:color="auto"/>
            <w:left w:val="none" w:sz="0" w:space="0" w:color="auto"/>
            <w:bottom w:val="none" w:sz="0" w:space="0" w:color="auto"/>
            <w:right w:val="none" w:sz="0" w:space="0" w:color="auto"/>
          </w:divBdr>
        </w:div>
      </w:divsChild>
    </w:div>
    <w:div w:id="664666755">
      <w:bodyDiv w:val="1"/>
      <w:marLeft w:val="30"/>
      <w:marRight w:val="30"/>
      <w:marTop w:val="30"/>
      <w:marBottom w:val="30"/>
      <w:divBdr>
        <w:top w:val="none" w:sz="0" w:space="0" w:color="auto"/>
        <w:left w:val="none" w:sz="0" w:space="0" w:color="auto"/>
        <w:bottom w:val="none" w:sz="0" w:space="0" w:color="auto"/>
        <w:right w:val="none" w:sz="0" w:space="0" w:color="auto"/>
      </w:divBdr>
      <w:divsChild>
        <w:div w:id="328758408">
          <w:marLeft w:val="0"/>
          <w:marRight w:val="0"/>
          <w:marTop w:val="0"/>
          <w:marBottom w:val="0"/>
          <w:divBdr>
            <w:top w:val="none" w:sz="0" w:space="0" w:color="auto"/>
            <w:left w:val="none" w:sz="0" w:space="0" w:color="auto"/>
            <w:bottom w:val="none" w:sz="0" w:space="0" w:color="auto"/>
            <w:right w:val="none" w:sz="0" w:space="0" w:color="auto"/>
          </w:divBdr>
          <w:divsChild>
            <w:div w:id="1073889298">
              <w:marLeft w:val="45"/>
              <w:marRight w:val="45"/>
              <w:marTop w:val="45"/>
              <w:marBottom w:val="45"/>
              <w:divBdr>
                <w:top w:val="none" w:sz="0" w:space="0" w:color="auto"/>
                <w:left w:val="none" w:sz="0" w:space="0" w:color="auto"/>
                <w:bottom w:val="none" w:sz="0" w:space="0" w:color="auto"/>
                <w:right w:val="none" w:sz="0" w:space="0" w:color="auto"/>
              </w:divBdr>
              <w:divsChild>
                <w:div w:id="710110451">
                  <w:marLeft w:val="0"/>
                  <w:marRight w:val="0"/>
                  <w:marTop w:val="0"/>
                  <w:marBottom w:val="0"/>
                  <w:divBdr>
                    <w:top w:val="none" w:sz="0" w:space="0" w:color="auto"/>
                    <w:left w:val="none" w:sz="0" w:space="0" w:color="auto"/>
                    <w:bottom w:val="none" w:sz="0" w:space="0" w:color="auto"/>
                    <w:right w:val="none" w:sz="0" w:space="0" w:color="auto"/>
                  </w:divBdr>
                  <w:divsChild>
                    <w:div w:id="1796750528">
                      <w:marLeft w:val="0"/>
                      <w:marRight w:val="0"/>
                      <w:marTop w:val="0"/>
                      <w:marBottom w:val="0"/>
                      <w:divBdr>
                        <w:top w:val="none" w:sz="0" w:space="0" w:color="auto"/>
                        <w:left w:val="none" w:sz="0" w:space="0" w:color="auto"/>
                        <w:bottom w:val="none" w:sz="0" w:space="0" w:color="auto"/>
                        <w:right w:val="none" w:sz="0" w:space="0" w:color="auto"/>
                      </w:divBdr>
                      <w:divsChild>
                        <w:div w:id="34336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3601664">
      <w:bodyDiv w:val="1"/>
      <w:marLeft w:val="0"/>
      <w:marRight w:val="0"/>
      <w:marTop w:val="0"/>
      <w:marBottom w:val="0"/>
      <w:divBdr>
        <w:top w:val="none" w:sz="0" w:space="0" w:color="auto"/>
        <w:left w:val="none" w:sz="0" w:space="0" w:color="auto"/>
        <w:bottom w:val="none" w:sz="0" w:space="0" w:color="auto"/>
        <w:right w:val="none" w:sz="0" w:space="0" w:color="auto"/>
      </w:divBdr>
    </w:div>
    <w:div w:id="735126895">
      <w:bodyDiv w:val="1"/>
      <w:marLeft w:val="0"/>
      <w:marRight w:val="0"/>
      <w:marTop w:val="0"/>
      <w:marBottom w:val="0"/>
      <w:divBdr>
        <w:top w:val="none" w:sz="0" w:space="0" w:color="auto"/>
        <w:left w:val="none" w:sz="0" w:space="0" w:color="auto"/>
        <w:bottom w:val="none" w:sz="0" w:space="0" w:color="auto"/>
        <w:right w:val="none" w:sz="0" w:space="0" w:color="auto"/>
      </w:divBdr>
      <w:divsChild>
        <w:div w:id="133842048">
          <w:marLeft w:val="0"/>
          <w:marRight w:val="0"/>
          <w:marTop w:val="0"/>
          <w:marBottom w:val="0"/>
          <w:divBdr>
            <w:top w:val="none" w:sz="0" w:space="0" w:color="auto"/>
            <w:left w:val="none" w:sz="0" w:space="0" w:color="auto"/>
            <w:bottom w:val="none" w:sz="0" w:space="0" w:color="auto"/>
            <w:right w:val="none" w:sz="0" w:space="0" w:color="auto"/>
          </w:divBdr>
        </w:div>
        <w:div w:id="172840572">
          <w:marLeft w:val="0"/>
          <w:marRight w:val="0"/>
          <w:marTop w:val="0"/>
          <w:marBottom w:val="0"/>
          <w:divBdr>
            <w:top w:val="none" w:sz="0" w:space="0" w:color="auto"/>
            <w:left w:val="none" w:sz="0" w:space="0" w:color="auto"/>
            <w:bottom w:val="none" w:sz="0" w:space="0" w:color="auto"/>
            <w:right w:val="none" w:sz="0" w:space="0" w:color="auto"/>
          </w:divBdr>
        </w:div>
        <w:div w:id="250048605">
          <w:marLeft w:val="0"/>
          <w:marRight w:val="0"/>
          <w:marTop w:val="0"/>
          <w:marBottom w:val="0"/>
          <w:divBdr>
            <w:top w:val="none" w:sz="0" w:space="0" w:color="auto"/>
            <w:left w:val="none" w:sz="0" w:space="0" w:color="auto"/>
            <w:bottom w:val="none" w:sz="0" w:space="0" w:color="auto"/>
            <w:right w:val="none" w:sz="0" w:space="0" w:color="auto"/>
          </w:divBdr>
        </w:div>
        <w:div w:id="505632320">
          <w:marLeft w:val="0"/>
          <w:marRight w:val="0"/>
          <w:marTop w:val="0"/>
          <w:marBottom w:val="0"/>
          <w:divBdr>
            <w:top w:val="none" w:sz="0" w:space="0" w:color="auto"/>
            <w:left w:val="none" w:sz="0" w:space="0" w:color="auto"/>
            <w:bottom w:val="none" w:sz="0" w:space="0" w:color="auto"/>
            <w:right w:val="none" w:sz="0" w:space="0" w:color="auto"/>
          </w:divBdr>
        </w:div>
        <w:div w:id="976880053">
          <w:marLeft w:val="0"/>
          <w:marRight w:val="0"/>
          <w:marTop w:val="0"/>
          <w:marBottom w:val="0"/>
          <w:divBdr>
            <w:top w:val="none" w:sz="0" w:space="0" w:color="auto"/>
            <w:left w:val="none" w:sz="0" w:space="0" w:color="auto"/>
            <w:bottom w:val="none" w:sz="0" w:space="0" w:color="auto"/>
            <w:right w:val="none" w:sz="0" w:space="0" w:color="auto"/>
          </w:divBdr>
        </w:div>
        <w:div w:id="1123887199">
          <w:marLeft w:val="0"/>
          <w:marRight w:val="0"/>
          <w:marTop w:val="0"/>
          <w:marBottom w:val="0"/>
          <w:divBdr>
            <w:top w:val="none" w:sz="0" w:space="0" w:color="auto"/>
            <w:left w:val="none" w:sz="0" w:space="0" w:color="auto"/>
            <w:bottom w:val="none" w:sz="0" w:space="0" w:color="auto"/>
            <w:right w:val="none" w:sz="0" w:space="0" w:color="auto"/>
          </w:divBdr>
        </w:div>
        <w:div w:id="1331762422">
          <w:marLeft w:val="0"/>
          <w:marRight w:val="0"/>
          <w:marTop w:val="0"/>
          <w:marBottom w:val="0"/>
          <w:divBdr>
            <w:top w:val="none" w:sz="0" w:space="0" w:color="auto"/>
            <w:left w:val="none" w:sz="0" w:space="0" w:color="auto"/>
            <w:bottom w:val="none" w:sz="0" w:space="0" w:color="auto"/>
            <w:right w:val="none" w:sz="0" w:space="0" w:color="auto"/>
          </w:divBdr>
        </w:div>
        <w:div w:id="1353725056">
          <w:marLeft w:val="0"/>
          <w:marRight w:val="0"/>
          <w:marTop w:val="0"/>
          <w:marBottom w:val="0"/>
          <w:divBdr>
            <w:top w:val="none" w:sz="0" w:space="0" w:color="auto"/>
            <w:left w:val="none" w:sz="0" w:space="0" w:color="auto"/>
            <w:bottom w:val="none" w:sz="0" w:space="0" w:color="auto"/>
            <w:right w:val="none" w:sz="0" w:space="0" w:color="auto"/>
          </w:divBdr>
        </w:div>
        <w:div w:id="1399091745">
          <w:marLeft w:val="0"/>
          <w:marRight w:val="0"/>
          <w:marTop w:val="0"/>
          <w:marBottom w:val="0"/>
          <w:divBdr>
            <w:top w:val="none" w:sz="0" w:space="0" w:color="auto"/>
            <w:left w:val="none" w:sz="0" w:space="0" w:color="auto"/>
            <w:bottom w:val="none" w:sz="0" w:space="0" w:color="auto"/>
            <w:right w:val="none" w:sz="0" w:space="0" w:color="auto"/>
          </w:divBdr>
        </w:div>
        <w:div w:id="1545024154">
          <w:marLeft w:val="0"/>
          <w:marRight w:val="0"/>
          <w:marTop w:val="0"/>
          <w:marBottom w:val="0"/>
          <w:divBdr>
            <w:top w:val="none" w:sz="0" w:space="0" w:color="auto"/>
            <w:left w:val="none" w:sz="0" w:space="0" w:color="auto"/>
            <w:bottom w:val="none" w:sz="0" w:space="0" w:color="auto"/>
            <w:right w:val="none" w:sz="0" w:space="0" w:color="auto"/>
          </w:divBdr>
        </w:div>
        <w:div w:id="1572883364">
          <w:marLeft w:val="0"/>
          <w:marRight w:val="0"/>
          <w:marTop w:val="0"/>
          <w:marBottom w:val="0"/>
          <w:divBdr>
            <w:top w:val="none" w:sz="0" w:space="0" w:color="auto"/>
            <w:left w:val="none" w:sz="0" w:space="0" w:color="auto"/>
            <w:bottom w:val="none" w:sz="0" w:space="0" w:color="auto"/>
            <w:right w:val="none" w:sz="0" w:space="0" w:color="auto"/>
          </w:divBdr>
        </w:div>
        <w:div w:id="1654676657">
          <w:marLeft w:val="0"/>
          <w:marRight w:val="0"/>
          <w:marTop w:val="0"/>
          <w:marBottom w:val="0"/>
          <w:divBdr>
            <w:top w:val="none" w:sz="0" w:space="0" w:color="auto"/>
            <w:left w:val="none" w:sz="0" w:space="0" w:color="auto"/>
            <w:bottom w:val="none" w:sz="0" w:space="0" w:color="auto"/>
            <w:right w:val="none" w:sz="0" w:space="0" w:color="auto"/>
          </w:divBdr>
        </w:div>
        <w:div w:id="1688408157">
          <w:marLeft w:val="0"/>
          <w:marRight w:val="0"/>
          <w:marTop w:val="0"/>
          <w:marBottom w:val="0"/>
          <w:divBdr>
            <w:top w:val="none" w:sz="0" w:space="0" w:color="auto"/>
            <w:left w:val="none" w:sz="0" w:space="0" w:color="auto"/>
            <w:bottom w:val="none" w:sz="0" w:space="0" w:color="auto"/>
            <w:right w:val="none" w:sz="0" w:space="0" w:color="auto"/>
          </w:divBdr>
        </w:div>
        <w:div w:id="1918250853">
          <w:marLeft w:val="0"/>
          <w:marRight w:val="0"/>
          <w:marTop w:val="0"/>
          <w:marBottom w:val="0"/>
          <w:divBdr>
            <w:top w:val="none" w:sz="0" w:space="0" w:color="auto"/>
            <w:left w:val="none" w:sz="0" w:space="0" w:color="auto"/>
            <w:bottom w:val="none" w:sz="0" w:space="0" w:color="auto"/>
            <w:right w:val="none" w:sz="0" w:space="0" w:color="auto"/>
          </w:divBdr>
        </w:div>
        <w:div w:id="1986350858">
          <w:marLeft w:val="0"/>
          <w:marRight w:val="0"/>
          <w:marTop w:val="0"/>
          <w:marBottom w:val="0"/>
          <w:divBdr>
            <w:top w:val="none" w:sz="0" w:space="0" w:color="auto"/>
            <w:left w:val="none" w:sz="0" w:space="0" w:color="auto"/>
            <w:bottom w:val="none" w:sz="0" w:space="0" w:color="auto"/>
            <w:right w:val="none" w:sz="0" w:space="0" w:color="auto"/>
          </w:divBdr>
        </w:div>
        <w:div w:id="2045325725">
          <w:marLeft w:val="0"/>
          <w:marRight w:val="0"/>
          <w:marTop w:val="0"/>
          <w:marBottom w:val="0"/>
          <w:divBdr>
            <w:top w:val="none" w:sz="0" w:space="0" w:color="auto"/>
            <w:left w:val="none" w:sz="0" w:space="0" w:color="auto"/>
            <w:bottom w:val="none" w:sz="0" w:space="0" w:color="auto"/>
            <w:right w:val="none" w:sz="0" w:space="0" w:color="auto"/>
          </w:divBdr>
        </w:div>
        <w:div w:id="2055812599">
          <w:marLeft w:val="0"/>
          <w:marRight w:val="0"/>
          <w:marTop w:val="0"/>
          <w:marBottom w:val="0"/>
          <w:divBdr>
            <w:top w:val="none" w:sz="0" w:space="0" w:color="auto"/>
            <w:left w:val="none" w:sz="0" w:space="0" w:color="auto"/>
            <w:bottom w:val="none" w:sz="0" w:space="0" w:color="auto"/>
            <w:right w:val="none" w:sz="0" w:space="0" w:color="auto"/>
          </w:divBdr>
        </w:div>
        <w:div w:id="2079550988">
          <w:marLeft w:val="0"/>
          <w:marRight w:val="0"/>
          <w:marTop w:val="0"/>
          <w:marBottom w:val="0"/>
          <w:divBdr>
            <w:top w:val="none" w:sz="0" w:space="0" w:color="auto"/>
            <w:left w:val="none" w:sz="0" w:space="0" w:color="auto"/>
            <w:bottom w:val="none" w:sz="0" w:space="0" w:color="auto"/>
            <w:right w:val="none" w:sz="0" w:space="0" w:color="auto"/>
          </w:divBdr>
        </w:div>
        <w:div w:id="2103525427">
          <w:marLeft w:val="0"/>
          <w:marRight w:val="0"/>
          <w:marTop w:val="0"/>
          <w:marBottom w:val="0"/>
          <w:divBdr>
            <w:top w:val="none" w:sz="0" w:space="0" w:color="auto"/>
            <w:left w:val="none" w:sz="0" w:space="0" w:color="auto"/>
            <w:bottom w:val="none" w:sz="0" w:space="0" w:color="auto"/>
            <w:right w:val="none" w:sz="0" w:space="0" w:color="auto"/>
          </w:divBdr>
        </w:div>
        <w:div w:id="2111850504">
          <w:marLeft w:val="0"/>
          <w:marRight w:val="0"/>
          <w:marTop w:val="0"/>
          <w:marBottom w:val="0"/>
          <w:divBdr>
            <w:top w:val="none" w:sz="0" w:space="0" w:color="auto"/>
            <w:left w:val="none" w:sz="0" w:space="0" w:color="auto"/>
            <w:bottom w:val="none" w:sz="0" w:space="0" w:color="auto"/>
            <w:right w:val="none" w:sz="0" w:space="0" w:color="auto"/>
          </w:divBdr>
        </w:div>
      </w:divsChild>
    </w:div>
    <w:div w:id="885988532">
      <w:bodyDiv w:val="1"/>
      <w:marLeft w:val="0"/>
      <w:marRight w:val="0"/>
      <w:marTop w:val="0"/>
      <w:marBottom w:val="0"/>
      <w:divBdr>
        <w:top w:val="none" w:sz="0" w:space="0" w:color="auto"/>
        <w:left w:val="none" w:sz="0" w:space="0" w:color="auto"/>
        <w:bottom w:val="none" w:sz="0" w:space="0" w:color="auto"/>
        <w:right w:val="none" w:sz="0" w:space="0" w:color="auto"/>
      </w:divBdr>
      <w:divsChild>
        <w:div w:id="2081977874">
          <w:marLeft w:val="0"/>
          <w:marRight w:val="0"/>
          <w:marTop w:val="0"/>
          <w:marBottom w:val="0"/>
          <w:divBdr>
            <w:top w:val="none" w:sz="0" w:space="0" w:color="auto"/>
            <w:left w:val="none" w:sz="0" w:space="0" w:color="auto"/>
            <w:bottom w:val="none" w:sz="0" w:space="0" w:color="auto"/>
            <w:right w:val="none" w:sz="0" w:space="0" w:color="auto"/>
          </w:divBdr>
        </w:div>
      </w:divsChild>
    </w:div>
    <w:div w:id="1193803983">
      <w:bodyDiv w:val="1"/>
      <w:marLeft w:val="0"/>
      <w:marRight w:val="0"/>
      <w:marTop w:val="0"/>
      <w:marBottom w:val="0"/>
      <w:divBdr>
        <w:top w:val="none" w:sz="0" w:space="0" w:color="auto"/>
        <w:left w:val="none" w:sz="0" w:space="0" w:color="auto"/>
        <w:bottom w:val="none" w:sz="0" w:space="0" w:color="auto"/>
        <w:right w:val="none" w:sz="0" w:space="0" w:color="auto"/>
      </w:divBdr>
    </w:div>
    <w:div w:id="1250693972">
      <w:bodyDiv w:val="1"/>
      <w:marLeft w:val="0"/>
      <w:marRight w:val="0"/>
      <w:marTop w:val="0"/>
      <w:marBottom w:val="0"/>
      <w:divBdr>
        <w:top w:val="none" w:sz="0" w:space="0" w:color="auto"/>
        <w:left w:val="none" w:sz="0" w:space="0" w:color="auto"/>
        <w:bottom w:val="none" w:sz="0" w:space="0" w:color="auto"/>
        <w:right w:val="none" w:sz="0" w:space="0" w:color="auto"/>
      </w:divBdr>
      <w:divsChild>
        <w:div w:id="146240840">
          <w:marLeft w:val="0"/>
          <w:marRight w:val="0"/>
          <w:marTop w:val="0"/>
          <w:marBottom w:val="0"/>
          <w:divBdr>
            <w:top w:val="none" w:sz="0" w:space="0" w:color="auto"/>
            <w:left w:val="none" w:sz="0" w:space="0" w:color="auto"/>
            <w:bottom w:val="none" w:sz="0" w:space="0" w:color="auto"/>
            <w:right w:val="none" w:sz="0" w:space="0" w:color="auto"/>
          </w:divBdr>
        </w:div>
        <w:div w:id="196821476">
          <w:marLeft w:val="0"/>
          <w:marRight w:val="0"/>
          <w:marTop w:val="0"/>
          <w:marBottom w:val="0"/>
          <w:divBdr>
            <w:top w:val="none" w:sz="0" w:space="0" w:color="auto"/>
            <w:left w:val="none" w:sz="0" w:space="0" w:color="auto"/>
            <w:bottom w:val="none" w:sz="0" w:space="0" w:color="auto"/>
            <w:right w:val="none" w:sz="0" w:space="0" w:color="auto"/>
          </w:divBdr>
        </w:div>
        <w:div w:id="233971418">
          <w:marLeft w:val="0"/>
          <w:marRight w:val="0"/>
          <w:marTop w:val="0"/>
          <w:marBottom w:val="0"/>
          <w:divBdr>
            <w:top w:val="none" w:sz="0" w:space="0" w:color="auto"/>
            <w:left w:val="none" w:sz="0" w:space="0" w:color="auto"/>
            <w:bottom w:val="none" w:sz="0" w:space="0" w:color="auto"/>
            <w:right w:val="none" w:sz="0" w:space="0" w:color="auto"/>
          </w:divBdr>
        </w:div>
        <w:div w:id="572203489">
          <w:marLeft w:val="0"/>
          <w:marRight w:val="0"/>
          <w:marTop w:val="0"/>
          <w:marBottom w:val="0"/>
          <w:divBdr>
            <w:top w:val="none" w:sz="0" w:space="0" w:color="auto"/>
            <w:left w:val="none" w:sz="0" w:space="0" w:color="auto"/>
            <w:bottom w:val="none" w:sz="0" w:space="0" w:color="auto"/>
            <w:right w:val="none" w:sz="0" w:space="0" w:color="auto"/>
          </w:divBdr>
        </w:div>
        <w:div w:id="787243762">
          <w:marLeft w:val="0"/>
          <w:marRight w:val="0"/>
          <w:marTop w:val="0"/>
          <w:marBottom w:val="0"/>
          <w:divBdr>
            <w:top w:val="none" w:sz="0" w:space="0" w:color="auto"/>
            <w:left w:val="none" w:sz="0" w:space="0" w:color="auto"/>
            <w:bottom w:val="none" w:sz="0" w:space="0" w:color="auto"/>
            <w:right w:val="none" w:sz="0" w:space="0" w:color="auto"/>
          </w:divBdr>
        </w:div>
        <w:div w:id="790170626">
          <w:marLeft w:val="0"/>
          <w:marRight w:val="0"/>
          <w:marTop w:val="0"/>
          <w:marBottom w:val="0"/>
          <w:divBdr>
            <w:top w:val="none" w:sz="0" w:space="0" w:color="auto"/>
            <w:left w:val="none" w:sz="0" w:space="0" w:color="auto"/>
            <w:bottom w:val="none" w:sz="0" w:space="0" w:color="auto"/>
            <w:right w:val="none" w:sz="0" w:space="0" w:color="auto"/>
          </w:divBdr>
        </w:div>
        <w:div w:id="836654477">
          <w:marLeft w:val="0"/>
          <w:marRight w:val="0"/>
          <w:marTop w:val="0"/>
          <w:marBottom w:val="0"/>
          <w:divBdr>
            <w:top w:val="none" w:sz="0" w:space="0" w:color="auto"/>
            <w:left w:val="none" w:sz="0" w:space="0" w:color="auto"/>
            <w:bottom w:val="none" w:sz="0" w:space="0" w:color="auto"/>
            <w:right w:val="none" w:sz="0" w:space="0" w:color="auto"/>
          </w:divBdr>
        </w:div>
        <w:div w:id="1119031839">
          <w:marLeft w:val="0"/>
          <w:marRight w:val="0"/>
          <w:marTop w:val="0"/>
          <w:marBottom w:val="0"/>
          <w:divBdr>
            <w:top w:val="none" w:sz="0" w:space="0" w:color="auto"/>
            <w:left w:val="none" w:sz="0" w:space="0" w:color="auto"/>
            <w:bottom w:val="none" w:sz="0" w:space="0" w:color="auto"/>
            <w:right w:val="none" w:sz="0" w:space="0" w:color="auto"/>
          </w:divBdr>
        </w:div>
        <w:div w:id="1230457063">
          <w:marLeft w:val="0"/>
          <w:marRight w:val="0"/>
          <w:marTop w:val="0"/>
          <w:marBottom w:val="0"/>
          <w:divBdr>
            <w:top w:val="none" w:sz="0" w:space="0" w:color="auto"/>
            <w:left w:val="none" w:sz="0" w:space="0" w:color="auto"/>
            <w:bottom w:val="none" w:sz="0" w:space="0" w:color="auto"/>
            <w:right w:val="none" w:sz="0" w:space="0" w:color="auto"/>
          </w:divBdr>
        </w:div>
        <w:div w:id="1329476904">
          <w:marLeft w:val="0"/>
          <w:marRight w:val="0"/>
          <w:marTop w:val="0"/>
          <w:marBottom w:val="0"/>
          <w:divBdr>
            <w:top w:val="none" w:sz="0" w:space="0" w:color="auto"/>
            <w:left w:val="none" w:sz="0" w:space="0" w:color="auto"/>
            <w:bottom w:val="none" w:sz="0" w:space="0" w:color="auto"/>
            <w:right w:val="none" w:sz="0" w:space="0" w:color="auto"/>
          </w:divBdr>
        </w:div>
        <w:div w:id="1355767990">
          <w:marLeft w:val="0"/>
          <w:marRight w:val="0"/>
          <w:marTop w:val="0"/>
          <w:marBottom w:val="0"/>
          <w:divBdr>
            <w:top w:val="none" w:sz="0" w:space="0" w:color="auto"/>
            <w:left w:val="none" w:sz="0" w:space="0" w:color="auto"/>
            <w:bottom w:val="none" w:sz="0" w:space="0" w:color="auto"/>
            <w:right w:val="none" w:sz="0" w:space="0" w:color="auto"/>
          </w:divBdr>
        </w:div>
        <w:div w:id="1554849910">
          <w:marLeft w:val="0"/>
          <w:marRight w:val="0"/>
          <w:marTop w:val="0"/>
          <w:marBottom w:val="0"/>
          <w:divBdr>
            <w:top w:val="none" w:sz="0" w:space="0" w:color="auto"/>
            <w:left w:val="none" w:sz="0" w:space="0" w:color="auto"/>
            <w:bottom w:val="none" w:sz="0" w:space="0" w:color="auto"/>
            <w:right w:val="none" w:sz="0" w:space="0" w:color="auto"/>
          </w:divBdr>
        </w:div>
        <w:div w:id="1728534177">
          <w:marLeft w:val="0"/>
          <w:marRight w:val="0"/>
          <w:marTop w:val="0"/>
          <w:marBottom w:val="0"/>
          <w:divBdr>
            <w:top w:val="none" w:sz="0" w:space="0" w:color="auto"/>
            <w:left w:val="none" w:sz="0" w:space="0" w:color="auto"/>
            <w:bottom w:val="none" w:sz="0" w:space="0" w:color="auto"/>
            <w:right w:val="none" w:sz="0" w:space="0" w:color="auto"/>
          </w:divBdr>
        </w:div>
        <w:div w:id="1755741714">
          <w:marLeft w:val="0"/>
          <w:marRight w:val="0"/>
          <w:marTop w:val="0"/>
          <w:marBottom w:val="0"/>
          <w:divBdr>
            <w:top w:val="none" w:sz="0" w:space="0" w:color="auto"/>
            <w:left w:val="none" w:sz="0" w:space="0" w:color="auto"/>
            <w:bottom w:val="none" w:sz="0" w:space="0" w:color="auto"/>
            <w:right w:val="none" w:sz="0" w:space="0" w:color="auto"/>
          </w:divBdr>
        </w:div>
        <w:div w:id="1763601915">
          <w:marLeft w:val="0"/>
          <w:marRight w:val="0"/>
          <w:marTop w:val="0"/>
          <w:marBottom w:val="0"/>
          <w:divBdr>
            <w:top w:val="none" w:sz="0" w:space="0" w:color="auto"/>
            <w:left w:val="none" w:sz="0" w:space="0" w:color="auto"/>
            <w:bottom w:val="none" w:sz="0" w:space="0" w:color="auto"/>
            <w:right w:val="none" w:sz="0" w:space="0" w:color="auto"/>
          </w:divBdr>
        </w:div>
        <w:div w:id="1764106632">
          <w:marLeft w:val="0"/>
          <w:marRight w:val="0"/>
          <w:marTop w:val="0"/>
          <w:marBottom w:val="0"/>
          <w:divBdr>
            <w:top w:val="none" w:sz="0" w:space="0" w:color="auto"/>
            <w:left w:val="none" w:sz="0" w:space="0" w:color="auto"/>
            <w:bottom w:val="none" w:sz="0" w:space="0" w:color="auto"/>
            <w:right w:val="none" w:sz="0" w:space="0" w:color="auto"/>
          </w:divBdr>
        </w:div>
        <w:div w:id="1865747482">
          <w:marLeft w:val="0"/>
          <w:marRight w:val="0"/>
          <w:marTop w:val="0"/>
          <w:marBottom w:val="0"/>
          <w:divBdr>
            <w:top w:val="none" w:sz="0" w:space="0" w:color="auto"/>
            <w:left w:val="none" w:sz="0" w:space="0" w:color="auto"/>
            <w:bottom w:val="none" w:sz="0" w:space="0" w:color="auto"/>
            <w:right w:val="none" w:sz="0" w:space="0" w:color="auto"/>
          </w:divBdr>
        </w:div>
        <w:div w:id="1929192778">
          <w:marLeft w:val="0"/>
          <w:marRight w:val="0"/>
          <w:marTop w:val="0"/>
          <w:marBottom w:val="0"/>
          <w:divBdr>
            <w:top w:val="none" w:sz="0" w:space="0" w:color="auto"/>
            <w:left w:val="none" w:sz="0" w:space="0" w:color="auto"/>
            <w:bottom w:val="none" w:sz="0" w:space="0" w:color="auto"/>
            <w:right w:val="none" w:sz="0" w:space="0" w:color="auto"/>
          </w:divBdr>
        </w:div>
        <w:div w:id="1950120258">
          <w:marLeft w:val="0"/>
          <w:marRight w:val="0"/>
          <w:marTop w:val="0"/>
          <w:marBottom w:val="0"/>
          <w:divBdr>
            <w:top w:val="none" w:sz="0" w:space="0" w:color="auto"/>
            <w:left w:val="none" w:sz="0" w:space="0" w:color="auto"/>
            <w:bottom w:val="none" w:sz="0" w:space="0" w:color="auto"/>
            <w:right w:val="none" w:sz="0" w:space="0" w:color="auto"/>
          </w:divBdr>
        </w:div>
        <w:div w:id="1982035304">
          <w:marLeft w:val="0"/>
          <w:marRight w:val="0"/>
          <w:marTop w:val="0"/>
          <w:marBottom w:val="0"/>
          <w:divBdr>
            <w:top w:val="none" w:sz="0" w:space="0" w:color="auto"/>
            <w:left w:val="none" w:sz="0" w:space="0" w:color="auto"/>
            <w:bottom w:val="none" w:sz="0" w:space="0" w:color="auto"/>
            <w:right w:val="none" w:sz="0" w:space="0" w:color="auto"/>
          </w:divBdr>
        </w:div>
      </w:divsChild>
    </w:div>
    <w:div w:id="1362509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liker@igsenergy.com" TargetMode="External"/><Relationship Id="rId13" Type="http://schemas.openxmlformats.org/officeDocument/2006/relationships/hyperlink" Target="mailto:Patricia.Schabo@puco.ohio.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mooney@ohiopartners.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oliker@igsenergy.com" TargetMode="External"/><Relationship Id="rId14" Type="http://schemas.openxmlformats.org/officeDocument/2006/relationships/hyperlink" Target="mailto:Greg.Price@puco.ohio.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28F1EA-FA63-476E-A64C-2CF0D5B99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2979</Words>
  <Characters>16983</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2018-04-11T19:03:00Z</dcterms:created>
  <dcterms:modified xsi:type="dcterms:W3CDTF">2018-04-11T19:57:00Z</dcterms:modified>
</cp:coreProperties>
</file>