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1727F4" w:rsidRPr="00FE2A23" w:rsidP="001727F4" w14:paraId="0AB03000" w14:textId="77777777">
      <w:pPr>
        <w:spacing w:after="0" w:line="240" w:lineRule="auto"/>
        <w:jc w:val="center"/>
        <w:rPr>
          <w:rFonts w:eastAsia="Times New Roman"/>
          <w:b/>
          <w:lang w:bidi="en-US"/>
        </w:rPr>
      </w:pPr>
      <w:r w:rsidRPr="00FE2A23">
        <w:rPr>
          <w:rFonts w:eastAsia="Times New Roman"/>
          <w:b/>
          <w:lang w:bidi="en-US"/>
        </w:rPr>
        <w:t xml:space="preserve">BEFORE </w:t>
      </w:r>
    </w:p>
    <w:p w:rsidR="001727F4" w:rsidRPr="00FE2A23" w:rsidP="001727F4" w14:paraId="242E2B7F" w14:textId="77777777">
      <w:pPr>
        <w:spacing w:after="0" w:line="240" w:lineRule="auto"/>
        <w:jc w:val="center"/>
        <w:rPr>
          <w:rFonts w:eastAsia="Times New Roman"/>
          <w:b/>
          <w:lang w:bidi="en-US"/>
        </w:rPr>
      </w:pPr>
      <w:r w:rsidRPr="00FE2A23">
        <w:rPr>
          <w:rFonts w:eastAsia="Times New Roman"/>
          <w:b/>
          <w:lang w:bidi="en-US"/>
        </w:rPr>
        <w:t>THE PUBLIC UTILITIES COMMISSION OF OHIO</w:t>
      </w:r>
    </w:p>
    <w:p w:rsidR="001727F4" w:rsidRPr="00FE2A23" w:rsidP="001727F4" w14:paraId="1A476328" w14:textId="77777777">
      <w:pPr>
        <w:spacing w:after="0" w:line="240" w:lineRule="auto"/>
        <w:rPr>
          <w:rFonts w:eastAsia="Times New Roman"/>
          <w:b/>
          <w:lang w:bidi="en-US"/>
        </w:rPr>
      </w:pPr>
    </w:p>
    <w:tbl>
      <w:tblPr>
        <w:tblW w:w="9450" w:type="dxa"/>
        <w:tblLook w:val="01E0"/>
      </w:tblPr>
      <w:tblGrid>
        <w:gridCol w:w="4590"/>
        <w:gridCol w:w="360"/>
        <w:gridCol w:w="4500"/>
      </w:tblGrid>
      <w:tr w14:paraId="7C3CC45F" w14:textId="77777777" w:rsidTr="00D90433">
        <w:tblPrEx>
          <w:tblW w:w="9450" w:type="dxa"/>
          <w:tblLook w:val="01E0"/>
        </w:tblPrEx>
        <w:trPr>
          <w:trHeight w:val="807"/>
        </w:trPr>
        <w:tc>
          <w:tcPr>
            <w:tcW w:w="4590" w:type="dxa"/>
          </w:tcPr>
          <w:p w:rsidR="001727F4" w:rsidRPr="00FE2A23" w:rsidP="00D90433" w14:paraId="3FB3BBF7" w14:textId="30F243B6">
            <w:pPr>
              <w:autoSpaceDE w:val="0"/>
              <w:autoSpaceDN w:val="0"/>
              <w:adjustRightInd w:val="0"/>
              <w:spacing w:after="0" w:line="240" w:lineRule="auto"/>
              <w:rPr>
                <w:rFonts w:eastAsia="Times New Roman"/>
                <w:lang w:bidi="en-US"/>
              </w:rPr>
            </w:pPr>
            <w:r w:rsidRPr="00FE2A23">
              <w:rPr>
                <w:rFonts w:eastAsia="Times New Roman"/>
                <w:lang w:bidi="en-US"/>
              </w:rPr>
              <w:t xml:space="preserve">In the Matter of the </w:t>
            </w:r>
            <w:r>
              <w:rPr>
                <w:rFonts w:eastAsia="Times New Roman"/>
                <w:lang w:bidi="en-US"/>
              </w:rPr>
              <w:t>Commission’s Investigation of RPA Energy, Inc.’s Compliance with the Ohio Administrative Code and Potential Remedial Actions for Non-Compliance</w:t>
            </w:r>
            <w:r w:rsidR="003B1D39">
              <w:rPr>
                <w:rFonts w:eastAsia="Times New Roman"/>
                <w:lang w:bidi="en-US"/>
              </w:rPr>
              <w:t>.</w:t>
            </w:r>
          </w:p>
          <w:p w:rsidR="001727F4" w:rsidRPr="00FE2A23" w:rsidP="00D90433" w14:paraId="6D3EC2AD" w14:textId="77777777">
            <w:pPr>
              <w:autoSpaceDE w:val="0"/>
              <w:autoSpaceDN w:val="0"/>
              <w:adjustRightInd w:val="0"/>
              <w:spacing w:after="0" w:line="240" w:lineRule="auto"/>
              <w:rPr>
                <w:rFonts w:eastAsia="Times New Roman"/>
                <w:lang w:bidi="en-US"/>
              </w:rPr>
            </w:pPr>
          </w:p>
        </w:tc>
        <w:tc>
          <w:tcPr>
            <w:tcW w:w="360" w:type="dxa"/>
          </w:tcPr>
          <w:p w:rsidR="001727F4" w:rsidRPr="00FE2A23" w:rsidP="00D90433" w14:paraId="1BBF5F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FE2A23">
              <w:rPr>
                <w:rFonts w:eastAsia="Courier New"/>
              </w:rPr>
              <w:t>)</w:t>
            </w:r>
          </w:p>
          <w:p w:rsidR="001727F4" w:rsidRPr="00FE2A23" w:rsidP="00D90433" w14:paraId="17CA5C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FE2A23">
              <w:rPr>
                <w:rFonts w:eastAsia="Courier New"/>
              </w:rPr>
              <w:t>)</w:t>
            </w:r>
          </w:p>
          <w:p w:rsidR="001727F4" w:rsidRPr="00FE2A23" w:rsidP="00D90433" w14:paraId="493BAF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FE2A23">
              <w:rPr>
                <w:rFonts w:eastAsia="Courier New"/>
              </w:rPr>
              <w:t>)</w:t>
            </w:r>
          </w:p>
          <w:p w:rsidR="001727F4" w:rsidRPr="00FE2A23" w:rsidP="00D90433" w14:paraId="11C5D6F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FE2A23">
              <w:rPr>
                <w:rFonts w:eastAsia="Courier New"/>
              </w:rPr>
              <w:t>)</w:t>
            </w:r>
          </w:p>
          <w:p w:rsidR="001727F4" w:rsidP="00D90433" w14:paraId="13943CDB" w14:textId="34966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sidRPr="00FE2A23">
              <w:rPr>
                <w:rFonts w:eastAsia="Courier New"/>
              </w:rPr>
              <w:t>)</w:t>
            </w:r>
          </w:p>
          <w:p w:rsidR="001727F4" w:rsidRPr="00FE2A23" w:rsidP="00D90433" w14:paraId="38EF5F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tc>
        <w:tc>
          <w:tcPr>
            <w:tcW w:w="4500" w:type="dxa"/>
          </w:tcPr>
          <w:p w:rsidR="001727F4" w:rsidRPr="00FE2A23" w:rsidP="00D90433" w14:paraId="522C7F1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1727F4" w:rsidRPr="00FE2A23" w:rsidP="00D90433" w14:paraId="10153C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p w:rsidR="001727F4" w:rsidRPr="00FE2A23" w:rsidP="00D90433" w14:paraId="19CFFF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r>
              <w:rPr>
                <w:rFonts w:eastAsia="Courier New"/>
              </w:rPr>
              <w:t>Case No. 22-441-GE-COI</w:t>
            </w:r>
          </w:p>
          <w:p w:rsidR="001727F4" w:rsidRPr="00FE2A23" w:rsidP="00D90433" w14:paraId="5B919C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rPr>
            </w:pPr>
          </w:p>
        </w:tc>
      </w:tr>
    </w:tbl>
    <w:p w:rsidR="001727F4" w:rsidRPr="00FE2A23" w:rsidP="001727F4" w14:paraId="42465FC8" w14:textId="77777777">
      <w:pPr>
        <w:pBdr>
          <w:top w:val="single" w:sz="12" w:space="0" w:color="auto"/>
        </w:pBdr>
        <w:tabs>
          <w:tab w:val="left" w:pos="-720"/>
        </w:tabs>
        <w:suppressAutoHyphens/>
        <w:spacing w:after="0" w:line="240" w:lineRule="auto"/>
        <w:jc w:val="center"/>
        <w:rPr>
          <w:rFonts w:eastAsia="Times New Roman"/>
          <w:b/>
          <w:bCs/>
          <w:spacing w:val="-3"/>
          <w:lang w:bidi="en-US"/>
        </w:rPr>
      </w:pPr>
    </w:p>
    <w:p w:rsidR="008E2046" w:rsidP="001727F4" w14:paraId="54C8E706" w14:textId="080DED1A">
      <w:pPr>
        <w:tabs>
          <w:tab w:val="left" w:pos="4770"/>
          <w:tab w:val="left" w:pos="6480"/>
        </w:tabs>
        <w:spacing w:after="0" w:line="240" w:lineRule="auto"/>
        <w:jc w:val="center"/>
        <w:rPr>
          <w:rFonts w:eastAsia="Times New Roman"/>
          <w:b/>
          <w:lang w:bidi="en-US"/>
        </w:rPr>
      </w:pPr>
      <w:r w:rsidRPr="00FE2A23">
        <w:rPr>
          <w:rFonts w:eastAsia="Times New Roman"/>
          <w:b/>
          <w:lang w:bidi="en-US"/>
        </w:rPr>
        <w:t xml:space="preserve">MEMORANDUM CONTRA </w:t>
      </w:r>
      <w:r>
        <w:rPr>
          <w:rFonts w:eastAsia="Times New Roman"/>
          <w:b/>
          <w:lang w:bidi="en-US"/>
        </w:rPr>
        <w:t>GREEN CHOICE</w:t>
      </w:r>
      <w:r w:rsidR="00CC483C">
        <w:rPr>
          <w:rFonts w:eastAsia="Times New Roman"/>
          <w:b/>
          <w:lang w:bidi="en-US"/>
        </w:rPr>
        <w:t>’S</w:t>
      </w:r>
    </w:p>
    <w:p w:rsidR="001727F4" w:rsidRPr="00FE2A23" w:rsidP="001727F4" w14:paraId="20D54B75" w14:textId="3782F331">
      <w:pPr>
        <w:tabs>
          <w:tab w:val="left" w:pos="4770"/>
          <w:tab w:val="left" w:pos="6480"/>
        </w:tabs>
        <w:spacing w:after="0" w:line="240" w:lineRule="auto"/>
        <w:jc w:val="center"/>
        <w:rPr>
          <w:rFonts w:eastAsia="Times New Roman"/>
          <w:b/>
          <w:lang w:bidi="en-US"/>
        </w:rPr>
      </w:pPr>
      <w:r>
        <w:rPr>
          <w:rFonts w:eastAsia="Times New Roman"/>
          <w:b/>
          <w:lang w:bidi="en-US"/>
        </w:rPr>
        <w:t xml:space="preserve">MOTION TO STAY ENFORCEMENT OF </w:t>
      </w:r>
      <w:r w:rsidR="008E2046">
        <w:rPr>
          <w:rFonts w:eastAsia="Times New Roman"/>
          <w:b/>
          <w:lang w:bidi="en-US"/>
        </w:rPr>
        <w:t xml:space="preserve">THE PUCO’S </w:t>
      </w:r>
      <w:r>
        <w:rPr>
          <w:rFonts w:eastAsia="Times New Roman"/>
          <w:b/>
          <w:lang w:bidi="en-US"/>
        </w:rPr>
        <w:t>ORDER</w:t>
      </w:r>
    </w:p>
    <w:p w:rsidR="001727F4" w:rsidRPr="00FE2A23" w:rsidP="001727F4" w14:paraId="31BC8C24" w14:textId="77777777">
      <w:pPr>
        <w:tabs>
          <w:tab w:val="left" w:pos="4770"/>
          <w:tab w:val="left" w:pos="6480"/>
        </w:tabs>
        <w:spacing w:after="0" w:line="240" w:lineRule="auto"/>
        <w:jc w:val="center"/>
        <w:rPr>
          <w:rFonts w:eastAsia="Times New Roman"/>
          <w:b/>
          <w:lang w:bidi="en-US"/>
        </w:rPr>
      </w:pPr>
      <w:r w:rsidRPr="00FE2A23">
        <w:rPr>
          <w:rFonts w:eastAsia="Times New Roman"/>
          <w:b/>
          <w:lang w:bidi="en-US"/>
        </w:rPr>
        <w:t>BY</w:t>
      </w:r>
    </w:p>
    <w:p w:rsidR="001727F4" w:rsidRPr="00FE2A23" w:rsidP="001727F4" w14:paraId="2959033E" w14:textId="77777777">
      <w:pPr>
        <w:tabs>
          <w:tab w:val="left" w:pos="4770"/>
          <w:tab w:val="left" w:pos="6480"/>
        </w:tabs>
        <w:spacing w:after="0" w:line="240" w:lineRule="auto"/>
        <w:jc w:val="center"/>
        <w:rPr>
          <w:rFonts w:eastAsia="Times New Roman"/>
          <w:b/>
          <w:lang w:bidi="en-US"/>
        </w:rPr>
      </w:pPr>
      <w:r w:rsidRPr="00FE2A23">
        <w:rPr>
          <w:rFonts w:eastAsia="Times New Roman"/>
          <w:b/>
          <w:lang w:bidi="en-US"/>
        </w:rPr>
        <w:t>OFFICE OF THE OHIO CONSUMERS’ COUNSEL</w:t>
      </w:r>
    </w:p>
    <w:p w:rsidR="001727F4" w:rsidRPr="00FE2A23" w:rsidP="001727F4" w14:paraId="56DE23E9" w14:textId="77777777">
      <w:pPr>
        <w:pBdr>
          <w:bottom w:val="single" w:sz="12" w:space="1" w:color="auto"/>
        </w:pBdr>
        <w:tabs>
          <w:tab w:val="left" w:pos="-720"/>
        </w:tabs>
        <w:suppressAutoHyphens/>
        <w:spacing w:after="0" w:line="240" w:lineRule="auto"/>
        <w:jc w:val="center"/>
        <w:rPr>
          <w:rFonts w:eastAsia="Times New Roman"/>
          <w:b/>
          <w:bCs/>
          <w:spacing w:val="-3"/>
          <w:lang w:bidi="en-US"/>
        </w:rPr>
      </w:pPr>
    </w:p>
    <w:p w:rsidR="001727F4" w:rsidRPr="00FE2A23" w:rsidP="001727F4" w14:paraId="231478F0" w14:textId="77777777">
      <w:pPr>
        <w:spacing w:after="0" w:line="240" w:lineRule="auto"/>
        <w:jc w:val="center"/>
        <w:rPr>
          <w:rFonts w:eastAsia="Times New Roman"/>
          <w:b/>
          <w:lang w:bidi="en-US"/>
        </w:rPr>
      </w:pPr>
    </w:p>
    <w:p w:rsidR="004D1A3E" w:rsidRPr="004D1A3E" w:rsidP="003B1D39" w14:paraId="535286D8" w14:textId="047EB589">
      <w:pPr>
        <w:pStyle w:val="ListParagraph"/>
        <w:numPr>
          <w:ilvl w:val="0"/>
          <w:numId w:val="3"/>
        </w:numPr>
        <w:spacing w:after="0" w:line="480" w:lineRule="auto"/>
        <w:ind w:left="720"/>
        <w:rPr>
          <w:b/>
          <w:bCs/>
        </w:rPr>
      </w:pPr>
      <w:r>
        <w:rPr>
          <w:b/>
          <w:bCs/>
        </w:rPr>
        <w:t>INTRODUCTION</w:t>
      </w:r>
    </w:p>
    <w:p w:rsidR="00146D81" w:rsidP="00AF2524" w14:paraId="57B11BDD" w14:textId="74A38E01">
      <w:pPr>
        <w:spacing w:after="0" w:line="480" w:lineRule="auto"/>
        <w:ind w:firstLine="720"/>
      </w:pPr>
      <w:r>
        <w:t>Energy m</w:t>
      </w:r>
      <w:r w:rsidR="00AF2524">
        <w:t xml:space="preserve">arketer </w:t>
      </w:r>
      <w:r w:rsidR="00B87086">
        <w:t>Green Choice</w:t>
      </w:r>
      <w:r>
        <w:rPr>
          <w:rStyle w:val="FootnoteReference"/>
        </w:rPr>
        <w:footnoteReference w:id="2"/>
      </w:r>
      <w:r w:rsidR="00E44B97">
        <w:t xml:space="preserve"> misle</w:t>
      </w:r>
      <w:r w:rsidR="00AC6024">
        <w:t>d</w:t>
      </w:r>
      <w:r w:rsidR="00E44B97">
        <w:t xml:space="preserve"> and dece</w:t>
      </w:r>
      <w:r w:rsidR="00AC6024">
        <w:t xml:space="preserve">ived </w:t>
      </w:r>
      <w:r w:rsidR="00AF2524">
        <w:t>Ohioans</w:t>
      </w:r>
      <w:r w:rsidR="00AC6024">
        <w:t xml:space="preserve"> when soliciting and enrolling them in</w:t>
      </w:r>
      <w:r w:rsidR="00AF2524">
        <w:t xml:space="preserve"> natural gas and electric </w:t>
      </w:r>
      <w:r w:rsidR="00AC6024">
        <w:t>service</w:t>
      </w:r>
      <w:r w:rsidR="00E44B97">
        <w:t>.</w:t>
      </w:r>
      <w:r>
        <w:rPr>
          <w:rStyle w:val="FootnoteReference"/>
        </w:rPr>
        <w:footnoteReference w:id="3"/>
      </w:r>
      <w:r w:rsidR="00B87086">
        <w:t xml:space="preserve"> </w:t>
      </w:r>
      <w:r w:rsidR="00EB37F5">
        <w:t xml:space="preserve">A recent </w:t>
      </w:r>
      <w:r w:rsidR="00B87086">
        <w:t>PUCO</w:t>
      </w:r>
      <w:r w:rsidR="00EB37F5">
        <w:t xml:space="preserve"> order</w:t>
      </w:r>
      <w:r>
        <w:t xml:space="preserve"> </w:t>
      </w:r>
      <w:r w:rsidR="00EB37F5">
        <w:t>put</w:t>
      </w:r>
      <w:r w:rsidR="00AF2524">
        <w:t xml:space="preserve"> an end to Green Choice’s abuse of consumers</w:t>
      </w:r>
      <w:r>
        <w:t xml:space="preserve"> </w:t>
      </w:r>
      <w:r w:rsidR="00EB37F5">
        <w:t xml:space="preserve">by </w:t>
      </w:r>
      <w:r w:rsidR="00B87086">
        <w:t>revok</w:t>
      </w:r>
      <w:r w:rsidR="00EB37F5">
        <w:t>ing</w:t>
      </w:r>
      <w:r w:rsidR="00B87086">
        <w:t xml:space="preserve"> Green Choice’s certificates to market natural gas and electric service </w:t>
      </w:r>
      <w:r w:rsidR="00AC6024">
        <w:t>in Ohio</w:t>
      </w:r>
      <w:r w:rsidR="00EB37F5">
        <w:t>.</w:t>
      </w:r>
      <w:r>
        <w:rPr>
          <w:rStyle w:val="FootnoteReference"/>
        </w:rPr>
        <w:footnoteReference w:id="4"/>
      </w:r>
      <w:r w:rsidR="00AF2524">
        <w:t xml:space="preserve"> </w:t>
      </w:r>
      <w:r w:rsidR="00380564">
        <w:t xml:space="preserve">The PUCO also </w:t>
      </w:r>
      <w:r w:rsidR="00AF2524">
        <w:t>order</w:t>
      </w:r>
      <w:r w:rsidR="00380564">
        <w:t>ed</w:t>
      </w:r>
      <w:r w:rsidR="00A1430D">
        <w:t xml:space="preserve"> Green Choice to</w:t>
      </w:r>
      <w:r w:rsidR="00246A38">
        <w:t xml:space="preserve"> re-rate consumers</w:t>
      </w:r>
      <w:r w:rsidR="00380564">
        <w:t xml:space="preserve"> and</w:t>
      </w:r>
      <w:r w:rsidR="00063AEA">
        <w:t xml:space="preserve"> to pay </w:t>
      </w:r>
      <w:r w:rsidR="00AF2524">
        <w:t>$1 million</w:t>
      </w:r>
      <w:r w:rsidR="00063AEA">
        <w:t xml:space="preserve"> </w:t>
      </w:r>
      <w:r w:rsidR="00380564">
        <w:t>(</w:t>
      </w:r>
      <w:r>
        <w:t>towar</w:t>
      </w:r>
      <w:r w:rsidR="00380564">
        <w:t>d</w:t>
      </w:r>
      <w:r>
        <w:t xml:space="preserve"> a total </w:t>
      </w:r>
      <w:r w:rsidR="00063AEA">
        <w:t>$1.44 million</w:t>
      </w:r>
      <w:r w:rsidR="00380564">
        <w:t>)</w:t>
      </w:r>
      <w:r w:rsidR="00063AEA">
        <w:t xml:space="preserve"> forfeiture.</w:t>
      </w:r>
      <w:r>
        <w:rPr>
          <w:rStyle w:val="FootnoteReference"/>
        </w:rPr>
        <w:footnoteReference w:id="5"/>
      </w:r>
      <w:r>
        <w:t xml:space="preserve"> Under R.C. 4903.15</w:t>
      </w:r>
      <w:r w:rsidR="00857CF6">
        <w:t>,</w:t>
      </w:r>
      <w:r>
        <w:t xml:space="preserve"> </w:t>
      </w:r>
      <w:r w:rsidR="00A71A9E">
        <w:t>the</w:t>
      </w:r>
      <w:r>
        <w:t xml:space="preserve"> PUCO’s Order should be enforced without delay. </w:t>
      </w:r>
    </w:p>
    <w:p w:rsidR="003B1D39" w:rsidP="003B1D39" w14:paraId="1C62DACA" w14:textId="17704995">
      <w:pPr>
        <w:spacing w:after="0" w:line="480" w:lineRule="auto"/>
        <w:ind w:firstLine="720"/>
      </w:pPr>
      <w:r>
        <w:t>Green Choi</w:t>
      </w:r>
      <w:r w:rsidR="00A11617">
        <w:t xml:space="preserve">ce </w:t>
      </w:r>
      <w:r w:rsidR="00AC6024">
        <w:t xml:space="preserve">filed a Motion to Stay the </w:t>
      </w:r>
      <w:r w:rsidR="00B05957">
        <w:t xml:space="preserve">enforcement of </w:t>
      </w:r>
      <w:r w:rsidR="00AC6024">
        <w:t>the PUCO’s</w:t>
      </w:r>
      <w:r w:rsidR="00B05957">
        <w:t xml:space="preserve"> </w:t>
      </w:r>
      <w:r w:rsidR="00F14827">
        <w:t>Order.</w:t>
      </w:r>
      <w:r>
        <w:rPr>
          <w:rStyle w:val="FootnoteReference"/>
        </w:rPr>
        <w:footnoteReference w:id="6"/>
      </w:r>
      <w:r w:rsidR="00AC6024">
        <w:t xml:space="preserve"> </w:t>
      </w:r>
      <w:r w:rsidR="00AF2524">
        <w:t xml:space="preserve">The </w:t>
      </w:r>
      <w:r w:rsidR="00AC6024">
        <w:t xml:space="preserve">Motion </w:t>
      </w:r>
      <w:r w:rsidR="000251D0">
        <w:t>to</w:t>
      </w:r>
      <w:r w:rsidR="00AC6024">
        <w:t xml:space="preserve"> Stay should be denied.</w:t>
      </w:r>
      <w:r w:rsidR="00345C7B">
        <w:t xml:space="preserve"> </w:t>
      </w:r>
      <w:r w:rsidR="00FC2A42">
        <w:t>T</w:t>
      </w:r>
      <w:r w:rsidR="00345C7B">
        <w:t xml:space="preserve">he PUCO </w:t>
      </w:r>
      <w:r w:rsidR="00380564">
        <w:t xml:space="preserve">correctly determined </w:t>
      </w:r>
      <w:r w:rsidR="00FC2A42">
        <w:t>that making</w:t>
      </w:r>
      <w:r w:rsidR="00345C7B">
        <w:t xml:space="preserve"> consumers harmed by Green Choice </w:t>
      </w:r>
      <w:r w:rsidR="00FC2A42">
        <w:t>“</w:t>
      </w:r>
      <w:r w:rsidR="00345C7B">
        <w:t>whole</w:t>
      </w:r>
      <w:r w:rsidR="00FC2A42">
        <w:t xml:space="preserve"> is of paramount importance</w:t>
      </w:r>
      <w:r w:rsidR="00345C7B">
        <w:t>.</w:t>
      </w:r>
      <w:r w:rsidR="00FC2A42">
        <w:t>”</w:t>
      </w:r>
      <w:r>
        <w:rPr>
          <w:rStyle w:val="FootnoteReference"/>
        </w:rPr>
        <w:footnoteReference w:id="7"/>
      </w:r>
      <w:r>
        <w:t xml:space="preserve"> </w:t>
      </w:r>
      <w:r w:rsidRPr="00063AEA" w:rsidR="00063AEA">
        <w:rPr>
          <w:b/>
          <w:bCs/>
          <w:i/>
          <w:iCs/>
        </w:rPr>
        <w:t>Ohio consumers victimized by Green Choice deserve justice</w:t>
      </w:r>
      <w:r w:rsidR="00063AEA">
        <w:t xml:space="preserve"> </w:t>
      </w:r>
      <w:r w:rsidRPr="00063AEA" w:rsidR="00063AEA">
        <w:rPr>
          <w:b/>
          <w:bCs/>
          <w:i/>
          <w:iCs/>
        </w:rPr>
        <w:t>now</w:t>
      </w:r>
      <w:r w:rsidR="00380564">
        <w:t>.</w:t>
      </w:r>
      <w:r>
        <w:t xml:space="preserve"> </w:t>
      </w:r>
      <w:r>
        <w:br w:type="page"/>
      </w:r>
    </w:p>
    <w:p w:rsidR="001727F4" w:rsidRPr="00063AEA" w:rsidP="003B1D39" w14:paraId="02962044" w14:textId="216F7531">
      <w:pPr>
        <w:pStyle w:val="ListParagraph"/>
        <w:numPr>
          <w:ilvl w:val="0"/>
          <w:numId w:val="3"/>
        </w:numPr>
        <w:spacing w:after="0" w:line="480" w:lineRule="auto"/>
        <w:ind w:left="720"/>
        <w:rPr>
          <w:b/>
          <w:bCs/>
        </w:rPr>
      </w:pPr>
      <w:bookmarkStart w:id="0" w:name="_Toc150175681"/>
      <w:r w:rsidRPr="00063AEA">
        <w:rPr>
          <w:b/>
          <w:bCs/>
        </w:rPr>
        <w:t>ARGUMENT</w:t>
      </w:r>
      <w:bookmarkEnd w:id="0"/>
    </w:p>
    <w:p w:rsidR="00A71A9E" w:rsidP="00B05957" w14:paraId="4F33C949" w14:textId="4E95929D">
      <w:pPr>
        <w:spacing w:after="0" w:line="480" w:lineRule="auto"/>
        <w:ind w:firstLine="720"/>
        <w:rPr>
          <w:rFonts w:eastAsia="Times New Roman"/>
          <w:bCs/>
          <w:lang w:bidi="en-US"/>
        </w:rPr>
      </w:pPr>
      <w:r>
        <w:rPr>
          <w:rFonts w:eastAsia="Times New Roman"/>
          <w:bCs/>
          <w:lang w:bidi="en-US"/>
        </w:rPr>
        <w:t xml:space="preserve">There is no basis for staying the PUCO’s Order. </w:t>
      </w:r>
      <w:r w:rsidR="001445AA">
        <w:rPr>
          <w:rFonts w:eastAsia="Times New Roman"/>
          <w:bCs/>
          <w:lang w:bidi="en-US"/>
        </w:rPr>
        <w:t xml:space="preserve">R.C. 4903.15 provides that “[u]less a different time is specified therein or by law, every order made by the [PUCO] </w:t>
      </w:r>
      <w:r w:rsidRPr="00FB7638" w:rsidR="001445AA">
        <w:rPr>
          <w:rFonts w:eastAsia="Times New Roman"/>
          <w:b/>
          <w:i/>
          <w:iCs/>
          <w:lang w:bidi="en-US"/>
        </w:rPr>
        <w:t>shall become effective immediately</w:t>
      </w:r>
      <w:r w:rsidR="001445AA">
        <w:rPr>
          <w:rFonts w:eastAsia="Times New Roman"/>
          <w:bCs/>
          <w:lang w:bidi="en-US"/>
        </w:rPr>
        <w:t xml:space="preserve"> upon entry thereof upon the journal of the [PUCO]</w:t>
      </w:r>
      <w:r w:rsidR="00FB7638">
        <w:rPr>
          <w:rFonts w:eastAsia="Times New Roman"/>
          <w:bCs/>
          <w:lang w:bidi="en-US"/>
        </w:rPr>
        <w:t>.</w:t>
      </w:r>
      <w:r w:rsidR="001445AA">
        <w:rPr>
          <w:rFonts w:eastAsia="Times New Roman"/>
          <w:bCs/>
          <w:lang w:bidi="en-US"/>
        </w:rPr>
        <w:t>”</w:t>
      </w:r>
      <w:r>
        <w:rPr>
          <w:rStyle w:val="FootnoteReference"/>
          <w:rFonts w:eastAsia="Times New Roman"/>
          <w:bCs/>
          <w:lang w:bidi="en-US"/>
        </w:rPr>
        <w:footnoteReference w:id="8"/>
      </w:r>
      <w:r>
        <w:rPr>
          <w:rFonts w:eastAsia="Times New Roman"/>
          <w:bCs/>
          <w:lang w:bidi="en-US"/>
        </w:rPr>
        <w:t xml:space="preserve"> Under R.C. 4903.10, an application for rehearing of a PUCO order typically </w:t>
      </w:r>
      <w:r>
        <w:rPr>
          <w:rFonts w:eastAsia="Times New Roman"/>
          <w:bCs/>
          <w:lang w:bidi="en-US"/>
        </w:rPr>
        <w:t>will</w:t>
      </w:r>
      <w:r>
        <w:rPr>
          <w:rFonts w:eastAsia="Times New Roman"/>
          <w:bCs/>
          <w:lang w:bidi="en-US"/>
        </w:rPr>
        <w:t xml:space="preserve"> not “operate to stay or postpone the enforcement thereof, without a special order of the [PUCO].”</w:t>
      </w:r>
      <w:r w:rsidR="00063AEA">
        <w:rPr>
          <w:rFonts w:eastAsia="Times New Roman"/>
          <w:bCs/>
          <w:lang w:bidi="en-US"/>
        </w:rPr>
        <w:t xml:space="preserve"> </w:t>
      </w:r>
      <w:r w:rsidR="00963588">
        <w:rPr>
          <w:rFonts w:eastAsia="Times New Roman"/>
          <w:bCs/>
          <w:lang w:bidi="en-US"/>
        </w:rPr>
        <w:t xml:space="preserve">Green Choice acknowledges </w:t>
      </w:r>
      <w:r w:rsidR="00F94CD1">
        <w:rPr>
          <w:rFonts w:eastAsia="Times New Roman"/>
          <w:bCs/>
          <w:lang w:bidi="en-US"/>
        </w:rPr>
        <w:t>Ohio law</w:t>
      </w:r>
      <w:r w:rsidR="00963588">
        <w:rPr>
          <w:rFonts w:eastAsia="Times New Roman"/>
          <w:bCs/>
          <w:lang w:bidi="en-US"/>
        </w:rPr>
        <w:t xml:space="preserve"> but argues that a “special order” by the PUCO staying enforcement of the Order is </w:t>
      </w:r>
      <w:r w:rsidR="00857CF6">
        <w:rPr>
          <w:rFonts w:eastAsia="Times New Roman"/>
          <w:bCs/>
          <w:lang w:bidi="en-US"/>
        </w:rPr>
        <w:t>warranted</w:t>
      </w:r>
      <w:r w:rsidR="00963588">
        <w:rPr>
          <w:rFonts w:eastAsia="Times New Roman"/>
          <w:bCs/>
          <w:lang w:bidi="en-US"/>
        </w:rPr>
        <w:t xml:space="preserve">. Green Choice is wrong. </w:t>
      </w:r>
    </w:p>
    <w:p w:rsidR="00095389" w:rsidP="00B05957" w14:paraId="45D9E523" w14:textId="2B702360">
      <w:pPr>
        <w:spacing w:after="0" w:line="480" w:lineRule="auto"/>
        <w:ind w:firstLine="720"/>
        <w:rPr>
          <w:lang w:bidi="en-US"/>
        </w:rPr>
      </w:pPr>
      <w:r>
        <w:rPr>
          <w:rFonts w:eastAsia="Times New Roman"/>
          <w:bCs/>
          <w:lang w:bidi="en-US"/>
        </w:rPr>
        <w:t>When considering whether to grant a motion to stay enforcement of an order, t</w:t>
      </w:r>
      <w:r w:rsidRPr="001727F4">
        <w:rPr>
          <w:rFonts w:eastAsia="Times New Roman"/>
          <w:bCs/>
          <w:lang w:bidi="en-US"/>
        </w:rPr>
        <w:t xml:space="preserve">he PUCO </w:t>
      </w:r>
      <w:r w:rsidR="00857CF6">
        <w:rPr>
          <w:rFonts w:eastAsia="Times New Roman"/>
          <w:bCs/>
          <w:lang w:bidi="en-US"/>
        </w:rPr>
        <w:t xml:space="preserve">will </w:t>
      </w:r>
      <w:r w:rsidRPr="001727F4">
        <w:rPr>
          <w:rFonts w:eastAsia="Times New Roman"/>
          <w:bCs/>
          <w:lang w:bidi="en-US"/>
        </w:rPr>
        <w:t>consider</w:t>
      </w:r>
      <w:r>
        <w:rPr>
          <w:rFonts w:eastAsia="Times New Roman"/>
          <w:bCs/>
          <w:lang w:bidi="en-US"/>
        </w:rPr>
        <w:t xml:space="preserve"> four factors</w:t>
      </w:r>
      <w:r w:rsidRPr="001727F4">
        <w:rPr>
          <w:rFonts w:eastAsia="Times New Roman"/>
          <w:bCs/>
          <w:lang w:bidi="en-US"/>
        </w:rPr>
        <w:t xml:space="preserve">: </w:t>
      </w:r>
      <w:r w:rsidR="009335AE">
        <w:rPr>
          <w:rFonts w:eastAsia="Times New Roman"/>
          <w:bCs/>
          <w:lang w:bidi="en-US"/>
        </w:rPr>
        <w:t>(</w:t>
      </w:r>
      <w:r w:rsidRPr="00095389">
        <w:rPr>
          <w:rFonts w:eastAsia="Times New Roman"/>
          <w:bCs/>
          <w:lang w:bidi="en-US"/>
        </w:rPr>
        <w:t xml:space="preserve">1) </w:t>
      </w:r>
      <w:r w:rsidR="009335AE">
        <w:rPr>
          <w:rFonts w:eastAsia="Times New Roman"/>
          <w:bCs/>
          <w:lang w:bidi="en-US"/>
        </w:rPr>
        <w:t>w</w:t>
      </w:r>
      <w:r w:rsidRPr="00095389">
        <w:rPr>
          <w:rFonts w:eastAsia="Times New Roman"/>
          <w:bCs/>
          <w:lang w:bidi="en-US"/>
        </w:rPr>
        <w:t>hether there has been a strong showing that the party seeking the stay is likely to prevail on the merits;</w:t>
      </w:r>
      <w:r w:rsidR="009335AE">
        <w:rPr>
          <w:rFonts w:eastAsia="Times New Roman"/>
          <w:bCs/>
          <w:lang w:bidi="en-US"/>
        </w:rPr>
        <w:t xml:space="preserve"> </w:t>
      </w:r>
      <w:r w:rsidRPr="00095389">
        <w:rPr>
          <w:rFonts w:eastAsia="Times New Roman"/>
          <w:bCs/>
          <w:lang w:bidi="en-US"/>
        </w:rPr>
        <w:t xml:space="preserve">(2) </w:t>
      </w:r>
      <w:r w:rsidR="009335AE">
        <w:rPr>
          <w:rFonts w:eastAsia="Times New Roman"/>
          <w:bCs/>
          <w:lang w:bidi="en-US"/>
        </w:rPr>
        <w:t>w</w:t>
      </w:r>
      <w:r w:rsidRPr="00095389">
        <w:rPr>
          <w:rFonts w:eastAsia="Times New Roman"/>
          <w:bCs/>
          <w:lang w:bidi="en-US"/>
        </w:rPr>
        <w:t>hether the party seeking the stay has shown that it would suffer irreparable harm absent the stay;</w:t>
      </w:r>
      <w:r w:rsidR="009335AE">
        <w:rPr>
          <w:rFonts w:eastAsia="Times New Roman"/>
          <w:bCs/>
          <w:lang w:bidi="en-US"/>
        </w:rPr>
        <w:t xml:space="preserve"> </w:t>
      </w:r>
      <w:r w:rsidRPr="00095389">
        <w:rPr>
          <w:rFonts w:eastAsia="Times New Roman"/>
          <w:bCs/>
          <w:lang w:bidi="en-US"/>
        </w:rPr>
        <w:t xml:space="preserve">(3) </w:t>
      </w:r>
      <w:r w:rsidR="009335AE">
        <w:rPr>
          <w:rFonts w:eastAsia="Times New Roman"/>
          <w:bCs/>
          <w:lang w:bidi="en-US"/>
        </w:rPr>
        <w:t>w</w:t>
      </w:r>
      <w:r w:rsidRPr="00095389">
        <w:rPr>
          <w:rFonts w:eastAsia="Times New Roman"/>
          <w:bCs/>
          <w:lang w:bidi="en-US"/>
        </w:rPr>
        <w:t>hether the stay would cause substantial harm to other parties; and</w:t>
      </w:r>
      <w:r w:rsidR="009335AE">
        <w:rPr>
          <w:rFonts w:eastAsia="Times New Roman"/>
          <w:bCs/>
          <w:lang w:bidi="en-US"/>
        </w:rPr>
        <w:t xml:space="preserve"> </w:t>
      </w:r>
      <w:r w:rsidRPr="00095389">
        <w:rPr>
          <w:lang w:bidi="en-US"/>
        </w:rPr>
        <w:t xml:space="preserve">(4) </w:t>
      </w:r>
      <w:r w:rsidR="009335AE">
        <w:rPr>
          <w:lang w:bidi="en-US"/>
        </w:rPr>
        <w:t>w</w:t>
      </w:r>
      <w:r w:rsidRPr="00095389">
        <w:rPr>
          <w:lang w:bidi="en-US"/>
        </w:rPr>
        <w:t>here lies the public interest</w:t>
      </w:r>
      <w:r>
        <w:rPr>
          <w:lang w:bidi="en-US"/>
        </w:rPr>
        <w:t>.</w:t>
      </w:r>
      <w:r w:rsidRPr="00095389">
        <w:rPr>
          <w:vertAlign w:val="superscript"/>
          <w:lang w:bidi="en-US"/>
        </w:rPr>
        <w:t xml:space="preserve"> </w:t>
      </w:r>
      <w:r>
        <w:rPr>
          <w:vertAlign w:val="superscript"/>
          <w:lang w:bidi="en-US"/>
        </w:rPr>
        <w:footnoteReference w:id="9"/>
      </w:r>
      <w:r w:rsidR="003B1D39">
        <w:rPr>
          <w:vertAlign w:val="superscript"/>
          <w:lang w:bidi="en-US"/>
        </w:rPr>
        <w:t xml:space="preserve"> </w:t>
      </w:r>
      <w:r w:rsidR="00B05957">
        <w:rPr>
          <w:lang w:bidi="en-US"/>
        </w:rPr>
        <w:t xml:space="preserve">Green Choice’s Motion </w:t>
      </w:r>
      <w:r w:rsidR="000251D0">
        <w:rPr>
          <w:lang w:bidi="en-US"/>
        </w:rPr>
        <w:t>to</w:t>
      </w:r>
      <w:r w:rsidR="00B05957">
        <w:rPr>
          <w:lang w:bidi="en-US"/>
        </w:rPr>
        <w:t xml:space="preserve"> Stay </w:t>
      </w:r>
      <w:r w:rsidR="00063AEA">
        <w:rPr>
          <w:lang w:bidi="en-US"/>
        </w:rPr>
        <w:t>fails all four factors.</w:t>
      </w:r>
      <w:r w:rsidR="00B05957">
        <w:rPr>
          <w:lang w:bidi="en-US"/>
        </w:rPr>
        <w:t xml:space="preserve"> </w:t>
      </w:r>
      <w:r w:rsidR="00963588">
        <w:rPr>
          <w:lang w:bidi="en-US"/>
        </w:rPr>
        <w:t>There is al</w:t>
      </w:r>
      <w:r w:rsidR="00F94CD1">
        <w:rPr>
          <w:lang w:bidi="en-US"/>
        </w:rPr>
        <w:t>so</w:t>
      </w:r>
      <w:r w:rsidR="00963588">
        <w:rPr>
          <w:lang w:bidi="en-US"/>
        </w:rPr>
        <w:t xml:space="preserve"> no good cause for delaying enforcement of the Order. Green Choice’s Motion to Stay should be denied. </w:t>
      </w:r>
    </w:p>
    <w:p w:rsidR="00063AEA" w:rsidP="003B1D39" w14:paraId="53BC983D" w14:textId="48C2D2A3">
      <w:pPr>
        <w:pStyle w:val="Heading2"/>
      </w:pPr>
      <w:bookmarkStart w:id="1" w:name="_Toc150175682"/>
      <w:r>
        <w:t>Green Choice</w:t>
      </w:r>
      <w:r w:rsidR="00A6111E">
        <w:t xml:space="preserve"> admits that it</w:t>
      </w:r>
      <w:r>
        <w:t xml:space="preserve"> is unlikely to </w:t>
      </w:r>
      <w:r w:rsidR="00F94CD1">
        <w:t>succeed</w:t>
      </w:r>
      <w:r>
        <w:t xml:space="preserve"> </w:t>
      </w:r>
      <w:r w:rsidRPr="001C0D08" w:rsidR="00ED6770">
        <w:t>on the merits</w:t>
      </w:r>
      <w:r>
        <w:t xml:space="preserve"> if it seeks rehearing of the PUCO’s Order</w:t>
      </w:r>
      <w:r w:rsidRPr="001C0D08" w:rsidR="00ED6770">
        <w:t>.</w:t>
      </w:r>
      <w:bookmarkEnd w:id="1"/>
    </w:p>
    <w:p w:rsidR="003B1D39" w:rsidP="003B1D39" w14:paraId="181B72FF" w14:textId="77777777">
      <w:pPr>
        <w:widowControl w:val="0"/>
        <w:spacing w:after="0" w:line="240" w:lineRule="auto"/>
        <w:rPr>
          <w:rFonts w:eastAsia="Times New Roman"/>
          <w:bCs/>
          <w:lang w:bidi="en-US"/>
        </w:rPr>
      </w:pPr>
    </w:p>
    <w:p w:rsidR="003B1D39" w:rsidP="003B1D39" w14:paraId="6846EBDA" w14:textId="03D2FDD0">
      <w:pPr>
        <w:widowControl w:val="0"/>
        <w:spacing w:after="0" w:line="480" w:lineRule="auto"/>
        <w:rPr>
          <w:rFonts w:eastAsia="Times New Roman"/>
          <w:bCs/>
          <w:lang w:bidi="en-US"/>
        </w:rPr>
      </w:pPr>
      <w:r>
        <w:rPr>
          <w:rFonts w:eastAsia="Times New Roman"/>
          <w:bCs/>
          <w:lang w:bidi="en-US"/>
        </w:rPr>
        <w:tab/>
      </w:r>
      <w:r w:rsidR="00055385">
        <w:rPr>
          <w:rFonts w:eastAsia="Times New Roman"/>
          <w:bCs/>
          <w:lang w:bidi="en-US"/>
        </w:rPr>
        <w:t xml:space="preserve">Green Choice </w:t>
      </w:r>
      <w:r w:rsidR="00A74744">
        <w:rPr>
          <w:rFonts w:eastAsia="Times New Roman"/>
          <w:bCs/>
          <w:lang w:bidi="en-US"/>
        </w:rPr>
        <w:t>is unlikely to prevail on the merits if it seeks rehearing</w:t>
      </w:r>
      <w:r w:rsidR="00857CF6">
        <w:rPr>
          <w:rFonts w:eastAsia="Times New Roman"/>
          <w:bCs/>
          <w:lang w:bidi="en-US"/>
        </w:rPr>
        <w:t xml:space="preserve"> of the Order.</w:t>
      </w:r>
      <w:r w:rsidR="00A74744">
        <w:rPr>
          <w:rFonts w:eastAsia="Times New Roman"/>
          <w:bCs/>
          <w:lang w:bidi="en-US"/>
        </w:rPr>
        <w:t xml:space="preserve"> Green Choice</w:t>
      </w:r>
      <w:r w:rsidR="0091786D">
        <w:rPr>
          <w:rFonts w:eastAsia="Times New Roman"/>
          <w:bCs/>
          <w:lang w:bidi="en-US"/>
        </w:rPr>
        <w:t xml:space="preserve"> itself</w:t>
      </w:r>
      <w:r w:rsidR="00A74744">
        <w:rPr>
          <w:rFonts w:eastAsia="Times New Roman"/>
          <w:bCs/>
          <w:lang w:bidi="en-US"/>
        </w:rPr>
        <w:t xml:space="preserve"> </w:t>
      </w:r>
      <w:r w:rsidR="00F94CD1">
        <w:rPr>
          <w:rFonts w:eastAsia="Times New Roman"/>
          <w:bCs/>
          <w:lang w:bidi="en-US"/>
        </w:rPr>
        <w:t>states</w:t>
      </w:r>
      <w:r w:rsidR="00A74744">
        <w:rPr>
          <w:rFonts w:eastAsia="Times New Roman"/>
          <w:bCs/>
          <w:lang w:bidi="en-US"/>
        </w:rPr>
        <w:t xml:space="preserve"> that </w:t>
      </w:r>
      <w:r w:rsidR="00595236">
        <w:rPr>
          <w:rFonts w:eastAsia="Times New Roman"/>
          <w:bCs/>
          <w:lang w:bidi="en-US"/>
        </w:rPr>
        <w:t xml:space="preserve">“it is safe to assume the </w:t>
      </w:r>
      <w:r w:rsidR="00625A18">
        <w:rPr>
          <w:rFonts w:eastAsia="Times New Roman"/>
          <w:bCs/>
          <w:lang w:bidi="en-US"/>
        </w:rPr>
        <w:t>[PUCO]</w:t>
      </w:r>
      <w:r w:rsidR="00595236">
        <w:rPr>
          <w:rFonts w:eastAsia="Times New Roman"/>
          <w:bCs/>
          <w:lang w:bidi="en-US"/>
        </w:rPr>
        <w:t xml:space="preserve"> would rule for itself on issues related to the merits of the Order.”</w:t>
      </w:r>
      <w:r>
        <w:rPr>
          <w:rStyle w:val="FootnoteReference"/>
          <w:rFonts w:eastAsia="Times New Roman"/>
          <w:bCs/>
          <w:lang w:bidi="en-US"/>
        </w:rPr>
        <w:footnoteReference w:id="10"/>
      </w:r>
      <w:r w:rsidR="00595236">
        <w:rPr>
          <w:rFonts w:eastAsia="Times New Roman"/>
          <w:bCs/>
          <w:lang w:bidi="en-US"/>
        </w:rPr>
        <w:t xml:space="preserve"> </w:t>
      </w:r>
      <w:r w:rsidR="0091786D">
        <w:rPr>
          <w:rFonts w:eastAsia="Times New Roman"/>
          <w:bCs/>
          <w:lang w:bidi="en-US"/>
        </w:rPr>
        <w:t xml:space="preserve">Green Choice’s Motion </w:t>
      </w:r>
      <w:r w:rsidR="000251D0">
        <w:rPr>
          <w:rFonts w:eastAsia="Times New Roman"/>
          <w:bCs/>
          <w:lang w:bidi="en-US"/>
        </w:rPr>
        <w:t>to</w:t>
      </w:r>
      <w:r w:rsidR="0091786D">
        <w:rPr>
          <w:rFonts w:eastAsia="Times New Roman"/>
          <w:bCs/>
          <w:lang w:bidi="en-US"/>
        </w:rPr>
        <w:t xml:space="preserve"> Stay should be denied.</w:t>
      </w:r>
      <w:r>
        <w:rPr>
          <w:rFonts w:eastAsia="Times New Roman"/>
          <w:bCs/>
          <w:lang w:bidi="en-US"/>
        </w:rPr>
        <w:br w:type="page"/>
      </w:r>
    </w:p>
    <w:p w:rsidR="00AC6998" w:rsidP="00625A18" w14:paraId="7567952B" w14:textId="3EC7AAF1">
      <w:pPr>
        <w:widowControl w:val="0"/>
        <w:spacing w:after="0" w:line="480" w:lineRule="auto"/>
        <w:rPr>
          <w:rFonts w:eastAsia="Times New Roman"/>
          <w:bCs/>
          <w:lang w:bidi="en-US"/>
        </w:rPr>
      </w:pPr>
      <w:r>
        <w:rPr>
          <w:rFonts w:eastAsia="Times New Roman"/>
          <w:bCs/>
          <w:lang w:bidi="en-US"/>
        </w:rPr>
        <w:tab/>
      </w:r>
      <w:r w:rsidR="00F94CD1">
        <w:rPr>
          <w:rFonts w:eastAsia="Times New Roman"/>
          <w:bCs/>
          <w:lang w:bidi="en-US"/>
        </w:rPr>
        <w:t>According to Green Choice,</w:t>
      </w:r>
      <w:r w:rsidR="00625A18">
        <w:rPr>
          <w:rFonts w:eastAsia="Times New Roman"/>
          <w:bCs/>
          <w:lang w:bidi="en-US"/>
        </w:rPr>
        <w:t xml:space="preserve"> the Order should be stayed because </w:t>
      </w:r>
      <w:r>
        <w:rPr>
          <w:rFonts w:eastAsia="Times New Roman"/>
          <w:bCs/>
          <w:lang w:bidi="en-US"/>
        </w:rPr>
        <w:t>“the Order must be clarified”</w:t>
      </w:r>
      <w:r w:rsidR="00021DC5">
        <w:rPr>
          <w:rFonts w:eastAsia="Times New Roman"/>
          <w:bCs/>
          <w:lang w:bidi="en-US"/>
        </w:rPr>
        <w:t xml:space="preserve"> with respect to customer re-rates.</w:t>
      </w:r>
      <w:r>
        <w:rPr>
          <w:rStyle w:val="FootnoteReference"/>
          <w:rFonts w:eastAsia="Times New Roman"/>
          <w:bCs/>
          <w:lang w:bidi="en-US"/>
        </w:rPr>
        <w:footnoteReference w:id="11"/>
      </w:r>
      <w:r>
        <w:rPr>
          <w:rFonts w:eastAsia="Times New Roman"/>
          <w:bCs/>
          <w:lang w:bidi="en-US"/>
        </w:rPr>
        <w:t xml:space="preserve"> </w:t>
      </w:r>
      <w:r w:rsidR="00963588">
        <w:rPr>
          <w:rFonts w:eastAsia="Times New Roman"/>
          <w:bCs/>
          <w:lang w:bidi="en-US"/>
        </w:rPr>
        <w:t>But the PUCO’s</w:t>
      </w:r>
      <w:r w:rsidR="00625A18">
        <w:rPr>
          <w:rFonts w:eastAsia="Times New Roman"/>
          <w:bCs/>
          <w:lang w:bidi="en-US"/>
        </w:rPr>
        <w:t xml:space="preserve"> Order </w:t>
      </w:r>
      <w:r w:rsidRPr="00857CF6" w:rsidR="00625A18">
        <w:rPr>
          <w:rFonts w:eastAsia="Times New Roman"/>
          <w:b/>
          <w:i/>
          <w:iCs/>
          <w:lang w:bidi="en-US"/>
        </w:rPr>
        <w:t>is</w:t>
      </w:r>
      <w:r w:rsidR="00625A18">
        <w:rPr>
          <w:rFonts w:eastAsia="Times New Roman"/>
          <w:bCs/>
          <w:lang w:bidi="en-US"/>
        </w:rPr>
        <w:t xml:space="preserve"> clear.</w:t>
      </w:r>
      <w:r w:rsidR="00021DC5">
        <w:rPr>
          <w:rFonts w:eastAsia="Times New Roman"/>
          <w:bCs/>
          <w:lang w:bidi="en-US"/>
        </w:rPr>
        <w:t xml:space="preserve"> </w:t>
      </w:r>
      <w:r w:rsidR="009D2AAB">
        <w:rPr>
          <w:rFonts w:eastAsia="Times New Roman"/>
          <w:bCs/>
          <w:lang w:bidi="en-US"/>
        </w:rPr>
        <w:t xml:space="preserve">The Order states that </w:t>
      </w:r>
      <w:r w:rsidR="00021DC5">
        <w:rPr>
          <w:rFonts w:eastAsia="Times New Roman"/>
          <w:bCs/>
          <w:lang w:bidi="en-US"/>
        </w:rPr>
        <w:t>Green Choice</w:t>
      </w:r>
      <w:r w:rsidR="009D2AAB">
        <w:rPr>
          <w:rFonts w:eastAsia="Times New Roman"/>
          <w:bCs/>
          <w:lang w:bidi="en-US"/>
        </w:rPr>
        <w:t xml:space="preserve"> is required to re-rate the following </w:t>
      </w:r>
      <w:r w:rsidR="00F94CD1">
        <w:rPr>
          <w:rFonts w:eastAsia="Times New Roman"/>
          <w:bCs/>
          <w:lang w:bidi="en-US"/>
        </w:rPr>
        <w:t xml:space="preserve">customer </w:t>
      </w:r>
      <w:r w:rsidR="009D2AAB">
        <w:rPr>
          <w:rFonts w:eastAsia="Times New Roman"/>
          <w:bCs/>
          <w:lang w:bidi="en-US"/>
        </w:rPr>
        <w:t>groups: customers enrolled through door-to-door or telemarketing between May 1</w:t>
      </w:r>
      <w:r w:rsidR="005D465D">
        <w:rPr>
          <w:rFonts w:eastAsia="Times New Roman"/>
          <w:bCs/>
          <w:lang w:bidi="en-US"/>
        </w:rPr>
        <w:t>, 2021</w:t>
      </w:r>
      <w:r w:rsidR="009D2AAB">
        <w:rPr>
          <w:rFonts w:eastAsia="Times New Roman"/>
          <w:bCs/>
          <w:lang w:bidi="en-US"/>
        </w:rPr>
        <w:t xml:space="preserve"> and June 30, 2021;</w:t>
      </w:r>
      <w:r>
        <w:rPr>
          <w:rStyle w:val="FootnoteReference"/>
          <w:rFonts w:eastAsia="Times New Roman"/>
          <w:bCs/>
          <w:lang w:bidi="en-US"/>
        </w:rPr>
        <w:footnoteReference w:id="12"/>
      </w:r>
      <w:r w:rsidR="009D2AAB">
        <w:rPr>
          <w:rFonts w:eastAsia="Times New Roman"/>
          <w:bCs/>
          <w:lang w:bidi="en-US"/>
        </w:rPr>
        <w:t xml:space="preserve"> customers who filed a complaint </w:t>
      </w:r>
      <w:r w:rsidR="00021DC5">
        <w:rPr>
          <w:rFonts w:eastAsia="Times New Roman"/>
          <w:bCs/>
          <w:lang w:bidi="en-US"/>
        </w:rPr>
        <w:t>(</w:t>
      </w:r>
      <w:r w:rsidR="009D2AAB">
        <w:rPr>
          <w:rFonts w:eastAsia="Times New Roman"/>
          <w:bCs/>
          <w:lang w:bidi="en-US"/>
        </w:rPr>
        <w:t>with any entity</w:t>
      </w:r>
      <w:r w:rsidR="00021DC5">
        <w:rPr>
          <w:rFonts w:eastAsia="Times New Roman"/>
          <w:bCs/>
          <w:lang w:bidi="en-US"/>
        </w:rPr>
        <w:t>)</w:t>
      </w:r>
      <w:r w:rsidR="009D2AAB">
        <w:rPr>
          <w:rFonts w:eastAsia="Times New Roman"/>
          <w:bCs/>
          <w:lang w:bidi="en-US"/>
        </w:rPr>
        <w:t xml:space="preserve"> disputing enrollment</w:t>
      </w:r>
      <w:r w:rsidR="00021DC5">
        <w:rPr>
          <w:rFonts w:eastAsia="Times New Roman"/>
          <w:bCs/>
          <w:lang w:bidi="en-US"/>
        </w:rPr>
        <w:t xml:space="preserve"> with Green Choice</w:t>
      </w:r>
      <w:r w:rsidR="009D2AAB">
        <w:rPr>
          <w:rFonts w:eastAsia="Times New Roman"/>
          <w:bCs/>
          <w:lang w:bidi="en-US"/>
        </w:rPr>
        <w:t xml:space="preserve"> starting from February 1, 2022;</w:t>
      </w:r>
      <w:r>
        <w:rPr>
          <w:rStyle w:val="FootnoteReference"/>
          <w:rFonts w:eastAsia="Times New Roman"/>
          <w:bCs/>
          <w:lang w:bidi="en-US"/>
        </w:rPr>
        <w:footnoteReference w:id="13"/>
      </w:r>
      <w:r w:rsidR="009D2AAB">
        <w:rPr>
          <w:rFonts w:eastAsia="Times New Roman"/>
          <w:bCs/>
          <w:lang w:bidi="en-US"/>
        </w:rPr>
        <w:t xml:space="preserve"> and all customers enrolled between January 1, 2021, and July 20, 2021.</w:t>
      </w:r>
      <w:r>
        <w:rPr>
          <w:rStyle w:val="FootnoteReference"/>
          <w:rFonts w:eastAsia="Times New Roman"/>
          <w:bCs/>
          <w:lang w:bidi="en-US"/>
        </w:rPr>
        <w:footnoteReference w:id="14"/>
      </w:r>
      <w:r w:rsidR="003D0D04">
        <w:rPr>
          <w:rFonts w:eastAsia="Times New Roman"/>
          <w:bCs/>
          <w:lang w:bidi="en-US"/>
        </w:rPr>
        <w:t xml:space="preserve"> </w:t>
      </w:r>
      <w:r w:rsidR="005D1263">
        <w:rPr>
          <w:rFonts w:eastAsia="Times New Roman"/>
          <w:bCs/>
          <w:lang w:bidi="en-US"/>
        </w:rPr>
        <w:t xml:space="preserve">There is nothing ambiguous about the Order. </w:t>
      </w:r>
      <w:r w:rsidR="00F94CD1">
        <w:rPr>
          <w:rFonts w:eastAsia="Times New Roman"/>
          <w:bCs/>
          <w:lang w:bidi="en-US"/>
        </w:rPr>
        <w:t>T</w:t>
      </w:r>
      <w:r w:rsidR="00625A18">
        <w:rPr>
          <w:rFonts w:eastAsia="Times New Roman"/>
          <w:bCs/>
          <w:lang w:bidi="en-US"/>
        </w:rPr>
        <w:t xml:space="preserve">here </w:t>
      </w:r>
      <w:r w:rsidR="00F94CD1">
        <w:rPr>
          <w:rFonts w:eastAsia="Times New Roman"/>
          <w:bCs/>
          <w:lang w:bidi="en-US"/>
        </w:rPr>
        <w:t>is</w:t>
      </w:r>
      <w:r w:rsidR="00625A18">
        <w:rPr>
          <w:rFonts w:eastAsia="Times New Roman"/>
          <w:bCs/>
          <w:lang w:bidi="en-US"/>
        </w:rPr>
        <w:t xml:space="preserve"> overlap</w:t>
      </w:r>
      <w:r w:rsidR="005D1263">
        <w:rPr>
          <w:rFonts w:eastAsia="Times New Roman"/>
          <w:bCs/>
          <w:lang w:bidi="en-US"/>
        </w:rPr>
        <w:t xml:space="preserve"> in</w:t>
      </w:r>
      <w:r w:rsidR="00625A18">
        <w:rPr>
          <w:rFonts w:eastAsia="Times New Roman"/>
          <w:bCs/>
          <w:lang w:bidi="en-US"/>
        </w:rPr>
        <w:t xml:space="preserve"> </w:t>
      </w:r>
      <w:r w:rsidR="00021DC5">
        <w:rPr>
          <w:rFonts w:eastAsia="Times New Roman"/>
          <w:bCs/>
          <w:lang w:bidi="en-US"/>
        </w:rPr>
        <w:t>the customer groups to be re-rated</w:t>
      </w:r>
      <w:r w:rsidR="005D1263">
        <w:rPr>
          <w:rFonts w:eastAsia="Times New Roman"/>
          <w:bCs/>
          <w:lang w:bidi="en-US"/>
        </w:rPr>
        <w:t xml:space="preserve">, </w:t>
      </w:r>
      <w:r w:rsidR="00F94CD1">
        <w:rPr>
          <w:rFonts w:eastAsia="Times New Roman"/>
          <w:bCs/>
          <w:lang w:bidi="en-US"/>
        </w:rPr>
        <w:t xml:space="preserve">but </w:t>
      </w:r>
      <w:r w:rsidR="005D1263">
        <w:rPr>
          <w:rFonts w:eastAsia="Times New Roman"/>
          <w:bCs/>
          <w:lang w:bidi="en-US"/>
        </w:rPr>
        <w:t>they</w:t>
      </w:r>
      <w:r w:rsidR="00021DC5">
        <w:rPr>
          <w:rFonts w:eastAsia="Times New Roman"/>
          <w:bCs/>
          <w:lang w:bidi="en-US"/>
        </w:rPr>
        <w:t xml:space="preserve"> </w:t>
      </w:r>
      <w:r w:rsidR="00625A18">
        <w:rPr>
          <w:rFonts w:eastAsia="Times New Roman"/>
          <w:bCs/>
          <w:lang w:bidi="en-US"/>
        </w:rPr>
        <w:t xml:space="preserve">do not </w:t>
      </w:r>
      <w:r w:rsidR="00D90433">
        <w:rPr>
          <w:rFonts w:eastAsia="Times New Roman"/>
          <w:bCs/>
          <w:lang w:bidi="en-US"/>
        </w:rPr>
        <w:t xml:space="preserve">contradict each other. </w:t>
      </w:r>
    </w:p>
    <w:p w:rsidR="00534618" w:rsidP="00625A18" w14:paraId="270F5ACB" w14:textId="0F30470E">
      <w:pPr>
        <w:widowControl w:val="0"/>
        <w:spacing w:after="0" w:line="480" w:lineRule="auto"/>
        <w:rPr>
          <w:rFonts w:eastAsia="Times New Roman"/>
          <w:bCs/>
          <w:lang w:bidi="en-US"/>
        </w:rPr>
      </w:pPr>
      <w:r>
        <w:rPr>
          <w:rFonts w:eastAsia="Times New Roman"/>
          <w:bCs/>
          <w:lang w:bidi="en-US"/>
        </w:rPr>
        <w:tab/>
        <w:t xml:space="preserve">Green Choice </w:t>
      </w:r>
      <w:r w:rsidR="005D1263">
        <w:rPr>
          <w:rFonts w:eastAsia="Times New Roman"/>
          <w:bCs/>
          <w:lang w:bidi="en-US"/>
        </w:rPr>
        <w:t>also</w:t>
      </w:r>
      <w:r>
        <w:rPr>
          <w:rFonts w:eastAsia="Times New Roman"/>
          <w:bCs/>
          <w:lang w:bidi="en-US"/>
        </w:rPr>
        <w:t xml:space="preserve"> claims the Order is unclear because it does not specify whether customer re-rates should be “for, gas, electric, or both”</w:t>
      </w:r>
      <w:r w:rsidR="008B269C">
        <w:rPr>
          <w:rFonts w:eastAsia="Times New Roman"/>
          <w:bCs/>
          <w:lang w:bidi="en-US"/>
        </w:rPr>
        <w:t xml:space="preserve"> or whether the re-rates apply only to customers enrolled through certain sales channels.</w:t>
      </w:r>
      <w:r>
        <w:rPr>
          <w:rStyle w:val="FootnoteReference"/>
          <w:rFonts w:eastAsia="Times New Roman"/>
          <w:bCs/>
          <w:lang w:bidi="en-US"/>
        </w:rPr>
        <w:footnoteReference w:id="15"/>
      </w:r>
      <w:r w:rsidR="00B36CE2">
        <w:rPr>
          <w:rFonts w:eastAsia="Times New Roman"/>
          <w:bCs/>
          <w:lang w:bidi="en-US"/>
        </w:rPr>
        <w:t xml:space="preserve"> </w:t>
      </w:r>
      <w:r w:rsidR="005D1263">
        <w:rPr>
          <w:rFonts w:eastAsia="Times New Roman"/>
          <w:bCs/>
          <w:lang w:bidi="en-US"/>
        </w:rPr>
        <w:t>However,</w:t>
      </w:r>
      <w:r w:rsidR="00B36CE2">
        <w:rPr>
          <w:rFonts w:eastAsia="Times New Roman"/>
          <w:bCs/>
          <w:lang w:bidi="en-US"/>
        </w:rPr>
        <w:t xml:space="preserve"> the Order expressly </w:t>
      </w:r>
      <w:r w:rsidR="005D1263">
        <w:rPr>
          <w:rFonts w:eastAsia="Times New Roman"/>
          <w:bCs/>
          <w:lang w:bidi="en-US"/>
        </w:rPr>
        <w:t>states that</w:t>
      </w:r>
      <w:r w:rsidR="00B36CE2">
        <w:rPr>
          <w:rFonts w:eastAsia="Times New Roman"/>
          <w:bCs/>
          <w:lang w:bidi="en-US"/>
        </w:rPr>
        <w:t xml:space="preserve"> Green Choice </w:t>
      </w:r>
      <w:r w:rsidR="005D1263">
        <w:rPr>
          <w:rFonts w:eastAsia="Times New Roman"/>
          <w:bCs/>
          <w:lang w:bidi="en-US"/>
        </w:rPr>
        <w:t xml:space="preserve">is </w:t>
      </w:r>
      <w:r w:rsidR="00B36CE2">
        <w:rPr>
          <w:rFonts w:eastAsia="Times New Roman"/>
          <w:bCs/>
          <w:lang w:bidi="en-US"/>
        </w:rPr>
        <w:t>to re-rate “</w:t>
      </w:r>
      <w:r w:rsidR="00B36CE2">
        <w:rPr>
          <w:rFonts w:eastAsia="Times New Roman"/>
          <w:b/>
          <w:i/>
          <w:iCs/>
          <w:lang w:bidi="en-US"/>
        </w:rPr>
        <w:t>all customers</w:t>
      </w:r>
      <w:r w:rsidR="005D1263">
        <w:rPr>
          <w:rFonts w:eastAsia="Times New Roman"/>
          <w:bCs/>
          <w:lang w:bidi="en-US"/>
        </w:rPr>
        <w:t>.</w:t>
      </w:r>
      <w:r w:rsidR="00B36CE2">
        <w:rPr>
          <w:rFonts w:eastAsia="Times New Roman"/>
          <w:bCs/>
          <w:lang w:bidi="en-US"/>
        </w:rPr>
        <w:t xml:space="preserve">” </w:t>
      </w:r>
      <w:r w:rsidR="005D1263">
        <w:rPr>
          <w:rFonts w:eastAsia="Times New Roman"/>
          <w:bCs/>
          <w:lang w:bidi="en-US"/>
        </w:rPr>
        <w:t xml:space="preserve">“[A]ll customers” </w:t>
      </w:r>
      <w:r w:rsidR="00B36CE2">
        <w:rPr>
          <w:rFonts w:eastAsia="Times New Roman"/>
          <w:bCs/>
          <w:lang w:bidi="en-US"/>
        </w:rPr>
        <w:t>plainly means both gas and electric consumers</w:t>
      </w:r>
      <w:r>
        <w:rPr>
          <w:rFonts w:eastAsia="Times New Roman"/>
          <w:bCs/>
          <w:lang w:bidi="en-US"/>
        </w:rPr>
        <w:t>, regardless of how they were enrolled</w:t>
      </w:r>
      <w:r w:rsidR="00B36CE2">
        <w:rPr>
          <w:rFonts w:eastAsia="Times New Roman"/>
          <w:bCs/>
          <w:lang w:bidi="en-US"/>
        </w:rPr>
        <w:t>.</w:t>
      </w:r>
      <w:r>
        <w:rPr>
          <w:rStyle w:val="FootnoteReference"/>
          <w:rFonts w:eastAsia="Times New Roman"/>
          <w:bCs/>
          <w:lang w:bidi="en-US"/>
        </w:rPr>
        <w:footnoteReference w:id="16"/>
      </w:r>
    </w:p>
    <w:p w:rsidR="00AC6998" w:rsidRPr="00AC6998" w:rsidP="00625A18" w14:paraId="275A2EC3" w14:textId="409F3F22">
      <w:pPr>
        <w:widowControl w:val="0"/>
        <w:spacing w:after="0" w:line="480" w:lineRule="auto"/>
        <w:rPr>
          <w:rFonts w:eastAsia="Times New Roman"/>
          <w:bCs/>
          <w:lang w:bidi="en-US"/>
        </w:rPr>
      </w:pPr>
      <w:r>
        <w:rPr>
          <w:rFonts w:eastAsia="Times New Roman"/>
          <w:bCs/>
          <w:lang w:bidi="en-US"/>
        </w:rPr>
        <w:tab/>
      </w:r>
      <w:r w:rsidR="00B92CAB">
        <w:rPr>
          <w:rFonts w:eastAsia="Times New Roman"/>
          <w:bCs/>
          <w:lang w:bidi="en-US"/>
        </w:rPr>
        <w:t xml:space="preserve">Green Choice </w:t>
      </w:r>
      <w:r w:rsidR="007567C2">
        <w:rPr>
          <w:rFonts w:eastAsia="Times New Roman"/>
          <w:bCs/>
          <w:lang w:bidi="en-US"/>
        </w:rPr>
        <w:t xml:space="preserve">claims that the </w:t>
      </w:r>
      <w:r w:rsidR="00D7783E">
        <w:rPr>
          <w:rFonts w:eastAsia="Times New Roman"/>
          <w:bCs/>
          <w:lang w:bidi="en-US"/>
        </w:rPr>
        <w:t xml:space="preserve">Order is unclear because </w:t>
      </w:r>
      <w:r w:rsidR="000464F5">
        <w:rPr>
          <w:rFonts w:eastAsia="Times New Roman"/>
          <w:bCs/>
          <w:lang w:bidi="en-US"/>
        </w:rPr>
        <w:t>it does not specify a service period to be re-rated.</w:t>
      </w:r>
      <w:r>
        <w:rPr>
          <w:rStyle w:val="FootnoteReference"/>
          <w:rFonts w:eastAsia="Times New Roman"/>
          <w:bCs/>
          <w:lang w:bidi="en-US"/>
        </w:rPr>
        <w:footnoteReference w:id="17"/>
      </w:r>
      <w:r w:rsidR="00FF52C6">
        <w:rPr>
          <w:rFonts w:eastAsia="Times New Roman"/>
          <w:bCs/>
          <w:lang w:bidi="en-US"/>
        </w:rPr>
        <w:t xml:space="preserve"> That argument should be rejected too.</w:t>
      </w:r>
      <w:r w:rsidR="000464F5">
        <w:rPr>
          <w:rFonts w:eastAsia="Times New Roman"/>
          <w:bCs/>
          <w:lang w:bidi="en-US"/>
        </w:rPr>
        <w:t xml:space="preserve"> The PUCO </w:t>
      </w:r>
      <w:r w:rsidR="00FF52C6">
        <w:rPr>
          <w:rFonts w:eastAsia="Times New Roman"/>
          <w:bCs/>
          <w:lang w:bidi="en-US"/>
        </w:rPr>
        <w:t>found</w:t>
      </w:r>
      <w:r w:rsidR="000464F5">
        <w:rPr>
          <w:rFonts w:eastAsia="Times New Roman"/>
          <w:bCs/>
          <w:lang w:bidi="en-US"/>
        </w:rPr>
        <w:t xml:space="preserve"> that Green Choice engaged in misleading and deceptive acts in soliciting and enrolling consumers. Thus, re-rates would be for the entire period of </w:t>
      </w:r>
      <w:r w:rsidR="00FF52C6">
        <w:rPr>
          <w:rFonts w:eastAsia="Times New Roman"/>
          <w:bCs/>
          <w:lang w:bidi="en-US"/>
        </w:rPr>
        <w:t>customers</w:t>
      </w:r>
      <w:r w:rsidR="000464F5">
        <w:rPr>
          <w:rFonts w:eastAsia="Times New Roman"/>
          <w:bCs/>
          <w:lang w:bidi="en-US"/>
        </w:rPr>
        <w:t xml:space="preserve">’ enrollments. </w:t>
      </w:r>
      <w:r w:rsidR="00FF52C6">
        <w:rPr>
          <w:rFonts w:eastAsia="Times New Roman"/>
          <w:bCs/>
          <w:lang w:bidi="en-US"/>
        </w:rPr>
        <w:t>Reading the Order as r</w:t>
      </w:r>
      <w:r w:rsidR="000464F5">
        <w:rPr>
          <w:rFonts w:eastAsia="Times New Roman"/>
          <w:bCs/>
          <w:lang w:bidi="en-US"/>
        </w:rPr>
        <w:t>equir</w:t>
      </w:r>
      <w:r w:rsidR="00FF52C6">
        <w:rPr>
          <w:rFonts w:eastAsia="Times New Roman"/>
          <w:bCs/>
          <w:lang w:bidi="en-US"/>
        </w:rPr>
        <w:t>ing</w:t>
      </w:r>
      <w:r w:rsidR="000464F5">
        <w:rPr>
          <w:rFonts w:eastAsia="Times New Roman"/>
          <w:bCs/>
          <w:lang w:bidi="en-US"/>
        </w:rPr>
        <w:t xml:space="preserve"> re-rates for </w:t>
      </w:r>
      <w:r w:rsidR="00EF28EE">
        <w:rPr>
          <w:rFonts w:eastAsia="Times New Roman"/>
          <w:bCs/>
          <w:lang w:bidi="en-US"/>
        </w:rPr>
        <w:t>any other</w:t>
      </w:r>
      <w:r w:rsidR="00FF52C6">
        <w:rPr>
          <w:rFonts w:eastAsia="Times New Roman"/>
          <w:bCs/>
          <w:lang w:bidi="en-US"/>
        </w:rPr>
        <w:t xml:space="preserve"> time</w:t>
      </w:r>
      <w:r w:rsidR="00EF28EE">
        <w:rPr>
          <w:rFonts w:eastAsia="Times New Roman"/>
          <w:bCs/>
          <w:lang w:bidi="en-US"/>
        </w:rPr>
        <w:t xml:space="preserve"> period</w:t>
      </w:r>
      <w:r w:rsidR="000464F5">
        <w:rPr>
          <w:rFonts w:eastAsia="Times New Roman"/>
          <w:bCs/>
          <w:lang w:bidi="en-US"/>
        </w:rPr>
        <w:t xml:space="preserve"> would make no sense.</w:t>
      </w:r>
      <w:r w:rsidR="003B1D39">
        <w:rPr>
          <w:rFonts w:eastAsia="Times New Roman"/>
          <w:bCs/>
          <w:lang w:bidi="en-US"/>
        </w:rPr>
        <w:t xml:space="preserve">  </w:t>
      </w:r>
      <w:r w:rsidR="00B36CE2">
        <w:rPr>
          <w:rFonts w:eastAsia="Times New Roman"/>
          <w:bCs/>
          <w:lang w:bidi="en-US"/>
        </w:rPr>
        <w:t xml:space="preserve"> </w:t>
      </w:r>
    </w:p>
    <w:p w:rsidR="00EF28EE" w:rsidP="00394F83" w14:paraId="6F47FC04" w14:textId="77777777">
      <w:pPr>
        <w:widowControl w:val="0"/>
        <w:spacing w:after="0" w:line="480" w:lineRule="auto"/>
        <w:ind w:firstLine="720"/>
        <w:rPr>
          <w:rFonts w:eastAsia="Times New Roman"/>
          <w:bCs/>
          <w:lang w:bidi="en-US"/>
        </w:rPr>
      </w:pPr>
      <w:r>
        <w:rPr>
          <w:rFonts w:eastAsia="Times New Roman"/>
          <w:bCs/>
          <w:lang w:bidi="en-US"/>
        </w:rPr>
        <w:t xml:space="preserve">In </w:t>
      </w:r>
      <w:r>
        <w:rPr>
          <w:rFonts w:eastAsia="Times New Roman"/>
          <w:bCs/>
          <w:lang w:bidi="en-US"/>
        </w:rPr>
        <w:t>short</w:t>
      </w:r>
      <w:r>
        <w:rPr>
          <w:rFonts w:eastAsia="Times New Roman"/>
          <w:bCs/>
          <w:lang w:bidi="en-US"/>
        </w:rPr>
        <w:t>, t</w:t>
      </w:r>
      <w:r w:rsidR="00F91112">
        <w:rPr>
          <w:rFonts w:eastAsia="Times New Roman"/>
          <w:bCs/>
          <w:lang w:bidi="en-US"/>
        </w:rPr>
        <w:t>he</w:t>
      </w:r>
      <w:r w:rsidR="00FD6C53">
        <w:rPr>
          <w:rFonts w:eastAsia="Times New Roman"/>
          <w:bCs/>
          <w:lang w:bidi="en-US"/>
        </w:rPr>
        <w:t xml:space="preserve"> PUCO’s</w:t>
      </w:r>
      <w:r w:rsidR="00F91112">
        <w:rPr>
          <w:rFonts w:eastAsia="Times New Roman"/>
          <w:bCs/>
          <w:lang w:bidi="en-US"/>
        </w:rPr>
        <w:t xml:space="preserve"> Order is clear. </w:t>
      </w:r>
      <w:r w:rsidR="00021DC5">
        <w:rPr>
          <w:rFonts w:eastAsia="Times New Roman"/>
          <w:bCs/>
          <w:lang w:bidi="en-US"/>
        </w:rPr>
        <w:t>T</w:t>
      </w:r>
      <w:r w:rsidR="00625A18">
        <w:rPr>
          <w:rFonts w:eastAsia="Times New Roman"/>
          <w:bCs/>
          <w:lang w:bidi="en-US"/>
        </w:rPr>
        <w:t>h</w:t>
      </w:r>
      <w:r w:rsidR="00021DC5">
        <w:rPr>
          <w:rFonts w:eastAsia="Times New Roman"/>
          <w:bCs/>
          <w:lang w:bidi="en-US"/>
        </w:rPr>
        <w:t xml:space="preserve">ere is no reason </w:t>
      </w:r>
      <w:r w:rsidR="00FD6C53">
        <w:rPr>
          <w:rFonts w:eastAsia="Times New Roman"/>
          <w:bCs/>
          <w:lang w:bidi="en-US"/>
        </w:rPr>
        <w:t>to</w:t>
      </w:r>
      <w:r w:rsidR="00625A18">
        <w:rPr>
          <w:rFonts w:eastAsia="Times New Roman"/>
          <w:bCs/>
          <w:lang w:bidi="en-US"/>
        </w:rPr>
        <w:t xml:space="preserve"> d</w:t>
      </w:r>
      <w:r>
        <w:rPr>
          <w:rFonts w:eastAsia="Times New Roman"/>
          <w:bCs/>
          <w:lang w:bidi="en-US"/>
        </w:rPr>
        <w:t>eny</w:t>
      </w:r>
      <w:r w:rsidR="00625A18">
        <w:rPr>
          <w:rFonts w:eastAsia="Times New Roman"/>
          <w:bCs/>
          <w:lang w:bidi="en-US"/>
        </w:rPr>
        <w:t xml:space="preserve"> re-rates </w:t>
      </w:r>
      <w:r w:rsidR="00F91112">
        <w:rPr>
          <w:rFonts w:eastAsia="Times New Roman"/>
          <w:bCs/>
          <w:lang w:bidi="en-US"/>
        </w:rPr>
        <w:t xml:space="preserve">to </w:t>
      </w:r>
      <w:r w:rsidR="00625A18">
        <w:rPr>
          <w:rFonts w:eastAsia="Times New Roman"/>
          <w:bCs/>
          <w:lang w:bidi="en-US"/>
        </w:rPr>
        <w:t>c</w:t>
      </w:r>
      <w:r w:rsidR="00F91112">
        <w:rPr>
          <w:rFonts w:eastAsia="Times New Roman"/>
          <w:bCs/>
          <w:lang w:bidi="en-US"/>
        </w:rPr>
        <w:t>onsumers</w:t>
      </w:r>
      <w:r w:rsidR="00625A18">
        <w:rPr>
          <w:rFonts w:eastAsia="Times New Roman"/>
          <w:bCs/>
          <w:lang w:bidi="en-US"/>
        </w:rPr>
        <w:t xml:space="preserve"> </w:t>
      </w:r>
      <w:r>
        <w:rPr>
          <w:rFonts w:eastAsia="Times New Roman"/>
          <w:bCs/>
          <w:lang w:bidi="en-US"/>
        </w:rPr>
        <w:t>while</w:t>
      </w:r>
      <w:r w:rsidR="00F91112">
        <w:rPr>
          <w:rFonts w:eastAsia="Times New Roman"/>
          <w:bCs/>
          <w:lang w:bidi="en-US"/>
        </w:rPr>
        <w:t xml:space="preserve"> Green Choice</w:t>
      </w:r>
      <w:r>
        <w:rPr>
          <w:rFonts w:eastAsia="Times New Roman"/>
          <w:bCs/>
          <w:lang w:bidi="en-US"/>
        </w:rPr>
        <w:t xml:space="preserve"> seeks</w:t>
      </w:r>
      <w:r w:rsidR="00F91112">
        <w:rPr>
          <w:rFonts w:eastAsia="Times New Roman"/>
          <w:bCs/>
          <w:lang w:bidi="en-US"/>
        </w:rPr>
        <w:t xml:space="preserve"> </w:t>
      </w:r>
      <w:r w:rsidR="00625A18">
        <w:rPr>
          <w:rFonts w:eastAsia="Times New Roman"/>
          <w:bCs/>
          <w:lang w:bidi="en-US"/>
        </w:rPr>
        <w:t>rehearing</w:t>
      </w:r>
      <w:r w:rsidR="00F91112">
        <w:rPr>
          <w:rFonts w:eastAsia="Times New Roman"/>
          <w:bCs/>
          <w:lang w:bidi="en-US"/>
        </w:rPr>
        <w:t xml:space="preserve">, which is </w:t>
      </w:r>
      <w:r w:rsidR="00FD6C53">
        <w:rPr>
          <w:rFonts w:eastAsia="Times New Roman"/>
          <w:bCs/>
          <w:lang w:bidi="en-US"/>
        </w:rPr>
        <w:t>un</w:t>
      </w:r>
      <w:r w:rsidR="00F91112">
        <w:rPr>
          <w:rFonts w:eastAsia="Times New Roman"/>
          <w:bCs/>
          <w:lang w:bidi="en-US"/>
        </w:rPr>
        <w:t>likely to succeed on the merits</w:t>
      </w:r>
      <w:r>
        <w:rPr>
          <w:rFonts w:eastAsia="Times New Roman"/>
          <w:bCs/>
          <w:lang w:bidi="en-US"/>
        </w:rPr>
        <w:t xml:space="preserve"> anyway (by Green Choice’s own admission)</w:t>
      </w:r>
      <w:r w:rsidR="00F91112">
        <w:rPr>
          <w:rFonts w:eastAsia="Times New Roman"/>
          <w:bCs/>
          <w:lang w:bidi="en-US"/>
        </w:rPr>
        <w:t xml:space="preserve">. </w:t>
      </w:r>
      <w:bookmarkStart w:id="2" w:name="_Toc150175683"/>
      <w:r w:rsidR="00691F82">
        <w:rPr>
          <w:rFonts w:eastAsia="Times New Roman"/>
          <w:bCs/>
          <w:lang w:bidi="en-US"/>
        </w:rPr>
        <w:t xml:space="preserve">As the PUCO </w:t>
      </w:r>
      <w:r w:rsidR="00F91112">
        <w:rPr>
          <w:rFonts w:eastAsia="Times New Roman"/>
          <w:bCs/>
          <w:lang w:bidi="en-US"/>
        </w:rPr>
        <w:t xml:space="preserve">correctly determined, </w:t>
      </w:r>
      <w:r>
        <w:rPr>
          <w:rFonts w:eastAsia="Times New Roman"/>
          <w:bCs/>
          <w:lang w:bidi="en-US"/>
        </w:rPr>
        <w:t>making the</w:t>
      </w:r>
      <w:r w:rsidR="00691F82">
        <w:rPr>
          <w:rFonts w:eastAsia="Times New Roman"/>
          <w:bCs/>
          <w:lang w:bidi="en-US"/>
        </w:rPr>
        <w:t xml:space="preserve"> consumers harmed by Green Choice </w:t>
      </w:r>
      <w:r>
        <w:rPr>
          <w:rFonts w:eastAsia="Times New Roman"/>
          <w:bCs/>
          <w:lang w:bidi="en-US"/>
        </w:rPr>
        <w:t>“whole is of</w:t>
      </w:r>
      <w:r w:rsidR="00691F82">
        <w:rPr>
          <w:rFonts w:eastAsia="Times New Roman"/>
          <w:bCs/>
          <w:lang w:bidi="en-US"/>
        </w:rPr>
        <w:t xml:space="preserve"> paramount importance.”</w:t>
      </w:r>
      <w:r>
        <w:rPr>
          <w:rStyle w:val="FootnoteReference"/>
          <w:rFonts w:eastAsia="Times New Roman"/>
          <w:bCs/>
          <w:lang w:bidi="en-US"/>
        </w:rPr>
        <w:footnoteReference w:id="18"/>
      </w:r>
      <w:r w:rsidR="00F91112">
        <w:rPr>
          <w:rFonts w:eastAsia="Times New Roman"/>
          <w:bCs/>
          <w:lang w:bidi="en-US"/>
        </w:rPr>
        <w:t xml:space="preserve"> </w:t>
      </w:r>
    </w:p>
    <w:p w:rsidR="00B02E5B" w:rsidP="00394F83" w14:paraId="00428F1F" w14:textId="582BD961">
      <w:pPr>
        <w:widowControl w:val="0"/>
        <w:spacing w:after="0" w:line="480" w:lineRule="auto"/>
        <w:ind w:firstLine="720"/>
        <w:rPr>
          <w:rFonts w:eastAsia="Times New Roman"/>
          <w:bCs/>
          <w:lang w:bidi="en-US"/>
        </w:rPr>
      </w:pPr>
      <w:r>
        <w:rPr>
          <w:rFonts w:eastAsia="Times New Roman"/>
          <w:bCs/>
          <w:lang w:bidi="en-US"/>
        </w:rPr>
        <w:t xml:space="preserve">Green Choice’s payment of the forfeiture ordered by the PUCO also should not be delayed, as </w:t>
      </w:r>
      <w:r w:rsidR="00394F83">
        <w:rPr>
          <w:rFonts w:eastAsia="Times New Roman"/>
          <w:bCs/>
          <w:lang w:bidi="en-US"/>
        </w:rPr>
        <w:t>a portion ($440,000)</w:t>
      </w:r>
      <w:r>
        <w:rPr>
          <w:rFonts w:eastAsia="Times New Roman"/>
          <w:bCs/>
          <w:lang w:bidi="en-US"/>
        </w:rPr>
        <w:t xml:space="preserve"> will be </w:t>
      </w:r>
      <w:r w:rsidR="00394F83">
        <w:rPr>
          <w:rFonts w:eastAsia="Times New Roman"/>
          <w:bCs/>
          <w:lang w:bidi="en-US"/>
        </w:rPr>
        <w:t xml:space="preserve">held in abeyance to </w:t>
      </w:r>
      <w:r>
        <w:rPr>
          <w:rFonts w:eastAsia="Times New Roman"/>
          <w:bCs/>
          <w:lang w:bidi="en-US"/>
        </w:rPr>
        <w:t xml:space="preserve">ensure </w:t>
      </w:r>
      <w:r w:rsidR="00394F83">
        <w:rPr>
          <w:rFonts w:eastAsia="Times New Roman"/>
          <w:bCs/>
          <w:lang w:bidi="en-US"/>
        </w:rPr>
        <w:t>Green Choice’s compliance with the Order’s consumer re-rate requirements.</w:t>
      </w:r>
      <w:r w:rsidR="00F91112">
        <w:rPr>
          <w:rFonts w:eastAsia="Times New Roman"/>
          <w:bCs/>
          <w:lang w:bidi="en-US"/>
        </w:rPr>
        <w:t xml:space="preserve"> </w:t>
      </w:r>
      <w:r w:rsidR="00394F83">
        <w:rPr>
          <w:rFonts w:eastAsia="Times New Roman"/>
          <w:bCs/>
          <w:lang w:bidi="en-US"/>
        </w:rPr>
        <w:t>Accordingly, G</w:t>
      </w:r>
      <w:r w:rsidR="00FD6C53">
        <w:t xml:space="preserve">reen Choice’s Motion </w:t>
      </w:r>
      <w:r w:rsidR="00EF28EE">
        <w:t>to</w:t>
      </w:r>
      <w:r w:rsidR="00FD6C53">
        <w:t xml:space="preserve"> Stay should be denied.</w:t>
      </w:r>
    </w:p>
    <w:p w:rsidR="001727F4" w:rsidP="003B1D39" w14:paraId="48D9B8FF" w14:textId="4768981B">
      <w:pPr>
        <w:pStyle w:val="Heading2"/>
      </w:pPr>
      <w:r>
        <w:t>Green Choice will not suffer</w:t>
      </w:r>
      <w:r w:rsidRPr="00625A18" w:rsidR="008F5C6E">
        <w:t xml:space="preserve"> irreparable</w:t>
      </w:r>
      <w:r>
        <w:t xml:space="preserve"> harm absent a stay of the PUCO’s Order</w:t>
      </w:r>
      <w:r w:rsidRPr="00625A18" w:rsidR="008F5C6E">
        <w:t>.</w:t>
      </w:r>
      <w:bookmarkEnd w:id="2"/>
    </w:p>
    <w:p w:rsidR="00A6111E" w:rsidP="003B1D39" w14:paraId="5D369D0A" w14:textId="77777777">
      <w:pPr>
        <w:spacing w:after="0" w:line="240" w:lineRule="auto"/>
      </w:pPr>
    </w:p>
    <w:p w:rsidR="000F4FEB" w:rsidP="00394F83" w14:paraId="7EB23277" w14:textId="24115C54">
      <w:pPr>
        <w:widowControl w:val="0"/>
        <w:spacing w:after="0" w:line="480" w:lineRule="auto"/>
        <w:ind w:firstLine="720"/>
      </w:pPr>
      <w:r>
        <w:t xml:space="preserve">Green Choice argues that </w:t>
      </w:r>
      <w:r w:rsidR="00394F83">
        <w:t>it will be irreparably harmed if the PUCO does not</w:t>
      </w:r>
      <w:r>
        <w:t xml:space="preserve"> stay enforcement of the Order’s requirement to pay the $1 million forfeiture pending rehearing.</w:t>
      </w:r>
      <w:r>
        <w:rPr>
          <w:rStyle w:val="FootnoteReference"/>
        </w:rPr>
        <w:footnoteReference w:id="19"/>
      </w:r>
      <w:r>
        <w:t xml:space="preserve"> </w:t>
      </w:r>
      <w:r w:rsidR="00976BB5">
        <w:t>Green Choice’s argument has little merit</w:t>
      </w:r>
      <w:r>
        <w:t xml:space="preserve"> and s</w:t>
      </w:r>
      <w:r w:rsidR="00EF28EE">
        <w:t>hould be rejected</w:t>
      </w:r>
      <w:r>
        <w:t>.</w:t>
      </w:r>
    </w:p>
    <w:p w:rsidR="00625A18" w:rsidRPr="000F4FEB" w:rsidP="000F4FEB" w14:paraId="295FC089" w14:textId="6BAB97FA">
      <w:pPr>
        <w:widowControl w:val="0"/>
        <w:spacing w:after="0" w:line="480" w:lineRule="auto"/>
        <w:ind w:firstLine="720"/>
      </w:pPr>
      <w:r>
        <w:t xml:space="preserve">Green Choice </w:t>
      </w:r>
      <w:r w:rsidR="00EF28EE">
        <w:t>acknowledges</w:t>
      </w:r>
      <w:r>
        <w:t xml:space="preserve"> that </w:t>
      </w:r>
      <w:r w:rsidR="00EF28EE">
        <w:t>if it “</w:t>
      </w:r>
      <w:r>
        <w:t xml:space="preserve">made this payment, appealed the Order, and eventually won, </w:t>
      </w:r>
      <w:r w:rsidRPr="00394F83">
        <w:rPr>
          <w:b/>
          <w:bCs/>
          <w:i/>
          <w:iCs/>
        </w:rPr>
        <w:t>it could presumably get this money back</w:t>
      </w:r>
      <w:r>
        <w:t>.”</w:t>
      </w:r>
      <w:r>
        <w:rPr>
          <w:rStyle w:val="FootnoteReference"/>
        </w:rPr>
        <w:footnoteReference w:id="20"/>
      </w:r>
      <w:r>
        <w:t xml:space="preserve"> </w:t>
      </w:r>
      <w:r w:rsidR="00EF28EE">
        <w:t>A</w:t>
      </w:r>
      <w:r w:rsidR="00F470C4">
        <w:t>nd a</w:t>
      </w:r>
      <w:r w:rsidR="00EF28EE">
        <w:t xml:space="preserve">s noted above, Green </w:t>
      </w:r>
      <w:r w:rsidRPr="00A6111E" w:rsidR="00EF28EE">
        <w:rPr>
          <w:rFonts w:eastAsia="Times New Roman"/>
          <w:bCs/>
          <w:lang w:bidi="en-US"/>
        </w:rPr>
        <w:t>Choice</w:t>
      </w:r>
      <w:r w:rsidR="00EF28EE">
        <w:t xml:space="preserve"> concedes that it likely will not be successful </w:t>
      </w:r>
      <w:r w:rsidR="00F470C4">
        <w:t>on</w:t>
      </w:r>
      <w:r w:rsidR="00EF28EE">
        <w:t xml:space="preserve"> rehearing of the PUCO’s Order.</w:t>
      </w:r>
      <w:r>
        <w:rPr>
          <w:rStyle w:val="FootnoteReference"/>
        </w:rPr>
        <w:footnoteReference w:id="21"/>
      </w:r>
      <w:r w:rsidR="00EF28EE">
        <w:t xml:space="preserve"> </w:t>
      </w:r>
      <w:r w:rsidR="000F4FEB">
        <w:t xml:space="preserve">In light of Green Choice’s statements, it is difficult to </w:t>
      </w:r>
      <w:r w:rsidR="00A6111E">
        <w:t>understand</w:t>
      </w:r>
      <w:r>
        <w:t xml:space="preserve"> </w:t>
      </w:r>
      <w:r w:rsidR="000F4FEB">
        <w:t xml:space="preserve">just </w:t>
      </w:r>
      <w:r>
        <w:t xml:space="preserve">how </w:t>
      </w:r>
      <w:r w:rsidR="000F4FEB">
        <w:t>Green Choice would be irreparably harmed if the Order is enforced now.</w:t>
      </w:r>
      <w:r w:rsidR="003B1D39">
        <w:t xml:space="preserve"> </w:t>
      </w:r>
    </w:p>
    <w:p w:rsidR="00D31F6E" w:rsidRPr="00D31F6E" w:rsidP="00CF4D33" w14:paraId="06BF3387" w14:textId="02190AF8">
      <w:pPr>
        <w:widowControl w:val="0"/>
        <w:spacing w:after="0" w:line="480" w:lineRule="auto"/>
        <w:ind w:firstLine="720"/>
        <w:rPr>
          <w:rFonts w:eastAsia="Times New Roman"/>
          <w:lang w:bidi="en-US"/>
        </w:rPr>
      </w:pPr>
      <w:r>
        <w:rPr>
          <w:rFonts w:eastAsia="Times New Roman"/>
          <w:lang w:bidi="en-US"/>
        </w:rPr>
        <w:t>Green Choice claims</w:t>
      </w:r>
      <w:r>
        <w:rPr>
          <w:rFonts w:eastAsia="Times New Roman"/>
          <w:lang w:bidi="en-US"/>
        </w:rPr>
        <w:t xml:space="preserve"> that </w:t>
      </w:r>
      <w:r>
        <w:rPr>
          <w:rFonts w:eastAsia="Times New Roman"/>
          <w:lang w:bidi="en-US"/>
        </w:rPr>
        <w:t>the forfeiture</w:t>
      </w:r>
      <w:r w:rsidR="00F26D34">
        <w:rPr>
          <w:rFonts w:eastAsia="Times New Roman"/>
          <w:lang w:bidi="en-US"/>
        </w:rPr>
        <w:t xml:space="preserve"> and re-rates</w:t>
      </w:r>
      <w:r>
        <w:rPr>
          <w:rFonts w:eastAsia="Times New Roman"/>
          <w:lang w:bidi="en-US"/>
        </w:rPr>
        <w:t xml:space="preserve"> should be paid </w:t>
      </w:r>
      <w:r w:rsidR="002738E0">
        <w:rPr>
          <w:rFonts w:eastAsia="Times New Roman"/>
          <w:lang w:bidi="en-US"/>
        </w:rPr>
        <w:t xml:space="preserve">only </w:t>
      </w:r>
      <w:r>
        <w:rPr>
          <w:rFonts w:eastAsia="Times New Roman"/>
          <w:lang w:bidi="en-US"/>
        </w:rPr>
        <w:t xml:space="preserve">after </w:t>
      </w:r>
      <w:r>
        <w:rPr>
          <w:rFonts w:eastAsia="Times New Roman"/>
          <w:lang w:bidi="en-US"/>
        </w:rPr>
        <w:t>a final order</w:t>
      </w:r>
      <w:r w:rsidR="00F26D34">
        <w:rPr>
          <w:rFonts w:eastAsia="Times New Roman"/>
          <w:lang w:bidi="en-US"/>
        </w:rPr>
        <w:t xml:space="preserve"> on appeal.</w:t>
      </w:r>
      <w:r>
        <w:rPr>
          <w:rStyle w:val="FootnoteReference"/>
          <w:rFonts w:eastAsia="Times New Roman"/>
          <w:lang w:bidi="en-US"/>
        </w:rPr>
        <w:footnoteReference w:id="22"/>
      </w:r>
      <w:r w:rsidR="00F26D34">
        <w:rPr>
          <w:rFonts w:eastAsia="Times New Roman"/>
          <w:lang w:bidi="en-US"/>
        </w:rPr>
        <w:t xml:space="preserve"> Green Choice cites </w:t>
      </w:r>
      <w:r w:rsidR="00F470C4">
        <w:rPr>
          <w:rFonts w:eastAsia="Times New Roman"/>
          <w:lang w:bidi="en-US"/>
        </w:rPr>
        <w:t xml:space="preserve">Ohio </w:t>
      </w:r>
      <w:r w:rsidR="00F26D34">
        <w:rPr>
          <w:rFonts w:eastAsia="Times New Roman"/>
          <w:lang w:bidi="en-US"/>
        </w:rPr>
        <w:t>Civ. Rule 62(B)</w:t>
      </w:r>
      <w:r w:rsidR="002738E0">
        <w:rPr>
          <w:rFonts w:eastAsia="Times New Roman"/>
          <w:lang w:bidi="en-US"/>
        </w:rPr>
        <w:t xml:space="preserve"> </w:t>
      </w:r>
      <w:r w:rsidR="006D3EF3">
        <w:rPr>
          <w:rFonts w:eastAsia="Times New Roman"/>
          <w:lang w:bidi="en-US"/>
        </w:rPr>
        <w:t xml:space="preserve">to support </w:t>
      </w:r>
      <w:r w:rsidR="00F470C4">
        <w:rPr>
          <w:rFonts w:eastAsia="Times New Roman"/>
          <w:lang w:bidi="en-US"/>
        </w:rPr>
        <w:t>the</w:t>
      </w:r>
      <w:r w:rsidR="006D3EF3">
        <w:rPr>
          <w:rFonts w:eastAsia="Times New Roman"/>
          <w:lang w:bidi="en-US"/>
        </w:rPr>
        <w:t xml:space="preserve"> claim that it</w:t>
      </w:r>
      <w:r w:rsidR="00F470C4">
        <w:rPr>
          <w:rFonts w:eastAsia="Times New Roman"/>
          <w:lang w:bidi="en-US"/>
        </w:rPr>
        <w:t xml:space="preserve"> is</w:t>
      </w:r>
      <w:r w:rsidR="002738E0">
        <w:rPr>
          <w:rFonts w:eastAsia="Times New Roman"/>
          <w:lang w:bidi="en-US"/>
        </w:rPr>
        <w:t xml:space="preserve"> entitled to a stay of the PUCO’s Order </w:t>
      </w:r>
      <w:r w:rsidR="00F470C4">
        <w:rPr>
          <w:rFonts w:eastAsia="Times New Roman"/>
          <w:lang w:bidi="en-US"/>
        </w:rPr>
        <w:t xml:space="preserve">pending </w:t>
      </w:r>
      <w:r w:rsidR="002738E0">
        <w:rPr>
          <w:rFonts w:eastAsia="Times New Roman"/>
          <w:lang w:bidi="en-US"/>
        </w:rPr>
        <w:t>appeal.</w:t>
      </w:r>
      <w:r>
        <w:rPr>
          <w:rStyle w:val="FootnoteReference"/>
          <w:rFonts w:eastAsia="Times New Roman"/>
          <w:lang w:bidi="en-US"/>
        </w:rPr>
        <w:footnoteReference w:id="23"/>
      </w:r>
      <w:r w:rsidR="002738E0">
        <w:rPr>
          <w:rFonts w:eastAsia="Times New Roman"/>
          <w:lang w:bidi="en-US"/>
        </w:rPr>
        <w:t xml:space="preserve"> However, Green Choice ignores R.C. 4903.16, which </w:t>
      </w:r>
      <w:r w:rsidR="00852560">
        <w:rPr>
          <w:rFonts w:eastAsia="Times New Roman"/>
          <w:lang w:bidi="en-US"/>
        </w:rPr>
        <w:t xml:space="preserve">expressly </w:t>
      </w:r>
      <w:r w:rsidR="002738E0">
        <w:rPr>
          <w:rFonts w:eastAsia="Times New Roman"/>
          <w:lang w:bidi="en-US"/>
        </w:rPr>
        <w:t xml:space="preserve">states that </w:t>
      </w:r>
      <w:r w:rsidR="00852560">
        <w:rPr>
          <w:rFonts w:eastAsia="Times New Roman"/>
          <w:lang w:bidi="en-US"/>
        </w:rPr>
        <w:t>“[a]</w:t>
      </w:r>
      <w:r w:rsidRPr="00852560" w:rsidR="00852560">
        <w:rPr>
          <w:rFonts w:eastAsia="Times New Roman"/>
          <w:lang w:bidi="en-US"/>
        </w:rPr>
        <w:t xml:space="preserve"> proceeding to reverse, vacate, or modify a final order rendered by the public utilities commission </w:t>
      </w:r>
      <w:r w:rsidRPr="00852560" w:rsidR="00852560">
        <w:rPr>
          <w:rFonts w:eastAsia="Times New Roman"/>
          <w:b/>
          <w:bCs/>
          <w:i/>
          <w:iCs/>
          <w:lang w:bidi="en-US"/>
        </w:rPr>
        <w:t>does not stay execution of such order</w:t>
      </w:r>
      <w:r w:rsidRPr="00852560" w:rsidR="00852560">
        <w:rPr>
          <w:rFonts w:eastAsia="Times New Roman"/>
          <w:lang w:bidi="en-US"/>
        </w:rPr>
        <w:t xml:space="preserve"> unless the supreme court or a judge thereof in vacation, on application and three days' notice to the commission, allows such stay</w:t>
      </w:r>
      <w:r w:rsidR="00852560">
        <w:rPr>
          <w:rFonts w:eastAsia="Times New Roman"/>
          <w:lang w:bidi="en-US"/>
        </w:rPr>
        <w:t xml:space="preserve"> . . .”</w:t>
      </w:r>
      <w:r>
        <w:rPr>
          <w:rStyle w:val="FootnoteReference"/>
          <w:rFonts w:eastAsia="Times New Roman"/>
          <w:lang w:bidi="en-US"/>
        </w:rPr>
        <w:footnoteReference w:id="24"/>
      </w:r>
      <w:r w:rsidR="00F871F6">
        <w:rPr>
          <w:rFonts w:eastAsia="Times New Roman"/>
          <w:lang w:bidi="en-US"/>
        </w:rPr>
        <w:t xml:space="preserve"> Thus, contrary to Green Choice’s assessment of “how justice normally works,”</w:t>
      </w:r>
      <w:r>
        <w:rPr>
          <w:rStyle w:val="FootnoteReference"/>
          <w:rFonts w:eastAsia="Times New Roman"/>
          <w:lang w:bidi="en-US"/>
        </w:rPr>
        <w:footnoteReference w:id="25"/>
      </w:r>
      <w:r w:rsidR="00CF4D33">
        <w:rPr>
          <w:rFonts w:eastAsia="Times New Roman"/>
          <w:lang w:bidi="en-US"/>
        </w:rPr>
        <w:t xml:space="preserve"> Green Choice is </w:t>
      </w:r>
      <w:r w:rsidRPr="00F470C4" w:rsidR="00CF4D33">
        <w:rPr>
          <w:rFonts w:eastAsia="Times New Roman"/>
          <w:i/>
          <w:iCs/>
          <w:lang w:bidi="en-US"/>
        </w:rPr>
        <w:t>not</w:t>
      </w:r>
      <w:r w:rsidR="00CF4D33">
        <w:rPr>
          <w:rFonts w:eastAsia="Times New Roman"/>
          <w:lang w:bidi="en-US"/>
        </w:rPr>
        <w:t xml:space="preserve"> entitled to a stay of the Order pending rehearing or an appeal to the Supreme Court of Ohio. Green Choice’s Motion to Stay should</w:t>
      </w:r>
      <w:r w:rsidR="00F470C4">
        <w:rPr>
          <w:rFonts w:eastAsia="Times New Roman"/>
          <w:lang w:bidi="en-US"/>
        </w:rPr>
        <w:t xml:space="preserve"> therefore </w:t>
      </w:r>
      <w:r w:rsidR="00CF4D33">
        <w:rPr>
          <w:rFonts w:eastAsia="Times New Roman"/>
          <w:lang w:bidi="en-US"/>
        </w:rPr>
        <w:t xml:space="preserve">be </w:t>
      </w:r>
      <w:r w:rsidR="00F470C4">
        <w:rPr>
          <w:rFonts w:eastAsia="Times New Roman"/>
          <w:lang w:bidi="en-US"/>
        </w:rPr>
        <w:t>denied</w:t>
      </w:r>
      <w:r w:rsidR="00CF4D33">
        <w:rPr>
          <w:rFonts w:eastAsia="Times New Roman"/>
          <w:lang w:bidi="en-US"/>
        </w:rPr>
        <w:t xml:space="preserve">. </w:t>
      </w:r>
    </w:p>
    <w:p w:rsidR="00CF4D33" w:rsidP="003B1D39" w14:paraId="173FAADE" w14:textId="09E1219C">
      <w:pPr>
        <w:pStyle w:val="Heading2"/>
      </w:pPr>
      <w:r>
        <w:t>Delaying enforcement of the Order and re-rates would cause further harm to the consumers victimized by Green Choice.</w:t>
      </w:r>
    </w:p>
    <w:p w:rsidR="001D362D" w:rsidRPr="001D362D" w:rsidP="00CB7B3F" w14:paraId="0644DF39" w14:textId="77777777">
      <w:pPr>
        <w:spacing w:after="0"/>
      </w:pPr>
    </w:p>
    <w:p w:rsidR="001D362D" w:rsidRPr="006E30A0" w:rsidP="006E30A0" w14:paraId="01234992" w14:textId="6B1146BF">
      <w:pPr>
        <w:widowControl w:val="0"/>
        <w:spacing w:after="0" w:line="480" w:lineRule="auto"/>
        <w:ind w:firstLine="720"/>
      </w:pPr>
      <w:r>
        <w:rPr>
          <w:rFonts w:eastAsia="Times New Roman"/>
          <w:bCs/>
          <w:lang w:bidi="en-US"/>
        </w:rPr>
        <w:t>Green Choice claims that granting the Motion to Stay would not harm consumers.</w:t>
      </w:r>
      <w:r>
        <w:rPr>
          <w:rStyle w:val="FootnoteReference"/>
          <w:rFonts w:eastAsia="Times New Roman"/>
          <w:bCs/>
          <w:lang w:bidi="en-US"/>
        </w:rPr>
        <w:footnoteReference w:id="26"/>
      </w:r>
      <w:r>
        <w:rPr>
          <w:rFonts w:eastAsia="Times New Roman"/>
          <w:bCs/>
          <w:lang w:bidi="en-US"/>
        </w:rPr>
        <w:t xml:space="preserve"> That is not true. Consumers are being squeezed on all sides these days from inflation, increased energy prices and </w:t>
      </w:r>
      <w:r w:rsidR="00F470C4">
        <w:rPr>
          <w:rFonts w:eastAsia="Times New Roman"/>
          <w:bCs/>
          <w:lang w:bidi="en-US"/>
        </w:rPr>
        <w:t xml:space="preserve">increased </w:t>
      </w:r>
      <w:r>
        <w:rPr>
          <w:rFonts w:eastAsia="Times New Roman"/>
          <w:bCs/>
          <w:lang w:bidi="en-US"/>
        </w:rPr>
        <w:t xml:space="preserve">utility rates. The consumers who Green Choice deceived </w:t>
      </w:r>
      <w:r w:rsidR="00F470C4">
        <w:rPr>
          <w:rFonts w:eastAsia="Times New Roman"/>
          <w:bCs/>
          <w:lang w:bidi="en-US"/>
        </w:rPr>
        <w:t xml:space="preserve">should be re-rated </w:t>
      </w:r>
      <w:r>
        <w:rPr>
          <w:rFonts w:eastAsia="Times New Roman"/>
          <w:bCs/>
          <w:lang w:bidi="en-US"/>
        </w:rPr>
        <w:t xml:space="preserve">sooner rather than later. Indeed, as </w:t>
      </w:r>
      <w:r w:rsidR="004D73AF">
        <w:rPr>
          <w:rFonts w:eastAsia="Times New Roman"/>
          <w:bCs/>
          <w:lang w:bidi="en-US"/>
        </w:rPr>
        <w:t xml:space="preserve">the </w:t>
      </w:r>
      <w:r>
        <w:rPr>
          <w:rFonts w:eastAsia="Times New Roman"/>
          <w:bCs/>
          <w:lang w:bidi="en-US"/>
        </w:rPr>
        <w:t xml:space="preserve">PUCO </w:t>
      </w:r>
      <w:r w:rsidR="004D73AF">
        <w:rPr>
          <w:rFonts w:eastAsia="Times New Roman"/>
          <w:bCs/>
          <w:lang w:bidi="en-US"/>
        </w:rPr>
        <w:t>found, “</w:t>
      </w:r>
      <w:r w:rsidR="004D73AF">
        <w:t>making customers who have been harmed by [Green Choice’s] violations whole is of paramount importance.”</w:t>
      </w:r>
      <w:r>
        <w:rPr>
          <w:rStyle w:val="FootnoteReference"/>
        </w:rPr>
        <w:footnoteReference w:id="27"/>
      </w:r>
      <w:r w:rsidR="001023A0">
        <w:t xml:space="preserve"> The Motion to Stay should be denied.</w:t>
      </w:r>
      <w:r w:rsidR="006E30A0">
        <w:t xml:space="preserve"> </w:t>
      </w:r>
    </w:p>
    <w:p w:rsidR="00CB7B3F" w:rsidP="00CB7B3F" w14:paraId="526E2A5C" w14:textId="40E26577">
      <w:pPr>
        <w:widowControl w:val="0"/>
        <w:spacing w:after="0" w:line="480" w:lineRule="auto"/>
        <w:ind w:firstLine="720"/>
        <w:rPr>
          <w:rFonts w:eastAsia="Times New Roman"/>
          <w:bCs/>
          <w:lang w:bidi="en-US"/>
        </w:rPr>
      </w:pPr>
      <w:r>
        <w:rPr>
          <w:rFonts w:eastAsia="Times New Roman"/>
          <w:bCs/>
          <w:lang w:bidi="en-US"/>
        </w:rPr>
        <w:t xml:space="preserve"> </w:t>
      </w:r>
      <w:r w:rsidR="00F74E9E">
        <w:rPr>
          <w:rFonts w:eastAsia="Times New Roman"/>
          <w:bCs/>
          <w:lang w:bidi="en-US"/>
        </w:rPr>
        <w:t>The Order requires that the forfeiture and re</w:t>
      </w:r>
      <w:r w:rsidR="006E30A0">
        <w:rPr>
          <w:rFonts w:eastAsia="Times New Roman"/>
          <w:bCs/>
          <w:lang w:bidi="en-US"/>
        </w:rPr>
        <w:t>-rates</w:t>
      </w:r>
      <w:r w:rsidR="00F74E9E">
        <w:rPr>
          <w:rFonts w:eastAsia="Times New Roman"/>
          <w:bCs/>
          <w:lang w:bidi="en-US"/>
        </w:rPr>
        <w:t xml:space="preserve"> be paid as compensation for </w:t>
      </w:r>
      <w:r w:rsidR="006E30A0">
        <w:rPr>
          <w:rFonts w:eastAsia="Times New Roman"/>
          <w:bCs/>
          <w:lang w:bidi="en-US"/>
        </w:rPr>
        <w:t xml:space="preserve">Green Choice’s egregiously </w:t>
      </w:r>
      <w:r w:rsidR="00F74E9E">
        <w:rPr>
          <w:rFonts w:eastAsia="Times New Roman"/>
          <w:bCs/>
          <w:lang w:bidi="en-US"/>
        </w:rPr>
        <w:t>dishonest</w:t>
      </w:r>
      <w:r w:rsidR="006E30A0">
        <w:rPr>
          <w:rFonts w:eastAsia="Times New Roman"/>
          <w:bCs/>
          <w:lang w:bidi="en-US"/>
        </w:rPr>
        <w:t xml:space="preserve"> </w:t>
      </w:r>
      <w:r w:rsidR="00F74E9E">
        <w:rPr>
          <w:rFonts w:eastAsia="Times New Roman"/>
          <w:bCs/>
          <w:lang w:bidi="en-US"/>
        </w:rPr>
        <w:t>marketing</w:t>
      </w:r>
      <w:r w:rsidR="006E30A0">
        <w:rPr>
          <w:rFonts w:eastAsia="Times New Roman"/>
          <w:bCs/>
          <w:lang w:bidi="en-US"/>
        </w:rPr>
        <w:t xml:space="preserve"> and enrollment</w:t>
      </w:r>
      <w:r w:rsidR="00F74E9E">
        <w:rPr>
          <w:rFonts w:eastAsia="Times New Roman"/>
          <w:bCs/>
          <w:lang w:bidi="en-US"/>
        </w:rPr>
        <w:t xml:space="preserve"> practices. The</w:t>
      </w:r>
      <w:r w:rsidR="00F470C4">
        <w:rPr>
          <w:rFonts w:eastAsia="Times New Roman"/>
          <w:bCs/>
          <w:lang w:bidi="en-US"/>
        </w:rPr>
        <w:t xml:space="preserve"> PUCO Order is </w:t>
      </w:r>
      <w:r w:rsidR="00F74E9E">
        <w:rPr>
          <w:rFonts w:eastAsia="Times New Roman"/>
          <w:bCs/>
          <w:lang w:bidi="en-US"/>
        </w:rPr>
        <w:t xml:space="preserve">not solely punitive – </w:t>
      </w:r>
      <w:r w:rsidR="00F470C4">
        <w:rPr>
          <w:rFonts w:eastAsia="Times New Roman"/>
          <w:bCs/>
          <w:lang w:bidi="en-US"/>
        </w:rPr>
        <w:t>it is</w:t>
      </w:r>
      <w:r w:rsidR="00F74E9E">
        <w:rPr>
          <w:rFonts w:eastAsia="Times New Roman"/>
          <w:bCs/>
          <w:lang w:bidi="en-US"/>
        </w:rPr>
        <w:t xml:space="preserve"> a </w:t>
      </w:r>
      <w:r w:rsidR="00F74E9E">
        <w:rPr>
          <w:rFonts w:eastAsia="Times New Roman"/>
          <w:bCs/>
          <w:i/>
          <w:iCs/>
          <w:lang w:bidi="en-US"/>
        </w:rPr>
        <w:t>remedy</w:t>
      </w:r>
      <w:r w:rsidR="00F74E9E">
        <w:rPr>
          <w:rFonts w:eastAsia="Times New Roman"/>
          <w:bCs/>
          <w:lang w:bidi="en-US"/>
        </w:rPr>
        <w:t xml:space="preserve">. The people of Ohio have been harmed by </w:t>
      </w:r>
      <w:r w:rsidR="006E30A0">
        <w:rPr>
          <w:rFonts w:eastAsia="Times New Roman"/>
          <w:bCs/>
          <w:lang w:bidi="en-US"/>
        </w:rPr>
        <w:t>Green Choice’s</w:t>
      </w:r>
      <w:r w:rsidR="00F74E9E">
        <w:rPr>
          <w:rFonts w:eastAsia="Times New Roman"/>
          <w:bCs/>
          <w:lang w:bidi="en-US"/>
        </w:rPr>
        <w:t xml:space="preserve"> conduct, and the relief provided for in the Order is intended to compensate for that harm.</w:t>
      </w:r>
      <w:r w:rsidR="001B2CAC">
        <w:rPr>
          <w:rFonts w:eastAsia="Times New Roman"/>
          <w:bCs/>
          <w:lang w:bidi="en-US"/>
        </w:rPr>
        <w:t xml:space="preserve"> The longer that relief is delayed, the </w:t>
      </w:r>
      <w:r w:rsidR="00E16AEC">
        <w:rPr>
          <w:rFonts w:eastAsia="Times New Roman"/>
          <w:bCs/>
          <w:lang w:bidi="en-US"/>
        </w:rPr>
        <w:t xml:space="preserve">greater the </w:t>
      </w:r>
      <w:r w:rsidR="001B2CAC">
        <w:rPr>
          <w:rFonts w:eastAsia="Times New Roman"/>
          <w:bCs/>
          <w:lang w:bidi="en-US"/>
        </w:rPr>
        <w:t xml:space="preserve">harm </w:t>
      </w:r>
      <w:r w:rsidR="00E16AEC">
        <w:rPr>
          <w:rFonts w:eastAsia="Times New Roman"/>
          <w:bCs/>
          <w:lang w:bidi="en-US"/>
        </w:rPr>
        <w:t>to consumers</w:t>
      </w:r>
      <w:r w:rsidR="001B2CAC">
        <w:rPr>
          <w:rFonts w:eastAsia="Times New Roman"/>
          <w:bCs/>
          <w:lang w:bidi="en-US"/>
        </w:rPr>
        <w:t xml:space="preserve">. </w:t>
      </w:r>
    </w:p>
    <w:p w:rsidR="005D465D" w:rsidRPr="001B2CAC" w:rsidP="006E30A0" w14:paraId="79AA6A30" w14:textId="0B1B51BD">
      <w:pPr>
        <w:widowControl w:val="0"/>
        <w:spacing w:after="0" w:line="480" w:lineRule="auto"/>
        <w:rPr>
          <w:rFonts w:eastAsia="Times New Roman"/>
          <w:bCs/>
          <w:lang w:bidi="en-US"/>
        </w:rPr>
      </w:pPr>
      <w:r>
        <w:rPr>
          <w:rFonts w:eastAsia="Times New Roman"/>
          <w:bCs/>
          <w:lang w:bidi="en-US"/>
        </w:rPr>
        <w:tab/>
      </w:r>
      <w:r w:rsidR="006E30A0">
        <w:rPr>
          <w:rFonts w:eastAsia="Times New Roman"/>
          <w:bCs/>
          <w:lang w:bidi="en-US"/>
        </w:rPr>
        <w:t xml:space="preserve">Green Choice argues that </w:t>
      </w:r>
      <w:r w:rsidR="001B2CAC">
        <w:rPr>
          <w:rFonts w:eastAsia="Times New Roman"/>
          <w:bCs/>
          <w:lang w:bidi="en-US"/>
        </w:rPr>
        <w:t>a stay would “maintain the status quo.”</w:t>
      </w:r>
      <w:r>
        <w:rPr>
          <w:rStyle w:val="FootnoteReference"/>
          <w:rFonts w:eastAsia="Times New Roman"/>
          <w:bCs/>
          <w:lang w:bidi="en-US"/>
        </w:rPr>
        <w:footnoteReference w:id="28"/>
      </w:r>
      <w:r w:rsidR="001B2CAC">
        <w:rPr>
          <w:rFonts w:eastAsia="Times New Roman"/>
          <w:bCs/>
          <w:lang w:bidi="en-US"/>
        </w:rPr>
        <w:t xml:space="preserve"> </w:t>
      </w:r>
      <w:r w:rsidR="006E30A0">
        <w:rPr>
          <w:rFonts w:eastAsia="Times New Roman"/>
          <w:bCs/>
          <w:lang w:bidi="en-US"/>
        </w:rPr>
        <w:t>But</w:t>
      </w:r>
      <w:r w:rsidR="001B2CAC">
        <w:rPr>
          <w:rFonts w:eastAsia="Times New Roman"/>
          <w:bCs/>
          <w:lang w:bidi="en-US"/>
        </w:rPr>
        <w:t xml:space="preserve"> </w:t>
      </w:r>
      <w:r w:rsidRPr="006E30A0" w:rsidR="001B2CAC">
        <w:rPr>
          <w:rFonts w:eastAsia="Times New Roman"/>
          <w:bCs/>
          <w:lang w:bidi="en-US"/>
        </w:rPr>
        <w:t>the status quo</w:t>
      </w:r>
      <w:r w:rsidR="003400EA">
        <w:rPr>
          <w:rFonts w:eastAsia="Times New Roman"/>
          <w:bCs/>
          <w:i/>
          <w:iCs/>
          <w:lang w:bidi="en-US"/>
        </w:rPr>
        <w:t xml:space="preserve"> </w:t>
      </w:r>
      <w:r w:rsidR="003400EA">
        <w:rPr>
          <w:rFonts w:eastAsia="Times New Roman"/>
          <w:bCs/>
          <w:lang w:bidi="en-US"/>
        </w:rPr>
        <w:t>–</w:t>
      </w:r>
      <w:r w:rsidR="006E30A0">
        <w:rPr>
          <w:rFonts w:eastAsia="Times New Roman"/>
          <w:bCs/>
          <w:lang w:bidi="en-US"/>
        </w:rPr>
        <w:t xml:space="preserve"> letti</w:t>
      </w:r>
      <w:r w:rsidR="003400EA">
        <w:rPr>
          <w:rFonts w:eastAsia="Times New Roman"/>
          <w:bCs/>
          <w:lang w:bidi="en-US"/>
        </w:rPr>
        <w:t>ng</w:t>
      </w:r>
      <w:r w:rsidR="006E30A0">
        <w:rPr>
          <w:rFonts w:eastAsia="Times New Roman"/>
          <w:bCs/>
          <w:lang w:bidi="en-US"/>
        </w:rPr>
        <w:t xml:space="preserve"> Green Choice continue to serve existing customers</w:t>
      </w:r>
      <w:r w:rsidR="003400EA">
        <w:rPr>
          <w:rFonts w:eastAsia="Times New Roman"/>
          <w:bCs/>
          <w:lang w:bidi="en-US"/>
        </w:rPr>
        <w:t xml:space="preserve"> –</w:t>
      </w:r>
      <w:r w:rsidR="001B2CAC">
        <w:rPr>
          <w:rFonts w:eastAsia="Times New Roman"/>
          <w:bCs/>
          <w:i/>
          <w:iCs/>
          <w:lang w:bidi="en-US"/>
        </w:rPr>
        <w:t xml:space="preserve"> </w:t>
      </w:r>
      <w:r w:rsidR="003400EA">
        <w:rPr>
          <w:rFonts w:eastAsia="Times New Roman"/>
          <w:bCs/>
          <w:lang w:bidi="en-US"/>
        </w:rPr>
        <w:t>is</w:t>
      </w:r>
      <w:r w:rsidRPr="006E30A0" w:rsidR="001B2CAC">
        <w:rPr>
          <w:rFonts w:eastAsia="Times New Roman"/>
          <w:bCs/>
          <w:lang w:bidi="en-US"/>
        </w:rPr>
        <w:t xml:space="preserve"> </w:t>
      </w:r>
      <w:r w:rsidR="001B2CAC">
        <w:rPr>
          <w:rFonts w:eastAsia="Times New Roman"/>
          <w:bCs/>
          <w:i/>
          <w:iCs/>
          <w:lang w:bidi="en-US"/>
        </w:rPr>
        <w:t>unjust.</w:t>
      </w:r>
      <w:r w:rsidR="001B2CAC">
        <w:rPr>
          <w:rFonts w:eastAsia="Times New Roman"/>
          <w:bCs/>
          <w:lang w:bidi="en-US"/>
        </w:rPr>
        <w:t xml:space="preserve"> </w:t>
      </w:r>
      <w:r w:rsidR="006E30A0">
        <w:rPr>
          <w:rFonts w:eastAsia="Times New Roman"/>
          <w:bCs/>
          <w:lang w:bidi="en-US"/>
        </w:rPr>
        <w:t xml:space="preserve">This is true </w:t>
      </w:r>
      <w:r w:rsidR="00E16AEC">
        <w:rPr>
          <w:rFonts w:eastAsia="Times New Roman"/>
          <w:bCs/>
          <w:lang w:bidi="en-US"/>
        </w:rPr>
        <w:t xml:space="preserve">despite the fact that </w:t>
      </w:r>
      <w:r w:rsidR="003400EA">
        <w:rPr>
          <w:rFonts w:eastAsia="Times New Roman"/>
          <w:bCs/>
          <w:lang w:bidi="en-US"/>
        </w:rPr>
        <w:t xml:space="preserve">Green Choice </w:t>
      </w:r>
      <w:r w:rsidR="00E16AEC">
        <w:rPr>
          <w:rFonts w:eastAsia="Times New Roman"/>
          <w:bCs/>
          <w:lang w:bidi="en-US"/>
        </w:rPr>
        <w:t>no longer</w:t>
      </w:r>
      <w:r w:rsidR="003400EA">
        <w:rPr>
          <w:rFonts w:eastAsia="Times New Roman"/>
          <w:bCs/>
          <w:lang w:bidi="en-US"/>
        </w:rPr>
        <w:t xml:space="preserve"> solicit</w:t>
      </w:r>
      <w:r w:rsidR="00E16AEC">
        <w:rPr>
          <w:rFonts w:eastAsia="Times New Roman"/>
          <w:bCs/>
          <w:lang w:bidi="en-US"/>
        </w:rPr>
        <w:t>s</w:t>
      </w:r>
      <w:r w:rsidR="003400EA">
        <w:rPr>
          <w:rFonts w:eastAsia="Times New Roman"/>
          <w:bCs/>
          <w:lang w:bidi="en-US"/>
        </w:rPr>
        <w:t xml:space="preserve"> and enroll</w:t>
      </w:r>
      <w:r w:rsidR="00E16AEC">
        <w:rPr>
          <w:rFonts w:eastAsia="Times New Roman"/>
          <w:bCs/>
          <w:lang w:bidi="en-US"/>
        </w:rPr>
        <w:t>s</w:t>
      </w:r>
      <w:r w:rsidR="003400EA">
        <w:rPr>
          <w:rFonts w:eastAsia="Times New Roman"/>
          <w:bCs/>
          <w:lang w:bidi="en-US"/>
        </w:rPr>
        <w:t xml:space="preserve"> new consumers. </w:t>
      </w:r>
      <w:r w:rsidR="006E0E94">
        <w:rPr>
          <w:rFonts w:eastAsia="Times New Roman"/>
          <w:bCs/>
          <w:lang w:bidi="en-US"/>
        </w:rPr>
        <w:t>Th</w:t>
      </w:r>
      <w:r w:rsidR="003400EA">
        <w:rPr>
          <w:rFonts w:eastAsia="Times New Roman"/>
          <w:bCs/>
          <w:lang w:bidi="en-US"/>
        </w:rPr>
        <w:t>e PUCO should deny the Motion to Stay</w:t>
      </w:r>
      <w:r w:rsidR="006E0E94">
        <w:rPr>
          <w:rFonts w:eastAsia="Times New Roman"/>
          <w:bCs/>
          <w:lang w:bidi="en-US"/>
        </w:rPr>
        <w:t xml:space="preserve">. </w:t>
      </w:r>
    </w:p>
    <w:p w:rsidR="001727F4" w:rsidP="003B1D39" w14:paraId="305BF489" w14:textId="5F9FE6C2">
      <w:pPr>
        <w:pStyle w:val="Heading2"/>
      </w:pPr>
      <w:bookmarkStart w:id="3" w:name="_Toc150175685"/>
      <w:r>
        <w:t xml:space="preserve">Delaying enforcement of the Order is contrary to the public interest. Swift enforcement of the Order is necessary </w:t>
      </w:r>
      <w:r w:rsidR="00FE6487">
        <w:t>to protect Ohioans from bad actor energy marketers</w:t>
      </w:r>
      <w:bookmarkEnd w:id="3"/>
      <w:r w:rsidR="00E16AEC">
        <w:t xml:space="preserve"> and to protect competition in Ohio.</w:t>
      </w:r>
    </w:p>
    <w:p w:rsidR="00FE6487" w:rsidRPr="00FE6487" w:rsidP="00CB7B3F" w14:paraId="013E05D8" w14:textId="77777777">
      <w:pPr>
        <w:spacing w:after="0"/>
      </w:pPr>
    </w:p>
    <w:p w:rsidR="00720099" w:rsidP="00FB0F27" w14:paraId="13D0F3EF" w14:textId="5383D87A">
      <w:pPr>
        <w:widowControl w:val="0"/>
        <w:spacing w:after="0" w:line="480" w:lineRule="auto"/>
        <w:ind w:firstLine="720"/>
        <w:rPr>
          <w:lang w:bidi="en-US"/>
        </w:rPr>
      </w:pPr>
      <w:r>
        <w:rPr>
          <w:lang w:bidi="en-US"/>
        </w:rPr>
        <w:t>The PUCO should reject Green Choice’s claims that staying enforcement of the Order</w:t>
      </w:r>
      <w:r w:rsidR="00E16AEC">
        <w:rPr>
          <w:lang w:bidi="en-US"/>
        </w:rPr>
        <w:t xml:space="preserve"> is in </w:t>
      </w:r>
      <w:r>
        <w:rPr>
          <w:lang w:bidi="en-US"/>
        </w:rPr>
        <w:t>the public interest. The public interest (and Ohio law)</w:t>
      </w:r>
      <w:r w:rsidR="00FE6487">
        <w:rPr>
          <w:lang w:bidi="en-US"/>
        </w:rPr>
        <w:t xml:space="preserve"> requires the PUCO to protect consumers from</w:t>
      </w:r>
      <w:r>
        <w:rPr>
          <w:lang w:bidi="en-US"/>
        </w:rPr>
        <w:t xml:space="preserve"> bad actor energy marketers</w:t>
      </w:r>
      <w:r w:rsidR="00E16AEC">
        <w:rPr>
          <w:lang w:bidi="en-US"/>
        </w:rPr>
        <w:t xml:space="preserve"> like Green Choice</w:t>
      </w:r>
      <w:r>
        <w:rPr>
          <w:lang w:bidi="en-US"/>
        </w:rPr>
        <w:t>.</w:t>
      </w:r>
      <w:r>
        <w:rPr>
          <w:rStyle w:val="FootnoteReference"/>
          <w:lang w:bidi="en-US"/>
        </w:rPr>
        <w:footnoteReference w:id="29"/>
      </w:r>
      <w:r w:rsidR="00FE6487">
        <w:rPr>
          <w:lang w:bidi="en-US"/>
        </w:rPr>
        <w:t xml:space="preserve"> </w:t>
      </w:r>
      <w:r w:rsidR="006423DA">
        <w:rPr>
          <w:lang w:bidi="en-US"/>
        </w:rPr>
        <w:t>Staying</w:t>
      </w:r>
      <w:r>
        <w:rPr>
          <w:lang w:bidi="en-US"/>
        </w:rPr>
        <w:t xml:space="preserve"> enforcement of the Order does not protect consumers</w:t>
      </w:r>
      <w:r w:rsidR="006423DA">
        <w:rPr>
          <w:lang w:bidi="en-US"/>
        </w:rPr>
        <w:t xml:space="preserve"> or the public interest</w:t>
      </w:r>
      <w:r w:rsidR="00FB0F27">
        <w:rPr>
          <w:lang w:bidi="en-US"/>
        </w:rPr>
        <w:t xml:space="preserve">, because it would delay re-rates and returning Green Choice’s existing customers to the default service provider. </w:t>
      </w:r>
    </w:p>
    <w:p w:rsidR="008C783E" w:rsidP="00CB7B3F" w14:paraId="608A953A" w14:textId="77777777">
      <w:pPr>
        <w:widowControl w:val="0"/>
        <w:spacing w:after="0" w:line="480" w:lineRule="auto"/>
        <w:ind w:firstLine="720"/>
        <w:rPr>
          <w:lang w:bidi="en-US"/>
        </w:rPr>
      </w:pPr>
      <w:r>
        <w:rPr>
          <w:lang w:bidi="en-US"/>
        </w:rPr>
        <w:t>In addition,</w:t>
      </w:r>
      <w:r w:rsidR="00720099">
        <w:rPr>
          <w:lang w:bidi="en-US"/>
        </w:rPr>
        <w:t xml:space="preserve"> the public interest favors electric and natural gas competition in Ohio to benefit consumers.</w:t>
      </w:r>
      <w:r w:rsidR="00E16AEC">
        <w:rPr>
          <w:lang w:bidi="en-US"/>
        </w:rPr>
        <w:t xml:space="preserve"> But </w:t>
      </w:r>
      <w:r w:rsidR="008F12E4">
        <w:rPr>
          <w:lang w:bidi="en-US"/>
        </w:rPr>
        <w:t xml:space="preserve">all </w:t>
      </w:r>
      <w:r w:rsidR="00E16AEC">
        <w:rPr>
          <w:lang w:bidi="en-US"/>
        </w:rPr>
        <w:t>marketers</w:t>
      </w:r>
      <w:r w:rsidR="008F12E4">
        <w:rPr>
          <w:lang w:bidi="en-US"/>
        </w:rPr>
        <w:t xml:space="preserve"> should</w:t>
      </w:r>
      <w:r w:rsidR="00E16AEC">
        <w:rPr>
          <w:lang w:bidi="en-US"/>
        </w:rPr>
        <w:t xml:space="preserve"> compete on a level playing field and comply with the PUCO’s minimum service standards. </w:t>
      </w:r>
      <w:r w:rsidR="008F12E4">
        <w:rPr>
          <w:lang w:bidi="en-US"/>
        </w:rPr>
        <w:t>A</w:t>
      </w:r>
      <w:r>
        <w:rPr>
          <w:lang w:bidi="en-US"/>
        </w:rPr>
        <w:t>llowing Green Choice to de</w:t>
      </w:r>
      <w:r w:rsidR="008F12E4">
        <w:rPr>
          <w:lang w:bidi="en-US"/>
        </w:rPr>
        <w:t>lay</w:t>
      </w:r>
      <w:r>
        <w:rPr>
          <w:lang w:bidi="en-US"/>
        </w:rPr>
        <w:t xml:space="preserve"> payment of the forfeiture </w:t>
      </w:r>
      <w:r w:rsidR="008F12E4">
        <w:rPr>
          <w:lang w:bidi="en-US"/>
        </w:rPr>
        <w:t xml:space="preserve">is unfair to marketers that do comply with the PUCO’s rules and Ohio law. And it </w:t>
      </w:r>
      <w:r>
        <w:rPr>
          <w:lang w:bidi="en-US"/>
        </w:rPr>
        <w:t xml:space="preserve">sends </w:t>
      </w:r>
      <w:r w:rsidR="008F12E4">
        <w:rPr>
          <w:lang w:bidi="en-US"/>
        </w:rPr>
        <w:t>a</w:t>
      </w:r>
      <w:r>
        <w:rPr>
          <w:lang w:bidi="en-US"/>
        </w:rPr>
        <w:t xml:space="preserve"> message that</w:t>
      </w:r>
      <w:r w:rsidR="006423DA">
        <w:rPr>
          <w:lang w:bidi="en-US"/>
        </w:rPr>
        <w:t xml:space="preserve"> the</w:t>
      </w:r>
      <w:r>
        <w:rPr>
          <w:lang w:bidi="en-US"/>
        </w:rPr>
        <w:t xml:space="preserve"> </w:t>
      </w:r>
      <w:r w:rsidR="00720099">
        <w:rPr>
          <w:lang w:bidi="en-US"/>
        </w:rPr>
        <w:t xml:space="preserve">PUCO </w:t>
      </w:r>
      <w:r w:rsidR="008F12E4">
        <w:rPr>
          <w:lang w:bidi="en-US"/>
        </w:rPr>
        <w:t>will</w:t>
      </w:r>
      <w:r w:rsidR="006423DA">
        <w:rPr>
          <w:lang w:bidi="en-US"/>
        </w:rPr>
        <w:t xml:space="preserve"> </w:t>
      </w:r>
      <w:r w:rsidR="008F12E4">
        <w:rPr>
          <w:lang w:bidi="en-US"/>
        </w:rPr>
        <w:t xml:space="preserve">be soft in </w:t>
      </w:r>
      <w:r w:rsidR="00720099">
        <w:rPr>
          <w:lang w:bidi="en-US"/>
        </w:rPr>
        <w:t>enforc</w:t>
      </w:r>
      <w:r w:rsidR="008F12E4">
        <w:rPr>
          <w:lang w:bidi="en-US"/>
        </w:rPr>
        <w:t>ing</w:t>
      </w:r>
      <w:r w:rsidR="006423DA">
        <w:rPr>
          <w:lang w:bidi="en-US"/>
        </w:rPr>
        <w:t xml:space="preserve"> its orders</w:t>
      </w:r>
      <w:r w:rsidR="008F12E4">
        <w:rPr>
          <w:lang w:bidi="en-US"/>
        </w:rPr>
        <w:t xml:space="preserve"> against marketers engag</w:t>
      </w:r>
      <w:r w:rsidR="007F2477">
        <w:rPr>
          <w:lang w:bidi="en-US"/>
        </w:rPr>
        <w:t>ing</w:t>
      </w:r>
      <w:r w:rsidR="008F12E4">
        <w:rPr>
          <w:lang w:bidi="en-US"/>
        </w:rPr>
        <w:t xml:space="preserve"> in deceptive marketing practices</w:t>
      </w:r>
      <w:r w:rsidR="00720099">
        <w:rPr>
          <w:lang w:bidi="en-US"/>
        </w:rPr>
        <w:t>.</w:t>
      </w:r>
      <w:r>
        <w:rPr>
          <w:lang w:bidi="en-US"/>
        </w:rPr>
        <w:t xml:space="preserve"> </w:t>
      </w:r>
      <w:r w:rsidR="007F2477">
        <w:rPr>
          <w:lang w:bidi="en-US"/>
        </w:rPr>
        <w:t>That</w:t>
      </w:r>
      <w:r w:rsidR="00720099">
        <w:rPr>
          <w:lang w:bidi="en-US"/>
        </w:rPr>
        <w:t xml:space="preserve"> could </w:t>
      </w:r>
      <w:r w:rsidR="007F2477">
        <w:rPr>
          <w:lang w:bidi="en-US"/>
        </w:rPr>
        <w:t>increase</w:t>
      </w:r>
      <w:r w:rsidR="008F12E4">
        <w:rPr>
          <w:lang w:bidi="en-US"/>
        </w:rPr>
        <w:t xml:space="preserve"> </w:t>
      </w:r>
      <w:r w:rsidR="007F2477">
        <w:rPr>
          <w:lang w:bidi="en-US"/>
        </w:rPr>
        <w:t xml:space="preserve">bad </w:t>
      </w:r>
    </w:p>
    <w:p w:rsidR="008C783E" w14:paraId="6FAD3484" w14:textId="77777777">
      <w:pPr>
        <w:rPr>
          <w:lang w:bidi="en-US"/>
        </w:rPr>
      </w:pPr>
      <w:r>
        <w:rPr>
          <w:lang w:bidi="en-US"/>
        </w:rPr>
        <w:br w:type="page"/>
      </w:r>
    </w:p>
    <w:p w:rsidR="00CB7B3F" w:rsidP="008C783E" w14:paraId="76D0144D" w14:textId="3F8BC263">
      <w:pPr>
        <w:widowControl w:val="0"/>
        <w:spacing w:after="0" w:line="480" w:lineRule="auto"/>
        <w:rPr>
          <w:lang w:bidi="en-US"/>
        </w:rPr>
      </w:pPr>
      <w:r>
        <w:rPr>
          <w:lang w:bidi="en-US"/>
        </w:rPr>
        <w:t>behavior by unscrupulous marketers</w:t>
      </w:r>
      <w:r w:rsidR="006423DA">
        <w:rPr>
          <w:lang w:bidi="en-US"/>
        </w:rPr>
        <w:t>, ultimately</w:t>
      </w:r>
      <w:r w:rsidR="00720099">
        <w:rPr>
          <w:lang w:bidi="en-US"/>
        </w:rPr>
        <w:t xml:space="preserve"> harm</w:t>
      </w:r>
      <w:r w:rsidR="006423DA">
        <w:rPr>
          <w:lang w:bidi="en-US"/>
        </w:rPr>
        <w:t>ing</w:t>
      </w:r>
      <w:r w:rsidR="00720099">
        <w:rPr>
          <w:lang w:bidi="en-US"/>
        </w:rPr>
        <w:t xml:space="preserve"> electric and natural gas competition in Ohio.</w:t>
      </w:r>
      <w:r w:rsidR="00B702CD">
        <w:rPr>
          <w:lang w:bidi="en-US"/>
        </w:rPr>
        <w:t xml:space="preserve"> For these reasons, the Motion to Stay should be denied.</w:t>
      </w:r>
    </w:p>
    <w:p w:rsidR="008C783E" w:rsidP="008C783E" w14:paraId="07D157B0" w14:textId="77777777">
      <w:pPr>
        <w:widowControl w:val="0"/>
        <w:spacing w:after="0" w:line="240" w:lineRule="auto"/>
        <w:ind w:firstLine="720"/>
        <w:rPr>
          <w:lang w:bidi="en-US"/>
        </w:rPr>
      </w:pPr>
    </w:p>
    <w:p w:rsidR="001727F4" w:rsidRPr="00324B0D" w:rsidP="00324B0D" w14:paraId="502F584B" w14:textId="54DDF30A">
      <w:pPr>
        <w:pStyle w:val="Heading1"/>
        <w:jc w:val="left"/>
      </w:pPr>
      <w:bookmarkStart w:id="4" w:name="_Toc150175686"/>
      <w:r w:rsidRPr="00324B0D">
        <w:t>III.</w:t>
      </w:r>
      <w:r w:rsidRPr="00324B0D">
        <w:tab/>
        <w:t>CONCLUSION</w:t>
      </w:r>
      <w:bookmarkEnd w:id="4"/>
    </w:p>
    <w:p w:rsidR="00C76EC0" w:rsidP="007F2477" w14:paraId="6E7F7552" w14:textId="33E900EA">
      <w:pPr>
        <w:spacing w:after="0" w:line="480" w:lineRule="auto"/>
        <w:ind w:firstLine="720"/>
        <w:rPr>
          <w:rFonts w:eastAsia="Times New Roman"/>
          <w:lang w:bidi="en-US"/>
        </w:rPr>
      </w:pPr>
      <w:r>
        <w:rPr>
          <w:rFonts w:eastAsia="Times New Roman"/>
          <w:bCs/>
          <w:lang w:bidi="en-US"/>
        </w:rPr>
        <w:t xml:space="preserve">Green Choice </w:t>
      </w:r>
      <w:r w:rsidR="007F2477">
        <w:rPr>
          <w:rFonts w:eastAsia="Times New Roman"/>
          <w:bCs/>
          <w:lang w:bidi="en-US"/>
        </w:rPr>
        <w:t xml:space="preserve">states no good cause </w:t>
      </w:r>
      <w:r>
        <w:rPr>
          <w:rFonts w:eastAsia="Times New Roman"/>
          <w:bCs/>
          <w:lang w:bidi="en-US"/>
        </w:rPr>
        <w:t>for st</w:t>
      </w:r>
      <w:r w:rsidR="00AF4D16">
        <w:rPr>
          <w:rFonts w:eastAsia="Times New Roman"/>
          <w:bCs/>
          <w:lang w:bidi="en-US"/>
        </w:rPr>
        <w:t>ay</w:t>
      </w:r>
      <w:r>
        <w:rPr>
          <w:rFonts w:eastAsia="Times New Roman"/>
          <w:bCs/>
          <w:lang w:bidi="en-US"/>
        </w:rPr>
        <w:t xml:space="preserve">ing the </w:t>
      </w:r>
      <w:r w:rsidR="00AF4D16">
        <w:rPr>
          <w:rFonts w:eastAsia="Times New Roman"/>
          <w:bCs/>
          <w:lang w:bidi="en-US"/>
        </w:rPr>
        <w:t>enforcement</w:t>
      </w:r>
      <w:r>
        <w:rPr>
          <w:rFonts w:eastAsia="Times New Roman"/>
          <w:bCs/>
          <w:lang w:bidi="en-US"/>
        </w:rPr>
        <w:t xml:space="preserve"> of the PUCO’s Order</w:t>
      </w:r>
      <w:r w:rsidR="00AF4D16">
        <w:rPr>
          <w:rFonts w:eastAsia="Times New Roman"/>
          <w:bCs/>
          <w:lang w:bidi="en-US"/>
        </w:rPr>
        <w:t xml:space="preserve">. </w:t>
      </w:r>
      <w:r>
        <w:rPr>
          <w:rFonts w:eastAsia="Times New Roman"/>
          <w:bCs/>
          <w:lang w:bidi="en-US"/>
        </w:rPr>
        <w:t>As the PUCO correctly recognized, consumers victimized by Green Choice should be made whole</w:t>
      </w:r>
      <w:r w:rsidR="007F2477">
        <w:rPr>
          <w:rFonts w:eastAsia="Times New Roman"/>
          <w:bCs/>
          <w:lang w:bidi="en-US"/>
        </w:rPr>
        <w:t>. R</w:t>
      </w:r>
      <w:r>
        <w:rPr>
          <w:rFonts w:eastAsia="Times New Roman"/>
          <w:bCs/>
          <w:lang w:bidi="en-US"/>
        </w:rPr>
        <w:t xml:space="preserve">e-rates to consumers </w:t>
      </w:r>
      <w:r w:rsidR="00E96370">
        <w:rPr>
          <w:rFonts w:eastAsia="Times New Roman"/>
          <w:bCs/>
          <w:lang w:bidi="en-US"/>
        </w:rPr>
        <w:t xml:space="preserve">should </w:t>
      </w:r>
      <w:r w:rsidR="007F2477">
        <w:rPr>
          <w:rFonts w:eastAsia="Times New Roman"/>
          <w:bCs/>
          <w:lang w:bidi="en-US"/>
        </w:rPr>
        <w:t>be paid</w:t>
      </w:r>
      <w:r w:rsidR="00E96370">
        <w:rPr>
          <w:rFonts w:eastAsia="Times New Roman"/>
          <w:bCs/>
          <w:lang w:bidi="en-US"/>
        </w:rPr>
        <w:t xml:space="preserve"> now, not later. Green Choice </w:t>
      </w:r>
      <w:r w:rsidR="007F2477">
        <w:rPr>
          <w:rFonts w:eastAsia="Times New Roman"/>
          <w:bCs/>
          <w:lang w:bidi="en-US"/>
        </w:rPr>
        <w:t xml:space="preserve">should also </w:t>
      </w:r>
      <w:r w:rsidR="00E96370">
        <w:rPr>
          <w:rFonts w:eastAsia="Times New Roman"/>
          <w:bCs/>
          <w:lang w:bidi="en-US"/>
        </w:rPr>
        <w:t>pay the forfeiture without delay</w:t>
      </w:r>
      <w:r w:rsidR="007F2477">
        <w:rPr>
          <w:rFonts w:eastAsia="Times New Roman"/>
          <w:bCs/>
          <w:lang w:bidi="en-US"/>
        </w:rPr>
        <w:t xml:space="preserve"> to</w:t>
      </w:r>
      <w:r w:rsidR="00E96370">
        <w:rPr>
          <w:rFonts w:eastAsia="Times New Roman"/>
          <w:bCs/>
          <w:lang w:bidi="en-US"/>
        </w:rPr>
        <w:t xml:space="preserve"> </w:t>
      </w:r>
      <w:r w:rsidR="007F2477">
        <w:rPr>
          <w:rFonts w:eastAsia="Times New Roman"/>
          <w:bCs/>
          <w:lang w:bidi="en-US"/>
        </w:rPr>
        <w:t xml:space="preserve">show </w:t>
      </w:r>
      <w:r w:rsidR="00E96370">
        <w:rPr>
          <w:rFonts w:eastAsia="Times New Roman"/>
          <w:bCs/>
          <w:lang w:bidi="en-US"/>
        </w:rPr>
        <w:t>that the PUCO will not tolerate misleading and deceptive marketing and enrollment practices.</w:t>
      </w:r>
      <w:r w:rsidR="007F2477">
        <w:rPr>
          <w:rFonts w:eastAsia="Times New Roman"/>
          <w:bCs/>
          <w:lang w:bidi="en-US"/>
        </w:rPr>
        <w:t xml:space="preserve"> For all of the reasons set forth above,</w:t>
      </w:r>
      <w:r w:rsidR="00E96370">
        <w:rPr>
          <w:rFonts w:eastAsia="Times New Roman"/>
          <w:bCs/>
          <w:lang w:bidi="en-US"/>
        </w:rPr>
        <w:t xml:space="preserve"> Green Choice’s Motion to Stay</w:t>
      </w:r>
      <w:r w:rsidR="007F2477">
        <w:rPr>
          <w:rFonts w:eastAsia="Times New Roman"/>
          <w:bCs/>
          <w:lang w:bidi="en-US"/>
        </w:rPr>
        <w:t xml:space="preserve"> should be denied</w:t>
      </w:r>
      <w:r w:rsidR="00E96370">
        <w:rPr>
          <w:rFonts w:eastAsia="Times New Roman"/>
          <w:bCs/>
          <w:lang w:bidi="en-US"/>
        </w:rPr>
        <w:t>.</w:t>
      </w:r>
    </w:p>
    <w:p w:rsidR="001727F4" w:rsidRPr="001727F4" w:rsidP="001727F4" w14:paraId="557E5F95" w14:textId="61074218">
      <w:pPr>
        <w:spacing w:after="120" w:line="240" w:lineRule="auto"/>
        <w:ind w:left="4320" w:right="-672"/>
        <w:rPr>
          <w:rFonts w:eastAsia="Times New Roman"/>
          <w:lang w:bidi="en-US"/>
        </w:rPr>
      </w:pPr>
      <w:r w:rsidRPr="001727F4">
        <w:rPr>
          <w:rFonts w:eastAsia="Times New Roman"/>
          <w:lang w:bidi="en-US"/>
        </w:rPr>
        <w:t>Respectfully submitted,</w:t>
      </w:r>
    </w:p>
    <w:p w:rsidR="001727F4" w:rsidRPr="001727F4" w:rsidP="001727F4" w14:paraId="6C25BB75" w14:textId="77777777">
      <w:pPr>
        <w:spacing w:after="0" w:line="240" w:lineRule="auto"/>
        <w:jc w:val="center"/>
        <w:rPr>
          <w:rFonts w:eastAsia="Times New Roman"/>
          <w:b/>
          <w:lang w:bidi="en-US"/>
        </w:rPr>
      </w:pPr>
    </w:p>
    <w:p w:rsidR="00F4542B" w:rsidRPr="00FE2A23" w:rsidP="00F4542B" w14:paraId="3227F7D6" w14:textId="5123CF06">
      <w:pPr>
        <w:spacing w:after="0" w:line="240" w:lineRule="auto"/>
        <w:ind w:left="4320"/>
        <w:rPr>
          <w:rFonts w:eastAsia="Times New Roman"/>
          <w:lang w:bidi="en-US"/>
        </w:rPr>
      </w:pPr>
      <w:r>
        <w:rPr>
          <w:rFonts w:eastAsia="Times New Roman"/>
          <w:lang w:bidi="en-US"/>
        </w:rPr>
        <w:t xml:space="preserve">Maureen </w:t>
      </w:r>
      <w:r w:rsidR="003842C5">
        <w:rPr>
          <w:rFonts w:eastAsia="Times New Roman"/>
          <w:lang w:bidi="en-US"/>
        </w:rPr>
        <w:t xml:space="preserve">R. </w:t>
      </w:r>
      <w:r>
        <w:rPr>
          <w:rFonts w:eastAsia="Times New Roman"/>
          <w:lang w:bidi="en-US"/>
        </w:rPr>
        <w:t>Willis</w:t>
      </w:r>
      <w:r w:rsidRPr="00FE2A23">
        <w:rPr>
          <w:rFonts w:eastAsia="Times New Roman"/>
          <w:lang w:bidi="en-US"/>
        </w:rPr>
        <w:t xml:space="preserve"> (00</w:t>
      </w:r>
      <w:r>
        <w:rPr>
          <w:rFonts w:eastAsia="Times New Roman"/>
          <w:lang w:bidi="en-US"/>
        </w:rPr>
        <w:t>20847</w:t>
      </w:r>
      <w:r w:rsidRPr="00FE2A23">
        <w:rPr>
          <w:rFonts w:eastAsia="Times New Roman"/>
          <w:lang w:bidi="en-US"/>
        </w:rPr>
        <w:t>)</w:t>
      </w:r>
    </w:p>
    <w:p w:rsidR="00F4542B" w:rsidRPr="00FE2A23" w:rsidP="00F4542B" w14:paraId="425B8C82" w14:textId="77777777">
      <w:pPr>
        <w:tabs>
          <w:tab w:val="left" w:pos="4320"/>
        </w:tabs>
        <w:spacing w:after="0" w:line="240" w:lineRule="auto"/>
        <w:rPr>
          <w:rFonts w:eastAsia="Times New Roman"/>
          <w:lang w:bidi="en-US"/>
        </w:rPr>
      </w:pPr>
      <w:r w:rsidRPr="00FE2A23">
        <w:rPr>
          <w:rFonts w:eastAsia="Times New Roman"/>
          <w:lang w:bidi="en-US"/>
        </w:rPr>
        <w:tab/>
        <w:t xml:space="preserve">Ohio Consumers’ Counsel </w:t>
      </w:r>
    </w:p>
    <w:p w:rsidR="00F4542B" w:rsidP="00F4542B" w14:paraId="643966E9" w14:textId="77777777">
      <w:pPr>
        <w:tabs>
          <w:tab w:val="left" w:pos="4320"/>
        </w:tabs>
        <w:spacing w:after="0" w:line="240" w:lineRule="auto"/>
        <w:rPr>
          <w:rFonts w:eastAsia="Times New Roman"/>
          <w:lang w:bidi="en-US"/>
        </w:rPr>
      </w:pPr>
    </w:p>
    <w:p w:rsidR="0056707B" w:rsidRPr="00CB7B3F" w:rsidP="00F4542B" w14:paraId="40C5305D" w14:textId="4B3FCE13">
      <w:pPr>
        <w:tabs>
          <w:tab w:val="left" w:pos="4320"/>
        </w:tabs>
        <w:spacing w:after="0" w:line="240" w:lineRule="auto"/>
        <w:rPr>
          <w:rFonts w:eastAsia="Times New Roman"/>
          <w:i/>
          <w:iCs/>
          <w:u w:val="single"/>
          <w:lang w:bidi="en-US"/>
        </w:rPr>
      </w:pPr>
      <w:r>
        <w:rPr>
          <w:rFonts w:eastAsia="Times New Roman"/>
          <w:lang w:bidi="en-US"/>
        </w:rPr>
        <w:tab/>
      </w:r>
      <w:r>
        <w:rPr>
          <w:rFonts w:eastAsia="Times New Roman"/>
          <w:i/>
          <w:iCs/>
          <w:u w:val="single"/>
          <w:lang w:bidi="en-US"/>
        </w:rPr>
        <w:t>/s/ Angela D. O’Brien</w:t>
      </w:r>
      <w:r>
        <w:rPr>
          <w:rFonts w:eastAsia="Times New Roman"/>
          <w:i/>
          <w:iCs/>
          <w:u w:val="single"/>
          <w:lang w:bidi="en-US"/>
        </w:rPr>
        <w:tab/>
      </w:r>
      <w:r>
        <w:rPr>
          <w:rFonts w:eastAsia="Times New Roman"/>
          <w:i/>
          <w:iCs/>
          <w:u w:val="single"/>
          <w:lang w:bidi="en-US"/>
        </w:rPr>
        <w:tab/>
      </w:r>
    </w:p>
    <w:p w:rsidR="00F4542B" w:rsidRPr="00FE2A23" w:rsidP="00F4542B" w14:paraId="092DDDF4" w14:textId="77777777">
      <w:pPr>
        <w:spacing w:after="0" w:line="240" w:lineRule="auto"/>
        <w:ind w:left="4320"/>
        <w:rPr>
          <w:rFonts w:eastAsia="Times New Roman"/>
          <w:lang w:bidi="en-US"/>
        </w:rPr>
      </w:pPr>
      <w:r w:rsidRPr="00FE2A23">
        <w:rPr>
          <w:rFonts w:eastAsia="Times New Roman"/>
          <w:lang w:bidi="en-US"/>
        </w:rPr>
        <w:t>Angela D. O’Brien (0097579)</w:t>
      </w:r>
    </w:p>
    <w:p w:rsidR="00F4542B" w:rsidP="00F4542B" w14:paraId="3FA87CEF" w14:textId="77777777">
      <w:pPr>
        <w:spacing w:after="0" w:line="240" w:lineRule="auto"/>
        <w:ind w:left="4320"/>
        <w:rPr>
          <w:rFonts w:eastAsia="Times New Roman"/>
          <w:lang w:bidi="en-US"/>
        </w:rPr>
      </w:pPr>
      <w:r w:rsidRPr="00FE2A23">
        <w:rPr>
          <w:rFonts w:eastAsia="Times New Roman"/>
          <w:lang w:bidi="en-US"/>
        </w:rPr>
        <w:t>Counsel</w:t>
      </w:r>
      <w:r>
        <w:rPr>
          <w:rFonts w:eastAsia="Times New Roman"/>
          <w:lang w:bidi="en-US"/>
        </w:rPr>
        <w:t xml:space="preserve"> of Record</w:t>
      </w:r>
    </w:p>
    <w:p w:rsidR="00F4542B" w:rsidRPr="00FE2A23" w:rsidP="00F4542B" w14:paraId="1553270C" w14:textId="3E2C36CC">
      <w:pPr>
        <w:spacing w:after="0" w:line="240" w:lineRule="auto"/>
        <w:ind w:left="4320"/>
        <w:rPr>
          <w:rFonts w:eastAsia="Times New Roman"/>
          <w:lang w:bidi="en-US"/>
        </w:rPr>
      </w:pPr>
      <w:r>
        <w:rPr>
          <w:rFonts w:eastAsia="Times New Roman"/>
          <w:lang w:bidi="en-US"/>
        </w:rPr>
        <w:t>Deputy</w:t>
      </w:r>
      <w:r>
        <w:rPr>
          <w:rFonts w:eastAsia="Times New Roman"/>
          <w:lang w:bidi="en-US"/>
        </w:rPr>
        <w:t xml:space="preserve"> Consumers’ Counsel</w:t>
      </w:r>
    </w:p>
    <w:p w:rsidR="00F4542B" w:rsidRPr="00FE2A23" w:rsidP="00F4542B" w14:paraId="320DC164" w14:textId="77777777">
      <w:pPr>
        <w:spacing w:after="0" w:line="240" w:lineRule="auto"/>
        <w:ind w:left="4320"/>
        <w:rPr>
          <w:rFonts w:eastAsia="Times New Roman"/>
          <w:lang w:bidi="en-US"/>
        </w:rPr>
      </w:pPr>
    </w:p>
    <w:p w:rsidR="00F4542B" w:rsidRPr="00FE2A23" w:rsidP="00F4542B" w14:paraId="54C0DE7C" w14:textId="77777777">
      <w:pPr>
        <w:spacing w:after="0" w:line="240" w:lineRule="auto"/>
        <w:ind w:left="4320"/>
        <w:rPr>
          <w:rFonts w:eastAsia="Times New Roman"/>
          <w:b/>
          <w:lang w:bidi="en-US"/>
        </w:rPr>
      </w:pPr>
      <w:r w:rsidRPr="00FE2A23">
        <w:rPr>
          <w:rFonts w:eastAsia="Times New Roman"/>
          <w:b/>
          <w:lang w:bidi="en-US"/>
        </w:rPr>
        <w:t>Office of the Ohio Consumers’ Counsel</w:t>
      </w:r>
    </w:p>
    <w:p w:rsidR="00F4542B" w:rsidRPr="00FE2A23" w:rsidP="00F4542B" w14:paraId="06242DFE" w14:textId="77777777">
      <w:pPr>
        <w:spacing w:after="0" w:line="240" w:lineRule="auto"/>
        <w:ind w:left="4320"/>
        <w:rPr>
          <w:rFonts w:eastAsia="Times New Roman"/>
          <w:lang w:bidi="en-US"/>
        </w:rPr>
      </w:pPr>
      <w:r w:rsidRPr="00FE2A23">
        <w:rPr>
          <w:rFonts w:eastAsia="Times New Roman"/>
          <w:lang w:bidi="en-US"/>
        </w:rPr>
        <w:t xml:space="preserve">65 East State Street, </w:t>
      </w:r>
      <w:r>
        <w:rPr>
          <w:rFonts w:eastAsia="Times New Roman"/>
          <w:lang w:bidi="en-US"/>
        </w:rPr>
        <w:t>Suite 700</w:t>
      </w:r>
    </w:p>
    <w:p w:rsidR="00F4542B" w:rsidRPr="00FE2A23" w:rsidP="00F4542B" w14:paraId="35050ED0" w14:textId="77777777">
      <w:pPr>
        <w:spacing w:after="0" w:line="240" w:lineRule="auto"/>
        <w:ind w:left="4320"/>
        <w:rPr>
          <w:rFonts w:eastAsia="Times New Roman"/>
          <w:lang w:bidi="en-US"/>
        </w:rPr>
      </w:pPr>
      <w:r w:rsidRPr="00FE2A23">
        <w:rPr>
          <w:rFonts w:eastAsia="Times New Roman"/>
          <w:lang w:bidi="en-US"/>
        </w:rPr>
        <w:t>Columbus, Ohio 43215</w:t>
      </w:r>
    </w:p>
    <w:p w:rsidR="00F4542B" w:rsidP="00F4542B" w14:paraId="1E161B7B" w14:textId="77777777">
      <w:pPr>
        <w:spacing w:after="0" w:line="240" w:lineRule="auto"/>
        <w:ind w:left="4320"/>
        <w:rPr>
          <w:rFonts w:eastAsia="Times New Roman"/>
          <w:lang w:bidi="en-US"/>
        </w:rPr>
      </w:pPr>
      <w:r w:rsidRPr="00FE2A23">
        <w:rPr>
          <w:rFonts w:eastAsia="Times New Roman"/>
          <w:lang w:bidi="en-US"/>
        </w:rPr>
        <w:t>Telephone [O’Brien]: (614) 466-9531</w:t>
      </w:r>
    </w:p>
    <w:p w:rsidR="00F4542B" w:rsidRPr="003842C5" w:rsidP="00F4542B" w14:paraId="2A8A85A3" w14:textId="77777777">
      <w:pPr>
        <w:spacing w:after="0" w:line="240" w:lineRule="auto"/>
        <w:ind w:left="4320"/>
        <w:rPr>
          <w:rFonts w:eastAsia="Times New Roman"/>
          <w:color w:val="0000FF"/>
          <w:u w:val="single"/>
          <w:lang w:bidi="en-US"/>
        </w:rPr>
      </w:pPr>
      <w:hyperlink r:id="rId6" w:history="1">
        <w:r w:rsidRPr="003842C5">
          <w:rPr>
            <w:rStyle w:val="Hyperlink"/>
            <w:rFonts w:eastAsia="Times New Roman"/>
            <w:color w:val="0000FF"/>
            <w:lang w:bidi="en-US"/>
          </w:rPr>
          <w:t>angela.obrien@occ.ohio.gov</w:t>
        </w:r>
      </w:hyperlink>
    </w:p>
    <w:p w:rsidR="001C0D08" w:rsidP="001C0D08" w14:paraId="4F98CB0E" w14:textId="77777777">
      <w:pPr>
        <w:spacing w:after="0" w:line="240" w:lineRule="auto"/>
        <w:rPr>
          <w:rFonts w:eastAsia="Times New Roman"/>
          <w:lang w:bidi="en-US"/>
        </w:rPr>
      </w:pPr>
      <w:r>
        <w:rPr>
          <w:rFonts w:eastAsia="Times New Roman"/>
          <w:lang w:bidi="en-US"/>
        </w:rPr>
        <w:tab/>
      </w:r>
      <w:r>
        <w:rPr>
          <w:rFonts w:eastAsia="Times New Roman"/>
          <w:lang w:bidi="en-US"/>
        </w:rPr>
        <w:tab/>
      </w:r>
      <w:r w:rsidRPr="00FE2A23">
        <w:rPr>
          <w:rFonts w:eastAsia="Times New Roman"/>
          <w:lang w:bidi="en-US"/>
        </w:rPr>
        <w:tab/>
      </w:r>
      <w:r w:rsidRPr="00FE2A23">
        <w:rPr>
          <w:rFonts w:eastAsia="Times New Roman"/>
          <w:lang w:bidi="en-US"/>
        </w:rPr>
        <w:tab/>
      </w:r>
      <w:r w:rsidRPr="00FE2A23">
        <w:rPr>
          <w:rFonts w:eastAsia="Times New Roman"/>
          <w:lang w:bidi="en-US"/>
        </w:rPr>
        <w:tab/>
      </w:r>
      <w:r w:rsidRPr="00FE2A23">
        <w:rPr>
          <w:rFonts w:eastAsia="Times New Roman"/>
          <w:lang w:bidi="en-US"/>
        </w:rPr>
        <w:tab/>
        <w:t>(willing to accept service by e-mail)</w:t>
      </w:r>
    </w:p>
    <w:p w:rsidR="001C0D08" w:rsidP="001C0D08" w14:paraId="684F8F0E" w14:textId="77777777">
      <w:pPr>
        <w:spacing w:after="0" w:line="240" w:lineRule="auto"/>
        <w:rPr>
          <w:rFonts w:eastAsia="Times New Roman"/>
          <w:lang w:bidi="en-US"/>
        </w:rPr>
      </w:pPr>
    </w:p>
    <w:p w:rsidR="00C76EC0" w14:paraId="63CD962E" w14:textId="77777777">
      <w:pPr>
        <w:rPr>
          <w:rFonts w:eastAsia="Times New Roman" w:cstheme="majorBidi"/>
          <w:b/>
          <w:szCs w:val="32"/>
          <w:u w:val="single"/>
          <w:lang w:bidi="en-US"/>
        </w:rPr>
      </w:pPr>
      <w:bookmarkStart w:id="5" w:name="_Toc150175687"/>
      <w:r>
        <w:rPr>
          <w:u w:val="single"/>
        </w:rPr>
        <w:br w:type="page"/>
      </w:r>
    </w:p>
    <w:p w:rsidR="001727F4" w:rsidRPr="00324B0D" w:rsidP="00324B0D" w14:paraId="5D4A850A" w14:textId="637D9518">
      <w:pPr>
        <w:jc w:val="center"/>
        <w:rPr>
          <w:b/>
          <w:bCs/>
          <w:u w:val="single"/>
        </w:rPr>
      </w:pPr>
      <w:r w:rsidRPr="00324B0D">
        <w:rPr>
          <w:b/>
          <w:bCs/>
          <w:u w:val="single"/>
        </w:rPr>
        <w:t>CERTIFICATE OF SERVICE</w:t>
      </w:r>
      <w:bookmarkEnd w:id="5"/>
    </w:p>
    <w:p w:rsidR="001727F4" w:rsidRPr="001727F4" w:rsidP="001727F4" w14:paraId="11DC7780" w14:textId="1E25CC91">
      <w:pPr>
        <w:suppressAutoHyphens/>
        <w:spacing w:after="0" w:line="480" w:lineRule="auto"/>
        <w:ind w:firstLine="720"/>
        <w:rPr>
          <w:rFonts w:eastAsia="Times New Roman"/>
          <w:spacing w:val="-3"/>
          <w:lang w:bidi="en-US"/>
        </w:rPr>
      </w:pPr>
      <w:r w:rsidRPr="001727F4">
        <w:rPr>
          <w:rFonts w:eastAsia="Times New Roman"/>
          <w:lang w:bidi="en-US"/>
        </w:rPr>
        <w:t xml:space="preserve">It is hereby certified that a true copy of the foregoing </w:t>
      </w:r>
      <w:r w:rsidRPr="001727F4">
        <w:rPr>
          <w:rFonts w:eastAsia="Times New Roman"/>
          <w:iCs/>
          <w:lang w:bidi="en-US"/>
        </w:rPr>
        <w:t>Memorandum Contra</w:t>
      </w:r>
      <w:r w:rsidRPr="001727F4">
        <w:rPr>
          <w:rFonts w:eastAsia="Times New Roman"/>
          <w:lang w:bidi="en-US"/>
        </w:rPr>
        <w:t xml:space="preserve"> was served by electronic transmission upon the parties below this </w:t>
      </w:r>
      <w:r w:rsidR="00E96370">
        <w:rPr>
          <w:rFonts w:eastAsia="Times New Roman"/>
          <w:lang w:bidi="en-US"/>
        </w:rPr>
        <w:t>13</w:t>
      </w:r>
      <w:r w:rsidRPr="00E96370" w:rsidR="00E96370">
        <w:rPr>
          <w:rFonts w:eastAsia="Times New Roman"/>
          <w:vertAlign w:val="superscript"/>
          <w:lang w:bidi="en-US"/>
        </w:rPr>
        <w:t>th</w:t>
      </w:r>
      <w:r w:rsidRPr="001727F4">
        <w:rPr>
          <w:rFonts w:eastAsia="Times New Roman"/>
          <w:lang w:bidi="en-US"/>
        </w:rPr>
        <w:t xml:space="preserve"> day of </w:t>
      </w:r>
      <w:r w:rsidR="001C0D08">
        <w:rPr>
          <w:rFonts w:eastAsia="Times New Roman"/>
          <w:lang w:bidi="en-US"/>
        </w:rPr>
        <w:t>November 2023</w:t>
      </w:r>
      <w:r w:rsidRPr="001727F4">
        <w:rPr>
          <w:rFonts w:eastAsia="Times New Roman"/>
          <w:lang w:bidi="en-US"/>
        </w:rPr>
        <w:t>.</w:t>
      </w:r>
    </w:p>
    <w:p w:rsidR="001C0D08" w:rsidRPr="00FE2A23" w:rsidP="001C0D08" w14:paraId="08BC60EE" w14:textId="7AD34C54">
      <w:pPr>
        <w:spacing w:after="0" w:line="240" w:lineRule="auto"/>
        <w:ind w:left="4320"/>
        <w:rPr>
          <w:rFonts w:eastAsia="Times New Roman"/>
          <w:lang w:bidi="en-US"/>
        </w:rPr>
      </w:pPr>
      <w:r w:rsidRPr="001727F4">
        <w:rPr>
          <w:rFonts w:eastAsia="Times New Roman"/>
        </w:rPr>
        <w:tab/>
      </w:r>
      <w:r w:rsidRPr="001727F4">
        <w:rPr>
          <w:rFonts w:eastAsia="Times New Roman"/>
        </w:rPr>
        <w:tab/>
      </w:r>
      <w:r w:rsidRPr="001727F4">
        <w:rPr>
          <w:rFonts w:eastAsia="Times New Roman"/>
        </w:rPr>
        <w:tab/>
      </w:r>
      <w:r w:rsidRPr="001727F4">
        <w:rPr>
          <w:rFonts w:eastAsia="Times New Roman"/>
        </w:rPr>
        <w:tab/>
      </w:r>
      <w:r w:rsidRPr="001727F4">
        <w:rPr>
          <w:rFonts w:eastAsia="Times New Roman"/>
        </w:rPr>
        <w:tab/>
      </w:r>
      <w:r w:rsidR="00CB7B3F">
        <w:rPr>
          <w:rFonts w:eastAsia="Times New Roman"/>
        </w:rPr>
        <w:tab/>
      </w:r>
      <w:r w:rsidRPr="001727F4">
        <w:rPr>
          <w:rFonts w:eastAsia="Times New Roman"/>
          <w:i/>
          <w:u w:val="single"/>
        </w:rPr>
        <w:t xml:space="preserve">/s/ </w:t>
      </w:r>
      <w:r>
        <w:rPr>
          <w:rFonts w:eastAsia="Times New Roman"/>
          <w:i/>
          <w:u w:val="single"/>
        </w:rPr>
        <w:t>Angela D. O’Brien</w:t>
      </w:r>
      <w:r>
        <w:rPr>
          <w:rFonts w:eastAsia="Times New Roman"/>
          <w:i/>
          <w:u w:val="single"/>
        </w:rPr>
        <w:tab/>
      </w:r>
      <w:r>
        <w:rPr>
          <w:rFonts w:eastAsia="Times New Roman"/>
          <w:i/>
          <w:u w:val="single"/>
        </w:rPr>
        <w:tab/>
      </w:r>
      <w:r w:rsidRPr="001727F4">
        <w:rPr>
          <w:rFonts w:eastAsia="Times New Roman"/>
          <w:i/>
          <w:u w:val="single"/>
        </w:rPr>
        <w:tab/>
      </w:r>
      <w:r w:rsidRPr="001727F4">
        <w:rPr>
          <w:rFonts w:eastAsia="Times New Roman"/>
        </w:rPr>
        <w:tab/>
      </w:r>
      <w:r w:rsidRPr="00FE2A23">
        <w:rPr>
          <w:rFonts w:eastAsia="Times New Roman"/>
          <w:lang w:bidi="en-US"/>
        </w:rPr>
        <w:t>Angela D. O’Brien (0097579)</w:t>
      </w:r>
    </w:p>
    <w:p w:rsidR="001C0D08" w:rsidP="001C0D08" w14:paraId="3DDF3F96" w14:textId="77777777">
      <w:pPr>
        <w:spacing w:after="0" w:line="240" w:lineRule="auto"/>
        <w:ind w:left="4320" w:firstLine="720"/>
        <w:rPr>
          <w:rFonts w:eastAsia="Times New Roman"/>
          <w:lang w:bidi="en-US"/>
        </w:rPr>
      </w:pPr>
      <w:r w:rsidRPr="00FE2A23">
        <w:rPr>
          <w:rFonts w:eastAsia="Times New Roman"/>
          <w:lang w:bidi="en-US"/>
        </w:rPr>
        <w:t>Counsel</w:t>
      </w:r>
      <w:r>
        <w:rPr>
          <w:rFonts w:eastAsia="Times New Roman"/>
          <w:lang w:bidi="en-US"/>
        </w:rPr>
        <w:t xml:space="preserve"> of Record</w:t>
      </w:r>
    </w:p>
    <w:p w:rsidR="001727F4" w:rsidRPr="001727F4" w:rsidP="001727F4" w14:paraId="46B82F75" w14:textId="38972F04">
      <w:pPr>
        <w:spacing w:after="0" w:line="240" w:lineRule="auto"/>
        <w:rPr>
          <w:rFonts w:eastAsia="Times New Roman"/>
        </w:rPr>
      </w:pPr>
    </w:p>
    <w:p w:rsidR="001727F4" w:rsidRPr="001727F4" w:rsidP="001727F4" w14:paraId="0CD3E20E" w14:textId="77777777">
      <w:pPr>
        <w:spacing w:after="0" w:line="240" w:lineRule="auto"/>
        <w:rPr>
          <w:rFonts w:eastAsia="Times New Roman"/>
          <w:lang w:bidi="en-US"/>
        </w:rPr>
      </w:pPr>
      <w:r w:rsidRPr="001727F4">
        <w:rPr>
          <w:rFonts w:eastAsia="Times New Roman"/>
          <w:lang w:bidi="en-US"/>
        </w:rPr>
        <w:t>The PUCO’s e-filing system will electronically serve notice of the filing of this document on the following parties:</w:t>
      </w:r>
    </w:p>
    <w:p w:rsidR="001727F4" w:rsidRPr="001727F4" w:rsidP="001727F4" w14:paraId="3793E36A" w14:textId="77777777">
      <w:pPr>
        <w:spacing w:after="0" w:line="240" w:lineRule="auto"/>
        <w:jc w:val="center"/>
        <w:rPr>
          <w:rFonts w:eastAsia="Times New Roman"/>
          <w:b/>
          <w:u w:val="single"/>
          <w:lang w:bidi="en-US"/>
        </w:rPr>
      </w:pPr>
    </w:p>
    <w:p w:rsidR="001727F4" w:rsidRPr="007C6EF6" w:rsidP="00324B0D" w14:paraId="3F88396B" w14:textId="77777777">
      <w:pPr>
        <w:pStyle w:val="Heading1"/>
      </w:pPr>
      <w:bookmarkStart w:id="6" w:name="_Toc150175688"/>
      <w:r w:rsidRPr="007C6EF6">
        <w:t>SERVICE LIST</w:t>
      </w:r>
      <w:bookmarkEnd w:id="6"/>
    </w:p>
    <w:tbl>
      <w:tblPr>
        <w:tblW w:w="0" w:type="auto"/>
        <w:tblLook w:val="04A0"/>
      </w:tblPr>
      <w:tblGrid>
        <w:gridCol w:w="4346"/>
        <w:gridCol w:w="4294"/>
      </w:tblGrid>
      <w:tr w14:paraId="6D4DA5E4" w14:textId="77777777" w:rsidTr="001727F4">
        <w:tblPrEx>
          <w:tblW w:w="0" w:type="auto"/>
          <w:tblLook w:val="04A0"/>
        </w:tblPrEx>
        <w:tc>
          <w:tcPr>
            <w:tcW w:w="4428" w:type="dxa"/>
          </w:tcPr>
          <w:p w:rsidR="001C0D08" w:rsidRPr="00D12F10" w:rsidP="001C0D08" w14:paraId="466CFE0C" w14:textId="209AE3C9">
            <w:pPr>
              <w:spacing w:after="0" w:line="240" w:lineRule="auto"/>
              <w:rPr>
                <w:rFonts w:eastAsia="Times New Roman"/>
                <w:color w:val="0000FF"/>
                <w:lang w:bidi="en-US"/>
              </w:rPr>
            </w:pPr>
            <w:hyperlink r:id="rId7" w:history="1">
              <w:r w:rsidRPr="00D12F10">
                <w:rPr>
                  <w:rStyle w:val="Hyperlink"/>
                  <w:rFonts w:eastAsia="Times New Roman"/>
                  <w:color w:val="0000FF"/>
                  <w:lang w:bidi="en-US"/>
                </w:rPr>
                <w:t>rhiannon.plant@ohioAGO.gov</w:t>
              </w:r>
            </w:hyperlink>
          </w:p>
          <w:p w:rsidR="001C0D08" w:rsidRPr="00D12F10" w:rsidP="001C0D08" w14:paraId="11DAA2E1" w14:textId="77777777">
            <w:pPr>
              <w:spacing w:after="0" w:line="240" w:lineRule="auto"/>
              <w:jc w:val="center"/>
              <w:rPr>
                <w:rFonts w:eastAsia="Times New Roman"/>
                <w:color w:val="0000FF"/>
                <w:lang w:bidi="en-US"/>
              </w:rPr>
            </w:pPr>
          </w:p>
          <w:p w:rsidR="001C0D08" w:rsidRPr="00324B0D" w:rsidP="001C0D08" w14:paraId="5E5AE621" w14:textId="77777777">
            <w:pPr>
              <w:spacing w:after="0" w:line="240" w:lineRule="auto"/>
              <w:rPr>
                <w:rFonts w:eastAsia="Times New Roman"/>
                <w:lang w:bidi="en-US"/>
              </w:rPr>
            </w:pPr>
            <w:r w:rsidRPr="00324B0D">
              <w:rPr>
                <w:rFonts w:eastAsia="Times New Roman"/>
                <w:lang w:bidi="en-US"/>
              </w:rPr>
              <w:t xml:space="preserve">Attorney Examiner: </w:t>
            </w:r>
          </w:p>
          <w:p w:rsidR="001C0D08" w:rsidRPr="00D12F10" w:rsidP="001C0D08" w14:paraId="603B5CAC" w14:textId="42BCE496">
            <w:pPr>
              <w:spacing w:after="0" w:line="240" w:lineRule="auto"/>
              <w:rPr>
                <w:rFonts w:eastAsia="Times New Roman"/>
                <w:color w:val="0000FF"/>
                <w:lang w:bidi="en-US"/>
              </w:rPr>
            </w:pPr>
            <w:hyperlink r:id="rId8" w:history="1">
              <w:r w:rsidRPr="00D12F10">
                <w:rPr>
                  <w:rStyle w:val="Hyperlink"/>
                  <w:rFonts w:eastAsia="Times New Roman"/>
                  <w:color w:val="0000FF"/>
                  <w:lang w:bidi="en-US"/>
                </w:rPr>
                <w:t>jesse.davis@puco.ohio.gov</w:t>
              </w:r>
            </w:hyperlink>
          </w:p>
          <w:p w:rsidR="001727F4" w:rsidRPr="00D12F10" w:rsidP="002631EE" w14:paraId="1600103C" w14:textId="79C4F621">
            <w:pPr>
              <w:spacing w:after="0" w:line="240" w:lineRule="auto"/>
              <w:rPr>
                <w:rFonts w:eastAsia="Times New Roman"/>
                <w:bCs/>
                <w:color w:val="0000FF"/>
                <w:lang w:bidi="en-US"/>
              </w:rPr>
            </w:pPr>
          </w:p>
        </w:tc>
        <w:tc>
          <w:tcPr>
            <w:tcW w:w="4428" w:type="dxa"/>
          </w:tcPr>
          <w:p w:rsidR="001C0D08" w:rsidRPr="00D12F10" w:rsidP="001C0D08" w14:paraId="0A6A695E" w14:textId="31BA8A60">
            <w:pPr>
              <w:spacing w:after="0" w:line="240" w:lineRule="auto"/>
              <w:rPr>
                <w:rFonts w:eastAsia="Times New Roman"/>
                <w:color w:val="0000FF"/>
                <w:lang w:bidi="en-US"/>
              </w:rPr>
            </w:pPr>
            <w:hyperlink r:id="rId9" w:history="1">
              <w:r w:rsidRPr="00D12F10">
                <w:rPr>
                  <w:rStyle w:val="Hyperlink"/>
                  <w:rFonts w:eastAsia="Times New Roman"/>
                  <w:color w:val="0000FF"/>
                  <w:lang w:bidi="en-US"/>
                </w:rPr>
                <w:t>btrombino@uerus.com</w:t>
              </w:r>
            </w:hyperlink>
            <w:r w:rsidRPr="00D12F10">
              <w:rPr>
                <w:rFonts w:eastAsia="Times New Roman"/>
                <w:color w:val="0000FF"/>
                <w:lang w:bidi="en-US"/>
              </w:rPr>
              <w:t xml:space="preserve"> </w:t>
            </w:r>
          </w:p>
          <w:p w:rsidR="001C0D08" w:rsidRPr="00D12F10" w:rsidP="001C0D08" w14:paraId="36001EAA" w14:textId="7B2DF7F1">
            <w:pPr>
              <w:spacing w:after="0" w:line="240" w:lineRule="auto"/>
              <w:rPr>
                <w:rFonts w:eastAsia="Times New Roman"/>
                <w:color w:val="0000FF"/>
                <w:lang w:bidi="en-US"/>
              </w:rPr>
            </w:pPr>
            <w:hyperlink r:id="rId10" w:history="1">
              <w:r w:rsidRPr="00D12F10">
                <w:rPr>
                  <w:rStyle w:val="Hyperlink"/>
                  <w:rFonts w:eastAsia="Times New Roman"/>
                  <w:color w:val="0000FF"/>
                  <w:lang w:bidi="en-US"/>
                </w:rPr>
                <w:t>whitt@whitt-sturtevant.com</w:t>
              </w:r>
            </w:hyperlink>
          </w:p>
          <w:p w:rsidR="001727F4" w:rsidRPr="00D12F10" w:rsidP="002631EE" w14:paraId="619D5EE0" w14:textId="3ED39F34">
            <w:pPr>
              <w:spacing w:after="0" w:line="240" w:lineRule="auto"/>
              <w:rPr>
                <w:rFonts w:eastAsia="Times New Roman"/>
                <w:bCs/>
                <w:color w:val="0000FF"/>
                <w:lang w:bidi="en-US"/>
              </w:rPr>
            </w:pPr>
            <w:hyperlink r:id="rId11" w:history="1">
              <w:r w:rsidRPr="00D12F10" w:rsidR="001C0D08">
                <w:rPr>
                  <w:rStyle w:val="Hyperlink"/>
                  <w:rFonts w:eastAsia="Times New Roman"/>
                  <w:color w:val="0000FF"/>
                  <w:lang w:bidi="en-US"/>
                </w:rPr>
                <w:t>elmer@whitt-sturtevant.com</w:t>
              </w:r>
            </w:hyperlink>
          </w:p>
        </w:tc>
      </w:tr>
    </w:tbl>
    <w:p w:rsidR="002631EE" w:rsidP="002631EE" w14:paraId="15A0DF30" w14:textId="77777777">
      <w:pPr>
        <w:pStyle w:val="LBFileStampAtEnd"/>
        <w:spacing w:before="0"/>
      </w:pPr>
    </w:p>
    <w:p w:rsidR="001F2ED1" w:rsidP="002631EE" w14:paraId="091364B3" w14:textId="44F985C9">
      <w:pPr>
        <w:pStyle w:val="LBFileStampAtEnd"/>
        <w:spacing w:before="0"/>
      </w:pPr>
    </w:p>
    <w:sectPr w:rsidSect="003B1D3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EC" w14:paraId="5334ED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0022215"/>
      <w:docPartObj>
        <w:docPartGallery w:val="Page Numbers (Bottom of Page)"/>
        <w:docPartUnique/>
      </w:docPartObj>
    </w:sdtPr>
    <w:sdtEndPr>
      <w:rPr>
        <w:noProof/>
      </w:rPr>
    </w:sdtEndPr>
    <w:sdtContent>
      <w:p w:rsidR="001727F4" w14:paraId="21EB98EF" w14:textId="6182FF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27F4" w14:paraId="19F55A9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EC" w14:paraId="7165AE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5408" w:rsidP="001727F4" w14:paraId="0B19EF9D" w14:textId="77777777">
      <w:pPr>
        <w:spacing w:after="0" w:line="240" w:lineRule="auto"/>
      </w:pPr>
      <w:r>
        <w:separator/>
      </w:r>
    </w:p>
  </w:footnote>
  <w:footnote w:type="continuationSeparator" w:id="1">
    <w:p w:rsidR="004C5408" w:rsidP="001727F4" w14:paraId="042E3DDB" w14:textId="77777777">
      <w:pPr>
        <w:spacing w:after="0" w:line="240" w:lineRule="auto"/>
      </w:pPr>
      <w:r>
        <w:continuationSeparator/>
      </w:r>
    </w:p>
  </w:footnote>
  <w:footnote w:id="2">
    <w:p w:rsidR="00B87086" w:rsidP="003842C5" w14:paraId="532E5361" w14:textId="1CF11390">
      <w:pPr>
        <w:pStyle w:val="FootnoteText"/>
        <w:spacing w:after="120"/>
      </w:pPr>
      <w:r>
        <w:rPr>
          <w:rStyle w:val="FootnoteReference"/>
        </w:rPr>
        <w:footnoteRef/>
      </w:r>
      <w:r>
        <w:t xml:space="preserve"> RPA Energy, Inc. d/b/a Green Choice Energy (“Green Choice”).</w:t>
      </w:r>
    </w:p>
  </w:footnote>
  <w:footnote w:id="3">
    <w:p w:rsidR="00E44B97" w:rsidP="003842C5" w14:paraId="59DB3616" w14:textId="0C3107DB">
      <w:pPr>
        <w:pStyle w:val="FootnoteText"/>
        <w:spacing w:after="120"/>
      </w:pPr>
      <w:r>
        <w:rPr>
          <w:rStyle w:val="FootnoteReference"/>
        </w:rPr>
        <w:footnoteRef/>
      </w:r>
      <w:r>
        <w:t xml:space="preserve"> PUCO Opinion and Order (Oct</w:t>
      </w:r>
      <w:r w:rsidR="003842C5">
        <w:t>ober</w:t>
      </w:r>
      <w:r>
        <w:t xml:space="preserve"> 18, 2023), ¶ 1.</w:t>
      </w:r>
    </w:p>
  </w:footnote>
  <w:footnote w:id="4">
    <w:p w:rsidR="00EB37F5" w:rsidRPr="00EB37F5" w:rsidP="003842C5" w14:paraId="5F69530B" w14:textId="286E74D8">
      <w:pPr>
        <w:pStyle w:val="FootnoteText"/>
        <w:spacing w:after="120"/>
        <w:rPr>
          <w:i/>
          <w:iCs/>
        </w:rPr>
      </w:pPr>
      <w:r>
        <w:rPr>
          <w:rStyle w:val="FootnoteReference"/>
        </w:rPr>
        <w:footnoteRef/>
      </w:r>
      <w:r>
        <w:t xml:space="preserve"> </w:t>
      </w:r>
      <w:r>
        <w:rPr>
          <w:i/>
          <w:iCs/>
        </w:rPr>
        <w:t>Id.</w:t>
      </w:r>
    </w:p>
  </w:footnote>
  <w:footnote w:id="5">
    <w:p w:rsidR="00A1430D" w:rsidRPr="00A1430D" w:rsidP="003842C5" w14:paraId="0742A8CA" w14:textId="04EE8B0A">
      <w:pPr>
        <w:pStyle w:val="FootnoteText"/>
        <w:spacing w:after="120"/>
        <w:rPr>
          <w:i/>
          <w:iCs/>
        </w:rPr>
      </w:pPr>
      <w:r>
        <w:rPr>
          <w:rStyle w:val="FootnoteReference"/>
        </w:rPr>
        <w:footnoteRef/>
      </w:r>
      <w:r>
        <w:t xml:space="preserve"> </w:t>
      </w:r>
      <w:r>
        <w:rPr>
          <w:i/>
          <w:iCs/>
        </w:rPr>
        <w:t>Id.</w:t>
      </w:r>
    </w:p>
  </w:footnote>
  <w:footnote w:id="6">
    <w:p w:rsidR="00F14827" w:rsidP="003842C5" w14:paraId="4A00202A" w14:textId="6883C44F">
      <w:pPr>
        <w:pStyle w:val="FootnoteText"/>
        <w:spacing w:after="120"/>
      </w:pPr>
      <w:r>
        <w:rPr>
          <w:rStyle w:val="FootnoteReference"/>
        </w:rPr>
        <w:footnoteRef/>
      </w:r>
      <w:r>
        <w:t xml:space="preserve"> Green Choice Motion </w:t>
      </w:r>
      <w:r w:rsidR="000251D0">
        <w:t>to</w:t>
      </w:r>
      <w:r>
        <w:t xml:space="preserve"> Stay Enforcement of October 18, 2023 Opinion and Order (“Motion </w:t>
      </w:r>
      <w:r w:rsidR="000251D0">
        <w:t>to</w:t>
      </w:r>
      <w:r>
        <w:t xml:space="preserve"> Stay”).</w:t>
      </w:r>
    </w:p>
  </w:footnote>
  <w:footnote w:id="7">
    <w:p w:rsidR="00A71A9E" w:rsidP="003842C5" w14:paraId="46F7454B" w14:textId="1AF8BB84">
      <w:pPr>
        <w:pStyle w:val="FootnoteText"/>
        <w:spacing w:after="120"/>
      </w:pPr>
      <w:r>
        <w:rPr>
          <w:rStyle w:val="FootnoteReference"/>
        </w:rPr>
        <w:footnoteRef/>
      </w:r>
      <w:r>
        <w:t xml:space="preserve"> </w:t>
      </w:r>
      <w:r w:rsidR="002F0CE5">
        <w:t>PUCO Opinion and Order (Oct</w:t>
      </w:r>
      <w:r w:rsidR="003842C5">
        <w:t>ober</w:t>
      </w:r>
      <w:r w:rsidR="002F0CE5">
        <w:t xml:space="preserve"> 18, 2023), ¶ 80.</w:t>
      </w:r>
    </w:p>
  </w:footnote>
  <w:footnote w:id="8">
    <w:p w:rsidR="00FB7638" w:rsidP="003842C5" w14:paraId="539D12E0" w14:textId="3E683851">
      <w:pPr>
        <w:pStyle w:val="FootnoteText"/>
        <w:spacing w:after="120"/>
      </w:pPr>
      <w:r>
        <w:rPr>
          <w:rStyle w:val="FootnoteReference"/>
        </w:rPr>
        <w:footnoteRef/>
      </w:r>
      <w:r>
        <w:t xml:space="preserve"> Emphasis added.</w:t>
      </w:r>
    </w:p>
  </w:footnote>
  <w:footnote w:id="9">
    <w:p w:rsidR="00095389" w:rsidRPr="00095389" w:rsidP="003842C5" w14:paraId="34506D2A" w14:textId="2F3DFDFF">
      <w:pPr>
        <w:pStyle w:val="FootnoteText"/>
        <w:spacing w:after="120"/>
      </w:pPr>
      <w:r>
        <w:rPr>
          <w:rStyle w:val="FootnoteReference"/>
        </w:rPr>
        <w:footnoteRef/>
      </w:r>
      <w:r>
        <w:t xml:space="preserve"> </w:t>
      </w:r>
      <w:r>
        <w:rPr>
          <w:i/>
          <w:iCs/>
        </w:rPr>
        <w:t xml:space="preserve">Complaint of Ohio Power Co., </w:t>
      </w:r>
      <w:r>
        <w:t>21-990-EL-CSS, p. 5 (Dec</w:t>
      </w:r>
      <w:r w:rsidR="003842C5">
        <w:t>ember</w:t>
      </w:r>
      <w:r>
        <w:t xml:space="preserve"> 28, 2021).</w:t>
      </w:r>
    </w:p>
  </w:footnote>
  <w:footnote w:id="10">
    <w:p w:rsidR="003D0D04" w:rsidRPr="00A74744" w:rsidP="003842C5" w14:paraId="5007A6A6" w14:textId="634A45F4">
      <w:pPr>
        <w:pStyle w:val="FootnoteText"/>
        <w:spacing w:after="120"/>
      </w:pPr>
      <w:r>
        <w:rPr>
          <w:rStyle w:val="FootnoteReference"/>
        </w:rPr>
        <w:footnoteRef/>
      </w:r>
      <w:r>
        <w:t xml:space="preserve"> </w:t>
      </w:r>
      <w:r w:rsidR="00A74744">
        <w:t xml:space="preserve">Motion </w:t>
      </w:r>
      <w:r w:rsidR="000251D0">
        <w:t>to</w:t>
      </w:r>
      <w:r w:rsidR="00A74744">
        <w:t xml:space="preserve"> Stay, at 6.</w:t>
      </w:r>
    </w:p>
  </w:footnote>
  <w:footnote w:id="11">
    <w:p w:rsidR="004F1358" w:rsidRPr="004F1358" w:rsidP="003842C5" w14:paraId="66EEE3F5" w14:textId="3C815EAA">
      <w:pPr>
        <w:pStyle w:val="FootnoteText"/>
        <w:spacing w:after="120"/>
        <w:rPr>
          <w:i/>
          <w:iCs/>
        </w:rPr>
      </w:pPr>
      <w:r>
        <w:rPr>
          <w:rStyle w:val="FootnoteReference"/>
        </w:rPr>
        <w:footnoteRef/>
      </w:r>
      <w:r>
        <w:t xml:space="preserve"> </w:t>
      </w:r>
      <w:r>
        <w:rPr>
          <w:i/>
          <w:iCs/>
        </w:rPr>
        <w:t>Id.</w:t>
      </w:r>
    </w:p>
  </w:footnote>
  <w:footnote w:id="12">
    <w:p w:rsidR="009D2AAB" w:rsidP="003842C5" w14:paraId="2B573EB8" w14:textId="14116258">
      <w:pPr>
        <w:pStyle w:val="FootnoteText"/>
        <w:spacing w:after="120"/>
      </w:pPr>
      <w:r>
        <w:rPr>
          <w:rStyle w:val="FootnoteReference"/>
        </w:rPr>
        <w:footnoteRef/>
      </w:r>
      <w:r>
        <w:t xml:space="preserve"> Order, ¶82.</w:t>
      </w:r>
    </w:p>
  </w:footnote>
  <w:footnote w:id="13">
    <w:p w:rsidR="009D2AAB" w:rsidRPr="009D2AAB" w:rsidP="003842C5" w14:paraId="62A7457C" w14:textId="6010E108">
      <w:pPr>
        <w:pStyle w:val="FootnoteText"/>
        <w:spacing w:after="120"/>
      </w:pPr>
      <w:r>
        <w:rPr>
          <w:rStyle w:val="FootnoteReference"/>
        </w:rPr>
        <w:footnoteRef/>
      </w:r>
      <w:r>
        <w:t xml:space="preserve"> </w:t>
      </w:r>
      <w:r>
        <w:rPr>
          <w:i/>
          <w:iCs/>
        </w:rPr>
        <w:t>Id.</w:t>
      </w:r>
    </w:p>
  </w:footnote>
  <w:footnote w:id="14">
    <w:p w:rsidR="009D2AAB" w:rsidRPr="009D2AAB" w:rsidP="003842C5" w14:paraId="30B841B5" w14:textId="54677646">
      <w:pPr>
        <w:pStyle w:val="FootnoteText"/>
        <w:spacing w:after="120"/>
      </w:pPr>
      <w:r>
        <w:rPr>
          <w:rStyle w:val="FootnoteReference"/>
        </w:rPr>
        <w:footnoteRef/>
      </w:r>
      <w:r>
        <w:t xml:space="preserve"> </w:t>
      </w:r>
      <w:r>
        <w:rPr>
          <w:i/>
          <w:iCs/>
        </w:rPr>
        <w:t>Id.</w:t>
      </w:r>
      <w:r>
        <w:t xml:space="preserve"> at ¶1.</w:t>
      </w:r>
    </w:p>
  </w:footnote>
  <w:footnote w:id="15">
    <w:p w:rsidR="00AC6998" w:rsidP="003842C5" w14:paraId="69741DD2" w14:textId="4524C932">
      <w:pPr>
        <w:pStyle w:val="FootnoteText"/>
        <w:spacing w:after="120"/>
      </w:pPr>
      <w:r>
        <w:rPr>
          <w:rStyle w:val="FootnoteReference"/>
        </w:rPr>
        <w:footnoteRef/>
      </w:r>
      <w:r>
        <w:t xml:space="preserve"> Motion to Stay, at 6. </w:t>
      </w:r>
    </w:p>
  </w:footnote>
  <w:footnote w:id="16">
    <w:p w:rsidR="00B36CE2" w:rsidP="003842C5" w14:paraId="5523CF2C" w14:textId="7DB0AB4D">
      <w:pPr>
        <w:pStyle w:val="FootnoteText"/>
        <w:spacing w:after="120"/>
      </w:pPr>
      <w:r>
        <w:rPr>
          <w:rStyle w:val="FootnoteReference"/>
        </w:rPr>
        <w:footnoteRef/>
      </w:r>
      <w:r>
        <w:t xml:space="preserve"> PUCO Opinion and Order (Oct</w:t>
      </w:r>
      <w:r w:rsidR="003842C5">
        <w:t>ober</w:t>
      </w:r>
      <w:r>
        <w:t xml:space="preserve"> 18, 2023), ¶ 1 (emphasis added).</w:t>
      </w:r>
    </w:p>
  </w:footnote>
  <w:footnote w:id="17">
    <w:p w:rsidR="000464F5" w:rsidP="003842C5" w14:paraId="1704FD7E" w14:textId="59166F44">
      <w:pPr>
        <w:pStyle w:val="FootnoteText"/>
        <w:spacing w:after="120"/>
      </w:pPr>
      <w:r>
        <w:rPr>
          <w:rStyle w:val="FootnoteReference"/>
        </w:rPr>
        <w:footnoteRef/>
      </w:r>
      <w:r>
        <w:t xml:space="preserve"> Motion to Stay, at 6.</w:t>
      </w:r>
    </w:p>
  </w:footnote>
  <w:footnote w:id="18">
    <w:p w:rsidR="00691F82" w:rsidP="003842C5" w14:paraId="25BD84D3" w14:textId="156B822D">
      <w:pPr>
        <w:pStyle w:val="FootnoteText"/>
        <w:spacing w:after="120"/>
      </w:pPr>
      <w:r>
        <w:rPr>
          <w:rStyle w:val="FootnoteReference"/>
        </w:rPr>
        <w:footnoteRef/>
      </w:r>
      <w:r>
        <w:t xml:space="preserve"> </w:t>
      </w:r>
      <w:r w:rsidR="00FF52C6">
        <w:t>PUCO Opinion and Order (Oct</w:t>
      </w:r>
      <w:r w:rsidR="003842C5">
        <w:t>ober</w:t>
      </w:r>
      <w:r w:rsidR="00FF52C6">
        <w:t xml:space="preserve"> 18, 2023), ¶ 80.</w:t>
      </w:r>
    </w:p>
  </w:footnote>
  <w:footnote w:id="19">
    <w:p w:rsidR="00976BB5" w:rsidP="003842C5" w14:paraId="548087BD" w14:textId="25940C55">
      <w:pPr>
        <w:pStyle w:val="FootnoteText"/>
        <w:spacing w:after="120"/>
      </w:pPr>
      <w:r>
        <w:rPr>
          <w:rStyle w:val="FootnoteReference"/>
        </w:rPr>
        <w:footnoteRef/>
      </w:r>
      <w:r>
        <w:t xml:space="preserve"> Motion to Stay, at </w:t>
      </w:r>
      <w:r w:rsidR="000F4FEB">
        <w:t>4-5.</w:t>
      </w:r>
    </w:p>
  </w:footnote>
  <w:footnote w:id="20">
    <w:p w:rsidR="00394F83" w:rsidP="003842C5" w14:paraId="2C078794" w14:textId="42705887">
      <w:pPr>
        <w:pStyle w:val="FootnoteText"/>
        <w:spacing w:after="120"/>
      </w:pPr>
      <w:r>
        <w:rPr>
          <w:rStyle w:val="FootnoteReference"/>
        </w:rPr>
        <w:footnoteRef/>
      </w:r>
      <w:r>
        <w:t xml:space="preserve"> Motion to Stay, at </w:t>
      </w:r>
      <w:r w:rsidR="000F4FEB">
        <w:t>5 (emphasis added).</w:t>
      </w:r>
    </w:p>
  </w:footnote>
  <w:footnote w:id="21">
    <w:p w:rsidR="00EF28EE" w:rsidP="003842C5" w14:paraId="1072CF4D" w14:textId="77777777">
      <w:pPr>
        <w:pStyle w:val="FootnoteText"/>
        <w:spacing w:after="120"/>
      </w:pPr>
      <w:r>
        <w:rPr>
          <w:rStyle w:val="FootnoteReference"/>
        </w:rPr>
        <w:footnoteRef/>
      </w:r>
      <w:r>
        <w:t xml:space="preserve"> Motion to Stay, at 6.</w:t>
      </w:r>
    </w:p>
  </w:footnote>
  <w:footnote w:id="22">
    <w:p w:rsidR="002738E0" w:rsidP="003842C5" w14:paraId="53604195" w14:textId="1BBCA86D">
      <w:pPr>
        <w:pStyle w:val="FootnoteText"/>
        <w:spacing w:after="120"/>
      </w:pPr>
      <w:r>
        <w:rPr>
          <w:rStyle w:val="FootnoteReference"/>
        </w:rPr>
        <w:footnoteRef/>
      </w:r>
      <w:r>
        <w:t xml:space="preserve"> Motion to Stay, at 5.</w:t>
      </w:r>
    </w:p>
  </w:footnote>
  <w:footnote w:id="23">
    <w:p w:rsidR="002738E0" w:rsidRPr="002738E0" w:rsidP="003842C5" w14:paraId="06BD12B1" w14:textId="5FF83C2E">
      <w:pPr>
        <w:pStyle w:val="FootnoteText"/>
        <w:spacing w:after="120"/>
      </w:pPr>
      <w:r>
        <w:rPr>
          <w:rStyle w:val="FootnoteReference"/>
        </w:rPr>
        <w:footnoteRef/>
      </w:r>
      <w:r>
        <w:t xml:space="preserve"> </w:t>
      </w:r>
      <w:r>
        <w:rPr>
          <w:i/>
          <w:iCs/>
        </w:rPr>
        <w:t>Id.</w:t>
      </w:r>
      <w:r>
        <w:t xml:space="preserve"> at note 7.</w:t>
      </w:r>
    </w:p>
  </w:footnote>
  <w:footnote w:id="24">
    <w:p w:rsidR="00852560" w:rsidP="003842C5" w14:paraId="325830CA" w14:textId="4230AFB6">
      <w:pPr>
        <w:pStyle w:val="FootnoteText"/>
        <w:spacing w:after="120"/>
      </w:pPr>
      <w:r>
        <w:rPr>
          <w:rStyle w:val="FootnoteReference"/>
        </w:rPr>
        <w:footnoteRef/>
      </w:r>
      <w:r>
        <w:t xml:space="preserve"> Emphasis added.</w:t>
      </w:r>
    </w:p>
  </w:footnote>
  <w:footnote w:id="25">
    <w:p w:rsidR="00F871F6" w:rsidP="003842C5" w14:paraId="7A8940F6" w14:textId="59F322D5">
      <w:pPr>
        <w:pStyle w:val="FootnoteText"/>
        <w:spacing w:after="120"/>
      </w:pPr>
      <w:r>
        <w:rPr>
          <w:rStyle w:val="FootnoteReference"/>
        </w:rPr>
        <w:footnoteRef/>
      </w:r>
      <w:r>
        <w:t xml:space="preserve"> Motion to Stay, at 5.</w:t>
      </w:r>
    </w:p>
  </w:footnote>
  <w:footnote w:id="26">
    <w:p w:rsidR="00CF4D33" w:rsidRPr="00CF4D33" w:rsidP="003842C5" w14:paraId="3F3CF706" w14:textId="79367423">
      <w:pPr>
        <w:pStyle w:val="FootnoteText"/>
        <w:spacing w:after="120"/>
      </w:pPr>
      <w:r>
        <w:rPr>
          <w:rStyle w:val="FootnoteReference"/>
        </w:rPr>
        <w:footnoteRef/>
      </w:r>
      <w:r>
        <w:t xml:space="preserve"> </w:t>
      </w:r>
      <w:r>
        <w:rPr>
          <w:i/>
          <w:iCs/>
        </w:rPr>
        <w:t>Id.</w:t>
      </w:r>
      <w:r>
        <w:t xml:space="preserve"> at 4.</w:t>
      </w:r>
    </w:p>
  </w:footnote>
  <w:footnote w:id="27">
    <w:p w:rsidR="004D73AF" w:rsidP="003842C5" w14:paraId="416298E2" w14:textId="5E88AC10">
      <w:pPr>
        <w:pStyle w:val="FootnoteText"/>
        <w:spacing w:after="120"/>
      </w:pPr>
      <w:r>
        <w:rPr>
          <w:rStyle w:val="FootnoteReference"/>
        </w:rPr>
        <w:footnoteRef/>
      </w:r>
      <w:r>
        <w:t xml:space="preserve"> PUCO Opinion and Order (Oct</w:t>
      </w:r>
      <w:r w:rsidR="003842C5">
        <w:t>ober</w:t>
      </w:r>
      <w:r>
        <w:t xml:space="preserve"> 18, 2023), ¶ 80.</w:t>
      </w:r>
    </w:p>
  </w:footnote>
  <w:footnote w:id="28">
    <w:p w:rsidR="001B2CAC" w:rsidP="003842C5" w14:paraId="2542E25A" w14:textId="2BD9C1EF">
      <w:pPr>
        <w:pStyle w:val="FootnoteText"/>
        <w:spacing w:after="120"/>
      </w:pPr>
      <w:r>
        <w:rPr>
          <w:rStyle w:val="FootnoteReference"/>
        </w:rPr>
        <w:footnoteRef/>
      </w:r>
      <w:r>
        <w:t xml:space="preserve"> Motion to Stay, p. 4.</w:t>
      </w:r>
    </w:p>
  </w:footnote>
  <w:footnote w:id="29">
    <w:p w:rsidR="00D32ABD" w:rsidRPr="00D32ABD" w:rsidP="003842C5" w14:paraId="02BAB660" w14:textId="57EA290F">
      <w:pPr>
        <w:pStyle w:val="FootnoteText"/>
        <w:spacing w:after="120"/>
      </w:pPr>
      <w:r>
        <w:rPr>
          <w:rStyle w:val="FootnoteReference"/>
        </w:rPr>
        <w:footnoteRef/>
      </w:r>
      <w:r>
        <w:t xml:space="preserve"> </w:t>
      </w:r>
      <w:r>
        <w:rPr>
          <w:i/>
          <w:iCs/>
        </w:rPr>
        <w:t xml:space="preserve">See e.g. </w:t>
      </w:r>
      <w:r>
        <w:t>R.C. 4928.10, R.C. 4929.22.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EC" w14:paraId="617198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EC" w14:paraId="23683B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EC" w14:paraId="408BC9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127FD"/>
    <w:multiLevelType w:val="hybridMultilevel"/>
    <w:tmpl w:val="F0CA23DE"/>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4973987"/>
    <w:multiLevelType w:val="hybridMultilevel"/>
    <w:tmpl w:val="73E488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DAD6218"/>
    <w:multiLevelType w:val="hybridMultilevel"/>
    <w:tmpl w:val="FA24C2C8"/>
    <w:lvl w:ilvl="0">
      <w:start w:val="1"/>
      <w:numFmt w:val="upperLetter"/>
      <w:pStyle w:val="Heading2"/>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CA04A59"/>
    <w:multiLevelType w:val="hybridMultilevel"/>
    <w:tmpl w:val="1508302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23"/>
    <w:rsid w:val="000059B9"/>
    <w:rsid w:val="00021DC5"/>
    <w:rsid w:val="000251D0"/>
    <w:rsid w:val="000464F5"/>
    <w:rsid w:val="00055385"/>
    <w:rsid w:val="00063AEA"/>
    <w:rsid w:val="00095389"/>
    <w:rsid w:val="000B4EDE"/>
    <w:rsid w:val="000C2322"/>
    <w:rsid w:val="000D4543"/>
    <w:rsid w:val="000F4FEB"/>
    <w:rsid w:val="001023A0"/>
    <w:rsid w:val="00131F4D"/>
    <w:rsid w:val="001445AA"/>
    <w:rsid w:val="00146908"/>
    <w:rsid w:val="00146D81"/>
    <w:rsid w:val="001701D4"/>
    <w:rsid w:val="001727F4"/>
    <w:rsid w:val="001B2CAC"/>
    <w:rsid w:val="001B7873"/>
    <w:rsid w:val="001C0D08"/>
    <w:rsid w:val="001D362D"/>
    <w:rsid w:val="001F2ED1"/>
    <w:rsid w:val="0023686E"/>
    <w:rsid w:val="00246A38"/>
    <w:rsid w:val="002631EE"/>
    <w:rsid w:val="00267626"/>
    <w:rsid w:val="002738E0"/>
    <w:rsid w:val="002B3FA2"/>
    <w:rsid w:val="002C6F94"/>
    <w:rsid w:val="002F0CE5"/>
    <w:rsid w:val="002F3B77"/>
    <w:rsid w:val="0032114F"/>
    <w:rsid w:val="00324B0D"/>
    <w:rsid w:val="003400EA"/>
    <w:rsid w:val="00344D1F"/>
    <w:rsid w:val="00345C7B"/>
    <w:rsid w:val="00363E46"/>
    <w:rsid w:val="003643C6"/>
    <w:rsid w:val="0037145B"/>
    <w:rsid w:val="003730BF"/>
    <w:rsid w:val="00380564"/>
    <w:rsid w:val="003842C5"/>
    <w:rsid w:val="00394F83"/>
    <w:rsid w:val="003A5231"/>
    <w:rsid w:val="003A77C4"/>
    <w:rsid w:val="003B1D39"/>
    <w:rsid w:val="003D0D04"/>
    <w:rsid w:val="003F21D9"/>
    <w:rsid w:val="004101F3"/>
    <w:rsid w:val="004A1317"/>
    <w:rsid w:val="004A3A49"/>
    <w:rsid w:val="004A40F3"/>
    <w:rsid w:val="004C5408"/>
    <w:rsid w:val="004D1A3E"/>
    <w:rsid w:val="004D4F40"/>
    <w:rsid w:val="004D73AF"/>
    <w:rsid w:val="004F0A49"/>
    <w:rsid w:val="004F1358"/>
    <w:rsid w:val="004F69FB"/>
    <w:rsid w:val="00534618"/>
    <w:rsid w:val="00566D57"/>
    <w:rsid w:val="0056707B"/>
    <w:rsid w:val="00570D19"/>
    <w:rsid w:val="005721A4"/>
    <w:rsid w:val="005774C4"/>
    <w:rsid w:val="00595236"/>
    <w:rsid w:val="005D1263"/>
    <w:rsid w:val="005D465D"/>
    <w:rsid w:val="005D7932"/>
    <w:rsid w:val="00610ED9"/>
    <w:rsid w:val="00625A18"/>
    <w:rsid w:val="00640281"/>
    <w:rsid w:val="006423DA"/>
    <w:rsid w:val="00691F82"/>
    <w:rsid w:val="006D3EF3"/>
    <w:rsid w:val="006E0E94"/>
    <w:rsid w:val="006E30A0"/>
    <w:rsid w:val="006E6A0B"/>
    <w:rsid w:val="00720099"/>
    <w:rsid w:val="007243B8"/>
    <w:rsid w:val="007567C2"/>
    <w:rsid w:val="0076115F"/>
    <w:rsid w:val="00764B17"/>
    <w:rsid w:val="00776929"/>
    <w:rsid w:val="0079533A"/>
    <w:rsid w:val="007C6EF6"/>
    <w:rsid w:val="007F2477"/>
    <w:rsid w:val="00812441"/>
    <w:rsid w:val="00852560"/>
    <w:rsid w:val="00857CF6"/>
    <w:rsid w:val="00895BE3"/>
    <w:rsid w:val="008B269C"/>
    <w:rsid w:val="008C783E"/>
    <w:rsid w:val="008E2046"/>
    <w:rsid w:val="008F12E4"/>
    <w:rsid w:val="008F5C6E"/>
    <w:rsid w:val="00910400"/>
    <w:rsid w:val="0091786D"/>
    <w:rsid w:val="0092107B"/>
    <w:rsid w:val="00932DD3"/>
    <w:rsid w:val="009335AE"/>
    <w:rsid w:val="00940610"/>
    <w:rsid w:val="00963588"/>
    <w:rsid w:val="00976BB5"/>
    <w:rsid w:val="009D2AAB"/>
    <w:rsid w:val="009D4FE6"/>
    <w:rsid w:val="00A11617"/>
    <w:rsid w:val="00A1430D"/>
    <w:rsid w:val="00A3021E"/>
    <w:rsid w:val="00A6111E"/>
    <w:rsid w:val="00A63ED5"/>
    <w:rsid w:val="00A71A9E"/>
    <w:rsid w:val="00A74744"/>
    <w:rsid w:val="00AB3A60"/>
    <w:rsid w:val="00AC6024"/>
    <w:rsid w:val="00AC6998"/>
    <w:rsid w:val="00AE7C19"/>
    <w:rsid w:val="00AF2524"/>
    <w:rsid w:val="00AF4D16"/>
    <w:rsid w:val="00B02E5B"/>
    <w:rsid w:val="00B05957"/>
    <w:rsid w:val="00B36CE2"/>
    <w:rsid w:val="00B467B3"/>
    <w:rsid w:val="00B702CD"/>
    <w:rsid w:val="00B87086"/>
    <w:rsid w:val="00B92CAB"/>
    <w:rsid w:val="00BA2D55"/>
    <w:rsid w:val="00BE2B8D"/>
    <w:rsid w:val="00C43EAD"/>
    <w:rsid w:val="00C46CEC"/>
    <w:rsid w:val="00C76EC0"/>
    <w:rsid w:val="00CB7B3F"/>
    <w:rsid w:val="00CC483C"/>
    <w:rsid w:val="00CF4D33"/>
    <w:rsid w:val="00D12F10"/>
    <w:rsid w:val="00D31F6E"/>
    <w:rsid w:val="00D32ABD"/>
    <w:rsid w:val="00D72016"/>
    <w:rsid w:val="00D7783E"/>
    <w:rsid w:val="00D82D69"/>
    <w:rsid w:val="00D90433"/>
    <w:rsid w:val="00D952FD"/>
    <w:rsid w:val="00DB3ED1"/>
    <w:rsid w:val="00E03332"/>
    <w:rsid w:val="00E16AEC"/>
    <w:rsid w:val="00E36B9D"/>
    <w:rsid w:val="00E44B97"/>
    <w:rsid w:val="00E87291"/>
    <w:rsid w:val="00E96370"/>
    <w:rsid w:val="00EB37F5"/>
    <w:rsid w:val="00EB43F1"/>
    <w:rsid w:val="00ED6770"/>
    <w:rsid w:val="00EF28EE"/>
    <w:rsid w:val="00F14827"/>
    <w:rsid w:val="00F26D34"/>
    <w:rsid w:val="00F412F3"/>
    <w:rsid w:val="00F4542B"/>
    <w:rsid w:val="00F46592"/>
    <w:rsid w:val="00F470C4"/>
    <w:rsid w:val="00F74E9E"/>
    <w:rsid w:val="00F871F6"/>
    <w:rsid w:val="00F91112"/>
    <w:rsid w:val="00F94CD1"/>
    <w:rsid w:val="00F97A3D"/>
    <w:rsid w:val="00FB0F27"/>
    <w:rsid w:val="00FB7638"/>
    <w:rsid w:val="00FC2A42"/>
    <w:rsid w:val="00FC336F"/>
    <w:rsid w:val="00FD6C53"/>
    <w:rsid w:val="00FE2A23"/>
    <w:rsid w:val="00FE6487"/>
    <w:rsid w:val="00FF52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B6B9B7"/>
  <w15:docId w15:val="{D4989BE9-6DEA-4429-8C0B-35F6B61B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24B0D"/>
    <w:pPr>
      <w:widowControl w:val="0"/>
      <w:spacing w:after="0" w:line="480" w:lineRule="auto"/>
      <w:jc w:val="center"/>
      <w:outlineLvl w:val="0"/>
    </w:pPr>
    <w:rPr>
      <w:rFonts w:eastAsia="Times New Roman" w:cstheme="majorBidi"/>
      <w:b/>
      <w:szCs w:val="32"/>
      <w:lang w:bidi="en-US"/>
    </w:rPr>
  </w:style>
  <w:style w:type="paragraph" w:styleId="Heading2">
    <w:name w:val="heading 2"/>
    <w:basedOn w:val="Normal"/>
    <w:next w:val="Normal"/>
    <w:link w:val="Heading2Char"/>
    <w:autoRedefine/>
    <w:uiPriority w:val="9"/>
    <w:unhideWhenUsed/>
    <w:qFormat/>
    <w:rsid w:val="003B1D39"/>
    <w:pPr>
      <w:keepNext/>
      <w:keepLines/>
      <w:numPr>
        <w:numId w:val="4"/>
      </w:numPr>
      <w:spacing w:after="0" w:line="240" w:lineRule="auto"/>
      <w:ind w:left="1440"/>
      <w:outlineLvl w:val="1"/>
    </w:pPr>
    <w:rPr>
      <w:rFonts w:eastAsia="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B0D"/>
    <w:rPr>
      <w:rFonts w:eastAsia="Times New Roman" w:cstheme="majorBidi"/>
      <w:b/>
      <w:szCs w:val="32"/>
      <w:lang w:bidi="en-US"/>
    </w:rPr>
  </w:style>
  <w:style w:type="character" w:customStyle="1" w:styleId="Heading2Char">
    <w:name w:val="Heading 2 Char"/>
    <w:basedOn w:val="DefaultParagraphFont"/>
    <w:link w:val="Heading2"/>
    <w:uiPriority w:val="9"/>
    <w:rsid w:val="003B1D39"/>
    <w:rPr>
      <w:rFonts w:eastAsia="Times New Roman" w:cstheme="majorBidi"/>
      <w:b/>
      <w:bCs/>
      <w:szCs w:val="26"/>
    </w:rPr>
  </w:style>
  <w:style w:type="paragraph" w:styleId="TOC1">
    <w:name w:val="toc 1"/>
    <w:basedOn w:val="Normal"/>
    <w:next w:val="Normal"/>
    <w:autoRedefine/>
    <w:uiPriority w:val="39"/>
    <w:unhideWhenUsed/>
    <w:rsid w:val="004F69FB"/>
    <w:pPr>
      <w:spacing w:before="120" w:after="120"/>
    </w:pPr>
    <w:rPr>
      <w:rFonts w:ascii="Times New Roman Bold" w:hAnsi="Times New Roman Bold"/>
      <w:b/>
      <w:caps/>
    </w:rPr>
  </w:style>
  <w:style w:type="paragraph" w:styleId="TOC2">
    <w:name w:val="toc 2"/>
    <w:basedOn w:val="Normal"/>
    <w:next w:val="Normal"/>
    <w:autoRedefine/>
    <w:uiPriority w:val="39"/>
    <w:unhideWhenUsed/>
    <w:qFormat/>
    <w:rsid w:val="003F21D9"/>
    <w:pPr>
      <w:tabs>
        <w:tab w:val="right" w:leader="dot" w:pos="1320"/>
        <w:tab w:val="right" w:leader="dot" w:pos="9350"/>
      </w:tabs>
      <w:spacing w:after="0"/>
      <w:ind w:left="720" w:right="720"/>
    </w:pPr>
  </w:style>
  <w:style w:type="paragraph" w:styleId="TOC3">
    <w:name w:val="toc 3"/>
    <w:basedOn w:val="Normal"/>
    <w:next w:val="Normal"/>
    <w:autoRedefine/>
    <w:uiPriority w:val="39"/>
    <w:unhideWhenUsed/>
    <w:qFormat/>
    <w:rsid w:val="004F69FB"/>
    <w:pPr>
      <w:spacing w:after="0"/>
      <w:ind w:left="480"/>
    </w:pPr>
    <w:rPr>
      <w:i/>
      <w:iCs/>
    </w:rPr>
  </w:style>
  <w:style w:type="character" w:styleId="Hyperlink">
    <w:name w:val="Hyperlink"/>
    <w:basedOn w:val="DefaultParagraphFont"/>
    <w:uiPriority w:val="99"/>
    <w:unhideWhenUsed/>
    <w:rsid w:val="00FE2A23"/>
    <w:rPr>
      <w:color w:val="0563C1" w:themeColor="hyperlink"/>
      <w:u w:val="single"/>
    </w:rPr>
  </w:style>
  <w:style w:type="character" w:customStyle="1" w:styleId="UnresolvedMention">
    <w:name w:val="Unresolved Mention"/>
    <w:basedOn w:val="DefaultParagraphFont"/>
    <w:uiPriority w:val="99"/>
    <w:semiHidden/>
    <w:unhideWhenUsed/>
    <w:rsid w:val="00FE2A23"/>
    <w:rPr>
      <w:color w:val="605E5C"/>
      <w:shd w:val="clear" w:color="auto" w:fill="E1DFDD"/>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1727F4"/>
    <w:pPr>
      <w:spacing w:after="0" w:line="240" w:lineRule="auto"/>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1727F4"/>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nhideWhenUsed/>
    <w:qFormat/>
    <w:rsid w:val="001727F4"/>
    <w:rPr>
      <w:vertAlign w:val="superscript"/>
    </w:rPr>
  </w:style>
  <w:style w:type="paragraph" w:styleId="Header">
    <w:name w:val="header"/>
    <w:basedOn w:val="Normal"/>
    <w:link w:val="HeaderChar"/>
    <w:uiPriority w:val="99"/>
    <w:unhideWhenUsed/>
    <w:rsid w:val="0017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7F4"/>
  </w:style>
  <w:style w:type="paragraph" w:styleId="Footer">
    <w:name w:val="footer"/>
    <w:basedOn w:val="Normal"/>
    <w:link w:val="FooterChar"/>
    <w:uiPriority w:val="99"/>
    <w:unhideWhenUsed/>
    <w:rsid w:val="0017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F4"/>
  </w:style>
  <w:style w:type="character" w:customStyle="1" w:styleId="LBFileStampAtCursor">
    <w:name w:val="*LBFileStampAtCursor"/>
    <w:aliases w:val="FSC"/>
    <w:rsid w:val="001F2ED1"/>
    <w:rPr>
      <w:rFonts w:ascii="Times New Roman" w:hAnsi="Times New Roman" w:cs="Times New Roman"/>
      <w:sz w:val="16"/>
      <w:szCs w:val="32"/>
    </w:rPr>
  </w:style>
  <w:style w:type="paragraph" w:customStyle="1" w:styleId="LBFileStampAtEnd">
    <w:name w:val="*LBFileStampAtEnd"/>
    <w:aliases w:val="FSE"/>
    <w:basedOn w:val="Normal"/>
    <w:rsid w:val="001F2ED1"/>
    <w:pPr>
      <w:spacing w:before="360" w:after="0" w:line="240" w:lineRule="auto"/>
    </w:pPr>
    <w:rPr>
      <w:rFonts w:eastAsia="Times New Roman"/>
      <w:sz w:val="16"/>
      <w:szCs w:val="32"/>
    </w:rPr>
  </w:style>
  <w:style w:type="paragraph" w:styleId="ListParagraph">
    <w:name w:val="List Paragraph"/>
    <w:basedOn w:val="Normal"/>
    <w:uiPriority w:val="34"/>
    <w:qFormat/>
    <w:rsid w:val="00131F4D"/>
    <w:pPr>
      <w:ind w:left="720"/>
      <w:contextualSpacing/>
    </w:pPr>
  </w:style>
  <w:style w:type="paragraph" w:styleId="Revision">
    <w:name w:val="Revision"/>
    <w:hidden/>
    <w:uiPriority w:val="99"/>
    <w:semiHidden/>
    <w:rsid w:val="00640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hitt@whitt-sturtevant.com" TargetMode="External" /><Relationship Id="rId11" Type="http://schemas.openxmlformats.org/officeDocument/2006/relationships/hyperlink" Target="mailto:elmer@whitt-sturtevant.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rhiannon.plant@ohioAGO.gov" TargetMode="External" /><Relationship Id="rId8" Type="http://schemas.openxmlformats.org/officeDocument/2006/relationships/hyperlink" Target="mailto:jesse.davis@puco.ohio.gov" TargetMode="External" /><Relationship Id="rId9" Type="http://schemas.openxmlformats.org/officeDocument/2006/relationships/hyperlink" Target="mailto:btrombino@ueru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ACCC-91FB-411E-B3CE-E1B1FAB8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2023-11-13T15:09:18Z</dcterms:created>
  <dcterms:modified xsi:type="dcterms:W3CDTF">2023-11-13T15:09:18Z</dcterms:modified>
</cp:coreProperties>
</file>