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C22036" w:rsidRPr="00B556E8" w:rsidP="00C22036" w14:paraId="60D65DAA" w14:textId="5996E0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B556E8">
        <w:rPr>
          <w:rFonts w:ascii="Times New Roman" w:hAnsi="Times New Roman" w:cs="Times New Roman"/>
          <w:b/>
          <w:bCs/>
          <w:sz w:val="24"/>
          <w:szCs w:val="24"/>
        </w:rPr>
        <w:t>BEFORE</w:t>
      </w:r>
    </w:p>
    <w:p w:rsidR="00C22036" w:rsidRPr="00B556E8" w:rsidP="00C22036" w14:paraId="5ABDD8B0" w14:textId="70A942F4">
      <w:pPr>
        <w:pStyle w:val="HTMLPreformatted"/>
        <w:jc w:val="center"/>
        <w:rPr>
          <w:rFonts w:ascii="Times New Roman" w:hAnsi="Times New Roman" w:cs="Times New Roman"/>
          <w:b/>
          <w:bCs/>
          <w:sz w:val="24"/>
          <w:szCs w:val="24"/>
        </w:rPr>
      </w:pPr>
      <w:r w:rsidRPr="00B556E8">
        <w:rPr>
          <w:rFonts w:ascii="Times New Roman" w:hAnsi="Times New Roman" w:cs="Times New Roman"/>
          <w:b/>
          <w:bCs/>
          <w:sz w:val="24"/>
          <w:szCs w:val="24"/>
        </w:rPr>
        <w:t>THE PUBLIC UTILITIES COMMISSION OF OHIO</w:t>
      </w:r>
    </w:p>
    <w:p w:rsidR="00070ED5" w:rsidRPr="00B556E8" w:rsidP="00C22036" w14:paraId="287A9064" w14:textId="77777777">
      <w:pPr>
        <w:pStyle w:val="HTMLPreformatted"/>
        <w:jc w:val="center"/>
        <w:rPr>
          <w:rFonts w:ascii="Times New Roman" w:hAnsi="Times New Roman" w:cs="Times New Roman"/>
          <w:b/>
          <w:bCs/>
          <w:sz w:val="24"/>
          <w:szCs w:val="24"/>
        </w:rPr>
      </w:pPr>
    </w:p>
    <w:tbl>
      <w:tblPr>
        <w:tblW w:w="9090" w:type="dxa"/>
        <w:tblLook w:val="01E0"/>
      </w:tblPr>
      <w:tblGrid>
        <w:gridCol w:w="4590"/>
        <w:gridCol w:w="360"/>
        <w:gridCol w:w="4140"/>
      </w:tblGrid>
      <w:tr w14:paraId="2CACFF89" w14:textId="77777777" w:rsidTr="000509C1">
        <w:tblPrEx>
          <w:tblW w:w="9090" w:type="dxa"/>
          <w:tblLook w:val="01E0"/>
        </w:tblPrEx>
        <w:trPr>
          <w:trHeight w:val="807"/>
        </w:trPr>
        <w:tc>
          <w:tcPr>
            <w:tcW w:w="4590" w:type="dxa"/>
            <w:shd w:val="clear" w:color="auto" w:fill="auto"/>
          </w:tcPr>
          <w:p w:rsidR="00070ED5" w:rsidRPr="00B556E8" w:rsidP="00825F8E" w14:paraId="181E2899"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In the Matter of the Review of the Power Purchase Agreement Rider of Ohio Power Company for 2018.</w:t>
            </w:r>
          </w:p>
          <w:p w:rsidR="00070ED5" w:rsidRPr="00B556E8" w:rsidP="00825F8E" w14:paraId="580824F0" w14:textId="77777777">
            <w:pPr>
              <w:pStyle w:val="HTMLPreformatted"/>
              <w:rPr>
                <w:rFonts w:ascii="Times New Roman" w:hAnsi="Times New Roman" w:cs="Times New Roman"/>
                <w:sz w:val="24"/>
                <w:szCs w:val="24"/>
              </w:rPr>
            </w:pPr>
          </w:p>
          <w:p w:rsidR="00070ED5" w:rsidRPr="00B556E8" w:rsidP="00825F8E" w14:paraId="4B7DDD3C"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In the Matter of the Review of the Power Purchase Agreement Rider of Ohio Power Company for 2019.</w:t>
            </w:r>
          </w:p>
        </w:tc>
        <w:tc>
          <w:tcPr>
            <w:tcW w:w="360" w:type="dxa"/>
            <w:shd w:val="clear" w:color="auto" w:fill="auto"/>
          </w:tcPr>
          <w:p w:rsidR="00070ED5" w:rsidRPr="00B556E8" w:rsidP="00825F8E" w14:paraId="369D1CAA"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070ED5" w:rsidRPr="00B556E8" w:rsidP="00825F8E" w14:paraId="446185BE"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070ED5" w:rsidRPr="00B556E8" w:rsidP="00825F8E" w14:paraId="6C5497A6"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070ED5" w:rsidRPr="00B556E8" w:rsidP="00825F8E" w14:paraId="044A9C0B" w14:textId="77777777">
            <w:pPr>
              <w:pStyle w:val="HTMLPreformatted"/>
              <w:rPr>
                <w:rFonts w:ascii="Times New Roman" w:hAnsi="Times New Roman" w:cs="Times New Roman"/>
                <w:sz w:val="24"/>
                <w:szCs w:val="24"/>
              </w:rPr>
            </w:pPr>
          </w:p>
          <w:p w:rsidR="00070ED5" w:rsidRPr="00B556E8" w:rsidP="00825F8E" w14:paraId="3D50F24A"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070ED5" w:rsidRPr="00B556E8" w:rsidP="00825F8E" w14:paraId="656BE5BC"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070ED5" w:rsidRPr="00B556E8" w:rsidP="00825F8E" w14:paraId="775949DD" w14:textId="77BD0F56">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tc>
        <w:tc>
          <w:tcPr>
            <w:tcW w:w="4140" w:type="dxa"/>
            <w:shd w:val="clear" w:color="auto" w:fill="auto"/>
          </w:tcPr>
          <w:p w:rsidR="00070ED5" w:rsidRPr="00B556E8" w:rsidP="00825F8E" w14:paraId="3773AB0E" w14:textId="77777777">
            <w:pPr>
              <w:pStyle w:val="HTMLPreformatted"/>
              <w:rPr>
                <w:rFonts w:ascii="Times New Roman" w:hAnsi="Times New Roman" w:cs="Times New Roman"/>
                <w:sz w:val="24"/>
                <w:szCs w:val="24"/>
              </w:rPr>
            </w:pPr>
          </w:p>
          <w:p w:rsidR="00070ED5" w:rsidRPr="00B556E8" w:rsidP="007C06A2" w14:paraId="6B761705" w14:textId="77777777">
            <w:pPr>
              <w:pStyle w:val="HTMLPreformatted"/>
              <w:ind w:left="69"/>
              <w:rPr>
                <w:rFonts w:ascii="Times New Roman" w:hAnsi="Times New Roman" w:cs="Times New Roman"/>
                <w:sz w:val="24"/>
                <w:szCs w:val="24"/>
              </w:rPr>
            </w:pPr>
            <w:r w:rsidRPr="00B556E8">
              <w:rPr>
                <w:rFonts w:ascii="Times New Roman" w:hAnsi="Times New Roman" w:cs="Times New Roman"/>
                <w:sz w:val="24"/>
                <w:szCs w:val="24"/>
              </w:rPr>
              <w:t>Case No. 18-1004-EL-RDR</w:t>
            </w:r>
          </w:p>
          <w:p w:rsidR="00070ED5" w:rsidRPr="00B556E8" w:rsidP="007C06A2" w14:paraId="2C5DF9FA" w14:textId="77777777">
            <w:pPr>
              <w:pStyle w:val="HTMLPreformatted"/>
              <w:ind w:left="159"/>
              <w:rPr>
                <w:rFonts w:ascii="Times New Roman" w:hAnsi="Times New Roman" w:cs="Times New Roman"/>
                <w:sz w:val="24"/>
                <w:szCs w:val="24"/>
              </w:rPr>
            </w:pPr>
          </w:p>
          <w:p w:rsidR="00070ED5" w:rsidRPr="00B556E8" w:rsidP="007C06A2" w14:paraId="2C4BB9AC" w14:textId="77777777">
            <w:pPr>
              <w:pStyle w:val="HTMLPreformatted"/>
              <w:ind w:left="159"/>
              <w:rPr>
                <w:rFonts w:ascii="Times New Roman" w:hAnsi="Times New Roman" w:cs="Times New Roman"/>
                <w:sz w:val="24"/>
                <w:szCs w:val="24"/>
              </w:rPr>
            </w:pPr>
          </w:p>
          <w:p w:rsidR="00070ED5" w:rsidRPr="00B556E8" w:rsidP="007C06A2" w14:paraId="701ECAC2" w14:textId="77777777">
            <w:pPr>
              <w:pStyle w:val="HTMLPreformatted"/>
              <w:ind w:left="159"/>
              <w:rPr>
                <w:rFonts w:ascii="Times New Roman" w:hAnsi="Times New Roman" w:cs="Times New Roman"/>
                <w:sz w:val="24"/>
                <w:szCs w:val="24"/>
              </w:rPr>
            </w:pPr>
          </w:p>
          <w:p w:rsidR="00070ED5" w:rsidRPr="00B556E8" w:rsidP="007C06A2" w14:paraId="6855550F" w14:textId="39AF45ED">
            <w:pPr>
              <w:pStyle w:val="HTMLPreformatted"/>
              <w:ind w:left="69"/>
              <w:rPr>
                <w:rFonts w:ascii="Times New Roman" w:hAnsi="Times New Roman" w:cs="Times New Roman"/>
                <w:sz w:val="24"/>
                <w:szCs w:val="24"/>
              </w:rPr>
            </w:pPr>
            <w:r w:rsidRPr="00B556E8">
              <w:rPr>
                <w:rFonts w:ascii="Times New Roman" w:hAnsi="Times New Roman" w:cs="Times New Roman"/>
                <w:sz w:val="24"/>
                <w:szCs w:val="24"/>
              </w:rPr>
              <w:t>Case No. 18-1759-EL-RDR</w:t>
            </w:r>
          </w:p>
        </w:tc>
      </w:tr>
    </w:tbl>
    <w:p w:rsidR="00070ED5" w:rsidRPr="00B556E8" w:rsidP="00070ED5" w14:paraId="03D3F181" w14:textId="77777777">
      <w:pPr>
        <w:pStyle w:val="HTMLPreformatted"/>
        <w:rPr>
          <w:rFonts w:ascii="Times New Roman" w:hAnsi="Times New Roman" w:cs="Times New Roman"/>
          <w:sz w:val="24"/>
          <w:szCs w:val="24"/>
        </w:rPr>
      </w:pPr>
    </w:p>
    <w:tbl>
      <w:tblPr>
        <w:tblW w:w="9092" w:type="dxa"/>
        <w:tblLook w:val="01E0"/>
      </w:tblPr>
      <w:tblGrid>
        <w:gridCol w:w="4500"/>
        <w:gridCol w:w="61"/>
        <w:gridCol w:w="299"/>
        <w:gridCol w:w="4232"/>
      </w:tblGrid>
      <w:tr w14:paraId="7949184C" w14:textId="77777777" w:rsidTr="000509C1">
        <w:tblPrEx>
          <w:tblW w:w="9092" w:type="dxa"/>
          <w:tblLook w:val="01E0"/>
        </w:tblPrEx>
        <w:trPr>
          <w:trHeight w:val="807"/>
        </w:trPr>
        <w:tc>
          <w:tcPr>
            <w:tcW w:w="4500" w:type="dxa"/>
            <w:shd w:val="clear" w:color="auto" w:fill="auto"/>
          </w:tcPr>
          <w:p w:rsidR="00070ED5" w:rsidRPr="00B556E8" w:rsidP="00825F8E" w14:paraId="74E4A752" w14:textId="0FA4F99E">
            <w:pPr>
              <w:pStyle w:val="HTMLPreformatted"/>
              <w:rPr>
                <w:rFonts w:ascii="Times New Roman" w:hAnsi="Times New Roman" w:cs="Times New Roman"/>
                <w:sz w:val="24"/>
                <w:szCs w:val="24"/>
              </w:rPr>
            </w:pPr>
            <w:r w:rsidRPr="00B556E8">
              <w:rPr>
                <w:rFonts w:ascii="Times New Roman" w:hAnsi="Times New Roman" w:cs="Times New Roman"/>
                <w:sz w:val="24"/>
                <w:szCs w:val="24"/>
              </w:rPr>
              <w:t>In the Matter of the Review of the Reconciliation Rider of The Dayton Power and Light Company.</w:t>
            </w:r>
          </w:p>
        </w:tc>
        <w:tc>
          <w:tcPr>
            <w:tcW w:w="360" w:type="dxa"/>
            <w:gridSpan w:val="2"/>
            <w:shd w:val="clear" w:color="auto" w:fill="auto"/>
          </w:tcPr>
          <w:p w:rsidR="00070ED5" w:rsidRPr="00B556E8" w:rsidP="00825F8E" w14:paraId="02F3DD3E"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 xml:space="preserve"> )</w:t>
            </w:r>
          </w:p>
          <w:p w:rsidR="00070ED5" w:rsidRPr="00B556E8" w:rsidP="00825F8E" w14:paraId="607B4F17"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 xml:space="preserve"> )</w:t>
            </w:r>
          </w:p>
          <w:p w:rsidR="00631B87" w:rsidRPr="00B556E8" w:rsidP="00631B87" w14:paraId="22F943C1"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 xml:space="preserve"> )</w:t>
            </w:r>
          </w:p>
          <w:p w:rsidR="00631B87" w:rsidRPr="00B556E8" w:rsidP="00631B87" w14:paraId="75960EB4" w14:textId="2189150C">
            <w:pPr>
              <w:pStyle w:val="HTMLPreformatted"/>
              <w:rPr>
                <w:rFonts w:ascii="Times New Roman" w:hAnsi="Times New Roman" w:cs="Times New Roman"/>
                <w:sz w:val="24"/>
                <w:szCs w:val="24"/>
              </w:rPr>
            </w:pPr>
          </w:p>
        </w:tc>
        <w:tc>
          <w:tcPr>
            <w:tcW w:w="4232" w:type="dxa"/>
            <w:shd w:val="clear" w:color="auto" w:fill="auto"/>
          </w:tcPr>
          <w:p w:rsidR="00070ED5" w:rsidRPr="00B556E8" w:rsidP="00825F8E" w14:paraId="18BF0F12" w14:textId="77777777">
            <w:pPr>
              <w:pStyle w:val="HTMLPreformatted"/>
              <w:rPr>
                <w:rFonts w:ascii="Times New Roman" w:hAnsi="Times New Roman" w:cs="Times New Roman"/>
                <w:sz w:val="24"/>
                <w:szCs w:val="24"/>
              </w:rPr>
            </w:pPr>
          </w:p>
          <w:p w:rsidR="00070ED5" w:rsidRPr="00B556E8" w:rsidP="007F7F79" w14:paraId="74B1ECCB" w14:textId="398BBDD7">
            <w:pPr>
              <w:pStyle w:val="HTMLPreformatted"/>
              <w:ind w:left="161"/>
              <w:rPr>
                <w:rFonts w:ascii="Times New Roman" w:hAnsi="Times New Roman" w:cs="Times New Roman"/>
                <w:sz w:val="24"/>
                <w:szCs w:val="24"/>
              </w:rPr>
            </w:pPr>
            <w:r w:rsidRPr="00B556E8">
              <w:rPr>
                <w:rFonts w:ascii="Times New Roman" w:hAnsi="Times New Roman" w:cs="Times New Roman"/>
                <w:sz w:val="24"/>
                <w:szCs w:val="24"/>
              </w:rPr>
              <w:t xml:space="preserve"> Case No. 20-165-EL-RDR</w:t>
            </w:r>
          </w:p>
          <w:p w:rsidR="00070ED5" w:rsidRPr="00B556E8" w:rsidP="00825F8E" w14:paraId="68D61DFB" w14:textId="77777777">
            <w:pPr>
              <w:pStyle w:val="HTMLPreformatted"/>
              <w:rPr>
                <w:rFonts w:ascii="Times New Roman" w:hAnsi="Times New Roman" w:cs="Times New Roman"/>
                <w:sz w:val="24"/>
                <w:szCs w:val="24"/>
              </w:rPr>
            </w:pPr>
          </w:p>
        </w:tc>
      </w:tr>
      <w:tr w14:paraId="614EA824" w14:textId="77777777" w:rsidTr="000509C1">
        <w:tblPrEx>
          <w:tblW w:w="9092" w:type="dxa"/>
          <w:tblLook w:val="01E0"/>
        </w:tblPrEx>
        <w:trPr>
          <w:trHeight w:val="807"/>
        </w:trPr>
        <w:tc>
          <w:tcPr>
            <w:tcW w:w="4561" w:type="dxa"/>
            <w:gridSpan w:val="2"/>
            <w:shd w:val="clear" w:color="auto" w:fill="auto"/>
          </w:tcPr>
          <w:p w:rsidR="00631B87" w:rsidRPr="00B556E8" w:rsidP="00825F8E" w14:paraId="779D7C38" w14:textId="2A742D7C">
            <w:pPr>
              <w:autoSpaceDE w:val="0"/>
              <w:autoSpaceDN w:val="0"/>
              <w:adjustRightInd w:val="0"/>
              <w:rPr>
                <w:rFonts w:ascii="Times New Roman" w:hAnsi="Times New Roman" w:cs="Times New Roman"/>
                <w:sz w:val="24"/>
                <w:szCs w:val="24"/>
              </w:rPr>
            </w:pPr>
            <w:r w:rsidRPr="00B556E8">
              <w:rPr>
                <w:rFonts w:ascii="Times New Roman" w:hAnsi="Times New Roman" w:cs="Times New Roman"/>
                <w:sz w:val="24"/>
                <w:szCs w:val="24"/>
              </w:rPr>
              <w:t xml:space="preserve">In the Matter of the Review of </w:t>
            </w:r>
            <w:r w:rsidRPr="00B556E8" w:rsidR="000509C1">
              <w:rPr>
                <w:rFonts w:ascii="Times New Roman" w:hAnsi="Times New Roman" w:cs="Times New Roman"/>
                <w:sz w:val="24"/>
                <w:szCs w:val="24"/>
              </w:rPr>
              <w:t>the</w:t>
            </w:r>
            <w:r w:rsidR="000509C1">
              <w:rPr>
                <w:rFonts w:ascii="Times New Roman" w:hAnsi="Times New Roman" w:cs="Times New Roman"/>
                <w:sz w:val="24"/>
                <w:szCs w:val="24"/>
              </w:rPr>
              <w:t xml:space="preserve"> </w:t>
            </w:r>
            <w:r w:rsidRPr="00B556E8" w:rsidR="000509C1">
              <w:rPr>
                <w:rFonts w:ascii="Times New Roman" w:hAnsi="Times New Roman" w:cs="Times New Roman"/>
                <w:sz w:val="24"/>
                <w:szCs w:val="24"/>
              </w:rPr>
              <w:t>Reconciliation</w:t>
            </w:r>
            <w:r w:rsidRPr="00B556E8">
              <w:rPr>
                <w:rFonts w:ascii="Times New Roman" w:hAnsi="Times New Roman" w:cs="Times New Roman"/>
                <w:sz w:val="24"/>
                <w:szCs w:val="24"/>
              </w:rPr>
              <w:t xml:space="preserve"> Rider of Duke Energy Ohio, Inc.</w:t>
            </w:r>
          </w:p>
          <w:p w:rsidR="00631B87" w:rsidRPr="00B556E8" w:rsidP="00825F8E" w14:paraId="4F147D82" w14:textId="77777777">
            <w:pPr>
              <w:autoSpaceDE w:val="0"/>
              <w:autoSpaceDN w:val="0"/>
              <w:adjustRightInd w:val="0"/>
              <w:rPr>
                <w:rFonts w:ascii="Times New Roman" w:hAnsi="Times New Roman" w:cs="Times New Roman"/>
                <w:sz w:val="24"/>
                <w:szCs w:val="24"/>
              </w:rPr>
            </w:pPr>
          </w:p>
          <w:p w:rsidR="00070ED5" w:rsidRPr="00B556E8" w:rsidP="00825F8E" w14:paraId="6B8A5692" w14:textId="6FB35D70">
            <w:pPr>
              <w:autoSpaceDE w:val="0"/>
              <w:autoSpaceDN w:val="0"/>
              <w:adjustRightInd w:val="0"/>
              <w:rPr>
                <w:rFonts w:ascii="Times New Roman" w:hAnsi="Times New Roman" w:cs="Times New Roman"/>
                <w:sz w:val="24"/>
                <w:szCs w:val="24"/>
              </w:rPr>
            </w:pPr>
            <w:r w:rsidRPr="00B556E8">
              <w:rPr>
                <w:rFonts w:ascii="Times New Roman" w:hAnsi="Times New Roman" w:cs="Times New Roman"/>
                <w:sz w:val="24"/>
                <w:szCs w:val="24"/>
              </w:rPr>
              <w:t xml:space="preserve">In the Matter of </w:t>
            </w:r>
            <w:r w:rsidRPr="00B556E8" w:rsidR="00D120DB">
              <w:rPr>
                <w:rFonts w:ascii="Times New Roman" w:hAnsi="Times New Roman" w:cs="Times New Roman"/>
                <w:sz w:val="24"/>
                <w:szCs w:val="24"/>
              </w:rPr>
              <w:t>the OVEC Generation Purchase Rider Audits Required by R.C. 4928.148 for Duke Energy Ohio, Inc. the Dayton Power and Light Company, and AEP Ohio.</w:t>
            </w:r>
          </w:p>
        </w:tc>
        <w:tc>
          <w:tcPr>
            <w:tcW w:w="299" w:type="dxa"/>
            <w:shd w:val="clear" w:color="auto" w:fill="auto"/>
          </w:tcPr>
          <w:p w:rsidR="00631B87" w:rsidRPr="00B556E8" w:rsidP="00825F8E" w14:paraId="3EFECA80" w14:textId="7AF4AD65">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825F8E" w14:paraId="7DB9A1AC" w14:textId="17ACE558">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070ED5" w:rsidRPr="00B556E8" w:rsidP="00825F8E" w14:paraId="35281773" w14:textId="4FAB67CA">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825F8E" w14:paraId="62B4A353" w14:textId="77777777">
            <w:pPr>
              <w:pStyle w:val="HTMLPreformatted"/>
              <w:rPr>
                <w:rFonts w:ascii="Times New Roman" w:hAnsi="Times New Roman" w:cs="Times New Roman"/>
                <w:sz w:val="24"/>
                <w:szCs w:val="24"/>
              </w:rPr>
            </w:pPr>
          </w:p>
          <w:p w:rsidR="00070ED5" w:rsidRPr="00B556E8" w:rsidP="00825F8E" w14:paraId="5E186CB8" w14:textId="5EE718F0">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070ED5" w:rsidRPr="00B556E8" w:rsidP="00825F8E" w14:paraId="728E4E38"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D120DB" w:rsidRPr="00B556E8" w:rsidP="00825F8E" w14:paraId="23BE613C"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D120DB" w:rsidP="00825F8E" w14:paraId="45415CE5"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A7E03" w:rsidRPr="00B556E8" w:rsidP="00825F8E" w14:paraId="6A0FB5CB" w14:textId="77959E5F">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232" w:type="dxa"/>
            <w:shd w:val="clear" w:color="auto" w:fill="auto"/>
          </w:tcPr>
          <w:p w:rsidR="00070ED5" w:rsidRPr="00B556E8" w:rsidP="00825F8E" w14:paraId="77BE1C9C" w14:textId="77777777">
            <w:pPr>
              <w:pStyle w:val="HTMLPreformatted"/>
              <w:rPr>
                <w:rFonts w:ascii="Times New Roman" w:hAnsi="Times New Roman" w:cs="Times New Roman"/>
                <w:sz w:val="24"/>
                <w:szCs w:val="24"/>
              </w:rPr>
            </w:pPr>
          </w:p>
          <w:p w:rsidR="00631B87" w:rsidRPr="00B556E8" w:rsidP="007F7F79" w14:paraId="192CA07C" w14:textId="081CCDD7">
            <w:pPr>
              <w:pStyle w:val="HTMLPreformatted"/>
              <w:ind w:left="161"/>
              <w:rPr>
                <w:rFonts w:ascii="Times New Roman" w:hAnsi="Times New Roman" w:cs="Times New Roman"/>
                <w:sz w:val="24"/>
                <w:szCs w:val="24"/>
              </w:rPr>
            </w:pPr>
            <w:r w:rsidRPr="00B556E8">
              <w:rPr>
                <w:rFonts w:ascii="Times New Roman" w:hAnsi="Times New Roman" w:cs="Times New Roman"/>
                <w:sz w:val="24"/>
                <w:szCs w:val="24"/>
              </w:rPr>
              <w:t>Case No. 20-167-EL-RDR</w:t>
            </w:r>
          </w:p>
          <w:p w:rsidR="00631B87" w:rsidRPr="00B556E8" w:rsidP="007F7F79" w14:paraId="2FF8D29F" w14:textId="77777777">
            <w:pPr>
              <w:pStyle w:val="HTMLPreformatted"/>
              <w:ind w:left="161"/>
              <w:rPr>
                <w:rFonts w:ascii="Times New Roman" w:hAnsi="Times New Roman" w:cs="Times New Roman"/>
                <w:sz w:val="24"/>
                <w:szCs w:val="24"/>
              </w:rPr>
            </w:pPr>
          </w:p>
          <w:p w:rsidR="00631B87" w:rsidRPr="00B556E8" w:rsidP="007F7F79" w14:paraId="30827DFE" w14:textId="77777777">
            <w:pPr>
              <w:pStyle w:val="HTMLPreformatted"/>
              <w:ind w:left="161"/>
              <w:rPr>
                <w:rFonts w:ascii="Times New Roman" w:hAnsi="Times New Roman" w:cs="Times New Roman"/>
                <w:sz w:val="24"/>
                <w:szCs w:val="24"/>
              </w:rPr>
            </w:pPr>
          </w:p>
          <w:p w:rsidR="00631B87" w:rsidRPr="00B556E8" w:rsidP="007F7F79" w14:paraId="3BC148EE" w14:textId="77777777">
            <w:pPr>
              <w:pStyle w:val="HTMLPreformatted"/>
              <w:ind w:left="161"/>
              <w:rPr>
                <w:rFonts w:ascii="Times New Roman" w:hAnsi="Times New Roman" w:cs="Times New Roman"/>
                <w:sz w:val="24"/>
                <w:szCs w:val="24"/>
              </w:rPr>
            </w:pPr>
          </w:p>
          <w:p w:rsidR="00070ED5" w:rsidRPr="00B556E8" w:rsidP="007F7F79" w14:paraId="535C9424" w14:textId="192857E9">
            <w:pPr>
              <w:pStyle w:val="HTMLPreformatted"/>
              <w:ind w:left="161"/>
              <w:rPr>
                <w:rFonts w:ascii="Times New Roman" w:hAnsi="Times New Roman" w:cs="Times New Roman"/>
                <w:sz w:val="24"/>
                <w:szCs w:val="24"/>
              </w:rPr>
            </w:pPr>
            <w:r w:rsidRPr="00B556E8">
              <w:rPr>
                <w:rFonts w:ascii="Times New Roman" w:hAnsi="Times New Roman" w:cs="Times New Roman"/>
                <w:sz w:val="24"/>
                <w:szCs w:val="24"/>
              </w:rPr>
              <w:t>Case No. 21-4</w:t>
            </w:r>
            <w:r w:rsidRPr="00B556E8" w:rsidR="00D120DB">
              <w:rPr>
                <w:rFonts w:ascii="Times New Roman" w:hAnsi="Times New Roman" w:cs="Times New Roman"/>
                <w:sz w:val="24"/>
                <w:szCs w:val="24"/>
              </w:rPr>
              <w:t>77</w:t>
            </w:r>
            <w:r w:rsidRPr="00B556E8">
              <w:rPr>
                <w:rFonts w:ascii="Times New Roman" w:hAnsi="Times New Roman" w:cs="Times New Roman"/>
                <w:sz w:val="24"/>
                <w:szCs w:val="24"/>
              </w:rPr>
              <w:t>-EL-</w:t>
            </w:r>
            <w:r w:rsidRPr="00B556E8" w:rsidR="00D120DB">
              <w:rPr>
                <w:rFonts w:ascii="Times New Roman" w:hAnsi="Times New Roman" w:cs="Times New Roman"/>
                <w:sz w:val="24"/>
                <w:szCs w:val="24"/>
              </w:rPr>
              <w:t>RDR</w:t>
            </w:r>
          </w:p>
          <w:p w:rsidR="00070ED5" w:rsidRPr="00B556E8" w:rsidP="00825F8E" w14:paraId="21AC1281" w14:textId="77777777">
            <w:pPr>
              <w:rPr>
                <w:rFonts w:ascii="Times New Roman" w:hAnsi="Times New Roman" w:cs="Times New Roman"/>
                <w:sz w:val="24"/>
                <w:szCs w:val="24"/>
              </w:rPr>
            </w:pPr>
          </w:p>
        </w:tc>
      </w:tr>
    </w:tbl>
    <w:p w:rsidR="00070ED5" w:rsidRPr="00B556E8" w:rsidP="00C22036" w14:paraId="5081C9DF" w14:textId="77777777">
      <w:pPr>
        <w:pStyle w:val="HTMLPreformatted"/>
        <w:jc w:val="center"/>
        <w:rPr>
          <w:rFonts w:ascii="Times New Roman" w:hAnsi="Times New Roman" w:cs="Times New Roman"/>
          <w:b/>
          <w:bCs/>
          <w:sz w:val="24"/>
          <w:szCs w:val="24"/>
        </w:rPr>
      </w:pPr>
    </w:p>
    <w:p w:rsidR="00C22036" w:rsidRPr="00B556E8" w:rsidP="00C22036" w14:paraId="2A61B5F7" w14:textId="77777777">
      <w:pPr>
        <w:pStyle w:val="HTMLPreformatted"/>
        <w:rPr>
          <w:rFonts w:ascii="Times New Roman" w:hAnsi="Times New Roman" w:cs="Times New Roman"/>
          <w:sz w:val="24"/>
          <w:szCs w:val="24"/>
        </w:rPr>
      </w:pPr>
    </w:p>
    <w:p w:rsidR="00C22036" w:rsidRPr="00B556E8" w:rsidP="00C22036" w14:paraId="018E94FC" w14:textId="77777777">
      <w:pPr>
        <w:pStyle w:val="HTMLPreformatted"/>
        <w:pBdr>
          <w:top w:val="single" w:sz="12" w:space="1" w:color="auto"/>
        </w:pBdr>
        <w:rPr>
          <w:rFonts w:ascii="Times New Roman" w:hAnsi="Times New Roman" w:cs="Times New Roman"/>
          <w:sz w:val="24"/>
          <w:szCs w:val="24"/>
        </w:rPr>
      </w:pPr>
    </w:p>
    <w:p w:rsidR="00B556E8" w:rsidRPr="00B556E8" w:rsidP="00B556E8" w14:paraId="37E06C8E" w14:textId="1C1299E2">
      <w:pPr>
        <w:jc w:val="center"/>
        <w:rPr>
          <w:rFonts w:ascii="Times New Roman" w:hAnsi="Times New Roman" w:cs="Times New Roman"/>
          <w:b/>
          <w:bCs/>
          <w:sz w:val="24"/>
          <w:szCs w:val="24"/>
        </w:rPr>
      </w:pPr>
      <w:r w:rsidRPr="00B556E8">
        <w:rPr>
          <w:rFonts w:ascii="Times New Roman" w:hAnsi="Times New Roman" w:cs="Times New Roman"/>
          <w:b/>
          <w:sz w:val="24"/>
          <w:szCs w:val="24"/>
        </w:rPr>
        <w:t>MEMORANDUM CONTRA</w:t>
      </w:r>
      <w:r w:rsidR="000509C1">
        <w:rPr>
          <w:rFonts w:ascii="Times New Roman" w:hAnsi="Times New Roman" w:cs="Times New Roman"/>
          <w:b/>
          <w:sz w:val="24"/>
          <w:szCs w:val="24"/>
        </w:rPr>
        <w:t xml:space="preserve"> </w:t>
      </w:r>
      <w:r w:rsidRPr="00B556E8">
        <w:rPr>
          <w:rFonts w:ascii="Times New Roman" w:hAnsi="Times New Roman" w:cs="Times New Roman"/>
          <w:b/>
          <w:sz w:val="24"/>
          <w:szCs w:val="24"/>
        </w:rPr>
        <w:t xml:space="preserve">MOTION OF </w:t>
      </w:r>
      <w:r w:rsidR="008217CB">
        <w:rPr>
          <w:rFonts w:ascii="Times New Roman" w:hAnsi="Times New Roman" w:cs="Times New Roman"/>
          <w:b/>
          <w:sz w:val="24"/>
          <w:szCs w:val="24"/>
        </w:rPr>
        <w:t>AEP OHIO</w:t>
      </w:r>
      <w:r w:rsidRPr="00B556E8">
        <w:rPr>
          <w:rFonts w:ascii="Times New Roman" w:hAnsi="Times New Roman" w:cs="Times New Roman"/>
          <w:b/>
          <w:sz w:val="24"/>
          <w:szCs w:val="24"/>
        </w:rPr>
        <w:t>,</w:t>
      </w:r>
    </w:p>
    <w:p w:rsidR="00B556E8" w:rsidRPr="00B556E8" w:rsidP="00B556E8" w14:paraId="2A17D33F" w14:textId="10A64214">
      <w:pPr>
        <w:jc w:val="center"/>
        <w:rPr>
          <w:rFonts w:ascii="Times New Roman" w:hAnsi="Times New Roman" w:cs="Times New Roman"/>
          <w:b/>
          <w:bCs/>
          <w:sz w:val="24"/>
          <w:szCs w:val="24"/>
        </w:rPr>
      </w:pPr>
      <w:r w:rsidRPr="00B556E8">
        <w:rPr>
          <w:rFonts w:ascii="Times New Roman" w:hAnsi="Times New Roman" w:cs="Times New Roman"/>
          <w:b/>
          <w:sz w:val="24"/>
          <w:szCs w:val="24"/>
        </w:rPr>
        <w:t xml:space="preserve">DUKE ENERGY OHIO AND THE DAYTON POWER AND LIGHT COMPANY </w:t>
      </w:r>
    </w:p>
    <w:p w:rsidR="00B556E8" w:rsidRPr="00B556E8" w:rsidP="00B556E8" w14:paraId="6F0FDCF8" w14:textId="77777777">
      <w:pPr>
        <w:jc w:val="center"/>
        <w:rPr>
          <w:rFonts w:ascii="Times New Roman" w:hAnsi="Times New Roman" w:cs="Times New Roman"/>
          <w:b/>
          <w:bCs/>
          <w:sz w:val="24"/>
          <w:szCs w:val="24"/>
        </w:rPr>
      </w:pPr>
      <w:r w:rsidRPr="00B556E8">
        <w:rPr>
          <w:rFonts w:ascii="Times New Roman" w:hAnsi="Times New Roman" w:cs="Times New Roman"/>
          <w:b/>
          <w:sz w:val="24"/>
          <w:szCs w:val="24"/>
        </w:rPr>
        <w:t xml:space="preserve">TO QUASH OCC’S SUBPOENA TO OVEC </w:t>
      </w:r>
    </w:p>
    <w:p w:rsidR="00B556E8" w:rsidRPr="00B556E8" w:rsidP="00B556E8" w14:paraId="4E9D0211" w14:textId="77777777">
      <w:pPr>
        <w:jc w:val="center"/>
        <w:rPr>
          <w:rFonts w:ascii="Times New Roman" w:hAnsi="Times New Roman" w:cs="Times New Roman"/>
          <w:b/>
          <w:bCs/>
          <w:sz w:val="24"/>
          <w:szCs w:val="24"/>
        </w:rPr>
      </w:pPr>
      <w:r w:rsidRPr="00B556E8">
        <w:rPr>
          <w:rFonts w:ascii="Times New Roman" w:hAnsi="Times New Roman" w:cs="Times New Roman"/>
          <w:b/>
          <w:sz w:val="24"/>
          <w:szCs w:val="24"/>
        </w:rPr>
        <w:t>BY</w:t>
      </w:r>
    </w:p>
    <w:p w:rsidR="00B556E8" w:rsidRPr="00B556E8" w:rsidP="00B556E8" w14:paraId="78651645" w14:textId="77777777">
      <w:pPr>
        <w:jc w:val="center"/>
        <w:rPr>
          <w:rFonts w:ascii="Times New Roman" w:hAnsi="Times New Roman" w:cs="Times New Roman"/>
          <w:b/>
          <w:bCs/>
          <w:sz w:val="24"/>
          <w:szCs w:val="24"/>
        </w:rPr>
      </w:pPr>
      <w:r w:rsidRPr="00B556E8">
        <w:rPr>
          <w:rFonts w:ascii="Times New Roman" w:hAnsi="Times New Roman" w:cs="Times New Roman"/>
          <w:b/>
          <w:sz w:val="24"/>
          <w:szCs w:val="24"/>
        </w:rPr>
        <w:t xml:space="preserve">OFFICE OF THE OHIO CONSUMERS’ COUNSEL </w:t>
      </w:r>
    </w:p>
    <w:p w:rsidR="00C22036" w:rsidRPr="00B556E8" w:rsidP="00C22036" w14:paraId="39D8E08E" w14:textId="77777777">
      <w:pPr>
        <w:pBdr>
          <w:bottom w:val="single" w:sz="12" w:space="1" w:color="auto"/>
        </w:pBdr>
        <w:tabs>
          <w:tab w:val="left" w:pos="4320"/>
        </w:tabs>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2445A0DE" w14:textId="77777777" w:rsidTr="004C2A8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8D5CC7" w:rsidRPr="00B556E8" w:rsidP="008D5CC7" w14:paraId="64650435" w14:textId="759E20DB">
            <w:pPr>
              <w:pStyle w:val="Footer"/>
              <w:rPr>
                <w:sz w:val="24"/>
                <w:szCs w:val="24"/>
              </w:rPr>
            </w:pPr>
            <w:r w:rsidRPr="00B556E8">
              <w:rPr>
                <w:sz w:val="24"/>
                <w:szCs w:val="24"/>
              </w:rPr>
              <w:t>Bruce Weston (0016973)</w:t>
            </w:r>
          </w:p>
          <w:p w:rsidR="008D5CC7" w:rsidRPr="00B556E8" w:rsidP="008D5CC7" w14:paraId="125F4038" w14:textId="77777777">
            <w:pPr>
              <w:rPr>
                <w:sz w:val="24"/>
                <w:szCs w:val="24"/>
              </w:rPr>
            </w:pPr>
            <w:r w:rsidRPr="00B556E8">
              <w:rPr>
                <w:sz w:val="24"/>
                <w:szCs w:val="24"/>
              </w:rPr>
              <w:t>Ohio Consumers’ Counsel</w:t>
            </w:r>
          </w:p>
          <w:p w:rsidR="008D5CC7" w:rsidRPr="00B556E8" w:rsidP="008D5CC7" w14:paraId="6B2F6B73" w14:textId="77777777">
            <w:pPr>
              <w:pStyle w:val="ListParagraph"/>
              <w:rPr>
                <w:sz w:val="24"/>
                <w:szCs w:val="24"/>
              </w:rPr>
            </w:pPr>
            <w:r w:rsidRPr="00B556E8">
              <w:rPr>
                <w:sz w:val="24"/>
                <w:szCs w:val="24"/>
              </w:rPr>
              <w:tab/>
            </w:r>
          </w:p>
          <w:p w:rsidR="008D5CC7" w:rsidRPr="00B556E8" w:rsidP="008D5CC7" w14:paraId="153A0315" w14:textId="77777777">
            <w:pPr>
              <w:tabs>
                <w:tab w:val="left" w:pos="4320"/>
              </w:tabs>
              <w:rPr>
                <w:sz w:val="24"/>
                <w:szCs w:val="24"/>
              </w:rPr>
            </w:pPr>
            <w:r w:rsidRPr="00B556E8">
              <w:rPr>
                <w:sz w:val="24"/>
                <w:szCs w:val="24"/>
              </w:rPr>
              <w:t>Christopher Healey (0086027)</w:t>
            </w:r>
          </w:p>
          <w:p w:rsidR="008D5CC7" w:rsidRPr="00B556E8" w:rsidP="008D5CC7" w14:paraId="6D94EA1C" w14:textId="77777777">
            <w:pPr>
              <w:tabs>
                <w:tab w:val="left" w:pos="4320"/>
              </w:tabs>
              <w:rPr>
                <w:sz w:val="24"/>
                <w:szCs w:val="24"/>
              </w:rPr>
            </w:pPr>
            <w:r w:rsidRPr="00B556E8">
              <w:rPr>
                <w:sz w:val="24"/>
                <w:szCs w:val="24"/>
              </w:rPr>
              <w:t>Counsel of Record – 18-1004-EL-RDR et al</w:t>
            </w:r>
          </w:p>
          <w:p w:rsidR="008D5CC7" w:rsidRPr="00B556E8" w:rsidP="008D5CC7" w14:paraId="04E617D5" w14:textId="77777777">
            <w:pPr>
              <w:tabs>
                <w:tab w:val="left" w:pos="4320"/>
              </w:tabs>
              <w:rPr>
                <w:sz w:val="24"/>
                <w:szCs w:val="24"/>
              </w:rPr>
            </w:pPr>
            <w:r w:rsidRPr="00B556E8">
              <w:rPr>
                <w:sz w:val="24"/>
                <w:szCs w:val="24"/>
              </w:rPr>
              <w:t>William Michael (0070921)</w:t>
            </w:r>
          </w:p>
          <w:p w:rsidR="008D5CC7" w:rsidRPr="00B556E8" w:rsidP="008D5CC7" w14:paraId="0A2CE9F9" w14:textId="53A64F3F">
            <w:pPr>
              <w:tabs>
                <w:tab w:val="left" w:pos="4320"/>
              </w:tabs>
              <w:rPr>
                <w:sz w:val="24"/>
                <w:szCs w:val="24"/>
              </w:rPr>
            </w:pPr>
            <w:r w:rsidRPr="00B556E8">
              <w:rPr>
                <w:sz w:val="24"/>
                <w:szCs w:val="24"/>
              </w:rPr>
              <w:t>John Finnigan (0018689)</w:t>
            </w:r>
            <w:r w:rsidRPr="00B556E8">
              <w:rPr>
                <w:sz w:val="24"/>
                <w:szCs w:val="24"/>
              </w:rPr>
              <w:br/>
              <w:t>Assistant Consumers’ Counsel</w:t>
            </w:r>
          </w:p>
          <w:p w:rsidR="005E0480" w:rsidRPr="00B556E8" w:rsidP="008D5CC7" w14:paraId="2E3B02BF" w14:textId="28E53194">
            <w:pPr>
              <w:tabs>
                <w:tab w:val="left" w:pos="4320"/>
              </w:tabs>
              <w:rPr>
                <w:sz w:val="24"/>
                <w:szCs w:val="24"/>
              </w:rPr>
            </w:pPr>
          </w:p>
          <w:p w:rsidR="005E0480" w:rsidRPr="00B556E8" w:rsidP="005E0480" w14:paraId="08D47DD2" w14:textId="77777777">
            <w:pPr>
              <w:rPr>
                <w:sz w:val="24"/>
                <w:szCs w:val="24"/>
              </w:rPr>
            </w:pPr>
            <w:r w:rsidRPr="00B556E8">
              <w:rPr>
                <w:sz w:val="24"/>
                <w:szCs w:val="24"/>
              </w:rPr>
              <w:t>William J. Michael (0070921)</w:t>
            </w:r>
          </w:p>
          <w:p w:rsidR="005E0480" w:rsidRPr="00B556E8" w:rsidP="005E0480" w14:paraId="5AEBA758" w14:textId="77777777">
            <w:pPr>
              <w:rPr>
                <w:sz w:val="24"/>
                <w:szCs w:val="24"/>
              </w:rPr>
            </w:pPr>
            <w:r w:rsidRPr="00B556E8">
              <w:rPr>
                <w:sz w:val="24"/>
                <w:szCs w:val="24"/>
              </w:rPr>
              <w:t>Counsel of Record – 20-165-EL-RDR</w:t>
            </w:r>
          </w:p>
          <w:p w:rsidR="005E0480" w:rsidRPr="00B556E8" w:rsidP="005E0480" w14:paraId="1D7FD4CE" w14:textId="77777777">
            <w:pPr>
              <w:rPr>
                <w:sz w:val="24"/>
                <w:szCs w:val="24"/>
              </w:rPr>
            </w:pPr>
            <w:r w:rsidRPr="00B556E8">
              <w:rPr>
                <w:sz w:val="24"/>
                <w:szCs w:val="24"/>
              </w:rPr>
              <w:t xml:space="preserve">Amy Botschner O’Brien (0074423) </w:t>
            </w:r>
          </w:p>
          <w:p w:rsidR="005E0480" w:rsidRPr="00B556E8" w:rsidP="005E0480" w14:paraId="4C13A3A6" w14:textId="77777777">
            <w:pPr>
              <w:rPr>
                <w:sz w:val="24"/>
                <w:szCs w:val="24"/>
              </w:rPr>
            </w:pPr>
            <w:r w:rsidRPr="00B556E8">
              <w:rPr>
                <w:sz w:val="24"/>
                <w:szCs w:val="24"/>
              </w:rPr>
              <w:t>John Finnigan (0018689)</w:t>
            </w:r>
          </w:p>
          <w:p w:rsidR="005E0480" w:rsidRPr="00B556E8" w:rsidP="005E0480" w14:paraId="69D44239" w14:textId="09B01E66">
            <w:pPr>
              <w:rPr>
                <w:sz w:val="24"/>
                <w:szCs w:val="24"/>
              </w:rPr>
            </w:pPr>
            <w:r w:rsidRPr="00B556E8">
              <w:rPr>
                <w:sz w:val="24"/>
                <w:szCs w:val="24"/>
              </w:rPr>
              <w:t>Assistant Consumers’ Counsel</w:t>
            </w:r>
          </w:p>
          <w:p w:rsidR="00335C21" w:rsidRPr="00B556E8" w:rsidP="005E0480" w14:paraId="448AD7E4" w14:textId="1D891F72">
            <w:pPr>
              <w:rPr>
                <w:sz w:val="24"/>
                <w:szCs w:val="24"/>
              </w:rPr>
            </w:pPr>
          </w:p>
          <w:p w:rsidR="00335C21" w:rsidRPr="00B556E8" w:rsidP="00335C21" w14:paraId="6FA16B76" w14:textId="77777777">
            <w:pPr>
              <w:rPr>
                <w:b/>
                <w:bCs/>
                <w:sz w:val="24"/>
                <w:szCs w:val="24"/>
              </w:rPr>
            </w:pPr>
            <w:r w:rsidRPr="00B556E8">
              <w:rPr>
                <w:sz w:val="24"/>
                <w:szCs w:val="24"/>
              </w:rPr>
              <w:t>Angela D. O’Brien (0097579)</w:t>
            </w:r>
          </w:p>
          <w:p w:rsidR="00335C21" w:rsidRPr="00B556E8" w:rsidP="00335C21" w14:paraId="1EA48156" w14:textId="77777777">
            <w:pPr>
              <w:rPr>
                <w:b/>
                <w:bCs/>
                <w:sz w:val="24"/>
                <w:szCs w:val="24"/>
              </w:rPr>
            </w:pPr>
            <w:r w:rsidRPr="00B556E8">
              <w:rPr>
                <w:sz w:val="24"/>
                <w:szCs w:val="24"/>
              </w:rPr>
              <w:t>Counsel of Record – 20-167-EL-RDR</w:t>
            </w:r>
          </w:p>
          <w:p w:rsidR="00335C21" w:rsidRPr="00B556E8" w:rsidP="00335C21" w14:paraId="28027046" w14:textId="77777777">
            <w:pPr>
              <w:rPr>
                <w:b/>
                <w:bCs/>
                <w:sz w:val="24"/>
                <w:szCs w:val="24"/>
              </w:rPr>
            </w:pPr>
            <w:r w:rsidRPr="00B556E8">
              <w:rPr>
                <w:sz w:val="24"/>
                <w:szCs w:val="24"/>
              </w:rPr>
              <w:t>John Finnigan (0018689)</w:t>
            </w:r>
          </w:p>
          <w:p w:rsidR="00335C21" w:rsidRPr="00B556E8" w:rsidP="00335C21" w14:paraId="0099F178" w14:textId="77777777">
            <w:pPr>
              <w:rPr>
                <w:b/>
                <w:bCs/>
                <w:sz w:val="24"/>
                <w:szCs w:val="24"/>
              </w:rPr>
            </w:pPr>
            <w:r w:rsidRPr="00B556E8">
              <w:rPr>
                <w:sz w:val="24"/>
                <w:szCs w:val="24"/>
              </w:rPr>
              <w:t>Assistant Consumers’ Counsel</w:t>
            </w:r>
          </w:p>
          <w:p w:rsidR="005E0480" w:rsidRPr="00B556E8" w:rsidP="005E0480" w14:paraId="3D88CA6E" w14:textId="43CAA239">
            <w:pPr>
              <w:rPr>
                <w:sz w:val="24"/>
                <w:szCs w:val="24"/>
              </w:rPr>
            </w:pPr>
          </w:p>
          <w:p w:rsidR="005E0480" w:rsidRPr="00B556E8" w:rsidP="005E0480" w14:paraId="4D6D1552" w14:textId="4D46F319">
            <w:pPr>
              <w:tabs>
                <w:tab w:val="left" w:pos="4320"/>
              </w:tabs>
              <w:rPr>
                <w:sz w:val="24"/>
                <w:szCs w:val="24"/>
              </w:rPr>
            </w:pPr>
            <w:r w:rsidRPr="00B556E8">
              <w:rPr>
                <w:sz w:val="24"/>
                <w:szCs w:val="24"/>
              </w:rPr>
              <w:t>John Finnigan (0018689)</w:t>
            </w:r>
          </w:p>
          <w:p w:rsidR="005E0480" w:rsidRPr="00B556E8" w:rsidP="005E0480" w14:paraId="6CD7C034" w14:textId="39259A3A">
            <w:pPr>
              <w:tabs>
                <w:tab w:val="left" w:pos="4320"/>
              </w:tabs>
              <w:rPr>
                <w:sz w:val="24"/>
                <w:szCs w:val="24"/>
              </w:rPr>
            </w:pPr>
            <w:r w:rsidRPr="00B556E8">
              <w:rPr>
                <w:sz w:val="24"/>
                <w:szCs w:val="24"/>
              </w:rPr>
              <w:t>Counsel of Record – 21-477-EL-RDR</w:t>
            </w:r>
          </w:p>
          <w:p w:rsidR="005E0480" w:rsidRPr="00B556E8" w:rsidP="005E0480" w14:paraId="2BF58DCB" w14:textId="35E8E9AA">
            <w:pPr>
              <w:tabs>
                <w:tab w:val="left" w:pos="4320"/>
              </w:tabs>
              <w:rPr>
                <w:sz w:val="24"/>
                <w:szCs w:val="24"/>
              </w:rPr>
            </w:pPr>
            <w:r w:rsidRPr="00B556E8">
              <w:rPr>
                <w:sz w:val="24"/>
                <w:szCs w:val="24"/>
              </w:rPr>
              <w:t>William J. Michael (0070921)</w:t>
            </w:r>
          </w:p>
          <w:p w:rsidR="005E0480" w:rsidRPr="00B556E8" w:rsidP="008D5CC7" w14:paraId="7BABCC96" w14:textId="52BE3944">
            <w:pPr>
              <w:tabs>
                <w:tab w:val="left" w:pos="4320"/>
              </w:tabs>
              <w:rPr>
                <w:sz w:val="24"/>
                <w:szCs w:val="24"/>
              </w:rPr>
            </w:pPr>
            <w:r w:rsidRPr="00B556E8">
              <w:rPr>
                <w:sz w:val="24"/>
                <w:szCs w:val="24"/>
              </w:rPr>
              <w:t>Assistant Consumers’ Counsel</w:t>
            </w:r>
          </w:p>
          <w:p w:rsidR="008D5CC7" w:rsidP="008D5CC7" w14:paraId="248FC9F8" w14:textId="3C977F1C">
            <w:pPr>
              <w:tabs>
                <w:tab w:val="left" w:pos="4320"/>
              </w:tabs>
              <w:rPr>
                <w:sz w:val="24"/>
                <w:szCs w:val="24"/>
              </w:rPr>
            </w:pPr>
          </w:p>
          <w:p w:rsidR="000509C1" w:rsidP="008D5CC7" w14:paraId="1AF41AC8" w14:textId="21B43AAF">
            <w:pPr>
              <w:tabs>
                <w:tab w:val="left" w:pos="4320"/>
              </w:tabs>
              <w:rPr>
                <w:sz w:val="24"/>
                <w:szCs w:val="24"/>
              </w:rPr>
            </w:pPr>
          </w:p>
          <w:p w:rsidR="000509C1" w:rsidRPr="00B556E8" w:rsidP="008D5CC7" w14:paraId="1A3BFEC1" w14:textId="77777777">
            <w:pPr>
              <w:tabs>
                <w:tab w:val="left" w:pos="4320"/>
              </w:tabs>
              <w:rPr>
                <w:sz w:val="24"/>
                <w:szCs w:val="24"/>
              </w:rPr>
            </w:pPr>
          </w:p>
          <w:p w:rsidR="003F5582" w:rsidRPr="00B556E8" w:rsidP="003F5582" w14:paraId="12A5C423" w14:textId="03A90AE9">
            <w:pPr>
              <w:tabs>
                <w:tab w:val="left" w:pos="4320"/>
              </w:tabs>
              <w:rPr>
                <w:sz w:val="24"/>
                <w:szCs w:val="24"/>
              </w:rPr>
            </w:pPr>
            <w:r w:rsidRPr="00B556E8">
              <w:rPr>
                <w:sz w:val="24"/>
                <w:szCs w:val="24"/>
              </w:rPr>
              <w:t>December 16, 2021</w:t>
            </w:r>
          </w:p>
          <w:p w:rsidR="003F5582" w:rsidP="008D5CC7" w14:paraId="0E8EAD94" w14:textId="088F4453">
            <w:pPr>
              <w:tabs>
                <w:tab w:val="left" w:pos="4320"/>
              </w:tabs>
              <w:rPr>
                <w:sz w:val="24"/>
                <w:szCs w:val="24"/>
              </w:rPr>
            </w:pPr>
          </w:p>
          <w:p w:rsidR="00B556E8" w:rsidRPr="00B556E8" w:rsidP="008D5CC7" w14:paraId="7B3CC890" w14:textId="77777777">
            <w:pPr>
              <w:tabs>
                <w:tab w:val="left" w:pos="4320"/>
              </w:tabs>
              <w:rPr>
                <w:sz w:val="24"/>
                <w:szCs w:val="24"/>
              </w:rPr>
            </w:pPr>
          </w:p>
          <w:p w:rsidR="008D5CC7" w:rsidRPr="00B556E8" w:rsidP="008D5CC7" w14:paraId="39AC7FAE" w14:textId="77777777">
            <w:pPr>
              <w:ind w:left="3600"/>
              <w:rPr>
                <w:b/>
                <w:bCs/>
                <w:sz w:val="24"/>
                <w:szCs w:val="24"/>
              </w:rPr>
            </w:pPr>
          </w:p>
        </w:tc>
        <w:tc>
          <w:tcPr>
            <w:tcW w:w="4675" w:type="dxa"/>
          </w:tcPr>
          <w:p w:rsidR="005E0480" w:rsidRPr="00B556E8" w:rsidP="005E0480" w14:paraId="6A0B074A" w14:textId="08A020DD">
            <w:pPr>
              <w:tabs>
                <w:tab w:val="left" w:pos="4320"/>
              </w:tabs>
              <w:rPr>
                <w:b/>
                <w:bCs/>
                <w:sz w:val="24"/>
                <w:szCs w:val="24"/>
              </w:rPr>
            </w:pPr>
            <w:r w:rsidRPr="00B556E8">
              <w:rPr>
                <w:b/>
                <w:sz w:val="24"/>
                <w:szCs w:val="24"/>
              </w:rPr>
              <w:t>Office of the Ohio Consumers’ Counsel</w:t>
            </w:r>
          </w:p>
          <w:p w:rsidR="005E0480" w:rsidRPr="00B556E8" w:rsidP="005E0480" w14:paraId="44238157" w14:textId="7826D0B0">
            <w:pPr>
              <w:rPr>
                <w:sz w:val="24"/>
                <w:szCs w:val="24"/>
              </w:rPr>
            </w:pPr>
            <w:r w:rsidRPr="00B556E8">
              <w:rPr>
                <w:sz w:val="24"/>
                <w:szCs w:val="24"/>
              </w:rPr>
              <w:t xml:space="preserve">65 East State Street, </w:t>
            </w:r>
            <w:r w:rsidRPr="00B556E8" w:rsidR="003F5582">
              <w:rPr>
                <w:sz w:val="24"/>
                <w:szCs w:val="24"/>
              </w:rPr>
              <w:t>Suite 700</w:t>
            </w:r>
          </w:p>
          <w:p w:rsidR="005E0480" w:rsidRPr="00B556E8" w:rsidP="005E0480" w14:paraId="2125D02E" w14:textId="77777777">
            <w:pPr>
              <w:rPr>
                <w:sz w:val="24"/>
                <w:szCs w:val="24"/>
              </w:rPr>
            </w:pPr>
            <w:r w:rsidRPr="00B556E8">
              <w:rPr>
                <w:sz w:val="24"/>
                <w:szCs w:val="24"/>
              </w:rPr>
              <w:t>Columbus, Ohio 43215</w:t>
            </w:r>
          </w:p>
          <w:p w:rsidR="005E0480" w:rsidRPr="00B556E8" w:rsidP="005E0480" w14:paraId="42B04BED" w14:textId="77777777">
            <w:pPr>
              <w:autoSpaceDE w:val="0"/>
              <w:autoSpaceDN w:val="0"/>
              <w:adjustRightInd w:val="0"/>
              <w:rPr>
                <w:sz w:val="24"/>
                <w:szCs w:val="24"/>
              </w:rPr>
            </w:pPr>
            <w:r w:rsidRPr="00B556E8">
              <w:rPr>
                <w:sz w:val="24"/>
                <w:szCs w:val="24"/>
              </w:rPr>
              <w:t>Telephone [Healey]: (614) 466-9571</w:t>
            </w:r>
          </w:p>
          <w:p w:rsidR="005E0480" w:rsidRPr="00B556E8" w:rsidP="005E0480" w14:paraId="005DAD6D" w14:textId="77777777">
            <w:pPr>
              <w:autoSpaceDE w:val="0"/>
              <w:autoSpaceDN w:val="0"/>
              <w:adjustRightInd w:val="0"/>
              <w:rPr>
                <w:sz w:val="24"/>
                <w:szCs w:val="24"/>
              </w:rPr>
            </w:pPr>
            <w:r w:rsidRPr="00B556E8">
              <w:rPr>
                <w:sz w:val="24"/>
                <w:szCs w:val="24"/>
              </w:rPr>
              <w:t>Telephone [Michael]: (614) 466-1291</w:t>
            </w:r>
          </w:p>
          <w:p w:rsidR="005E0480" w:rsidRPr="00B556E8" w:rsidP="005E0480" w14:paraId="24D2D869" w14:textId="237C7338">
            <w:pPr>
              <w:rPr>
                <w:b/>
                <w:bCs/>
                <w:sz w:val="24"/>
                <w:szCs w:val="24"/>
              </w:rPr>
            </w:pPr>
            <w:r w:rsidRPr="00B556E8">
              <w:rPr>
                <w:sz w:val="24"/>
                <w:szCs w:val="24"/>
              </w:rPr>
              <w:t>Telephone [Botschner]: (614) 466-9575</w:t>
            </w:r>
          </w:p>
          <w:p w:rsidR="005E0480" w:rsidRPr="00B556E8" w:rsidP="005E0480" w14:paraId="47C4F542" w14:textId="2CD13960">
            <w:pPr>
              <w:autoSpaceDE w:val="0"/>
              <w:autoSpaceDN w:val="0"/>
              <w:adjustRightInd w:val="0"/>
              <w:rPr>
                <w:sz w:val="24"/>
                <w:szCs w:val="24"/>
              </w:rPr>
            </w:pPr>
            <w:r w:rsidRPr="00B556E8">
              <w:rPr>
                <w:sz w:val="24"/>
                <w:szCs w:val="24"/>
              </w:rPr>
              <w:t>Telephone [Finnigan]: (614) 466-9585</w:t>
            </w:r>
          </w:p>
          <w:p w:rsidR="00335C21" w:rsidRPr="00B556E8" w:rsidP="005E0480" w14:paraId="7192D4DD" w14:textId="25D02CCF">
            <w:pPr>
              <w:autoSpaceDE w:val="0"/>
              <w:autoSpaceDN w:val="0"/>
              <w:adjustRightInd w:val="0"/>
              <w:rPr>
                <w:sz w:val="24"/>
                <w:szCs w:val="24"/>
              </w:rPr>
            </w:pPr>
            <w:r w:rsidRPr="00B556E8">
              <w:rPr>
                <w:sz w:val="24"/>
                <w:szCs w:val="24"/>
              </w:rPr>
              <w:t>Telephone [O’Brien]: (614) 466-9531</w:t>
            </w:r>
          </w:p>
          <w:p w:rsidR="005E0480" w:rsidRPr="00B556E8" w:rsidP="005E0480" w14:paraId="6A01C748" w14:textId="754B938B">
            <w:pPr>
              <w:autoSpaceDE w:val="0"/>
              <w:autoSpaceDN w:val="0"/>
              <w:adjustRightInd w:val="0"/>
              <w:rPr>
                <w:sz w:val="24"/>
                <w:szCs w:val="24"/>
              </w:rPr>
            </w:pPr>
            <w:hyperlink r:id="rId6" w:history="1">
              <w:r w:rsidRPr="00B556E8" w:rsidR="00B556E8">
                <w:rPr>
                  <w:rStyle w:val="Hyperlink"/>
                  <w:sz w:val="24"/>
                  <w:szCs w:val="24"/>
                </w:rPr>
                <w:t>christopher.healey@occ.ohio.gov</w:t>
              </w:r>
            </w:hyperlink>
          </w:p>
          <w:p w:rsidR="005E0480" w:rsidRPr="00B556E8" w:rsidP="005E0480" w14:paraId="6146FAFB" w14:textId="15CA5E3B">
            <w:pPr>
              <w:autoSpaceDE w:val="0"/>
              <w:autoSpaceDN w:val="0"/>
              <w:adjustRightInd w:val="0"/>
              <w:rPr>
                <w:sz w:val="24"/>
                <w:szCs w:val="24"/>
              </w:rPr>
            </w:pPr>
            <w:hyperlink r:id="rId7" w:history="1">
              <w:r w:rsidRPr="00B556E8" w:rsidR="00B556E8">
                <w:rPr>
                  <w:rStyle w:val="Hyperlink"/>
                  <w:sz w:val="24"/>
                  <w:szCs w:val="24"/>
                </w:rPr>
                <w:t>william.michael@occ.ohio.gov</w:t>
              </w:r>
            </w:hyperlink>
          </w:p>
          <w:p w:rsidR="005E0480" w:rsidRPr="00B556E8" w:rsidP="005E0480" w14:paraId="7B17699D" w14:textId="5603C898">
            <w:pPr>
              <w:rPr>
                <w:sz w:val="24"/>
                <w:szCs w:val="24"/>
              </w:rPr>
            </w:pPr>
            <w:hyperlink r:id="rId8" w:history="1">
              <w:r w:rsidRPr="00B556E8" w:rsidR="00B556E8">
                <w:rPr>
                  <w:rStyle w:val="Hyperlink"/>
                  <w:sz w:val="24"/>
                  <w:szCs w:val="24"/>
                </w:rPr>
                <w:t>amy.botschner.obrien@occ.ohio.gov</w:t>
              </w:r>
            </w:hyperlink>
          </w:p>
          <w:p w:rsidR="005E0480" w:rsidRPr="00B556E8" w:rsidP="005E0480" w14:paraId="4C3BA498" w14:textId="3E53D352">
            <w:pPr>
              <w:autoSpaceDE w:val="0"/>
              <w:autoSpaceDN w:val="0"/>
              <w:adjustRightInd w:val="0"/>
              <w:rPr>
                <w:rStyle w:val="Hyperlink"/>
                <w:sz w:val="24"/>
                <w:szCs w:val="24"/>
              </w:rPr>
            </w:pPr>
            <w:hyperlink r:id="rId9" w:history="1">
              <w:r w:rsidRPr="00B556E8" w:rsidR="00B556E8">
                <w:rPr>
                  <w:rStyle w:val="Hyperlink"/>
                  <w:sz w:val="24"/>
                  <w:szCs w:val="24"/>
                </w:rPr>
                <w:t>john.finnigan@occ.ohio.gov</w:t>
              </w:r>
            </w:hyperlink>
          </w:p>
          <w:p w:rsidR="00335C21" w:rsidRPr="00B556E8" w:rsidP="005E0480" w14:paraId="30DECDA0" w14:textId="738E516F">
            <w:pPr>
              <w:autoSpaceDE w:val="0"/>
              <w:autoSpaceDN w:val="0"/>
              <w:adjustRightInd w:val="0"/>
              <w:rPr>
                <w:sz w:val="24"/>
                <w:szCs w:val="24"/>
              </w:rPr>
            </w:pPr>
            <w:r w:rsidRPr="00B556E8">
              <w:rPr>
                <w:rStyle w:val="Hyperlink"/>
                <w:sz w:val="24"/>
                <w:szCs w:val="24"/>
              </w:rPr>
              <w:t>angela.obrien@occ.ohio.gov</w:t>
            </w:r>
          </w:p>
          <w:p w:rsidR="005E0480" w:rsidRPr="00B556E8" w:rsidP="005E0480" w14:paraId="27263F1A" w14:textId="77777777">
            <w:pPr>
              <w:autoSpaceDE w:val="0"/>
              <w:autoSpaceDN w:val="0"/>
              <w:adjustRightInd w:val="0"/>
              <w:rPr>
                <w:rStyle w:val="Hyperlink"/>
                <w:color w:val="auto"/>
                <w:sz w:val="24"/>
                <w:szCs w:val="24"/>
                <w:u w:val="none"/>
              </w:rPr>
            </w:pPr>
            <w:r w:rsidRPr="00B556E8">
              <w:rPr>
                <w:rStyle w:val="Hyperlink"/>
                <w:color w:val="auto"/>
                <w:sz w:val="24"/>
                <w:szCs w:val="24"/>
                <w:u w:val="none"/>
              </w:rPr>
              <w:t>(willing to accept service by e-mail)</w:t>
            </w:r>
          </w:p>
          <w:p w:rsidR="008D5CC7" w:rsidRPr="00B556E8" w:rsidP="005E0480" w14:paraId="29AB1B5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tc>
      </w:tr>
    </w:tbl>
    <w:p w:rsidR="008D5CC7" w:rsidRPr="00B556E8" w:rsidP="00E34345" w14:paraId="4C83A76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4753ED" w:rsidRPr="00B556E8" w:rsidP="00E34345" w14:paraId="7553BD4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8D5CC7" w:rsidRPr="00B556E8" w:rsidP="008D5CC7" w14:paraId="663351FE" w14:textId="59DD5FF4">
      <w:pPr>
        <w:tabs>
          <w:tab w:val="left" w:pos="4320"/>
        </w:tabs>
        <w:ind w:left="3600"/>
        <w:rPr>
          <w:rFonts w:ascii="Times New Roman" w:hAnsi="Times New Roman" w:cs="Times New Roman"/>
          <w:b/>
          <w:sz w:val="24"/>
          <w:szCs w:val="24"/>
        </w:rPr>
      </w:pPr>
    </w:p>
    <w:p w:rsidR="005E0480" w:rsidRPr="00B556E8" w:rsidP="00825F8E" w14:paraId="6EBB67BD" w14:textId="77777777">
      <w:pPr>
        <w:pStyle w:val="ListParagraph"/>
        <w:autoSpaceDE w:val="0"/>
        <w:autoSpaceDN w:val="0"/>
        <w:adjustRightInd w:val="0"/>
        <w:ind w:left="3600"/>
        <w:rPr>
          <w:rStyle w:val="Hyperlink"/>
          <w:rFonts w:ascii="Times New Roman" w:hAnsi="Times New Roman" w:cs="Times New Roman"/>
          <w:sz w:val="24"/>
          <w:szCs w:val="24"/>
        </w:rPr>
        <w:sectPr w:rsidSect="00E17C81">
          <w:headerReference w:type="even" r:id="rId10"/>
          <w:footerReference w:type="even" r:id="rId11"/>
          <w:footerReference w:type="default" r:id="rId12"/>
          <w:pgSz w:w="12240" w:h="15840"/>
          <w:pgMar w:top="1440" w:right="1440" w:bottom="1440" w:left="1440" w:header="1547" w:footer="432" w:gutter="0"/>
          <w:pgNumType w:start="1"/>
          <w:cols w:space="720"/>
          <w:docGrid w:linePitch="299"/>
        </w:sectPr>
      </w:pPr>
    </w:p>
    <w:p w:rsidR="00B556E8" w:rsidP="00B556E8" w14:paraId="3C6C9F3B" w14:textId="0FCC5F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u w:val="single"/>
        </w:rPr>
      </w:pPr>
      <w:r w:rsidRPr="00B556E8">
        <w:rPr>
          <w:rFonts w:ascii="Times New Roman" w:hAnsi="Times New Roman" w:cs="Times New Roman"/>
          <w:b/>
          <w:bCs/>
          <w:sz w:val="24"/>
          <w:szCs w:val="24"/>
          <w:u w:val="single"/>
        </w:rPr>
        <w:t>TABLE OF CONTENTS</w:t>
      </w:r>
    </w:p>
    <w:p w:rsidR="00B556E8" w:rsidP="00B556E8" w14:paraId="7954F766" w14:textId="4BA3EF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u w:val="single"/>
        </w:rPr>
      </w:pPr>
    </w:p>
    <w:p w:rsidR="00B556E8" w:rsidP="00B556E8" w14:paraId="6B1C6E23" w14:textId="54DA03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75CCA">
        <w:rPr>
          <w:rFonts w:ascii="Times New Roman" w:hAnsi="Times New Roman" w:cs="Times New Roman"/>
          <w:b/>
          <w:bCs/>
          <w:sz w:val="24"/>
          <w:szCs w:val="24"/>
        </w:rPr>
        <w:tab/>
      </w:r>
      <w:r>
        <w:rPr>
          <w:rFonts w:ascii="Times New Roman" w:hAnsi="Times New Roman" w:cs="Times New Roman"/>
          <w:b/>
          <w:bCs/>
          <w:sz w:val="24"/>
          <w:szCs w:val="24"/>
        </w:rPr>
        <w:t>PAGE</w:t>
      </w:r>
    </w:p>
    <w:p w:rsidR="00A75CCA" w:rsidP="00B556E8" w14:paraId="4AC274E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5D0333" w14:paraId="6B7ED96E" w14:textId="41665C3C">
      <w:pPr>
        <w:pStyle w:val="TOC1"/>
        <w:rPr>
          <w:rFonts w:asciiTheme="minorHAnsi" w:eastAsiaTheme="minorEastAsia" w:hAnsiTheme="minorHAnsi"/>
          <w:caps w:val="0"/>
          <w:noProof/>
          <w:sz w:val="22"/>
        </w:rPr>
      </w:pPr>
      <w:r>
        <w:rPr>
          <w:rFonts w:cs="Times New Roman"/>
          <w:b/>
          <w:bCs/>
          <w:szCs w:val="24"/>
        </w:rPr>
        <w:fldChar w:fldCharType="begin"/>
      </w:r>
      <w:r>
        <w:rPr>
          <w:rFonts w:cs="Times New Roman"/>
          <w:b/>
          <w:bCs/>
          <w:szCs w:val="24"/>
        </w:rPr>
        <w:instrText xml:space="preserve"> TOC \o "1-2" \h \z \u </w:instrText>
      </w:r>
      <w:r>
        <w:rPr>
          <w:rFonts w:cs="Times New Roman"/>
          <w:b/>
          <w:bCs/>
          <w:szCs w:val="24"/>
        </w:rPr>
        <w:fldChar w:fldCharType="separate"/>
      </w:r>
      <w:hyperlink w:anchor="_Toc90562577" w:history="1">
        <w:r w:rsidRPr="009806E8">
          <w:rPr>
            <w:rStyle w:val="Hyperlink"/>
            <w:noProof/>
          </w:rPr>
          <w:t>I.</w:t>
        </w:r>
        <w:r>
          <w:rPr>
            <w:rFonts w:asciiTheme="minorHAnsi" w:eastAsiaTheme="minorEastAsia" w:hAnsiTheme="minorHAnsi"/>
            <w:caps w:val="0"/>
            <w:noProof/>
            <w:sz w:val="22"/>
          </w:rPr>
          <w:tab/>
        </w:r>
        <w:r w:rsidRPr="009806E8">
          <w:rPr>
            <w:rStyle w:val="Hyperlink"/>
            <w:noProof/>
          </w:rPr>
          <w:t>INTRODUCTION</w:t>
        </w:r>
        <w:r>
          <w:rPr>
            <w:noProof/>
            <w:webHidden/>
          </w:rPr>
          <w:tab/>
        </w:r>
        <w:r>
          <w:rPr>
            <w:noProof/>
            <w:webHidden/>
          </w:rPr>
          <w:fldChar w:fldCharType="begin"/>
        </w:r>
        <w:r>
          <w:rPr>
            <w:noProof/>
            <w:webHidden/>
          </w:rPr>
          <w:instrText xml:space="preserve"> PAGEREF _Toc90562577 \h </w:instrText>
        </w:r>
        <w:r>
          <w:rPr>
            <w:noProof/>
            <w:webHidden/>
          </w:rPr>
          <w:fldChar w:fldCharType="separate"/>
        </w:r>
        <w:r>
          <w:rPr>
            <w:noProof/>
            <w:webHidden/>
          </w:rPr>
          <w:t>1</w:t>
        </w:r>
        <w:r>
          <w:rPr>
            <w:noProof/>
            <w:webHidden/>
          </w:rPr>
          <w:fldChar w:fldCharType="end"/>
        </w:r>
      </w:hyperlink>
    </w:p>
    <w:p w:rsidR="005D0333" w14:paraId="7C684EE9" w14:textId="1375EAAC">
      <w:pPr>
        <w:pStyle w:val="TOC1"/>
        <w:rPr>
          <w:rFonts w:asciiTheme="minorHAnsi" w:eastAsiaTheme="minorEastAsia" w:hAnsiTheme="minorHAnsi"/>
          <w:caps w:val="0"/>
          <w:noProof/>
          <w:sz w:val="22"/>
        </w:rPr>
      </w:pPr>
      <w:hyperlink w:anchor="_Toc90562578" w:history="1">
        <w:r w:rsidRPr="009806E8">
          <w:rPr>
            <w:rStyle w:val="Hyperlink"/>
            <w:noProof/>
          </w:rPr>
          <w:t>II.</w:t>
        </w:r>
        <w:r>
          <w:rPr>
            <w:rFonts w:asciiTheme="minorHAnsi" w:eastAsiaTheme="minorEastAsia" w:hAnsiTheme="minorHAnsi"/>
            <w:caps w:val="0"/>
            <w:noProof/>
            <w:sz w:val="22"/>
          </w:rPr>
          <w:tab/>
        </w:r>
        <w:r w:rsidRPr="009806E8">
          <w:rPr>
            <w:rStyle w:val="Hyperlink"/>
            <w:noProof/>
          </w:rPr>
          <w:t>LAW AND ARGUMENT</w:t>
        </w:r>
        <w:r>
          <w:rPr>
            <w:noProof/>
            <w:webHidden/>
          </w:rPr>
          <w:tab/>
        </w:r>
        <w:r>
          <w:rPr>
            <w:noProof/>
            <w:webHidden/>
          </w:rPr>
          <w:fldChar w:fldCharType="begin"/>
        </w:r>
        <w:r>
          <w:rPr>
            <w:noProof/>
            <w:webHidden/>
          </w:rPr>
          <w:instrText xml:space="preserve"> PAGEREF _Toc90562578 \h </w:instrText>
        </w:r>
        <w:r>
          <w:rPr>
            <w:noProof/>
            <w:webHidden/>
          </w:rPr>
          <w:fldChar w:fldCharType="separate"/>
        </w:r>
        <w:r>
          <w:rPr>
            <w:noProof/>
            <w:webHidden/>
          </w:rPr>
          <w:t>4</w:t>
        </w:r>
        <w:r>
          <w:rPr>
            <w:noProof/>
            <w:webHidden/>
          </w:rPr>
          <w:fldChar w:fldCharType="end"/>
        </w:r>
      </w:hyperlink>
    </w:p>
    <w:p w:rsidR="005D0333" w14:paraId="48A84DE2" w14:textId="15AFA5E8">
      <w:pPr>
        <w:pStyle w:val="TOC2"/>
        <w:tabs>
          <w:tab w:val="left" w:pos="1440"/>
        </w:tabs>
        <w:rPr>
          <w:rFonts w:asciiTheme="minorHAnsi" w:eastAsiaTheme="minorEastAsia" w:hAnsiTheme="minorHAnsi"/>
          <w:noProof/>
          <w:sz w:val="22"/>
        </w:rPr>
      </w:pPr>
      <w:hyperlink w:anchor="_Toc90562579" w:history="1">
        <w:r w:rsidRPr="009806E8">
          <w:rPr>
            <w:rStyle w:val="Hyperlink"/>
            <w:rFonts w:cs="Times New Roman"/>
            <w:bCs/>
            <w:noProof/>
          </w:rPr>
          <w:t>A.</w:t>
        </w:r>
        <w:r>
          <w:rPr>
            <w:rFonts w:asciiTheme="minorHAnsi" w:eastAsiaTheme="minorEastAsia" w:hAnsiTheme="minorHAnsi"/>
            <w:noProof/>
            <w:sz w:val="22"/>
          </w:rPr>
          <w:tab/>
        </w:r>
        <w:r w:rsidRPr="009806E8">
          <w:rPr>
            <w:rStyle w:val="Hyperlink"/>
            <w:rFonts w:cs="Times New Roman"/>
            <w:bCs/>
            <w:noProof/>
          </w:rPr>
          <w:t>To protect consumers, the PUCO should deny the Utilities’ motion to quash because the Utilities failed to demonstrate that the subpoena is “unreasonable or oppressive.”</w:t>
        </w:r>
        <w:r>
          <w:rPr>
            <w:noProof/>
            <w:webHidden/>
          </w:rPr>
          <w:tab/>
        </w:r>
        <w:r>
          <w:rPr>
            <w:noProof/>
            <w:webHidden/>
          </w:rPr>
          <w:fldChar w:fldCharType="begin"/>
        </w:r>
        <w:r>
          <w:rPr>
            <w:noProof/>
            <w:webHidden/>
          </w:rPr>
          <w:instrText xml:space="preserve"> PAGEREF _Toc90562579 \h </w:instrText>
        </w:r>
        <w:r>
          <w:rPr>
            <w:noProof/>
            <w:webHidden/>
          </w:rPr>
          <w:fldChar w:fldCharType="separate"/>
        </w:r>
        <w:r>
          <w:rPr>
            <w:noProof/>
            <w:webHidden/>
          </w:rPr>
          <w:t>4</w:t>
        </w:r>
        <w:r>
          <w:rPr>
            <w:noProof/>
            <w:webHidden/>
          </w:rPr>
          <w:fldChar w:fldCharType="end"/>
        </w:r>
      </w:hyperlink>
    </w:p>
    <w:p w:rsidR="005D0333" w14:paraId="7BC0C013" w14:textId="78E9EC89">
      <w:pPr>
        <w:pStyle w:val="TOC2"/>
        <w:tabs>
          <w:tab w:val="left" w:pos="1440"/>
        </w:tabs>
        <w:rPr>
          <w:rFonts w:asciiTheme="minorHAnsi" w:eastAsiaTheme="minorEastAsia" w:hAnsiTheme="minorHAnsi"/>
          <w:noProof/>
          <w:sz w:val="22"/>
        </w:rPr>
      </w:pPr>
      <w:hyperlink w:anchor="_Toc90562580" w:history="1">
        <w:r w:rsidRPr="009806E8">
          <w:rPr>
            <w:rStyle w:val="Hyperlink"/>
            <w:noProof/>
          </w:rPr>
          <w:t>B.</w:t>
        </w:r>
        <w:r>
          <w:rPr>
            <w:rFonts w:asciiTheme="minorHAnsi" w:eastAsiaTheme="minorEastAsia" w:hAnsiTheme="minorHAnsi"/>
            <w:noProof/>
            <w:sz w:val="22"/>
          </w:rPr>
          <w:tab/>
        </w:r>
        <w:r w:rsidRPr="009806E8">
          <w:rPr>
            <w:rStyle w:val="Hyperlink"/>
            <w:noProof/>
          </w:rPr>
          <w:t>OCC has a right to take depositions for consumer protection under Ohio law and the Ohio Administrative Code</w:t>
        </w:r>
        <w:r w:rsidRPr="009806E8">
          <w:rPr>
            <w:rStyle w:val="Hyperlink"/>
            <w:rFonts w:cs="Times New Roman"/>
            <w:bCs/>
            <w:noProof/>
          </w:rPr>
          <w:t>.</w:t>
        </w:r>
        <w:r>
          <w:rPr>
            <w:noProof/>
            <w:webHidden/>
          </w:rPr>
          <w:tab/>
        </w:r>
        <w:r>
          <w:rPr>
            <w:noProof/>
            <w:webHidden/>
          </w:rPr>
          <w:fldChar w:fldCharType="begin"/>
        </w:r>
        <w:r>
          <w:rPr>
            <w:noProof/>
            <w:webHidden/>
          </w:rPr>
          <w:instrText xml:space="preserve"> PAGEREF _Toc90562580 \h </w:instrText>
        </w:r>
        <w:r>
          <w:rPr>
            <w:noProof/>
            <w:webHidden/>
          </w:rPr>
          <w:fldChar w:fldCharType="separate"/>
        </w:r>
        <w:r>
          <w:rPr>
            <w:noProof/>
            <w:webHidden/>
          </w:rPr>
          <w:t>5</w:t>
        </w:r>
        <w:r>
          <w:rPr>
            <w:noProof/>
            <w:webHidden/>
          </w:rPr>
          <w:fldChar w:fldCharType="end"/>
        </w:r>
      </w:hyperlink>
    </w:p>
    <w:p w:rsidR="005D0333" w14:paraId="2C95851A" w14:textId="096ADD73">
      <w:pPr>
        <w:pStyle w:val="TOC2"/>
        <w:tabs>
          <w:tab w:val="left" w:pos="1440"/>
        </w:tabs>
        <w:rPr>
          <w:rFonts w:asciiTheme="minorHAnsi" w:eastAsiaTheme="minorEastAsia" w:hAnsiTheme="minorHAnsi"/>
          <w:noProof/>
          <w:sz w:val="22"/>
        </w:rPr>
      </w:pPr>
      <w:hyperlink w:anchor="_Toc90562581" w:history="1">
        <w:r w:rsidRPr="009806E8">
          <w:rPr>
            <w:rStyle w:val="Hyperlink"/>
            <w:noProof/>
          </w:rPr>
          <w:t>C.</w:t>
        </w:r>
        <w:r>
          <w:rPr>
            <w:rFonts w:asciiTheme="minorHAnsi" w:eastAsiaTheme="minorEastAsia" w:hAnsiTheme="minorHAnsi"/>
            <w:noProof/>
            <w:sz w:val="22"/>
          </w:rPr>
          <w:tab/>
        </w:r>
        <w:r w:rsidRPr="009806E8">
          <w:rPr>
            <w:rStyle w:val="Hyperlink"/>
            <w:noProof/>
          </w:rPr>
          <w:t>A party may notice a single deposition to be held in multiple proceedings if the discovery sought is relevant to each case. But OCC is resolving the Utilities’ supposed big issue by changing to separate depositions per each Utility (and its consumers).</w:t>
        </w:r>
        <w:r>
          <w:rPr>
            <w:noProof/>
            <w:webHidden/>
          </w:rPr>
          <w:tab/>
        </w:r>
        <w:r>
          <w:rPr>
            <w:noProof/>
            <w:webHidden/>
          </w:rPr>
          <w:fldChar w:fldCharType="begin"/>
        </w:r>
        <w:r>
          <w:rPr>
            <w:noProof/>
            <w:webHidden/>
          </w:rPr>
          <w:instrText xml:space="preserve"> PAGEREF _Toc90562581 \h </w:instrText>
        </w:r>
        <w:r>
          <w:rPr>
            <w:noProof/>
            <w:webHidden/>
          </w:rPr>
          <w:fldChar w:fldCharType="separate"/>
        </w:r>
        <w:r>
          <w:rPr>
            <w:noProof/>
            <w:webHidden/>
          </w:rPr>
          <w:t>6</w:t>
        </w:r>
        <w:r>
          <w:rPr>
            <w:noProof/>
            <w:webHidden/>
          </w:rPr>
          <w:fldChar w:fldCharType="end"/>
        </w:r>
      </w:hyperlink>
    </w:p>
    <w:p w:rsidR="005D0333" w14:paraId="7F1FF502" w14:textId="17CDF216">
      <w:pPr>
        <w:pStyle w:val="TOC2"/>
        <w:tabs>
          <w:tab w:val="left" w:pos="1440"/>
        </w:tabs>
        <w:rPr>
          <w:rFonts w:asciiTheme="minorHAnsi" w:eastAsiaTheme="minorEastAsia" w:hAnsiTheme="minorHAnsi"/>
          <w:noProof/>
          <w:sz w:val="22"/>
        </w:rPr>
      </w:pPr>
      <w:hyperlink w:anchor="_Toc90562582" w:history="1">
        <w:r w:rsidRPr="009806E8">
          <w:rPr>
            <w:rStyle w:val="Hyperlink"/>
            <w:noProof/>
          </w:rPr>
          <w:t>D.</w:t>
        </w:r>
        <w:r>
          <w:rPr>
            <w:rFonts w:asciiTheme="minorHAnsi" w:eastAsiaTheme="minorEastAsia" w:hAnsiTheme="minorHAnsi"/>
            <w:noProof/>
            <w:sz w:val="22"/>
          </w:rPr>
          <w:tab/>
        </w:r>
        <w:r w:rsidRPr="009806E8">
          <w:rPr>
            <w:rStyle w:val="Hyperlink"/>
            <w:noProof/>
          </w:rPr>
          <w:t>The PUCO allows discovery of matters outside the audit period in appropriate cases.</w:t>
        </w:r>
        <w:r>
          <w:rPr>
            <w:noProof/>
            <w:webHidden/>
          </w:rPr>
          <w:tab/>
        </w:r>
        <w:r>
          <w:rPr>
            <w:noProof/>
            <w:webHidden/>
          </w:rPr>
          <w:fldChar w:fldCharType="begin"/>
        </w:r>
        <w:r>
          <w:rPr>
            <w:noProof/>
            <w:webHidden/>
          </w:rPr>
          <w:instrText xml:space="preserve"> PAGEREF _Toc90562582 \h </w:instrText>
        </w:r>
        <w:r>
          <w:rPr>
            <w:noProof/>
            <w:webHidden/>
          </w:rPr>
          <w:fldChar w:fldCharType="separate"/>
        </w:r>
        <w:r>
          <w:rPr>
            <w:noProof/>
            <w:webHidden/>
          </w:rPr>
          <w:t>7</w:t>
        </w:r>
        <w:r>
          <w:rPr>
            <w:noProof/>
            <w:webHidden/>
          </w:rPr>
          <w:fldChar w:fldCharType="end"/>
        </w:r>
      </w:hyperlink>
    </w:p>
    <w:p w:rsidR="005D0333" w14:paraId="08074145" w14:textId="20590988">
      <w:pPr>
        <w:pStyle w:val="TOC2"/>
        <w:tabs>
          <w:tab w:val="left" w:pos="1440"/>
        </w:tabs>
        <w:rPr>
          <w:rFonts w:asciiTheme="minorHAnsi" w:eastAsiaTheme="minorEastAsia" w:hAnsiTheme="minorHAnsi"/>
          <w:noProof/>
          <w:sz w:val="22"/>
        </w:rPr>
      </w:pPr>
      <w:hyperlink w:anchor="_Toc90562583" w:history="1">
        <w:r w:rsidRPr="009806E8">
          <w:rPr>
            <w:rStyle w:val="Hyperlink"/>
            <w:noProof/>
          </w:rPr>
          <w:t>E.</w:t>
        </w:r>
        <w:r>
          <w:rPr>
            <w:rFonts w:asciiTheme="minorHAnsi" w:eastAsiaTheme="minorEastAsia" w:hAnsiTheme="minorHAnsi"/>
            <w:noProof/>
            <w:sz w:val="22"/>
          </w:rPr>
          <w:tab/>
        </w:r>
        <w:r w:rsidRPr="009806E8">
          <w:rPr>
            <w:rStyle w:val="Hyperlink"/>
            <w:noProof/>
          </w:rPr>
          <w:t>A party may depose a witness on matters “relevant to the subject matter of the proceeding” or “reasonably calculated to lead to the discovery of admissible evidence.”</w:t>
        </w:r>
        <w:r>
          <w:rPr>
            <w:noProof/>
            <w:webHidden/>
          </w:rPr>
          <w:tab/>
        </w:r>
        <w:r>
          <w:rPr>
            <w:noProof/>
            <w:webHidden/>
          </w:rPr>
          <w:fldChar w:fldCharType="begin"/>
        </w:r>
        <w:r>
          <w:rPr>
            <w:noProof/>
            <w:webHidden/>
          </w:rPr>
          <w:instrText xml:space="preserve"> PAGEREF _Toc90562583 \h </w:instrText>
        </w:r>
        <w:r>
          <w:rPr>
            <w:noProof/>
            <w:webHidden/>
          </w:rPr>
          <w:fldChar w:fldCharType="separate"/>
        </w:r>
        <w:r>
          <w:rPr>
            <w:noProof/>
            <w:webHidden/>
          </w:rPr>
          <w:t>10</w:t>
        </w:r>
        <w:r>
          <w:rPr>
            <w:noProof/>
            <w:webHidden/>
          </w:rPr>
          <w:fldChar w:fldCharType="end"/>
        </w:r>
      </w:hyperlink>
    </w:p>
    <w:p w:rsidR="005D0333" w14:paraId="195FAB24" w14:textId="6AFE04A5">
      <w:pPr>
        <w:pStyle w:val="TOC1"/>
        <w:rPr>
          <w:rFonts w:asciiTheme="minorHAnsi" w:eastAsiaTheme="minorEastAsia" w:hAnsiTheme="minorHAnsi"/>
          <w:caps w:val="0"/>
          <w:noProof/>
          <w:sz w:val="22"/>
        </w:rPr>
      </w:pPr>
      <w:hyperlink w:anchor="_Toc90562584" w:history="1">
        <w:r w:rsidRPr="009806E8">
          <w:rPr>
            <w:rStyle w:val="Hyperlink"/>
            <w:noProof/>
          </w:rPr>
          <w:t>III.</w:t>
        </w:r>
        <w:r>
          <w:rPr>
            <w:rFonts w:asciiTheme="minorHAnsi" w:eastAsiaTheme="minorEastAsia" w:hAnsiTheme="minorHAnsi"/>
            <w:caps w:val="0"/>
            <w:noProof/>
            <w:sz w:val="22"/>
          </w:rPr>
          <w:tab/>
        </w:r>
        <w:r w:rsidRPr="009806E8">
          <w:rPr>
            <w:rStyle w:val="Hyperlink"/>
            <w:noProof/>
          </w:rPr>
          <w:t>CONCLUSION</w:t>
        </w:r>
        <w:r>
          <w:rPr>
            <w:noProof/>
            <w:webHidden/>
          </w:rPr>
          <w:tab/>
        </w:r>
        <w:r>
          <w:rPr>
            <w:noProof/>
            <w:webHidden/>
          </w:rPr>
          <w:fldChar w:fldCharType="begin"/>
        </w:r>
        <w:r>
          <w:rPr>
            <w:noProof/>
            <w:webHidden/>
          </w:rPr>
          <w:instrText xml:space="preserve"> PAGEREF _Toc90562584 \h </w:instrText>
        </w:r>
        <w:r>
          <w:rPr>
            <w:noProof/>
            <w:webHidden/>
          </w:rPr>
          <w:fldChar w:fldCharType="separate"/>
        </w:r>
        <w:r>
          <w:rPr>
            <w:noProof/>
            <w:webHidden/>
          </w:rPr>
          <w:t>11</w:t>
        </w:r>
        <w:r>
          <w:rPr>
            <w:noProof/>
            <w:webHidden/>
          </w:rPr>
          <w:fldChar w:fldCharType="end"/>
        </w:r>
      </w:hyperlink>
    </w:p>
    <w:p w:rsidR="00B556E8" w:rsidRPr="00B556E8" w:rsidP="00B556E8" w14:paraId="4B5D8DFC" w14:textId="06354A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Pr>
          <w:rFonts w:ascii="Times New Roman" w:hAnsi="Times New Roman" w:cs="Times New Roman"/>
          <w:b/>
          <w:bCs/>
          <w:sz w:val="24"/>
          <w:szCs w:val="24"/>
        </w:rPr>
        <w:fldChar w:fldCharType="end"/>
      </w:r>
    </w:p>
    <w:p w:rsidR="00B556E8" w:rsidP="00B556E8" w14:paraId="6B9D2D9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rsidR="00B556E8" w:rsidP="00B556E8" w14:paraId="18A7DBAD" w14:textId="2E2564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sectPr w:rsidSect="000509C1">
          <w:headerReference w:type="default" r:id="rId13"/>
          <w:footerReference w:type="default" r:id="rId14"/>
          <w:pgSz w:w="12240" w:h="15840"/>
          <w:pgMar w:top="1440" w:right="1440" w:bottom="1440" w:left="1440" w:header="1547" w:footer="432" w:gutter="0"/>
          <w:pgNumType w:fmt="lowerRoman" w:start="1"/>
          <w:cols w:space="720"/>
          <w:docGrid w:linePitch="299"/>
        </w:sectPr>
      </w:pPr>
    </w:p>
    <w:p w:rsidR="004065F9" w:rsidRPr="00B556E8" w:rsidP="00E34345" w14:paraId="01F6B7BD" w14:textId="1D5673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B556E8">
        <w:rPr>
          <w:rFonts w:ascii="Times New Roman" w:hAnsi="Times New Roman" w:cs="Times New Roman"/>
          <w:b/>
          <w:bCs/>
          <w:sz w:val="24"/>
          <w:szCs w:val="24"/>
        </w:rPr>
        <w:t>BEFORE</w:t>
      </w:r>
    </w:p>
    <w:p w:rsidR="00B93912" w:rsidRPr="00B556E8" w:rsidP="004065F9" w14:paraId="13269CB9" w14:textId="2CE70B80">
      <w:pPr>
        <w:pStyle w:val="HTMLPreformatted"/>
        <w:jc w:val="center"/>
        <w:rPr>
          <w:rFonts w:ascii="Times New Roman" w:hAnsi="Times New Roman" w:cs="Times New Roman"/>
          <w:b/>
          <w:bCs/>
          <w:sz w:val="24"/>
          <w:szCs w:val="24"/>
        </w:rPr>
      </w:pPr>
      <w:r w:rsidRPr="00B556E8">
        <w:rPr>
          <w:rFonts w:ascii="Times New Roman" w:hAnsi="Times New Roman" w:cs="Times New Roman"/>
          <w:b/>
          <w:bCs/>
          <w:sz w:val="24"/>
          <w:szCs w:val="24"/>
        </w:rPr>
        <w:t>THE PUBLIC UTILITIES COMMISSION OF OHIO</w:t>
      </w:r>
    </w:p>
    <w:p w:rsidR="00631B87" w:rsidRPr="00B556E8" w:rsidP="004065F9" w14:paraId="36B0EB8B" w14:textId="3C48F642">
      <w:pPr>
        <w:pStyle w:val="HTMLPreformatted"/>
        <w:jc w:val="center"/>
        <w:rPr>
          <w:rFonts w:ascii="Times New Roman" w:hAnsi="Times New Roman" w:cs="Times New Roman"/>
          <w:b/>
          <w:bCs/>
          <w:sz w:val="24"/>
          <w:szCs w:val="24"/>
        </w:rPr>
      </w:pPr>
    </w:p>
    <w:tbl>
      <w:tblPr>
        <w:tblW w:w="9090" w:type="dxa"/>
        <w:tblLook w:val="01E0"/>
      </w:tblPr>
      <w:tblGrid>
        <w:gridCol w:w="4590"/>
        <w:gridCol w:w="360"/>
        <w:gridCol w:w="4140"/>
      </w:tblGrid>
      <w:tr w14:paraId="65211CF7" w14:textId="77777777" w:rsidTr="000509C1">
        <w:tblPrEx>
          <w:tblW w:w="9090" w:type="dxa"/>
          <w:tblLook w:val="01E0"/>
        </w:tblPrEx>
        <w:trPr>
          <w:trHeight w:val="807"/>
        </w:trPr>
        <w:tc>
          <w:tcPr>
            <w:tcW w:w="4590" w:type="dxa"/>
            <w:shd w:val="clear" w:color="auto" w:fill="auto"/>
          </w:tcPr>
          <w:p w:rsidR="00631B87" w:rsidRPr="00B556E8" w:rsidP="00335C21" w14:paraId="0E7B1D14"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In the Matter of the Review of the Power Purchase Agreement Rider of Ohio Power Company for 2018.</w:t>
            </w:r>
          </w:p>
          <w:p w:rsidR="00631B87" w:rsidRPr="00B556E8" w:rsidP="00335C21" w14:paraId="24172FD4" w14:textId="77777777">
            <w:pPr>
              <w:pStyle w:val="HTMLPreformatted"/>
              <w:rPr>
                <w:rFonts w:ascii="Times New Roman" w:hAnsi="Times New Roman" w:cs="Times New Roman"/>
                <w:sz w:val="24"/>
                <w:szCs w:val="24"/>
              </w:rPr>
            </w:pPr>
          </w:p>
          <w:p w:rsidR="00631B87" w:rsidRPr="00B556E8" w:rsidP="00335C21" w14:paraId="2892AE43"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In the Matter of the Review of the Power Purchase Agreement Rider of Ohio Power Company for 2019.</w:t>
            </w:r>
          </w:p>
        </w:tc>
        <w:tc>
          <w:tcPr>
            <w:tcW w:w="360" w:type="dxa"/>
            <w:shd w:val="clear" w:color="auto" w:fill="auto"/>
          </w:tcPr>
          <w:p w:rsidR="00631B87" w:rsidRPr="00B556E8" w:rsidP="00335C21" w14:paraId="1E33F671"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335C21" w14:paraId="4A820612"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335C21" w14:paraId="792FC324"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335C21" w14:paraId="385E3DC8" w14:textId="77777777">
            <w:pPr>
              <w:pStyle w:val="HTMLPreformatted"/>
              <w:rPr>
                <w:rFonts w:ascii="Times New Roman" w:hAnsi="Times New Roman" w:cs="Times New Roman"/>
                <w:sz w:val="24"/>
                <w:szCs w:val="24"/>
              </w:rPr>
            </w:pPr>
          </w:p>
          <w:p w:rsidR="00631B87" w:rsidRPr="00B556E8" w:rsidP="00335C21" w14:paraId="1274E552"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335C21" w14:paraId="298E2F17"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335C21" w14:paraId="4EB156F4"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tc>
        <w:tc>
          <w:tcPr>
            <w:tcW w:w="4140" w:type="dxa"/>
            <w:shd w:val="clear" w:color="auto" w:fill="auto"/>
          </w:tcPr>
          <w:p w:rsidR="00631B87" w:rsidRPr="00B556E8" w:rsidP="00335C21" w14:paraId="0461A111" w14:textId="77777777">
            <w:pPr>
              <w:pStyle w:val="HTMLPreformatted"/>
              <w:rPr>
                <w:rFonts w:ascii="Times New Roman" w:hAnsi="Times New Roman" w:cs="Times New Roman"/>
                <w:sz w:val="24"/>
                <w:szCs w:val="24"/>
              </w:rPr>
            </w:pPr>
          </w:p>
          <w:p w:rsidR="00631B87" w:rsidRPr="00B556E8" w:rsidP="00335C21" w14:paraId="306CB529"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Case No. 18-1004-EL-RDR</w:t>
            </w:r>
          </w:p>
          <w:p w:rsidR="00631B87" w:rsidRPr="00B556E8" w:rsidP="00335C21" w14:paraId="556EB145" w14:textId="77777777">
            <w:pPr>
              <w:pStyle w:val="HTMLPreformatted"/>
              <w:rPr>
                <w:rFonts w:ascii="Times New Roman" w:hAnsi="Times New Roman" w:cs="Times New Roman"/>
                <w:sz w:val="24"/>
                <w:szCs w:val="24"/>
              </w:rPr>
            </w:pPr>
          </w:p>
          <w:p w:rsidR="00631B87" w:rsidRPr="00B556E8" w:rsidP="00335C21" w14:paraId="129399EF" w14:textId="77777777">
            <w:pPr>
              <w:pStyle w:val="HTMLPreformatted"/>
              <w:rPr>
                <w:rFonts w:ascii="Times New Roman" w:hAnsi="Times New Roman" w:cs="Times New Roman"/>
                <w:sz w:val="24"/>
                <w:szCs w:val="24"/>
              </w:rPr>
            </w:pPr>
          </w:p>
          <w:p w:rsidR="00631B87" w:rsidRPr="00B556E8" w:rsidP="00335C21" w14:paraId="43850E96" w14:textId="77777777">
            <w:pPr>
              <w:pStyle w:val="HTMLPreformatted"/>
              <w:rPr>
                <w:rFonts w:ascii="Times New Roman" w:hAnsi="Times New Roman" w:cs="Times New Roman"/>
                <w:sz w:val="24"/>
                <w:szCs w:val="24"/>
              </w:rPr>
            </w:pPr>
          </w:p>
          <w:p w:rsidR="00631B87" w:rsidRPr="00B556E8" w:rsidP="00335C21" w14:paraId="628D6323"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Case No. 18-1759-EL-RDR</w:t>
            </w:r>
          </w:p>
        </w:tc>
      </w:tr>
    </w:tbl>
    <w:p w:rsidR="00631B87" w:rsidRPr="00B556E8" w:rsidP="00631B87" w14:paraId="4261151C" w14:textId="77777777">
      <w:pPr>
        <w:pStyle w:val="HTMLPreformatted"/>
        <w:rPr>
          <w:rFonts w:ascii="Times New Roman" w:hAnsi="Times New Roman" w:cs="Times New Roman"/>
          <w:sz w:val="24"/>
          <w:szCs w:val="24"/>
        </w:rPr>
      </w:pPr>
    </w:p>
    <w:tbl>
      <w:tblPr>
        <w:tblW w:w="9092" w:type="dxa"/>
        <w:tblLook w:val="01E0"/>
      </w:tblPr>
      <w:tblGrid>
        <w:gridCol w:w="4500"/>
        <w:gridCol w:w="61"/>
        <w:gridCol w:w="299"/>
        <w:gridCol w:w="4232"/>
      </w:tblGrid>
      <w:tr w14:paraId="70FA37FD" w14:textId="77777777" w:rsidTr="000509C1">
        <w:tblPrEx>
          <w:tblW w:w="9092" w:type="dxa"/>
          <w:tblLook w:val="01E0"/>
        </w:tblPrEx>
        <w:trPr>
          <w:trHeight w:val="807"/>
        </w:trPr>
        <w:tc>
          <w:tcPr>
            <w:tcW w:w="4500" w:type="dxa"/>
            <w:shd w:val="clear" w:color="auto" w:fill="auto"/>
          </w:tcPr>
          <w:p w:rsidR="00631B87" w:rsidRPr="00B556E8" w:rsidP="00335C21" w14:paraId="2173A3CC"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In the Matter of the Review of the Reconciliation Rider of The Dayton Power and Light Company.</w:t>
            </w:r>
          </w:p>
        </w:tc>
        <w:tc>
          <w:tcPr>
            <w:tcW w:w="360" w:type="dxa"/>
            <w:gridSpan w:val="2"/>
            <w:shd w:val="clear" w:color="auto" w:fill="auto"/>
          </w:tcPr>
          <w:p w:rsidR="00631B87" w:rsidRPr="00B556E8" w:rsidP="00335C21" w14:paraId="6C5F8DAB"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 xml:space="preserve"> )</w:t>
            </w:r>
          </w:p>
          <w:p w:rsidR="00631B87" w:rsidRPr="00B556E8" w:rsidP="00335C21" w14:paraId="28CABAAE"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 xml:space="preserve"> )</w:t>
            </w:r>
          </w:p>
          <w:p w:rsidR="00631B87" w:rsidRPr="00B556E8" w:rsidP="00335C21" w14:paraId="04686BDF"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 xml:space="preserve"> )</w:t>
            </w:r>
          </w:p>
          <w:p w:rsidR="00631B87" w:rsidRPr="00B556E8" w:rsidP="00335C21" w14:paraId="34FF0881" w14:textId="77777777">
            <w:pPr>
              <w:pStyle w:val="HTMLPreformatted"/>
              <w:rPr>
                <w:rFonts w:ascii="Times New Roman" w:hAnsi="Times New Roman" w:cs="Times New Roman"/>
                <w:sz w:val="24"/>
                <w:szCs w:val="24"/>
              </w:rPr>
            </w:pPr>
          </w:p>
        </w:tc>
        <w:tc>
          <w:tcPr>
            <w:tcW w:w="4232" w:type="dxa"/>
            <w:shd w:val="clear" w:color="auto" w:fill="auto"/>
          </w:tcPr>
          <w:p w:rsidR="00631B87" w:rsidRPr="00B556E8" w:rsidP="00335C21" w14:paraId="36F60312" w14:textId="77777777">
            <w:pPr>
              <w:pStyle w:val="HTMLPreformatted"/>
              <w:rPr>
                <w:rFonts w:ascii="Times New Roman" w:hAnsi="Times New Roman" w:cs="Times New Roman"/>
                <w:sz w:val="24"/>
                <w:szCs w:val="24"/>
              </w:rPr>
            </w:pPr>
          </w:p>
          <w:p w:rsidR="00631B87" w:rsidRPr="00B556E8" w:rsidP="00335C21" w14:paraId="16E0AAF3"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 xml:space="preserve"> Case No. 20-165-EL-RDR</w:t>
            </w:r>
          </w:p>
          <w:p w:rsidR="00631B87" w:rsidRPr="00B556E8" w:rsidP="00335C21" w14:paraId="440AE4D9" w14:textId="77777777">
            <w:pPr>
              <w:pStyle w:val="HTMLPreformatted"/>
              <w:rPr>
                <w:rFonts w:ascii="Times New Roman" w:hAnsi="Times New Roman" w:cs="Times New Roman"/>
                <w:sz w:val="24"/>
                <w:szCs w:val="24"/>
              </w:rPr>
            </w:pPr>
          </w:p>
        </w:tc>
      </w:tr>
      <w:tr w14:paraId="1D6E6B37" w14:textId="77777777" w:rsidTr="000509C1">
        <w:tblPrEx>
          <w:tblW w:w="9092" w:type="dxa"/>
          <w:tblLook w:val="01E0"/>
        </w:tblPrEx>
        <w:trPr>
          <w:trHeight w:val="807"/>
        </w:trPr>
        <w:tc>
          <w:tcPr>
            <w:tcW w:w="4561" w:type="dxa"/>
            <w:gridSpan w:val="2"/>
            <w:shd w:val="clear" w:color="auto" w:fill="auto"/>
          </w:tcPr>
          <w:p w:rsidR="00631B87" w:rsidRPr="00B556E8" w:rsidP="00335C21" w14:paraId="4A42D8F9" w14:textId="4C96A922">
            <w:pPr>
              <w:autoSpaceDE w:val="0"/>
              <w:autoSpaceDN w:val="0"/>
              <w:adjustRightInd w:val="0"/>
              <w:rPr>
                <w:rFonts w:ascii="Times New Roman" w:hAnsi="Times New Roman" w:cs="Times New Roman"/>
                <w:sz w:val="24"/>
                <w:szCs w:val="24"/>
              </w:rPr>
            </w:pPr>
            <w:r w:rsidRPr="00B556E8">
              <w:rPr>
                <w:rFonts w:ascii="Times New Roman" w:hAnsi="Times New Roman" w:cs="Times New Roman"/>
                <w:sz w:val="24"/>
                <w:szCs w:val="24"/>
              </w:rPr>
              <w:t xml:space="preserve">In the Matter of the Review of </w:t>
            </w:r>
            <w:r w:rsidRPr="00B556E8" w:rsidR="000509C1">
              <w:rPr>
                <w:rFonts w:ascii="Times New Roman" w:hAnsi="Times New Roman" w:cs="Times New Roman"/>
                <w:sz w:val="24"/>
                <w:szCs w:val="24"/>
              </w:rPr>
              <w:t>the</w:t>
            </w:r>
            <w:r w:rsidR="000509C1">
              <w:rPr>
                <w:rFonts w:ascii="Times New Roman" w:hAnsi="Times New Roman" w:cs="Times New Roman"/>
                <w:sz w:val="24"/>
                <w:szCs w:val="24"/>
              </w:rPr>
              <w:t xml:space="preserve"> </w:t>
            </w:r>
            <w:r w:rsidRPr="00B556E8" w:rsidR="000509C1">
              <w:rPr>
                <w:rFonts w:ascii="Times New Roman" w:hAnsi="Times New Roman" w:cs="Times New Roman"/>
                <w:sz w:val="24"/>
                <w:szCs w:val="24"/>
              </w:rPr>
              <w:t>Reconciliation</w:t>
            </w:r>
            <w:r w:rsidRPr="00B556E8">
              <w:rPr>
                <w:rFonts w:ascii="Times New Roman" w:hAnsi="Times New Roman" w:cs="Times New Roman"/>
                <w:sz w:val="24"/>
                <w:szCs w:val="24"/>
              </w:rPr>
              <w:t xml:space="preserve"> Rider of Duke Energy Ohio, Inc.</w:t>
            </w:r>
          </w:p>
          <w:p w:rsidR="00631B87" w:rsidRPr="00B556E8" w:rsidP="00335C21" w14:paraId="018AB03D" w14:textId="77777777">
            <w:pPr>
              <w:autoSpaceDE w:val="0"/>
              <w:autoSpaceDN w:val="0"/>
              <w:adjustRightInd w:val="0"/>
              <w:rPr>
                <w:rFonts w:ascii="Times New Roman" w:hAnsi="Times New Roman" w:cs="Times New Roman"/>
                <w:sz w:val="24"/>
                <w:szCs w:val="24"/>
              </w:rPr>
            </w:pPr>
          </w:p>
          <w:p w:rsidR="00631B87" w:rsidRPr="00B556E8" w:rsidP="00335C21" w14:paraId="4097B73A" w14:textId="77777777">
            <w:pPr>
              <w:autoSpaceDE w:val="0"/>
              <w:autoSpaceDN w:val="0"/>
              <w:adjustRightInd w:val="0"/>
              <w:rPr>
                <w:rFonts w:ascii="Times New Roman" w:hAnsi="Times New Roman" w:cs="Times New Roman"/>
                <w:sz w:val="24"/>
                <w:szCs w:val="24"/>
              </w:rPr>
            </w:pPr>
            <w:r w:rsidRPr="00B556E8">
              <w:rPr>
                <w:rFonts w:ascii="Times New Roman" w:hAnsi="Times New Roman" w:cs="Times New Roman"/>
                <w:sz w:val="24"/>
                <w:szCs w:val="24"/>
              </w:rPr>
              <w:t>In the Matter of the OVEC Generation Purchase Rider Audits Required by R.C. 4928.148 for Duke Energy Ohio, Inc. the Dayton Power and Light Company, and AEP Ohio.</w:t>
            </w:r>
          </w:p>
        </w:tc>
        <w:tc>
          <w:tcPr>
            <w:tcW w:w="299" w:type="dxa"/>
            <w:shd w:val="clear" w:color="auto" w:fill="auto"/>
          </w:tcPr>
          <w:p w:rsidR="00631B87" w:rsidRPr="00B556E8" w:rsidP="00335C21" w14:paraId="175D0637"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335C21" w14:paraId="66C41843"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335C21" w14:paraId="0BE3A998"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335C21" w14:paraId="37EDEB3C" w14:textId="77777777">
            <w:pPr>
              <w:pStyle w:val="HTMLPreformatted"/>
              <w:rPr>
                <w:rFonts w:ascii="Times New Roman" w:hAnsi="Times New Roman" w:cs="Times New Roman"/>
                <w:sz w:val="24"/>
                <w:szCs w:val="24"/>
              </w:rPr>
            </w:pPr>
          </w:p>
          <w:p w:rsidR="00631B87" w:rsidRPr="00B556E8" w:rsidP="00335C21" w14:paraId="3D662D6C"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335C21" w14:paraId="13E94CCC"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RPr="00B556E8" w:rsidP="00335C21" w14:paraId="7833E94D"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631B87" w:rsidP="00335C21" w14:paraId="3A5CDD97"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w:t>
            </w:r>
          </w:p>
          <w:p w:rsidR="005D0333" w:rsidRPr="00B556E8" w:rsidP="00335C21" w14:paraId="7A8A1BD7" w14:textId="1F295DAD">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232" w:type="dxa"/>
            <w:shd w:val="clear" w:color="auto" w:fill="auto"/>
          </w:tcPr>
          <w:p w:rsidR="00631B87" w:rsidRPr="00B556E8" w:rsidP="00335C21" w14:paraId="1F5B0476" w14:textId="77777777">
            <w:pPr>
              <w:pStyle w:val="HTMLPreformatted"/>
              <w:rPr>
                <w:rFonts w:ascii="Times New Roman" w:hAnsi="Times New Roman" w:cs="Times New Roman"/>
                <w:sz w:val="24"/>
                <w:szCs w:val="24"/>
              </w:rPr>
            </w:pPr>
          </w:p>
          <w:p w:rsidR="00631B87" w:rsidRPr="00B556E8" w:rsidP="00335C21" w14:paraId="01C6F85D"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Case No. 20-167-EL-RDR</w:t>
            </w:r>
          </w:p>
          <w:p w:rsidR="00631B87" w:rsidRPr="00B556E8" w:rsidP="00335C21" w14:paraId="4932C4ED" w14:textId="77777777">
            <w:pPr>
              <w:pStyle w:val="HTMLPreformatted"/>
              <w:rPr>
                <w:rFonts w:ascii="Times New Roman" w:hAnsi="Times New Roman" w:cs="Times New Roman"/>
                <w:sz w:val="24"/>
                <w:szCs w:val="24"/>
              </w:rPr>
            </w:pPr>
          </w:p>
          <w:p w:rsidR="00631B87" w:rsidRPr="00B556E8" w:rsidP="00335C21" w14:paraId="3BB99A55" w14:textId="77777777">
            <w:pPr>
              <w:pStyle w:val="HTMLPreformatted"/>
              <w:rPr>
                <w:rFonts w:ascii="Times New Roman" w:hAnsi="Times New Roman" w:cs="Times New Roman"/>
                <w:sz w:val="24"/>
                <w:szCs w:val="24"/>
              </w:rPr>
            </w:pPr>
          </w:p>
          <w:p w:rsidR="00631B87" w:rsidRPr="00B556E8" w:rsidP="00335C21" w14:paraId="5A627E60" w14:textId="77777777">
            <w:pPr>
              <w:pStyle w:val="HTMLPreformatted"/>
              <w:rPr>
                <w:rFonts w:ascii="Times New Roman" w:hAnsi="Times New Roman" w:cs="Times New Roman"/>
                <w:sz w:val="24"/>
                <w:szCs w:val="24"/>
              </w:rPr>
            </w:pPr>
          </w:p>
          <w:p w:rsidR="00631B87" w:rsidRPr="00B556E8" w:rsidP="00335C21" w14:paraId="0F971E5E" w14:textId="77777777">
            <w:pPr>
              <w:pStyle w:val="HTMLPreformatted"/>
              <w:rPr>
                <w:rFonts w:ascii="Times New Roman" w:hAnsi="Times New Roman" w:cs="Times New Roman"/>
                <w:sz w:val="24"/>
                <w:szCs w:val="24"/>
              </w:rPr>
            </w:pPr>
            <w:r w:rsidRPr="00B556E8">
              <w:rPr>
                <w:rFonts w:ascii="Times New Roman" w:hAnsi="Times New Roman" w:cs="Times New Roman"/>
                <w:sz w:val="24"/>
                <w:szCs w:val="24"/>
              </w:rPr>
              <w:t>Case No. 21-477-EL-RDR</w:t>
            </w:r>
          </w:p>
          <w:p w:rsidR="00631B87" w:rsidRPr="00B556E8" w:rsidP="00335C21" w14:paraId="3374A86F" w14:textId="77777777">
            <w:pPr>
              <w:rPr>
                <w:rFonts w:ascii="Times New Roman" w:hAnsi="Times New Roman" w:cs="Times New Roman"/>
                <w:sz w:val="24"/>
                <w:szCs w:val="24"/>
              </w:rPr>
            </w:pPr>
          </w:p>
        </w:tc>
      </w:tr>
    </w:tbl>
    <w:p w:rsidR="00070ED5" w:rsidRPr="00B556E8" w:rsidP="004065F9" w14:paraId="71AA588B" w14:textId="77777777">
      <w:pPr>
        <w:pStyle w:val="HTMLPreformatted"/>
        <w:jc w:val="center"/>
        <w:rPr>
          <w:rFonts w:ascii="Times New Roman" w:hAnsi="Times New Roman" w:cs="Times New Roman"/>
          <w:b/>
          <w:bCs/>
          <w:sz w:val="24"/>
          <w:szCs w:val="24"/>
        </w:rPr>
      </w:pPr>
    </w:p>
    <w:p w:rsidR="00A0743B" w:rsidRPr="00B556E8" w:rsidP="004065F9" w14:paraId="263F00E9" w14:textId="77777777">
      <w:pPr>
        <w:pStyle w:val="HTMLPreformatted"/>
        <w:rPr>
          <w:rFonts w:ascii="Times New Roman" w:hAnsi="Times New Roman" w:cs="Times New Roman"/>
          <w:sz w:val="24"/>
          <w:szCs w:val="24"/>
        </w:rPr>
      </w:pPr>
    </w:p>
    <w:p w:rsidR="004065F9" w:rsidRPr="00B556E8" w:rsidP="004065F9" w14:paraId="18B6255E" w14:textId="77777777">
      <w:pPr>
        <w:pStyle w:val="HTMLPreformatted"/>
        <w:pBdr>
          <w:top w:val="single" w:sz="12" w:space="1" w:color="auto"/>
        </w:pBdr>
        <w:rPr>
          <w:rFonts w:ascii="Times New Roman" w:hAnsi="Times New Roman" w:cs="Times New Roman"/>
          <w:sz w:val="24"/>
          <w:szCs w:val="24"/>
        </w:rPr>
      </w:pPr>
    </w:p>
    <w:p w:rsidR="00B556E8" w:rsidRPr="00B556E8" w:rsidP="00B556E8" w14:paraId="2E853B97" w14:textId="5621E8F3">
      <w:pPr>
        <w:jc w:val="center"/>
        <w:rPr>
          <w:rFonts w:ascii="Times New Roman" w:hAnsi="Times New Roman" w:cs="Times New Roman"/>
          <w:b/>
          <w:bCs/>
          <w:sz w:val="24"/>
          <w:szCs w:val="24"/>
        </w:rPr>
      </w:pPr>
      <w:r w:rsidRPr="00B556E8">
        <w:rPr>
          <w:rFonts w:ascii="Times New Roman" w:hAnsi="Times New Roman" w:cs="Times New Roman"/>
          <w:b/>
          <w:sz w:val="24"/>
          <w:szCs w:val="24"/>
        </w:rPr>
        <w:t xml:space="preserve">MEMORANDUM CONTRA MOTION OF </w:t>
      </w:r>
      <w:r w:rsidR="006E6A6E">
        <w:rPr>
          <w:rFonts w:ascii="Times New Roman" w:hAnsi="Times New Roman" w:cs="Times New Roman"/>
          <w:b/>
          <w:sz w:val="24"/>
          <w:szCs w:val="24"/>
        </w:rPr>
        <w:t>AEP OHIO,</w:t>
      </w:r>
    </w:p>
    <w:p w:rsidR="00B556E8" w:rsidRPr="00B556E8" w:rsidP="00B556E8" w14:paraId="227C6CE8" w14:textId="0E9419F3">
      <w:pPr>
        <w:jc w:val="center"/>
        <w:rPr>
          <w:rFonts w:ascii="Times New Roman" w:hAnsi="Times New Roman" w:cs="Times New Roman"/>
          <w:b/>
          <w:bCs/>
          <w:sz w:val="24"/>
          <w:szCs w:val="24"/>
        </w:rPr>
      </w:pPr>
      <w:r w:rsidRPr="00B556E8">
        <w:rPr>
          <w:rFonts w:ascii="Times New Roman" w:hAnsi="Times New Roman" w:cs="Times New Roman"/>
          <w:b/>
          <w:sz w:val="24"/>
          <w:szCs w:val="24"/>
        </w:rPr>
        <w:t xml:space="preserve">DUKE ENERGY OHIO AND THE DAYTON POWER AND LIGHT COMPANY </w:t>
      </w:r>
    </w:p>
    <w:p w:rsidR="00B556E8" w:rsidRPr="00B556E8" w:rsidP="00B556E8" w14:paraId="1A6AD7BA" w14:textId="77777777">
      <w:pPr>
        <w:jc w:val="center"/>
        <w:rPr>
          <w:rFonts w:ascii="Times New Roman" w:hAnsi="Times New Roman" w:cs="Times New Roman"/>
          <w:b/>
          <w:bCs/>
          <w:sz w:val="24"/>
          <w:szCs w:val="24"/>
        </w:rPr>
      </w:pPr>
      <w:r w:rsidRPr="00B556E8">
        <w:rPr>
          <w:rFonts w:ascii="Times New Roman" w:hAnsi="Times New Roman" w:cs="Times New Roman"/>
          <w:b/>
          <w:sz w:val="24"/>
          <w:szCs w:val="24"/>
        </w:rPr>
        <w:t xml:space="preserve">TO QUASH OCC’S SUBPOENA TO OVEC </w:t>
      </w:r>
    </w:p>
    <w:p w:rsidR="00B556E8" w:rsidRPr="00B556E8" w:rsidP="00B556E8" w14:paraId="0FE2AD13" w14:textId="77777777">
      <w:pPr>
        <w:jc w:val="center"/>
        <w:rPr>
          <w:rFonts w:ascii="Times New Roman" w:hAnsi="Times New Roman" w:cs="Times New Roman"/>
          <w:b/>
          <w:bCs/>
          <w:sz w:val="24"/>
          <w:szCs w:val="24"/>
        </w:rPr>
      </w:pPr>
      <w:r w:rsidRPr="00B556E8">
        <w:rPr>
          <w:rFonts w:ascii="Times New Roman" w:hAnsi="Times New Roman" w:cs="Times New Roman"/>
          <w:b/>
          <w:sz w:val="24"/>
          <w:szCs w:val="24"/>
        </w:rPr>
        <w:t>BY</w:t>
      </w:r>
    </w:p>
    <w:p w:rsidR="00B556E8" w:rsidRPr="00B556E8" w:rsidP="00B556E8" w14:paraId="061675B7" w14:textId="77777777">
      <w:pPr>
        <w:jc w:val="center"/>
        <w:rPr>
          <w:rFonts w:ascii="Times New Roman" w:hAnsi="Times New Roman" w:cs="Times New Roman"/>
          <w:b/>
          <w:bCs/>
          <w:sz w:val="24"/>
          <w:szCs w:val="24"/>
        </w:rPr>
      </w:pPr>
      <w:r w:rsidRPr="00B556E8">
        <w:rPr>
          <w:rFonts w:ascii="Times New Roman" w:hAnsi="Times New Roman" w:cs="Times New Roman"/>
          <w:b/>
          <w:sz w:val="24"/>
          <w:szCs w:val="24"/>
        </w:rPr>
        <w:t xml:space="preserve">OFFICE OF THE OHIO CONSUMERS’ COUNSEL </w:t>
      </w:r>
    </w:p>
    <w:p w:rsidR="004065F9" w:rsidRPr="00B556E8" w:rsidP="004065F9" w14:paraId="71D55662" w14:textId="77777777">
      <w:pPr>
        <w:pBdr>
          <w:bottom w:val="single" w:sz="12" w:space="1" w:color="auto"/>
        </w:pBdr>
        <w:tabs>
          <w:tab w:val="left" w:pos="4320"/>
        </w:tabs>
        <w:rPr>
          <w:rFonts w:ascii="Times New Roman" w:hAnsi="Times New Roman" w:cs="Times New Roman"/>
          <w:sz w:val="24"/>
          <w:szCs w:val="24"/>
        </w:rPr>
      </w:pPr>
    </w:p>
    <w:p w:rsidR="004065F9" w:rsidRPr="00B556E8" w:rsidP="004065F9" w14:paraId="205FEE68" w14:textId="77777777">
      <w:pPr>
        <w:tabs>
          <w:tab w:val="left" w:pos="4320"/>
        </w:tabs>
        <w:rPr>
          <w:rFonts w:ascii="Times New Roman" w:hAnsi="Times New Roman" w:cs="Times New Roman"/>
          <w:sz w:val="24"/>
          <w:szCs w:val="24"/>
        </w:rPr>
      </w:pPr>
    </w:p>
    <w:p w:rsidR="00B556E8" w:rsidRPr="00B556E8" w:rsidP="00B556E8" w14:paraId="3E4FDBDD" w14:textId="77777777">
      <w:pPr>
        <w:pStyle w:val="Heading1"/>
      </w:pPr>
      <w:bookmarkStart w:id="0" w:name="_Toc89259207"/>
      <w:bookmarkStart w:id="1" w:name="_Toc90562577"/>
      <w:r w:rsidRPr="00B556E8">
        <w:t>INTRODUCTION</w:t>
      </w:r>
      <w:bookmarkEnd w:id="0"/>
      <w:bookmarkEnd w:id="1"/>
    </w:p>
    <w:p w:rsidR="00B556E8" w:rsidRPr="00B556E8" w:rsidP="00B556E8" w14:paraId="18B28EFF" w14:textId="27F14345">
      <w:pPr>
        <w:spacing w:line="480" w:lineRule="auto"/>
        <w:ind w:firstLine="720"/>
        <w:rPr>
          <w:rFonts w:ascii="Times New Roman" w:hAnsi="Times New Roman" w:cs="Times New Roman"/>
          <w:bCs/>
          <w:sz w:val="24"/>
          <w:szCs w:val="24"/>
        </w:rPr>
      </w:pPr>
      <w:r w:rsidRPr="00B556E8">
        <w:rPr>
          <w:rFonts w:ascii="Times New Roman" w:hAnsi="Times New Roman" w:cs="Times New Roman"/>
          <w:sz w:val="24"/>
          <w:szCs w:val="24"/>
        </w:rPr>
        <w:t>On November 9, 2021, the Office of the Ohio Consumers’ Counsel (“OCC”) filed a motion to subpoena the Ohio Valley Electric Corporation (“OVEC”) to appear at a discovery deposition.</w:t>
      </w:r>
      <w:r>
        <w:rPr>
          <w:rStyle w:val="FootnoteReference"/>
          <w:rFonts w:ascii="Times New Roman" w:hAnsi="Times New Roman" w:cs="Times New Roman"/>
          <w:sz w:val="24"/>
          <w:szCs w:val="24"/>
        </w:rPr>
        <w:footnoteReference w:id="2"/>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 xml:space="preserve">AEP, Duke and DP&amp;L –recipients of corporate welfare that </w:t>
      </w:r>
      <w:r w:rsidR="006F6020">
        <w:rPr>
          <w:rFonts w:ascii="Times New Roman" w:hAnsi="Times New Roman" w:cs="Times New Roman"/>
          <w:sz w:val="24"/>
          <w:szCs w:val="24"/>
        </w:rPr>
        <w:t xml:space="preserve">supports the </w:t>
      </w:r>
      <w:r w:rsidRPr="00B556E8">
        <w:rPr>
          <w:rFonts w:ascii="Times New Roman" w:hAnsi="Times New Roman" w:cs="Times New Roman"/>
          <w:sz w:val="24"/>
          <w:szCs w:val="24"/>
        </w:rPr>
        <w:t>outmoded and polluting OVEC coal plants – want the PUCO to prevent Ohio’s consumer advocate from inquiring into those subsidies. On November 19, 2021, DP&amp;L filed in Case No. 20-165-EL-UNC to quash OCC’s subpoena to depose OVEC.</w:t>
      </w:r>
      <w:r>
        <w:rPr>
          <w:rStyle w:val="FootnoteReference"/>
          <w:rFonts w:ascii="Times New Roman" w:hAnsi="Times New Roman" w:cs="Times New Roman"/>
          <w:sz w:val="24"/>
          <w:szCs w:val="24"/>
        </w:rPr>
        <w:footnoteReference w:id="3"/>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On December 1, 2021, AEP, Duke and DP&amp;L (collectively “the Utilities”) filed to quash the subpoena.</w:t>
      </w:r>
      <w:r>
        <w:rPr>
          <w:rStyle w:val="FootnoteReference"/>
          <w:rFonts w:ascii="Times New Roman" w:hAnsi="Times New Roman" w:cs="Times New Roman"/>
          <w:sz w:val="24"/>
          <w:szCs w:val="24"/>
        </w:rPr>
        <w:footnoteReference w:id="4"/>
      </w:r>
    </w:p>
    <w:p w:rsidR="00B556E8" w:rsidRPr="00B556E8" w:rsidP="00B556E8" w14:paraId="15247AB8" w14:textId="795216E6">
      <w:pPr>
        <w:spacing w:line="480" w:lineRule="auto"/>
        <w:ind w:firstLine="720"/>
        <w:rPr>
          <w:rFonts w:ascii="Times New Roman" w:hAnsi="Times New Roman" w:cs="Times New Roman"/>
          <w:bCs/>
          <w:sz w:val="24"/>
          <w:szCs w:val="24"/>
        </w:rPr>
      </w:pPr>
      <w:r w:rsidRPr="00B556E8">
        <w:rPr>
          <w:rFonts w:ascii="Times New Roman" w:hAnsi="Times New Roman" w:cs="Times New Roman"/>
          <w:sz w:val="24"/>
          <w:szCs w:val="24"/>
        </w:rPr>
        <w:t>But the Utilities’ bargain for their privilege of serving consumers as electric monopolies is the state’s regulation of their charges. And former Chair Haque wrote that “[t]his should not be perceived as a blank check, and consumers should not be treated like a trust account</w:t>
      </w:r>
      <w:r w:rsidR="009B2102">
        <w:rPr>
          <w:rFonts w:ascii="Times New Roman" w:hAnsi="Times New Roman" w:cs="Times New Roman"/>
          <w:sz w:val="24"/>
          <w:szCs w:val="24"/>
        </w:rPr>
        <w:t>.</w:t>
      </w:r>
      <w:r w:rsidRPr="00B556E8">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B556E8">
        <w:rPr>
          <w:rFonts w:ascii="Times New Roman" w:hAnsi="Times New Roman" w:cs="Times New Roman"/>
          <w:sz w:val="24"/>
          <w:szCs w:val="24"/>
        </w:rPr>
        <w:t xml:space="preserve"> OCC is exercising its </w:t>
      </w:r>
      <w:r w:rsidR="00CE0B55">
        <w:rPr>
          <w:rFonts w:ascii="Times New Roman" w:hAnsi="Times New Roman" w:cs="Times New Roman"/>
          <w:sz w:val="24"/>
          <w:szCs w:val="24"/>
        </w:rPr>
        <w:t xml:space="preserve">lawful </w:t>
      </w:r>
      <w:r w:rsidRPr="00B556E8">
        <w:rPr>
          <w:rFonts w:ascii="Times New Roman" w:hAnsi="Times New Roman" w:cs="Times New Roman"/>
          <w:sz w:val="24"/>
          <w:szCs w:val="24"/>
        </w:rPr>
        <w:t>right under R.C. 4903.082 to conduct discovery</w:t>
      </w:r>
      <w:r w:rsidR="00CD1656">
        <w:rPr>
          <w:rFonts w:ascii="Times New Roman" w:hAnsi="Times New Roman" w:cs="Times New Roman"/>
          <w:sz w:val="24"/>
          <w:szCs w:val="24"/>
        </w:rPr>
        <w:t>.</w:t>
      </w:r>
      <w:r w:rsidRPr="00B556E8">
        <w:rPr>
          <w:rFonts w:ascii="Times New Roman" w:hAnsi="Times New Roman" w:cs="Times New Roman"/>
          <w:sz w:val="24"/>
          <w:szCs w:val="24"/>
        </w:rPr>
        <w:t xml:space="preserve"> The </w:t>
      </w:r>
      <w:r w:rsidR="00CE0B55">
        <w:rPr>
          <w:rFonts w:ascii="Times New Roman" w:hAnsi="Times New Roman" w:cs="Times New Roman"/>
          <w:sz w:val="24"/>
          <w:szCs w:val="24"/>
        </w:rPr>
        <w:t xml:space="preserve">Ohio </w:t>
      </w:r>
      <w:r w:rsidRPr="00B556E8">
        <w:rPr>
          <w:rFonts w:ascii="Times New Roman" w:hAnsi="Times New Roman" w:cs="Times New Roman"/>
          <w:sz w:val="24"/>
          <w:szCs w:val="24"/>
        </w:rPr>
        <w:t>Supreme Court recently upheld OCC’s discovery rights in reversing the PUCO’s violation of that right in the FirstEnergy Advisors case.</w:t>
      </w:r>
      <w:r>
        <w:rPr>
          <w:rStyle w:val="FootnoteReference"/>
          <w:rFonts w:ascii="Times New Roman" w:hAnsi="Times New Roman" w:cs="Times New Roman"/>
          <w:sz w:val="24"/>
          <w:szCs w:val="24"/>
        </w:rPr>
        <w:footnoteReference w:id="6"/>
      </w:r>
      <w:r w:rsidR="000509C1">
        <w:rPr>
          <w:rFonts w:ascii="Times New Roman" w:hAnsi="Times New Roman" w:cs="Times New Roman"/>
          <w:sz w:val="24"/>
          <w:szCs w:val="24"/>
        </w:rPr>
        <w:t xml:space="preserve"> </w:t>
      </w:r>
    </w:p>
    <w:p w:rsidR="00B556E8" w:rsidRPr="00B556E8" w:rsidP="00B556E8" w14:paraId="3384B385" w14:textId="5AF55D72">
      <w:pPr>
        <w:spacing w:line="480" w:lineRule="auto"/>
        <w:ind w:firstLine="720"/>
        <w:rPr>
          <w:rFonts w:ascii="Times New Roman" w:hAnsi="Times New Roman" w:cs="Times New Roman"/>
          <w:sz w:val="24"/>
          <w:szCs w:val="24"/>
        </w:rPr>
      </w:pPr>
      <w:r w:rsidRPr="00B556E8">
        <w:rPr>
          <w:rFonts w:ascii="Times New Roman" w:hAnsi="Times New Roman" w:cs="Times New Roman"/>
          <w:sz w:val="24"/>
          <w:szCs w:val="24"/>
        </w:rPr>
        <w:t>As background, the PUCO required the Utilities’ customers (at the Utilities’ request) to subsidize electricity from two outdated, uneconomic coal power plants that are polluting the planet, as operated by OVEC</w:t>
      </w:r>
      <w:r w:rsidR="006D7D77">
        <w:rPr>
          <w:rFonts w:ascii="Times New Roman" w:hAnsi="Times New Roman" w:cs="Times New Roman"/>
          <w:sz w:val="24"/>
          <w:szCs w:val="24"/>
        </w:rPr>
        <w:t xml:space="preserve"> during the audit period</w:t>
      </w:r>
      <w:r w:rsidRPr="00B556E8">
        <w:rPr>
          <w:rFonts w:ascii="Times New Roman" w:hAnsi="Times New Roman" w:cs="Times New Roman"/>
          <w:sz w:val="24"/>
          <w:szCs w:val="24"/>
        </w:rPr>
        <w:t>. The Utilities then apparently used their influence to convince the legislature to codify the subsidy in scandal-ridden H.B. 6.</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PUCO audits of the OVEC charges (that are paid by the Utilities’ consumers) confirmed that “the OVEC plants cost more than they earn.”</w:t>
      </w:r>
      <w:r>
        <w:rPr>
          <w:rStyle w:val="FootnoteReference"/>
          <w:rFonts w:ascii="Times New Roman" w:hAnsi="Times New Roman" w:cs="Times New Roman"/>
          <w:sz w:val="24"/>
          <w:szCs w:val="24"/>
        </w:rPr>
        <w:footnoteReference w:id="7"/>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It’s a bad deal for consumers paying the subsidies.</w:t>
      </w:r>
    </w:p>
    <w:p w:rsidR="00B556E8" w14:paraId="11C5F41B" w14:textId="77777777">
      <w:pPr>
        <w:rPr>
          <w:rFonts w:ascii="Times New Roman" w:hAnsi="Times New Roman" w:cs="Times New Roman"/>
          <w:sz w:val="24"/>
          <w:szCs w:val="24"/>
        </w:rPr>
      </w:pPr>
      <w:r>
        <w:rPr>
          <w:rFonts w:ascii="Times New Roman" w:hAnsi="Times New Roman" w:cs="Times New Roman"/>
          <w:sz w:val="24"/>
          <w:szCs w:val="24"/>
        </w:rPr>
        <w:br w:type="page"/>
      </w:r>
    </w:p>
    <w:p w:rsidR="00B556E8" w:rsidRPr="00B556E8" w:rsidP="00B556E8" w14:paraId="04E7C485" w14:textId="0A377D36">
      <w:pPr>
        <w:pStyle w:val="ListParagraph"/>
        <w:spacing w:line="480" w:lineRule="auto"/>
        <w:ind w:firstLine="720"/>
        <w:rPr>
          <w:rFonts w:ascii="Times New Roman" w:hAnsi="Times New Roman" w:cs="Times New Roman"/>
          <w:sz w:val="24"/>
          <w:szCs w:val="24"/>
        </w:rPr>
      </w:pPr>
      <w:r w:rsidRPr="00B556E8">
        <w:rPr>
          <w:rFonts w:ascii="Times New Roman" w:hAnsi="Times New Roman" w:cs="Times New Roman"/>
          <w:sz w:val="24"/>
          <w:szCs w:val="24"/>
        </w:rPr>
        <w:t xml:space="preserve">As we have found through the years, Utilities can display a sense of entitlement to their corporate welfare. Instead of an open-book approach to its utility costs and charges, the Utilities seek to quash OCC’s subpoena and avoid </w:t>
      </w:r>
      <w:r w:rsidR="00CD1656">
        <w:rPr>
          <w:rFonts w:ascii="Times New Roman" w:hAnsi="Times New Roman" w:cs="Times New Roman"/>
          <w:sz w:val="24"/>
          <w:szCs w:val="24"/>
        </w:rPr>
        <w:t xml:space="preserve">public </w:t>
      </w:r>
      <w:r w:rsidRPr="00B556E8">
        <w:rPr>
          <w:rFonts w:ascii="Times New Roman" w:hAnsi="Times New Roman" w:cs="Times New Roman"/>
          <w:sz w:val="24"/>
          <w:szCs w:val="24"/>
        </w:rPr>
        <w:t>scrutiny. That is the Utilities’ approach despite their status as regulated monopoly utilities th</w:t>
      </w:r>
      <w:r w:rsidR="009B2102">
        <w:rPr>
          <w:rFonts w:ascii="Times New Roman" w:hAnsi="Times New Roman" w:cs="Times New Roman"/>
          <w:sz w:val="24"/>
          <w:szCs w:val="24"/>
        </w:rPr>
        <w:t>at</w:t>
      </w:r>
      <w:r w:rsidRPr="00B556E8">
        <w:rPr>
          <w:rFonts w:ascii="Times New Roman" w:hAnsi="Times New Roman" w:cs="Times New Roman"/>
          <w:sz w:val="24"/>
          <w:szCs w:val="24"/>
        </w:rPr>
        <w:t xml:space="preserve"> charge for millions of dollars in corporate welfare, and </w:t>
      </w:r>
      <w:r w:rsidR="009A00C9">
        <w:rPr>
          <w:rFonts w:ascii="Times New Roman" w:hAnsi="Times New Roman" w:cs="Times New Roman"/>
          <w:sz w:val="24"/>
          <w:szCs w:val="24"/>
        </w:rPr>
        <w:t xml:space="preserve">despite </w:t>
      </w:r>
      <w:r w:rsidRPr="00B556E8">
        <w:rPr>
          <w:rFonts w:ascii="Times New Roman" w:hAnsi="Times New Roman" w:cs="Times New Roman"/>
          <w:sz w:val="24"/>
          <w:szCs w:val="24"/>
        </w:rPr>
        <w:t>the ample discovery rights guaranteed under Ohio law, PUCO rules and PUCO precedent.</w:t>
      </w:r>
      <w:r>
        <w:rPr>
          <w:rStyle w:val="FootnoteReference"/>
          <w:rFonts w:ascii="Times New Roman" w:hAnsi="Times New Roman" w:cs="Times New Roman"/>
          <w:sz w:val="24"/>
          <w:szCs w:val="24"/>
        </w:rPr>
        <w:footnoteReference w:id="8"/>
      </w:r>
      <w:r w:rsidRPr="00B556E8">
        <w:rPr>
          <w:rFonts w:ascii="Times New Roman" w:hAnsi="Times New Roman" w:cs="Times New Roman"/>
          <w:sz w:val="24"/>
          <w:szCs w:val="24"/>
        </w:rPr>
        <w:t xml:space="preserve"> </w:t>
      </w:r>
    </w:p>
    <w:p w:rsidR="00B556E8" w:rsidP="00204ED4" w14:paraId="0A09C087" w14:textId="33F49164">
      <w:pPr>
        <w:spacing w:line="480" w:lineRule="auto"/>
        <w:ind w:firstLine="720"/>
        <w:rPr>
          <w:rFonts w:ascii="Times New Roman" w:hAnsi="Times New Roman" w:cs="Times New Roman"/>
          <w:sz w:val="24"/>
          <w:szCs w:val="24"/>
        </w:rPr>
      </w:pPr>
      <w:r w:rsidRPr="00B556E8">
        <w:rPr>
          <w:rFonts w:ascii="Times New Roman" w:hAnsi="Times New Roman" w:cs="Times New Roman"/>
          <w:sz w:val="24"/>
          <w:szCs w:val="24"/>
        </w:rPr>
        <w:t>The use of discovery especially is important in this case. That’s because the PUCO issued a request for proposal seeking an auditor to perform an “independent audit” to determine whether “the Company’s actions were in the best interest of retail ratepayers.”</w:t>
      </w:r>
      <w:r>
        <w:rPr>
          <w:rStyle w:val="FootnoteReference"/>
          <w:rFonts w:ascii="Times New Roman" w:hAnsi="Times New Roman" w:cs="Times New Roman"/>
          <w:sz w:val="24"/>
          <w:szCs w:val="24"/>
        </w:rPr>
        <w:footnoteReference w:id="9"/>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 xml:space="preserve">Incredibly, the PUCO </w:t>
      </w:r>
    </w:p>
    <w:p w:rsidR="00091A85" w:rsidP="00204ED4" w14:paraId="0E3D4B05" w14:textId="487A753B">
      <w:pPr>
        <w:spacing w:line="480" w:lineRule="auto"/>
        <w:ind w:right="1440"/>
        <w:rPr>
          <w:rFonts w:ascii="Times New Roman" w:hAnsi="Times New Roman" w:cs="Times New Roman"/>
          <w:sz w:val="24"/>
          <w:szCs w:val="24"/>
        </w:rPr>
      </w:pPr>
      <w:r w:rsidRPr="00B556E8">
        <w:rPr>
          <w:rFonts w:ascii="Times New Roman" w:hAnsi="Times New Roman" w:cs="Times New Roman"/>
          <w:sz w:val="24"/>
          <w:szCs w:val="24"/>
        </w:rPr>
        <w:t>Staff asked the auditor to delete from her draft audit report two sentences stating that the OVEC plants “were not in the best interest of retail ratepayers.”</w:t>
      </w:r>
      <w:r>
        <w:rPr>
          <w:rStyle w:val="FootnoteReference"/>
          <w:rFonts w:ascii="Times New Roman" w:hAnsi="Times New Roman" w:cs="Times New Roman"/>
          <w:sz w:val="24"/>
          <w:szCs w:val="24"/>
        </w:rPr>
        <w:footnoteReference w:id="10"/>
      </w:r>
    </w:p>
    <w:p w:rsidR="00091A85" w:rsidRPr="00B556E8" w:rsidP="0018527A" w14:paraId="51B9B6D9" w14:textId="37F2FC1F">
      <w:pPr>
        <w:pStyle w:val="Default"/>
        <w:spacing w:line="480" w:lineRule="auto"/>
        <w:ind w:firstLine="720"/>
      </w:pPr>
      <w:r w:rsidRPr="00204ED4">
        <w:rPr>
          <w:i/>
          <w:iCs/>
        </w:rPr>
        <w:t xml:space="preserve">Further, it could be expected that </w:t>
      </w:r>
      <w:r w:rsidR="00125CAF">
        <w:rPr>
          <w:i/>
          <w:iCs/>
        </w:rPr>
        <w:t>AEP</w:t>
      </w:r>
      <w:r w:rsidR="001D5301">
        <w:rPr>
          <w:i/>
          <w:iCs/>
        </w:rPr>
        <w:t>,</w:t>
      </w:r>
      <w:r w:rsidR="00125CAF">
        <w:rPr>
          <w:i/>
          <w:iCs/>
        </w:rPr>
        <w:t xml:space="preserve"> Duke and AES</w:t>
      </w:r>
      <w:r w:rsidRPr="00204ED4">
        <w:rPr>
          <w:i/>
          <w:iCs/>
        </w:rPr>
        <w:t xml:space="preserve"> would have complained about duplication of effort had OCC </w:t>
      </w:r>
      <w:r w:rsidRPr="00156197">
        <w:rPr>
          <w:i/>
          <w:iCs/>
        </w:rPr>
        <w:t>not</w:t>
      </w:r>
      <w:r w:rsidRPr="00204ED4">
        <w:rPr>
          <w:i/>
          <w:iCs/>
        </w:rPr>
        <w:t xml:space="preserve"> sought a consolidated deposition.</w:t>
      </w:r>
      <w:r w:rsidRPr="00204ED4" w:rsidR="00790543">
        <w:rPr>
          <w:i/>
          <w:iCs/>
        </w:rPr>
        <w:t xml:space="preserve"> OCC’s approach would save resources for OVEC, the PUCO Staff</w:t>
      </w:r>
      <w:r w:rsidR="00496639">
        <w:rPr>
          <w:i/>
          <w:iCs/>
        </w:rPr>
        <w:t>, OCC</w:t>
      </w:r>
      <w:r w:rsidRPr="00204ED4" w:rsidR="00790543">
        <w:rPr>
          <w:i/>
          <w:iCs/>
        </w:rPr>
        <w:t xml:space="preserve"> and others. </w:t>
      </w:r>
      <w:r w:rsidR="00156197">
        <w:rPr>
          <w:i/>
          <w:iCs/>
        </w:rPr>
        <w:t>However, t</w:t>
      </w:r>
      <w:r w:rsidRPr="00204ED4" w:rsidR="00790543">
        <w:rPr>
          <w:i/>
          <w:iCs/>
        </w:rPr>
        <w:t xml:space="preserve">he utilities can be tough to satisfy. </w:t>
      </w:r>
      <w:r w:rsidRPr="00204ED4" w:rsidR="00ED4668">
        <w:rPr>
          <w:i/>
          <w:iCs/>
        </w:rPr>
        <w:t xml:space="preserve"> </w:t>
      </w:r>
      <w:r w:rsidR="00156197">
        <w:rPr>
          <w:i/>
          <w:iCs/>
        </w:rPr>
        <w:t>So</w:t>
      </w:r>
      <w:r w:rsidRPr="00204ED4" w:rsidR="00ED4668">
        <w:rPr>
          <w:i/>
          <w:iCs/>
        </w:rPr>
        <w:t>,</w:t>
      </w:r>
      <w:r w:rsidRPr="00204ED4" w:rsidR="00C6548B">
        <w:rPr>
          <w:i/>
          <w:iCs/>
        </w:rPr>
        <w:t xml:space="preserve"> </w:t>
      </w:r>
      <w:r w:rsidRPr="00204ED4" w:rsidR="00790543">
        <w:rPr>
          <w:i/>
          <w:iCs/>
        </w:rPr>
        <w:t>in the spirit of cooperation</w:t>
      </w:r>
      <w:r w:rsidR="00156197">
        <w:rPr>
          <w:i/>
          <w:iCs/>
        </w:rPr>
        <w:t xml:space="preserve"> </w:t>
      </w:r>
      <w:r w:rsidR="00125CAF">
        <w:rPr>
          <w:i/>
          <w:iCs/>
        </w:rPr>
        <w:t xml:space="preserve">and to solve the Utilities’ big issue, </w:t>
      </w:r>
      <w:r w:rsidRPr="00204ED4" w:rsidR="00790543">
        <w:rPr>
          <w:b/>
          <w:bCs w:val="0"/>
          <w:i/>
          <w:iCs/>
        </w:rPr>
        <w:t xml:space="preserve">OCC will take separate depositions in each utility’s case </w:t>
      </w:r>
      <w:r w:rsidRPr="00204ED4" w:rsidR="002741D2">
        <w:rPr>
          <w:b/>
          <w:bCs w:val="0"/>
          <w:i/>
          <w:iCs/>
        </w:rPr>
        <w:t>if th</w:t>
      </w:r>
      <w:r w:rsidRPr="00204ED4" w:rsidR="00156197">
        <w:rPr>
          <w:b/>
          <w:bCs w:val="0"/>
          <w:i/>
          <w:iCs/>
        </w:rPr>
        <w:t>at is the</w:t>
      </w:r>
      <w:r w:rsidRPr="00204ED4" w:rsidR="002741D2">
        <w:rPr>
          <w:b/>
          <w:bCs w:val="0"/>
          <w:i/>
          <w:iCs/>
        </w:rPr>
        <w:t xml:space="preserve"> PUCO</w:t>
      </w:r>
      <w:r w:rsidRPr="00204ED4" w:rsidR="00156197">
        <w:rPr>
          <w:b/>
          <w:bCs w:val="0"/>
          <w:i/>
          <w:iCs/>
        </w:rPr>
        <w:t xml:space="preserve">’s preference. </w:t>
      </w:r>
      <w:r w:rsidRPr="00204ED4" w:rsidR="002741D2">
        <w:rPr>
          <w:b/>
          <w:bCs w:val="0"/>
          <w:i/>
          <w:iCs/>
        </w:rPr>
        <w:t xml:space="preserve"> </w:t>
      </w:r>
      <w:r w:rsidR="00125CAF">
        <w:t xml:space="preserve">Unless the PUCO rules otherwise, </w:t>
      </w:r>
      <w:r w:rsidRPr="00496639" w:rsidR="00ED4668">
        <w:t>OCC will</w:t>
      </w:r>
      <w:r w:rsidR="00496639">
        <w:t xml:space="preserve"> file separate </w:t>
      </w:r>
      <w:r w:rsidRPr="00204ED4" w:rsidR="00292CA0">
        <w:t>notice</w:t>
      </w:r>
      <w:r w:rsidR="00496639">
        <w:t>s</w:t>
      </w:r>
      <w:r w:rsidRPr="00204ED4" w:rsidR="00292CA0">
        <w:t xml:space="preserve"> of deposition in</w:t>
      </w:r>
      <w:r w:rsidR="001A6B2F">
        <w:t xml:space="preserve"> the cases, beginning first with the AEP/consumer cases</w:t>
      </w:r>
      <w:r w:rsidRPr="00204ED4" w:rsidR="00292CA0">
        <w:t xml:space="preserve"> </w:t>
      </w:r>
      <w:r w:rsidR="001A6B2F">
        <w:t>(</w:t>
      </w:r>
      <w:r w:rsidRPr="00204ED4" w:rsidR="00292CA0">
        <w:t>Case Nos. 18-1004-EL-RDR and 18-1759-EL-RDR</w:t>
      </w:r>
      <w:r w:rsidR="001A6B2F">
        <w:t>).</w:t>
      </w:r>
      <w:r w:rsidRPr="00204ED4" w:rsidR="00292CA0">
        <w:t xml:space="preserve"> </w:t>
      </w:r>
      <w:r w:rsidR="001A6B2F">
        <w:t xml:space="preserve">Only </w:t>
      </w:r>
      <w:r w:rsidRPr="00204ED4" w:rsidR="00292CA0">
        <w:t xml:space="preserve">the </w:t>
      </w:r>
      <w:r w:rsidR="001A6B2F">
        <w:t xml:space="preserve">AEP-related </w:t>
      </w:r>
      <w:r w:rsidRPr="00204ED4" w:rsidR="00292CA0">
        <w:t xml:space="preserve">deposition of OVEC </w:t>
      </w:r>
      <w:r w:rsidR="001A6B2F">
        <w:t xml:space="preserve">will be </w:t>
      </w:r>
      <w:r w:rsidRPr="00204ED4" w:rsidR="00292CA0">
        <w:t>scheduled for December 22, 2021</w:t>
      </w:r>
      <w:r w:rsidRPr="00496639" w:rsidR="00ED4668">
        <w:t>.</w:t>
      </w:r>
      <w:r w:rsidRPr="00496639">
        <w:t xml:space="preserve"> </w:t>
      </w:r>
      <w:r>
        <w:t>OCC will establish the deposition</w:t>
      </w:r>
      <w:r w:rsidR="00954E09">
        <w:t>s</w:t>
      </w:r>
      <w:r>
        <w:t xml:space="preserve"> sequence and timing</w:t>
      </w:r>
      <w:r w:rsidR="00C6548B">
        <w:t xml:space="preserve"> </w:t>
      </w:r>
      <w:r w:rsidR="00910841">
        <w:t xml:space="preserve">for the </w:t>
      </w:r>
      <w:r w:rsidR="00292CA0">
        <w:t>OVEC deposition</w:t>
      </w:r>
      <w:r w:rsidR="00691F63">
        <w:t>s</w:t>
      </w:r>
      <w:r w:rsidR="00292CA0">
        <w:t xml:space="preserve"> in the </w:t>
      </w:r>
      <w:r w:rsidR="00910841">
        <w:t>other cases</w:t>
      </w:r>
      <w:r w:rsidR="002741D2">
        <w:t xml:space="preserve"> (20-165-EL-RDR and 20-167-EL-RDR)</w:t>
      </w:r>
      <w:r w:rsidR="00910841">
        <w:t xml:space="preserve"> </w:t>
      </w:r>
      <w:r w:rsidR="00691F63">
        <w:t>with updated subpoenas and</w:t>
      </w:r>
      <w:r w:rsidR="00C6548B">
        <w:t xml:space="preserve"> </w:t>
      </w:r>
      <w:r w:rsidR="00AD5BD9">
        <w:t>deposition notices</w:t>
      </w:r>
      <w:r w:rsidR="00910841">
        <w:t xml:space="preserve"> at a later date</w:t>
      </w:r>
      <w:r>
        <w:t>.</w:t>
      </w:r>
      <w:r w:rsidR="00ED4668">
        <w:t xml:space="preserve"> </w:t>
      </w:r>
    </w:p>
    <w:p w:rsidR="00B556E8" w:rsidP="0018527A" w14:paraId="10DF581C" w14:textId="713F48B8">
      <w:pPr>
        <w:spacing w:line="480" w:lineRule="auto"/>
        <w:rPr>
          <w:rFonts w:ascii="Times New Roman" w:hAnsi="Times New Roman" w:cs="Times New Roman"/>
          <w:sz w:val="24"/>
          <w:szCs w:val="24"/>
        </w:rPr>
      </w:pPr>
      <w:r w:rsidRPr="00B556E8">
        <w:rPr>
          <w:rFonts w:ascii="Times New Roman" w:hAnsi="Times New Roman" w:cs="Times New Roman"/>
          <w:sz w:val="24"/>
          <w:szCs w:val="24"/>
        </w:rPr>
        <w:tab/>
        <w:t>The Utilities’ motion to quash OCC’s subpoena and the consumer protection it represents should be denied.</w:t>
      </w:r>
      <w:r w:rsidR="00091A85">
        <w:rPr>
          <w:rFonts w:ascii="Times New Roman" w:hAnsi="Times New Roman" w:cs="Times New Roman"/>
          <w:sz w:val="24"/>
          <w:szCs w:val="24"/>
        </w:rPr>
        <w:t xml:space="preserve"> </w:t>
      </w:r>
    </w:p>
    <w:p w:rsidR="00B556E8" w:rsidRPr="00B556E8" w:rsidP="00B556E8" w14:paraId="1E376ED7" w14:textId="51538E3D">
      <w:pPr>
        <w:pStyle w:val="Heading1"/>
      </w:pPr>
      <w:bookmarkStart w:id="2" w:name="_Toc89259208"/>
      <w:bookmarkStart w:id="3" w:name="_Toc90562578"/>
      <w:r w:rsidRPr="00B556E8">
        <w:t>LAW AND ARGUMENT</w:t>
      </w:r>
      <w:bookmarkEnd w:id="2"/>
      <w:bookmarkEnd w:id="3"/>
    </w:p>
    <w:p w:rsidR="00B556E8" w:rsidRPr="00B556E8" w:rsidP="006A7E03" w14:paraId="4FA3FEBA" w14:textId="7E970000">
      <w:pPr>
        <w:pStyle w:val="Heading2"/>
      </w:pPr>
      <w:bookmarkStart w:id="4" w:name="_Toc89259209"/>
      <w:bookmarkStart w:id="5" w:name="_Toc90562579"/>
      <w:r w:rsidRPr="00B556E8">
        <w:rPr>
          <w:rStyle w:val="Heading2Char"/>
          <w:rFonts w:ascii="Times New Roman" w:hAnsi="Times New Roman" w:cs="Times New Roman"/>
          <w:b/>
          <w:bCs/>
        </w:rPr>
        <w:t>A.</w:t>
      </w:r>
      <w:r>
        <w:rPr>
          <w:rStyle w:val="Heading2Char"/>
          <w:rFonts w:ascii="Times New Roman" w:hAnsi="Times New Roman" w:cs="Times New Roman"/>
        </w:rPr>
        <w:tab/>
      </w:r>
      <w:r w:rsidRPr="00B556E8">
        <w:rPr>
          <w:rStyle w:val="Heading2Char"/>
          <w:rFonts w:ascii="Times New Roman" w:hAnsi="Times New Roman" w:cs="Times New Roman"/>
          <w:b/>
          <w:bCs/>
        </w:rPr>
        <w:t>T</w:t>
      </w:r>
      <w:r w:rsidR="002F2B9E">
        <w:rPr>
          <w:rStyle w:val="Heading2Char"/>
          <w:rFonts w:ascii="Times New Roman" w:hAnsi="Times New Roman" w:cs="Times New Roman"/>
          <w:b/>
          <w:bCs/>
        </w:rPr>
        <w:t>o protect consumers, t</w:t>
      </w:r>
      <w:r w:rsidRPr="00B556E8">
        <w:rPr>
          <w:rStyle w:val="Heading2Char"/>
          <w:rFonts w:ascii="Times New Roman" w:hAnsi="Times New Roman" w:cs="Times New Roman"/>
          <w:b/>
          <w:bCs/>
        </w:rPr>
        <w:t>he PUCO should deny the Utilities’ motion to quash because the Utilities failed to demonstrate that the subpoena is “unreasonable or oppressive.”</w:t>
      </w:r>
      <w:bookmarkEnd w:id="4"/>
      <w:bookmarkEnd w:id="5"/>
    </w:p>
    <w:p w:rsidR="00B556E8" w:rsidRPr="00B556E8" w:rsidP="00B556E8" w14:paraId="23359355" w14:textId="305540DE">
      <w:pPr>
        <w:pStyle w:val="Default"/>
        <w:spacing w:line="480" w:lineRule="auto"/>
        <w:ind w:firstLine="720"/>
      </w:pPr>
      <w:r w:rsidRPr="00B556E8">
        <w:t>A person who receives a subpoena may seek to quash it if the subpoena is “unreasonable or oppressive.”</w:t>
      </w:r>
      <w:r>
        <w:rPr>
          <w:rStyle w:val="FootnoteReference"/>
        </w:rPr>
        <w:footnoteReference w:id="11"/>
      </w:r>
      <w:r w:rsidRPr="00B556E8">
        <w:t xml:space="preserve"> The Utilities cannot demonstrate that the subpoena is unreasonable or oppressive because the deposition does not require the Utilities to do anything. OCC’s subpoena asks OVEC, not the Utilities, to appear at deposition and produce documents. OVEC did not file a motion to quash.</w:t>
      </w:r>
      <w:r w:rsidR="000509C1">
        <w:t xml:space="preserve"> </w:t>
      </w:r>
      <w:r w:rsidRPr="00B556E8">
        <w:t xml:space="preserve">The PUCO should dismiss the Utilities’ motion to quash because the Utilities cannot demonstrate that the subpoena is unreasonable or oppressive. </w:t>
      </w:r>
    </w:p>
    <w:p w:rsidR="00B556E8" w:rsidP="00B556E8" w14:paraId="5961EA63" w14:textId="594D4EEA">
      <w:pPr>
        <w:pStyle w:val="Default"/>
        <w:spacing w:line="480" w:lineRule="auto"/>
        <w:ind w:firstLine="720"/>
      </w:pPr>
      <w:r w:rsidRPr="00B556E8">
        <w:t>Further, the subpoena is an entirely reasonable and ordinary use of discovery. OCC has a clear right to conduct discovery “to facilitate thorough and adequate preparation in commission proceedings” and under R.C. 4903.082.</w:t>
      </w:r>
      <w:r>
        <w:rPr>
          <w:rStyle w:val="FootnoteReference"/>
        </w:rPr>
        <w:footnoteReference w:id="12"/>
      </w:r>
      <w:r w:rsidRPr="00B556E8">
        <w:t xml:space="preserve"> The Utilities want the PUCO to tilt the justice system toward it and away from consumers, where consumers are denied the opportunity to present relevant information to the PUCO. The PUCO should deny a motion to quash when, as in this case, the party seeking to “quash” a deposition has not provided any specific grounds to establish that the deposition would be unreasonable or oppressive. Those grounds are required to be shown, under O.A.C. 4901-1-25(C). </w:t>
      </w:r>
    </w:p>
    <w:p w:rsidR="00B556E8" w:rsidP="00B556E8" w14:paraId="1D66E28E" w14:textId="35D506A1">
      <w:pPr>
        <w:widowControl/>
        <w:spacing w:after="200" w:line="276" w:lineRule="auto"/>
        <w:ind w:left="1440" w:hanging="720"/>
        <w:contextualSpacing/>
        <w:rPr>
          <w:rStyle w:val="Heading2Char"/>
          <w:rFonts w:ascii="Times New Roman" w:hAnsi="Times New Roman" w:eastAsiaTheme="minorHAnsi" w:cs="Times New Roman"/>
          <w:b w:val="0"/>
          <w:bCs/>
        </w:rPr>
      </w:pPr>
      <w:bookmarkStart w:id="6" w:name="_Toc89259210"/>
      <w:bookmarkStart w:id="7" w:name="_Toc90562580"/>
      <w:r>
        <w:rPr>
          <w:rStyle w:val="Heading2Char"/>
          <w:rFonts w:eastAsiaTheme="minorHAnsi"/>
        </w:rPr>
        <w:t>B.</w:t>
      </w:r>
      <w:r>
        <w:rPr>
          <w:rStyle w:val="Heading2Char"/>
          <w:rFonts w:eastAsiaTheme="minorHAnsi"/>
        </w:rPr>
        <w:tab/>
      </w:r>
      <w:r w:rsidRPr="00B556E8">
        <w:rPr>
          <w:rStyle w:val="Heading2Char"/>
          <w:rFonts w:eastAsiaTheme="minorHAnsi"/>
        </w:rPr>
        <w:t>OCC has a right to take depositions for consumer protection under Ohio law and the Ohio Administrative Code</w:t>
      </w:r>
      <w:r w:rsidRPr="00B556E8">
        <w:rPr>
          <w:rStyle w:val="Heading2Char"/>
          <w:rFonts w:ascii="Times New Roman" w:hAnsi="Times New Roman" w:eastAsiaTheme="minorHAnsi" w:cs="Times New Roman"/>
          <w:b w:val="0"/>
          <w:bCs/>
        </w:rPr>
        <w:t>.</w:t>
      </w:r>
      <w:bookmarkEnd w:id="6"/>
      <w:bookmarkEnd w:id="7"/>
    </w:p>
    <w:p w:rsidR="00B556E8" w:rsidRPr="00B556E8" w:rsidP="00204ED4" w14:paraId="486C1F8F" w14:textId="77777777">
      <w:pPr>
        <w:widowControl/>
        <w:spacing w:after="200"/>
        <w:ind w:left="1440" w:hanging="720"/>
        <w:contextualSpacing/>
        <w:rPr>
          <w:rFonts w:ascii="Times New Roman" w:hAnsi="Times New Roman" w:cs="Times New Roman"/>
          <w:b/>
          <w:bCs/>
          <w:sz w:val="24"/>
          <w:szCs w:val="24"/>
        </w:rPr>
      </w:pPr>
    </w:p>
    <w:p w:rsidR="00B556E8" w:rsidRPr="00B556E8" w:rsidP="00B556E8" w14:paraId="0F0E1BE2" w14:textId="77777777">
      <w:pPr>
        <w:spacing w:line="480" w:lineRule="auto"/>
        <w:rPr>
          <w:rFonts w:ascii="Times New Roman" w:hAnsi="Times New Roman" w:cs="Times New Roman"/>
          <w:sz w:val="24"/>
          <w:szCs w:val="24"/>
        </w:rPr>
      </w:pPr>
      <w:r w:rsidRPr="00B556E8">
        <w:rPr>
          <w:rFonts w:ascii="Times New Roman" w:hAnsi="Times New Roman" w:cs="Times New Roman"/>
          <w:sz w:val="24"/>
          <w:szCs w:val="24"/>
        </w:rPr>
        <w:tab/>
        <w:t xml:space="preserve">OCC reasonably concluded that, for consumer protection, a deposition is an appropriate tool for investigating the reasonableness of OVEC costs collected by the Utilities. This is OCC’s choice to make. </w:t>
      </w:r>
    </w:p>
    <w:p w:rsidR="00B556E8" w:rsidP="00204ED4" w14:paraId="7D7666DD" w14:textId="47D85FC4">
      <w:pPr>
        <w:spacing w:line="480" w:lineRule="auto"/>
        <w:ind w:firstLine="720"/>
        <w:rPr>
          <w:rFonts w:ascii="Times New Roman" w:hAnsi="Times New Roman" w:cs="Times New Roman"/>
          <w:sz w:val="24"/>
          <w:szCs w:val="24"/>
        </w:rPr>
      </w:pPr>
      <w:r w:rsidRPr="00B556E8">
        <w:rPr>
          <w:rFonts w:ascii="Times New Roman" w:hAnsi="Times New Roman" w:cs="Times New Roman"/>
          <w:sz w:val="24"/>
          <w:szCs w:val="24"/>
        </w:rPr>
        <w:t>Consumers paid the costs for two coal plants owned and operated by OVEC. OVEC has relevant information on the reasonableness of such costs. This discovery goes to whether OVEC and the Ohio utilities acted prudently and in the best interests of its customers in its management of OVEC costs</w:t>
      </w:r>
      <w:r w:rsidRPr="00B556E8">
        <w:rPr>
          <w:rFonts w:ascii="Times New Roman" w:hAnsi="Times New Roman" w:cs="Times New Roman"/>
          <w:color w:val="666666"/>
          <w:sz w:val="24"/>
          <w:szCs w:val="24"/>
          <w:shd w:val="clear" w:color="auto" w:fill="FFFFFF"/>
        </w:rPr>
        <w:t xml:space="preserve"> </w:t>
      </w:r>
      <w:r w:rsidR="009B2102">
        <w:rPr>
          <w:rFonts w:ascii="Times New Roman" w:hAnsi="Times New Roman" w:cs="Times New Roman"/>
          <w:color w:val="666666"/>
          <w:sz w:val="24"/>
          <w:szCs w:val="24"/>
          <w:shd w:val="clear" w:color="auto" w:fill="FFFFFF"/>
        </w:rPr>
        <w:t>-</w:t>
      </w:r>
      <w:r w:rsidRPr="00B556E8">
        <w:rPr>
          <w:rFonts w:ascii="Times New Roman" w:hAnsi="Times New Roman" w:cs="Times New Roman"/>
          <w:sz w:val="24"/>
          <w:szCs w:val="24"/>
        </w:rPr>
        <w:t xml:space="preserve"> the stated purpose of this audit.</w:t>
      </w:r>
      <w:r>
        <w:rPr>
          <w:rStyle w:val="FootnoteReference"/>
          <w:rFonts w:ascii="Times New Roman" w:hAnsi="Times New Roman" w:cs="Times New Roman"/>
          <w:sz w:val="24"/>
          <w:szCs w:val="24"/>
        </w:rPr>
        <w:footnoteReference w:id="13"/>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 xml:space="preserve">This type of complex issue is appropriately explored in a deposition, where a witness can be asked to explain the details involved. </w:t>
      </w:r>
    </w:p>
    <w:p w:rsidR="00B556E8" w:rsidRPr="00B556E8" w:rsidP="00B556E8" w14:paraId="47678A7D" w14:textId="4833C8E6">
      <w:pPr>
        <w:spacing w:line="480" w:lineRule="auto"/>
        <w:ind w:firstLine="720"/>
        <w:rPr>
          <w:rFonts w:ascii="Times New Roman" w:hAnsi="Times New Roman" w:cs="Times New Roman"/>
          <w:sz w:val="24"/>
          <w:szCs w:val="24"/>
        </w:rPr>
      </w:pPr>
      <w:r w:rsidRPr="00B556E8">
        <w:rPr>
          <w:rFonts w:ascii="Times New Roman" w:hAnsi="Times New Roman" w:cs="Times New Roman"/>
          <w:sz w:val="24"/>
          <w:szCs w:val="24"/>
        </w:rPr>
        <w:t xml:space="preserve">Depositions are considered an important tool </w:t>
      </w:r>
      <w:r w:rsidR="002F2B9E">
        <w:rPr>
          <w:rFonts w:ascii="Times New Roman" w:hAnsi="Times New Roman" w:cs="Times New Roman"/>
          <w:sz w:val="24"/>
          <w:szCs w:val="24"/>
        </w:rPr>
        <w:t>for</w:t>
      </w:r>
      <w:r w:rsidRPr="00B556E8">
        <w:rPr>
          <w:rFonts w:ascii="Times New Roman" w:hAnsi="Times New Roman" w:cs="Times New Roman"/>
          <w:sz w:val="24"/>
          <w:szCs w:val="24"/>
        </w:rPr>
        <w:t xml:space="preserve"> an attorney’s case preparation. They can allow for much more information to be gleaned and sooner, as compared to written discovery. Depositions, most importantly, allow for instantaneous follow-up to questions</w:t>
      </w:r>
      <w:r w:rsidR="00D16D72">
        <w:rPr>
          <w:rFonts w:ascii="Times New Roman" w:hAnsi="Times New Roman" w:cs="Times New Roman"/>
          <w:sz w:val="24"/>
          <w:szCs w:val="24"/>
        </w:rPr>
        <w:t>.</w:t>
      </w:r>
      <w:r w:rsidRPr="00B556E8">
        <w:rPr>
          <w:rFonts w:ascii="Times New Roman" w:hAnsi="Times New Roman" w:cs="Times New Roman"/>
          <w:sz w:val="24"/>
          <w:szCs w:val="24"/>
        </w:rPr>
        <w:t xml:space="preserve">. Depositions allow attorneys to press for more information if answers are not detailed or forthcoming. </w:t>
      </w:r>
    </w:p>
    <w:p w:rsidR="00204ED4" w:rsidP="00B556E8" w14:paraId="6A38A75D" w14:textId="25E18AE8">
      <w:pPr>
        <w:spacing w:line="480" w:lineRule="auto"/>
        <w:ind w:firstLine="720"/>
        <w:rPr>
          <w:rFonts w:ascii="Times New Roman" w:hAnsi="Times New Roman" w:cs="Times New Roman"/>
          <w:sz w:val="24"/>
          <w:szCs w:val="24"/>
        </w:rPr>
      </w:pPr>
      <w:r w:rsidRPr="00B556E8">
        <w:rPr>
          <w:rFonts w:ascii="Times New Roman" w:hAnsi="Times New Roman" w:cs="Times New Roman"/>
          <w:sz w:val="24"/>
          <w:szCs w:val="24"/>
        </w:rPr>
        <w:t xml:space="preserve">In reality, these well-known fundamentals of the deposition explain why the Utilities want the PUCO to prevent OCC and other parties from taking depositions. But again, the conducting of discovery and the form of discovery is the intervenor’s choice to make, under Ohio law and rule. The Utilities’ motion to quash should therefore be denied. </w:t>
      </w:r>
    </w:p>
    <w:p w:rsidR="00204ED4" w14:paraId="589A9FAD" w14:textId="77777777">
      <w:pPr>
        <w:rPr>
          <w:rFonts w:ascii="Times New Roman" w:hAnsi="Times New Roman" w:cs="Times New Roman"/>
          <w:sz w:val="24"/>
          <w:szCs w:val="24"/>
        </w:rPr>
      </w:pPr>
      <w:r>
        <w:rPr>
          <w:rFonts w:ascii="Times New Roman" w:hAnsi="Times New Roman" w:cs="Times New Roman"/>
          <w:sz w:val="24"/>
          <w:szCs w:val="24"/>
        </w:rPr>
        <w:br w:type="page"/>
      </w:r>
    </w:p>
    <w:p w:rsidR="00B556E8" w:rsidRPr="00B556E8" w:rsidP="006A7E03" w14:paraId="6751CCC0" w14:textId="05AEEFE2">
      <w:pPr>
        <w:pStyle w:val="Heading2"/>
        <w:rPr>
          <w:bCs/>
        </w:rPr>
      </w:pPr>
      <w:bookmarkStart w:id="8" w:name="_Toc90562581"/>
      <w:r w:rsidRPr="00B556E8">
        <w:t>C.</w:t>
      </w:r>
      <w:r w:rsidRPr="00B556E8">
        <w:tab/>
        <w:t xml:space="preserve">A party may notice a </w:t>
      </w:r>
      <w:r w:rsidR="006359BF">
        <w:t xml:space="preserve">single </w:t>
      </w:r>
      <w:r w:rsidRPr="00B556E8">
        <w:t xml:space="preserve">deposition </w:t>
      </w:r>
      <w:r w:rsidR="006359BF">
        <w:t>to be held in</w:t>
      </w:r>
      <w:r w:rsidRPr="00B556E8">
        <w:t xml:space="preserve"> multiple proceedings if the discovery sought is relevant to each case.</w:t>
      </w:r>
      <w:r w:rsidR="006359BF">
        <w:t xml:space="preserve"> But OCC is resolving the Utilities’ supposed big issue by changing to separate depositions per each Utility (and its consumers).</w:t>
      </w:r>
      <w:bookmarkEnd w:id="8"/>
    </w:p>
    <w:p w:rsidR="00B556E8" w:rsidP="00B556E8" w14:paraId="5EA5B688" w14:textId="60523351">
      <w:pPr>
        <w:spacing w:line="480" w:lineRule="auto"/>
        <w:rPr>
          <w:rFonts w:ascii="Times New Roman" w:hAnsi="Times New Roman" w:cs="Times New Roman"/>
          <w:sz w:val="24"/>
          <w:szCs w:val="24"/>
        </w:rPr>
      </w:pPr>
      <w:r w:rsidRPr="00B556E8">
        <w:rPr>
          <w:rFonts w:ascii="Times New Roman" w:hAnsi="Times New Roman" w:cs="Times New Roman"/>
          <w:sz w:val="24"/>
          <w:szCs w:val="24"/>
        </w:rPr>
        <w:tab/>
        <w:t xml:space="preserve">The Utilities argue that OCC acted improperly by noticing the </w:t>
      </w:r>
      <w:r w:rsidR="009A45A0">
        <w:rPr>
          <w:rFonts w:ascii="Times New Roman" w:hAnsi="Times New Roman" w:cs="Times New Roman"/>
          <w:sz w:val="24"/>
          <w:szCs w:val="24"/>
        </w:rPr>
        <w:t xml:space="preserve">single </w:t>
      </w:r>
      <w:r w:rsidRPr="00B556E8">
        <w:rPr>
          <w:rFonts w:ascii="Times New Roman" w:hAnsi="Times New Roman" w:cs="Times New Roman"/>
          <w:sz w:val="24"/>
          <w:szCs w:val="24"/>
        </w:rPr>
        <w:t>OVEC deposition in multiple proceedings.</w:t>
      </w:r>
      <w:r>
        <w:rPr>
          <w:rStyle w:val="FootnoteReference"/>
          <w:rFonts w:ascii="Times New Roman" w:hAnsi="Times New Roman" w:cs="Times New Roman"/>
          <w:sz w:val="24"/>
          <w:szCs w:val="24"/>
        </w:rPr>
        <w:footnoteReference w:id="14"/>
      </w:r>
      <w:r w:rsidR="000509C1">
        <w:rPr>
          <w:rFonts w:ascii="Times New Roman" w:hAnsi="Times New Roman" w:cs="Times New Roman"/>
          <w:sz w:val="24"/>
          <w:szCs w:val="24"/>
        </w:rPr>
        <w:t xml:space="preserve"> </w:t>
      </w:r>
      <w:r w:rsidR="00A11CFD">
        <w:rPr>
          <w:rFonts w:ascii="Times New Roman" w:hAnsi="Times New Roman" w:cs="Times New Roman"/>
          <w:sz w:val="24"/>
          <w:szCs w:val="24"/>
        </w:rPr>
        <w:t>The Utilities claim that O</w:t>
      </w:r>
      <w:r w:rsidR="001D5301">
        <w:rPr>
          <w:rFonts w:ascii="Times New Roman" w:hAnsi="Times New Roman" w:cs="Times New Roman"/>
          <w:sz w:val="24"/>
          <w:szCs w:val="24"/>
        </w:rPr>
        <w:t>.</w:t>
      </w:r>
      <w:r w:rsidR="00A11CFD">
        <w:rPr>
          <w:rFonts w:ascii="Times New Roman" w:hAnsi="Times New Roman" w:cs="Times New Roman"/>
          <w:sz w:val="24"/>
          <w:szCs w:val="24"/>
        </w:rPr>
        <w:t>A</w:t>
      </w:r>
      <w:r w:rsidR="001D5301">
        <w:rPr>
          <w:rFonts w:ascii="Times New Roman" w:hAnsi="Times New Roman" w:cs="Times New Roman"/>
          <w:sz w:val="24"/>
          <w:szCs w:val="24"/>
        </w:rPr>
        <w:t>.</w:t>
      </w:r>
      <w:r w:rsidR="00A11CFD">
        <w:rPr>
          <w:rFonts w:ascii="Times New Roman" w:hAnsi="Times New Roman" w:cs="Times New Roman"/>
          <w:sz w:val="24"/>
          <w:szCs w:val="24"/>
        </w:rPr>
        <w:t>C</w:t>
      </w:r>
      <w:r w:rsidR="001D5301">
        <w:rPr>
          <w:rFonts w:ascii="Times New Roman" w:hAnsi="Times New Roman" w:cs="Times New Roman"/>
          <w:sz w:val="24"/>
          <w:szCs w:val="24"/>
        </w:rPr>
        <w:t>.</w:t>
      </w:r>
      <w:r w:rsidR="00A11CFD">
        <w:rPr>
          <w:rFonts w:ascii="Times New Roman" w:hAnsi="Times New Roman" w:cs="Times New Roman"/>
          <w:sz w:val="24"/>
          <w:szCs w:val="24"/>
        </w:rPr>
        <w:t xml:space="preserve"> 4901-1-02(A)(6) prevents a single deposition in multiple cases</w:t>
      </w:r>
      <w:r w:rsidR="001D5301">
        <w:rPr>
          <w:rFonts w:ascii="Times New Roman" w:hAnsi="Times New Roman" w:cs="Times New Roman"/>
          <w:sz w:val="24"/>
          <w:szCs w:val="24"/>
        </w:rPr>
        <w:t xml:space="preserve">. </w:t>
      </w:r>
      <w:r w:rsidR="00A11CFD">
        <w:rPr>
          <w:rFonts w:ascii="Times New Roman" w:hAnsi="Times New Roman" w:cs="Times New Roman"/>
          <w:sz w:val="24"/>
          <w:szCs w:val="24"/>
        </w:rPr>
        <w:t xml:space="preserve">The rule simply states: </w:t>
      </w:r>
      <w:r w:rsidR="0043135B">
        <w:rPr>
          <w:rFonts w:ascii="Times New Roman" w:hAnsi="Times New Roman" w:cs="Times New Roman"/>
          <w:sz w:val="24"/>
          <w:szCs w:val="24"/>
        </w:rPr>
        <w:t>“</w:t>
      </w:r>
      <w:r w:rsidRPr="004019BB" w:rsidR="00A11CFD">
        <w:rPr>
          <w:rFonts w:ascii="Times New Roman" w:hAnsi="Times New Roman" w:cs="Times New Roman"/>
          <w:color w:val="333333"/>
          <w:sz w:val="24"/>
          <w:szCs w:val="24"/>
          <w:shd w:val="clear" w:color="auto" w:fill="FFFFFF"/>
        </w:rPr>
        <w:t>A party seeking to consolidate a new case with one or more previously filed cases shall file a motion to consolidate the cases.</w:t>
      </w:r>
      <w:r w:rsidR="0043135B">
        <w:rPr>
          <w:rFonts w:ascii="Times New Roman" w:hAnsi="Times New Roman" w:cs="Times New Roman"/>
          <w:color w:val="333333"/>
          <w:sz w:val="24"/>
          <w:szCs w:val="24"/>
          <w:shd w:val="clear" w:color="auto" w:fill="FFFFFF"/>
        </w:rPr>
        <w:t>”</w:t>
      </w:r>
      <w:r w:rsidRPr="004019BB" w:rsidR="00A11CFD">
        <w:rPr>
          <w:rFonts w:ascii="Times New Roman" w:hAnsi="Times New Roman" w:cs="Times New Roman"/>
          <w:color w:val="333333"/>
          <w:sz w:val="24"/>
          <w:szCs w:val="24"/>
          <w:shd w:val="clear" w:color="auto" w:fill="FFFFFF"/>
        </w:rPr>
        <w:t xml:space="preserve">  But OCC did not seek to consolidate cases; it merely sought a single deposition to be taken in the three utilities’ cases for administrative efficienc</w:t>
      </w:r>
      <w:r w:rsidR="001D5301">
        <w:rPr>
          <w:rFonts w:ascii="Times New Roman" w:hAnsi="Times New Roman" w:cs="Times New Roman"/>
          <w:color w:val="333333"/>
          <w:sz w:val="24"/>
          <w:szCs w:val="24"/>
          <w:shd w:val="clear" w:color="auto" w:fill="FFFFFF"/>
        </w:rPr>
        <w:t>y.</w:t>
      </w:r>
      <w:r w:rsidR="00A11CFD">
        <w:rPr>
          <w:rFonts w:ascii="PT Serif" w:hAnsi="PT Serif"/>
          <w:color w:val="333333"/>
          <w:sz w:val="27"/>
          <w:szCs w:val="27"/>
          <w:shd w:val="clear" w:color="auto" w:fill="FFFFFF"/>
        </w:rPr>
        <w:t xml:space="preserve"> </w:t>
      </w:r>
      <w:r w:rsidRPr="00B556E8">
        <w:rPr>
          <w:rFonts w:ascii="Times New Roman" w:hAnsi="Times New Roman" w:cs="Times New Roman"/>
          <w:sz w:val="24"/>
          <w:szCs w:val="24"/>
        </w:rPr>
        <w:t>Th</w:t>
      </w:r>
      <w:r w:rsidR="00A11CFD">
        <w:rPr>
          <w:rFonts w:ascii="Times New Roman" w:hAnsi="Times New Roman" w:cs="Times New Roman"/>
          <w:sz w:val="24"/>
          <w:szCs w:val="24"/>
        </w:rPr>
        <w:t xml:space="preserve">e Utilities’ </w:t>
      </w:r>
      <w:r w:rsidRPr="00B556E8">
        <w:rPr>
          <w:rFonts w:ascii="Times New Roman" w:hAnsi="Times New Roman" w:cs="Times New Roman"/>
          <w:sz w:val="24"/>
          <w:szCs w:val="24"/>
        </w:rPr>
        <w:t>argument is without merit</w:t>
      </w:r>
      <w:r w:rsidR="009A45A0">
        <w:rPr>
          <w:rFonts w:ascii="Times New Roman" w:hAnsi="Times New Roman" w:cs="Times New Roman"/>
          <w:sz w:val="24"/>
          <w:szCs w:val="24"/>
        </w:rPr>
        <w:t xml:space="preserve">, but the Utilities should appreciate that </w:t>
      </w:r>
      <w:r w:rsidR="00A11CFD">
        <w:rPr>
          <w:rFonts w:ascii="Times New Roman" w:hAnsi="Times New Roman" w:cs="Times New Roman"/>
          <w:sz w:val="24"/>
          <w:szCs w:val="24"/>
        </w:rPr>
        <w:t>OCC</w:t>
      </w:r>
      <w:r w:rsidR="009A45A0">
        <w:rPr>
          <w:rFonts w:ascii="Times New Roman" w:hAnsi="Times New Roman" w:cs="Times New Roman"/>
          <w:sz w:val="24"/>
          <w:szCs w:val="24"/>
        </w:rPr>
        <w:t xml:space="preserve"> ha</w:t>
      </w:r>
      <w:r w:rsidR="00A11CFD">
        <w:rPr>
          <w:rFonts w:ascii="Times New Roman" w:hAnsi="Times New Roman" w:cs="Times New Roman"/>
          <w:sz w:val="24"/>
          <w:szCs w:val="24"/>
        </w:rPr>
        <w:t>s</w:t>
      </w:r>
      <w:r w:rsidR="009A45A0">
        <w:rPr>
          <w:rFonts w:ascii="Times New Roman" w:hAnsi="Times New Roman" w:cs="Times New Roman"/>
          <w:sz w:val="24"/>
          <w:szCs w:val="24"/>
        </w:rPr>
        <w:t xml:space="preserve"> resolved </w:t>
      </w:r>
      <w:r w:rsidR="00A11CFD">
        <w:rPr>
          <w:rFonts w:ascii="Times New Roman" w:hAnsi="Times New Roman" w:cs="Times New Roman"/>
          <w:sz w:val="24"/>
          <w:szCs w:val="24"/>
        </w:rPr>
        <w:t>their issue</w:t>
      </w:r>
      <w:r w:rsidRPr="00B556E8">
        <w:rPr>
          <w:rFonts w:ascii="Times New Roman" w:hAnsi="Times New Roman" w:cs="Times New Roman"/>
          <w:sz w:val="24"/>
          <w:szCs w:val="24"/>
        </w:rPr>
        <w:t>.</w:t>
      </w:r>
    </w:p>
    <w:p w:rsidR="00A11CFD" w:rsidRPr="00B556E8" w:rsidP="00A11CFD" w14:paraId="57D93B71" w14:textId="77777777">
      <w:pPr>
        <w:pStyle w:val="Default"/>
        <w:spacing w:line="480" w:lineRule="auto"/>
        <w:ind w:firstLine="720"/>
      </w:pPr>
      <w:r w:rsidRPr="004F3909">
        <w:rPr>
          <w:i/>
          <w:iCs/>
        </w:rPr>
        <w:t xml:space="preserve">Further, it could be expected that </w:t>
      </w:r>
      <w:r>
        <w:rPr>
          <w:i/>
          <w:iCs/>
        </w:rPr>
        <w:t>AEP. Duke and AES</w:t>
      </w:r>
      <w:r w:rsidRPr="004F3909">
        <w:rPr>
          <w:i/>
          <w:iCs/>
        </w:rPr>
        <w:t xml:space="preserve"> would have complained about duplication of effort had OCC </w:t>
      </w:r>
      <w:r w:rsidRPr="00156197">
        <w:rPr>
          <w:i/>
          <w:iCs/>
        </w:rPr>
        <w:t>not</w:t>
      </w:r>
      <w:r w:rsidRPr="004F3909">
        <w:rPr>
          <w:i/>
          <w:iCs/>
        </w:rPr>
        <w:t xml:space="preserve"> sought a consolidated deposition. OCC’s approach would save resources for OVEC, the PUCO Staff</w:t>
      </w:r>
      <w:r>
        <w:rPr>
          <w:i/>
          <w:iCs/>
        </w:rPr>
        <w:t>, OCC</w:t>
      </w:r>
      <w:r w:rsidRPr="004F3909">
        <w:rPr>
          <w:i/>
          <w:iCs/>
        </w:rPr>
        <w:t xml:space="preserve"> and others. </w:t>
      </w:r>
      <w:r>
        <w:rPr>
          <w:i/>
          <w:iCs/>
        </w:rPr>
        <w:t>However, t</w:t>
      </w:r>
      <w:r w:rsidRPr="004F3909">
        <w:rPr>
          <w:i/>
          <w:iCs/>
        </w:rPr>
        <w:t xml:space="preserve">he utilities can be tough to satisfy.  </w:t>
      </w:r>
      <w:r>
        <w:rPr>
          <w:i/>
          <w:iCs/>
        </w:rPr>
        <w:t>So</w:t>
      </w:r>
      <w:r w:rsidRPr="004F3909">
        <w:rPr>
          <w:i/>
          <w:iCs/>
        </w:rPr>
        <w:t>, in the spirit of cooperation</w:t>
      </w:r>
      <w:r>
        <w:rPr>
          <w:i/>
          <w:iCs/>
        </w:rPr>
        <w:t xml:space="preserve"> and to solve the Utilities’ big issue, </w:t>
      </w:r>
      <w:r w:rsidRPr="004F3909">
        <w:rPr>
          <w:b/>
          <w:bCs w:val="0"/>
          <w:i/>
          <w:iCs/>
        </w:rPr>
        <w:t xml:space="preserve">OCC will take separate depositions in each utility’s case if that is the PUCO’s preference.  </w:t>
      </w:r>
      <w:r>
        <w:t xml:space="preserve">Unless the PUCO rules otherwise, </w:t>
      </w:r>
      <w:r w:rsidRPr="00496639">
        <w:t>OCC will</w:t>
      </w:r>
      <w:r>
        <w:t xml:space="preserve"> file separate </w:t>
      </w:r>
      <w:r w:rsidRPr="004F3909">
        <w:t>notice</w:t>
      </w:r>
      <w:r>
        <w:t>s</w:t>
      </w:r>
      <w:r w:rsidRPr="004F3909">
        <w:t xml:space="preserve"> of deposition in</w:t>
      </w:r>
      <w:r>
        <w:t xml:space="preserve"> the cases, beginning first with the AEP/consumer cases</w:t>
      </w:r>
      <w:r w:rsidRPr="004F3909">
        <w:t xml:space="preserve"> </w:t>
      </w:r>
      <w:r>
        <w:t>(</w:t>
      </w:r>
      <w:r w:rsidRPr="004F3909">
        <w:t>Case Nos. 18-1004-EL-RDR and 18-1759-EL-RDR</w:t>
      </w:r>
      <w:r>
        <w:t>).</w:t>
      </w:r>
      <w:r w:rsidRPr="004F3909">
        <w:t xml:space="preserve"> </w:t>
      </w:r>
      <w:r>
        <w:t xml:space="preserve">Only </w:t>
      </w:r>
      <w:r w:rsidRPr="004F3909">
        <w:t xml:space="preserve">the </w:t>
      </w:r>
      <w:r>
        <w:t xml:space="preserve">AEP-related </w:t>
      </w:r>
      <w:r w:rsidRPr="004F3909">
        <w:t xml:space="preserve">deposition of OVEC </w:t>
      </w:r>
      <w:r>
        <w:t xml:space="preserve">will be </w:t>
      </w:r>
      <w:r w:rsidRPr="004F3909">
        <w:t>scheduled for December 22, 2021</w:t>
      </w:r>
      <w:r w:rsidRPr="00496639">
        <w:t xml:space="preserve">. </w:t>
      </w:r>
      <w:r>
        <w:t xml:space="preserve">OCC will establish the depositions sequence and timing for the OVEC depositions in the other cases (20-165-EL-RDR and 20-167-EL-RDR) with updated subpoenas and deposition notices at a later date. </w:t>
      </w:r>
    </w:p>
    <w:p w:rsidR="006A7E03" w14:paraId="29521A2D" w14:textId="77777777">
      <w:pPr>
        <w:rPr>
          <w:rFonts w:ascii="Times New Roman Bold" w:eastAsia="Times New Roman" w:hAnsi="Times New Roman Bold"/>
          <w:b/>
          <w:sz w:val="24"/>
          <w:szCs w:val="24"/>
        </w:rPr>
      </w:pPr>
      <w:r>
        <w:br w:type="page"/>
      </w:r>
    </w:p>
    <w:p w:rsidR="00B556E8" w:rsidRPr="00204ED4" w:rsidP="006A7E03" w14:paraId="778ED71E" w14:textId="27E578A5">
      <w:pPr>
        <w:pStyle w:val="Heading2"/>
        <w:rPr>
          <w:bCs/>
        </w:rPr>
      </w:pPr>
      <w:bookmarkStart w:id="9" w:name="_Toc90562582"/>
      <w:r w:rsidRPr="00204ED4">
        <w:t>D</w:t>
      </w:r>
      <w:r w:rsidRPr="00204ED4">
        <w:t>.</w:t>
      </w:r>
      <w:r w:rsidRPr="00204ED4">
        <w:tab/>
      </w:r>
      <w:r w:rsidRPr="006A7E03">
        <w:t>The PUCO allows discovery of matters outside the audit period in appropriate cases.</w:t>
      </w:r>
      <w:bookmarkEnd w:id="9"/>
    </w:p>
    <w:p w:rsidR="00B556E8" w:rsidRPr="00B556E8" w:rsidP="00B556E8" w14:paraId="454D3305" w14:textId="6CDCBDAD">
      <w:pPr>
        <w:spacing w:line="480" w:lineRule="auto"/>
        <w:rPr>
          <w:rFonts w:ascii="Times New Roman" w:hAnsi="Times New Roman" w:cs="Times New Roman"/>
          <w:sz w:val="24"/>
          <w:szCs w:val="24"/>
        </w:rPr>
      </w:pPr>
      <w:r w:rsidRPr="00B556E8">
        <w:rPr>
          <w:rFonts w:ascii="Times New Roman" w:hAnsi="Times New Roman" w:cs="Times New Roman"/>
          <w:sz w:val="24"/>
          <w:szCs w:val="24"/>
        </w:rPr>
        <w:tab/>
        <w:t>The Utilities state “the Commission has not permitted discovery relating to matters outside the audit period.”</w:t>
      </w:r>
      <w:r>
        <w:rPr>
          <w:rStyle w:val="FootnoteReference"/>
          <w:rFonts w:ascii="Times New Roman" w:hAnsi="Times New Roman" w:cs="Times New Roman"/>
          <w:sz w:val="24"/>
          <w:szCs w:val="24"/>
        </w:rPr>
        <w:footnoteReference w:id="15"/>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This statement is wrong.</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PUCO’s general rule is to limit discovery to matters occurring during the audit period.</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PUCO, however, has allowed discovery outside the audit period when the information is relevant to the issues at hand.</w:t>
      </w:r>
      <w:r>
        <w:rPr>
          <w:rStyle w:val="FootnoteReference"/>
          <w:rFonts w:ascii="Times New Roman" w:hAnsi="Times New Roman" w:cs="Times New Roman"/>
          <w:sz w:val="24"/>
          <w:szCs w:val="24"/>
        </w:rPr>
        <w:footnoteReference w:id="16"/>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discovery OCC seeks in this case is relevant to issues in the present case.</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PUCO should therefore overrule the Utilities’ motion to quash.</w:t>
      </w:r>
    </w:p>
    <w:p w:rsidR="00B556E8" w:rsidRPr="00B556E8" w:rsidP="00B556E8" w14:paraId="3DAB2D78" w14:textId="65E2F5B5">
      <w:pPr>
        <w:spacing w:line="480" w:lineRule="auto"/>
        <w:rPr>
          <w:rFonts w:ascii="Times New Roman" w:hAnsi="Times New Roman" w:cs="Times New Roman"/>
          <w:sz w:val="24"/>
          <w:szCs w:val="24"/>
        </w:rPr>
      </w:pPr>
      <w:r w:rsidRPr="00B556E8">
        <w:rPr>
          <w:rFonts w:ascii="Times New Roman" w:hAnsi="Times New Roman" w:cs="Times New Roman"/>
          <w:sz w:val="24"/>
          <w:szCs w:val="24"/>
        </w:rPr>
        <w:tab/>
        <w:t xml:space="preserve">Remarkably, the Utilities cite </w:t>
      </w:r>
      <w:r w:rsidRPr="00B556E8">
        <w:rPr>
          <w:rFonts w:ascii="Times New Roman" w:hAnsi="Times New Roman" w:cs="Times New Roman"/>
          <w:i/>
          <w:iCs/>
          <w:sz w:val="24"/>
          <w:szCs w:val="24"/>
        </w:rPr>
        <w:t>In re Dominion Purchased Gas Adjustment Clause</w:t>
      </w:r>
      <w:r>
        <w:rPr>
          <w:rStyle w:val="FootnoteReference"/>
          <w:rFonts w:ascii="Times New Roman" w:hAnsi="Times New Roman" w:cs="Times New Roman"/>
          <w:sz w:val="24"/>
          <w:szCs w:val="24"/>
        </w:rPr>
        <w:footnoteReference w:id="17"/>
      </w:r>
      <w:r w:rsidRPr="00B556E8">
        <w:rPr>
          <w:rFonts w:ascii="Times New Roman" w:hAnsi="Times New Roman" w:cs="Times New Roman"/>
          <w:sz w:val="24"/>
          <w:szCs w:val="24"/>
        </w:rPr>
        <w:t xml:space="preserve"> to support their statement that the PUCO only allows discovery of matters occurring during the audit period.</w:t>
      </w:r>
      <w:r>
        <w:rPr>
          <w:rStyle w:val="FootnoteReference"/>
          <w:rFonts w:ascii="Times New Roman" w:hAnsi="Times New Roman" w:cs="Times New Roman"/>
          <w:sz w:val="24"/>
          <w:szCs w:val="24"/>
        </w:rPr>
        <w:footnoteReference w:id="18"/>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 xml:space="preserve">This is remarkable because </w:t>
      </w:r>
      <w:r w:rsidRPr="00B556E8">
        <w:rPr>
          <w:rFonts w:ascii="Times New Roman" w:hAnsi="Times New Roman" w:cs="Times New Roman"/>
          <w:i/>
          <w:iCs/>
          <w:sz w:val="24"/>
          <w:szCs w:val="24"/>
        </w:rPr>
        <w:t>Dominion</w:t>
      </w:r>
      <w:r w:rsidRPr="00B556E8">
        <w:rPr>
          <w:rFonts w:ascii="Times New Roman" w:hAnsi="Times New Roman" w:cs="Times New Roman"/>
          <w:sz w:val="24"/>
          <w:szCs w:val="24"/>
        </w:rPr>
        <w:t xml:space="preserve"> actually supports OCC’s position.</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 xml:space="preserve">In </w:t>
      </w:r>
      <w:r w:rsidRPr="00B556E8">
        <w:rPr>
          <w:rFonts w:ascii="Times New Roman" w:hAnsi="Times New Roman" w:cs="Times New Roman"/>
          <w:i/>
          <w:iCs/>
          <w:sz w:val="24"/>
          <w:szCs w:val="24"/>
        </w:rPr>
        <w:t xml:space="preserve">Dominion, </w:t>
      </w:r>
      <w:r w:rsidRPr="00B556E8">
        <w:rPr>
          <w:rFonts w:ascii="Times New Roman" w:hAnsi="Times New Roman" w:cs="Times New Roman"/>
          <w:sz w:val="24"/>
          <w:szCs w:val="24"/>
        </w:rPr>
        <w:t>the PUCO ruled that OCC could obtain discovery of certain transactions going back ten years even though the case only involved a prudency review of Dominion’s gas costs for the two-year period ending October 31, 2005.</w:t>
      </w:r>
      <w:r>
        <w:rPr>
          <w:rStyle w:val="FootnoteReference"/>
          <w:rFonts w:ascii="Times New Roman" w:hAnsi="Times New Roman" w:cs="Times New Roman"/>
          <w:sz w:val="24"/>
          <w:szCs w:val="24"/>
        </w:rPr>
        <w:footnoteReference w:id="19"/>
      </w:r>
      <w:r w:rsidR="000509C1">
        <w:rPr>
          <w:rFonts w:ascii="Times New Roman" w:hAnsi="Times New Roman" w:cs="Times New Roman"/>
          <w:sz w:val="24"/>
          <w:szCs w:val="24"/>
        </w:rPr>
        <w:t xml:space="preserve"> </w:t>
      </w:r>
    </w:p>
    <w:p w:rsidR="00B556E8" w:rsidRPr="00B556E8" w:rsidP="00B556E8" w14:paraId="6AFC2896" w14:textId="0D2E07FC">
      <w:pPr>
        <w:spacing w:line="480" w:lineRule="auto"/>
        <w:ind w:firstLine="720"/>
        <w:rPr>
          <w:rFonts w:ascii="Times New Roman" w:hAnsi="Times New Roman" w:cs="Times New Roman"/>
          <w:sz w:val="24"/>
          <w:szCs w:val="24"/>
        </w:rPr>
      </w:pPr>
      <w:r w:rsidRPr="00B556E8">
        <w:rPr>
          <w:rFonts w:ascii="Times New Roman" w:hAnsi="Times New Roman" w:cs="Times New Roman"/>
          <w:sz w:val="24"/>
          <w:szCs w:val="24"/>
        </w:rPr>
        <w:t>In that case, Dominion objected to OCC’s discovery request on the ground that it was outside the audit period.</w:t>
      </w:r>
      <w:r>
        <w:rPr>
          <w:rStyle w:val="FootnoteReference"/>
          <w:rFonts w:ascii="Times New Roman" w:hAnsi="Times New Roman" w:cs="Times New Roman"/>
          <w:sz w:val="24"/>
          <w:szCs w:val="24"/>
        </w:rPr>
        <w:footnoteReference w:id="20"/>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Attorney Examiner granted OCC’s motion to compel, allowing OCC to obtain discovery of transactions up to ten years before the audit period.</w:t>
      </w:r>
      <w:r>
        <w:rPr>
          <w:rStyle w:val="FootnoteReference"/>
          <w:rFonts w:ascii="Times New Roman" w:hAnsi="Times New Roman" w:cs="Times New Roman"/>
          <w:sz w:val="24"/>
          <w:szCs w:val="24"/>
        </w:rPr>
        <w:footnoteReference w:id="21"/>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Attorney Examiner reasoned that the sought-after discovery was relevant to whether the costs during the audit period (and during the prior audit periods) was just and reasonable.</w:t>
      </w:r>
      <w:r>
        <w:rPr>
          <w:rStyle w:val="FootnoteReference"/>
          <w:rFonts w:ascii="Times New Roman" w:hAnsi="Times New Roman" w:cs="Times New Roman"/>
          <w:sz w:val="24"/>
          <w:szCs w:val="24"/>
        </w:rPr>
        <w:footnoteReference w:id="22"/>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Attorney Examiner also discussed several other cases where the PUCO allowed discovery of matters outside the audit period.</w:t>
      </w:r>
      <w:r>
        <w:rPr>
          <w:rStyle w:val="FootnoteReference"/>
          <w:rFonts w:ascii="Times New Roman" w:hAnsi="Times New Roman" w:cs="Times New Roman"/>
          <w:sz w:val="24"/>
          <w:szCs w:val="24"/>
        </w:rPr>
        <w:footnoteReference w:id="23"/>
      </w:r>
    </w:p>
    <w:p w:rsidR="00B556E8" w:rsidRPr="00B556E8" w:rsidP="00B556E8" w14:paraId="66ADF415" w14:textId="3B5AE3E9">
      <w:pPr>
        <w:spacing w:line="480" w:lineRule="auto"/>
        <w:ind w:firstLine="720"/>
        <w:rPr>
          <w:rFonts w:ascii="Times New Roman" w:hAnsi="Times New Roman" w:cs="Times New Roman"/>
          <w:sz w:val="24"/>
          <w:szCs w:val="24"/>
        </w:rPr>
      </w:pPr>
      <w:r w:rsidRPr="00B556E8">
        <w:rPr>
          <w:rFonts w:ascii="Times New Roman" w:hAnsi="Times New Roman" w:cs="Times New Roman"/>
          <w:sz w:val="24"/>
          <w:szCs w:val="24"/>
        </w:rPr>
        <w:t>Here any discovery OCC seeks from outside the audit period is relevant to the issues in the present cases.</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While the present cases only involve a prudency review of costs during 2018-2020, the PUCO is concerned with costs over the entire period of 2018 until the end of the Legacy Generation Rider in 2030.</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PUCO expects that the OVEC rider will be a net credit for the entire period when the rider will be in effect, as noted by Commissioner Trombold:</w:t>
      </w:r>
    </w:p>
    <w:p w:rsidR="00B556E8" w:rsidRPr="00B556E8" w:rsidP="00B556E8" w14:paraId="3A79B18E" w14:textId="77777777">
      <w:pPr>
        <w:ind w:left="1440" w:right="1440"/>
        <w:rPr>
          <w:rFonts w:ascii="Times New Roman" w:hAnsi="Times New Roman" w:cs="Times New Roman"/>
          <w:sz w:val="24"/>
          <w:szCs w:val="24"/>
        </w:rPr>
      </w:pPr>
      <w:r w:rsidRPr="00B556E8">
        <w:rPr>
          <w:rFonts w:ascii="Times New Roman" w:hAnsi="Times New Roman" w:cs="Times New Roman"/>
          <w:sz w:val="24"/>
          <w:szCs w:val="24"/>
        </w:rPr>
        <w:t xml:space="preserve">The PPA mechanism proposed by the Company is designed to operate as a financial hedge against such price volatility, wherein consumers pay more when market prices are low but pay less when market prices are high. Based on the forecasts submitted by the </w:t>
      </w:r>
      <w:r w:rsidRPr="00B556E8">
        <w:rPr>
          <w:rFonts w:ascii="Times New Roman" w:hAnsi="Times New Roman" w:cs="Times New Roman"/>
          <w:sz w:val="24"/>
          <w:szCs w:val="24"/>
        </w:rPr>
        <w:br/>
        <w:t xml:space="preserve">Company and evidence in the record, </w:t>
      </w:r>
      <w:r w:rsidRPr="00B556E8">
        <w:rPr>
          <w:rFonts w:ascii="Times New Roman" w:hAnsi="Times New Roman" w:cs="Times New Roman"/>
          <w:i/>
          <w:iCs/>
          <w:sz w:val="24"/>
          <w:szCs w:val="24"/>
        </w:rPr>
        <w:t>it is my clear expectation, just as it is Commissioner Haque's, that the PPA rider approved today will result in a credit (i.e. benefit) to ratepayers over the next eight years</w:t>
      </w:r>
      <w:r w:rsidRPr="00B556E8">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sidRPr="00B556E8">
        <w:rPr>
          <w:rFonts w:ascii="Times New Roman" w:hAnsi="Times New Roman" w:cs="Times New Roman"/>
          <w:sz w:val="24"/>
          <w:szCs w:val="24"/>
        </w:rPr>
        <w:t xml:space="preserve"> </w:t>
      </w:r>
    </w:p>
    <w:p w:rsidR="00B556E8" w:rsidRPr="00B556E8" w:rsidP="00B556E8" w14:paraId="699D6BF3" w14:textId="77777777">
      <w:pPr>
        <w:pStyle w:val="ListParagraph"/>
        <w:rPr>
          <w:rFonts w:ascii="Times New Roman" w:hAnsi="Times New Roman" w:cs="Times New Roman"/>
          <w:sz w:val="24"/>
          <w:szCs w:val="24"/>
        </w:rPr>
      </w:pPr>
    </w:p>
    <w:p w:rsidR="005D0333" w:rsidP="00B556E8" w14:paraId="304A68CD" w14:textId="77777777">
      <w:pPr>
        <w:pStyle w:val="ListParagraph"/>
        <w:spacing w:line="480" w:lineRule="auto"/>
        <w:rPr>
          <w:rFonts w:ascii="Times New Roman" w:hAnsi="Times New Roman" w:cs="Times New Roman"/>
          <w:sz w:val="24"/>
          <w:szCs w:val="24"/>
        </w:rPr>
      </w:pPr>
      <w:r w:rsidRPr="00B556E8">
        <w:rPr>
          <w:rFonts w:ascii="Times New Roman" w:hAnsi="Times New Roman" w:cs="Times New Roman"/>
          <w:sz w:val="24"/>
          <w:szCs w:val="24"/>
        </w:rPr>
        <w:tab/>
        <w:t>The PUCO may need information from outside the audit period to evaluate whether the OVEC rider will be a net credit over the entire term of the rider.</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For example, if OVEC prepared a forecast in 2021 showing that the rider will be a net charge for the entire period, the PUCO should know about this now in order to evaluate the reasonableness of the present charges.</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 xml:space="preserve">In </w:t>
      </w:r>
    </w:p>
    <w:p w:rsidR="005D0333" w14:paraId="62BE2161" w14:textId="77777777">
      <w:pPr>
        <w:rPr>
          <w:rFonts w:ascii="Times New Roman" w:hAnsi="Times New Roman" w:cs="Times New Roman"/>
          <w:sz w:val="24"/>
          <w:szCs w:val="24"/>
        </w:rPr>
      </w:pPr>
      <w:r>
        <w:rPr>
          <w:rFonts w:ascii="Times New Roman" w:hAnsi="Times New Roman" w:cs="Times New Roman"/>
          <w:sz w:val="24"/>
          <w:szCs w:val="24"/>
        </w:rPr>
        <w:br w:type="page"/>
      </w:r>
    </w:p>
    <w:p w:rsidR="00713969" w:rsidP="00B556E8" w14:paraId="7909AF4D" w14:textId="31A359F0">
      <w:pPr>
        <w:pStyle w:val="ListParagraph"/>
        <w:spacing w:line="480" w:lineRule="auto"/>
        <w:rPr>
          <w:rFonts w:ascii="Times New Roman" w:hAnsi="Times New Roman" w:cs="Times New Roman"/>
          <w:sz w:val="24"/>
          <w:szCs w:val="24"/>
        </w:rPr>
      </w:pPr>
      <w:r w:rsidRPr="00B556E8">
        <w:rPr>
          <w:rFonts w:ascii="Times New Roman" w:hAnsi="Times New Roman" w:cs="Times New Roman"/>
          <w:sz w:val="24"/>
          <w:szCs w:val="24"/>
        </w:rPr>
        <w:t>other words, the PUCO should not allow the Utilities to collect current above-market OVEC costs if the rider will be a net charge for the entire term.</w:t>
      </w:r>
      <w:r w:rsidR="000509C1">
        <w:rPr>
          <w:rFonts w:ascii="Times New Roman" w:hAnsi="Times New Roman" w:cs="Times New Roman"/>
          <w:sz w:val="24"/>
          <w:szCs w:val="24"/>
        </w:rPr>
        <w:t xml:space="preserve"> </w:t>
      </w:r>
    </w:p>
    <w:p w:rsidR="006519BF" w:rsidRPr="00B556E8" w:rsidP="006519BF" w14:paraId="16C9DCFF" w14:textId="5AA2C47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d</w:t>
      </w:r>
      <w:r w:rsidRPr="00B556E8">
        <w:rPr>
          <w:rFonts w:ascii="Times New Roman" w:hAnsi="Times New Roman" w:cs="Times New Roman"/>
          <w:sz w:val="24"/>
          <w:szCs w:val="24"/>
        </w:rPr>
        <w:t>iscovery may help shed light on new information that the Utilities presented flawed projections about the OVEC plants’ future performance.</w:t>
      </w:r>
      <w:r>
        <w:rPr>
          <w:rFonts w:ascii="Times New Roman" w:hAnsi="Times New Roman" w:cs="Times New Roman"/>
          <w:sz w:val="24"/>
          <w:szCs w:val="24"/>
        </w:rPr>
        <w:t xml:space="preserve"> </w:t>
      </w:r>
      <w:r w:rsidRPr="00B556E8">
        <w:rPr>
          <w:rFonts w:ascii="Times New Roman" w:hAnsi="Times New Roman" w:cs="Times New Roman"/>
          <w:sz w:val="24"/>
          <w:szCs w:val="24"/>
        </w:rPr>
        <w:t>For example, the auditor identified a serious flaw in AEP’s original OVEC projections that projected a net credit over the life of the charge – AEP’s projection was based on a levelized cost of entry of $96.53/MWh.</w:t>
      </w:r>
      <w:r>
        <w:rPr>
          <w:rStyle w:val="FootnoteReference"/>
          <w:rFonts w:ascii="Times New Roman" w:hAnsi="Times New Roman" w:cs="Times New Roman"/>
          <w:sz w:val="24"/>
          <w:szCs w:val="24"/>
        </w:rPr>
        <w:footnoteReference w:id="25"/>
      </w:r>
      <w:r w:rsidRPr="00B556E8">
        <w:rPr>
          <w:rFonts w:ascii="Times New Roman" w:hAnsi="Times New Roman" w:cs="Times New Roman"/>
          <w:sz w:val="24"/>
          <w:szCs w:val="24"/>
        </w:rPr>
        <w:t xml:space="preserve"> The auditor noted that the true levelized cost of entry was only $50.00/MWh, indicating that the OVEC plants “are not viable” in a competitive context (i.e., will not result in a net credit for consumers).</w:t>
      </w:r>
      <w:r>
        <w:rPr>
          <w:rStyle w:val="FootnoteReference"/>
          <w:rFonts w:ascii="Times New Roman" w:hAnsi="Times New Roman" w:cs="Times New Roman"/>
          <w:sz w:val="24"/>
          <w:szCs w:val="24"/>
        </w:rPr>
        <w:footnoteReference w:id="26"/>
      </w:r>
    </w:p>
    <w:p w:rsidR="00B556E8" w:rsidRPr="00B556E8" w:rsidP="00713969" w14:paraId="57434189" w14:textId="5FBFECE1">
      <w:pPr>
        <w:pStyle w:val="ListParagraph"/>
        <w:spacing w:line="480" w:lineRule="auto"/>
        <w:ind w:firstLine="720"/>
        <w:rPr>
          <w:rFonts w:ascii="Times New Roman" w:hAnsi="Times New Roman" w:cs="Times New Roman"/>
          <w:sz w:val="24"/>
          <w:szCs w:val="24"/>
        </w:rPr>
      </w:pPr>
      <w:r w:rsidRPr="00B556E8">
        <w:rPr>
          <w:rFonts w:ascii="Times New Roman" w:hAnsi="Times New Roman" w:cs="Times New Roman"/>
          <w:sz w:val="24"/>
          <w:szCs w:val="24"/>
        </w:rPr>
        <w:t>In the audit for protecting AEP’s consumers, the auditor noted that OVEC continued running the plants on days when the plants earned less revenue from selling electricity than the plants’ variable operating costs.</w:t>
      </w:r>
      <w:r>
        <w:rPr>
          <w:rStyle w:val="FootnoteReference"/>
          <w:rFonts w:ascii="Times New Roman" w:hAnsi="Times New Roman" w:cs="Times New Roman"/>
          <w:sz w:val="24"/>
          <w:szCs w:val="24"/>
        </w:rPr>
        <w:footnoteReference w:id="27"/>
      </w:r>
      <w:r w:rsidRPr="00B556E8">
        <w:rPr>
          <w:rFonts w:ascii="Times New Roman" w:hAnsi="Times New Roman" w:cs="Times New Roman"/>
          <w:sz w:val="24"/>
          <w:szCs w:val="24"/>
        </w:rPr>
        <w:t xml:space="preserve"> Accordingly, the PUCO auditor in the AEP case recommended that OVEC reconsider its must-run offer strategy that caused these losses.</w:t>
      </w:r>
      <w:r>
        <w:rPr>
          <w:rStyle w:val="FootnoteReference"/>
          <w:rFonts w:ascii="Times New Roman" w:hAnsi="Times New Roman" w:cs="Times New Roman"/>
          <w:sz w:val="24"/>
          <w:szCs w:val="24"/>
        </w:rPr>
        <w:footnoteReference w:id="28"/>
      </w:r>
      <w:r w:rsidRPr="00B556E8">
        <w:rPr>
          <w:rFonts w:ascii="Times New Roman" w:hAnsi="Times New Roman" w:cs="Times New Roman"/>
          <w:sz w:val="24"/>
          <w:szCs w:val="24"/>
        </w:rPr>
        <w:t xml:space="preserve"> </w:t>
      </w:r>
      <w:r w:rsidRPr="00B556E8">
        <w:rPr>
          <w:rFonts w:ascii="Times New Roman" w:hAnsi="Times New Roman" w:cs="Times New Roman"/>
          <w:sz w:val="24"/>
          <w:szCs w:val="24"/>
        </w:rPr>
        <w:t>As another example, the EPA has imposed new rules for Coal Combustion Residuals and Effluent Limitation Guidelines that could dramatically increase OVEC’s costs.</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These additional costs are an added reason why the OVEC rider is likely to be a net charge during the rider’s entire term.</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PUCO needs this information to decide whether it is reasonable to allow the Utilities to collect current OVEC costs, if the rider will be a net charge for the entire term.</w:t>
      </w:r>
    </w:p>
    <w:p w:rsidR="005D0333" w:rsidP="00204ED4" w14:paraId="0250194A" w14:textId="77777777">
      <w:pPr>
        <w:spacing w:line="480" w:lineRule="auto"/>
        <w:rPr>
          <w:rFonts w:ascii="Times New Roman" w:hAnsi="Times New Roman" w:cs="Times New Roman"/>
          <w:sz w:val="24"/>
          <w:szCs w:val="24"/>
        </w:rPr>
      </w:pPr>
      <w:r w:rsidRPr="00B556E8">
        <w:rPr>
          <w:rFonts w:ascii="Times New Roman" w:hAnsi="Times New Roman" w:cs="Times New Roman"/>
          <w:sz w:val="24"/>
          <w:szCs w:val="24"/>
        </w:rPr>
        <w:tab/>
      </w:r>
    </w:p>
    <w:p w:rsidR="005D0333" w14:paraId="15F993C1" w14:textId="77777777">
      <w:pPr>
        <w:rPr>
          <w:rFonts w:ascii="Times New Roman" w:hAnsi="Times New Roman" w:cs="Times New Roman"/>
          <w:sz w:val="24"/>
          <w:szCs w:val="24"/>
        </w:rPr>
      </w:pPr>
      <w:r>
        <w:rPr>
          <w:rFonts w:ascii="Times New Roman" w:hAnsi="Times New Roman" w:cs="Times New Roman"/>
          <w:sz w:val="24"/>
          <w:szCs w:val="24"/>
        </w:rPr>
        <w:br w:type="page"/>
      </w:r>
    </w:p>
    <w:p w:rsidR="00B556E8" w:rsidP="005D0333" w14:paraId="43A4ADF4" w14:textId="55E6E55A">
      <w:pPr>
        <w:spacing w:line="480" w:lineRule="auto"/>
        <w:ind w:firstLine="720"/>
        <w:rPr>
          <w:rFonts w:ascii="Times New Roman" w:eastAsia="Times New Roman" w:hAnsi="Times New Roman" w:cs="Times New Roman"/>
          <w:sz w:val="24"/>
          <w:szCs w:val="24"/>
        </w:rPr>
      </w:pPr>
      <w:r w:rsidRPr="00B556E8">
        <w:rPr>
          <w:rFonts w:ascii="Times New Roman" w:hAnsi="Times New Roman" w:cs="Times New Roman"/>
          <w:sz w:val="24"/>
          <w:szCs w:val="24"/>
        </w:rPr>
        <w:t>If the Utilities had any concern for consumers, they would present this information to the PUCO themselves.</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 xml:space="preserve">The </w:t>
      </w:r>
      <w:r w:rsidRPr="00B556E8">
        <w:rPr>
          <w:rFonts w:ascii="Times New Roman" w:eastAsia="Times New Roman" w:hAnsi="Times New Roman" w:cs="Times New Roman"/>
          <w:sz w:val="24"/>
          <w:szCs w:val="24"/>
        </w:rPr>
        <w:t>Michigan Public Service Commission (“MPSC”) highlighted this point in a recent order.</w:t>
      </w:r>
      <w:r w:rsidR="000509C1">
        <w:rPr>
          <w:rFonts w:ascii="Times New Roman" w:eastAsia="Times New Roman" w:hAnsi="Times New Roman" w:cs="Times New Roman"/>
          <w:sz w:val="24"/>
          <w:szCs w:val="24"/>
        </w:rPr>
        <w:t xml:space="preserve"> </w:t>
      </w:r>
      <w:r w:rsidRPr="00B556E8">
        <w:rPr>
          <w:rFonts w:ascii="Times New Roman" w:eastAsia="Times New Roman" w:hAnsi="Times New Roman" w:cs="Times New Roman"/>
          <w:sz w:val="24"/>
          <w:szCs w:val="24"/>
        </w:rPr>
        <w:t xml:space="preserve">The case involved Indiana Michigan Power Company’s (an AEP affiliate) fuel </w:t>
      </w:r>
    </w:p>
    <w:p w:rsidR="00B556E8" w:rsidRPr="00B556E8" w:rsidP="00B556E8" w14:paraId="4A361310" w14:textId="060D3486">
      <w:pPr>
        <w:spacing w:line="480" w:lineRule="auto"/>
        <w:rPr>
          <w:rFonts w:ascii="Times New Roman" w:eastAsia="Times New Roman" w:hAnsi="Times New Roman" w:cs="Times New Roman"/>
          <w:sz w:val="24"/>
          <w:szCs w:val="24"/>
        </w:rPr>
      </w:pPr>
      <w:r w:rsidRPr="00B556E8">
        <w:rPr>
          <w:rFonts w:ascii="Times New Roman" w:eastAsia="Times New Roman" w:hAnsi="Times New Roman" w:cs="Times New Roman"/>
          <w:sz w:val="24"/>
          <w:szCs w:val="24"/>
        </w:rPr>
        <w:t xml:space="preserve">adjustment clause. The case included costs from the OVEC plants. (Indiana Michigan receives 7.85% of OVEC’s output under the Inter-Company Power Agreement.) </w:t>
      </w:r>
    </w:p>
    <w:p w:rsidR="00B556E8" w:rsidRPr="00B556E8" w:rsidP="00B556E8" w14:paraId="1786350A" w14:textId="77777777">
      <w:pPr>
        <w:spacing w:line="480" w:lineRule="auto"/>
        <w:ind w:firstLine="720"/>
        <w:rPr>
          <w:rFonts w:ascii="Times New Roman" w:eastAsia="Times New Roman" w:hAnsi="Times New Roman" w:cs="Times New Roman"/>
          <w:sz w:val="24"/>
          <w:szCs w:val="24"/>
        </w:rPr>
      </w:pPr>
      <w:r w:rsidRPr="00B556E8">
        <w:rPr>
          <w:rFonts w:ascii="Times New Roman" w:eastAsia="Times New Roman" w:hAnsi="Times New Roman" w:cs="Times New Roman"/>
          <w:sz w:val="24"/>
          <w:szCs w:val="24"/>
        </w:rPr>
        <w:t xml:space="preserve">In that case, the MPSC reviewed several forecasts showing the OVEC’s costs for energy and capacity will exceed PJM market prices. Therefore, the MPSC issued the following warning: </w:t>
      </w:r>
    </w:p>
    <w:p w:rsidR="00B556E8" w:rsidP="00B556E8" w14:paraId="271A9C01" w14:textId="117B49D7">
      <w:pPr>
        <w:ind w:left="1440" w:right="1080"/>
        <w:rPr>
          <w:rFonts w:ascii="Times New Roman" w:eastAsia="Times New Roman" w:hAnsi="Times New Roman" w:cs="Times New Roman"/>
          <w:sz w:val="24"/>
          <w:szCs w:val="24"/>
        </w:rPr>
      </w:pPr>
      <w:r w:rsidRPr="00B556E8">
        <w:rPr>
          <w:rFonts w:ascii="Times New Roman" w:eastAsia="Times New Roman" w:hAnsi="Times New Roman" w:cs="Times New Roman"/>
          <w:sz w:val="24"/>
          <w:szCs w:val="24"/>
        </w:rPr>
        <w:t xml:space="preserve">The company is put on notice that </w:t>
      </w:r>
      <w:r w:rsidRPr="00B556E8">
        <w:rPr>
          <w:rFonts w:ascii="Times New Roman" w:eastAsia="Times New Roman" w:hAnsi="Times New Roman" w:cs="Times New Roman"/>
          <w:i/>
          <w:iCs/>
          <w:sz w:val="24"/>
          <w:szCs w:val="24"/>
        </w:rPr>
        <w:t>the Commission is unlikely to permit the utility to recover these uneconomic costs</w:t>
      </w:r>
      <w:r w:rsidRPr="00B556E8">
        <w:rPr>
          <w:rFonts w:ascii="Times New Roman" w:eastAsia="Times New Roman" w:hAnsi="Times New Roman" w:cs="Times New Roman"/>
          <w:sz w:val="24"/>
          <w:szCs w:val="24"/>
        </w:rPr>
        <w:t xml:space="preserve"> from its customers in rates, rate schedules, or PSCR factors established in the future </w:t>
      </w:r>
      <w:r w:rsidRPr="00B556E8">
        <w:rPr>
          <w:rFonts w:ascii="Times New Roman" w:eastAsia="Times New Roman" w:hAnsi="Times New Roman" w:cs="Times New Roman"/>
          <w:i/>
          <w:iCs/>
          <w:sz w:val="24"/>
          <w:szCs w:val="24"/>
        </w:rPr>
        <w:t>without good faith efforts to manage existing contracts such as meaningful attempts to renegotiate contract provisions to ensure continued value for ratepayers</w:t>
      </w:r>
      <w:r w:rsidRPr="00B556E8">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9"/>
      </w:r>
      <w:r w:rsidRPr="00B556E8">
        <w:rPr>
          <w:rFonts w:ascii="Times New Roman" w:eastAsia="Times New Roman" w:hAnsi="Times New Roman" w:cs="Times New Roman"/>
          <w:sz w:val="24"/>
          <w:szCs w:val="24"/>
        </w:rPr>
        <w:t xml:space="preserve"> </w:t>
      </w:r>
    </w:p>
    <w:p w:rsidR="00B556E8" w:rsidRPr="00B556E8" w:rsidP="00B556E8" w14:paraId="41CC7BAC" w14:textId="77777777">
      <w:pPr>
        <w:ind w:left="1440" w:right="1080"/>
        <w:rPr>
          <w:rFonts w:ascii="Times New Roman" w:eastAsia="Times New Roman" w:hAnsi="Times New Roman" w:cs="Times New Roman"/>
          <w:sz w:val="24"/>
          <w:szCs w:val="24"/>
        </w:rPr>
      </w:pPr>
    </w:p>
    <w:p w:rsidR="00B556E8" w:rsidRPr="00B556E8" w:rsidP="00B556E8" w14:paraId="42DF9BCB" w14:textId="49422DDD">
      <w:pPr>
        <w:spacing w:line="480" w:lineRule="auto"/>
        <w:ind w:firstLine="720"/>
        <w:rPr>
          <w:rFonts w:ascii="Times New Roman" w:eastAsia="Times New Roman" w:hAnsi="Times New Roman" w:cs="Times New Roman"/>
          <w:sz w:val="24"/>
          <w:szCs w:val="24"/>
        </w:rPr>
      </w:pPr>
      <w:r w:rsidRPr="00B556E8">
        <w:rPr>
          <w:rFonts w:ascii="Times New Roman" w:eastAsia="Times New Roman" w:hAnsi="Times New Roman" w:cs="Times New Roman"/>
          <w:sz w:val="24"/>
          <w:szCs w:val="24"/>
        </w:rPr>
        <w:t>The Utilities should be constantly evaluating current and future projections of OVEC costs versus PJM market prices so that, if necessary, the Utilities can “renegotiate contract provisions to ensure continued value for ratepayers.” The PUCO should disallow any OVEC costs that exceed PJM market price</w:t>
      </w:r>
      <w:r w:rsidR="00713969">
        <w:rPr>
          <w:rFonts w:ascii="Times New Roman" w:eastAsia="Times New Roman" w:hAnsi="Times New Roman" w:cs="Times New Roman"/>
          <w:sz w:val="24"/>
          <w:szCs w:val="24"/>
        </w:rPr>
        <w:t>s.</w:t>
      </w:r>
      <w:r w:rsidR="000509C1">
        <w:rPr>
          <w:rFonts w:ascii="Times New Roman" w:eastAsia="Times New Roman" w:hAnsi="Times New Roman" w:cs="Times New Roman"/>
          <w:sz w:val="24"/>
          <w:szCs w:val="24"/>
        </w:rPr>
        <w:t xml:space="preserve"> </w:t>
      </w:r>
      <w:r w:rsidR="00713969">
        <w:rPr>
          <w:rFonts w:ascii="Times New Roman" w:eastAsia="Times New Roman" w:hAnsi="Times New Roman" w:cs="Times New Roman"/>
          <w:sz w:val="24"/>
          <w:szCs w:val="24"/>
        </w:rPr>
        <w:t>As a result, this topic is a proper subject for discovery and the PUCO should overrule the Utilities’ motion to quash.</w:t>
      </w:r>
    </w:p>
    <w:p w:rsidR="00B556E8" w:rsidRPr="00B556E8" w:rsidP="006A7E03" w14:paraId="6FA79C35" w14:textId="407848F2">
      <w:pPr>
        <w:pStyle w:val="Heading2"/>
      </w:pPr>
      <w:bookmarkStart w:id="10" w:name="_Toc90562583"/>
      <w:r>
        <w:t>E</w:t>
      </w:r>
      <w:r w:rsidRPr="00B556E8">
        <w:t>.</w:t>
      </w:r>
      <w:r w:rsidRPr="00B556E8">
        <w:tab/>
        <w:t>A party may depose a witness on matters “relevant to the subject matter of the proceeding” or “reasonably calculated to lead to the discovery of admissible evidence.”</w:t>
      </w:r>
      <w:bookmarkEnd w:id="10"/>
      <w:r w:rsidRPr="00B556E8">
        <w:tab/>
      </w:r>
    </w:p>
    <w:p w:rsidR="00B556E8" w:rsidRPr="00B556E8" w:rsidP="00B556E8" w14:paraId="58C154A2" w14:textId="1B8F4DF2">
      <w:pPr>
        <w:pStyle w:val="ListParagraph"/>
        <w:spacing w:line="480" w:lineRule="auto"/>
        <w:rPr>
          <w:rFonts w:ascii="Times New Roman" w:hAnsi="Times New Roman" w:cs="Times New Roman"/>
          <w:sz w:val="24"/>
          <w:szCs w:val="24"/>
        </w:rPr>
      </w:pPr>
      <w:r w:rsidRPr="00B556E8">
        <w:rPr>
          <w:rFonts w:ascii="Times New Roman" w:hAnsi="Times New Roman" w:cs="Times New Roman"/>
          <w:sz w:val="24"/>
          <w:szCs w:val="24"/>
        </w:rPr>
        <w:tab/>
        <w:t>The Utilities seek to quash the subpoena because it may lead to OVEC from testifying on matters outside the scope of each of the proceedings.</w:t>
      </w:r>
      <w:r>
        <w:rPr>
          <w:rStyle w:val="FootnoteReference"/>
          <w:rFonts w:ascii="Times New Roman" w:hAnsi="Times New Roman" w:cs="Times New Roman"/>
          <w:sz w:val="24"/>
          <w:szCs w:val="24"/>
        </w:rPr>
        <w:footnoteReference w:id="30"/>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This is not a valid ground for quashing a subpoena.</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PUCO should therefore overrule the Utilities’ motion to quash.</w:t>
      </w:r>
    </w:p>
    <w:p w:rsidR="00B556E8" w:rsidP="00B556E8" w14:paraId="0BD8B780" w14:textId="2B70FB4D">
      <w:pPr>
        <w:pStyle w:val="ListParagraph"/>
        <w:spacing w:line="480" w:lineRule="auto"/>
        <w:rPr>
          <w:rFonts w:ascii="Times New Roman" w:hAnsi="Times New Roman" w:cs="Times New Roman"/>
          <w:sz w:val="24"/>
          <w:szCs w:val="24"/>
        </w:rPr>
      </w:pPr>
      <w:r w:rsidRPr="00B556E8">
        <w:rPr>
          <w:rFonts w:ascii="Times New Roman" w:hAnsi="Times New Roman" w:cs="Times New Roman"/>
          <w:sz w:val="24"/>
          <w:szCs w:val="24"/>
        </w:rPr>
        <w:tab/>
        <w:t>As noted earlier, the proper test for whether a deposition should be allowed is whether the deposition seeks information “relevant to the subject matter of the proceeding” or “reasonably calculated to lead to the discovery of admissible evidence.”</w:t>
      </w:r>
      <w:r>
        <w:rPr>
          <w:rStyle w:val="FootnoteReference"/>
          <w:rFonts w:ascii="Times New Roman" w:hAnsi="Times New Roman" w:cs="Times New Roman"/>
          <w:sz w:val="24"/>
          <w:szCs w:val="24"/>
        </w:rPr>
        <w:footnoteReference w:id="31"/>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The information OCC seeks to obtain from OVEC goes to matters such as forecasts of OVEC costs vs. PJM market prices; planned capital investments for environmental compliance; seasonal operation of the OVEC plants and OVEC’s practice for committing the plants into the PJM Day-Ahead Energy Market.</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 xml:space="preserve"> These matters all go to the reasonableness, and hence prudency, of OVEC’s costs.</w:t>
      </w:r>
      <w:r w:rsidR="000509C1">
        <w:rPr>
          <w:rFonts w:ascii="Times New Roman" w:hAnsi="Times New Roman" w:cs="Times New Roman"/>
          <w:sz w:val="24"/>
          <w:szCs w:val="24"/>
        </w:rPr>
        <w:t xml:space="preserve"> </w:t>
      </w:r>
      <w:r w:rsidRPr="00B556E8">
        <w:rPr>
          <w:rFonts w:ascii="Times New Roman" w:hAnsi="Times New Roman" w:cs="Times New Roman"/>
          <w:sz w:val="24"/>
          <w:szCs w:val="24"/>
        </w:rPr>
        <w:t>This is the ultimate issue in all the cases and so these are proper topics for discovery.</w:t>
      </w:r>
      <w:r w:rsidR="000509C1">
        <w:rPr>
          <w:rFonts w:ascii="Times New Roman" w:hAnsi="Times New Roman" w:cs="Times New Roman"/>
          <w:sz w:val="24"/>
          <w:szCs w:val="24"/>
        </w:rPr>
        <w:t xml:space="preserve"> </w:t>
      </w:r>
      <w:r w:rsidR="00713969">
        <w:rPr>
          <w:rFonts w:ascii="Times New Roman" w:hAnsi="Times New Roman" w:cs="Times New Roman"/>
          <w:sz w:val="24"/>
          <w:szCs w:val="24"/>
        </w:rPr>
        <w:t>The PUCO should therefore overrule the Utilities’ motion to quash.</w:t>
      </w:r>
    </w:p>
    <w:p w:rsidR="00B556E8" w:rsidRPr="00B556E8" w:rsidP="00B556E8" w14:paraId="14046B84" w14:textId="29DA6D7A">
      <w:pPr>
        <w:pStyle w:val="Heading1"/>
      </w:pPr>
      <w:bookmarkStart w:id="11" w:name="_Toc90562584"/>
      <w:r w:rsidRPr="00B556E8">
        <w:t>CONCLUSION</w:t>
      </w:r>
      <w:bookmarkEnd w:id="11"/>
    </w:p>
    <w:p w:rsidR="00B556E8" w:rsidRPr="00B556E8" w:rsidP="00BF34C8" w14:paraId="089D5B68" w14:textId="31744D83">
      <w:pPr>
        <w:spacing w:line="480" w:lineRule="auto"/>
        <w:rPr>
          <w:rFonts w:ascii="Times New Roman" w:hAnsi="Times New Roman" w:cs="Times New Roman"/>
          <w:bCs/>
          <w:sz w:val="24"/>
          <w:szCs w:val="24"/>
        </w:rPr>
      </w:pPr>
      <w:r w:rsidRPr="00B556E8">
        <w:rPr>
          <w:rFonts w:ascii="Times New Roman" w:hAnsi="Times New Roman" w:cs="Times New Roman"/>
          <w:sz w:val="24"/>
          <w:szCs w:val="24"/>
        </w:rPr>
        <w:tab/>
        <w:t>OCC seeks to depose OVEC to obtain information that is relevant to whether OVEC’s costs are reasonable.</w:t>
      </w:r>
      <w:r w:rsidR="000509C1">
        <w:rPr>
          <w:rFonts w:ascii="Times New Roman" w:hAnsi="Times New Roman" w:cs="Times New Roman"/>
          <w:sz w:val="24"/>
          <w:szCs w:val="24"/>
        </w:rPr>
        <w:t xml:space="preserve"> </w:t>
      </w:r>
      <w:r w:rsidR="00BF34C8">
        <w:rPr>
          <w:rFonts w:ascii="Times New Roman" w:hAnsi="Times New Roman" w:cs="Times New Roman"/>
          <w:sz w:val="24"/>
          <w:szCs w:val="24"/>
        </w:rPr>
        <w:t xml:space="preserve">OCC has resolved above the Utilities’ objection to taking a single   </w:t>
      </w:r>
      <w:r w:rsidR="00405E3B">
        <w:rPr>
          <w:rFonts w:ascii="Times New Roman" w:hAnsi="Times New Roman" w:cs="Times New Roman"/>
          <w:sz w:val="24"/>
          <w:szCs w:val="24"/>
        </w:rPr>
        <w:t>deposition</w:t>
      </w:r>
      <w:r w:rsidR="00BF34C8">
        <w:rPr>
          <w:rFonts w:ascii="Times New Roman" w:hAnsi="Times New Roman" w:cs="Times New Roman"/>
          <w:sz w:val="24"/>
          <w:szCs w:val="24"/>
        </w:rPr>
        <w:t xml:space="preserve"> in multiple ca</w:t>
      </w:r>
      <w:r w:rsidR="004019BB">
        <w:rPr>
          <w:rFonts w:ascii="Times New Roman" w:hAnsi="Times New Roman" w:cs="Times New Roman"/>
          <w:sz w:val="24"/>
          <w:szCs w:val="24"/>
        </w:rPr>
        <w:t>s</w:t>
      </w:r>
      <w:r w:rsidR="00BF34C8">
        <w:rPr>
          <w:rFonts w:ascii="Times New Roman" w:hAnsi="Times New Roman" w:cs="Times New Roman"/>
          <w:sz w:val="24"/>
          <w:szCs w:val="24"/>
        </w:rPr>
        <w:t xml:space="preserve">es.  The PUCO should deny the AEP, Duke and AES Motion to </w:t>
      </w:r>
      <w:r w:rsidR="004019BB">
        <w:rPr>
          <w:rFonts w:ascii="Times New Roman" w:hAnsi="Times New Roman" w:cs="Times New Roman"/>
          <w:sz w:val="24"/>
          <w:szCs w:val="24"/>
        </w:rPr>
        <w:t>Q</w:t>
      </w:r>
      <w:r w:rsidR="00BF34C8">
        <w:rPr>
          <w:rFonts w:ascii="Times New Roman" w:hAnsi="Times New Roman" w:cs="Times New Roman"/>
          <w:sz w:val="24"/>
          <w:szCs w:val="24"/>
        </w:rPr>
        <w:t>uash the OCC subpoena.</w:t>
      </w:r>
    </w:p>
    <w:p w:rsidR="009F3A4D" w:rsidRPr="00B556E8" w14:paraId="78698B6B" w14:textId="2C9DCC56">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555E0545" w14:textId="77777777" w:rsidTr="004C2A8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4E6E9E" w:rsidRPr="00B556E8" w:rsidP="004E6578" w14:paraId="0F309452" w14:textId="77777777">
            <w:pPr>
              <w:pStyle w:val="Footer"/>
              <w:rPr>
                <w:sz w:val="24"/>
                <w:szCs w:val="24"/>
              </w:rPr>
            </w:pPr>
            <w:r w:rsidRPr="00B556E8">
              <w:rPr>
                <w:sz w:val="24"/>
                <w:szCs w:val="24"/>
              </w:rPr>
              <w:t>Respectfully submitted,</w:t>
            </w:r>
          </w:p>
          <w:p w:rsidR="004E6E9E" w:rsidRPr="00B556E8" w:rsidP="004E6578" w14:paraId="55B6BA4C" w14:textId="77777777">
            <w:pPr>
              <w:pStyle w:val="Footer"/>
              <w:rPr>
                <w:sz w:val="24"/>
                <w:szCs w:val="24"/>
              </w:rPr>
            </w:pPr>
          </w:p>
          <w:p w:rsidR="004E6E9E" w:rsidRPr="00B556E8" w:rsidP="004E6578" w14:paraId="5E15CB67" w14:textId="77777777">
            <w:pPr>
              <w:pStyle w:val="Footer"/>
              <w:rPr>
                <w:sz w:val="24"/>
                <w:szCs w:val="24"/>
              </w:rPr>
            </w:pPr>
            <w:r w:rsidRPr="00B556E8">
              <w:rPr>
                <w:sz w:val="24"/>
                <w:szCs w:val="24"/>
              </w:rPr>
              <w:t>Bruce Weston (0016973)</w:t>
            </w:r>
          </w:p>
          <w:p w:rsidR="004E6E9E" w:rsidRPr="00B556E8" w:rsidP="004E6578" w14:paraId="05290770" w14:textId="77777777">
            <w:pPr>
              <w:rPr>
                <w:sz w:val="24"/>
                <w:szCs w:val="24"/>
              </w:rPr>
            </w:pPr>
            <w:r w:rsidRPr="00B556E8">
              <w:rPr>
                <w:sz w:val="24"/>
                <w:szCs w:val="24"/>
              </w:rPr>
              <w:t>Ohio Consumers’ Counsel</w:t>
            </w:r>
          </w:p>
          <w:p w:rsidR="004E6E9E" w:rsidRPr="00B556E8" w:rsidP="004E6578" w14:paraId="120EFF13" w14:textId="77777777">
            <w:pPr>
              <w:pStyle w:val="ListParagraph"/>
              <w:rPr>
                <w:sz w:val="24"/>
                <w:szCs w:val="24"/>
              </w:rPr>
            </w:pPr>
            <w:r w:rsidRPr="00B556E8">
              <w:rPr>
                <w:sz w:val="24"/>
                <w:szCs w:val="24"/>
              </w:rPr>
              <w:tab/>
            </w:r>
          </w:p>
          <w:p w:rsidR="004E6E9E" w:rsidRPr="00B556E8" w:rsidP="004E6578" w14:paraId="645C35E5" w14:textId="77777777">
            <w:pPr>
              <w:tabs>
                <w:tab w:val="left" w:pos="4320"/>
              </w:tabs>
              <w:rPr>
                <w:i/>
                <w:iCs/>
                <w:sz w:val="24"/>
                <w:szCs w:val="24"/>
                <w:u w:val="single"/>
              </w:rPr>
            </w:pPr>
            <w:r w:rsidRPr="00B556E8">
              <w:rPr>
                <w:i/>
                <w:iCs/>
                <w:sz w:val="24"/>
                <w:szCs w:val="24"/>
                <w:u w:val="single"/>
              </w:rPr>
              <w:t>/s/ John Finnigan</w:t>
            </w:r>
          </w:p>
          <w:p w:rsidR="004E6E9E" w:rsidRPr="00B556E8" w:rsidP="004E6578" w14:paraId="408C82A9" w14:textId="77777777">
            <w:pPr>
              <w:tabs>
                <w:tab w:val="left" w:pos="4320"/>
              </w:tabs>
              <w:rPr>
                <w:sz w:val="24"/>
                <w:szCs w:val="24"/>
              </w:rPr>
            </w:pPr>
            <w:r w:rsidRPr="00B556E8">
              <w:rPr>
                <w:sz w:val="24"/>
                <w:szCs w:val="24"/>
              </w:rPr>
              <w:t>Christopher Healey (0086027)</w:t>
            </w:r>
          </w:p>
          <w:p w:rsidR="004E6E9E" w:rsidRPr="00B556E8" w:rsidP="004E6578" w14:paraId="697D5985" w14:textId="77777777">
            <w:pPr>
              <w:tabs>
                <w:tab w:val="left" w:pos="4320"/>
              </w:tabs>
              <w:rPr>
                <w:sz w:val="24"/>
                <w:szCs w:val="24"/>
              </w:rPr>
            </w:pPr>
            <w:r w:rsidRPr="00B556E8">
              <w:rPr>
                <w:sz w:val="24"/>
                <w:szCs w:val="24"/>
              </w:rPr>
              <w:t>Counsel of Record – 18-1004-EL-RDR et al</w:t>
            </w:r>
          </w:p>
          <w:p w:rsidR="004E6E9E" w:rsidRPr="00B556E8" w:rsidP="004E6578" w14:paraId="08E03224" w14:textId="77777777">
            <w:pPr>
              <w:tabs>
                <w:tab w:val="left" w:pos="4320"/>
              </w:tabs>
              <w:rPr>
                <w:sz w:val="24"/>
                <w:szCs w:val="24"/>
              </w:rPr>
            </w:pPr>
            <w:r w:rsidRPr="00B556E8">
              <w:rPr>
                <w:sz w:val="24"/>
                <w:szCs w:val="24"/>
              </w:rPr>
              <w:t>William Michael (0070921)</w:t>
            </w:r>
          </w:p>
          <w:p w:rsidR="004E6E9E" w:rsidRPr="00B556E8" w:rsidP="004E6578" w14:paraId="1BF034FF" w14:textId="77777777">
            <w:pPr>
              <w:tabs>
                <w:tab w:val="left" w:pos="4320"/>
              </w:tabs>
              <w:rPr>
                <w:sz w:val="24"/>
                <w:szCs w:val="24"/>
              </w:rPr>
            </w:pPr>
            <w:r w:rsidRPr="00B556E8">
              <w:rPr>
                <w:sz w:val="24"/>
                <w:szCs w:val="24"/>
              </w:rPr>
              <w:t>John Finnigan (0018689)</w:t>
            </w:r>
            <w:r w:rsidRPr="00B556E8">
              <w:rPr>
                <w:sz w:val="24"/>
                <w:szCs w:val="24"/>
              </w:rPr>
              <w:br/>
              <w:t>Assistant Consumers’ Counsel</w:t>
            </w:r>
          </w:p>
          <w:p w:rsidR="004E6E9E" w:rsidP="004E6578" w14:paraId="692DCAAA" w14:textId="42ED5992">
            <w:pPr>
              <w:tabs>
                <w:tab w:val="left" w:pos="4320"/>
              </w:tabs>
              <w:rPr>
                <w:sz w:val="24"/>
                <w:szCs w:val="24"/>
              </w:rPr>
            </w:pPr>
          </w:p>
          <w:p w:rsidR="004E6E9E" w:rsidRPr="00B556E8" w:rsidP="004E6578" w14:paraId="1CC4C629" w14:textId="77777777">
            <w:pPr>
              <w:rPr>
                <w:sz w:val="24"/>
                <w:szCs w:val="24"/>
              </w:rPr>
            </w:pPr>
            <w:r w:rsidRPr="00B556E8">
              <w:rPr>
                <w:sz w:val="24"/>
                <w:szCs w:val="24"/>
              </w:rPr>
              <w:t>William J. Michael (0070921)</w:t>
            </w:r>
          </w:p>
          <w:p w:rsidR="004E6E9E" w:rsidRPr="00B556E8" w:rsidP="004E6578" w14:paraId="43F2C3AC" w14:textId="77777777">
            <w:pPr>
              <w:rPr>
                <w:sz w:val="24"/>
                <w:szCs w:val="24"/>
              </w:rPr>
            </w:pPr>
            <w:r w:rsidRPr="00B556E8">
              <w:rPr>
                <w:sz w:val="24"/>
                <w:szCs w:val="24"/>
              </w:rPr>
              <w:t>Counsel of Record – 20-165-EL-RDR</w:t>
            </w:r>
          </w:p>
          <w:p w:rsidR="004E6E9E" w:rsidRPr="00B556E8" w:rsidP="004E6578" w14:paraId="534980D7" w14:textId="77777777">
            <w:pPr>
              <w:rPr>
                <w:sz w:val="24"/>
                <w:szCs w:val="24"/>
              </w:rPr>
            </w:pPr>
            <w:r w:rsidRPr="00B556E8">
              <w:rPr>
                <w:sz w:val="24"/>
                <w:szCs w:val="24"/>
              </w:rPr>
              <w:t xml:space="preserve">Amy Botschner O’Brien (0074423) </w:t>
            </w:r>
          </w:p>
          <w:p w:rsidR="004E6E9E" w:rsidRPr="00B556E8" w:rsidP="004E6578" w14:paraId="45E08C66" w14:textId="77777777">
            <w:pPr>
              <w:rPr>
                <w:sz w:val="24"/>
                <w:szCs w:val="24"/>
              </w:rPr>
            </w:pPr>
            <w:r w:rsidRPr="00B556E8">
              <w:rPr>
                <w:sz w:val="24"/>
                <w:szCs w:val="24"/>
              </w:rPr>
              <w:t>John Finnigan (0018689)</w:t>
            </w:r>
          </w:p>
          <w:p w:rsidR="004E6E9E" w:rsidRPr="00B556E8" w:rsidP="004E6578" w14:paraId="52770C28" w14:textId="77777777">
            <w:pPr>
              <w:rPr>
                <w:sz w:val="24"/>
                <w:szCs w:val="24"/>
              </w:rPr>
            </w:pPr>
            <w:r w:rsidRPr="00B556E8">
              <w:rPr>
                <w:sz w:val="24"/>
                <w:szCs w:val="24"/>
              </w:rPr>
              <w:t>Assistant Consumers’ Counsel</w:t>
            </w:r>
          </w:p>
          <w:p w:rsidR="004E6E9E" w:rsidRPr="00B556E8" w:rsidP="004E6578" w14:paraId="3C1A31F9" w14:textId="77777777">
            <w:pPr>
              <w:rPr>
                <w:sz w:val="24"/>
                <w:szCs w:val="24"/>
              </w:rPr>
            </w:pPr>
          </w:p>
          <w:p w:rsidR="00631B87" w:rsidRPr="00B556E8" w:rsidP="00631B87" w14:paraId="770A2BBF" w14:textId="77777777">
            <w:pPr>
              <w:rPr>
                <w:b/>
                <w:bCs/>
                <w:sz w:val="24"/>
                <w:szCs w:val="24"/>
              </w:rPr>
            </w:pPr>
            <w:r w:rsidRPr="00B556E8">
              <w:rPr>
                <w:sz w:val="24"/>
                <w:szCs w:val="24"/>
              </w:rPr>
              <w:t>Angela D. O’Brien (0097579)</w:t>
            </w:r>
          </w:p>
          <w:p w:rsidR="00631B87" w:rsidRPr="00B556E8" w:rsidP="00631B87" w14:paraId="5C3D40B0" w14:textId="1F1D5570">
            <w:pPr>
              <w:rPr>
                <w:b/>
                <w:bCs/>
                <w:sz w:val="24"/>
                <w:szCs w:val="24"/>
              </w:rPr>
            </w:pPr>
            <w:r w:rsidRPr="00B556E8">
              <w:rPr>
                <w:sz w:val="24"/>
                <w:szCs w:val="24"/>
              </w:rPr>
              <w:t>Counsel of Record – 20-167-EL-RDR</w:t>
            </w:r>
          </w:p>
          <w:p w:rsidR="00631B87" w:rsidRPr="00B556E8" w:rsidP="00631B87" w14:paraId="34E774FB" w14:textId="77777777">
            <w:pPr>
              <w:rPr>
                <w:b/>
                <w:bCs/>
                <w:sz w:val="24"/>
                <w:szCs w:val="24"/>
              </w:rPr>
            </w:pPr>
            <w:r w:rsidRPr="00B556E8">
              <w:rPr>
                <w:sz w:val="24"/>
                <w:szCs w:val="24"/>
              </w:rPr>
              <w:t>John Finnigan (0018689)</w:t>
            </w:r>
          </w:p>
          <w:p w:rsidR="00631B87" w:rsidRPr="00B556E8" w:rsidP="00631B87" w14:paraId="2E7FA13E" w14:textId="2B584091">
            <w:pPr>
              <w:rPr>
                <w:sz w:val="24"/>
                <w:szCs w:val="24"/>
              </w:rPr>
            </w:pPr>
            <w:r w:rsidRPr="00B556E8">
              <w:rPr>
                <w:sz w:val="24"/>
                <w:szCs w:val="24"/>
              </w:rPr>
              <w:t>Assistant Consumers’ Counsel</w:t>
            </w:r>
          </w:p>
          <w:p w:rsidR="004D1FA8" w:rsidRPr="00B556E8" w:rsidP="00631B87" w14:paraId="73B1C6F3" w14:textId="062A5509">
            <w:pPr>
              <w:rPr>
                <w:b/>
                <w:bCs/>
                <w:sz w:val="24"/>
                <w:szCs w:val="24"/>
              </w:rPr>
            </w:pPr>
          </w:p>
          <w:p w:rsidR="004E6E9E" w:rsidRPr="00B556E8" w:rsidP="004E6578" w14:paraId="042591F7" w14:textId="72CD240F">
            <w:pPr>
              <w:tabs>
                <w:tab w:val="left" w:pos="4320"/>
              </w:tabs>
              <w:rPr>
                <w:sz w:val="24"/>
                <w:szCs w:val="24"/>
              </w:rPr>
            </w:pPr>
            <w:r w:rsidRPr="00B556E8">
              <w:rPr>
                <w:sz w:val="24"/>
                <w:szCs w:val="24"/>
              </w:rPr>
              <w:t>John Finnigan (0018689)</w:t>
            </w:r>
          </w:p>
          <w:p w:rsidR="004E6E9E" w:rsidRPr="00B556E8" w:rsidP="004E6578" w14:paraId="305D72F8" w14:textId="77777777">
            <w:pPr>
              <w:tabs>
                <w:tab w:val="left" w:pos="4320"/>
              </w:tabs>
              <w:rPr>
                <w:sz w:val="24"/>
                <w:szCs w:val="24"/>
              </w:rPr>
            </w:pPr>
            <w:r w:rsidRPr="00B556E8">
              <w:rPr>
                <w:sz w:val="24"/>
                <w:szCs w:val="24"/>
              </w:rPr>
              <w:t>Counsel of Record – 21-477-EL-RDR</w:t>
            </w:r>
          </w:p>
          <w:p w:rsidR="004E6E9E" w:rsidRPr="00B556E8" w:rsidP="004E6578" w14:paraId="0C105D74" w14:textId="77777777">
            <w:pPr>
              <w:tabs>
                <w:tab w:val="left" w:pos="4320"/>
              </w:tabs>
              <w:rPr>
                <w:sz w:val="24"/>
                <w:szCs w:val="24"/>
              </w:rPr>
            </w:pPr>
            <w:r w:rsidRPr="00B556E8">
              <w:rPr>
                <w:sz w:val="24"/>
                <w:szCs w:val="24"/>
              </w:rPr>
              <w:t>William J. Michael (#0070921)</w:t>
            </w:r>
          </w:p>
          <w:p w:rsidR="004E6E9E" w:rsidRPr="00B556E8" w:rsidP="004E6578" w14:paraId="01230284" w14:textId="7D941A27">
            <w:pPr>
              <w:tabs>
                <w:tab w:val="left" w:pos="4320"/>
              </w:tabs>
              <w:rPr>
                <w:sz w:val="24"/>
                <w:szCs w:val="24"/>
              </w:rPr>
            </w:pPr>
            <w:r w:rsidRPr="00B556E8">
              <w:rPr>
                <w:sz w:val="24"/>
                <w:szCs w:val="24"/>
              </w:rPr>
              <w:t>Assistant Consumers’ Counsel</w:t>
            </w:r>
          </w:p>
          <w:p w:rsidR="004E6E9E" w:rsidRPr="00B556E8" w:rsidP="004E6578" w14:paraId="372429BE" w14:textId="77777777">
            <w:pPr>
              <w:ind w:left="3600"/>
              <w:rPr>
                <w:b/>
                <w:bCs/>
                <w:sz w:val="24"/>
                <w:szCs w:val="24"/>
              </w:rPr>
            </w:pPr>
          </w:p>
        </w:tc>
        <w:tc>
          <w:tcPr>
            <w:tcW w:w="4675" w:type="dxa"/>
          </w:tcPr>
          <w:p w:rsidR="004C2A88" w:rsidRPr="00B556E8" w:rsidP="004E6578" w14:paraId="4819BDDE" w14:textId="77777777">
            <w:pPr>
              <w:tabs>
                <w:tab w:val="left" w:pos="4320"/>
              </w:tabs>
              <w:rPr>
                <w:b/>
                <w:sz w:val="24"/>
                <w:szCs w:val="24"/>
              </w:rPr>
            </w:pPr>
          </w:p>
          <w:p w:rsidR="004E6E9E" w:rsidRPr="00B556E8" w:rsidP="004E6578" w14:paraId="016222D0" w14:textId="2B5EC0F6">
            <w:pPr>
              <w:tabs>
                <w:tab w:val="left" w:pos="4320"/>
              </w:tabs>
              <w:rPr>
                <w:b/>
                <w:bCs/>
                <w:sz w:val="24"/>
                <w:szCs w:val="24"/>
              </w:rPr>
            </w:pPr>
            <w:r w:rsidRPr="00B556E8">
              <w:rPr>
                <w:b/>
                <w:sz w:val="24"/>
                <w:szCs w:val="24"/>
              </w:rPr>
              <w:t>Office of the Ohio Consumers’ Counsel</w:t>
            </w:r>
          </w:p>
          <w:p w:rsidR="004E6E9E" w:rsidRPr="00B556E8" w:rsidP="004E6578" w14:paraId="2CDE3AC3" w14:textId="35A0647C">
            <w:pPr>
              <w:rPr>
                <w:sz w:val="24"/>
                <w:szCs w:val="24"/>
              </w:rPr>
            </w:pPr>
            <w:r w:rsidRPr="00B556E8">
              <w:rPr>
                <w:sz w:val="24"/>
                <w:szCs w:val="24"/>
              </w:rPr>
              <w:t xml:space="preserve">65 East State Street, </w:t>
            </w:r>
            <w:r w:rsidRPr="00B556E8" w:rsidR="004C2A88">
              <w:rPr>
                <w:sz w:val="24"/>
                <w:szCs w:val="24"/>
              </w:rPr>
              <w:t>Suite 700</w:t>
            </w:r>
          </w:p>
          <w:p w:rsidR="004E6E9E" w:rsidRPr="00B556E8" w:rsidP="004E6578" w14:paraId="64812354" w14:textId="77777777">
            <w:pPr>
              <w:rPr>
                <w:sz w:val="24"/>
                <w:szCs w:val="24"/>
              </w:rPr>
            </w:pPr>
            <w:r w:rsidRPr="00B556E8">
              <w:rPr>
                <w:sz w:val="24"/>
                <w:szCs w:val="24"/>
              </w:rPr>
              <w:t>Columbus, Ohio 43215</w:t>
            </w:r>
          </w:p>
          <w:p w:rsidR="004E6E9E" w:rsidRPr="00B556E8" w:rsidP="004E6578" w14:paraId="493546B6" w14:textId="77777777">
            <w:pPr>
              <w:autoSpaceDE w:val="0"/>
              <w:autoSpaceDN w:val="0"/>
              <w:adjustRightInd w:val="0"/>
              <w:rPr>
                <w:sz w:val="24"/>
                <w:szCs w:val="24"/>
              </w:rPr>
            </w:pPr>
            <w:r w:rsidRPr="00B556E8">
              <w:rPr>
                <w:sz w:val="24"/>
                <w:szCs w:val="24"/>
              </w:rPr>
              <w:t>Telephone [Healey]: (614) 466-9571</w:t>
            </w:r>
          </w:p>
          <w:p w:rsidR="004E6E9E" w:rsidRPr="00B556E8" w:rsidP="004E6578" w14:paraId="1BE69993" w14:textId="77777777">
            <w:pPr>
              <w:autoSpaceDE w:val="0"/>
              <w:autoSpaceDN w:val="0"/>
              <w:adjustRightInd w:val="0"/>
              <w:rPr>
                <w:sz w:val="24"/>
                <w:szCs w:val="24"/>
              </w:rPr>
            </w:pPr>
            <w:r w:rsidRPr="00B556E8">
              <w:rPr>
                <w:sz w:val="24"/>
                <w:szCs w:val="24"/>
              </w:rPr>
              <w:t>Telephone [Michael]: (614) 466-1291</w:t>
            </w:r>
          </w:p>
          <w:p w:rsidR="004E6E9E" w:rsidRPr="00B556E8" w:rsidP="004E6578" w14:paraId="789E4DA1" w14:textId="77777777">
            <w:pPr>
              <w:rPr>
                <w:b/>
                <w:bCs/>
                <w:sz w:val="24"/>
                <w:szCs w:val="24"/>
              </w:rPr>
            </w:pPr>
            <w:r w:rsidRPr="00B556E8">
              <w:rPr>
                <w:sz w:val="24"/>
                <w:szCs w:val="24"/>
              </w:rPr>
              <w:t>Telephone [Botschner]: (614) 466-9575</w:t>
            </w:r>
          </w:p>
          <w:p w:rsidR="004E6E9E" w:rsidRPr="00B556E8" w:rsidP="004E6578" w14:paraId="6C15004A" w14:textId="43636AF3">
            <w:pPr>
              <w:autoSpaceDE w:val="0"/>
              <w:autoSpaceDN w:val="0"/>
              <w:adjustRightInd w:val="0"/>
              <w:rPr>
                <w:sz w:val="24"/>
                <w:szCs w:val="24"/>
              </w:rPr>
            </w:pPr>
            <w:r w:rsidRPr="00B556E8">
              <w:rPr>
                <w:sz w:val="24"/>
                <w:szCs w:val="24"/>
              </w:rPr>
              <w:t>Telephone [Finnigan]: (614) 466-9585</w:t>
            </w:r>
          </w:p>
          <w:p w:rsidR="00631B87" w:rsidRPr="00B556E8" w:rsidP="004E6578" w14:paraId="580ACE22" w14:textId="1C97F2A8">
            <w:pPr>
              <w:autoSpaceDE w:val="0"/>
              <w:autoSpaceDN w:val="0"/>
              <w:adjustRightInd w:val="0"/>
              <w:rPr>
                <w:sz w:val="24"/>
                <w:szCs w:val="24"/>
              </w:rPr>
            </w:pPr>
            <w:r w:rsidRPr="00B556E8">
              <w:rPr>
                <w:sz w:val="24"/>
                <w:szCs w:val="24"/>
              </w:rPr>
              <w:t>Telephone [O’Brien</w:t>
            </w:r>
            <w:r w:rsidRPr="00B556E8" w:rsidR="00335C21">
              <w:rPr>
                <w:sz w:val="24"/>
                <w:szCs w:val="24"/>
              </w:rPr>
              <w:t>]: (614) 466-9531</w:t>
            </w:r>
          </w:p>
          <w:p w:rsidR="004E6E9E" w:rsidRPr="00B556E8" w:rsidP="004E6578" w14:paraId="7CB8F8D0" w14:textId="77777777">
            <w:pPr>
              <w:autoSpaceDE w:val="0"/>
              <w:autoSpaceDN w:val="0"/>
              <w:adjustRightInd w:val="0"/>
              <w:rPr>
                <w:sz w:val="24"/>
                <w:szCs w:val="24"/>
              </w:rPr>
            </w:pPr>
            <w:hyperlink r:id="rId6" w:history="1">
              <w:r w:rsidRPr="00B556E8" w:rsidR="00B556E8">
                <w:rPr>
                  <w:rStyle w:val="Hyperlink"/>
                  <w:sz w:val="24"/>
                  <w:szCs w:val="24"/>
                </w:rPr>
                <w:t>christopher.healey@occ.ohio.gov</w:t>
              </w:r>
            </w:hyperlink>
          </w:p>
          <w:p w:rsidR="004E6E9E" w:rsidRPr="00B556E8" w:rsidP="004E6578" w14:paraId="5F2E2CFC" w14:textId="77777777">
            <w:pPr>
              <w:autoSpaceDE w:val="0"/>
              <w:autoSpaceDN w:val="0"/>
              <w:adjustRightInd w:val="0"/>
              <w:rPr>
                <w:sz w:val="24"/>
                <w:szCs w:val="24"/>
              </w:rPr>
            </w:pPr>
            <w:hyperlink r:id="rId7" w:history="1">
              <w:r w:rsidRPr="00B556E8" w:rsidR="00B556E8">
                <w:rPr>
                  <w:rStyle w:val="Hyperlink"/>
                  <w:sz w:val="24"/>
                  <w:szCs w:val="24"/>
                </w:rPr>
                <w:t>william.michael@occ.ohio.gov</w:t>
              </w:r>
            </w:hyperlink>
          </w:p>
          <w:p w:rsidR="004E6E9E" w:rsidRPr="00B556E8" w:rsidP="004E6578" w14:paraId="0980AF45" w14:textId="77777777">
            <w:pPr>
              <w:rPr>
                <w:sz w:val="24"/>
                <w:szCs w:val="24"/>
              </w:rPr>
            </w:pPr>
            <w:hyperlink r:id="rId8" w:history="1">
              <w:r w:rsidRPr="00B556E8" w:rsidR="00B556E8">
                <w:rPr>
                  <w:rStyle w:val="Hyperlink"/>
                  <w:sz w:val="24"/>
                  <w:szCs w:val="24"/>
                </w:rPr>
                <w:t>amy.botschner.obrien@occ.ohio.gov</w:t>
              </w:r>
            </w:hyperlink>
          </w:p>
          <w:p w:rsidR="004E6E9E" w:rsidRPr="00B556E8" w:rsidP="004E6578" w14:paraId="28D096E0" w14:textId="0C44D380">
            <w:pPr>
              <w:autoSpaceDE w:val="0"/>
              <w:autoSpaceDN w:val="0"/>
              <w:adjustRightInd w:val="0"/>
              <w:rPr>
                <w:rStyle w:val="Hyperlink"/>
                <w:sz w:val="24"/>
                <w:szCs w:val="24"/>
              </w:rPr>
            </w:pPr>
            <w:hyperlink r:id="rId9" w:history="1">
              <w:r w:rsidRPr="00B556E8" w:rsidR="00B556E8">
                <w:rPr>
                  <w:rStyle w:val="Hyperlink"/>
                  <w:sz w:val="24"/>
                  <w:szCs w:val="24"/>
                </w:rPr>
                <w:t>john.finnigan@occ.ohio.gov</w:t>
              </w:r>
            </w:hyperlink>
          </w:p>
          <w:p w:rsidR="00335C21" w:rsidRPr="00B556E8" w:rsidP="004E6578" w14:paraId="47729F61" w14:textId="37850568">
            <w:pPr>
              <w:autoSpaceDE w:val="0"/>
              <w:autoSpaceDN w:val="0"/>
              <w:adjustRightInd w:val="0"/>
              <w:rPr>
                <w:rStyle w:val="Hyperlink"/>
                <w:sz w:val="24"/>
                <w:szCs w:val="24"/>
              </w:rPr>
            </w:pPr>
            <w:hyperlink r:id="rId15" w:history="1">
              <w:r w:rsidRPr="00B556E8" w:rsidR="00B556E8">
                <w:rPr>
                  <w:rStyle w:val="Hyperlink"/>
                  <w:sz w:val="24"/>
                  <w:szCs w:val="24"/>
                </w:rPr>
                <w:t>angela.obrien@occ.ohio.gov</w:t>
              </w:r>
            </w:hyperlink>
          </w:p>
          <w:p w:rsidR="004E6E9E" w:rsidRPr="00B556E8" w:rsidP="004E6578" w14:paraId="6538DAAD" w14:textId="77777777">
            <w:pPr>
              <w:autoSpaceDE w:val="0"/>
              <w:autoSpaceDN w:val="0"/>
              <w:adjustRightInd w:val="0"/>
              <w:rPr>
                <w:rStyle w:val="Hyperlink"/>
                <w:color w:val="auto"/>
                <w:sz w:val="24"/>
                <w:szCs w:val="24"/>
                <w:u w:val="none"/>
              </w:rPr>
            </w:pPr>
            <w:r w:rsidRPr="00B556E8">
              <w:rPr>
                <w:rStyle w:val="Hyperlink"/>
                <w:color w:val="auto"/>
                <w:sz w:val="24"/>
                <w:szCs w:val="24"/>
                <w:u w:val="none"/>
              </w:rPr>
              <w:t>(willing to accept service by e-mail)</w:t>
            </w:r>
          </w:p>
          <w:p w:rsidR="004E6E9E" w:rsidP="004E6578" w14:paraId="66EF86F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rsidR="000509C1" w:rsidP="004E6578" w14:paraId="6217E44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rsidR="000509C1" w:rsidRPr="00B556E8" w:rsidP="000509C1" w14:paraId="499E46DF" w14:textId="77777777">
            <w:pPr>
              <w:tabs>
                <w:tab w:val="left" w:pos="4320"/>
              </w:tabs>
              <w:rPr>
                <w:sz w:val="24"/>
                <w:szCs w:val="24"/>
              </w:rPr>
            </w:pPr>
            <w:r w:rsidRPr="00B556E8">
              <w:rPr>
                <w:sz w:val="24"/>
                <w:szCs w:val="24"/>
              </w:rPr>
              <w:t>ISAAC WILES &amp; BURKHOLDER, LLC</w:t>
            </w:r>
          </w:p>
          <w:p w:rsidR="000509C1" w:rsidRPr="00B556E8" w:rsidP="000509C1" w14:paraId="5811BE3D" w14:textId="77777777">
            <w:pPr>
              <w:tabs>
                <w:tab w:val="left" w:pos="4320"/>
              </w:tabs>
              <w:rPr>
                <w:sz w:val="24"/>
                <w:szCs w:val="24"/>
              </w:rPr>
            </w:pPr>
            <w:r w:rsidRPr="00B556E8">
              <w:rPr>
                <w:sz w:val="24"/>
                <w:szCs w:val="24"/>
              </w:rPr>
              <w:t>Brian M. Zets (0066544)</w:t>
            </w:r>
          </w:p>
          <w:p w:rsidR="000509C1" w:rsidRPr="00B556E8" w:rsidP="000509C1" w14:paraId="3BBC1336" w14:textId="77777777">
            <w:pPr>
              <w:tabs>
                <w:tab w:val="left" w:pos="4320"/>
              </w:tabs>
              <w:rPr>
                <w:sz w:val="24"/>
                <w:szCs w:val="24"/>
              </w:rPr>
            </w:pPr>
            <w:r w:rsidRPr="00B556E8">
              <w:rPr>
                <w:sz w:val="24"/>
                <w:szCs w:val="24"/>
              </w:rPr>
              <w:t>Two Miranova Place, Suite 700</w:t>
            </w:r>
          </w:p>
          <w:p w:rsidR="000509C1" w:rsidRPr="00B556E8" w:rsidP="000509C1" w14:paraId="3939CB6B" w14:textId="77777777">
            <w:pPr>
              <w:tabs>
                <w:tab w:val="left" w:pos="4320"/>
              </w:tabs>
              <w:rPr>
                <w:sz w:val="24"/>
                <w:szCs w:val="24"/>
              </w:rPr>
            </w:pPr>
            <w:r w:rsidRPr="00B556E8">
              <w:rPr>
                <w:sz w:val="24"/>
                <w:szCs w:val="24"/>
              </w:rPr>
              <w:t>Columbus, Ohio 43215</w:t>
            </w:r>
          </w:p>
          <w:p w:rsidR="000509C1" w:rsidRPr="00B556E8" w:rsidP="000509C1" w14:paraId="793DA8AD" w14:textId="77777777">
            <w:pPr>
              <w:tabs>
                <w:tab w:val="left" w:pos="4320"/>
              </w:tabs>
              <w:rPr>
                <w:sz w:val="24"/>
                <w:szCs w:val="24"/>
              </w:rPr>
            </w:pPr>
            <w:r w:rsidRPr="00B556E8">
              <w:rPr>
                <w:sz w:val="24"/>
                <w:szCs w:val="24"/>
              </w:rPr>
              <w:t>Tel:</w:t>
            </w:r>
            <w:r>
              <w:rPr>
                <w:sz w:val="24"/>
                <w:szCs w:val="24"/>
              </w:rPr>
              <w:t xml:space="preserve"> </w:t>
            </w:r>
            <w:r w:rsidRPr="00B556E8">
              <w:rPr>
                <w:sz w:val="24"/>
                <w:szCs w:val="24"/>
              </w:rPr>
              <w:t>614-221-2121</w:t>
            </w:r>
          </w:p>
          <w:p w:rsidR="000509C1" w:rsidRPr="00B556E8" w:rsidP="000509C1" w14:paraId="4D7CE8C3" w14:textId="77777777">
            <w:pPr>
              <w:tabs>
                <w:tab w:val="left" w:pos="4320"/>
              </w:tabs>
              <w:rPr>
                <w:sz w:val="24"/>
                <w:szCs w:val="24"/>
              </w:rPr>
            </w:pPr>
            <w:r w:rsidRPr="00B556E8">
              <w:rPr>
                <w:sz w:val="24"/>
                <w:szCs w:val="24"/>
              </w:rPr>
              <w:t>FAX:</w:t>
            </w:r>
            <w:r>
              <w:rPr>
                <w:sz w:val="24"/>
                <w:szCs w:val="24"/>
              </w:rPr>
              <w:t xml:space="preserve"> </w:t>
            </w:r>
            <w:r w:rsidRPr="00B556E8">
              <w:rPr>
                <w:sz w:val="24"/>
                <w:szCs w:val="24"/>
              </w:rPr>
              <w:t>614-365-9516</w:t>
            </w:r>
          </w:p>
          <w:p w:rsidR="000509C1" w:rsidRPr="00B556E8" w:rsidP="000509C1" w14:paraId="4BFA5AAE" w14:textId="77777777">
            <w:pPr>
              <w:tabs>
                <w:tab w:val="left" w:pos="4320"/>
              </w:tabs>
              <w:rPr>
                <w:sz w:val="24"/>
                <w:szCs w:val="24"/>
              </w:rPr>
            </w:pPr>
            <w:hyperlink r:id="rId16" w:history="1">
              <w:r w:rsidRPr="00B556E8">
                <w:rPr>
                  <w:rStyle w:val="Hyperlink"/>
                  <w:sz w:val="24"/>
                  <w:szCs w:val="24"/>
                </w:rPr>
                <w:t>bzets@isaacwiles.com</w:t>
              </w:r>
            </w:hyperlink>
          </w:p>
          <w:p w:rsidR="000509C1" w:rsidRPr="00B556E8" w:rsidP="000509C1" w14:paraId="5E7596E2" w14:textId="77777777">
            <w:pPr>
              <w:tabs>
                <w:tab w:val="left" w:pos="4320"/>
              </w:tabs>
              <w:rPr>
                <w:sz w:val="24"/>
                <w:szCs w:val="24"/>
              </w:rPr>
            </w:pPr>
            <w:r w:rsidRPr="00B556E8">
              <w:rPr>
                <w:sz w:val="24"/>
                <w:szCs w:val="24"/>
              </w:rPr>
              <w:t>(willing to accept service by e-mail)</w:t>
            </w:r>
          </w:p>
          <w:p w:rsidR="000509C1" w:rsidRPr="00B556E8" w:rsidP="004E6578" w14:paraId="512A0DBE" w14:textId="0E18A2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tc>
      </w:tr>
    </w:tbl>
    <w:p w:rsidR="00406936" w:rsidRPr="00B556E8" w:rsidP="004E6E9E" w14:paraId="52BA37C7" w14:textId="77777777">
      <w:pPr>
        <w:pStyle w:val="ListParagraph"/>
        <w:autoSpaceDE w:val="0"/>
        <w:autoSpaceDN w:val="0"/>
        <w:adjustRightInd w:val="0"/>
        <w:rPr>
          <w:rStyle w:val="Hyperlink"/>
          <w:rFonts w:ascii="Times New Roman" w:hAnsi="Times New Roman" w:cs="Times New Roman"/>
          <w:color w:val="auto"/>
          <w:sz w:val="24"/>
          <w:szCs w:val="24"/>
          <w:u w:val="none"/>
        </w:rPr>
      </w:pPr>
    </w:p>
    <w:p w:rsidR="0016291E" w:rsidRPr="00B556E8" w:rsidP="0016291E" w14:paraId="60A0BDED" w14:textId="77777777">
      <w:pPr>
        <w:tabs>
          <w:tab w:val="left" w:pos="4320"/>
        </w:tabs>
        <w:ind w:left="3600"/>
        <w:rPr>
          <w:rFonts w:ascii="Times New Roman" w:hAnsi="Times New Roman" w:cs="Times New Roman"/>
          <w:sz w:val="24"/>
          <w:szCs w:val="24"/>
        </w:rPr>
      </w:pPr>
      <w:r w:rsidRPr="00B556E8">
        <w:rPr>
          <w:rFonts w:ascii="Times New Roman" w:hAnsi="Times New Roman" w:cs="Times New Roman"/>
          <w:sz w:val="24"/>
          <w:szCs w:val="24"/>
        </w:rPr>
        <w:tab/>
      </w:r>
    </w:p>
    <w:p w:rsidR="0061608D" w:rsidRPr="00B556E8" w:rsidP="00E24676" w14:paraId="27EDA701" w14:textId="77777777">
      <w:pPr>
        <w:ind w:left="3600"/>
        <w:rPr>
          <w:rFonts w:ascii="Times New Roman" w:hAnsi="Times New Roman" w:cs="Times New Roman"/>
          <w:sz w:val="24"/>
          <w:szCs w:val="24"/>
        </w:rPr>
        <w:sectPr w:rsidSect="00335C21">
          <w:footerReference w:type="even" r:id="rId17"/>
          <w:pgSz w:w="12240" w:h="15840"/>
          <w:pgMar w:top="1440" w:right="1440" w:bottom="1440" w:left="1440" w:header="1547" w:footer="432" w:gutter="0"/>
          <w:pgNumType w:start="1"/>
          <w:cols w:space="720"/>
          <w:docGrid w:linePitch="299"/>
        </w:sectPr>
      </w:pPr>
    </w:p>
    <w:p w:rsidR="0061608D" w:rsidRPr="00B556E8" w:rsidP="0061608D" w14:paraId="1D2F3E4F" w14:textId="77777777">
      <w:pPr>
        <w:jc w:val="center"/>
        <w:rPr>
          <w:rFonts w:ascii="Times New Roman" w:hAnsi="Times New Roman" w:cs="Times New Roman"/>
          <w:b/>
          <w:sz w:val="24"/>
          <w:szCs w:val="24"/>
          <w:u w:val="single"/>
        </w:rPr>
      </w:pPr>
      <w:r w:rsidRPr="00B556E8">
        <w:rPr>
          <w:rFonts w:ascii="Times New Roman" w:hAnsi="Times New Roman" w:cs="Times New Roman"/>
          <w:b/>
          <w:sz w:val="24"/>
          <w:szCs w:val="24"/>
          <w:u w:val="single"/>
        </w:rPr>
        <w:t>CERTIFICATE OF SERVICE</w:t>
      </w:r>
    </w:p>
    <w:p w:rsidR="0061608D" w:rsidRPr="00B556E8" w:rsidP="0061608D" w14:paraId="3876217C" w14:textId="77777777">
      <w:pPr>
        <w:jc w:val="center"/>
        <w:rPr>
          <w:rFonts w:ascii="Times New Roman" w:hAnsi="Times New Roman" w:cs="Times New Roman"/>
          <w:bCs/>
          <w:sz w:val="24"/>
          <w:szCs w:val="24"/>
        </w:rPr>
      </w:pPr>
    </w:p>
    <w:p w:rsidR="0061608D" w:rsidRPr="00B556E8" w:rsidP="0061608D" w14:paraId="26EF6226" w14:textId="37C480D5">
      <w:pPr>
        <w:suppressAutoHyphens/>
        <w:spacing w:line="480" w:lineRule="auto"/>
        <w:ind w:firstLine="720"/>
        <w:rPr>
          <w:rFonts w:ascii="Times New Roman" w:hAnsi="Times New Roman" w:cs="Times New Roman"/>
          <w:spacing w:val="-3"/>
          <w:sz w:val="24"/>
          <w:szCs w:val="24"/>
        </w:rPr>
      </w:pPr>
      <w:r w:rsidRPr="00B556E8">
        <w:rPr>
          <w:rFonts w:ascii="Times New Roman" w:hAnsi="Times New Roman" w:cs="Times New Roman"/>
          <w:spacing w:val="-3"/>
          <w:sz w:val="24"/>
          <w:szCs w:val="24"/>
        </w:rPr>
        <w:t xml:space="preserve">It is hereby certified that a true copy of the foregoing </w:t>
      </w:r>
      <w:r>
        <w:rPr>
          <w:rFonts w:ascii="Times New Roman" w:hAnsi="Times New Roman" w:cs="Times New Roman"/>
          <w:spacing w:val="-3"/>
          <w:sz w:val="24"/>
          <w:szCs w:val="24"/>
        </w:rPr>
        <w:t>Memorandum Contra</w:t>
      </w:r>
      <w:r w:rsidRPr="00B556E8" w:rsidR="00FA4344">
        <w:rPr>
          <w:rFonts w:ascii="Times New Roman" w:hAnsi="Times New Roman" w:cs="Times New Roman"/>
          <w:spacing w:val="-3"/>
          <w:sz w:val="24"/>
          <w:szCs w:val="24"/>
        </w:rPr>
        <w:t xml:space="preserve"> </w:t>
      </w:r>
      <w:r w:rsidRPr="00B556E8">
        <w:rPr>
          <w:rFonts w:ascii="Times New Roman" w:hAnsi="Times New Roman" w:cs="Times New Roman"/>
          <w:spacing w:val="-3"/>
          <w:sz w:val="24"/>
          <w:szCs w:val="24"/>
        </w:rPr>
        <w:t xml:space="preserve">was served upon the persons listed below by electronic transmission this </w:t>
      </w:r>
      <w:r>
        <w:rPr>
          <w:rFonts w:ascii="Times New Roman" w:hAnsi="Times New Roman" w:cs="Times New Roman"/>
          <w:spacing w:val="-3"/>
          <w:sz w:val="24"/>
          <w:szCs w:val="24"/>
        </w:rPr>
        <w:t>16</w:t>
      </w:r>
      <w:r w:rsidRPr="00B556E8" w:rsidR="004C2A88">
        <w:rPr>
          <w:rFonts w:ascii="Times New Roman" w:hAnsi="Times New Roman" w:cs="Times New Roman"/>
          <w:spacing w:val="-3"/>
          <w:sz w:val="24"/>
          <w:szCs w:val="24"/>
        </w:rPr>
        <w:t>th</w:t>
      </w:r>
      <w:r w:rsidRPr="00B556E8">
        <w:rPr>
          <w:rFonts w:ascii="Times New Roman" w:hAnsi="Times New Roman" w:cs="Times New Roman"/>
          <w:spacing w:val="-3"/>
          <w:sz w:val="24"/>
          <w:szCs w:val="24"/>
        </w:rPr>
        <w:t xml:space="preserve"> day of </w:t>
      </w:r>
      <w:r>
        <w:rPr>
          <w:rFonts w:ascii="Times New Roman" w:hAnsi="Times New Roman" w:cs="Times New Roman"/>
          <w:spacing w:val="-3"/>
          <w:sz w:val="24"/>
          <w:szCs w:val="24"/>
        </w:rPr>
        <w:t>December</w:t>
      </w:r>
      <w:r w:rsidRPr="00B556E8">
        <w:rPr>
          <w:rFonts w:ascii="Times New Roman" w:hAnsi="Times New Roman" w:cs="Times New Roman"/>
          <w:spacing w:val="-3"/>
          <w:sz w:val="24"/>
          <w:szCs w:val="24"/>
        </w:rPr>
        <w:t xml:space="preserve"> 2021.</w:t>
      </w:r>
    </w:p>
    <w:p w:rsidR="0061608D" w:rsidRPr="00B556E8" w:rsidP="009F3A4D" w14:paraId="087BF4AE" w14:textId="664516AD">
      <w:pPr>
        <w:pStyle w:val="EndnoteText"/>
        <w:widowControl/>
        <w:rPr>
          <w:rFonts w:ascii="Times New Roman" w:hAnsi="Times New Roman"/>
          <w:snapToGrid/>
          <w:szCs w:val="24"/>
        </w:rPr>
      </w:pP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i/>
          <w:iCs/>
          <w:snapToGrid/>
          <w:szCs w:val="24"/>
          <w:u w:val="single"/>
        </w:rPr>
        <w:t xml:space="preserve">/s/ </w:t>
      </w:r>
      <w:r w:rsidRPr="00B556E8" w:rsidR="009F3A4D">
        <w:rPr>
          <w:rFonts w:ascii="Times New Roman" w:hAnsi="Times New Roman"/>
          <w:i/>
          <w:iCs/>
          <w:snapToGrid/>
          <w:szCs w:val="24"/>
          <w:u w:val="single"/>
        </w:rPr>
        <w:t>John Finnigan</w:t>
      </w: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r>
      <w:r w:rsidRPr="00B556E8" w:rsidR="0016291E">
        <w:rPr>
          <w:rFonts w:ascii="Times New Roman" w:hAnsi="Times New Roman"/>
          <w:snapToGrid/>
          <w:szCs w:val="24"/>
        </w:rPr>
        <w:tab/>
      </w:r>
      <w:r w:rsidRPr="00B556E8" w:rsidR="0016291E">
        <w:rPr>
          <w:rFonts w:ascii="Times New Roman" w:hAnsi="Times New Roman"/>
          <w:snapToGrid/>
          <w:szCs w:val="24"/>
        </w:rPr>
        <w:tab/>
      </w:r>
      <w:r w:rsidRPr="00B556E8" w:rsidR="0016291E">
        <w:rPr>
          <w:rFonts w:ascii="Times New Roman" w:hAnsi="Times New Roman"/>
          <w:snapToGrid/>
          <w:szCs w:val="24"/>
        </w:rPr>
        <w:tab/>
      </w:r>
      <w:r w:rsidRPr="00B556E8" w:rsidR="0016291E">
        <w:rPr>
          <w:rFonts w:ascii="Times New Roman" w:hAnsi="Times New Roman"/>
          <w:snapToGrid/>
          <w:szCs w:val="24"/>
        </w:rPr>
        <w:tab/>
      </w:r>
      <w:r w:rsidRPr="00B556E8" w:rsidR="0016291E">
        <w:rPr>
          <w:rFonts w:ascii="Times New Roman" w:hAnsi="Times New Roman"/>
          <w:snapToGrid/>
          <w:szCs w:val="24"/>
        </w:rPr>
        <w:tab/>
      </w:r>
      <w:r w:rsidRPr="00B556E8" w:rsidR="0016291E">
        <w:rPr>
          <w:rFonts w:ascii="Times New Roman" w:hAnsi="Times New Roman"/>
          <w:snapToGrid/>
          <w:szCs w:val="24"/>
        </w:rPr>
        <w:tab/>
      </w:r>
      <w:r w:rsidRPr="00B556E8" w:rsidR="0016291E">
        <w:rPr>
          <w:rFonts w:ascii="Times New Roman" w:hAnsi="Times New Roman"/>
          <w:snapToGrid/>
          <w:szCs w:val="24"/>
        </w:rPr>
        <w:tab/>
      </w:r>
      <w:r w:rsidRPr="00B556E8" w:rsidR="009F3A4D">
        <w:rPr>
          <w:rFonts w:ascii="Times New Roman" w:hAnsi="Times New Roman"/>
          <w:snapToGrid/>
          <w:szCs w:val="24"/>
        </w:rPr>
        <w:tab/>
        <w:t>John Finnigan</w:t>
      </w:r>
    </w:p>
    <w:p w:rsidR="0061608D" w:rsidRPr="00B556E8" w:rsidP="0061608D" w14:paraId="16665A0E" w14:textId="3512096C">
      <w:pPr>
        <w:pStyle w:val="EndnoteText"/>
        <w:widowControl/>
        <w:rPr>
          <w:rFonts w:ascii="Times New Roman" w:hAnsi="Times New Roman"/>
          <w:snapToGrid/>
          <w:szCs w:val="24"/>
        </w:rPr>
      </w:pP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r>
      <w:r w:rsidRPr="00B556E8">
        <w:rPr>
          <w:rFonts w:ascii="Times New Roman" w:hAnsi="Times New Roman"/>
          <w:snapToGrid/>
          <w:szCs w:val="24"/>
        </w:rPr>
        <w:tab/>
        <w:t>Assistant Consumers’ Counsel</w:t>
      </w:r>
    </w:p>
    <w:p w:rsidR="0061608D" w:rsidRPr="00B556E8" w:rsidP="0061608D" w14:paraId="10004F20" w14:textId="76E83EC3">
      <w:pPr>
        <w:pStyle w:val="EndnoteText"/>
        <w:widowControl/>
        <w:rPr>
          <w:rFonts w:ascii="Times New Roman" w:hAnsi="Times New Roman"/>
          <w:snapToGrid/>
          <w:szCs w:val="24"/>
        </w:rPr>
      </w:pPr>
    </w:p>
    <w:p w:rsidR="0061608D" w:rsidRPr="00B556E8" w:rsidP="0061608D" w14:paraId="4F02FCE2" w14:textId="77777777">
      <w:pPr>
        <w:suppressLineNumbers/>
        <w:ind w:left="810"/>
        <w:rPr>
          <w:rFonts w:ascii="Times New Roman" w:hAnsi="Times New Roman" w:cs="Times New Roman"/>
          <w:sz w:val="24"/>
          <w:szCs w:val="24"/>
          <w:u w:val="single"/>
        </w:rPr>
      </w:pPr>
    </w:p>
    <w:p w:rsidR="0061608D" w:rsidRPr="00B556E8" w:rsidP="0061608D" w14:paraId="40AC583F" w14:textId="77777777">
      <w:pPr>
        <w:suppressLineNumbers/>
        <w:rPr>
          <w:rFonts w:ascii="Times New Roman" w:hAnsi="Times New Roman" w:cs="Times New Roman"/>
          <w:sz w:val="24"/>
          <w:szCs w:val="24"/>
        </w:rPr>
      </w:pPr>
      <w:r w:rsidRPr="00B556E8">
        <w:rPr>
          <w:rFonts w:ascii="Times New Roman" w:hAnsi="Times New Roman" w:cs="Times New Roman"/>
          <w:sz w:val="24"/>
          <w:szCs w:val="24"/>
        </w:rPr>
        <w:t>The PUCO’s e-filing system will electronically serve notice of the filing of this document on the following parties:</w:t>
      </w:r>
    </w:p>
    <w:p w:rsidR="0061608D" w:rsidRPr="00B556E8" w:rsidP="0061608D" w14:paraId="6F999051" w14:textId="77777777">
      <w:pPr>
        <w:jc w:val="center"/>
        <w:rPr>
          <w:rFonts w:ascii="Times New Roman" w:hAnsi="Times New Roman" w:cs="Times New Roman"/>
          <w:b/>
          <w:bCs/>
          <w:sz w:val="24"/>
          <w:szCs w:val="24"/>
          <w:u w:val="single"/>
        </w:rPr>
      </w:pPr>
    </w:p>
    <w:p w:rsidR="0061608D" w:rsidRPr="00B556E8" w:rsidP="0061608D" w14:paraId="71426D55" w14:textId="77777777">
      <w:pPr>
        <w:pStyle w:val="CommentText"/>
        <w:rPr>
          <w:rFonts w:ascii="Times New Roman" w:hAnsi="Times New Roman" w:cs="Times New Roman"/>
          <w:sz w:val="24"/>
          <w:szCs w:val="24"/>
        </w:rPr>
      </w:pPr>
    </w:p>
    <w:p w:rsidR="0061608D" w:rsidRPr="00B556E8" w:rsidP="0061608D" w14:paraId="1C69441A" w14:textId="6858DBD0">
      <w:pPr>
        <w:pStyle w:val="CommentText"/>
        <w:jc w:val="center"/>
        <w:rPr>
          <w:rFonts w:ascii="Times New Roman" w:hAnsi="Times New Roman" w:cs="Times New Roman"/>
          <w:b/>
          <w:sz w:val="24"/>
          <w:szCs w:val="24"/>
          <w:u w:val="single"/>
        </w:rPr>
      </w:pPr>
      <w:r w:rsidRPr="00B556E8">
        <w:rPr>
          <w:rFonts w:ascii="Times New Roman" w:hAnsi="Times New Roman" w:cs="Times New Roman"/>
          <w:b/>
          <w:sz w:val="24"/>
          <w:szCs w:val="24"/>
          <w:u w:val="single"/>
        </w:rPr>
        <w:t>SERVICE LIST</w:t>
      </w:r>
    </w:p>
    <w:p w:rsidR="00D120DB" w:rsidRPr="00B556E8" w:rsidP="0061608D" w14:paraId="33F5B43F" w14:textId="7410AE20">
      <w:pPr>
        <w:pStyle w:val="CommentText"/>
        <w:jc w:val="center"/>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5ADF8D2B" w14:textId="77777777" w:rsidTr="004C2A8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D120DB" w:rsidRPr="00B556E8" w:rsidP="004E6E9E" w14:paraId="086D4103" w14:textId="77777777">
            <w:pPr>
              <w:pStyle w:val="CommentText"/>
              <w:rPr>
                <w:bCs/>
                <w:sz w:val="24"/>
                <w:szCs w:val="24"/>
              </w:rPr>
            </w:pPr>
            <w:r w:rsidRPr="00B556E8">
              <w:rPr>
                <w:bCs/>
                <w:sz w:val="24"/>
                <w:szCs w:val="24"/>
              </w:rPr>
              <w:t>18-1004-EL-RDR et al</w:t>
            </w:r>
          </w:p>
          <w:p w:rsidR="00825F8E" w:rsidRPr="00B556E8" w:rsidP="004E6E9E" w14:paraId="50F0AF6B" w14:textId="00F5870E">
            <w:pPr>
              <w:pStyle w:val="BodyText"/>
              <w:ind w:left="0"/>
              <w:rPr>
                <w:bCs/>
                <w:sz w:val="24"/>
                <w:szCs w:val="24"/>
              </w:rPr>
            </w:pPr>
            <w:hyperlink r:id="rId18" w:history="1">
              <w:r w:rsidRPr="00B556E8" w:rsidR="008D5CC7">
                <w:rPr>
                  <w:rStyle w:val="Hyperlink"/>
                  <w:sz w:val="24"/>
                  <w:szCs w:val="24"/>
                </w:rPr>
                <w:t>kyle</w:t>
              </w:r>
              <w:r w:rsidRPr="00B556E8" w:rsidR="008D5CC7">
                <w:rPr>
                  <w:rStyle w:val="Hyperlink"/>
                  <w:bCs/>
                  <w:sz w:val="24"/>
                  <w:szCs w:val="24"/>
                </w:rPr>
                <w:t>.kern@ohioAGO.gov</w:t>
              </w:r>
            </w:hyperlink>
          </w:p>
          <w:p w:rsidR="00825F8E" w:rsidRPr="00B556E8" w:rsidP="004E6E9E" w14:paraId="3C867722" w14:textId="5CC531B6">
            <w:pPr>
              <w:pStyle w:val="BodyText"/>
              <w:ind w:left="0"/>
              <w:rPr>
                <w:bCs/>
                <w:sz w:val="24"/>
                <w:szCs w:val="24"/>
              </w:rPr>
            </w:pPr>
            <w:hyperlink r:id="rId19" w:history="1">
              <w:r w:rsidRPr="00B556E8" w:rsidR="008D5CC7">
                <w:rPr>
                  <w:rStyle w:val="Hyperlink"/>
                  <w:bCs/>
                  <w:sz w:val="24"/>
                  <w:szCs w:val="24"/>
                </w:rPr>
                <w:t>thomas.lindgren@ohioAGO.gov</w:t>
              </w:r>
            </w:hyperlink>
          </w:p>
          <w:p w:rsidR="00825F8E" w:rsidRPr="00B556E8" w:rsidP="004E6E9E" w14:paraId="0D953656" w14:textId="7FE33601">
            <w:pPr>
              <w:autoSpaceDE w:val="0"/>
              <w:autoSpaceDN w:val="0"/>
              <w:adjustRightInd w:val="0"/>
              <w:rPr>
                <w:sz w:val="24"/>
                <w:szCs w:val="24"/>
              </w:rPr>
            </w:pPr>
            <w:hyperlink r:id="rId20" w:history="1">
              <w:r w:rsidRPr="00B556E8" w:rsidR="008D5CC7">
                <w:rPr>
                  <w:rStyle w:val="Hyperlink"/>
                  <w:sz w:val="24"/>
                  <w:szCs w:val="24"/>
                </w:rPr>
                <w:t>mkurtz@BKLlawfirm.com</w:t>
              </w:r>
            </w:hyperlink>
          </w:p>
          <w:p w:rsidR="00825F8E" w:rsidRPr="00B556E8" w:rsidP="004E6E9E" w14:paraId="305232B2" w14:textId="1791C05B">
            <w:pPr>
              <w:autoSpaceDE w:val="0"/>
              <w:autoSpaceDN w:val="0"/>
              <w:adjustRightInd w:val="0"/>
              <w:rPr>
                <w:sz w:val="24"/>
                <w:szCs w:val="24"/>
              </w:rPr>
            </w:pPr>
            <w:hyperlink r:id="rId21" w:history="1">
              <w:r w:rsidRPr="00B556E8" w:rsidR="008D5CC7">
                <w:rPr>
                  <w:rStyle w:val="Hyperlink"/>
                  <w:sz w:val="24"/>
                  <w:szCs w:val="24"/>
                </w:rPr>
                <w:t>kboehm@BKLlawfirm.com</w:t>
              </w:r>
            </w:hyperlink>
          </w:p>
          <w:p w:rsidR="00825F8E" w:rsidRPr="00B556E8" w:rsidP="004E6E9E" w14:paraId="5C6FAC02" w14:textId="501FB574">
            <w:pPr>
              <w:pStyle w:val="BodyText"/>
              <w:ind w:left="0"/>
              <w:rPr>
                <w:rFonts w:eastAsiaTheme="minorHAnsi"/>
                <w:sz w:val="24"/>
                <w:szCs w:val="24"/>
              </w:rPr>
            </w:pPr>
            <w:hyperlink r:id="rId22" w:history="1">
              <w:r w:rsidRPr="00B556E8" w:rsidR="008D5CC7">
                <w:rPr>
                  <w:rStyle w:val="Hyperlink"/>
                  <w:rFonts w:eastAsiaTheme="minorHAnsi"/>
                  <w:sz w:val="24"/>
                  <w:szCs w:val="24"/>
                </w:rPr>
                <w:t>jkylercohn@BKLlawfirm.com</w:t>
              </w:r>
            </w:hyperlink>
          </w:p>
          <w:p w:rsidR="008D5CC7" w:rsidRPr="00B556E8" w:rsidP="004E6E9E" w14:paraId="6C2F8DE8" w14:textId="77777777">
            <w:pPr>
              <w:pStyle w:val="BodyText"/>
              <w:ind w:left="0"/>
              <w:rPr>
                <w:rStyle w:val="Hyperlink"/>
                <w:rFonts w:eastAsiaTheme="minorHAnsi"/>
                <w:sz w:val="24"/>
                <w:szCs w:val="24"/>
              </w:rPr>
            </w:pPr>
          </w:p>
          <w:p w:rsidR="00825F8E" w:rsidRPr="00B556E8" w:rsidP="004E6E9E" w14:paraId="3B938DB8" w14:textId="77777777">
            <w:pPr>
              <w:pStyle w:val="BodyText"/>
              <w:ind w:left="0"/>
              <w:rPr>
                <w:bCs/>
                <w:sz w:val="24"/>
                <w:szCs w:val="24"/>
              </w:rPr>
            </w:pPr>
            <w:r w:rsidRPr="00B556E8">
              <w:rPr>
                <w:bCs/>
                <w:sz w:val="24"/>
                <w:szCs w:val="24"/>
              </w:rPr>
              <w:t>Attorney Examiners:</w:t>
            </w:r>
          </w:p>
          <w:p w:rsidR="00825F8E" w:rsidRPr="00B556E8" w:rsidP="004E6E9E" w14:paraId="26B0A9F5" w14:textId="3C26B94F">
            <w:pPr>
              <w:pStyle w:val="BodyText"/>
              <w:ind w:left="0"/>
              <w:rPr>
                <w:bCs/>
                <w:sz w:val="24"/>
                <w:szCs w:val="24"/>
              </w:rPr>
            </w:pPr>
            <w:hyperlink r:id="rId23" w:history="1">
              <w:r w:rsidRPr="00B556E8" w:rsidR="008D5CC7">
                <w:rPr>
                  <w:rStyle w:val="Hyperlink"/>
                  <w:sz w:val="24"/>
                  <w:szCs w:val="24"/>
                </w:rPr>
                <w:t>s</w:t>
              </w:r>
              <w:r w:rsidRPr="00B556E8" w:rsidR="008D5CC7">
                <w:rPr>
                  <w:rStyle w:val="Hyperlink"/>
                  <w:bCs/>
                  <w:sz w:val="24"/>
                  <w:szCs w:val="24"/>
                </w:rPr>
                <w:t>arah.parrot@puco.ohio.gov</w:t>
              </w:r>
            </w:hyperlink>
          </w:p>
          <w:p w:rsidR="00825F8E" w:rsidRPr="00B556E8" w:rsidP="004C2A88" w14:paraId="1DFFE07F" w14:textId="52ED0BFD">
            <w:pPr>
              <w:pStyle w:val="BodyText"/>
              <w:ind w:left="0"/>
              <w:rPr>
                <w:bCs/>
                <w:sz w:val="24"/>
                <w:szCs w:val="24"/>
              </w:rPr>
            </w:pPr>
            <w:hyperlink r:id="rId24" w:history="1">
              <w:r w:rsidRPr="00B556E8" w:rsidR="008D5CC7">
                <w:rPr>
                  <w:rStyle w:val="Hyperlink"/>
                  <w:sz w:val="24"/>
                  <w:szCs w:val="24"/>
                </w:rPr>
                <w:t>g</w:t>
              </w:r>
              <w:r w:rsidRPr="00B556E8" w:rsidR="008D5CC7">
                <w:rPr>
                  <w:rStyle w:val="Hyperlink"/>
                  <w:bCs/>
                  <w:sz w:val="24"/>
                  <w:szCs w:val="24"/>
                </w:rPr>
                <w:t>reta.see@puco.ohio.gov</w:t>
              </w:r>
            </w:hyperlink>
          </w:p>
          <w:p w:rsidR="00825F8E" w:rsidRPr="00B556E8" w:rsidP="00825F8E" w14:paraId="71C1CF07" w14:textId="2142E2B4">
            <w:pPr>
              <w:pStyle w:val="CommentText"/>
              <w:rPr>
                <w:bCs/>
                <w:sz w:val="24"/>
                <w:szCs w:val="24"/>
              </w:rPr>
            </w:pPr>
          </w:p>
        </w:tc>
        <w:tc>
          <w:tcPr>
            <w:tcW w:w="4675" w:type="dxa"/>
          </w:tcPr>
          <w:p w:rsidR="00D120DB" w:rsidRPr="00B556E8" w:rsidP="00825F8E" w14:paraId="7D86745F" w14:textId="77777777">
            <w:pPr>
              <w:pStyle w:val="CommentText"/>
              <w:rPr>
                <w:b/>
                <w:sz w:val="24"/>
                <w:szCs w:val="24"/>
                <w:u w:val="single"/>
              </w:rPr>
            </w:pPr>
          </w:p>
          <w:p w:rsidR="00825F8E" w:rsidRPr="00B556E8" w:rsidP="008D5CC7" w14:paraId="6AAEC379" w14:textId="17A19DB7">
            <w:pPr>
              <w:autoSpaceDE w:val="0"/>
              <w:autoSpaceDN w:val="0"/>
              <w:adjustRightInd w:val="0"/>
              <w:ind w:left="1062"/>
              <w:rPr>
                <w:sz w:val="24"/>
                <w:szCs w:val="24"/>
              </w:rPr>
            </w:pPr>
            <w:hyperlink r:id="rId25" w:history="1">
              <w:r w:rsidRPr="00B556E8" w:rsidR="008D5CC7">
                <w:rPr>
                  <w:rStyle w:val="Hyperlink"/>
                  <w:sz w:val="24"/>
                  <w:szCs w:val="24"/>
                </w:rPr>
                <w:t>stnourse@aep.com</w:t>
              </w:r>
            </w:hyperlink>
          </w:p>
          <w:p w:rsidR="00825F8E" w:rsidRPr="00B556E8" w:rsidP="008D5CC7" w14:paraId="4D8DFC02" w14:textId="0FBAFA68">
            <w:pPr>
              <w:autoSpaceDE w:val="0"/>
              <w:autoSpaceDN w:val="0"/>
              <w:adjustRightInd w:val="0"/>
              <w:ind w:left="1062"/>
              <w:rPr>
                <w:sz w:val="24"/>
                <w:szCs w:val="24"/>
              </w:rPr>
            </w:pPr>
            <w:hyperlink r:id="rId26" w:history="1">
              <w:r w:rsidRPr="00B556E8" w:rsidR="008D5CC7">
                <w:rPr>
                  <w:rStyle w:val="Hyperlink"/>
                  <w:sz w:val="24"/>
                  <w:szCs w:val="24"/>
                </w:rPr>
                <w:t>mpritchard@mcneeslaw.com</w:t>
              </w:r>
            </w:hyperlink>
          </w:p>
          <w:p w:rsidR="00825F8E" w:rsidRPr="00B556E8" w:rsidP="008D5CC7" w14:paraId="5B09A6A7" w14:textId="1A937A3D">
            <w:pPr>
              <w:autoSpaceDE w:val="0"/>
              <w:autoSpaceDN w:val="0"/>
              <w:adjustRightInd w:val="0"/>
              <w:ind w:left="1062"/>
              <w:rPr>
                <w:sz w:val="24"/>
                <w:szCs w:val="24"/>
              </w:rPr>
            </w:pPr>
            <w:hyperlink r:id="rId27" w:history="1">
              <w:r w:rsidRPr="00B556E8" w:rsidR="008D5CC7">
                <w:rPr>
                  <w:rStyle w:val="Hyperlink"/>
                  <w:sz w:val="24"/>
                  <w:szCs w:val="24"/>
                </w:rPr>
                <w:t>rglover@mcneeslaw.com</w:t>
              </w:r>
            </w:hyperlink>
          </w:p>
          <w:p w:rsidR="00825F8E" w:rsidRPr="00B556E8" w:rsidP="008D5CC7" w14:paraId="1C4B2AEA" w14:textId="5826DEB2">
            <w:pPr>
              <w:autoSpaceDE w:val="0"/>
              <w:autoSpaceDN w:val="0"/>
              <w:adjustRightInd w:val="0"/>
              <w:ind w:left="1062"/>
              <w:rPr>
                <w:sz w:val="24"/>
                <w:szCs w:val="24"/>
              </w:rPr>
            </w:pPr>
            <w:hyperlink r:id="rId28" w:history="1">
              <w:r w:rsidRPr="00B556E8" w:rsidR="008D5CC7">
                <w:rPr>
                  <w:rStyle w:val="Hyperlink"/>
                  <w:sz w:val="24"/>
                  <w:szCs w:val="24"/>
                </w:rPr>
                <w:t>rdove@keglerbrown.com</w:t>
              </w:r>
            </w:hyperlink>
          </w:p>
          <w:p w:rsidR="00825F8E" w:rsidRPr="00B556E8" w:rsidP="008D5CC7" w14:paraId="0ABA091C" w14:textId="01ECE222">
            <w:pPr>
              <w:autoSpaceDE w:val="0"/>
              <w:autoSpaceDN w:val="0"/>
              <w:adjustRightInd w:val="0"/>
              <w:ind w:left="1062"/>
              <w:rPr>
                <w:sz w:val="24"/>
                <w:szCs w:val="24"/>
              </w:rPr>
            </w:pPr>
            <w:hyperlink r:id="rId29" w:history="1">
              <w:r w:rsidRPr="00B556E8" w:rsidR="008D5CC7">
                <w:rPr>
                  <w:rStyle w:val="Hyperlink"/>
                  <w:sz w:val="24"/>
                  <w:szCs w:val="24"/>
                </w:rPr>
                <w:t>megan.wachpress@sierraclub.org</w:t>
              </w:r>
            </w:hyperlink>
          </w:p>
          <w:p w:rsidR="00825F8E" w:rsidRPr="00B556E8" w:rsidP="008D5CC7" w14:paraId="1DFC3032" w14:textId="11F878C1">
            <w:pPr>
              <w:autoSpaceDE w:val="0"/>
              <w:autoSpaceDN w:val="0"/>
              <w:adjustRightInd w:val="0"/>
              <w:ind w:left="1062"/>
              <w:rPr>
                <w:sz w:val="24"/>
                <w:szCs w:val="24"/>
              </w:rPr>
            </w:pPr>
            <w:hyperlink r:id="rId30" w:history="1">
              <w:r w:rsidRPr="00B556E8" w:rsidR="008D5CC7">
                <w:rPr>
                  <w:rStyle w:val="Hyperlink"/>
                  <w:sz w:val="24"/>
                  <w:szCs w:val="24"/>
                </w:rPr>
                <w:t>bojko@carpenterlipps.com</w:t>
              </w:r>
            </w:hyperlink>
          </w:p>
          <w:p w:rsidR="00825F8E" w:rsidRPr="00B556E8" w:rsidP="008D5CC7" w14:paraId="6ED1AA67" w14:textId="020085B7">
            <w:pPr>
              <w:autoSpaceDE w:val="0"/>
              <w:autoSpaceDN w:val="0"/>
              <w:adjustRightInd w:val="0"/>
              <w:ind w:left="1062"/>
              <w:rPr>
                <w:rStyle w:val="Hyperlink"/>
                <w:sz w:val="24"/>
                <w:szCs w:val="24"/>
              </w:rPr>
            </w:pPr>
            <w:hyperlink r:id="rId31" w:history="1">
              <w:r w:rsidRPr="00B556E8" w:rsidR="008D5CC7">
                <w:rPr>
                  <w:rStyle w:val="Hyperlink"/>
                  <w:sz w:val="24"/>
                  <w:szCs w:val="24"/>
                </w:rPr>
                <w:t>donadio@carpenterlipps.com</w:t>
              </w:r>
            </w:hyperlink>
          </w:p>
          <w:p w:rsidR="006F38D6" w:rsidRPr="00B556E8" w:rsidP="008D5CC7" w14:paraId="69167560" w14:textId="6AF1BBC7">
            <w:pPr>
              <w:autoSpaceDE w:val="0"/>
              <w:autoSpaceDN w:val="0"/>
              <w:adjustRightInd w:val="0"/>
              <w:ind w:left="1062"/>
              <w:rPr>
                <w:sz w:val="24"/>
                <w:szCs w:val="24"/>
              </w:rPr>
            </w:pPr>
            <w:hyperlink r:id="rId32" w:history="1">
              <w:r w:rsidRPr="00B556E8" w:rsidR="00B556E8">
                <w:rPr>
                  <w:rStyle w:val="Hyperlink"/>
                  <w:sz w:val="24"/>
                  <w:szCs w:val="24"/>
                </w:rPr>
                <w:t>paul@carpenterlipps.com</w:t>
              </w:r>
            </w:hyperlink>
          </w:p>
          <w:p w:rsidR="008D5CC7" w:rsidRPr="00B556E8" w:rsidP="008D5CC7" w14:paraId="03EA6727" w14:textId="77777777">
            <w:pPr>
              <w:autoSpaceDE w:val="0"/>
              <w:autoSpaceDN w:val="0"/>
              <w:adjustRightInd w:val="0"/>
              <w:ind w:left="1062"/>
              <w:rPr>
                <w:sz w:val="24"/>
                <w:szCs w:val="24"/>
              </w:rPr>
            </w:pPr>
          </w:p>
          <w:p w:rsidR="00825F8E" w:rsidRPr="00B556E8" w:rsidP="00825F8E" w14:paraId="33303149" w14:textId="2A2B6CEE">
            <w:pPr>
              <w:pStyle w:val="CommentText"/>
              <w:rPr>
                <w:b/>
                <w:sz w:val="24"/>
                <w:szCs w:val="24"/>
                <w:u w:val="single"/>
              </w:rPr>
            </w:pPr>
          </w:p>
        </w:tc>
      </w:tr>
      <w:tr w14:paraId="1B1474D3" w14:textId="77777777" w:rsidTr="004C2A88">
        <w:tblPrEx>
          <w:tblW w:w="0" w:type="auto"/>
          <w:tblLook w:val="04A0"/>
        </w:tblPrEx>
        <w:tc>
          <w:tcPr>
            <w:tcW w:w="4675" w:type="dxa"/>
          </w:tcPr>
          <w:p w:rsidR="00825F8E" w:rsidRPr="00B556E8" w:rsidP="004E6E9E" w14:paraId="4DBF493E" w14:textId="2A7A816E">
            <w:pPr>
              <w:pStyle w:val="BodyText"/>
              <w:ind w:left="0"/>
              <w:rPr>
                <w:sz w:val="24"/>
                <w:szCs w:val="24"/>
              </w:rPr>
            </w:pPr>
            <w:r w:rsidRPr="00B556E8">
              <w:rPr>
                <w:sz w:val="24"/>
                <w:szCs w:val="24"/>
              </w:rPr>
              <w:t>20-165-EL-RDR</w:t>
            </w:r>
          </w:p>
          <w:p w:rsidR="00825F8E" w:rsidRPr="00B556E8" w:rsidP="004E6E9E" w14:paraId="1D9F24A8" w14:textId="4E9ED6B2">
            <w:pPr>
              <w:pStyle w:val="BodyText"/>
              <w:ind w:left="0"/>
              <w:rPr>
                <w:rStyle w:val="Hyperlink"/>
                <w:rFonts w:eastAsia="Courier New"/>
                <w:bCs/>
                <w:sz w:val="24"/>
                <w:szCs w:val="24"/>
              </w:rPr>
            </w:pPr>
            <w:hyperlink r:id="rId33" w:history="1">
              <w:r w:rsidRPr="00B556E8" w:rsidR="00B556E8">
                <w:rPr>
                  <w:rStyle w:val="Hyperlink"/>
                  <w:rFonts w:eastAsia="Courier New"/>
                  <w:sz w:val="24"/>
                  <w:szCs w:val="24"/>
                </w:rPr>
                <w:t>kyle</w:t>
              </w:r>
              <w:r w:rsidRPr="00B556E8" w:rsidR="00B556E8">
                <w:rPr>
                  <w:rStyle w:val="Hyperlink"/>
                  <w:rFonts w:eastAsia="Courier New"/>
                  <w:bCs/>
                  <w:sz w:val="24"/>
                  <w:szCs w:val="24"/>
                </w:rPr>
                <w:t>.kern@ohioattorneygeneral.gov</w:t>
              </w:r>
            </w:hyperlink>
          </w:p>
          <w:p w:rsidR="00825F8E" w:rsidRPr="00B556E8" w:rsidP="004E6E9E" w14:paraId="7D4E085C" w14:textId="77777777">
            <w:pPr>
              <w:pStyle w:val="BodyText"/>
              <w:ind w:left="0"/>
              <w:rPr>
                <w:rStyle w:val="Hyperlink"/>
                <w:rFonts w:eastAsia="Courier New"/>
                <w:bCs/>
                <w:sz w:val="24"/>
                <w:szCs w:val="24"/>
              </w:rPr>
            </w:pPr>
            <w:hyperlink r:id="rId34" w:history="1">
              <w:r w:rsidRPr="00B556E8" w:rsidR="00B556E8">
                <w:rPr>
                  <w:rStyle w:val="Hyperlink"/>
                  <w:rFonts w:eastAsia="Courier New"/>
                  <w:bCs/>
                  <w:sz w:val="24"/>
                  <w:szCs w:val="24"/>
                </w:rPr>
                <w:t>thomas.lindgren@ohioattorneygeneral.gov</w:t>
              </w:r>
            </w:hyperlink>
          </w:p>
          <w:p w:rsidR="00825F8E" w:rsidRPr="00B556E8" w:rsidP="004E6E9E" w14:paraId="35A3AEA1" w14:textId="77777777">
            <w:pPr>
              <w:pStyle w:val="BodyText"/>
              <w:ind w:left="0"/>
              <w:rPr>
                <w:bCs/>
                <w:sz w:val="24"/>
                <w:szCs w:val="24"/>
              </w:rPr>
            </w:pPr>
          </w:p>
          <w:p w:rsidR="00825F8E" w:rsidRPr="00B556E8" w:rsidP="004E6E9E" w14:paraId="636F1E0B" w14:textId="77777777">
            <w:pPr>
              <w:pStyle w:val="BodyText"/>
              <w:ind w:left="0"/>
              <w:rPr>
                <w:bCs/>
                <w:sz w:val="24"/>
                <w:szCs w:val="24"/>
              </w:rPr>
            </w:pPr>
            <w:r w:rsidRPr="00B556E8">
              <w:rPr>
                <w:bCs/>
                <w:sz w:val="24"/>
                <w:szCs w:val="24"/>
              </w:rPr>
              <w:t>Attorney Examiners:</w:t>
            </w:r>
          </w:p>
          <w:p w:rsidR="00825F8E" w:rsidRPr="00B556E8" w:rsidP="004E6E9E" w14:paraId="38E077BE" w14:textId="77777777">
            <w:pPr>
              <w:pStyle w:val="BodyText"/>
              <w:ind w:left="0"/>
              <w:rPr>
                <w:bCs/>
                <w:sz w:val="24"/>
                <w:szCs w:val="24"/>
              </w:rPr>
            </w:pPr>
            <w:hyperlink r:id="rId35" w:history="1">
              <w:r w:rsidRPr="00B556E8" w:rsidR="00B556E8">
                <w:rPr>
                  <w:rStyle w:val="Hyperlink"/>
                  <w:rFonts w:eastAsia="Courier New"/>
                  <w:sz w:val="24"/>
                  <w:szCs w:val="24"/>
                </w:rPr>
                <w:t>patricia</w:t>
              </w:r>
              <w:r w:rsidRPr="00B556E8" w:rsidR="00B556E8">
                <w:rPr>
                  <w:rStyle w:val="Hyperlink"/>
                  <w:rFonts w:eastAsia="Courier New"/>
                  <w:bCs/>
                  <w:sz w:val="24"/>
                  <w:szCs w:val="24"/>
                </w:rPr>
                <w:t>.schabo@puco.ohio.gov</w:t>
              </w:r>
            </w:hyperlink>
          </w:p>
          <w:p w:rsidR="004D0DA8" w:rsidRPr="00B556E8" w:rsidP="004D0DA8" w14:paraId="4D3787AE" w14:textId="7A9AC671">
            <w:pPr>
              <w:pStyle w:val="BodyText"/>
              <w:ind w:left="0"/>
              <w:rPr>
                <w:bCs/>
                <w:sz w:val="24"/>
                <w:szCs w:val="24"/>
              </w:rPr>
            </w:pPr>
            <w:hyperlink r:id="rId36" w:history="1">
              <w:r w:rsidRPr="00B556E8" w:rsidR="00825F8E">
                <w:rPr>
                  <w:rStyle w:val="Hyperlink"/>
                  <w:rFonts w:eastAsia="Courier New"/>
                  <w:bCs/>
                  <w:sz w:val="24"/>
                  <w:szCs w:val="24"/>
                </w:rPr>
                <w:t>michael.williams@puco.ohio.gov</w:t>
              </w:r>
            </w:hyperlink>
          </w:p>
        </w:tc>
        <w:tc>
          <w:tcPr>
            <w:tcW w:w="4675" w:type="dxa"/>
          </w:tcPr>
          <w:p w:rsidR="00825F8E" w:rsidRPr="00B556E8" w:rsidP="00825F8E" w14:paraId="79D3F367" w14:textId="77777777">
            <w:pPr>
              <w:autoSpaceDE w:val="0"/>
              <w:autoSpaceDN w:val="0"/>
              <w:adjustRightInd w:val="0"/>
              <w:ind w:left="1062"/>
              <w:rPr>
                <w:sz w:val="24"/>
                <w:szCs w:val="24"/>
              </w:rPr>
            </w:pPr>
          </w:p>
          <w:p w:rsidR="00825F8E" w:rsidRPr="00B556E8" w:rsidP="00825F8E" w14:paraId="74DAFE36" w14:textId="3A003BE1">
            <w:pPr>
              <w:autoSpaceDE w:val="0"/>
              <w:autoSpaceDN w:val="0"/>
              <w:adjustRightInd w:val="0"/>
              <w:ind w:left="1062"/>
              <w:rPr>
                <w:rStyle w:val="Hyperlink"/>
                <w:rFonts w:eastAsia="Courier New"/>
                <w:bCs/>
                <w:sz w:val="24"/>
                <w:szCs w:val="24"/>
              </w:rPr>
            </w:pPr>
            <w:hyperlink r:id="rId37" w:history="1">
              <w:r w:rsidRPr="00B556E8" w:rsidR="00B556E8">
                <w:rPr>
                  <w:rStyle w:val="Hyperlink"/>
                  <w:rFonts w:eastAsia="Courier New"/>
                  <w:sz w:val="24"/>
                  <w:szCs w:val="24"/>
                </w:rPr>
                <w:t>michael.schuler@aes.com</w:t>
              </w:r>
            </w:hyperlink>
          </w:p>
          <w:p w:rsidR="00825F8E" w:rsidRPr="00B556E8" w:rsidP="00825F8E" w14:paraId="1057507C" w14:textId="77777777">
            <w:pPr>
              <w:autoSpaceDE w:val="0"/>
              <w:autoSpaceDN w:val="0"/>
              <w:adjustRightInd w:val="0"/>
              <w:ind w:left="1062"/>
              <w:rPr>
                <w:rStyle w:val="Hyperlink"/>
                <w:rFonts w:eastAsia="Courier New"/>
                <w:bCs/>
                <w:sz w:val="24"/>
                <w:szCs w:val="24"/>
              </w:rPr>
            </w:pPr>
            <w:hyperlink r:id="rId32" w:history="1">
              <w:r w:rsidRPr="00B556E8" w:rsidR="00B556E8">
                <w:rPr>
                  <w:rStyle w:val="Hyperlink"/>
                  <w:rFonts w:eastAsia="Courier New"/>
                  <w:sz w:val="24"/>
                  <w:szCs w:val="24"/>
                </w:rPr>
                <w:t>paul@carpenterlipps.com</w:t>
              </w:r>
            </w:hyperlink>
          </w:p>
          <w:p w:rsidR="00825F8E" w:rsidRPr="00B556E8" w:rsidP="00825F8E" w14:paraId="00B76A0F" w14:textId="77777777">
            <w:pPr>
              <w:autoSpaceDE w:val="0"/>
              <w:autoSpaceDN w:val="0"/>
              <w:adjustRightInd w:val="0"/>
              <w:ind w:left="1062"/>
              <w:rPr>
                <w:rStyle w:val="Hyperlink"/>
                <w:rFonts w:eastAsia="Courier New"/>
                <w:sz w:val="24"/>
                <w:szCs w:val="24"/>
              </w:rPr>
            </w:pPr>
            <w:hyperlink r:id="rId30" w:history="1">
              <w:r w:rsidRPr="00B556E8" w:rsidR="00B556E8">
                <w:rPr>
                  <w:rStyle w:val="Hyperlink"/>
                  <w:rFonts w:eastAsia="Courier New"/>
                  <w:sz w:val="24"/>
                  <w:szCs w:val="24"/>
                </w:rPr>
                <w:t>bojko@carpenterlipps.com</w:t>
              </w:r>
            </w:hyperlink>
          </w:p>
          <w:p w:rsidR="00825F8E" w:rsidRPr="00B556E8" w:rsidP="00825F8E" w14:paraId="176C8018" w14:textId="77777777">
            <w:pPr>
              <w:autoSpaceDE w:val="0"/>
              <w:autoSpaceDN w:val="0"/>
              <w:adjustRightInd w:val="0"/>
              <w:ind w:left="1062"/>
              <w:rPr>
                <w:bCs/>
                <w:sz w:val="24"/>
                <w:szCs w:val="24"/>
              </w:rPr>
            </w:pPr>
            <w:hyperlink r:id="rId31" w:history="1">
              <w:r w:rsidRPr="00B556E8" w:rsidR="00B556E8">
                <w:rPr>
                  <w:rStyle w:val="Hyperlink"/>
                  <w:rFonts w:eastAsia="Courier New"/>
                  <w:sz w:val="24"/>
                  <w:szCs w:val="24"/>
                </w:rPr>
                <w:t>donadio@carpenterlipps.com</w:t>
              </w:r>
            </w:hyperlink>
          </w:p>
          <w:p w:rsidR="004D0DA8" w:rsidRPr="00B556E8" w:rsidP="00825F8E" w14:paraId="4BA58263" w14:textId="281E189F">
            <w:pPr>
              <w:autoSpaceDE w:val="0"/>
              <w:autoSpaceDN w:val="0"/>
              <w:adjustRightInd w:val="0"/>
              <w:ind w:left="1062"/>
              <w:rPr>
                <w:rFonts w:eastAsia="Courier New"/>
                <w:bCs/>
                <w:sz w:val="24"/>
                <w:szCs w:val="24"/>
              </w:rPr>
            </w:pPr>
            <w:hyperlink r:id="rId38" w:history="1">
              <w:r w:rsidRPr="00B556E8" w:rsidR="00825F8E">
                <w:rPr>
                  <w:rStyle w:val="Hyperlink"/>
                  <w:rFonts w:eastAsia="Courier New"/>
                  <w:sz w:val="24"/>
                  <w:szCs w:val="24"/>
                </w:rPr>
                <w:t>randall.griffin@aes.com</w:t>
              </w:r>
            </w:hyperlink>
          </w:p>
          <w:p w:rsidR="004D0DA8" w:rsidRPr="00B556E8" w:rsidP="004D0DA8" w14:paraId="1EE48D40" w14:textId="77777777">
            <w:pPr>
              <w:pStyle w:val="CommentText"/>
              <w:ind w:left="1062"/>
              <w:rPr>
                <w:sz w:val="24"/>
                <w:szCs w:val="24"/>
              </w:rPr>
            </w:pPr>
          </w:p>
          <w:p w:rsidR="00825F8E" w:rsidRPr="00B556E8" w:rsidP="004D0DA8" w14:paraId="665D0EFA" w14:textId="69E17376">
            <w:pPr>
              <w:autoSpaceDE w:val="0"/>
              <w:autoSpaceDN w:val="0"/>
              <w:adjustRightInd w:val="0"/>
              <w:ind w:left="1062"/>
              <w:rPr>
                <w:b/>
                <w:sz w:val="24"/>
                <w:szCs w:val="24"/>
                <w:u w:val="single"/>
              </w:rPr>
            </w:pPr>
          </w:p>
        </w:tc>
      </w:tr>
      <w:tr w14:paraId="46697B60" w14:textId="77777777" w:rsidTr="004C2A88">
        <w:tblPrEx>
          <w:tblW w:w="0" w:type="auto"/>
          <w:tblLook w:val="04A0"/>
        </w:tblPrEx>
        <w:tc>
          <w:tcPr>
            <w:tcW w:w="4675" w:type="dxa"/>
          </w:tcPr>
          <w:p w:rsidR="00825F8E" w:rsidRPr="00B556E8" w:rsidP="00825F8E" w14:paraId="32F0D6AB" w14:textId="34088A79">
            <w:pPr>
              <w:pStyle w:val="CommentText"/>
              <w:rPr>
                <w:bCs/>
                <w:sz w:val="24"/>
                <w:szCs w:val="24"/>
              </w:rPr>
            </w:pPr>
            <w:r w:rsidRPr="00B556E8">
              <w:rPr>
                <w:bCs/>
                <w:sz w:val="24"/>
                <w:szCs w:val="24"/>
              </w:rPr>
              <w:t>21-477-EL-RDR</w:t>
            </w:r>
          </w:p>
          <w:p w:rsidR="00825F8E" w:rsidRPr="00B556E8" w:rsidP="00825F8E" w14:paraId="6E16C8CA" w14:textId="77777777">
            <w:pPr>
              <w:autoSpaceDE w:val="0"/>
              <w:autoSpaceDN w:val="0"/>
              <w:adjustRightInd w:val="0"/>
              <w:rPr>
                <w:bCs/>
                <w:sz w:val="24"/>
                <w:szCs w:val="24"/>
              </w:rPr>
            </w:pPr>
            <w:hyperlink r:id="rId39" w:history="1">
              <w:r w:rsidRPr="00B556E8" w:rsidR="00B556E8">
                <w:rPr>
                  <w:rStyle w:val="Hyperlink"/>
                  <w:bCs/>
                  <w:sz w:val="24"/>
                  <w:szCs w:val="24"/>
                </w:rPr>
                <w:t>k</w:t>
              </w:r>
              <w:r w:rsidRPr="00B556E8" w:rsidR="00B556E8">
                <w:rPr>
                  <w:rStyle w:val="Hyperlink"/>
                  <w:sz w:val="24"/>
                  <w:szCs w:val="24"/>
                </w:rPr>
                <w:t>yle.kern@ohioAGO.gov</w:t>
              </w:r>
            </w:hyperlink>
          </w:p>
          <w:p w:rsidR="00825F8E" w:rsidRPr="00B556E8" w:rsidP="00825F8E" w14:paraId="7B21D082" w14:textId="77777777">
            <w:pPr>
              <w:autoSpaceDE w:val="0"/>
              <w:autoSpaceDN w:val="0"/>
              <w:adjustRightInd w:val="0"/>
              <w:rPr>
                <w:bCs/>
                <w:sz w:val="24"/>
                <w:szCs w:val="24"/>
              </w:rPr>
            </w:pPr>
            <w:hyperlink r:id="rId19" w:history="1">
              <w:r w:rsidRPr="00B556E8" w:rsidR="00B556E8">
                <w:rPr>
                  <w:rStyle w:val="Hyperlink"/>
                  <w:bCs/>
                  <w:sz w:val="24"/>
                  <w:szCs w:val="24"/>
                </w:rPr>
                <w:t>thomas.lindgren@ohioAGO.gov</w:t>
              </w:r>
            </w:hyperlink>
          </w:p>
          <w:p w:rsidR="00825F8E" w:rsidRPr="00B556E8" w:rsidP="00825F8E" w14:paraId="5B49176B" w14:textId="77777777">
            <w:pPr>
              <w:autoSpaceDE w:val="0"/>
              <w:autoSpaceDN w:val="0"/>
              <w:adjustRightInd w:val="0"/>
              <w:rPr>
                <w:bCs/>
                <w:sz w:val="24"/>
                <w:szCs w:val="24"/>
              </w:rPr>
            </w:pPr>
          </w:p>
          <w:p w:rsidR="00825F8E" w:rsidRPr="00B556E8" w:rsidP="00825F8E" w14:paraId="08B5CA9F" w14:textId="77777777">
            <w:pPr>
              <w:autoSpaceDE w:val="0"/>
              <w:autoSpaceDN w:val="0"/>
              <w:adjustRightInd w:val="0"/>
              <w:rPr>
                <w:bCs/>
                <w:sz w:val="24"/>
                <w:szCs w:val="24"/>
              </w:rPr>
            </w:pPr>
            <w:r w:rsidRPr="00B556E8">
              <w:rPr>
                <w:bCs/>
                <w:sz w:val="24"/>
                <w:szCs w:val="24"/>
              </w:rPr>
              <w:t>Attorney Examiners:</w:t>
            </w:r>
          </w:p>
          <w:p w:rsidR="00825F8E" w:rsidRPr="00B556E8" w:rsidP="00825F8E" w14:paraId="412AEF15" w14:textId="77777777">
            <w:pPr>
              <w:autoSpaceDE w:val="0"/>
              <w:autoSpaceDN w:val="0"/>
              <w:adjustRightInd w:val="0"/>
              <w:rPr>
                <w:bCs/>
                <w:sz w:val="24"/>
                <w:szCs w:val="24"/>
              </w:rPr>
            </w:pPr>
            <w:hyperlink r:id="rId40" w:history="1">
              <w:r w:rsidRPr="00B556E8" w:rsidR="00B556E8">
                <w:rPr>
                  <w:rStyle w:val="Hyperlink"/>
                  <w:bCs/>
                  <w:sz w:val="24"/>
                  <w:szCs w:val="24"/>
                </w:rPr>
                <w:t>Jesse.davis@puco.ohio.gov</w:t>
              </w:r>
            </w:hyperlink>
          </w:p>
          <w:p w:rsidR="004E6E9E" w:rsidRPr="00B556E8" w:rsidP="004C2A88" w14:paraId="0FFE1E49" w14:textId="2AC3E99F">
            <w:pPr>
              <w:autoSpaceDE w:val="0"/>
              <w:autoSpaceDN w:val="0"/>
              <w:adjustRightInd w:val="0"/>
              <w:rPr>
                <w:rStyle w:val="Hyperlink"/>
                <w:bCs/>
                <w:sz w:val="24"/>
                <w:szCs w:val="24"/>
              </w:rPr>
            </w:pPr>
            <w:hyperlink r:id="rId36" w:history="1">
              <w:r w:rsidRPr="00B556E8" w:rsidR="00825F8E">
                <w:rPr>
                  <w:rStyle w:val="Hyperlink"/>
                  <w:bCs/>
                  <w:sz w:val="24"/>
                  <w:szCs w:val="24"/>
                </w:rPr>
                <w:t>Michael.williams@puco.ohio.gov</w:t>
              </w:r>
            </w:hyperlink>
          </w:p>
          <w:p w:rsidR="004D0DA8" w:rsidRPr="00B556E8" w:rsidP="004C2A88" w14:paraId="38E6506E" w14:textId="76A8535D">
            <w:pPr>
              <w:autoSpaceDE w:val="0"/>
              <w:autoSpaceDN w:val="0"/>
              <w:adjustRightInd w:val="0"/>
              <w:rPr>
                <w:rStyle w:val="Hyperlink"/>
                <w:bCs/>
                <w:sz w:val="24"/>
                <w:szCs w:val="24"/>
              </w:rPr>
            </w:pPr>
          </w:p>
          <w:p w:rsidR="004D0DA8" w:rsidRPr="00B556E8" w:rsidP="004C2A88" w14:paraId="32931AF6" w14:textId="507E12BA">
            <w:pPr>
              <w:autoSpaceDE w:val="0"/>
              <w:autoSpaceDN w:val="0"/>
              <w:adjustRightInd w:val="0"/>
              <w:rPr>
                <w:rStyle w:val="Hyperlink"/>
                <w:bCs/>
                <w:sz w:val="24"/>
                <w:szCs w:val="24"/>
              </w:rPr>
            </w:pPr>
          </w:p>
          <w:p w:rsidR="004D0DA8" w:rsidRPr="00B556E8" w:rsidP="004C2A88" w14:paraId="06990559" w14:textId="77777777">
            <w:pPr>
              <w:autoSpaceDE w:val="0"/>
              <w:autoSpaceDN w:val="0"/>
              <w:adjustRightInd w:val="0"/>
              <w:rPr>
                <w:rStyle w:val="Hyperlink"/>
                <w:bCs/>
                <w:sz w:val="24"/>
                <w:szCs w:val="24"/>
              </w:rPr>
            </w:pPr>
          </w:p>
          <w:p w:rsidR="004D0DA8" w:rsidRPr="00B556E8" w:rsidP="004C2A88" w14:paraId="0FA14EBA" w14:textId="1351DDE4">
            <w:pPr>
              <w:autoSpaceDE w:val="0"/>
              <w:autoSpaceDN w:val="0"/>
              <w:adjustRightInd w:val="0"/>
              <w:rPr>
                <w:rStyle w:val="Hyperlink"/>
                <w:bCs/>
                <w:color w:val="auto"/>
                <w:sz w:val="24"/>
                <w:szCs w:val="24"/>
              </w:rPr>
            </w:pPr>
            <w:r w:rsidRPr="00B556E8">
              <w:rPr>
                <w:rStyle w:val="Hyperlink"/>
                <w:bCs/>
                <w:color w:val="auto"/>
                <w:sz w:val="24"/>
                <w:szCs w:val="24"/>
              </w:rPr>
              <w:t>20-167-EL-RDR</w:t>
            </w:r>
          </w:p>
          <w:p w:rsidR="004D0DA8" w:rsidRPr="00B556E8" w:rsidP="004C2A88" w14:paraId="46BA3AEF" w14:textId="77777777">
            <w:pPr>
              <w:autoSpaceDE w:val="0"/>
              <w:autoSpaceDN w:val="0"/>
              <w:adjustRightInd w:val="0"/>
              <w:rPr>
                <w:rStyle w:val="Hyperlink"/>
                <w:bCs/>
                <w:color w:val="auto"/>
                <w:sz w:val="24"/>
                <w:szCs w:val="24"/>
              </w:rPr>
            </w:pPr>
          </w:p>
          <w:p w:rsidR="004D0DA8" w:rsidRPr="00B556E8" w:rsidP="004D0DA8" w14:paraId="0992E97A" w14:textId="77777777">
            <w:pPr>
              <w:pStyle w:val="CommentText"/>
              <w:rPr>
                <w:bCs/>
                <w:sz w:val="24"/>
                <w:szCs w:val="24"/>
              </w:rPr>
            </w:pPr>
            <w:hyperlink r:id="rId19" w:history="1">
              <w:r w:rsidRPr="00B556E8" w:rsidR="00B556E8">
                <w:rPr>
                  <w:rStyle w:val="Hyperlink"/>
                  <w:bCs/>
                  <w:sz w:val="24"/>
                  <w:szCs w:val="24"/>
                </w:rPr>
                <w:t>thomas.lindgren@ohioAGO.gov</w:t>
              </w:r>
            </w:hyperlink>
          </w:p>
          <w:p w:rsidR="004D0DA8" w:rsidRPr="00B556E8" w:rsidP="004D0DA8" w14:paraId="64139DCC" w14:textId="77777777">
            <w:pPr>
              <w:pStyle w:val="CommentText"/>
              <w:rPr>
                <w:rStyle w:val="Hyperlink"/>
                <w:bCs/>
                <w:sz w:val="24"/>
                <w:szCs w:val="24"/>
              </w:rPr>
            </w:pPr>
            <w:hyperlink r:id="rId18" w:history="1">
              <w:r w:rsidRPr="00B556E8" w:rsidR="00B556E8">
                <w:rPr>
                  <w:rStyle w:val="Hyperlink"/>
                  <w:bCs/>
                  <w:sz w:val="24"/>
                  <w:szCs w:val="24"/>
                </w:rPr>
                <w:t>kyle.kern@ohioAGO.gov</w:t>
              </w:r>
            </w:hyperlink>
          </w:p>
          <w:p w:rsidR="004D0DA8" w:rsidRPr="00B556E8" w:rsidP="004D0DA8" w14:paraId="5F9988F4" w14:textId="77777777">
            <w:pPr>
              <w:pStyle w:val="CommentText"/>
              <w:rPr>
                <w:rStyle w:val="Hyperlink"/>
                <w:bCs/>
                <w:sz w:val="24"/>
                <w:szCs w:val="24"/>
              </w:rPr>
            </w:pPr>
            <w:hyperlink r:id="rId30" w:history="1">
              <w:r w:rsidRPr="00B556E8" w:rsidR="00B556E8">
                <w:rPr>
                  <w:rStyle w:val="Hyperlink"/>
                  <w:bCs/>
                  <w:sz w:val="24"/>
                  <w:szCs w:val="24"/>
                </w:rPr>
                <w:t>bojko@carpenterlipps.com</w:t>
              </w:r>
            </w:hyperlink>
          </w:p>
          <w:p w:rsidR="004D0DA8" w:rsidRPr="00B556E8" w:rsidP="004D0DA8" w14:paraId="2027DD6C" w14:textId="77777777">
            <w:pPr>
              <w:pStyle w:val="CommentText"/>
              <w:rPr>
                <w:rStyle w:val="Hyperlink"/>
                <w:sz w:val="24"/>
                <w:szCs w:val="24"/>
              </w:rPr>
            </w:pPr>
            <w:hyperlink r:id="rId32" w:history="1">
              <w:r w:rsidRPr="00B556E8" w:rsidR="00B556E8">
                <w:rPr>
                  <w:rStyle w:val="Hyperlink"/>
                  <w:sz w:val="24"/>
                  <w:szCs w:val="24"/>
                </w:rPr>
                <w:t>paul@carpenterlipps.com</w:t>
              </w:r>
            </w:hyperlink>
          </w:p>
          <w:p w:rsidR="004D0DA8" w:rsidRPr="00B556E8" w:rsidP="004D0DA8" w14:paraId="3466377A" w14:textId="77777777">
            <w:pPr>
              <w:autoSpaceDE w:val="0"/>
              <w:autoSpaceDN w:val="0"/>
              <w:adjustRightInd w:val="0"/>
              <w:rPr>
                <w:color w:val="0000FF"/>
                <w:sz w:val="24"/>
                <w:szCs w:val="24"/>
              </w:rPr>
            </w:pPr>
            <w:hyperlink r:id="rId20" w:history="1">
              <w:r w:rsidRPr="00B556E8" w:rsidR="00B556E8">
                <w:rPr>
                  <w:rStyle w:val="Hyperlink"/>
                  <w:sz w:val="24"/>
                  <w:szCs w:val="24"/>
                </w:rPr>
                <w:t>mkurtz@BKLlawfirm.com</w:t>
              </w:r>
            </w:hyperlink>
          </w:p>
          <w:p w:rsidR="004D0DA8" w:rsidRPr="00B556E8" w:rsidP="004D0DA8" w14:paraId="506B027C" w14:textId="77777777">
            <w:pPr>
              <w:autoSpaceDE w:val="0"/>
              <w:autoSpaceDN w:val="0"/>
              <w:adjustRightInd w:val="0"/>
              <w:rPr>
                <w:color w:val="0000FF"/>
                <w:sz w:val="24"/>
                <w:szCs w:val="24"/>
              </w:rPr>
            </w:pPr>
            <w:hyperlink r:id="rId21" w:history="1">
              <w:r w:rsidRPr="00B556E8" w:rsidR="00B556E8">
                <w:rPr>
                  <w:rStyle w:val="Hyperlink"/>
                  <w:sz w:val="24"/>
                  <w:szCs w:val="24"/>
                </w:rPr>
                <w:t>kboehm@BKLlawfirm.com</w:t>
              </w:r>
            </w:hyperlink>
          </w:p>
          <w:p w:rsidR="004D0DA8" w:rsidRPr="00B556E8" w:rsidP="004D0DA8" w14:paraId="3F7BC074" w14:textId="55734675">
            <w:pPr>
              <w:autoSpaceDE w:val="0"/>
              <w:autoSpaceDN w:val="0"/>
              <w:adjustRightInd w:val="0"/>
              <w:rPr>
                <w:rStyle w:val="Hyperlink"/>
                <w:sz w:val="24"/>
                <w:szCs w:val="24"/>
              </w:rPr>
            </w:pPr>
            <w:hyperlink r:id="rId22" w:history="1">
              <w:r w:rsidRPr="00B556E8" w:rsidR="00B556E8">
                <w:rPr>
                  <w:rStyle w:val="Hyperlink"/>
                  <w:sz w:val="24"/>
                  <w:szCs w:val="24"/>
                </w:rPr>
                <w:t>jkylercohn@BKLlawfirm.com</w:t>
              </w:r>
            </w:hyperlink>
          </w:p>
          <w:p w:rsidR="004D0DA8" w:rsidRPr="00B556E8" w:rsidP="004D0DA8" w14:paraId="681E20C1" w14:textId="4C69BE53">
            <w:pPr>
              <w:pStyle w:val="CommentText"/>
              <w:rPr>
                <w:rStyle w:val="Hyperlink"/>
                <w:bCs/>
                <w:sz w:val="24"/>
                <w:szCs w:val="24"/>
              </w:rPr>
            </w:pPr>
            <w:hyperlink r:id="rId41" w:history="1">
              <w:r w:rsidRPr="00B556E8" w:rsidR="00B556E8">
                <w:rPr>
                  <w:rStyle w:val="Hyperlink"/>
                  <w:bCs/>
                  <w:sz w:val="24"/>
                  <w:szCs w:val="24"/>
                </w:rPr>
                <w:t>rocco.dascenzo@duke-energy.com</w:t>
              </w:r>
            </w:hyperlink>
          </w:p>
          <w:p w:rsidR="004D0DA8" w:rsidRPr="00B556E8" w:rsidP="004D0DA8" w14:paraId="66DB74A3" w14:textId="77777777">
            <w:pPr>
              <w:pStyle w:val="CommentText"/>
              <w:ind w:hanging="18"/>
              <w:rPr>
                <w:rStyle w:val="Hyperlink"/>
                <w:bCs/>
                <w:sz w:val="24"/>
                <w:szCs w:val="24"/>
              </w:rPr>
            </w:pPr>
            <w:hyperlink r:id="rId42" w:history="1">
              <w:r w:rsidRPr="00B556E8" w:rsidR="00B556E8">
                <w:rPr>
                  <w:rStyle w:val="Hyperlink"/>
                  <w:bCs/>
                  <w:sz w:val="24"/>
                  <w:szCs w:val="24"/>
                </w:rPr>
                <w:t>Jeanne.kingery@duke-energy.com</w:t>
              </w:r>
            </w:hyperlink>
          </w:p>
          <w:p w:rsidR="004D0DA8" w:rsidRPr="00B556E8" w:rsidP="004D0DA8" w14:paraId="0C1679F8" w14:textId="77777777">
            <w:pPr>
              <w:pStyle w:val="CommentText"/>
              <w:ind w:hanging="18"/>
              <w:rPr>
                <w:rStyle w:val="Hyperlink"/>
                <w:sz w:val="24"/>
                <w:szCs w:val="24"/>
              </w:rPr>
            </w:pPr>
            <w:hyperlink r:id="rId43" w:history="1">
              <w:r w:rsidRPr="00B556E8" w:rsidR="00B556E8">
                <w:rPr>
                  <w:rStyle w:val="Hyperlink"/>
                  <w:sz w:val="24"/>
                  <w:szCs w:val="24"/>
                </w:rPr>
                <w:t>Larisa.vaysman@duke-energy.com</w:t>
              </w:r>
            </w:hyperlink>
          </w:p>
          <w:p w:rsidR="004D0DA8" w:rsidRPr="00B556E8" w:rsidP="004D0DA8" w14:paraId="5551D005" w14:textId="77777777">
            <w:pPr>
              <w:pStyle w:val="CommentText"/>
              <w:ind w:hanging="18"/>
              <w:rPr>
                <w:sz w:val="24"/>
                <w:szCs w:val="24"/>
              </w:rPr>
            </w:pPr>
            <w:hyperlink r:id="rId25" w:history="1">
              <w:r w:rsidRPr="00B556E8" w:rsidR="00B556E8">
                <w:rPr>
                  <w:rStyle w:val="Hyperlink"/>
                  <w:sz w:val="24"/>
                  <w:szCs w:val="24"/>
                </w:rPr>
                <w:t>stnourse@aep.com</w:t>
              </w:r>
            </w:hyperlink>
          </w:p>
          <w:p w:rsidR="004D0DA8" w:rsidRPr="00B556E8" w:rsidP="004D0DA8" w14:paraId="3EA6411C" w14:textId="77777777">
            <w:pPr>
              <w:pStyle w:val="CommentText"/>
              <w:ind w:hanging="18"/>
              <w:rPr>
                <w:sz w:val="24"/>
                <w:szCs w:val="24"/>
              </w:rPr>
            </w:pPr>
            <w:hyperlink r:id="rId28" w:history="1">
              <w:r w:rsidRPr="00B556E8" w:rsidR="00B556E8">
                <w:rPr>
                  <w:rStyle w:val="Hyperlink"/>
                  <w:sz w:val="24"/>
                  <w:szCs w:val="24"/>
                </w:rPr>
                <w:t>rdove@keglerbrown.com</w:t>
              </w:r>
            </w:hyperlink>
          </w:p>
          <w:p w:rsidR="004D0DA8" w:rsidRPr="00B556E8" w:rsidP="004D0DA8" w14:paraId="4262ECAA" w14:textId="43829D4A">
            <w:pPr>
              <w:autoSpaceDE w:val="0"/>
              <w:autoSpaceDN w:val="0"/>
              <w:adjustRightInd w:val="0"/>
              <w:rPr>
                <w:rStyle w:val="Hyperlink"/>
                <w:bCs/>
                <w:sz w:val="24"/>
                <w:szCs w:val="24"/>
              </w:rPr>
            </w:pPr>
          </w:p>
          <w:p w:rsidR="004D0DA8" w:rsidRPr="00B556E8" w:rsidP="004D0DA8" w14:paraId="14ABABF7" w14:textId="77777777">
            <w:pPr>
              <w:pStyle w:val="CommentText"/>
              <w:rPr>
                <w:rStyle w:val="Hyperlink"/>
                <w:color w:val="auto"/>
                <w:sz w:val="24"/>
                <w:szCs w:val="24"/>
              </w:rPr>
            </w:pPr>
            <w:r w:rsidRPr="00B556E8">
              <w:rPr>
                <w:rStyle w:val="Hyperlink"/>
                <w:color w:val="auto"/>
                <w:sz w:val="24"/>
                <w:szCs w:val="24"/>
              </w:rPr>
              <w:t>Attorney Examiners:</w:t>
            </w:r>
          </w:p>
          <w:p w:rsidR="004D0DA8" w:rsidRPr="00B556E8" w:rsidP="004D0DA8" w14:paraId="18F0E74B" w14:textId="77777777">
            <w:pPr>
              <w:pStyle w:val="CommentText"/>
              <w:rPr>
                <w:sz w:val="24"/>
                <w:szCs w:val="24"/>
              </w:rPr>
            </w:pPr>
            <w:hyperlink r:id="rId44" w:history="1">
              <w:r w:rsidRPr="00B556E8" w:rsidR="00B556E8">
                <w:rPr>
                  <w:rStyle w:val="Hyperlink"/>
                  <w:sz w:val="24"/>
                  <w:szCs w:val="24"/>
                </w:rPr>
                <w:t>Matthew.sandor@puco.ohio.gov</w:t>
              </w:r>
            </w:hyperlink>
          </w:p>
          <w:p w:rsidR="004D0DA8" w:rsidRPr="00B556E8" w:rsidP="004D0DA8" w14:paraId="6CE5E370" w14:textId="77777777">
            <w:pPr>
              <w:pStyle w:val="CommentText"/>
              <w:rPr>
                <w:sz w:val="24"/>
                <w:szCs w:val="24"/>
              </w:rPr>
            </w:pPr>
            <w:hyperlink r:id="rId45" w:history="1">
              <w:r w:rsidRPr="00B556E8" w:rsidR="00B556E8">
                <w:rPr>
                  <w:rStyle w:val="Hyperlink"/>
                  <w:sz w:val="24"/>
                  <w:szCs w:val="24"/>
                </w:rPr>
                <w:t>Nicholas.walstra@puco.ohio.gov</w:t>
              </w:r>
            </w:hyperlink>
          </w:p>
          <w:p w:rsidR="004D0DA8" w:rsidRPr="00B556E8" w:rsidP="004D0DA8" w14:paraId="04D90544" w14:textId="77777777">
            <w:pPr>
              <w:autoSpaceDE w:val="0"/>
              <w:autoSpaceDN w:val="0"/>
              <w:adjustRightInd w:val="0"/>
              <w:rPr>
                <w:rStyle w:val="Hyperlink"/>
                <w:bCs/>
                <w:sz w:val="24"/>
                <w:szCs w:val="24"/>
              </w:rPr>
            </w:pPr>
          </w:p>
          <w:p w:rsidR="004D0DA8" w:rsidRPr="00B556E8" w:rsidP="004C2A88" w14:paraId="7AD27A9F" w14:textId="04140B32">
            <w:pPr>
              <w:autoSpaceDE w:val="0"/>
              <w:autoSpaceDN w:val="0"/>
              <w:adjustRightInd w:val="0"/>
              <w:rPr>
                <w:b/>
                <w:sz w:val="24"/>
                <w:szCs w:val="24"/>
                <w:u w:val="single"/>
              </w:rPr>
            </w:pPr>
          </w:p>
        </w:tc>
        <w:tc>
          <w:tcPr>
            <w:tcW w:w="4675" w:type="dxa"/>
          </w:tcPr>
          <w:p w:rsidR="00825F8E" w:rsidRPr="00B556E8" w:rsidP="00825F8E" w14:paraId="6A036782" w14:textId="217FEC95">
            <w:pPr>
              <w:pStyle w:val="BodyText"/>
              <w:ind w:left="1062"/>
              <w:rPr>
                <w:bCs/>
                <w:sz w:val="24"/>
                <w:szCs w:val="24"/>
              </w:rPr>
            </w:pPr>
            <w:hyperlink r:id="rId28" w:history="1">
              <w:r w:rsidRPr="00B556E8" w:rsidR="004D0DA8">
                <w:rPr>
                  <w:rStyle w:val="Hyperlink"/>
                  <w:bCs/>
                  <w:sz w:val="24"/>
                  <w:szCs w:val="24"/>
                </w:rPr>
                <w:t>rdove@keglerbrown.com</w:t>
              </w:r>
            </w:hyperlink>
          </w:p>
          <w:p w:rsidR="00825F8E" w:rsidRPr="00B556E8" w:rsidP="00825F8E" w14:paraId="1FA6D559" w14:textId="77777777">
            <w:pPr>
              <w:pStyle w:val="BodyText"/>
              <w:ind w:left="1062"/>
              <w:rPr>
                <w:bCs/>
                <w:sz w:val="24"/>
                <w:szCs w:val="24"/>
              </w:rPr>
            </w:pPr>
            <w:hyperlink r:id="rId25" w:history="1">
              <w:r w:rsidRPr="00B556E8" w:rsidR="00B556E8">
                <w:rPr>
                  <w:rStyle w:val="Hyperlink"/>
                  <w:bCs/>
                  <w:sz w:val="24"/>
                  <w:szCs w:val="24"/>
                </w:rPr>
                <w:t>stnourse@aep.com</w:t>
              </w:r>
            </w:hyperlink>
          </w:p>
          <w:p w:rsidR="00825F8E" w:rsidRPr="00B556E8" w:rsidP="00825F8E" w14:paraId="77B719E6" w14:textId="082585B5">
            <w:pPr>
              <w:pStyle w:val="CommentText"/>
              <w:ind w:left="1062"/>
              <w:rPr>
                <w:b/>
                <w:sz w:val="24"/>
                <w:szCs w:val="24"/>
                <w:u w:val="single"/>
              </w:rPr>
            </w:pPr>
            <w:hyperlink r:id="rId42" w:history="1">
              <w:r w:rsidRPr="00B556E8" w:rsidR="00B556E8">
                <w:rPr>
                  <w:rStyle w:val="Hyperlink"/>
                  <w:bCs/>
                  <w:sz w:val="24"/>
                  <w:szCs w:val="24"/>
                </w:rPr>
                <w:t>jeanne.kingery@duke-energy.com</w:t>
              </w:r>
            </w:hyperlink>
          </w:p>
        </w:tc>
      </w:tr>
    </w:tbl>
    <w:p w:rsidR="00D120DB" w:rsidRPr="00B556E8" w:rsidP="0061608D" w14:paraId="3EF4E847" w14:textId="77777777">
      <w:pPr>
        <w:pStyle w:val="CommentText"/>
        <w:jc w:val="center"/>
        <w:rPr>
          <w:rFonts w:ascii="Times New Roman" w:hAnsi="Times New Roman" w:cs="Times New Roman"/>
          <w:b/>
          <w:sz w:val="24"/>
          <w:szCs w:val="24"/>
          <w:u w:val="single"/>
        </w:rPr>
      </w:pPr>
    </w:p>
    <w:p w:rsidR="00E50254" w:rsidRPr="00B556E8" w:rsidP="00E24676" w14:paraId="27D696F6" w14:textId="77777777">
      <w:pPr>
        <w:ind w:left="3600"/>
        <w:rPr>
          <w:rFonts w:ascii="Times New Roman" w:hAnsi="Times New Roman" w:cs="Times New Roman"/>
          <w:sz w:val="24"/>
          <w:szCs w:val="24"/>
        </w:rPr>
      </w:pPr>
    </w:p>
    <w:sectPr w:rsidSect="00E50254">
      <w:pgSz w:w="12240" w:h="15840"/>
      <w:pgMar w:top="1440" w:right="1440" w:bottom="1440" w:left="1440" w:header="1547"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w:altName w:val="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CAF" w:rsidRPr="007F7F79" w14:paraId="316F71C9" w14:textId="7DEE33FF">
    <w:pPr>
      <w:pStyle w:val="Footer"/>
      <w:jc w:val="center"/>
      <w:rPr>
        <w:rFonts w:ascii="Times New Roman" w:hAnsi="Times New Roman" w:cs="Times New Roman"/>
        <w:sz w:val="24"/>
        <w:szCs w:val="24"/>
      </w:rPr>
    </w:pPr>
  </w:p>
  <w:p w:rsidR="00125CAF" w14:paraId="3AD9E0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CAF" w14:paraId="71E7E808" w14:textId="30A93003">
    <w:pPr>
      <w:pStyle w:val="Footer"/>
      <w:jc w:val="center"/>
    </w:pPr>
  </w:p>
  <w:p w:rsidR="00125CAF" w14:paraId="4BC21F9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6001958"/>
      <w:docPartObj>
        <w:docPartGallery w:val="Page Numbers (Bottom of Page)"/>
        <w:docPartUnique/>
      </w:docPartObj>
    </w:sdtPr>
    <w:sdtEndPr>
      <w:rPr>
        <w:rFonts w:ascii="Times New Roman" w:hAnsi="Times New Roman" w:cs="Times New Roman"/>
        <w:noProof/>
        <w:sz w:val="24"/>
        <w:szCs w:val="24"/>
      </w:rPr>
    </w:sdtEndPr>
    <w:sdtContent>
      <w:p w:rsidR="00125CAF" w:rsidRPr="007F7F79" w14:paraId="66ECC7B9" w14:textId="1C4520EA">
        <w:pPr>
          <w:pStyle w:val="Footer"/>
          <w:jc w:val="center"/>
          <w:rPr>
            <w:rFonts w:ascii="Times New Roman" w:hAnsi="Times New Roman" w:cs="Times New Roman"/>
            <w:sz w:val="24"/>
            <w:szCs w:val="24"/>
          </w:rPr>
        </w:pPr>
        <w:r w:rsidRPr="007F7F79">
          <w:rPr>
            <w:rFonts w:ascii="Times New Roman" w:hAnsi="Times New Roman" w:cs="Times New Roman"/>
            <w:sz w:val="24"/>
            <w:szCs w:val="24"/>
          </w:rPr>
          <w:fldChar w:fldCharType="begin"/>
        </w:r>
        <w:r w:rsidRPr="007F7F79">
          <w:rPr>
            <w:rFonts w:ascii="Times New Roman" w:hAnsi="Times New Roman" w:cs="Times New Roman"/>
            <w:sz w:val="24"/>
            <w:szCs w:val="24"/>
          </w:rPr>
          <w:instrText xml:space="preserve"> PAGE   \* MERGEFORMAT </w:instrText>
        </w:r>
        <w:r w:rsidRPr="007F7F79">
          <w:rPr>
            <w:rFonts w:ascii="Times New Roman" w:hAnsi="Times New Roman" w:cs="Times New Roman"/>
            <w:sz w:val="24"/>
            <w:szCs w:val="24"/>
          </w:rPr>
          <w:fldChar w:fldCharType="separate"/>
        </w:r>
        <w:r w:rsidRPr="007F7F79">
          <w:rPr>
            <w:rFonts w:ascii="Times New Roman" w:hAnsi="Times New Roman" w:cs="Times New Roman"/>
            <w:noProof/>
            <w:sz w:val="24"/>
            <w:szCs w:val="24"/>
          </w:rPr>
          <w:t>2</w:t>
        </w:r>
        <w:r w:rsidRPr="007F7F79">
          <w:rPr>
            <w:rFonts w:ascii="Times New Roman" w:hAnsi="Times New Roman" w:cs="Times New Roman"/>
            <w:noProof/>
            <w:sz w:val="24"/>
            <w:szCs w:val="24"/>
          </w:rPr>
          <w:fldChar w:fldCharType="end"/>
        </w:r>
      </w:p>
    </w:sdtContent>
  </w:sdt>
  <w:p w:rsidR="00125CAF" w14:paraId="3665519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7671875"/>
      <w:docPartObj>
        <w:docPartGallery w:val="Page Numbers (Bottom of Page)"/>
        <w:docPartUnique/>
      </w:docPartObj>
    </w:sdtPr>
    <w:sdtEndPr>
      <w:rPr>
        <w:rFonts w:ascii="Times New Roman" w:hAnsi="Times New Roman" w:cs="Times New Roman"/>
        <w:noProof/>
        <w:sz w:val="24"/>
        <w:szCs w:val="24"/>
      </w:rPr>
    </w:sdtEndPr>
    <w:sdtContent>
      <w:p w:rsidR="00125CAF" w:rsidRPr="001346B4" w14:paraId="20E8BA50" w14:textId="0DC67CF8">
        <w:pPr>
          <w:pStyle w:val="Footer"/>
          <w:jc w:val="center"/>
          <w:rPr>
            <w:rFonts w:ascii="Times New Roman" w:hAnsi="Times New Roman" w:cs="Times New Roman"/>
            <w:sz w:val="24"/>
            <w:szCs w:val="24"/>
          </w:rPr>
        </w:pPr>
        <w:r w:rsidRPr="001346B4">
          <w:rPr>
            <w:rFonts w:ascii="Times New Roman" w:hAnsi="Times New Roman" w:cs="Times New Roman"/>
            <w:sz w:val="24"/>
            <w:szCs w:val="24"/>
          </w:rPr>
          <w:fldChar w:fldCharType="begin"/>
        </w:r>
        <w:r w:rsidRPr="001346B4">
          <w:rPr>
            <w:rFonts w:ascii="Times New Roman" w:hAnsi="Times New Roman" w:cs="Times New Roman"/>
            <w:sz w:val="24"/>
            <w:szCs w:val="24"/>
          </w:rPr>
          <w:instrText xml:space="preserve"> PAGE   \* MERGEFORMAT </w:instrText>
        </w:r>
        <w:r w:rsidRPr="001346B4">
          <w:rPr>
            <w:rFonts w:ascii="Times New Roman" w:hAnsi="Times New Roman" w:cs="Times New Roman"/>
            <w:sz w:val="24"/>
            <w:szCs w:val="24"/>
          </w:rPr>
          <w:fldChar w:fldCharType="separate"/>
        </w:r>
        <w:r w:rsidRPr="001346B4">
          <w:rPr>
            <w:rFonts w:ascii="Times New Roman" w:hAnsi="Times New Roman" w:cs="Times New Roman"/>
            <w:noProof/>
            <w:sz w:val="24"/>
            <w:szCs w:val="24"/>
          </w:rPr>
          <w:t>2</w:t>
        </w:r>
        <w:r w:rsidRPr="001346B4">
          <w:rPr>
            <w:rFonts w:ascii="Times New Roman" w:hAnsi="Times New Roman" w:cs="Times New Roman"/>
            <w:noProof/>
            <w:sz w:val="24"/>
            <w:szCs w:val="24"/>
          </w:rPr>
          <w:fldChar w:fldCharType="end"/>
        </w:r>
      </w:p>
    </w:sdtContent>
  </w:sdt>
  <w:p w:rsidR="00125CAF" w14:paraId="3811E0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31200" w14:paraId="32FAE2C5" w14:textId="77777777">
      <w:r>
        <w:separator/>
      </w:r>
    </w:p>
  </w:footnote>
  <w:footnote w:type="continuationSeparator" w:id="1">
    <w:p w:rsidR="00731200" w14:paraId="1F009885" w14:textId="77777777">
      <w:r>
        <w:continuationSeparator/>
      </w:r>
    </w:p>
  </w:footnote>
  <w:footnote w:id="2">
    <w:p w:rsidR="00125CAF" w:rsidRPr="00176947" w:rsidP="006A7E03" w14:paraId="17C85DF4" w14:textId="77777777">
      <w:pPr>
        <w:pStyle w:val="FootnoteText"/>
        <w:spacing w:after="120"/>
      </w:pPr>
      <w:r w:rsidRPr="00176947">
        <w:rPr>
          <w:rStyle w:val="FootnoteReference"/>
        </w:rPr>
        <w:footnoteRef/>
      </w:r>
      <w:r w:rsidRPr="00176947">
        <w:t xml:space="preserve"> Motion for Subpoena Duces Tecum for Designated Representative of Ohio Valley Electric Corporation to Attend and Testify at Deposition by Office of the Ohio Consumers' Counsel (Nov. 9, 2021).</w:t>
      </w:r>
    </w:p>
  </w:footnote>
  <w:footnote w:id="3">
    <w:p w:rsidR="00125CAF" w:rsidRPr="00176947" w:rsidP="006A7E03" w14:paraId="7CC923D1" w14:textId="77777777">
      <w:pPr>
        <w:pStyle w:val="FootnoteText"/>
        <w:spacing w:after="120"/>
      </w:pPr>
      <w:r w:rsidRPr="00176947">
        <w:rPr>
          <w:rStyle w:val="FootnoteReference"/>
        </w:rPr>
        <w:footnoteRef/>
      </w:r>
      <w:r w:rsidRPr="00176947">
        <w:t xml:space="preserve"> </w:t>
      </w:r>
      <w:r w:rsidRPr="00176947">
        <w:rPr>
          <w:i/>
          <w:iCs/>
        </w:rPr>
        <w:t xml:space="preserve">In the Matter of the Review of the Reconciliation Rider of The Dayton Power and Light Company, </w:t>
      </w:r>
      <w:r w:rsidRPr="00176947">
        <w:t>Case No. 20-165-EL-RDR, Motion and Memorandum in Support to Quash Subpoena Without Prejudice and Memorandum Contra to OCC Motion for Subpoena Duces Tecum (Nov. 19, 2021).</w:t>
      </w:r>
    </w:p>
  </w:footnote>
  <w:footnote w:id="4">
    <w:p w:rsidR="00125CAF" w:rsidRPr="00176947" w:rsidP="006A7E03" w14:paraId="4B700262" w14:textId="77777777">
      <w:pPr>
        <w:pStyle w:val="FootnoteText"/>
        <w:spacing w:after="120"/>
      </w:pPr>
      <w:r w:rsidRPr="00176947">
        <w:rPr>
          <w:rStyle w:val="FootnoteReference"/>
        </w:rPr>
        <w:footnoteRef/>
      </w:r>
      <w:r w:rsidRPr="00176947">
        <w:t xml:space="preserve"> Motion to Quash OVEC Subpoena and Memorandum in Support (Dec. 1, 2021).</w:t>
      </w:r>
    </w:p>
  </w:footnote>
  <w:footnote w:id="5">
    <w:p w:rsidR="00125CAF" w:rsidRPr="00176947" w:rsidP="006A7E03" w14:paraId="23185460" w14:textId="77777777">
      <w:pPr>
        <w:pStyle w:val="FootnoteText"/>
        <w:spacing w:after="120"/>
      </w:pPr>
      <w:r w:rsidRPr="00176947">
        <w:rPr>
          <w:rStyle w:val="FootnoteReference"/>
        </w:rPr>
        <w:footnoteRef/>
      </w:r>
      <w:r w:rsidRPr="00176947">
        <w:t xml:space="preserve"> </w:t>
      </w:r>
      <w:r w:rsidRPr="00176947">
        <w:rPr>
          <w:i/>
          <w:iCs/>
        </w:rPr>
        <w:t>In the Matter of the Application Seeking Approval of Ohio Power Company’s Proposal to Enter into an Affiliate Purchase Power Agreement</w:t>
      </w:r>
      <w:r w:rsidRPr="00176947">
        <w:t>, Case No. 14-1693-EL-RDR, Opinion and Order, Concurring Opinion of Chairman Haque at p.5 (Mar. 31, 2016).</w:t>
      </w:r>
    </w:p>
  </w:footnote>
  <w:footnote w:id="6">
    <w:p w:rsidR="00125CAF" w:rsidRPr="00176947" w:rsidP="006A7E03" w14:paraId="7769BA7E" w14:textId="77777777">
      <w:pPr>
        <w:pStyle w:val="FootnoteText"/>
        <w:spacing w:after="120"/>
      </w:pPr>
      <w:r w:rsidRPr="00176947">
        <w:rPr>
          <w:rStyle w:val="FootnoteReference"/>
        </w:rPr>
        <w:footnoteRef/>
      </w:r>
      <w:r w:rsidRPr="00176947">
        <w:t xml:space="preserve"> </w:t>
      </w:r>
      <w:r w:rsidRPr="00176947">
        <w:rPr>
          <w:i/>
          <w:iCs/>
        </w:rPr>
        <w:t>In re Application of FirstEnergy Advisors for Certification as a Competitive Retail Elec. Serv. Power Broker &amp; Aggregator</w:t>
      </w:r>
      <w:r w:rsidRPr="00176947">
        <w:t>, Slip Opinion No. 2021-Ohio-3630, 2021 Ohio LEXIS 2065, 2021 WL 4783198.</w:t>
      </w:r>
    </w:p>
  </w:footnote>
  <w:footnote w:id="7">
    <w:p w:rsidR="00125CAF" w:rsidRPr="00176947" w:rsidP="006A7E03" w14:paraId="2E2468E3" w14:textId="77777777">
      <w:pPr>
        <w:pStyle w:val="FootnoteText"/>
        <w:spacing w:after="120"/>
      </w:pPr>
      <w:r w:rsidRPr="00176947">
        <w:rPr>
          <w:rStyle w:val="FootnoteReference"/>
        </w:rPr>
        <w:footnoteRef/>
      </w:r>
      <w:r w:rsidRPr="00176947">
        <w:t xml:space="preserve"> </w:t>
      </w:r>
      <w:r w:rsidRPr="00176947">
        <w:rPr>
          <w:i/>
          <w:iCs/>
        </w:rPr>
        <w:t xml:space="preserve">In the Matter of the Review of the Power Purchase Agreement Rider of Ohio Power Company for 2018 and 2019, </w:t>
      </w:r>
      <w:r w:rsidRPr="00176947">
        <w:t>Case Nos. 18-1004-EL-RDR and 18-1759-EL-RDR London Economics International, LLC, Audit of the OVEC Power Purchase Agreement Rider of Ohio Power Company</w:t>
      </w:r>
      <w:r w:rsidRPr="00176947">
        <w:rPr>
          <w:i/>
          <w:iCs/>
        </w:rPr>
        <w:t xml:space="preserve"> </w:t>
      </w:r>
      <w:r w:rsidRPr="00176947">
        <w:t>at 31 (Sept. 16, 2020).</w:t>
      </w:r>
    </w:p>
  </w:footnote>
  <w:footnote w:id="8">
    <w:p w:rsidR="00125CAF" w:rsidRPr="00176947" w:rsidP="006A7E03" w14:paraId="45D8A2B5" w14:textId="77777777">
      <w:pPr>
        <w:pStyle w:val="FootnoteText"/>
        <w:spacing w:after="120"/>
      </w:pPr>
      <w:r w:rsidRPr="00176947">
        <w:rPr>
          <w:rStyle w:val="FootnoteReference"/>
        </w:rPr>
        <w:footnoteRef/>
      </w:r>
      <w:r w:rsidRPr="00176947">
        <w:t xml:space="preserve"> For purposes of discovery, Ohio Adm. Code 4901-1-16(H) defines a party as any person who has filed a motion to intervene (“F</w:t>
      </w:r>
      <w:r w:rsidRPr="00176947">
        <w:rPr>
          <w:shd w:val="clear" w:color="auto" w:fill="FFFFFF"/>
        </w:rPr>
        <w:t xml:space="preserve">or purposes of rules 4901-1-16 to </w:t>
      </w:r>
      <w:hyperlink r:id="rId1" w:tgtFrame="_new" w:tooltip="Motions for protective orders" w:history="1">
        <w:r w:rsidRPr="004019BB">
          <w:rPr>
            <w:shd w:val="clear" w:color="auto" w:fill="FFFFFF"/>
          </w:rPr>
          <w:t>4901-1-24</w:t>
        </w:r>
      </w:hyperlink>
      <w:r w:rsidRPr="00176947">
        <w:rPr>
          <w:shd w:val="clear" w:color="auto" w:fill="FFFFFF"/>
        </w:rPr>
        <w:t xml:space="preserve"> of the Administrative Code, the term ‘party’ includes any person who has filed a motion to intervene which is pending at the time a discovery request or motion is to be served or filed.</w:t>
      </w:r>
      <w:r w:rsidRPr="00176947">
        <w:t>”).</w:t>
      </w:r>
    </w:p>
  </w:footnote>
  <w:footnote w:id="9">
    <w:p w:rsidR="00125CAF" w:rsidRPr="00176947" w:rsidP="006A7E03" w14:paraId="11506165" w14:textId="5AD13B86">
      <w:pPr>
        <w:pStyle w:val="FootnoteText"/>
        <w:spacing w:after="120"/>
      </w:pPr>
      <w:r w:rsidRPr="00176947">
        <w:rPr>
          <w:rStyle w:val="FootnoteReference"/>
        </w:rPr>
        <w:footnoteRef/>
      </w:r>
      <w:r w:rsidRPr="00176947">
        <w:t xml:space="preserve"> </w:t>
      </w:r>
      <w:r w:rsidRPr="00176947">
        <w:rPr>
          <w:i/>
          <w:iCs/>
        </w:rPr>
        <w:t>In the Matter of the Review of the Power Purchase Agreement Rider of Ohio Power Company for 2018 and 2019</w:t>
      </w:r>
      <w:r w:rsidRPr="00176947">
        <w:t>, Case Nos. 18-1004-EL-RDR &amp; 18-1759</w:t>
      </w:r>
      <w:r w:rsidR="006A7E03">
        <w:t>-EL-RDR</w:t>
      </w:r>
      <w:r w:rsidRPr="00176947">
        <w:t>, Entry, Attachment: Request for Proposal No. RA20-PPA-1: An Independent Audit of the Power Purchase Agreement Rider of Ohio Power Company at 4 (Jan. 15, 2020).</w:t>
      </w:r>
    </w:p>
  </w:footnote>
  <w:footnote w:id="10">
    <w:p w:rsidR="00125CAF" w:rsidRPr="00176947" w:rsidP="006A7E03" w14:paraId="53B514AA" w14:textId="77777777">
      <w:pPr>
        <w:pStyle w:val="FootnoteText"/>
        <w:spacing w:after="120"/>
      </w:pPr>
      <w:r w:rsidRPr="00176947">
        <w:rPr>
          <w:rStyle w:val="FootnoteReference"/>
        </w:rPr>
        <w:footnoteRef/>
      </w:r>
      <w:r w:rsidRPr="00176947">
        <w:t xml:space="preserve"> </w:t>
      </w:r>
      <w:r w:rsidRPr="00176947">
        <w:rPr>
          <w:i/>
          <w:iCs/>
        </w:rPr>
        <w:t xml:space="preserve">Id., </w:t>
      </w:r>
      <w:r w:rsidRPr="00176947">
        <w:t>Initial Comments of OCC at 2-6 (Nov. 12, 2021).</w:t>
      </w:r>
    </w:p>
  </w:footnote>
  <w:footnote w:id="11">
    <w:p w:rsidR="00125CAF" w:rsidRPr="00176947" w:rsidP="006A7E03" w14:paraId="4F0AF189" w14:textId="77777777">
      <w:pPr>
        <w:pStyle w:val="FootnoteText"/>
        <w:spacing w:after="120"/>
      </w:pPr>
      <w:r w:rsidRPr="00176947">
        <w:rPr>
          <w:rStyle w:val="FootnoteReference"/>
        </w:rPr>
        <w:footnoteRef/>
      </w:r>
      <w:r w:rsidRPr="00176947">
        <w:t xml:space="preserve"> O.A.C. 4901-1-25(C).</w:t>
      </w:r>
    </w:p>
  </w:footnote>
  <w:footnote w:id="12">
    <w:p w:rsidR="00125CAF" w:rsidRPr="00176947" w:rsidP="006A7E03" w14:paraId="71E0FFB1" w14:textId="77777777">
      <w:pPr>
        <w:pStyle w:val="FootnoteText"/>
        <w:spacing w:after="120"/>
      </w:pPr>
      <w:r w:rsidRPr="00176947">
        <w:rPr>
          <w:rStyle w:val="FootnoteReference"/>
        </w:rPr>
        <w:footnoteRef/>
      </w:r>
      <w:r w:rsidRPr="00176947">
        <w:t xml:space="preserve"> O.A.C. 4901-1-16(A). </w:t>
      </w:r>
    </w:p>
  </w:footnote>
  <w:footnote w:id="13">
    <w:p w:rsidR="00125CAF" w:rsidRPr="00176947" w:rsidP="006A7E03" w14:paraId="5FBE0ADB" w14:textId="5DA58D0E">
      <w:pPr>
        <w:pStyle w:val="FootnoteText"/>
        <w:spacing w:after="120"/>
      </w:pPr>
      <w:r w:rsidRPr="00176947">
        <w:rPr>
          <w:rStyle w:val="FootnoteReference"/>
        </w:rPr>
        <w:footnoteRef/>
      </w:r>
      <w:r w:rsidRPr="00176947">
        <w:t xml:space="preserve"> “The Commission selects Vantage Energy Consulting, LLC to conduct the audit services necessary to assist the Commission in </w:t>
      </w:r>
      <w:r w:rsidRPr="00176947">
        <w:rPr>
          <w:b/>
        </w:rPr>
        <w:t>the prudency and performance audit</w:t>
      </w:r>
      <w:r w:rsidRPr="00176947">
        <w:t xml:space="preserve"> of the Dayton Power and Light Company’s reconciliation rider for the period of November 1, 2018 through December 31, 2019.” Entry at ¶ 1 (Mar. 11, 2020) (</w:t>
      </w:r>
      <w:r w:rsidR="001D5301">
        <w:t>E</w:t>
      </w:r>
      <w:r w:rsidRPr="00176947">
        <w:t xml:space="preserve">mphasis added). </w:t>
      </w:r>
    </w:p>
  </w:footnote>
  <w:footnote w:id="14">
    <w:p w:rsidR="00125CAF" w:rsidRPr="00176947" w:rsidP="006A7E03" w14:paraId="18B36095" w14:textId="77777777">
      <w:pPr>
        <w:pStyle w:val="FootnoteText"/>
        <w:spacing w:after="120"/>
      </w:pPr>
      <w:r w:rsidRPr="00176947">
        <w:rPr>
          <w:rStyle w:val="FootnoteReference"/>
        </w:rPr>
        <w:footnoteRef/>
      </w:r>
      <w:r w:rsidRPr="00176947">
        <w:t xml:space="preserve"> Utilities’ Motion to Quash at 2-4 (Dec. 1, 2021).</w:t>
      </w:r>
    </w:p>
  </w:footnote>
  <w:footnote w:id="15">
    <w:p w:rsidR="00125CAF" w:rsidRPr="00176947" w:rsidP="006A7E03" w14:paraId="56F69EE5" w14:textId="77777777">
      <w:pPr>
        <w:pStyle w:val="FootnoteText"/>
        <w:spacing w:after="120"/>
      </w:pPr>
      <w:r w:rsidRPr="00176947">
        <w:rPr>
          <w:rStyle w:val="FootnoteReference"/>
        </w:rPr>
        <w:footnoteRef/>
      </w:r>
      <w:r w:rsidRPr="00176947">
        <w:t xml:space="preserve"> </w:t>
      </w:r>
      <w:r w:rsidRPr="00176947">
        <w:rPr>
          <w:i/>
          <w:iCs/>
        </w:rPr>
        <w:t xml:space="preserve">Id. </w:t>
      </w:r>
      <w:r w:rsidRPr="00176947">
        <w:t>at 5.</w:t>
      </w:r>
    </w:p>
  </w:footnote>
  <w:footnote w:id="16">
    <w:p w:rsidR="0018527A" w:rsidP="006A7E03" w14:paraId="306816EA" w14:textId="43DA524C">
      <w:pPr>
        <w:pStyle w:val="FootnoteText"/>
        <w:spacing w:after="120"/>
      </w:pPr>
      <w:r>
        <w:rPr>
          <w:rStyle w:val="FootnoteReference"/>
        </w:rPr>
        <w:footnoteRef/>
      </w:r>
      <w:r>
        <w:t xml:space="preserve"> </w:t>
      </w:r>
      <w:r w:rsidRPr="00176947">
        <w:rPr>
          <w:i/>
          <w:iCs/>
        </w:rPr>
        <w:t>In the Matter of the Regulation of the Purchased Gas Adjustment Clause Contained Within the Rate Schedules of the East Ohio Gas Company d/b/a Dominion East Ohio and Related Matter</w:t>
      </w:r>
      <w:r w:rsidRPr="00176947">
        <w:t>, Case No. 05-219-GA-GCR, Entry, 2006 Ohio PUC LEXIS 841 (July 28, 2006).</w:t>
      </w:r>
    </w:p>
  </w:footnote>
  <w:footnote w:id="17">
    <w:p w:rsidR="00125CAF" w:rsidRPr="00176947" w:rsidP="006A7E03" w14:paraId="4E3AACD4" w14:textId="0EEB44F9">
      <w:pPr>
        <w:pStyle w:val="FootnoteText"/>
        <w:spacing w:after="120"/>
      </w:pPr>
      <w:r w:rsidRPr="00176947">
        <w:rPr>
          <w:rStyle w:val="FootnoteReference"/>
        </w:rPr>
        <w:footnoteRef/>
      </w:r>
      <w:r w:rsidR="0018527A">
        <w:rPr>
          <w:i/>
          <w:iCs/>
        </w:rPr>
        <w:t xml:space="preserve"> Id</w:t>
      </w:r>
      <w:r w:rsidRPr="00176947">
        <w:t>.</w:t>
      </w:r>
    </w:p>
  </w:footnote>
  <w:footnote w:id="18">
    <w:p w:rsidR="00125CAF" w:rsidRPr="00176947" w:rsidP="006A7E03" w14:paraId="3C052199" w14:textId="77777777">
      <w:pPr>
        <w:pStyle w:val="FootnoteText"/>
        <w:spacing w:after="120"/>
      </w:pPr>
      <w:r w:rsidRPr="00176947">
        <w:rPr>
          <w:rStyle w:val="FootnoteReference"/>
        </w:rPr>
        <w:footnoteRef/>
      </w:r>
      <w:r w:rsidRPr="00176947">
        <w:t xml:space="preserve"> Utilities’ Motion to Quash at 5 (Dec. 1, 2021).</w:t>
      </w:r>
    </w:p>
  </w:footnote>
  <w:footnote w:id="19">
    <w:p w:rsidR="00125CAF" w:rsidRPr="00176947" w:rsidP="006A7E03" w14:paraId="2BE6C998" w14:textId="7B5D883B">
      <w:pPr>
        <w:pStyle w:val="FootnoteText"/>
        <w:spacing w:after="120"/>
      </w:pPr>
      <w:r w:rsidRPr="00176947">
        <w:rPr>
          <w:rStyle w:val="FootnoteReference"/>
        </w:rPr>
        <w:footnoteRef/>
      </w:r>
      <w:r w:rsidRPr="00176947">
        <w:t xml:space="preserve"> </w:t>
      </w:r>
      <w:r w:rsidRPr="00176947">
        <w:rPr>
          <w:i/>
          <w:iCs/>
        </w:rPr>
        <w:t>In the Matter of the Regulation of the Purchased Gas Adjustment Clause Contained Within the Rate Schedules of the East Ohio Gas Company d/b/a Dominion East Ohio and Related Matter</w:t>
      </w:r>
      <w:r w:rsidRPr="00176947">
        <w:t>, Case No. 05-219-GA-GCR, Entry, 2006 Ohio PUC LEXIS 841 (July 28, 2006).</w:t>
      </w:r>
    </w:p>
  </w:footnote>
  <w:footnote w:id="20">
    <w:p w:rsidR="00125CAF" w:rsidRPr="00176947" w:rsidP="006A7E03" w14:paraId="4FD08BFB" w14:textId="77777777">
      <w:pPr>
        <w:pStyle w:val="FootnoteText"/>
        <w:spacing w:after="120"/>
      </w:pPr>
      <w:r w:rsidRPr="00176947">
        <w:rPr>
          <w:rStyle w:val="FootnoteReference"/>
        </w:rPr>
        <w:footnoteRef/>
      </w:r>
      <w:r w:rsidRPr="00176947">
        <w:t xml:space="preserve"> </w:t>
      </w:r>
      <w:r w:rsidRPr="00176947">
        <w:rPr>
          <w:i/>
          <w:iCs/>
        </w:rPr>
        <w:t xml:space="preserve">Id. </w:t>
      </w:r>
      <w:r w:rsidRPr="00176947">
        <w:t>at ¶ 8.</w:t>
      </w:r>
    </w:p>
  </w:footnote>
  <w:footnote w:id="21">
    <w:p w:rsidR="00125CAF" w:rsidRPr="00176947" w:rsidP="006A7E03" w14:paraId="0E970C21" w14:textId="77777777">
      <w:pPr>
        <w:pStyle w:val="FootnoteText"/>
        <w:spacing w:after="120"/>
      </w:pPr>
      <w:r w:rsidRPr="00176947">
        <w:rPr>
          <w:rStyle w:val="FootnoteReference"/>
        </w:rPr>
        <w:footnoteRef/>
      </w:r>
      <w:r w:rsidRPr="00176947">
        <w:t xml:space="preserve"> </w:t>
      </w:r>
      <w:r w:rsidRPr="00176947">
        <w:rPr>
          <w:i/>
          <w:iCs/>
        </w:rPr>
        <w:t xml:space="preserve">Id. </w:t>
      </w:r>
      <w:r w:rsidRPr="00176947">
        <w:t>at ¶¶ 14-21.</w:t>
      </w:r>
    </w:p>
  </w:footnote>
  <w:footnote w:id="22">
    <w:p w:rsidR="00125CAF" w:rsidRPr="00176947" w:rsidP="006A7E03" w14:paraId="53B90FB3" w14:textId="77777777">
      <w:pPr>
        <w:pStyle w:val="FootnoteText"/>
        <w:spacing w:after="120"/>
      </w:pPr>
      <w:r w:rsidRPr="00176947">
        <w:rPr>
          <w:rStyle w:val="FootnoteReference"/>
        </w:rPr>
        <w:footnoteRef/>
      </w:r>
      <w:r w:rsidRPr="00176947">
        <w:t xml:space="preserve"> </w:t>
      </w:r>
      <w:r w:rsidRPr="00176947">
        <w:rPr>
          <w:i/>
          <w:iCs/>
        </w:rPr>
        <w:t xml:space="preserve">Id. </w:t>
      </w:r>
      <w:r w:rsidRPr="00176947">
        <w:t>at ¶ 14.</w:t>
      </w:r>
    </w:p>
  </w:footnote>
  <w:footnote w:id="23">
    <w:p w:rsidR="00125CAF" w:rsidRPr="00176947" w:rsidP="006A7E03" w14:paraId="7D9C2B54" w14:textId="77777777">
      <w:pPr>
        <w:pStyle w:val="FootnoteText"/>
        <w:spacing w:after="120"/>
      </w:pPr>
      <w:r w:rsidRPr="00176947">
        <w:rPr>
          <w:rStyle w:val="FootnoteReference"/>
        </w:rPr>
        <w:footnoteRef/>
      </w:r>
      <w:r w:rsidRPr="00176947">
        <w:t xml:space="preserve"> </w:t>
      </w:r>
      <w:r w:rsidRPr="00176947">
        <w:rPr>
          <w:i/>
          <w:iCs/>
        </w:rPr>
        <w:t xml:space="preserve">Id. </w:t>
      </w:r>
      <w:r w:rsidRPr="00176947">
        <w:t>at ¶¶ 12-13.</w:t>
      </w:r>
    </w:p>
  </w:footnote>
  <w:footnote w:id="24">
    <w:p w:rsidR="00125CAF" w:rsidRPr="00176947" w:rsidP="006A7E03" w14:paraId="6B372588" w14:textId="77777777">
      <w:pPr>
        <w:pStyle w:val="FootnoteText"/>
        <w:spacing w:after="120"/>
      </w:pPr>
      <w:r w:rsidRPr="00176947">
        <w:rPr>
          <w:rStyle w:val="FootnoteReference"/>
        </w:rPr>
        <w:footnoteRef/>
      </w:r>
      <w:r w:rsidRPr="00176947">
        <w:t xml:space="preserve"> </w:t>
      </w:r>
      <w:r w:rsidRPr="00176947">
        <w:rPr>
          <w:i/>
          <w:iCs/>
        </w:rPr>
        <w:t xml:space="preserve">Id., </w:t>
      </w:r>
      <w:r w:rsidRPr="00176947">
        <w:t>Concurring Opinion of Commissioner M. Beth Trombold at 2 (Emphasis added).</w:t>
      </w:r>
    </w:p>
  </w:footnote>
  <w:footnote w:id="25">
    <w:p w:rsidR="005222CD" w:rsidP="006A7E03" w14:paraId="145199FF" w14:textId="3313743C">
      <w:pPr>
        <w:pStyle w:val="FootnoteText"/>
        <w:spacing w:after="120"/>
      </w:pPr>
      <w:r>
        <w:rPr>
          <w:rStyle w:val="FootnoteReference"/>
        </w:rPr>
        <w:footnoteRef/>
      </w:r>
      <w:r>
        <w:t xml:space="preserve"> </w:t>
      </w:r>
      <w:r w:rsidR="004A1025">
        <w:t>Audit Report at 21 (Sept. 16, 2020).</w:t>
      </w:r>
    </w:p>
  </w:footnote>
  <w:footnote w:id="26">
    <w:p w:rsidR="005222CD" w:rsidRPr="00877345" w:rsidP="006A7E03" w14:paraId="6720ECE0" w14:textId="0C5EEE27">
      <w:pPr>
        <w:pStyle w:val="FootnoteText"/>
        <w:spacing w:after="120"/>
        <w:rPr>
          <w:i/>
          <w:iCs/>
        </w:rPr>
      </w:pPr>
      <w:r>
        <w:rPr>
          <w:rStyle w:val="FootnoteReference"/>
        </w:rPr>
        <w:footnoteRef/>
      </w:r>
      <w:r>
        <w:t xml:space="preserve"> </w:t>
      </w:r>
      <w:r w:rsidR="00877345">
        <w:rPr>
          <w:i/>
          <w:iCs/>
        </w:rPr>
        <w:t>Id.</w:t>
      </w:r>
    </w:p>
  </w:footnote>
  <w:footnote w:id="27">
    <w:p w:rsidR="005222CD" w:rsidRPr="005222CD" w:rsidP="006A7E03" w14:paraId="3AACB1DC" w14:textId="30E3052B">
      <w:pPr>
        <w:pStyle w:val="FootnoteText"/>
        <w:spacing w:after="120"/>
      </w:pPr>
      <w:r>
        <w:rPr>
          <w:rStyle w:val="FootnoteReference"/>
        </w:rPr>
        <w:footnoteRef/>
      </w:r>
      <w:r>
        <w:t xml:space="preserve"> </w:t>
      </w:r>
      <w:r>
        <w:rPr>
          <w:i/>
          <w:iCs/>
        </w:rPr>
        <w:t xml:space="preserve">Id. </w:t>
      </w:r>
      <w:r>
        <w:t>at 52.</w:t>
      </w:r>
    </w:p>
  </w:footnote>
  <w:footnote w:id="28">
    <w:p w:rsidR="008A5E16" w:rsidRPr="005222CD" w:rsidP="006A7E03" w14:paraId="60EF5D16" w14:textId="0DBDA73C">
      <w:pPr>
        <w:pStyle w:val="FootnoteText"/>
        <w:spacing w:after="120"/>
      </w:pPr>
      <w:r>
        <w:rPr>
          <w:rStyle w:val="FootnoteReference"/>
        </w:rPr>
        <w:footnoteRef/>
      </w:r>
      <w:r>
        <w:t xml:space="preserve"> </w:t>
      </w:r>
      <w:r w:rsidR="005222CD">
        <w:rPr>
          <w:i/>
          <w:iCs/>
        </w:rPr>
        <w:t xml:space="preserve">Id. </w:t>
      </w:r>
      <w:r w:rsidR="005222CD">
        <w:t>at 9.</w:t>
      </w:r>
    </w:p>
  </w:footnote>
  <w:footnote w:id="29">
    <w:p w:rsidR="00125CAF" w:rsidRPr="00176947" w:rsidP="006A7E03" w14:paraId="3DA7C186" w14:textId="0F1021D5">
      <w:pPr>
        <w:pStyle w:val="FootnoteText"/>
        <w:spacing w:after="120"/>
      </w:pPr>
      <w:r w:rsidRPr="00176947">
        <w:rPr>
          <w:rStyle w:val="FootnoteReference"/>
        </w:rPr>
        <w:footnoteRef/>
      </w:r>
      <w:r w:rsidRPr="00176947">
        <w:t xml:space="preserve"> </w:t>
      </w:r>
      <w:r w:rsidRPr="00176947">
        <w:rPr>
          <w:i/>
          <w:iCs/>
        </w:rPr>
        <w:t>In the Matter of the Application of Indiana Michigan Power Company for Approval to Implement a Power Supply Cost Recovery Plan for the Twelve Months Ending December 31, 2021</w:t>
      </w:r>
      <w:r w:rsidRPr="00176947">
        <w:t>, Case No. U-20804, Order at 20 (Mich. Pub. Serv. Comm.) (Nov. 18, 2021) (Emphasis added).</w:t>
      </w:r>
    </w:p>
  </w:footnote>
  <w:footnote w:id="30">
    <w:p w:rsidR="00125CAF" w:rsidRPr="00176947" w:rsidP="006A7E03" w14:paraId="67B819E7" w14:textId="77777777">
      <w:pPr>
        <w:pStyle w:val="FootnoteText"/>
        <w:spacing w:after="120"/>
      </w:pPr>
      <w:r w:rsidRPr="00176947">
        <w:rPr>
          <w:rStyle w:val="FootnoteReference"/>
        </w:rPr>
        <w:footnoteRef/>
      </w:r>
      <w:r w:rsidRPr="00176947">
        <w:t xml:space="preserve"> Utilities’ Motion to Quash at 4 (Dec. 1, 2021).</w:t>
      </w:r>
    </w:p>
  </w:footnote>
  <w:footnote w:id="31">
    <w:p w:rsidR="00125CAF" w:rsidRPr="00176947" w:rsidP="006A7E03" w14:paraId="1CC6A629" w14:textId="77777777">
      <w:pPr>
        <w:pStyle w:val="FootnoteText"/>
        <w:spacing w:after="120"/>
      </w:pPr>
      <w:r w:rsidRPr="00176947">
        <w:rPr>
          <w:rStyle w:val="FootnoteReference"/>
        </w:rPr>
        <w:footnoteRef/>
      </w:r>
      <w:r w:rsidRPr="00176947">
        <w:t xml:space="preserve"> O.A.C. 4901-1-16(B).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CAF" w14:paraId="0384FE04" w14:textId="77777777">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CAF" w14:paraId="037CD9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B20750"/>
    <w:multiLevelType w:val="hybridMultilevel"/>
    <w:tmpl w:val="1BFA8D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DCB5F41"/>
    <w:multiLevelType w:val="hybridMultilevel"/>
    <w:tmpl w:val="D34A335C"/>
    <w:lvl w:ilvl="0">
      <w:start w:val="1"/>
      <w:numFmt w:val="lowerLetter"/>
      <w:lvlText w:val="%1."/>
      <w:lvlJc w:val="left"/>
      <w:pPr>
        <w:ind w:left="900" w:hanging="360"/>
      </w:pPr>
      <w:rPr>
        <w:rFonts w:ascii="Times New Roman" w:eastAsia="Times New Roman"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6F26E66"/>
    <w:multiLevelType w:val="hybridMultilevel"/>
    <w:tmpl w:val="3DF691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FB75794"/>
    <w:multiLevelType w:val="hybridMultilevel"/>
    <w:tmpl w:val="20D62D68"/>
    <w:lvl w:ilvl="0">
      <w:start w:val="1"/>
      <w:numFmt w:val="decimal"/>
      <w:lvlText w:val="%1"/>
      <w:lvlJc w:val="left"/>
      <w:pPr>
        <w:ind w:hanging="101"/>
      </w:pPr>
      <w:rPr>
        <w:rFonts w:ascii="Times New Roman" w:eastAsia="Times New Roman" w:hAnsi="Times New Roman" w:hint="default"/>
        <w:color w:val="1F1F1F"/>
        <w:w w:val="82"/>
        <w:position w:val="9"/>
        <w:sz w:val="13"/>
        <w:szCs w:val="13"/>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FD97F66"/>
    <w:multiLevelType w:val="hybridMultilevel"/>
    <w:tmpl w:val="94AE6B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2F663EF"/>
    <w:multiLevelType w:val="hybridMultilevel"/>
    <w:tmpl w:val="259C59DE"/>
    <w:lvl w:ilvl="0">
      <w:start w:val="1"/>
      <w:numFmt w:val="lowerLetter"/>
      <w:lvlText w:val="(%1)"/>
      <w:lvlJc w:val="left"/>
      <w:pPr>
        <w:ind w:left="1080" w:hanging="360"/>
      </w:pPr>
      <w:rPr>
        <w:rFonts w:ascii="Arial" w:hAnsi="Arial" w:cs="Arial" w:hint="default"/>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FC66F5A"/>
    <w:multiLevelType w:val="hybridMultilevel"/>
    <w:tmpl w:val="D34A335C"/>
    <w:lvl w:ilvl="0">
      <w:start w:val="1"/>
      <w:numFmt w:val="lowerLetter"/>
      <w:lvlText w:val="%1."/>
      <w:lvlJc w:val="left"/>
      <w:pPr>
        <w:ind w:left="900" w:hanging="360"/>
      </w:pPr>
      <w:rPr>
        <w:rFonts w:ascii="Times New Roman" w:eastAsia="Times New Roman" w:hAnsi="Times New Roman" w:cs="Times New Roman"/>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1106C0E"/>
    <w:multiLevelType w:val="hybridMultilevel"/>
    <w:tmpl w:val="D6263260"/>
    <w:lvl w:ilvl="0">
      <w:start w:val="614"/>
      <w:numFmt w:val="bullet"/>
      <w:lvlText w:val=""/>
      <w:lvlJc w:val="left"/>
      <w:pPr>
        <w:ind w:left="1800" w:hanging="360"/>
      </w:pPr>
      <w:rPr>
        <w:rFonts w:ascii="Symbol" w:hAnsi="Symbol" w:eastAsiaTheme="minorHAnsi" w:cs="Times New Roman" w:hint="default"/>
        <w:color w:val="00000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31E565CF"/>
    <w:multiLevelType w:val="hybridMultilevel"/>
    <w:tmpl w:val="7F627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BF7A74"/>
    <w:multiLevelType w:val="hybridMultilevel"/>
    <w:tmpl w:val="3F16BA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79472B"/>
    <w:multiLevelType w:val="hybridMultilevel"/>
    <w:tmpl w:val="9A0A0850"/>
    <w:lvl w:ilvl="0">
      <w:start w:val="1"/>
      <w:numFmt w:val="decimal"/>
      <w:lvlText w:val="(%1)"/>
      <w:lvlJc w:val="left"/>
      <w:pPr>
        <w:ind w:left="360" w:firstLine="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83545E"/>
    <w:multiLevelType w:val="hybridMultilevel"/>
    <w:tmpl w:val="CB4E0D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8E7E0C"/>
    <w:multiLevelType w:val="hybridMultilevel"/>
    <w:tmpl w:val="CA6ABDAC"/>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0B5B0D"/>
    <w:multiLevelType w:val="hybridMultilevel"/>
    <w:tmpl w:val="6BA0559C"/>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B3604E"/>
    <w:multiLevelType w:val="hybridMultilevel"/>
    <w:tmpl w:val="1BF28032"/>
    <w:lvl w:ilvl="0">
      <w:start w:val="1"/>
      <w:numFmt w:val="upperLetter"/>
      <w:lvlText w:val="%1."/>
      <w:lvlJc w:val="left"/>
      <w:pPr>
        <w:ind w:left="108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59391BE6"/>
    <w:multiLevelType w:val="hybridMultilevel"/>
    <w:tmpl w:val="3160AD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9FD04E5"/>
    <w:multiLevelType w:val="hybridMultilevel"/>
    <w:tmpl w:val="24FC57C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7">
    <w:nsid w:val="5A4A1AF6"/>
    <w:multiLevelType w:val="hybridMultilevel"/>
    <w:tmpl w:val="552C09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8675CA"/>
    <w:multiLevelType w:val="hybridMultilevel"/>
    <w:tmpl w:val="DF8227A2"/>
    <w:lvl w:ilvl="0">
      <w:start w:val="1"/>
      <w:numFmt w:val="decimal"/>
      <w:lvlText w:val="%1."/>
      <w:lvlJc w:val="left"/>
      <w:pPr>
        <w:ind w:left="2160" w:hanging="72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5C1F49DA"/>
    <w:multiLevelType w:val="hybridMultilevel"/>
    <w:tmpl w:val="B396EE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A157BD7"/>
    <w:multiLevelType w:val="hybridMultilevel"/>
    <w:tmpl w:val="4AF888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C4A1CB3"/>
    <w:multiLevelType w:val="hybridMultilevel"/>
    <w:tmpl w:val="43765C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6C23F5B"/>
    <w:multiLevelType w:val="hybridMultilevel"/>
    <w:tmpl w:val="552C09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7B8300C"/>
    <w:multiLevelType w:val="hybridMultilevel"/>
    <w:tmpl w:val="93687ED4"/>
    <w:lvl w:ilvl="0">
      <w:start w:val="1"/>
      <w:numFmt w:val="upperLetter"/>
      <w:lvlText w:val="%1."/>
      <w:lvlJc w:val="left"/>
      <w:pPr>
        <w:ind w:left="1440" w:hanging="720"/>
      </w:pPr>
      <w:rPr>
        <w:rFonts w:ascii="Times New Roman" w:hAnsi="Times New Roman" w:cs="Times New Roman"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CE9599B"/>
    <w:multiLevelType w:val="hybridMultilevel"/>
    <w:tmpl w:val="C0F656F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7F647818"/>
    <w:multiLevelType w:val="hybridMultilevel"/>
    <w:tmpl w:val="13EED952"/>
    <w:lvl w:ilvl="0">
      <w:start w:val="10"/>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3"/>
  </w:num>
  <w:num w:numId="2">
    <w:abstractNumId w:val="22"/>
  </w:num>
  <w:num w:numId="3">
    <w:abstractNumId w:val="17"/>
  </w:num>
  <w:num w:numId="4">
    <w:abstractNumId w:val="6"/>
  </w:num>
  <w:num w:numId="5">
    <w:abstractNumId w:val="1"/>
  </w:num>
  <w:num w:numId="6">
    <w:abstractNumId w:val="24"/>
  </w:num>
  <w:num w:numId="7">
    <w:abstractNumId w:val="11"/>
  </w:num>
  <w:num w:numId="8">
    <w:abstractNumId w:val="14"/>
  </w:num>
  <w:num w:numId="9">
    <w:abstractNumId w:val="25"/>
  </w:num>
  <w:num w:numId="10">
    <w:abstractNumId w:val="0"/>
  </w:num>
  <w:num w:numId="11">
    <w:abstractNumId w:val="19"/>
  </w:num>
  <w:num w:numId="12">
    <w:abstractNumId w:val="21"/>
  </w:num>
  <w:num w:numId="13">
    <w:abstractNumId w:val="5"/>
  </w:num>
  <w:num w:numId="14">
    <w:abstractNumId w:val="10"/>
  </w:num>
  <w:num w:numId="15">
    <w:abstractNumId w:val="15"/>
  </w:num>
  <w:num w:numId="16">
    <w:abstractNumId w:val="7"/>
  </w:num>
  <w:num w:numId="17">
    <w:abstractNumId w:val="9"/>
  </w:num>
  <w:num w:numId="18">
    <w:abstractNumId w:val="20"/>
  </w:num>
  <w:num w:numId="19">
    <w:abstractNumId w:val="18"/>
  </w:num>
  <w:num w:numId="20">
    <w:abstractNumId w:val="13"/>
  </w:num>
  <w:num w:numId="21">
    <w:abstractNumId w:val="4"/>
  </w:num>
  <w:num w:numId="22">
    <w:abstractNumId w:val="16"/>
  </w:num>
  <w:num w:numId="23">
    <w:abstractNumId w:val="2"/>
  </w:num>
  <w:num w:numId="24">
    <w:abstractNumId w:val="8"/>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evenAndOddHeaders/>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90"/>
    <w:rsid w:val="000006B6"/>
    <w:rsid w:val="00013E08"/>
    <w:rsid w:val="0001564F"/>
    <w:rsid w:val="00016E2E"/>
    <w:rsid w:val="0002313D"/>
    <w:rsid w:val="0002326F"/>
    <w:rsid w:val="00030BBD"/>
    <w:rsid w:val="00032DB2"/>
    <w:rsid w:val="00032EF0"/>
    <w:rsid w:val="00036B5D"/>
    <w:rsid w:val="000444EF"/>
    <w:rsid w:val="0004574A"/>
    <w:rsid w:val="00046E9D"/>
    <w:rsid w:val="000509C1"/>
    <w:rsid w:val="000530FB"/>
    <w:rsid w:val="000531B9"/>
    <w:rsid w:val="00061F3F"/>
    <w:rsid w:val="00063D53"/>
    <w:rsid w:val="00070ED5"/>
    <w:rsid w:val="000712FB"/>
    <w:rsid w:val="00086857"/>
    <w:rsid w:val="00087D03"/>
    <w:rsid w:val="00087DA4"/>
    <w:rsid w:val="00091A85"/>
    <w:rsid w:val="00094EB4"/>
    <w:rsid w:val="0009663E"/>
    <w:rsid w:val="000A0DED"/>
    <w:rsid w:val="000A5CCE"/>
    <w:rsid w:val="000A749A"/>
    <w:rsid w:val="000B36E1"/>
    <w:rsid w:val="000B37EA"/>
    <w:rsid w:val="000B4D61"/>
    <w:rsid w:val="000B61E2"/>
    <w:rsid w:val="000B7004"/>
    <w:rsid w:val="000C188D"/>
    <w:rsid w:val="000C4605"/>
    <w:rsid w:val="000D0B7E"/>
    <w:rsid w:val="000E04F0"/>
    <w:rsid w:val="000E13D9"/>
    <w:rsid w:val="000E1412"/>
    <w:rsid w:val="000E2661"/>
    <w:rsid w:val="000E5522"/>
    <w:rsid w:val="000F2DED"/>
    <w:rsid w:val="00100433"/>
    <w:rsid w:val="00100DD8"/>
    <w:rsid w:val="0010606F"/>
    <w:rsid w:val="001060AE"/>
    <w:rsid w:val="00111EBC"/>
    <w:rsid w:val="0011225E"/>
    <w:rsid w:val="00115768"/>
    <w:rsid w:val="001159C3"/>
    <w:rsid w:val="00116397"/>
    <w:rsid w:val="00117342"/>
    <w:rsid w:val="0012162B"/>
    <w:rsid w:val="00125CAF"/>
    <w:rsid w:val="00130228"/>
    <w:rsid w:val="00131AC6"/>
    <w:rsid w:val="001331D5"/>
    <w:rsid w:val="001346B4"/>
    <w:rsid w:val="00140AB3"/>
    <w:rsid w:val="00150C4D"/>
    <w:rsid w:val="0015255E"/>
    <w:rsid w:val="0015570C"/>
    <w:rsid w:val="00156197"/>
    <w:rsid w:val="00156488"/>
    <w:rsid w:val="0016291E"/>
    <w:rsid w:val="00162F6B"/>
    <w:rsid w:val="00170F8E"/>
    <w:rsid w:val="001723EC"/>
    <w:rsid w:val="00176947"/>
    <w:rsid w:val="00177060"/>
    <w:rsid w:val="00177819"/>
    <w:rsid w:val="00180E16"/>
    <w:rsid w:val="00183619"/>
    <w:rsid w:val="0018527A"/>
    <w:rsid w:val="0018795C"/>
    <w:rsid w:val="001928BF"/>
    <w:rsid w:val="001929EC"/>
    <w:rsid w:val="00194144"/>
    <w:rsid w:val="00196A32"/>
    <w:rsid w:val="001A211F"/>
    <w:rsid w:val="001A38D0"/>
    <w:rsid w:val="001A3E84"/>
    <w:rsid w:val="001A6B2F"/>
    <w:rsid w:val="001B0E4B"/>
    <w:rsid w:val="001B2970"/>
    <w:rsid w:val="001B5844"/>
    <w:rsid w:val="001B687F"/>
    <w:rsid w:val="001D0026"/>
    <w:rsid w:val="001D1EF1"/>
    <w:rsid w:val="001D5301"/>
    <w:rsid w:val="001E3E9B"/>
    <w:rsid w:val="001E6EDA"/>
    <w:rsid w:val="001F1145"/>
    <w:rsid w:val="001F3D48"/>
    <w:rsid w:val="001F5386"/>
    <w:rsid w:val="001F5570"/>
    <w:rsid w:val="002018BE"/>
    <w:rsid w:val="00204ED4"/>
    <w:rsid w:val="00206992"/>
    <w:rsid w:val="00206EE6"/>
    <w:rsid w:val="00206F45"/>
    <w:rsid w:val="0020792A"/>
    <w:rsid w:val="002134F7"/>
    <w:rsid w:val="00216D3A"/>
    <w:rsid w:val="00217B93"/>
    <w:rsid w:val="002318E5"/>
    <w:rsid w:val="00232054"/>
    <w:rsid w:val="002340F6"/>
    <w:rsid w:val="00236762"/>
    <w:rsid w:val="00242FD2"/>
    <w:rsid w:val="00244CA7"/>
    <w:rsid w:val="002457A3"/>
    <w:rsid w:val="00246BC6"/>
    <w:rsid w:val="002531B6"/>
    <w:rsid w:val="00257EC9"/>
    <w:rsid w:val="00271CA4"/>
    <w:rsid w:val="00272E5D"/>
    <w:rsid w:val="002741D2"/>
    <w:rsid w:val="00275D50"/>
    <w:rsid w:val="00276487"/>
    <w:rsid w:val="0028233E"/>
    <w:rsid w:val="00285508"/>
    <w:rsid w:val="0028669D"/>
    <w:rsid w:val="00287525"/>
    <w:rsid w:val="00290840"/>
    <w:rsid w:val="00292CA0"/>
    <w:rsid w:val="0029357A"/>
    <w:rsid w:val="002A15A5"/>
    <w:rsid w:val="002A41F0"/>
    <w:rsid w:val="002A4658"/>
    <w:rsid w:val="002B1F1E"/>
    <w:rsid w:val="002B5C65"/>
    <w:rsid w:val="002B6728"/>
    <w:rsid w:val="002B7843"/>
    <w:rsid w:val="002C2004"/>
    <w:rsid w:val="002C7261"/>
    <w:rsid w:val="002D07D0"/>
    <w:rsid w:val="002D2B45"/>
    <w:rsid w:val="002E0C14"/>
    <w:rsid w:val="002E23E1"/>
    <w:rsid w:val="002F06CA"/>
    <w:rsid w:val="002F10F1"/>
    <w:rsid w:val="002F2B9E"/>
    <w:rsid w:val="002F53F2"/>
    <w:rsid w:val="0030246F"/>
    <w:rsid w:val="003078E1"/>
    <w:rsid w:val="00313F56"/>
    <w:rsid w:val="00335C21"/>
    <w:rsid w:val="00336892"/>
    <w:rsid w:val="00340689"/>
    <w:rsid w:val="00342348"/>
    <w:rsid w:val="003433C9"/>
    <w:rsid w:val="00346D8D"/>
    <w:rsid w:val="00350EBB"/>
    <w:rsid w:val="00357287"/>
    <w:rsid w:val="00361880"/>
    <w:rsid w:val="00367187"/>
    <w:rsid w:val="0037326E"/>
    <w:rsid w:val="00374E05"/>
    <w:rsid w:val="00381469"/>
    <w:rsid w:val="00382D85"/>
    <w:rsid w:val="003836F5"/>
    <w:rsid w:val="00390191"/>
    <w:rsid w:val="00392B27"/>
    <w:rsid w:val="003940D0"/>
    <w:rsid w:val="003975CA"/>
    <w:rsid w:val="003977CD"/>
    <w:rsid w:val="003A3E4A"/>
    <w:rsid w:val="003A620C"/>
    <w:rsid w:val="003A766F"/>
    <w:rsid w:val="003B22E2"/>
    <w:rsid w:val="003D3621"/>
    <w:rsid w:val="003D789F"/>
    <w:rsid w:val="003E07A5"/>
    <w:rsid w:val="003E0B04"/>
    <w:rsid w:val="003F5582"/>
    <w:rsid w:val="003F7433"/>
    <w:rsid w:val="003F75C1"/>
    <w:rsid w:val="003F75CD"/>
    <w:rsid w:val="003F779B"/>
    <w:rsid w:val="00400296"/>
    <w:rsid w:val="004019BB"/>
    <w:rsid w:val="004042EC"/>
    <w:rsid w:val="004056F7"/>
    <w:rsid w:val="00405E3B"/>
    <w:rsid w:val="004065F9"/>
    <w:rsid w:val="00406936"/>
    <w:rsid w:val="0040746F"/>
    <w:rsid w:val="0042512D"/>
    <w:rsid w:val="00430F97"/>
    <w:rsid w:val="0043135B"/>
    <w:rsid w:val="0043189E"/>
    <w:rsid w:val="0043367E"/>
    <w:rsid w:val="00435B21"/>
    <w:rsid w:val="00442061"/>
    <w:rsid w:val="004441CC"/>
    <w:rsid w:val="0044524D"/>
    <w:rsid w:val="0044526D"/>
    <w:rsid w:val="004465B4"/>
    <w:rsid w:val="00450261"/>
    <w:rsid w:val="004516E6"/>
    <w:rsid w:val="004547F8"/>
    <w:rsid w:val="0046677E"/>
    <w:rsid w:val="0046710B"/>
    <w:rsid w:val="004753ED"/>
    <w:rsid w:val="00480DDE"/>
    <w:rsid w:val="00482B36"/>
    <w:rsid w:val="00484C4B"/>
    <w:rsid w:val="00484E1B"/>
    <w:rsid w:val="0048529A"/>
    <w:rsid w:val="00487AFA"/>
    <w:rsid w:val="0049196D"/>
    <w:rsid w:val="00492803"/>
    <w:rsid w:val="00496639"/>
    <w:rsid w:val="00497200"/>
    <w:rsid w:val="004A058D"/>
    <w:rsid w:val="004A1025"/>
    <w:rsid w:val="004A1513"/>
    <w:rsid w:val="004A4836"/>
    <w:rsid w:val="004B0E71"/>
    <w:rsid w:val="004B5FC7"/>
    <w:rsid w:val="004C0707"/>
    <w:rsid w:val="004C08D8"/>
    <w:rsid w:val="004C1A78"/>
    <w:rsid w:val="004C2859"/>
    <w:rsid w:val="004C2A88"/>
    <w:rsid w:val="004C2F56"/>
    <w:rsid w:val="004C3423"/>
    <w:rsid w:val="004C3A2D"/>
    <w:rsid w:val="004C3EBD"/>
    <w:rsid w:val="004D0DA8"/>
    <w:rsid w:val="004D1FA8"/>
    <w:rsid w:val="004D28CD"/>
    <w:rsid w:val="004D346B"/>
    <w:rsid w:val="004D45B2"/>
    <w:rsid w:val="004D5CFC"/>
    <w:rsid w:val="004D7372"/>
    <w:rsid w:val="004D78D8"/>
    <w:rsid w:val="004E0DB6"/>
    <w:rsid w:val="004E2261"/>
    <w:rsid w:val="004E36D5"/>
    <w:rsid w:val="004E599F"/>
    <w:rsid w:val="004E6578"/>
    <w:rsid w:val="004E6E9E"/>
    <w:rsid w:val="004E708F"/>
    <w:rsid w:val="004F207C"/>
    <w:rsid w:val="004F243C"/>
    <w:rsid w:val="004F3909"/>
    <w:rsid w:val="004F775C"/>
    <w:rsid w:val="004F7CAF"/>
    <w:rsid w:val="0050199E"/>
    <w:rsid w:val="00503C02"/>
    <w:rsid w:val="00504D57"/>
    <w:rsid w:val="00512D78"/>
    <w:rsid w:val="00520887"/>
    <w:rsid w:val="0052174C"/>
    <w:rsid w:val="005222CD"/>
    <w:rsid w:val="005228FD"/>
    <w:rsid w:val="00534F2B"/>
    <w:rsid w:val="00537020"/>
    <w:rsid w:val="00540E51"/>
    <w:rsid w:val="00540F43"/>
    <w:rsid w:val="00542A37"/>
    <w:rsid w:val="0054448A"/>
    <w:rsid w:val="00544DB1"/>
    <w:rsid w:val="005462CE"/>
    <w:rsid w:val="00546A2D"/>
    <w:rsid w:val="00565310"/>
    <w:rsid w:val="005658C1"/>
    <w:rsid w:val="005732B2"/>
    <w:rsid w:val="00574E2B"/>
    <w:rsid w:val="005776CC"/>
    <w:rsid w:val="00580621"/>
    <w:rsid w:val="0058507B"/>
    <w:rsid w:val="005909E6"/>
    <w:rsid w:val="00592911"/>
    <w:rsid w:val="005A6870"/>
    <w:rsid w:val="005B3AA0"/>
    <w:rsid w:val="005C002A"/>
    <w:rsid w:val="005C4F97"/>
    <w:rsid w:val="005D0333"/>
    <w:rsid w:val="005D3AC4"/>
    <w:rsid w:val="005E0480"/>
    <w:rsid w:val="005E5077"/>
    <w:rsid w:val="005E618E"/>
    <w:rsid w:val="00600334"/>
    <w:rsid w:val="00605F66"/>
    <w:rsid w:val="006079AF"/>
    <w:rsid w:val="00612A48"/>
    <w:rsid w:val="00614CA2"/>
    <w:rsid w:val="0061608D"/>
    <w:rsid w:val="006247E4"/>
    <w:rsid w:val="006267FF"/>
    <w:rsid w:val="006274EB"/>
    <w:rsid w:val="00631B87"/>
    <w:rsid w:val="00633DCD"/>
    <w:rsid w:val="00634F04"/>
    <w:rsid w:val="006359BF"/>
    <w:rsid w:val="006419D9"/>
    <w:rsid w:val="00643B8A"/>
    <w:rsid w:val="00645B4B"/>
    <w:rsid w:val="006519BF"/>
    <w:rsid w:val="006601CA"/>
    <w:rsid w:val="006605BE"/>
    <w:rsid w:val="00662A6F"/>
    <w:rsid w:val="006635B4"/>
    <w:rsid w:val="006646B0"/>
    <w:rsid w:val="006700F9"/>
    <w:rsid w:val="00685DFC"/>
    <w:rsid w:val="0068781F"/>
    <w:rsid w:val="00691F63"/>
    <w:rsid w:val="006956FD"/>
    <w:rsid w:val="0069675C"/>
    <w:rsid w:val="006A49C9"/>
    <w:rsid w:val="006A73AD"/>
    <w:rsid w:val="006A7429"/>
    <w:rsid w:val="006A7E03"/>
    <w:rsid w:val="006B0523"/>
    <w:rsid w:val="006B1AC9"/>
    <w:rsid w:val="006B29DF"/>
    <w:rsid w:val="006B77F2"/>
    <w:rsid w:val="006B7E28"/>
    <w:rsid w:val="006C0235"/>
    <w:rsid w:val="006C1382"/>
    <w:rsid w:val="006C1F8C"/>
    <w:rsid w:val="006C5955"/>
    <w:rsid w:val="006D0932"/>
    <w:rsid w:val="006D3B6F"/>
    <w:rsid w:val="006D70A4"/>
    <w:rsid w:val="006D7D77"/>
    <w:rsid w:val="006E2485"/>
    <w:rsid w:val="006E24EA"/>
    <w:rsid w:val="006E33BE"/>
    <w:rsid w:val="006E5006"/>
    <w:rsid w:val="006E6A12"/>
    <w:rsid w:val="006E6A6E"/>
    <w:rsid w:val="006F27A9"/>
    <w:rsid w:val="006F38D6"/>
    <w:rsid w:val="006F6020"/>
    <w:rsid w:val="00700CE8"/>
    <w:rsid w:val="007061F2"/>
    <w:rsid w:val="00706E73"/>
    <w:rsid w:val="00707222"/>
    <w:rsid w:val="007107D0"/>
    <w:rsid w:val="00713969"/>
    <w:rsid w:val="00716DA9"/>
    <w:rsid w:val="00717563"/>
    <w:rsid w:val="0072099C"/>
    <w:rsid w:val="00723359"/>
    <w:rsid w:val="007255E9"/>
    <w:rsid w:val="007275CC"/>
    <w:rsid w:val="00730548"/>
    <w:rsid w:val="00731200"/>
    <w:rsid w:val="00731EB4"/>
    <w:rsid w:val="00731F06"/>
    <w:rsid w:val="00734828"/>
    <w:rsid w:val="00736B2D"/>
    <w:rsid w:val="00740930"/>
    <w:rsid w:val="00742B91"/>
    <w:rsid w:val="00745DA2"/>
    <w:rsid w:val="00747C76"/>
    <w:rsid w:val="007530AB"/>
    <w:rsid w:val="00760D27"/>
    <w:rsid w:val="00761DE3"/>
    <w:rsid w:val="00764B13"/>
    <w:rsid w:val="00766CD4"/>
    <w:rsid w:val="00770242"/>
    <w:rsid w:val="0077174C"/>
    <w:rsid w:val="00774048"/>
    <w:rsid w:val="00776647"/>
    <w:rsid w:val="00781107"/>
    <w:rsid w:val="00790543"/>
    <w:rsid w:val="00791290"/>
    <w:rsid w:val="00792991"/>
    <w:rsid w:val="00794636"/>
    <w:rsid w:val="00795A37"/>
    <w:rsid w:val="007A45A2"/>
    <w:rsid w:val="007B0889"/>
    <w:rsid w:val="007B438D"/>
    <w:rsid w:val="007B4C3D"/>
    <w:rsid w:val="007B56F0"/>
    <w:rsid w:val="007B7C87"/>
    <w:rsid w:val="007C06A2"/>
    <w:rsid w:val="007C1EEE"/>
    <w:rsid w:val="007C2711"/>
    <w:rsid w:val="007C5C30"/>
    <w:rsid w:val="007C65C2"/>
    <w:rsid w:val="007C6E48"/>
    <w:rsid w:val="007D6750"/>
    <w:rsid w:val="007D6EA8"/>
    <w:rsid w:val="007E095C"/>
    <w:rsid w:val="007E47A2"/>
    <w:rsid w:val="007E5B78"/>
    <w:rsid w:val="007E6671"/>
    <w:rsid w:val="007E7D6A"/>
    <w:rsid w:val="007F23A8"/>
    <w:rsid w:val="007F7F79"/>
    <w:rsid w:val="00801775"/>
    <w:rsid w:val="00806289"/>
    <w:rsid w:val="0080705C"/>
    <w:rsid w:val="008146BB"/>
    <w:rsid w:val="0081561C"/>
    <w:rsid w:val="00817E53"/>
    <w:rsid w:val="008217CB"/>
    <w:rsid w:val="00824C56"/>
    <w:rsid w:val="00825F8E"/>
    <w:rsid w:val="00830932"/>
    <w:rsid w:val="00833093"/>
    <w:rsid w:val="0083531B"/>
    <w:rsid w:val="008356CD"/>
    <w:rsid w:val="00835F16"/>
    <w:rsid w:val="00841E5F"/>
    <w:rsid w:val="00841FAA"/>
    <w:rsid w:val="008426C0"/>
    <w:rsid w:val="00844D24"/>
    <w:rsid w:val="008459D0"/>
    <w:rsid w:val="00850664"/>
    <w:rsid w:val="00856931"/>
    <w:rsid w:val="008663AC"/>
    <w:rsid w:val="00866A77"/>
    <w:rsid w:val="00867BC9"/>
    <w:rsid w:val="008713D1"/>
    <w:rsid w:val="00871C9B"/>
    <w:rsid w:val="008722F7"/>
    <w:rsid w:val="0087338F"/>
    <w:rsid w:val="00873AA2"/>
    <w:rsid w:val="00877345"/>
    <w:rsid w:val="008775A7"/>
    <w:rsid w:val="00880EA8"/>
    <w:rsid w:val="00882A96"/>
    <w:rsid w:val="00882FE9"/>
    <w:rsid w:val="008852C2"/>
    <w:rsid w:val="008856AF"/>
    <w:rsid w:val="00886432"/>
    <w:rsid w:val="008903C0"/>
    <w:rsid w:val="00893347"/>
    <w:rsid w:val="00896047"/>
    <w:rsid w:val="008964ED"/>
    <w:rsid w:val="00896B82"/>
    <w:rsid w:val="008A432F"/>
    <w:rsid w:val="008A5E16"/>
    <w:rsid w:val="008B78BB"/>
    <w:rsid w:val="008C2027"/>
    <w:rsid w:val="008D0C6D"/>
    <w:rsid w:val="008D3280"/>
    <w:rsid w:val="008D3F54"/>
    <w:rsid w:val="008D5249"/>
    <w:rsid w:val="008D5CC7"/>
    <w:rsid w:val="008D7FD1"/>
    <w:rsid w:val="008E0C96"/>
    <w:rsid w:val="008E16E2"/>
    <w:rsid w:val="008F01FE"/>
    <w:rsid w:val="008F083A"/>
    <w:rsid w:val="008F3B16"/>
    <w:rsid w:val="00904117"/>
    <w:rsid w:val="00905A68"/>
    <w:rsid w:val="009070DA"/>
    <w:rsid w:val="00910841"/>
    <w:rsid w:val="0091354B"/>
    <w:rsid w:val="0091574B"/>
    <w:rsid w:val="00916DB0"/>
    <w:rsid w:val="00925B68"/>
    <w:rsid w:val="00927F89"/>
    <w:rsid w:val="00930747"/>
    <w:rsid w:val="009342DA"/>
    <w:rsid w:val="0093467B"/>
    <w:rsid w:val="009346B0"/>
    <w:rsid w:val="00936A43"/>
    <w:rsid w:val="009456D1"/>
    <w:rsid w:val="00954E09"/>
    <w:rsid w:val="009610FC"/>
    <w:rsid w:val="009624CE"/>
    <w:rsid w:val="0097331E"/>
    <w:rsid w:val="00973328"/>
    <w:rsid w:val="00974C2C"/>
    <w:rsid w:val="00974E6D"/>
    <w:rsid w:val="00977DB5"/>
    <w:rsid w:val="009806E8"/>
    <w:rsid w:val="00984D2E"/>
    <w:rsid w:val="009874B7"/>
    <w:rsid w:val="00987EAF"/>
    <w:rsid w:val="00994CE4"/>
    <w:rsid w:val="00997C03"/>
    <w:rsid w:val="009A00C9"/>
    <w:rsid w:val="009A45A0"/>
    <w:rsid w:val="009B0743"/>
    <w:rsid w:val="009B2102"/>
    <w:rsid w:val="009B4A96"/>
    <w:rsid w:val="009B516B"/>
    <w:rsid w:val="009C396D"/>
    <w:rsid w:val="009C7535"/>
    <w:rsid w:val="009D419D"/>
    <w:rsid w:val="009D533B"/>
    <w:rsid w:val="009D7C85"/>
    <w:rsid w:val="009F0423"/>
    <w:rsid w:val="009F1916"/>
    <w:rsid w:val="009F2191"/>
    <w:rsid w:val="009F3762"/>
    <w:rsid w:val="009F3A4D"/>
    <w:rsid w:val="00A030B0"/>
    <w:rsid w:val="00A047C7"/>
    <w:rsid w:val="00A0496A"/>
    <w:rsid w:val="00A0743B"/>
    <w:rsid w:val="00A07FD5"/>
    <w:rsid w:val="00A11CFD"/>
    <w:rsid w:val="00A1590E"/>
    <w:rsid w:val="00A15EBD"/>
    <w:rsid w:val="00A208C6"/>
    <w:rsid w:val="00A22FD0"/>
    <w:rsid w:val="00A25503"/>
    <w:rsid w:val="00A26CFA"/>
    <w:rsid w:val="00A51CE1"/>
    <w:rsid w:val="00A56202"/>
    <w:rsid w:val="00A57A59"/>
    <w:rsid w:val="00A60608"/>
    <w:rsid w:val="00A66AFE"/>
    <w:rsid w:val="00A72D54"/>
    <w:rsid w:val="00A75CCA"/>
    <w:rsid w:val="00A841EA"/>
    <w:rsid w:val="00A8518C"/>
    <w:rsid w:val="00A9027E"/>
    <w:rsid w:val="00A94226"/>
    <w:rsid w:val="00A967A5"/>
    <w:rsid w:val="00AA30A8"/>
    <w:rsid w:val="00AA3CA2"/>
    <w:rsid w:val="00AA5B96"/>
    <w:rsid w:val="00AB0E15"/>
    <w:rsid w:val="00AB1964"/>
    <w:rsid w:val="00AB3577"/>
    <w:rsid w:val="00AB4042"/>
    <w:rsid w:val="00AC1765"/>
    <w:rsid w:val="00AC40CC"/>
    <w:rsid w:val="00AD27D8"/>
    <w:rsid w:val="00AD34A1"/>
    <w:rsid w:val="00AD5BD9"/>
    <w:rsid w:val="00AD759C"/>
    <w:rsid w:val="00AE109A"/>
    <w:rsid w:val="00AF17F8"/>
    <w:rsid w:val="00AF1CC9"/>
    <w:rsid w:val="00B016D2"/>
    <w:rsid w:val="00B0193F"/>
    <w:rsid w:val="00B02B6F"/>
    <w:rsid w:val="00B031C7"/>
    <w:rsid w:val="00B03C88"/>
    <w:rsid w:val="00B040D2"/>
    <w:rsid w:val="00B066EB"/>
    <w:rsid w:val="00B100B2"/>
    <w:rsid w:val="00B13090"/>
    <w:rsid w:val="00B130D7"/>
    <w:rsid w:val="00B13273"/>
    <w:rsid w:val="00B216AC"/>
    <w:rsid w:val="00B24704"/>
    <w:rsid w:val="00B26914"/>
    <w:rsid w:val="00B27E75"/>
    <w:rsid w:val="00B30081"/>
    <w:rsid w:val="00B33A3C"/>
    <w:rsid w:val="00B3467E"/>
    <w:rsid w:val="00B4192B"/>
    <w:rsid w:val="00B41E4A"/>
    <w:rsid w:val="00B43571"/>
    <w:rsid w:val="00B45D06"/>
    <w:rsid w:val="00B4710B"/>
    <w:rsid w:val="00B507BD"/>
    <w:rsid w:val="00B522FC"/>
    <w:rsid w:val="00B54335"/>
    <w:rsid w:val="00B5470B"/>
    <w:rsid w:val="00B55123"/>
    <w:rsid w:val="00B55321"/>
    <w:rsid w:val="00B556E8"/>
    <w:rsid w:val="00B62E75"/>
    <w:rsid w:val="00B63706"/>
    <w:rsid w:val="00B642B6"/>
    <w:rsid w:val="00B6486F"/>
    <w:rsid w:val="00B70FC0"/>
    <w:rsid w:val="00B74C28"/>
    <w:rsid w:val="00B8334F"/>
    <w:rsid w:val="00B8448D"/>
    <w:rsid w:val="00B854FB"/>
    <w:rsid w:val="00B911E1"/>
    <w:rsid w:val="00B93912"/>
    <w:rsid w:val="00B94408"/>
    <w:rsid w:val="00B95357"/>
    <w:rsid w:val="00B97CAF"/>
    <w:rsid w:val="00BA02EB"/>
    <w:rsid w:val="00BA264E"/>
    <w:rsid w:val="00BA2C7C"/>
    <w:rsid w:val="00BA30F5"/>
    <w:rsid w:val="00BA3121"/>
    <w:rsid w:val="00BB4000"/>
    <w:rsid w:val="00BB4867"/>
    <w:rsid w:val="00BB627D"/>
    <w:rsid w:val="00BB6C31"/>
    <w:rsid w:val="00BB73EF"/>
    <w:rsid w:val="00BC0322"/>
    <w:rsid w:val="00BC058E"/>
    <w:rsid w:val="00BC16E8"/>
    <w:rsid w:val="00BD442B"/>
    <w:rsid w:val="00BD78A7"/>
    <w:rsid w:val="00BE1946"/>
    <w:rsid w:val="00BE1DA2"/>
    <w:rsid w:val="00BE3567"/>
    <w:rsid w:val="00BE5BFD"/>
    <w:rsid w:val="00BE622C"/>
    <w:rsid w:val="00BE6C14"/>
    <w:rsid w:val="00BE79D0"/>
    <w:rsid w:val="00BF0BFC"/>
    <w:rsid w:val="00BF1C7E"/>
    <w:rsid w:val="00BF34C8"/>
    <w:rsid w:val="00BF3BF3"/>
    <w:rsid w:val="00BF4F22"/>
    <w:rsid w:val="00BF7A05"/>
    <w:rsid w:val="00C070B8"/>
    <w:rsid w:val="00C1393B"/>
    <w:rsid w:val="00C15DDC"/>
    <w:rsid w:val="00C22036"/>
    <w:rsid w:val="00C2456F"/>
    <w:rsid w:val="00C267F9"/>
    <w:rsid w:val="00C31100"/>
    <w:rsid w:val="00C320A4"/>
    <w:rsid w:val="00C3501F"/>
    <w:rsid w:val="00C368F3"/>
    <w:rsid w:val="00C44815"/>
    <w:rsid w:val="00C46A20"/>
    <w:rsid w:val="00C51F27"/>
    <w:rsid w:val="00C53A22"/>
    <w:rsid w:val="00C572DF"/>
    <w:rsid w:val="00C57F47"/>
    <w:rsid w:val="00C6249A"/>
    <w:rsid w:val="00C6303E"/>
    <w:rsid w:val="00C63A51"/>
    <w:rsid w:val="00C64033"/>
    <w:rsid w:val="00C6548B"/>
    <w:rsid w:val="00C66AA0"/>
    <w:rsid w:val="00C71F59"/>
    <w:rsid w:val="00C75A97"/>
    <w:rsid w:val="00C82ADC"/>
    <w:rsid w:val="00C84612"/>
    <w:rsid w:val="00C87E11"/>
    <w:rsid w:val="00C922D3"/>
    <w:rsid w:val="00CA72AE"/>
    <w:rsid w:val="00CA7FCD"/>
    <w:rsid w:val="00CB38DB"/>
    <w:rsid w:val="00CB7A47"/>
    <w:rsid w:val="00CC0A00"/>
    <w:rsid w:val="00CC2AFA"/>
    <w:rsid w:val="00CC550A"/>
    <w:rsid w:val="00CC6D8C"/>
    <w:rsid w:val="00CD0002"/>
    <w:rsid w:val="00CD0C68"/>
    <w:rsid w:val="00CD1656"/>
    <w:rsid w:val="00CD4E25"/>
    <w:rsid w:val="00CE0B55"/>
    <w:rsid w:val="00CE3DC3"/>
    <w:rsid w:val="00CE5A89"/>
    <w:rsid w:val="00CE7843"/>
    <w:rsid w:val="00CF7FF2"/>
    <w:rsid w:val="00D00E88"/>
    <w:rsid w:val="00D020C8"/>
    <w:rsid w:val="00D074FD"/>
    <w:rsid w:val="00D100C7"/>
    <w:rsid w:val="00D120DB"/>
    <w:rsid w:val="00D12F7B"/>
    <w:rsid w:val="00D16D72"/>
    <w:rsid w:val="00D228D1"/>
    <w:rsid w:val="00D23B5D"/>
    <w:rsid w:val="00D33A45"/>
    <w:rsid w:val="00D33B67"/>
    <w:rsid w:val="00D40E32"/>
    <w:rsid w:val="00D46441"/>
    <w:rsid w:val="00D46CDD"/>
    <w:rsid w:val="00D54F9D"/>
    <w:rsid w:val="00D568AE"/>
    <w:rsid w:val="00D65020"/>
    <w:rsid w:val="00D67CCB"/>
    <w:rsid w:val="00D67EDC"/>
    <w:rsid w:val="00D71774"/>
    <w:rsid w:val="00D73736"/>
    <w:rsid w:val="00D73E4D"/>
    <w:rsid w:val="00D770A7"/>
    <w:rsid w:val="00D824DD"/>
    <w:rsid w:val="00D8760E"/>
    <w:rsid w:val="00D94394"/>
    <w:rsid w:val="00D97BCE"/>
    <w:rsid w:val="00DA1E3E"/>
    <w:rsid w:val="00DA2C59"/>
    <w:rsid w:val="00DB02AE"/>
    <w:rsid w:val="00DB7E8D"/>
    <w:rsid w:val="00DC3C92"/>
    <w:rsid w:val="00DC5CB6"/>
    <w:rsid w:val="00DD15A7"/>
    <w:rsid w:val="00DD42CC"/>
    <w:rsid w:val="00DD4EFA"/>
    <w:rsid w:val="00DD5A4B"/>
    <w:rsid w:val="00DE1BEA"/>
    <w:rsid w:val="00DE63E9"/>
    <w:rsid w:val="00DF4BE6"/>
    <w:rsid w:val="00DF540F"/>
    <w:rsid w:val="00E01588"/>
    <w:rsid w:val="00E1003A"/>
    <w:rsid w:val="00E133E1"/>
    <w:rsid w:val="00E14F7A"/>
    <w:rsid w:val="00E16DF4"/>
    <w:rsid w:val="00E17C81"/>
    <w:rsid w:val="00E243C3"/>
    <w:rsid w:val="00E24676"/>
    <w:rsid w:val="00E33C8B"/>
    <w:rsid w:val="00E34345"/>
    <w:rsid w:val="00E355A8"/>
    <w:rsid w:val="00E40B9F"/>
    <w:rsid w:val="00E41BCB"/>
    <w:rsid w:val="00E50254"/>
    <w:rsid w:val="00E515F1"/>
    <w:rsid w:val="00E53DA2"/>
    <w:rsid w:val="00E546AD"/>
    <w:rsid w:val="00E660A0"/>
    <w:rsid w:val="00E66D9A"/>
    <w:rsid w:val="00E71E24"/>
    <w:rsid w:val="00E74EB4"/>
    <w:rsid w:val="00E75F95"/>
    <w:rsid w:val="00E80DA4"/>
    <w:rsid w:val="00E8106C"/>
    <w:rsid w:val="00E85C96"/>
    <w:rsid w:val="00E860A6"/>
    <w:rsid w:val="00E87847"/>
    <w:rsid w:val="00E90583"/>
    <w:rsid w:val="00EA2109"/>
    <w:rsid w:val="00EA64F2"/>
    <w:rsid w:val="00EB2590"/>
    <w:rsid w:val="00EC2F32"/>
    <w:rsid w:val="00EC7C07"/>
    <w:rsid w:val="00ED2699"/>
    <w:rsid w:val="00ED4456"/>
    <w:rsid w:val="00ED4668"/>
    <w:rsid w:val="00ED52AC"/>
    <w:rsid w:val="00EE5286"/>
    <w:rsid w:val="00EE7042"/>
    <w:rsid w:val="00EE7CCE"/>
    <w:rsid w:val="00EF5CB0"/>
    <w:rsid w:val="00F02FAC"/>
    <w:rsid w:val="00F02FF0"/>
    <w:rsid w:val="00F043DF"/>
    <w:rsid w:val="00F05A7E"/>
    <w:rsid w:val="00F05D56"/>
    <w:rsid w:val="00F15AA7"/>
    <w:rsid w:val="00F2208C"/>
    <w:rsid w:val="00F228D1"/>
    <w:rsid w:val="00F22BAA"/>
    <w:rsid w:val="00F24B10"/>
    <w:rsid w:val="00F25C77"/>
    <w:rsid w:val="00F30DA3"/>
    <w:rsid w:val="00F325F6"/>
    <w:rsid w:val="00F375A9"/>
    <w:rsid w:val="00F4043F"/>
    <w:rsid w:val="00F40B10"/>
    <w:rsid w:val="00F4198E"/>
    <w:rsid w:val="00F440C4"/>
    <w:rsid w:val="00F52782"/>
    <w:rsid w:val="00F60295"/>
    <w:rsid w:val="00F61208"/>
    <w:rsid w:val="00F62D95"/>
    <w:rsid w:val="00F650F5"/>
    <w:rsid w:val="00F665E3"/>
    <w:rsid w:val="00F76347"/>
    <w:rsid w:val="00F77B54"/>
    <w:rsid w:val="00F81588"/>
    <w:rsid w:val="00F93A0D"/>
    <w:rsid w:val="00FA0D71"/>
    <w:rsid w:val="00FA0EA5"/>
    <w:rsid w:val="00FA4344"/>
    <w:rsid w:val="00FA602C"/>
    <w:rsid w:val="00FA6997"/>
    <w:rsid w:val="00FA77DF"/>
    <w:rsid w:val="00FB1600"/>
    <w:rsid w:val="00FB4292"/>
    <w:rsid w:val="00FB4935"/>
    <w:rsid w:val="00FB4CD0"/>
    <w:rsid w:val="00FB4D9E"/>
    <w:rsid w:val="00FB56B7"/>
    <w:rsid w:val="00FB7726"/>
    <w:rsid w:val="00FC055E"/>
    <w:rsid w:val="00FC16F0"/>
    <w:rsid w:val="00FC1B93"/>
    <w:rsid w:val="00FD0D70"/>
    <w:rsid w:val="00FD453D"/>
    <w:rsid w:val="00FD46E3"/>
    <w:rsid w:val="00FE105A"/>
    <w:rsid w:val="00FE3D3A"/>
    <w:rsid w:val="00FE4461"/>
    <w:rsid w:val="00FE49AF"/>
    <w:rsid w:val="00FE584A"/>
    <w:rsid w:val="00FE684A"/>
    <w:rsid w:val="00FF3A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C1"/>
  </w:style>
  <w:style w:type="paragraph" w:styleId="Heading1">
    <w:name w:val="heading 1"/>
    <w:basedOn w:val="Normal"/>
    <w:autoRedefine/>
    <w:uiPriority w:val="9"/>
    <w:qFormat/>
    <w:rsid w:val="00B556E8"/>
    <w:pPr>
      <w:numPr>
        <w:numId w:val="25"/>
      </w:numPr>
      <w:spacing w:after="240"/>
      <w:ind w:left="720"/>
      <w:outlineLvl w:val="0"/>
    </w:pPr>
    <w:rPr>
      <w:rFonts w:ascii="Times New Roman Bold" w:eastAsia="Times New Roman" w:hAnsi="Times New Roman Bold"/>
      <w:b/>
      <w:bCs/>
      <w:caps/>
      <w:sz w:val="24"/>
      <w:szCs w:val="20"/>
    </w:rPr>
  </w:style>
  <w:style w:type="paragraph" w:styleId="Heading2">
    <w:name w:val="heading 2"/>
    <w:basedOn w:val="Normal"/>
    <w:link w:val="Heading2Char"/>
    <w:autoRedefine/>
    <w:uiPriority w:val="9"/>
    <w:unhideWhenUsed/>
    <w:qFormat/>
    <w:rsid w:val="006A7E03"/>
    <w:pPr>
      <w:spacing w:after="240"/>
      <w:ind w:left="1440" w:hanging="720"/>
      <w:outlineLvl w:val="1"/>
    </w:pPr>
    <w:rPr>
      <w:rFonts w:ascii="Times New Roman Bold" w:eastAsia="Times New Roman" w:hAnsi="Times New Roman Bold"/>
      <w:b/>
      <w:sz w:val="24"/>
      <w:szCs w:val="24"/>
    </w:rPr>
  </w:style>
  <w:style w:type="paragraph" w:styleId="Heading3">
    <w:name w:val="heading 3"/>
    <w:basedOn w:val="Normal"/>
    <w:next w:val="Normal"/>
    <w:link w:val="Heading3Char"/>
    <w:autoRedefine/>
    <w:uiPriority w:val="9"/>
    <w:unhideWhenUsed/>
    <w:qFormat/>
    <w:rsid w:val="00406936"/>
    <w:pPr>
      <w:keepNext/>
      <w:keepLines/>
      <w:spacing w:after="240"/>
      <w:ind w:left="2160" w:hanging="720"/>
      <w:outlineLvl w:val="2"/>
    </w:pPr>
    <w:rPr>
      <w:rFonts w:ascii="Times New Roman Bold" w:hAnsi="Times New Roman Bold"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5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40F"/>
    <w:rPr>
      <w:rFonts w:ascii="Segoe UI" w:hAnsi="Segoe UI" w:cs="Segoe UI"/>
      <w:sz w:val="18"/>
      <w:szCs w:val="18"/>
    </w:rPr>
  </w:style>
  <w:style w:type="character" w:styleId="CommentReference">
    <w:name w:val="annotation reference"/>
    <w:basedOn w:val="DefaultParagraphFont"/>
    <w:uiPriority w:val="99"/>
    <w:semiHidden/>
    <w:unhideWhenUsed/>
    <w:rsid w:val="00DF540F"/>
    <w:rPr>
      <w:sz w:val="16"/>
      <w:szCs w:val="16"/>
    </w:rPr>
  </w:style>
  <w:style w:type="paragraph" w:styleId="CommentText">
    <w:name w:val="annotation text"/>
    <w:basedOn w:val="Normal"/>
    <w:link w:val="CommentTextChar"/>
    <w:unhideWhenUsed/>
    <w:rsid w:val="00DF540F"/>
    <w:rPr>
      <w:sz w:val="20"/>
      <w:szCs w:val="20"/>
    </w:rPr>
  </w:style>
  <w:style w:type="character" w:customStyle="1" w:styleId="CommentTextChar">
    <w:name w:val="Comment Text Char"/>
    <w:basedOn w:val="DefaultParagraphFont"/>
    <w:link w:val="CommentText"/>
    <w:rsid w:val="00DF540F"/>
    <w:rPr>
      <w:sz w:val="20"/>
      <w:szCs w:val="20"/>
    </w:rPr>
  </w:style>
  <w:style w:type="paragraph" w:styleId="CommentSubject">
    <w:name w:val="annotation subject"/>
    <w:basedOn w:val="CommentText"/>
    <w:next w:val="CommentText"/>
    <w:link w:val="CommentSubjectChar"/>
    <w:uiPriority w:val="99"/>
    <w:semiHidden/>
    <w:unhideWhenUsed/>
    <w:rsid w:val="00DF540F"/>
    <w:rPr>
      <w:b/>
      <w:bCs/>
    </w:rPr>
  </w:style>
  <w:style w:type="character" w:customStyle="1" w:styleId="CommentSubjectChar">
    <w:name w:val="Comment Subject Char"/>
    <w:basedOn w:val="CommentTextChar"/>
    <w:link w:val="CommentSubject"/>
    <w:uiPriority w:val="99"/>
    <w:semiHidden/>
    <w:rsid w:val="00DF540F"/>
    <w:rPr>
      <w:b/>
      <w:bCs/>
      <w:sz w:val="20"/>
      <w:szCs w:val="20"/>
    </w:rPr>
  </w:style>
  <w:style w:type="paragraph" w:styleId="BodyTextIndent3">
    <w:name w:val="Body Text Indent 3"/>
    <w:basedOn w:val="Normal"/>
    <w:link w:val="BodyTextIndent3Char"/>
    <w:uiPriority w:val="99"/>
    <w:unhideWhenUsed/>
    <w:rsid w:val="00DF540F"/>
    <w:pPr>
      <w:spacing w:after="120"/>
      <w:ind w:left="360"/>
    </w:pPr>
    <w:rPr>
      <w:sz w:val="16"/>
      <w:szCs w:val="16"/>
    </w:rPr>
  </w:style>
  <w:style w:type="character" w:customStyle="1" w:styleId="BodyTextIndent3Char">
    <w:name w:val="Body Text Indent 3 Char"/>
    <w:basedOn w:val="DefaultParagraphFont"/>
    <w:link w:val="BodyTextIndent3"/>
    <w:uiPriority w:val="99"/>
    <w:rsid w:val="00DF540F"/>
    <w:rPr>
      <w:sz w:val="16"/>
      <w:szCs w:val="16"/>
    </w:rPr>
  </w:style>
  <w:style w:type="character" w:styleId="Hyperlink">
    <w:name w:val="Hyperlink"/>
    <w:uiPriority w:val="99"/>
    <w:rsid w:val="00DF540F"/>
    <w:rPr>
      <w:color w:val="0000FF"/>
      <w:u w:val="single"/>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qFormat/>
    <w:rsid w:val="00DF540F"/>
    <w:pPr>
      <w:widowControl/>
    </w:pPr>
    <w:rPr>
      <w:rFonts w:ascii="Times New Roman" w:eastAsia="Times New Roman" w:hAnsi="Times New Roman" w:cs="Times New Roman"/>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DF540F"/>
    <w:rPr>
      <w:rFonts w:ascii="Times New Roman" w:eastAsia="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rsid w:val="00DF540F"/>
    <w:rPr>
      <w:vertAlign w:val="superscript"/>
    </w:rPr>
  </w:style>
  <w:style w:type="paragraph" w:styleId="HTMLPreformatted">
    <w:name w:val="HTML Preformatted"/>
    <w:aliases w:val=" Char,Char"/>
    <w:basedOn w:val="Normal"/>
    <w:link w:val="HTMLPreformattedChar"/>
    <w:rsid w:val="004065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4065F9"/>
    <w:rPr>
      <w:rFonts w:ascii="Courier New" w:eastAsia="Courier New" w:hAnsi="Courier New" w:cs="Courier New"/>
      <w:sz w:val="20"/>
      <w:szCs w:val="20"/>
    </w:rPr>
  </w:style>
  <w:style w:type="paragraph" w:styleId="Header">
    <w:name w:val="header"/>
    <w:basedOn w:val="Normal"/>
    <w:link w:val="HeaderChar"/>
    <w:uiPriority w:val="99"/>
    <w:unhideWhenUsed/>
    <w:rsid w:val="004065F9"/>
    <w:pPr>
      <w:tabs>
        <w:tab w:val="center" w:pos="4680"/>
        <w:tab w:val="right" w:pos="9360"/>
      </w:tabs>
    </w:pPr>
  </w:style>
  <w:style w:type="character" w:customStyle="1" w:styleId="HeaderChar">
    <w:name w:val="Header Char"/>
    <w:basedOn w:val="DefaultParagraphFont"/>
    <w:link w:val="Header"/>
    <w:uiPriority w:val="99"/>
    <w:rsid w:val="004065F9"/>
  </w:style>
  <w:style w:type="paragraph" w:styleId="Footer">
    <w:name w:val="footer"/>
    <w:basedOn w:val="Normal"/>
    <w:link w:val="FooterChar"/>
    <w:uiPriority w:val="99"/>
    <w:unhideWhenUsed/>
    <w:rsid w:val="004065F9"/>
    <w:pPr>
      <w:tabs>
        <w:tab w:val="center" w:pos="4680"/>
        <w:tab w:val="right" w:pos="9360"/>
      </w:tabs>
    </w:pPr>
  </w:style>
  <w:style w:type="character" w:customStyle="1" w:styleId="FooterChar">
    <w:name w:val="Footer Char"/>
    <w:basedOn w:val="DefaultParagraphFont"/>
    <w:link w:val="Footer"/>
    <w:uiPriority w:val="99"/>
    <w:rsid w:val="004065F9"/>
  </w:style>
  <w:style w:type="paragraph" w:styleId="BodyTextIndent">
    <w:name w:val="Body Text Indent"/>
    <w:basedOn w:val="Normal"/>
    <w:link w:val="BodyTextIndentChar"/>
    <w:uiPriority w:val="99"/>
    <w:semiHidden/>
    <w:unhideWhenUsed/>
    <w:rsid w:val="00E34345"/>
    <w:pPr>
      <w:spacing w:after="120"/>
      <w:ind w:left="360"/>
    </w:pPr>
  </w:style>
  <w:style w:type="character" w:customStyle="1" w:styleId="BodyTextIndentChar">
    <w:name w:val="Body Text Indent Char"/>
    <w:basedOn w:val="DefaultParagraphFont"/>
    <w:link w:val="BodyTextIndent"/>
    <w:uiPriority w:val="99"/>
    <w:semiHidden/>
    <w:rsid w:val="00E34345"/>
  </w:style>
  <w:style w:type="paragraph" w:styleId="EndnoteText">
    <w:name w:val="endnote text"/>
    <w:basedOn w:val="Normal"/>
    <w:link w:val="EndnoteTextChar"/>
    <w:rsid w:val="00E50254"/>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rsid w:val="00E50254"/>
    <w:rPr>
      <w:rFonts w:ascii="Courier New" w:eastAsia="Times New Roman" w:hAnsi="Courier New" w:cs="Times New Roman"/>
      <w:snapToGrid w:val="0"/>
      <w:sz w:val="24"/>
      <w:szCs w:val="20"/>
    </w:rPr>
  </w:style>
  <w:style w:type="table" w:styleId="TableGrid">
    <w:name w:val="Table Grid"/>
    <w:basedOn w:val="TableNormal"/>
    <w:rsid w:val="00E5025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30FB"/>
    <w:rPr>
      <w:color w:val="605E5C"/>
      <w:shd w:val="clear" w:color="auto" w:fill="E1DFDD"/>
    </w:rPr>
  </w:style>
  <w:style w:type="paragraph" w:styleId="NormalWeb">
    <w:name w:val="Normal (Web)"/>
    <w:basedOn w:val="Normal"/>
    <w:uiPriority w:val="99"/>
    <w:unhideWhenUsed/>
    <w:rsid w:val="00AC40CC"/>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66EB"/>
    <w:rPr>
      <w:color w:val="800080" w:themeColor="followedHyperlink"/>
      <w:u w:val="single"/>
    </w:rPr>
  </w:style>
  <w:style w:type="paragraph" w:styleId="TOC1">
    <w:name w:val="toc 1"/>
    <w:basedOn w:val="Normal"/>
    <w:next w:val="Normal"/>
    <w:autoRedefine/>
    <w:uiPriority w:val="39"/>
    <w:unhideWhenUsed/>
    <w:qFormat/>
    <w:rsid w:val="001E3E9B"/>
    <w:pPr>
      <w:tabs>
        <w:tab w:val="decimal" w:leader="dot" w:pos="9360"/>
      </w:tabs>
      <w:spacing w:after="240"/>
      <w:ind w:left="720" w:hanging="720"/>
      <w:outlineLvl w:val="0"/>
    </w:pPr>
    <w:rPr>
      <w:rFonts w:ascii="Times New Roman" w:hAnsi="Times New Roman"/>
      <w:caps/>
      <w:sz w:val="24"/>
    </w:rPr>
  </w:style>
  <w:style w:type="paragraph" w:styleId="TOC2">
    <w:name w:val="toc 2"/>
    <w:basedOn w:val="Normal"/>
    <w:next w:val="Normal"/>
    <w:autoRedefine/>
    <w:uiPriority w:val="39"/>
    <w:unhideWhenUsed/>
    <w:qFormat/>
    <w:rsid w:val="001E3E9B"/>
    <w:pPr>
      <w:tabs>
        <w:tab w:val="decimal" w:leader="dot" w:pos="9360"/>
      </w:tabs>
      <w:spacing w:after="240"/>
      <w:ind w:left="1440" w:hanging="720"/>
      <w:outlineLvl w:val="1"/>
    </w:pPr>
    <w:rPr>
      <w:rFonts w:ascii="Times New Roman" w:hAnsi="Times New Roman"/>
      <w:sz w:val="24"/>
    </w:rPr>
  </w:style>
  <w:style w:type="character" w:customStyle="1" w:styleId="markedcontent">
    <w:name w:val="markedcontent"/>
    <w:basedOn w:val="DefaultParagraphFont"/>
    <w:rsid w:val="00896B82"/>
  </w:style>
  <w:style w:type="character" w:customStyle="1" w:styleId="Heading3Char">
    <w:name w:val="Heading 3 Char"/>
    <w:basedOn w:val="DefaultParagraphFont"/>
    <w:link w:val="Heading3"/>
    <w:uiPriority w:val="9"/>
    <w:rsid w:val="00406936"/>
    <w:rPr>
      <w:rFonts w:ascii="Times New Roman Bold" w:hAnsi="Times New Roman Bold" w:eastAsiaTheme="majorEastAsia" w:cstheme="majorBidi"/>
      <w:b/>
      <w:sz w:val="24"/>
      <w:szCs w:val="24"/>
    </w:rPr>
  </w:style>
  <w:style w:type="character" w:customStyle="1" w:styleId="dewidow">
    <w:name w:val="dewidow"/>
    <w:basedOn w:val="DefaultParagraphFont"/>
    <w:rsid w:val="00AB3577"/>
  </w:style>
  <w:style w:type="paragraph" w:styleId="TOC3">
    <w:name w:val="toc 3"/>
    <w:basedOn w:val="Normal"/>
    <w:next w:val="Normal"/>
    <w:autoRedefine/>
    <w:uiPriority w:val="39"/>
    <w:unhideWhenUsed/>
    <w:qFormat/>
    <w:rsid w:val="00BF3BF3"/>
    <w:pPr>
      <w:tabs>
        <w:tab w:val="decimal" w:leader="dot" w:pos="9360"/>
      </w:tabs>
      <w:spacing w:after="240"/>
      <w:ind w:left="2160" w:hanging="720"/>
    </w:pPr>
    <w:rPr>
      <w:rFonts w:ascii="Times New Roman" w:hAnsi="Times New Roman"/>
      <w:sz w:val="24"/>
    </w:rPr>
  </w:style>
  <w:style w:type="paragraph" w:styleId="Revision">
    <w:name w:val="Revision"/>
    <w:hidden/>
    <w:uiPriority w:val="99"/>
    <w:semiHidden/>
    <w:rsid w:val="00A967A5"/>
    <w:pPr>
      <w:widowControl/>
    </w:pPr>
  </w:style>
  <w:style w:type="character" w:customStyle="1" w:styleId="Heading2Char">
    <w:name w:val="Heading 2 Char"/>
    <w:basedOn w:val="DefaultParagraphFont"/>
    <w:link w:val="Heading2"/>
    <w:uiPriority w:val="9"/>
    <w:rsid w:val="006A7E03"/>
    <w:rPr>
      <w:rFonts w:ascii="Times New Roman Bold" w:eastAsia="Times New Roman" w:hAnsi="Times New Roman Bold"/>
      <w:b/>
      <w:sz w:val="24"/>
      <w:szCs w:val="24"/>
    </w:rPr>
  </w:style>
  <w:style w:type="paragraph" w:customStyle="1" w:styleId="Default">
    <w:name w:val="Default"/>
    <w:rsid w:val="00B556E8"/>
    <w:pPr>
      <w:widowControl/>
      <w:autoSpaceDE w:val="0"/>
      <w:autoSpaceDN w:val="0"/>
      <w:adjustRightInd w:val="0"/>
    </w:pPr>
    <w:rPr>
      <w:rFonts w:ascii="Times New Roman" w:hAnsi="Times New Roman" w:cs="Times New Roman"/>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hyperlink" Target="mailto:angela.obrien@occ.ohio.gov" TargetMode="External" /><Relationship Id="rId16" Type="http://schemas.openxmlformats.org/officeDocument/2006/relationships/hyperlink" Target="mailto:bzets@isaacwiles.com" TargetMode="External" /><Relationship Id="rId17" Type="http://schemas.openxmlformats.org/officeDocument/2006/relationships/footer" Target="footer4.xml" /><Relationship Id="rId18" Type="http://schemas.openxmlformats.org/officeDocument/2006/relationships/hyperlink" Target="mailto:kyle.kern@ohioAGO.gov" TargetMode="External" /><Relationship Id="rId19" Type="http://schemas.openxmlformats.org/officeDocument/2006/relationships/hyperlink" Target="mailto:thomas.lindgren@ohioAGO.gov" TargetMode="External" /><Relationship Id="rId2" Type="http://schemas.openxmlformats.org/officeDocument/2006/relationships/settings" Target="settings.xml" /><Relationship Id="rId20" Type="http://schemas.openxmlformats.org/officeDocument/2006/relationships/hyperlink" Target="mailto:mkurtz@BKLlawfirm.com" TargetMode="External" /><Relationship Id="rId21" Type="http://schemas.openxmlformats.org/officeDocument/2006/relationships/hyperlink" Target="mailto:kboehm@BKLlawfirm.com" TargetMode="External" /><Relationship Id="rId22" Type="http://schemas.openxmlformats.org/officeDocument/2006/relationships/hyperlink" Target="mailto:jkylercohn@BKLlawfirm.com" TargetMode="External" /><Relationship Id="rId23" Type="http://schemas.openxmlformats.org/officeDocument/2006/relationships/hyperlink" Target="mailto:sarah.parrot@puco.ohio.gov" TargetMode="External" /><Relationship Id="rId24" Type="http://schemas.openxmlformats.org/officeDocument/2006/relationships/hyperlink" Target="mailto:greta.see@puco.ohio.gov" TargetMode="External" /><Relationship Id="rId25" Type="http://schemas.openxmlformats.org/officeDocument/2006/relationships/hyperlink" Target="mailto:stnourse@aep.com" TargetMode="External" /><Relationship Id="rId26" Type="http://schemas.openxmlformats.org/officeDocument/2006/relationships/hyperlink" Target="mailto:mpritchard@mcneeslaw.com" TargetMode="External" /><Relationship Id="rId27" Type="http://schemas.openxmlformats.org/officeDocument/2006/relationships/hyperlink" Target="mailto:rglover@mcneeslaw.com" TargetMode="External" /><Relationship Id="rId28" Type="http://schemas.openxmlformats.org/officeDocument/2006/relationships/hyperlink" Target="mailto:rdove@keglerbrown.com" TargetMode="External" /><Relationship Id="rId29" Type="http://schemas.openxmlformats.org/officeDocument/2006/relationships/hyperlink" Target="mailto:megan.wachpress@sierraclub.org" TargetMode="External" /><Relationship Id="rId3" Type="http://schemas.openxmlformats.org/officeDocument/2006/relationships/webSettings" Target="webSettings.xml" /><Relationship Id="rId30" Type="http://schemas.openxmlformats.org/officeDocument/2006/relationships/hyperlink" Target="mailto:bojko@carpenterlipps.com" TargetMode="External" /><Relationship Id="rId31" Type="http://schemas.openxmlformats.org/officeDocument/2006/relationships/hyperlink" Target="mailto:donadio@carpenterlipps.com" TargetMode="External" /><Relationship Id="rId32" Type="http://schemas.openxmlformats.org/officeDocument/2006/relationships/hyperlink" Target="mailto:paul@carpenterlipps.com" TargetMode="External" /><Relationship Id="rId33" Type="http://schemas.openxmlformats.org/officeDocument/2006/relationships/hyperlink" Target="mailto:kyle.kern@ohioattorneygeneral.gov" TargetMode="External" /><Relationship Id="rId34" Type="http://schemas.openxmlformats.org/officeDocument/2006/relationships/hyperlink" Target="mailto:thomas.lindgren@ohioattorneygeneral.gov" TargetMode="External" /><Relationship Id="rId35" Type="http://schemas.openxmlformats.org/officeDocument/2006/relationships/hyperlink" Target="mailto:patricia.schabo@puco.ohio.gov" TargetMode="External" /><Relationship Id="rId36" Type="http://schemas.openxmlformats.org/officeDocument/2006/relationships/hyperlink" Target="mailto:michael.williams@puco.ohio.gov" TargetMode="External" /><Relationship Id="rId37" Type="http://schemas.openxmlformats.org/officeDocument/2006/relationships/hyperlink" Target="mailto:michael.schuler@aes.com" TargetMode="External" /><Relationship Id="rId38" Type="http://schemas.openxmlformats.org/officeDocument/2006/relationships/hyperlink" Target="mailto:randall.griffin@aes.com" TargetMode="External" /><Relationship Id="rId39" Type="http://schemas.openxmlformats.org/officeDocument/2006/relationships/hyperlink" Target="mailto:John.jones@ohioattorneygeneral.gov" TargetMode="External" /><Relationship Id="rId4" Type="http://schemas.openxmlformats.org/officeDocument/2006/relationships/fontTable" Target="fontTable.xml" /><Relationship Id="rId40" Type="http://schemas.openxmlformats.org/officeDocument/2006/relationships/hyperlink" Target="mailto:Jesse.davis@puco.ohio.gov" TargetMode="External" /><Relationship Id="rId41" Type="http://schemas.openxmlformats.org/officeDocument/2006/relationships/hyperlink" Target="mailto:rocco.dascenzo@duke-energy.com" TargetMode="External" /><Relationship Id="rId42" Type="http://schemas.openxmlformats.org/officeDocument/2006/relationships/hyperlink" Target="mailto:Jeanne.kingery@duke-energy.com" TargetMode="External" /><Relationship Id="rId43" Type="http://schemas.openxmlformats.org/officeDocument/2006/relationships/hyperlink" Target="mailto:Larisa.vaysman@duke-energy.com" TargetMode="External" /><Relationship Id="rId44" Type="http://schemas.openxmlformats.org/officeDocument/2006/relationships/hyperlink" Target="mailto:Matthew.sandor@puco.ohio.gov" TargetMode="External" /><Relationship Id="rId45" Type="http://schemas.openxmlformats.org/officeDocument/2006/relationships/hyperlink" Target="mailto:Nicholas.walstra@puco.ohio.gov" TargetMode="Externa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william.michael@occ.ohio.gov" TargetMode="External" /><Relationship Id="rId8" Type="http://schemas.openxmlformats.org/officeDocument/2006/relationships/hyperlink" Target="mailto:amy.botschner.obrien@occ.ohio.gov" TargetMode="External" /><Relationship Id="rId9" Type="http://schemas.openxmlformats.org/officeDocument/2006/relationships/hyperlink" Target="mailto:john.finnigan@occ.ohio.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codes.ohio.gov/NLLXML/ohiocodesGetcode.aspx?userid=PRODSG&amp;interface=OHCODES&amp;statecd=OH&amp;codesec=4901-1-24&amp;sessionyr=2020&amp;Title=4901&amp;datatype=D&amp;noheader=0&amp;nojumpmsg=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37D9A-795E-4D1F-8AE6-050B931E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2021-12-16T20:57:14Z</dcterms:created>
  <dcterms:modified xsi:type="dcterms:W3CDTF">2021-12-16T20:57:14Z</dcterms:modified>
</cp:coreProperties>
</file>