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C91" w:rsidRDefault="00D87C91" w:rsidP="00597056">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D87C91" w:rsidRDefault="00D87C91" w:rsidP="00597056">
      <w:pPr>
        <w:pStyle w:val="HTMLPreformatted"/>
        <w:jc w:val="center"/>
        <w:rPr>
          <w:rFonts w:ascii="Times New Roman" w:hAnsi="Times New Roman"/>
          <w:sz w:val="24"/>
        </w:rPr>
      </w:pPr>
      <w:r>
        <w:rPr>
          <w:rFonts w:ascii="Times New Roman" w:hAnsi="Times New Roman"/>
          <w:b/>
          <w:bCs/>
          <w:sz w:val="24"/>
        </w:rPr>
        <w:t>THE PUBLIC UTILITIES COMMISSION OF OHIO</w:t>
      </w:r>
    </w:p>
    <w:p w:rsidR="00D87C91" w:rsidRDefault="00D87C91" w:rsidP="00597056">
      <w:pPr>
        <w:pStyle w:val="HTMLPreformatted"/>
        <w:rPr>
          <w:rFonts w:ascii="Times New Roman" w:hAnsi="Times New Roman"/>
          <w:sz w:val="24"/>
        </w:rPr>
      </w:pPr>
    </w:p>
    <w:tbl>
      <w:tblPr>
        <w:tblW w:w="9092" w:type="dxa"/>
        <w:tblInd w:w="-106" w:type="dxa"/>
        <w:tblLook w:val="01E0" w:firstRow="1" w:lastRow="1" w:firstColumn="1" w:lastColumn="1" w:noHBand="0" w:noVBand="0"/>
      </w:tblPr>
      <w:tblGrid>
        <w:gridCol w:w="4332"/>
        <w:gridCol w:w="360"/>
        <w:gridCol w:w="4400"/>
      </w:tblGrid>
      <w:tr w:rsidR="00D87C91">
        <w:trPr>
          <w:trHeight w:val="807"/>
        </w:trPr>
        <w:tc>
          <w:tcPr>
            <w:tcW w:w="4332" w:type="dxa"/>
          </w:tcPr>
          <w:p w:rsidR="00D87C91" w:rsidRDefault="00D87C91" w:rsidP="003E322C">
            <w:pPr>
              <w:pStyle w:val="HTMLPreformatted"/>
              <w:rPr>
                <w:rFonts w:ascii="Times New Roman" w:hAnsi="Times New Roman"/>
                <w:sz w:val="24"/>
                <w:szCs w:val="24"/>
              </w:rPr>
            </w:pPr>
            <w:r>
              <w:rPr>
                <w:rFonts w:ascii="Times New Roman" w:hAnsi="Times New Roman"/>
                <w:sz w:val="24"/>
                <w:szCs w:val="24"/>
              </w:rPr>
              <w:t>In the Matter of the Application of Duke Energy Ohio, Inc. for Authority to Establish a Standard Service Offer Pursuant to R.C. 4928.143 in the Form of an Electric Security Plan, Accounting Modifications, and Tariffs for Generation Service.</w:t>
            </w:r>
          </w:p>
          <w:p w:rsidR="00D87C91" w:rsidRDefault="00D87C91" w:rsidP="003E322C">
            <w:pPr>
              <w:pStyle w:val="HTMLPreformatted"/>
              <w:rPr>
                <w:rFonts w:ascii="Times New Roman" w:hAnsi="Times New Roman"/>
                <w:sz w:val="24"/>
                <w:szCs w:val="24"/>
              </w:rPr>
            </w:pPr>
          </w:p>
          <w:p w:rsidR="00D87C91" w:rsidRDefault="00D87C91" w:rsidP="003E322C">
            <w:pPr>
              <w:pStyle w:val="HTMLPreformatted"/>
              <w:rPr>
                <w:rFonts w:ascii="Times New Roman" w:hAnsi="Times New Roman"/>
                <w:sz w:val="24"/>
                <w:szCs w:val="24"/>
              </w:rPr>
            </w:pPr>
            <w:r>
              <w:rPr>
                <w:rFonts w:ascii="Times New Roman" w:hAnsi="Times New Roman"/>
                <w:sz w:val="24"/>
                <w:szCs w:val="24"/>
              </w:rPr>
              <w:t>In the Matter of Application of Duke Energy Ohio, Inc. for Authority to Amend its Certified Supplier Tariff, P.U.C.O. No. 20.</w:t>
            </w:r>
          </w:p>
          <w:p w:rsidR="00D87C91" w:rsidRDefault="00D87C91" w:rsidP="003E322C">
            <w:pPr>
              <w:pStyle w:val="HTMLPreformatted"/>
              <w:rPr>
                <w:rFonts w:ascii="Times New Roman" w:hAnsi="Times New Roman"/>
                <w:sz w:val="24"/>
                <w:szCs w:val="24"/>
              </w:rPr>
            </w:pPr>
          </w:p>
          <w:p w:rsidR="00D87C91" w:rsidRDefault="00D87C91" w:rsidP="003E322C">
            <w:pPr>
              <w:pStyle w:val="HTMLPreformatted"/>
              <w:rPr>
                <w:rFonts w:ascii="Times New Roman" w:hAnsi="Times New Roman" w:cs="Courier New"/>
                <w:sz w:val="24"/>
                <w:szCs w:val="24"/>
              </w:rPr>
            </w:pPr>
          </w:p>
        </w:tc>
        <w:tc>
          <w:tcPr>
            <w:tcW w:w="360" w:type="dxa"/>
          </w:tcPr>
          <w:p w:rsidR="00D87C91" w:rsidRDefault="00D87C91" w:rsidP="003E322C">
            <w:pPr>
              <w:pStyle w:val="HTMLPreformatted"/>
              <w:rPr>
                <w:rFonts w:ascii="Times New Roman" w:hAnsi="Times New Roman" w:cs="Courier New"/>
                <w:sz w:val="24"/>
              </w:rPr>
            </w:pPr>
            <w:r>
              <w:rPr>
                <w:rFonts w:ascii="Times New Roman" w:hAnsi="Times New Roman" w:cs="Courier New"/>
                <w:sz w:val="24"/>
              </w:rPr>
              <w:t>)</w:t>
            </w:r>
          </w:p>
          <w:p w:rsidR="00D87C91" w:rsidRDefault="00D87C91" w:rsidP="003E322C">
            <w:pPr>
              <w:pStyle w:val="HTMLPreformatted"/>
              <w:rPr>
                <w:rFonts w:ascii="Times New Roman" w:hAnsi="Times New Roman" w:cs="Courier New"/>
                <w:sz w:val="24"/>
              </w:rPr>
            </w:pPr>
            <w:r>
              <w:rPr>
                <w:rFonts w:ascii="Times New Roman" w:hAnsi="Times New Roman" w:cs="Courier New"/>
                <w:sz w:val="24"/>
              </w:rPr>
              <w:t>)</w:t>
            </w:r>
          </w:p>
          <w:p w:rsidR="00D87C91" w:rsidRDefault="00D87C91" w:rsidP="003E322C">
            <w:pPr>
              <w:pStyle w:val="HTMLPreformatted"/>
              <w:rPr>
                <w:rFonts w:ascii="Times New Roman" w:hAnsi="Times New Roman" w:cs="Courier New"/>
                <w:sz w:val="24"/>
              </w:rPr>
            </w:pPr>
            <w:r>
              <w:rPr>
                <w:rFonts w:ascii="Times New Roman" w:hAnsi="Times New Roman" w:cs="Courier New"/>
                <w:sz w:val="24"/>
              </w:rPr>
              <w:t>)</w:t>
            </w:r>
          </w:p>
          <w:p w:rsidR="00D87C91" w:rsidRDefault="00D87C91" w:rsidP="003E322C">
            <w:pPr>
              <w:pStyle w:val="HTMLPreformatted"/>
              <w:rPr>
                <w:rFonts w:ascii="Times New Roman" w:hAnsi="Times New Roman" w:cs="Courier New"/>
                <w:sz w:val="24"/>
              </w:rPr>
            </w:pPr>
            <w:r>
              <w:rPr>
                <w:rFonts w:ascii="Times New Roman" w:hAnsi="Times New Roman" w:cs="Courier New"/>
                <w:sz w:val="24"/>
              </w:rPr>
              <w:t>)</w:t>
            </w:r>
          </w:p>
          <w:p w:rsidR="00D87C91" w:rsidRDefault="00D87C91" w:rsidP="003E322C">
            <w:pPr>
              <w:pStyle w:val="HTMLPreformatted"/>
              <w:rPr>
                <w:rFonts w:ascii="Times New Roman" w:hAnsi="Times New Roman" w:cs="Courier New"/>
                <w:sz w:val="24"/>
              </w:rPr>
            </w:pPr>
            <w:r>
              <w:rPr>
                <w:rFonts w:ascii="Times New Roman" w:hAnsi="Times New Roman" w:cs="Courier New"/>
                <w:sz w:val="24"/>
              </w:rPr>
              <w:t>)</w:t>
            </w:r>
          </w:p>
          <w:p w:rsidR="00D87C91" w:rsidRDefault="00D87C91" w:rsidP="003E322C">
            <w:pPr>
              <w:pStyle w:val="HTMLPreformatted"/>
              <w:rPr>
                <w:rFonts w:ascii="Times New Roman" w:hAnsi="Times New Roman" w:cs="Courier New"/>
                <w:sz w:val="24"/>
              </w:rPr>
            </w:pPr>
            <w:r>
              <w:rPr>
                <w:rFonts w:ascii="Times New Roman" w:hAnsi="Times New Roman" w:cs="Courier New"/>
                <w:sz w:val="24"/>
              </w:rPr>
              <w:t>)</w:t>
            </w:r>
          </w:p>
          <w:p w:rsidR="00D87C91" w:rsidRDefault="00D87C91" w:rsidP="003E322C">
            <w:pPr>
              <w:pStyle w:val="HTMLPreformatted"/>
              <w:rPr>
                <w:rFonts w:ascii="Times New Roman" w:hAnsi="Times New Roman" w:cs="Courier New"/>
                <w:sz w:val="24"/>
              </w:rPr>
            </w:pPr>
            <w:r>
              <w:rPr>
                <w:rFonts w:ascii="Times New Roman" w:hAnsi="Times New Roman" w:cs="Courier New"/>
                <w:sz w:val="24"/>
              </w:rPr>
              <w:t>)</w:t>
            </w:r>
          </w:p>
          <w:p w:rsidR="00D87C91" w:rsidRDefault="00D87C91" w:rsidP="003E322C">
            <w:pPr>
              <w:pStyle w:val="HTMLPreformatted"/>
              <w:rPr>
                <w:rFonts w:ascii="Times New Roman" w:hAnsi="Times New Roman" w:cs="Courier New"/>
                <w:sz w:val="24"/>
              </w:rPr>
            </w:pPr>
          </w:p>
          <w:p w:rsidR="00D87C91" w:rsidRDefault="00D87C91" w:rsidP="003E322C">
            <w:pPr>
              <w:pStyle w:val="HTMLPreformatted"/>
              <w:rPr>
                <w:rFonts w:ascii="Times New Roman" w:hAnsi="Times New Roman" w:cs="Courier New"/>
                <w:sz w:val="24"/>
              </w:rPr>
            </w:pPr>
            <w:r>
              <w:rPr>
                <w:rFonts w:ascii="Times New Roman" w:hAnsi="Times New Roman" w:cs="Courier New"/>
                <w:sz w:val="24"/>
              </w:rPr>
              <w:t>)</w:t>
            </w:r>
          </w:p>
          <w:p w:rsidR="00D87C91" w:rsidRDefault="00D87C91" w:rsidP="003E322C">
            <w:pPr>
              <w:pStyle w:val="HTMLPreformatted"/>
              <w:rPr>
                <w:rFonts w:ascii="Times New Roman" w:hAnsi="Times New Roman" w:cs="Courier New"/>
                <w:sz w:val="24"/>
              </w:rPr>
            </w:pPr>
            <w:r>
              <w:rPr>
                <w:rFonts w:ascii="Times New Roman" w:hAnsi="Times New Roman" w:cs="Courier New"/>
                <w:sz w:val="24"/>
              </w:rPr>
              <w:t>)</w:t>
            </w:r>
          </w:p>
          <w:p w:rsidR="00D87C91" w:rsidRDefault="00D87C91" w:rsidP="003E322C">
            <w:pPr>
              <w:pStyle w:val="HTMLPreformatted"/>
              <w:rPr>
                <w:rFonts w:ascii="Times New Roman" w:hAnsi="Times New Roman" w:cs="Courier New"/>
                <w:sz w:val="24"/>
              </w:rPr>
            </w:pPr>
            <w:r>
              <w:rPr>
                <w:rFonts w:ascii="Times New Roman" w:hAnsi="Times New Roman" w:cs="Courier New"/>
                <w:sz w:val="24"/>
              </w:rPr>
              <w:t>)</w:t>
            </w:r>
          </w:p>
          <w:p w:rsidR="00D87C91" w:rsidRDefault="00D87C91" w:rsidP="003E322C">
            <w:pPr>
              <w:pStyle w:val="HTMLPreformatted"/>
              <w:rPr>
                <w:rFonts w:ascii="Times New Roman" w:hAnsi="Times New Roman" w:cs="Courier New"/>
                <w:sz w:val="24"/>
              </w:rPr>
            </w:pPr>
            <w:r>
              <w:rPr>
                <w:rFonts w:ascii="Times New Roman" w:hAnsi="Times New Roman" w:cs="Courier New"/>
                <w:sz w:val="24"/>
              </w:rPr>
              <w:t>)</w:t>
            </w:r>
          </w:p>
          <w:p w:rsidR="00D87C91" w:rsidRDefault="00D87C91" w:rsidP="003E322C">
            <w:pPr>
              <w:pStyle w:val="HTMLPreformatted"/>
              <w:rPr>
                <w:rFonts w:ascii="Times New Roman" w:hAnsi="Times New Roman" w:cs="Courier New"/>
                <w:sz w:val="24"/>
              </w:rPr>
            </w:pPr>
          </w:p>
        </w:tc>
        <w:tc>
          <w:tcPr>
            <w:tcW w:w="4400" w:type="dxa"/>
          </w:tcPr>
          <w:p w:rsidR="00D87C91" w:rsidRDefault="00D87C91" w:rsidP="003E322C">
            <w:pPr>
              <w:pStyle w:val="HTMLPreformatted"/>
              <w:rPr>
                <w:rFonts w:ascii="Times New Roman" w:hAnsi="Times New Roman" w:cs="Courier New"/>
                <w:sz w:val="24"/>
              </w:rPr>
            </w:pPr>
          </w:p>
          <w:p w:rsidR="00D87C91" w:rsidRDefault="00D87C91" w:rsidP="003E322C">
            <w:pPr>
              <w:pStyle w:val="HTMLPreformatted"/>
              <w:rPr>
                <w:rFonts w:ascii="Times New Roman" w:hAnsi="Times New Roman" w:cs="Courier New"/>
                <w:sz w:val="24"/>
              </w:rPr>
            </w:pPr>
          </w:p>
          <w:p w:rsidR="00D87C91" w:rsidRDefault="00D87C91" w:rsidP="003E322C">
            <w:pPr>
              <w:pStyle w:val="HTMLPreformatted"/>
              <w:rPr>
                <w:rFonts w:ascii="Times New Roman" w:hAnsi="Times New Roman" w:cs="Courier New"/>
                <w:sz w:val="24"/>
              </w:rPr>
            </w:pPr>
          </w:p>
          <w:p w:rsidR="00D87C91" w:rsidRDefault="00D87C91" w:rsidP="003E322C">
            <w:pPr>
              <w:pStyle w:val="HTMLPreformatted"/>
              <w:rPr>
                <w:rFonts w:ascii="Times New Roman" w:hAnsi="Times New Roman" w:cs="Courier New"/>
                <w:sz w:val="24"/>
              </w:rPr>
            </w:pPr>
            <w:r>
              <w:rPr>
                <w:rFonts w:ascii="Times New Roman" w:hAnsi="Times New Roman" w:cs="Courier New"/>
                <w:sz w:val="24"/>
              </w:rPr>
              <w:t>Case No. 14-841-EL-SSO</w:t>
            </w:r>
          </w:p>
          <w:p w:rsidR="00D87C91" w:rsidRDefault="00D87C91" w:rsidP="003E322C">
            <w:pPr>
              <w:pStyle w:val="HTMLPreformatted"/>
              <w:rPr>
                <w:rFonts w:ascii="Times New Roman" w:hAnsi="Times New Roman" w:cs="Courier New"/>
                <w:sz w:val="24"/>
              </w:rPr>
            </w:pPr>
          </w:p>
          <w:p w:rsidR="00D87C91" w:rsidRDefault="00D87C91" w:rsidP="003E322C">
            <w:pPr>
              <w:pStyle w:val="HTMLPreformatted"/>
              <w:rPr>
                <w:rFonts w:ascii="Times New Roman" w:hAnsi="Times New Roman" w:cs="Courier New"/>
                <w:sz w:val="24"/>
              </w:rPr>
            </w:pPr>
          </w:p>
          <w:p w:rsidR="00D87C91" w:rsidRDefault="00D87C91" w:rsidP="003E322C">
            <w:pPr>
              <w:pStyle w:val="HTMLPreformatted"/>
              <w:rPr>
                <w:rFonts w:ascii="Times New Roman" w:hAnsi="Times New Roman" w:cs="Courier New"/>
                <w:sz w:val="24"/>
              </w:rPr>
            </w:pPr>
          </w:p>
          <w:p w:rsidR="00D87C91" w:rsidRDefault="00D87C91" w:rsidP="003E322C">
            <w:pPr>
              <w:pStyle w:val="HTMLPreformatted"/>
              <w:rPr>
                <w:rFonts w:ascii="Times New Roman" w:hAnsi="Times New Roman" w:cs="Courier New"/>
                <w:sz w:val="24"/>
              </w:rPr>
            </w:pPr>
          </w:p>
          <w:p w:rsidR="00D87C91" w:rsidRDefault="00D87C91" w:rsidP="003E322C">
            <w:pPr>
              <w:pStyle w:val="HTMLPreformatted"/>
              <w:rPr>
                <w:rFonts w:ascii="Times New Roman" w:hAnsi="Times New Roman" w:cs="Courier New"/>
                <w:sz w:val="24"/>
              </w:rPr>
            </w:pPr>
          </w:p>
          <w:p w:rsidR="00D87C91" w:rsidRDefault="00D87C91" w:rsidP="003E322C">
            <w:pPr>
              <w:pStyle w:val="HTMLPreformatted"/>
              <w:rPr>
                <w:rFonts w:ascii="Times New Roman" w:hAnsi="Times New Roman" w:cs="Courier New"/>
                <w:sz w:val="24"/>
              </w:rPr>
            </w:pPr>
            <w:r>
              <w:rPr>
                <w:rFonts w:ascii="Times New Roman" w:hAnsi="Times New Roman" w:cs="Courier New"/>
                <w:sz w:val="24"/>
              </w:rPr>
              <w:t>Case No. 14-842-EL-ATA</w:t>
            </w:r>
          </w:p>
        </w:tc>
      </w:tr>
    </w:tbl>
    <w:p w:rsidR="00D87C91" w:rsidRDefault="00D87C91" w:rsidP="00597056">
      <w:pPr>
        <w:pStyle w:val="HTMLPreformatted"/>
        <w:pBdr>
          <w:top w:val="single" w:sz="12" w:space="1" w:color="auto"/>
        </w:pBdr>
        <w:rPr>
          <w:rFonts w:ascii="Times New Roman" w:hAnsi="Times New Roman"/>
          <w:sz w:val="24"/>
        </w:rPr>
      </w:pPr>
    </w:p>
    <w:p w:rsidR="00D87C91" w:rsidRDefault="00D87C91" w:rsidP="00597056">
      <w:pPr>
        <w:jc w:val="center"/>
        <w:rPr>
          <w:b/>
          <w:bCs/>
        </w:rPr>
      </w:pPr>
      <w:r>
        <w:rPr>
          <w:b/>
          <w:bCs/>
        </w:rPr>
        <w:t xml:space="preserve">MEMORANDUM CONTRA </w:t>
      </w:r>
    </w:p>
    <w:p w:rsidR="00D87C91" w:rsidRDefault="00D87C91" w:rsidP="00597056">
      <w:pPr>
        <w:jc w:val="center"/>
        <w:rPr>
          <w:b/>
          <w:bCs/>
        </w:rPr>
      </w:pPr>
      <w:r>
        <w:rPr>
          <w:b/>
          <w:bCs/>
        </w:rPr>
        <w:t>DUKE ENERGY OHIO, INC.’S</w:t>
      </w:r>
    </w:p>
    <w:p w:rsidR="00D87C91" w:rsidRDefault="00D87C91" w:rsidP="00597056">
      <w:pPr>
        <w:jc w:val="center"/>
        <w:rPr>
          <w:b/>
          <w:bCs/>
        </w:rPr>
      </w:pPr>
      <w:r>
        <w:rPr>
          <w:b/>
          <w:bCs/>
        </w:rPr>
        <w:t>APPLICATION FOR REHEARING</w:t>
      </w:r>
    </w:p>
    <w:p w:rsidR="00D87C91" w:rsidRDefault="00D87C91" w:rsidP="00597056">
      <w:pPr>
        <w:jc w:val="center"/>
        <w:rPr>
          <w:b/>
          <w:bCs/>
        </w:rPr>
      </w:pPr>
      <w:r>
        <w:rPr>
          <w:b/>
          <w:bCs/>
        </w:rPr>
        <w:t>BY</w:t>
      </w:r>
    </w:p>
    <w:p w:rsidR="00D87C91" w:rsidRDefault="00D87C91" w:rsidP="00597056">
      <w:pPr>
        <w:jc w:val="center"/>
        <w:rPr>
          <w:b/>
          <w:bCs/>
        </w:rPr>
      </w:pPr>
      <w:r>
        <w:rPr>
          <w:b/>
          <w:bCs/>
        </w:rPr>
        <w:t>THE OFFICE OF THE OHIO CONSUMERS’ COUNSEL</w:t>
      </w:r>
    </w:p>
    <w:p w:rsidR="00D87C91" w:rsidRDefault="00D87C91" w:rsidP="00597056">
      <w:pPr>
        <w:pBdr>
          <w:bottom w:val="single" w:sz="12" w:space="1" w:color="auto"/>
        </w:pBdr>
        <w:tabs>
          <w:tab w:val="left" w:pos="4320"/>
        </w:tabs>
      </w:pPr>
    </w:p>
    <w:p w:rsidR="00D87C91" w:rsidRDefault="00D87C91" w:rsidP="00597056">
      <w:pPr>
        <w:tabs>
          <w:tab w:val="left" w:pos="4320"/>
        </w:tabs>
      </w:pPr>
    </w:p>
    <w:p w:rsidR="00D87C91" w:rsidRPr="00910518" w:rsidRDefault="00D87C91" w:rsidP="00D64F12">
      <w:pPr>
        <w:spacing w:line="480" w:lineRule="auto"/>
        <w:rPr>
          <w:b/>
          <w:bCs/>
        </w:rPr>
      </w:pPr>
      <w:r w:rsidRPr="00910518">
        <w:rPr>
          <w:b/>
          <w:bCs/>
        </w:rPr>
        <w:t xml:space="preserve">I. </w:t>
      </w:r>
      <w:r>
        <w:rPr>
          <w:b/>
          <w:bCs/>
        </w:rPr>
        <w:tab/>
      </w:r>
      <w:r w:rsidRPr="00910518">
        <w:rPr>
          <w:b/>
          <w:bCs/>
        </w:rPr>
        <w:t>INTRODUCTION</w:t>
      </w:r>
      <w:r>
        <w:rPr>
          <w:b/>
          <w:bCs/>
        </w:rPr>
        <w:t>.</w:t>
      </w:r>
    </w:p>
    <w:p w:rsidR="00552B0B" w:rsidRDefault="00D87C91" w:rsidP="00F63469">
      <w:pPr>
        <w:spacing w:line="480" w:lineRule="auto"/>
        <w:ind w:firstLine="720"/>
        <w:sectPr w:rsidR="00552B0B" w:rsidSect="002B0F5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r>
        <w:t xml:space="preserve">Access to information alleged by Duke Energy Ohio, Inc. (“Duke” or “the Utility”) as being confidential trade secret information has been at issue between Duke and the Ohio Consumers’ Counsel (“OCC”) and other Intervenors to this case since the Utility filed its Application on May 29, 2014.  As has been detailed in previous pleadings, OCC has engaged in long and time consuming discussions with the Utility in an attempt to negotiate a protective agreement that would protect the confidentiality of Duke’s information, while at the same time allow OCC access to information that is central to disposition of important issues in the case.  Despite these efforts and the existence of a proposed Protective Agreement that Duke signed with the OCC in its </w:t>
      </w:r>
      <w:r w:rsidR="00B91D26">
        <w:t xml:space="preserve">recent </w:t>
      </w:r>
      <w:r>
        <w:t xml:space="preserve">electric and </w:t>
      </w:r>
    </w:p>
    <w:p w:rsidR="00D87C91" w:rsidRDefault="00D87C91" w:rsidP="00552B0B">
      <w:pPr>
        <w:spacing w:line="480" w:lineRule="auto"/>
      </w:pPr>
      <w:r>
        <w:lastRenderedPageBreak/>
        <w:t>natural gas distribution rate cases</w:t>
      </w:r>
      <w:r w:rsidR="00B91D26">
        <w:t>.</w:t>
      </w:r>
      <w:r>
        <w:rPr>
          <w:rStyle w:val="FootnoteReference"/>
        </w:rPr>
        <w:footnoteReference w:id="1"/>
      </w:r>
      <w:r>
        <w:t xml:space="preserve"> </w:t>
      </w:r>
      <w:r w:rsidR="00B91D26">
        <w:t xml:space="preserve"> </w:t>
      </w:r>
      <w:r>
        <w:t>Duke balked at using that same Protective Agreement.  This impasse lasted until the Attorney Examiner issued an oral ruling on August 12, 2014, that ordered Duke to use the previously agreed upon Protective Agreement with certain modifications.  Duke filed an Interlocutory Appeal of that decision, which the PUCO upheld in its August 27, 2014 Entry.</w:t>
      </w:r>
      <w:r>
        <w:rPr>
          <w:rStyle w:val="FootnoteReference"/>
        </w:rPr>
        <w:footnoteReference w:id="2"/>
      </w:r>
      <w:r>
        <w:t xml:space="preserve">  One aspect of both rulings was that parties to the Protective Agreement could retain Duke’s protected materials beyond the present case.</w:t>
      </w:r>
      <w:r>
        <w:rPr>
          <w:rStyle w:val="FootnoteReference"/>
        </w:rPr>
        <w:footnoteReference w:id="3"/>
      </w:r>
      <w:r>
        <w:t xml:space="preserve">  The PUCO noted that its decision was intended to allow interested parties to “move forward with discovery.”</w:t>
      </w:r>
      <w:r>
        <w:rPr>
          <w:rStyle w:val="FootnoteReference"/>
        </w:rPr>
        <w:footnoteReference w:id="4"/>
      </w:r>
      <w:r>
        <w:t xml:space="preserve"> </w:t>
      </w:r>
    </w:p>
    <w:p w:rsidR="00D87C91" w:rsidRDefault="00D87C91" w:rsidP="003D7BAC">
      <w:pPr>
        <w:spacing w:line="480" w:lineRule="auto"/>
        <w:ind w:firstLine="720"/>
      </w:pPr>
      <w:r>
        <w:t>On September 26, 2014, Duke filed an Application for Rehearing claiming that the PUCO’s Entry was unlawful and unreasonable as it did not protect Duke’s confidential information from being used by the Intervenors in matters outside of these proceedings.</w:t>
      </w:r>
      <w:r>
        <w:rPr>
          <w:rStyle w:val="FootnoteReference"/>
        </w:rPr>
        <w:footnoteReference w:id="5"/>
      </w:r>
      <w:r>
        <w:t xml:space="preserve">  Duke seeks a ruling that would prohibit the use of confidential information in proceedings outside of the case for which the information was produced. </w:t>
      </w:r>
    </w:p>
    <w:p w:rsidR="00D87C91" w:rsidRDefault="00D87C91" w:rsidP="003D7BAC">
      <w:pPr>
        <w:spacing w:line="480" w:lineRule="auto"/>
        <w:ind w:firstLine="720"/>
      </w:pPr>
      <w:r>
        <w:t xml:space="preserve">As a state agency, OCC is uniquely positioned in this dispute.  OCC is bound by state records retention requirements and as such is specifically bound by the terms of the Protective Agreement entered into with Duke in this case. </w:t>
      </w:r>
    </w:p>
    <w:p w:rsidR="00211DE2" w:rsidRDefault="00211DE2" w:rsidP="003D7BAC">
      <w:pPr>
        <w:spacing w:line="480" w:lineRule="auto"/>
        <w:ind w:firstLine="720"/>
      </w:pPr>
    </w:p>
    <w:p w:rsidR="00211DE2" w:rsidRDefault="00211DE2" w:rsidP="003D7BAC">
      <w:pPr>
        <w:spacing w:line="480" w:lineRule="auto"/>
        <w:ind w:firstLine="720"/>
      </w:pPr>
    </w:p>
    <w:p w:rsidR="00D87C91" w:rsidRDefault="00D87C91" w:rsidP="00910518">
      <w:pPr>
        <w:spacing w:line="480" w:lineRule="auto"/>
      </w:pPr>
      <w:r w:rsidRPr="00910518">
        <w:rPr>
          <w:b/>
          <w:bCs/>
        </w:rPr>
        <w:lastRenderedPageBreak/>
        <w:t>II.</w:t>
      </w:r>
      <w:r w:rsidRPr="009A73FD">
        <w:rPr>
          <w:b/>
          <w:bCs/>
        </w:rPr>
        <w:tab/>
      </w:r>
      <w:r w:rsidRPr="00910518">
        <w:rPr>
          <w:b/>
          <w:bCs/>
        </w:rPr>
        <w:t>ARGUMENT</w:t>
      </w:r>
      <w:r>
        <w:t>.</w:t>
      </w:r>
    </w:p>
    <w:p w:rsidR="00D87C91" w:rsidRPr="00101CAB" w:rsidRDefault="00D87C91" w:rsidP="002B0F5B">
      <w:pPr>
        <w:pStyle w:val="ListParagraph"/>
        <w:spacing w:after="240"/>
        <w:ind w:left="1440" w:right="720" w:hanging="720"/>
        <w:rPr>
          <w:b/>
        </w:rPr>
      </w:pPr>
      <w:r>
        <w:rPr>
          <w:b/>
        </w:rPr>
        <w:t>A.</w:t>
      </w:r>
      <w:r>
        <w:rPr>
          <w:b/>
        </w:rPr>
        <w:tab/>
      </w:r>
      <w:r w:rsidRPr="00101CAB">
        <w:rPr>
          <w:b/>
        </w:rPr>
        <w:t xml:space="preserve">Any Confidential Documents Retained By The OCC Are Adequately Protected By The Terms Of Then Protective Agreement. </w:t>
      </w:r>
    </w:p>
    <w:p w:rsidR="00D87C91" w:rsidRDefault="00D87C91" w:rsidP="00D64F12">
      <w:pPr>
        <w:spacing w:line="480" w:lineRule="auto"/>
        <w:ind w:firstLine="720"/>
      </w:pPr>
      <w:r>
        <w:t>In its first assignment of error, Duke alleged that “[t]he Commission Entry fails to address whether confidential information may be used in cases other than the one in which the information was provided.”</w:t>
      </w:r>
      <w:r>
        <w:rPr>
          <w:rStyle w:val="FootnoteReference"/>
        </w:rPr>
        <w:footnoteReference w:id="6"/>
      </w:r>
      <w:r>
        <w:t xml:space="preserve">  The protective agreement executed in this proceeding specifically allows OCC to keep “one copy of each document designated as Protected Material * * * and one copy of all testimony, cross-examination, transcripts, briefs and work product pertaining to such information.”</w:t>
      </w:r>
      <w:r>
        <w:rPr>
          <w:rStyle w:val="FootnoteReference"/>
        </w:rPr>
        <w:footnoteReference w:id="7"/>
      </w:r>
      <w:r>
        <w:t xml:space="preserve"> </w:t>
      </w:r>
      <w:r w:rsidR="00B91D26">
        <w:t xml:space="preserve"> </w:t>
      </w:r>
      <w:r>
        <w:t xml:space="preserve">Duke’s argument presumes that any protected materials that OCC retains per its records retention requirements will be used at some time in the future in a different proceeding.  However, OCC has not used any Duke protected materials in such a manner in the past.  Furthermore, Duke makes no allegation that OCC has ever attempted to use any information in such a manner.  Thus, Duke’s argument addresses a situation that has not arisen and is not ripe for review by the PUCO.  </w:t>
      </w:r>
    </w:p>
    <w:p w:rsidR="00D87C91" w:rsidRDefault="00D87C91" w:rsidP="00DB147F">
      <w:pPr>
        <w:spacing w:line="480" w:lineRule="auto"/>
        <w:ind w:firstLine="720"/>
      </w:pPr>
      <w:r>
        <w:t xml:space="preserve">Although the Protective Agreement does not specify the purpose for the retention of protected materials, the Protective Agreement continues to provide for the protection of protected materials after termination of the current proceedings.   Under paragraph 4 of the Protective Agreement, OCC is authorized to use the protected material in a manner that does not disclose the material.  Furthermore, paragraph 16 of the Protective Agreement entitles OCC to retain one copy of documents containing confidential information after complying with the records retention schedule.  Thus at all times, protected materials are adequately protected from unauthorized disclosure. </w:t>
      </w:r>
    </w:p>
    <w:p w:rsidR="00D87C91" w:rsidRDefault="00D87C91" w:rsidP="00DB147F">
      <w:pPr>
        <w:spacing w:line="480" w:lineRule="auto"/>
        <w:ind w:firstLine="720"/>
      </w:pPr>
      <w:r>
        <w:t>Any question of protected materials being used in any future proceedings is an issue better addressed at that point in time when the matter is ripe for review.  Such circumstances are not ripe now, and as a creature of statute</w:t>
      </w:r>
      <w:r>
        <w:rPr>
          <w:rStyle w:val="FootnoteReference"/>
        </w:rPr>
        <w:footnoteReference w:id="8"/>
      </w:r>
      <w:r>
        <w:t xml:space="preserve"> the PUCO is precluded from addressing matters not ripe for review at this time.</w:t>
      </w:r>
      <w:r>
        <w:rPr>
          <w:rStyle w:val="FootnoteReference"/>
        </w:rPr>
        <w:footnoteReference w:id="9"/>
      </w:r>
      <w:r>
        <w:t xml:space="preserve">  For the purpose of this case, the Protective Agreement between OCC and Duke affords the protected materials with adequate protection from disclosure.  What may or may not occur in the future is a matter that should be determined at such time the circumstances are presented to the PUCO. </w:t>
      </w:r>
    </w:p>
    <w:p w:rsidR="00D87C91" w:rsidRDefault="00D87C91" w:rsidP="00CF1F12">
      <w:pPr>
        <w:spacing w:line="480" w:lineRule="auto"/>
        <w:ind w:firstLine="720"/>
      </w:pPr>
      <w:r>
        <w:t>As the PUCO stated in its Entry, OCC’s Protective Agreement ensures that confidential information is not disclosed and that such information is protected under the protective agreement, even after the proceedings have ended.</w:t>
      </w:r>
      <w:r>
        <w:rPr>
          <w:rStyle w:val="FootnoteReference"/>
        </w:rPr>
        <w:footnoteReference w:id="10"/>
      </w:r>
      <w:r>
        <w:t xml:space="preserve">  There is no risk of confidential information being treated as publicly available information at any point in its retention by OCC.  Therefore, the PUCO should deny Duke’s Application for Rehearing leaving OCC’s Protective Agreement in place.  The PUCO should find instead that its Entry, requiring the adoption of OCC’s protective agreement, is lawful and reasonable. </w:t>
      </w:r>
    </w:p>
    <w:p w:rsidR="00D87C91" w:rsidRPr="009256BD" w:rsidRDefault="00D87C91" w:rsidP="0018708B">
      <w:pPr>
        <w:pStyle w:val="ListParagraph"/>
        <w:ind w:left="1440" w:right="720" w:hanging="720"/>
        <w:rPr>
          <w:b/>
          <w:szCs w:val="24"/>
        </w:rPr>
      </w:pPr>
      <w:r>
        <w:rPr>
          <w:b/>
          <w:szCs w:val="24"/>
        </w:rPr>
        <w:t>B.</w:t>
      </w:r>
      <w:r>
        <w:rPr>
          <w:b/>
          <w:szCs w:val="24"/>
        </w:rPr>
        <w:tab/>
      </w:r>
      <w:r w:rsidRPr="009256BD">
        <w:rPr>
          <w:b/>
          <w:szCs w:val="24"/>
        </w:rPr>
        <w:t xml:space="preserve">The Commission’s Entry Does Not Conflict </w:t>
      </w:r>
      <w:r>
        <w:rPr>
          <w:b/>
          <w:szCs w:val="24"/>
        </w:rPr>
        <w:t xml:space="preserve">With The Law, Precedent Or Treatise. </w:t>
      </w:r>
    </w:p>
    <w:p w:rsidR="00D87C91" w:rsidRDefault="00D87C91" w:rsidP="006D2693">
      <w:pPr>
        <w:ind w:left="720"/>
        <w:rPr>
          <w:szCs w:val="24"/>
        </w:rPr>
      </w:pPr>
    </w:p>
    <w:p w:rsidR="00D87C91" w:rsidRDefault="00D87C91" w:rsidP="006D2693">
      <w:pPr>
        <w:spacing w:line="480" w:lineRule="auto"/>
        <w:rPr>
          <w:szCs w:val="24"/>
        </w:rPr>
      </w:pPr>
      <w:r>
        <w:rPr>
          <w:szCs w:val="24"/>
        </w:rPr>
        <w:tab/>
        <w:t xml:space="preserve">In its </w:t>
      </w:r>
      <w:r w:rsidR="00910518">
        <w:rPr>
          <w:szCs w:val="24"/>
        </w:rPr>
        <w:t>Interlocutory Appeal</w:t>
      </w:r>
      <w:r>
        <w:rPr>
          <w:szCs w:val="24"/>
        </w:rPr>
        <w:t>, Duke cites civil cases, both state and federal, along with treatises to support its position that the PUCO’s Entry allowing for the retention of confidential information by OCC is inconsistent with precedent.</w:t>
      </w:r>
      <w:r>
        <w:rPr>
          <w:rStyle w:val="FootnoteReference"/>
          <w:szCs w:val="24"/>
        </w:rPr>
        <w:footnoteReference w:id="11"/>
      </w:r>
      <w:r>
        <w:rPr>
          <w:szCs w:val="24"/>
        </w:rPr>
        <w:t xml:space="preserve">  As OCC previously stated in its Memorandum Contra Duke’s Interlocutory Appeal, many of the cases cited are derived from civil litigation and are not binding authority for the PUCO.</w:t>
      </w:r>
      <w:r>
        <w:rPr>
          <w:rStyle w:val="FootnoteReference"/>
        </w:rPr>
        <w:footnoteReference w:id="12"/>
      </w:r>
      <w:r>
        <w:rPr>
          <w:szCs w:val="24"/>
        </w:rPr>
        <w:t xml:space="preserve"> </w:t>
      </w:r>
    </w:p>
    <w:p w:rsidR="00D87C91" w:rsidRDefault="00D87C91" w:rsidP="006D2693">
      <w:pPr>
        <w:spacing w:line="480" w:lineRule="auto"/>
        <w:ind w:firstLine="720"/>
        <w:rPr>
          <w:szCs w:val="24"/>
        </w:rPr>
      </w:pPr>
      <w:r>
        <w:rPr>
          <w:szCs w:val="24"/>
        </w:rPr>
        <w:t>Moreover, the civil cases cited by Duke involve a judge ruling that confidential information cannot be used in subsequent proceedings.  But in those cases, the judge was simply enforcing the language of the contract between the parties -- the protective agreement in those cases.</w:t>
      </w:r>
      <w:r>
        <w:rPr>
          <w:rStyle w:val="FootnoteReference"/>
        </w:rPr>
        <w:footnoteReference w:id="13"/>
      </w:r>
      <w:r>
        <w:rPr>
          <w:szCs w:val="24"/>
        </w:rPr>
        <w:t xml:space="preserve">  Thus in those cases, the precedent is that the protective agreement between the parties should be followed.  It was not a matter of policy or precedent that information, in and of itself, could not be used in future proceedings.  Instead, because the protective agreements that the parties agreed to in those cases, explicitly prohibited the subsequent use of confidential information, the court was merely enforcing the terms of those protective agreements. </w:t>
      </w:r>
    </w:p>
    <w:p w:rsidR="00D87C91" w:rsidRDefault="00D87C91" w:rsidP="006D2693">
      <w:pPr>
        <w:spacing w:line="480" w:lineRule="auto"/>
        <w:ind w:firstLine="720"/>
      </w:pPr>
      <w:r>
        <w:rPr>
          <w:szCs w:val="24"/>
        </w:rPr>
        <w:t>Here, the language of the Protective Agreement between the parties allows for OCC’s retention of confidential information.</w:t>
      </w:r>
      <w:r>
        <w:rPr>
          <w:rStyle w:val="FootnoteReference"/>
        </w:rPr>
        <w:footnoteReference w:id="14"/>
      </w:r>
      <w:r>
        <w:rPr>
          <w:szCs w:val="24"/>
        </w:rPr>
        <w:t xml:space="preserve">  In fact, the PUCO precedent cited by Duke in its Interlocutory Appeal has allowed OCC to retain one copy of the protected materials provided by the Utility.</w:t>
      </w:r>
      <w:r>
        <w:rPr>
          <w:rStyle w:val="FootnoteReference"/>
        </w:rPr>
        <w:footnoteReference w:id="15"/>
      </w:r>
      <w:r>
        <w:rPr>
          <w:szCs w:val="24"/>
        </w:rPr>
        <w:t xml:space="preserve">  Finally, retention of any protected materials by OCC does not automatically result in the disclosure of the information in a subsequent case.  Duke’s argument does not apply and the PUCO should deny Duke’s rehearing.</w:t>
      </w:r>
    </w:p>
    <w:p w:rsidR="00D87C91" w:rsidRPr="001633BE" w:rsidRDefault="002B0F5B" w:rsidP="0018708B">
      <w:pPr>
        <w:spacing w:after="240"/>
        <w:ind w:left="1440" w:right="720" w:hanging="720"/>
        <w:rPr>
          <w:b/>
          <w:szCs w:val="24"/>
        </w:rPr>
      </w:pPr>
      <w:r>
        <w:rPr>
          <w:b/>
          <w:szCs w:val="24"/>
        </w:rPr>
        <w:br w:type="page"/>
      </w:r>
      <w:r w:rsidR="00D87C91">
        <w:rPr>
          <w:b/>
          <w:szCs w:val="24"/>
        </w:rPr>
        <w:t>C.</w:t>
      </w:r>
      <w:r w:rsidR="00D87C91">
        <w:rPr>
          <w:b/>
          <w:szCs w:val="24"/>
        </w:rPr>
        <w:tab/>
      </w:r>
      <w:r w:rsidR="00D87C91" w:rsidRPr="001633BE">
        <w:rPr>
          <w:b/>
          <w:szCs w:val="24"/>
        </w:rPr>
        <w:t xml:space="preserve">The PUCO’s Entry Properly Resolves The Issues Raised </w:t>
      </w:r>
      <w:r w:rsidR="0018708B">
        <w:rPr>
          <w:b/>
          <w:szCs w:val="24"/>
        </w:rPr>
        <w:t>I</w:t>
      </w:r>
      <w:r w:rsidR="00D87C91" w:rsidRPr="001633BE">
        <w:rPr>
          <w:b/>
          <w:szCs w:val="24"/>
        </w:rPr>
        <w:t>n Duke’s Interlocutory Appeal.</w:t>
      </w:r>
    </w:p>
    <w:p w:rsidR="00D87C91" w:rsidRDefault="00D87C91" w:rsidP="00552104">
      <w:pPr>
        <w:spacing w:line="480" w:lineRule="auto"/>
        <w:rPr>
          <w:szCs w:val="24"/>
        </w:rPr>
      </w:pPr>
      <w:r>
        <w:rPr>
          <w:szCs w:val="24"/>
        </w:rPr>
        <w:tab/>
        <w:t>In its third assignment of error, Duke asserted that “[t]he Commission’s Entry modifies aspects of the examiner’s ruling that were not at issue in the Interlocutory Appeal.”</w:t>
      </w:r>
      <w:r>
        <w:rPr>
          <w:rStyle w:val="FootnoteReference"/>
        </w:rPr>
        <w:footnoteReference w:id="16"/>
      </w:r>
      <w:r>
        <w:rPr>
          <w:szCs w:val="24"/>
        </w:rPr>
        <w:t xml:space="preserve">  In particular, the Entry required Duke to adopt OCC’s version of the protective agreement, which Duke alleges was not an issue raised in the appeal. </w:t>
      </w:r>
      <w:r>
        <w:rPr>
          <w:rStyle w:val="FootnoteReference"/>
        </w:rPr>
        <w:footnoteReference w:id="17"/>
      </w:r>
      <w:r>
        <w:rPr>
          <w:szCs w:val="24"/>
        </w:rPr>
        <w:t xml:space="preserve"> But the Protective Agreement between OCC and Duke is what controls the treatment of protected materials at issue in these proceedings.  By requiring Duke to adopt OCC’s Protective Agreement, the PUCO decided the issues presented by Duke in its Interlocutory Appeal. </w:t>
      </w:r>
    </w:p>
    <w:p w:rsidR="00D87C91" w:rsidRDefault="00D87C91" w:rsidP="00CB36C4">
      <w:pPr>
        <w:spacing w:line="480" w:lineRule="auto"/>
        <w:rPr>
          <w:szCs w:val="24"/>
        </w:rPr>
      </w:pPr>
      <w:r>
        <w:rPr>
          <w:szCs w:val="24"/>
        </w:rPr>
        <w:tab/>
        <w:t>Moreover, the Attorney Examiner’s oral ruling on August 12, 2014 allowed Duke to implement the Utility’s draft protective agreement provided that it conformed with the Attorney Examiner’s ruling requiring less restrictive terms for retention and subsequent use of the protected materials.</w:t>
      </w:r>
      <w:r>
        <w:rPr>
          <w:rStyle w:val="FootnoteReference"/>
          <w:szCs w:val="24"/>
        </w:rPr>
        <w:footnoteReference w:id="18"/>
      </w:r>
      <w:r>
        <w:rPr>
          <w:szCs w:val="24"/>
        </w:rPr>
        <w:t xml:space="preserve">  Duke failed to negotiate a protective agreement consistent with the Attorney Examiner’s ruling, but instead raised these issues in its appeal.  In deciding the issues, the PUCO was presented a choice between protective agreements </w:t>
      </w:r>
      <w:r w:rsidR="00211DE2">
        <w:rPr>
          <w:szCs w:val="24"/>
        </w:rPr>
        <w:t>--</w:t>
      </w:r>
      <w:r>
        <w:rPr>
          <w:szCs w:val="24"/>
        </w:rPr>
        <w:t xml:space="preserve"> Duke’s and OCC’s -- to govern access to protected materials.  The PUCO held that Duke’s proposed protective agreement was more restrictive in nature and deemed inconsistent with the Attorney Examiner’s rulings.</w:t>
      </w:r>
      <w:r>
        <w:rPr>
          <w:rStyle w:val="FootnoteReference"/>
          <w:szCs w:val="24"/>
        </w:rPr>
        <w:footnoteReference w:id="19"/>
      </w:r>
      <w:r>
        <w:rPr>
          <w:szCs w:val="24"/>
        </w:rPr>
        <w:t xml:space="preserve">  While OCC’s proposed protective agreement had been used for many years prior and in many cases between OCC and Duke.  Therefore, it was within the PUCO’s authority and discretion</w:t>
      </w:r>
      <w:r>
        <w:rPr>
          <w:rStyle w:val="FootnoteReference"/>
          <w:szCs w:val="24"/>
        </w:rPr>
        <w:footnoteReference w:id="20"/>
      </w:r>
      <w:r>
        <w:rPr>
          <w:szCs w:val="24"/>
        </w:rPr>
        <w:t xml:space="preserve"> to choose the Protective Agreement proposed by the OCC which allows retention and subsequent use of the material.  Duke’s claim is misplaced and the PUCO should deny the Rehearing.  </w:t>
      </w:r>
    </w:p>
    <w:p w:rsidR="002B0F5B" w:rsidRDefault="002B0F5B" w:rsidP="002B0F5B">
      <w:pPr>
        <w:rPr>
          <w:szCs w:val="24"/>
        </w:rPr>
      </w:pPr>
    </w:p>
    <w:p w:rsidR="00D87C91" w:rsidRPr="00910518" w:rsidRDefault="00D87C91" w:rsidP="00CB36C4">
      <w:pPr>
        <w:spacing w:line="480" w:lineRule="auto"/>
        <w:rPr>
          <w:b/>
          <w:bCs/>
          <w:szCs w:val="24"/>
        </w:rPr>
      </w:pPr>
      <w:r w:rsidRPr="00910518">
        <w:rPr>
          <w:b/>
          <w:bCs/>
          <w:szCs w:val="24"/>
        </w:rPr>
        <w:t>III.</w:t>
      </w:r>
      <w:r w:rsidRPr="009A73FD">
        <w:rPr>
          <w:b/>
          <w:bCs/>
          <w:szCs w:val="24"/>
        </w:rPr>
        <w:tab/>
      </w:r>
      <w:r w:rsidRPr="00910518">
        <w:rPr>
          <w:b/>
          <w:bCs/>
          <w:szCs w:val="24"/>
        </w:rPr>
        <w:t>CONCLUSION.</w:t>
      </w:r>
    </w:p>
    <w:p w:rsidR="00D87C91" w:rsidRDefault="00D87C91" w:rsidP="00BC3F3D">
      <w:pPr>
        <w:spacing w:line="480" w:lineRule="auto"/>
      </w:pPr>
      <w:r>
        <w:tab/>
        <w:t xml:space="preserve">The Protective Agreement that the PUCO ordered interested parties to use in this proceeding appropriately protects the confidentiality of protected materials in the future.  The protected materials cannot be disclosed during any future period of retention.  Duke’s concerns that such materials may be used in a future period are unfounded and not ripe for PUCO determination in this proceeding.  Therefore, the PUCO’s Entry should be upheld and Duke’s Application for Rehearing should be denied.  </w:t>
      </w:r>
    </w:p>
    <w:p w:rsidR="00D87C91" w:rsidRDefault="00D87C91" w:rsidP="00A628F2">
      <w:pPr>
        <w:pStyle w:val="msolistparagraph0"/>
        <w:spacing w:beforeAutospacing="0" w:after="240" w:afterAutospacing="0" w:line="480" w:lineRule="auto"/>
        <w:ind w:left="3600" w:right="187" w:firstLine="720"/>
      </w:pPr>
      <w:r>
        <w:t>Respectfully submitted,</w:t>
      </w:r>
    </w:p>
    <w:p w:rsidR="00D87C91" w:rsidRDefault="00D87C91" w:rsidP="00A628F2">
      <w:pPr>
        <w:tabs>
          <w:tab w:val="left" w:pos="4320"/>
        </w:tabs>
        <w:spacing w:before="240"/>
        <w:rPr>
          <w:szCs w:val="24"/>
        </w:rPr>
      </w:pPr>
      <w:r>
        <w:rPr>
          <w:szCs w:val="24"/>
        </w:rPr>
        <w:tab/>
        <w:t>BRUCE J. WESTON</w:t>
      </w:r>
    </w:p>
    <w:p w:rsidR="00D87C91" w:rsidRDefault="00D87C91" w:rsidP="00A628F2">
      <w:pPr>
        <w:tabs>
          <w:tab w:val="left" w:pos="4320"/>
        </w:tabs>
        <w:rPr>
          <w:szCs w:val="24"/>
        </w:rPr>
      </w:pPr>
      <w:r>
        <w:rPr>
          <w:szCs w:val="24"/>
        </w:rPr>
        <w:tab/>
        <w:t>OHIO CONSUMERS’ COUNSEL</w:t>
      </w:r>
    </w:p>
    <w:p w:rsidR="00D87C91" w:rsidRDefault="00D87C91" w:rsidP="00A628F2">
      <w:pPr>
        <w:tabs>
          <w:tab w:val="left" w:pos="4320"/>
        </w:tabs>
        <w:rPr>
          <w:szCs w:val="24"/>
        </w:rPr>
      </w:pPr>
      <w:r>
        <w:rPr>
          <w:szCs w:val="24"/>
        </w:rPr>
        <w:tab/>
      </w:r>
    </w:p>
    <w:p w:rsidR="00D87C91" w:rsidRDefault="00D87C91" w:rsidP="00A628F2">
      <w:pPr>
        <w:tabs>
          <w:tab w:val="left" w:pos="4320"/>
        </w:tabs>
        <w:rPr>
          <w:i/>
          <w:szCs w:val="24"/>
          <w:u w:val="single"/>
        </w:rPr>
      </w:pPr>
      <w:r>
        <w:rPr>
          <w:szCs w:val="24"/>
        </w:rPr>
        <w:tab/>
      </w:r>
      <w:r w:rsidR="002B0F5B">
        <w:rPr>
          <w:i/>
          <w:szCs w:val="24"/>
          <w:u w:val="single"/>
        </w:rPr>
        <w:t>/s/ Joseph P. Serio</w:t>
      </w:r>
      <w:r>
        <w:rPr>
          <w:i/>
          <w:szCs w:val="24"/>
          <w:u w:val="single"/>
        </w:rPr>
        <w:tab/>
      </w:r>
      <w:r>
        <w:rPr>
          <w:i/>
          <w:szCs w:val="24"/>
          <w:u w:val="single"/>
        </w:rPr>
        <w:tab/>
      </w:r>
      <w:r>
        <w:rPr>
          <w:i/>
          <w:szCs w:val="24"/>
          <w:u w:val="single"/>
        </w:rPr>
        <w:tab/>
      </w:r>
    </w:p>
    <w:p w:rsidR="00D87C91" w:rsidRDefault="00D87C91" w:rsidP="00A628F2">
      <w:pPr>
        <w:tabs>
          <w:tab w:val="left" w:pos="4320"/>
        </w:tabs>
        <w:rPr>
          <w:szCs w:val="24"/>
        </w:rPr>
      </w:pPr>
      <w:r>
        <w:rPr>
          <w:szCs w:val="24"/>
        </w:rPr>
        <w:tab/>
        <w:t>Maureen R. Grady, Counsel of Record</w:t>
      </w:r>
    </w:p>
    <w:p w:rsidR="00D87C91" w:rsidRDefault="00D87C91" w:rsidP="00A628F2">
      <w:pPr>
        <w:tabs>
          <w:tab w:val="left" w:pos="4320"/>
        </w:tabs>
        <w:rPr>
          <w:szCs w:val="24"/>
        </w:rPr>
      </w:pPr>
      <w:r>
        <w:rPr>
          <w:szCs w:val="24"/>
        </w:rPr>
        <w:tab/>
        <w:t>Joseph P. Serio</w:t>
      </w:r>
    </w:p>
    <w:p w:rsidR="00D87C91" w:rsidRDefault="00D87C91" w:rsidP="00A628F2">
      <w:pPr>
        <w:tabs>
          <w:tab w:val="left" w:pos="4320"/>
        </w:tabs>
        <w:rPr>
          <w:szCs w:val="24"/>
        </w:rPr>
      </w:pPr>
      <w:r>
        <w:rPr>
          <w:szCs w:val="24"/>
        </w:rPr>
        <w:tab/>
        <w:t>Edmund “Tad” Berger</w:t>
      </w:r>
    </w:p>
    <w:p w:rsidR="00D87C91" w:rsidRDefault="00D87C91" w:rsidP="00A628F2">
      <w:pPr>
        <w:tabs>
          <w:tab w:val="left" w:pos="4320"/>
        </w:tabs>
        <w:rPr>
          <w:szCs w:val="24"/>
        </w:rPr>
      </w:pPr>
      <w:r>
        <w:rPr>
          <w:szCs w:val="24"/>
        </w:rPr>
        <w:tab/>
        <w:t>Assistant Consumers’ Counsel</w:t>
      </w:r>
    </w:p>
    <w:p w:rsidR="00D87C91" w:rsidRDefault="00D87C91" w:rsidP="00A628F2">
      <w:pPr>
        <w:keepNext/>
        <w:ind w:left="3240" w:right="-648" w:firstLine="720"/>
        <w:outlineLvl w:val="0"/>
        <w:rPr>
          <w:b/>
          <w:szCs w:val="24"/>
        </w:rPr>
      </w:pPr>
      <w:r>
        <w:rPr>
          <w:b/>
          <w:szCs w:val="24"/>
        </w:rPr>
        <w:tab/>
      </w:r>
    </w:p>
    <w:p w:rsidR="00D87C91" w:rsidRDefault="00D87C91" w:rsidP="00A628F2">
      <w:pPr>
        <w:keepNext/>
        <w:ind w:left="3240" w:right="-648" w:firstLine="720"/>
        <w:outlineLvl w:val="0"/>
        <w:rPr>
          <w:b/>
          <w:szCs w:val="24"/>
        </w:rPr>
      </w:pPr>
      <w:r>
        <w:rPr>
          <w:b/>
          <w:szCs w:val="24"/>
        </w:rPr>
        <w:tab/>
        <w:t>Office of the Ohio Consumers’ Counsel</w:t>
      </w:r>
    </w:p>
    <w:p w:rsidR="00D87C91" w:rsidRDefault="00D87C91" w:rsidP="00A628F2">
      <w:pPr>
        <w:keepNext/>
        <w:ind w:left="3240" w:right="-648" w:firstLine="720"/>
        <w:outlineLvl w:val="0"/>
        <w:rPr>
          <w:szCs w:val="24"/>
        </w:rPr>
      </w:pPr>
      <w:r>
        <w:rPr>
          <w:szCs w:val="24"/>
        </w:rPr>
        <w:tab/>
        <w:t>10 West Broad Street, Suite 1800</w:t>
      </w:r>
    </w:p>
    <w:p w:rsidR="00D87C91" w:rsidRDefault="00D87C91" w:rsidP="00A628F2">
      <w:pPr>
        <w:keepNext/>
        <w:ind w:left="3240" w:right="-648" w:firstLine="720"/>
        <w:outlineLvl w:val="0"/>
        <w:rPr>
          <w:szCs w:val="24"/>
        </w:rPr>
      </w:pPr>
      <w:r>
        <w:rPr>
          <w:szCs w:val="24"/>
        </w:rPr>
        <w:tab/>
        <w:t>Columbus, Ohio 43215-3485</w:t>
      </w:r>
    </w:p>
    <w:p w:rsidR="00D87C91" w:rsidRDefault="00D87C91" w:rsidP="00A628F2">
      <w:pPr>
        <w:autoSpaceDE w:val="0"/>
        <w:autoSpaceDN w:val="0"/>
        <w:adjustRightInd w:val="0"/>
        <w:ind w:left="3600" w:firstLine="720"/>
        <w:rPr>
          <w:szCs w:val="24"/>
        </w:rPr>
      </w:pPr>
      <w:r>
        <w:rPr>
          <w:szCs w:val="24"/>
        </w:rPr>
        <w:t>Telephone: (Grady) (614) 466-9567</w:t>
      </w:r>
    </w:p>
    <w:p w:rsidR="00D87C91" w:rsidRDefault="00D87C91" w:rsidP="00A628F2">
      <w:pPr>
        <w:autoSpaceDE w:val="0"/>
        <w:autoSpaceDN w:val="0"/>
        <w:adjustRightInd w:val="0"/>
        <w:ind w:left="3600" w:firstLine="720"/>
        <w:rPr>
          <w:szCs w:val="24"/>
        </w:rPr>
      </w:pPr>
      <w:r>
        <w:rPr>
          <w:szCs w:val="24"/>
        </w:rPr>
        <w:t>Telephone: (Serio) (614) 466-9565</w:t>
      </w:r>
    </w:p>
    <w:p w:rsidR="00D87C91" w:rsidRDefault="00D87C91" w:rsidP="00A628F2">
      <w:pPr>
        <w:autoSpaceDE w:val="0"/>
        <w:autoSpaceDN w:val="0"/>
        <w:adjustRightInd w:val="0"/>
        <w:ind w:left="3600" w:firstLine="720"/>
        <w:rPr>
          <w:szCs w:val="24"/>
        </w:rPr>
      </w:pPr>
      <w:r>
        <w:rPr>
          <w:szCs w:val="24"/>
        </w:rPr>
        <w:t>Telephone: (Berger) (614) 466-1292</w:t>
      </w:r>
    </w:p>
    <w:p w:rsidR="00D87C91" w:rsidRDefault="00294E1B" w:rsidP="00A628F2">
      <w:pPr>
        <w:autoSpaceDE w:val="0"/>
        <w:autoSpaceDN w:val="0"/>
        <w:adjustRightInd w:val="0"/>
        <w:ind w:left="3600" w:firstLine="720"/>
        <w:rPr>
          <w:szCs w:val="24"/>
        </w:rPr>
      </w:pPr>
      <w:hyperlink r:id="rId14" w:history="1">
        <w:r w:rsidR="00D87C91" w:rsidRPr="002A0992">
          <w:rPr>
            <w:rStyle w:val="Hyperlink"/>
            <w:szCs w:val="24"/>
          </w:rPr>
          <w:t>Maureen.Grady@occ.ohio.gov</w:t>
        </w:r>
      </w:hyperlink>
      <w:r w:rsidR="00D87C91">
        <w:rPr>
          <w:szCs w:val="24"/>
        </w:rPr>
        <w:t xml:space="preserve"> </w:t>
      </w:r>
    </w:p>
    <w:p w:rsidR="00D87C91" w:rsidRDefault="00D87C91" w:rsidP="00A628F2">
      <w:pPr>
        <w:rPr>
          <w:color w:val="0000FF"/>
          <w:szCs w:val="24"/>
        </w:rPr>
      </w:pPr>
      <w:r>
        <w:rPr>
          <w:szCs w:val="24"/>
        </w:rPr>
        <w:tab/>
      </w:r>
      <w:r>
        <w:rPr>
          <w:szCs w:val="24"/>
        </w:rPr>
        <w:tab/>
      </w:r>
      <w:r>
        <w:rPr>
          <w:szCs w:val="24"/>
        </w:rPr>
        <w:tab/>
      </w:r>
      <w:r>
        <w:rPr>
          <w:szCs w:val="24"/>
        </w:rPr>
        <w:tab/>
      </w:r>
      <w:r>
        <w:rPr>
          <w:szCs w:val="24"/>
        </w:rPr>
        <w:tab/>
      </w:r>
      <w:r>
        <w:rPr>
          <w:szCs w:val="24"/>
        </w:rPr>
        <w:tab/>
      </w:r>
      <w:hyperlink r:id="rId15" w:history="1">
        <w:r w:rsidRPr="002A0992">
          <w:rPr>
            <w:rStyle w:val="Hyperlink"/>
            <w:szCs w:val="24"/>
          </w:rPr>
          <w:t>Joseph.Serio@occ.ohio.gov</w:t>
        </w:r>
      </w:hyperlink>
    </w:p>
    <w:p w:rsidR="00D87C91" w:rsidRDefault="00D87C91" w:rsidP="007113E9">
      <w:pPr>
        <w:rPr>
          <w:color w:val="0000FF"/>
          <w:szCs w:val="24"/>
        </w:rPr>
      </w:pPr>
      <w:r>
        <w:rPr>
          <w:color w:val="0000FF"/>
          <w:szCs w:val="24"/>
        </w:rPr>
        <w:tab/>
      </w:r>
      <w:r>
        <w:rPr>
          <w:color w:val="0000FF"/>
          <w:szCs w:val="24"/>
        </w:rPr>
        <w:tab/>
      </w:r>
      <w:r>
        <w:rPr>
          <w:color w:val="0000FF"/>
          <w:szCs w:val="24"/>
        </w:rPr>
        <w:tab/>
      </w:r>
      <w:r>
        <w:rPr>
          <w:color w:val="0000FF"/>
          <w:szCs w:val="24"/>
        </w:rPr>
        <w:tab/>
      </w:r>
      <w:r>
        <w:rPr>
          <w:color w:val="0000FF"/>
          <w:szCs w:val="24"/>
        </w:rPr>
        <w:tab/>
      </w:r>
      <w:r>
        <w:rPr>
          <w:color w:val="0000FF"/>
          <w:szCs w:val="24"/>
        </w:rPr>
        <w:tab/>
      </w:r>
      <w:hyperlink r:id="rId16" w:history="1">
        <w:r w:rsidRPr="002A0992">
          <w:rPr>
            <w:rStyle w:val="Hyperlink"/>
            <w:szCs w:val="24"/>
          </w:rPr>
          <w:t>Edmund.Berger@occ.ohio.gov</w:t>
        </w:r>
      </w:hyperlink>
      <w:r>
        <w:rPr>
          <w:color w:val="0000FF"/>
          <w:szCs w:val="24"/>
        </w:rPr>
        <w:t xml:space="preserve"> </w:t>
      </w:r>
    </w:p>
    <w:p w:rsidR="00BB73AB" w:rsidRPr="00BB73AB" w:rsidRDefault="00BB73AB" w:rsidP="00BB73AB">
      <w:pPr>
        <w:pStyle w:val="Footer"/>
        <w:ind w:left="4320"/>
        <w:rPr>
          <w:szCs w:val="24"/>
        </w:rPr>
      </w:pPr>
      <w:r>
        <w:rPr>
          <w:color w:val="0000FF"/>
          <w:szCs w:val="24"/>
        </w:rPr>
        <w:br w:type="page"/>
      </w:r>
      <w:r w:rsidRPr="00BB73AB">
        <w:rPr>
          <w:szCs w:val="24"/>
        </w:rPr>
        <w:t>Dane Stinson</w:t>
      </w:r>
    </w:p>
    <w:p w:rsidR="00BB73AB" w:rsidRPr="00BB73AB" w:rsidRDefault="00BB73AB" w:rsidP="00BB73AB">
      <w:pPr>
        <w:tabs>
          <w:tab w:val="center" w:pos="4680"/>
          <w:tab w:val="right" w:pos="9360"/>
        </w:tabs>
        <w:ind w:left="4320"/>
        <w:rPr>
          <w:szCs w:val="24"/>
        </w:rPr>
      </w:pPr>
      <w:r w:rsidRPr="00BB73AB">
        <w:rPr>
          <w:szCs w:val="24"/>
        </w:rPr>
        <w:t>Dylan F. Borchers</w:t>
      </w:r>
    </w:p>
    <w:p w:rsidR="00BB73AB" w:rsidRPr="00BB73AB" w:rsidRDefault="00BB73AB" w:rsidP="00BB73AB">
      <w:pPr>
        <w:tabs>
          <w:tab w:val="left" w:pos="4320"/>
          <w:tab w:val="center" w:pos="4680"/>
          <w:tab w:val="right" w:pos="9360"/>
        </w:tabs>
        <w:ind w:left="4320"/>
        <w:rPr>
          <w:szCs w:val="24"/>
        </w:rPr>
      </w:pPr>
      <w:r w:rsidRPr="00BB73AB">
        <w:rPr>
          <w:szCs w:val="24"/>
        </w:rPr>
        <w:t>Bricker &amp; Eckler LLP</w:t>
      </w:r>
    </w:p>
    <w:p w:rsidR="00BB73AB" w:rsidRPr="00BB73AB" w:rsidRDefault="00BB73AB" w:rsidP="00BB73AB">
      <w:pPr>
        <w:tabs>
          <w:tab w:val="left" w:pos="4320"/>
          <w:tab w:val="center" w:pos="4680"/>
          <w:tab w:val="right" w:pos="9360"/>
        </w:tabs>
        <w:ind w:left="4320"/>
        <w:rPr>
          <w:szCs w:val="24"/>
        </w:rPr>
      </w:pPr>
      <w:r w:rsidRPr="00BB73AB">
        <w:rPr>
          <w:szCs w:val="24"/>
        </w:rPr>
        <w:t>100 S. Third St.</w:t>
      </w:r>
    </w:p>
    <w:p w:rsidR="00BB73AB" w:rsidRPr="00BB73AB" w:rsidRDefault="00BB73AB" w:rsidP="00BB73AB">
      <w:pPr>
        <w:tabs>
          <w:tab w:val="left" w:pos="4320"/>
          <w:tab w:val="center" w:pos="4680"/>
          <w:tab w:val="right" w:pos="9360"/>
        </w:tabs>
        <w:ind w:left="4320"/>
        <w:rPr>
          <w:szCs w:val="24"/>
        </w:rPr>
      </w:pPr>
      <w:r w:rsidRPr="00BB73AB">
        <w:rPr>
          <w:szCs w:val="24"/>
        </w:rPr>
        <w:t>Columbus, Ohio 43215</w:t>
      </w:r>
    </w:p>
    <w:p w:rsidR="00BB73AB" w:rsidRPr="00BB73AB" w:rsidRDefault="00BB73AB" w:rsidP="00BB73AB">
      <w:pPr>
        <w:tabs>
          <w:tab w:val="left" w:pos="4320"/>
          <w:tab w:val="center" w:pos="4680"/>
          <w:tab w:val="right" w:pos="9360"/>
        </w:tabs>
        <w:ind w:left="4320"/>
        <w:rPr>
          <w:szCs w:val="24"/>
        </w:rPr>
      </w:pPr>
      <w:r w:rsidRPr="00BB73AB">
        <w:rPr>
          <w:szCs w:val="24"/>
        </w:rPr>
        <w:t>(614) 227-4854 – Telephone (Stinson)</w:t>
      </w:r>
    </w:p>
    <w:p w:rsidR="00BB73AB" w:rsidRPr="00BB73AB" w:rsidRDefault="00BB73AB" w:rsidP="00BB73AB">
      <w:pPr>
        <w:ind w:left="3600" w:firstLine="720"/>
        <w:rPr>
          <w:color w:val="1F497D"/>
        </w:rPr>
      </w:pPr>
      <w:r w:rsidRPr="00BB73AB">
        <w:rPr>
          <w:szCs w:val="24"/>
        </w:rPr>
        <w:t>(614) 227-4914 – Telephone (Borchers)</w:t>
      </w:r>
    </w:p>
    <w:p w:rsidR="00BB73AB" w:rsidRPr="00BB73AB" w:rsidRDefault="00BB73AB" w:rsidP="00BB73AB">
      <w:pPr>
        <w:tabs>
          <w:tab w:val="left" w:pos="4320"/>
          <w:tab w:val="center" w:pos="4680"/>
          <w:tab w:val="right" w:pos="9360"/>
        </w:tabs>
        <w:ind w:left="4320"/>
        <w:rPr>
          <w:szCs w:val="24"/>
        </w:rPr>
      </w:pPr>
      <w:r w:rsidRPr="00BB73AB">
        <w:rPr>
          <w:szCs w:val="24"/>
        </w:rPr>
        <w:t>(614) 227-2390 – Facsimile</w:t>
      </w:r>
    </w:p>
    <w:p w:rsidR="00BB73AB" w:rsidRPr="00BB73AB" w:rsidRDefault="00294E1B" w:rsidP="00BB73AB">
      <w:pPr>
        <w:tabs>
          <w:tab w:val="left" w:pos="4320"/>
          <w:tab w:val="center" w:pos="4680"/>
          <w:tab w:val="right" w:pos="9360"/>
        </w:tabs>
        <w:ind w:left="4320"/>
        <w:rPr>
          <w:szCs w:val="24"/>
        </w:rPr>
      </w:pPr>
      <w:hyperlink r:id="rId17" w:history="1">
        <w:r w:rsidR="00BB73AB" w:rsidRPr="00BB73AB">
          <w:rPr>
            <w:color w:val="0000FF"/>
            <w:szCs w:val="24"/>
            <w:u w:val="single"/>
          </w:rPr>
          <w:t>dstinson@bricker.com</w:t>
        </w:r>
      </w:hyperlink>
    </w:p>
    <w:p w:rsidR="00BB73AB" w:rsidRPr="00BB73AB" w:rsidRDefault="00294E1B" w:rsidP="00BB73AB">
      <w:pPr>
        <w:tabs>
          <w:tab w:val="left" w:pos="4320"/>
          <w:tab w:val="center" w:pos="4680"/>
          <w:tab w:val="right" w:pos="9360"/>
        </w:tabs>
        <w:ind w:left="4320"/>
        <w:rPr>
          <w:szCs w:val="24"/>
        </w:rPr>
      </w:pPr>
      <w:hyperlink r:id="rId18" w:history="1">
        <w:r w:rsidR="00BB73AB" w:rsidRPr="00BB73AB">
          <w:rPr>
            <w:color w:val="0000FF"/>
            <w:szCs w:val="24"/>
            <w:u w:val="single"/>
          </w:rPr>
          <w:t>dborchers@bricker.com</w:t>
        </w:r>
      </w:hyperlink>
    </w:p>
    <w:p w:rsidR="00BB73AB" w:rsidRPr="00BB73AB" w:rsidRDefault="00BB73AB" w:rsidP="00BB73AB">
      <w:pPr>
        <w:tabs>
          <w:tab w:val="left" w:pos="4320"/>
          <w:tab w:val="center" w:pos="4680"/>
          <w:tab w:val="right" w:pos="9360"/>
        </w:tabs>
        <w:ind w:left="4320"/>
        <w:rPr>
          <w:szCs w:val="24"/>
        </w:rPr>
      </w:pPr>
    </w:p>
    <w:p w:rsidR="00BB73AB" w:rsidRPr="00BB73AB" w:rsidRDefault="00BB73AB" w:rsidP="00BB73AB">
      <w:pPr>
        <w:tabs>
          <w:tab w:val="center" w:pos="4680"/>
          <w:tab w:val="right" w:pos="9360"/>
        </w:tabs>
        <w:ind w:left="4320"/>
        <w:rPr>
          <w:szCs w:val="24"/>
        </w:rPr>
      </w:pPr>
      <w:r w:rsidRPr="00BB73AB">
        <w:rPr>
          <w:szCs w:val="24"/>
        </w:rPr>
        <w:t xml:space="preserve">Outside Counsel for the </w:t>
      </w:r>
    </w:p>
    <w:p w:rsidR="00BB73AB" w:rsidRPr="00BB73AB" w:rsidRDefault="00BB73AB" w:rsidP="00BB73AB">
      <w:pPr>
        <w:tabs>
          <w:tab w:val="center" w:pos="4680"/>
          <w:tab w:val="right" w:pos="9360"/>
        </w:tabs>
        <w:ind w:left="4320"/>
        <w:rPr>
          <w:b/>
          <w:szCs w:val="24"/>
          <w:u w:val="single"/>
        </w:rPr>
      </w:pPr>
      <w:r w:rsidRPr="00BB73AB">
        <w:rPr>
          <w:szCs w:val="24"/>
        </w:rPr>
        <w:t>Office of the Ohio Consumers’ Counsel</w:t>
      </w:r>
    </w:p>
    <w:p w:rsidR="00BB73AB" w:rsidRPr="00BB73AB" w:rsidRDefault="00BB73AB" w:rsidP="00BB73AB">
      <w:pPr>
        <w:jc w:val="center"/>
        <w:rPr>
          <w:b/>
          <w:bCs/>
          <w:u w:val="single"/>
        </w:rPr>
      </w:pPr>
      <w:r w:rsidRPr="00BB73AB">
        <w:br w:type="page"/>
      </w:r>
      <w:r w:rsidRPr="00BB73AB">
        <w:rPr>
          <w:b/>
          <w:bCs/>
          <w:u w:val="single"/>
        </w:rPr>
        <w:t>CERTIFICATE OF SERVICE</w:t>
      </w:r>
    </w:p>
    <w:p w:rsidR="00BB73AB" w:rsidRPr="00BB73AB" w:rsidRDefault="00BB73AB" w:rsidP="00BB73AB">
      <w:pPr>
        <w:spacing w:line="480" w:lineRule="atLeast"/>
      </w:pPr>
      <w:r w:rsidRPr="00BB73AB">
        <w:tab/>
        <w:t xml:space="preserve">I hereby certify that a copy of this </w:t>
      </w:r>
      <w:r w:rsidRPr="00BB73AB">
        <w:rPr>
          <w:i/>
        </w:rPr>
        <w:t xml:space="preserve">Memorandum Contra </w:t>
      </w:r>
      <w:r w:rsidRPr="00BB73AB">
        <w:t xml:space="preserve">was served on the persons stated below </w:t>
      </w:r>
      <w:r w:rsidRPr="00BB73AB">
        <w:rPr>
          <w:i/>
        </w:rPr>
        <w:t>via</w:t>
      </w:r>
      <w:r w:rsidRPr="00BB73AB">
        <w:t xml:space="preserve"> electronic transmission, this 6</w:t>
      </w:r>
      <w:r w:rsidRPr="00BB73AB">
        <w:rPr>
          <w:vertAlign w:val="superscript"/>
        </w:rPr>
        <w:t>th</w:t>
      </w:r>
      <w:r w:rsidRPr="00BB73AB">
        <w:t xml:space="preserve"> day of October, 2014.</w:t>
      </w:r>
    </w:p>
    <w:p w:rsidR="00BB73AB" w:rsidRPr="00BB73AB" w:rsidRDefault="00BB73AB" w:rsidP="00BB73AB">
      <w:pPr>
        <w:spacing w:line="480" w:lineRule="atLeast"/>
      </w:pPr>
    </w:p>
    <w:p w:rsidR="00BB73AB" w:rsidRPr="00BB73AB" w:rsidRDefault="00BB73AB" w:rsidP="00BB73AB">
      <w:pPr>
        <w:tabs>
          <w:tab w:val="left" w:pos="4320"/>
        </w:tabs>
      </w:pPr>
      <w:r w:rsidRPr="00BB73AB">
        <w:tab/>
      </w:r>
      <w:r w:rsidRPr="00BB73AB">
        <w:rPr>
          <w:i/>
          <w:u w:val="single"/>
        </w:rPr>
        <w:t>/s/ Joseph P. Serio</w:t>
      </w:r>
    </w:p>
    <w:p w:rsidR="00BB73AB" w:rsidRPr="00BB73AB" w:rsidRDefault="00BB73AB" w:rsidP="00BB73AB">
      <w:pPr>
        <w:tabs>
          <w:tab w:val="left" w:pos="4320"/>
        </w:tabs>
      </w:pPr>
      <w:r w:rsidRPr="00BB73AB">
        <w:tab/>
        <w:t>Joseph P. Serio</w:t>
      </w:r>
    </w:p>
    <w:p w:rsidR="00BB73AB" w:rsidRPr="00BB73AB" w:rsidRDefault="00BB73AB" w:rsidP="00BB73AB">
      <w:pPr>
        <w:tabs>
          <w:tab w:val="left" w:pos="4320"/>
        </w:tabs>
      </w:pPr>
      <w:r w:rsidRPr="00BB73AB">
        <w:tab/>
        <w:t>Assistant Consumers’ Counsel</w:t>
      </w:r>
    </w:p>
    <w:p w:rsidR="00BB73AB" w:rsidRPr="00BB73AB" w:rsidRDefault="00BB73AB" w:rsidP="00BB73AB">
      <w:pPr>
        <w:tabs>
          <w:tab w:val="left" w:pos="1354"/>
        </w:tabs>
        <w:spacing w:line="480" w:lineRule="auto"/>
        <w:jc w:val="center"/>
        <w:rPr>
          <w:b/>
        </w:rPr>
      </w:pPr>
    </w:p>
    <w:p w:rsidR="00BB73AB" w:rsidRPr="00BB73AB" w:rsidRDefault="00BB73AB" w:rsidP="00BB73AB">
      <w:pPr>
        <w:tabs>
          <w:tab w:val="left" w:pos="1354"/>
        </w:tabs>
        <w:spacing w:line="480" w:lineRule="auto"/>
        <w:jc w:val="center"/>
        <w:rPr>
          <w:b/>
        </w:rPr>
      </w:pPr>
      <w:r w:rsidRPr="00BB73AB">
        <w:rPr>
          <w:b/>
        </w:rPr>
        <w:t>SERVICE LIST</w:t>
      </w:r>
    </w:p>
    <w:tbl>
      <w:tblPr>
        <w:tblW w:w="0" w:type="auto"/>
        <w:tblInd w:w="2" w:type="dxa"/>
        <w:tblLook w:val="01E0" w:firstRow="1" w:lastRow="1" w:firstColumn="1" w:lastColumn="1" w:noHBand="0" w:noVBand="0"/>
      </w:tblPr>
      <w:tblGrid>
        <w:gridCol w:w="4427"/>
        <w:gridCol w:w="4427"/>
      </w:tblGrid>
      <w:tr w:rsidR="00BB73AB" w:rsidRPr="00BB73AB" w:rsidTr="00901557">
        <w:tc>
          <w:tcPr>
            <w:tcW w:w="4428" w:type="dxa"/>
          </w:tcPr>
          <w:p w:rsidR="00BB73AB" w:rsidRPr="00BB73AB" w:rsidRDefault="00294E1B" w:rsidP="00BB73AB">
            <w:pPr>
              <w:autoSpaceDE w:val="0"/>
              <w:autoSpaceDN w:val="0"/>
              <w:adjustRightInd w:val="0"/>
              <w:rPr>
                <w:szCs w:val="24"/>
              </w:rPr>
            </w:pPr>
            <w:hyperlink r:id="rId19" w:history="1">
              <w:r w:rsidR="00BB73AB" w:rsidRPr="00BB73AB">
                <w:rPr>
                  <w:color w:val="0000FF"/>
                  <w:szCs w:val="24"/>
                  <w:u w:val="single"/>
                </w:rPr>
                <w:t>Steven.beeler@puc.state.oh.us</w:t>
              </w:r>
            </w:hyperlink>
          </w:p>
          <w:p w:rsidR="00BB73AB" w:rsidRPr="00BB73AB" w:rsidRDefault="00294E1B" w:rsidP="00BB73AB">
            <w:pPr>
              <w:autoSpaceDE w:val="0"/>
              <w:autoSpaceDN w:val="0"/>
              <w:adjustRightInd w:val="0"/>
              <w:rPr>
                <w:szCs w:val="24"/>
              </w:rPr>
            </w:pPr>
            <w:hyperlink r:id="rId20" w:history="1">
              <w:r w:rsidR="00BB73AB" w:rsidRPr="00BB73AB">
                <w:rPr>
                  <w:color w:val="0000FF"/>
                  <w:szCs w:val="24"/>
                  <w:u w:val="single"/>
                </w:rPr>
                <w:t>Thomas.lindgren@puc.state.oh.us</w:t>
              </w:r>
            </w:hyperlink>
          </w:p>
          <w:p w:rsidR="00BB73AB" w:rsidRPr="00BB73AB" w:rsidRDefault="00294E1B" w:rsidP="00BB73AB">
            <w:pPr>
              <w:autoSpaceDE w:val="0"/>
              <w:autoSpaceDN w:val="0"/>
              <w:adjustRightInd w:val="0"/>
              <w:rPr>
                <w:szCs w:val="24"/>
              </w:rPr>
            </w:pPr>
            <w:hyperlink r:id="rId21" w:history="1">
              <w:r w:rsidR="00BB73AB" w:rsidRPr="00BB73AB">
                <w:rPr>
                  <w:color w:val="0000FF"/>
                  <w:szCs w:val="24"/>
                  <w:u w:val="single"/>
                </w:rPr>
                <w:t>Ryan.orourke@puc.state.oh.us</w:t>
              </w:r>
            </w:hyperlink>
          </w:p>
          <w:p w:rsidR="00BB73AB" w:rsidRPr="00BB73AB" w:rsidRDefault="00294E1B" w:rsidP="00BB73AB">
            <w:pPr>
              <w:autoSpaceDE w:val="0"/>
              <w:autoSpaceDN w:val="0"/>
              <w:adjustRightInd w:val="0"/>
              <w:rPr>
                <w:szCs w:val="24"/>
              </w:rPr>
            </w:pPr>
            <w:hyperlink r:id="rId22" w:history="1">
              <w:r w:rsidR="00BB73AB" w:rsidRPr="00BB73AB">
                <w:rPr>
                  <w:color w:val="0000FF"/>
                  <w:szCs w:val="24"/>
                  <w:u w:val="single"/>
                </w:rPr>
                <w:t>dboehm@BKLlawfirm.com</w:t>
              </w:r>
            </w:hyperlink>
          </w:p>
          <w:p w:rsidR="00BB73AB" w:rsidRPr="00BB73AB" w:rsidRDefault="00294E1B" w:rsidP="00BB73AB">
            <w:pPr>
              <w:autoSpaceDE w:val="0"/>
              <w:autoSpaceDN w:val="0"/>
              <w:adjustRightInd w:val="0"/>
              <w:rPr>
                <w:szCs w:val="24"/>
              </w:rPr>
            </w:pPr>
            <w:hyperlink r:id="rId23" w:history="1">
              <w:r w:rsidR="00BB73AB" w:rsidRPr="00BB73AB">
                <w:rPr>
                  <w:color w:val="0000FF"/>
                  <w:szCs w:val="24"/>
                  <w:u w:val="single"/>
                </w:rPr>
                <w:t>mkurtz@BKLlawfirm.com</w:t>
              </w:r>
            </w:hyperlink>
          </w:p>
          <w:p w:rsidR="00BB73AB" w:rsidRPr="00BB73AB" w:rsidRDefault="00294E1B" w:rsidP="00BB73AB">
            <w:pPr>
              <w:autoSpaceDE w:val="0"/>
              <w:autoSpaceDN w:val="0"/>
              <w:adjustRightInd w:val="0"/>
              <w:rPr>
                <w:szCs w:val="24"/>
              </w:rPr>
            </w:pPr>
            <w:hyperlink r:id="rId24" w:history="1">
              <w:r w:rsidR="00BB73AB" w:rsidRPr="00BB73AB">
                <w:rPr>
                  <w:color w:val="0000FF"/>
                  <w:szCs w:val="24"/>
                  <w:u w:val="single"/>
                </w:rPr>
                <w:t>jkylercohn@BKLlawfirm.com</w:t>
              </w:r>
            </w:hyperlink>
          </w:p>
          <w:p w:rsidR="00BB73AB" w:rsidRPr="00BB73AB" w:rsidRDefault="00294E1B" w:rsidP="00BB73AB">
            <w:pPr>
              <w:autoSpaceDE w:val="0"/>
              <w:autoSpaceDN w:val="0"/>
              <w:adjustRightInd w:val="0"/>
              <w:rPr>
                <w:color w:val="0000FF"/>
                <w:szCs w:val="24"/>
                <w:u w:val="single"/>
              </w:rPr>
            </w:pPr>
            <w:hyperlink r:id="rId25" w:history="1">
              <w:r w:rsidR="00BB73AB" w:rsidRPr="00BB73AB">
                <w:rPr>
                  <w:color w:val="0000FF"/>
                  <w:szCs w:val="24"/>
                  <w:u w:val="single"/>
                </w:rPr>
                <w:t>Schmidt@sppgrp.com</w:t>
              </w:r>
            </w:hyperlink>
          </w:p>
          <w:p w:rsidR="00BB73AB" w:rsidRPr="00BB73AB" w:rsidRDefault="00294E1B" w:rsidP="00BB73AB">
            <w:pPr>
              <w:autoSpaceDE w:val="0"/>
              <w:autoSpaceDN w:val="0"/>
              <w:adjustRightInd w:val="0"/>
              <w:rPr>
                <w:color w:val="0000FF"/>
                <w:szCs w:val="24"/>
                <w:u w:val="single"/>
              </w:rPr>
            </w:pPr>
            <w:hyperlink r:id="rId26" w:history="1">
              <w:r w:rsidR="00BB73AB" w:rsidRPr="00BB73AB">
                <w:rPr>
                  <w:color w:val="0000FF"/>
                  <w:szCs w:val="24"/>
                  <w:u w:val="single"/>
                </w:rPr>
                <w:t>Judi.sobecki@aes.com</w:t>
              </w:r>
            </w:hyperlink>
          </w:p>
          <w:p w:rsidR="00BB73AB" w:rsidRPr="00BB73AB" w:rsidRDefault="00294E1B" w:rsidP="00BB73AB">
            <w:pPr>
              <w:autoSpaceDE w:val="0"/>
              <w:autoSpaceDN w:val="0"/>
              <w:adjustRightInd w:val="0"/>
              <w:rPr>
                <w:color w:val="0000FF"/>
                <w:szCs w:val="24"/>
                <w:u w:val="single"/>
              </w:rPr>
            </w:pPr>
            <w:hyperlink r:id="rId27" w:history="1">
              <w:r w:rsidR="00BB73AB" w:rsidRPr="00BB73AB">
                <w:rPr>
                  <w:color w:val="0000FF"/>
                  <w:szCs w:val="24"/>
                  <w:u w:val="single"/>
                </w:rPr>
                <w:t>Bojko@carpenterlipps.com</w:t>
              </w:r>
            </w:hyperlink>
          </w:p>
          <w:p w:rsidR="00BB73AB" w:rsidRPr="00BB73AB" w:rsidRDefault="00294E1B" w:rsidP="00BB73AB">
            <w:pPr>
              <w:autoSpaceDE w:val="0"/>
              <w:autoSpaceDN w:val="0"/>
              <w:adjustRightInd w:val="0"/>
              <w:rPr>
                <w:color w:val="0000FF"/>
                <w:szCs w:val="24"/>
                <w:u w:val="single"/>
              </w:rPr>
            </w:pPr>
            <w:hyperlink r:id="rId28" w:history="1">
              <w:r w:rsidR="00BB73AB" w:rsidRPr="00BB73AB">
                <w:rPr>
                  <w:color w:val="0000FF"/>
                  <w:szCs w:val="24"/>
                  <w:u w:val="single"/>
                </w:rPr>
                <w:t>Allison@carpenterlipps.com</w:t>
              </w:r>
            </w:hyperlink>
          </w:p>
          <w:p w:rsidR="00BB73AB" w:rsidRPr="00BB73AB" w:rsidRDefault="00294E1B" w:rsidP="00BB73AB">
            <w:pPr>
              <w:autoSpaceDE w:val="0"/>
              <w:autoSpaceDN w:val="0"/>
              <w:adjustRightInd w:val="0"/>
              <w:rPr>
                <w:color w:val="0000FF"/>
                <w:szCs w:val="24"/>
              </w:rPr>
            </w:pPr>
            <w:hyperlink r:id="rId29" w:history="1">
              <w:r w:rsidR="00BB73AB" w:rsidRPr="00BB73AB">
                <w:rPr>
                  <w:color w:val="0000FF"/>
                  <w:szCs w:val="24"/>
                  <w:u w:val="single"/>
                </w:rPr>
                <w:t>cmooney@ohiopartners.org</w:t>
              </w:r>
            </w:hyperlink>
          </w:p>
          <w:p w:rsidR="00BB73AB" w:rsidRPr="00BB73AB" w:rsidRDefault="00294E1B" w:rsidP="00BB73AB">
            <w:pPr>
              <w:autoSpaceDE w:val="0"/>
              <w:autoSpaceDN w:val="0"/>
              <w:adjustRightInd w:val="0"/>
              <w:rPr>
                <w:szCs w:val="24"/>
              </w:rPr>
            </w:pPr>
            <w:hyperlink r:id="rId30" w:history="1">
              <w:r w:rsidR="00BB73AB" w:rsidRPr="00BB73AB">
                <w:rPr>
                  <w:color w:val="0000FF"/>
                  <w:szCs w:val="24"/>
                  <w:u w:val="single"/>
                </w:rPr>
                <w:t>stnourse@aep.com</w:t>
              </w:r>
            </w:hyperlink>
          </w:p>
          <w:p w:rsidR="00BB73AB" w:rsidRPr="00BB73AB" w:rsidRDefault="00294E1B" w:rsidP="00BB73AB">
            <w:pPr>
              <w:autoSpaceDE w:val="0"/>
              <w:autoSpaceDN w:val="0"/>
              <w:adjustRightInd w:val="0"/>
              <w:rPr>
                <w:szCs w:val="24"/>
              </w:rPr>
            </w:pPr>
            <w:hyperlink r:id="rId31" w:history="1">
              <w:r w:rsidR="00BB73AB" w:rsidRPr="00BB73AB">
                <w:rPr>
                  <w:color w:val="0000FF"/>
                  <w:szCs w:val="24"/>
                  <w:u w:val="single"/>
                </w:rPr>
                <w:t>mjsatterwhite@aep.com</w:t>
              </w:r>
            </w:hyperlink>
          </w:p>
          <w:p w:rsidR="00BB73AB" w:rsidRPr="00BB73AB" w:rsidRDefault="00294E1B" w:rsidP="00BB73AB">
            <w:pPr>
              <w:autoSpaceDE w:val="0"/>
              <w:autoSpaceDN w:val="0"/>
              <w:adjustRightInd w:val="0"/>
              <w:rPr>
                <w:szCs w:val="24"/>
              </w:rPr>
            </w:pPr>
            <w:hyperlink r:id="rId32" w:history="1">
              <w:r w:rsidR="00BB73AB" w:rsidRPr="00BB73AB">
                <w:rPr>
                  <w:color w:val="0000FF"/>
                  <w:szCs w:val="24"/>
                  <w:u w:val="single"/>
                </w:rPr>
                <w:t>yalami@aep.com</w:t>
              </w:r>
            </w:hyperlink>
          </w:p>
          <w:p w:rsidR="00BB73AB" w:rsidRPr="00BB73AB" w:rsidRDefault="00294E1B" w:rsidP="00BB73AB">
            <w:pPr>
              <w:autoSpaceDE w:val="0"/>
              <w:autoSpaceDN w:val="0"/>
              <w:adjustRightInd w:val="0"/>
              <w:rPr>
                <w:szCs w:val="24"/>
              </w:rPr>
            </w:pPr>
            <w:hyperlink r:id="rId33" w:history="1">
              <w:r w:rsidR="00BB73AB" w:rsidRPr="00BB73AB">
                <w:rPr>
                  <w:color w:val="0000FF"/>
                  <w:szCs w:val="24"/>
                  <w:u w:val="single"/>
                </w:rPr>
                <w:t>asonderman@keglerbrown.com</w:t>
              </w:r>
            </w:hyperlink>
          </w:p>
          <w:p w:rsidR="00BB73AB" w:rsidRPr="00BB73AB" w:rsidRDefault="00294E1B" w:rsidP="00BB73AB">
            <w:pPr>
              <w:autoSpaceDE w:val="0"/>
              <w:autoSpaceDN w:val="0"/>
              <w:adjustRightInd w:val="0"/>
              <w:rPr>
                <w:szCs w:val="24"/>
              </w:rPr>
            </w:pPr>
            <w:hyperlink r:id="rId34" w:history="1">
              <w:r w:rsidR="00BB73AB" w:rsidRPr="00BB73AB">
                <w:rPr>
                  <w:color w:val="0000FF"/>
                  <w:szCs w:val="24"/>
                  <w:u w:val="single"/>
                </w:rPr>
                <w:t>mkimbrough@keglerbrown.com</w:t>
              </w:r>
            </w:hyperlink>
          </w:p>
          <w:p w:rsidR="00BB73AB" w:rsidRPr="00BB73AB" w:rsidRDefault="00294E1B" w:rsidP="00BB73AB">
            <w:pPr>
              <w:autoSpaceDE w:val="0"/>
              <w:autoSpaceDN w:val="0"/>
              <w:adjustRightInd w:val="0"/>
              <w:rPr>
                <w:szCs w:val="24"/>
              </w:rPr>
            </w:pPr>
            <w:hyperlink r:id="rId35" w:history="1">
              <w:r w:rsidR="00BB73AB" w:rsidRPr="00BB73AB">
                <w:rPr>
                  <w:color w:val="0000FF"/>
                  <w:szCs w:val="24"/>
                  <w:u w:val="single"/>
                </w:rPr>
                <w:t>hussey@carpenterlipps.com</w:t>
              </w:r>
            </w:hyperlink>
          </w:p>
          <w:p w:rsidR="00BB73AB" w:rsidRPr="00BB73AB" w:rsidRDefault="00294E1B" w:rsidP="00BB73AB">
            <w:pPr>
              <w:autoSpaceDE w:val="0"/>
              <w:autoSpaceDN w:val="0"/>
              <w:adjustRightInd w:val="0"/>
              <w:rPr>
                <w:szCs w:val="24"/>
              </w:rPr>
            </w:pPr>
            <w:hyperlink r:id="rId36" w:history="1">
              <w:r w:rsidR="00BB73AB" w:rsidRPr="00BB73AB">
                <w:rPr>
                  <w:color w:val="0000FF"/>
                  <w:szCs w:val="24"/>
                  <w:u w:val="single"/>
                </w:rPr>
                <w:t>mhpetricoff@vorys.com</w:t>
              </w:r>
            </w:hyperlink>
          </w:p>
          <w:p w:rsidR="00BB73AB" w:rsidRPr="00BB73AB" w:rsidRDefault="00294E1B" w:rsidP="00BB73AB">
            <w:pPr>
              <w:autoSpaceDE w:val="0"/>
              <w:autoSpaceDN w:val="0"/>
              <w:adjustRightInd w:val="0"/>
              <w:rPr>
                <w:szCs w:val="24"/>
              </w:rPr>
            </w:pPr>
            <w:hyperlink r:id="rId37" w:history="1">
              <w:r w:rsidR="00BB73AB" w:rsidRPr="00BB73AB">
                <w:rPr>
                  <w:color w:val="0000FF"/>
                  <w:szCs w:val="24"/>
                  <w:u w:val="single"/>
                </w:rPr>
                <w:t>mjsettineri@vorys.com</w:t>
              </w:r>
            </w:hyperlink>
          </w:p>
          <w:p w:rsidR="00BB73AB" w:rsidRPr="00BB73AB" w:rsidRDefault="00294E1B" w:rsidP="00BB73AB">
            <w:pPr>
              <w:autoSpaceDE w:val="0"/>
              <w:autoSpaceDN w:val="0"/>
              <w:adjustRightInd w:val="0"/>
              <w:rPr>
                <w:szCs w:val="24"/>
              </w:rPr>
            </w:pPr>
            <w:hyperlink r:id="rId38" w:history="1">
              <w:r w:rsidR="00BB73AB" w:rsidRPr="00BB73AB">
                <w:rPr>
                  <w:color w:val="0000FF"/>
                  <w:szCs w:val="24"/>
                  <w:u w:val="single"/>
                </w:rPr>
                <w:t>glpetrucci@vorys.com</w:t>
              </w:r>
            </w:hyperlink>
          </w:p>
          <w:p w:rsidR="00BB73AB" w:rsidRPr="00BB73AB" w:rsidRDefault="00294E1B" w:rsidP="00BB73AB">
            <w:pPr>
              <w:autoSpaceDE w:val="0"/>
              <w:autoSpaceDN w:val="0"/>
              <w:adjustRightInd w:val="0"/>
              <w:rPr>
                <w:szCs w:val="24"/>
              </w:rPr>
            </w:pPr>
            <w:hyperlink r:id="rId39" w:history="1">
              <w:r w:rsidR="00BB73AB" w:rsidRPr="00BB73AB">
                <w:rPr>
                  <w:color w:val="0000FF"/>
                  <w:szCs w:val="24"/>
                  <w:u w:val="single"/>
                </w:rPr>
                <w:t>dmason@ralaw.com</w:t>
              </w:r>
            </w:hyperlink>
          </w:p>
          <w:p w:rsidR="00BB73AB" w:rsidRPr="00BB73AB" w:rsidRDefault="00294E1B" w:rsidP="00BB73AB">
            <w:pPr>
              <w:autoSpaceDE w:val="0"/>
              <w:autoSpaceDN w:val="0"/>
              <w:adjustRightInd w:val="0"/>
              <w:rPr>
                <w:szCs w:val="24"/>
              </w:rPr>
            </w:pPr>
            <w:hyperlink r:id="rId40" w:history="1">
              <w:r w:rsidR="00BB73AB" w:rsidRPr="00BB73AB">
                <w:rPr>
                  <w:color w:val="0000FF"/>
                  <w:szCs w:val="24"/>
                  <w:u w:val="single"/>
                </w:rPr>
                <w:t>mtraven@ralaw.com</w:t>
              </w:r>
            </w:hyperlink>
          </w:p>
          <w:p w:rsidR="00BB73AB" w:rsidRPr="00BB73AB" w:rsidRDefault="00294E1B" w:rsidP="00BB73AB">
            <w:pPr>
              <w:autoSpaceDE w:val="0"/>
              <w:autoSpaceDN w:val="0"/>
              <w:adjustRightInd w:val="0"/>
              <w:rPr>
                <w:szCs w:val="24"/>
              </w:rPr>
            </w:pPr>
            <w:hyperlink r:id="rId41" w:history="1">
              <w:r w:rsidR="00BB73AB" w:rsidRPr="00BB73AB">
                <w:rPr>
                  <w:color w:val="0000FF"/>
                  <w:szCs w:val="24"/>
                  <w:u w:val="single"/>
                </w:rPr>
                <w:t>rchamberlain@okenergylaw.com</w:t>
              </w:r>
            </w:hyperlink>
          </w:p>
          <w:p w:rsidR="00BB73AB" w:rsidRPr="00BB73AB" w:rsidRDefault="00BB73AB" w:rsidP="00BB73AB">
            <w:pPr>
              <w:autoSpaceDE w:val="0"/>
              <w:autoSpaceDN w:val="0"/>
              <w:adjustRightInd w:val="0"/>
              <w:rPr>
                <w:szCs w:val="24"/>
              </w:rPr>
            </w:pPr>
          </w:p>
          <w:p w:rsidR="00BB73AB" w:rsidRPr="00BB73AB" w:rsidRDefault="00BB73AB" w:rsidP="00BB73AB">
            <w:pPr>
              <w:rPr>
                <w:rFonts w:eastAsia="Arial Unicode MS"/>
                <w:bCs/>
                <w:szCs w:val="24"/>
              </w:rPr>
            </w:pPr>
            <w:r w:rsidRPr="00BB73AB">
              <w:rPr>
                <w:rFonts w:eastAsia="Arial Unicode MS"/>
                <w:bCs/>
                <w:szCs w:val="24"/>
              </w:rPr>
              <w:t>Attorney Examiner:</w:t>
            </w:r>
          </w:p>
          <w:p w:rsidR="00BB73AB" w:rsidRPr="00BB73AB" w:rsidRDefault="00BB73AB" w:rsidP="00BB73AB">
            <w:pPr>
              <w:rPr>
                <w:rFonts w:eastAsia="Arial Unicode MS"/>
                <w:bCs/>
                <w:szCs w:val="24"/>
              </w:rPr>
            </w:pPr>
          </w:p>
          <w:p w:rsidR="00BB73AB" w:rsidRPr="00BB73AB" w:rsidRDefault="00294E1B" w:rsidP="00BB73AB">
            <w:pPr>
              <w:rPr>
                <w:rFonts w:eastAsia="Arial Unicode MS"/>
                <w:bCs/>
                <w:color w:val="0000FF"/>
                <w:szCs w:val="24"/>
                <w:u w:val="single"/>
              </w:rPr>
            </w:pPr>
            <w:hyperlink r:id="rId42" w:history="1">
              <w:r w:rsidR="00BB73AB" w:rsidRPr="00BB73AB">
                <w:rPr>
                  <w:rFonts w:eastAsia="Arial Unicode MS"/>
                  <w:bCs/>
                  <w:color w:val="0000FF"/>
                  <w:szCs w:val="24"/>
                  <w:u w:val="single"/>
                </w:rPr>
                <w:t>Christine.pirik@puc.state.oh.us</w:t>
              </w:r>
            </w:hyperlink>
          </w:p>
          <w:p w:rsidR="00BB73AB" w:rsidRPr="00BB73AB" w:rsidRDefault="00294E1B" w:rsidP="00BB73AB">
            <w:pPr>
              <w:rPr>
                <w:rFonts w:eastAsia="Arial Unicode MS"/>
                <w:bCs/>
                <w:color w:val="0000FF"/>
                <w:szCs w:val="24"/>
                <w:u w:val="single"/>
              </w:rPr>
            </w:pPr>
            <w:hyperlink r:id="rId43" w:history="1">
              <w:r w:rsidR="00BB73AB" w:rsidRPr="00BB73AB">
                <w:rPr>
                  <w:rFonts w:eastAsia="Arial Unicode MS"/>
                  <w:bCs/>
                  <w:color w:val="0000FF"/>
                  <w:szCs w:val="24"/>
                  <w:u w:val="single"/>
                </w:rPr>
                <w:t>Nicholas.walstra@puc.state.oh.us</w:t>
              </w:r>
            </w:hyperlink>
          </w:p>
          <w:p w:rsidR="00BB73AB" w:rsidRPr="00BB73AB" w:rsidRDefault="00BB73AB" w:rsidP="00BB73AB">
            <w:pPr>
              <w:rPr>
                <w:rFonts w:eastAsia="Arial Unicode MS"/>
                <w:bCs/>
                <w:szCs w:val="24"/>
              </w:rPr>
            </w:pPr>
          </w:p>
          <w:p w:rsidR="00BB73AB" w:rsidRPr="00BB73AB" w:rsidRDefault="00BB73AB" w:rsidP="00BB73AB">
            <w:pPr>
              <w:autoSpaceDE w:val="0"/>
              <w:autoSpaceDN w:val="0"/>
              <w:adjustRightInd w:val="0"/>
              <w:rPr>
                <w:bCs/>
                <w:szCs w:val="24"/>
              </w:rPr>
            </w:pPr>
          </w:p>
        </w:tc>
        <w:tc>
          <w:tcPr>
            <w:tcW w:w="4428" w:type="dxa"/>
          </w:tcPr>
          <w:p w:rsidR="00BB73AB" w:rsidRPr="00BB73AB" w:rsidRDefault="00294E1B" w:rsidP="00BB73AB">
            <w:pPr>
              <w:jc w:val="both"/>
              <w:rPr>
                <w:szCs w:val="24"/>
              </w:rPr>
            </w:pPr>
            <w:hyperlink r:id="rId44" w:history="1">
              <w:r w:rsidR="00BB73AB" w:rsidRPr="00BB73AB">
                <w:rPr>
                  <w:color w:val="0000FF"/>
                  <w:szCs w:val="24"/>
                  <w:u w:val="single"/>
                </w:rPr>
                <w:t>Amy.Spiller@duke-energy.com</w:t>
              </w:r>
            </w:hyperlink>
          </w:p>
          <w:p w:rsidR="00BB73AB" w:rsidRPr="00BB73AB" w:rsidRDefault="00294E1B" w:rsidP="00BB73AB">
            <w:pPr>
              <w:jc w:val="both"/>
              <w:rPr>
                <w:szCs w:val="24"/>
              </w:rPr>
            </w:pPr>
            <w:hyperlink r:id="rId45" w:history="1">
              <w:r w:rsidR="00BB73AB" w:rsidRPr="00BB73AB">
                <w:rPr>
                  <w:color w:val="0000FF"/>
                  <w:szCs w:val="24"/>
                  <w:u w:val="single"/>
                </w:rPr>
                <w:t>Elizabeth.watts@duke-energy.com</w:t>
              </w:r>
            </w:hyperlink>
          </w:p>
          <w:p w:rsidR="00BB73AB" w:rsidRPr="00BB73AB" w:rsidRDefault="00294E1B" w:rsidP="00BB73AB">
            <w:pPr>
              <w:jc w:val="both"/>
              <w:rPr>
                <w:color w:val="0000FF"/>
                <w:szCs w:val="24"/>
                <w:u w:val="single"/>
              </w:rPr>
            </w:pPr>
            <w:hyperlink r:id="rId46" w:history="1">
              <w:r w:rsidR="00BB73AB" w:rsidRPr="00BB73AB">
                <w:rPr>
                  <w:color w:val="0000FF"/>
                  <w:szCs w:val="24"/>
                  <w:u w:val="single"/>
                </w:rPr>
                <w:t>Rocco.dascenzo@duke-energy.com</w:t>
              </w:r>
            </w:hyperlink>
          </w:p>
          <w:p w:rsidR="00BB73AB" w:rsidRPr="00BB73AB" w:rsidRDefault="00294E1B" w:rsidP="00BB73AB">
            <w:pPr>
              <w:jc w:val="both"/>
              <w:rPr>
                <w:szCs w:val="24"/>
              </w:rPr>
            </w:pPr>
            <w:hyperlink r:id="rId47" w:history="1">
              <w:r w:rsidR="00BB73AB" w:rsidRPr="00BB73AB">
                <w:rPr>
                  <w:color w:val="0000FF"/>
                  <w:szCs w:val="24"/>
                  <w:u w:val="single"/>
                </w:rPr>
                <w:t>Jeanne.Kingery@duke-energy.com</w:t>
              </w:r>
            </w:hyperlink>
          </w:p>
          <w:p w:rsidR="00BB73AB" w:rsidRPr="00BB73AB" w:rsidRDefault="00294E1B" w:rsidP="00BB73AB">
            <w:pPr>
              <w:rPr>
                <w:bCs/>
                <w:szCs w:val="24"/>
              </w:rPr>
            </w:pPr>
            <w:hyperlink r:id="rId48" w:history="1">
              <w:r w:rsidR="00BB73AB" w:rsidRPr="00BB73AB">
                <w:rPr>
                  <w:bCs/>
                  <w:color w:val="0000FF"/>
                  <w:szCs w:val="24"/>
                  <w:u w:val="single"/>
                </w:rPr>
                <w:t>haydenm@firstenergycorp.com</w:t>
              </w:r>
            </w:hyperlink>
          </w:p>
          <w:p w:rsidR="00BB73AB" w:rsidRPr="00BB73AB" w:rsidRDefault="00294E1B" w:rsidP="00BB73AB">
            <w:pPr>
              <w:rPr>
                <w:bCs/>
                <w:szCs w:val="24"/>
              </w:rPr>
            </w:pPr>
            <w:hyperlink r:id="rId49" w:history="1">
              <w:r w:rsidR="00BB73AB" w:rsidRPr="00BB73AB">
                <w:rPr>
                  <w:bCs/>
                  <w:color w:val="0000FF"/>
                  <w:szCs w:val="24"/>
                  <w:u w:val="single"/>
                </w:rPr>
                <w:t>jmcdermott@firstenergycorp.com</w:t>
              </w:r>
            </w:hyperlink>
          </w:p>
          <w:p w:rsidR="00BB73AB" w:rsidRPr="00BB73AB" w:rsidRDefault="00294E1B" w:rsidP="00BB73AB">
            <w:pPr>
              <w:rPr>
                <w:bCs/>
                <w:szCs w:val="24"/>
              </w:rPr>
            </w:pPr>
            <w:hyperlink r:id="rId50" w:history="1">
              <w:r w:rsidR="00BB73AB" w:rsidRPr="00BB73AB">
                <w:rPr>
                  <w:bCs/>
                  <w:color w:val="0000FF"/>
                  <w:szCs w:val="24"/>
                  <w:u w:val="single"/>
                </w:rPr>
                <w:t>scasto@firstenergycorp.com</w:t>
              </w:r>
            </w:hyperlink>
          </w:p>
          <w:p w:rsidR="00BB73AB" w:rsidRPr="00BB73AB" w:rsidRDefault="00294E1B" w:rsidP="00BB73AB">
            <w:pPr>
              <w:rPr>
                <w:szCs w:val="24"/>
              </w:rPr>
            </w:pPr>
            <w:hyperlink r:id="rId51" w:history="1">
              <w:r w:rsidR="00BB73AB" w:rsidRPr="00BB73AB">
                <w:rPr>
                  <w:color w:val="0000FF"/>
                  <w:szCs w:val="24"/>
                  <w:u w:val="single"/>
                </w:rPr>
                <w:t>joliker@igsenergy.com</w:t>
              </w:r>
            </w:hyperlink>
          </w:p>
          <w:p w:rsidR="00BB73AB" w:rsidRPr="00BB73AB" w:rsidRDefault="00294E1B" w:rsidP="00BB73AB">
            <w:pPr>
              <w:rPr>
                <w:szCs w:val="24"/>
              </w:rPr>
            </w:pPr>
            <w:hyperlink r:id="rId52" w:history="1">
              <w:r w:rsidR="00BB73AB" w:rsidRPr="00BB73AB">
                <w:rPr>
                  <w:color w:val="0000FF"/>
                  <w:szCs w:val="24"/>
                  <w:u w:val="single"/>
                </w:rPr>
                <w:t>mswhite@igsenergy.com</w:t>
              </w:r>
            </w:hyperlink>
          </w:p>
          <w:p w:rsidR="00BB73AB" w:rsidRPr="00BB73AB" w:rsidRDefault="00294E1B" w:rsidP="00BB73AB">
            <w:pPr>
              <w:rPr>
                <w:color w:val="0000FF"/>
                <w:szCs w:val="24"/>
              </w:rPr>
            </w:pPr>
            <w:hyperlink r:id="rId53" w:history="1">
              <w:r w:rsidR="00BB73AB" w:rsidRPr="00BB73AB">
                <w:rPr>
                  <w:color w:val="0000FF"/>
                  <w:szCs w:val="24"/>
                  <w:u w:val="single"/>
                </w:rPr>
                <w:t>joseph.clark@directenergy.com</w:t>
              </w:r>
            </w:hyperlink>
          </w:p>
          <w:p w:rsidR="00BB73AB" w:rsidRPr="00BB73AB" w:rsidRDefault="00294E1B" w:rsidP="00BB73AB">
            <w:pPr>
              <w:autoSpaceDE w:val="0"/>
              <w:autoSpaceDN w:val="0"/>
              <w:adjustRightInd w:val="0"/>
              <w:rPr>
                <w:szCs w:val="24"/>
              </w:rPr>
            </w:pPr>
            <w:hyperlink r:id="rId54" w:history="1">
              <w:r w:rsidR="00BB73AB" w:rsidRPr="00BB73AB">
                <w:rPr>
                  <w:color w:val="0000FF"/>
                  <w:szCs w:val="24"/>
                  <w:u w:val="single"/>
                </w:rPr>
                <w:t>sam@mwncmh.com</w:t>
              </w:r>
            </w:hyperlink>
          </w:p>
          <w:p w:rsidR="00BB73AB" w:rsidRPr="00BB73AB" w:rsidRDefault="00294E1B" w:rsidP="00BB73AB">
            <w:pPr>
              <w:autoSpaceDE w:val="0"/>
              <w:autoSpaceDN w:val="0"/>
              <w:adjustRightInd w:val="0"/>
              <w:rPr>
                <w:szCs w:val="24"/>
              </w:rPr>
            </w:pPr>
            <w:hyperlink r:id="rId55" w:history="1">
              <w:r w:rsidR="00BB73AB" w:rsidRPr="00BB73AB">
                <w:rPr>
                  <w:color w:val="0000FF"/>
                  <w:szCs w:val="24"/>
                  <w:u w:val="single"/>
                </w:rPr>
                <w:t>fdarr@mwncmh.com</w:t>
              </w:r>
            </w:hyperlink>
          </w:p>
          <w:p w:rsidR="00BB73AB" w:rsidRPr="00BB73AB" w:rsidRDefault="00294E1B" w:rsidP="00BB73AB">
            <w:pPr>
              <w:jc w:val="both"/>
              <w:rPr>
                <w:szCs w:val="24"/>
              </w:rPr>
            </w:pPr>
            <w:hyperlink r:id="rId56" w:history="1">
              <w:r w:rsidR="00BB73AB" w:rsidRPr="00BB73AB">
                <w:rPr>
                  <w:color w:val="0000FF"/>
                  <w:szCs w:val="24"/>
                  <w:u w:val="single"/>
                </w:rPr>
                <w:t>mpritchard@mwncmh.com</w:t>
              </w:r>
            </w:hyperlink>
          </w:p>
          <w:p w:rsidR="00BB73AB" w:rsidRPr="00BB73AB" w:rsidRDefault="00294E1B" w:rsidP="00BB73AB">
            <w:pPr>
              <w:jc w:val="both"/>
              <w:rPr>
                <w:color w:val="0000FF"/>
                <w:szCs w:val="24"/>
                <w:u w:val="single"/>
              </w:rPr>
            </w:pPr>
            <w:hyperlink r:id="rId57" w:history="1">
              <w:r w:rsidR="00BB73AB" w:rsidRPr="00BB73AB">
                <w:rPr>
                  <w:color w:val="0000FF"/>
                  <w:szCs w:val="24"/>
                  <w:u w:val="single"/>
                </w:rPr>
                <w:t>callwein@wamenergylaw.com</w:t>
              </w:r>
            </w:hyperlink>
          </w:p>
          <w:p w:rsidR="00BB73AB" w:rsidRPr="00BB73AB" w:rsidRDefault="00294E1B" w:rsidP="00BB73AB">
            <w:pPr>
              <w:jc w:val="both"/>
              <w:rPr>
                <w:color w:val="0000FF"/>
                <w:szCs w:val="24"/>
              </w:rPr>
            </w:pPr>
            <w:hyperlink r:id="rId58" w:history="1">
              <w:r w:rsidR="00BB73AB" w:rsidRPr="00BB73AB">
                <w:rPr>
                  <w:color w:val="0000FF"/>
                  <w:szCs w:val="24"/>
                  <w:u w:val="single"/>
                </w:rPr>
                <w:t>tdougherty@theOEC.org</w:t>
              </w:r>
            </w:hyperlink>
          </w:p>
          <w:p w:rsidR="00BB73AB" w:rsidRPr="00BB73AB" w:rsidRDefault="00294E1B" w:rsidP="00BB73AB">
            <w:pPr>
              <w:jc w:val="both"/>
              <w:rPr>
                <w:color w:val="0000FF"/>
                <w:szCs w:val="24"/>
              </w:rPr>
            </w:pPr>
            <w:hyperlink r:id="rId59" w:history="1">
              <w:r w:rsidR="00BB73AB" w:rsidRPr="00BB73AB">
                <w:rPr>
                  <w:color w:val="0000FF"/>
                  <w:szCs w:val="24"/>
                  <w:u w:val="single"/>
                </w:rPr>
                <w:t>dhart@douglasehart.com</w:t>
              </w:r>
            </w:hyperlink>
          </w:p>
          <w:p w:rsidR="00BB73AB" w:rsidRPr="00BB73AB" w:rsidRDefault="00294E1B" w:rsidP="00BB73AB">
            <w:pPr>
              <w:jc w:val="both"/>
              <w:rPr>
                <w:color w:val="0000FF"/>
                <w:szCs w:val="24"/>
              </w:rPr>
            </w:pPr>
            <w:hyperlink r:id="rId60" w:history="1">
              <w:r w:rsidR="00BB73AB" w:rsidRPr="00BB73AB">
                <w:rPr>
                  <w:color w:val="0000FF"/>
                  <w:szCs w:val="24"/>
                  <w:u w:val="single"/>
                </w:rPr>
                <w:t>cloucas@ohiopartners.org</w:t>
              </w:r>
            </w:hyperlink>
          </w:p>
          <w:p w:rsidR="00BB73AB" w:rsidRPr="00BB73AB" w:rsidRDefault="00294E1B" w:rsidP="00BB73AB">
            <w:pPr>
              <w:tabs>
                <w:tab w:val="left" w:pos="2616"/>
              </w:tabs>
              <w:jc w:val="both"/>
              <w:rPr>
                <w:color w:val="0000FF"/>
                <w:szCs w:val="24"/>
              </w:rPr>
            </w:pPr>
            <w:hyperlink r:id="rId61" w:history="1">
              <w:r w:rsidR="00BB73AB" w:rsidRPr="00BB73AB">
                <w:rPr>
                  <w:color w:val="0000FF"/>
                  <w:szCs w:val="24"/>
                  <w:u w:val="single"/>
                </w:rPr>
                <w:t>gpoulos@enernoc.com</w:t>
              </w:r>
            </w:hyperlink>
            <w:r w:rsidR="00BB73AB" w:rsidRPr="00BB73AB">
              <w:rPr>
                <w:color w:val="0000FF"/>
                <w:szCs w:val="24"/>
                <w:u w:val="single"/>
              </w:rPr>
              <w:tab/>
            </w:r>
          </w:p>
          <w:p w:rsidR="00BB73AB" w:rsidRPr="00BB73AB" w:rsidRDefault="00294E1B" w:rsidP="00BB73AB">
            <w:pPr>
              <w:jc w:val="both"/>
              <w:rPr>
                <w:color w:val="0000FF"/>
                <w:szCs w:val="24"/>
              </w:rPr>
            </w:pPr>
            <w:hyperlink r:id="rId62" w:history="1">
              <w:r w:rsidR="00BB73AB" w:rsidRPr="00BB73AB">
                <w:rPr>
                  <w:color w:val="0000FF"/>
                  <w:szCs w:val="24"/>
                  <w:u w:val="single"/>
                </w:rPr>
                <w:t>swilliams@nrdc.org</w:t>
              </w:r>
            </w:hyperlink>
          </w:p>
          <w:p w:rsidR="00BB73AB" w:rsidRPr="00BB73AB" w:rsidRDefault="00294E1B" w:rsidP="00BB73AB">
            <w:pPr>
              <w:jc w:val="both"/>
              <w:rPr>
                <w:szCs w:val="24"/>
              </w:rPr>
            </w:pPr>
            <w:hyperlink r:id="rId63" w:history="1">
              <w:r w:rsidR="00BB73AB" w:rsidRPr="00BB73AB">
                <w:rPr>
                  <w:color w:val="0000FF"/>
                  <w:szCs w:val="24"/>
                  <w:u w:val="single"/>
                </w:rPr>
                <w:t>tobrien@bricker.com</w:t>
              </w:r>
            </w:hyperlink>
          </w:p>
          <w:p w:rsidR="00BB73AB" w:rsidRPr="00BB73AB" w:rsidRDefault="00294E1B" w:rsidP="00BB73AB">
            <w:pPr>
              <w:jc w:val="both"/>
              <w:rPr>
                <w:szCs w:val="24"/>
              </w:rPr>
            </w:pPr>
            <w:hyperlink r:id="rId64" w:history="1">
              <w:r w:rsidR="00BB73AB" w:rsidRPr="00BB73AB">
                <w:rPr>
                  <w:color w:val="0000FF"/>
                  <w:szCs w:val="24"/>
                  <w:u w:val="single"/>
                </w:rPr>
                <w:t>ghull@eckertseamans.com</w:t>
              </w:r>
            </w:hyperlink>
          </w:p>
          <w:p w:rsidR="00BB73AB" w:rsidRPr="00BB73AB" w:rsidRDefault="00294E1B" w:rsidP="00BB73AB">
            <w:pPr>
              <w:tabs>
                <w:tab w:val="left" w:pos="2268"/>
              </w:tabs>
              <w:rPr>
                <w:szCs w:val="24"/>
              </w:rPr>
            </w:pPr>
            <w:hyperlink r:id="rId65" w:history="1">
              <w:r w:rsidR="00BB73AB" w:rsidRPr="00BB73AB">
                <w:rPr>
                  <w:color w:val="0000FF"/>
                  <w:szCs w:val="24"/>
                  <w:u w:val="single"/>
                </w:rPr>
                <w:t>jvickers@elpc.org</w:t>
              </w:r>
            </w:hyperlink>
            <w:r w:rsidR="00BB73AB" w:rsidRPr="00BB73AB">
              <w:rPr>
                <w:color w:val="0000FF"/>
                <w:szCs w:val="24"/>
                <w:u w:val="single"/>
              </w:rPr>
              <w:tab/>
            </w:r>
          </w:p>
          <w:p w:rsidR="00BB73AB" w:rsidRPr="00BB73AB" w:rsidRDefault="00294E1B" w:rsidP="00BB73AB">
            <w:pPr>
              <w:rPr>
                <w:szCs w:val="24"/>
              </w:rPr>
            </w:pPr>
            <w:hyperlink r:id="rId66" w:history="1">
              <w:r w:rsidR="00BB73AB" w:rsidRPr="00BB73AB">
                <w:rPr>
                  <w:color w:val="0000FF"/>
                  <w:szCs w:val="24"/>
                  <w:u w:val="single"/>
                </w:rPr>
                <w:t>tony.mendoza@sierraclub.org</w:t>
              </w:r>
            </w:hyperlink>
          </w:p>
          <w:p w:rsidR="00BB73AB" w:rsidRPr="00BB73AB" w:rsidRDefault="00BB73AB" w:rsidP="00BB73AB">
            <w:pPr>
              <w:rPr>
                <w:szCs w:val="24"/>
              </w:rPr>
            </w:pPr>
          </w:p>
          <w:p w:rsidR="00BB73AB" w:rsidRPr="00BB73AB" w:rsidRDefault="00BB73AB" w:rsidP="00BB73AB">
            <w:pPr>
              <w:jc w:val="both"/>
              <w:rPr>
                <w:bCs/>
                <w:szCs w:val="24"/>
              </w:rPr>
            </w:pPr>
          </w:p>
        </w:tc>
      </w:tr>
    </w:tbl>
    <w:p w:rsidR="00BB73AB" w:rsidRPr="00BB73AB" w:rsidRDefault="00BB73AB" w:rsidP="00BB73AB">
      <w:pPr>
        <w:rPr>
          <w:color w:val="0000FF"/>
          <w:szCs w:val="24"/>
        </w:rPr>
      </w:pPr>
    </w:p>
    <w:p w:rsidR="00BB73AB" w:rsidRPr="007113E9" w:rsidRDefault="00BB73AB" w:rsidP="007113E9">
      <w:pPr>
        <w:rPr>
          <w:color w:val="0000FF"/>
          <w:szCs w:val="24"/>
        </w:rPr>
      </w:pPr>
    </w:p>
    <w:sectPr w:rsidR="00BB73AB" w:rsidRPr="007113E9" w:rsidSect="002B0F5B">
      <w:footerReference w:type="default" r:id="rId6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280" w:rsidRDefault="009A0280" w:rsidP="00A52F07">
      <w:r>
        <w:separator/>
      </w:r>
    </w:p>
  </w:endnote>
  <w:endnote w:type="continuationSeparator" w:id="0">
    <w:p w:rsidR="009A0280" w:rsidRDefault="009A0280" w:rsidP="00A5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9A" w:rsidRDefault="00AA20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0B" w:rsidRDefault="00552B0B">
    <w:pPr>
      <w:pStyle w:val="Footer"/>
      <w:jc w:val="center"/>
    </w:pPr>
  </w:p>
  <w:p w:rsidR="002B0F5B" w:rsidRDefault="002B0F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9A" w:rsidRDefault="00AA209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932288"/>
      <w:docPartObj>
        <w:docPartGallery w:val="Page Numbers (Bottom of Page)"/>
        <w:docPartUnique/>
      </w:docPartObj>
    </w:sdtPr>
    <w:sdtEndPr>
      <w:rPr>
        <w:noProof/>
      </w:rPr>
    </w:sdtEndPr>
    <w:sdtContent>
      <w:p w:rsidR="00552B0B" w:rsidRDefault="00552B0B">
        <w:pPr>
          <w:pStyle w:val="Footer"/>
          <w:jc w:val="center"/>
        </w:pPr>
        <w:r>
          <w:fldChar w:fldCharType="begin"/>
        </w:r>
        <w:r>
          <w:instrText xml:space="preserve"> PAGE   \* MERGEFORMAT </w:instrText>
        </w:r>
        <w:r>
          <w:fldChar w:fldCharType="separate"/>
        </w:r>
        <w:r w:rsidR="00294E1B">
          <w:rPr>
            <w:noProof/>
          </w:rPr>
          <w:t>2</w:t>
        </w:r>
        <w:r>
          <w:rPr>
            <w:noProof/>
          </w:rPr>
          <w:fldChar w:fldCharType="end"/>
        </w:r>
      </w:p>
    </w:sdtContent>
  </w:sdt>
  <w:p w:rsidR="00552B0B" w:rsidRDefault="00552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280" w:rsidRDefault="009A0280" w:rsidP="00A52F07">
      <w:r>
        <w:separator/>
      </w:r>
    </w:p>
  </w:footnote>
  <w:footnote w:type="continuationSeparator" w:id="0">
    <w:p w:rsidR="009A0280" w:rsidRDefault="009A0280" w:rsidP="00A52F07">
      <w:r>
        <w:continuationSeparator/>
      </w:r>
    </w:p>
  </w:footnote>
  <w:footnote w:id="1">
    <w:p w:rsidR="00D87C91" w:rsidRDefault="00D87C91" w:rsidP="002E1F1A">
      <w:pPr>
        <w:autoSpaceDE w:val="0"/>
        <w:autoSpaceDN w:val="0"/>
        <w:adjustRightInd w:val="0"/>
        <w:spacing w:after="120"/>
      </w:pPr>
      <w:r w:rsidRPr="002E1F1A">
        <w:rPr>
          <w:rStyle w:val="FootnoteReference"/>
          <w:sz w:val="20"/>
        </w:rPr>
        <w:footnoteRef/>
      </w:r>
      <w:r w:rsidRPr="002E1F1A">
        <w:rPr>
          <w:sz w:val="20"/>
        </w:rPr>
        <w:t xml:space="preserve"> </w:t>
      </w:r>
      <w:r w:rsidRPr="002E1F1A">
        <w:rPr>
          <w:i/>
          <w:sz w:val="20"/>
        </w:rPr>
        <w:t>In the Matter of the Application of Duke Energy Ohio, Inc. for an Increase in Gas Rates</w:t>
      </w:r>
      <w:r w:rsidRPr="002E1F1A">
        <w:rPr>
          <w:sz w:val="20"/>
        </w:rPr>
        <w:t xml:space="preserve">, Case No. 12-1685-GA-AIR, and </w:t>
      </w:r>
      <w:r w:rsidRPr="002E1F1A">
        <w:rPr>
          <w:i/>
          <w:sz w:val="20"/>
        </w:rPr>
        <w:t>In the Matter of the Application of Duke Energy Ohio, Inc., for an Increase in its Electric Distribution Rates</w:t>
      </w:r>
      <w:r w:rsidRPr="002E1F1A">
        <w:rPr>
          <w:sz w:val="20"/>
        </w:rPr>
        <w:t>, Case No. 12-1682-EL-AIR</w:t>
      </w:r>
      <w:r>
        <w:rPr>
          <w:sz w:val="20"/>
        </w:rPr>
        <w:t>.</w:t>
      </w:r>
    </w:p>
  </w:footnote>
  <w:footnote w:id="2">
    <w:p w:rsidR="00D87C91" w:rsidRDefault="00D87C91" w:rsidP="00FC4C6B">
      <w:pPr>
        <w:pStyle w:val="FootnoteText"/>
        <w:spacing w:after="120"/>
      </w:pPr>
      <w:r>
        <w:rPr>
          <w:rStyle w:val="FootnoteReference"/>
        </w:rPr>
        <w:footnoteRef/>
      </w:r>
      <w:r>
        <w:t xml:space="preserve"> </w:t>
      </w:r>
      <w:r w:rsidRPr="002E1F1A">
        <w:rPr>
          <w:i/>
        </w:rPr>
        <w:t>In the Matter of Application of Duke Energy Ohio, Inc. for Authority to Establish a Standard Service Offer</w:t>
      </w:r>
      <w:r>
        <w:rPr>
          <w:i/>
        </w:rPr>
        <w:t xml:space="preserve"> Pursuant to R.C. 4928.143 in the Form of an Electric Security Plan, Accounting Modifications, and Tariffs for </w:t>
      </w:r>
      <w:r w:rsidRPr="00FC4C6B">
        <w:rPr>
          <w:i/>
        </w:rPr>
        <w:t>Generation Service</w:t>
      </w:r>
      <w:r w:rsidRPr="00FC4C6B">
        <w:t>, Case No. 14-841-El-SSO, Entry  (August 27, 2014) (“</w:t>
      </w:r>
      <w:r w:rsidRPr="00FC4C6B">
        <w:rPr>
          <w:i/>
        </w:rPr>
        <w:t>Duke Energy Ohio ESP III</w:t>
      </w:r>
      <w:r w:rsidRPr="00FC4C6B">
        <w:t>”).</w:t>
      </w:r>
    </w:p>
  </w:footnote>
  <w:footnote w:id="3">
    <w:p w:rsidR="00D87C91" w:rsidRDefault="00D87C91" w:rsidP="002E1F1A">
      <w:pPr>
        <w:pStyle w:val="FootnoteText"/>
        <w:spacing w:after="120"/>
      </w:pPr>
      <w:r w:rsidRPr="00FC4C6B">
        <w:rPr>
          <w:rStyle w:val="FootnoteReference"/>
        </w:rPr>
        <w:footnoteRef/>
      </w:r>
      <w:r w:rsidRPr="00FC4C6B">
        <w:t xml:space="preserve"> </w:t>
      </w:r>
      <w:r w:rsidRPr="00FC4C6B">
        <w:rPr>
          <w:i/>
        </w:rPr>
        <w:t>Duke Energy Ohio ESP III</w:t>
      </w:r>
      <w:r w:rsidRPr="00FC4C6B">
        <w:t>, Interlocutory Appeal at 1-2 (August 18, 2014).</w:t>
      </w:r>
    </w:p>
  </w:footnote>
  <w:footnote w:id="4">
    <w:p w:rsidR="00D87C91" w:rsidRDefault="00D87C91" w:rsidP="001D2544">
      <w:pPr>
        <w:pStyle w:val="FootnoteText"/>
        <w:spacing w:after="120"/>
      </w:pPr>
      <w:r w:rsidRPr="00FC4C6B">
        <w:rPr>
          <w:rStyle w:val="FootnoteReference"/>
        </w:rPr>
        <w:footnoteRef/>
      </w:r>
      <w:r w:rsidRPr="00FC4C6B">
        <w:t xml:space="preserve"> </w:t>
      </w:r>
      <w:r w:rsidRPr="00FC4C6B">
        <w:rPr>
          <w:i/>
        </w:rPr>
        <w:t>Duke Energy Ohio ESP III</w:t>
      </w:r>
      <w:r w:rsidRPr="00FC4C6B">
        <w:t>,</w:t>
      </w:r>
      <w:r w:rsidRPr="00FC4C6B">
        <w:rPr>
          <w:i/>
        </w:rPr>
        <w:t xml:space="preserve"> </w:t>
      </w:r>
      <w:r w:rsidRPr="00FC4C6B">
        <w:t>Entry at 5 (August 27, 2014).</w:t>
      </w:r>
    </w:p>
  </w:footnote>
  <w:footnote w:id="5">
    <w:p w:rsidR="00D87C91" w:rsidRDefault="00D87C91" w:rsidP="001D2544">
      <w:pPr>
        <w:pStyle w:val="FootnoteText"/>
        <w:spacing w:after="120"/>
      </w:pPr>
      <w:r>
        <w:rPr>
          <w:rStyle w:val="FootnoteReference"/>
        </w:rPr>
        <w:footnoteRef/>
      </w:r>
      <w:r>
        <w:t xml:space="preserve"> </w:t>
      </w:r>
      <w:r>
        <w:rPr>
          <w:i/>
        </w:rPr>
        <w:t>Duke Energy Ohio ESP III</w:t>
      </w:r>
      <w:r>
        <w:t>, Application for Rehearing at 3 (September 26, 2014).</w:t>
      </w:r>
    </w:p>
  </w:footnote>
  <w:footnote w:id="6">
    <w:p w:rsidR="00D87C91" w:rsidRDefault="00D87C91" w:rsidP="001D2544">
      <w:pPr>
        <w:pStyle w:val="FootnoteText"/>
        <w:spacing w:after="120"/>
      </w:pPr>
      <w:r>
        <w:rPr>
          <w:rStyle w:val="FootnoteReference"/>
        </w:rPr>
        <w:footnoteRef/>
      </w:r>
      <w:r>
        <w:t xml:space="preserve"> </w:t>
      </w:r>
      <w:r>
        <w:rPr>
          <w:i/>
        </w:rPr>
        <w:t>Duke Energy Ohio ESP III</w:t>
      </w:r>
      <w:r>
        <w:t>, Memorandum in Support of Application for Rehearing at 1 (September 26, 2014).</w:t>
      </w:r>
    </w:p>
  </w:footnote>
  <w:footnote w:id="7">
    <w:p w:rsidR="00D87C91" w:rsidRDefault="00D87C91" w:rsidP="001D2544">
      <w:pPr>
        <w:pStyle w:val="FootnoteText"/>
        <w:spacing w:after="120"/>
      </w:pPr>
      <w:r>
        <w:rPr>
          <w:rStyle w:val="FootnoteReference"/>
        </w:rPr>
        <w:footnoteRef/>
      </w:r>
      <w:r>
        <w:t xml:space="preserve"> Protective Agreement at 5-6.</w:t>
      </w:r>
    </w:p>
  </w:footnote>
  <w:footnote w:id="8">
    <w:p w:rsidR="00D87C91" w:rsidRDefault="00D87C91" w:rsidP="00FC4C6B">
      <w:pPr>
        <w:pStyle w:val="FootnoteText"/>
        <w:spacing w:after="120"/>
      </w:pPr>
      <w:r>
        <w:rPr>
          <w:rStyle w:val="FootnoteReference"/>
        </w:rPr>
        <w:footnoteRef/>
      </w:r>
      <w:r>
        <w:t xml:space="preserve"> </w:t>
      </w:r>
      <w:r w:rsidR="00910518">
        <w:rPr>
          <w:i/>
        </w:rPr>
        <w:t>In the Matter of the Complaint of Suburban Natural Gas Co. v. Kalida Natural Gas Co.</w:t>
      </w:r>
      <w:r w:rsidR="00910518">
        <w:t>, Case No. 92-1876-GA-CSS, 1993 Ohio PUC LEXIS 736, at 10 (August 26, 1993).</w:t>
      </w:r>
    </w:p>
  </w:footnote>
  <w:footnote w:id="9">
    <w:p w:rsidR="00D87C91" w:rsidRDefault="00D87C91" w:rsidP="00FC4C6B">
      <w:pPr>
        <w:pStyle w:val="FootnoteText"/>
        <w:spacing w:after="120"/>
      </w:pPr>
      <w:r>
        <w:rPr>
          <w:rStyle w:val="FootnoteReference"/>
        </w:rPr>
        <w:footnoteRef/>
      </w:r>
      <w:r>
        <w:t xml:space="preserve"> </w:t>
      </w:r>
      <w:r w:rsidR="00910518">
        <w:t>Id.</w:t>
      </w:r>
    </w:p>
  </w:footnote>
  <w:footnote w:id="10">
    <w:p w:rsidR="00D87C91" w:rsidRDefault="00D87C91" w:rsidP="009256BD">
      <w:pPr>
        <w:pStyle w:val="FootnoteText"/>
        <w:spacing w:after="120"/>
      </w:pPr>
      <w:r w:rsidRPr="006D2693">
        <w:rPr>
          <w:rStyle w:val="FootnoteReference"/>
        </w:rPr>
        <w:footnoteRef/>
      </w:r>
      <w:r w:rsidRPr="006D2693">
        <w:t xml:space="preserve"> </w:t>
      </w:r>
      <w:r>
        <w:t xml:space="preserve"> </w:t>
      </w:r>
      <w:r w:rsidRPr="006D2693">
        <w:rPr>
          <w:i/>
        </w:rPr>
        <w:t>Duke Energy Ohio ESP III</w:t>
      </w:r>
      <w:r w:rsidRPr="006D2693">
        <w:t>, Entry at 5</w:t>
      </w:r>
      <w:r w:rsidR="00910518">
        <w:t xml:space="preserve"> (August 27, 2014)</w:t>
      </w:r>
      <w:r w:rsidRPr="006D2693">
        <w:t>.</w:t>
      </w:r>
    </w:p>
  </w:footnote>
  <w:footnote w:id="11">
    <w:p w:rsidR="00D87C91" w:rsidRDefault="00D87C91" w:rsidP="009256BD">
      <w:pPr>
        <w:pStyle w:val="FootnoteText"/>
        <w:spacing w:after="120"/>
      </w:pPr>
      <w:r>
        <w:rPr>
          <w:rStyle w:val="FootnoteReference"/>
        </w:rPr>
        <w:footnoteRef/>
      </w:r>
      <w:r>
        <w:t xml:space="preserve"> </w:t>
      </w:r>
      <w:r w:rsidR="00910518">
        <w:rPr>
          <w:i/>
        </w:rPr>
        <w:t>Duke Energy Ohio ESP III</w:t>
      </w:r>
      <w:r w:rsidR="00910518">
        <w:t>, Interlocutory Appeal at 6-11 (August 25, 2014).</w:t>
      </w:r>
    </w:p>
  </w:footnote>
  <w:footnote w:id="12">
    <w:p w:rsidR="00D87C91" w:rsidRDefault="00D87C91" w:rsidP="00211DE2">
      <w:pPr>
        <w:spacing w:after="120"/>
      </w:pPr>
      <w:r w:rsidRPr="002B0F5B">
        <w:rPr>
          <w:rStyle w:val="FootnoteCharacters"/>
          <w:sz w:val="20"/>
          <w:vertAlign w:val="superscript"/>
        </w:rPr>
        <w:footnoteRef/>
      </w:r>
      <w:r>
        <w:rPr>
          <w:sz w:val="20"/>
        </w:rPr>
        <w:t xml:space="preserve"> </w:t>
      </w:r>
      <w:r w:rsidRPr="006D2693">
        <w:rPr>
          <w:i/>
          <w:iCs/>
          <w:sz w:val="20"/>
        </w:rPr>
        <w:t xml:space="preserve">Duke Energy Ohio ESP </w:t>
      </w:r>
      <w:r>
        <w:rPr>
          <w:sz w:val="20"/>
        </w:rPr>
        <w:t xml:space="preserve">III, Case </w:t>
      </w:r>
      <w:r w:rsidRPr="006D2693">
        <w:rPr>
          <w:sz w:val="20"/>
        </w:rPr>
        <w:t xml:space="preserve"> No. 14-841-EL-SSO, Memorandum Contra Duke's In</w:t>
      </w:r>
      <w:r>
        <w:rPr>
          <w:sz w:val="20"/>
        </w:rPr>
        <w:t>terlocutory Appeal at 9-11 (August</w:t>
      </w:r>
      <w:r w:rsidRPr="006D2693">
        <w:rPr>
          <w:sz w:val="20"/>
        </w:rPr>
        <w:t xml:space="preserve"> 25, 2014).</w:t>
      </w:r>
    </w:p>
  </w:footnote>
  <w:footnote w:id="13">
    <w:p w:rsidR="00D87C91" w:rsidRDefault="00D87C91" w:rsidP="009256BD">
      <w:pPr>
        <w:spacing w:after="120"/>
      </w:pPr>
      <w:r w:rsidRPr="002B0F5B">
        <w:rPr>
          <w:rStyle w:val="FootnoteCharacters"/>
          <w:sz w:val="20"/>
          <w:vertAlign w:val="superscript"/>
        </w:rPr>
        <w:footnoteRef/>
      </w:r>
      <w:r>
        <w:rPr>
          <w:i/>
          <w:iCs/>
          <w:sz w:val="20"/>
        </w:rPr>
        <w:t xml:space="preserve"> </w:t>
      </w:r>
      <w:r w:rsidRPr="006D2693">
        <w:rPr>
          <w:i/>
          <w:iCs/>
          <w:sz w:val="20"/>
        </w:rPr>
        <w:t xml:space="preserve">Duke Energy Ohio ESP </w:t>
      </w:r>
      <w:r w:rsidRPr="006D2693">
        <w:rPr>
          <w:sz w:val="20"/>
        </w:rPr>
        <w:t>III, In</w:t>
      </w:r>
      <w:r>
        <w:rPr>
          <w:sz w:val="20"/>
        </w:rPr>
        <w:t>terlocutory Appeal at 9-10 (August</w:t>
      </w:r>
      <w:r w:rsidRPr="006D2693">
        <w:rPr>
          <w:sz w:val="20"/>
        </w:rPr>
        <w:t xml:space="preserve"> 18, 2014).</w:t>
      </w:r>
    </w:p>
  </w:footnote>
  <w:footnote w:id="14">
    <w:p w:rsidR="00D87C91" w:rsidRDefault="00D87C91" w:rsidP="006D2693">
      <w:pPr>
        <w:spacing w:after="120"/>
      </w:pPr>
      <w:r w:rsidRPr="002B0F5B">
        <w:rPr>
          <w:rStyle w:val="FootnoteCharacters"/>
          <w:sz w:val="20"/>
          <w:vertAlign w:val="superscript"/>
        </w:rPr>
        <w:footnoteRef/>
      </w:r>
      <w:r w:rsidRPr="006D2693">
        <w:rPr>
          <w:sz w:val="20"/>
        </w:rPr>
        <w:t xml:space="preserve"> Protective Agreement</w:t>
      </w:r>
      <w:r>
        <w:rPr>
          <w:sz w:val="20"/>
        </w:rPr>
        <w:t xml:space="preserve"> </w:t>
      </w:r>
      <w:r w:rsidR="00910518">
        <w:rPr>
          <w:sz w:val="20"/>
        </w:rPr>
        <w:t>at 5-6.</w:t>
      </w:r>
    </w:p>
  </w:footnote>
  <w:footnote w:id="15">
    <w:p w:rsidR="00D87C91" w:rsidRDefault="00D87C91" w:rsidP="006D2693">
      <w:pPr>
        <w:spacing w:after="120"/>
      </w:pPr>
      <w:r w:rsidRPr="002B0F5B">
        <w:rPr>
          <w:rStyle w:val="FootnoteCharacters"/>
          <w:sz w:val="20"/>
          <w:vertAlign w:val="superscript"/>
        </w:rPr>
        <w:footnoteRef/>
      </w:r>
      <w:r w:rsidRPr="006D2693">
        <w:rPr>
          <w:sz w:val="20"/>
        </w:rPr>
        <w:t xml:space="preserve"> </w:t>
      </w:r>
      <w:r w:rsidRPr="006D2693">
        <w:rPr>
          <w:i/>
          <w:iCs/>
          <w:sz w:val="20"/>
        </w:rPr>
        <w:t>Duke Energy Ohio ESP III</w:t>
      </w:r>
      <w:r w:rsidRPr="006D2693">
        <w:rPr>
          <w:sz w:val="20"/>
        </w:rPr>
        <w:t xml:space="preserve">, </w:t>
      </w:r>
      <w:r>
        <w:rPr>
          <w:sz w:val="20"/>
        </w:rPr>
        <w:t>Interlocutory Appeal at 11 (August</w:t>
      </w:r>
      <w:r w:rsidRPr="006D2693">
        <w:rPr>
          <w:sz w:val="20"/>
        </w:rPr>
        <w:t xml:space="preserve"> 18, 2014).</w:t>
      </w:r>
    </w:p>
  </w:footnote>
  <w:footnote w:id="16">
    <w:p w:rsidR="00D87C91" w:rsidRDefault="00D87C91" w:rsidP="006D2693">
      <w:pPr>
        <w:spacing w:after="120"/>
      </w:pPr>
      <w:r w:rsidRPr="002B0F5B">
        <w:rPr>
          <w:rStyle w:val="FootnoteCharacters"/>
          <w:sz w:val="20"/>
          <w:vertAlign w:val="superscript"/>
        </w:rPr>
        <w:footnoteRef/>
      </w:r>
      <w:r w:rsidRPr="002B0F5B">
        <w:rPr>
          <w:i/>
          <w:iCs/>
          <w:sz w:val="20"/>
          <w:vertAlign w:val="superscript"/>
        </w:rPr>
        <w:t xml:space="preserve"> </w:t>
      </w:r>
      <w:r w:rsidRPr="006D2693">
        <w:rPr>
          <w:i/>
          <w:iCs/>
          <w:sz w:val="20"/>
        </w:rPr>
        <w:t>Duke Energy Ohio ESP III</w:t>
      </w:r>
      <w:r w:rsidRPr="006D2693">
        <w:rPr>
          <w:sz w:val="20"/>
        </w:rPr>
        <w:t>, Appli</w:t>
      </w:r>
      <w:r>
        <w:rPr>
          <w:sz w:val="20"/>
        </w:rPr>
        <w:t>cation for Rehearing at 3 (September</w:t>
      </w:r>
      <w:r w:rsidRPr="006D2693">
        <w:rPr>
          <w:sz w:val="20"/>
        </w:rPr>
        <w:t xml:space="preserve"> 26, 2014).</w:t>
      </w:r>
    </w:p>
  </w:footnote>
  <w:footnote w:id="17">
    <w:p w:rsidR="00D87C91" w:rsidRDefault="00D87C91" w:rsidP="006D2693">
      <w:pPr>
        <w:spacing w:after="120"/>
      </w:pPr>
      <w:r w:rsidRPr="002B0F5B">
        <w:rPr>
          <w:rStyle w:val="FootnoteCharacters"/>
          <w:sz w:val="20"/>
          <w:vertAlign w:val="superscript"/>
        </w:rPr>
        <w:footnoteRef/>
      </w:r>
      <w:r w:rsidRPr="002B0F5B">
        <w:rPr>
          <w:sz w:val="20"/>
          <w:vertAlign w:val="superscript"/>
        </w:rPr>
        <w:t xml:space="preserve"> </w:t>
      </w:r>
      <w:r w:rsidRPr="006D2693">
        <w:rPr>
          <w:i/>
          <w:iCs/>
          <w:sz w:val="20"/>
        </w:rPr>
        <w:t>Duke Energy Ohio ESP III</w:t>
      </w:r>
      <w:r w:rsidRPr="006D2693">
        <w:rPr>
          <w:sz w:val="20"/>
        </w:rPr>
        <w:t>, Memorandum in Support of Application</w:t>
      </w:r>
      <w:r>
        <w:rPr>
          <w:sz w:val="20"/>
        </w:rPr>
        <w:t xml:space="preserve"> for Rehearing at 7 (September</w:t>
      </w:r>
      <w:r w:rsidRPr="006D2693">
        <w:rPr>
          <w:sz w:val="20"/>
        </w:rPr>
        <w:t xml:space="preserve"> 26, 2014).</w:t>
      </w:r>
    </w:p>
  </w:footnote>
  <w:footnote w:id="18">
    <w:p w:rsidR="00D87C91" w:rsidRDefault="00D87C91" w:rsidP="00211DE2">
      <w:pPr>
        <w:pStyle w:val="FootnoteText"/>
        <w:spacing w:after="120"/>
      </w:pPr>
      <w:r>
        <w:rPr>
          <w:rStyle w:val="FootnoteReference"/>
        </w:rPr>
        <w:footnoteRef/>
      </w:r>
      <w:r>
        <w:t xml:space="preserve"> </w:t>
      </w:r>
      <w:r w:rsidR="00910518">
        <w:rPr>
          <w:i/>
        </w:rPr>
        <w:t>Duke Energy Ohio ESP III</w:t>
      </w:r>
      <w:r w:rsidR="00910518">
        <w:t>, Transcript at 49 (Aug</w:t>
      </w:r>
      <w:r w:rsidR="00737C78">
        <w:t>ust</w:t>
      </w:r>
      <w:r w:rsidR="00910518">
        <w:t xml:space="preserve"> 20, 2014).</w:t>
      </w:r>
    </w:p>
  </w:footnote>
  <w:footnote w:id="19">
    <w:p w:rsidR="00D87C91" w:rsidRDefault="00D87C91" w:rsidP="00211DE2">
      <w:pPr>
        <w:pStyle w:val="FootnoteText"/>
        <w:spacing w:after="120"/>
      </w:pPr>
      <w:r>
        <w:rPr>
          <w:rStyle w:val="FootnoteReference"/>
        </w:rPr>
        <w:footnoteRef/>
      </w:r>
      <w:r>
        <w:t xml:space="preserve"> </w:t>
      </w:r>
      <w:r w:rsidR="00910518">
        <w:rPr>
          <w:i/>
        </w:rPr>
        <w:t>Duke Energy Ohio ESP III</w:t>
      </w:r>
      <w:r w:rsidR="00910518">
        <w:t>, Entry at 5 (August 27, 2014).</w:t>
      </w:r>
    </w:p>
  </w:footnote>
  <w:footnote w:id="20">
    <w:p w:rsidR="00D87C91" w:rsidRDefault="00D87C91" w:rsidP="00211DE2">
      <w:pPr>
        <w:pStyle w:val="FootnoteText"/>
        <w:spacing w:after="120"/>
      </w:pPr>
      <w:r>
        <w:rPr>
          <w:rStyle w:val="FootnoteReference"/>
        </w:rPr>
        <w:footnoteRef/>
      </w:r>
      <w:r>
        <w:t xml:space="preserve"> </w:t>
      </w:r>
      <w:r w:rsidR="00910518">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9A" w:rsidRDefault="00AA20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9A" w:rsidRDefault="00AA20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9A" w:rsidRDefault="00AA20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80B51"/>
    <w:multiLevelType w:val="hybridMultilevel"/>
    <w:tmpl w:val="71DC7BDE"/>
    <w:lvl w:ilvl="0" w:tplc="5F629862">
      <w:start w:val="1"/>
      <w:numFmt w:val="upperRoman"/>
      <w:lvlText w:val="%1."/>
      <w:lvlJc w:val="left"/>
      <w:pPr>
        <w:ind w:left="2880" w:hanging="72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056"/>
    <w:rsid w:val="00051FEA"/>
    <w:rsid w:val="000D3F5C"/>
    <w:rsid w:val="000D64CC"/>
    <w:rsid w:val="00101CAB"/>
    <w:rsid w:val="001633BE"/>
    <w:rsid w:val="00170228"/>
    <w:rsid w:val="0018708B"/>
    <w:rsid w:val="001C29D5"/>
    <w:rsid w:val="001D2544"/>
    <w:rsid w:val="00211DE2"/>
    <w:rsid w:val="00294E1B"/>
    <w:rsid w:val="002A0992"/>
    <w:rsid w:val="002B0F5B"/>
    <w:rsid w:val="002E1F1A"/>
    <w:rsid w:val="00344E8B"/>
    <w:rsid w:val="003D7BAC"/>
    <w:rsid w:val="003E322C"/>
    <w:rsid w:val="00400E55"/>
    <w:rsid w:val="00477F6F"/>
    <w:rsid w:val="004D73BE"/>
    <w:rsid w:val="004F747C"/>
    <w:rsid w:val="005073B5"/>
    <w:rsid w:val="00552104"/>
    <w:rsid w:val="00552B0B"/>
    <w:rsid w:val="00560B5E"/>
    <w:rsid w:val="00597056"/>
    <w:rsid w:val="006713F6"/>
    <w:rsid w:val="00683416"/>
    <w:rsid w:val="006B0E27"/>
    <w:rsid w:val="006C1C87"/>
    <w:rsid w:val="006D2693"/>
    <w:rsid w:val="007113E9"/>
    <w:rsid w:val="00716619"/>
    <w:rsid w:val="00732AA4"/>
    <w:rsid w:val="00737C78"/>
    <w:rsid w:val="00753479"/>
    <w:rsid w:val="007F2447"/>
    <w:rsid w:val="00823107"/>
    <w:rsid w:val="008F7370"/>
    <w:rsid w:val="00910518"/>
    <w:rsid w:val="009256BD"/>
    <w:rsid w:val="009A0280"/>
    <w:rsid w:val="009A73FD"/>
    <w:rsid w:val="009E1D5F"/>
    <w:rsid w:val="00A40661"/>
    <w:rsid w:val="00A45BB9"/>
    <w:rsid w:val="00A52F07"/>
    <w:rsid w:val="00A628F2"/>
    <w:rsid w:val="00AA209A"/>
    <w:rsid w:val="00AB68EC"/>
    <w:rsid w:val="00AD0CD8"/>
    <w:rsid w:val="00B340B8"/>
    <w:rsid w:val="00B91D26"/>
    <w:rsid w:val="00BA4496"/>
    <w:rsid w:val="00BB0D7B"/>
    <w:rsid w:val="00BB73AB"/>
    <w:rsid w:val="00BC3F3D"/>
    <w:rsid w:val="00C37145"/>
    <w:rsid w:val="00C416E2"/>
    <w:rsid w:val="00C57A87"/>
    <w:rsid w:val="00C628B1"/>
    <w:rsid w:val="00C635A5"/>
    <w:rsid w:val="00CB36C4"/>
    <w:rsid w:val="00CD0848"/>
    <w:rsid w:val="00CF1F12"/>
    <w:rsid w:val="00D24DB7"/>
    <w:rsid w:val="00D64F12"/>
    <w:rsid w:val="00D87C91"/>
    <w:rsid w:val="00DA3C97"/>
    <w:rsid w:val="00DB147F"/>
    <w:rsid w:val="00DE1A74"/>
    <w:rsid w:val="00DF0FFE"/>
    <w:rsid w:val="00E45051"/>
    <w:rsid w:val="00E83A8C"/>
    <w:rsid w:val="00EE3C5A"/>
    <w:rsid w:val="00F46167"/>
    <w:rsid w:val="00F63469"/>
    <w:rsid w:val="00FC4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056"/>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597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rPr>
  </w:style>
  <w:style w:type="character" w:customStyle="1" w:styleId="HTMLPreformattedChar">
    <w:name w:val="HTML Preformatted Char"/>
    <w:link w:val="HTMLPreformatted"/>
    <w:uiPriority w:val="99"/>
    <w:rsid w:val="00597056"/>
    <w:rPr>
      <w:rFonts w:ascii="Courier New" w:hAnsi="Courier New" w:cs="Times New Roman"/>
      <w:sz w:val="20"/>
      <w:szCs w:val="20"/>
    </w:rPr>
  </w:style>
  <w:style w:type="paragraph" w:styleId="FootnoteText">
    <w:name w:val="footnote text"/>
    <w:basedOn w:val="Normal"/>
    <w:link w:val="FootnoteTextChar"/>
    <w:uiPriority w:val="99"/>
    <w:semiHidden/>
    <w:rsid w:val="00A52F07"/>
    <w:rPr>
      <w:sz w:val="20"/>
    </w:rPr>
  </w:style>
  <w:style w:type="character" w:customStyle="1" w:styleId="FootnoteTextChar">
    <w:name w:val="Footnote Text Char"/>
    <w:link w:val="FootnoteText"/>
    <w:uiPriority w:val="99"/>
    <w:semiHidden/>
    <w:rsid w:val="00A52F07"/>
    <w:rPr>
      <w:rFonts w:ascii="Times New Roman" w:hAnsi="Times New Roman" w:cs="Times New Roman"/>
      <w:sz w:val="20"/>
      <w:szCs w:val="20"/>
    </w:rPr>
  </w:style>
  <w:style w:type="character" w:styleId="FootnoteReference">
    <w:name w:val="footnote reference"/>
    <w:uiPriority w:val="99"/>
    <w:semiHidden/>
    <w:rsid w:val="00A52F07"/>
    <w:rPr>
      <w:rFonts w:cs="Times New Roman"/>
      <w:vertAlign w:val="superscript"/>
    </w:rPr>
  </w:style>
  <w:style w:type="paragraph" w:customStyle="1" w:styleId="msolistparagraph0">
    <w:name w:val="msolistparagraph"/>
    <w:basedOn w:val="Normal"/>
    <w:uiPriority w:val="99"/>
    <w:rsid w:val="00A628F2"/>
    <w:pPr>
      <w:spacing w:before="100" w:beforeAutospacing="1" w:after="100" w:afterAutospacing="1"/>
      <w:ind w:left="720"/>
    </w:pPr>
    <w:rPr>
      <w:rFonts w:eastAsia="Calibri"/>
      <w:szCs w:val="24"/>
    </w:rPr>
  </w:style>
  <w:style w:type="character" w:styleId="Hyperlink">
    <w:name w:val="Hyperlink"/>
    <w:uiPriority w:val="99"/>
    <w:rsid w:val="00A628F2"/>
    <w:rPr>
      <w:rFonts w:cs="Times New Roman"/>
      <w:color w:val="0000FF"/>
      <w:u w:val="single"/>
    </w:rPr>
  </w:style>
  <w:style w:type="character" w:customStyle="1" w:styleId="FootnoteReference1">
    <w:name w:val="Footnote Reference1"/>
    <w:uiPriority w:val="99"/>
    <w:rsid w:val="006D2693"/>
    <w:rPr>
      <w:rFonts w:cs="Times New Roman"/>
      <w:vertAlign w:val="superscript"/>
    </w:rPr>
  </w:style>
  <w:style w:type="character" w:customStyle="1" w:styleId="FootnoteCharacters">
    <w:name w:val="Footnote Characters"/>
    <w:uiPriority w:val="99"/>
    <w:rsid w:val="006D2693"/>
  </w:style>
  <w:style w:type="paragraph" w:customStyle="1" w:styleId="FootnoteText1">
    <w:name w:val="Footnote Text1"/>
    <w:basedOn w:val="Normal"/>
    <w:uiPriority w:val="99"/>
    <w:rsid w:val="006D2693"/>
    <w:pPr>
      <w:suppressAutoHyphens/>
      <w:spacing w:line="100" w:lineRule="atLeast"/>
    </w:pPr>
    <w:rPr>
      <w:rFonts w:ascii="Calibri" w:eastAsia="SimSun" w:hAnsi="Calibri" w:cs="Calibri"/>
      <w:sz w:val="20"/>
      <w:lang w:eastAsia="ar-SA"/>
    </w:rPr>
  </w:style>
  <w:style w:type="paragraph" w:styleId="ListParagraph">
    <w:name w:val="List Paragraph"/>
    <w:basedOn w:val="Normal"/>
    <w:uiPriority w:val="99"/>
    <w:qFormat/>
    <w:rsid w:val="006D2693"/>
    <w:pPr>
      <w:ind w:left="720"/>
    </w:pPr>
  </w:style>
  <w:style w:type="paragraph" w:styleId="BalloonText">
    <w:name w:val="Balloon Text"/>
    <w:basedOn w:val="Normal"/>
    <w:link w:val="BalloonTextChar"/>
    <w:uiPriority w:val="99"/>
    <w:semiHidden/>
    <w:rsid w:val="00D64F12"/>
    <w:rPr>
      <w:rFonts w:ascii="Tahoma" w:hAnsi="Tahoma" w:cs="Tahoma"/>
      <w:sz w:val="16"/>
      <w:szCs w:val="16"/>
    </w:rPr>
  </w:style>
  <w:style w:type="character" w:customStyle="1" w:styleId="BalloonTextChar">
    <w:name w:val="Balloon Text Char"/>
    <w:link w:val="BalloonText"/>
    <w:uiPriority w:val="99"/>
    <w:semiHidden/>
    <w:rsid w:val="009B766E"/>
    <w:rPr>
      <w:rFonts w:ascii="Times New Roman" w:eastAsia="Times New Roman" w:hAnsi="Times New Roman"/>
      <w:sz w:val="0"/>
      <w:szCs w:val="0"/>
    </w:rPr>
  </w:style>
  <w:style w:type="paragraph" w:styleId="Header">
    <w:name w:val="header"/>
    <w:basedOn w:val="Normal"/>
    <w:link w:val="HeaderChar"/>
    <w:uiPriority w:val="99"/>
    <w:unhideWhenUsed/>
    <w:rsid w:val="002B0F5B"/>
    <w:pPr>
      <w:tabs>
        <w:tab w:val="center" w:pos="4680"/>
        <w:tab w:val="right" w:pos="9360"/>
      </w:tabs>
    </w:pPr>
  </w:style>
  <w:style w:type="character" w:customStyle="1" w:styleId="HeaderChar">
    <w:name w:val="Header Char"/>
    <w:link w:val="Header"/>
    <w:uiPriority w:val="99"/>
    <w:rsid w:val="002B0F5B"/>
    <w:rPr>
      <w:rFonts w:ascii="Times New Roman" w:eastAsia="Times New Roman" w:hAnsi="Times New Roman"/>
      <w:sz w:val="24"/>
      <w:szCs w:val="20"/>
    </w:rPr>
  </w:style>
  <w:style w:type="paragraph" w:styleId="Footer">
    <w:name w:val="footer"/>
    <w:aliases w:val="Char1"/>
    <w:basedOn w:val="Normal"/>
    <w:link w:val="FooterChar"/>
    <w:uiPriority w:val="99"/>
    <w:unhideWhenUsed/>
    <w:rsid w:val="002B0F5B"/>
    <w:pPr>
      <w:tabs>
        <w:tab w:val="center" w:pos="4680"/>
        <w:tab w:val="right" w:pos="9360"/>
      </w:tabs>
    </w:pPr>
  </w:style>
  <w:style w:type="character" w:customStyle="1" w:styleId="FooterChar">
    <w:name w:val="Footer Char"/>
    <w:aliases w:val="Char1 Char"/>
    <w:link w:val="Footer"/>
    <w:uiPriority w:val="99"/>
    <w:rsid w:val="002B0F5B"/>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056"/>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597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rPr>
  </w:style>
  <w:style w:type="character" w:customStyle="1" w:styleId="HTMLPreformattedChar">
    <w:name w:val="HTML Preformatted Char"/>
    <w:link w:val="HTMLPreformatted"/>
    <w:uiPriority w:val="99"/>
    <w:rsid w:val="00597056"/>
    <w:rPr>
      <w:rFonts w:ascii="Courier New" w:hAnsi="Courier New" w:cs="Times New Roman"/>
      <w:sz w:val="20"/>
      <w:szCs w:val="20"/>
    </w:rPr>
  </w:style>
  <w:style w:type="paragraph" w:styleId="FootnoteText">
    <w:name w:val="footnote text"/>
    <w:basedOn w:val="Normal"/>
    <w:link w:val="FootnoteTextChar"/>
    <w:uiPriority w:val="99"/>
    <w:semiHidden/>
    <w:rsid w:val="00A52F07"/>
    <w:rPr>
      <w:sz w:val="20"/>
    </w:rPr>
  </w:style>
  <w:style w:type="character" w:customStyle="1" w:styleId="FootnoteTextChar">
    <w:name w:val="Footnote Text Char"/>
    <w:link w:val="FootnoteText"/>
    <w:uiPriority w:val="99"/>
    <w:semiHidden/>
    <w:rsid w:val="00A52F07"/>
    <w:rPr>
      <w:rFonts w:ascii="Times New Roman" w:hAnsi="Times New Roman" w:cs="Times New Roman"/>
      <w:sz w:val="20"/>
      <w:szCs w:val="20"/>
    </w:rPr>
  </w:style>
  <w:style w:type="character" w:styleId="FootnoteReference">
    <w:name w:val="footnote reference"/>
    <w:uiPriority w:val="99"/>
    <w:semiHidden/>
    <w:rsid w:val="00A52F07"/>
    <w:rPr>
      <w:rFonts w:cs="Times New Roman"/>
      <w:vertAlign w:val="superscript"/>
    </w:rPr>
  </w:style>
  <w:style w:type="paragraph" w:customStyle="1" w:styleId="msolistparagraph0">
    <w:name w:val="msolistparagraph"/>
    <w:basedOn w:val="Normal"/>
    <w:uiPriority w:val="99"/>
    <w:rsid w:val="00A628F2"/>
    <w:pPr>
      <w:spacing w:before="100" w:beforeAutospacing="1" w:after="100" w:afterAutospacing="1"/>
      <w:ind w:left="720"/>
    </w:pPr>
    <w:rPr>
      <w:rFonts w:eastAsia="Calibri"/>
      <w:szCs w:val="24"/>
    </w:rPr>
  </w:style>
  <w:style w:type="character" w:styleId="Hyperlink">
    <w:name w:val="Hyperlink"/>
    <w:uiPriority w:val="99"/>
    <w:rsid w:val="00A628F2"/>
    <w:rPr>
      <w:rFonts w:cs="Times New Roman"/>
      <w:color w:val="0000FF"/>
      <w:u w:val="single"/>
    </w:rPr>
  </w:style>
  <w:style w:type="character" w:customStyle="1" w:styleId="FootnoteReference1">
    <w:name w:val="Footnote Reference1"/>
    <w:uiPriority w:val="99"/>
    <w:rsid w:val="006D2693"/>
    <w:rPr>
      <w:rFonts w:cs="Times New Roman"/>
      <w:vertAlign w:val="superscript"/>
    </w:rPr>
  </w:style>
  <w:style w:type="character" w:customStyle="1" w:styleId="FootnoteCharacters">
    <w:name w:val="Footnote Characters"/>
    <w:uiPriority w:val="99"/>
    <w:rsid w:val="006D2693"/>
  </w:style>
  <w:style w:type="paragraph" w:customStyle="1" w:styleId="FootnoteText1">
    <w:name w:val="Footnote Text1"/>
    <w:basedOn w:val="Normal"/>
    <w:uiPriority w:val="99"/>
    <w:rsid w:val="006D2693"/>
    <w:pPr>
      <w:suppressAutoHyphens/>
      <w:spacing w:line="100" w:lineRule="atLeast"/>
    </w:pPr>
    <w:rPr>
      <w:rFonts w:ascii="Calibri" w:eastAsia="SimSun" w:hAnsi="Calibri" w:cs="Calibri"/>
      <w:sz w:val="20"/>
      <w:lang w:eastAsia="ar-SA"/>
    </w:rPr>
  </w:style>
  <w:style w:type="paragraph" w:styleId="ListParagraph">
    <w:name w:val="List Paragraph"/>
    <w:basedOn w:val="Normal"/>
    <w:uiPriority w:val="99"/>
    <w:qFormat/>
    <w:rsid w:val="006D2693"/>
    <w:pPr>
      <w:ind w:left="720"/>
    </w:pPr>
  </w:style>
  <w:style w:type="paragraph" w:styleId="BalloonText">
    <w:name w:val="Balloon Text"/>
    <w:basedOn w:val="Normal"/>
    <w:link w:val="BalloonTextChar"/>
    <w:uiPriority w:val="99"/>
    <w:semiHidden/>
    <w:rsid w:val="00D64F12"/>
    <w:rPr>
      <w:rFonts w:ascii="Tahoma" w:hAnsi="Tahoma" w:cs="Tahoma"/>
      <w:sz w:val="16"/>
      <w:szCs w:val="16"/>
    </w:rPr>
  </w:style>
  <w:style w:type="character" w:customStyle="1" w:styleId="BalloonTextChar">
    <w:name w:val="Balloon Text Char"/>
    <w:link w:val="BalloonText"/>
    <w:uiPriority w:val="99"/>
    <w:semiHidden/>
    <w:rsid w:val="009B766E"/>
    <w:rPr>
      <w:rFonts w:ascii="Times New Roman" w:eastAsia="Times New Roman" w:hAnsi="Times New Roman"/>
      <w:sz w:val="0"/>
      <w:szCs w:val="0"/>
    </w:rPr>
  </w:style>
  <w:style w:type="paragraph" w:styleId="Header">
    <w:name w:val="header"/>
    <w:basedOn w:val="Normal"/>
    <w:link w:val="HeaderChar"/>
    <w:uiPriority w:val="99"/>
    <w:unhideWhenUsed/>
    <w:rsid w:val="002B0F5B"/>
    <w:pPr>
      <w:tabs>
        <w:tab w:val="center" w:pos="4680"/>
        <w:tab w:val="right" w:pos="9360"/>
      </w:tabs>
    </w:pPr>
  </w:style>
  <w:style w:type="character" w:customStyle="1" w:styleId="HeaderChar">
    <w:name w:val="Header Char"/>
    <w:link w:val="Header"/>
    <w:uiPriority w:val="99"/>
    <w:rsid w:val="002B0F5B"/>
    <w:rPr>
      <w:rFonts w:ascii="Times New Roman" w:eastAsia="Times New Roman" w:hAnsi="Times New Roman"/>
      <w:sz w:val="24"/>
      <w:szCs w:val="20"/>
    </w:rPr>
  </w:style>
  <w:style w:type="paragraph" w:styleId="Footer">
    <w:name w:val="footer"/>
    <w:aliases w:val="Char1"/>
    <w:basedOn w:val="Normal"/>
    <w:link w:val="FooterChar"/>
    <w:uiPriority w:val="99"/>
    <w:unhideWhenUsed/>
    <w:rsid w:val="002B0F5B"/>
    <w:pPr>
      <w:tabs>
        <w:tab w:val="center" w:pos="4680"/>
        <w:tab w:val="right" w:pos="9360"/>
      </w:tabs>
    </w:pPr>
  </w:style>
  <w:style w:type="character" w:customStyle="1" w:styleId="FooterChar">
    <w:name w:val="Footer Char"/>
    <w:aliases w:val="Char1 Char"/>
    <w:link w:val="Footer"/>
    <w:uiPriority w:val="99"/>
    <w:rsid w:val="002B0F5B"/>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dborchers@bricker.com" TargetMode="External"/><Relationship Id="rId26" Type="http://schemas.openxmlformats.org/officeDocument/2006/relationships/hyperlink" Target="mailto:Judi.sobecki@aes.com" TargetMode="External"/><Relationship Id="rId39" Type="http://schemas.openxmlformats.org/officeDocument/2006/relationships/hyperlink" Target="mailto:dmason@ralaw.com" TargetMode="External"/><Relationship Id="rId21" Type="http://schemas.openxmlformats.org/officeDocument/2006/relationships/hyperlink" Target="mailto:Ryan.orourke@puc.state.oh.us" TargetMode="External"/><Relationship Id="rId34" Type="http://schemas.openxmlformats.org/officeDocument/2006/relationships/hyperlink" Target="mailto:mkimbrough@keglerbrown.com" TargetMode="External"/><Relationship Id="rId42" Type="http://schemas.openxmlformats.org/officeDocument/2006/relationships/hyperlink" Target="mailto:Christine.pirik@puc.state.oh.us" TargetMode="External"/><Relationship Id="rId47" Type="http://schemas.openxmlformats.org/officeDocument/2006/relationships/hyperlink" Target="mailto:Jeanne.Kingery@duke-energy.com" TargetMode="External"/><Relationship Id="rId50" Type="http://schemas.openxmlformats.org/officeDocument/2006/relationships/hyperlink" Target="mailto:scasto@firstenergycorp.com" TargetMode="External"/><Relationship Id="rId55" Type="http://schemas.openxmlformats.org/officeDocument/2006/relationships/hyperlink" Target="mailto:fdarr@mwncmh.com" TargetMode="External"/><Relationship Id="rId63" Type="http://schemas.openxmlformats.org/officeDocument/2006/relationships/hyperlink" Target="mailto:tobrien@bricker.com"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Edmund.Berger@occ.ohio.gov" TargetMode="External"/><Relationship Id="rId29" Type="http://schemas.openxmlformats.org/officeDocument/2006/relationships/hyperlink" Target="mailto:cmooney@ohiopartners.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jkylercohn@BKLlawfirm.com" TargetMode="External"/><Relationship Id="rId32" Type="http://schemas.openxmlformats.org/officeDocument/2006/relationships/hyperlink" Target="mailto:yalami@aep.com" TargetMode="External"/><Relationship Id="rId37" Type="http://schemas.openxmlformats.org/officeDocument/2006/relationships/hyperlink" Target="mailto:mjsettineri@vorys.com" TargetMode="External"/><Relationship Id="rId40" Type="http://schemas.openxmlformats.org/officeDocument/2006/relationships/hyperlink" Target="mailto:mtraven@ralaw.com" TargetMode="External"/><Relationship Id="rId45" Type="http://schemas.openxmlformats.org/officeDocument/2006/relationships/hyperlink" Target="mailto:Elizabeth.watts@duke-energy.com" TargetMode="External"/><Relationship Id="rId53" Type="http://schemas.openxmlformats.org/officeDocument/2006/relationships/hyperlink" Target="mailto:joseph.clark@directenergy.com" TargetMode="External"/><Relationship Id="rId58" Type="http://schemas.openxmlformats.org/officeDocument/2006/relationships/hyperlink" Target="mailto:tdougherty@theOEC.org" TargetMode="External"/><Relationship Id="rId66" Type="http://schemas.openxmlformats.org/officeDocument/2006/relationships/hyperlink" Target="mailto:tony.mendoza@sierraclub.org" TargetMode="External"/><Relationship Id="rId5" Type="http://schemas.openxmlformats.org/officeDocument/2006/relationships/webSettings" Target="webSettings.xml"/><Relationship Id="rId15" Type="http://schemas.openxmlformats.org/officeDocument/2006/relationships/hyperlink" Target="mailto:Joseph.Serio@occ.ohio.gov" TargetMode="External"/><Relationship Id="rId23" Type="http://schemas.openxmlformats.org/officeDocument/2006/relationships/hyperlink" Target="mailto:mkurtz@BKLlawfirm.com" TargetMode="External"/><Relationship Id="rId28" Type="http://schemas.openxmlformats.org/officeDocument/2006/relationships/hyperlink" Target="mailto:Allison@carpenterlipps.com" TargetMode="External"/><Relationship Id="rId36" Type="http://schemas.openxmlformats.org/officeDocument/2006/relationships/hyperlink" Target="mailto:mhpetricoff@vorys.com" TargetMode="External"/><Relationship Id="rId49" Type="http://schemas.openxmlformats.org/officeDocument/2006/relationships/hyperlink" Target="mailto:jmcdermott@firstenergycorp.com" TargetMode="External"/><Relationship Id="rId57" Type="http://schemas.openxmlformats.org/officeDocument/2006/relationships/hyperlink" Target="mailto:callwein@wamenergylaw.com" TargetMode="External"/><Relationship Id="rId61" Type="http://schemas.openxmlformats.org/officeDocument/2006/relationships/hyperlink" Target="mailto:gpoulos@enernoc.com" TargetMode="External"/><Relationship Id="rId10" Type="http://schemas.openxmlformats.org/officeDocument/2006/relationships/footer" Target="footer1.xml"/><Relationship Id="rId19" Type="http://schemas.openxmlformats.org/officeDocument/2006/relationships/hyperlink" Target="mailto:Steven.beeler@puc.state.oh.us" TargetMode="External"/><Relationship Id="rId31" Type="http://schemas.openxmlformats.org/officeDocument/2006/relationships/hyperlink" Target="mailto:mjsatterwhite@aep.com" TargetMode="External"/><Relationship Id="rId44" Type="http://schemas.openxmlformats.org/officeDocument/2006/relationships/hyperlink" Target="mailto:Amy.Spiller@duke-energy.com" TargetMode="External"/><Relationship Id="rId52" Type="http://schemas.openxmlformats.org/officeDocument/2006/relationships/hyperlink" Target="mailto:mswhite@igsenergy.com" TargetMode="External"/><Relationship Id="rId60" Type="http://schemas.openxmlformats.org/officeDocument/2006/relationships/hyperlink" Target="mailto:cloucas@ohiopartners.org" TargetMode="External"/><Relationship Id="rId65" Type="http://schemas.openxmlformats.org/officeDocument/2006/relationships/hyperlink" Target="mailto:jvickers@elpc.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aureen.Grady@occ.ohio.gov" TargetMode="External"/><Relationship Id="rId22" Type="http://schemas.openxmlformats.org/officeDocument/2006/relationships/hyperlink" Target="mailto:dboehm@BKLlawfirm.com" TargetMode="External"/><Relationship Id="rId27" Type="http://schemas.openxmlformats.org/officeDocument/2006/relationships/hyperlink" Target="mailto:Bojko@carpenterlipps.com" TargetMode="External"/><Relationship Id="rId30" Type="http://schemas.openxmlformats.org/officeDocument/2006/relationships/hyperlink" Target="mailto:stnourse@aep.com" TargetMode="External"/><Relationship Id="rId35" Type="http://schemas.openxmlformats.org/officeDocument/2006/relationships/hyperlink" Target="mailto:hussey@carpenterlipps.com" TargetMode="External"/><Relationship Id="rId43" Type="http://schemas.openxmlformats.org/officeDocument/2006/relationships/hyperlink" Target="mailto:Nicholas.walstra@puc.state.oh.us" TargetMode="External"/><Relationship Id="rId48" Type="http://schemas.openxmlformats.org/officeDocument/2006/relationships/hyperlink" Target="mailto:haydenm@firstenergycorp.com" TargetMode="External"/><Relationship Id="rId56" Type="http://schemas.openxmlformats.org/officeDocument/2006/relationships/hyperlink" Target="mailto:mpritchard@mwncmh.com" TargetMode="External"/><Relationship Id="rId64" Type="http://schemas.openxmlformats.org/officeDocument/2006/relationships/hyperlink" Target="mailto:ghull@eckertseamans.com" TargetMode="Externa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mailto:joliker@igsenergy.com" TargetMode="Externa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yperlink" Target="mailto:dstinson@bricker.com" TargetMode="External"/><Relationship Id="rId25" Type="http://schemas.openxmlformats.org/officeDocument/2006/relationships/hyperlink" Target="mailto:Schmidt@sppgrp.com" TargetMode="External"/><Relationship Id="rId33" Type="http://schemas.openxmlformats.org/officeDocument/2006/relationships/hyperlink" Target="mailto:asonderman@keglerbrown.com" TargetMode="External"/><Relationship Id="rId38" Type="http://schemas.openxmlformats.org/officeDocument/2006/relationships/hyperlink" Target="mailto:glpetrucci@vorys.com" TargetMode="External"/><Relationship Id="rId46" Type="http://schemas.openxmlformats.org/officeDocument/2006/relationships/hyperlink" Target="mailto:Rocco.dascenzo@duke-energy.com" TargetMode="External"/><Relationship Id="rId59" Type="http://schemas.openxmlformats.org/officeDocument/2006/relationships/hyperlink" Target="mailto:dhart@douglasehart.com" TargetMode="External"/><Relationship Id="rId67" Type="http://schemas.openxmlformats.org/officeDocument/2006/relationships/footer" Target="footer4.xml"/><Relationship Id="rId20" Type="http://schemas.openxmlformats.org/officeDocument/2006/relationships/hyperlink" Target="mailto:Thomas.lindgren@puc.state.oh.us" TargetMode="External"/><Relationship Id="rId41" Type="http://schemas.openxmlformats.org/officeDocument/2006/relationships/hyperlink" Target="mailto:rchamberlain@okenergylaw.com" TargetMode="External"/><Relationship Id="rId54" Type="http://schemas.openxmlformats.org/officeDocument/2006/relationships/hyperlink" Target="mailto:sam@mwncmh.com" TargetMode="External"/><Relationship Id="rId62" Type="http://schemas.openxmlformats.org/officeDocument/2006/relationships/hyperlink" Target="mailto:swilliams@nr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1690</Words>
  <Characters>10115</Characters>
  <Application>Microsoft Office Word</Application>
  <DocSecurity>0</DocSecurity>
  <Lines>269</Lines>
  <Paragraphs>126</Paragraphs>
  <ScaleCrop>false</ScaleCrop>
  <HeadingPairs>
    <vt:vector size="2" baseType="variant">
      <vt:variant>
        <vt:lpstr>Title</vt:lpstr>
      </vt:variant>
      <vt:variant>
        <vt:i4>1</vt:i4>
      </vt:variant>
    </vt:vector>
  </HeadingPairs>
  <TitlesOfParts>
    <vt:vector size="1" baseType="lpstr">
      <vt:lpstr>BEFORE</vt:lpstr>
    </vt:vector>
  </TitlesOfParts>
  <Manager/>
  <Company/>
  <LinksUpToDate>false</LinksUpToDate>
  <CharactersWithSpaces>11785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2014-10-06T20:30:00Z</dcterms:created>
  <dcterms:modified xsi:type="dcterms:W3CDTF">2014-10-06T20:30:00Z</dcterms:modified>
  <cp:category> </cp:category>
  <cp:contentStatus> </cp:contentStatus>
</cp:coreProperties>
</file>