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86" w:rsidRDefault="00053086" w:rsidP="00D73FB9">
      <w:pPr>
        <w:spacing w:after="0" w:line="240" w:lineRule="auto"/>
        <w:rPr>
          <w:rFonts w:ascii="Times New Roman" w:hAnsi="Times New Roman"/>
          <w:sz w:val="24"/>
          <w:szCs w:val="24"/>
        </w:rPr>
      </w:pPr>
    </w:p>
    <w:p w:rsidR="00115088" w:rsidRDefault="00053086" w:rsidP="004134E8">
      <w:pPr>
        <w:spacing w:after="0" w:line="240" w:lineRule="auto"/>
        <w:jc w:val="center"/>
        <w:rPr>
          <w:rFonts w:ascii="Times New Roman" w:hAnsi="Times New Roman"/>
          <w:b/>
          <w:bCs/>
          <w:sz w:val="24"/>
          <w:szCs w:val="24"/>
        </w:rPr>
      </w:pPr>
      <w:r>
        <w:rPr>
          <w:rFonts w:ascii="Times New Roman" w:hAnsi="Times New Roman"/>
          <w:b/>
          <w:bCs/>
          <w:sz w:val="24"/>
          <w:szCs w:val="24"/>
        </w:rPr>
        <w:t>BEFORE</w:t>
      </w:r>
      <w:r w:rsidRPr="00CC02C7">
        <w:rPr>
          <w:rFonts w:ascii="Times New Roman" w:hAnsi="Times New Roman"/>
          <w:b/>
          <w:bCs/>
          <w:sz w:val="24"/>
          <w:szCs w:val="24"/>
        </w:rPr>
        <w:t xml:space="preserve"> </w:t>
      </w:r>
    </w:p>
    <w:p w:rsidR="00053086" w:rsidRPr="00CC02C7" w:rsidRDefault="00053086" w:rsidP="004134E8">
      <w:pPr>
        <w:spacing w:after="0" w:line="240" w:lineRule="auto"/>
        <w:jc w:val="center"/>
        <w:rPr>
          <w:rFonts w:ascii="Times New Roman" w:hAnsi="Times New Roman"/>
          <w:b/>
          <w:bCs/>
          <w:sz w:val="24"/>
          <w:szCs w:val="24"/>
        </w:rPr>
      </w:pPr>
      <w:r w:rsidRPr="00CC02C7">
        <w:rPr>
          <w:rFonts w:ascii="Times New Roman" w:hAnsi="Times New Roman"/>
          <w:b/>
          <w:bCs/>
          <w:sz w:val="24"/>
          <w:szCs w:val="24"/>
        </w:rPr>
        <w:t xml:space="preserve">THE </w:t>
      </w:r>
      <w:r>
        <w:rPr>
          <w:rFonts w:ascii="Times New Roman" w:hAnsi="Times New Roman"/>
          <w:b/>
          <w:bCs/>
          <w:sz w:val="24"/>
          <w:szCs w:val="24"/>
        </w:rPr>
        <w:t>PUBLIC</w:t>
      </w:r>
      <w:r w:rsidR="006F5F88">
        <w:rPr>
          <w:rFonts w:ascii="Times New Roman" w:hAnsi="Times New Roman"/>
          <w:b/>
          <w:bCs/>
          <w:sz w:val="24"/>
          <w:szCs w:val="24"/>
        </w:rPr>
        <w:t xml:space="preserve"> </w:t>
      </w:r>
      <w:r>
        <w:rPr>
          <w:rFonts w:ascii="Times New Roman" w:hAnsi="Times New Roman"/>
          <w:b/>
          <w:bCs/>
          <w:sz w:val="24"/>
          <w:szCs w:val="24"/>
        </w:rPr>
        <w:t>UTILITIES</w:t>
      </w:r>
      <w:r w:rsidRPr="00CC02C7">
        <w:rPr>
          <w:rFonts w:ascii="Times New Roman" w:hAnsi="Times New Roman"/>
          <w:b/>
          <w:bCs/>
          <w:sz w:val="24"/>
          <w:szCs w:val="24"/>
        </w:rPr>
        <w:t xml:space="preserve"> COMMISSION</w:t>
      </w:r>
      <w:r>
        <w:rPr>
          <w:rFonts w:ascii="Times New Roman" w:hAnsi="Times New Roman"/>
          <w:b/>
          <w:bCs/>
          <w:sz w:val="24"/>
          <w:szCs w:val="24"/>
        </w:rPr>
        <w:t xml:space="preserve"> OF OHIO</w:t>
      </w:r>
    </w:p>
    <w:p w:rsidR="00053086" w:rsidRDefault="00053086" w:rsidP="00CC02C7">
      <w:pPr>
        <w:spacing w:after="0" w:line="240" w:lineRule="auto"/>
        <w:rPr>
          <w:rFonts w:ascii="Times New Roman" w:hAnsi="Times New Roman"/>
          <w:b/>
          <w:bCs/>
          <w:sz w:val="24"/>
          <w:szCs w:val="24"/>
        </w:rPr>
      </w:pPr>
    </w:p>
    <w:p w:rsidR="00053086" w:rsidRDefault="00053086" w:rsidP="00CC02C7">
      <w:pPr>
        <w:spacing w:after="0" w:line="240" w:lineRule="auto"/>
        <w:rPr>
          <w:rFonts w:ascii="Times New Roman" w:hAnsi="Times New Roman"/>
          <w:b/>
          <w:bCs/>
          <w:sz w:val="24"/>
          <w:szCs w:val="24"/>
        </w:rPr>
      </w:pPr>
    </w:p>
    <w:p w:rsidR="00053086" w:rsidRDefault="00053086" w:rsidP="00CC02C7">
      <w:pPr>
        <w:spacing w:after="0" w:line="240" w:lineRule="auto"/>
        <w:rPr>
          <w:rFonts w:ascii="Times New Roman" w:hAnsi="Times New Roman"/>
          <w:b/>
          <w:bCs/>
          <w:sz w:val="24"/>
          <w:szCs w:val="24"/>
        </w:rPr>
      </w:pPr>
    </w:p>
    <w:p w:rsidR="00053086" w:rsidRPr="00CC02C7" w:rsidRDefault="00053086" w:rsidP="00CC02C7">
      <w:pPr>
        <w:spacing w:after="0" w:line="240" w:lineRule="auto"/>
        <w:rPr>
          <w:rFonts w:ascii="Times New Roman" w:hAnsi="Times New Roman"/>
          <w:b/>
          <w:bCs/>
          <w:sz w:val="24"/>
          <w:szCs w:val="24"/>
        </w:rPr>
      </w:pPr>
    </w:p>
    <w:p w:rsidR="00053086" w:rsidRPr="00CC02C7" w:rsidRDefault="00053086" w:rsidP="00CC02C7">
      <w:pPr>
        <w:spacing w:after="0" w:line="240" w:lineRule="auto"/>
        <w:rPr>
          <w:rFonts w:ascii="Times New Roman" w:hAnsi="Times New Roman"/>
          <w:b/>
          <w:bCs/>
          <w:sz w:val="24"/>
          <w:szCs w:val="24"/>
        </w:rPr>
      </w:pPr>
      <w:r>
        <w:rPr>
          <w:rFonts w:ascii="Times New Roman" w:hAnsi="Times New Roman"/>
          <w:b/>
          <w:bCs/>
          <w:sz w:val="24"/>
          <w:szCs w:val="24"/>
        </w:rPr>
        <w:t xml:space="preserve">In the Matter of the Joint Motion to Modify the </w:t>
      </w:r>
      <w:r>
        <w:rPr>
          <w:rFonts w:ascii="Times New Roman" w:hAnsi="Times New Roman"/>
          <w:b/>
          <w:bCs/>
          <w:sz w:val="24"/>
          <w:szCs w:val="24"/>
        </w:rPr>
        <w:tab/>
      </w:r>
      <w:r>
        <w:rPr>
          <w:rFonts w:ascii="Times New Roman" w:hAnsi="Times New Roman"/>
          <w:b/>
          <w:bCs/>
          <w:sz w:val="24"/>
          <w:szCs w:val="24"/>
        </w:rPr>
        <w:tab/>
        <w:t>)</w:t>
      </w:r>
    </w:p>
    <w:p w:rsidR="00053086" w:rsidRPr="00CC02C7" w:rsidRDefault="00053086" w:rsidP="00CC02C7">
      <w:pPr>
        <w:spacing w:after="0" w:line="240" w:lineRule="auto"/>
        <w:rPr>
          <w:rFonts w:ascii="Times New Roman" w:hAnsi="Times New Roman"/>
          <w:b/>
          <w:bCs/>
          <w:sz w:val="24"/>
          <w:szCs w:val="24"/>
        </w:rPr>
      </w:pPr>
      <w:r>
        <w:rPr>
          <w:rFonts w:ascii="Times New Roman" w:hAnsi="Times New Roman"/>
          <w:b/>
          <w:bCs/>
          <w:sz w:val="24"/>
          <w:szCs w:val="24"/>
        </w:rPr>
        <w:t xml:space="preserve">December 2, 2009 Opinion and Order and the </w:t>
      </w:r>
      <w:r>
        <w:rPr>
          <w:rFonts w:ascii="Times New Roman" w:hAnsi="Times New Roman"/>
          <w:b/>
          <w:bCs/>
          <w:sz w:val="24"/>
          <w:szCs w:val="24"/>
        </w:rPr>
        <w:tab/>
      </w:r>
      <w:r>
        <w:rPr>
          <w:rFonts w:ascii="Times New Roman" w:hAnsi="Times New Roman"/>
          <w:b/>
          <w:bCs/>
          <w:sz w:val="24"/>
          <w:szCs w:val="24"/>
        </w:rPr>
        <w:tab/>
        <w:t>)</w:t>
      </w:r>
      <w:r>
        <w:rPr>
          <w:rFonts w:ascii="Times New Roman" w:hAnsi="Times New Roman"/>
          <w:b/>
          <w:bCs/>
          <w:sz w:val="24"/>
          <w:szCs w:val="24"/>
        </w:rPr>
        <w:tab/>
        <w:t>Case No. 12-</w:t>
      </w:r>
      <w:r w:rsidR="00FE4225">
        <w:rPr>
          <w:rFonts w:ascii="Times New Roman" w:hAnsi="Times New Roman"/>
          <w:b/>
          <w:bCs/>
          <w:sz w:val="24"/>
          <w:szCs w:val="24"/>
        </w:rPr>
        <w:t>2637</w:t>
      </w:r>
      <w:r>
        <w:rPr>
          <w:rFonts w:ascii="Times New Roman" w:hAnsi="Times New Roman"/>
          <w:b/>
          <w:bCs/>
          <w:sz w:val="24"/>
          <w:szCs w:val="24"/>
        </w:rPr>
        <w:t>-GA-EXM</w:t>
      </w:r>
    </w:p>
    <w:p w:rsidR="00053086" w:rsidRPr="00CC02C7" w:rsidRDefault="00053086" w:rsidP="00CC02C7">
      <w:pPr>
        <w:spacing w:after="0" w:line="240" w:lineRule="auto"/>
        <w:rPr>
          <w:rFonts w:ascii="Times New Roman" w:hAnsi="Times New Roman"/>
          <w:b/>
          <w:bCs/>
          <w:sz w:val="24"/>
          <w:szCs w:val="24"/>
        </w:rPr>
      </w:pPr>
      <w:r>
        <w:rPr>
          <w:rFonts w:ascii="Times New Roman" w:hAnsi="Times New Roman"/>
          <w:b/>
          <w:bCs/>
          <w:sz w:val="24"/>
          <w:szCs w:val="24"/>
        </w:rPr>
        <w:t>September 7, 2011 Second Opinion and Order in</w:t>
      </w:r>
      <w:r>
        <w:rPr>
          <w:rFonts w:ascii="Times New Roman" w:hAnsi="Times New Roman"/>
          <w:b/>
          <w:bCs/>
          <w:sz w:val="24"/>
          <w:szCs w:val="24"/>
        </w:rPr>
        <w:tab/>
      </w:r>
      <w:r>
        <w:rPr>
          <w:rFonts w:ascii="Times New Roman" w:hAnsi="Times New Roman"/>
          <w:b/>
          <w:bCs/>
          <w:sz w:val="24"/>
          <w:szCs w:val="24"/>
        </w:rPr>
        <w:tab/>
        <w:t>)</w:t>
      </w:r>
    </w:p>
    <w:p w:rsidR="00053086" w:rsidRPr="00FE4225" w:rsidRDefault="00FE4225" w:rsidP="00D73FB9">
      <w:pPr>
        <w:spacing w:after="0" w:line="240" w:lineRule="auto"/>
        <w:rPr>
          <w:rFonts w:ascii="Times New Roman" w:hAnsi="Times New Roman"/>
          <w:b/>
          <w:sz w:val="24"/>
          <w:szCs w:val="24"/>
        </w:rPr>
      </w:pPr>
      <w:r w:rsidRPr="00FE4225">
        <w:rPr>
          <w:rFonts w:ascii="Times New Roman" w:hAnsi="Times New Roman"/>
          <w:b/>
          <w:sz w:val="24"/>
          <w:szCs w:val="24"/>
        </w:rPr>
        <w:t xml:space="preserve">Case </w:t>
      </w:r>
      <w:r>
        <w:rPr>
          <w:rFonts w:ascii="Times New Roman" w:hAnsi="Times New Roman"/>
          <w:b/>
          <w:sz w:val="24"/>
          <w:szCs w:val="24"/>
        </w:rPr>
        <w:t>No.</w:t>
      </w:r>
      <w:r w:rsidRPr="00FE4225">
        <w:rPr>
          <w:rFonts w:ascii="Times New Roman" w:hAnsi="Times New Roman"/>
          <w:b/>
          <w:sz w:val="24"/>
          <w:szCs w:val="24"/>
        </w:rPr>
        <w:t xml:space="preserve"> 08-1344-GA-EXM</w:t>
      </w:r>
      <w:r w:rsidRPr="00FE4225">
        <w:rPr>
          <w:rFonts w:ascii="Times New Roman" w:hAnsi="Times New Roman"/>
          <w:b/>
          <w:sz w:val="24"/>
          <w:szCs w:val="24"/>
        </w:rPr>
        <w:tab/>
      </w:r>
      <w:r w:rsidRPr="00FE4225">
        <w:rPr>
          <w:rFonts w:ascii="Times New Roman" w:hAnsi="Times New Roman"/>
          <w:b/>
          <w:sz w:val="24"/>
          <w:szCs w:val="24"/>
        </w:rPr>
        <w:tab/>
      </w:r>
      <w:r w:rsidRPr="00FE4225">
        <w:rPr>
          <w:rFonts w:ascii="Times New Roman" w:hAnsi="Times New Roman"/>
          <w:b/>
          <w:sz w:val="24"/>
          <w:szCs w:val="24"/>
        </w:rPr>
        <w:tab/>
      </w:r>
      <w:r w:rsidRPr="00FE4225">
        <w:rPr>
          <w:rFonts w:ascii="Times New Roman" w:hAnsi="Times New Roman"/>
          <w:b/>
          <w:sz w:val="24"/>
          <w:szCs w:val="24"/>
        </w:rPr>
        <w:tab/>
      </w:r>
      <w:r w:rsidRPr="00FE4225">
        <w:rPr>
          <w:rFonts w:ascii="Times New Roman" w:hAnsi="Times New Roman"/>
          <w:b/>
          <w:sz w:val="24"/>
          <w:szCs w:val="24"/>
        </w:rPr>
        <w:tab/>
        <w:t>)</w:t>
      </w:r>
    </w:p>
    <w:p w:rsidR="00053086" w:rsidRDefault="00053086" w:rsidP="00D73FB9">
      <w:pPr>
        <w:spacing w:after="0" w:line="240" w:lineRule="auto"/>
        <w:rPr>
          <w:rFonts w:ascii="Times New Roman" w:hAnsi="Times New Roman"/>
          <w:sz w:val="24"/>
          <w:szCs w:val="24"/>
        </w:rPr>
      </w:pPr>
    </w:p>
    <w:p w:rsidR="00053086" w:rsidRDefault="00053086" w:rsidP="00D73FB9">
      <w:pPr>
        <w:spacing w:after="0" w:line="240" w:lineRule="auto"/>
        <w:rPr>
          <w:rFonts w:ascii="Times New Roman" w:hAnsi="Times New Roman"/>
          <w:sz w:val="24"/>
          <w:szCs w:val="24"/>
        </w:rPr>
      </w:pPr>
    </w:p>
    <w:p w:rsidR="00053086" w:rsidRDefault="00053086" w:rsidP="00D73FB9">
      <w:pPr>
        <w:spacing w:after="0" w:line="240" w:lineRule="auto"/>
        <w:rPr>
          <w:rFonts w:ascii="Times New Roman" w:hAnsi="Times New Roman"/>
          <w:sz w:val="24"/>
          <w:szCs w:val="24"/>
        </w:rPr>
      </w:pPr>
    </w:p>
    <w:p w:rsidR="00053086" w:rsidRDefault="00053086" w:rsidP="00D73FB9">
      <w:pPr>
        <w:spacing w:after="0" w:line="240" w:lineRule="auto"/>
        <w:rPr>
          <w:rFonts w:ascii="Times New Roman" w:hAnsi="Times New Roman"/>
          <w:sz w:val="24"/>
          <w:szCs w:val="24"/>
        </w:rPr>
      </w:pPr>
    </w:p>
    <w:p w:rsidR="00053086" w:rsidRDefault="00053086" w:rsidP="00D73FB9">
      <w:pPr>
        <w:spacing w:after="0" w:line="240" w:lineRule="auto"/>
        <w:rPr>
          <w:rFonts w:ascii="Times New Roman" w:hAnsi="Times New Roman"/>
          <w:sz w:val="24"/>
          <w:szCs w:val="24"/>
        </w:rPr>
      </w:pPr>
    </w:p>
    <w:p w:rsidR="00053086" w:rsidRDefault="00053086" w:rsidP="00D73FB9">
      <w:pPr>
        <w:spacing w:after="0" w:line="240" w:lineRule="auto"/>
        <w:rPr>
          <w:rFonts w:ascii="Times New Roman" w:hAnsi="Times New Roman"/>
          <w:sz w:val="24"/>
          <w:szCs w:val="24"/>
        </w:rPr>
      </w:pPr>
    </w:p>
    <w:p w:rsidR="00053086" w:rsidRDefault="00053086" w:rsidP="00D73FB9">
      <w:pPr>
        <w:spacing w:after="0" w:line="240" w:lineRule="auto"/>
        <w:rPr>
          <w:rFonts w:ascii="Times New Roman" w:hAnsi="Times New Roman"/>
          <w:sz w:val="24"/>
          <w:szCs w:val="24"/>
        </w:rPr>
      </w:pPr>
    </w:p>
    <w:p w:rsidR="00053086" w:rsidRDefault="00053086" w:rsidP="00D73FB9">
      <w:pPr>
        <w:spacing w:after="0" w:line="240" w:lineRule="auto"/>
        <w:rPr>
          <w:rFonts w:ascii="Times New Roman" w:hAnsi="Times New Roman"/>
          <w:sz w:val="24"/>
          <w:szCs w:val="24"/>
        </w:rPr>
      </w:pPr>
    </w:p>
    <w:p w:rsidR="00053086" w:rsidRPr="006C66A0" w:rsidRDefault="00053086" w:rsidP="00D73FB9">
      <w:pPr>
        <w:spacing w:after="0" w:line="240" w:lineRule="auto"/>
        <w:rPr>
          <w:rFonts w:ascii="Times New Roman" w:hAnsi="Times New Roman"/>
          <w:sz w:val="24"/>
          <w:szCs w:val="24"/>
        </w:rPr>
      </w:pPr>
    </w:p>
    <w:p w:rsidR="00053086" w:rsidRPr="006C66A0" w:rsidRDefault="00053086" w:rsidP="00D73FB9">
      <w:pPr>
        <w:spacing w:after="0" w:line="240" w:lineRule="auto"/>
        <w:rPr>
          <w:rFonts w:ascii="Times New Roman" w:hAnsi="Times New Roman"/>
          <w:sz w:val="24"/>
          <w:szCs w:val="24"/>
        </w:rPr>
      </w:pPr>
      <w:r w:rsidRPr="006C66A0">
        <w:rPr>
          <w:rFonts w:ascii="Times New Roman" w:hAnsi="Times New Roman"/>
          <w:sz w:val="24"/>
          <w:szCs w:val="24"/>
        </w:rPr>
        <w:tab/>
      </w:r>
      <w:r w:rsidRPr="006C66A0">
        <w:rPr>
          <w:rFonts w:ascii="Times New Roman" w:hAnsi="Times New Roman"/>
          <w:sz w:val="24"/>
          <w:szCs w:val="24"/>
        </w:rPr>
        <w:tab/>
      </w:r>
      <w:r w:rsidRPr="006C66A0">
        <w:rPr>
          <w:rFonts w:ascii="Times New Roman" w:hAnsi="Times New Roman"/>
          <w:sz w:val="24"/>
          <w:szCs w:val="24"/>
        </w:rPr>
        <w:tab/>
      </w:r>
      <w:r w:rsidRPr="006C66A0">
        <w:rPr>
          <w:rFonts w:ascii="Times New Roman" w:hAnsi="Times New Roman"/>
          <w:sz w:val="24"/>
          <w:szCs w:val="24"/>
        </w:rPr>
        <w:tab/>
      </w:r>
      <w:r w:rsidRPr="006C66A0">
        <w:rPr>
          <w:rFonts w:ascii="Times New Roman" w:hAnsi="Times New Roman"/>
          <w:sz w:val="24"/>
          <w:szCs w:val="24"/>
        </w:rPr>
        <w:tab/>
      </w:r>
      <w:r w:rsidRPr="006C66A0">
        <w:rPr>
          <w:rFonts w:ascii="Times New Roman" w:hAnsi="Times New Roman"/>
          <w:sz w:val="24"/>
          <w:szCs w:val="24"/>
        </w:rPr>
        <w:tab/>
      </w:r>
      <w:r w:rsidRPr="006C66A0">
        <w:rPr>
          <w:rFonts w:ascii="Times New Roman" w:hAnsi="Times New Roman"/>
          <w:sz w:val="24"/>
          <w:szCs w:val="24"/>
        </w:rPr>
        <w:tab/>
      </w:r>
      <w:r w:rsidRPr="006C66A0">
        <w:rPr>
          <w:rFonts w:ascii="Times New Roman" w:hAnsi="Times New Roman"/>
          <w:sz w:val="24"/>
          <w:szCs w:val="24"/>
        </w:rPr>
        <w:tab/>
      </w:r>
    </w:p>
    <w:p w:rsidR="00053086" w:rsidRPr="006C66A0" w:rsidRDefault="00053086" w:rsidP="00940A08">
      <w:pPr>
        <w:spacing w:after="0"/>
        <w:jc w:val="center"/>
        <w:rPr>
          <w:rFonts w:ascii="Times New Roman" w:hAnsi="Times New Roman"/>
          <w:b/>
          <w:sz w:val="24"/>
          <w:szCs w:val="24"/>
        </w:rPr>
      </w:pPr>
      <w:r w:rsidRPr="006C66A0">
        <w:rPr>
          <w:rFonts w:ascii="Times New Roman" w:hAnsi="Times New Roman"/>
          <w:b/>
          <w:sz w:val="24"/>
          <w:szCs w:val="24"/>
        </w:rPr>
        <w:t>________________________________________</w:t>
      </w:r>
    </w:p>
    <w:p w:rsidR="00053086" w:rsidRPr="006C66A0" w:rsidRDefault="00053086" w:rsidP="00940A08">
      <w:pPr>
        <w:spacing w:after="0"/>
        <w:jc w:val="center"/>
        <w:rPr>
          <w:rFonts w:ascii="Times New Roman" w:hAnsi="Times New Roman"/>
          <w:b/>
          <w:sz w:val="24"/>
          <w:szCs w:val="24"/>
        </w:rPr>
      </w:pPr>
    </w:p>
    <w:p w:rsidR="00053086" w:rsidRPr="006C66A0" w:rsidRDefault="00053086" w:rsidP="00940A08">
      <w:pPr>
        <w:spacing w:after="0"/>
        <w:jc w:val="center"/>
        <w:rPr>
          <w:rFonts w:ascii="Times New Roman" w:hAnsi="Times New Roman"/>
          <w:b/>
          <w:sz w:val="24"/>
          <w:szCs w:val="24"/>
        </w:rPr>
      </w:pPr>
      <w:r w:rsidRPr="006C66A0">
        <w:rPr>
          <w:rFonts w:ascii="Times New Roman" w:hAnsi="Times New Roman"/>
          <w:b/>
          <w:sz w:val="24"/>
          <w:szCs w:val="24"/>
        </w:rPr>
        <w:t xml:space="preserve">DIRECT TESTIMONY OF </w:t>
      </w:r>
      <w:r>
        <w:rPr>
          <w:rFonts w:ascii="Times New Roman" w:hAnsi="Times New Roman"/>
          <w:b/>
          <w:sz w:val="24"/>
          <w:szCs w:val="24"/>
        </w:rPr>
        <w:t>RANDY MAGNANI</w:t>
      </w:r>
      <w:r w:rsidRPr="006C66A0">
        <w:rPr>
          <w:rFonts w:ascii="Times New Roman" w:hAnsi="Times New Roman"/>
          <w:b/>
          <w:sz w:val="24"/>
          <w:szCs w:val="24"/>
        </w:rPr>
        <w:t xml:space="preserve"> ON</w:t>
      </w:r>
    </w:p>
    <w:p w:rsidR="00053086" w:rsidRPr="006C66A0" w:rsidRDefault="00053086" w:rsidP="00940A08">
      <w:pPr>
        <w:spacing w:after="0"/>
        <w:jc w:val="center"/>
        <w:rPr>
          <w:rFonts w:ascii="Times New Roman" w:hAnsi="Times New Roman"/>
          <w:b/>
          <w:sz w:val="24"/>
          <w:szCs w:val="24"/>
        </w:rPr>
      </w:pPr>
      <w:r w:rsidRPr="006C66A0">
        <w:rPr>
          <w:rFonts w:ascii="Times New Roman" w:hAnsi="Times New Roman"/>
          <w:b/>
          <w:sz w:val="24"/>
          <w:szCs w:val="24"/>
        </w:rPr>
        <w:t xml:space="preserve">BEHALF OF </w:t>
      </w:r>
      <w:r>
        <w:rPr>
          <w:rFonts w:ascii="Times New Roman" w:hAnsi="Times New Roman"/>
          <w:b/>
          <w:sz w:val="24"/>
          <w:szCs w:val="24"/>
        </w:rPr>
        <w:t>HESS CORPORATION</w:t>
      </w:r>
    </w:p>
    <w:p w:rsidR="00053086" w:rsidRPr="006C66A0" w:rsidRDefault="00053086" w:rsidP="00940A08">
      <w:pPr>
        <w:jc w:val="center"/>
        <w:rPr>
          <w:rFonts w:ascii="Times New Roman" w:hAnsi="Times New Roman"/>
          <w:b/>
          <w:sz w:val="24"/>
          <w:szCs w:val="24"/>
        </w:rPr>
      </w:pPr>
      <w:r w:rsidRPr="006C66A0">
        <w:rPr>
          <w:rFonts w:ascii="Times New Roman" w:hAnsi="Times New Roman"/>
          <w:b/>
          <w:sz w:val="24"/>
          <w:szCs w:val="24"/>
        </w:rPr>
        <w:t>__________________________________________</w:t>
      </w:r>
    </w:p>
    <w:p w:rsidR="00053086" w:rsidRPr="006C66A0" w:rsidRDefault="00053086" w:rsidP="006573D3">
      <w:pPr>
        <w:jc w:val="center"/>
        <w:rPr>
          <w:rFonts w:ascii="Times New Roman" w:hAnsi="Times New Roman"/>
          <w:b/>
          <w:sz w:val="24"/>
          <w:szCs w:val="24"/>
          <w:u w:val="single"/>
        </w:rPr>
      </w:pPr>
    </w:p>
    <w:p w:rsidR="00053086" w:rsidRPr="006C66A0" w:rsidRDefault="00053086" w:rsidP="006573D3">
      <w:pPr>
        <w:jc w:val="center"/>
        <w:rPr>
          <w:rFonts w:ascii="Times New Roman" w:hAnsi="Times New Roman"/>
          <w:b/>
          <w:sz w:val="24"/>
          <w:szCs w:val="24"/>
          <w:u w:val="single"/>
        </w:rPr>
      </w:pPr>
    </w:p>
    <w:p w:rsidR="00053086" w:rsidRPr="006C66A0" w:rsidRDefault="00053086" w:rsidP="006573D3">
      <w:pPr>
        <w:jc w:val="center"/>
        <w:rPr>
          <w:rFonts w:ascii="Times New Roman" w:hAnsi="Times New Roman"/>
          <w:b/>
          <w:sz w:val="24"/>
          <w:szCs w:val="24"/>
          <w:u w:val="single"/>
        </w:rPr>
      </w:pPr>
    </w:p>
    <w:p w:rsidR="00053086" w:rsidRPr="006C66A0" w:rsidRDefault="00053086" w:rsidP="006573D3">
      <w:pPr>
        <w:jc w:val="center"/>
        <w:rPr>
          <w:rFonts w:ascii="Times New Roman" w:hAnsi="Times New Roman"/>
          <w:b/>
          <w:sz w:val="24"/>
          <w:szCs w:val="24"/>
          <w:u w:val="single"/>
        </w:rPr>
      </w:pPr>
    </w:p>
    <w:p w:rsidR="00053086" w:rsidRPr="006C66A0" w:rsidRDefault="00053086" w:rsidP="006573D3">
      <w:pPr>
        <w:jc w:val="center"/>
        <w:rPr>
          <w:rFonts w:ascii="Times New Roman" w:hAnsi="Times New Roman"/>
          <w:b/>
          <w:sz w:val="24"/>
          <w:szCs w:val="24"/>
          <w:u w:val="single"/>
        </w:rPr>
      </w:pPr>
    </w:p>
    <w:p w:rsidR="00053086" w:rsidRPr="006C66A0" w:rsidRDefault="00053086" w:rsidP="00940A08">
      <w:pPr>
        <w:rPr>
          <w:rFonts w:ascii="Times New Roman" w:hAnsi="Times New Roman"/>
          <w:b/>
          <w:sz w:val="24"/>
          <w:szCs w:val="24"/>
        </w:rPr>
      </w:pPr>
    </w:p>
    <w:p w:rsidR="00053086" w:rsidRPr="006C66A0" w:rsidRDefault="00053086" w:rsidP="00940A08">
      <w:pPr>
        <w:rPr>
          <w:rFonts w:ascii="Times New Roman" w:hAnsi="Times New Roman"/>
          <w:b/>
          <w:sz w:val="24"/>
          <w:szCs w:val="24"/>
        </w:rPr>
      </w:pPr>
    </w:p>
    <w:p w:rsidR="00053086" w:rsidRPr="006C66A0" w:rsidRDefault="00053086" w:rsidP="00940A08">
      <w:pPr>
        <w:rPr>
          <w:rFonts w:ascii="Times New Roman" w:hAnsi="Times New Roman"/>
          <w:b/>
          <w:sz w:val="24"/>
          <w:szCs w:val="24"/>
        </w:rPr>
      </w:pPr>
    </w:p>
    <w:p w:rsidR="00053086" w:rsidRPr="006C66A0" w:rsidRDefault="00053086" w:rsidP="00940A08">
      <w:pPr>
        <w:rPr>
          <w:rFonts w:ascii="Times New Roman" w:hAnsi="Times New Roman"/>
          <w:b/>
          <w:sz w:val="24"/>
          <w:szCs w:val="24"/>
        </w:rPr>
      </w:pPr>
    </w:p>
    <w:p w:rsidR="00053086" w:rsidRPr="006C66A0" w:rsidRDefault="00DB626E" w:rsidP="00940A08">
      <w:pPr>
        <w:rPr>
          <w:rFonts w:ascii="Times New Roman" w:hAnsi="Times New Roman"/>
          <w:b/>
          <w:sz w:val="24"/>
          <w:szCs w:val="24"/>
        </w:rPr>
      </w:pPr>
      <w:r>
        <w:rPr>
          <w:rFonts w:ascii="Times New Roman" w:hAnsi="Times New Roman"/>
          <w:b/>
          <w:sz w:val="24"/>
          <w:szCs w:val="24"/>
        </w:rPr>
        <w:t xml:space="preserve">November </w:t>
      </w:r>
      <w:r w:rsidR="0032121A">
        <w:rPr>
          <w:rFonts w:ascii="Times New Roman" w:hAnsi="Times New Roman"/>
          <w:b/>
          <w:sz w:val="24"/>
          <w:szCs w:val="24"/>
        </w:rPr>
        <w:t>30</w:t>
      </w:r>
      <w:r w:rsidR="00053086" w:rsidRPr="006C66A0">
        <w:rPr>
          <w:rFonts w:ascii="Times New Roman" w:hAnsi="Times New Roman"/>
          <w:b/>
          <w:sz w:val="24"/>
          <w:szCs w:val="24"/>
        </w:rPr>
        <w:t>, 2012</w:t>
      </w:r>
    </w:p>
    <w:p w:rsidR="00053086" w:rsidRPr="006C66A0" w:rsidRDefault="00053086" w:rsidP="00854D3A">
      <w:pPr>
        <w:rPr>
          <w:rFonts w:ascii="Times New Roman" w:hAnsi="Times New Roman"/>
          <w:b/>
          <w:sz w:val="24"/>
          <w:szCs w:val="24"/>
          <w:u w:val="single"/>
        </w:rPr>
        <w:sectPr w:rsidR="00053086" w:rsidRPr="006C66A0" w:rsidSect="00115088">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pgNumType w:start="0"/>
          <w:cols w:space="720"/>
          <w:titlePg/>
          <w:docGrid w:linePitch="360"/>
        </w:sectPr>
      </w:pPr>
    </w:p>
    <w:p w:rsidR="00053086" w:rsidRPr="006C66A0" w:rsidRDefault="00053086" w:rsidP="00EB6D19">
      <w:pPr>
        <w:spacing w:line="480" w:lineRule="auto"/>
        <w:rPr>
          <w:rFonts w:ascii="Times New Roman" w:hAnsi="Times New Roman"/>
          <w:b/>
          <w:sz w:val="24"/>
          <w:szCs w:val="24"/>
          <w:u w:val="single"/>
        </w:rPr>
        <w:sectPr w:rsidR="00053086" w:rsidRPr="006C66A0" w:rsidSect="00115088">
          <w:type w:val="continuous"/>
          <w:pgSz w:w="12240" w:h="15840"/>
          <w:pgMar w:top="1440" w:right="1440" w:bottom="1440" w:left="1440" w:header="720" w:footer="720" w:gutter="0"/>
          <w:lnNumType w:countBy="1"/>
          <w:pgNumType w:start="0"/>
          <w:cols w:space="720"/>
          <w:titlePg/>
          <w:docGrid w:linePitch="360"/>
        </w:sectPr>
      </w:pPr>
    </w:p>
    <w:p w:rsidR="00053086" w:rsidRPr="006C66A0" w:rsidRDefault="00053086" w:rsidP="00442970">
      <w:pPr>
        <w:spacing w:after="0" w:line="480" w:lineRule="auto"/>
        <w:jc w:val="center"/>
        <w:rPr>
          <w:rFonts w:ascii="Times New Roman" w:hAnsi="Times New Roman"/>
          <w:b/>
          <w:sz w:val="24"/>
          <w:szCs w:val="24"/>
          <w:u w:val="single"/>
        </w:rPr>
      </w:pPr>
      <w:r w:rsidRPr="006C66A0">
        <w:rPr>
          <w:rFonts w:ascii="Times New Roman" w:hAnsi="Times New Roman"/>
          <w:b/>
          <w:sz w:val="24"/>
          <w:szCs w:val="24"/>
          <w:u w:val="single"/>
        </w:rPr>
        <w:lastRenderedPageBreak/>
        <w:t xml:space="preserve">Direct Testimony of </w:t>
      </w:r>
      <w:r>
        <w:rPr>
          <w:rFonts w:ascii="Times New Roman" w:hAnsi="Times New Roman"/>
          <w:b/>
          <w:sz w:val="24"/>
          <w:szCs w:val="24"/>
          <w:u w:val="single"/>
        </w:rPr>
        <w:t>Randy Magnani</w:t>
      </w:r>
    </w:p>
    <w:p w:rsidR="00053086" w:rsidRPr="006C66A0" w:rsidRDefault="00053086" w:rsidP="00EB6D19">
      <w:pPr>
        <w:spacing w:after="0" w:line="480" w:lineRule="auto"/>
        <w:jc w:val="both"/>
        <w:rPr>
          <w:rFonts w:ascii="Times New Roman" w:hAnsi="Times New Roman"/>
          <w:b/>
          <w:sz w:val="24"/>
          <w:szCs w:val="24"/>
        </w:rPr>
      </w:pPr>
      <w:r w:rsidRPr="006C66A0">
        <w:rPr>
          <w:rFonts w:ascii="Times New Roman" w:hAnsi="Times New Roman"/>
          <w:b/>
          <w:sz w:val="24"/>
          <w:szCs w:val="24"/>
        </w:rPr>
        <w:t>Q.</w:t>
      </w:r>
      <w:r>
        <w:rPr>
          <w:rFonts w:ascii="Times New Roman" w:hAnsi="Times New Roman"/>
          <w:b/>
          <w:sz w:val="24"/>
          <w:szCs w:val="24"/>
        </w:rPr>
        <w:tab/>
      </w:r>
      <w:r w:rsidRPr="006C66A0">
        <w:rPr>
          <w:rFonts w:ascii="Times New Roman" w:hAnsi="Times New Roman"/>
          <w:b/>
          <w:sz w:val="24"/>
          <w:szCs w:val="24"/>
        </w:rPr>
        <w:t>Please state your full name and business address.</w:t>
      </w:r>
    </w:p>
    <w:p w:rsidR="00053086" w:rsidRPr="006C66A0" w:rsidRDefault="00053086" w:rsidP="00EB6D19">
      <w:pPr>
        <w:spacing w:after="0" w:line="480" w:lineRule="auto"/>
        <w:jc w:val="both"/>
        <w:rPr>
          <w:rFonts w:ascii="Times New Roman" w:hAnsi="Times New Roman"/>
          <w:sz w:val="24"/>
          <w:szCs w:val="24"/>
        </w:rPr>
      </w:pPr>
      <w:r w:rsidRPr="006C66A0">
        <w:rPr>
          <w:rFonts w:ascii="Times New Roman" w:hAnsi="Times New Roman"/>
          <w:sz w:val="24"/>
          <w:szCs w:val="24"/>
        </w:rPr>
        <w:t>A.</w:t>
      </w:r>
      <w:r>
        <w:rPr>
          <w:rFonts w:ascii="Times New Roman" w:hAnsi="Times New Roman"/>
          <w:sz w:val="24"/>
          <w:szCs w:val="24"/>
        </w:rPr>
        <w:tab/>
      </w:r>
      <w:r w:rsidRPr="006C66A0">
        <w:rPr>
          <w:rFonts w:ascii="Times New Roman" w:hAnsi="Times New Roman"/>
          <w:sz w:val="24"/>
          <w:szCs w:val="24"/>
        </w:rPr>
        <w:t xml:space="preserve">My name is </w:t>
      </w:r>
      <w:r>
        <w:rPr>
          <w:rFonts w:ascii="Times New Roman" w:hAnsi="Times New Roman"/>
          <w:sz w:val="24"/>
          <w:szCs w:val="24"/>
        </w:rPr>
        <w:t>Orlando (Randy) Magnani</w:t>
      </w:r>
      <w:r w:rsidRPr="006C66A0">
        <w:rPr>
          <w:rFonts w:ascii="Times New Roman" w:hAnsi="Times New Roman"/>
          <w:sz w:val="24"/>
          <w:szCs w:val="24"/>
        </w:rPr>
        <w:t xml:space="preserve">. My business address is </w:t>
      </w:r>
      <w:r>
        <w:rPr>
          <w:rFonts w:ascii="Times New Roman" w:hAnsi="Times New Roman"/>
          <w:sz w:val="24"/>
          <w:szCs w:val="24"/>
        </w:rPr>
        <w:t>One Hess Plaza, Woodbridge, NJ 07095.</w:t>
      </w:r>
    </w:p>
    <w:p w:rsidR="00053086" w:rsidRDefault="00053086" w:rsidP="00EB6D19">
      <w:pPr>
        <w:spacing w:after="0" w:line="480" w:lineRule="auto"/>
        <w:jc w:val="both"/>
        <w:rPr>
          <w:rFonts w:ascii="Times New Roman" w:hAnsi="Times New Roman"/>
          <w:b/>
          <w:sz w:val="24"/>
          <w:szCs w:val="24"/>
        </w:rPr>
      </w:pPr>
      <w:r w:rsidRPr="006C66A0">
        <w:rPr>
          <w:rFonts w:ascii="Times New Roman" w:hAnsi="Times New Roman"/>
          <w:b/>
          <w:sz w:val="24"/>
          <w:szCs w:val="24"/>
        </w:rPr>
        <w:t>Q.</w:t>
      </w:r>
      <w:r>
        <w:rPr>
          <w:rFonts w:ascii="Times New Roman" w:hAnsi="Times New Roman"/>
          <w:b/>
          <w:sz w:val="24"/>
          <w:szCs w:val="24"/>
        </w:rPr>
        <w:tab/>
      </w:r>
      <w:r w:rsidRPr="006C66A0">
        <w:rPr>
          <w:rFonts w:ascii="Times New Roman" w:hAnsi="Times New Roman"/>
          <w:b/>
          <w:sz w:val="24"/>
          <w:szCs w:val="24"/>
        </w:rPr>
        <w:t>By whom are you employed and in what capacity?</w:t>
      </w:r>
    </w:p>
    <w:p w:rsidR="00832C6B" w:rsidRDefault="00053086" w:rsidP="00EB6D19">
      <w:pPr>
        <w:spacing w:after="0" w:line="480" w:lineRule="auto"/>
        <w:jc w:val="both"/>
        <w:rPr>
          <w:rFonts w:ascii="Times New Roman" w:hAnsi="Times New Roman"/>
          <w:sz w:val="24"/>
          <w:szCs w:val="24"/>
        </w:rPr>
      </w:pPr>
      <w:r w:rsidRPr="006C66A0">
        <w:rPr>
          <w:rFonts w:ascii="Times New Roman" w:hAnsi="Times New Roman"/>
          <w:sz w:val="24"/>
          <w:szCs w:val="24"/>
        </w:rPr>
        <w:t>A.</w:t>
      </w:r>
      <w:r>
        <w:rPr>
          <w:rFonts w:ascii="Times New Roman" w:hAnsi="Times New Roman"/>
          <w:sz w:val="24"/>
          <w:szCs w:val="24"/>
        </w:rPr>
        <w:tab/>
      </w:r>
      <w:r w:rsidRPr="006C66A0">
        <w:rPr>
          <w:rFonts w:ascii="Times New Roman" w:hAnsi="Times New Roman"/>
          <w:sz w:val="24"/>
          <w:szCs w:val="24"/>
        </w:rPr>
        <w:t xml:space="preserve">I am employed by </w:t>
      </w:r>
      <w:r>
        <w:rPr>
          <w:rFonts w:ascii="Times New Roman" w:hAnsi="Times New Roman"/>
          <w:sz w:val="24"/>
          <w:szCs w:val="24"/>
        </w:rPr>
        <w:t>Hess Corporation (“Hess”) as Director of Natural Gas Operations</w:t>
      </w:r>
      <w:r w:rsidRPr="006C66A0">
        <w:rPr>
          <w:rFonts w:ascii="Times New Roman" w:hAnsi="Times New Roman"/>
          <w:sz w:val="24"/>
          <w:szCs w:val="24"/>
        </w:rPr>
        <w:t>.</w:t>
      </w:r>
    </w:p>
    <w:p w:rsidR="00832C6B" w:rsidRPr="00832C6B" w:rsidRDefault="00832C6B" w:rsidP="00EB6D19">
      <w:pPr>
        <w:spacing w:after="0" w:line="480" w:lineRule="auto"/>
        <w:jc w:val="both"/>
        <w:rPr>
          <w:rFonts w:ascii="Times New Roman" w:hAnsi="Times New Roman"/>
          <w:b/>
          <w:sz w:val="24"/>
          <w:szCs w:val="24"/>
        </w:rPr>
      </w:pPr>
      <w:r w:rsidRPr="00832C6B">
        <w:rPr>
          <w:rFonts w:ascii="Times New Roman" w:hAnsi="Times New Roman"/>
          <w:b/>
          <w:sz w:val="24"/>
          <w:szCs w:val="24"/>
        </w:rPr>
        <w:t>Q.</w:t>
      </w:r>
      <w:r w:rsidRPr="00832C6B">
        <w:rPr>
          <w:rFonts w:ascii="Times New Roman" w:hAnsi="Times New Roman"/>
          <w:b/>
          <w:sz w:val="24"/>
          <w:szCs w:val="24"/>
        </w:rPr>
        <w:tab/>
        <w:t>On whose behalf are you testifying?</w:t>
      </w:r>
    </w:p>
    <w:p w:rsidR="00053086" w:rsidRDefault="00832C6B" w:rsidP="00EB6D19">
      <w:pPr>
        <w:spacing w:after="0" w:line="48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Hess.</w:t>
      </w:r>
      <w:r w:rsidR="00053086" w:rsidRPr="006C66A0">
        <w:rPr>
          <w:rFonts w:ascii="Times New Roman" w:hAnsi="Times New Roman"/>
          <w:sz w:val="24"/>
          <w:szCs w:val="24"/>
        </w:rPr>
        <w:t xml:space="preserve"> </w:t>
      </w:r>
    </w:p>
    <w:p w:rsidR="00053086" w:rsidRPr="006C66A0" w:rsidRDefault="00053086" w:rsidP="00EB6D19">
      <w:pPr>
        <w:spacing w:after="0" w:line="480" w:lineRule="auto"/>
        <w:jc w:val="both"/>
        <w:rPr>
          <w:rFonts w:ascii="Times New Roman" w:hAnsi="Times New Roman"/>
          <w:b/>
          <w:sz w:val="24"/>
          <w:szCs w:val="24"/>
        </w:rPr>
      </w:pPr>
      <w:r w:rsidRPr="006C66A0">
        <w:rPr>
          <w:rFonts w:ascii="Times New Roman" w:hAnsi="Times New Roman"/>
          <w:b/>
          <w:sz w:val="24"/>
          <w:szCs w:val="24"/>
        </w:rPr>
        <w:t>Q.</w:t>
      </w:r>
      <w:r>
        <w:rPr>
          <w:rFonts w:ascii="Times New Roman" w:hAnsi="Times New Roman"/>
          <w:b/>
          <w:sz w:val="24"/>
          <w:szCs w:val="24"/>
        </w:rPr>
        <w:tab/>
      </w:r>
      <w:r w:rsidRPr="006C66A0">
        <w:rPr>
          <w:rFonts w:ascii="Times New Roman" w:hAnsi="Times New Roman"/>
          <w:b/>
          <w:sz w:val="24"/>
          <w:szCs w:val="24"/>
        </w:rPr>
        <w:t xml:space="preserve">What </w:t>
      </w:r>
      <w:r>
        <w:rPr>
          <w:rFonts w:ascii="Times New Roman" w:hAnsi="Times New Roman"/>
          <w:b/>
          <w:sz w:val="24"/>
          <w:szCs w:val="24"/>
        </w:rPr>
        <w:t>are</w:t>
      </w:r>
      <w:r w:rsidR="006F5F88">
        <w:rPr>
          <w:rFonts w:ascii="Times New Roman" w:hAnsi="Times New Roman"/>
          <w:b/>
          <w:sz w:val="24"/>
          <w:szCs w:val="24"/>
        </w:rPr>
        <w:t xml:space="preserve"> </w:t>
      </w:r>
      <w:r>
        <w:rPr>
          <w:rFonts w:ascii="Times New Roman" w:hAnsi="Times New Roman"/>
          <w:b/>
          <w:sz w:val="24"/>
          <w:szCs w:val="24"/>
        </w:rPr>
        <w:t>Hess’</w:t>
      </w:r>
      <w:r w:rsidR="006F5F88">
        <w:rPr>
          <w:rFonts w:ascii="Times New Roman" w:hAnsi="Times New Roman"/>
          <w:b/>
          <w:sz w:val="24"/>
          <w:szCs w:val="24"/>
        </w:rPr>
        <w:t xml:space="preserve"> </w:t>
      </w:r>
      <w:r>
        <w:rPr>
          <w:rFonts w:ascii="Times New Roman" w:hAnsi="Times New Roman"/>
          <w:b/>
          <w:sz w:val="24"/>
          <w:szCs w:val="24"/>
        </w:rPr>
        <w:t>energy marketing business interests in Ohio</w:t>
      </w:r>
      <w:r w:rsidRPr="006C66A0">
        <w:rPr>
          <w:rFonts w:ascii="Times New Roman" w:hAnsi="Times New Roman"/>
          <w:b/>
          <w:sz w:val="24"/>
          <w:szCs w:val="24"/>
        </w:rPr>
        <w:t>?</w:t>
      </w:r>
    </w:p>
    <w:p w:rsidR="00053086" w:rsidRDefault="00053086" w:rsidP="00CD1EF1">
      <w:pPr>
        <w:spacing w:after="0" w:line="480" w:lineRule="auto"/>
        <w:jc w:val="both"/>
        <w:rPr>
          <w:rFonts w:ascii="Times New Roman" w:hAnsi="Times New Roman"/>
          <w:sz w:val="24"/>
          <w:szCs w:val="24"/>
        </w:rPr>
      </w:pPr>
      <w:r w:rsidRPr="006C66A0">
        <w:rPr>
          <w:rFonts w:ascii="Times New Roman" w:hAnsi="Times New Roman"/>
          <w:sz w:val="24"/>
          <w:szCs w:val="24"/>
        </w:rPr>
        <w:t>A.</w:t>
      </w:r>
      <w:r>
        <w:rPr>
          <w:rFonts w:ascii="Times New Roman" w:hAnsi="Times New Roman"/>
          <w:sz w:val="24"/>
          <w:szCs w:val="24"/>
        </w:rPr>
        <w:tab/>
        <w:t>Hess is a competitive natural gas and electric supplier that operates throughout the East Coast and Midwest.</w:t>
      </w:r>
      <w:r w:rsidR="00157CEF">
        <w:rPr>
          <w:rFonts w:ascii="Times New Roman" w:hAnsi="Times New Roman"/>
          <w:sz w:val="24"/>
          <w:szCs w:val="24"/>
        </w:rPr>
        <w:t xml:space="preserve">  </w:t>
      </w:r>
      <w:r>
        <w:rPr>
          <w:rFonts w:ascii="Times New Roman" w:hAnsi="Times New Roman"/>
          <w:sz w:val="24"/>
          <w:szCs w:val="24"/>
        </w:rPr>
        <w:t xml:space="preserve">More specifically, Hess is a licensed natural gas supplier that provides supply services to over 9,100 commercial and industrial (“C&amp;I”) customers in </w:t>
      </w:r>
      <w:r w:rsidR="006F5F88">
        <w:rPr>
          <w:rFonts w:ascii="Times New Roman" w:hAnsi="Times New Roman"/>
          <w:sz w:val="24"/>
          <w:szCs w:val="24"/>
        </w:rPr>
        <w:t>21</w:t>
      </w:r>
      <w:r>
        <w:rPr>
          <w:rFonts w:ascii="Times New Roman" w:hAnsi="Times New Roman"/>
          <w:sz w:val="24"/>
          <w:szCs w:val="24"/>
        </w:rPr>
        <w:t xml:space="preserve"> states, including in the Columbia Gas of Ohio (“COH”) service territory.</w:t>
      </w:r>
      <w:r w:rsidR="006F5F88">
        <w:rPr>
          <w:rFonts w:ascii="Times New Roman" w:hAnsi="Times New Roman"/>
          <w:sz w:val="24"/>
          <w:szCs w:val="24"/>
        </w:rPr>
        <w:t xml:space="preserve">  </w:t>
      </w:r>
      <w:r>
        <w:rPr>
          <w:rFonts w:ascii="Times New Roman" w:hAnsi="Times New Roman"/>
          <w:sz w:val="24"/>
          <w:szCs w:val="24"/>
        </w:rPr>
        <w:t xml:space="preserve">In the last few weeks, Hess has closed a deal to acquire the energy marketing business of Delta Energy, LLC (“Delta”).  The Delta acquisition includes numerous natural gas supply contracts </w:t>
      </w:r>
      <w:r w:rsidR="006F5F88">
        <w:rPr>
          <w:rFonts w:ascii="Times New Roman" w:hAnsi="Times New Roman"/>
          <w:sz w:val="24"/>
          <w:szCs w:val="24"/>
        </w:rPr>
        <w:t>throughout</w:t>
      </w:r>
      <w:r>
        <w:rPr>
          <w:rFonts w:ascii="Times New Roman" w:hAnsi="Times New Roman"/>
          <w:sz w:val="24"/>
          <w:szCs w:val="24"/>
        </w:rPr>
        <w:t xml:space="preserve"> Ohio, including many behind COH.  Additionally, as a result of the Delta acquisition, Hess </w:t>
      </w:r>
      <w:r w:rsidR="006F5F88">
        <w:rPr>
          <w:rFonts w:ascii="Times New Roman" w:hAnsi="Times New Roman"/>
          <w:sz w:val="24"/>
          <w:szCs w:val="24"/>
        </w:rPr>
        <w:t xml:space="preserve">plans to open </w:t>
      </w:r>
      <w:r>
        <w:rPr>
          <w:rFonts w:ascii="Times New Roman" w:hAnsi="Times New Roman"/>
          <w:sz w:val="24"/>
          <w:szCs w:val="24"/>
        </w:rPr>
        <w:t xml:space="preserve">a regional office in Dublin, Ohio </w:t>
      </w:r>
      <w:r w:rsidR="006E5A63">
        <w:rPr>
          <w:rFonts w:ascii="Times New Roman" w:hAnsi="Times New Roman"/>
          <w:sz w:val="24"/>
          <w:szCs w:val="24"/>
        </w:rPr>
        <w:t>in mid-December</w:t>
      </w:r>
      <w:r>
        <w:rPr>
          <w:rFonts w:ascii="Times New Roman" w:hAnsi="Times New Roman"/>
          <w:sz w:val="24"/>
          <w:szCs w:val="24"/>
        </w:rPr>
        <w:t xml:space="preserve"> 2012.  As you can see, Hess has</w:t>
      </w:r>
      <w:r w:rsidR="006F5F88">
        <w:rPr>
          <w:rFonts w:ascii="Times New Roman" w:hAnsi="Times New Roman"/>
          <w:sz w:val="24"/>
          <w:szCs w:val="24"/>
        </w:rPr>
        <w:t xml:space="preserve"> </w:t>
      </w:r>
      <w:r>
        <w:rPr>
          <w:rFonts w:ascii="Times New Roman" w:hAnsi="Times New Roman"/>
          <w:sz w:val="24"/>
          <w:szCs w:val="24"/>
        </w:rPr>
        <w:t xml:space="preserve">made significant investment to expand its </w:t>
      </w:r>
      <w:r w:rsidR="001268AF">
        <w:rPr>
          <w:rFonts w:ascii="Times New Roman" w:hAnsi="Times New Roman"/>
          <w:sz w:val="24"/>
          <w:szCs w:val="24"/>
        </w:rPr>
        <w:t xml:space="preserve">energy </w:t>
      </w:r>
      <w:r w:rsidR="006F5F88">
        <w:rPr>
          <w:rFonts w:ascii="Times New Roman" w:hAnsi="Times New Roman"/>
          <w:sz w:val="24"/>
          <w:szCs w:val="24"/>
        </w:rPr>
        <w:t>marketing</w:t>
      </w:r>
      <w:r>
        <w:rPr>
          <w:rFonts w:ascii="Times New Roman" w:hAnsi="Times New Roman"/>
          <w:sz w:val="24"/>
          <w:szCs w:val="24"/>
        </w:rPr>
        <w:t xml:space="preserve"> capabilities and to be able to serve customers throughout the Midwest, including Ohio.  </w:t>
      </w:r>
    </w:p>
    <w:p w:rsidR="00053086" w:rsidRDefault="00053086" w:rsidP="00CE38F4">
      <w:pPr>
        <w:spacing w:after="0" w:line="480" w:lineRule="auto"/>
        <w:jc w:val="both"/>
        <w:rPr>
          <w:rFonts w:ascii="Times New Roman" w:hAnsi="Times New Roman"/>
          <w:b/>
          <w:sz w:val="24"/>
          <w:szCs w:val="24"/>
        </w:rPr>
      </w:pPr>
      <w:r w:rsidRPr="006C66A0">
        <w:rPr>
          <w:rFonts w:ascii="Times New Roman" w:hAnsi="Times New Roman"/>
          <w:b/>
          <w:sz w:val="24"/>
          <w:szCs w:val="24"/>
        </w:rPr>
        <w:t>Q.</w:t>
      </w:r>
      <w:r>
        <w:rPr>
          <w:rFonts w:ascii="Times New Roman" w:hAnsi="Times New Roman"/>
          <w:b/>
          <w:sz w:val="24"/>
          <w:szCs w:val="24"/>
        </w:rPr>
        <w:tab/>
      </w:r>
      <w:r w:rsidRPr="006C66A0">
        <w:rPr>
          <w:rFonts w:ascii="Times New Roman" w:hAnsi="Times New Roman"/>
          <w:b/>
          <w:sz w:val="24"/>
          <w:szCs w:val="24"/>
        </w:rPr>
        <w:t xml:space="preserve">What </w:t>
      </w:r>
      <w:r>
        <w:rPr>
          <w:rFonts w:ascii="Times New Roman" w:hAnsi="Times New Roman"/>
          <w:b/>
          <w:sz w:val="24"/>
          <w:szCs w:val="24"/>
        </w:rPr>
        <w:t>are Hess Small Business Services, LLC’s energy marketing business interests in Ohio</w:t>
      </w:r>
      <w:r w:rsidRPr="006C66A0">
        <w:rPr>
          <w:rFonts w:ascii="Times New Roman" w:hAnsi="Times New Roman"/>
          <w:b/>
          <w:sz w:val="24"/>
          <w:szCs w:val="24"/>
        </w:rPr>
        <w:t>?</w:t>
      </w:r>
    </w:p>
    <w:p w:rsidR="00053086" w:rsidRPr="00617998" w:rsidRDefault="00053086" w:rsidP="00CD1EF1">
      <w:pPr>
        <w:spacing w:after="0" w:line="48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Hess Small Business Services, LLC (“HSBS”), a wholly-owned subsidiary of Hess, is a separately licensed </w:t>
      </w:r>
      <w:r w:rsidR="00D52648">
        <w:rPr>
          <w:rFonts w:ascii="Times New Roman" w:hAnsi="Times New Roman"/>
          <w:sz w:val="24"/>
          <w:szCs w:val="24"/>
        </w:rPr>
        <w:t xml:space="preserve">competitive retail </w:t>
      </w:r>
      <w:r>
        <w:rPr>
          <w:rFonts w:ascii="Times New Roman" w:hAnsi="Times New Roman"/>
          <w:sz w:val="24"/>
          <w:szCs w:val="24"/>
        </w:rPr>
        <w:t xml:space="preserve">natural gas supplier (“CRNGS”) in Ohio that specifically </w:t>
      </w:r>
      <w:r>
        <w:rPr>
          <w:rFonts w:ascii="Times New Roman" w:hAnsi="Times New Roman"/>
          <w:sz w:val="24"/>
          <w:szCs w:val="24"/>
        </w:rPr>
        <w:lastRenderedPageBreak/>
        <w:t xml:space="preserve">focuses on marketing energy supply services to small </w:t>
      </w:r>
      <w:r w:rsidR="00C554C9">
        <w:rPr>
          <w:rFonts w:ascii="Times New Roman" w:hAnsi="Times New Roman"/>
          <w:sz w:val="24"/>
          <w:szCs w:val="24"/>
        </w:rPr>
        <w:t>commercial</w:t>
      </w:r>
      <w:r>
        <w:rPr>
          <w:rFonts w:ascii="Times New Roman" w:hAnsi="Times New Roman"/>
          <w:sz w:val="24"/>
          <w:szCs w:val="24"/>
        </w:rPr>
        <w:t xml:space="preserve"> customers.  As part of the Delta acquisition, HSBS acquired numerous Choice contracts throughout the Dominion East Ohio (“DEO”) and COH service territories.   </w:t>
      </w:r>
    </w:p>
    <w:p w:rsidR="00053086" w:rsidRPr="00685086" w:rsidRDefault="00053086" w:rsidP="00EB6D19">
      <w:pPr>
        <w:spacing w:after="0" w:line="480" w:lineRule="auto"/>
        <w:jc w:val="both"/>
        <w:rPr>
          <w:rFonts w:ascii="Times New Roman" w:hAnsi="Times New Roman"/>
          <w:b/>
          <w:sz w:val="24"/>
        </w:rPr>
      </w:pPr>
      <w:r w:rsidRPr="00685086">
        <w:rPr>
          <w:rFonts w:ascii="Times New Roman" w:hAnsi="Times New Roman"/>
          <w:b/>
          <w:sz w:val="24"/>
        </w:rPr>
        <w:t>Q.</w:t>
      </w:r>
      <w:r>
        <w:rPr>
          <w:rFonts w:ascii="Times New Roman" w:hAnsi="Times New Roman"/>
          <w:b/>
          <w:sz w:val="24"/>
        </w:rPr>
        <w:tab/>
      </w:r>
      <w:r w:rsidRPr="00685086">
        <w:rPr>
          <w:rFonts w:ascii="Times New Roman" w:hAnsi="Times New Roman"/>
          <w:b/>
          <w:sz w:val="24"/>
        </w:rPr>
        <w:t xml:space="preserve">What are your duties as </w:t>
      </w:r>
      <w:r>
        <w:rPr>
          <w:rFonts w:ascii="Times New Roman" w:hAnsi="Times New Roman"/>
          <w:b/>
          <w:sz w:val="24"/>
        </w:rPr>
        <w:t>Hess’ Director of Natural Gas Operations</w:t>
      </w:r>
      <w:r w:rsidRPr="00685086">
        <w:rPr>
          <w:rFonts w:ascii="Times New Roman" w:hAnsi="Times New Roman"/>
          <w:b/>
          <w:sz w:val="24"/>
        </w:rPr>
        <w:t>?</w:t>
      </w:r>
    </w:p>
    <w:p w:rsidR="00053086" w:rsidRPr="006C66A0" w:rsidRDefault="00053086" w:rsidP="00EB6D19">
      <w:pPr>
        <w:spacing w:after="0" w:line="480" w:lineRule="auto"/>
        <w:jc w:val="both"/>
        <w:rPr>
          <w:rFonts w:ascii="Times New Roman" w:hAnsi="Times New Roman"/>
          <w:sz w:val="24"/>
          <w:szCs w:val="24"/>
        </w:rPr>
      </w:pPr>
      <w:r>
        <w:rPr>
          <w:rFonts w:ascii="Times New Roman" w:hAnsi="Times New Roman"/>
          <w:sz w:val="24"/>
        </w:rPr>
        <w:t>A.</w:t>
      </w:r>
      <w:r>
        <w:rPr>
          <w:rFonts w:ascii="Times New Roman" w:hAnsi="Times New Roman"/>
          <w:sz w:val="24"/>
        </w:rPr>
        <w:tab/>
        <w:t xml:space="preserve">As Director of Natural Gas Operations, I oversee all of Hess’ natural gas marketing operations (including </w:t>
      </w:r>
      <w:r w:rsidR="00F90172">
        <w:rPr>
          <w:rFonts w:ascii="Times New Roman" w:hAnsi="Times New Roman"/>
          <w:sz w:val="24"/>
        </w:rPr>
        <w:t xml:space="preserve">forecasting, </w:t>
      </w:r>
      <w:r>
        <w:rPr>
          <w:rFonts w:ascii="Times New Roman" w:hAnsi="Times New Roman"/>
          <w:sz w:val="24"/>
        </w:rPr>
        <w:t>scheduling, pricing</w:t>
      </w:r>
      <w:r w:rsidR="005A119B">
        <w:rPr>
          <w:rFonts w:ascii="Times New Roman" w:hAnsi="Times New Roman"/>
          <w:sz w:val="24"/>
        </w:rPr>
        <w:t>, and regulatory activities</w:t>
      </w:r>
      <w:r>
        <w:rPr>
          <w:rFonts w:ascii="Times New Roman" w:hAnsi="Times New Roman"/>
          <w:sz w:val="24"/>
        </w:rPr>
        <w:t xml:space="preserve">) </w:t>
      </w:r>
      <w:r w:rsidR="00D52648">
        <w:rPr>
          <w:rFonts w:ascii="Times New Roman" w:hAnsi="Times New Roman"/>
          <w:sz w:val="24"/>
        </w:rPr>
        <w:t xml:space="preserve">involving </w:t>
      </w:r>
      <w:r>
        <w:rPr>
          <w:rFonts w:ascii="Times New Roman" w:hAnsi="Times New Roman"/>
          <w:sz w:val="24"/>
        </w:rPr>
        <w:t xml:space="preserve">the </w:t>
      </w:r>
      <w:r w:rsidR="006F5F88">
        <w:rPr>
          <w:rFonts w:ascii="Times New Roman" w:hAnsi="Times New Roman"/>
          <w:sz w:val="24"/>
        </w:rPr>
        <w:t xml:space="preserve">natural gas local distribution companies (“LDCs”) </w:t>
      </w:r>
      <w:r>
        <w:rPr>
          <w:rFonts w:ascii="Times New Roman" w:hAnsi="Times New Roman"/>
          <w:sz w:val="24"/>
        </w:rPr>
        <w:t xml:space="preserve">in Hess’ energy marketing footprint.  I am responsible for overseeing Hess’ six regional operations offices which have the local day-to-day duties for natural gas operations within their specific geographic regions.  Currently, Hess operates behind over 60 </w:t>
      </w:r>
      <w:r w:rsidR="006F5F88">
        <w:rPr>
          <w:rFonts w:ascii="Times New Roman" w:hAnsi="Times New Roman"/>
          <w:sz w:val="24"/>
        </w:rPr>
        <w:t>LDCs</w:t>
      </w:r>
      <w:r>
        <w:rPr>
          <w:rFonts w:ascii="Times New Roman" w:hAnsi="Times New Roman"/>
          <w:sz w:val="24"/>
        </w:rPr>
        <w:t xml:space="preserve">.  Additionally, while at Hess, I participated in the DEO and COH stakeholder collaboratives aimed at developing and implementing </w:t>
      </w:r>
      <w:r w:rsidR="006F5F88">
        <w:rPr>
          <w:rFonts w:ascii="Times New Roman" w:hAnsi="Times New Roman"/>
          <w:sz w:val="24"/>
        </w:rPr>
        <w:t>their</w:t>
      </w:r>
      <w:r>
        <w:rPr>
          <w:rFonts w:ascii="Times New Roman" w:hAnsi="Times New Roman"/>
          <w:sz w:val="24"/>
        </w:rPr>
        <w:t xml:space="preserve"> standard service offer (“SSO”) and standard choice offer (“SCO”) auction programs.</w:t>
      </w:r>
    </w:p>
    <w:p w:rsidR="00053086" w:rsidRPr="006C66A0" w:rsidRDefault="00053086" w:rsidP="00EB6D19">
      <w:pPr>
        <w:spacing w:after="0" w:line="480" w:lineRule="auto"/>
        <w:jc w:val="both"/>
        <w:rPr>
          <w:rFonts w:ascii="Times New Roman" w:hAnsi="Times New Roman"/>
          <w:b/>
          <w:sz w:val="24"/>
          <w:szCs w:val="24"/>
        </w:rPr>
      </w:pPr>
      <w:r w:rsidRPr="006C66A0">
        <w:rPr>
          <w:rFonts w:ascii="Times New Roman" w:hAnsi="Times New Roman"/>
          <w:b/>
          <w:sz w:val="24"/>
          <w:szCs w:val="24"/>
        </w:rPr>
        <w:t>Q.</w:t>
      </w:r>
      <w:r>
        <w:rPr>
          <w:rFonts w:ascii="Times New Roman" w:hAnsi="Times New Roman"/>
          <w:b/>
          <w:sz w:val="24"/>
          <w:szCs w:val="24"/>
        </w:rPr>
        <w:tab/>
      </w:r>
      <w:r w:rsidRPr="006C66A0">
        <w:rPr>
          <w:rFonts w:ascii="Times New Roman" w:hAnsi="Times New Roman"/>
          <w:b/>
          <w:sz w:val="24"/>
          <w:szCs w:val="24"/>
        </w:rPr>
        <w:t>What is your educational background?</w:t>
      </w:r>
    </w:p>
    <w:p w:rsidR="00053086" w:rsidRPr="006C66A0" w:rsidRDefault="00053086" w:rsidP="00EB6D19">
      <w:pPr>
        <w:spacing w:after="0" w:line="480" w:lineRule="auto"/>
        <w:jc w:val="both"/>
        <w:rPr>
          <w:rFonts w:ascii="Times New Roman" w:hAnsi="Times New Roman"/>
          <w:sz w:val="24"/>
          <w:szCs w:val="24"/>
        </w:rPr>
      </w:pPr>
      <w:r w:rsidRPr="006C66A0">
        <w:rPr>
          <w:rFonts w:ascii="Times New Roman" w:hAnsi="Times New Roman"/>
          <w:sz w:val="24"/>
          <w:szCs w:val="24"/>
        </w:rPr>
        <w:t>A.</w:t>
      </w:r>
      <w:r>
        <w:rPr>
          <w:rFonts w:ascii="Times New Roman" w:hAnsi="Times New Roman"/>
          <w:sz w:val="24"/>
          <w:szCs w:val="24"/>
        </w:rPr>
        <w:tab/>
        <w:t>I obtained a Bachelor of Engineering in Chemical Engineering from Manhattan College in 1970.</w:t>
      </w:r>
    </w:p>
    <w:p w:rsidR="00053086" w:rsidRPr="006C66A0" w:rsidRDefault="00053086" w:rsidP="00EB6D19">
      <w:pPr>
        <w:spacing w:after="0" w:line="480" w:lineRule="auto"/>
        <w:jc w:val="both"/>
        <w:rPr>
          <w:rFonts w:ascii="Times New Roman" w:hAnsi="Times New Roman"/>
          <w:b/>
          <w:sz w:val="24"/>
          <w:szCs w:val="24"/>
        </w:rPr>
      </w:pPr>
      <w:r w:rsidRPr="006C66A0">
        <w:rPr>
          <w:rFonts w:ascii="Times New Roman" w:hAnsi="Times New Roman"/>
          <w:b/>
          <w:sz w:val="24"/>
          <w:szCs w:val="24"/>
        </w:rPr>
        <w:t>Q.</w:t>
      </w:r>
      <w:r>
        <w:rPr>
          <w:rFonts w:ascii="Times New Roman" w:hAnsi="Times New Roman"/>
          <w:b/>
          <w:sz w:val="24"/>
          <w:szCs w:val="24"/>
        </w:rPr>
        <w:tab/>
      </w:r>
      <w:r w:rsidRPr="006C66A0">
        <w:rPr>
          <w:rFonts w:ascii="Times New Roman" w:hAnsi="Times New Roman"/>
          <w:b/>
          <w:sz w:val="24"/>
          <w:szCs w:val="24"/>
        </w:rPr>
        <w:t xml:space="preserve">What </w:t>
      </w:r>
      <w:r w:rsidR="00832C6B">
        <w:rPr>
          <w:rFonts w:ascii="Times New Roman" w:hAnsi="Times New Roman"/>
          <w:b/>
          <w:sz w:val="24"/>
          <w:szCs w:val="24"/>
        </w:rPr>
        <w:t xml:space="preserve">is your </w:t>
      </w:r>
      <w:r w:rsidRPr="006C66A0">
        <w:rPr>
          <w:rFonts w:ascii="Times New Roman" w:hAnsi="Times New Roman"/>
          <w:b/>
          <w:sz w:val="24"/>
          <w:szCs w:val="24"/>
        </w:rPr>
        <w:t xml:space="preserve">professional </w:t>
      </w:r>
      <w:r>
        <w:rPr>
          <w:rFonts w:ascii="Times New Roman" w:hAnsi="Times New Roman"/>
          <w:b/>
          <w:sz w:val="24"/>
          <w:szCs w:val="24"/>
        </w:rPr>
        <w:t>background</w:t>
      </w:r>
      <w:r w:rsidRPr="006C66A0">
        <w:rPr>
          <w:rFonts w:ascii="Times New Roman" w:hAnsi="Times New Roman"/>
          <w:b/>
          <w:sz w:val="24"/>
          <w:szCs w:val="24"/>
        </w:rPr>
        <w:t>?</w:t>
      </w:r>
    </w:p>
    <w:p w:rsidR="00053086" w:rsidRDefault="00053086" w:rsidP="00EB6D19">
      <w:pPr>
        <w:spacing w:line="480" w:lineRule="auto"/>
        <w:jc w:val="both"/>
        <w:rPr>
          <w:rFonts w:ascii="Times New Roman" w:hAnsi="Times New Roman"/>
          <w:sz w:val="24"/>
          <w:szCs w:val="24"/>
        </w:rPr>
      </w:pPr>
      <w:r w:rsidRPr="006C66A0">
        <w:rPr>
          <w:rFonts w:ascii="Times New Roman" w:hAnsi="Times New Roman"/>
          <w:sz w:val="24"/>
          <w:szCs w:val="24"/>
        </w:rPr>
        <w:t>A.</w:t>
      </w:r>
      <w:r>
        <w:rPr>
          <w:rFonts w:ascii="Times New Roman" w:hAnsi="Times New Roman"/>
          <w:sz w:val="24"/>
          <w:szCs w:val="24"/>
        </w:rPr>
        <w:tab/>
        <w:t xml:space="preserve">Prior to taking on my current role as Director of </w:t>
      </w:r>
      <w:r w:rsidR="006F5F88">
        <w:rPr>
          <w:rFonts w:ascii="Times New Roman" w:hAnsi="Times New Roman"/>
          <w:sz w:val="24"/>
          <w:szCs w:val="24"/>
        </w:rPr>
        <w:t>Natural Gas</w:t>
      </w:r>
      <w:r>
        <w:rPr>
          <w:rFonts w:ascii="Times New Roman" w:hAnsi="Times New Roman"/>
          <w:sz w:val="24"/>
          <w:szCs w:val="24"/>
        </w:rPr>
        <w:t xml:space="preserve"> Operations in 2001, I was</w:t>
      </w:r>
      <w:r w:rsidR="006F5F88">
        <w:rPr>
          <w:rFonts w:ascii="Times New Roman" w:hAnsi="Times New Roman"/>
          <w:sz w:val="24"/>
          <w:szCs w:val="24"/>
        </w:rPr>
        <w:t xml:space="preserve"> </w:t>
      </w:r>
      <w:r>
        <w:rPr>
          <w:rFonts w:ascii="Times New Roman" w:hAnsi="Times New Roman"/>
          <w:sz w:val="24"/>
          <w:szCs w:val="24"/>
        </w:rPr>
        <w:t xml:space="preserve">a Principal with Navigant Consulting performing various consulting services </w:t>
      </w:r>
      <w:r w:rsidR="004534B2">
        <w:rPr>
          <w:rFonts w:ascii="Times New Roman" w:hAnsi="Times New Roman"/>
          <w:sz w:val="24"/>
          <w:szCs w:val="24"/>
        </w:rPr>
        <w:t xml:space="preserve">primarily </w:t>
      </w:r>
      <w:r>
        <w:rPr>
          <w:rFonts w:ascii="Times New Roman" w:hAnsi="Times New Roman"/>
          <w:sz w:val="24"/>
          <w:szCs w:val="24"/>
        </w:rPr>
        <w:t xml:space="preserve">related to </w:t>
      </w:r>
      <w:r w:rsidR="006F5F88">
        <w:rPr>
          <w:rFonts w:ascii="Times New Roman" w:hAnsi="Times New Roman"/>
          <w:sz w:val="24"/>
          <w:szCs w:val="24"/>
        </w:rPr>
        <w:t>LDC</w:t>
      </w:r>
      <w:r>
        <w:rPr>
          <w:rFonts w:ascii="Times New Roman" w:hAnsi="Times New Roman"/>
          <w:sz w:val="24"/>
          <w:szCs w:val="24"/>
        </w:rPr>
        <w:t xml:space="preserve"> issues from 1998-2001.  From 1996 to 1998, I was President and Chief Operating Officer for KeySpan Energy Services, Inc. (“KeySpan”).  At KeySpan</w:t>
      </w:r>
      <w:r w:rsidR="004534B2">
        <w:rPr>
          <w:rFonts w:ascii="Times New Roman" w:hAnsi="Times New Roman"/>
          <w:sz w:val="24"/>
          <w:szCs w:val="24"/>
        </w:rPr>
        <w:t>,</w:t>
      </w:r>
      <w:r w:rsidR="00C75F2B">
        <w:rPr>
          <w:rStyle w:val="FootnoteReference"/>
          <w:rFonts w:ascii="Times New Roman" w:hAnsi="Times New Roman"/>
          <w:sz w:val="24"/>
          <w:szCs w:val="24"/>
        </w:rPr>
        <w:footnoteReference w:id="1"/>
      </w:r>
      <w:r w:rsidR="00401E96">
        <w:rPr>
          <w:rFonts w:ascii="Times New Roman" w:hAnsi="Times New Roman"/>
          <w:sz w:val="24"/>
          <w:szCs w:val="24"/>
        </w:rPr>
        <w:t xml:space="preserve"> </w:t>
      </w:r>
      <w:r>
        <w:rPr>
          <w:rFonts w:ascii="Times New Roman" w:hAnsi="Times New Roman"/>
          <w:sz w:val="24"/>
          <w:szCs w:val="24"/>
        </w:rPr>
        <w:t xml:space="preserve">I had general supervisory responsibility for its gas marketing business.  </w:t>
      </w:r>
      <w:r w:rsidR="006F5F88">
        <w:rPr>
          <w:rFonts w:ascii="Times New Roman" w:hAnsi="Times New Roman"/>
          <w:sz w:val="24"/>
          <w:szCs w:val="24"/>
        </w:rPr>
        <w:t xml:space="preserve">In the infant stages of </w:t>
      </w:r>
      <w:r w:rsidR="00B53FC0">
        <w:rPr>
          <w:rFonts w:ascii="Times New Roman" w:hAnsi="Times New Roman"/>
          <w:sz w:val="24"/>
          <w:szCs w:val="24"/>
        </w:rPr>
        <w:t xml:space="preserve">retail </w:t>
      </w:r>
      <w:r w:rsidR="006F5F88">
        <w:rPr>
          <w:rFonts w:ascii="Times New Roman" w:hAnsi="Times New Roman"/>
          <w:sz w:val="24"/>
          <w:szCs w:val="24"/>
        </w:rPr>
        <w:t xml:space="preserve">gas restructuring, </w:t>
      </w:r>
      <w:r>
        <w:rPr>
          <w:rFonts w:ascii="Times New Roman" w:hAnsi="Times New Roman"/>
          <w:sz w:val="24"/>
          <w:szCs w:val="24"/>
        </w:rPr>
        <w:t xml:space="preserve">KeySpan </w:t>
      </w:r>
      <w:r w:rsidR="00B53FC0">
        <w:rPr>
          <w:rFonts w:ascii="Times New Roman" w:hAnsi="Times New Roman"/>
          <w:sz w:val="24"/>
          <w:szCs w:val="24"/>
        </w:rPr>
        <w:t xml:space="preserve">emerged as </w:t>
      </w:r>
      <w:r>
        <w:rPr>
          <w:rFonts w:ascii="Times New Roman" w:hAnsi="Times New Roman"/>
          <w:sz w:val="24"/>
          <w:szCs w:val="24"/>
        </w:rPr>
        <w:t xml:space="preserve">one of the first </w:t>
      </w:r>
      <w:r w:rsidR="00F90172">
        <w:rPr>
          <w:rFonts w:ascii="Times New Roman" w:hAnsi="Times New Roman"/>
          <w:sz w:val="24"/>
          <w:szCs w:val="24"/>
        </w:rPr>
        <w:t xml:space="preserve">small commercial </w:t>
      </w:r>
      <w:r>
        <w:rPr>
          <w:rFonts w:ascii="Times New Roman" w:hAnsi="Times New Roman"/>
          <w:sz w:val="24"/>
          <w:szCs w:val="24"/>
        </w:rPr>
        <w:t xml:space="preserve">gas marketers in the country.  Among other territories, KeySpan served </w:t>
      </w:r>
      <w:r w:rsidR="004534B2">
        <w:rPr>
          <w:rFonts w:ascii="Times New Roman" w:hAnsi="Times New Roman"/>
          <w:sz w:val="24"/>
          <w:szCs w:val="24"/>
        </w:rPr>
        <w:t xml:space="preserve">residential and small commercial </w:t>
      </w:r>
      <w:r>
        <w:rPr>
          <w:rFonts w:ascii="Times New Roman" w:hAnsi="Times New Roman"/>
          <w:sz w:val="24"/>
          <w:szCs w:val="24"/>
        </w:rPr>
        <w:t xml:space="preserve">customers in </w:t>
      </w:r>
      <w:r w:rsidR="00C75F2B">
        <w:rPr>
          <w:rFonts w:ascii="Times New Roman" w:hAnsi="Times New Roman"/>
          <w:sz w:val="24"/>
          <w:szCs w:val="24"/>
        </w:rPr>
        <w:t>COH</w:t>
      </w:r>
      <w:r>
        <w:rPr>
          <w:rFonts w:ascii="Times New Roman" w:hAnsi="Times New Roman"/>
          <w:sz w:val="24"/>
          <w:szCs w:val="24"/>
        </w:rPr>
        <w:t xml:space="preserve">.  From </w:t>
      </w:r>
      <w:r>
        <w:rPr>
          <w:rFonts w:ascii="Times New Roman" w:hAnsi="Times New Roman"/>
          <w:sz w:val="24"/>
          <w:szCs w:val="24"/>
        </w:rPr>
        <w:lastRenderedPageBreak/>
        <w:t xml:space="preserve">1971 through 1996, I held several roles at </w:t>
      </w:r>
      <w:r w:rsidR="00401E96">
        <w:rPr>
          <w:rFonts w:ascii="Times New Roman" w:hAnsi="Times New Roman"/>
          <w:sz w:val="24"/>
          <w:szCs w:val="24"/>
        </w:rPr>
        <w:t>T</w:t>
      </w:r>
      <w:r>
        <w:rPr>
          <w:rFonts w:ascii="Times New Roman" w:hAnsi="Times New Roman"/>
          <w:sz w:val="24"/>
          <w:szCs w:val="24"/>
        </w:rPr>
        <w:t xml:space="preserve">he Brooklyn Union Gas Company (“Brooklyn Union”), the local </w:t>
      </w:r>
      <w:r w:rsidR="006F5F88">
        <w:rPr>
          <w:rFonts w:ascii="Times New Roman" w:hAnsi="Times New Roman"/>
          <w:sz w:val="24"/>
          <w:szCs w:val="24"/>
        </w:rPr>
        <w:t>LDC in Brooklyn, New York</w:t>
      </w:r>
      <w:r>
        <w:rPr>
          <w:rFonts w:ascii="Times New Roman" w:hAnsi="Times New Roman"/>
          <w:sz w:val="24"/>
          <w:szCs w:val="24"/>
        </w:rPr>
        <w:t>.  I served as Manager of Gas Operations where I was responsible for the operation and maintenance of the company’s LNG plant and high pressure transmission system, as well as all scheduling activities on interstate gas pipelines.  Additionally, I served as Brooklyn Union’s Manager of Rates and Gas Supply where I was responsible for cost allocation and rate design of utility rates, state and federal regulatory affairs, and gas supply planning and contract negotiation and administration.</w:t>
      </w:r>
    </w:p>
    <w:p w:rsidR="00053086" w:rsidRPr="00442970" w:rsidRDefault="00053086" w:rsidP="00617998">
      <w:pPr>
        <w:spacing w:line="480" w:lineRule="auto"/>
        <w:ind w:firstLine="720"/>
        <w:jc w:val="both"/>
        <w:rPr>
          <w:rFonts w:ascii="Times New Roman" w:hAnsi="Times New Roman"/>
          <w:sz w:val="24"/>
          <w:szCs w:val="24"/>
        </w:rPr>
      </w:pPr>
      <w:r>
        <w:rPr>
          <w:rFonts w:ascii="Times New Roman" w:hAnsi="Times New Roman"/>
          <w:sz w:val="24"/>
          <w:szCs w:val="24"/>
        </w:rPr>
        <w:t xml:space="preserve">My resume is attached hereto as Exhibit </w:t>
      </w:r>
      <w:r w:rsidR="00832C6B">
        <w:rPr>
          <w:rFonts w:ascii="Times New Roman" w:hAnsi="Times New Roman"/>
          <w:sz w:val="24"/>
          <w:szCs w:val="24"/>
        </w:rPr>
        <w:t xml:space="preserve">OM </w:t>
      </w:r>
      <w:r>
        <w:rPr>
          <w:rFonts w:ascii="Times New Roman" w:hAnsi="Times New Roman"/>
          <w:sz w:val="24"/>
          <w:szCs w:val="24"/>
        </w:rPr>
        <w:t>-1.</w:t>
      </w:r>
    </w:p>
    <w:p w:rsidR="00053086" w:rsidRPr="006C66A0" w:rsidRDefault="00053086" w:rsidP="00EB6D19">
      <w:pPr>
        <w:spacing w:line="480" w:lineRule="auto"/>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Pr="006C66A0">
        <w:rPr>
          <w:rFonts w:ascii="Times New Roman" w:hAnsi="Times New Roman"/>
          <w:b/>
          <w:sz w:val="24"/>
          <w:szCs w:val="24"/>
        </w:rPr>
        <w:t xml:space="preserve">Have you previously testified before the </w:t>
      </w:r>
      <w:r w:rsidR="0032121A">
        <w:rPr>
          <w:rFonts w:ascii="Times New Roman" w:hAnsi="Times New Roman"/>
          <w:b/>
          <w:sz w:val="24"/>
          <w:szCs w:val="24"/>
        </w:rPr>
        <w:t xml:space="preserve">Public Utilities </w:t>
      </w:r>
      <w:r>
        <w:rPr>
          <w:rFonts w:ascii="Times New Roman" w:hAnsi="Times New Roman"/>
          <w:b/>
          <w:sz w:val="24"/>
          <w:szCs w:val="24"/>
        </w:rPr>
        <w:t>Commission</w:t>
      </w:r>
      <w:r w:rsidR="0032121A">
        <w:rPr>
          <w:rFonts w:ascii="Times New Roman" w:hAnsi="Times New Roman"/>
          <w:b/>
          <w:sz w:val="24"/>
          <w:szCs w:val="24"/>
        </w:rPr>
        <w:t xml:space="preserve"> of Ohio (“Commission”)</w:t>
      </w:r>
      <w:r w:rsidRPr="006C66A0">
        <w:rPr>
          <w:rFonts w:ascii="Times New Roman" w:hAnsi="Times New Roman"/>
          <w:b/>
          <w:sz w:val="24"/>
          <w:szCs w:val="24"/>
        </w:rPr>
        <w:t>?</w:t>
      </w:r>
    </w:p>
    <w:p w:rsidR="00053086" w:rsidRPr="006C66A0" w:rsidRDefault="00053086" w:rsidP="00F5015D">
      <w:pPr>
        <w:spacing w:after="0" w:line="480" w:lineRule="auto"/>
        <w:jc w:val="both"/>
        <w:rPr>
          <w:rFonts w:ascii="Times New Roman" w:hAnsi="Times New Roman"/>
          <w:sz w:val="24"/>
          <w:szCs w:val="24"/>
        </w:rPr>
      </w:pPr>
      <w:r w:rsidRPr="006C66A0">
        <w:rPr>
          <w:rFonts w:ascii="Times New Roman" w:hAnsi="Times New Roman"/>
          <w:sz w:val="24"/>
          <w:szCs w:val="24"/>
        </w:rPr>
        <w:t>A.</w:t>
      </w:r>
      <w:r>
        <w:rPr>
          <w:rFonts w:ascii="Times New Roman" w:hAnsi="Times New Roman"/>
          <w:sz w:val="24"/>
          <w:szCs w:val="24"/>
        </w:rPr>
        <w:tab/>
        <w:t xml:space="preserve">No, however, I have presented written and </w:t>
      </w:r>
      <w:r w:rsidR="00832C6B">
        <w:rPr>
          <w:rFonts w:ascii="Times New Roman" w:hAnsi="Times New Roman"/>
          <w:sz w:val="24"/>
          <w:szCs w:val="24"/>
        </w:rPr>
        <w:t xml:space="preserve">oral </w:t>
      </w:r>
      <w:r>
        <w:rPr>
          <w:rFonts w:ascii="Times New Roman" w:hAnsi="Times New Roman"/>
          <w:sz w:val="24"/>
          <w:szCs w:val="24"/>
        </w:rPr>
        <w:t xml:space="preserve">testimony before multiple public utility commissions (“PUCs”) in my time at Hess and in my previous roles at </w:t>
      </w:r>
      <w:r w:rsidR="00D0194C">
        <w:rPr>
          <w:rFonts w:ascii="Times New Roman" w:hAnsi="Times New Roman"/>
          <w:sz w:val="24"/>
          <w:szCs w:val="24"/>
        </w:rPr>
        <w:t xml:space="preserve">Navigant, </w:t>
      </w:r>
      <w:r>
        <w:rPr>
          <w:rFonts w:ascii="Times New Roman" w:hAnsi="Times New Roman"/>
          <w:sz w:val="24"/>
          <w:szCs w:val="24"/>
        </w:rPr>
        <w:t xml:space="preserve">KeySpan and Brooklyn Union, including the New York Public Service Commission, Pennsylvania Public Utility Commission, Maryland Public Service Commission, </w:t>
      </w:r>
      <w:r w:rsidR="004534B2">
        <w:rPr>
          <w:rFonts w:ascii="Times New Roman" w:hAnsi="Times New Roman"/>
          <w:sz w:val="24"/>
          <w:szCs w:val="24"/>
        </w:rPr>
        <w:t xml:space="preserve">Missouri Public Service Commission, Massachusetts </w:t>
      </w:r>
      <w:r w:rsidR="00401E96">
        <w:rPr>
          <w:rFonts w:ascii="Times New Roman" w:hAnsi="Times New Roman"/>
          <w:sz w:val="24"/>
          <w:szCs w:val="24"/>
        </w:rPr>
        <w:t>Department of Public Utilities (formerly, the Department of Telecommunications and Energy)</w:t>
      </w:r>
      <w:r w:rsidR="004534B2">
        <w:rPr>
          <w:rFonts w:ascii="Times New Roman" w:hAnsi="Times New Roman"/>
          <w:sz w:val="24"/>
          <w:szCs w:val="24"/>
        </w:rPr>
        <w:t xml:space="preserve">, Rhode Island Public Service Commission </w:t>
      </w:r>
      <w:r>
        <w:rPr>
          <w:rFonts w:ascii="Times New Roman" w:hAnsi="Times New Roman"/>
          <w:sz w:val="24"/>
          <w:szCs w:val="24"/>
        </w:rPr>
        <w:t xml:space="preserve">and the Federal Energy Regulatory Commission.  I have testified at PUCs on a variety of competitive natural gas issues, including gas transportation program design and wholesale asset management agreements.  As you can see from my </w:t>
      </w:r>
      <w:r w:rsidR="00B35BAD">
        <w:rPr>
          <w:rFonts w:ascii="Times New Roman" w:hAnsi="Times New Roman"/>
          <w:sz w:val="24"/>
          <w:szCs w:val="24"/>
        </w:rPr>
        <w:t>previous answers</w:t>
      </w:r>
      <w:r>
        <w:rPr>
          <w:rFonts w:ascii="Times New Roman" w:hAnsi="Times New Roman"/>
          <w:sz w:val="24"/>
          <w:szCs w:val="24"/>
        </w:rPr>
        <w:t>, I have over 42 years of experience working for competitive natural gas suppliers</w:t>
      </w:r>
      <w:r w:rsidR="00D0194C">
        <w:rPr>
          <w:rFonts w:ascii="Times New Roman" w:hAnsi="Times New Roman"/>
          <w:sz w:val="24"/>
          <w:szCs w:val="24"/>
        </w:rPr>
        <w:t>, a natural gas consultant,</w:t>
      </w:r>
      <w:r>
        <w:rPr>
          <w:rFonts w:ascii="Times New Roman" w:hAnsi="Times New Roman"/>
          <w:sz w:val="24"/>
          <w:szCs w:val="24"/>
        </w:rPr>
        <w:t xml:space="preserve"> and an LDC.  I am very familiar with traditional LDC default service procurement, SCO auction programs, and Choice programs.  I have a detailed knowledge of the various program criteria that are necessary for a </w:t>
      </w:r>
      <w:r>
        <w:rPr>
          <w:rFonts w:ascii="Times New Roman" w:hAnsi="Times New Roman"/>
          <w:sz w:val="24"/>
          <w:szCs w:val="24"/>
        </w:rPr>
        <w:lastRenderedPageBreak/>
        <w:t>natural gas supplier to effectively market natural gas supply services to all classes of retail customers</w:t>
      </w:r>
      <w:r w:rsidRPr="006C66A0">
        <w:rPr>
          <w:rFonts w:ascii="Times New Roman" w:hAnsi="Times New Roman"/>
          <w:sz w:val="24"/>
          <w:szCs w:val="24"/>
        </w:rPr>
        <w:t xml:space="preserve">. </w:t>
      </w:r>
    </w:p>
    <w:p w:rsidR="00053086" w:rsidRPr="006C66A0" w:rsidRDefault="00053086" w:rsidP="00EB6D19">
      <w:pPr>
        <w:spacing w:after="0" w:line="480" w:lineRule="auto"/>
        <w:jc w:val="both"/>
        <w:rPr>
          <w:rFonts w:ascii="Times New Roman" w:hAnsi="Times New Roman"/>
          <w:b/>
          <w:sz w:val="24"/>
          <w:szCs w:val="24"/>
        </w:rPr>
      </w:pPr>
      <w:r w:rsidRPr="006C66A0">
        <w:rPr>
          <w:rFonts w:ascii="Times New Roman" w:hAnsi="Times New Roman"/>
          <w:b/>
          <w:sz w:val="24"/>
          <w:szCs w:val="24"/>
        </w:rPr>
        <w:t>Q.</w:t>
      </w:r>
      <w:r>
        <w:rPr>
          <w:rFonts w:ascii="Times New Roman" w:hAnsi="Times New Roman"/>
          <w:b/>
          <w:sz w:val="24"/>
          <w:szCs w:val="24"/>
        </w:rPr>
        <w:tab/>
      </w:r>
      <w:r w:rsidR="00832C6B">
        <w:rPr>
          <w:rFonts w:ascii="Times New Roman" w:hAnsi="Times New Roman"/>
          <w:b/>
          <w:sz w:val="24"/>
          <w:szCs w:val="24"/>
        </w:rPr>
        <w:t xml:space="preserve">What is the purpose of your testimony? </w:t>
      </w:r>
    </w:p>
    <w:p w:rsidR="00053086" w:rsidRDefault="00053086" w:rsidP="009822B6">
      <w:pPr>
        <w:spacing w:after="0" w:line="480" w:lineRule="auto"/>
        <w:jc w:val="both"/>
        <w:rPr>
          <w:rFonts w:ascii="Times New Roman" w:hAnsi="Times New Roman"/>
          <w:sz w:val="24"/>
          <w:szCs w:val="24"/>
        </w:rPr>
      </w:pPr>
      <w:r w:rsidRPr="006C66A0">
        <w:rPr>
          <w:rFonts w:ascii="Times New Roman" w:hAnsi="Times New Roman"/>
          <w:sz w:val="24"/>
          <w:szCs w:val="24"/>
        </w:rPr>
        <w:t>A.</w:t>
      </w:r>
      <w:r>
        <w:rPr>
          <w:rFonts w:ascii="Times New Roman" w:hAnsi="Times New Roman"/>
          <w:sz w:val="24"/>
          <w:szCs w:val="24"/>
        </w:rPr>
        <w:tab/>
      </w:r>
      <w:r w:rsidR="00832C6B">
        <w:rPr>
          <w:rFonts w:ascii="Times New Roman" w:hAnsi="Times New Roman"/>
          <w:sz w:val="24"/>
          <w:szCs w:val="24"/>
        </w:rPr>
        <w:t xml:space="preserve">On October 4, 2012, </w:t>
      </w:r>
      <w:r>
        <w:rPr>
          <w:rFonts w:ascii="Times New Roman" w:hAnsi="Times New Roman"/>
          <w:sz w:val="24"/>
          <w:szCs w:val="24"/>
        </w:rPr>
        <w:t>COH, the Staff of the Commission (“Staff”), the Ohio Gas Marketers Group (“OGMG”), the Retail Energy Supply Association (“RESA”)</w:t>
      </w:r>
      <w:r w:rsidR="00832C6B">
        <w:rPr>
          <w:rFonts w:ascii="Times New Roman" w:hAnsi="Times New Roman"/>
          <w:sz w:val="24"/>
          <w:szCs w:val="24"/>
        </w:rPr>
        <w:t>, and Dominion Retail, Inc.</w:t>
      </w:r>
      <w:r>
        <w:rPr>
          <w:rFonts w:ascii="Times New Roman" w:hAnsi="Times New Roman"/>
          <w:sz w:val="24"/>
          <w:szCs w:val="24"/>
        </w:rPr>
        <w:t xml:space="preserve"> submitted </w:t>
      </w:r>
      <w:r w:rsidR="00832C6B">
        <w:rPr>
          <w:rFonts w:ascii="Times New Roman" w:hAnsi="Times New Roman"/>
          <w:sz w:val="24"/>
          <w:szCs w:val="24"/>
        </w:rPr>
        <w:t xml:space="preserve">a </w:t>
      </w:r>
      <w:r>
        <w:rPr>
          <w:rFonts w:ascii="Times New Roman" w:hAnsi="Times New Roman"/>
          <w:sz w:val="24"/>
          <w:szCs w:val="24"/>
        </w:rPr>
        <w:t xml:space="preserve">Joint Stipulation and Recommendation </w:t>
      </w:r>
      <w:r w:rsidR="00294681">
        <w:rPr>
          <w:rFonts w:ascii="Times New Roman" w:hAnsi="Times New Roman"/>
          <w:sz w:val="24"/>
          <w:szCs w:val="24"/>
        </w:rPr>
        <w:t xml:space="preserve">(“Original Stipulation”) </w:t>
      </w:r>
      <w:r w:rsidR="00832C6B">
        <w:rPr>
          <w:rFonts w:ascii="Times New Roman" w:hAnsi="Times New Roman"/>
          <w:sz w:val="24"/>
          <w:szCs w:val="24"/>
        </w:rPr>
        <w:t xml:space="preserve">in this proceeding </w:t>
      </w:r>
      <w:r>
        <w:rPr>
          <w:rFonts w:ascii="Times New Roman" w:hAnsi="Times New Roman"/>
          <w:sz w:val="24"/>
          <w:szCs w:val="24"/>
        </w:rPr>
        <w:t xml:space="preserve">requesting </w:t>
      </w:r>
      <w:r w:rsidR="00696E92">
        <w:rPr>
          <w:rFonts w:ascii="Times New Roman" w:hAnsi="Times New Roman"/>
          <w:sz w:val="24"/>
          <w:szCs w:val="24"/>
        </w:rPr>
        <w:t xml:space="preserve">the </w:t>
      </w:r>
      <w:r>
        <w:rPr>
          <w:rFonts w:ascii="Times New Roman" w:hAnsi="Times New Roman"/>
          <w:sz w:val="24"/>
          <w:szCs w:val="24"/>
        </w:rPr>
        <w:t>Commission</w:t>
      </w:r>
      <w:r w:rsidR="00696E92">
        <w:rPr>
          <w:rFonts w:ascii="Times New Roman" w:hAnsi="Times New Roman"/>
          <w:sz w:val="24"/>
          <w:szCs w:val="24"/>
        </w:rPr>
        <w:t>’s</w:t>
      </w:r>
      <w:r>
        <w:rPr>
          <w:rFonts w:ascii="Times New Roman" w:hAnsi="Times New Roman"/>
          <w:sz w:val="24"/>
          <w:szCs w:val="24"/>
        </w:rPr>
        <w:t xml:space="preserve"> approval of several </w:t>
      </w:r>
      <w:r w:rsidR="00696E92">
        <w:rPr>
          <w:rFonts w:ascii="Times New Roman" w:hAnsi="Times New Roman"/>
          <w:sz w:val="24"/>
          <w:szCs w:val="24"/>
        </w:rPr>
        <w:t>modifications</w:t>
      </w:r>
      <w:r>
        <w:rPr>
          <w:rFonts w:ascii="Times New Roman" w:hAnsi="Times New Roman"/>
          <w:sz w:val="24"/>
          <w:szCs w:val="24"/>
        </w:rPr>
        <w:t xml:space="preserve"> to COH’s current SCO auction program design established in the Commission’s December 2, 2009 Opinion and Order and the September 7, 2011 Second Opinion and Order in Case No. 08-1344-GA-EXM (the “Exemption Orders”).  </w:t>
      </w:r>
      <w:r w:rsidR="00DC2BFC">
        <w:rPr>
          <w:rFonts w:ascii="Times New Roman" w:hAnsi="Times New Roman"/>
          <w:sz w:val="24"/>
          <w:szCs w:val="24"/>
        </w:rPr>
        <w:t>On November 2</w:t>
      </w:r>
      <w:r w:rsidR="0032121A">
        <w:rPr>
          <w:rFonts w:ascii="Times New Roman" w:hAnsi="Times New Roman"/>
          <w:sz w:val="24"/>
          <w:szCs w:val="24"/>
        </w:rPr>
        <w:t>7</w:t>
      </w:r>
      <w:r w:rsidR="00DC2BFC">
        <w:rPr>
          <w:rFonts w:ascii="Times New Roman" w:hAnsi="Times New Roman"/>
          <w:sz w:val="24"/>
          <w:szCs w:val="24"/>
        </w:rPr>
        <w:t xml:space="preserve">, 2012, The Office of the Ohio Consumers’ Counsel (“OCC”) joined the </w:t>
      </w:r>
      <w:r w:rsidR="00294681">
        <w:rPr>
          <w:rFonts w:ascii="Times New Roman" w:hAnsi="Times New Roman"/>
          <w:sz w:val="24"/>
          <w:szCs w:val="24"/>
        </w:rPr>
        <w:t>Original</w:t>
      </w:r>
      <w:r w:rsidR="00DC2BFC">
        <w:rPr>
          <w:rFonts w:ascii="Times New Roman" w:hAnsi="Times New Roman"/>
          <w:sz w:val="24"/>
          <w:szCs w:val="24"/>
        </w:rPr>
        <w:t xml:space="preserve"> </w:t>
      </w:r>
      <w:r w:rsidR="00294681">
        <w:rPr>
          <w:rFonts w:ascii="Times New Roman" w:hAnsi="Times New Roman"/>
          <w:sz w:val="24"/>
          <w:szCs w:val="24"/>
        </w:rPr>
        <w:t>S</w:t>
      </w:r>
      <w:r w:rsidR="00DC2BFC">
        <w:rPr>
          <w:rFonts w:ascii="Times New Roman" w:hAnsi="Times New Roman"/>
          <w:sz w:val="24"/>
          <w:szCs w:val="24"/>
        </w:rPr>
        <w:t xml:space="preserve">tipulation and the parties filed an Amended Stipulation and Recommendation (“Amended Stipulation”). </w:t>
      </w:r>
      <w:r>
        <w:rPr>
          <w:rFonts w:ascii="Times New Roman" w:hAnsi="Times New Roman"/>
          <w:sz w:val="24"/>
          <w:szCs w:val="24"/>
        </w:rPr>
        <w:t xml:space="preserve">My testimony specifically </w:t>
      </w:r>
      <w:r w:rsidR="00832C6B">
        <w:rPr>
          <w:rFonts w:ascii="Times New Roman" w:hAnsi="Times New Roman"/>
          <w:sz w:val="24"/>
          <w:szCs w:val="24"/>
        </w:rPr>
        <w:t xml:space="preserve">addresses Hess’ position on </w:t>
      </w:r>
      <w:r>
        <w:rPr>
          <w:rFonts w:ascii="Times New Roman" w:hAnsi="Times New Roman"/>
          <w:sz w:val="24"/>
          <w:szCs w:val="24"/>
        </w:rPr>
        <w:t>the following elements of the Stipulation:</w:t>
      </w:r>
    </w:p>
    <w:p w:rsidR="00053086" w:rsidRDefault="00053086" w:rsidP="00FB77BD">
      <w:pPr>
        <w:spacing w:after="0" w:line="240" w:lineRule="auto"/>
        <w:ind w:left="720"/>
        <w:jc w:val="both"/>
        <w:rPr>
          <w:rFonts w:ascii="Times New Roman" w:hAnsi="Times New Roman"/>
          <w:sz w:val="24"/>
          <w:szCs w:val="24"/>
        </w:rPr>
      </w:pPr>
      <w:r>
        <w:rPr>
          <w:rFonts w:ascii="Times New Roman" w:hAnsi="Times New Roman"/>
          <w:sz w:val="24"/>
          <w:szCs w:val="24"/>
        </w:rPr>
        <w:t xml:space="preserve">1. </w:t>
      </w:r>
      <w:r w:rsidR="00832C6B" w:rsidRPr="00832C6B">
        <w:rPr>
          <w:rFonts w:ascii="Times New Roman" w:hAnsi="Times New Roman"/>
          <w:b/>
          <w:sz w:val="24"/>
          <w:szCs w:val="24"/>
          <w:u w:val="single"/>
        </w:rPr>
        <w:t>Non-Residential Exit</w:t>
      </w:r>
      <w:r w:rsidR="00414B31">
        <w:rPr>
          <w:rFonts w:ascii="Times New Roman" w:hAnsi="Times New Roman"/>
          <w:b/>
          <w:sz w:val="24"/>
          <w:szCs w:val="24"/>
          <w:u w:val="single"/>
        </w:rPr>
        <w:t xml:space="preserve"> Framework</w:t>
      </w:r>
      <w:r w:rsidR="00832C6B">
        <w:rPr>
          <w:rFonts w:ascii="Times New Roman" w:hAnsi="Times New Roman"/>
          <w:sz w:val="24"/>
          <w:szCs w:val="24"/>
        </w:rPr>
        <w:t xml:space="preserve">.  The </w:t>
      </w:r>
      <w:r w:rsidR="00DC2BFC">
        <w:rPr>
          <w:rFonts w:ascii="Times New Roman" w:hAnsi="Times New Roman"/>
          <w:sz w:val="24"/>
          <w:szCs w:val="24"/>
        </w:rPr>
        <w:t xml:space="preserve">Amended </w:t>
      </w:r>
      <w:r w:rsidR="00832C6B">
        <w:rPr>
          <w:rFonts w:ascii="Times New Roman" w:hAnsi="Times New Roman"/>
          <w:sz w:val="24"/>
          <w:szCs w:val="24"/>
        </w:rPr>
        <w:t>Stipulation provides that i</w:t>
      </w:r>
      <w:r>
        <w:rPr>
          <w:rFonts w:ascii="Times New Roman" w:hAnsi="Times New Roman"/>
          <w:sz w:val="24"/>
          <w:szCs w:val="24"/>
        </w:rPr>
        <w:t>f non-residential customer participation in the COH Choice program meets or exceeds 70% of Choice-eligible</w:t>
      </w:r>
      <w:r w:rsidR="00696E92">
        <w:rPr>
          <w:rFonts w:ascii="Times New Roman" w:hAnsi="Times New Roman"/>
          <w:sz w:val="24"/>
          <w:szCs w:val="24"/>
        </w:rPr>
        <w:t>,</w:t>
      </w:r>
      <w:r>
        <w:rPr>
          <w:rFonts w:ascii="Times New Roman" w:hAnsi="Times New Roman"/>
          <w:sz w:val="24"/>
          <w:szCs w:val="24"/>
        </w:rPr>
        <w:t xml:space="preserve"> non-residential customers for three consecutive months, </w:t>
      </w:r>
      <w:r w:rsidRPr="00FB77BD">
        <w:rPr>
          <w:rFonts w:ascii="Times New Roman" w:hAnsi="Times New Roman"/>
          <w:sz w:val="24"/>
          <w:szCs w:val="24"/>
        </w:rPr>
        <w:t xml:space="preserve">then </w:t>
      </w:r>
      <w:r>
        <w:rPr>
          <w:rFonts w:ascii="Times New Roman" w:hAnsi="Times New Roman"/>
          <w:sz w:val="24"/>
          <w:szCs w:val="24"/>
        </w:rPr>
        <w:t>COH</w:t>
      </w:r>
      <w:r w:rsidRPr="00FB77BD">
        <w:rPr>
          <w:rFonts w:ascii="Times New Roman" w:hAnsi="Times New Roman"/>
          <w:sz w:val="24"/>
          <w:szCs w:val="24"/>
        </w:rPr>
        <w:t xml:space="preserve"> will exit the merchant function with regard to </w:t>
      </w:r>
      <w:r w:rsidR="00696E92">
        <w:rPr>
          <w:rFonts w:ascii="Times New Roman" w:hAnsi="Times New Roman"/>
          <w:sz w:val="24"/>
          <w:szCs w:val="24"/>
        </w:rPr>
        <w:t>n</w:t>
      </w:r>
      <w:r w:rsidRPr="00FB77BD">
        <w:rPr>
          <w:rFonts w:ascii="Times New Roman" w:hAnsi="Times New Roman"/>
          <w:sz w:val="24"/>
          <w:szCs w:val="24"/>
        </w:rPr>
        <w:t>on-</w:t>
      </w:r>
      <w:r w:rsidR="00696E92">
        <w:rPr>
          <w:rFonts w:ascii="Times New Roman" w:hAnsi="Times New Roman"/>
          <w:sz w:val="24"/>
          <w:szCs w:val="24"/>
        </w:rPr>
        <w:t>r</w:t>
      </w:r>
      <w:r w:rsidRPr="00FB77BD">
        <w:rPr>
          <w:rFonts w:ascii="Times New Roman" w:hAnsi="Times New Roman"/>
          <w:sz w:val="24"/>
          <w:szCs w:val="24"/>
        </w:rPr>
        <w:t xml:space="preserve">esidential </w:t>
      </w:r>
      <w:r w:rsidR="00696E92">
        <w:rPr>
          <w:rFonts w:ascii="Times New Roman" w:hAnsi="Times New Roman"/>
          <w:sz w:val="24"/>
          <w:szCs w:val="24"/>
        </w:rPr>
        <w:t>c</w:t>
      </w:r>
      <w:r w:rsidRPr="00FB77BD">
        <w:rPr>
          <w:rFonts w:ascii="Times New Roman" w:hAnsi="Times New Roman"/>
          <w:sz w:val="24"/>
          <w:szCs w:val="24"/>
        </w:rPr>
        <w:t xml:space="preserve">ustomers effective </w:t>
      </w:r>
      <w:r w:rsidR="000A2A6B">
        <w:rPr>
          <w:rFonts w:ascii="Times New Roman" w:hAnsi="Times New Roman"/>
          <w:sz w:val="24"/>
          <w:szCs w:val="24"/>
        </w:rPr>
        <w:t>the first April 1 that follows.</w:t>
      </w:r>
      <w:r w:rsidR="000A2A6B">
        <w:rPr>
          <w:rStyle w:val="FootnoteReference"/>
          <w:rFonts w:ascii="Times New Roman" w:hAnsi="Times New Roman"/>
          <w:sz w:val="24"/>
          <w:szCs w:val="24"/>
        </w:rPr>
        <w:footnoteReference w:id="2"/>
      </w:r>
    </w:p>
    <w:p w:rsidR="00053086" w:rsidRDefault="00053086" w:rsidP="00FB77BD">
      <w:pPr>
        <w:spacing w:after="0" w:line="240" w:lineRule="auto"/>
        <w:ind w:left="720"/>
        <w:jc w:val="both"/>
        <w:rPr>
          <w:rFonts w:ascii="Times New Roman" w:hAnsi="Times New Roman"/>
          <w:sz w:val="24"/>
          <w:szCs w:val="24"/>
        </w:rPr>
      </w:pPr>
    </w:p>
    <w:p w:rsidR="00053086" w:rsidRDefault="00053086" w:rsidP="00FB77BD">
      <w:pPr>
        <w:spacing w:after="0" w:line="240" w:lineRule="auto"/>
        <w:ind w:left="720"/>
        <w:jc w:val="both"/>
        <w:rPr>
          <w:rFonts w:ascii="Times New Roman" w:hAnsi="Times New Roman"/>
          <w:sz w:val="24"/>
          <w:szCs w:val="24"/>
        </w:rPr>
      </w:pPr>
      <w:r>
        <w:rPr>
          <w:rFonts w:ascii="Times New Roman" w:hAnsi="Times New Roman"/>
          <w:sz w:val="24"/>
          <w:szCs w:val="24"/>
        </w:rPr>
        <w:t xml:space="preserve">2. </w:t>
      </w:r>
      <w:r w:rsidR="00832C6B" w:rsidRPr="00832C6B">
        <w:rPr>
          <w:rFonts w:ascii="Times New Roman" w:hAnsi="Times New Roman"/>
          <w:b/>
          <w:sz w:val="24"/>
          <w:szCs w:val="24"/>
          <w:u w:val="single"/>
        </w:rPr>
        <w:t>Residential Exit Framework</w:t>
      </w:r>
      <w:r w:rsidR="00832C6B">
        <w:rPr>
          <w:rFonts w:ascii="Times New Roman" w:hAnsi="Times New Roman"/>
          <w:sz w:val="24"/>
          <w:szCs w:val="24"/>
        </w:rPr>
        <w:t xml:space="preserve">.  The </w:t>
      </w:r>
      <w:r w:rsidR="00DC2BFC">
        <w:rPr>
          <w:rFonts w:ascii="Times New Roman" w:hAnsi="Times New Roman"/>
          <w:sz w:val="24"/>
          <w:szCs w:val="24"/>
        </w:rPr>
        <w:t xml:space="preserve">Amended </w:t>
      </w:r>
      <w:r w:rsidR="00832C6B">
        <w:rPr>
          <w:rFonts w:ascii="Times New Roman" w:hAnsi="Times New Roman"/>
          <w:sz w:val="24"/>
          <w:szCs w:val="24"/>
        </w:rPr>
        <w:t>Stipulation provides that i</w:t>
      </w:r>
      <w:r>
        <w:rPr>
          <w:rFonts w:ascii="Times New Roman" w:hAnsi="Times New Roman"/>
          <w:sz w:val="24"/>
          <w:szCs w:val="24"/>
        </w:rPr>
        <w:t>f residential customer participation in the COH Choice program meets or exceeds 70% of Choice-eligible</w:t>
      </w:r>
      <w:r w:rsidR="00696E92">
        <w:rPr>
          <w:rFonts w:ascii="Times New Roman" w:hAnsi="Times New Roman"/>
          <w:sz w:val="24"/>
          <w:szCs w:val="24"/>
        </w:rPr>
        <w:t>,</w:t>
      </w:r>
      <w:r>
        <w:rPr>
          <w:rFonts w:ascii="Times New Roman" w:hAnsi="Times New Roman"/>
          <w:sz w:val="24"/>
          <w:szCs w:val="24"/>
        </w:rPr>
        <w:t xml:space="preserve"> residential customers for three consecutive months, </w:t>
      </w:r>
      <w:r w:rsidRPr="00FB77BD">
        <w:rPr>
          <w:rFonts w:ascii="Times New Roman" w:hAnsi="Times New Roman"/>
          <w:sz w:val="24"/>
          <w:szCs w:val="24"/>
        </w:rPr>
        <w:t xml:space="preserve">then </w:t>
      </w:r>
      <w:r>
        <w:rPr>
          <w:rFonts w:ascii="Times New Roman" w:hAnsi="Times New Roman"/>
          <w:sz w:val="24"/>
          <w:szCs w:val="24"/>
        </w:rPr>
        <w:t>COH</w:t>
      </w:r>
      <w:r w:rsidRPr="00FB77BD">
        <w:rPr>
          <w:rFonts w:ascii="Times New Roman" w:hAnsi="Times New Roman"/>
          <w:sz w:val="24"/>
          <w:szCs w:val="24"/>
        </w:rPr>
        <w:t xml:space="preserve"> </w:t>
      </w:r>
      <w:r w:rsidR="00DC2BFC">
        <w:rPr>
          <w:rFonts w:ascii="Times New Roman" w:hAnsi="Times New Roman"/>
          <w:sz w:val="24"/>
          <w:szCs w:val="24"/>
        </w:rPr>
        <w:t>may</w:t>
      </w:r>
      <w:r w:rsidR="00DC2BFC" w:rsidRPr="00FB77BD">
        <w:rPr>
          <w:rFonts w:ascii="Times New Roman" w:hAnsi="Times New Roman"/>
          <w:sz w:val="24"/>
          <w:szCs w:val="24"/>
        </w:rPr>
        <w:t xml:space="preserve"> </w:t>
      </w:r>
      <w:r w:rsidRPr="00FB77BD">
        <w:rPr>
          <w:rFonts w:ascii="Times New Roman" w:hAnsi="Times New Roman"/>
          <w:sz w:val="24"/>
          <w:szCs w:val="24"/>
        </w:rPr>
        <w:t xml:space="preserve">file an application with the Commission to exit the merchant function for all </w:t>
      </w:r>
      <w:r>
        <w:rPr>
          <w:rFonts w:ascii="Times New Roman" w:hAnsi="Times New Roman"/>
          <w:sz w:val="24"/>
          <w:szCs w:val="24"/>
        </w:rPr>
        <w:t>Choice-eligible r</w:t>
      </w:r>
      <w:r w:rsidRPr="00FB77BD">
        <w:rPr>
          <w:rFonts w:ascii="Times New Roman" w:hAnsi="Times New Roman"/>
          <w:sz w:val="24"/>
          <w:szCs w:val="24"/>
        </w:rPr>
        <w:t xml:space="preserve">esidential </w:t>
      </w:r>
      <w:r w:rsidR="00696E92">
        <w:rPr>
          <w:rFonts w:ascii="Times New Roman" w:hAnsi="Times New Roman"/>
          <w:sz w:val="24"/>
          <w:szCs w:val="24"/>
        </w:rPr>
        <w:t>c</w:t>
      </w:r>
      <w:r w:rsidRPr="00FB77BD">
        <w:rPr>
          <w:rFonts w:ascii="Times New Roman" w:hAnsi="Times New Roman"/>
          <w:sz w:val="24"/>
          <w:szCs w:val="24"/>
        </w:rPr>
        <w:t xml:space="preserve">ustomers on the first April that is at least </w:t>
      </w:r>
      <w:r w:rsidR="00DC2BFC" w:rsidRPr="00FB77BD">
        <w:rPr>
          <w:rFonts w:ascii="Times New Roman" w:hAnsi="Times New Roman"/>
          <w:sz w:val="24"/>
          <w:szCs w:val="24"/>
        </w:rPr>
        <w:t>t</w:t>
      </w:r>
      <w:r w:rsidR="00DC2BFC">
        <w:rPr>
          <w:rFonts w:ascii="Times New Roman" w:hAnsi="Times New Roman"/>
          <w:sz w:val="24"/>
          <w:szCs w:val="24"/>
        </w:rPr>
        <w:t>wenty-two (22)</w:t>
      </w:r>
      <w:r w:rsidR="00DC2BFC" w:rsidRPr="00FB77BD">
        <w:rPr>
          <w:rFonts w:ascii="Times New Roman" w:hAnsi="Times New Roman"/>
          <w:sz w:val="24"/>
          <w:szCs w:val="24"/>
        </w:rPr>
        <w:t xml:space="preserve"> </w:t>
      </w:r>
      <w:r w:rsidRPr="00FB77BD">
        <w:rPr>
          <w:rFonts w:ascii="Times New Roman" w:hAnsi="Times New Roman"/>
          <w:sz w:val="24"/>
          <w:szCs w:val="24"/>
        </w:rPr>
        <w:t xml:space="preserve">months after </w:t>
      </w:r>
      <w:r>
        <w:rPr>
          <w:rFonts w:ascii="Times New Roman" w:hAnsi="Times New Roman"/>
          <w:sz w:val="24"/>
          <w:szCs w:val="24"/>
        </w:rPr>
        <w:t>COH</w:t>
      </w:r>
      <w:r w:rsidRPr="00FB77BD">
        <w:rPr>
          <w:rFonts w:ascii="Times New Roman" w:hAnsi="Times New Roman"/>
          <w:sz w:val="24"/>
          <w:szCs w:val="24"/>
        </w:rPr>
        <w:t xml:space="preserve"> exits the merchant function with regard to </w:t>
      </w:r>
      <w:r>
        <w:rPr>
          <w:rFonts w:ascii="Times New Roman" w:hAnsi="Times New Roman"/>
          <w:sz w:val="24"/>
          <w:szCs w:val="24"/>
        </w:rPr>
        <w:t>non-residential c</w:t>
      </w:r>
      <w:r w:rsidRPr="00FB77BD">
        <w:rPr>
          <w:rFonts w:ascii="Times New Roman" w:hAnsi="Times New Roman"/>
          <w:sz w:val="24"/>
          <w:szCs w:val="24"/>
        </w:rPr>
        <w:t xml:space="preserve">ustomers. </w:t>
      </w:r>
      <w:r>
        <w:rPr>
          <w:rFonts w:ascii="Times New Roman" w:hAnsi="Times New Roman"/>
          <w:sz w:val="24"/>
          <w:szCs w:val="24"/>
        </w:rPr>
        <w:t>COH</w:t>
      </w:r>
      <w:r w:rsidRPr="00FB77BD">
        <w:rPr>
          <w:rFonts w:ascii="Times New Roman" w:hAnsi="Times New Roman"/>
          <w:sz w:val="24"/>
          <w:szCs w:val="24"/>
        </w:rPr>
        <w:t xml:space="preserve"> and the </w:t>
      </w:r>
      <w:r w:rsidR="007E243B">
        <w:rPr>
          <w:rFonts w:ascii="Times New Roman" w:hAnsi="Times New Roman"/>
          <w:sz w:val="24"/>
          <w:szCs w:val="24"/>
        </w:rPr>
        <w:t>OGMG</w:t>
      </w:r>
      <w:r w:rsidRPr="00FB77BD">
        <w:rPr>
          <w:rFonts w:ascii="Times New Roman" w:hAnsi="Times New Roman"/>
          <w:sz w:val="24"/>
          <w:szCs w:val="24"/>
        </w:rPr>
        <w:t xml:space="preserve"> </w:t>
      </w:r>
      <w:r w:rsidR="007E243B">
        <w:rPr>
          <w:rFonts w:ascii="Times New Roman" w:hAnsi="Times New Roman"/>
          <w:sz w:val="24"/>
          <w:szCs w:val="24"/>
        </w:rPr>
        <w:t>will</w:t>
      </w:r>
      <w:r w:rsidRPr="00FB77BD">
        <w:rPr>
          <w:rFonts w:ascii="Times New Roman" w:hAnsi="Times New Roman"/>
          <w:sz w:val="24"/>
          <w:szCs w:val="24"/>
        </w:rPr>
        <w:t xml:space="preserve"> prepare testimony supporting that final exit-the-merchant-function application.</w:t>
      </w:r>
      <w:r w:rsidR="000A2A6B">
        <w:rPr>
          <w:rStyle w:val="FootnoteReference"/>
          <w:rFonts w:ascii="Times New Roman" w:hAnsi="Times New Roman"/>
          <w:sz w:val="24"/>
          <w:szCs w:val="24"/>
        </w:rPr>
        <w:footnoteReference w:id="3"/>
      </w:r>
    </w:p>
    <w:p w:rsidR="00053086" w:rsidRDefault="00053086" w:rsidP="00FB77BD">
      <w:pPr>
        <w:spacing w:after="0" w:line="240" w:lineRule="auto"/>
        <w:ind w:left="720"/>
        <w:jc w:val="both"/>
        <w:rPr>
          <w:rFonts w:ascii="Times New Roman" w:hAnsi="Times New Roman"/>
          <w:sz w:val="24"/>
          <w:szCs w:val="24"/>
        </w:rPr>
      </w:pPr>
    </w:p>
    <w:p w:rsidR="00053086" w:rsidRDefault="00053086" w:rsidP="00FB77BD">
      <w:pPr>
        <w:spacing w:after="0" w:line="240" w:lineRule="auto"/>
        <w:ind w:left="720"/>
        <w:jc w:val="both"/>
        <w:rPr>
          <w:rFonts w:ascii="Times New Roman" w:hAnsi="Times New Roman"/>
          <w:sz w:val="24"/>
          <w:szCs w:val="24"/>
        </w:rPr>
      </w:pPr>
      <w:r>
        <w:rPr>
          <w:rFonts w:ascii="Times New Roman" w:hAnsi="Times New Roman"/>
          <w:sz w:val="24"/>
          <w:szCs w:val="24"/>
        </w:rPr>
        <w:t xml:space="preserve">3. </w:t>
      </w:r>
      <w:r w:rsidR="00832C6B" w:rsidRPr="00832C6B">
        <w:rPr>
          <w:rFonts w:ascii="Times New Roman" w:hAnsi="Times New Roman"/>
          <w:b/>
          <w:sz w:val="24"/>
          <w:szCs w:val="24"/>
          <w:u w:val="single"/>
        </w:rPr>
        <w:t>Monthly Variable Rate Allocation</w:t>
      </w:r>
      <w:r w:rsidR="00832C6B">
        <w:rPr>
          <w:rFonts w:ascii="Times New Roman" w:hAnsi="Times New Roman"/>
          <w:sz w:val="24"/>
          <w:szCs w:val="24"/>
        </w:rPr>
        <w:t xml:space="preserve">.  </w:t>
      </w:r>
      <w:r w:rsidR="00414B31">
        <w:rPr>
          <w:rFonts w:ascii="Times New Roman" w:hAnsi="Times New Roman"/>
          <w:sz w:val="24"/>
          <w:szCs w:val="24"/>
        </w:rPr>
        <w:t xml:space="preserve">The </w:t>
      </w:r>
      <w:r w:rsidR="00DC2BFC">
        <w:rPr>
          <w:rFonts w:ascii="Times New Roman" w:hAnsi="Times New Roman"/>
          <w:sz w:val="24"/>
          <w:szCs w:val="24"/>
        </w:rPr>
        <w:t xml:space="preserve">Amended </w:t>
      </w:r>
      <w:r w:rsidR="00414B31">
        <w:rPr>
          <w:rFonts w:ascii="Times New Roman" w:hAnsi="Times New Roman"/>
          <w:sz w:val="24"/>
          <w:szCs w:val="24"/>
        </w:rPr>
        <w:t>Stipulation provides that u</w:t>
      </w:r>
      <w:r>
        <w:rPr>
          <w:rFonts w:ascii="Times New Roman" w:hAnsi="Times New Roman"/>
          <w:sz w:val="24"/>
          <w:szCs w:val="24"/>
        </w:rPr>
        <w:t>pon exit from the merchant func</w:t>
      </w:r>
      <w:r w:rsidR="007E243B">
        <w:rPr>
          <w:rFonts w:ascii="Times New Roman" w:hAnsi="Times New Roman"/>
          <w:sz w:val="24"/>
          <w:szCs w:val="24"/>
        </w:rPr>
        <w:t>tion for either Choice-eligible, n</w:t>
      </w:r>
      <w:r>
        <w:rPr>
          <w:rFonts w:ascii="Times New Roman" w:hAnsi="Times New Roman"/>
          <w:sz w:val="24"/>
          <w:szCs w:val="24"/>
        </w:rPr>
        <w:t>on-</w:t>
      </w:r>
      <w:r w:rsidR="007E243B">
        <w:rPr>
          <w:rFonts w:ascii="Times New Roman" w:hAnsi="Times New Roman"/>
          <w:sz w:val="24"/>
          <w:szCs w:val="24"/>
        </w:rPr>
        <w:t>r</w:t>
      </w:r>
      <w:r>
        <w:rPr>
          <w:rFonts w:ascii="Times New Roman" w:hAnsi="Times New Roman"/>
          <w:sz w:val="24"/>
          <w:szCs w:val="24"/>
        </w:rPr>
        <w:t xml:space="preserve">esidential </w:t>
      </w:r>
      <w:r w:rsidR="007E243B">
        <w:rPr>
          <w:rFonts w:ascii="Times New Roman" w:hAnsi="Times New Roman"/>
          <w:sz w:val="24"/>
          <w:szCs w:val="24"/>
        </w:rPr>
        <w:t>c</w:t>
      </w:r>
      <w:r>
        <w:rPr>
          <w:rFonts w:ascii="Times New Roman" w:hAnsi="Times New Roman"/>
          <w:sz w:val="24"/>
          <w:szCs w:val="24"/>
        </w:rPr>
        <w:t xml:space="preserve">ustomers or </w:t>
      </w:r>
      <w:r w:rsidR="007E243B">
        <w:rPr>
          <w:rFonts w:ascii="Times New Roman" w:hAnsi="Times New Roman"/>
          <w:sz w:val="24"/>
          <w:szCs w:val="24"/>
        </w:rPr>
        <w:t>r</w:t>
      </w:r>
      <w:r>
        <w:rPr>
          <w:rFonts w:ascii="Times New Roman" w:hAnsi="Times New Roman"/>
          <w:sz w:val="24"/>
          <w:szCs w:val="24"/>
        </w:rPr>
        <w:t xml:space="preserve">esidential </w:t>
      </w:r>
      <w:r w:rsidR="007E243B">
        <w:rPr>
          <w:rFonts w:ascii="Times New Roman" w:hAnsi="Times New Roman"/>
          <w:sz w:val="24"/>
          <w:szCs w:val="24"/>
        </w:rPr>
        <w:t>c</w:t>
      </w:r>
      <w:r>
        <w:rPr>
          <w:rFonts w:ascii="Times New Roman" w:hAnsi="Times New Roman"/>
          <w:sz w:val="24"/>
          <w:szCs w:val="24"/>
        </w:rPr>
        <w:t xml:space="preserve">ustomers, COH will no longer provide default commodity service for that </w:t>
      </w:r>
      <w:r>
        <w:rPr>
          <w:rFonts w:ascii="Times New Roman" w:hAnsi="Times New Roman"/>
          <w:sz w:val="24"/>
          <w:szCs w:val="24"/>
        </w:rPr>
        <w:lastRenderedPageBreak/>
        <w:t>subset of Choice-eligible customers.  Instead, those Choice-eligible customers that do not enroll with a supplier will be assigned a supplier, pursuant to COH’s</w:t>
      </w:r>
      <w:r w:rsidR="007E243B">
        <w:rPr>
          <w:rFonts w:ascii="Times New Roman" w:hAnsi="Times New Roman"/>
          <w:sz w:val="24"/>
          <w:szCs w:val="24"/>
        </w:rPr>
        <w:t xml:space="preserve"> </w:t>
      </w:r>
      <w:r w:rsidR="00832C6B">
        <w:rPr>
          <w:rFonts w:ascii="Times New Roman" w:hAnsi="Times New Roman"/>
          <w:sz w:val="24"/>
          <w:szCs w:val="24"/>
        </w:rPr>
        <w:t>monthly variable rate (“</w:t>
      </w:r>
      <w:r>
        <w:rPr>
          <w:rFonts w:ascii="Times New Roman" w:hAnsi="Times New Roman"/>
          <w:sz w:val="24"/>
          <w:szCs w:val="24"/>
        </w:rPr>
        <w:t>MVR</w:t>
      </w:r>
      <w:r w:rsidR="00832C6B">
        <w:rPr>
          <w:rFonts w:ascii="Times New Roman" w:hAnsi="Times New Roman"/>
          <w:sz w:val="24"/>
          <w:szCs w:val="24"/>
        </w:rPr>
        <w:t>”)</w:t>
      </w:r>
      <w:r>
        <w:rPr>
          <w:rFonts w:ascii="Times New Roman" w:hAnsi="Times New Roman"/>
          <w:sz w:val="24"/>
          <w:szCs w:val="24"/>
        </w:rPr>
        <w:t xml:space="preserve"> program.</w:t>
      </w:r>
      <w:r w:rsidR="000A2A6B">
        <w:rPr>
          <w:rStyle w:val="FootnoteReference"/>
          <w:rFonts w:ascii="Times New Roman" w:hAnsi="Times New Roman"/>
          <w:sz w:val="24"/>
          <w:szCs w:val="24"/>
        </w:rPr>
        <w:footnoteReference w:id="4"/>
      </w:r>
    </w:p>
    <w:p w:rsidR="00DB171E" w:rsidRDefault="00DB171E" w:rsidP="00FB77BD">
      <w:pPr>
        <w:spacing w:after="0" w:line="240" w:lineRule="auto"/>
        <w:ind w:left="720"/>
        <w:jc w:val="both"/>
        <w:rPr>
          <w:rFonts w:ascii="Times New Roman" w:hAnsi="Times New Roman"/>
          <w:sz w:val="24"/>
          <w:szCs w:val="24"/>
        </w:rPr>
      </w:pPr>
    </w:p>
    <w:p w:rsidR="00053086" w:rsidRDefault="00DB171E" w:rsidP="00414B31">
      <w:pPr>
        <w:spacing w:after="0" w:line="240" w:lineRule="auto"/>
        <w:ind w:left="720"/>
        <w:jc w:val="both"/>
        <w:rPr>
          <w:rFonts w:ascii="Times New Roman" w:hAnsi="Times New Roman"/>
          <w:sz w:val="24"/>
          <w:szCs w:val="24"/>
        </w:rPr>
      </w:pPr>
      <w:r>
        <w:rPr>
          <w:rFonts w:ascii="Times New Roman" w:hAnsi="Times New Roman"/>
          <w:sz w:val="24"/>
          <w:szCs w:val="24"/>
        </w:rPr>
        <w:t xml:space="preserve">4.  </w:t>
      </w:r>
      <w:r w:rsidR="00414B31" w:rsidRPr="00414B31">
        <w:rPr>
          <w:rFonts w:ascii="Times New Roman" w:hAnsi="Times New Roman"/>
          <w:b/>
          <w:sz w:val="24"/>
          <w:szCs w:val="24"/>
          <w:u w:val="single"/>
        </w:rPr>
        <w:t xml:space="preserve">SCO Supplier Cash Security </w:t>
      </w:r>
      <w:r w:rsidR="00D9033C">
        <w:rPr>
          <w:rFonts w:ascii="Times New Roman" w:hAnsi="Times New Roman"/>
          <w:b/>
          <w:sz w:val="24"/>
          <w:szCs w:val="24"/>
          <w:u w:val="single"/>
        </w:rPr>
        <w:t>Charge</w:t>
      </w:r>
      <w:r w:rsidR="00414B31">
        <w:rPr>
          <w:rFonts w:ascii="Times New Roman" w:hAnsi="Times New Roman"/>
          <w:sz w:val="24"/>
          <w:szCs w:val="24"/>
        </w:rPr>
        <w:t xml:space="preserve">.  The </w:t>
      </w:r>
      <w:r w:rsidR="00DC2BFC">
        <w:rPr>
          <w:rFonts w:ascii="Times New Roman" w:hAnsi="Times New Roman"/>
          <w:sz w:val="24"/>
          <w:szCs w:val="24"/>
        </w:rPr>
        <w:t xml:space="preserve">Amended </w:t>
      </w:r>
      <w:r w:rsidR="00414B31">
        <w:rPr>
          <w:rFonts w:ascii="Times New Roman" w:hAnsi="Times New Roman"/>
          <w:sz w:val="24"/>
          <w:szCs w:val="24"/>
        </w:rPr>
        <w:t xml:space="preserve">Stipulation provides </w:t>
      </w:r>
      <w:r w:rsidR="00D541E2">
        <w:rPr>
          <w:rFonts w:ascii="Times New Roman" w:hAnsi="Times New Roman"/>
          <w:sz w:val="24"/>
          <w:szCs w:val="24"/>
        </w:rPr>
        <w:t>that</w:t>
      </w:r>
      <w:r w:rsidR="00414B31">
        <w:rPr>
          <w:rFonts w:ascii="Times New Roman" w:hAnsi="Times New Roman"/>
          <w:sz w:val="24"/>
          <w:szCs w:val="24"/>
        </w:rPr>
        <w:t xml:space="preserve"> i</w:t>
      </w:r>
      <w:r>
        <w:rPr>
          <w:rFonts w:ascii="Times New Roman" w:hAnsi="Times New Roman"/>
          <w:sz w:val="24"/>
          <w:szCs w:val="24"/>
        </w:rPr>
        <w:t>n addition to the currently-required Letter of Credit, winning SCO suppliers will be required to provide COH with a</w:t>
      </w:r>
      <w:r w:rsidR="00D541E2">
        <w:rPr>
          <w:rFonts w:ascii="Times New Roman" w:hAnsi="Times New Roman"/>
          <w:sz w:val="24"/>
          <w:szCs w:val="24"/>
        </w:rPr>
        <w:t xml:space="preserve"> new</w:t>
      </w:r>
      <w:r>
        <w:rPr>
          <w:rFonts w:ascii="Times New Roman" w:hAnsi="Times New Roman"/>
          <w:sz w:val="24"/>
          <w:szCs w:val="24"/>
        </w:rPr>
        <w:t xml:space="preserve"> $0.</w:t>
      </w:r>
      <w:r w:rsidR="00DC2BFC">
        <w:rPr>
          <w:rFonts w:ascii="Times New Roman" w:hAnsi="Times New Roman"/>
          <w:sz w:val="24"/>
          <w:szCs w:val="24"/>
        </w:rPr>
        <w:t xml:space="preserve">06 </w:t>
      </w:r>
      <w:r>
        <w:rPr>
          <w:rFonts w:ascii="Times New Roman" w:hAnsi="Times New Roman"/>
          <w:sz w:val="24"/>
          <w:szCs w:val="24"/>
        </w:rPr>
        <w:t xml:space="preserve">per Mcf </w:t>
      </w:r>
      <w:r w:rsidR="00414B31">
        <w:rPr>
          <w:rFonts w:ascii="Times New Roman" w:hAnsi="Times New Roman"/>
          <w:sz w:val="24"/>
          <w:szCs w:val="24"/>
        </w:rPr>
        <w:t xml:space="preserve">cash “deposit.” </w:t>
      </w:r>
      <w:r>
        <w:rPr>
          <w:rFonts w:ascii="Times New Roman" w:hAnsi="Times New Roman"/>
          <w:sz w:val="24"/>
          <w:szCs w:val="24"/>
        </w:rPr>
        <w:t xml:space="preserve"> This $0.</w:t>
      </w:r>
      <w:r w:rsidR="00DC2BFC">
        <w:rPr>
          <w:rFonts w:ascii="Times New Roman" w:hAnsi="Times New Roman"/>
          <w:sz w:val="24"/>
          <w:szCs w:val="24"/>
        </w:rPr>
        <w:t xml:space="preserve">06 </w:t>
      </w:r>
      <w:r>
        <w:rPr>
          <w:rFonts w:ascii="Times New Roman" w:hAnsi="Times New Roman"/>
          <w:sz w:val="24"/>
          <w:szCs w:val="24"/>
        </w:rPr>
        <w:t>per Mcf charge</w:t>
      </w:r>
      <w:r w:rsidR="001E5F14">
        <w:rPr>
          <w:rFonts w:ascii="Times New Roman" w:hAnsi="Times New Roman"/>
          <w:sz w:val="24"/>
          <w:szCs w:val="24"/>
        </w:rPr>
        <w:t xml:space="preserve"> is purportedly to offset </w:t>
      </w:r>
      <w:r w:rsidR="00414B31">
        <w:rPr>
          <w:rFonts w:ascii="Times New Roman" w:hAnsi="Times New Roman"/>
          <w:sz w:val="24"/>
          <w:szCs w:val="24"/>
        </w:rPr>
        <w:t xml:space="preserve">COH’s </w:t>
      </w:r>
      <w:r w:rsidR="00D541E2">
        <w:rPr>
          <w:rFonts w:ascii="Times New Roman" w:hAnsi="Times New Roman"/>
          <w:sz w:val="24"/>
          <w:szCs w:val="24"/>
        </w:rPr>
        <w:t xml:space="preserve">potential </w:t>
      </w:r>
      <w:r w:rsidR="001E5F14">
        <w:rPr>
          <w:rFonts w:ascii="Times New Roman" w:hAnsi="Times New Roman"/>
          <w:sz w:val="24"/>
          <w:szCs w:val="24"/>
        </w:rPr>
        <w:t xml:space="preserve">default expenses.  Should any funds be </w:t>
      </w:r>
      <w:r w:rsidR="00984B2D">
        <w:rPr>
          <w:rFonts w:ascii="Times New Roman" w:hAnsi="Times New Roman"/>
          <w:sz w:val="24"/>
          <w:szCs w:val="24"/>
        </w:rPr>
        <w:t>remaining</w:t>
      </w:r>
      <w:r w:rsidR="001E5F14">
        <w:rPr>
          <w:rFonts w:ascii="Times New Roman" w:hAnsi="Times New Roman"/>
          <w:sz w:val="24"/>
          <w:szCs w:val="24"/>
        </w:rPr>
        <w:t xml:space="preserve"> at the end of the SCO program year, the balance will be </w:t>
      </w:r>
      <w:r w:rsidR="00414B31">
        <w:rPr>
          <w:rFonts w:ascii="Times New Roman" w:hAnsi="Times New Roman"/>
          <w:sz w:val="24"/>
          <w:szCs w:val="24"/>
        </w:rPr>
        <w:t xml:space="preserve">credited </w:t>
      </w:r>
      <w:r w:rsidR="001E5F14">
        <w:rPr>
          <w:rFonts w:ascii="Times New Roman" w:hAnsi="Times New Roman"/>
          <w:sz w:val="24"/>
          <w:szCs w:val="24"/>
        </w:rPr>
        <w:t xml:space="preserve">to the </w:t>
      </w:r>
      <w:r w:rsidR="000C7B3D">
        <w:rPr>
          <w:rFonts w:ascii="Times New Roman" w:hAnsi="Times New Roman"/>
          <w:sz w:val="24"/>
          <w:szCs w:val="24"/>
        </w:rPr>
        <w:t>Choice/SCO Reconciliation Rider (“</w:t>
      </w:r>
      <w:r w:rsidR="001E5F14">
        <w:rPr>
          <w:rFonts w:ascii="Times New Roman" w:hAnsi="Times New Roman"/>
          <w:sz w:val="24"/>
          <w:szCs w:val="24"/>
        </w:rPr>
        <w:t>CSRR</w:t>
      </w:r>
      <w:r w:rsidR="000C7B3D">
        <w:rPr>
          <w:rFonts w:ascii="Times New Roman" w:hAnsi="Times New Roman"/>
          <w:sz w:val="24"/>
          <w:szCs w:val="24"/>
        </w:rPr>
        <w:t>”)</w:t>
      </w:r>
      <w:r w:rsidR="001E5F14">
        <w:rPr>
          <w:rFonts w:ascii="Times New Roman" w:hAnsi="Times New Roman"/>
          <w:sz w:val="24"/>
          <w:szCs w:val="24"/>
        </w:rPr>
        <w:t xml:space="preserve"> commencing the next year.</w:t>
      </w:r>
      <w:r w:rsidR="000A2A6B">
        <w:rPr>
          <w:rStyle w:val="FootnoteReference"/>
          <w:rFonts w:ascii="Times New Roman" w:hAnsi="Times New Roman"/>
          <w:sz w:val="24"/>
          <w:szCs w:val="24"/>
        </w:rPr>
        <w:footnoteReference w:id="5"/>
      </w:r>
    </w:p>
    <w:p w:rsidR="00414B31" w:rsidRPr="00FB77BD" w:rsidRDefault="00414B31" w:rsidP="00414B31">
      <w:pPr>
        <w:spacing w:after="0" w:line="240" w:lineRule="auto"/>
        <w:ind w:left="720"/>
        <w:jc w:val="both"/>
        <w:rPr>
          <w:rFonts w:ascii="Times New Roman" w:hAnsi="Times New Roman"/>
          <w:sz w:val="24"/>
          <w:szCs w:val="24"/>
        </w:rPr>
      </w:pPr>
    </w:p>
    <w:p w:rsidR="00414B31" w:rsidRDefault="00414B31" w:rsidP="00F0570A">
      <w:pPr>
        <w:spacing w:after="0" w:line="480" w:lineRule="auto"/>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Briefly summarize Hess’ position on these four issues. </w:t>
      </w:r>
    </w:p>
    <w:p w:rsidR="00414B31" w:rsidRDefault="00414B31" w:rsidP="00F0570A">
      <w:pPr>
        <w:spacing w:after="0" w:line="480"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 xml:space="preserve">Hess’ urges the Commission to:  </w:t>
      </w:r>
    </w:p>
    <w:p w:rsidR="00414B31" w:rsidRDefault="00A8337C" w:rsidP="00A8337C">
      <w:pPr>
        <w:spacing w:after="0" w:line="240" w:lineRule="auto"/>
        <w:ind w:left="144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D9033C">
        <w:rPr>
          <w:rFonts w:ascii="Times New Roman" w:hAnsi="Times New Roman"/>
          <w:sz w:val="24"/>
          <w:szCs w:val="24"/>
        </w:rPr>
        <w:t>a</w:t>
      </w:r>
      <w:r w:rsidR="00414B31" w:rsidRPr="00414B31">
        <w:rPr>
          <w:rFonts w:ascii="Times New Roman" w:hAnsi="Times New Roman"/>
          <w:sz w:val="24"/>
          <w:szCs w:val="24"/>
        </w:rPr>
        <w:t>pprove the Non-Residential Exit Framework</w:t>
      </w:r>
      <w:r w:rsidR="00D9033C">
        <w:rPr>
          <w:rFonts w:ascii="Times New Roman" w:hAnsi="Times New Roman"/>
          <w:sz w:val="24"/>
          <w:szCs w:val="24"/>
        </w:rPr>
        <w:t>;</w:t>
      </w:r>
    </w:p>
    <w:p w:rsidR="00414B31" w:rsidRPr="00414B31" w:rsidRDefault="00A8337C" w:rsidP="00A8337C">
      <w:pPr>
        <w:spacing w:before="120" w:after="0" w:line="240" w:lineRule="auto"/>
        <w:ind w:left="144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D9033C">
        <w:rPr>
          <w:rFonts w:ascii="Times New Roman" w:hAnsi="Times New Roman"/>
          <w:sz w:val="24"/>
          <w:szCs w:val="24"/>
        </w:rPr>
        <w:t>r</w:t>
      </w:r>
      <w:r w:rsidR="00414B31" w:rsidRPr="00414B31">
        <w:rPr>
          <w:rFonts w:ascii="Times New Roman" w:hAnsi="Times New Roman"/>
          <w:sz w:val="24"/>
          <w:szCs w:val="24"/>
        </w:rPr>
        <w:t>eject the Residential Exit Framework</w:t>
      </w:r>
      <w:r w:rsidR="00D9033C">
        <w:rPr>
          <w:rFonts w:ascii="Times New Roman" w:hAnsi="Times New Roman"/>
          <w:sz w:val="24"/>
          <w:szCs w:val="24"/>
        </w:rPr>
        <w:t>;</w:t>
      </w:r>
    </w:p>
    <w:p w:rsidR="00A8337C" w:rsidRDefault="00A8337C" w:rsidP="00A8337C">
      <w:pPr>
        <w:spacing w:before="120" w:after="0" w:line="240" w:lineRule="auto"/>
        <w:ind w:left="144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D9033C">
        <w:rPr>
          <w:rFonts w:ascii="Times New Roman" w:hAnsi="Times New Roman"/>
          <w:sz w:val="24"/>
          <w:szCs w:val="24"/>
        </w:rPr>
        <w:t>a</w:t>
      </w:r>
      <w:r w:rsidR="00414B31" w:rsidRPr="00414B31">
        <w:rPr>
          <w:rFonts w:ascii="Times New Roman" w:hAnsi="Times New Roman"/>
          <w:sz w:val="24"/>
          <w:szCs w:val="24"/>
        </w:rPr>
        <w:t>pprove an MVR allocation methodology for non-residential customers that incorporates SCO tranche ownership</w:t>
      </w:r>
      <w:r>
        <w:rPr>
          <w:rFonts w:ascii="Times New Roman" w:hAnsi="Times New Roman"/>
          <w:sz w:val="24"/>
          <w:szCs w:val="24"/>
        </w:rPr>
        <w:t xml:space="preserve">; and </w:t>
      </w:r>
    </w:p>
    <w:p w:rsidR="00414B31" w:rsidRPr="00A8337C" w:rsidRDefault="00A8337C" w:rsidP="00A8337C">
      <w:pPr>
        <w:spacing w:before="120" w:after="0" w:line="240" w:lineRule="auto"/>
        <w:ind w:left="144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D9033C" w:rsidRPr="00A8337C">
        <w:rPr>
          <w:rFonts w:ascii="Times New Roman" w:hAnsi="Times New Roman"/>
          <w:sz w:val="24"/>
          <w:szCs w:val="24"/>
        </w:rPr>
        <w:t>r</w:t>
      </w:r>
      <w:r w:rsidR="00414B31" w:rsidRPr="00A8337C">
        <w:rPr>
          <w:rFonts w:ascii="Times New Roman" w:hAnsi="Times New Roman"/>
          <w:sz w:val="24"/>
          <w:szCs w:val="24"/>
        </w:rPr>
        <w:t>eject the Stipulation’s proposed $0.</w:t>
      </w:r>
      <w:r w:rsidR="00DC2BFC">
        <w:rPr>
          <w:rFonts w:ascii="Times New Roman" w:hAnsi="Times New Roman"/>
          <w:sz w:val="24"/>
          <w:szCs w:val="24"/>
        </w:rPr>
        <w:t>06</w:t>
      </w:r>
      <w:r w:rsidR="00DC2BFC" w:rsidRPr="00A8337C">
        <w:rPr>
          <w:rFonts w:ascii="Times New Roman" w:hAnsi="Times New Roman"/>
          <w:sz w:val="24"/>
          <w:szCs w:val="24"/>
        </w:rPr>
        <w:t xml:space="preserve"> </w:t>
      </w:r>
      <w:r w:rsidR="00414B31" w:rsidRPr="00A8337C">
        <w:rPr>
          <w:rFonts w:ascii="Times New Roman" w:hAnsi="Times New Roman"/>
          <w:sz w:val="24"/>
          <w:szCs w:val="24"/>
        </w:rPr>
        <w:t>per Mcf SCO security charge.</w:t>
      </w:r>
    </w:p>
    <w:p w:rsidR="00D9033C" w:rsidRPr="007950C4" w:rsidRDefault="00D9033C" w:rsidP="00D9033C">
      <w:pPr>
        <w:spacing w:before="120" w:after="0" w:line="240" w:lineRule="auto"/>
        <w:ind w:left="1080"/>
        <w:jc w:val="both"/>
        <w:rPr>
          <w:rFonts w:ascii="Times New Roman" w:hAnsi="Times New Roman"/>
          <w:sz w:val="24"/>
          <w:szCs w:val="24"/>
        </w:rPr>
      </w:pPr>
    </w:p>
    <w:p w:rsidR="00053086" w:rsidRPr="007116CA" w:rsidRDefault="00053086" w:rsidP="00F0570A">
      <w:pPr>
        <w:spacing w:after="0" w:line="480" w:lineRule="auto"/>
        <w:jc w:val="both"/>
        <w:rPr>
          <w:rFonts w:ascii="Times New Roman" w:hAnsi="Times New Roman"/>
          <w:b/>
          <w:sz w:val="24"/>
          <w:szCs w:val="24"/>
        </w:rPr>
      </w:pPr>
      <w:r w:rsidRPr="007116CA">
        <w:rPr>
          <w:rFonts w:ascii="Times New Roman" w:hAnsi="Times New Roman"/>
          <w:b/>
          <w:sz w:val="24"/>
          <w:szCs w:val="24"/>
        </w:rPr>
        <w:t>Q.</w:t>
      </w:r>
      <w:r w:rsidRPr="007116CA">
        <w:rPr>
          <w:rFonts w:ascii="Times New Roman" w:hAnsi="Times New Roman"/>
          <w:b/>
          <w:sz w:val="24"/>
          <w:szCs w:val="24"/>
        </w:rPr>
        <w:tab/>
        <w:t>How does COH currently procure default commodity service for non-shopping Choice-eligible customers?</w:t>
      </w:r>
    </w:p>
    <w:p w:rsidR="00053086" w:rsidRDefault="00053086" w:rsidP="00F0570A">
      <w:pPr>
        <w:spacing w:after="0" w:line="48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Beginning in April 2012, COH has employed an SCO auction model where COH conducts (through a third-party vendor) a descending clock auction whereby </w:t>
      </w:r>
      <w:r w:rsidR="007E243B">
        <w:rPr>
          <w:rFonts w:ascii="Times New Roman" w:hAnsi="Times New Roman"/>
          <w:sz w:val="24"/>
          <w:szCs w:val="24"/>
        </w:rPr>
        <w:t>CRNGSs</w:t>
      </w:r>
      <w:r>
        <w:rPr>
          <w:rFonts w:ascii="Times New Roman" w:hAnsi="Times New Roman"/>
          <w:sz w:val="24"/>
          <w:szCs w:val="24"/>
        </w:rPr>
        <w:t xml:space="preserve"> can compete to supply one or more shares (up to a maximum of four shares) for COH’s combined SCO customers’ demand.  COH’s forecasted demand is divided as equally as possible into 16 tranches with one tranche equal to approximately 5 Bcf per year of gas supply.  Bidding suppliers bid a Retail Price Adjustment which will be added to the NYMEX final settlement price each month during the SCO year to determine the monthly SCO price.  Winning suppliers are assigned the responsibility to supply individual SCO customers in their assigned tranche(s) for the course of the SCO year (April 1 through March 31). The SCO price each month is the </w:t>
      </w:r>
      <w:r>
        <w:rPr>
          <w:rFonts w:ascii="Times New Roman" w:hAnsi="Times New Roman"/>
          <w:sz w:val="24"/>
          <w:szCs w:val="24"/>
        </w:rPr>
        <w:lastRenderedPageBreak/>
        <w:t>NYMEX final settlement price for the month plus the Retail Price Adjustment determined by the SCO auction as a price per Mcf.</w:t>
      </w:r>
    </w:p>
    <w:p w:rsidR="00053086" w:rsidRDefault="00053086" w:rsidP="00B201B0">
      <w:pPr>
        <w:spacing w:after="0" w:line="480" w:lineRule="auto"/>
        <w:ind w:firstLine="720"/>
        <w:jc w:val="both"/>
        <w:rPr>
          <w:rFonts w:ascii="Times New Roman" w:hAnsi="Times New Roman"/>
          <w:sz w:val="24"/>
          <w:szCs w:val="24"/>
        </w:rPr>
      </w:pPr>
      <w:r>
        <w:rPr>
          <w:rFonts w:ascii="Times New Roman" w:hAnsi="Times New Roman"/>
          <w:sz w:val="24"/>
          <w:szCs w:val="24"/>
        </w:rPr>
        <w:t>Before the SCO auction program, COH employed a</w:t>
      </w:r>
      <w:r w:rsidR="00BD58C9">
        <w:rPr>
          <w:rFonts w:ascii="Times New Roman" w:hAnsi="Times New Roman"/>
          <w:sz w:val="24"/>
          <w:szCs w:val="24"/>
        </w:rPr>
        <w:t>n</w:t>
      </w:r>
      <w:r>
        <w:rPr>
          <w:rFonts w:ascii="Times New Roman" w:hAnsi="Times New Roman"/>
          <w:sz w:val="24"/>
          <w:szCs w:val="24"/>
        </w:rPr>
        <w:t xml:space="preserve"> SSO auction program </w:t>
      </w:r>
      <w:r w:rsidR="00D9033C">
        <w:rPr>
          <w:rFonts w:ascii="Times New Roman" w:hAnsi="Times New Roman"/>
          <w:sz w:val="24"/>
          <w:szCs w:val="24"/>
        </w:rPr>
        <w:t xml:space="preserve">beginning in 2010 </w:t>
      </w:r>
      <w:r>
        <w:rPr>
          <w:rFonts w:ascii="Times New Roman" w:hAnsi="Times New Roman"/>
          <w:sz w:val="24"/>
          <w:szCs w:val="24"/>
        </w:rPr>
        <w:t>that operated much in the same way as the SCO process except that the SCO process (1) allows winning bidders to be assigned individual customers (as opposed to the SSO’s allocated percentage of sales customers’ demand); and (2) SCO customers are subject to sales tax as opposed to gross receipts tax on the gas purchased through the SCO program.</w:t>
      </w:r>
    </w:p>
    <w:p w:rsidR="00053086" w:rsidRPr="000D1406" w:rsidRDefault="00053086" w:rsidP="000D1406">
      <w:pPr>
        <w:spacing w:after="0" w:line="480" w:lineRule="auto"/>
        <w:jc w:val="both"/>
        <w:rPr>
          <w:rFonts w:ascii="Times New Roman" w:hAnsi="Times New Roman"/>
          <w:b/>
          <w:sz w:val="24"/>
          <w:szCs w:val="24"/>
        </w:rPr>
      </w:pPr>
      <w:r w:rsidRPr="000D1406">
        <w:rPr>
          <w:rFonts w:ascii="Times New Roman" w:hAnsi="Times New Roman"/>
          <w:b/>
          <w:sz w:val="24"/>
          <w:szCs w:val="24"/>
        </w:rPr>
        <w:t>Q.</w:t>
      </w:r>
      <w:r w:rsidRPr="000D1406">
        <w:rPr>
          <w:rFonts w:ascii="Times New Roman" w:hAnsi="Times New Roman"/>
          <w:b/>
          <w:sz w:val="24"/>
          <w:szCs w:val="24"/>
        </w:rPr>
        <w:tab/>
        <w:t>Has Hess won any tranches in COH’s</w:t>
      </w:r>
      <w:r>
        <w:rPr>
          <w:rFonts w:ascii="Times New Roman" w:hAnsi="Times New Roman"/>
          <w:b/>
          <w:sz w:val="24"/>
          <w:szCs w:val="24"/>
        </w:rPr>
        <w:t xml:space="preserve"> </w:t>
      </w:r>
      <w:r w:rsidRPr="000D1406">
        <w:rPr>
          <w:rFonts w:ascii="Times New Roman" w:hAnsi="Times New Roman"/>
          <w:b/>
          <w:sz w:val="24"/>
          <w:szCs w:val="24"/>
        </w:rPr>
        <w:t>SCO and SSO auctions?</w:t>
      </w:r>
    </w:p>
    <w:p w:rsidR="00053086" w:rsidRDefault="00053086" w:rsidP="000D1406">
      <w:pPr>
        <w:spacing w:after="0" w:line="48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  Hess won tranches in COH’s 2010-2011 SSO auction and its 2012-2013 SCO auction.</w:t>
      </w:r>
    </w:p>
    <w:p w:rsidR="00053086" w:rsidRPr="00DB1C73" w:rsidRDefault="00053086" w:rsidP="000D1406">
      <w:pPr>
        <w:spacing w:after="0" w:line="480" w:lineRule="auto"/>
        <w:jc w:val="both"/>
        <w:rPr>
          <w:rFonts w:ascii="Times New Roman" w:hAnsi="Times New Roman"/>
          <w:b/>
          <w:sz w:val="24"/>
          <w:szCs w:val="24"/>
        </w:rPr>
      </w:pPr>
      <w:r w:rsidRPr="00DB1C73">
        <w:rPr>
          <w:rFonts w:ascii="Times New Roman" w:hAnsi="Times New Roman"/>
          <w:b/>
          <w:sz w:val="24"/>
          <w:szCs w:val="24"/>
        </w:rPr>
        <w:t>Q.</w:t>
      </w:r>
      <w:r w:rsidRPr="00DB1C73">
        <w:rPr>
          <w:rFonts w:ascii="Times New Roman" w:hAnsi="Times New Roman"/>
          <w:b/>
          <w:sz w:val="24"/>
          <w:szCs w:val="24"/>
        </w:rPr>
        <w:tab/>
        <w:t xml:space="preserve">Are you in favor of </w:t>
      </w:r>
      <w:r w:rsidRPr="00BD58C9">
        <w:rPr>
          <w:rFonts w:ascii="Times New Roman" w:hAnsi="Times New Roman"/>
          <w:b/>
          <w:sz w:val="24"/>
          <w:szCs w:val="24"/>
        </w:rPr>
        <w:t xml:space="preserve">the </w:t>
      </w:r>
      <w:r w:rsidR="005E0E44" w:rsidRPr="00BD58C9">
        <w:rPr>
          <w:rFonts w:ascii="Times New Roman" w:hAnsi="Times New Roman"/>
          <w:b/>
          <w:sz w:val="24"/>
          <w:szCs w:val="24"/>
        </w:rPr>
        <w:t xml:space="preserve">Amended </w:t>
      </w:r>
      <w:r w:rsidRPr="00BD58C9">
        <w:rPr>
          <w:rFonts w:ascii="Times New Roman" w:hAnsi="Times New Roman"/>
          <w:b/>
          <w:sz w:val="24"/>
          <w:szCs w:val="24"/>
        </w:rPr>
        <w:t>Stipulation’s</w:t>
      </w:r>
      <w:r w:rsidRPr="00DB1C73">
        <w:rPr>
          <w:rFonts w:ascii="Times New Roman" w:hAnsi="Times New Roman"/>
          <w:b/>
          <w:sz w:val="24"/>
          <w:szCs w:val="24"/>
        </w:rPr>
        <w:t xml:space="preserve"> proposal to end the SCO option for </w:t>
      </w:r>
      <w:r>
        <w:rPr>
          <w:rFonts w:ascii="Times New Roman" w:hAnsi="Times New Roman"/>
          <w:b/>
          <w:sz w:val="24"/>
          <w:szCs w:val="24"/>
        </w:rPr>
        <w:t>non-residential</w:t>
      </w:r>
      <w:r w:rsidRPr="00DB1C73">
        <w:rPr>
          <w:rFonts w:ascii="Times New Roman" w:hAnsi="Times New Roman"/>
          <w:b/>
          <w:sz w:val="24"/>
          <w:szCs w:val="24"/>
        </w:rPr>
        <w:t xml:space="preserve"> customers once 70% of Choice-eligible, non-residential customers are shopping?</w:t>
      </w:r>
    </w:p>
    <w:p w:rsidR="00053086" w:rsidRDefault="00053086" w:rsidP="00DB1C73">
      <w:pPr>
        <w:spacing w:after="0" w:line="48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The </w:t>
      </w:r>
      <w:r w:rsidR="005E0E44">
        <w:rPr>
          <w:rFonts w:ascii="Times New Roman" w:hAnsi="Times New Roman"/>
          <w:sz w:val="24"/>
          <w:szCs w:val="24"/>
        </w:rPr>
        <w:t xml:space="preserve">Amended </w:t>
      </w:r>
      <w:r>
        <w:rPr>
          <w:rFonts w:ascii="Times New Roman" w:hAnsi="Times New Roman"/>
          <w:sz w:val="24"/>
          <w:szCs w:val="24"/>
        </w:rPr>
        <w:t>Stipulation calls for</w:t>
      </w:r>
      <w:r w:rsidR="007E243B">
        <w:rPr>
          <w:rFonts w:ascii="Times New Roman" w:hAnsi="Times New Roman"/>
          <w:sz w:val="24"/>
          <w:szCs w:val="24"/>
        </w:rPr>
        <w:t xml:space="preserve"> the end of the SCO auction for Choice-eligible, </w:t>
      </w:r>
      <w:r>
        <w:rPr>
          <w:rFonts w:ascii="Times New Roman" w:hAnsi="Times New Roman"/>
          <w:sz w:val="24"/>
          <w:szCs w:val="24"/>
        </w:rPr>
        <w:t xml:space="preserve">non-residential customers once 70% of </w:t>
      </w:r>
      <w:r w:rsidR="007E243B">
        <w:rPr>
          <w:rFonts w:ascii="Times New Roman" w:hAnsi="Times New Roman"/>
          <w:sz w:val="24"/>
          <w:szCs w:val="24"/>
        </w:rPr>
        <w:t>these customers are taking natural gas supply directly from a retail supplier</w:t>
      </w:r>
      <w:r>
        <w:rPr>
          <w:rFonts w:ascii="Times New Roman" w:hAnsi="Times New Roman"/>
          <w:sz w:val="24"/>
          <w:szCs w:val="24"/>
        </w:rPr>
        <w:t xml:space="preserve">.  I am in favor of this proposal.  In my experience, </w:t>
      </w:r>
      <w:r w:rsidR="00401E96">
        <w:rPr>
          <w:rFonts w:ascii="Times New Roman" w:hAnsi="Times New Roman"/>
          <w:sz w:val="24"/>
          <w:szCs w:val="24"/>
        </w:rPr>
        <w:t xml:space="preserve">commercial </w:t>
      </w:r>
      <w:r>
        <w:rPr>
          <w:rFonts w:ascii="Times New Roman" w:hAnsi="Times New Roman"/>
          <w:sz w:val="24"/>
          <w:szCs w:val="24"/>
        </w:rPr>
        <w:t xml:space="preserve">customers have a more sophisticated understanding of their energy consumption needs than residential customers and </w:t>
      </w:r>
      <w:r w:rsidR="00250074">
        <w:rPr>
          <w:rFonts w:ascii="Times New Roman" w:hAnsi="Times New Roman"/>
          <w:sz w:val="24"/>
          <w:szCs w:val="24"/>
        </w:rPr>
        <w:t>tend to be more</w:t>
      </w:r>
      <w:r>
        <w:rPr>
          <w:rFonts w:ascii="Times New Roman" w:hAnsi="Times New Roman"/>
          <w:sz w:val="24"/>
          <w:szCs w:val="24"/>
        </w:rPr>
        <w:t xml:space="preserve"> motivated, for business reasons, to achieve price certainty </w:t>
      </w:r>
      <w:r w:rsidR="00B93B69">
        <w:rPr>
          <w:rFonts w:ascii="Times New Roman" w:hAnsi="Times New Roman"/>
          <w:sz w:val="24"/>
          <w:szCs w:val="24"/>
        </w:rPr>
        <w:t xml:space="preserve">or price stability </w:t>
      </w:r>
      <w:r>
        <w:rPr>
          <w:rFonts w:ascii="Times New Roman" w:hAnsi="Times New Roman"/>
          <w:sz w:val="24"/>
          <w:szCs w:val="24"/>
        </w:rPr>
        <w:t xml:space="preserve">for their energy costs.  Additionally, </w:t>
      </w:r>
      <w:r w:rsidR="00401E96">
        <w:rPr>
          <w:rFonts w:ascii="Times New Roman" w:hAnsi="Times New Roman"/>
          <w:sz w:val="24"/>
          <w:szCs w:val="24"/>
        </w:rPr>
        <w:t>commercial</w:t>
      </w:r>
      <w:r>
        <w:rPr>
          <w:rFonts w:ascii="Times New Roman" w:hAnsi="Times New Roman"/>
          <w:sz w:val="24"/>
          <w:szCs w:val="24"/>
        </w:rPr>
        <w:t xml:space="preserve"> customers have usage levels that are large enough to take advantage of </w:t>
      </w:r>
      <w:r w:rsidR="00250074">
        <w:rPr>
          <w:rFonts w:ascii="Times New Roman" w:hAnsi="Times New Roman"/>
          <w:sz w:val="24"/>
          <w:szCs w:val="24"/>
        </w:rPr>
        <w:t>retail</w:t>
      </w:r>
      <w:r>
        <w:rPr>
          <w:rFonts w:ascii="Times New Roman" w:hAnsi="Times New Roman"/>
          <w:sz w:val="24"/>
          <w:szCs w:val="24"/>
        </w:rPr>
        <w:t xml:space="preserve"> suppliers’ more complex supply-side products that are specifically tailored to a customer’s usage profile and risk tolerance, including, but not limited to, fixed price, index-following, and index with cap offerings.  In contrast, the SCO offering is only a monthly variable product.  </w:t>
      </w:r>
      <w:r w:rsidR="00075606">
        <w:rPr>
          <w:rFonts w:ascii="Times New Roman" w:hAnsi="Times New Roman"/>
          <w:sz w:val="24"/>
          <w:szCs w:val="24"/>
        </w:rPr>
        <w:t>In regards to</w:t>
      </w:r>
      <w:r>
        <w:rPr>
          <w:rFonts w:ascii="Times New Roman" w:hAnsi="Times New Roman"/>
          <w:sz w:val="24"/>
          <w:szCs w:val="24"/>
        </w:rPr>
        <w:t xml:space="preserve"> </w:t>
      </w:r>
      <w:r w:rsidR="00075606">
        <w:rPr>
          <w:rFonts w:ascii="Times New Roman" w:hAnsi="Times New Roman"/>
          <w:sz w:val="24"/>
          <w:szCs w:val="24"/>
        </w:rPr>
        <w:t xml:space="preserve">the non-shopping, </w:t>
      </w:r>
      <w:r>
        <w:rPr>
          <w:rFonts w:ascii="Times New Roman" w:hAnsi="Times New Roman"/>
          <w:sz w:val="24"/>
          <w:szCs w:val="24"/>
        </w:rPr>
        <w:t>non-residential customers</w:t>
      </w:r>
      <w:r w:rsidR="00075606">
        <w:rPr>
          <w:rFonts w:ascii="Times New Roman" w:hAnsi="Times New Roman"/>
          <w:sz w:val="24"/>
          <w:szCs w:val="24"/>
        </w:rPr>
        <w:t xml:space="preserve"> that</w:t>
      </w:r>
      <w:r>
        <w:rPr>
          <w:rFonts w:ascii="Times New Roman" w:hAnsi="Times New Roman"/>
          <w:sz w:val="24"/>
          <w:szCs w:val="24"/>
        </w:rPr>
        <w:t xml:space="preserve"> </w:t>
      </w:r>
      <w:r>
        <w:rPr>
          <w:rFonts w:ascii="Times New Roman" w:hAnsi="Times New Roman"/>
          <w:sz w:val="24"/>
          <w:szCs w:val="24"/>
        </w:rPr>
        <w:lastRenderedPageBreak/>
        <w:t xml:space="preserve">are assigned to MVR suppliers at the time of exit, these customers have a better understanding of the gas market to evaluate multiple supply offerings and </w:t>
      </w:r>
      <w:r w:rsidR="00075606">
        <w:rPr>
          <w:rFonts w:ascii="Times New Roman" w:hAnsi="Times New Roman"/>
          <w:sz w:val="24"/>
          <w:szCs w:val="24"/>
        </w:rPr>
        <w:t>to make an informed decision</w:t>
      </w:r>
      <w:r>
        <w:rPr>
          <w:rFonts w:ascii="Times New Roman" w:hAnsi="Times New Roman"/>
          <w:sz w:val="24"/>
          <w:szCs w:val="24"/>
        </w:rPr>
        <w:t xml:space="preserve"> that best fits their budgetary needs, risk tolerance and usage profile.  </w:t>
      </w:r>
      <w:r w:rsidR="00075606">
        <w:rPr>
          <w:rFonts w:ascii="Times New Roman" w:hAnsi="Times New Roman"/>
          <w:sz w:val="24"/>
          <w:szCs w:val="24"/>
        </w:rPr>
        <w:t>For these reasons</w:t>
      </w:r>
      <w:r>
        <w:rPr>
          <w:rFonts w:ascii="Times New Roman" w:hAnsi="Times New Roman"/>
          <w:sz w:val="24"/>
          <w:szCs w:val="24"/>
        </w:rPr>
        <w:t xml:space="preserve">, Hess supports the </w:t>
      </w:r>
      <w:r w:rsidR="005E0E44">
        <w:rPr>
          <w:rFonts w:ascii="Times New Roman" w:hAnsi="Times New Roman"/>
          <w:sz w:val="24"/>
          <w:szCs w:val="24"/>
        </w:rPr>
        <w:t xml:space="preserve">Amended </w:t>
      </w:r>
      <w:r>
        <w:rPr>
          <w:rFonts w:ascii="Times New Roman" w:hAnsi="Times New Roman"/>
          <w:sz w:val="24"/>
          <w:szCs w:val="24"/>
        </w:rPr>
        <w:t>Stipulation’s non-residential exit framework.</w:t>
      </w:r>
    </w:p>
    <w:p w:rsidR="00053086" w:rsidRPr="002F280D" w:rsidRDefault="00053086" w:rsidP="00DB1C73">
      <w:pPr>
        <w:spacing w:after="0" w:line="480" w:lineRule="auto"/>
        <w:jc w:val="both"/>
        <w:rPr>
          <w:rFonts w:ascii="Times New Roman" w:hAnsi="Times New Roman"/>
          <w:b/>
          <w:sz w:val="24"/>
          <w:szCs w:val="24"/>
        </w:rPr>
      </w:pPr>
      <w:r w:rsidRPr="002F280D">
        <w:rPr>
          <w:rFonts w:ascii="Times New Roman" w:hAnsi="Times New Roman"/>
          <w:b/>
          <w:sz w:val="24"/>
          <w:szCs w:val="24"/>
        </w:rPr>
        <w:t>Q.</w:t>
      </w:r>
      <w:r w:rsidRPr="002F280D">
        <w:rPr>
          <w:rFonts w:ascii="Times New Roman" w:hAnsi="Times New Roman"/>
          <w:b/>
          <w:sz w:val="24"/>
          <w:szCs w:val="24"/>
        </w:rPr>
        <w:tab/>
        <w:t>Should the 70% trigger be met, which methodology do you support to assign the remaining pool of</w:t>
      </w:r>
      <w:r>
        <w:rPr>
          <w:rFonts w:ascii="Times New Roman" w:hAnsi="Times New Roman"/>
          <w:b/>
          <w:sz w:val="24"/>
          <w:szCs w:val="24"/>
        </w:rPr>
        <w:t xml:space="preserve"> non-shopping, non-residential </w:t>
      </w:r>
      <w:r w:rsidRPr="002F280D">
        <w:rPr>
          <w:rFonts w:ascii="Times New Roman" w:hAnsi="Times New Roman"/>
          <w:b/>
          <w:sz w:val="24"/>
          <w:szCs w:val="24"/>
        </w:rPr>
        <w:t>customers?</w:t>
      </w:r>
    </w:p>
    <w:p w:rsidR="00DC110E" w:rsidRDefault="00053086" w:rsidP="00DB1C73">
      <w:pPr>
        <w:spacing w:after="0" w:line="48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It is my understanding that (1) the </w:t>
      </w:r>
      <w:r w:rsidR="005E0E44">
        <w:rPr>
          <w:rFonts w:ascii="Times New Roman" w:hAnsi="Times New Roman"/>
          <w:sz w:val="24"/>
          <w:szCs w:val="24"/>
        </w:rPr>
        <w:t xml:space="preserve">Amended </w:t>
      </w:r>
      <w:r>
        <w:rPr>
          <w:rFonts w:ascii="Times New Roman" w:hAnsi="Times New Roman"/>
          <w:sz w:val="24"/>
          <w:szCs w:val="24"/>
        </w:rPr>
        <w:t>Stipulation calls for an allocation to MVR suppliers, but does not delineate</w:t>
      </w:r>
      <w:r w:rsidR="006D781D">
        <w:rPr>
          <w:rFonts w:ascii="Times New Roman" w:hAnsi="Times New Roman"/>
          <w:sz w:val="24"/>
          <w:szCs w:val="24"/>
        </w:rPr>
        <w:t xml:space="preserve"> precisely</w:t>
      </w:r>
      <w:r>
        <w:rPr>
          <w:rFonts w:ascii="Times New Roman" w:hAnsi="Times New Roman"/>
          <w:sz w:val="24"/>
          <w:szCs w:val="24"/>
        </w:rPr>
        <w:t xml:space="preserve"> how to assign the remaining pool of non-shopping, non-residential customers once the 70% exit trigger is met; and (2) the Commission plans to resolve the MVR assignment methodology in this proceeding.</w:t>
      </w:r>
      <w:r w:rsidR="00F35898">
        <w:rPr>
          <w:rStyle w:val="FootnoteReference"/>
          <w:rFonts w:ascii="Times New Roman" w:hAnsi="Times New Roman"/>
          <w:sz w:val="24"/>
          <w:szCs w:val="24"/>
        </w:rPr>
        <w:footnoteReference w:id="6"/>
      </w:r>
      <w:r>
        <w:rPr>
          <w:rFonts w:ascii="Times New Roman" w:hAnsi="Times New Roman"/>
          <w:sz w:val="24"/>
          <w:szCs w:val="24"/>
        </w:rPr>
        <w:t xml:space="preserve">  Hess endorses an MVR assignment methodology that is based on each supplier’s proportional market share at the time of exit, including a supplier’s average historical </w:t>
      </w:r>
      <w:r w:rsidR="00590C37">
        <w:rPr>
          <w:rFonts w:ascii="Times New Roman" w:hAnsi="Times New Roman"/>
          <w:sz w:val="24"/>
          <w:szCs w:val="24"/>
        </w:rPr>
        <w:t xml:space="preserve">SSO and </w:t>
      </w:r>
      <w:r>
        <w:rPr>
          <w:rFonts w:ascii="Times New Roman" w:hAnsi="Times New Roman"/>
          <w:sz w:val="24"/>
          <w:szCs w:val="24"/>
        </w:rPr>
        <w:t xml:space="preserve">SCO tranche ownership.  </w:t>
      </w:r>
    </w:p>
    <w:p w:rsidR="00053086" w:rsidRPr="00A34344" w:rsidRDefault="00DC110E" w:rsidP="00DC110E">
      <w:pPr>
        <w:spacing w:after="0" w:line="480" w:lineRule="auto"/>
        <w:ind w:firstLine="720"/>
        <w:jc w:val="both"/>
        <w:rPr>
          <w:rFonts w:ascii="Times New Roman" w:hAnsi="Times New Roman"/>
          <w:sz w:val="24"/>
          <w:szCs w:val="24"/>
        </w:rPr>
      </w:pPr>
      <w:r>
        <w:rPr>
          <w:rFonts w:ascii="Times New Roman" w:hAnsi="Times New Roman"/>
          <w:iCs/>
          <w:sz w:val="24"/>
          <w:szCs w:val="24"/>
        </w:rPr>
        <w:t xml:space="preserve">Hess proposes a </w:t>
      </w:r>
      <w:r w:rsidR="00CD1352">
        <w:rPr>
          <w:rFonts w:ascii="Times New Roman" w:hAnsi="Times New Roman"/>
          <w:iCs/>
          <w:sz w:val="24"/>
          <w:szCs w:val="24"/>
        </w:rPr>
        <w:t xml:space="preserve">proportional </w:t>
      </w:r>
      <w:r w:rsidR="00053086" w:rsidRPr="00240B7C">
        <w:rPr>
          <w:rFonts w:ascii="Times New Roman" w:hAnsi="Times New Roman"/>
          <w:iCs/>
          <w:sz w:val="24"/>
          <w:szCs w:val="24"/>
        </w:rPr>
        <w:t>allocation ratio</w:t>
      </w:r>
      <w:r>
        <w:rPr>
          <w:rFonts w:ascii="Times New Roman" w:hAnsi="Times New Roman"/>
          <w:iCs/>
          <w:sz w:val="24"/>
          <w:szCs w:val="24"/>
        </w:rPr>
        <w:t xml:space="preserve"> that is</w:t>
      </w:r>
      <w:r w:rsidR="00053086" w:rsidRPr="00240B7C">
        <w:rPr>
          <w:rFonts w:ascii="Times New Roman" w:hAnsi="Times New Roman"/>
          <w:iCs/>
          <w:sz w:val="24"/>
          <w:szCs w:val="24"/>
        </w:rPr>
        <w:t xml:space="preserve"> </w:t>
      </w:r>
      <w:r w:rsidR="006D781D">
        <w:rPr>
          <w:rFonts w:ascii="Times New Roman" w:hAnsi="Times New Roman"/>
          <w:iCs/>
          <w:sz w:val="24"/>
          <w:szCs w:val="24"/>
        </w:rPr>
        <w:t>equal</w:t>
      </w:r>
      <w:r>
        <w:rPr>
          <w:rFonts w:ascii="Times New Roman" w:hAnsi="Times New Roman"/>
          <w:iCs/>
          <w:sz w:val="24"/>
          <w:szCs w:val="24"/>
        </w:rPr>
        <w:t xml:space="preserve"> to</w:t>
      </w:r>
      <w:r w:rsidR="006D781D">
        <w:rPr>
          <w:rFonts w:ascii="Times New Roman" w:hAnsi="Times New Roman"/>
          <w:iCs/>
          <w:sz w:val="24"/>
          <w:szCs w:val="24"/>
        </w:rPr>
        <w:t xml:space="preserve"> the number of Choice-</w:t>
      </w:r>
      <w:r w:rsidR="00053086" w:rsidRPr="00240B7C">
        <w:rPr>
          <w:rFonts w:ascii="Times New Roman" w:hAnsi="Times New Roman"/>
          <w:iCs/>
          <w:sz w:val="24"/>
          <w:szCs w:val="24"/>
        </w:rPr>
        <w:t xml:space="preserve">eligible customers being served </w:t>
      </w:r>
      <w:r w:rsidR="00053086">
        <w:rPr>
          <w:rFonts w:ascii="Times New Roman" w:hAnsi="Times New Roman"/>
          <w:iCs/>
          <w:sz w:val="24"/>
          <w:szCs w:val="24"/>
        </w:rPr>
        <w:t xml:space="preserve">by the supplier, </w:t>
      </w:r>
      <w:r w:rsidR="00053086" w:rsidRPr="00240B7C">
        <w:rPr>
          <w:rFonts w:ascii="Times New Roman" w:hAnsi="Times New Roman"/>
          <w:iCs/>
          <w:sz w:val="24"/>
          <w:szCs w:val="24"/>
        </w:rPr>
        <w:t xml:space="preserve">including </w:t>
      </w:r>
      <w:r w:rsidR="00053086">
        <w:rPr>
          <w:rFonts w:ascii="Times New Roman" w:hAnsi="Times New Roman"/>
          <w:iCs/>
          <w:sz w:val="24"/>
          <w:szCs w:val="24"/>
        </w:rPr>
        <w:t xml:space="preserve">the average percentage of </w:t>
      </w:r>
      <w:r w:rsidR="00053086" w:rsidRPr="00240B7C">
        <w:rPr>
          <w:rFonts w:ascii="Times New Roman" w:hAnsi="Times New Roman"/>
          <w:iCs/>
          <w:sz w:val="24"/>
          <w:szCs w:val="24"/>
        </w:rPr>
        <w:t xml:space="preserve">customers served under </w:t>
      </w:r>
      <w:r w:rsidR="00053086">
        <w:rPr>
          <w:rFonts w:ascii="Times New Roman" w:hAnsi="Times New Roman"/>
          <w:iCs/>
          <w:sz w:val="24"/>
          <w:szCs w:val="24"/>
        </w:rPr>
        <w:t>the SSO and SCO auctions</w:t>
      </w:r>
      <w:r w:rsidR="00053086" w:rsidRPr="00240B7C">
        <w:rPr>
          <w:rFonts w:ascii="Times New Roman" w:hAnsi="Times New Roman"/>
          <w:iCs/>
          <w:sz w:val="24"/>
          <w:szCs w:val="24"/>
        </w:rPr>
        <w:t>, divide</w:t>
      </w:r>
      <w:r w:rsidR="006D781D">
        <w:rPr>
          <w:rFonts w:ascii="Times New Roman" w:hAnsi="Times New Roman"/>
          <w:iCs/>
          <w:sz w:val="24"/>
          <w:szCs w:val="24"/>
        </w:rPr>
        <w:t>d by the total number of Choice-</w:t>
      </w:r>
      <w:r w:rsidR="00053086" w:rsidRPr="00240B7C">
        <w:rPr>
          <w:rFonts w:ascii="Times New Roman" w:hAnsi="Times New Roman"/>
          <w:iCs/>
          <w:sz w:val="24"/>
          <w:szCs w:val="24"/>
        </w:rPr>
        <w:t>eligible</w:t>
      </w:r>
      <w:r w:rsidR="00075606">
        <w:rPr>
          <w:rFonts w:ascii="Times New Roman" w:hAnsi="Times New Roman"/>
          <w:iCs/>
          <w:sz w:val="24"/>
          <w:szCs w:val="24"/>
        </w:rPr>
        <w:t xml:space="preserve"> customers</w:t>
      </w:r>
      <w:r w:rsidR="00053086" w:rsidRPr="00240B7C">
        <w:rPr>
          <w:rFonts w:ascii="Times New Roman" w:hAnsi="Times New Roman"/>
          <w:iCs/>
          <w:sz w:val="24"/>
          <w:szCs w:val="24"/>
        </w:rPr>
        <w:t xml:space="preserve"> </w:t>
      </w:r>
      <w:r w:rsidR="00075606">
        <w:rPr>
          <w:rFonts w:ascii="Times New Roman" w:hAnsi="Times New Roman"/>
          <w:iCs/>
          <w:sz w:val="24"/>
          <w:szCs w:val="24"/>
        </w:rPr>
        <w:t>(</w:t>
      </w:r>
      <w:r w:rsidR="00053086" w:rsidRPr="00240B7C">
        <w:rPr>
          <w:rFonts w:ascii="Times New Roman" w:hAnsi="Times New Roman"/>
          <w:iCs/>
          <w:sz w:val="24"/>
          <w:szCs w:val="24"/>
        </w:rPr>
        <w:t>both shopping and non-shopping</w:t>
      </w:r>
      <w:r w:rsidR="00075606">
        <w:rPr>
          <w:rFonts w:ascii="Times New Roman" w:hAnsi="Times New Roman"/>
          <w:iCs/>
          <w:sz w:val="24"/>
          <w:szCs w:val="24"/>
        </w:rPr>
        <w:t>)</w:t>
      </w:r>
      <w:r w:rsidR="00053086" w:rsidRPr="00240B7C">
        <w:rPr>
          <w:rFonts w:ascii="Times New Roman" w:hAnsi="Times New Roman"/>
          <w:iCs/>
          <w:sz w:val="24"/>
          <w:szCs w:val="24"/>
        </w:rPr>
        <w:t xml:space="preserve">.  To determine the number of </w:t>
      </w:r>
      <w:r w:rsidR="00CC3780">
        <w:rPr>
          <w:rFonts w:ascii="Times New Roman" w:hAnsi="Times New Roman"/>
          <w:iCs/>
          <w:sz w:val="24"/>
          <w:szCs w:val="24"/>
        </w:rPr>
        <w:t xml:space="preserve">SSO/SCO tranche </w:t>
      </w:r>
      <w:r w:rsidR="00053086" w:rsidRPr="00240B7C">
        <w:rPr>
          <w:rFonts w:ascii="Times New Roman" w:hAnsi="Times New Roman"/>
          <w:iCs/>
          <w:sz w:val="24"/>
          <w:szCs w:val="24"/>
        </w:rPr>
        <w:t xml:space="preserve">customers </w:t>
      </w:r>
      <w:r w:rsidR="00CC3780">
        <w:rPr>
          <w:rFonts w:ascii="Times New Roman" w:hAnsi="Times New Roman"/>
          <w:iCs/>
          <w:sz w:val="24"/>
          <w:szCs w:val="24"/>
        </w:rPr>
        <w:t xml:space="preserve">to be </w:t>
      </w:r>
      <w:r w:rsidR="00053086" w:rsidRPr="00240B7C">
        <w:rPr>
          <w:rFonts w:ascii="Times New Roman" w:hAnsi="Times New Roman"/>
          <w:iCs/>
          <w:sz w:val="24"/>
          <w:szCs w:val="24"/>
        </w:rPr>
        <w:t>assigned</w:t>
      </w:r>
      <w:r w:rsidR="00053086">
        <w:rPr>
          <w:rFonts w:ascii="Times New Roman" w:hAnsi="Times New Roman"/>
          <w:iCs/>
          <w:sz w:val="24"/>
          <w:szCs w:val="24"/>
        </w:rPr>
        <w:t>, Hess recommends taking the average number of tranches served by each supplier since the</w:t>
      </w:r>
      <w:r w:rsidR="00CD1352">
        <w:rPr>
          <w:rFonts w:ascii="Times New Roman" w:hAnsi="Times New Roman"/>
          <w:iCs/>
          <w:sz w:val="24"/>
          <w:szCs w:val="24"/>
        </w:rPr>
        <w:t xml:space="preserve"> first</w:t>
      </w:r>
      <w:r w:rsidR="00053086">
        <w:rPr>
          <w:rFonts w:ascii="Times New Roman" w:hAnsi="Times New Roman"/>
          <w:iCs/>
          <w:sz w:val="24"/>
          <w:szCs w:val="24"/>
        </w:rPr>
        <w:t xml:space="preserve"> SSO auction in 2010 through the SCO auction at the time of </w:t>
      </w:r>
      <w:r w:rsidR="00075606">
        <w:rPr>
          <w:rFonts w:ascii="Times New Roman" w:hAnsi="Times New Roman"/>
          <w:iCs/>
          <w:sz w:val="24"/>
          <w:szCs w:val="24"/>
        </w:rPr>
        <w:t>non-residential</w:t>
      </w:r>
      <w:r w:rsidR="00053086">
        <w:rPr>
          <w:rFonts w:ascii="Times New Roman" w:hAnsi="Times New Roman"/>
          <w:iCs/>
          <w:sz w:val="24"/>
          <w:szCs w:val="24"/>
        </w:rPr>
        <w:t xml:space="preserve"> exit.  I have prepared an illustrative example of how Hess’ proposed </w:t>
      </w:r>
      <w:r w:rsidR="00CC3780">
        <w:rPr>
          <w:rFonts w:ascii="Times New Roman" w:hAnsi="Times New Roman"/>
          <w:sz w:val="24"/>
          <w:szCs w:val="24"/>
        </w:rPr>
        <w:t>SSO/</w:t>
      </w:r>
      <w:r w:rsidR="00590C37">
        <w:rPr>
          <w:rFonts w:ascii="Times New Roman" w:hAnsi="Times New Roman"/>
          <w:sz w:val="24"/>
          <w:szCs w:val="24"/>
        </w:rPr>
        <w:t xml:space="preserve">SCO tranche </w:t>
      </w:r>
      <w:r w:rsidR="00AD70BE">
        <w:rPr>
          <w:rFonts w:ascii="Times New Roman" w:hAnsi="Times New Roman"/>
          <w:sz w:val="24"/>
          <w:szCs w:val="24"/>
        </w:rPr>
        <w:t xml:space="preserve">customer </w:t>
      </w:r>
      <w:r w:rsidR="00053086">
        <w:rPr>
          <w:rFonts w:ascii="Times New Roman" w:hAnsi="Times New Roman"/>
          <w:iCs/>
          <w:sz w:val="24"/>
          <w:szCs w:val="24"/>
        </w:rPr>
        <w:t xml:space="preserve">assignment methodology would work and attached it hereto as Exhibit </w:t>
      </w:r>
      <w:r>
        <w:rPr>
          <w:rFonts w:ascii="Times New Roman" w:hAnsi="Times New Roman"/>
          <w:iCs/>
          <w:sz w:val="24"/>
          <w:szCs w:val="24"/>
        </w:rPr>
        <w:t>OM</w:t>
      </w:r>
      <w:r w:rsidR="00053086">
        <w:rPr>
          <w:rFonts w:ascii="Times New Roman" w:hAnsi="Times New Roman"/>
          <w:iCs/>
          <w:sz w:val="24"/>
          <w:szCs w:val="24"/>
        </w:rPr>
        <w:t>-2.</w:t>
      </w:r>
    </w:p>
    <w:p w:rsidR="00053086" w:rsidRDefault="00053086" w:rsidP="00DE4437">
      <w:pPr>
        <w:spacing w:after="0" w:line="480" w:lineRule="auto"/>
        <w:jc w:val="both"/>
        <w:rPr>
          <w:rFonts w:ascii="Times New Roman" w:hAnsi="Times New Roman"/>
          <w:sz w:val="24"/>
          <w:szCs w:val="24"/>
        </w:rPr>
      </w:pPr>
      <w:r>
        <w:rPr>
          <w:rFonts w:ascii="Times New Roman" w:hAnsi="Times New Roman"/>
          <w:sz w:val="24"/>
          <w:szCs w:val="24"/>
        </w:rPr>
        <w:tab/>
        <w:t xml:space="preserve">Hess’ proposed MVR assignment methodology strikes the appropriate balance between properly recognizing each supplier’s contribution and investment </w:t>
      </w:r>
      <w:r w:rsidR="00075606">
        <w:rPr>
          <w:rFonts w:ascii="Times New Roman" w:hAnsi="Times New Roman"/>
          <w:sz w:val="24"/>
          <w:szCs w:val="24"/>
        </w:rPr>
        <w:t>in</w:t>
      </w:r>
      <w:r>
        <w:rPr>
          <w:rFonts w:ascii="Times New Roman" w:hAnsi="Times New Roman"/>
          <w:sz w:val="24"/>
          <w:szCs w:val="24"/>
        </w:rPr>
        <w:t xml:space="preserve"> reaching the 70% exit trigger</w:t>
      </w:r>
      <w:r w:rsidR="00075606">
        <w:rPr>
          <w:rFonts w:ascii="Times New Roman" w:hAnsi="Times New Roman"/>
          <w:sz w:val="24"/>
          <w:szCs w:val="24"/>
        </w:rPr>
        <w:t>,</w:t>
      </w:r>
      <w:r>
        <w:rPr>
          <w:rFonts w:ascii="Times New Roman" w:hAnsi="Times New Roman"/>
          <w:sz w:val="24"/>
          <w:szCs w:val="24"/>
        </w:rPr>
        <w:t xml:space="preserve"> while continuing to incent </w:t>
      </w:r>
      <w:r w:rsidR="00075606">
        <w:rPr>
          <w:rFonts w:ascii="Times New Roman" w:hAnsi="Times New Roman"/>
          <w:sz w:val="24"/>
          <w:szCs w:val="24"/>
        </w:rPr>
        <w:t xml:space="preserve">all </w:t>
      </w:r>
      <w:r>
        <w:rPr>
          <w:rFonts w:ascii="Times New Roman" w:hAnsi="Times New Roman"/>
          <w:sz w:val="24"/>
          <w:szCs w:val="24"/>
        </w:rPr>
        <w:t xml:space="preserve">suppliers </w:t>
      </w:r>
      <w:r w:rsidR="00075606">
        <w:rPr>
          <w:rFonts w:ascii="Times New Roman" w:hAnsi="Times New Roman"/>
          <w:sz w:val="24"/>
          <w:szCs w:val="24"/>
        </w:rPr>
        <w:t xml:space="preserve">(retail and SCO) </w:t>
      </w:r>
      <w:r>
        <w:rPr>
          <w:rFonts w:ascii="Times New Roman" w:hAnsi="Times New Roman"/>
          <w:sz w:val="24"/>
          <w:szCs w:val="24"/>
        </w:rPr>
        <w:t xml:space="preserve">to </w:t>
      </w:r>
      <w:r w:rsidR="00075606">
        <w:rPr>
          <w:rFonts w:ascii="Times New Roman" w:hAnsi="Times New Roman"/>
          <w:sz w:val="24"/>
          <w:szCs w:val="24"/>
        </w:rPr>
        <w:t xml:space="preserve">offer customers competitive </w:t>
      </w:r>
      <w:r w:rsidR="00075606">
        <w:rPr>
          <w:rFonts w:ascii="Times New Roman" w:hAnsi="Times New Roman"/>
          <w:sz w:val="24"/>
          <w:szCs w:val="24"/>
        </w:rPr>
        <w:lastRenderedPageBreak/>
        <w:t>products</w:t>
      </w:r>
      <w:r>
        <w:rPr>
          <w:rFonts w:ascii="Times New Roman" w:hAnsi="Times New Roman"/>
          <w:sz w:val="24"/>
          <w:szCs w:val="24"/>
        </w:rPr>
        <w:t xml:space="preserve">.  </w:t>
      </w:r>
      <w:r w:rsidR="00DE4437">
        <w:rPr>
          <w:rFonts w:ascii="Times New Roman" w:hAnsi="Times New Roman"/>
          <w:sz w:val="24"/>
          <w:szCs w:val="24"/>
        </w:rPr>
        <w:t>Incorporating historical SCO tranche ownership is critical because t</w:t>
      </w:r>
      <w:r w:rsidR="0067399B">
        <w:rPr>
          <w:rFonts w:ascii="Times New Roman" w:hAnsi="Times New Roman"/>
          <w:sz w:val="24"/>
          <w:szCs w:val="24"/>
        </w:rPr>
        <w:t xml:space="preserve">he SCO auction has been the primary tool in transitioning from LDC-procured default service </w:t>
      </w:r>
      <w:r w:rsidR="00CD1352">
        <w:rPr>
          <w:rFonts w:ascii="Times New Roman" w:hAnsi="Times New Roman"/>
          <w:sz w:val="24"/>
          <w:szCs w:val="24"/>
        </w:rPr>
        <w:t xml:space="preserve">to </w:t>
      </w:r>
      <w:r w:rsidR="0067399B">
        <w:rPr>
          <w:rFonts w:ascii="Times New Roman" w:hAnsi="Times New Roman"/>
          <w:sz w:val="24"/>
          <w:szCs w:val="24"/>
        </w:rPr>
        <w:t xml:space="preserve">providing a market-based benchmark price </w:t>
      </w:r>
      <w:r w:rsidR="006D781D">
        <w:rPr>
          <w:rFonts w:ascii="Times New Roman" w:hAnsi="Times New Roman"/>
          <w:sz w:val="24"/>
          <w:szCs w:val="24"/>
        </w:rPr>
        <w:t>that Choice customers can use as a means of comparison.</w:t>
      </w:r>
      <w:r w:rsidR="0067399B">
        <w:rPr>
          <w:rFonts w:ascii="Times New Roman" w:hAnsi="Times New Roman"/>
          <w:sz w:val="24"/>
          <w:szCs w:val="24"/>
        </w:rPr>
        <w:t xml:space="preserve">  Not surprisingly, </w:t>
      </w:r>
      <w:r>
        <w:rPr>
          <w:rFonts w:ascii="Times New Roman" w:hAnsi="Times New Roman"/>
          <w:sz w:val="24"/>
          <w:szCs w:val="24"/>
        </w:rPr>
        <w:t xml:space="preserve">SCO suppliers, like Hess, have had to </w:t>
      </w:r>
      <w:r w:rsidR="006D781D">
        <w:rPr>
          <w:rFonts w:ascii="Times New Roman" w:hAnsi="Times New Roman"/>
          <w:sz w:val="24"/>
          <w:szCs w:val="24"/>
        </w:rPr>
        <w:t>make</w:t>
      </w:r>
      <w:r w:rsidR="00075606">
        <w:rPr>
          <w:rFonts w:ascii="Times New Roman" w:hAnsi="Times New Roman"/>
          <w:sz w:val="24"/>
          <w:szCs w:val="24"/>
        </w:rPr>
        <w:t xml:space="preserve"> and must continue to </w:t>
      </w:r>
      <w:r w:rsidR="006D781D">
        <w:rPr>
          <w:rFonts w:ascii="Times New Roman" w:hAnsi="Times New Roman"/>
          <w:sz w:val="24"/>
          <w:szCs w:val="24"/>
        </w:rPr>
        <w:t>make</w:t>
      </w:r>
      <w:r w:rsidR="00075606">
        <w:rPr>
          <w:rFonts w:ascii="Times New Roman" w:hAnsi="Times New Roman"/>
          <w:sz w:val="24"/>
          <w:szCs w:val="24"/>
        </w:rPr>
        <w:t xml:space="preserve"> </w:t>
      </w:r>
      <w:r>
        <w:rPr>
          <w:rFonts w:ascii="Times New Roman" w:hAnsi="Times New Roman"/>
          <w:sz w:val="24"/>
          <w:szCs w:val="24"/>
        </w:rPr>
        <w:t>considerable investments in their “back-office” resources (traders, market analysts, customer enrollm</w:t>
      </w:r>
      <w:r w:rsidR="0067399B">
        <w:rPr>
          <w:rFonts w:ascii="Times New Roman" w:hAnsi="Times New Roman"/>
          <w:sz w:val="24"/>
          <w:szCs w:val="24"/>
        </w:rPr>
        <w:t xml:space="preserve">ent personnel and IT systems) to stay competitive in the SCO market.  </w:t>
      </w:r>
      <w:r w:rsidR="00DE4437">
        <w:rPr>
          <w:rFonts w:ascii="Times New Roman" w:hAnsi="Times New Roman"/>
          <w:sz w:val="24"/>
          <w:szCs w:val="24"/>
        </w:rPr>
        <w:t>Adopting an MVR assignment methodology that incorporates SCO tranche ownership is necessary to continue to incent investment in the SCO market.  Otherwise, i</w:t>
      </w:r>
      <w:r>
        <w:rPr>
          <w:rFonts w:ascii="Times New Roman" w:hAnsi="Times New Roman"/>
          <w:sz w:val="24"/>
          <w:szCs w:val="24"/>
        </w:rPr>
        <w:t xml:space="preserve">f the Commission does not recognize SCO tranche ownership, the Commission will be dissuading SCO suppliers from continuing to make </w:t>
      </w:r>
      <w:r w:rsidR="0067399B">
        <w:rPr>
          <w:rFonts w:ascii="Times New Roman" w:hAnsi="Times New Roman"/>
          <w:sz w:val="24"/>
          <w:szCs w:val="24"/>
        </w:rPr>
        <w:t xml:space="preserve">the </w:t>
      </w:r>
      <w:r>
        <w:rPr>
          <w:rFonts w:ascii="Times New Roman" w:hAnsi="Times New Roman"/>
          <w:sz w:val="24"/>
          <w:szCs w:val="24"/>
        </w:rPr>
        <w:t>long-term investments</w:t>
      </w:r>
      <w:r w:rsidR="0067399B">
        <w:rPr>
          <w:rFonts w:ascii="Times New Roman" w:hAnsi="Times New Roman"/>
          <w:sz w:val="24"/>
          <w:szCs w:val="24"/>
        </w:rPr>
        <w:t xml:space="preserve"> to improve their </w:t>
      </w:r>
      <w:r w:rsidR="006D781D">
        <w:rPr>
          <w:rFonts w:ascii="Times New Roman" w:hAnsi="Times New Roman"/>
          <w:sz w:val="24"/>
          <w:szCs w:val="24"/>
        </w:rPr>
        <w:t>probability of success</w:t>
      </w:r>
      <w:r w:rsidR="0067399B">
        <w:rPr>
          <w:rFonts w:ascii="Times New Roman" w:hAnsi="Times New Roman"/>
          <w:sz w:val="24"/>
          <w:szCs w:val="24"/>
        </w:rPr>
        <w:t xml:space="preserve"> in future SCO auctions.  Co</w:t>
      </w:r>
      <w:r>
        <w:rPr>
          <w:rFonts w:ascii="Times New Roman" w:hAnsi="Times New Roman"/>
          <w:sz w:val="24"/>
          <w:szCs w:val="24"/>
        </w:rPr>
        <w:t xml:space="preserve">mpetitive market principles would dictate that </w:t>
      </w:r>
      <w:r w:rsidR="006D781D">
        <w:rPr>
          <w:rFonts w:ascii="Times New Roman" w:hAnsi="Times New Roman"/>
          <w:sz w:val="24"/>
          <w:szCs w:val="24"/>
        </w:rPr>
        <w:t>this investment disincentive</w:t>
      </w:r>
      <w:r>
        <w:rPr>
          <w:rFonts w:ascii="Times New Roman" w:hAnsi="Times New Roman"/>
          <w:sz w:val="24"/>
          <w:szCs w:val="24"/>
        </w:rPr>
        <w:t xml:space="preserve"> will increase prices to </w:t>
      </w:r>
      <w:r w:rsidR="009553D3">
        <w:rPr>
          <w:rFonts w:ascii="Times New Roman" w:hAnsi="Times New Roman"/>
          <w:sz w:val="24"/>
          <w:szCs w:val="24"/>
        </w:rPr>
        <w:t xml:space="preserve">SCO </w:t>
      </w:r>
      <w:r>
        <w:rPr>
          <w:rFonts w:ascii="Times New Roman" w:hAnsi="Times New Roman"/>
          <w:sz w:val="24"/>
          <w:szCs w:val="24"/>
        </w:rPr>
        <w:t xml:space="preserve">customers.  </w:t>
      </w:r>
    </w:p>
    <w:p w:rsidR="00053086" w:rsidRPr="00DB1C73" w:rsidRDefault="00053086" w:rsidP="001E4B1F">
      <w:pPr>
        <w:spacing w:after="0" w:line="480" w:lineRule="auto"/>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Pr="00DB1C73">
        <w:rPr>
          <w:rFonts w:ascii="Times New Roman" w:hAnsi="Times New Roman"/>
          <w:b/>
          <w:sz w:val="24"/>
          <w:szCs w:val="24"/>
        </w:rPr>
        <w:t xml:space="preserve">Are you in favor of the </w:t>
      </w:r>
      <w:r w:rsidR="008D76BB" w:rsidRPr="00960A39">
        <w:rPr>
          <w:rFonts w:ascii="Times New Roman" w:hAnsi="Times New Roman"/>
          <w:b/>
          <w:sz w:val="24"/>
          <w:szCs w:val="24"/>
        </w:rPr>
        <w:t>Amended</w:t>
      </w:r>
      <w:r w:rsidR="005E0E44">
        <w:rPr>
          <w:rFonts w:ascii="Times New Roman" w:hAnsi="Times New Roman"/>
          <w:sz w:val="24"/>
          <w:szCs w:val="24"/>
        </w:rPr>
        <w:t xml:space="preserve"> </w:t>
      </w:r>
      <w:r w:rsidRPr="00DB1C73">
        <w:rPr>
          <w:rFonts w:ascii="Times New Roman" w:hAnsi="Times New Roman"/>
          <w:b/>
          <w:sz w:val="24"/>
          <w:szCs w:val="24"/>
        </w:rPr>
        <w:t xml:space="preserve">Stipulation’s </w:t>
      </w:r>
      <w:r w:rsidR="000D70C4">
        <w:rPr>
          <w:rFonts w:ascii="Times New Roman" w:hAnsi="Times New Roman"/>
          <w:b/>
          <w:sz w:val="24"/>
          <w:szCs w:val="24"/>
        </w:rPr>
        <w:t xml:space="preserve">framework that could </w:t>
      </w:r>
      <w:r w:rsidRPr="00DB1C73">
        <w:rPr>
          <w:rFonts w:ascii="Times New Roman" w:hAnsi="Times New Roman"/>
          <w:b/>
          <w:sz w:val="24"/>
          <w:szCs w:val="24"/>
        </w:rPr>
        <w:t xml:space="preserve">end the SCO option for </w:t>
      </w:r>
      <w:r>
        <w:rPr>
          <w:rFonts w:ascii="Times New Roman" w:hAnsi="Times New Roman"/>
          <w:b/>
          <w:sz w:val="24"/>
          <w:szCs w:val="24"/>
        </w:rPr>
        <w:t>residential</w:t>
      </w:r>
      <w:r w:rsidRPr="00DB1C73">
        <w:rPr>
          <w:rFonts w:ascii="Times New Roman" w:hAnsi="Times New Roman"/>
          <w:b/>
          <w:sz w:val="24"/>
          <w:szCs w:val="24"/>
        </w:rPr>
        <w:t xml:space="preserve"> customers once 70% of Choice-eligible, residential customers are shopping?</w:t>
      </w:r>
    </w:p>
    <w:p w:rsidR="006D781D" w:rsidRDefault="00053086" w:rsidP="00C91671">
      <w:pPr>
        <w:spacing w:after="0" w:line="48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No, I am not.  Hess understands that</w:t>
      </w:r>
      <w:r w:rsidR="006D781D">
        <w:rPr>
          <w:rFonts w:ascii="Times New Roman" w:hAnsi="Times New Roman"/>
          <w:sz w:val="24"/>
          <w:szCs w:val="24"/>
        </w:rPr>
        <w:t xml:space="preserve"> (i)</w:t>
      </w:r>
      <w:r>
        <w:rPr>
          <w:rFonts w:ascii="Times New Roman" w:hAnsi="Times New Roman"/>
          <w:sz w:val="24"/>
          <w:szCs w:val="24"/>
        </w:rPr>
        <w:t xml:space="preserve"> given current shopping statistics, it could take several years to rea</w:t>
      </w:r>
      <w:r w:rsidR="006D781D">
        <w:rPr>
          <w:rFonts w:ascii="Times New Roman" w:hAnsi="Times New Roman"/>
          <w:sz w:val="24"/>
          <w:szCs w:val="24"/>
        </w:rPr>
        <w:t>ch the residential exit trigger;</w:t>
      </w:r>
      <w:r>
        <w:rPr>
          <w:rStyle w:val="FootnoteReference"/>
          <w:rFonts w:ascii="Times New Roman" w:hAnsi="Times New Roman"/>
          <w:sz w:val="24"/>
          <w:szCs w:val="24"/>
        </w:rPr>
        <w:footnoteReference w:id="7"/>
      </w:r>
      <w:r w:rsidR="006D781D">
        <w:rPr>
          <w:rFonts w:ascii="Times New Roman" w:hAnsi="Times New Roman"/>
          <w:sz w:val="24"/>
          <w:szCs w:val="24"/>
        </w:rPr>
        <w:t xml:space="preserve"> and (ii)</w:t>
      </w:r>
      <w:r w:rsidR="0067399B">
        <w:rPr>
          <w:rFonts w:ascii="Times New Roman" w:hAnsi="Times New Roman"/>
          <w:sz w:val="24"/>
          <w:szCs w:val="24"/>
        </w:rPr>
        <w:t xml:space="preserve"> </w:t>
      </w:r>
      <w:r>
        <w:rPr>
          <w:rFonts w:ascii="Times New Roman" w:hAnsi="Times New Roman"/>
          <w:sz w:val="24"/>
          <w:szCs w:val="24"/>
        </w:rPr>
        <w:t xml:space="preserve">the </w:t>
      </w:r>
      <w:r w:rsidR="005E0E44">
        <w:rPr>
          <w:rFonts w:ascii="Times New Roman" w:hAnsi="Times New Roman"/>
          <w:sz w:val="24"/>
          <w:szCs w:val="24"/>
        </w:rPr>
        <w:t xml:space="preserve">Amended </w:t>
      </w:r>
      <w:r>
        <w:rPr>
          <w:rFonts w:ascii="Times New Roman" w:hAnsi="Times New Roman"/>
          <w:sz w:val="24"/>
          <w:szCs w:val="24"/>
        </w:rPr>
        <w:t xml:space="preserve">Stipulation </w:t>
      </w:r>
      <w:r w:rsidR="005E6E98">
        <w:rPr>
          <w:rFonts w:ascii="Times New Roman" w:hAnsi="Times New Roman"/>
          <w:sz w:val="24"/>
          <w:szCs w:val="24"/>
        </w:rPr>
        <w:t xml:space="preserve">provides that </w:t>
      </w:r>
      <w:r>
        <w:rPr>
          <w:rFonts w:ascii="Times New Roman" w:hAnsi="Times New Roman"/>
          <w:sz w:val="24"/>
          <w:szCs w:val="24"/>
        </w:rPr>
        <w:t xml:space="preserve">COH </w:t>
      </w:r>
      <w:r w:rsidR="005E6E98">
        <w:rPr>
          <w:rFonts w:ascii="Times New Roman" w:hAnsi="Times New Roman"/>
          <w:sz w:val="24"/>
          <w:szCs w:val="24"/>
        </w:rPr>
        <w:t>may</w:t>
      </w:r>
      <w:r>
        <w:rPr>
          <w:rFonts w:ascii="Times New Roman" w:hAnsi="Times New Roman"/>
          <w:sz w:val="24"/>
          <w:szCs w:val="24"/>
        </w:rPr>
        <w:t xml:space="preserve"> file a</w:t>
      </w:r>
      <w:r w:rsidR="00D541E2">
        <w:rPr>
          <w:rFonts w:ascii="Times New Roman" w:hAnsi="Times New Roman"/>
          <w:sz w:val="24"/>
          <w:szCs w:val="24"/>
        </w:rPr>
        <w:t>n application</w:t>
      </w:r>
      <w:r>
        <w:rPr>
          <w:rFonts w:ascii="Times New Roman" w:hAnsi="Times New Roman"/>
          <w:sz w:val="24"/>
          <w:szCs w:val="24"/>
        </w:rPr>
        <w:t xml:space="preserve"> to exit and is not calling for an automatic exit like the Stipulation does for non-residential customers.  However, Hess still recommends that the Commission </w:t>
      </w:r>
      <w:r w:rsidR="005127AE">
        <w:rPr>
          <w:rFonts w:ascii="Times New Roman" w:hAnsi="Times New Roman"/>
          <w:sz w:val="24"/>
          <w:szCs w:val="24"/>
        </w:rPr>
        <w:t>reject</w:t>
      </w:r>
      <w:r>
        <w:rPr>
          <w:rFonts w:ascii="Times New Roman" w:hAnsi="Times New Roman"/>
          <w:sz w:val="24"/>
          <w:szCs w:val="24"/>
        </w:rPr>
        <w:t xml:space="preserve"> the </w:t>
      </w:r>
      <w:r w:rsidR="005620AC">
        <w:rPr>
          <w:rFonts w:ascii="Times New Roman" w:hAnsi="Times New Roman"/>
          <w:sz w:val="24"/>
          <w:szCs w:val="24"/>
        </w:rPr>
        <w:t xml:space="preserve">Amended </w:t>
      </w:r>
      <w:r>
        <w:rPr>
          <w:rFonts w:ascii="Times New Roman" w:hAnsi="Times New Roman"/>
          <w:sz w:val="24"/>
          <w:szCs w:val="24"/>
        </w:rPr>
        <w:t>Stipulation’s res</w:t>
      </w:r>
      <w:r w:rsidR="0067399B">
        <w:rPr>
          <w:rFonts w:ascii="Times New Roman" w:hAnsi="Times New Roman"/>
          <w:sz w:val="24"/>
          <w:szCs w:val="24"/>
        </w:rPr>
        <w:t>idential exit framework because</w:t>
      </w:r>
      <w:r>
        <w:rPr>
          <w:rFonts w:ascii="Times New Roman" w:hAnsi="Times New Roman"/>
          <w:sz w:val="24"/>
          <w:szCs w:val="24"/>
        </w:rPr>
        <w:t xml:space="preserve"> the Commission </w:t>
      </w:r>
      <w:r w:rsidR="006D781D">
        <w:rPr>
          <w:rFonts w:ascii="Times New Roman" w:hAnsi="Times New Roman"/>
          <w:sz w:val="24"/>
          <w:szCs w:val="24"/>
        </w:rPr>
        <w:t xml:space="preserve">would be: </w:t>
      </w:r>
    </w:p>
    <w:p w:rsidR="006D781D" w:rsidRDefault="0067399B" w:rsidP="006D781D">
      <w:pPr>
        <w:spacing w:after="0" w:line="240" w:lineRule="auto"/>
        <w:ind w:left="720"/>
        <w:jc w:val="both"/>
        <w:rPr>
          <w:rFonts w:ascii="Times New Roman" w:hAnsi="Times New Roman"/>
          <w:sz w:val="24"/>
          <w:szCs w:val="24"/>
        </w:rPr>
      </w:pPr>
      <w:r>
        <w:rPr>
          <w:rFonts w:ascii="Times New Roman" w:hAnsi="Times New Roman"/>
          <w:sz w:val="24"/>
          <w:szCs w:val="24"/>
        </w:rPr>
        <w:t xml:space="preserve">(i) </w:t>
      </w:r>
      <w:r w:rsidR="006D781D">
        <w:rPr>
          <w:rFonts w:ascii="Times New Roman" w:hAnsi="Times New Roman"/>
          <w:sz w:val="24"/>
          <w:szCs w:val="24"/>
        </w:rPr>
        <w:t>Creating</w:t>
      </w:r>
      <w:r w:rsidR="00053086">
        <w:rPr>
          <w:rFonts w:ascii="Times New Roman" w:hAnsi="Times New Roman"/>
          <w:sz w:val="24"/>
          <w:szCs w:val="24"/>
        </w:rPr>
        <w:t xml:space="preserve"> regulatory uncertainty in the SCO </w:t>
      </w:r>
      <w:r w:rsidR="002C208B">
        <w:rPr>
          <w:rFonts w:ascii="Times New Roman" w:hAnsi="Times New Roman"/>
          <w:sz w:val="24"/>
          <w:szCs w:val="24"/>
        </w:rPr>
        <w:t xml:space="preserve">and retail </w:t>
      </w:r>
      <w:r w:rsidR="00053086">
        <w:rPr>
          <w:rFonts w:ascii="Times New Roman" w:hAnsi="Times New Roman"/>
          <w:sz w:val="24"/>
          <w:szCs w:val="24"/>
        </w:rPr>
        <w:t>market</w:t>
      </w:r>
      <w:r w:rsidR="002C208B">
        <w:rPr>
          <w:rFonts w:ascii="Times New Roman" w:hAnsi="Times New Roman"/>
          <w:sz w:val="24"/>
          <w:szCs w:val="24"/>
        </w:rPr>
        <w:t>s</w:t>
      </w:r>
      <w:r>
        <w:rPr>
          <w:rFonts w:ascii="Times New Roman" w:hAnsi="Times New Roman"/>
          <w:sz w:val="24"/>
          <w:szCs w:val="24"/>
        </w:rPr>
        <w:t>, which will lead to higher</w:t>
      </w:r>
      <w:r w:rsidR="00053086">
        <w:rPr>
          <w:rFonts w:ascii="Times New Roman" w:hAnsi="Times New Roman"/>
          <w:sz w:val="24"/>
          <w:szCs w:val="24"/>
        </w:rPr>
        <w:t xml:space="preserve"> </w:t>
      </w:r>
      <w:r>
        <w:rPr>
          <w:rFonts w:ascii="Times New Roman" w:hAnsi="Times New Roman"/>
          <w:sz w:val="24"/>
          <w:szCs w:val="24"/>
        </w:rPr>
        <w:t xml:space="preserve">prices </w:t>
      </w:r>
      <w:r w:rsidR="006D781D">
        <w:rPr>
          <w:rFonts w:ascii="Times New Roman" w:hAnsi="Times New Roman"/>
          <w:sz w:val="24"/>
          <w:szCs w:val="24"/>
        </w:rPr>
        <w:t xml:space="preserve">for </w:t>
      </w:r>
      <w:r>
        <w:rPr>
          <w:rFonts w:ascii="Times New Roman" w:hAnsi="Times New Roman"/>
          <w:sz w:val="24"/>
          <w:szCs w:val="24"/>
        </w:rPr>
        <w:t xml:space="preserve">residential </w:t>
      </w:r>
      <w:r w:rsidR="006D781D">
        <w:rPr>
          <w:rFonts w:ascii="Times New Roman" w:hAnsi="Times New Roman"/>
          <w:sz w:val="24"/>
          <w:szCs w:val="24"/>
        </w:rPr>
        <w:t>customers;</w:t>
      </w:r>
    </w:p>
    <w:p w:rsidR="006D781D" w:rsidRDefault="006D781D" w:rsidP="006D781D">
      <w:pPr>
        <w:spacing w:after="0" w:line="240" w:lineRule="auto"/>
        <w:ind w:left="720"/>
        <w:jc w:val="both"/>
        <w:rPr>
          <w:rFonts w:ascii="Times New Roman" w:hAnsi="Times New Roman"/>
          <w:sz w:val="24"/>
          <w:szCs w:val="24"/>
        </w:rPr>
      </w:pPr>
    </w:p>
    <w:p w:rsidR="006D781D" w:rsidRDefault="001E2798" w:rsidP="006D781D">
      <w:pPr>
        <w:spacing w:after="0" w:line="240" w:lineRule="auto"/>
        <w:ind w:left="720"/>
        <w:jc w:val="both"/>
        <w:rPr>
          <w:rFonts w:ascii="Times New Roman" w:hAnsi="Times New Roman"/>
          <w:sz w:val="24"/>
          <w:szCs w:val="24"/>
        </w:rPr>
      </w:pPr>
      <w:r>
        <w:rPr>
          <w:rFonts w:ascii="Times New Roman" w:hAnsi="Times New Roman"/>
          <w:sz w:val="24"/>
          <w:szCs w:val="24"/>
        </w:rPr>
        <w:lastRenderedPageBreak/>
        <w:t>(</w:t>
      </w:r>
      <w:r w:rsidR="0067399B">
        <w:rPr>
          <w:rFonts w:ascii="Times New Roman" w:hAnsi="Times New Roman"/>
          <w:sz w:val="24"/>
          <w:szCs w:val="24"/>
        </w:rPr>
        <w:t xml:space="preserve">ii) </w:t>
      </w:r>
      <w:r w:rsidR="006D781D">
        <w:rPr>
          <w:rFonts w:ascii="Times New Roman" w:hAnsi="Times New Roman"/>
          <w:sz w:val="24"/>
          <w:szCs w:val="24"/>
        </w:rPr>
        <w:t>Removing</w:t>
      </w:r>
      <w:r w:rsidR="0067399B">
        <w:rPr>
          <w:rFonts w:ascii="Times New Roman" w:hAnsi="Times New Roman"/>
          <w:sz w:val="24"/>
          <w:szCs w:val="24"/>
        </w:rPr>
        <w:t xml:space="preserve"> </w:t>
      </w:r>
      <w:r w:rsidR="006D781D">
        <w:rPr>
          <w:rFonts w:ascii="Times New Roman" w:hAnsi="Times New Roman"/>
          <w:sz w:val="24"/>
          <w:szCs w:val="24"/>
        </w:rPr>
        <w:t xml:space="preserve">the lowest-cost benchmark </w:t>
      </w:r>
      <w:r w:rsidR="0067399B">
        <w:rPr>
          <w:rFonts w:ascii="Times New Roman" w:hAnsi="Times New Roman"/>
          <w:sz w:val="24"/>
          <w:szCs w:val="24"/>
        </w:rPr>
        <w:t>price</w:t>
      </w:r>
      <w:r w:rsidR="006D781D">
        <w:rPr>
          <w:rFonts w:ascii="Times New Roman" w:hAnsi="Times New Roman"/>
          <w:sz w:val="24"/>
          <w:szCs w:val="24"/>
        </w:rPr>
        <w:t>, which provides extremely valuable</w:t>
      </w:r>
      <w:r w:rsidR="0067399B">
        <w:rPr>
          <w:rFonts w:ascii="Times New Roman" w:hAnsi="Times New Roman"/>
          <w:sz w:val="24"/>
          <w:szCs w:val="24"/>
        </w:rPr>
        <w:t xml:space="preserve"> transpare</w:t>
      </w:r>
      <w:r w:rsidR="006D781D">
        <w:rPr>
          <w:rFonts w:ascii="Times New Roman" w:hAnsi="Times New Roman"/>
          <w:sz w:val="24"/>
          <w:szCs w:val="24"/>
        </w:rPr>
        <w:t xml:space="preserve">ncy for residential customers; </w:t>
      </w:r>
      <w:r w:rsidR="0067399B">
        <w:rPr>
          <w:rFonts w:ascii="Times New Roman" w:hAnsi="Times New Roman"/>
          <w:sz w:val="24"/>
          <w:szCs w:val="24"/>
        </w:rPr>
        <w:t xml:space="preserve">and </w:t>
      </w:r>
    </w:p>
    <w:p w:rsidR="006D781D" w:rsidRDefault="006D781D" w:rsidP="006D781D">
      <w:pPr>
        <w:spacing w:after="0" w:line="240" w:lineRule="auto"/>
        <w:ind w:left="720"/>
        <w:jc w:val="both"/>
        <w:rPr>
          <w:rFonts w:ascii="Times New Roman" w:hAnsi="Times New Roman"/>
          <w:sz w:val="24"/>
          <w:szCs w:val="24"/>
        </w:rPr>
      </w:pPr>
    </w:p>
    <w:p w:rsidR="00053086" w:rsidRDefault="0067399B" w:rsidP="006D781D">
      <w:pPr>
        <w:spacing w:after="0" w:line="240" w:lineRule="auto"/>
        <w:ind w:left="720"/>
        <w:jc w:val="both"/>
        <w:rPr>
          <w:rFonts w:ascii="Times New Roman" w:hAnsi="Times New Roman"/>
          <w:sz w:val="24"/>
          <w:szCs w:val="24"/>
        </w:rPr>
      </w:pPr>
      <w:r>
        <w:rPr>
          <w:rFonts w:ascii="Times New Roman" w:hAnsi="Times New Roman"/>
          <w:sz w:val="24"/>
          <w:szCs w:val="24"/>
        </w:rPr>
        <w:t xml:space="preserve">(iii) </w:t>
      </w:r>
      <w:r w:rsidR="006D781D">
        <w:rPr>
          <w:rFonts w:ascii="Times New Roman" w:hAnsi="Times New Roman"/>
          <w:sz w:val="24"/>
          <w:szCs w:val="24"/>
        </w:rPr>
        <w:t>Subjecting</w:t>
      </w:r>
      <w:r>
        <w:rPr>
          <w:rFonts w:ascii="Times New Roman" w:hAnsi="Times New Roman"/>
          <w:sz w:val="24"/>
          <w:szCs w:val="24"/>
        </w:rPr>
        <w:t xml:space="preserve"> </w:t>
      </w:r>
      <w:r w:rsidR="001E2798">
        <w:rPr>
          <w:rFonts w:ascii="Times New Roman" w:hAnsi="Times New Roman"/>
          <w:sz w:val="24"/>
          <w:szCs w:val="24"/>
        </w:rPr>
        <w:t xml:space="preserve">numerous </w:t>
      </w:r>
      <w:r w:rsidR="00B849CC">
        <w:rPr>
          <w:rFonts w:ascii="Times New Roman" w:hAnsi="Times New Roman"/>
          <w:sz w:val="24"/>
          <w:szCs w:val="24"/>
        </w:rPr>
        <w:t>SCO</w:t>
      </w:r>
      <w:r>
        <w:rPr>
          <w:rFonts w:ascii="Times New Roman" w:hAnsi="Times New Roman"/>
          <w:sz w:val="24"/>
          <w:szCs w:val="24"/>
        </w:rPr>
        <w:t xml:space="preserve"> residential customers to higher</w:t>
      </w:r>
      <w:r w:rsidR="006D781D">
        <w:rPr>
          <w:rFonts w:ascii="Times New Roman" w:hAnsi="Times New Roman"/>
          <w:sz w:val="24"/>
          <w:szCs w:val="24"/>
        </w:rPr>
        <w:t xml:space="preserve"> </w:t>
      </w:r>
      <w:r>
        <w:rPr>
          <w:rFonts w:ascii="Times New Roman" w:hAnsi="Times New Roman"/>
          <w:sz w:val="24"/>
          <w:szCs w:val="24"/>
        </w:rPr>
        <w:t>prices</w:t>
      </w:r>
      <w:r w:rsidR="001E2798">
        <w:rPr>
          <w:rFonts w:ascii="Times New Roman" w:hAnsi="Times New Roman"/>
          <w:sz w:val="24"/>
          <w:szCs w:val="24"/>
        </w:rPr>
        <w:t xml:space="preserve"> without their consent</w:t>
      </w:r>
      <w:r>
        <w:rPr>
          <w:rFonts w:ascii="Times New Roman" w:hAnsi="Times New Roman"/>
          <w:sz w:val="24"/>
          <w:szCs w:val="24"/>
        </w:rPr>
        <w:t>, which is inconsistent with prevailing Ohio policy and not in the public interest.</w:t>
      </w:r>
      <w:r w:rsidR="00053086">
        <w:rPr>
          <w:rFonts w:ascii="Times New Roman" w:hAnsi="Times New Roman"/>
          <w:sz w:val="24"/>
          <w:szCs w:val="24"/>
        </w:rPr>
        <w:t xml:space="preserve">  </w:t>
      </w:r>
    </w:p>
    <w:p w:rsidR="006D781D" w:rsidRDefault="006D781D" w:rsidP="006D781D">
      <w:pPr>
        <w:spacing w:after="0" w:line="240" w:lineRule="auto"/>
        <w:ind w:left="720"/>
        <w:jc w:val="both"/>
        <w:rPr>
          <w:rFonts w:ascii="Times New Roman" w:hAnsi="Times New Roman"/>
          <w:sz w:val="24"/>
          <w:szCs w:val="24"/>
        </w:rPr>
      </w:pPr>
    </w:p>
    <w:p w:rsidR="00053086" w:rsidRPr="003676F5" w:rsidRDefault="00053086" w:rsidP="00C91671">
      <w:pPr>
        <w:spacing w:after="0" w:line="480" w:lineRule="auto"/>
        <w:jc w:val="both"/>
        <w:rPr>
          <w:rFonts w:ascii="Times New Roman" w:hAnsi="Times New Roman"/>
          <w:b/>
          <w:sz w:val="24"/>
          <w:szCs w:val="24"/>
        </w:rPr>
      </w:pPr>
      <w:r w:rsidRPr="003676F5">
        <w:rPr>
          <w:rFonts w:ascii="Times New Roman" w:hAnsi="Times New Roman"/>
          <w:b/>
          <w:sz w:val="24"/>
          <w:szCs w:val="24"/>
        </w:rPr>
        <w:t>Q.</w:t>
      </w:r>
      <w:r w:rsidRPr="003676F5">
        <w:rPr>
          <w:rFonts w:ascii="Times New Roman" w:hAnsi="Times New Roman"/>
          <w:b/>
          <w:sz w:val="24"/>
          <w:szCs w:val="24"/>
        </w:rPr>
        <w:tab/>
        <w:t>What are the critical differences that warrant different treatment for the residential sector?</w:t>
      </w:r>
    </w:p>
    <w:p w:rsidR="00053086" w:rsidRDefault="00053086" w:rsidP="00C91671">
      <w:pPr>
        <w:spacing w:after="0" w:line="48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First, while price motivates all customers, in my experience, most residential customers are particularly focused on obtaining the lowest price.  Unlike </w:t>
      </w:r>
      <w:r w:rsidR="00E72B4D">
        <w:rPr>
          <w:rFonts w:ascii="Times New Roman" w:hAnsi="Times New Roman"/>
          <w:sz w:val="24"/>
          <w:szCs w:val="24"/>
        </w:rPr>
        <w:t>commercial</w:t>
      </w:r>
      <w:r>
        <w:rPr>
          <w:rFonts w:ascii="Times New Roman" w:hAnsi="Times New Roman"/>
          <w:sz w:val="24"/>
          <w:szCs w:val="24"/>
        </w:rPr>
        <w:t xml:space="preserve"> customers which have usage profiles and business interests that make fixed price and “index and cap” offerings attractive, residential customers are not as motivated by obtaining price certainty as they are as </w:t>
      </w:r>
      <w:r w:rsidR="002260C3">
        <w:rPr>
          <w:rFonts w:ascii="Times New Roman" w:hAnsi="Times New Roman"/>
          <w:sz w:val="24"/>
          <w:szCs w:val="24"/>
        </w:rPr>
        <w:t>getting</w:t>
      </w:r>
      <w:r>
        <w:rPr>
          <w:rFonts w:ascii="Times New Roman" w:hAnsi="Times New Roman"/>
          <w:sz w:val="24"/>
          <w:szCs w:val="24"/>
        </w:rPr>
        <w:t xml:space="preserve"> the lowest price.  </w:t>
      </w:r>
      <w:r w:rsidR="001E2798">
        <w:rPr>
          <w:rFonts w:ascii="Times New Roman" w:hAnsi="Times New Roman"/>
          <w:sz w:val="24"/>
          <w:szCs w:val="24"/>
        </w:rPr>
        <w:t xml:space="preserve">Residential customers </w:t>
      </w:r>
      <w:r w:rsidR="00E72B4D">
        <w:rPr>
          <w:rFonts w:ascii="Times New Roman" w:hAnsi="Times New Roman"/>
          <w:sz w:val="24"/>
          <w:szCs w:val="24"/>
        </w:rPr>
        <w:t>traditionally</w:t>
      </w:r>
      <w:r w:rsidR="001E2798">
        <w:rPr>
          <w:rFonts w:ascii="Times New Roman" w:hAnsi="Times New Roman"/>
          <w:sz w:val="24"/>
          <w:szCs w:val="24"/>
        </w:rPr>
        <w:t xml:space="preserve"> have been on a variable product and are comfortable with any volatility that comes with taking this supply offering.  </w:t>
      </w:r>
      <w:r w:rsidR="002260C3">
        <w:rPr>
          <w:rFonts w:ascii="Times New Roman" w:hAnsi="Times New Roman"/>
          <w:sz w:val="24"/>
          <w:szCs w:val="24"/>
        </w:rPr>
        <w:t>As I will explain in more detail below, c</w:t>
      </w:r>
      <w:r w:rsidR="001E2798">
        <w:rPr>
          <w:rFonts w:ascii="Times New Roman" w:hAnsi="Times New Roman"/>
          <w:sz w:val="24"/>
          <w:szCs w:val="24"/>
        </w:rPr>
        <w:t>ompetitive market dynamics result in</w:t>
      </w:r>
      <w:r>
        <w:rPr>
          <w:rFonts w:ascii="Times New Roman" w:hAnsi="Times New Roman"/>
          <w:sz w:val="24"/>
          <w:szCs w:val="24"/>
        </w:rPr>
        <w:t xml:space="preserve"> the SCO auction price </w:t>
      </w:r>
      <w:r w:rsidR="001E2798">
        <w:rPr>
          <w:rFonts w:ascii="Times New Roman" w:hAnsi="Times New Roman"/>
          <w:sz w:val="24"/>
          <w:szCs w:val="24"/>
        </w:rPr>
        <w:t>being</w:t>
      </w:r>
      <w:r w:rsidR="00E72B4D">
        <w:rPr>
          <w:rFonts w:ascii="Times New Roman" w:hAnsi="Times New Roman"/>
          <w:sz w:val="24"/>
          <w:szCs w:val="24"/>
        </w:rPr>
        <w:t xml:space="preserve"> the lowest-</w:t>
      </w:r>
      <w:r>
        <w:rPr>
          <w:rFonts w:ascii="Times New Roman" w:hAnsi="Times New Roman"/>
          <w:sz w:val="24"/>
          <w:szCs w:val="24"/>
        </w:rPr>
        <w:t>cost</w:t>
      </w:r>
      <w:r w:rsidR="005127AE">
        <w:rPr>
          <w:rFonts w:ascii="Times New Roman" w:hAnsi="Times New Roman"/>
          <w:sz w:val="24"/>
          <w:szCs w:val="24"/>
        </w:rPr>
        <w:t xml:space="preserve"> </w:t>
      </w:r>
      <w:r>
        <w:rPr>
          <w:rFonts w:ascii="Times New Roman" w:hAnsi="Times New Roman"/>
          <w:sz w:val="24"/>
          <w:szCs w:val="24"/>
        </w:rPr>
        <w:t xml:space="preserve">alternative for residential customers.  </w:t>
      </w:r>
    </w:p>
    <w:p w:rsidR="00053086" w:rsidRDefault="00053086" w:rsidP="00DB1C73">
      <w:pPr>
        <w:spacing w:after="0" w:line="480" w:lineRule="auto"/>
        <w:jc w:val="both"/>
        <w:rPr>
          <w:rFonts w:ascii="Times New Roman" w:hAnsi="Times New Roman"/>
          <w:sz w:val="24"/>
          <w:szCs w:val="24"/>
        </w:rPr>
      </w:pPr>
      <w:r>
        <w:rPr>
          <w:rFonts w:ascii="Times New Roman" w:hAnsi="Times New Roman"/>
          <w:sz w:val="24"/>
          <w:szCs w:val="24"/>
        </w:rPr>
        <w:tab/>
        <w:t xml:space="preserve">Second, Hess </w:t>
      </w:r>
      <w:r w:rsidR="001E2798">
        <w:rPr>
          <w:rFonts w:ascii="Times New Roman" w:hAnsi="Times New Roman"/>
          <w:sz w:val="24"/>
          <w:szCs w:val="24"/>
        </w:rPr>
        <w:t>opposes any</w:t>
      </w:r>
      <w:r>
        <w:rPr>
          <w:rFonts w:ascii="Times New Roman" w:hAnsi="Times New Roman"/>
          <w:sz w:val="24"/>
          <w:szCs w:val="24"/>
        </w:rPr>
        <w:t xml:space="preserve"> framework where COH </w:t>
      </w:r>
      <w:r w:rsidR="00E72B4D">
        <w:rPr>
          <w:rFonts w:ascii="Times New Roman" w:hAnsi="Times New Roman"/>
          <w:sz w:val="24"/>
          <w:szCs w:val="24"/>
        </w:rPr>
        <w:t xml:space="preserve">could </w:t>
      </w:r>
      <w:r>
        <w:rPr>
          <w:rFonts w:ascii="Times New Roman" w:hAnsi="Times New Roman"/>
          <w:sz w:val="24"/>
          <w:szCs w:val="24"/>
        </w:rPr>
        <w:t>exit the merchant function for reside</w:t>
      </w:r>
      <w:r w:rsidR="001E2798">
        <w:rPr>
          <w:rFonts w:ascii="Times New Roman" w:hAnsi="Times New Roman"/>
          <w:sz w:val="24"/>
          <w:szCs w:val="24"/>
        </w:rPr>
        <w:t>ntial customers once a 70% shopping level has been</w:t>
      </w:r>
      <w:r>
        <w:rPr>
          <w:rFonts w:ascii="Times New Roman" w:hAnsi="Times New Roman"/>
          <w:sz w:val="24"/>
          <w:szCs w:val="24"/>
        </w:rPr>
        <w:t xml:space="preserve"> met.  </w:t>
      </w:r>
      <w:r w:rsidR="00EC1636">
        <w:rPr>
          <w:rFonts w:ascii="Times New Roman" w:hAnsi="Times New Roman"/>
          <w:sz w:val="24"/>
          <w:szCs w:val="24"/>
        </w:rPr>
        <w:t xml:space="preserve">Simply put, the 70% shopping threshold trigger is too low.  </w:t>
      </w:r>
      <w:r w:rsidR="00821E07">
        <w:rPr>
          <w:rFonts w:ascii="Times New Roman" w:hAnsi="Times New Roman"/>
          <w:sz w:val="24"/>
          <w:szCs w:val="24"/>
        </w:rPr>
        <w:t xml:space="preserve">Using </w:t>
      </w:r>
      <w:r w:rsidR="006A5901">
        <w:rPr>
          <w:rFonts w:ascii="Times New Roman" w:hAnsi="Times New Roman"/>
          <w:sz w:val="24"/>
          <w:szCs w:val="24"/>
        </w:rPr>
        <w:t xml:space="preserve">the </w:t>
      </w:r>
      <w:r w:rsidR="00821E07">
        <w:rPr>
          <w:rFonts w:ascii="Times New Roman" w:hAnsi="Times New Roman"/>
          <w:sz w:val="24"/>
          <w:szCs w:val="24"/>
        </w:rPr>
        <w:t>Choice enrollment data</w:t>
      </w:r>
      <w:r w:rsidR="006A5901">
        <w:rPr>
          <w:rFonts w:ascii="Times New Roman" w:hAnsi="Times New Roman"/>
          <w:sz w:val="24"/>
          <w:szCs w:val="24"/>
        </w:rPr>
        <w:t xml:space="preserve"> maintained on the Commission’s website (Exhibit OMG – 3)</w:t>
      </w:r>
      <w:r w:rsidR="00821E07">
        <w:rPr>
          <w:rFonts w:ascii="Times New Roman" w:hAnsi="Times New Roman"/>
          <w:sz w:val="24"/>
          <w:szCs w:val="24"/>
        </w:rPr>
        <w:t>, i</w:t>
      </w:r>
      <w:r>
        <w:rPr>
          <w:rFonts w:ascii="Times New Roman" w:hAnsi="Times New Roman"/>
          <w:sz w:val="24"/>
          <w:szCs w:val="24"/>
        </w:rPr>
        <w:t xml:space="preserve">n our estimation, at 70% shopping levels, over 364,000 customers would still </w:t>
      </w:r>
      <w:r w:rsidR="001E2798">
        <w:rPr>
          <w:rFonts w:ascii="Times New Roman" w:hAnsi="Times New Roman"/>
          <w:sz w:val="24"/>
          <w:szCs w:val="24"/>
        </w:rPr>
        <w:t>be on SCO service</w:t>
      </w:r>
      <w:r>
        <w:rPr>
          <w:rFonts w:ascii="Times New Roman" w:hAnsi="Times New Roman"/>
          <w:sz w:val="24"/>
          <w:szCs w:val="24"/>
        </w:rPr>
        <w:t xml:space="preserve">.  Pursuant to the </w:t>
      </w:r>
      <w:r w:rsidR="005E0E44">
        <w:rPr>
          <w:rFonts w:ascii="Times New Roman" w:hAnsi="Times New Roman"/>
          <w:sz w:val="24"/>
          <w:szCs w:val="24"/>
        </w:rPr>
        <w:t xml:space="preserve">Amended </w:t>
      </w:r>
      <w:r>
        <w:rPr>
          <w:rFonts w:ascii="Times New Roman" w:hAnsi="Times New Roman"/>
          <w:sz w:val="24"/>
          <w:szCs w:val="24"/>
        </w:rPr>
        <w:t xml:space="preserve">Stipulation, if an exit was approved, all of these customers would be assigned to </w:t>
      </w:r>
      <w:r w:rsidR="00B231DD">
        <w:rPr>
          <w:rFonts w:ascii="Times New Roman" w:hAnsi="Times New Roman"/>
          <w:sz w:val="24"/>
          <w:szCs w:val="24"/>
        </w:rPr>
        <w:t xml:space="preserve">retail </w:t>
      </w:r>
      <w:r>
        <w:rPr>
          <w:rFonts w:ascii="Times New Roman" w:hAnsi="Times New Roman"/>
          <w:sz w:val="24"/>
          <w:szCs w:val="24"/>
        </w:rPr>
        <w:t xml:space="preserve">suppliers </w:t>
      </w:r>
      <w:r w:rsidR="00821E07">
        <w:rPr>
          <w:rFonts w:ascii="Times New Roman" w:hAnsi="Times New Roman"/>
          <w:sz w:val="24"/>
          <w:szCs w:val="24"/>
        </w:rPr>
        <w:t xml:space="preserve">at </w:t>
      </w:r>
      <w:r>
        <w:rPr>
          <w:rFonts w:ascii="Times New Roman" w:hAnsi="Times New Roman"/>
          <w:sz w:val="24"/>
          <w:szCs w:val="24"/>
        </w:rPr>
        <w:t xml:space="preserve">their </w:t>
      </w:r>
      <w:r w:rsidR="00B231DD">
        <w:rPr>
          <w:rFonts w:ascii="Times New Roman" w:hAnsi="Times New Roman"/>
          <w:sz w:val="24"/>
          <w:szCs w:val="24"/>
        </w:rPr>
        <w:t xml:space="preserve">suppliers’ </w:t>
      </w:r>
      <w:r>
        <w:rPr>
          <w:rFonts w:ascii="Times New Roman" w:hAnsi="Times New Roman"/>
          <w:sz w:val="24"/>
          <w:szCs w:val="24"/>
        </w:rPr>
        <w:t>respective MVR rate</w:t>
      </w:r>
      <w:r w:rsidR="00B231DD">
        <w:rPr>
          <w:rFonts w:ascii="Times New Roman" w:hAnsi="Times New Roman"/>
          <w:sz w:val="24"/>
          <w:szCs w:val="24"/>
        </w:rPr>
        <w:t>s</w:t>
      </w:r>
      <w:r w:rsidR="0032121A">
        <w:rPr>
          <w:rFonts w:ascii="Times New Roman" w:hAnsi="Times New Roman"/>
          <w:sz w:val="24"/>
          <w:szCs w:val="24"/>
        </w:rPr>
        <w:t>, i.e., the customers would have a contractual relationship with the supplier assigned</w:t>
      </w:r>
      <w:r>
        <w:rPr>
          <w:rFonts w:ascii="Times New Roman" w:hAnsi="Times New Roman"/>
          <w:sz w:val="24"/>
          <w:szCs w:val="24"/>
        </w:rPr>
        <w:t xml:space="preserve">.  </w:t>
      </w:r>
      <w:r w:rsidR="00B231DD">
        <w:rPr>
          <w:rFonts w:ascii="Times New Roman" w:hAnsi="Times New Roman"/>
          <w:sz w:val="24"/>
          <w:szCs w:val="24"/>
        </w:rPr>
        <w:t xml:space="preserve">Competitive market dynamics </w:t>
      </w:r>
      <w:r w:rsidR="003914F6">
        <w:rPr>
          <w:rFonts w:ascii="Times New Roman" w:hAnsi="Times New Roman"/>
          <w:sz w:val="24"/>
          <w:szCs w:val="24"/>
        </w:rPr>
        <w:t xml:space="preserve">dictate </w:t>
      </w:r>
      <w:r w:rsidR="00B231DD">
        <w:rPr>
          <w:rFonts w:ascii="Times New Roman" w:hAnsi="Times New Roman"/>
          <w:sz w:val="24"/>
          <w:szCs w:val="24"/>
        </w:rPr>
        <w:t xml:space="preserve">that these assigned customers will be subject to a higher supply rate (as the SCO price will be lower than any retail supplier’s MVR rate).  Moreover, beyond </w:t>
      </w:r>
      <w:r w:rsidR="002260C3">
        <w:rPr>
          <w:rFonts w:ascii="Times New Roman" w:hAnsi="Times New Roman"/>
          <w:sz w:val="24"/>
          <w:szCs w:val="24"/>
        </w:rPr>
        <w:t>transferring</w:t>
      </w:r>
      <w:r w:rsidR="00B231DD">
        <w:rPr>
          <w:rFonts w:ascii="Times New Roman" w:hAnsi="Times New Roman"/>
          <w:sz w:val="24"/>
          <w:szCs w:val="24"/>
        </w:rPr>
        <w:t xml:space="preserve"> </w:t>
      </w:r>
      <w:r>
        <w:rPr>
          <w:rFonts w:ascii="Times New Roman" w:hAnsi="Times New Roman"/>
          <w:sz w:val="24"/>
          <w:szCs w:val="24"/>
        </w:rPr>
        <w:t>a</w:t>
      </w:r>
      <w:r w:rsidR="00B231DD">
        <w:rPr>
          <w:rFonts w:ascii="Times New Roman" w:hAnsi="Times New Roman"/>
          <w:sz w:val="24"/>
          <w:szCs w:val="24"/>
        </w:rPr>
        <w:t>n enormous</w:t>
      </w:r>
      <w:r>
        <w:rPr>
          <w:rFonts w:ascii="Times New Roman" w:hAnsi="Times New Roman"/>
          <w:sz w:val="24"/>
          <w:szCs w:val="24"/>
        </w:rPr>
        <w:t xml:space="preserve"> </w:t>
      </w:r>
      <w:r w:rsidR="00B231DD">
        <w:rPr>
          <w:rFonts w:ascii="Times New Roman" w:hAnsi="Times New Roman"/>
          <w:sz w:val="24"/>
          <w:szCs w:val="24"/>
        </w:rPr>
        <w:t>amount</w:t>
      </w:r>
      <w:r>
        <w:rPr>
          <w:rFonts w:ascii="Times New Roman" w:hAnsi="Times New Roman"/>
          <w:sz w:val="24"/>
          <w:szCs w:val="24"/>
        </w:rPr>
        <w:t xml:space="preserve"> of customers </w:t>
      </w:r>
      <w:r w:rsidR="00B231DD">
        <w:rPr>
          <w:rFonts w:ascii="Times New Roman" w:hAnsi="Times New Roman"/>
          <w:sz w:val="24"/>
          <w:szCs w:val="24"/>
        </w:rPr>
        <w:t>to a higher rate</w:t>
      </w:r>
      <w:r>
        <w:rPr>
          <w:rFonts w:ascii="Times New Roman" w:hAnsi="Times New Roman"/>
          <w:sz w:val="24"/>
          <w:szCs w:val="24"/>
        </w:rPr>
        <w:t xml:space="preserve"> without </w:t>
      </w:r>
      <w:r w:rsidR="00B231DD">
        <w:rPr>
          <w:rFonts w:ascii="Times New Roman" w:hAnsi="Times New Roman"/>
          <w:sz w:val="24"/>
          <w:szCs w:val="24"/>
        </w:rPr>
        <w:t>these customers’</w:t>
      </w:r>
      <w:r>
        <w:rPr>
          <w:rFonts w:ascii="Times New Roman" w:hAnsi="Times New Roman"/>
          <w:sz w:val="24"/>
          <w:szCs w:val="24"/>
        </w:rPr>
        <w:t xml:space="preserve"> </w:t>
      </w:r>
      <w:r w:rsidRPr="00D541E2">
        <w:rPr>
          <w:rFonts w:ascii="Times New Roman" w:hAnsi="Times New Roman"/>
          <w:sz w:val="24"/>
          <w:szCs w:val="24"/>
        </w:rPr>
        <w:t>consent</w:t>
      </w:r>
      <w:r>
        <w:rPr>
          <w:rFonts w:ascii="Times New Roman" w:hAnsi="Times New Roman"/>
          <w:sz w:val="24"/>
          <w:szCs w:val="24"/>
        </w:rPr>
        <w:t xml:space="preserve">, </w:t>
      </w:r>
      <w:r>
        <w:rPr>
          <w:rFonts w:ascii="Times New Roman" w:hAnsi="Times New Roman"/>
          <w:sz w:val="24"/>
          <w:szCs w:val="24"/>
        </w:rPr>
        <w:lastRenderedPageBreak/>
        <w:t>the Commission would no longer have any regulatory oversight of gas supply prices for Choice customers.</w:t>
      </w:r>
    </w:p>
    <w:p w:rsidR="00053086" w:rsidRPr="0038133C" w:rsidRDefault="00053086" w:rsidP="00DB1C73">
      <w:pPr>
        <w:spacing w:after="0" w:line="480" w:lineRule="auto"/>
        <w:jc w:val="both"/>
        <w:rPr>
          <w:rFonts w:ascii="Times New Roman" w:hAnsi="Times New Roman"/>
          <w:b/>
          <w:sz w:val="24"/>
          <w:szCs w:val="24"/>
        </w:rPr>
      </w:pPr>
      <w:r w:rsidRPr="0038133C">
        <w:rPr>
          <w:rFonts w:ascii="Times New Roman" w:hAnsi="Times New Roman"/>
          <w:b/>
          <w:sz w:val="24"/>
          <w:szCs w:val="24"/>
        </w:rPr>
        <w:t>Q.</w:t>
      </w:r>
      <w:r w:rsidRPr="0038133C">
        <w:rPr>
          <w:rFonts w:ascii="Times New Roman" w:hAnsi="Times New Roman"/>
          <w:b/>
          <w:sz w:val="24"/>
          <w:szCs w:val="24"/>
        </w:rPr>
        <w:tab/>
      </w:r>
      <w:r w:rsidR="00D9214C">
        <w:rPr>
          <w:rFonts w:ascii="Times New Roman" w:hAnsi="Times New Roman"/>
          <w:b/>
          <w:sz w:val="24"/>
          <w:szCs w:val="24"/>
        </w:rPr>
        <w:t>Are there benefits</w:t>
      </w:r>
      <w:r w:rsidRPr="0038133C">
        <w:rPr>
          <w:rFonts w:ascii="Times New Roman" w:hAnsi="Times New Roman"/>
          <w:b/>
          <w:sz w:val="24"/>
          <w:szCs w:val="24"/>
        </w:rPr>
        <w:t xml:space="preserve"> to having the SCO auction continue for residential customers even at shopping levels of 70%?</w:t>
      </w:r>
    </w:p>
    <w:p w:rsidR="00053086" w:rsidRDefault="00053086" w:rsidP="00DB1C73">
      <w:pPr>
        <w:spacing w:after="0" w:line="48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The SCO auction is a proven benchmark from which residential customers (and the Commission) can </w:t>
      </w:r>
      <w:r w:rsidR="0091509B">
        <w:rPr>
          <w:rFonts w:ascii="Times New Roman" w:hAnsi="Times New Roman"/>
          <w:sz w:val="24"/>
          <w:szCs w:val="24"/>
        </w:rPr>
        <w:t>vet</w:t>
      </w:r>
      <w:r>
        <w:rPr>
          <w:rFonts w:ascii="Times New Roman" w:hAnsi="Times New Roman"/>
          <w:sz w:val="24"/>
          <w:szCs w:val="24"/>
        </w:rPr>
        <w:t xml:space="preserve"> supp</w:t>
      </w:r>
      <w:r w:rsidR="00AF0B50">
        <w:rPr>
          <w:rFonts w:ascii="Times New Roman" w:hAnsi="Times New Roman"/>
          <w:sz w:val="24"/>
          <w:szCs w:val="24"/>
        </w:rPr>
        <w:t xml:space="preserve">liers’ offerings.  In fact, SCO service </w:t>
      </w:r>
      <w:r w:rsidR="002260C3">
        <w:rPr>
          <w:rFonts w:ascii="Times New Roman" w:hAnsi="Times New Roman"/>
          <w:sz w:val="24"/>
          <w:szCs w:val="24"/>
        </w:rPr>
        <w:t>has proved to be the lowest-</w:t>
      </w:r>
      <w:r>
        <w:rPr>
          <w:rFonts w:ascii="Times New Roman" w:hAnsi="Times New Roman"/>
          <w:sz w:val="24"/>
          <w:szCs w:val="24"/>
        </w:rPr>
        <w:t xml:space="preserve">cost option for residential customers.  </w:t>
      </w:r>
      <w:r w:rsidR="00821E07">
        <w:rPr>
          <w:rFonts w:ascii="Times New Roman" w:hAnsi="Times New Roman"/>
          <w:sz w:val="24"/>
          <w:szCs w:val="24"/>
        </w:rPr>
        <w:t xml:space="preserve">As shown </w:t>
      </w:r>
      <w:r w:rsidR="006A5901">
        <w:rPr>
          <w:rFonts w:ascii="Times New Roman" w:hAnsi="Times New Roman"/>
          <w:sz w:val="24"/>
          <w:szCs w:val="24"/>
        </w:rPr>
        <w:t xml:space="preserve">in </w:t>
      </w:r>
      <w:r w:rsidR="009B55E5">
        <w:rPr>
          <w:rFonts w:ascii="Times New Roman" w:hAnsi="Times New Roman"/>
          <w:sz w:val="24"/>
          <w:szCs w:val="24"/>
        </w:rPr>
        <w:t xml:space="preserve">COH’s response to </w:t>
      </w:r>
      <w:r w:rsidR="006A5901">
        <w:rPr>
          <w:rFonts w:ascii="Times New Roman" w:hAnsi="Times New Roman"/>
          <w:sz w:val="24"/>
          <w:szCs w:val="24"/>
        </w:rPr>
        <w:t xml:space="preserve">the Office of Consumers’ Counsel Request for Production of Documents No. 65 </w:t>
      </w:r>
      <w:r w:rsidR="009B55E5">
        <w:rPr>
          <w:rFonts w:ascii="Times New Roman" w:hAnsi="Times New Roman"/>
          <w:sz w:val="24"/>
          <w:szCs w:val="24"/>
        </w:rPr>
        <w:t>(</w:t>
      </w:r>
      <w:r w:rsidR="00821E07">
        <w:rPr>
          <w:rFonts w:ascii="Times New Roman" w:hAnsi="Times New Roman"/>
          <w:sz w:val="24"/>
          <w:szCs w:val="24"/>
        </w:rPr>
        <w:t xml:space="preserve">Exhibit OM – </w:t>
      </w:r>
      <w:r w:rsidR="006A5901">
        <w:rPr>
          <w:rFonts w:ascii="Times New Roman" w:hAnsi="Times New Roman"/>
          <w:sz w:val="24"/>
          <w:szCs w:val="24"/>
        </w:rPr>
        <w:t>4</w:t>
      </w:r>
      <w:r w:rsidR="009B55E5">
        <w:rPr>
          <w:rFonts w:ascii="Times New Roman" w:hAnsi="Times New Roman"/>
          <w:sz w:val="24"/>
          <w:szCs w:val="24"/>
        </w:rPr>
        <w:t>)</w:t>
      </w:r>
      <w:r w:rsidR="00821E07">
        <w:rPr>
          <w:rFonts w:ascii="Times New Roman" w:hAnsi="Times New Roman"/>
          <w:sz w:val="24"/>
          <w:szCs w:val="24"/>
        </w:rPr>
        <w:t xml:space="preserve">, </w:t>
      </w:r>
      <w:r w:rsidR="009B55E5">
        <w:rPr>
          <w:rFonts w:ascii="Times New Roman" w:hAnsi="Times New Roman"/>
          <w:sz w:val="24"/>
          <w:szCs w:val="24"/>
        </w:rPr>
        <w:t>s</w:t>
      </w:r>
      <w:r w:rsidR="00C23C66">
        <w:rPr>
          <w:rFonts w:ascii="Times New Roman" w:hAnsi="Times New Roman"/>
          <w:sz w:val="24"/>
          <w:szCs w:val="24"/>
        </w:rPr>
        <w:t xml:space="preserve">ince the initiation of the SSO in April 2010, COH’s Shadow Bill data demonstrates that, on a monthly basis, Choice customers </w:t>
      </w:r>
      <w:r w:rsidR="00233DF5">
        <w:rPr>
          <w:rFonts w:ascii="Times New Roman" w:hAnsi="Times New Roman"/>
          <w:sz w:val="24"/>
          <w:szCs w:val="24"/>
        </w:rPr>
        <w:t xml:space="preserve">(in the aggregate) </w:t>
      </w:r>
      <w:r w:rsidR="00C23C66">
        <w:rPr>
          <w:rFonts w:ascii="Times New Roman" w:hAnsi="Times New Roman"/>
          <w:sz w:val="24"/>
          <w:szCs w:val="24"/>
        </w:rPr>
        <w:t xml:space="preserve">paid more than $300 million over the SSO/SCO price.  During that time </w:t>
      </w:r>
      <w:r w:rsidR="00AF0B50">
        <w:rPr>
          <w:rFonts w:ascii="Times New Roman" w:hAnsi="Times New Roman"/>
          <w:sz w:val="24"/>
          <w:szCs w:val="24"/>
        </w:rPr>
        <w:t>period</w:t>
      </w:r>
      <w:r w:rsidR="00C23C66">
        <w:rPr>
          <w:rFonts w:ascii="Times New Roman" w:hAnsi="Times New Roman"/>
          <w:sz w:val="24"/>
          <w:szCs w:val="24"/>
        </w:rPr>
        <w:t xml:space="preserve">, </w:t>
      </w:r>
      <w:r w:rsidR="00B849CC">
        <w:rPr>
          <w:rFonts w:ascii="Times New Roman" w:hAnsi="Times New Roman"/>
          <w:sz w:val="24"/>
          <w:szCs w:val="24"/>
        </w:rPr>
        <w:t xml:space="preserve">it is my understanding that </w:t>
      </w:r>
      <w:r w:rsidR="00C23C66">
        <w:rPr>
          <w:rFonts w:ascii="Times New Roman" w:hAnsi="Times New Roman"/>
          <w:sz w:val="24"/>
          <w:szCs w:val="24"/>
        </w:rPr>
        <w:t xml:space="preserve">there was not one month where Choice customers (in the aggregate) paid less than the SCO price.  </w:t>
      </w:r>
      <w:r>
        <w:rPr>
          <w:rFonts w:ascii="Times New Roman" w:hAnsi="Times New Roman"/>
          <w:sz w:val="24"/>
          <w:szCs w:val="24"/>
        </w:rPr>
        <w:t>The SCO’s low price is intuitive given the fact that when COH aggregates the large number of Choice customers</w:t>
      </w:r>
      <w:r w:rsidR="00D91CEE">
        <w:rPr>
          <w:rFonts w:ascii="Times New Roman" w:hAnsi="Times New Roman"/>
          <w:sz w:val="24"/>
          <w:szCs w:val="24"/>
        </w:rPr>
        <w:t xml:space="preserve"> that have </w:t>
      </w:r>
      <w:r w:rsidR="00B849CC">
        <w:rPr>
          <w:rFonts w:ascii="Times New Roman" w:hAnsi="Times New Roman"/>
          <w:sz w:val="24"/>
          <w:szCs w:val="24"/>
        </w:rPr>
        <w:t>elected SCO service</w:t>
      </w:r>
      <w:r>
        <w:rPr>
          <w:rFonts w:ascii="Times New Roman" w:hAnsi="Times New Roman"/>
          <w:sz w:val="24"/>
          <w:szCs w:val="24"/>
        </w:rPr>
        <w:t xml:space="preserve">, the </w:t>
      </w:r>
      <w:r w:rsidR="00B849CC">
        <w:rPr>
          <w:rFonts w:ascii="Times New Roman" w:hAnsi="Times New Roman"/>
          <w:sz w:val="24"/>
          <w:szCs w:val="24"/>
        </w:rPr>
        <w:t>suppliers bid</w:t>
      </w:r>
      <w:r>
        <w:rPr>
          <w:rFonts w:ascii="Times New Roman" w:hAnsi="Times New Roman"/>
          <w:sz w:val="24"/>
          <w:szCs w:val="24"/>
        </w:rPr>
        <w:t xml:space="preserve"> on the </w:t>
      </w:r>
      <w:r w:rsidR="005C7180">
        <w:rPr>
          <w:rFonts w:ascii="Times New Roman" w:hAnsi="Times New Roman"/>
          <w:sz w:val="24"/>
          <w:szCs w:val="24"/>
        </w:rPr>
        <w:t xml:space="preserve">fixed basis component </w:t>
      </w:r>
      <w:r w:rsidR="002260C3">
        <w:rPr>
          <w:rFonts w:ascii="Times New Roman" w:hAnsi="Times New Roman"/>
          <w:sz w:val="24"/>
          <w:szCs w:val="24"/>
        </w:rPr>
        <w:t>at</w:t>
      </w:r>
      <w:r>
        <w:rPr>
          <w:rFonts w:ascii="Times New Roman" w:hAnsi="Times New Roman"/>
          <w:sz w:val="24"/>
          <w:szCs w:val="24"/>
        </w:rPr>
        <w:t xml:space="preserve"> a wholesale </w:t>
      </w:r>
      <w:r w:rsidR="005C7180">
        <w:rPr>
          <w:rFonts w:ascii="Times New Roman" w:hAnsi="Times New Roman"/>
          <w:sz w:val="24"/>
          <w:szCs w:val="24"/>
        </w:rPr>
        <w:t>level</w:t>
      </w:r>
      <w:r>
        <w:rPr>
          <w:rFonts w:ascii="Times New Roman" w:hAnsi="Times New Roman"/>
          <w:sz w:val="24"/>
          <w:szCs w:val="24"/>
        </w:rPr>
        <w:t xml:space="preserve">.  </w:t>
      </w:r>
      <w:r w:rsidR="002260C3">
        <w:rPr>
          <w:rFonts w:ascii="Times New Roman" w:hAnsi="Times New Roman"/>
          <w:sz w:val="24"/>
          <w:szCs w:val="24"/>
        </w:rPr>
        <w:t>I</w:t>
      </w:r>
      <w:r w:rsidR="005C7180">
        <w:rPr>
          <w:rFonts w:ascii="Times New Roman" w:hAnsi="Times New Roman"/>
          <w:sz w:val="24"/>
          <w:szCs w:val="24"/>
        </w:rPr>
        <w:t xml:space="preserve">t is </w:t>
      </w:r>
      <w:r w:rsidR="00E72B4D">
        <w:rPr>
          <w:rFonts w:ascii="Times New Roman" w:hAnsi="Times New Roman"/>
          <w:sz w:val="24"/>
          <w:szCs w:val="24"/>
        </w:rPr>
        <w:t>extraordinarily difficult</w:t>
      </w:r>
      <w:r w:rsidR="005C7180">
        <w:rPr>
          <w:rFonts w:ascii="Times New Roman" w:hAnsi="Times New Roman"/>
          <w:sz w:val="24"/>
          <w:szCs w:val="24"/>
        </w:rPr>
        <w:t xml:space="preserve"> for retail suppliers to compete against the SCO price on a straight </w:t>
      </w:r>
      <w:r w:rsidR="001C2891">
        <w:rPr>
          <w:rFonts w:ascii="Times New Roman" w:hAnsi="Times New Roman"/>
          <w:sz w:val="24"/>
          <w:szCs w:val="24"/>
        </w:rPr>
        <w:t>cost basis</w:t>
      </w:r>
      <w:r w:rsidR="002260C3">
        <w:rPr>
          <w:rFonts w:ascii="Times New Roman" w:hAnsi="Times New Roman"/>
          <w:sz w:val="24"/>
          <w:szCs w:val="24"/>
        </w:rPr>
        <w:t xml:space="preserve"> </w:t>
      </w:r>
      <w:r w:rsidR="00E72B4D">
        <w:rPr>
          <w:rFonts w:ascii="Times New Roman" w:hAnsi="Times New Roman"/>
          <w:sz w:val="24"/>
          <w:szCs w:val="24"/>
        </w:rPr>
        <w:t>because</w:t>
      </w:r>
      <w:r w:rsidR="002260C3">
        <w:rPr>
          <w:rFonts w:ascii="Times New Roman" w:hAnsi="Times New Roman"/>
          <w:sz w:val="24"/>
          <w:szCs w:val="24"/>
        </w:rPr>
        <w:t xml:space="preserve"> the SCO program allows suppliers to bid on a huge pool of customers at one time</w:t>
      </w:r>
      <w:r w:rsidR="008151E0">
        <w:rPr>
          <w:rFonts w:ascii="Times New Roman" w:hAnsi="Times New Roman"/>
          <w:sz w:val="24"/>
          <w:szCs w:val="24"/>
        </w:rPr>
        <w:t xml:space="preserve"> and optimize upstream assets for that large, quantifiable group of customers</w:t>
      </w:r>
      <w:r w:rsidR="00884B29">
        <w:rPr>
          <w:rFonts w:ascii="Times New Roman" w:hAnsi="Times New Roman"/>
          <w:sz w:val="24"/>
          <w:szCs w:val="24"/>
        </w:rPr>
        <w:t>.</w:t>
      </w:r>
      <w:r w:rsidR="008151E0">
        <w:rPr>
          <w:rFonts w:ascii="Times New Roman" w:hAnsi="Times New Roman"/>
          <w:sz w:val="24"/>
          <w:szCs w:val="24"/>
        </w:rPr>
        <w:t xml:space="preserve">. </w:t>
      </w:r>
      <w:r w:rsidR="002260C3">
        <w:rPr>
          <w:rFonts w:ascii="Times New Roman" w:hAnsi="Times New Roman"/>
          <w:sz w:val="24"/>
          <w:szCs w:val="24"/>
        </w:rPr>
        <w:t xml:space="preserve"> </w:t>
      </w:r>
    </w:p>
    <w:p w:rsidR="002260C3" w:rsidRDefault="002260C3" w:rsidP="00A42F9C">
      <w:pPr>
        <w:spacing w:after="0" w:line="480" w:lineRule="auto"/>
        <w:ind w:firstLine="720"/>
        <w:jc w:val="both"/>
        <w:rPr>
          <w:rFonts w:ascii="Times New Roman" w:hAnsi="Times New Roman"/>
          <w:sz w:val="24"/>
          <w:szCs w:val="24"/>
        </w:rPr>
      </w:pPr>
      <w:r>
        <w:rPr>
          <w:rFonts w:ascii="Times New Roman" w:hAnsi="Times New Roman"/>
          <w:sz w:val="24"/>
          <w:szCs w:val="24"/>
        </w:rPr>
        <w:t>Besides representing the lowest-</w:t>
      </w:r>
      <w:r w:rsidR="005C7180">
        <w:rPr>
          <w:rFonts w:ascii="Times New Roman" w:hAnsi="Times New Roman"/>
          <w:sz w:val="24"/>
          <w:szCs w:val="24"/>
        </w:rPr>
        <w:t xml:space="preserve">cost alternative for </w:t>
      </w:r>
      <w:r>
        <w:rPr>
          <w:rFonts w:ascii="Times New Roman" w:hAnsi="Times New Roman"/>
          <w:sz w:val="24"/>
          <w:szCs w:val="24"/>
        </w:rPr>
        <w:t>residential</w:t>
      </w:r>
      <w:r w:rsidR="005C7180">
        <w:rPr>
          <w:rFonts w:ascii="Times New Roman" w:hAnsi="Times New Roman"/>
          <w:sz w:val="24"/>
          <w:szCs w:val="24"/>
        </w:rPr>
        <w:t xml:space="preserve"> customers, t</w:t>
      </w:r>
      <w:r w:rsidR="00053086">
        <w:rPr>
          <w:rFonts w:ascii="Times New Roman" w:hAnsi="Times New Roman"/>
          <w:sz w:val="24"/>
          <w:szCs w:val="24"/>
        </w:rPr>
        <w:t xml:space="preserve">he SCO provides transparency throughout the competitive market place for the residential customers to evaluate various supply offerings.  Without the SCO, retail competition can still be robust, but it will be at a higher </w:t>
      </w:r>
      <w:r w:rsidR="003914F6">
        <w:rPr>
          <w:rFonts w:ascii="Times New Roman" w:hAnsi="Times New Roman"/>
          <w:sz w:val="24"/>
          <w:szCs w:val="24"/>
        </w:rPr>
        <w:t xml:space="preserve">price </w:t>
      </w:r>
      <w:r w:rsidR="00053086">
        <w:rPr>
          <w:rFonts w:ascii="Times New Roman" w:hAnsi="Times New Roman"/>
          <w:sz w:val="24"/>
          <w:szCs w:val="24"/>
        </w:rPr>
        <w:t xml:space="preserve">than it would with the SCO in place.    </w:t>
      </w:r>
    </w:p>
    <w:p w:rsidR="00E67D08" w:rsidRDefault="00053086" w:rsidP="00A42F9C">
      <w:pPr>
        <w:spacing w:after="0" w:line="480" w:lineRule="auto"/>
        <w:ind w:firstLine="720"/>
        <w:jc w:val="both"/>
        <w:rPr>
          <w:rFonts w:ascii="Times New Roman" w:hAnsi="Times New Roman"/>
          <w:sz w:val="24"/>
          <w:szCs w:val="24"/>
        </w:rPr>
      </w:pPr>
      <w:r>
        <w:rPr>
          <w:rFonts w:ascii="Times New Roman" w:hAnsi="Times New Roman"/>
          <w:sz w:val="24"/>
          <w:szCs w:val="24"/>
        </w:rPr>
        <w:t xml:space="preserve">Opponents will </w:t>
      </w:r>
      <w:r w:rsidR="002260C3">
        <w:rPr>
          <w:rFonts w:ascii="Times New Roman" w:hAnsi="Times New Roman"/>
          <w:sz w:val="24"/>
          <w:szCs w:val="24"/>
        </w:rPr>
        <w:t>dispute this fact by arguing</w:t>
      </w:r>
      <w:r>
        <w:rPr>
          <w:rFonts w:ascii="Times New Roman" w:hAnsi="Times New Roman"/>
          <w:sz w:val="24"/>
          <w:szCs w:val="24"/>
        </w:rPr>
        <w:t xml:space="preserve"> that, by eliminating the SCO, the Commission would simply be removing one of over 50 </w:t>
      </w:r>
      <w:r w:rsidR="005C7180">
        <w:rPr>
          <w:rFonts w:ascii="Times New Roman" w:hAnsi="Times New Roman"/>
          <w:sz w:val="24"/>
          <w:szCs w:val="24"/>
        </w:rPr>
        <w:t>retail suppliers from the market --</w:t>
      </w:r>
      <w:r>
        <w:rPr>
          <w:rFonts w:ascii="Times New Roman" w:hAnsi="Times New Roman"/>
          <w:sz w:val="24"/>
          <w:szCs w:val="24"/>
        </w:rPr>
        <w:t xml:space="preserve"> hardly </w:t>
      </w:r>
      <w:r>
        <w:rPr>
          <w:rFonts w:ascii="Times New Roman" w:hAnsi="Times New Roman"/>
          <w:sz w:val="24"/>
          <w:szCs w:val="24"/>
        </w:rPr>
        <w:lastRenderedPageBreak/>
        <w:t xml:space="preserve">a “game changer” for the </w:t>
      </w:r>
      <w:r w:rsidR="001C2891">
        <w:rPr>
          <w:rFonts w:ascii="Times New Roman" w:hAnsi="Times New Roman"/>
          <w:sz w:val="24"/>
          <w:szCs w:val="24"/>
        </w:rPr>
        <w:t xml:space="preserve">retail </w:t>
      </w:r>
      <w:r>
        <w:rPr>
          <w:rFonts w:ascii="Times New Roman" w:hAnsi="Times New Roman"/>
          <w:sz w:val="24"/>
          <w:szCs w:val="24"/>
        </w:rPr>
        <w:t>market place.  However, the SCO auction is not just one of many similarly-situated suppliers in the market</w:t>
      </w:r>
      <w:r w:rsidR="002260C3">
        <w:rPr>
          <w:rFonts w:ascii="Times New Roman" w:hAnsi="Times New Roman"/>
          <w:sz w:val="24"/>
          <w:szCs w:val="24"/>
        </w:rPr>
        <w:t>;</w:t>
      </w:r>
      <w:r>
        <w:rPr>
          <w:rFonts w:ascii="Times New Roman" w:hAnsi="Times New Roman"/>
          <w:sz w:val="24"/>
          <w:szCs w:val="24"/>
        </w:rPr>
        <w:t xml:space="preserve"> it is </w:t>
      </w:r>
      <w:r>
        <w:rPr>
          <w:rFonts w:ascii="Times New Roman" w:hAnsi="Times New Roman"/>
          <w:i/>
          <w:sz w:val="24"/>
          <w:szCs w:val="24"/>
        </w:rPr>
        <w:t xml:space="preserve">the </w:t>
      </w:r>
      <w:r>
        <w:rPr>
          <w:rFonts w:ascii="Times New Roman" w:hAnsi="Times New Roman"/>
          <w:sz w:val="24"/>
          <w:szCs w:val="24"/>
        </w:rPr>
        <w:t>lowest</w:t>
      </w:r>
      <w:r w:rsidR="002260C3">
        <w:rPr>
          <w:rFonts w:ascii="Times New Roman" w:hAnsi="Times New Roman"/>
          <w:sz w:val="24"/>
          <w:szCs w:val="24"/>
        </w:rPr>
        <w:t>-</w:t>
      </w:r>
      <w:r>
        <w:rPr>
          <w:rFonts w:ascii="Times New Roman" w:hAnsi="Times New Roman"/>
          <w:sz w:val="24"/>
          <w:szCs w:val="24"/>
        </w:rPr>
        <w:t>cost alternative for residential customers who wish to take service under a monthly variable rate</w:t>
      </w:r>
      <w:r w:rsidR="003914F6">
        <w:rPr>
          <w:rFonts w:ascii="Times New Roman" w:hAnsi="Times New Roman"/>
          <w:sz w:val="24"/>
          <w:szCs w:val="24"/>
        </w:rPr>
        <w:t xml:space="preserve"> </w:t>
      </w:r>
      <w:r w:rsidR="001C2891">
        <w:rPr>
          <w:rFonts w:ascii="Times New Roman" w:hAnsi="Times New Roman"/>
          <w:sz w:val="24"/>
          <w:szCs w:val="24"/>
        </w:rPr>
        <w:t>(</w:t>
      </w:r>
      <w:r w:rsidR="003914F6">
        <w:rPr>
          <w:rFonts w:ascii="Times New Roman" w:hAnsi="Times New Roman"/>
          <w:sz w:val="24"/>
          <w:szCs w:val="24"/>
        </w:rPr>
        <w:t xml:space="preserve">and the </w:t>
      </w:r>
      <w:r w:rsidR="00C75F2B">
        <w:rPr>
          <w:rFonts w:ascii="Times New Roman" w:hAnsi="Times New Roman"/>
          <w:sz w:val="24"/>
          <w:szCs w:val="24"/>
        </w:rPr>
        <w:t>supply option</w:t>
      </w:r>
      <w:r w:rsidR="003914F6">
        <w:rPr>
          <w:rFonts w:ascii="Times New Roman" w:hAnsi="Times New Roman"/>
          <w:sz w:val="24"/>
          <w:szCs w:val="24"/>
        </w:rPr>
        <w:t xml:space="preserve"> with </w:t>
      </w:r>
      <w:r w:rsidR="00C75F2B">
        <w:rPr>
          <w:rFonts w:ascii="Times New Roman" w:hAnsi="Times New Roman"/>
          <w:sz w:val="24"/>
          <w:szCs w:val="24"/>
        </w:rPr>
        <w:t>which</w:t>
      </w:r>
      <w:r w:rsidR="003914F6">
        <w:rPr>
          <w:rFonts w:ascii="Times New Roman" w:hAnsi="Times New Roman"/>
          <w:sz w:val="24"/>
          <w:szCs w:val="24"/>
        </w:rPr>
        <w:t xml:space="preserve"> they are most familiar</w:t>
      </w:r>
      <w:r w:rsidR="001C2891">
        <w:rPr>
          <w:rFonts w:ascii="Times New Roman" w:hAnsi="Times New Roman"/>
          <w:sz w:val="24"/>
          <w:szCs w:val="24"/>
        </w:rPr>
        <w:t>)</w:t>
      </w:r>
      <w:r>
        <w:rPr>
          <w:rFonts w:ascii="Times New Roman" w:hAnsi="Times New Roman"/>
          <w:sz w:val="24"/>
          <w:szCs w:val="24"/>
        </w:rPr>
        <w:t xml:space="preserve">.  </w:t>
      </w:r>
    </w:p>
    <w:p w:rsidR="008C283F" w:rsidRDefault="0049005F" w:rsidP="00A42F9C">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w:t>
      </w:r>
      <w:r w:rsidR="00F35898">
        <w:rPr>
          <w:rFonts w:ascii="Times New Roman" w:hAnsi="Times New Roman"/>
          <w:sz w:val="24"/>
          <w:szCs w:val="24"/>
        </w:rPr>
        <w:t xml:space="preserve">OGMG and RESA (“Residential </w:t>
      </w:r>
      <w:r>
        <w:rPr>
          <w:rFonts w:ascii="Times New Roman" w:hAnsi="Times New Roman"/>
          <w:sz w:val="24"/>
          <w:szCs w:val="24"/>
        </w:rPr>
        <w:t>Suppliers</w:t>
      </w:r>
      <w:r w:rsidR="00F35898">
        <w:rPr>
          <w:rFonts w:ascii="Times New Roman" w:hAnsi="Times New Roman"/>
          <w:sz w:val="24"/>
          <w:szCs w:val="24"/>
        </w:rPr>
        <w:t>”)</w:t>
      </w:r>
      <w:r w:rsidR="00E67D08">
        <w:rPr>
          <w:rFonts w:ascii="Times New Roman" w:hAnsi="Times New Roman"/>
          <w:sz w:val="24"/>
          <w:szCs w:val="24"/>
        </w:rPr>
        <w:t xml:space="preserve"> also argue that by taking SCO service and not taking service from a retail supplier, an SCO customer is not engaged in the retail natural gas market.  </w:t>
      </w:r>
      <w:r w:rsidR="00D1449F">
        <w:rPr>
          <w:rFonts w:ascii="Times New Roman" w:hAnsi="Times New Roman"/>
          <w:sz w:val="24"/>
          <w:szCs w:val="24"/>
        </w:rPr>
        <w:t>Residential Suppliers’ witness Parisi states in his</w:t>
      </w:r>
      <w:r w:rsidR="005E6E98">
        <w:rPr>
          <w:rFonts w:ascii="Times New Roman" w:hAnsi="Times New Roman"/>
          <w:sz w:val="24"/>
          <w:szCs w:val="24"/>
        </w:rPr>
        <w:t xml:space="preserve"> initial</w:t>
      </w:r>
      <w:r w:rsidR="00D1449F">
        <w:rPr>
          <w:rFonts w:ascii="Times New Roman" w:hAnsi="Times New Roman"/>
          <w:sz w:val="24"/>
          <w:szCs w:val="24"/>
        </w:rPr>
        <w:t xml:space="preserve"> testimony (pages 6-8) that </w:t>
      </w:r>
      <w:r>
        <w:rPr>
          <w:rFonts w:ascii="Times New Roman" w:hAnsi="Times New Roman"/>
          <w:sz w:val="24"/>
          <w:szCs w:val="24"/>
        </w:rPr>
        <w:t>“</w:t>
      </w:r>
      <w:r w:rsidR="00D1449F">
        <w:rPr>
          <w:rFonts w:ascii="Times New Roman" w:hAnsi="Times New Roman"/>
          <w:sz w:val="24"/>
          <w:szCs w:val="24"/>
        </w:rPr>
        <w:t>i</w:t>
      </w:r>
      <w:r>
        <w:rPr>
          <w:rFonts w:ascii="Times New Roman" w:hAnsi="Times New Roman"/>
          <w:sz w:val="24"/>
          <w:szCs w:val="24"/>
        </w:rPr>
        <w:t xml:space="preserve">nactivity” </w:t>
      </w:r>
      <w:r w:rsidR="008C283F">
        <w:rPr>
          <w:rFonts w:ascii="Times New Roman" w:hAnsi="Times New Roman"/>
          <w:sz w:val="24"/>
          <w:szCs w:val="24"/>
        </w:rPr>
        <w:t xml:space="preserve">or “passivity” </w:t>
      </w:r>
      <w:r w:rsidR="00D1449F">
        <w:rPr>
          <w:rFonts w:ascii="Times New Roman" w:hAnsi="Times New Roman"/>
          <w:sz w:val="24"/>
          <w:szCs w:val="24"/>
        </w:rPr>
        <w:t>(</w:t>
      </w:r>
      <w:r>
        <w:rPr>
          <w:rFonts w:ascii="Times New Roman" w:hAnsi="Times New Roman"/>
          <w:sz w:val="24"/>
          <w:szCs w:val="24"/>
        </w:rPr>
        <w:t xml:space="preserve">as the </w:t>
      </w:r>
      <w:r w:rsidR="00F35898">
        <w:rPr>
          <w:rFonts w:ascii="Times New Roman" w:hAnsi="Times New Roman"/>
          <w:sz w:val="24"/>
          <w:szCs w:val="24"/>
        </w:rPr>
        <w:t xml:space="preserve">Residential Suppliers </w:t>
      </w:r>
      <w:r>
        <w:rPr>
          <w:rFonts w:ascii="Times New Roman" w:hAnsi="Times New Roman"/>
          <w:sz w:val="24"/>
          <w:szCs w:val="24"/>
        </w:rPr>
        <w:t xml:space="preserve">put </w:t>
      </w:r>
      <w:r w:rsidR="00D9214C">
        <w:rPr>
          <w:rFonts w:ascii="Times New Roman" w:hAnsi="Times New Roman"/>
          <w:sz w:val="24"/>
          <w:szCs w:val="24"/>
        </w:rPr>
        <w:t>it</w:t>
      </w:r>
      <w:r w:rsidR="00D1449F">
        <w:rPr>
          <w:rFonts w:ascii="Times New Roman" w:hAnsi="Times New Roman"/>
          <w:sz w:val="24"/>
          <w:szCs w:val="24"/>
        </w:rPr>
        <w:t>)</w:t>
      </w:r>
      <w:r>
        <w:rPr>
          <w:rFonts w:ascii="Times New Roman" w:hAnsi="Times New Roman"/>
          <w:sz w:val="24"/>
          <w:szCs w:val="24"/>
        </w:rPr>
        <w:t xml:space="preserve"> is inconsistent with the State’s policy to build a framework where retail customers “</w:t>
      </w:r>
      <w:r w:rsidRPr="00D9214C">
        <w:rPr>
          <w:rFonts w:ascii="Times New Roman" w:hAnsi="Times New Roman"/>
          <w:sz w:val="24"/>
          <w:szCs w:val="24"/>
        </w:rPr>
        <w:t>can</w:t>
      </w:r>
      <w:r>
        <w:rPr>
          <w:rFonts w:ascii="Times New Roman" w:hAnsi="Times New Roman"/>
          <w:sz w:val="24"/>
          <w:szCs w:val="24"/>
        </w:rPr>
        <w:t xml:space="preserve"> elect the products that meet their respective needs.”  </w:t>
      </w:r>
      <w:r w:rsidR="00E67D08">
        <w:rPr>
          <w:rFonts w:ascii="Times New Roman" w:hAnsi="Times New Roman"/>
          <w:sz w:val="24"/>
          <w:szCs w:val="24"/>
        </w:rPr>
        <w:t xml:space="preserve">I completely disagree with that proposition.  </w:t>
      </w:r>
      <w:r>
        <w:rPr>
          <w:rFonts w:ascii="Times New Roman" w:hAnsi="Times New Roman"/>
          <w:sz w:val="24"/>
          <w:szCs w:val="24"/>
        </w:rPr>
        <w:t xml:space="preserve">The Commission has made significant efforts to develop a framework in COH where customers can elect their natural gas suppliers.  </w:t>
      </w:r>
      <w:r w:rsidR="00D9214C">
        <w:rPr>
          <w:rFonts w:ascii="Times New Roman" w:hAnsi="Times New Roman"/>
          <w:sz w:val="24"/>
          <w:szCs w:val="24"/>
        </w:rPr>
        <w:t>COH’s</w:t>
      </w:r>
      <w:r>
        <w:rPr>
          <w:rFonts w:ascii="Times New Roman" w:hAnsi="Times New Roman"/>
          <w:sz w:val="24"/>
          <w:szCs w:val="24"/>
        </w:rPr>
        <w:t xml:space="preserve"> competitive retail market provides a multitude of options for retail customers to consider</w:t>
      </w:r>
      <w:r w:rsidR="00D9214C">
        <w:rPr>
          <w:rFonts w:ascii="Times New Roman" w:hAnsi="Times New Roman"/>
          <w:sz w:val="24"/>
          <w:szCs w:val="24"/>
        </w:rPr>
        <w:t>, including the SCO option, a competitively-derived monthly variable rate product</w:t>
      </w:r>
      <w:r>
        <w:rPr>
          <w:rFonts w:ascii="Times New Roman" w:hAnsi="Times New Roman"/>
          <w:sz w:val="24"/>
          <w:szCs w:val="24"/>
        </w:rPr>
        <w:t xml:space="preserve">.  </w:t>
      </w:r>
    </w:p>
    <w:p w:rsidR="00053086" w:rsidRDefault="00D9214C" w:rsidP="00A42F9C">
      <w:pPr>
        <w:spacing w:after="0" w:line="480" w:lineRule="auto"/>
        <w:ind w:firstLine="720"/>
        <w:jc w:val="both"/>
        <w:rPr>
          <w:rFonts w:ascii="Times New Roman" w:hAnsi="Times New Roman"/>
          <w:sz w:val="24"/>
          <w:szCs w:val="24"/>
        </w:rPr>
      </w:pPr>
      <w:r>
        <w:rPr>
          <w:rFonts w:ascii="Times New Roman" w:hAnsi="Times New Roman"/>
          <w:sz w:val="24"/>
          <w:szCs w:val="24"/>
        </w:rPr>
        <w:t>One</w:t>
      </w:r>
      <w:r w:rsidR="00E67D08">
        <w:rPr>
          <w:rFonts w:ascii="Times New Roman" w:hAnsi="Times New Roman"/>
          <w:sz w:val="24"/>
          <w:szCs w:val="24"/>
        </w:rPr>
        <w:t xml:space="preserve"> cannot reasonably argue that a customer that has elected to stay on the lowest-cost alternative is not engaged in the market.  Rather, those customers are simply taking advantage of the choice</w:t>
      </w:r>
      <w:r w:rsidR="00B07640">
        <w:rPr>
          <w:rFonts w:ascii="Times New Roman" w:hAnsi="Times New Roman"/>
          <w:sz w:val="24"/>
          <w:szCs w:val="24"/>
        </w:rPr>
        <w:t>s</w:t>
      </w:r>
      <w:r w:rsidR="00E67D08">
        <w:rPr>
          <w:rFonts w:ascii="Times New Roman" w:hAnsi="Times New Roman"/>
          <w:sz w:val="24"/>
          <w:szCs w:val="24"/>
        </w:rPr>
        <w:t xml:space="preserve"> that the </w:t>
      </w:r>
      <w:r w:rsidR="007A4687">
        <w:rPr>
          <w:rFonts w:ascii="Times New Roman" w:hAnsi="Times New Roman"/>
          <w:sz w:val="24"/>
          <w:szCs w:val="24"/>
        </w:rPr>
        <w:t>market has afforded</w:t>
      </w:r>
      <w:r w:rsidR="00E67D08">
        <w:rPr>
          <w:rFonts w:ascii="Times New Roman" w:hAnsi="Times New Roman"/>
          <w:sz w:val="24"/>
          <w:szCs w:val="24"/>
        </w:rPr>
        <w:t xml:space="preserve"> them in selecting their natural gas supplier.</w:t>
      </w:r>
      <w:r w:rsidR="0049005F">
        <w:rPr>
          <w:rFonts w:ascii="Times New Roman" w:hAnsi="Times New Roman"/>
          <w:sz w:val="24"/>
          <w:szCs w:val="24"/>
        </w:rPr>
        <w:t xml:space="preserve">  In the case of SCO customers, they have made the decision to stay on a </w:t>
      </w:r>
      <w:r>
        <w:rPr>
          <w:rFonts w:ascii="Times New Roman" w:hAnsi="Times New Roman"/>
          <w:sz w:val="24"/>
          <w:szCs w:val="24"/>
        </w:rPr>
        <w:t xml:space="preserve">monthly </w:t>
      </w:r>
      <w:r w:rsidR="0049005F">
        <w:rPr>
          <w:rFonts w:ascii="Times New Roman" w:hAnsi="Times New Roman"/>
          <w:sz w:val="24"/>
          <w:szCs w:val="24"/>
        </w:rPr>
        <w:t xml:space="preserve">variable rate that is </w:t>
      </w:r>
      <w:r w:rsidR="009B286F">
        <w:rPr>
          <w:rFonts w:ascii="Times New Roman" w:hAnsi="Times New Roman"/>
          <w:sz w:val="24"/>
          <w:szCs w:val="24"/>
        </w:rPr>
        <w:t xml:space="preserve">uncomplicated and </w:t>
      </w:r>
      <w:r w:rsidR="0049005F">
        <w:rPr>
          <w:rFonts w:ascii="Times New Roman" w:hAnsi="Times New Roman"/>
          <w:sz w:val="24"/>
          <w:szCs w:val="24"/>
        </w:rPr>
        <w:t>stable</w:t>
      </w:r>
      <w:r w:rsidR="009B286F">
        <w:rPr>
          <w:rFonts w:ascii="Times New Roman" w:hAnsi="Times New Roman"/>
          <w:sz w:val="24"/>
          <w:szCs w:val="24"/>
        </w:rPr>
        <w:t>,</w:t>
      </w:r>
      <w:r w:rsidR="0049005F">
        <w:rPr>
          <w:rFonts w:ascii="Times New Roman" w:hAnsi="Times New Roman"/>
          <w:sz w:val="24"/>
          <w:szCs w:val="24"/>
        </w:rPr>
        <w:t xml:space="preserve"> and </w:t>
      </w:r>
      <w:r w:rsidR="009B286F">
        <w:rPr>
          <w:rFonts w:ascii="Times New Roman" w:hAnsi="Times New Roman"/>
          <w:sz w:val="24"/>
          <w:szCs w:val="24"/>
        </w:rPr>
        <w:t>consistently the lowest-cost alternative</w:t>
      </w:r>
      <w:r w:rsidR="0049005F">
        <w:rPr>
          <w:rFonts w:ascii="Times New Roman" w:hAnsi="Times New Roman"/>
          <w:sz w:val="24"/>
          <w:szCs w:val="24"/>
        </w:rPr>
        <w:t xml:space="preserve">.  </w:t>
      </w:r>
      <w:r w:rsidR="00E67D08">
        <w:rPr>
          <w:rFonts w:ascii="Times New Roman" w:hAnsi="Times New Roman"/>
          <w:sz w:val="24"/>
          <w:szCs w:val="24"/>
        </w:rPr>
        <w:t xml:space="preserve">  </w:t>
      </w:r>
      <w:r w:rsidR="009B286F">
        <w:rPr>
          <w:rFonts w:ascii="Times New Roman" w:hAnsi="Times New Roman"/>
          <w:sz w:val="24"/>
          <w:szCs w:val="24"/>
        </w:rPr>
        <w:t>I fail to see how such a common-sense decision demonstrates “disengagement” and “ambivalence</w:t>
      </w:r>
      <w:r w:rsidR="00AC1170">
        <w:rPr>
          <w:rFonts w:ascii="Times New Roman" w:hAnsi="Times New Roman"/>
          <w:sz w:val="24"/>
          <w:szCs w:val="24"/>
        </w:rPr>
        <w:t>,</w:t>
      </w:r>
      <w:r w:rsidR="009B286F">
        <w:rPr>
          <w:rFonts w:ascii="Times New Roman" w:hAnsi="Times New Roman"/>
          <w:sz w:val="24"/>
          <w:szCs w:val="24"/>
        </w:rPr>
        <w:t>”</w:t>
      </w:r>
      <w:r w:rsidR="00AC1170">
        <w:rPr>
          <w:rFonts w:ascii="Times New Roman" w:hAnsi="Times New Roman"/>
          <w:sz w:val="24"/>
          <w:szCs w:val="24"/>
        </w:rPr>
        <w:t xml:space="preserve"> using the words of Residential Suppliers’ witness Parisi (at page 6).</w:t>
      </w:r>
      <w:r w:rsidR="009B286F">
        <w:rPr>
          <w:rFonts w:ascii="Times New Roman" w:hAnsi="Times New Roman"/>
          <w:sz w:val="24"/>
          <w:szCs w:val="24"/>
        </w:rPr>
        <w:t xml:space="preserve">  At the end of the day</w:t>
      </w:r>
      <w:r w:rsidR="00053086">
        <w:rPr>
          <w:rFonts w:ascii="Times New Roman" w:hAnsi="Times New Roman"/>
          <w:sz w:val="24"/>
          <w:szCs w:val="24"/>
        </w:rPr>
        <w:t xml:space="preserve">, </w:t>
      </w:r>
      <w:r w:rsidR="009B286F">
        <w:rPr>
          <w:rFonts w:ascii="Times New Roman" w:hAnsi="Times New Roman"/>
          <w:sz w:val="24"/>
          <w:szCs w:val="24"/>
        </w:rPr>
        <w:t xml:space="preserve">COH residential customers should not be punished by having the lowest-cost alternative removed from the market simply because certain residential retail suppliers are </w:t>
      </w:r>
      <w:r w:rsidR="00D60A34">
        <w:rPr>
          <w:rFonts w:ascii="Times New Roman" w:hAnsi="Times New Roman"/>
          <w:sz w:val="24"/>
          <w:szCs w:val="24"/>
        </w:rPr>
        <w:t>frustrated that</w:t>
      </w:r>
      <w:r w:rsidR="00F35898">
        <w:rPr>
          <w:rFonts w:ascii="Times New Roman" w:hAnsi="Times New Roman"/>
          <w:sz w:val="24"/>
          <w:szCs w:val="24"/>
        </w:rPr>
        <w:t xml:space="preserve"> </w:t>
      </w:r>
      <w:r w:rsidR="009B286F">
        <w:rPr>
          <w:rFonts w:ascii="Times New Roman" w:hAnsi="Times New Roman"/>
          <w:sz w:val="24"/>
          <w:szCs w:val="24"/>
        </w:rPr>
        <w:t>they cannot compete with the SCO price</w:t>
      </w:r>
      <w:r w:rsidR="00F35898">
        <w:rPr>
          <w:rFonts w:ascii="Times New Roman" w:hAnsi="Times New Roman"/>
          <w:sz w:val="24"/>
          <w:szCs w:val="24"/>
        </w:rPr>
        <w:t xml:space="preserve"> on a cost basis</w:t>
      </w:r>
      <w:r w:rsidR="009B286F">
        <w:rPr>
          <w:rFonts w:ascii="Times New Roman" w:hAnsi="Times New Roman"/>
          <w:sz w:val="24"/>
          <w:szCs w:val="24"/>
        </w:rPr>
        <w:t>.</w:t>
      </w:r>
    </w:p>
    <w:p w:rsidR="00053086" w:rsidRPr="00596332" w:rsidRDefault="00053086" w:rsidP="0085084A">
      <w:pPr>
        <w:spacing w:after="0" w:line="480" w:lineRule="auto"/>
        <w:jc w:val="both"/>
        <w:rPr>
          <w:rFonts w:ascii="Times New Roman" w:hAnsi="Times New Roman"/>
          <w:b/>
          <w:sz w:val="24"/>
          <w:szCs w:val="24"/>
        </w:rPr>
      </w:pPr>
      <w:r w:rsidRPr="00596332">
        <w:rPr>
          <w:rFonts w:ascii="Times New Roman" w:hAnsi="Times New Roman"/>
          <w:b/>
          <w:sz w:val="24"/>
          <w:szCs w:val="24"/>
        </w:rPr>
        <w:lastRenderedPageBreak/>
        <w:t>Q.</w:t>
      </w:r>
      <w:r w:rsidRPr="00596332">
        <w:rPr>
          <w:rFonts w:ascii="Times New Roman" w:hAnsi="Times New Roman"/>
          <w:b/>
          <w:sz w:val="24"/>
          <w:szCs w:val="24"/>
        </w:rPr>
        <w:tab/>
        <w:t xml:space="preserve">How do </w:t>
      </w:r>
      <w:r>
        <w:rPr>
          <w:rFonts w:ascii="Times New Roman" w:hAnsi="Times New Roman"/>
          <w:b/>
          <w:sz w:val="24"/>
          <w:szCs w:val="24"/>
        </w:rPr>
        <w:t xml:space="preserve">you respond to </w:t>
      </w:r>
      <w:r w:rsidR="00B07640">
        <w:rPr>
          <w:rFonts w:ascii="Times New Roman" w:hAnsi="Times New Roman"/>
          <w:b/>
          <w:sz w:val="24"/>
          <w:szCs w:val="24"/>
        </w:rPr>
        <w:t>the</w:t>
      </w:r>
      <w:r>
        <w:rPr>
          <w:rFonts w:ascii="Times New Roman" w:hAnsi="Times New Roman"/>
          <w:b/>
          <w:sz w:val="24"/>
          <w:szCs w:val="24"/>
        </w:rPr>
        <w:t xml:space="preserve"> argument that the SCO program should be eliminated because</w:t>
      </w:r>
      <w:r w:rsidRPr="00596332">
        <w:rPr>
          <w:rFonts w:ascii="Times New Roman" w:hAnsi="Times New Roman"/>
          <w:b/>
          <w:sz w:val="24"/>
          <w:szCs w:val="24"/>
        </w:rPr>
        <w:t xml:space="preserve">, while the SCO auction program has resulted in prices significantly lower than </w:t>
      </w:r>
      <w:r w:rsidR="005C7180">
        <w:rPr>
          <w:rFonts w:ascii="Times New Roman" w:hAnsi="Times New Roman"/>
          <w:b/>
          <w:sz w:val="24"/>
          <w:szCs w:val="24"/>
        </w:rPr>
        <w:t>retail</w:t>
      </w:r>
      <w:r w:rsidRPr="00596332">
        <w:rPr>
          <w:rFonts w:ascii="Times New Roman" w:hAnsi="Times New Roman"/>
          <w:b/>
          <w:sz w:val="24"/>
          <w:szCs w:val="24"/>
        </w:rPr>
        <w:t xml:space="preserve"> suppliers’ offerings</w:t>
      </w:r>
      <w:r>
        <w:rPr>
          <w:rFonts w:ascii="Times New Roman" w:hAnsi="Times New Roman"/>
          <w:b/>
          <w:sz w:val="24"/>
          <w:szCs w:val="24"/>
        </w:rPr>
        <w:t xml:space="preserve"> to date</w:t>
      </w:r>
      <w:r w:rsidRPr="00596332">
        <w:rPr>
          <w:rFonts w:ascii="Times New Roman" w:hAnsi="Times New Roman"/>
          <w:b/>
          <w:sz w:val="24"/>
          <w:szCs w:val="24"/>
        </w:rPr>
        <w:t>, the SCO price could become much higher at any given moment</w:t>
      </w:r>
      <w:r>
        <w:rPr>
          <w:rFonts w:ascii="Times New Roman" w:hAnsi="Times New Roman"/>
          <w:b/>
          <w:sz w:val="24"/>
          <w:szCs w:val="24"/>
        </w:rPr>
        <w:t xml:space="preserve"> to the detriment of SCO customers</w:t>
      </w:r>
      <w:r w:rsidRPr="00596332">
        <w:rPr>
          <w:rFonts w:ascii="Times New Roman" w:hAnsi="Times New Roman"/>
          <w:b/>
          <w:sz w:val="24"/>
          <w:szCs w:val="24"/>
        </w:rPr>
        <w:t>?</w:t>
      </w:r>
    </w:p>
    <w:p w:rsidR="001C2891" w:rsidRDefault="00053086" w:rsidP="0085084A">
      <w:pPr>
        <w:spacing w:after="0" w:line="48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Given the nature of the SCO price (fixed basis plus NYMEX price of gas), it is true that the SCO price could swing during the course of the SCO year.  Accordingly, if a customer highly values price certainty to hedge against the potential swings in the gas market, then moving off of SCO service to a </w:t>
      </w:r>
      <w:r w:rsidR="00AF6709">
        <w:rPr>
          <w:rFonts w:ascii="Times New Roman" w:hAnsi="Times New Roman"/>
          <w:sz w:val="24"/>
          <w:szCs w:val="24"/>
        </w:rPr>
        <w:t>retail</w:t>
      </w:r>
      <w:r>
        <w:rPr>
          <w:rFonts w:ascii="Times New Roman" w:hAnsi="Times New Roman"/>
          <w:sz w:val="24"/>
          <w:szCs w:val="24"/>
        </w:rPr>
        <w:t xml:space="preserve"> supplier’s fixed</w:t>
      </w:r>
      <w:r w:rsidR="00AF6709">
        <w:rPr>
          <w:rFonts w:ascii="Times New Roman" w:hAnsi="Times New Roman"/>
          <w:sz w:val="24"/>
          <w:szCs w:val="24"/>
        </w:rPr>
        <w:t>-</w:t>
      </w:r>
      <w:r>
        <w:rPr>
          <w:rFonts w:ascii="Times New Roman" w:hAnsi="Times New Roman"/>
          <w:sz w:val="24"/>
          <w:szCs w:val="24"/>
        </w:rPr>
        <w:t xml:space="preserve">price offering makes sense.  However, </w:t>
      </w:r>
      <w:r w:rsidR="00B849CC">
        <w:rPr>
          <w:rFonts w:ascii="Times New Roman" w:hAnsi="Times New Roman"/>
          <w:sz w:val="24"/>
          <w:szCs w:val="24"/>
        </w:rPr>
        <w:t>an argument that</w:t>
      </w:r>
      <w:r>
        <w:rPr>
          <w:rFonts w:ascii="Times New Roman" w:hAnsi="Times New Roman"/>
          <w:sz w:val="24"/>
          <w:szCs w:val="24"/>
        </w:rPr>
        <w:t xml:space="preserve"> that the SCO should be eliminated due to the potential for large intra-year price swings</w:t>
      </w:r>
      <w:r w:rsidR="0017091F">
        <w:rPr>
          <w:rFonts w:ascii="Times New Roman" w:hAnsi="Times New Roman"/>
          <w:sz w:val="24"/>
          <w:szCs w:val="24"/>
        </w:rPr>
        <w:t xml:space="preserve"> is faulty in two respects.  First, the potential for intra-year volatility exists for residential suppliers’ MVR rate</w:t>
      </w:r>
      <w:r w:rsidR="005A648E">
        <w:rPr>
          <w:rFonts w:ascii="Times New Roman" w:hAnsi="Times New Roman"/>
          <w:sz w:val="24"/>
          <w:szCs w:val="24"/>
        </w:rPr>
        <w:t>s</w:t>
      </w:r>
      <w:r w:rsidR="0017091F">
        <w:rPr>
          <w:rFonts w:ascii="Times New Roman" w:hAnsi="Times New Roman"/>
          <w:sz w:val="24"/>
          <w:szCs w:val="24"/>
        </w:rPr>
        <w:t xml:space="preserve"> just as it does for the SCO price.  Second, the argument </w:t>
      </w:r>
      <w:r w:rsidR="005A648E">
        <w:rPr>
          <w:rFonts w:ascii="Times New Roman" w:hAnsi="Times New Roman"/>
          <w:sz w:val="24"/>
          <w:szCs w:val="24"/>
        </w:rPr>
        <w:t>obviously hinges</w:t>
      </w:r>
      <w:r>
        <w:rPr>
          <w:rFonts w:ascii="Times New Roman" w:hAnsi="Times New Roman"/>
          <w:sz w:val="24"/>
          <w:szCs w:val="24"/>
        </w:rPr>
        <w:t xml:space="preserve"> on </w:t>
      </w:r>
      <w:r w:rsidR="001C2891">
        <w:rPr>
          <w:rFonts w:ascii="Times New Roman" w:hAnsi="Times New Roman"/>
          <w:sz w:val="24"/>
          <w:szCs w:val="24"/>
        </w:rPr>
        <w:t>the gas commodity market suffering from</w:t>
      </w:r>
      <w:r>
        <w:rPr>
          <w:rFonts w:ascii="Times New Roman" w:hAnsi="Times New Roman"/>
          <w:sz w:val="24"/>
          <w:szCs w:val="24"/>
        </w:rPr>
        <w:t xml:space="preserve"> high volatility.  </w:t>
      </w:r>
      <w:r w:rsidR="00AF6709">
        <w:rPr>
          <w:rFonts w:ascii="Times New Roman" w:hAnsi="Times New Roman"/>
          <w:sz w:val="24"/>
          <w:szCs w:val="24"/>
        </w:rPr>
        <w:t xml:space="preserve">I am very confident that </w:t>
      </w:r>
      <w:r w:rsidR="002260C3">
        <w:rPr>
          <w:rFonts w:ascii="Times New Roman" w:hAnsi="Times New Roman"/>
          <w:sz w:val="24"/>
          <w:szCs w:val="24"/>
        </w:rPr>
        <w:t>Ohio gas customers</w:t>
      </w:r>
      <w:r w:rsidR="00AF6709">
        <w:rPr>
          <w:rFonts w:ascii="Times New Roman" w:hAnsi="Times New Roman"/>
          <w:sz w:val="24"/>
          <w:szCs w:val="24"/>
        </w:rPr>
        <w:t xml:space="preserve"> will not experience high gas volatility in the near to intermediate future.  </w:t>
      </w:r>
      <w:r>
        <w:rPr>
          <w:rFonts w:ascii="Times New Roman" w:hAnsi="Times New Roman"/>
          <w:sz w:val="24"/>
          <w:szCs w:val="24"/>
        </w:rPr>
        <w:t>Given the current unprecedented high levels of domestic natural gas supply</w:t>
      </w:r>
      <w:r w:rsidR="002260C3">
        <w:rPr>
          <w:rFonts w:ascii="Times New Roman" w:hAnsi="Times New Roman"/>
          <w:sz w:val="24"/>
          <w:szCs w:val="24"/>
        </w:rPr>
        <w:t xml:space="preserve"> in the region</w:t>
      </w:r>
      <w:r>
        <w:rPr>
          <w:rFonts w:ascii="Times New Roman" w:hAnsi="Times New Roman"/>
          <w:sz w:val="24"/>
          <w:szCs w:val="24"/>
        </w:rPr>
        <w:t>, especially in Ohio with increasingly</w:t>
      </w:r>
      <w:r w:rsidR="00AF6709">
        <w:rPr>
          <w:rFonts w:ascii="Times New Roman" w:hAnsi="Times New Roman"/>
          <w:sz w:val="24"/>
          <w:szCs w:val="24"/>
        </w:rPr>
        <w:t xml:space="preserve"> more shale gas coming on-</w:t>
      </w:r>
      <w:r>
        <w:rPr>
          <w:rFonts w:ascii="Times New Roman" w:hAnsi="Times New Roman"/>
          <w:sz w:val="24"/>
          <w:szCs w:val="24"/>
        </w:rPr>
        <w:t xml:space="preserve">line every day, I cannot envision high volatility in the gas commodity market for several years, possibly several decades to come.  Thus, if a customer is primarily motivated by price, common wisdom suggests that the customer should take SCO service.  </w:t>
      </w:r>
    </w:p>
    <w:p w:rsidR="00053086" w:rsidRDefault="00053086" w:rsidP="001C2891">
      <w:pPr>
        <w:spacing w:after="0" w:line="480" w:lineRule="auto"/>
        <w:ind w:firstLine="720"/>
        <w:jc w:val="both"/>
        <w:rPr>
          <w:rFonts w:ascii="Times New Roman" w:hAnsi="Times New Roman"/>
          <w:sz w:val="24"/>
          <w:szCs w:val="24"/>
        </w:rPr>
      </w:pPr>
      <w:r>
        <w:rPr>
          <w:rFonts w:ascii="Times New Roman" w:hAnsi="Times New Roman"/>
          <w:sz w:val="24"/>
          <w:szCs w:val="24"/>
        </w:rPr>
        <w:t xml:space="preserve">Of course, if I am wrong and there is </w:t>
      </w:r>
      <w:r w:rsidR="00AF6709">
        <w:rPr>
          <w:rFonts w:ascii="Times New Roman" w:hAnsi="Times New Roman"/>
          <w:sz w:val="24"/>
          <w:szCs w:val="24"/>
        </w:rPr>
        <w:t xml:space="preserve">severe </w:t>
      </w:r>
      <w:r>
        <w:rPr>
          <w:rFonts w:ascii="Times New Roman" w:hAnsi="Times New Roman"/>
          <w:sz w:val="24"/>
          <w:szCs w:val="24"/>
        </w:rPr>
        <w:t xml:space="preserve">gas </w:t>
      </w:r>
      <w:r w:rsidR="003241CD">
        <w:rPr>
          <w:rFonts w:ascii="Times New Roman" w:hAnsi="Times New Roman"/>
          <w:sz w:val="24"/>
          <w:szCs w:val="24"/>
        </w:rPr>
        <w:t>price</w:t>
      </w:r>
      <w:r>
        <w:rPr>
          <w:rFonts w:ascii="Times New Roman" w:hAnsi="Times New Roman"/>
          <w:sz w:val="24"/>
          <w:szCs w:val="24"/>
        </w:rPr>
        <w:t xml:space="preserve"> volatility in the future, SCO customers are always free to leave SCO service and </w:t>
      </w:r>
      <w:r w:rsidR="00AF6709">
        <w:rPr>
          <w:rFonts w:ascii="Times New Roman" w:hAnsi="Times New Roman"/>
          <w:sz w:val="24"/>
          <w:szCs w:val="24"/>
        </w:rPr>
        <w:t>contract directly</w:t>
      </w:r>
      <w:r>
        <w:rPr>
          <w:rFonts w:ascii="Times New Roman" w:hAnsi="Times New Roman"/>
          <w:sz w:val="24"/>
          <w:szCs w:val="24"/>
        </w:rPr>
        <w:t xml:space="preserve"> with a </w:t>
      </w:r>
      <w:r w:rsidR="00AF6709">
        <w:rPr>
          <w:rFonts w:ascii="Times New Roman" w:hAnsi="Times New Roman"/>
          <w:sz w:val="24"/>
          <w:szCs w:val="24"/>
        </w:rPr>
        <w:t>retail</w:t>
      </w:r>
      <w:r>
        <w:rPr>
          <w:rFonts w:ascii="Times New Roman" w:hAnsi="Times New Roman"/>
          <w:sz w:val="24"/>
          <w:szCs w:val="24"/>
        </w:rPr>
        <w:t xml:space="preserve"> supplier.  SCO suppliers have always been subject to migration risk and I am, by no means, recommending that retail suppliers be shut off from marketing directly to residential customers.  Rather, I am simply noting that there is very little risk that the commodity market will swing severely to the detriment </w:t>
      </w:r>
      <w:r>
        <w:rPr>
          <w:rFonts w:ascii="Times New Roman" w:hAnsi="Times New Roman"/>
          <w:sz w:val="24"/>
          <w:szCs w:val="24"/>
        </w:rPr>
        <w:lastRenderedPageBreak/>
        <w:t>of SCO c</w:t>
      </w:r>
      <w:r w:rsidR="00AF6709">
        <w:rPr>
          <w:rFonts w:ascii="Times New Roman" w:hAnsi="Times New Roman"/>
          <w:sz w:val="24"/>
          <w:szCs w:val="24"/>
        </w:rPr>
        <w:t>ustomers in the near to intermediate future.</w:t>
      </w:r>
      <w:r>
        <w:rPr>
          <w:rFonts w:ascii="Times New Roman" w:hAnsi="Times New Roman"/>
          <w:sz w:val="24"/>
          <w:szCs w:val="24"/>
        </w:rPr>
        <w:t xml:space="preserve"> Any argument for eliminating the SCO program that rests on the potential for high price volatility in the gas commodity market belies market realities and should be disregarded.</w:t>
      </w:r>
    </w:p>
    <w:p w:rsidR="00053086" w:rsidRPr="007643E5" w:rsidRDefault="00053086" w:rsidP="00DB1C73">
      <w:pPr>
        <w:spacing w:after="0" w:line="480" w:lineRule="auto"/>
        <w:jc w:val="both"/>
        <w:rPr>
          <w:rFonts w:ascii="Times New Roman" w:hAnsi="Times New Roman"/>
          <w:b/>
          <w:sz w:val="24"/>
          <w:szCs w:val="24"/>
        </w:rPr>
      </w:pPr>
      <w:r w:rsidRPr="007643E5">
        <w:rPr>
          <w:rFonts w:ascii="Times New Roman" w:hAnsi="Times New Roman"/>
          <w:b/>
          <w:sz w:val="24"/>
          <w:szCs w:val="24"/>
        </w:rPr>
        <w:t>Q.</w:t>
      </w:r>
      <w:r w:rsidRPr="007643E5">
        <w:rPr>
          <w:rFonts w:ascii="Times New Roman" w:hAnsi="Times New Roman"/>
          <w:b/>
          <w:sz w:val="24"/>
          <w:szCs w:val="24"/>
        </w:rPr>
        <w:tab/>
        <w:t xml:space="preserve">Is assigning COH residential customers to MVR suppliers once the 70% trigger has been satisfied consistent with Ohio </w:t>
      </w:r>
      <w:r w:rsidR="00AC1170">
        <w:rPr>
          <w:rFonts w:ascii="Times New Roman" w:hAnsi="Times New Roman"/>
          <w:b/>
          <w:sz w:val="24"/>
          <w:szCs w:val="24"/>
        </w:rPr>
        <w:t>policy</w:t>
      </w:r>
      <w:r w:rsidRPr="007643E5">
        <w:rPr>
          <w:rFonts w:ascii="Times New Roman" w:hAnsi="Times New Roman"/>
          <w:b/>
          <w:sz w:val="24"/>
          <w:szCs w:val="24"/>
        </w:rPr>
        <w:t>?</w:t>
      </w:r>
    </w:p>
    <w:p w:rsidR="00053086" w:rsidRDefault="00053086" w:rsidP="00DB1C73">
      <w:pPr>
        <w:spacing w:after="0" w:line="48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No, I do not believe so.  At some point</w:t>
      </w:r>
      <w:r w:rsidR="00B31BBF">
        <w:rPr>
          <w:rFonts w:ascii="Times New Roman" w:hAnsi="Times New Roman"/>
          <w:sz w:val="24"/>
          <w:szCs w:val="24"/>
        </w:rPr>
        <w:t>,</w:t>
      </w:r>
      <w:r>
        <w:rPr>
          <w:rFonts w:ascii="Times New Roman" w:hAnsi="Times New Roman"/>
          <w:sz w:val="24"/>
          <w:szCs w:val="24"/>
        </w:rPr>
        <w:t xml:space="preserve"> where there is advanced shopping, it becomes inefficient from a cost perspective for an LDC to continue to </w:t>
      </w:r>
      <w:r w:rsidR="001C2891">
        <w:rPr>
          <w:rFonts w:ascii="Times New Roman" w:hAnsi="Times New Roman"/>
          <w:sz w:val="24"/>
          <w:szCs w:val="24"/>
        </w:rPr>
        <w:t>operate and SCO suppliers to continue to participate in an S</w:t>
      </w:r>
      <w:r>
        <w:rPr>
          <w:rFonts w:ascii="Times New Roman" w:hAnsi="Times New Roman"/>
          <w:sz w:val="24"/>
          <w:szCs w:val="24"/>
        </w:rPr>
        <w:t>CO auction program.  For instance, in DEO, where there is already extensive shopping among Choice-eligible customers,</w:t>
      </w:r>
      <w:r w:rsidR="00646036" w:rsidRPr="00646036">
        <w:rPr>
          <w:rStyle w:val="FootnoteReference"/>
          <w:rFonts w:ascii="Times New Roman" w:hAnsi="Times New Roman"/>
          <w:sz w:val="24"/>
          <w:szCs w:val="24"/>
        </w:rPr>
        <w:t xml:space="preserve"> </w:t>
      </w:r>
      <w:r w:rsidR="00646036">
        <w:rPr>
          <w:rStyle w:val="FootnoteReference"/>
          <w:rFonts w:ascii="Times New Roman" w:hAnsi="Times New Roman"/>
          <w:sz w:val="24"/>
          <w:szCs w:val="24"/>
        </w:rPr>
        <w:footnoteReference w:id="8"/>
      </w:r>
      <w:r>
        <w:rPr>
          <w:rFonts w:ascii="Times New Roman" w:hAnsi="Times New Roman"/>
          <w:sz w:val="24"/>
          <w:szCs w:val="24"/>
        </w:rPr>
        <w:t xml:space="preserve"> it is likely more cost-effective to assign the remaining non-shopping customers to MVR suppliers.  Hess supports the DEO stipulation currently before the Commission where DEO has proposed to exit the merchant function for non-residential customers in April 2013 and to </w:t>
      </w:r>
      <w:r w:rsidR="00B31BBF">
        <w:rPr>
          <w:rFonts w:ascii="Times New Roman" w:hAnsi="Times New Roman"/>
          <w:sz w:val="24"/>
          <w:szCs w:val="24"/>
        </w:rPr>
        <w:t>continue to evaluate whether</w:t>
      </w:r>
      <w:r>
        <w:rPr>
          <w:rFonts w:ascii="Times New Roman" w:hAnsi="Times New Roman"/>
          <w:sz w:val="24"/>
          <w:szCs w:val="24"/>
        </w:rPr>
        <w:t xml:space="preserve"> it is efficient to exit the merchant function for residential customers (but not before April 2015).  However, there are some key differences</w:t>
      </w:r>
      <w:r w:rsidR="00420504">
        <w:rPr>
          <w:rFonts w:ascii="Times New Roman" w:hAnsi="Times New Roman"/>
          <w:sz w:val="24"/>
          <w:szCs w:val="24"/>
        </w:rPr>
        <w:t xml:space="preserve"> in the DEO and COH shopping statistics and exit-the-merchant-function stipulations</w:t>
      </w:r>
      <w:r>
        <w:rPr>
          <w:rFonts w:ascii="Times New Roman" w:hAnsi="Times New Roman"/>
          <w:sz w:val="24"/>
          <w:szCs w:val="24"/>
        </w:rPr>
        <w:t>.</w:t>
      </w:r>
    </w:p>
    <w:p w:rsidR="00053086" w:rsidRDefault="00053086" w:rsidP="00DB1C73">
      <w:pPr>
        <w:spacing w:after="0" w:line="480" w:lineRule="auto"/>
        <w:jc w:val="both"/>
        <w:rPr>
          <w:rFonts w:ascii="Times New Roman" w:hAnsi="Times New Roman"/>
          <w:sz w:val="24"/>
          <w:szCs w:val="24"/>
        </w:rPr>
      </w:pPr>
      <w:r>
        <w:rPr>
          <w:rFonts w:ascii="Times New Roman" w:hAnsi="Times New Roman"/>
          <w:sz w:val="24"/>
          <w:szCs w:val="24"/>
        </w:rPr>
        <w:tab/>
        <w:t xml:space="preserve">As I pointed out above, DEO is experiencing much higher levels of shopping than COH is currently experiencing.  It is my understanding that recent statistics show DEO’s shopping is at over 80% for non-residential customers and 84% for residential customers.  In COH, the current shopping statistics are much more modest with </w:t>
      </w:r>
      <w:r w:rsidR="00B31BBF">
        <w:rPr>
          <w:rFonts w:ascii="Times New Roman" w:hAnsi="Times New Roman"/>
          <w:sz w:val="24"/>
          <w:szCs w:val="24"/>
        </w:rPr>
        <w:t>48</w:t>
      </w:r>
      <w:r>
        <w:rPr>
          <w:rFonts w:ascii="Times New Roman" w:hAnsi="Times New Roman"/>
          <w:sz w:val="24"/>
          <w:szCs w:val="24"/>
        </w:rPr>
        <w:t xml:space="preserve">% for non-residential customers and </w:t>
      </w:r>
      <w:r w:rsidR="00B31BBF">
        <w:rPr>
          <w:rFonts w:ascii="Times New Roman" w:hAnsi="Times New Roman"/>
          <w:sz w:val="24"/>
          <w:szCs w:val="24"/>
        </w:rPr>
        <w:t>37</w:t>
      </w:r>
      <w:r>
        <w:rPr>
          <w:rFonts w:ascii="Times New Roman" w:hAnsi="Times New Roman"/>
          <w:sz w:val="24"/>
          <w:szCs w:val="24"/>
        </w:rPr>
        <w:t>% for residential customers.</w:t>
      </w:r>
      <w:r w:rsidR="00D91CEE">
        <w:rPr>
          <w:rStyle w:val="FootnoteReference"/>
          <w:rFonts w:ascii="Times New Roman" w:hAnsi="Times New Roman"/>
          <w:sz w:val="24"/>
          <w:szCs w:val="24"/>
        </w:rPr>
        <w:footnoteReference w:id="9"/>
      </w:r>
      <w:r>
        <w:rPr>
          <w:rFonts w:ascii="Times New Roman" w:hAnsi="Times New Roman"/>
          <w:sz w:val="24"/>
          <w:szCs w:val="24"/>
        </w:rPr>
        <w:t xml:space="preserve">  Unlike DEO, where</w:t>
      </w:r>
      <w:r w:rsidR="00B31BBF">
        <w:rPr>
          <w:rFonts w:ascii="Times New Roman" w:hAnsi="Times New Roman"/>
          <w:sz w:val="24"/>
          <w:szCs w:val="24"/>
        </w:rPr>
        <w:t>,</w:t>
      </w:r>
      <w:r>
        <w:rPr>
          <w:rFonts w:ascii="Times New Roman" w:hAnsi="Times New Roman"/>
          <w:sz w:val="24"/>
          <w:szCs w:val="24"/>
        </w:rPr>
        <w:t xml:space="preserve"> at the time of exit</w:t>
      </w:r>
      <w:r w:rsidR="00B31BBF">
        <w:rPr>
          <w:rFonts w:ascii="Times New Roman" w:hAnsi="Times New Roman"/>
          <w:sz w:val="24"/>
          <w:szCs w:val="24"/>
        </w:rPr>
        <w:t>,</w:t>
      </w:r>
      <w:r>
        <w:rPr>
          <w:rFonts w:ascii="Times New Roman" w:hAnsi="Times New Roman"/>
          <w:sz w:val="24"/>
          <w:szCs w:val="24"/>
        </w:rPr>
        <w:t xml:space="preserve"> there will be </w:t>
      </w:r>
      <w:r w:rsidR="006A5901">
        <w:rPr>
          <w:rFonts w:ascii="Times New Roman" w:hAnsi="Times New Roman"/>
          <w:sz w:val="24"/>
          <w:szCs w:val="24"/>
        </w:rPr>
        <w:t xml:space="preserve">a </w:t>
      </w:r>
      <w:r>
        <w:rPr>
          <w:rFonts w:ascii="Times New Roman" w:hAnsi="Times New Roman"/>
          <w:sz w:val="24"/>
          <w:szCs w:val="24"/>
        </w:rPr>
        <w:t>relatively small amount of customers being assigned to MVR suppliers, if COH exits at the residential 70% shopping trigger, over 364,000 customers will be assigned to MVR suppliers.</w:t>
      </w:r>
    </w:p>
    <w:p w:rsidR="00053086" w:rsidRDefault="00053086" w:rsidP="00DB1C73">
      <w:pPr>
        <w:spacing w:after="0" w:line="480" w:lineRule="auto"/>
        <w:jc w:val="both"/>
        <w:rPr>
          <w:rFonts w:ascii="Times New Roman" w:hAnsi="Times New Roman"/>
          <w:sz w:val="24"/>
          <w:szCs w:val="24"/>
        </w:rPr>
      </w:pPr>
      <w:r>
        <w:rPr>
          <w:rFonts w:ascii="Times New Roman" w:hAnsi="Times New Roman"/>
          <w:sz w:val="24"/>
          <w:szCs w:val="24"/>
        </w:rPr>
        <w:lastRenderedPageBreak/>
        <w:tab/>
      </w:r>
      <w:r w:rsidR="00BF0625">
        <w:rPr>
          <w:rFonts w:ascii="Times New Roman" w:hAnsi="Times New Roman"/>
          <w:sz w:val="24"/>
          <w:szCs w:val="24"/>
        </w:rPr>
        <w:t xml:space="preserve">Counsel advises that </w:t>
      </w:r>
      <w:r>
        <w:rPr>
          <w:rFonts w:ascii="Times New Roman" w:hAnsi="Times New Roman"/>
          <w:sz w:val="24"/>
          <w:szCs w:val="24"/>
        </w:rPr>
        <w:t>Section 4929.02(A)(7) of the Ohio Revised Code provides that</w:t>
      </w:r>
      <w:r w:rsidR="001C2891">
        <w:rPr>
          <w:rFonts w:ascii="Times New Roman" w:hAnsi="Times New Roman"/>
          <w:sz w:val="24"/>
          <w:szCs w:val="24"/>
        </w:rPr>
        <w:t>:</w:t>
      </w:r>
    </w:p>
    <w:p w:rsidR="00053086" w:rsidRDefault="00053086" w:rsidP="001C2891">
      <w:pPr>
        <w:spacing w:after="0" w:line="240" w:lineRule="auto"/>
        <w:ind w:left="1152" w:right="1152"/>
        <w:jc w:val="both"/>
        <w:rPr>
          <w:rFonts w:ascii="Times New Roman" w:hAnsi="Times New Roman"/>
          <w:sz w:val="24"/>
          <w:szCs w:val="24"/>
        </w:rPr>
      </w:pPr>
      <w:r>
        <w:rPr>
          <w:rFonts w:ascii="Times New Roman" w:hAnsi="Times New Roman"/>
          <w:sz w:val="24"/>
          <w:szCs w:val="24"/>
        </w:rPr>
        <w:t>It is the policy of this state to, throughout the state:</w:t>
      </w:r>
    </w:p>
    <w:p w:rsidR="00053086" w:rsidRDefault="00053086" w:rsidP="001C2891">
      <w:pPr>
        <w:spacing w:after="0" w:line="240" w:lineRule="auto"/>
        <w:ind w:left="1152" w:right="1152"/>
        <w:jc w:val="both"/>
        <w:rPr>
          <w:rFonts w:ascii="Times New Roman" w:hAnsi="Times New Roman"/>
          <w:sz w:val="24"/>
          <w:szCs w:val="24"/>
        </w:rPr>
      </w:pPr>
    </w:p>
    <w:p w:rsidR="00053086" w:rsidRDefault="00053086" w:rsidP="001C2891">
      <w:pPr>
        <w:spacing w:after="0" w:line="240" w:lineRule="auto"/>
        <w:ind w:left="1152" w:right="1152"/>
        <w:jc w:val="both"/>
        <w:rPr>
          <w:rFonts w:ascii="Times New Roman" w:hAnsi="Times New Roman"/>
          <w:sz w:val="24"/>
          <w:szCs w:val="24"/>
        </w:rPr>
      </w:pPr>
      <w:r>
        <w:rPr>
          <w:rFonts w:ascii="Times New Roman" w:hAnsi="Times New Roman"/>
          <w:sz w:val="24"/>
          <w:szCs w:val="24"/>
        </w:rPr>
        <w:t xml:space="preserve">Promote an expeditious transition to the provision of natural gas services and goods in a manner that </w:t>
      </w:r>
      <w:r w:rsidRPr="00C83CD2">
        <w:rPr>
          <w:rFonts w:ascii="Times New Roman" w:hAnsi="Times New Roman"/>
          <w:i/>
          <w:sz w:val="24"/>
          <w:szCs w:val="24"/>
        </w:rPr>
        <w:t>achieves effective competition</w:t>
      </w:r>
      <w:r>
        <w:rPr>
          <w:rFonts w:ascii="Times New Roman" w:hAnsi="Times New Roman"/>
          <w:sz w:val="24"/>
          <w:szCs w:val="24"/>
        </w:rPr>
        <w:t xml:space="preserve"> and transactions between </w:t>
      </w:r>
      <w:r>
        <w:rPr>
          <w:rFonts w:ascii="Times New Roman" w:hAnsi="Times New Roman"/>
          <w:i/>
          <w:sz w:val="24"/>
          <w:szCs w:val="24"/>
        </w:rPr>
        <w:t>willing buyers and willing sellers</w:t>
      </w:r>
      <w:r>
        <w:rPr>
          <w:rFonts w:ascii="Times New Roman" w:hAnsi="Times New Roman"/>
          <w:sz w:val="24"/>
          <w:szCs w:val="24"/>
        </w:rPr>
        <w:t xml:space="preserve"> to reduce or eliminate the need for regulation of natural gas services and goods under Chapters 4905. and 4909. of the Revised Code.</w:t>
      </w:r>
      <w:r w:rsidR="00B07640">
        <w:rPr>
          <w:rFonts w:ascii="Times New Roman" w:hAnsi="Times New Roman"/>
          <w:sz w:val="24"/>
          <w:szCs w:val="24"/>
        </w:rPr>
        <w:t xml:space="preserve"> (emphasis added)</w:t>
      </w:r>
    </w:p>
    <w:p w:rsidR="00053086" w:rsidRDefault="00053086" w:rsidP="005A2D5C">
      <w:pPr>
        <w:spacing w:after="0" w:line="240" w:lineRule="auto"/>
        <w:ind w:left="720" w:right="720"/>
        <w:jc w:val="both"/>
        <w:rPr>
          <w:rFonts w:ascii="Times New Roman" w:hAnsi="Times New Roman"/>
          <w:sz w:val="24"/>
          <w:szCs w:val="24"/>
        </w:rPr>
      </w:pPr>
    </w:p>
    <w:p w:rsidR="00053086" w:rsidRDefault="000B7CD6" w:rsidP="00C91671">
      <w:pPr>
        <w:spacing w:after="0" w:line="480" w:lineRule="auto"/>
        <w:ind w:firstLine="720"/>
        <w:jc w:val="both"/>
        <w:rPr>
          <w:rFonts w:ascii="Times New Roman" w:hAnsi="Times New Roman"/>
          <w:sz w:val="24"/>
          <w:szCs w:val="24"/>
        </w:rPr>
      </w:pPr>
      <w:r>
        <w:rPr>
          <w:rFonts w:ascii="Times New Roman" w:hAnsi="Times New Roman"/>
          <w:sz w:val="24"/>
          <w:szCs w:val="24"/>
        </w:rPr>
        <w:t>Counsel advises that t</w:t>
      </w:r>
      <w:r w:rsidR="00053086">
        <w:rPr>
          <w:rFonts w:ascii="Times New Roman" w:hAnsi="Times New Roman"/>
          <w:sz w:val="24"/>
          <w:szCs w:val="24"/>
        </w:rPr>
        <w:t xml:space="preserve">his subsection sets the state policy of transitioning from traditional, LDC-procured default service to a framework that procures gas supply from the competitive market place.  In my view, “willing buyers” requires an affirmative decision by customers to select their </w:t>
      </w:r>
      <w:r w:rsidR="006C0536">
        <w:rPr>
          <w:rFonts w:ascii="Times New Roman" w:hAnsi="Times New Roman"/>
          <w:sz w:val="24"/>
          <w:szCs w:val="24"/>
        </w:rPr>
        <w:t>competitive retail</w:t>
      </w:r>
      <w:r w:rsidR="00053086">
        <w:rPr>
          <w:rFonts w:ascii="Times New Roman" w:hAnsi="Times New Roman"/>
          <w:sz w:val="24"/>
          <w:szCs w:val="24"/>
        </w:rPr>
        <w:t xml:space="preserve"> suppliers.  If the Commission orders the residential exit at 70% shopping, </w:t>
      </w:r>
      <w:r w:rsidR="00833221">
        <w:rPr>
          <w:rFonts w:ascii="Times New Roman" w:hAnsi="Times New Roman"/>
          <w:sz w:val="24"/>
          <w:szCs w:val="24"/>
        </w:rPr>
        <w:t>COH</w:t>
      </w:r>
      <w:r w:rsidR="00053086">
        <w:rPr>
          <w:rFonts w:ascii="Times New Roman" w:hAnsi="Times New Roman"/>
          <w:sz w:val="24"/>
          <w:szCs w:val="24"/>
        </w:rPr>
        <w:t xml:space="preserve"> would be assigning over 364,000 customers to MVR suppliers</w:t>
      </w:r>
      <w:r>
        <w:rPr>
          <w:rFonts w:ascii="Times New Roman" w:hAnsi="Times New Roman"/>
          <w:sz w:val="24"/>
          <w:szCs w:val="24"/>
        </w:rPr>
        <w:t xml:space="preserve"> without their consent</w:t>
      </w:r>
      <w:r w:rsidR="00053086">
        <w:rPr>
          <w:rFonts w:ascii="Times New Roman" w:hAnsi="Times New Roman"/>
          <w:sz w:val="24"/>
          <w:szCs w:val="24"/>
        </w:rPr>
        <w:t xml:space="preserve">.  Additionally, </w:t>
      </w:r>
      <w:r w:rsidR="00B31BBF">
        <w:rPr>
          <w:rFonts w:ascii="Times New Roman" w:hAnsi="Times New Roman"/>
          <w:sz w:val="24"/>
          <w:szCs w:val="24"/>
        </w:rPr>
        <w:t xml:space="preserve">as explained above, </w:t>
      </w:r>
      <w:r w:rsidR="00053086">
        <w:rPr>
          <w:rFonts w:ascii="Times New Roman" w:hAnsi="Times New Roman"/>
          <w:sz w:val="24"/>
          <w:szCs w:val="24"/>
        </w:rPr>
        <w:t xml:space="preserve">these assigned customers will be subjected to a higher rate </w:t>
      </w:r>
      <w:r w:rsidR="00B31BBF">
        <w:rPr>
          <w:rFonts w:ascii="Times New Roman" w:hAnsi="Times New Roman"/>
          <w:sz w:val="24"/>
          <w:szCs w:val="24"/>
        </w:rPr>
        <w:t>than they were receiving under SCO service</w:t>
      </w:r>
      <w:r w:rsidR="00053086">
        <w:rPr>
          <w:rFonts w:ascii="Times New Roman" w:hAnsi="Times New Roman"/>
          <w:sz w:val="24"/>
          <w:szCs w:val="24"/>
        </w:rPr>
        <w:t xml:space="preserve">.  </w:t>
      </w:r>
      <w:r w:rsidR="00280450">
        <w:rPr>
          <w:rFonts w:ascii="Times New Roman" w:hAnsi="Times New Roman"/>
          <w:sz w:val="24"/>
          <w:szCs w:val="24"/>
        </w:rPr>
        <w:t>A</w:t>
      </w:r>
      <w:r w:rsidR="00053086">
        <w:rPr>
          <w:rFonts w:ascii="Times New Roman" w:hAnsi="Times New Roman"/>
          <w:sz w:val="24"/>
          <w:szCs w:val="24"/>
        </w:rPr>
        <w:t>n assignment of this magnitude</w:t>
      </w:r>
      <w:r w:rsidR="00280450">
        <w:rPr>
          <w:rFonts w:ascii="Times New Roman" w:hAnsi="Times New Roman"/>
          <w:sz w:val="24"/>
          <w:szCs w:val="24"/>
        </w:rPr>
        <w:t xml:space="preserve"> fails to</w:t>
      </w:r>
      <w:r w:rsidR="00053086">
        <w:rPr>
          <w:rFonts w:ascii="Times New Roman" w:hAnsi="Times New Roman"/>
          <w:sz w:val="24"/>
          <w:szCs w:val="24"/>
        </w:rPr>
        <w:t xml:space="preserve"> satisf</w:t>
      </w:r>
      <w:r w:rsidR="00280450">
        <w:rPr>
          <w:rFonts w:ascii="Times New Roman" w:hAnsi="Times New Roman"/>
          <w:sz w:val="24"/>
          <w:szCs w:val="24"/>
        </w:rPr>
        <w:t>y</w:t>
      </w:r>
      <w:r w:rsidR="00053086">
        <w:rPr>
          <w:rFonts w:ascii="Times New Roman" w:hAnsi="Times New Roman"/>
          <w:sz w:val="24"/>
          <w:szCs w:val="24"/>
        </w:rPr>
        <w:t xml:space="preserve"> Ohio’s “willing buyer” </w:t>
      </w:r>
      <w:r>
        <w:rPr>
          <w:rFonts w:ascii="Times New Roman" w:hAnsi="Times New Roman"/>
          <w:sz w:val="24"/>
          <w:szCs w:val="24"/>
        </w:rPr>
        <w:t>policy</w:t>
      </w:r>
      <w:r w:rsidR="00D91CEE">
        <w:rPr>
          <w:rFonts w:ascii="Times New Roman" w:hAnsi="Times New Roman"/>
          <w:sz w:val="24"/>
          <w:szCs w:val="24"/>
        </w:rPr>
        <w:t>.</w:t>
      </w:r>
      <w:r w:rsidR="00053086">
        <w:rPr>
          <w:rFonts w:ascii="Times New Roman" w:hAnsi="Times New Roman"/>
          <w:sz w:val="24"/>
          <w:szCs w:val="24"/>
        </w:rPr>
        <w:t xml:space="preserve">  Thus, the </w:t>
      </w:r>
      <w:r w:rsidR="00D60A34">
        <w:rPr>
          <w:rFonts w:ascii="Times New Roman" w:hAnsi="Times New Roman"/>
          <w:sz w:val="24"/>
          <w:szCs w:val="24"/>
        </w:rPr>
        <w:t xml:space="preserve">Amended </w:t>
      </w:r>
      <w:r w:rsidR="00053086">
        <w:rPr>
          <w:rFonts w:ascii="Times New Roman" w:hAnsi="Times New Roman"/>
          <w:sz w:val="24"/>
          <w:szCs w:val="24"/>
        </w:rPr>
        <w:t>Stipulation’s proposed residential exit framework contravenes prevailing state policy.</w:t>
      </w:r>
    </w:p>
    <w:p w:rsidR="00053086" w:rsidRPr="004C4C76" w:rsidRDefault="00053086" w:rsidP="007643E5">
      <w:pPr>
        <w:spacing w:after="0" w:line="480" w:lineRule="auto"/>
        <w:jc w:val="both"/>
        <w:rPr>
          <w:rFonts w:ascii="Times New Roman" w:hAnsi="Times New Roman"/>
          <w:b/>
          <w:sz w:val="24"/>
          <w:szCs w:val="24"/>
        </w:rPr>
      </w:pPr>
      <w:r w:rsidRPr="004C4C76">
        <w:rPr>
          <w:rFonts w:ascii="Times New Roman" w:hAnsi="Times New Roman"/>
          <w:b/>
          <w:sz w:val="24"/>
          <w:szCs w:val="24"/>
        </w:rPr>
        <w:t>Q.</w:t>
      </w:r>
      <w:r w:rsidRPr="004C4C76">
        <w:rPr>
          <w:rFonts w:ascii="Times New Roman" w:hAnsi="Times New Roman"/>
          <w:b/>
          <w:sz w:val="24"/>
          <w:szCs w:val="24"/>
        </w:rPr>
        <w:tab/>
        <w:t>Do you think the SCO auction promotes a transition to the provision of natural gas services and goods in a manner that achieves effective competition?</w:t>
      </w:r>
    </w:p>
    <w:p w:rsidR="00053086" w:rsidRDefault="00053086" w:rsidP="007643E5">
      <w:pPr>
        <w:spacing w:after="0" w:line="48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Absolutely.  LDCs do not have the same incentive to keep their commodity costs and gas procurement costs down as competitive suppliers </w:t>
      </w:r>
      <w:r w:rsidR="00B31BBF">
        <w:rPr>
          <w:rFonts w:ascii="Times New Roman" w:hAnsi="Times New Roman"/>
          <w:sz w:val="24"/>
          <w:szCs w:val="24"/>
        </w:rPr>
        <w:t xml:space="preserve">do </w:t>
      </w:r>
      <w:r>
        <w:rPr>
          <w:rFonts w:ascii="Times New Roman" w:hAnsi="Times New Roman"/>
          <w:sz w:val="24"/>
          <w:szCs w:val="24"/>
        </w:rPr>
        <w:t xml:space="preserve">since LDCs have </w:t>
      </w:r>
      <w:r w:rsidR="00B31BBF">
        <w:rPr>
          <w:rFonts w:ascii="Times New Roman" w:hAnsi="Times New Roman"/>
          <w:sz w:val="24"/>
          <w:szCs w:val="24"/>
        </w:rPr>
        <w:t xml:space="preserve">established </w:t>
      </w:r>
      <w:r>
        <w:rPr>
          <w:rFonts w:ascii="Times New Roman" w:hAnsi="Times New Roman"/>
          <w:sz w:val="24"/>
          <w:szCs w:val="24"/>
        </w:rPr>
        <w:t xml:space="preserve">cost recovery mechanisms that are obviously not available to competitive suppliers.  The SCO program, in contrast, is set in the competitive market place where SCO suppliers must be </w:t>
      </w:r>
      <w:r w:rsidR="00B31BBF">
        <w:rPr>
          <w:rFonts w:ascii="Times New Roman" w:hAnsi="Times New Roman"/>
          <w:sz w:val="24"/>
          <w:szCs w:val="24"/>
        </w:rPr>
        <w:t xml:space="preserve">extremely </w:t>
      </w:r>
      <w:r>
        <w:rPr>
          <w:rFonts w:ascii="Times New Roman" w:hAnsi="Times New Roman"/>
          <w:sz w:val="24"/>
          <w:szCs w:val="24"/>
        </w:rPr>
        <w:t xml:space="preserve">efficient and </w:t>
      </w:r>
      <w:r w:rsidR="001C2891">
        <w:rPr>
          <w:rFonts w:ascii="Times New Roman" w:hAnsi="Times New Roman"/>
          <w:sz w:val="24"/>
          <w:szCs w:val="24"/>
        </w:rPr>
        <w:t xml:space="preserve">there is downward pressure on </w:t>
      </w:r>
      <w:r>
        <w:rPr>
          <w:rFonts w:ascii="Times New Roman" w:hAnsi="Times New Roman"/>
          <w:sz w:val="24"/>
          <w:szCs w:val="24"/>
        </w:rPr>
        <w:t xml:space="preserve">margins.  As I explained above, COH’s SCO program allows suppliers to compete </w:t>
      </w:r>
      <w:r w:rsidR="00420504">
        <w:rPr>
          <w:rFonts w:ascii="Times New Roman" w:hAnsi="Times New Roman"/>
          <w:sz w:val="24"/>
          <w:szCs w:val="24"/>
        </w:rPr>
        <w:t>at the wholesale level</w:t>
      </w:r>
      <w:r>
        <w:rPr>
          <w:rFonts w:ascii="Times New Roman" w:hAnsi="Times New Roman"/>
          <w:sz w:val="24"/>
          <w:szCs w:val="24"/>
        </w:rPr>
        <w:t xml:space="preserve"> and </w:t>
      </w:r>
      <w:r w:rsidR="001C2891">
        <w:rPr>
          <w:rFonts w:ascii="Times New Roman" w:hAnsi="Times New Roman"/>
          <w:sz w:val="24"/>
          <w:szCs w:val="24"/>
        </w:rPr>
        <w:t xml:space="preserve">annually </w:t>
      </w:r>
      <w:r w:rsidR="00B31BBF">
        <w:rPr>
          <w:rFonts w:ascii="Times New Roman" w:hAnsi="Times New Roman"/>
          <w:sz w:val="24"/>
          <w:szCs w:val="24"/>
        </w:rPr>
        <w:t>produces</w:t>
      </w:r>
      <w:r>
        <w:rPr>
          <w:rFonts w:ascii="Times New Roman" w:hAnsi="Times New Roman"/>
          <w:sz w:val="24"/>
          <w:szCs w:val="24"/>
        </w:rPr>
        <w:t xml:space="preserve"> a reliable, lowest-cost alternative for residential customers</w:t>
      </w:r>
      <w:r w:rsidR="00B31BBF">
        <w:rPr>
          <w:rFonts w:ascii="Times New Roman" w:hAnsi="Times New Roman"/>
          <w:sz w:val="24"/>
          <w:szCs w:val="24"/>
        </w:rPr>
        <w:t xml:space="preserve"> that </w:t>
      </w:r>
      <w:r w:rsidR="00420504">
        <w:rPr>
          <w:rFonts w:ascii="Times New Roman" w:hAnsi="Times New Roman"/>
          <w:sz w:val="24"/>
          <w:szCs w:val="24"/>
        </w:rPr>
        <w:t xml:space="preserve">prefer </w:t>
      </w:r>
      <w:r w:rsidR="00632F7B">
        <w:rPr>
          <w:rFonts w:ascii="Times New Roman" w:hAnsi="Times New Roman"/>
          <w:sz w:val="24"/>
          <w:szCs w:val="24"/>
        </w:rPr>
        <w:t xml:space="preserve">taking </w:t>
      </w:r>
      <w:r w:rsidR="00420504">
        <w:rPr>
          <w:rFonts w:ascii="Times New Roman" w:hAnsi="Times New Roman"/>
          <w:sz w:val="24"/>
          <w:szCs w:val="24"/>
        </w:rPr>
        <w:t>a</w:t>
      </w:r>
      <w:r w:rsidR="00B31BBF">
        <w:rPr>
          <w:rFonts w:ascii="Times New Roman" w:hAnsi="Times New Roman"/>
          <w:sz w:val="24"/>
          <w:szCs w:val="24"/>
        </w:rPr>
        <w:t xml:space="preserve"> variable rate</w:t>
      </w:r>
      <w:r>
        <w:rPr>
          <w:rFonts w:ascii="Times New Roman" w:hAnsi="Times New Roman"/>
          <w:sz w:val="24"/>
          <w:szCs w:val="24"/>
        </w:rPr>
        <w:t xml:space="preserve">.  With this outcome, the </w:t>
      </w:r>
      <w:r>
        <w:rPr>
          <w:rFonts w:ascii="Times New Roman" w:hAnsi="Times New Roman"/>
          <w:sz w:val="24"/>
          <w:szCs w:val="24"/>
        </w:rPr>
        <w:lastRenderedPageBreak/>
        <w:t xml:space="preserve">SCO program is </w:t>
      </w:r>
      <w:r w:rsidR="001C2891">
        <w:rPr>
          <w:rFonts w:ascii="Times New Roman" w:hAnsi="Times New Roman"/>
          <w:sz w:val="24"/>
          <w:szCs w:val="24"/>
        </w:rPr>
        <w:t>a proven, reliable, and</w:t>
      </w:r>
      <w:r>
        <w:rPr>
          <w:rFonts w:ascii="Times New Roman" w:hAnsi="Times New Roman"/>
          <w:sz w:val="24"/>
          <w:szCs w:val="24"/>
        </w:rPr>
        <w:t xml:space="preserve"> cost-effective tool to </w:t>
      </w:r>
      <w:r w:rsidR="004557F6">
        <w:rPr>
          <w:rFonts w:ascii="Times New Roman" w:hAnsi="Times New Roman"/>
          <w:sz w:val="24"/>
          <w:szCs w:val="24"/>
        </w:rPr>
        <w:t>transition the merchant function responsibilities from</w:t>
      </w:r>
      <w:r>
        <w:rPr>
          <w:rFonts w:ascii="Times New Roman" w:hAnsi="Times New Roman"/>
          <w:sz w:val="24"/>
          <w:szCs w:val="24"/>
        </w:rPr>
        <w:t xml:space="preserve"> COH </w:t>
      </w:r>
      <w:r w:rsidR="004557F6">
        <w:rPr>
          <w:rFonts w:ascii="Times New Roman" w:hAnsi="Times New Roman"/>
          <w:sz w:val="24"/>
          <w:szCs w:val="24"/>
        </w:rPr>
        <w:t>to the competitive market place</w:t>
      </w:r>
      <w:r>
        <w:rPr>
          <w:rFonts w:ascii="Times New Roman" w:hAnsi="Times New Roman"/>
          <w:sz w:val="24"/>
          <w:szCs w:val="24"/>
        </w:rPr>
        <w:t>.  As such, COH’s SCO program clearly fulfills Ohio policy to achieve effective competition for gas supply procurement.</w:t>
      </w:r>
    </w:p>
    <w:p w:rsidR="00053086" w:rsidRPr="008032AC" w:rsidRDefault="00053086" w:rsidP="006F5940">
      <w:pPr>
        <w:spacing w:after="0" w:line="480" w:lineRule="auto"/>
        <w:jc w:val="both"/>
        <w:rPr>
          <w:rFonts w:ascii="Times New Roman" w:hAnsi="Times New Roman"/>
          <w:b/>
          <w:sz w:val="24"/>
          <w:szCs w:val="24"/>
        </w:rPr>
      </w:pPr>
      <w:r w:rsidRPr="008032AC">
        <w:rPr>
          <w:rFonts w:ascii="Times New Roman" w:hAnsi="Times New Roman"/>
          <w:b/>
          <w:sz w:val="24"/>
          <w:szCs w:val="24"/>
        </w:rPr>
        <w:t>Q.</w:t>
      </w:r>
      <w:r w:rsidRPr="008032AC">
        <w:rPr>
          <w:rFonts w:ascii="Times New Roman" w:hAnsi="Times New Roman"/>
          <w:b/>
          <w:sz w:val="24"/>
          <w:szCs w:val="24"/>
        </w:rPr>
        <w:tab/>
        <w:t xml:space="preserve">How do you respond to </w:t>
      </w:r>
      <w:r w:rsidR="00C83CD2">
        <w:rPr>
          <w:rFonts w:ascii="Times New Roman" w:hAnsi="Times New Roman"/>
          <w:b/>
          <w:sz w:val="24"/>
          <w:szCs w:val="24"/>
        </w:rPr>
        <w:t xml:space="preserve">the </w:t>
      </w:r>
      <w:r w:rsidRPr="008032AC">
        <w:rPr>
          <w:rFonts w:ascii="Times New Roman" w:hAnsi="Times New Roman"/>
          <w:b/>
          <w:sz w:val="24"/>
          <w:szCs w:val="24"/>
        </w:rPr>
        <w:t xml:space="preserve">argument that the </w:t>
      </w:r>
      <w:r w:rsidR="008D76BB" w:rsidRPr="00960A39">
        <w:rPr>
          <w:rFonts w:ascii="Times New Roman" w:hAnsi="Times New Roman"/>
          <w:b/>
          <w:sz w:val="24"/>
          <w:szCs w:val="24"/>
        </w:rPr>
        <w:t>Amended</w:t>
      </w:r>
      <w:r w:rsidR="00D60A34">
        <w:rPr>
          <w:rFonts w:ascii="Times New Roman" w:hAnsi="Times New Roman"/>
          <w:sz w:val="24"/>
          <w:szCs w:val="24"/>
        </w:rPr>
        <w:t xml:space="preserve"> </w:t>
      </w:r>
      <w:r w:rsidRPr="008032AC">
        <w:rPr>
          <w:rFonts w:ascii="Times New Roman" w:hAnsi="Times New Roman"/>
          <w:b/>
          <w:sz w:val="24"/>
          <w:szCs w:val="24"/>
        </w:rPr>
        <w:t xml:space="preserve">Stipulation </w:t>
      </w:r>
      <w:r>
        <w:rPr>
          <w:rFonts w:ascii="Times New Roman" w:hAnsi="Times New Roman"/>
          <w:b/>
          <w:sz w:val="24"/>
          <w:szCs w:val="24"/>
        </w:rPr>
        <w:t xml:space="preserve">does not call for an automatic exit and </w:t>
      </w:r>
      <w:r w:rsidRPr="008032AC">
        <w:rPr>
          <w:rFonts w:ascii="Times New Roman" w:hAnsi="Times New Roman"/>
          <w:b/>
          <w:sz w:val="24"/>
          <w:szCs w:val="24"/>
        </w:rPr>
        <w:t xml:space="preserve">only </w:t>
      </w:r>
      <w:r w:rsidR="00D60A34">
        <w:rPr>
          <w:rFonts w:ascii="Times New Roman" w:hAnsi="Times New Roman"/>
          <w:b/>
          <w:sz w:val="24"/>
          <w:szCs w:val="24"/>
        </w:rPr>
        <w:t>provides that</w:t>
      </w:r>
      <w:r w:rsidR="00D60A34" w:rsidRPr="008032AC">
        <w:rPr>
          <w:rFonts w:ascii="Times New Roman" w:hAnsi="Times New Roman"/>
          <w:b/>
          <w:sz w:val="24"/>
          <w:szCs w:val="24"/>
        </w:rPr>
        <w:t xml:space="preserve"> </w:t>
      </w:r>
      <w:r w:rsidRPr="008032AC">
        <w:rPr>
          <w:rFonts w:ascii="Times New Roman" w:hAnsi="Times New Roman"/>
          <w:b/>
          <w:sz w:val="24"/>
          <w:szCs w:val="24"/>
        </w:rPr>
        <w:t xml:space="preserve">COH </w:t>
      </w:r>
      <w:r w:rsidR="00D60A34">
        <w:rPr>
          <w:rFonts w:ascii="Times New Roman" w:hAnsi="Times New Roman"/>
          <w:b/>
          <w:sz w:val="24"/>
          <w:szCs w:val="24"/>
        </w:rPr>
        <w:t>may</w:t>
      </w:r>
      <w:r w:rsidR="00D60A34" w:rsidRPr="008032AC">
        <w:rPr>
          <w:rFonts w:ascii="Times New Roman" w:hAnsi="Times New Roman"/>
          <w:b/>
          <w:sz w:val="24"/>
          <w:szCs w:val="24"/>
        </w:rPr>
        <w:t xml:space="preserve"> </w:t>
      </w:r>
      <w:r w:rsidRPr="008032AC">
        <w:rPr>
          <w:rFonts w:ascii="Times New Roman" w:hAnsi="Times New Roman"/>
          <w:b/>
          <w:sz w:val="24"/>
          <w:szCs w:val="24"/>
        </w:rPr>
        <w:t xml:space="preserve">file an application </w:t>
      </w:r>
      <w:r>
        <w:rPr>
          <w:rFonts w:ascii="Times New Roman" w:hAnsi="Times New Roman"/>
          <w:b/>
          <w:sz w:val="24"/>
          <w:szCs w:val="24"/>
        </w:rPr>
        <w:t>where the Commission could make a final decision on the residential exit</w:t>
      </w:r>
      <w:r w:rsidRPr="008032AC">
        <w:rPr>
          <w:rFonts w:ascii="Times New Roman" w:hAnsi="Times New Roman"/>
          <w:b/>
          <w:sz w:val="24"/>
          <w:szCs w:val="24"/>
        </w:rPr>
        <w:t>?</w:t>
      </w:r>
    </w:p>
    <w:p w:rsidR="0069097F" w:rsidRDefault="00053086" w:rsidP="006F5940">
      <w:pPr>
        <w:spacing w:after="0" w:line="48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 understand the </w:t>
      </w:r>
      <w:r w:rsidR="00D60A34">
        <w:rPr>
          <w:rFonts w:ascii="Times New Roman" w:hAnsi="Times New Roman"/>
          <w:sz w:val="24"/>
          <w:szCs w:val="24"/>
        </w:rPr>
        <w:t xml:space="preserve">Amended </w:t>
      </w:r>
      <w:r>
        <w:rPr>
          <w:rFonts w:ascii="Times New Roman" w:hAnsi="Times New Roman"/>
          <w:sz w:val="24"/>
          <w:szCs w:val="24"/>
        </w:rPr>
        <w:t xml:space="preserve">Stipulation’s provision; however, I believe a Commission order approving this framework will severely undermine the SCO </w:t>
      </w:r>
      <w:r w:rsidR="00595FDB">
        <w:rPr>
          <w:rFonts w:ascii="Times New Roman" w:hAnsi="Times New Roman"/>
          <w:sz w:val="24"/>
          <w:szCs w:val="24"/>
        </w:rPr>
        <w:t xml:space="preserve">and retail </w:t>
      </w:r>
      <w:r>
        <w:rPr>
          <w:rFonts w:ascii="Times New Roman" w:hAnsi="Times New Roman"/>
          <w:sz w:val="24"/>
          <w:szCs w:val="24"/>
        </w:rPr>
        <w:t>market</w:t>
      </w:r>
      <w:r w:rsidR="00595FDB">
        <w:rPr>
          <w:rFonts w:ascii="Times New Roman" w:hAnsi="Times New Roman"/>
          <w:sz w:val="24"/>
          <w:szCs w:val="24"/>
        </w:rPr>
        <w:t>s</w:t>
      </w:r>
      <w:r>
        <w:rPr>
          <w:rFonts w:ascii="Times New Roman" w:hAnsi="Times New Roman"/>
          <w:sz w:val="24"/>
          <w:szCs w:val="24"/>
        </w:rPr>
        <w:t xml:space="preserve"> and </w:t>
      </w:r>
      <w:r w:rsidR="00595FDB">
        <w:rPr>
          <w:rFonts w:ascii="Times New Roman" w:hAnsi="Times New Roman"/>
          <w:sz w:val="24"/>
          <w:szCs w:val="24"/>
        </w:rPr>
        <w:t>unnecessarily</w:t>
      </w:r>
      <w:r>
        <w:rPr>
          <w:rFonts w:ascii="Times New Roman" w:hAnsi="Times New Roman"/>
          <w:sz w:val="24"/>
          <w:szCs w:val="24"/>
        </w:rPr>
        <w:t xml:space="preserve"> increase residential customers’ prices.  </w:t>
      </w:r>
      <w:r w:rsidR="00595FDB">
        <w:rPr>
          <w:rFonts w:ascii="Times New Roman" w:hAnsi="Times New Roman"/>
          <w:sz w:val="24"/>
          <w:szCs w:val="24"/>
        </w:rPr>
        <w:t xml:space="preserve">At first glance, it seems that COH could be several years removed from reaching the 70% trigger for residential customers.  However, if one or two large municipal aggregations occur in the COH service territory, the shopping statistics could change dramatically in a very short timeframe.  </w:t>
      </w:r>
      <w:r w:rsidR="00A10829">
        <w:rPr>
          <w:rFonts w:ascii="Times New Roman" w:hAnsi="Times New Roman"/>
          <w:sz w:val="24"/>
          <w:szCs w:val="24"/>
        </w:rPr>
        <w:t>If</w:t>
      </w:r>
      <w:r w:rsidR="00595FDB">
        <w:rPr>
          <w:rFonts w:ascii="Times New Roman" w:hAnsi="Times New Roman"/>
          <w:sz w:val="24"/>
          <w:szCs w:val="24"/>
        </w:rPr>
        <w:t xml:space="preserve"> the Commission approves the </w:t>
      </w:r>
      <w:r w:rsidR="00D60A34">
        <w:rPr>
          <w:rFonts w:ascii="Times New Roman" w:hAnsi="Times New Roman"/>
          <w:sz w:val="24"/>
          <w:szCs w:val="24"/>
        </w:rPr>
        <w:t xml:space="preserve">Amended </w:t>
      </w:r>
      <w:r w:rsidR="00595FDB">
        <w:rPr>
          <w:rFonts w:ascii="Times New Roman" w:hAnsi="Times New Roman"/>
          <w:sz w:val="24"/>
          <w:szCs w:val="24"/>
        </w:rPr>
        <w:t xml:space="preserve">Stipulation’s residential exit framework, </w:t>
      </w:r>
      <w:r w:rsidR="00593540">
        <w:rPr>
          <w:rFonts w:ascii="Times New Roman" w:hAnsi="Times New Roman"/>
          <w:sz w:val="24"/>
          <w:szCs w:val="24"/>
        </w:rPr>
        <w:t>most participa</w:t>
      </w:r>
      <w:r w:rsidR="00BF0625">
        <w:rPr>
          <w:rFonts w:ascii="Times New Roman" w:hAnsi="Times New Roman"/>
          <w:sz w:val="24"/>
          <w:szCs w:val="24"/>
        </w:rPr>
        <w:t xml:space="preserve">ting SCO bidders </w:t>
      </w:r>
      <w:r w:rsidR="00593540">
        <w:rPr>
          <w:rFonts w:ascii="Times New Roman" w:hAnsi="Times New Roman"/>
          <w:sz w:val="24"/>
          <w:szCs w:val="24"/>
        </w:rPr>
        <w:t>will infer that the Commission considers 70% a reasonable level at which to terminate SCO service.  T</w:t>
      </w:r>
      <w:r w:rsidR="00595FDB">
        <w:rPr>
          <w:rFonts w:ascii="Times New Roman" w:hAnsi="Times New Roman"/>
          <w:sz w:val="24"/>
          <w:szCs w:val="24"/>
        </w:rPr>
        <w:t>he Commission will be creating a great deal of regulator</w:t>
      </w:r>
      <w:r w:rsidR="00CF65EE">
        <w:rPr>
          <w:rFonts w:ascii="Times New Roman" w:hAnsi="Times New Roman"/>
          <w:sz w:val="24"/>
          <w:szCs w:val="24"/>
        </w:rPr>
        <w:t xml:space="preserve">y uncertainty in the SCO market.  </w:t>
      </w:r>
      <w:r w:rsidR="00595FDB">
        <w:rPr>
          <w:rFonts w:ascii="Times New Roman" w:hAnsi="Times New Roman"/>
          <w:sz w:val="24"/>
          <w:szCs w:val="24"/>
        </w:rPr>
        <w:t xml:space="preserve">SCO bidders will not be incented to continue to make long-term investments if there is the potential that the SCO program could be discontinued </w:t>
      </w:r>
      <w:r w:rsidR="00A10829">
        <w:rPr>
          <w:rFonts w:ascii="Times New Roman" w:hAnsi="Times New Roman"/>
          <w:sz w:val="24"/>
          <w:szCs w:val="24"/>
        </w:rPr>
        <w:t>at any moment</w:t>
      </w:r>
      <w:r w:rsidR="00595FDB">
        <w:rPr>
          <w:rFonts w:ascii="Times New Roman" w:hAnsi="Times New Roman"/>
          <w:sz w:val="24"/>
          <w:szCs w:val="24"/>
        </w:rPr>
        <w:t xml:space="preserve">.  </w:t>
      </w:r>
      <w:r w:rsidR="00A10829">
        <w:rPr>
          <w:rFonts w:ascii="Times New Roman" w:hAnsi="Times New Roman"/>
          <w:sz w:val="24"/>
          <w:szCs w:val="24"/>
        </w:rPr>
        <w:t xml:space="preserve">As a result, </w:t>
      </w:r>
      <w:r w:rsidR="00A155FB">
        <w:rPr>
          <w:rFonts w:ascii="Times New Roman" w:hAnsi="Times New Roman"/>
          <w:sz w:val="24"/>
          <w:szCs w:val="24"/>
        </w:rPr>
        <w:t>SCO prices will increase w</w:t>
      </w:r>
      <w:r w:rsidR="00AB34BA">
        <w:rPr>
          <w:rFonts w:ascii="Times New Roman" w:hAnsi="Times New Roman"/>
          <w:sz w:val="24"/>
          <w:szCs w:val="24"/>
        </w:rPr>
        <w:t>ithout the</w:t>
      </w:r>
      <w:r w:rsidR="00CF65EE">
        <w:rPr>
          <w:rFonts w:ascii="Times New Roman" w:hAnsi="Times New Roman"/>
          <w:sz w:val="24"/>
          <w:szCs w:val="24"/>
        </w:rPr>
        <w:t xml:space="preserve"> proper</w:t>
      </w:r>
      <w:r w:rsidR="00AB34BA">
        <w:rPr>
          <w:rFonts w:ascii="Times New Roman" w:hAnsi="Times New Roman"/>
          <w:sz w:val="24"/>
          <w:szCs w:val="24"/>
        </w:rPr>
        <w:t xml:space="preserve"> </w:t>
      </w:r>
      <w:r w:rsidR="00CF65EE">
        <w:rPr>
          <w:rFonts w:ascii="Times New Roman" w:hAnsi="Times New Roman"/>
          <w:sz w:val="24"/>
          <w:szCs w:val="24"/>
        </w:rPr>
        <w:t xml:space="preserve">long-term </w:t>
      </w:r>
      <w:r w:rsidR="00AB34BA">
        <w:rPr>
          <w:rFonts w:ascii="Times New Roman" w:hAnsi="Times New Roman"/>
          <w:sz w:val="24"/>
          <w:szCs w:val="24"/>
        </w:rPr>
        <w:t>incentive</w:t>
      </w:r>
      <w:r w:rsidR="00CF65EE">
        <w:rPr>
          <w:rFonts w:ascii="Times New Roman" w:hAnsi="Times New Roman"/>
          <w:sz w:val="24"/>
          <w:szCs w:val="24"/>
        </w:rPr>
        <w:t>s in place</w:t>
      </w:r>
      <w:r w:rsidR="00AB34BA">
        <w:rPr>
          <w:rFonts w:ascii="Times New Roman" w:hAnsi="Times New Roman"/>
          <w:sz w:val="24"/>
          <w:szCs w:val="24"/>
        </w:rPr>
        <w:t>.</w:t>
      </w:r>
    </w:p>
    <w:p w:rsidR="00502C06" w:rsidRDefault="0069097F" w:rsidP="0069097F">
      <w:pPr>
        <w:spacing w:after="0" w:line="480" w:lineRule="auto"/>
        <w:ind w:firstLine="720"/>
        <w:jc w:val="both"/>
        <w:rPr>
          <w:rFonts w:ascii="Times New Roman" w:hAnsi="Times New Roman"/>
          <w:sz w:val="24"/>
          <w:szCs w:val="24"/>
        </w:rPr>
      </w:pPr>
      <w:r>
        <w:rPr>
          <w:rFonts w:ascii="Times New Roman" w:hAnsi="Times New Roman"/>
          <w:sz w:val="24"/>
          <w:szCs w:val="24"/>
        </w:rPr>
        <w:t>But, the negative impacts of the proposed framework are</w:t>
      </w:r>
      <w:r w:rsidR="00AB208E">
        <w:rPr>
          <w:rFonts w:ascii="Times New Roman" w:hAnsi="Times New Roman"/>
          <w:sz w:val="24"/>
          <w:szCs w:val="24"/>
        </w:rPr>
        <w:t xml:space="preserve"> not isolated to the SCO market as it will also</w:t>
      </w:r>
      <w:r w:rsidR="00A9143B">
        <w:rPr>
          <w:rFonts w:ascii="Times New Roman" w:hAnsi="Times New Roman"/>
          <w:sz w:val="24"/>
          <w:szCs w:val="24"/>
        </w:rPr>
        <w:t xml:space="preserve"> introduce</w:t>
      </w:r>
      <w:r w:rsidR="00C75F2B">
        <w:rPr>
          <w:rFonts w:ascii="Times New Roman" w:hAnsi="Times New Roman"/>
          <w:sz w:val="24"/>
          <w:szCs w:val="24"/>
        </w:rPr>
        <w:t xml:space="preserve"> regulatory uncertainty and</w:t>
      </w:r>
      <w:r w:rsidR="00960EA0">
        <w:rPr>
          <w:rFonts w:ascii="Times New Roman" w:hAnsi="Times New Roman"/>
          <w:sz w:val="24"/>
          <w:szCs w:val="24"/>
        </w:rPr>
        <w:t xml:space="preserve"> open the door for</w:t>
      </w:r>
      <w:r w:rsidR="00A9143B">
        <w:rPr>
          <w:rFonts w:ascii="Times New Roman" w:hAnsi="Times New Roman"/>
          <w:sz w:val="24"/>
          <w:szCs w:val="24"/>
        </w:rPr>
        <w:t xml:space="preserve"> inefficienc</w:t>
      </w:r>
      <w:r w:rsidR="00C75F2B">
        <w:rPr>
          <w:rFonts w:ascii="Times New Roman" w:hAnsi="Times New Roman"/>
          <w:sz w:val="24"/>
          <w:szCs w:val="24"/>
        </w:rPr>
        <w:t xml:space="preserve">ies </w:t>
      </w:r>
      <w:r w:rsidR="00960EA0">
        <w:rPr>
          <w:rFonts w:ascii="Times New Roman" w:hAnsi="Times New Roman"/>
          <w:sz w:val="24"/>
          <w:szCs w:val="24"/>
        </w:rPr>
        <w:t>in</w:t>
      </w:r>
      <w:r w:rsidR="00C75F2B">
        <w:rPr>
          <w:rFonts w:ascii="Times New Roman" w:hAnsi="Times New Roman"/>
          <w:sz w:val="24"/>
          <w:szCs w:val="24"/>
        </w:rPr>
        <w:t xml:space="preserve"> </w:t>
      </w:r>
      <w:r w:rsidR="00CF65EE">
        <w:rPr>
          <w:rFonts w:ascii="Times New Roman" w:hAnsi="Times New Roman"/>
          <w:sz w:val="24"/>
          <w:szCs w:val="24"/>
        </w:rPr>
        <w:t xml:space="preserve">the </w:t>
      </w:r>
      <w:r w:rsidR="00C75F2B">
        <w:rPr>
          <w:rFonts w:ascii="Times New Roman" w:hAnsi="Times New Roman"/>
          <w:sz w:val="24"/>
          <w:szCs w:val="24"/>
        </w:rPr>
        <w:t xml:space="preserve">retail </w:t>
      </w:r>
      <w:r w:rsidR="00960EA0">
        <w:rPr>
          <w:rFonts w:ascii="Times New Roman" w:hAnsi="Times New Roman"/>
          <w:sz w:val="24"/>
          <w:szCs w:val="24"/>
        </w:rPr>
        <w:t xml:space="preserve">market.  </w:t>
      </w:r>
      <w:r w:rsidR="00C75F2B">
        <w:rPr>
          <w:rFonts w:ascii="Times New Roman" w:hAnsi="Times New Roman"/>
          <w:sz w:val="24"/>
          <w:szCs w:val="24"/>
        </w:rPr>
        <w:t xml:space="preserve"> </w:t>
      </w:r>
      <w:r w:rsidR="00E1606E">
        <w:rPr>
          <w:rFonts w:ascii="Times New Roman" w:hAnsi="Times New Roman"/>
          <w:sz w:val="24"/>
          <w:szCs w:val="24"/>
        </w:rPr>
        <w:t>With the potential elimination of the SCO program, retail</w:t>
      </w:r>
      <w:r w:rsidR="00960EA0">
        <w:rPr>
          <w:rFonts w:ascii="Times New Roman" w:hAnsi="Times New Roman"/>
          <w:sz w:val="24"/>
          <w:szCs w:val="24"/>
        </w:rPr>
        <w:t xml:space="preserve"> suppliers</w:t>
      </w:r>
      <w:r w:rsidR="00C75F2B">
        <w:rPr>
          <w:rFonts w:ascii="Times New Roman" w:hAnsi="Times New Roman"/>
          <w:sz w:val="24"/>
          <w:szCs w:val="24"/>
        </w:rPr>
        <w:t xml:space="preserve"> </w:t>
      </w:r>
      <w:r w:rsidR="00E1606E">
        <w:rPr>
          <w:rFonts w:ascii="Times New Roman" w:hAnsi="Times New Roman"/>
          <w:sz w:val="24"/>
          <w:szCs w:val="24"/>
        </w:rPr>
        <w:t>will be incented to make</w:t>
      </w:r>
      <w:r w:rsidR="00A9143B">
        <w:rPr>
          <w:rFonts w:ascii="Times New Roman" w:hAnsi="Times New Roman"/>
          <w:sz w:val="24"/>
          <w:szCs w:val="24"/>
        </w:rPr>
        <w:t xml:space="preserve"> investments that</w:t>
      </w:r>
      <w:r w:rsidR="00E1606E">
        <w:rPr>
          <w:rFonts w:ascii="Times New Roman" w:hAnsi="Times New Roman"/>
          <w:sz w:val="24"/>
          <w:szCs w:val="24"/>
        </w:rPr>
        <w:t xml:space="preserve"> they</w:t>
      </w:r>
      <w:r w:rsidR="00CF65EE">
        <w:rPr>
          <w:rFonts w:ascii="Times New Roman" w:hAnsi="Times New Roman"/>
          <w:sz w:val="24"/>
          <w:szCs w:val="24"/>
        </w:rPr>
        <w:t xml:space="preserve"> otherwise</w:t>
      </w:r>
      <w:r w:rsidR="00A9143B">
        <w:rPr>
          <w:rFonts w:ascii="Times New Roman" w:hAnsi="Times New Roman"/>
          <w:sz w:val="24"/>
          <w:szCs w:val="24"/>
        </w:rPr>
        <w:t xml:space="preserve"> would not make.  </w:t>
      </w:r>
      <w:r w:rsidR="001208F6">
        <w:rPr>
          <w:rFonts w:ascii="Times New Roman" w:hAnsi="Times New Roman"/>
          <w:sz w:val="24"/>
          <w:szCs w:val="24"/>
        </w:rPr>
        <w:t xml:space="preserve">For instance, if an MVR assignment methodology is predicated on some form of proportional market share at the time of exit, retail </w:t>
      </w:r>
      <w:r w:rsidR="001208F6">
        <w:rPr>
          <w:rFonts w:ascii="Times New Roman" w:hAnsi="Times New Roman"/>
          <w:sz w:val="24"/>
          <w:szCs w:val="24"/>
        </w:rPr>
        <w:lastRenderedPageBreak/>
        <w:t xml:space="preserve">suppliers will be </w:t>
      </w:r>
      <w:r w:rsidR="00AB208E">
        <w:rPr>
          <w:rFonts w:ascii="Times New Roman" w:hAnsi="Times New Roman"/>
          <w:sz w:val="24"/>
          <w:szCs w:val="24"/>
        </w:rPr>
        <w:t>highly</w:t>
      </w:r>
      <w:r w:rsidR="001208F6">
        <w:rPr>
          <w:rFonts w:ascii="Times New Roman" w:hAnsi="Times New Roman"/>
          <w:sz w:val="24"/>
          <w:szCs w:val="24"/>
        </w:rPr>
        <w:t xml:space="preserve"> motivated to increase their </w:t>
      </w:r>
      <w:r w:rsidR="00AB208E">
        <w:rPr>
          <w:rFonts w:ascii="Times New Roman" w:hAnsi="Times New Roman"/>
          <w:sz w:val="24"/>
          <w:szCs w:val="24"/>
        </w:rPr>
        <w:t xml:space="preserve">shopping </w:t>
      </w:r>
      <w:r w:rsidR="001208F6">
        <w:rPr>
          <w:rFonts w:ascii="Times New Roman" w:hAnsi="Times New Roman"/>
          <w:sz w:val="24"/>
          <w:szCs w:val="24"/>
        </w:rPr>
        <w:t>market share</w:t>
      </w:r>
      <w:r w:rsidR="00AB208E">
        <w:rPr>
          <w:rFonts w:ascii="Times New Roman" w:hAnsi="Times New Roman"/>
          <w:sz w:val="24"/>
          <w:szCs w:val="24"/>
        </w:rPr>
        <w:t>s to increase the number of non-shopping customers that they are assigned at exit</w:t>
      </w:r>
      <w:r w:rsidR="001208F6">
        <w:rPr>
          <w:rFonts w:ascii="Times New Roman" w:hAnsi="Times New Roman"/>
          <w:sz w:val="24"/>
          <w:szCs w:val="24"/>
        </w:rPr>
        <w:t xml:space="preserve">.  </w:t>
      </w:r>
      <w:r w:rsidR="00AB208E">
        <w:rPr>
          <w:rFonts w:ascii="Times New Roman" w:hAnsi="Times New Roman"/>
          <w:sz w:val="24"/>
          <w:szCs w:val="24"/>
        </w:rPr>
        <w:t>This in</w:t>
      </w:r>
      <w:r w:rsidR="00C81EBA">
        <w:rPr>
          <w:rFonts w:ascii="Times New Roman" w:hAnsi="Times New Roman"/>
          <w:sz w:val="24"/>
          <w:szCs w:val="24"/>
        </w:rPr>
        <w:t>centive could lead suppliers to invest significantly more resources into</w:t>
      </w:r>
      <w:r w:rsidR="00AB208E">
        <w:rPr>
          <w:rFonts w:ascii="Times New Roman" w:hAnsi="Times New Roman"/>
          <w:sz w:val="24"/>
          <w:szCs w:val="24"/>
        </w:rPr>
        <w:t xml:space="preserve"> marketing efforts.  </w:t>
      </w:r>
      <w:r w:rsidR="001208F6">
        <w:rPr>
          <w:rFonts w:ascii="Times New Roman" w:hAnsi="Times New Roman"/>
          <w:sz w:val="24"/>
          <w:szCs w:val="24"/>
        </w:rPr>
        <w:t xml:space="preserve">However, </w:t>
      </w:r>
      <w:r w:rsidR="00382527">
        <w:rPr>
          <w:rFonts w:ascii="Times New Roman" w:hAnsi="Times New Roman"/>
          <w:sz w:val="24"/>
          <w:szCs w:val="24"/>
        </w:rPr>
        <w:t>if</w:t>
      </w:r>
      <w:r>
        <w:rPr>
          <w:rFonts w:ascii="Times New Roman" w:hAnsi="Times New Roman"/>
          <w:sz w:val="24"/>
          <w:szCs w:val="24"/>
        </w:rPr>
        <w:t xml:space="preserve"> residential shopping reaches 70%, but the Commission </w:t>
      </w:r>
      <w:r w:rsidR="00AB34BA">
        <w:rPr>
          <w:rFonts w:ascii="Times New Roman" w:hAnsi="Times New Roman"/>
          <w:sz w:val="24"/>
          <w:szCs w:val="24"/>
        </w:rPr>
        <w:t>postpones COH’s residential exit</w:t>
      </w:r>
      <w:r>
        <w:rPr>
          <w:rFonts w:ascii="Times New Roman" w:hAnsi="Times New Roman"/>
          <w:sz w:val="24"/>
          <w:szCs w:val="24"/>
        </w:rPr>
        <w:t xml:space="preserve">, those investments by retail suppliers will have been for </w:t>
      </w:r>
      <w:r w:rsidR="004A43EA">
        <w:rPr>
          <w:rFonts w:ascii="Times New Roman" w:hAnsi="Times New Roman"/>
          <w:sz w:val="24"/>
          <w:szCs w:val="24"/>
        </w:rPr>
        <w:t>naught</w:t>
      </w:r>
      <w:r>
        <w:rPr>
          <w:rFonts w:ascii="Times New Roman" w:hAnsi="Times New Roman"/>
          <w:sz w:val="24"/>
          <w:szCs w:val="24"/>
        </w:rPr>
        <w:t xml:space="preserve">.  </w:t>
      </w:r>
      <w:r w:rsidR="00CF65EE">
        <w:rPr>
          <w:rFonts w:ascii="Times New Roman" w:hAnsi="Times New Roman"/>
          <w:sz w:val="24"/>
          <w:szCs w:val="24"/>
        </w:rPr>
        <w:t>As a result, r</w:t>
      </w:r>
      <w:r w:rsidR="00265449">
        <w:rPr>
          <w:rFonts w:ascii="Times New Roman" w:hAnsi="Times New Roman"/>
          <w:sz w:val="24"/>
          <w:szCs w:val="24"/>
        </w:rPr>
        <w:t xml:space="preserve">etail suppliers will </w:t>
      </w:r>
      <w:r w:rsidR="0009757F">
        <w:rPr>
          <w:rFonts w:ascii="Times New Roman" w:hAnsi="Times New Roman"/>
          <w:sz w:val="24"/>
          <w:szCs w:val="24"/>
        </w:rPr>
        <w:t>be forced</w:t>
      </w:r>
      <w:r w:rsidR="00265449">
        <w:rPr>
          <w:rFonts w:ascii="Times New Roman" w:hAnsi="Times New Roman"/>
          <w:sz w:val="24"/>
          <w:szCs w:val="24"/>
        </w:rPr>
        <w:t xml:space="preserve"> to increase retail prices to offset the </w:t>
      </w:r>
      <w:r w:rsidR="00CF65EE">
        <w:rPr>
          <w:rFonts w:ascii="Times New Roman" w:hAnsi="Times New Roman"/>
          <w:sz w:val="24"/>
          <w:szCs w:val="24"/>
        </w:rPr>
        <w:t>financial loss</w:t>
      </w:r>
      <w:r w:rsidR="003C4A06">
        <w:rPr>
          <w:rFonts w:ascii="Times New Roman" w:hAnsi="Times New Roman"/>
          <w:sz w:val="24"/>
          <w:szCs w:val="24"/>
        </w:rPr>
        <w:t>es</w:t>
      </w:r>
      <w:r w:rsidR="00CF65EE">
        <w:rPr>
          <w:rFonts w:ascii="Times New Roman" w:hAnsi="Times New Roman"/>
          <w:sz w:val="24"/>
          <w:szCs w:val="24"/>
        </w:rPr>
        <w:t xml:space="preserve"> stemming from</w:t>
      </w:r>
      <w:r w:rsidR="00265449">
        <w:rPr>
          <w:rFonts w:ascii="Times New Roman" w:hAnsi="Times New Roman"/>
          <w:sz w:val="24"/>
          <w:szCs w:val="24"/>
        </w:rPr>
        <w:t xml:space="preserve"> their uneconomic over-investment</w:t>
      </w:r>
      <w:r w:rsidR="00AB208E">
        <w:rPr>
          <w:rFonts w:ascii="Times New Roman" w:hAnsi="Times New Roman"/>
          <w:sz w:val="24"/>
          <w:szCs w:val="24"/>
        </w:rPr>
        <w:t xml:space="preserve"> in the market</w:t>
      </w:r>
      <w:r w:rsidR="00265449">
        <w:rPr>
          <w:rFonts w:ascii="Times New Roman" w:hAnsi="Times New Roman"/>
          <w:sz w:val="24"/>
          <w:szCs w:val="24"/>
        </w:rPr>
        <w:t>.</w:t>
      </w:r>
    </w:p>
    <w:p w:rsidR="00053086" w:rsidRDefault="00E03924" w:rsidP="00502C06">
      <w:pPr>
        <w:spacing w:after="0" w:line="480" w:lineRule="auto"/>
        <w:ind w:firstLine="720"/>
        <w:jc w:val="both"/>
        <w:rPr>
          <w:rFonts w:ascii="Times New Roman" w:hAnsi="Times New Roman"/>
          <w:sz w:val="24"/>
          <w:szCs w:val="24"/>
        </w:rPr>
      </w:pPr>
      <w:r>
        <w:rPr>
          <w:rFonts w:ascii="Times New Roman" w:hAnsi="Times New Roman"/>
          <w:sz w:val="24"/>
          <w:szCs w:val="24"/>
        </w:rPr>
        <w:t xml:space="preserve">Given the potential that the Commission’s approval will lead to an increase in </w:t>
      </w:r>
      <w:r w:rsidR="00BD2970">
        <w:rPr>
          <w:rFonts w:ascii="Times New Roman" w:hAnsi="Times New Roman"/>
          <w:sz w:val="24"/>
          <w:szCs w:val="24"/>
        </w:rPr>
        <w:t xml:space="preserve">residential </w:t>
      </w:r>
      <w:r>
        <w:rPr>
          <w:rFonts w:ascii="Times New Roman" w:hAnsi="Times New Roman"/>
          <w:sz w:val="24"/>
          <w:szCs w:val="24"/>
        </w:rPr>
        <w:t>prices across the board</w:t>
      </w:r>
      <w:r w:rsidR="007D1332">
        <w:rPr>
          <w:rFonts w:ascii="Times New Roman" w:hAnsi="Times New Roman"/>
          <w:sz w:val="24"/>
          <w:szCs w:val="24"/>
        </w:rPr>
        <w:t>, I do not believe the proposed residential exit framework is in the public interest</w:t>
      </w:r>
      <w:r w:rsidR="00053086">
        <w:rPr>
          <w:rFonts w:ascii="Times New Roman" w:hAnsi="Times New Roman"/>
          <w:sz w:val="24"/>
          <w:szCs w:val="24"/>
        </w:rPr>
        <w:t>.</w:t>
      </w:r>
      <w:r w:rsidR="00593540">
        <w:rPr>
          <w:rFonts w:ascii="Times New Roman" w:hAnsi="Times New Roman"/>
          <w:sz w:val="24"/>
          <w:szCs w:val="24"/>
        </w:rPr>
        <w:t xml:space="preserve">  </w:t>
      </w:r>
      <w:r w:rsidR="00F16942">
        <w:rPr>
          <w:rFonts w:ascii="Times New Roman" w:hAnsi="Times New Roman"/>
          <w:sz w:val="24"/>
          <w:szCs w:val="24"/>
        </w:rPr>
        <w:t>The</w:t>
      </w:r>
      <w:r w:rsidR="00593540">
        <w:rPr>
          <w:rFonts w:ascii="Times New Roman" w:hAnsi="Times New Roman"/>
          <w:sz w:val="24"/>
          <w:szCs w:val="24"/>
        </w:rPr>
        <w:t xml:space="preserve"> Commission should indicate that 70% is not an acceptable threshold to trigger </w:t>
      </w:r>
      <w:r w:rsidR="00F16942">
        <w:rPr>
          <w:rFonts w:ascii="Times New Roman" w:hAnsi="Times New Roman"/>
          <w:sz w:val="24"/>
          <w:szCs w:val="24"/>
        </w:rPr>
        <w:t xml:space="preserve">an </w:t>
      </w:r>
      <w:r w:rsidR="00593540">
        <w:rPr>
          <w:rFonts w:ascii="Times New Roman" w:hAnsi="Times New Roman"/>
          <w:sz w:val="24"/>
          <w:szCs w:val="24"/>
        </w:rPr>
        <w:t xml:space="preserve">exit from the merchant </w:t>
      </w:r>
      <w:r w:rsidR="00F16942">
        <w:rPr>
          <w:rFonts w:ascii="Times New Roman" w:hAnsi="Times New Roman"/>
          <w:sz w:val="24"/>
          <w:szCs w:val="24"/>
        </w:rPr>
        <w:t>function and the elimination of the SCO program</w:t>
      </w:r>
      <w:r w:rsidR="00593540">
        <w:rPr>
          <w:rFonts w:ascii="Times New Roman" w:hAnsi="Times New Roman"/>
          <w:sz w:val="24"/>
          <w:szCs w:val="24"/>
        </w:rPr>
        <w:t>.</w:t>
      </w:r>
    </w:p>
    <w:p w:rsidR="00487A6D" w:rsidRPr="00960A39" w:rsidRDefault="008D76BB" w:rsidP="00960A39">
      <w:pPr>
        <w:spacing w:after="0" w:line="480" w:lineRule="auto"/>
        <w:jc w:val="both"/>
        <w:rPr>
          <w:rFonts w:ascii="Times New Roman" w:hAnsi="Times New Roman"/>
          <w:b/>
          <w:sz w:val="24"/>
          <w:szCs w:val="24"/>
        </w:rPr>
      </w:pPr>
      <w:r w:rsidRPr="00960A39">
        <w:rPr>
          <w:rFonts w:ascii="Times New Roman" w:hAnsi="Times New Roman"/>
          <w:b/>
          <w:sz w:val="24"/>
          <w:szCs w:val="24"/>
        </w:rPr>
        <w:t>Q.</w:t>
      </w:r>
      <w:r w:rsidRPr="00960A39">
        <w:rPr>
          <w:rFonts w:ascii="Times New Roman" w:hAnsi="Times New Roman"/>
          <w:b/>
          <w:sz w:val="24"/>
          <w:szCs w:val="24"/>
        </w:rPr>
        <w:tab/>
        <w:t xml:space="preserve">Do the Amended Stipulation’s </w:t>
      </w:r>
      <w:r w:rsidR="005E6E98">
        <w:rPr>
          <w:rFonts w:ascii="Times New Roman" w:hAnsi="Times New Roman"/>
          <w:b/>
          <w:sz w:val="24"/>
          <w:szCs w:val="24"/>
        </w:rPr>
        <w:t>revisions</w:t>
      </w:r>
      <w:r w:rsidRPr="00960A39">
        <w:rPr>
          <w:rFonts w:ascii="Times New Roman" w:hAnsi="Times New Roman"/>
          <w:b/>
          <w:sz w:val="24"/>
          <w:szCs w:val="24"/>
        </w:rPr>
        <w:t xml:space="preserve"> change your opinion </w:t>
      </w:r>
      <w:r w:rsidR="00AE26F4">
        <w:rPr>
          <w:rFonts w:ascii="Times New Roman" w:hAnsi="Times New Roman"/>
          <w:b/>
          <w:sz w:val="24"/>
          <w:szCs w:val="24"/>
        </w:rPr>
        <w:t>on this issue</w:t>
      </w:r>
      <w:r w:rsidRPr="00960A39">
        <w:rPr>
          <w:rFonts w:ascii="Times New Roman" w:hAnsi="Times New Roman"/>
          <w:b/>
          <w:sz w:val="24"/>
          <w:szCs w:val="24"/>
        </w:rPr>
        <w:t>?</w:t>
      </w:r>
    </w:p>
    <w:p w:rsidR="00487A6D" w:rsidRDefault="00AE26F4" w:rsidP="00960A39">
      <w:pPr>
        <w:spacing w:after="0" w:line="48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I understand that the Amended Stipulation only provides that COH may file a residential exit application once the thresholds are met and increases the time period before which COH may file a residential exit application.  However, if the Commission approves the Amended Stipulation’s residential exit framework, it would still be creating regulatory uncertainty in both the SCO and retail markets because the Commission would be sending a signal that 70% shopping is a reasonable level at which to terminate SCO service for residential customers.  As </w:t>
      </w:r>
      <w:r w:rsidR="0032121A">
        <w:rPr>
          <w:rFonts w:ascii="Times New Roman" w:hAnsi="Times New Roman"/>
          <w:sz w:val="24"/>
          <w:szCs w:val="24"/>
        </w:rPr>
        <w:t xml:space="preserve">I </w:t>
      </w:r>
      <w:r>
        <w:rPr>
          <w:rFonts w:ascii="Times New Roman" w:hAnsi="Times New Roman"/>
          <w:sz w:val="24"/>
          <w:szCs w:val="24"/>
        </w:rPr>
        <w:t xml:space="preserve">have explained above, </w:t>
      </w:r>
      <w:r w:rsidR="00CF5074">
        <w:rPr>
          <w:rFonts w:ascii="Times New Roman" w:hAnsi="Times New Roman"/>
          <w:sz w:val="24"/>
          <w:szCs w:val="24"/>
        </w:rPr>
        <w:t>such a</w:t>
      </w:r>
      <w:r>
        <w:rPr>
          <w:rFonts w:ascii="Times New Roman" w:hAnsi="Times New Roman"/>
          <w:sz w:val="24"/>
          <w:szCs w:val="24"/>
        </w:rPr>
        <w:t xml:space="preserve"> signal </w:t>
      </w:r>
      <w:r w:rsidR="00A05B6D">
        <w:rPr>
          <w:rFonts w:ascii="Times New Roman" w:hAnsi="Times New Roman"/>
          <w:sz w:val="24"/>
          <w:szCs w:val="24"/>
        </w:rPr>
        <w:t xml:space="preserve">from the Commission </w:t>
      </w:r>
      <w:r>
        <w:rPr>
          <w:rFonts w:ascii="Times New Roman" w:hAnsi="Times New Roman"/>
          <w:sz w:val="24"/>
          <w:szCs w:val="24"/>
        </w:rPr>
        <w:t xml:space="preserve">will result in </w:t>
      </w:r>
      <w:r w:rsidR="00942B56">
        <w:rPr>
          <w:rFonts w:ascii="Times New Roman" w:hAnsi="Times New Roman"/>
          <w:sz w:val="24"/>
          <w:szCs w:val="24"/>
        </w:rPr>
        <w:t xml:space="preserve">an increase in </w:t>
      </w:r>
      <w:r>
        <w:rPr>
          <w:rFonts w:ascii="Times New Roman" w:hAnsi="Times New Roman"/>
          <w:sz w:val="24"/>
          <w:szCs w:val="24"/>
        </w:rPr>
        <w:t>SCO and retail prices.</w:t>
      </w:r>
    </w:p>
    <w:p w:rsidR="00053086" w:rsidRPr="00615FD9" w:rsidRDefault="00053086" w:rsidP="007643E5">
      <w:pPr>
        <w:spacing w:after="0" w:line="480" w:lineRule="auto"/>
        <w:jc w:val="both"/>
        <w:rPr>
          <w:rFonts w:ascii="Times New Roman" w:hAnsi="Times New Roman"/>
          <w:b/>
          <w:sz w:val="24"/>
          <w:szCs w:val="24"/>
        </w:rPr>
      </w:pPr>
      <w:r w:rsidRPr="00615FD9">
        <w:rPr>
          <w:rFonts w:ascii="Times New Roman" w:hAnsi="Times New Roman"/>
          <w:b/>
          <w:sz w:val="24"/>
          <w:szCs w:val="24"/>
        </w:rPr>
        <w:t xml:space="preserve">Q. </w:t>
      </w:r>
      <w:r w:rsidRPr="00615FD9">
        <w:rPr>
          <w:rFonts w:ascii="Times New Roman" w:hAnsi="Times New Roman"/>
          <w:b/>
          <w:sz w:val="24"/>
          <w:szCs w:val="24"/>
        </w:rPr>
        <w:tab/>
        <w:t>Do you oppose retail competitive suppliers continuing to make offers to residential customers?</w:t>
      </w:r>
    </w:p>
    <w:p w:rsidR="00053086" w:rsidRDefault="00053086" w:rsidP="00DB1C73">
      <w:pPr>
        <w:spacing w:after="0" w:line="480" w:lineRule="auto"/>
        <w:jc w:val="bot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t>No</w:t>
      </w:r>
      <w:r w:rsidR="004A43EA">
        <w:rPr>
          <w:rFonts w:ascii="Times New Roman" w:hAnsi="Times New Roman"/>
          <w:sz w:val="24"/>
          <w:szCs w:val="24"/>
        </w:rPr>
        <w:t>, not at all</w:t>
      </w:r>
      <w:r>
        <w:rPr>
          <w:rFonts w:ascii="Times New Roman" w:hAnsi="Times New Roman"/>
          <w:sz w:val="24"/>
          <w:szCs w:val="24"/>
        </w:rPr>
        <w:t xml:space="preserve">.  Hess fully endorses the continuation of the residential retail market.  Suppliers should continue to be able </w:t>
      </w:r>
      <w:r w:rsidR="00A9143B">
        <w:rPr>
          <w:rFonts w:ascii="Times New Roman" w:hAnsi="Times New Roman"/>
          <w:sz w:val="24"/>
          <w:szCs w:val="24"/>
        </w:rPr>
        <w:t xml:space="preserve">to </w:t>
      </w:r>
      <w:r>
        <w:rPr>
          <w:rFonts w:ascii="Times New Roman" w:hAnsi="Times New Roman"/>
          <w:sz w:val="24"/>
          <w:szCs w:val="24"/>
        </w:rPr>
        <w:t xml:space="preserve">market various fixed- and variable-priced supply offerings to residential customers.  However, Hess opposes </w:t>
      </w:r>
      <w:r w:rsidR="00B430A2">
        <w:rPr>
          <w:rFonts w:ascii="Times New Roman" w:hAnsi="Times New Roman"/>
          <w:sz w:val="24"/>
          <w:szCs w:val="24"/>
        </w:rPr>
        <w:t>the proposed residential exit</w:t>
      </w:r>
      <w:r>
        <w:rPr>
          <w:rFonts w:ascii="Times New Roman" w:hAnsi="Times New Roman"/>
          <w:sz w:val="24"/>
          <w:szCs w:val="24"/>
        </w:rPr>
        <w:t xml:space="preserve"> framework </w:t>
      </w:r>
      <w:r w:rsidR="00B430A2">
        <w:rPr>
          <w:rFonts w:ascii="Times New Roman" w:hAnsi="Times New Roman"/>
          <w:sz w:val="24"/>
          <w:szCs w:val="24"/>
        </w:rPr>
        <w:t>because it</w:t>
      </w:r>
      <w:r>
        <w:rPr>
          <w:rFonts w:ascii="Times New Roman" w:hAnsi="Times New Roman"/>
          <w:sz w:val="24"/>
          <w:szCs w:val="24"/>
        </w:rPr>
        <w:t xml:space="preserve"> (i) </w:t>
      </w:r>
      <w:r w:rsidR="00114BEE">
        <w:rPr>
          <w:rFonts w:ascii="Times New Roman" w:hAnsi="Times New Roman"/>
          <w:sz w:val="24"/>
          <w:szCs w:val="24"/>
        </w:rPr>
        <w:t>could lead to</w:t>
      </w:r>
      <w:r>
        <w:rPr>
          <w:rFonts w:ascii="Times New Roman" w:hAnsi="Times New Roman"/>
          <w:sz w:val="24"/>
          <w:szCs w:val="24"/>
        </w:rPr>
        <w:t xml:space="preserve"> the elimination of the lowest-cost alternative for residential customers</w:t>
      </w:r>
      <w:r w:rsidR="00114BEE">
        <w:rPr>
          <w:rFonts w:ascii="Times New Roman" w:hAnsi="Times New Roman"/>
          <w:sz w:val="24"/>
          <w:szCs w:val="24"/>
        </w:rPr>
        <w:t xml:space="preserve"> at too low of shopping levels</w:t>
      </w:r>
      <w:r>
        <w:rPr>
          <w:rFonts w:ascii="Times New Roman" w:hAnsi="Times New Roman"/>
          <w:sz w:val="24"/>
          <w:szCs w:val="24"/>
        </w:rPr>
        <w:t xml:space="preserve">; (ii) removes a reliable, market-based benchmark that provides transparency for residential customers; </w:t>
      </w:r>
      <w:r w:rsidR="00265449">
        <w:rPr>
          <w:rFonts w:ascii="Times New Roman" w:hAnsi="Times New Roman"/>
          <w:sz w:val="24"/>
          <w:szCs w:val="24"/>
        </w:rPr>
        <w:t>(iii) creates regulatory uncertainty in the SCO and retail markets; and (iv</w:t>
      </w:r>
      <w:r>
        <w:rPr>
          <w:rFonts w:ascii="Times New Roman" w:hAnsi="Times New Roman"/>
          <w:sz w:val="24"/>
          <w:szCs w:val="24"/>
        </w:rPr>
        <w:t xml:space="preserve">) unilaterally assigns hundreds of thousands of non-shopping customers to MVR suppliers without their </w:t>
      </w:r>
      <w:r w:rsidRPr="00646036">
        <w:rPr>
          <w:rFonts w:ascii="Times New Roman" w:hAnsi="Times New Roman"/>
          <w:sz w:val="24"/>
          <w:szCs w:val="24"/>
        </w:rPr>
        <w:t>consent</w:t>
      </w:r>
      <w:r>
        <w:rPr>
          <w:rFonts w:ascii="Times New Roman" w:hAnsi="Times New Roman"/>
          <w:sz w:val="24"/>
          <w:szCs w:val="24"/>
        </w:rPr>
        <w:t xml:space="preserve"> at a higher monthly variable rate.</w:t>
      </w:r>
    </w:p>
    <w:p w:rsidR="00984B2D" w:rsidRPr="005B353C" w:rsidRDefault="00984B2D" w:rsidP="00DB1C73">
      <w:pPr>
        <w:spacing w:after="0" w:line="480" w:lineRule="auto"/>
        <w:jc w:val="both"/>
        <w:rPr>
          <w:rFonts w:ascii="Times New Roman" w:hAnsi="Times New Roman"/>
          <w:b/>
          <w:sz w:val="24"/>
          <w:szCs w:val="24"/>
        </w:rPr>
      </w:pPr>
      <w:r w:rsidRPr="005B353C">
        <w:rPr>
          <w:rFonts w:ascii="Times New Roman" w:hAnsi="Times New Roman"/>
          <w:b/>
          <w:sz w:val="24"/>
          <w:szCs w:val="24"/>
        </w:rPr>
        <w:t>Q.</w:t>
      </w:r>
      <w:r w:rsidRPr="005B353C">
        <w:rPr>
          <w:rFonts w:ascii="Times New Roman" w:hAnsi="Times New Roman"/>
          <w:b/>
          <w:sz w:val="24"/>
          <w:szCs w:val="24"/>
        </w:rPr>
        <w:tab/>
        <w:t xml:space="preserve">Can you please describe the </w:t>
      </w:r>
      <w:r w:rsidR="002D750B">
        <w:rPr>
          <w:rFonts w:ascii="Times New Roman" w:hAnsi="Times New Roman"/>
          <w:b/>
          <w:sz w:val="24"/>
          <w:szCs w:val="24"/>
        </w:rPr>
        <w:t xml:space="preserve">Amended </w:t>
      </w:r>
      <w:r w:rsidRPr="005B353C">
        <w:rPr>
          <w:rFonts w:ascii="Times New Roman" w:hAnsi="Times New Roman"/>
          <w:b/>
          <w:sz w:val="24"/>
          <w:szCs w:val="24"/>
        </w:rPr>
        <w:t xml:space="preserve">Stipulation’s new </w:t>
      </w:r>
      <w:r w:rsidR="005B353C" w:rsidRPr="005B353C">
        <w:rPr>
          <w:rFonts w:ascii="Times New Roman" w:hAnsi="Times New Roman"/>
          <w:b/>
          <w:sz w:val="24"/>
          <w:szCs w:val="24"/>
        </w:rPr>
        <w:t>$0.</w:t>
      </w:r>
      <w:r w:rsidR="002D750B">
        <w:rPr>
          <w:rFonts w:ascii="Times New Roman" w:hAnsi="Times New Roman"/>
          <w:b/>
          <w:sz w:val="24"/>
          <w:szCs w:val="24"/>
        </w:rPr>
        <w:t>06</w:t>
      </w:r>
      <w:r w:rsidR="005B353C" w:rsidRPr="005B353C">
        <w:rPr>
          <w:rFonts w:ascii="Times New Roman" w:hAnsi="Times New Roman"/>
          <w:b/>
          <w:sz w:val="24"/>
          <w:szCs w:val="24"/>
        </w:rPr>
        <w:t xml:space="preserve"> per Mcf charge to SCO suppliers?</w:t>
      </w:r>
    </w:p>
    <w:p w:rsidR="005B353C" w:rsidRDefault="005B353C" w:rsidP="00DB1C73">
      <w:pPr>
        <w:spacing w:after="0" w:line="48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In addition to the current Letter of Credit requirements for a winning SCO supplier to serve SCO tranches, the </w:t>
      </w:r>
      <w:r w:rsidR="008D76BB" w:rsidRPr="00960A39">
        <w:rPr>
          <w:rFonts w:ascii="Times New Roman" w:hAnsi="Times New Roman"/>
          <w:sz w:val="24"/>
          <w:szCs w:val="24"/>
        </w:rPr>
        <w:t>Amended</w:t>
      </w:r>
      <w:r w:rsidR="002D750B">
        <w:rPr>
          <w:rFonts w:ascii="Times New Roman" w:hAnsi="Times New Roman"/>
          <w:b/>
          <w:sz w:val="24"/>
          <w:szCs w:val="24"/>
        </w:rPr>
        <w:t xml:space="preserve"> </w:t>
      </w:r>
      <w:r>
        <w:rPr>
          <w:rFonts w:ascii="Times New Roman" w:hAnsi="Times New Roman"/>
          <w:sz w:val="24"/>
          <w:szCs w:val="24"/>
        </w:rPr>
        <w:t>Stipulation calls for SCO suppliers to provide a cash “deposit” of $0.</w:t>
      </w:r>
      <w:r w:rsidR="002D750B">
        <w:rPr>
          <w:rFonts w:ascii="Times New Roman" w:hAnsi="Times New Roman"/>
          <w:sz w:val="24"/>
          <w:szCs w:val="24"/>
        </w:rPr>
        <w:t>06</w:t>
      </w:r>
      <w:r>
        <w:rPr>
          <w:rFonts w:ascii="Times New Roman" w:hAnsi="Times New Roman"/>
          <w:sz w:val="24"/>
          <w:szCs w:val="24"/>
        </w:rPr>
        <w:t xml:space="preserve"> per Mcf as security.</w:t>
      </w:r>
      <w:r w:rsidR="00F635B0">
        <w:rPr>
          <w:rStyle w:val="FootnoteReference"/>
          <w:rFonts w:ascii="Times New Roman" w:hAnsi="Times New Roman"/>
          <w:sz w:val="24"/>
          <w:szCs w:val="24"/>
        </w:rPr>
        <w:footnoteReference w:id="10"/>
      </w:r>
      <w:r>
        <w:rPr>
          <w:rFonts w:ascii="Times New Roman" w:hAnsi="Times New Roman"/>
          <w:sz w:val="24"/>
          <w:szCs w:val="24"/>
        </w:rPr>
        <w:t xml:space="preserve">  The </w:t>
      </w:r>
      <w:r w:rsidR="008D76BB" w:rsidRPr="00960A39">
        <w:rPr>
          <w:rFonts w:ascii="Times New Roman" w:hAnsi="Times New Roman"/>
          <w:sz w:val="24"/>
          <w:szCs w:val="24"/>
        </w:rPr>
        <w:t>Amended</w:t>
      </w:r>
      <w:r w:rsidR="002D750B">
        <w:rPr>
          <w:rFonts w:ascii="Times New Roman" w:hAnsi="Times New Roman"/>
          <w:b/>
          <w:sz w:val="24"/>
          <w:szCs w:val="24"/>
        </w:rPr>
        <w:t xml:space="preserve"> </w:t>
      </w:r>
      <w:r>
        <w:rPr>
          <w:rFonts w:ascii="Times New Roman" w:hAnsi="Times New Roman"/>
          <w:sz w:val="24"/>
          <w:szCs w:val="24"/>
        </w:rPr>
        <w:t>Stipulation explains that the “security will provide a liquid account to meet supply default expenses incurred by Columbia other than compensation to the non-defaulting SCO Suppliers.”</w:t>
      </w:r>
      <w:r w:rsidR="00F635B0">
        <w:rPr>
          <w:rStyle w:val="FootnoteReference"/>
          <w:rFonts w:ascii="Times New Roman" w:hAnsi="Times New Roman"/>
          <w:sz w:val="24"/>
          <w:szCs w:val="24"/>
        </w:rPr>
        <w:footnoteReference w:id="11"/>
      </w:r>
      <w:r>
        <w:rPr>
          <w:rFonts w:ascii="Times New Roman" w:hAnsi="Times New Roman"/>
          <w:sz w:val="24"/>
          <w:szCs w:val="24"/>
        </w:rPr>
        <w:t xml:space="preserve">  The </w:t>
      </w:r>
      <w:r w:rsidR="008D76BB" w:rsidRPr="00960A39">
        <w:rPr>
          <w:rFonts w:ascii="Times New Roman" w:hAnsi="Times New Roman"/>
          <w:sz w:val="24"/>
          <w:szCs w:val="24"/>
        </w:rPr>
        <w:t>Amended</w:t>
      </w:r>
      <w:r w:rsidR="002D750B">
        <w:rPr>
          <w:rFonts w:ascii="Times New Roman" w:hAnsi="Times New Roman"/>
          <w:b/>
          <w:sz w:val="24"/>
          <w:szCs w:val="24"/>
        </w:rPr>
        <w:t xml:space="preserve"> </w:t>
      </w:r>
      <w:r>
        <w:rPr>
          <w:rFonts w:ascii="Times New Roman" w:hAnsi="Times New Roman"/>
          <w:sz w:val="24"/>
          <w:szCs w:val="24"/>
        </w:rPr>
        <w:t>Stipulation goes on to explain that “[a]ny funds remaining at the end of each Program Year will be transferred to the CSRR commencing June 2014, for the 2013 Program Year.”</w:t>
      </w:r>
      <w:r w:rsidR="00F635B0">
        <w:rPr>
          <w:rStyle w:val="FootnoteReference"/>
          <w:rFonts w:ascii="Times New Roman" w:hAnsi="Times New Roman"/>
          <w:sz w:val="24"/>
          <w:szCs w:val="24"/>
        </w:rPr>
        <w:footnoteReference w:id="12"/>
      </w:r>
      <w:r w:rsidR="0032121A">
        <w:rPr>
          <w:rFonts w:ascii="Times New Roman" w:hAnsi="Times New Roman"/>
          <w:sz w:val="24"/>
          <w:szCs w:val="24"/>
        </w:rPr>
        <w:t xml:space="preserve">  The cash deposit is not charged to Choice suppliers.</w:t>
      </w:r>
    </w:p>
    <w:p w:rsidR="005B353C" w:rsidRPr="008904A8" w:rsidRDefault="005B353C" w:rsidP="00DB1C73">
      <w:pPr>
        <w:spacing w:after="0" w:line="480" w:lineRule="auto"/>
        <w:jc w:val="both"/>
        <w:rPr>
          <w:rFonts w:ascii="Times New Roman" w:hAnsi="Times New Roman"/>
          <w:b/>
          <w:sz w:val="24"/>
          <w:szCs w:val="24"/>
        </w:rPr>
      </w:pPr>
      <w:r w:rsidRPr="008904A8">
        <w:rPr>
          <w:rFonts w:ascii="Times New Roman" w:hAnsi="Times New Roman"/>
          <w:b/>
          <w:sz w:val="24"/>
          <w:szCs w:val="24"/>
        </w:rPr>
        <w:t>Q.</w:t>
      </w:r>
      <w:r w:rsidRPr="008904A8">
        <w:rPr>
          <w:rFonts w:ascii="Times New Roman" w:hAnsi="Times New Roman"/>
          <w:b/>
          <w:sz w:val="24"/>
          <w:szCs w:val="24"/>
        </w:rPr>
        <w:tab/>
        <w:t>Do you oppose the proposed $0.</w:t>
      </w:r>
      <w:r w:rsidR="002D750B">
        <w:rPr>
          <w:rFonts w:ascii="Times New Roman" w:hAnsi="Times New Roman"/>
          <w:b/>
          <w:sz w:val="24"/>
          <w:szCs w:val="24"/>
        </w:rPr>
        <w:t>06</w:t>
      </w:r>
      <w:r w:rsidRPr="008904A8">
        <w:rPr>
          <w:rFonts w:ascii="Times New Roman" w:hAnsi="Times New Roman"/>
          <w:b/>
          <w:sz w:val="24"/>
          <w:szCs w:val="24"/>
        </w:rPr>
        <w:t xml:space="preserve"> per Mcf charge to SCO suppliers?</w:t>
      </w:r>
    </w:p>
    <w:p w:rsidR="00804C3E" w:rsidRDefault="005B353C" w:rsidP="00DB1C73">
      <w:pPr>
        <w:spacing w:after="0" w:line="48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First, </w:t>
      </w:r>
      <w:r w:rsidR="00804C3E">
        <w:rPr>
          <w:rFonts w:ascii="Times New Roman" w:hAnsi="Times New Roman"/>
          <w:sz w:val="24"/>
          <w:szCs w:val="24"/>
        </w:rPr>
        <w:t xml:space="preserve">COH has provided no evidence that an additional safeguard, beyond the current requirements, is necessary to protect customers in the event of an SCO supplier default.  </w:t>
      </w:r>
      <w:r w:rsidR="00A8337C">
        <w:rPr>
          <w:rFonts w:ascii="Times New Roman" w:hAnsi="Times New Roman"/>
          <w:sz w:val="24"/>
          <w:szCs w:val="24"/>
        </w:rPr>
        <w:t xml:space="preserve"> </w:t>
      </w:r>
      <w:r w:rsidR="0087043F">
        <w:rPr>
          <w:rFonts w:ascii="Times New Roman" w:hAnsi="Times New Roman"/>
          <w:sz w:val="24"/>
          <w:szCs w:val="24"/>
        </w:rPr>
        <w:lastRenderedPageBreak/>
        <w:t xml:space="preserve">In response to Hess’ discovery requests attached in Exhibit OM - 5, </w:t>
      </w:r>
      <w:r w:rsidR="00804C3E">
        <w:rPr>
          <w:rFonts w:ascii="Times New Roman" w:hAnsi="Times New Roman"/>
          <w:sz w:val="24"/>
          <w:szCs w:val="24"/>
        </w:rPr>
        <w:t xml:space="preserve">COH </w:t>
      </w:r>
      <w:r w:rsidR="0087043F">
        <w:rPr>
          <w:rFonts w:ascii="Times New Roman" w:hAnsi="Times New Roman"/>
          <w:sz w:val="24"/>
          <w:szCs w:val="24"/>
        </w:rPr>
        <w:t xml:space="preserve">confirms that it </w:t>
      </w:r>
      <w:r w:rsidR="00804C3E">
        <w:rPr>
          <w:rFonts w:ascii="Times New Roman" w:hAnsi="Times New Roman"/>
          <w:sz w:val="24"/>
          <w:szCs w:val="24"/>
        </w:rPr>
        <w:t>has never had an SCO or SSO supplier default to date</w:t>
      </w:r>
      <w:r w:rsidR="00A8337C">
        <w:rPr>
          <w:rFonts w:ascii="Times New Roman" w:hAnsi="Times New Roman"/>
          <w:sz w:val="24"/>
          <w:szCs w:val="24"/>
        </w:rPr>
        <w:t>,</w:t>
      </w:r>
      <w:r w:rsidR="00804C3E">
        <w:rPr>
          <w:rFonts w:ascii="Times New Roman" w:hAnsi="Times New Roman"/>
          <w:sz w:val="24"/>
          <w:szCs w:val="24"/>
        </w:rPr>
        <w:t xml:space="preserve"> </w:t>
      </w:r>
      <w:r w:rsidR="00A8337C">
        <w:rPr>
          <w:rFonts w:ascii="Times New Roman" w:hAnsi="Times New Roman"/>
          <w:sz w:val="24"/>
          <w:szCs w:val="24"/>
        </w:rPr>
        <w:t xml:space="preserve">nor have </w:t>
      </w:r>
      <w:r w:rsidR="00CE7BBF">
        <w:rPr>
          <w:rFonts w:ascii="Times New Roman" w:hAnsi="Times New Roman"/>
          <w:sz w:val="24"/>
          <w:szCs w:val="24"/>
        </w:rPr>
        <w:t xml:space="preserve">there been </w:t>
      </w:r>
      <w:r w:rsidR="00A8337C">
        <w:rPr>
          <w:rFonts w:ascii="Times New Roman" w:hAnsi="Times New Roman"/>
          <w:sz w:val="24"/>
          <w:szCs w:val="24"/>
        </w:rPr>
        <w:t xml:space="preserve">any </w:t>
      </w:r>
      <w:r w:rsidR="00804C3E">
        <w:rPr>
          <w:rFonts w:ascii="Times New Roman" w:hAnsi="Times New Roman"/>
          <w:sz w:val="24"/>
          <w:szCs w:val="24"/>
        </w:rPr>
        <w:t>SCO supplier default</w:t>
      </w:r>
      <w:r w:rsidR="00CE7BBF">
        <w:rPr>
          <w:rFonts w:ascii="Times New Roman" w:hAnsi="Times New Roman"/>
          <w:sz w:val="24"/>
          <w:szCs w:val="24"/>
        </w:rPr>
        <w:t>s</w:t>
      </w:r>
      <w:r w:rsidR="00804C3E">
        <w:rPr>
          <w:rFonts w:ascii="Times New Roman" w:hAnsi="Times New Roman"/>
          <w:sz w:val="24"/>
          <w:szCs w:val="24"/>
        </w:rPr>
        <w:t xml:space="preserve"> in any </w:t>
      </w:r>
      <w:r w:rsidR="008904A8">
        <w:rPr>
          <w:rFonts w:ascii="Times New Roman" w:hAnsi="Times New Roman"/>
          <w:sz w:val="24"/>
          <w:szCs w:val="24"/>
        </w:rPr>
        <w:t xml:space="preserve">of the </w:t>
      </w:r>
      <w:r w:rsidR="00804C3E">
        <w:rPr>
          <w:rFonts w:ascii="Times New Roman" w:hAnsi="Times New Roman"/>
          <w:sz w:val="24"/>
          <w:szCs w:val="24"/>
        </w:rPr>
        <w:t>other Ohio LDC’s SCO program</w:t>
      </w:r>
      <w:r w:rsidR="008904A8">
        <w:rPr>
          <w:rFonts w:ascii="Times New Roman" w:hAnsi="Times New Roman"/>
          <w:sz w:val="24"/>
          <w:szCs w:val="24"/>
        </w:rPr>
        <w:t>s</w:t>
      </w:r>
      <w:r w:rsidR="00804C3E">
        <w:rPr>
          <w:rFonts w:ascii="Times New Roman" w:hAnsi="Times New Roman"/>
          <w:sz w:val="24"/>
          <w:szCs w:val="24"/>
        </w:rPr>
        <w:t>.</w:t>
      </w:r>
      <w:r w:rsidR="00D24C13">
        <w:rPr>
          <w:rFonts w:ascii="Times New Roman" w:hAnsi="Times New Roman"/>
          <w:sz w:val="24"/>
          <w:szCs w:val="24"/>
        </w:rPr>
        <w:t xml:space="preserve">  Moreover, </w:t>
      </w:r>
      <w:r w:rsidR="00A8337C">
        <w:rPr>
          <w:rFonts w:ascii="Times New Roman" w:hAnsi="Times New Roman"/>
          <w:sz w:val="24"/>
          <w:szCs w:val="24"/>
        </w:rPr>
        <w:t xml:space="preserve">according to the Program Outline filed in this proceeding, </w:t>
      </w:r>
      <w:r w:rsidR="00D24C13">
        <w:rPr>
          <w:rFonts w:ascii="Times New Roman" w:hAnsi="Times New Roman"/>
          <w:sz w:val="24"/>
          <w:szCs w:val="24"/>
        </w:rPr>
        <w:t xml:space="preserve">COH </w:t>
      </w:r>
      <w:r w:rsidR="00782889">
        <w:rPr>
          <w:rFonts w:ascii="Times New Roman" w:hAnsi="Times New Roman"/>
          <w:sz w:val="24"/>
          <w:szCs w:val="24"/>
        </w:rPr>
        <w:t xml:space="preserve">conducts pre-auction credit evaluations of all SCO bidders, </w:t>
      </w:r>
      <w:r w:rsidR="00B550E7">
        <w:rPr>
          <w:rFonts w:ascii="Times New Roman" w:hAnsi="Times New Roman"/>
          <w:sz w:val="24"/>
          <w:szCs w:val="24"/>
        </w:rPr>
        <w:t xml:space="preserve">and </w:t>
      </w:r>
      <w:r w:rsidR="00D24C13">
        <w:rPr>
          <w:rFonts w:ascii="Times New Roman" w:hAnsi="Times New Roman"/>
          <w:sz w:val="24"/>
          <w:szCs w:val="24"/>
        </w:rPr>
        <w:t xml:space="preserve">retains the right to </w:t>
      </w:r>
      <w:r w:rsidR="00782889">
        <w:rPr>
          <w:rFonts w:ascii="Times New Roman" w:hAnsi="Times New Roman"/>
          <w:sz w:val="24"/>
          <w:szCs w:val="24"/>
        </w:rPr>
        <w:t xml:space="preserve">make alternative credit arrangements with an SCO supplier should COH deem it necessary (including requiring a guarantee, irrevocable letter of credit or </w:t>
      </w:r>
      <w:r w:rsidR="008151E0">
        <w:rPr>
          <w:rFonts w:ascii="Times New Roman" w:hAnsi="Times New Roman"/>
          <w:sz w:val="24"/>
          <w:szCs w:val="24"/>
        </w:rPr>
        <w:t xml:space="preserve">a refundable </w:t>
      </w:r>
      <w:r w:rsidR="00782889">
        <w:rPr>
          <w:rFonts w:ascii="Times New Roman" w:hAnsi="Times New Roman"/>
          <w:sz w:val="24"/>
          <w:szCs w:val="24"/>
        </w:rPr>
        <w:t>cash deposit</w:t>
      </w:r>
      <w:r w:rsidR="008151E0" w:rsidRPr="008151E0">
        <w:rPr>
          <w:rFonts w:ascii="Times New Roman" w:hAnsi="Times New Roman"/>
          <w:sz w:val="24"/>
          <w:szCs w:val="24"/>
        </w:rPr>
        <w:t xml:space="preserve"> </w:t>
      </w:r>
      <w:r w:rsidR="008151E0">
        <w:rPr>
          <w:rFonts w:ascii="Times New Roman" w:hAnsi="Times New Roman"/>
          <w:sz w:val="24"/>
          <w:szCs w:val="24"/>
        </w:rPr>
        <w:t>in appropriate circumstances</w:t>
      </w:r>
      <w:r w:rsidR="00782889">
        <w:rPr>
          <w:rFonts w:ascii="Times New Roman" w:hAnsi="Times New Roman"/>
          <w:sz w:val="24"/>
          <w:szCs w:val="24"/>
        </w:rPr>
        <w:t xml:space="preserve">) and to </w:t>
      </w:r>
      <w:r w:rsidR="00D24C13">
        <w:rPr>
          <w:rFonts w:ascii="Times New Roman" w:hAnsi="Times New Roman"/>
          <w:sz w:val="24"/>
          <w:szCs w:val="24"/>
        </w:rPr>
        <w:t xml:space="preserve">investigate an SCO supplier’s creditworthiness during the SCO year if it believes that it has deteriorated.  These stringent requirements are more than adequate </w:t>
      </w:r>
      <w:r w:rsidR="00382527">
        <w:rPr>
          <w:rFonts w:ascii="Times New Roman" w:hAnsi="Times New Roman"/>
          <w:sz w:val="24"/>
          <w:szCs w:val="24"/>
        </w:rPr>
        <w:t xml:space="preserve">to protect COH against default, </w:t>
      </w:r>
      <w:r w:rsidR="00D24C13">
        <w:rPr>
          <w:rFonts w:ascii="Times New Roman" w:hAnsi="Times New Roman"/>
          <w:sz w:val="24"/>
          <w:szCs w:val="24"/>
        </w:rPr>
        <w:t xml:space="preserve">especially considering there has been no </w:t>
      </w:r>
      <w:r w:rsidR="0032121A">
        <w:rPr>
          <w:rFonts w:ascii="Times New Roman" w:hAnsi="Times New Roman"/>
          <w:sz w:val="24"/>
          <w:szCs w:val="24"/>
        </w:rPr>
        <w:t xml:space="preserve">SSO or </w:t>
      </w:r>
      <w:r w:rsidR="00D24C13">
        <w:rPr>
          <w:rFonts w:ascii="Times New Roman" w:hAnsi="Times New Roman"/>
          <w:sz w:val="24"/>
          <w:szCs w:val="24"/>
        </w:rPr>
        <w:t xml:space="preserve">SCO supplier default in Ohio to date.  </w:t>
      </w:r>
    </w:p>
    <w:p w:rsidR="00804C3E" w:rsidRDefault="00804C3E" w:rsidP="00804C3E">
      <w:pPr>
        <w:spacing w:after="0" w:line="480" w:lineRule="auto"/>
        <w:ind w:firstLine="720"/>
        <w:jc w:val="both"/>
        <w:rPr>
          <w:rFonts w:ascii="Times New Roman" w:hAnsi="Times New Roman"/>
          <w:sz w:val="24"/>
          <w:szCs w:val="24"/>
        </w:rPr>
      </w:pPr>
      <w:r>
        <w:rPr>
          <w:rFonts w:ascii="Times New Roman" w:hAnsi="Times New Roman"/>
          <w:sz w:val="24"/>
          <w:szCs w:val="24"/>
        </w:rPr>
        <w:t>Second, t</w:t>
      </w:r>
      <w:r w:rsidR="005B353C">
        <w:rPr>
          <w:rFonts w:ascii="Times New Roman" w:hAnsi="Times New Roman"/>
          <w:sz w:val="24"/>
          <w:szCs w:val="24"/>
        </w:rPr>
        <w:t>he $0.</w:t>
      </w:r>
      <w:r w:rsidR="002D750B">
        <w:rPr>
          <w:rFonts w:ascii="Times New Roman" w:hAnsi="Times New Roman"/>
          <w:sz w:val="24"/>
          <w:szCs w:val="24"/>
        </w:rPr>
        <w:t>06</w:t>
      </w:r>
      <w:r w:rsidR="005B353C">
        <w:rPr>
          <w:rFonts w:ascii="Times New Roman" w:hAnsi="Times New Roman"/>
          <w:sz w:val="24"/>
          <w:szCs w:val="24"/>
        </w:rPr>
        <w:t xml:space="preserve"> per Mcf charge is not a “deposit” as the </w:t>
      </w:r>
      <w:r w:rsidR="008D76BB" w:rsidRPr="00960A39">
        <w:rPr>
          <w:rFonts w:ascii="Times New Roman" w:hAnsi="Times New Roman"/>
          <w:sz w:val="24"/>
          <w:szCs w:val="24"/>
        </w:rPr>
        <w:t>Amended</w:t>
      </w:r>
      <w:r w:rsidR="002D750B">
        <w:rPr>
          <w:rFonts w:ascii="Times New Roman" w:hAnsi="Times New Roman"/>
          <w:b/>
          <w:sz w:val="24"/>
          <w:szCs w:val="24"/>
        </w:rPr>
        <w:t xml:space="preserve"> </w:t>
      </w:r>
      <w:r w:rsidR="005B353C">
        <w:rPr>
          <w:rFonts w:ascii="Times New Roman" w:hAnsi="Times New Roman"/>
          <w:sz w:val="24"/>
          <w:szCs w:val="24"/>
        </w:rPr>
        <w:t xml:space="preserve">Stipulation suggests.  </w:t>
      </w:r>
      <w:r>
        <w:rPr>
          <w:rFonts w:ascii="Times New Roman" w:hAnsi="Times New Roman"/>
          <w:sz w:val="24"/>
          <w:szCs w:val="24"/>
        </w:rPr>
        <w:t>Simply put, i</w:t>
      </w:r>
      <w:r w:rsidR="005B353C">
        <w:rPr>
          <w:rFonts w:ascii="Times New Roman" w:hAnsi="Times New Roman"/>
          <w:sz w:val="24"/>
          <w:szCs w:val="24"/>
        </w:rPr>
        <w:t>t i</w:t>
      </w:r>
      <w:r w:rsidR="008904A8">
        <w:rPr>
          <w:rFonts w:ascii="Times New Roman" w:hAnsi="Times New Roman"/>
          <w:sz w:val="24"/>
          <w:szCs w:val="24"/>
        </w:rPr>
        <w:t xml:space="preserve">s </w:t>
      </w:r>
      <w:r>
        <w:rPr>
          <w:rFonts w:ascii="Times New Roman" w:hAnsi="Times New Roman"/>
          <w:sz w:val="24"/>
          <w:szCs w:val="24"/>
        </w:rPr>
        <w:t xml:space="preserve">a tax on SCO suppliers.  The </w:t>
      </w:r>
      <w:r w:rsidR="002D750B" w:rsidRPr="002D4BB8">
        <w:rPr>
          <w:rFonts w:ascii="Times New Roman" w:hAnsi="Times New Roman"/>
          <w:sz w:val="24"/>
          <w:szCs w:val="24"/>
        </w:rPr>
        <w:t>Amended</w:t>
      </w:r>
      <w:r w:rsidR="002D750B">
        <w:rPr>
          <w:rFonts w:ascii="Times New Roman" w:hAnsi="Times New Roman"/>
          <w:b/>
          <w:sz w:val="24"/>
          <w:szCs w:val="24"/>
        </w:rPr>
        <w:t xml:space="preserve"> </w:t>
      </w:r>
      <w:r>
        <w:rPr>
          <w:rFonts w:ascii="Times New Roman" w:hAnsi="Times New Roman"/>
          <w:sz w:val="24"/>
          <w:szCs w:val="24"/>
        </w:rPr>
        <w:t xml:space="preserve">Stipulation provides that remaining funds will be transferred to the CSRR the following year. The CSRR is a rider that </w:t>
      </w:r>
      <w:r w:rsidR="000C7B3D">
        <w:rPr>
          <w:rFonts w:ascii="Times New Roman" w:hAnsi="Times New Roman"/>
          <w:sz w:val="24"/>
          <w:szCs w:val="24"/>
        </w:rPr>
        <w:t>is charged to all Choice/SCO customers</w:t>
      </w:r>
      <w:r>
        <w:rPr>
          <w:rFonts w:ascii="Times New Roman" w:hAnsi="Times New Roman"/>
          <w:sz w:val="24"/>
          <w:szCs w:val="24"/>
        </w:rPr>
        <w:t xml:space="preserve">.  Thus, any remaining funds from the SCO security charge will not revert back to the non-defaulting SCO suppliers, but, instead will </w:t>
      </w:r>
      <w:r w:rsidR="000C7B3D">
        <w:rPr>
          <w:rFonts w:ascii="Times New Roman" w:hAnsi="Times New Roman"/>
          <w:sz w:val="24"/>
          <w:szCs w:val="24"/>
        </w:rPr>
        <w:t>be credited to all Choice/SCO customers</w:t>
      </w:r>
      <w:r>
        <w:rPr>
          <w:rFonts w:ascii="Times New Roman" w:hAnsi="Times New Roman"/>
          <w:sz w:val="24"/>
          <w:szCs w:val="24"/>
        </w:rPr>
        <w:t xml:space="preserve">.  </w:t>
      </w:r>
      <w:r w:rsidR="000C7B3D">
        <w:rPr>
          <w:rFonts w:ascii="Times New Roman" w:hAnsi="Times New Roman"/>
          <w:sz w:val="24"/>
          <w:szCs w:val="24"/>
        </w:rPr>
        <w:t>Assuming there is no SCO default, i</w:t>
      </w:r>
      <w:r>
        <w:rPr>
          <w:rFonts w:ascii="Times New Roman" w:hAnsi="Times New Roman"/>
          <w:sz w:val="24"/>
          <w:szCs w:val="24"/>
        </w:rPr>
        <w:t xml:space="preserve">f SCO suppliers cannot </w:t>
      </w:r>
      <w:r w:rsidR="000C7B3D">
        <w:rPr>
          <w:rFonts w:ascii="Times New Roman" w:hAnsi="Times New Roman"/>
          <w:sz w:val="24"/>
          <w:szCs w:val="24"/>
        </w:rPr>
        <w:t>recover</w:t>
      </w:r>
      <w:r>
        <w:rPr>
          <w:rFonts w:ascii="Times New Roman" w:hAnsi="Times New Roman"/>
          <w:sz w:val="24"/>
          <w:szCs w:val="24"/>
        </w:rPr>
        <w:t xml:space="preserve"> </w:t>
      </w:r>
      <w:r w:rsidR="000C7B3D">
        <w:rPr>
          <w:rFonts w:ascii="Times New Roman" w:hAnsi="Times New Roman"/>
          <w:sz w:val="24"/>
          <w:szCs w:val="24"/>
        </w:rPr>
        <w:t>the SCO security charge that they submitted to COH</w:t>
      </w:r>
      <w:r>
        <w:rPr>
          <w:rFonts w:ascii="Times New Roman" w:hAnsi="Times New Roman"/>
          <w:sz w:val="24"/>
          <w:szCs w:val="24"/>
        </w:rPr>
        <w:t>, the charge can</w:t>
      </w:r>
      <w:r w:rsidR="00303AC7">
        <w:rPr>
          <w:rFonts w:ascii="Times New Roman" w:hAnsi="Times New Roman"/>
          <w:sz w:val="24"/>
          <w:szCs w:val="24"/>
        </w:rPr>
        <w:t>not</w:t>
      </w:r>
      <w:r>
        <w:rPr>
          <w:rFonts w:ascii="Times New Roman" w:hAnsi="Times New Roman"/>
          <w:sz w:val="24"/>
          <w:szCs w:val="24"/>
        </w:rPr>
        <w:t xml:space="preserve"> be termed a “deposit.”  In actuality, the SCO security charge is a tax on SCO suppliers.  </w:t>
      </w:r>
    </w:p>
    <w:p w:rsidR="00306866" w:rsidRDefault="0027749A" w:rsidP="00804C3E">
      <w:pPr>
        <w:spacing w:after="0" w:line="480" w:lineRule="auto"/>
        <w:ind w:firstLine="720"/>
        <w:jc w:val="both"/>
        <w:rPr>
          <w:rFonts w:ascii="Times New Roman" w:hAnsi="Times New Roman"/>
          <w:sz w:val="24"/>
          <w:szCs w:val="24"/>
        </w:rPr>
      </w:pPr>
      <w:r>
        <w:rPr>
          <w:rFonts w:ascii="Times New Roman" w:hAnsi="Times New Roman"/>
          <w:sz w:val="24"/>
          <w:szCs w:val="24"/>
        </w:rPr>
        <w:t xml:space="preserve">Third, the </w:t>
      </w:r>
      <w:r w:rsidR="00114BEE">
        <w:rPr>
          <w:rFonts w:ascii="Times New Roman" w:hAnsi="Times New Roman"/>
          <w:sz w:val="24"/>
          <w:szCs w:val="24"/>
        </w:rPr>
        <w:t xml:space="preserve">Residential </w:t>
      </w:r>
      <w:r>
        <w:rPr>
          <w:rFonts w:ascii="Times New Roman" w:hAnsi="Times New Roman"/>
          <w:sz w:val="24"/>
          <w:szCs w:val="24"/>
        </w:rPr>
        <w:t xml:space="preserve">Suppliers argue that the SCO security charge was included in the Stipulation to offset the </w:t>
      </w:r>
      <w:r w:rsidR="00C8386E">
        <w:rPr>
          <w:rFonts w:ascii="Times New Roman" w:hAnsi="Times New Roman"/>
          <w:sz w:val="24"/>
          <w:szCs w:val="24"/>
        </w:rPr>
        <w:t xml:space="preserve">alleged </w:t>
      </w:r>
      <w:r>
        <w:rPr>
          <w:rFonts w:ascii="Times New Roman" w:hAnsi="Times New Roman"/>
          <w:sz w:val="24"/>
          <w:szCs w:val="24"/>
        </w:rPr>
        <w:t>cross-</w:t>
      </w:r>
      <w:r w:rsidR="00BB31CB">
        <w:rPr>
          <w:rFonts w:ascii="Times New Roman" w:hAnsi="Times New Roman"/>
          <w:sz w:val="24"/>
          <w:szCs w:val="24"/>
        </w:rPr>
        <w:t>subsidization by</w:t>
      </w:r>
      <w:r w:rsidR="00C8386E">
        <w:rPr>
          <w:rFonts w:ascii="Times New Roman" w:hAnsi="Times New Roman"/>
          <w:sz w:val="24"/>
          <w:szCs w:val="24"/>
        </w:rPr>
        <w:t xml:space="preserve"> </w:t>
      </w:r>
      <w:r>
        <w:rPr>
          <w:rFonts w:ascii="Times New Roman" w:hAnsi="Times New Roman"/>
          <w:sz w:val="24"/>
          <w:szCs w:val="24"/>
        </w:rPr>
        <w:t>shopping customers</w:t>
      </w:r>
      <w:r w:rsidR="006C0536">
        <w:rPr>
          <w:rFonts w:ascii="Times New Roman" w:hAnsi="Times New Roman"/>
          <w:sz w:val="24"/>
          <w:szCs w:val="24"/>
        </w:rPr>
        <w:t xml:space="preserve"> </w:t>
      </w:r>
      <w:r w:rsidR="00C8386E">
        <w:rPr>
          <w:rFonts w:ascii="Times New Roman" w:hAnsi="Times New Roman"/>
          <w:sz w:val="24"/>
          <w:szCs w:val="24"/>
        </w:rPr>
        <w:t xml:space="preserve">of </w:t>
      </w:r>
      <w:r w:rsidR="006C0536">
        <w:rPr>
          <w:rFonts w:ascii="Times New Roman" w:hAnsi="Times New Roman"/>
          <w:sz w:val="24"/>
          <w:szCs w:val="24"/>
        </w:rPr>
        <w:t>the costs</w:t>
      </w:r>
      <w:r>
        <w:rPr>
          <w:rFonts w:ascii="Times New Roman" w:hAnsi="Times New Roman"/>
          <w:sz w:val="24"/>
          <w:szCs w:val="24"/>
        </w:rPr>
        <w:t xml:space="preserve"> associated wit</w:t>
      </w:r>
      <w:r w:rsidR="00BB31CB">
        <w:rPr>
          <w:rFonts w:ascii="Times New Roman" w:hAnsi="Times New Roman"/>
          <w:sz w:val="24"/>
          <w:szCs w:val="24"/>
        </w:rPr>
        <w:t xml:space="preserve">h the provision of SCO service.  </w:t>
      </w:r>
      <w:r>
        <w:rPr>
          <w:rFonts w:ascii="Times New Roman" w:hAnsi="Times New Roman"/>
          <w:sz w:val="24"/>
          <w:szCs w:val="24"/>
        </w:rPr>
        <w:t xml:space="preserve">More specifically, </w:t>
      </w:r>
      <w:r w:rsidR="00114BEE">
        <w:rPr>
          <w:rFonts w:ascii="Times New Roman" w:hAnsi="Times New Roman"/>
          <w:sz w:val="24"/>
          <w:szCs w:val="24"/>
        </w:rPr>
        <w:t xml:space="preserve">Residential </w:t>
      </w:r>
      <w:r>
        <w:rPr>
          <w:rFonts w:ascii="Times New Roman" w:hAnsi="Times New Roman"/>
          <w:sz w:val="24"/>
          <w:szCs w:val="24"/>
        </w:rPr>
        <w:t xml:space="preserve">Suppliers </w:t>
      </w:r>
      <w:r w:rsidR="00A8337C">
        <w:rPr>
          <w:rFonts w:ascii="Times New Roman" w:hAnsi="Times New Roman"/>
          <w:sz w:val="24"/>
          <w:szCs w:val="24"/>
        </w:rPr>
        <w:t>witness Parisi (at pages 19-20 of his</w:t>
      </w:r>
      <w:r w:rsidR="00B67E8F">
        <w:rPr>
          <w:rFonts w:ascii="Times New Roman" w:hAnsi="Times New Roman"/>
          <w:sz w:val="24"/>
          <w:szCs w:val="24"/>
        </w:rPr>
        <w:t xml:space="preserve"> initial</w:t>
      </w:r>
      <w:r w:rsidR="00A8337C">
        <w:rPr>
          <w:rFonts w:ascii="Times New Roman" w:hAnsi="Times New Roman"/>
          <w:sz w:val="24"/>
          <w:szCs w:val="24"/>
        </w:rPr>
        <w:t xml:space="preserve"> testimony) </w:t>
      </w:r>
      <w:r>
        <w:rPr>
          <w:rFonts w:ascii="Times New Roman" w:hAnsi="Times New Roman"/>
          <w:sz w:val="24"/>
          <w:szCs w:val="24"/>
        </w:rPr>
        <w:t>argue</w:t>
      </w:r>
      <w:r w:rsidR="00A8337C">
        <w:rPr>
          <w:rFonts w:ascii="Times New Roman" w:hAnsi="Times New Roman"/>
          <w:sz w:val="24"/>
          <w:szCs w:val="24"/>
        </w:rPr>
        <w:t>s</w:t>
      </w:r>
      <w:r>
        <w:rPr>
          <w:rFonts w:ascii="Times New Roman" w:hAnsi="Times New Roman"/>
          <w:sz w:val="24"/>
          <w:szCs w:val="24"/>
        </w:rPr>
        <w:t xml:space="preserve"> that the </w:t>
      </w:r>
      <w:r w:rsidR="00303AC7">
        <w:rPr>
          <w:rFonts w:ascii="Times New Roman" w:hAnsi="Times New Roman"/>
          <w:sz w:val="24"/>
          <w:szCs w:val="24"/>
        </w:rPr>
        <w:t xml:space="preserve">new </w:t>
      </w:r>
      <w:r>
        <w:rPr>
          <w:rFonts w:ascii="Times New Roman" w:hAnsi="Times New Roman"/>
          <w:sz w:val="24"/>
          <w:szCs w:val="24"/>
        </w:rPr>
        <w:t xml:space="preserve">SCO security charge is designed to recover the default customer costs of “education, surveys, and other IT programming </w:t>
      </w:r>
      <w:r>
        <w:rPr>
          <w:rFonts w:ascii="Times New Roman" w:hAnsi="Times New Roman"/>
          <w:sz w:val="24"/>
          <w:szCs w:val="24"/>
        </w:rPr>
        <w:lastRenderedPageBreak/>
        <w:t xml:space="preserve">needed to ensure continued default service.”  </w:t>
      </w:r>
      <w:r w:rsidR="00445766">
        <w:rPr>
          <w:rFonts w:ascii="Times New Roman" w:hAnsi="Times New Roman"/>
          <w:sz w:val="24"/>
          <w:szCs w:val="24"/>
        </w:rPr>
        <w:t>Additionally</w:t>
      </w:r>
      <w:r>
        <w:rPr>
          <w:rFonts w:ascii="Times New Roman" w:hAnsi="Times New Roman"/>
          <w:sz w:val="24"/>
          <w:szCs w:val="24"/>
        </w:rPr>
        <w:t xml:space="preserve">, </w:t>
      </w:r>
      <w:r w:rsidR="00114BEE">
        <w:rPr>
          <w:rFonts w:ascii="Times New Roman" w:hAnsi="Times New Roman"/>
          <w:sz w:val="24"/>
          <w:szCs w:val="24"/>
        </w:rPr>
        <w:t xml:space="preserve">Residential </w:t>
      </w:r>
      <w:r>
        <w:rPr>
          <w:rFonts w:ascii="Times New Roman" w:hAnsi="Times New Roman"/>
          <w:sz w:val="24"/>
          <w:szCs w:val="24"/>
        </w:rPr>
        <w:t xml:space="preserve">Suppliers </w:t>
      </w:r>
      <w:r w:rsidR="00306866">
        <w:rPr>
          <w:rFonts w:ascii="Times New Roman" w:hAnsi="Times New Roman"/>
          <w:sz w:val="24"/>
          <w:szCs w:val="24"/>
        </w:rPr>
        <w:t xml:space="preserve">witness Ringenbach (at page 4 of her testimony) </w:t>
      </w:r>
      <w:r>
        <w:rPr>
          <w:rFonts w:ascii="Times New Roman" w:hAnsi="Times New Roman"/>
          <w:sz w:val="24"/>
          <w:szCs w:val="24"/>
        </w:rPr>
        <w:t>argue</w:t>
      </w:r>
      <w:r w:rsidR="00306866">
        <w:rPr>
          <w:rFonts w:ascii="Times New Roman" w:hAnsi="Times New Roman"/>
          <w:sz w:val="24"/>
          <w:szCs w:val="24"/>
        </w:rPr>
        <w:t>s</w:t>
      </w:r>
      <w:r>
        <w:rPr>
          <w:rFonts w:ascii="Times New Roman" w:hAnsi="Times New Roman"/>
          <w:sz w:val="24"/>
          <w:szCs w:val="24"/>
        </w:rPr>
        <w:t xml:space="preserve"> that the SCO security charge is actually assessed to cov</w:t>
      </w:r>
      <w:r w:rsidR="006C0536">
        <w:rPr>
          <w:rFonts w:ascii="Times New Roman" w:hAnsi="Times New Roman"/>
          <w:sz w:val="24"/>
          <w:szCs w:val="24"/>
        </w:rPr>
        <w:t>er the costs of the SCO auctions.</w:t>
      </w:r>
      <w:r>
        <w:rPr>
          <w:rFonts w:ascii="Times New Roman" w:hAnsi="Times New Roman"/>
          <w:sz w:val="24"/>
          <w:szCs w:val="24"/>
        </w:rPr>
        <w:t xml:space="preserve"> </w:t>
      </w:r>
    </w:p>
    <w:p w:rsidR="0014196D" w:rsidRDefault="00306866" w:rsidP="00782889">
      <w:pPr>
        <w:pStyle w:val="FootnoteText"/>
        <w:spacing w:line="480" w:lineRule="auto"/>
        <w:ind w:firstLine="720"/>
        <w:jc w:val="both"/>
        <w:rPr>
          <w:rFonts w:ascii="Times New Roman" w:hAnsi="Times New Roman"/>
          <w:sz w:val="24"/>
          <w:szCs w:val="24"/>
        </w:rPr>
      </w:pPr>
      <w:r>
        <w:rPr>
          <w:rFonts w:ascii="Times New Roman" w:hAnsi="Times New Roman"/>
          <w:sz w:val="24"/>
          <w:szCs w:val="24"/>
        </w:rPr>
        <w:t>However</w:t>
      </w:r>
      <w:r w:rsidR="005A648E">
        <w:rPr>
          <w:rFonts w:ascii="Times New Roman" w:hAnsi="Times New Roman"/>
          <w:sz w:val="24"/>
          <w:szCs w:val="24"/>
        </w:rPr>
        <w:t>, the</w:t>
      </w:r>
      <w:r w:rsidRPr="00306866">
        <w:rPr>
          <w:rFonts w:ascii="Times New Roman" w:hAnsi="Times New Roman"/>
          <w:sz w:val="24"/>
          <w:szCs w:val="24"/>
        </w:rPr>
        <w:t xml:space="preserve"> Residential Suppliers conveniently ignore the </w:t>
      </w:r>
      <w:r>
        <w:rPr>
          <w:rFonts w:ascii="Times New Roman" w:hAnsi="Times New Roman"/>
          <w:sz w:val="24"/>
          <w:szCs w:val="24"/>
        </w:rPr>
        <w:t xml:space="preserve">subsidies they will receive through COH’s </w:t>
      </w:r>
      <w:r w:rsidRPr="00306866">
        <w:rPr>
          <w:rFonts w:ascii="Times New Roman" w:hAnsi="Times New Roman"/>
          <w:sz w:val="24"/>
          <w:szCs w:val="24"/>
        </w:rPr>
        <w:t>commit</w:t>
      </w:r>
      <w:r>
        <w:rPr>
          <w:rFonts w:ascii="Times New Roman" w:hAnsi="Times New Roman"/>
          <w:sz w:val="24"/>
          <w:szCs w:val="24"/>
        </w:rPr>
        <w:t xml:space="preserve">ment </w:t>
      </w:r>
      <w:r w:rsidRPr="00306866">
        <w:rPr>
          <w:rFonts w:ascii="Times New Roman" w:hAnsi="Times New Roman"/>
          <w:sz w:val="24"/>
          <w:szCs w:val="24"/>
        </w:rPr>
        <w:t>to expend millions</w:t>
      </w:r>
      <w:r>
        <w:rPr>
          <w:rFonts w:ascii="Times New Roman" w:hAnsi="Times New Roman"/>
          <w:sz w:val="24"/>
          <w:szCs w:val="24"/>
        </w:rPr>
        <w:t xml:space="preserve"> of dollars</w:t>
      </w:r>
      <w:r w:rsidRPr="00306866">
        <w:rPr>
          <w:rFonts w:ascii="Times New Roman" w:hAnsi="Times New Roman"/>
          <w:sz w:val="24"/>
          <w:szCs w:val="24"/>
        </w:rPr>
        <w:t xml:space="preserve"> to expand the retail Choice markets to the direct benefit of the Residential Suppliers, including enhanced billing options, expanded rate and bill code capabilities, and rolling enrollment capabilities</w:t>
      </w:r>
      <w:r w:rsidR="0087043F">
        <w:rPr>
          <w:rFonts w:ascii="Times New Roman" w:hAnsi="Times New Roman"/>
          <w:sz w:val="24"/>
          <w:szCs w:val="24"/>
        </w:rPr>
        <w:t>, as confirmed by</w:t>
      </w:r>
      <w:r w:rsidR="00EB285D">
        <w:rPr>
          <w:rFonts w:ascii="Times New Roman" w:hAnsi="Times New Roman"/>
          <w:sz w:val="24"/>
          <w:szCs w:val="24"/>
        </w:rPr>
        <w:t xml:space="preserve"> the </w:t>
      </w:r>
      <w:r w:rsidR="0087043F">
        <w:rPr>
          <w:rFonts w:ascii="Times New Roman" w:hAnsi="Times New Roman"/>
          <w:sz w:val="24"/>
          <w:szCs w:val="24"/>
        </w:rPr>
        <w:t xml:space="preserve"> </w:t>
      </w:r>
      <w:r w:rsidR="00752AB1">
        <w:rPr>
          <w:rFonts w:ascii="Times New Roman" w:hAnsi="Times New Roman"/>
          <w:sz w:val="24"/>
          <w:szCs w:val="24"/>
        </w:rPr>
        <w:t>Amended Stipulation</w:t>
      </w:r>
      <w:r w:rsidR="0087043F">
        <w:rPr>
          <w:rFonts w:ascii="Times New Roman" w:hAnsi="Times New Roman"/>
          <w:sz w:val="24"/>
          <w:szCs w:val="24"/>
        </w:rPr>
        <w:t>.</w:t>
      </w:r>
      <w:r w:rsidR="00752AB1">
        <w:rPr>
          <w:rStyle w:val="FootnoteReference"/>
          <w:rFonts w:ascii="Times New Roman" w:hAnsi="Times New Roman"/>
          <w:sz w:val="24"/>
          <w:szCs w:val="24"/>
        </w:rPr>
        <w:footnoteReference w:id="13"/>
      </w:r>
      <w:r w:rsidRPr="00306866">
        <w:rPr>
          <w:rFonts w:ascii="Times New Roman" w:hAnsi="Times New Roman"/>
          <w:sz w:val="24"/>
          <w:szCs w:val="24"/>
        </w:rPr>
        <w:t xml:space="preserve">  </w:t>
      </w:r>
    </w:p>
    <w:p w:rsidR="0027749A" w:rsidRDefault="0027749A" w:rsidP="00804C3E">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There is absolutely nothing in the </w:t>
      </w:r>
      <w:r w:rsidR="00752AB1" w:rsidRPr="002D4BB8">
        <w:rPr>
          <w:rFonts w:ascii="Times New Roman" w:hAnsi="Times New Roman"/>
          <w:sz w:val="24"/>
          <w:szCs w:val="24"/>
        </w:rPr>
        <w:t>Amended</w:t>
      </w:r>
      <w:r w:rsidR="00752AB1">
        <w:rPr>
          <w:rFonts w:ascii="Times New Roman" w:hAnsi="Times New Roman"/>
          <w:b/>
          <w:sz w:val="24"/>
          <w:szCs w:val="24"/>
        </w:rPr>
        <w:t xml:space="preserve"> </w:t>
      </w:r>
      <w:r>
        <w:rPr>
          <w:rFonts w:ascii="Times New Roman" w:hAnsi="Times New Roman"/>
          <w:sz w:val="24"/>
          <w:szCs w:val="24"/>
        </w:rPr>
        <w:t xml:space="preserve">Stipulation or COH’s testimony that even alludes to the notion that the SCO security charge was designed to recover </w:t>
      </w:r>
      <w:r w:rsidR="00445766">
        <w:rPr>
          <w:rFonts w:ascii="Times New Roman" w:hAnsi="Times New Roman"/>
          <w:sz w:val="24"/>
          <w:szCs w:val="24"/>
        </w:rPr>
        <w:t>SCO</w:t>
      </w:r>
      <w:r>
        <w:rPr>
          <w:rFonts w:ascii="Times New Roman" w:hAnsi="Times New Roman"/>
          <w:sz w:val="24"/>
          <w:szCs w:val="24"/>
        </w:rPr>
        <w:t xml:space="preserve"> costs</w:t>
      </w:r>
      <w:r w:rsidR="00445766">
        <w:rPr>
          <w:rFonts w:ascii="Times New Roman" w:hAnsi="Times New Roman"/>
          <w:sz w:val="24"/>
          <w:szCs w:val="24"/>
        </w:rPr>
        <w:t xml:space="preserve"> incurred by COH</w:t>
      </w:r>
      <w:r>
        <w:rPr>
          <w:rFonts w:ascii="Times New Roman" w:hAnsi="Times New Roman"/>
          <w:sz w:val="24"/>
          <w:szCs w:val="24"/>
        </w:rPr>
        <w:t xml:space="preserve">.  </w:t>
      </w:r>
      <w:r w:rsidR="0032121A">
        <w:rPr>
          <w:rFonts w:ascii="Times New Roman" w:hAnsi="Times New Roman"/>
          <w:sz w:val="24"/>
          <w:szCs w:val="24"/>
        </w:rPr>
        <w:t xml:space="preserve">Neither </w:t>
      </w:r>
      <w:r>
        <w:rPr>
          <w:rFonts w:ascii="Times New Roman" w:hAnsi="Times New Roman"/>
          <w:sz w:val="24"/>
          <w:szCs w:val="24"/>
        </w:rPr>
        <w:t>COH</w:t>
      </w:r>
      <w:r w:rsidR="0032121A">
        <w:rPr>
          <w:rFonts w:ascii="Times New Roman" w:hAnsi="Times New Roman"/>
          <w:sz w:val="24"/>
          <w:szCs w:val="24"/>
        </w:rPr>
        <w:t xml:space="preserve"> nor the Residential Suppliers</w:t>
      </w:r>
      <w:r>
        <w:rPr>
          <w:rFonts w:ascii="Times New Roman" w:hAnsi="Times New Roman"/>
          <w:sz w:val="24"/>
          <w:szCs w:val="24"/>
        </w:rPr>
        <w:t xml:space="preserve"> ha</w:t>
      </w:r>
      <w:r w:rsidR="0032121A">
        <w:rPr>
          <w:rFonts w:ascii="Times New Roman" w:hAnsi="Times New Roman"/>
          <w:sz w:val="24"/>
          <w:szCs w:val="24"/>
        </w:rPr>
        <w:t>ve</w:t>
      </w:r>
      <w:r w:rsidR="00187495">
        <w:rPr>
          <w:rFonts w:ascii="Times New Roman" w:hAnsi="Times New Roman"/>
          <w:sz w:val="24"/>
          <w:szCs w:val="24"/>
        </w:rPr>
        <w:t xml:space="preserve"> </w:t>
      </w:r>
      <w:r>
        <w:rPr>
          <w:rFonts w:ascii="Times New Roman" w:hAnsi="Times New Roman"/>
          <w:sz w:val="24"/>
          <w:szCs w:val="24"/>
        </w:rPr>
        <w:t xml:space="preserve">provided </w:t>
      </w:r>
      <w:r w:rsidR="00187495">
        <w:rPr>
          <w:rFonts w:ascii="Times New Roman" w:hAnsi="Times New Roman"/>
          <w:sz w:val="24"/>
          <w:szCs w:val="24"/>
        </w:rPr>
        <w:t xml:space="preserve">evidence (i) </w:t>
      </w:r>
      <w:r>
        <w:rPr>
          <w:rFonts w:ascii="Times New Roman" w:hAnsi="Times New Roman"/>
          <w:sz w:val="24"/>
          <w:szCs w:val="24"/>
        </w:rPr>
        <w:t>that a cross-subsidization is occurring</w:t>
      </w:r>
      <w:r w:rsidR="00187495">
        <w:rPr>
          <w:rFonts w:ascii="Times New Roman" w:hAnsi="Times New Roman"/>
          <w:sz w:val="24"/>
          <w:szCs w:val="24"/>
        </w:rPr>
        <w:t>;</w:t>
      </w:r>
      <w:r>
        <w:rPr>
          <w:rFonts w:ascii="Times New Roman" w:hAnsi="Times New Roman"/>
          <w:sz w:val="24"/>
          <w:szCs w:val="24"/>
        </w:rPr>
        <w:t xml:space="preserve"> </w:t>
      </w:r>
      <w:r w:rsidR="00187495">
        <w:rPr>
          <w:rFonts w:ascii="Times New Roman" w:hAnsi="Times New Roman"/>
          <w:sz w:val="24"/>
          <w:szCs w:val="24"/>
        </w:rPr>
        <w:t xml:space="preserve">(ii) on the categories of </w:t>
      </w:r>
      <w:r w:rsidR="00BC047B">
        <w:rPr>
          <w:rFonts w:ascii="Times New Roman" w:hAnsi="Times New Roman"/>
          <w:sz w:val="24"/>
          <w:szCs w:val="24"/>
        </w:rPr>
        <w:t xml:space="preserve">any incremental costs </w:t>
      </w:r>
      <w:r w:rsidR="00187495">
        <w:rPr>
          <w:rFonts w:ascii="Times New Roman" w:hAnsi="Times New Roman"/>
          <w:sz w:val="24"/>
          <w:szCs w:val="24"/>
        </w:rPr>
        <w:t xml:space="preserve">(with supporting backup) </w:t>
      </w:r>
      <w:r w:rsidR="00BC047B">
        <w:rPr>
          <w:rFonts w:ascii="Times New Roman" w:hAnsi="Times New Roman"/>
          <w:sz w:val="24"/>
          <w:szCs w:val="24"/>
        </w:rPr>
        <w:t>associated with the SCO program</w:t>
      </w:r>
      <w:r w:rsidR="00187495">
        <w:rPr>
          <w:rFonts w:ascii="Times New Roman" w:hAnsi="Times New Roman"/>
          <w:sz w:val="24"/>
          <w:szCs w:val="24"/>
        </w:rPr>
        <w:t>; and (iii) to demonstrate that the $0.</w:t>
      </w:r>
      <w:r w:rsidR="00752AB1">
        <w:rPr>
          <w:rFonts w:ascii="Times New Roman" w:hAnsi="Times New Roman"/>
          <w:sz w:val="24"/>
          <w:szCs w:val="24"/>
        </w:rPr>
        <w:t>06</w:t>
      </w:r>
      <w:r w:rsidR="00187495">
        <w:rPr>
          <w:rFonts w:ascii="Times New Roman" w:hAnsi="Times New Roman"/>
          <w:sz w:val="24"/>
          <w:szCs w:val="24"/>
        </w:rPr>
        <w:t xml:space="preserve"> per Mcf fee is s</w:t>
      </w:r>
      <w:r w:rsidR="00382527">
        <w:rPr>
          <w:rFonts w:ascii="Times New Roman" w:hAnsi="Times New Roman"/>
          <w:sz w:val="24"/>
          <w:szCs w:val="24"/>
        </w:rPr>
        <w:t>pecifically tailored to recover</w:t>
      </w:r>
      <w:r w:rsidR="00187495">
        <w:rPr>
          <w:rFonts w:ascii="Times New Roman" w:hAnsi="Times New Roman"/>
          <w:sz w:val="24"/>
          <w:szCs w:val="24"/>
        </w:rPr>
        <w:t xml:space="preserve"> any incremental costs incurred by COH</w:t>
      </w:r>
      <w:r w:rsidR="00BC047B">
        <w:rPr>
          <w:rFonts w:ascii="Times New Roman" w:hAnsi="Times New Roman"/>
          <w:sz w:val="24"/>
          <w:szCs w:val="24"/>
        </w:rPr>
        <w:t xml:space="preserve">.  </w:t>
      </w:r>
      <w:r w:rsidR="004506F4">
        <w:rPr>
          <w:rFonts w:ascii="Times New Roman" w:hAnsi="Times New Roman"/>
          <w:sz w:val="24"/>
          <w:szCs w:val="24"/>
        </w:rPr>
        <w:t>Using the current SCO volumes, the $0.</w:t>
      </w:r>
      <w:r w:rsidR="00752AB1">
        <w:rPr>
          <w:rFonts w:ascii="Times New Roman" w:hAnsi="Times New Roman"/>
          <w:sz w:val="24"/>
          <w:szCs w:val="24"/>
        </w:rPr>
        <w:t>06</w:t>
      </w:r>
      <w:r w:rsidR="004506F4">
        <w:rPr>
          <w:rFonts w:ascii="Times New Roman" w:hAnsi="Times New Roman"/>
          <w:sz w:val="24"/>
          <w:szCs w:val="24"/>
        </w:rPr>
        <w:t xml:space="preserve"> per Mcf charge would generate $</w:t>
      </w:r>
      <w:r w:rsidR="00752AB1">
        <w:rPr>
          <w:rFonts w:ascii="Times New Roman" w:hAnsi="Times New Roman"/>
          <w:sz w:val="24"/>
          <w:szCs w:val="24"/>
        </w:rPr>
        <w:t xml:space="preserve">4.8 </w:t>
      </w:r>
      <w:r w:rsidR="004506F4">
        <w:rPr>
          <w:rFonts w:ascii="Times New Roman" w:hAnsi="Times New Roman"/>
          <w:sz w:val="24"/>
          <w:szCs w:val="24"/>
        </w:rPr>
        <w:t xml:space="preserve">million annually.  </w:t>
      </w:r>
      <w:r w:rsidR="001C1008">
        <w:rPr>
          <w:rFonts w:ascii="Times New Roman" w:hAnsi="Times New Roman"/>
          <w:sz w:val="24"/>
          <w:szCs w:val="24"/>
        </w:rPr>
        <w:t>Without question,</w:t>
      </w:r>
      <w:r w:rsidR="00DB2F27">
        <w:rPr>
          <w:rFonts w:ascii="Times New Roman" w:hAnsi="Times New Roman"/>
          <w:sz w:val="24"/>
          <w:szCs w:val="24"/>
        </w:rPr>
        <w:t xml:space="preserve"> </w:t>
      </w:r>
      <w:r w:rsidR="00114BEE">
        <w:rPr>
          <w:rFonts w:ascii="Times New Roman" w:hAnsi="Times New Roman"/>
          <w:sz w:val="24"/>
          <w:szCs w:val="24"/>
        </w:rPr>
        <w:t>C</w:t>
      </w:r>
      <w:r w:rsidR="004506F4">
        <w:rPr>
          <w:rFonts w:ascii="Times New Roman" w:hAnsi="Times New Roman"/>
          <w:sz w:val="24"/>
          <w:szCs w:val="24"/>
        </w:rPr>
        <w:t xml:space="preserve">OH’s costs to run the SCO auction </w:t>
      </w:r>
      <w:r w:rsidR="00114BEE">
        <w:rPr>
          <w:rFonts w:ascii="Times New Roman" w:hAnsi="Times New Roman"/>
          <w:sz w:val="24"/>
          <w:szCs w:val="24"/>
        </w:rPr>
        <w:t>pale in comparison to the</w:t>
      </w:r>
      <w:r w:rsidR="004506F4">
        <w:rPr>
          <w:rFonts w:ascii="Times New Roman" w:hAnsi="Times New Roman"/>
          <w:sz w:val="24"/>
          <w:szCs w:val="24"/>
        </w:rPr>
        <w:t xml:space="preserve"> $</w:t>
      </w:r>
      <w:r w:rsidR="00752AB1">
        <w:rPr>
          <w:rFonts w:ascii="Times New Roman" w:hAnsi="Times New Roman"/>
          <w:sz w:val="24"/>
          <w:szCs w:val="24"/>
        </w:rPr>
        <w:t>4.</w:t>
      </w:r>
      <w:r w:rsidR="004506F4">
        <w:rPr>
          <w:rFonts w:ascii="Times New Roman" w:hAnsi="Times New Roman"/>
          <w:sz w:val="24"/>
          <w:szCs w:val="24"/>
        </w:rPr>
        <w:t>8 million</w:t>
      </w:r>
      <w:r w:rsidR="00114BEE">
        <w:rPr>
          <w:rFonts w:ascii="Times New Roman" w:hAnsi="Times New Roman"/>
          <w:sz w:val="24"/>
          <w:szCs w:val="24"/>
        </w:rPr>
        <w:t xml:space="preserve"> that would be collected from SCO customers</w:t>
      </w:r>
      <w:r w:rsidR="00DB2F27">
        <w:rPr>
          <w:rFonts w:ascii="Times New Roman" w:hAnsi="Times New Roman"/>
          <w:sz w:val="24"/>
          <w:szCs w:val="24"/>
        </w:rPr>
        <w:t xml:space="preserve"> if the SCO security charge was approved</w:t>
      </w:r>
      <w:r w:rsidR="004506F4">
        <w:rPr>
          <w:rFonts w:ascii="Times New Roman" w:hAnsi="Times New Roman"/>
          <w:sz w:val="24"/>
          <w:szCs w:val="24"/>
        </w:rPr>
        <w:t xml:space="preserve">. </w:t>
      </w:r>
      <w:r w:rsidR="00BE499D">
        <w:rPr>
          <w:rFonts w:ascii="Times New Roman" w:hAnsi="Times New Roman"/>
          <w:sz w:val="24"/>
          <w:szCs w:val="24"/>
        </w:rPr>
        <w:t xml:space="preserve"> </w:t>
      </w:r>
      <w:r w:rsidR="00FD3679">
        <w:rPr>
          <w:rFonts w:ascii="Times New Roman" w:hAnsi="Times New Roman"/>
          <w:sz w:val="24"/>
          <w:szCs w:val="24"/>
        </w:rPr>
        <w:t>Since there is</w:t>
      </w:r>
      <w:r w:rsidR="004506F4">
        <w:rPr>
          <w:rFonts w:ascii="Times New Roman" w:hAnsi="Times New Roman"/>
          <w:sz w:val="24"/>
          <w:szCs w:val="24"/>
        </w:rPr>
        <w:t xml:space="preserve"> no credible evidence in the record to substantiate their claims</w:t>
      </w:r>
      <w:r w:rsidR="00BC047B">
        <w:rPr>
          <w:rFonts w:ascii="Times New Roman" w:hAnsi="Times New Roman"/>
          <w:sz w:val="24"/>
          <w:szCs w:val="24"/>
        </w:rPr>
        <w:t xml:space="preserve">, the Commission </w:t>
      </w:r>
      <w:r w:rsidR="00670E8E">
        <w:rPr>
          <w:rFonts w:ascii="Times New Roman" w:hAnsi="Times New Roman"/>
          <w:sz w:val="24"/>
          <w:szCs w:val="24"/>
        </w:rPr>
        <w:t>should</w:t>
      </w:r>
      <w:r w:rsidR="00BC047B">
        <w:rPr>
          <w:rFonts w:ascii="Times New Roman" w:hAnsi="Times New Roman"/>
          <w:sz w:val="24"/>
          <w:szCs w:val="24"/>
        </w:rPr>
        <w:t xml:space="preserve"> completely disregard the </w:t>
      </w:r>
      <w:r w:rsidR="00BE499D">
        <w:rPr>
          <w:rFonts w:ascii="Times New Roman" w:hAnsi="Times New Roman"/>
          <w:sz w:val="24"/>
          <w:szCs w:val="24"/>
        </w:rPr>
        <w:t xml:space="preserve">Residential </w:t>
      </w:r>
      <w:r w:rsidR="00BC047B">
        <w:rPr>
          <w:rFonts w:ascii="Times New Roman" w:hAnsi="Times New Roman"/>
          <w:sz w:val="24"/>
          <w:szCs w:val="24"/>
        </w:rPr>
        <w:t>Suppliers’ argument that the SCO security charge should be implemented to offset alleged “subsidies” afforded to SCO customers.</w:t>
      </w:r>
    </w:p>
    <w:p w:rsidR="00FD3679" w:rsidRPr="00FD3679" w:rsidRDefault="00FD3679" w:rsidP="00FD3679">
      <w:pPr>
        <w:spacing w:after="0" w:line="480" w:lineRule="auto"/>
        <w:jc w:val="both"/>
        <w:rPr>
          <w:rFonts w:ascii="Times New Roman" w:hAnsi="Times New Roman"/>
          <w:b/>
          <w:sz w:val="24"/>
          <w:szCs w:val="24"/>
        </w:rPr>
      </w:pPr>
      <w:r w:rsidRPr="00FD3679">
        <w:rPr>
          <w:rFonts w:ascii="Times New Roman" w:hAnsi="Times New Roman"/>
          <w:b/>
          <w:sz w:val="24"/>
          <w:szCs w:val="24"/>
        </w:rPr>
        <w:t>Q.</w:t>
      </w:r>
      <w:r w:rsidRPr="00FD3679">
        <w:rPr>
          <w:rFonts w:ascii="Times New Roman" w:hAnsi="Times New Roman"/>
          <w:b/>
          <w:sz w:val="24"/>
          <w:szCs w:val="24"/>
        </w:rPr>
        <w:tab/>
        <w:t xml:space="preserve">What impact will the SCO security charge have on the </w:t>
      </w:r>
      <w:r w:rsidR="00670E8E">
        <w:rPr>
          <w:rFonts w:ascii="Times New Roman" w:hAnsi="Times New Roman"/>
          <w:b/>
          <w:sz w:val="24"/>
          <w:szCs w:val="24"/>
        </w:rPr>
        <w:t xml:space="preserve">COH </w:t>
      </w:r>
      <w:r w:rsidRPr="00FD3679">
        <w:rPr>
          <w:rFonts w:ascii="Times New Roman" w:hAnsi="Times New Roman"/>
          <w:b/>
          <w:sz w:val="24"/>
          <w:szCs w:val="24"/>
        </w:rPr>
        <w:t xml:space="preserve">market?   </w:t>
      </w:r>
    </w:p>
    <w:p w:rsidR="002A4033" w:rsidRDefault="00FD3679" w:rsidP="00FD3679">
      <w:pPr>
        <w:spacing w:after="0" w:line="48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w:t>
      </w:r>
      <w:r w:rsidR="004506F4">
        <w:rPr>
          <w:rFonts w:ascii="Times New Roman" w:hAnsi="Times New Roman"/>
          <w:sz w:val="24"/>
          <w:szCs w:val="24"/>
        </w:rPr>
        <w:t xml:space="preserve">he SCO security charge is nothing more than an administrative mechanism designed to artificially bolster the competitive position of retail suppliers compared with the SCO price.  </w:t>
      </w:r>
      <w:r w:rsidR="00804C3E">
        <w:rPr>
          <w:rFonts w:ascii="Times New Roman" w:hAnsi="Times New Roman"/>
          <w:sz w:val="24"/>
          <w:szCs w:val="24"/>
        </w:rPr>
        <w:t xml:space="preserve">If </w:t>
      </w:r>
      <w:r w:rsidR="00804C3E">
        <w:rPr>
          <w:rFonts w:ascii="Times New Roman" w:hAnsi="Times New Roman"/>
          <w:sz w:val="24"/>
          <w:szCs w:val="24"/>
        </w:rPr>
        <w:lastRenderedPageBreak/>
        <w:t xml:space="preserve">approved, SCO suppliers will have to build this </w:t>
      </w:r>
      <w:r w:rsidR="0056564F">
        <w:rPr>
          <w:rFonts w:ascii="Times New Roman" w:hAnsi="Times New Roman"/>
          <w:sz w:val="24"/>
          <w:szCs w:val="24"/>
        </w:rPr>
        <w:t>$0.</w:t>
      </w:r>
      <w:r w:rsidR="00752AB1">
        <w:rPr>
          <w:rFonts w:ascii="Times New Roman" w:hAnsi="Times New Roman"/>
          <w:sz w:val="24"/>
          <w:szCs w:val="24"/>
        </w:rPr>
        <w:t>06</w:t>
      </w:r>
      <w:r w:rsidR="0056564F">
        <w:rPr>
          <w:rFonts w:ascii="Times New Roman" w:hAnsi="Times New Roman"/>
          <w:sz w:val="24"/>
          <w:szCs w:val="24"/>
        </w:rPr>
        <w:t xml:space="preserve"> per Mcf </w:t>
      </w:r>
      <w:r w:rsidR="00804C3E">
        <w:rPr>
          <w:rFonts w:ascii="Times New Roman" w:hAnsi="Times New Roman"/>
          <w:sz w:val="24"/>
          <w:szCs w:val="24"/>
        </w:rPr>
        <w:t xml:space="preserve">charge into </w:t>
      </w:r>
      <w:r w:rsidR="008904A8">
        <w:rPr>
          <w:rFonts w:ascii="Times New Roman" w:hAnsi="Times New Roman"/>
          <w:sz w:val="24"/>
          <w:szCs w:val="24"/>
        </w:rPr>
        <w:t>their</w:t>
      </w:r>
      <w:r w:rsidR="00804C3E">
        <w:rPr>
          <w:rFonts w:ascii="Times New Roman" w:hAnsi="Times New Roman"/>
          <w:sz w:val="24"/>
          <w:szCs w:val="24"/>
        </w:rPr>
        <w:t xml:space="preserve"> SCO bids</w:t>
      </w:r>
      <w:r w:rsidR="00627284">
        <w:rPr>
          <w:rFonts w:ascii="Times New Roman" w:hAnsi="Times New Roman"/>
          <w:sz w:val="24"/>
          <w:szCs w:val="24"/>
        </w:rPr>
        <w:t xml:space="preserve"> </w:t>
      </w:r>
      <w:r w:rsidR="00C8386E">
        <w:rPr>
          <w:rFonts w:ascii="Times New Roman" w:hAnsi="Times New Roman"/>
          <w:sz w:val="24"/>
          <w:szCs w:val="24"/>
        </w:rPr>
        <w:t xml:space="preserve">each year </w:t>
      </w:r>
      <w:r w:rsidR="00627284">
        <w:rPr>
          <w:rFonts w:ascii="Times New Roman" w:hAnsi="Times New Roman"/>
          <w:sz w:val="24"/>
          <w:szCs w:val="24"/>
        </w:rPr>
        <w:t xml:space="preserve">because </w:t>
      </w:r>
      <w:r w:rsidR="008904A8">
        <w:rPr>
          <w:rFonts w:ascii="Times New Roman" w:hAnsi="Times New Roman"/>
          <w:sz w:val="24"/>
          <w:szCs w:val="24"/>
        </w:rPr>
        <w:t>they will be unable to</w:t>
      </w:r>
      <w:r w:rsidR="00627284">
        <w:rPr>
          <w:rFonts w:ascii="Times New Roman" w:hAnsi="Times New Roman"/>
          <w:sz w:val="24"/>
          <w:szCs w:val="24"/>
        </w:rPr>
        <w:t xml:space="preserve"> </w:t>
      </w:r>
      <w:r w:rsidR="000C7B3D">
        <w:rPr>
          <w:rFonts w:ascii="Times New Roman" w:hAnsi="Times New Roman"/>
          <w:sz w:val="24"/>
          <w:szCs w:val="24"/>
        </w:rPr>
        <w:t>recover it at the end of the program year</w:t>
      </w:r>
      <w:r w:rsidR="0056564F">
        <w:rPr>
          <w:rFonts w:ascii="Times New Roman" w:hAnsi="Times New Roman"/>
          <w:sz w:val="24"/>
          <w:szCs w:val="24"/>
        </w:rPr>
        <w:t>.</w:t>
      </w:r>
      <w:r w:rsidR="00804C3E">
        <w:rPr>
          <w:rFonts w:ascii="Times New Roman" w:hAnsi="Times New Roman"/>
          <w:sz w:val="24"/>
          <w:szCs w:val="24"/>
        </w:rPr>
        <w:t xml:space="preserve">   Retail suppliers, on the other hand, w</w:t>
      </w:r>
      <w:r w:rsidR="00627284">
        <w:rPr>
          <w:rFonts w:ascii="Times New Roman" w:hAnsi="Times New Roman"/>
          <w:sz w:val="24"/>
          <w:szCs w:val="24"/>
        </w:rPr>
        <w:t xml:space="preserve">ill not be assessed this </w:t>
      </w:r>
      <w:r w:rsidR="0056564F">
        <w:rPr>
          <w:rFonts w:ascii="Times New Roman" w:hAnsi="Times New Roman"/>
          <w:sz w:val="24"/>
          <w:szCs w:val="24"/>
        </w:rPr>
        <w:t>charge</w:t>
      </w:r>
      <w:r w:rsidR="00627284">
        <w:rPr>
          <w:rFonts w:ascii="Times New Roman" w:hAnsi="Times New Roman"/>
          <w:sz w:val="24"/>
          <w:szCs w:val="24"/>
        </w:rPr>
        <w:t xml:space="preserve"> and will not need to account for the charge </w:t>
      </w:r>
      <w:r w:rsidR="00731DB0">
        <w:rPr>
          <w:rFonts w:ascii="Times New Roman" w:hAnsi="Times New Roman"/>
          <w:sz w:val="24"/>
          <w:szCs w:val="24"/>
        </w:rPr>
        <w:t>in their</w:t>
      </w:r>
      <w:r w:rsidR="00627284">
        <w:rPr>
          <w:rFonts w:ascii="Times New Roman" w:hAnsi="Times New Roman"/>
          <w:sz w:val="24"/>
          <w:szCs w:val="24"/>
        </w:rPr>
        <w:t xml:space="preserve"> offers to </w:t>
      </w:r>
      <w:r w:rsidR="000C7B3D">
        <w:rPr>
          <w:rFonts w:ascii="Times New Roman" w:hAnsi="Times New Roman"/>
          <w:sz w:val="24"/>
          <w:szCs w:val="24"/>
        </w:rPr>
        <w:t>Choice</w:t>
      </w:r>
      <w:r w:rsidR="004506F4">
        <w:rPr>
          <w:rFonts w:ascii="Times New Roman" w:hAnsi="Times New Roman"/>
          <w:sz w:val="24"/>
          <w:szCs w:val="24"/>
        </w:rPr>
        <w:t xml:space="preserve"> customers.  Such a construct would make retail suppliers’ offers more competitive to</w:t>
      </w:r>
      <w:r w:rsidR="00DB2F27">
        <w:rPr>
          <w:rFonts w:ascii="Times New Roman" w:hAnsi="Times New Roman"/>
          <w:sz w:val="24"/>
          <w:szCs w:val="24"/>
        </w:rPr>
        <w:t xml:space="preserve"> Choice-eligible</w:t>
      </w:r>
      <w:r w:rsidR="004506F4">
        <w:rPr>
          <w:rFonts w:ascii="Times New Roman" w:hAnsi="Times New Roman"/>
          <w:sz w:val="24"/>
          <w:szCs w:val="24"/>
        </w:rPr>
        <w:t xml:space="preserve"> customers.  </w:t>
      </w:r>
    </w:p>
    <w:p w:rsidR="007B44E1" w:rsidRDefault="002A4033" w:rsidP="0056564F">
      <w:pPr>
        <w:spacing w:after="0" w:line="480" w:lineRule="auto"/>
        <w:ind w:firstLine="720"/>
        <w:jc w:val="both"/>
        <w:rPr>
          <w:rFonts w:ascii="Times New Roman" w:hAnsi="Times New Roman"/>
          <w:sz w:val="24"/>
          <w:szCs w:val="24"/>
        </w:rPr>
      </w:pPr>
      <w:r>
        <w:rPr>
          <w:rFonts w:ascii="Times New Roman" w:hAnsi="Times New Roman"/>
          <w:sz w:val="24"/>
          <w:szCs w:val="24"/>
        </w:rPr>
        <w:t xml:space="preserve">Further, </w:t>
      </w:r>
      <w:r w:rsidR="00DB2F27">
        <w:rPr>
          <w:rFonts w:ascii="Times New Roman" w:hAnsi="Times New Roman"/>
          <w:sz w:val="24"/>
          <w:szCs w:val="24"/>
        </w:rPr>
        <w:t xml:space="preserve">since </w:t>
      </w:r>
      <w:r w:rsidR="0056564F">
        <w:rPr>
          <w:rFonts w:ascii="Times New Roman" w:hAnsi="Times New Roman"/>
          <w:sz w:val="24"/>
          <w:szCs w:val="24"/>
        </w:rPr>
        <w:t>SCO suppliers will be forced to increase their SCO bids by $0.</w:t>
      </w:r>
      <w:r w:rsidR="00752AB1">
        <w:rPr>
          <w:rFonts w:ascii="Times New Roman" w:hAnsi="Times New Roman"/>
          <w:sz w:val="24"/>
          <w:szCs w:val="24"/>
        </w:rPr>
        <w:t xml:space="preserve">06 </w:t>
      </w:r>
      <w:r w:rsidR="0056564F">
        <w:rPr>
          <w:rFonts w:ascii="Times New Roman" w:hAnsi="Times New Roman"/>
          <w:sz w:val="24"/>
          <w:szCs w:val="24"/>
        </w:rPr>
        <w:t xml:space="preserve">per Mcf, </w:t>
      </w:r>
      <w:r w:rsidR="00627284">
        <w:rPr>
          <w:rFonts w:ascii="Times New Roman" w:hAnsi="Times New Roman"/>
          <w:sz w:val="24"/>
          <w:szCs w:val="24"/>
        </w:rPr>
        <w:t xml:space="preserve">the proposed SCO security charge </w:t>
      </w:r>
      <w:r w:rsidR="00DF79C9">
        <w:rPr>
          <w:rFonts w:ascii="Times New Roman" w:hAnsi="Times New Roman"/>
          <w:sz w:val="24"/>
          <w:szCs w:val="24"/>
        </w:rPr>
        <w:t>will penalize</w:t>
      </w:r>
      <w:r w:rsidR="00627284">
        <w:rPr>
          <w:rFonts w:ascii="Times New Roman" w:hAnsi="Times New Roman"/>
          <w:sz w:val="24"/>
          <w:szCs w:val="24"/>
        </w:rPr>
        <w:t xml:space="preserve"> SCO customers </w:t>
      </w:r>
      <w:r w:rsidR="00ED4CA3">
        <w:rPr>
          <w:rFonts w:ascii="Times New Roman" w:hAnsi="Times New Roman"/>
          <w:sz w:val="24"/>
          <w:szCs w:val="24"/>
        </w:rPr>
        <w:t>by subjecting</w:t>
      </w:r>
      <w:r w:rsidR="00627284">
        <w:rPr>
          <w:rFonts w:ascii="Times New Roman" w:hAnsi="Times New Roman"/>
          <w:sz w:val="24"/>
          <w:szCs w:val="24"/>
        </w:rPr>
        <w:t xml:space="preserve"> them to higher prices.  </w:t>
      </w:r>
      <w:r w:rsidR="0038003F">
        <w:rPr>
          <w:rFonts w:ascii="Times New Roman" w:hAnsi="Times New Roman"/>
          <w:sz w:val="24"/>
          <w:szCs w:val="24"/>
        </w:rPr>
        <w:t xml:space="preserve">Even though SCO customers will be paying all costs associated with the SCO security charge </w:t>
      </w:r>
      <w:r w:rsidR="00ED4CA3">
        <w:rPr>
          <w:rFonts w:ascii="Times New Roman" w:hAnsi="Times New Roman"/>
          <w:sz w:val="24"/>
          <w:szCs w:val="24"/>
        </w:rPr>
        <w:t>(via</w:t>
      </w:r>
      <w:r w:rsidR="0038003F">
        <w:rPr>
          <w:rFonts w:ascii="Times New Roman" w:hAnsi="Times New Roman"/>
          <w:sz w:val="24"/>
          <w:szCs w:val="24"/>
        </w:rPr>
        <w:t xml:space="preserve"> the SCO clearing price</w:t>
      </w:r>
      <w:r w:rsidR="00ED4CA3">
        <w:rPr>
          <w:rFonts w:ascii="Times New Roman" w:hAnsi="Times New Roman"/>
          <w:sz w:val="24"/>
          <w:szCs w:val="24"/>
        </w:rPr>
        <w:t>)</w:t>
      </w:r>
      <w:r w:rsidR="0038003F">
        <w:rPr>
          <w:rFonts w:ascii="Times New Roman" w:hAnsi="Times New Roman"/>
          <w:sz w:val="24"/>
          <w:szCs w:val="24"/>
        </w:rPr>
        <w:t xml:space="preserve">, </w:t>
      </w:r>
      <w:r w:rsidR="00ED4CA3">
        <w:rPr>
          <w:rFonts w:ascii="Times New Roman" w:hAnsi="Times New Roman"/>
          <w:sz w:val="24"/>
          <w:szCs w:val="24"/>
        </w:rPr>
        <w:t>the</w:t>
      </w:r>
      <w:r w:rsidR="0038003F">
        <w:rPr>
          <w:rFonts w:ascii="Times New Roman" w:hAnsi="Times New Roman"/>
          <w:sz w:val="24"/>
          <w:szCs w:val="24"/>
        </w:rPr>
        <w:t xml:space="preserve"> unused funds will be returned to </w:t>
      </w:r>
      <w:r w:rsidR="0038003F" w:rsidRPr="0038003F">
        <w:rPr>
          <w:rFonts w:ascii="Times New Roman" w:hAnsi="Times New Roman"/>
          <w:sz w:val="24"/>
          <w:szCs w:val="24"/>
          <w:u w:val="single"/>
        </w:rPr>
        <w:t>all</w:t>
      </w:r>
      <w:r w:rsidR="0038003F">
        <w:rPr>
          <w:rFonts w:ascii="Times New Roman" w:hAnsi="Times New Roman"/>
          <w:sz w:val="24"/>
          <w:szCs w:val="24"/>
        </w:rPr>
        <w:t xml:space="preserve"> customers (</w:t>
      </w:r>
      <w:r w:rsidR="0038003F" w:rsidRPr="0038003F">
        <w:rPr>
          <w:rFonts w:ascii="Times New Roman" w:hAnsi="Times New Roman"/>
          <w:i/>
          <w:sz w:val="24"/>
          <w:szCs w:val="24"/>
        </w:rPr>
        <w:t>i.e.</w:t>
      </w:r>
      <w:r w:rsidR="0038003F">
        <w:rPr>
          <w:rFonts w:ascii="Times New Roman" w:hAnsi="Times New Roman"/>
          <w:sz w:val="24"/>
          <w:szCs w:val="24"/>
        </w:rPr>
        <w:t>, SCO and</w:t>
      </w:r>
      <w:r w:rsidR="0032121A">
        <w:rPr>
          <w:rFonts w:ascii="Times New Roman" w:hAnsi="Times New Roman"/>
          <w:sz w:val="24"/>
          <w:szCs w:val="24"/>
        </w:rPr>
        <w:t xml:space="preserve"> Choice </w:t>
      </w:r>
      <w:r w:rsidR="0038003F">
        <w:rPr>
          <w:rFonts w:ascii="Times New Roman" w:hAnsi="Times New Roman"/>
          <w:sz w:val="24"/>
          <w:szCs w:val="24"/>
        </w:rPr>
        <w:t xml:space="preserve">customers).  Thus, only a portion of the unused funds will be </w:t>
      </w:r>
      <w:r w:rsidR="008904A8">
        <w:rPr>
          <w:rFonts w:ascii="Times New Roman" w:hAnsi="Times New Roman"/>
          <w:sz w:val="24"/>
          <w:szCs w:val="24"/>
        </w:rPr>
        <w:t xml:space="preserve">returning to SCO customers.  As a result, SCO customers </w:t>
      </w:r>
      <w:r w:rsidR="0038003F">
        <w:rPr>
          <w:rFonts w:ascii="Times New Roman" w:hAnsi="Times New Roman"/>
          <w:sz w:val="24"/>
          <w:szCs w:val="24"/>
        </w:rPr>
        <w:t xml:space="preserve">will </w:t>
      </w:r>
      <w:r w:rsidR="008904A8">
        <w:rPr>
          <w:rFonts w:ascii="Times New Roman" w:hAnsi="Times New Roman"/>
          <w:sz w:val="24"/>
          <w:szCs w:val="24"/>
        </w:rPr>
        <w:t xml:space="preserve">be </w:t>
      </w:r>
      <w:r w:rsidR="0038003F">
        <w:rPr>
          <w:rFonts w:ascii="Times New Roman" w:hAnsi="Times New Roman"/>
          <w:sz w:val="24"/>
          <w:szCs w:val="24"/>
        </w:rPr>
        <w:t>inappropriately subject</w:t>
      </w:r>
      <w:r w:rsidR="008904A8">
        <w:rPr>
          <w:rFonts w:ascii="Times New Roman" w:hAnsi="Times New Roman"/>
          <w:sz w:val="24"/>
          <w:szCs w:val="24"/>
        </w:rPr>
        <w:t xml:space="preserve">ed </w:t>
      </w:r>
      <w:r w:rsidR="0038003F">
        <w:rPr>
          <w:rFonts w:ascii="Times New Roman" w:hAnsi="Times New Roman"/>
          <w:sz w:val="24"/>
          <w:szCs w:val="24"/>
        </w:rPr>
        <w:t xml:space="preserve">to </w:t>
      </w:r>
      <w:r w:rsidR="00221A37">
        <w:rPr>
          <w:rFonts w:ascii="Times New Roman" w:hAnsi="Times New Roman"/>
          <w:sz w:val="24"/>
          <w:szCs w:val="24"/>
        </w:rPr>
        <w:t>unequal</w:t>
      </w:r>
      <w:r w:rsidR="0038003F">
        <w:rPr>
          <w:rFonts w:ascii="Times New Roman" w:hAnsi="Times New Roman"/>
          <w:sz w:val="24"/>
          <w:szCs w:val="24"/>
        </w:rPr>
        <w:t xml:space="preserve"> treatment compared to </w:t>
      </w:r>
      <w:r w:rsidR="008904A8">
        <w:rPr>
          <w:rFonts w:ascii="Times New Roman" w:hAnsi="Times New Roman"/>
          <w:sz w:val="24"/>
          <w:szCs w:val="24"/>
        </w:rPr>
        <w:t>shopping</w:t>
      </w:r>
      <w:r w:rsidR="00D466B5">
        <w:rPr>
          <w:rFonts w:ascii="Times New Roman" w:hAnsi="Times New Roman"/>
          <w:sz w:val="24"/>
          <w:szCs w:val="24"/>
        </w:rPr>
        <w:t xml:space="preserve"> retail</w:t>
      </w:r>
      <w:r w:rsidR="00CF6D59">
        <w:rPr>
          <w:rFonts w:ascii="Times New Roman" w:hAnsi="Times New Roman"/>
          <w:sz w:val="24"/>
          <w:szCs w:val="24"/>
        </w:rPr>
        <w:t xml:space="preserve"> customers.</w:t>
      </w:r>
      <w:r w:rsidR="0038003F">
        <w:rPr>
          <w:rFonts w:ascii="Times New Roman" w:hAnsi="Times New Roman"/>
          <w:sz w:val="24"/>
          <w:szCs w:val="24"/>
        </w:rPr>
        <w:t xml:space="preserve"> </w:t>
      </w:r>
      <w:r w:rsidR="00752AB1">
        <w:rPr>
          <w:rFonts w:ascii="Times New Roman" w:hAnsi="Times New Roman"/>
          <w:sz w:val="24"/>
          <w:szCs w:val="24"/>
        </w:rPr>
        <w:t xml:space="preserve"> </w:t>
      </w:r>
    </w:p>
    <w:p w:rsidR="00487A6D" w:rsidRDefault="007B44E1" w:rsidP="00960A39">
      <w:pPr>
        <w:spacing w:after="0" w:line="480" w:lineRule="auto"/>
        <w:ind w:firstLine="720"/>
        <w:jc w:val="both"/>
        <w:rPr>
          <w:rFonts w:ascii="Times New Roman" w:hAnsi="Times New Roman"/>
          <w:sz w:val="24"/>
          <w:szCs w:val="24"/>
        </w:rPr>
      </w:pPr>
      <w:r>
        <w:rPr>
          <w:rFonts w:ascii="Times New Roman" w:hAnsi="Times New Roman"/>
          <w:sz w:val="24"/>
          <w:szCs w:val="24"/>
        </w:rPr>
        <w:t>E</w:t>
      </w:r>
      <w:r w:rsidR="00752AB1">
        <w:rPr>
          <w:rFonts w:ascii="Times New Roman" w:hAnsi="Times New Roman"/>
          <w:sz w:val="24"/>
          <w:szCs w:val="24"/>
        </w:rPr>
        <w:t>ven though the Amended Stipulation reduces the SCO security charge by 40%</w:t>
      </w:r>
      <w:r w:rsidR="00B67E8F">
        <w:rPr>
          <w:rFonts w:ascii="Times New Roman" w:hAnsi="Times New Roman"/>
          <w:sz w:val="24"/>
          <w:szCs w:val="24"/>
        </w:rPr>
        <w:t xml:space="preserve"> compared to the SCO security charge proposed in the Original Stipulation</w:t>
      </w:r>
      <w:r w:rsidR="00752AB1">
        <w:rPr>
          <w:rFonts w:ascii="Times New Roman" w:hAnsi="Times New Roman"/>
          <w:sz w:val="24"/>
          <w:szCs w:val="24"/>
        </w:rPr>
        <w:t xml:space="preserve">, the mere existence of the charge </w:t>
      </w:r>
      <w:r w:rsidR="00F51744">
        <w:rPr>
          <w:rFonts w:ascii="Times New Roman" w:hAnsi="Times New Roman"/>
          <w:sz w:val="24"/>
          <w:szCs w:val="24"/>
        </w:rPr>
        <w:t xml:space="preserve">violates the most fundamental of competitive market principles by taxing only one subset of competitors and purposefully creating an unleveled playing field in the market.  </w:t>
      </w:r>
      <w:r w:rsidR="00F35ED8">
        <w:rPr>
          <w:rFonts w:ascii="Times New Roman" w:hAnsi="Times New Roman"/>
          <w:sz w:val="24"/>
          <w:szCs w:val="24"/>
        </w:rPr>
        <w:t>If it approves</w:t>
      </w:r>
      <w:r w:rsidR="00F51744">
        <w:rPr>
          <w:rFonts w:ascii="Times New Roman" w:hAnsi="Times New Roman"/>
          <w:sz w:val="24"/>
          <w:szCs w:val="24"/>
        </w:rPr>
        <w:t xml:space="preserve"> the SCO security charge, the Commission will be </w:t>
      </w:r>
      <w:r w:rsidR="007F4947">
        <w:rPr>
          <w:rFonts w:ascii="Times New Roman" w:hAnsi="Times New Roman"/>
          <w:sz w:val="24"/>
          <w:szCs w:val="24"/>
        </w:rPr>
        <w:t xml:space="preserve">endorsing </w:t>
      </w:r>
      <w:r w:rsidR="007A4687">
        <w:rPr>
          <w:rFonts w:ascii="Times New Roman" w:hAnsi="Times New Roman"/>
          <w:sz w:val="24"/>
          <w:szCs w:val="24"/>
        </w:rPr>
        <w:t>an unprecedented market interference</w:t>
      </w:r>
      <w:r w:rsidR="00CD3785">
        <w:rPr>
          <w:rFonts w:ascii="Times New Roman" w:hAnsi="Times New Roman"/>
          <w:sz w:val="24"/>
          <w:szCs w:val="24"/>
        </w:rPr>
        <w:t xml:space="preserve"> </w:t>
      </w:r>
      <w:r w:rsidR="007A4687">
        <w:rPr>
          <w:rFonts w:ascii="Times New Roman" w:hAnsi="Times New Roman"/>
          <w:sz w:val="24"/>
          <w:szCs w:val="24"/>
        </w:rPr>
        <w:t>for</w:t>
      </w:r>
      <w:r w:rsidR="008904A8">
        <w:rPr>
          <w:rFonts w:ascii="Times New Roman" w:hAnsi="Times New Roman"/>
          <w:sz w:val="24"/>
          <w:szCs w:val="24"/>
        </w:rPr>
        <w:t xml:space="preserve"> no legitimate reason other than </w:t>
      </w:r>
      <w:r w:rsidR="00F51744">
        <w:rPr>
          <w:rFonts w:ascii="Times New Roman" w:hAnsi="Times New Roman"/>
          <w:sz w:val="24"/>
          <w:szCs w:val="24"/>
        </w:rPr>
        <w:t xml:space="preserve">to </w:t>
      </w:r>
      <w:r w:rsidR="00D466B5">
        <w:rPr>
          <w:rFonts w:ascii="Times New Roman" w:hAnsi="Times New Roman"/>
          <w:sz w:val="24"/>
          <w:szCs w:val="24"/>
        </w:rPr>
        <w:t xml:space="preserve">“tip the scales” in the retail suppliers’ favor.  </w:t>
      </w:r>
      <w:r w:rsidR="00515B7D">
        <w:rPr>
          <w:rFonts w:ascii="Times New Roman" w:hAnsi="Times New Roman"/>
          <w:sz w:val="24"/>
          <w:szCs w:val="24"/>
        </w:rPr>
        <w:t xml:space="preserve">Artificially inflating the SCO price just to make retail suppliers’ offerings more </w:t>
      </w:r>
      <w:r w:rsidR="00E073E5">
        <w:rPr>
          <w:rFonts w:ascii="Times New Roman" w:hAnsi="Times New Roman"/>
          <w:sz w:val="24"/>
          <w:szCs w:val="24"/>
        </w:rPr>
        <w:t>competitive</w:t>
      </w:r>
      <w:r w:rsidR="00515B7D">
        <w:rPr>
          <w:rFonts w:ascii="Times New Roman" w:hAnsi="Times New Roman"/>
          <w:sz w:val="24"/>
          <w:szCs w:val="24"/>
        </w:rPr>
        <w:t xml:space="preserve"> on a cost basis is clearly inconsistent </w:t>
      </w:r>
      <w:r w:rsidR="007A4687">
        <w:rPr>
          <w:rFonts w:ascii="Times New Roman" w:hAnsi="Times New Roman"/>
          <w:sz w:val="24"/>
          <w:szCs w:val="24"/>
        </w:rPr>
        <w:t xml:space="preserve">with </w:t>
      </w:r>
      <w:r w:rsidR="008904A8">
        <w:rPr>
          <w:rFonts w:ascii="Times New Roman" w:hAnsi="Times New Roman"/>
          <w:sz w:val="24"/>
          <w:szCs w:val="24"/>
        </w:rPr>
        <w:t xml:space="preserve">prevailing </w:t>
      </w:r>
      <w:r w:rsidR="00E073E5">
        <w:rPr>
          <w:rFonts w:ascii="Times New Roman" w:hAnsi="Times New Roman"/>
          <w:sz w:val="24"/>
          <w:szCs w:val="24"/>
        </w:rPr>
        <w:t>state</w:t>
      </w:r>
      <w:r w:rsidR="00731DB0">
        <w:rPr>
          <w:rFonts w:ascii="Times New Roman" w:hAnsi="Times New Roman"/>
          <w:sz w:val="24"/>
          <w:szCs w:val="24"/>
        </w:rPr>
        <w:t xml:space="preserve"> policy</w:t>
      </w:r>
      <w:r w:rsidR="00E073E5" w:rsidRPr="00E073E5">
        <w:rPr>
          <w:rFonts w:ascii="Times New Roman" w:hAnsi="Times New Roman"/>
          <w:sz w:val="24"/>
          <w:szCs w:val="24"/>
        </w:rPr>
        <w:t xml:space="preserve"> </w:t>
      </w:r>
      <w:r w:rsidR="00E073E5">
        <w:rPr>
          <w:rFonts w:ascii="Times New Roman" w:hAnsi="Times New Roman"/>
          <w:sz w:val="24"/>
          <w:szCs w:val="24"/>
        </w:rPr>
        <w:t>to “achieve effective competition” in Ohio’s retail natural gas market</w:t>
      </w:r>
      <w:r w:rsidR="001E01E8">
        <w:rPr>
          <w:rFonts w:ascii="Times New Roman" w:hAnsi="Times New Roman"/>
          <w:sz w:val="24"/>
          <w:szCs w:val="24"/>
        </w:rPr>
        <w:t xml:space="preserve">. </w:t>
      </w:r>
      <w:r w:rsidR="000677B5">
        <w:rPr>
          <w:rFonts w:ascii="Times New Roman" w:hAnsi="Times New Roman"/>
          <w:sz w:val="24"/>
          <w:szCs w:val="24"/>
        </w:rPr>
        <w:t xml:space="preserve"> </w:t>
      </w:r>
      <w:r w:rsidR="001E01E8">
        <w:rPr>
          <w:rFonts w:ascii="Times New Roman" w:hAnsi="Times New Roman"/>
          <w:sz w:val="24"/>
          <w:szCs w:val="24"/>
        </w:rPr>
        <w:t xml:space="preserve">For these reasons, the Commission should reject the </w:t>
      </w:r>
      <w:r w:rsidR="00752AB1">
        <w:rPr>
          <w:rFonts w:ascii="Times New Roman" w:hAnsi="Times New Roman"/>
          <w:sz w:val="24"/>
          <w:szCs w:val="24"/>
        </w:rPr>
        <w:t xml:space="preserve">Amended </w:t>
      </w:r>
      <w:r w:rsidR="001E01E8">
        <w:rPr>
          <w:rFonts w:ascii="Times New Roman" w:hAnsi="Times New Roman"/>
          <w:sz w:val="24"/>
          <w:szCs w:val="24"/>
        </w:rPr>
        <w:t>Stipulation’s proposed SCO security charge</w:t>
      </w:r>
      <w:r w:rsidR="00C45A8C">
        <w:rPr>
          <w:rFonts w:ascii="Times New Roman" w:hAnsi="Times New Roman"/>
          <w:sz w:val="24"/>
          <w:szCs w:val="24"/>
        </w:rPr>
        <w:t xml:space="preserve"> as it is not in the public interest</w:t>
      </w:r>
      <w:r w:rsidR="001E01E8">
        <w:rPr>
          <w:rFonts w:ascii="Times New Roman" w:hAnsi="Times New Roman"/>
          <w:sz w:val="24"/>
          <w:szCs w:val="24"/>
        </w:rPr>
        <w:t>.</w:t>
      </w:r>
    </w:p>
    <w:p w:rsidR="00053086" w:rsidRDefault="00053086" w:rsidP="00EB6D19">
      <w:pPr>
        <w:spacing w:after="0" w:line="480" w:lineRule="auto"/>
        <w:jc w:val="both"/>
        <w:rPr>
          <w:rFonts w:ascii="Times New Roman" w:hAnsi="Times New Roman"/>
          <w:sz w:val="24"/>
          <w:szCs w:val="24"/>
        </w:rPr>
      </w:pPr>
      <w:r w:rsidRPr="00570248">
        <w:rPr>
          <w:rFonts w:ascii="Times New Roman" w:hAnsi="Times New Roman"/>
          <w:b/>
          <w:sz w:val="24"/>
          <w:szCs w:val="24"/>
        </w:rPr>
        <w:t>Q.</w:t>
      </w:r>
      <w:r>
        <w:rPr>
          <w:rFonts w:ascii="Times New Roman" w:hAnsi="Times New Roman"/>
          <w:b/>
          <w:sz w:val="24"/>
          <w:szCs w:val="24"/>
        </w:rPr>
        <w:tab/>
      </w:r>
      <w:r w:rsidRPr="00570248">
        <w:rPr>
          <w:rFonts w:ascii="Times New Roman" w:hAnsi="Times New Roman"/>
          <w:b/>
          <w:sz w:val="24"/>
          <w:szCs w:val="24"/>
        </w:rPr>
        <w:t xml:space="preserve">Can you please reiterate </w:t>
      </w:r>
      <w:r>
        <w:rPr>
          <w:rFonts w:ascii="Times New Roman" w:hAnsi="Times New Roman"/>
          <w:b/>
          <w:sz w:val="24"/>
          <w:szCs w:val="24"/>
        </w:rPr>
        <w:t>Hess’</w:t>
      </w:r>
      <w:r w:rsidRPr="00570248">
        <w:rPr>
          <w:rFonts w:ascii="Times New Roman" w:hAnsi="Times New Roman"/>
          <w:b/>
          <w:sz w:val="24"/>
          <w:szCs w:val="24"/>
        </w:rPr>
        <w:t xml:space="preserve"> recommendations?</w:t>
      </w:r>
    </w:p>
    <w:p w:rsidR="00053086" w:rsidRDefault="00053086" w:rsidP="00EB6D19">
      <w:pPr>
        <w:spacing w:after="0" w:line="480" w:lineRule="auto"/>
        <w:jc w:val="bot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t xml:space="preserve">Yes.  The Commission should strive for a robust retail competitive market which </w:t>
      </w:r>
      <w:r w:rsidR="007D1332">
        <w:rPr>
          <w:rFonts w:ascii="Times New Roman" w:hAnsi="Times New Roman"/>
          <w:sz w:val="24"/>
          <w:szCs w:val="24"/>
        </w:rPr>
        <w:t>results in</w:t>
      </w:r>
      <w:r>
        <w:rPr>
          <w:rFonts w:ascii="Times New Roman" w:hAnsi="Times New Roman"/>
          <w:sz w:val="24"/>
          <w:szCs w:val="24"/>
        </w:rPr>
        <w:t xml:space="preserve"> the lowest possible price to customers.  In order to obtain this objective, the Commission should not approve a stipulation that will </w:t>
      </w:r>
      <w:r w:rsidR="00807AB0">
        <w:rPr>
          <w:rFonts w:ascii="Times New Roman" w:hAnsi="Times New Roman"/>
          <w:sz w:val="24"/>
          <w:szCs w:val="24"/>
        </w:rPr>
        <w:t xml:space="preserve">only </w:t>
      </w:r>
      <w:r w:rsidR="00D93176">
        <w:rPr>
          <w:rFonts w:ascii="Times New Roman" w:hAnsi="Times New Roman"/>
          <w:sz w:val="24"/>
          <w:szCs w:val="24"/>
        </w:rPr>
        <w:t xml:space="preserve">introduce </w:t>
      </w:r>
      <w:r w:rsidR="00220DBB">
        <w:rPr>
          <w:rFonts w:ascii="Times New Roman" w:hAnsi="Times New Roman"/>
          <w:sz w:val="24"/>
          <w:szCs w:val="24"/>
        </w:rPr>
        <w:t>regulatory uncertainty</w:t>
      </w:r>
      <w:r w:rsidR="00D93176">
        <w:rPr>
          <w:rFonts w:ascii="Times New Roman" w:hAnsi="Times New Roman"/>
          <w:sz w:val="24"/>
          <w:szCs w:val="24"/>
        </w:rPr>
        <w:t xml:space="preserve"> and inefficiency into the</w:t>
      </w:r>
      <w:r w:rsidR="00C75F2B">
        <w:rPr>
          <w:rFonts w:ascii="Times New Roman" w:hAnsi="Times New Roman"/>
          <w:sz w:val="24"/>
          <w:szCs w:val="24"/>
        </w:rPr>
        <w:t xml:space="preserve"> SCO and retail markets</w:t>
      </w:r>
      <w:r>
        <w:rPr>
          <w:rFonts w:ascii="Times New Roman" w:hAnsi="Times New Roman"/>
          <w:sz w:val="24"/>
          <w:szCs w:val="24"/>
        </w:rPr>
        <w:t>.  As such, Hess recommends that the Commission order the following:</w:t>
      </w:r>
    </w:p>
    <w:p w:rsidR="00053086" w:rsidRDefault="00053086" w:rsidP="00EB6D19">
      <w:pPr>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Approve the </w:t>
      </w:r>
      <w:r w:rsidR="00752AB1" w:rsidRPr="002D4BB8">
        <w:rPr>
          <w:rFonts w:ascii="Times New Roman" w:hAnsi="Times New Roman"/>
          <w:sz w:val="24"/>
          <w:szCs w:val="24"/>
        </w:rPr>
        <w:t>Amended</w:t>
      </w:r>
      <w:r w:rsidR="00752AB1">
        <w:rPr>
          <w:rFonts w:ascii="Times New Roman" w:hAnsi="Times New Roman"/>
          <w:b/>
          <w:sz w:val="24"/>
          <w:szCs w:val="24"/>
        </w:rPr>
        <w:t xml:space="preserve"> </w:t>
      </w:r>
      <w:r>
        <w:rPr>
          <w:rFonts w:ascii="Times New Roman" w:hAnsi="Times New Roman"/>
          <w:sz w:val="24"/>
          <w:szCs w:val="24"/>
        </w:rPr>
        <w:t>Stipulation’s framework for COH to exit the merchant function for non-residential customers.</w:t>
      </w:r>
    </w:p>
    <w:p w:rsidR="00053086" w:rsidRDefault="00053086" w:rsidP="00EB6D19">
      <w:pPr>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Employ an MVR allocation methodology for non-residential customers that incorporates </w:t>
      </w:r>
      <w:r w:rsidR="001F59E1">
        <w:rPr>
          <w:rFonts w:ascii="Times New Roman" w:hAnsi="Times New Roman"/>
          <w:sz w:val="24"/>
          <w:szCs w:val="24"/>
        </w:rPr>
        <w:t>SSO/</w:t>
      </w:r>
      <w:r>
        <w:rPr>
          <w:rFonts w:ascii="Times New Roman" w:hAnsi="Times New Roman"/>
          <w:sz w:val="24"/>
          <w:szCs w:val="24"/>
        </w:rPr>
        <w:t>SCO tranche ownership.</w:t>
      </w:r>
    </w:p>
    <w:p w:rsidR="00053086" w:rsidRDefault="00053086" w:rsidP="00EB6D19">
      <w:pPr>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Reject the </w:t>
      </w:r>
      <w:r w:rsidR="00752AB1" w:rsidRPr="002D4BB8">
        <w:rPr>
          <w:rFonts w:ascii="Times New Roman" w:hAnsi="Times New Roman"/>
          <w:sz w:val="24"/>
          <w:szCs w:val="24"/>
        </w:rPr>
        <w:t>Amended</w:t>
      </w:r>
      <w:r w:rsidR="00752AB1">
        <w:rPr>
          <w:rFonts w:ascii="Times New Roman" w:hAnsi="Times New Roman"/>
          <w:b/>
          <w:sz w:val="24"/>
          <w:szCs w:val="24"/>
        </w:rPr>
        <w:t xml:space="preserve"> </w:t>
      </w:r>
      <w:r>
        <w:rPr>
          <w:rFonts w:ascii="Times New Roman" w:hAnsi="Times New Roman"/>
          <w:sz w:val="24"/>
          <w:szCs w:val="24"/>
        </w:rPr>
        <w:t xml:space="preserve">Stipulation’s framework </w:t>
      </w:r>
      <w:r w:rsidR="00D93176">
        <w:rPr>
          <w:rFonts w:ascii="Times New Roman" w:hAnsi="Times New Roman"/>
          <w:sz w:val="24"/>
          <w:szCs w:val="24"/>
        </w:rPr>
        <w:t xml:space="preserve">that </w:t>
      </w:r>
      <w:r w:rsidR="00171CFA">
        <w:rPr>
          <w:rFonts w:ascii="Times New Roman" w:hAnsi="Times New Roman"/>
          <w:sz w:val="24"/>
          <w:szCs w:val="24"/>
        </w:rPr>
        <w:t>allows</w:t>
      </w:r>
      <w:bookmarkStart w:id="0" w:name="_GoBack"/>
      <w:bookmarkEnd w:id="0"/>
      <w:r w:rsidR="00D93176">
        <w:rPr>
          <w:rFonts w:ascii="Times New Roman" w:hAnsi="Times New Roman"/>
          <w:sz w:val="24"/>
          <w:szCs w:val="24"/>
        </w:rPr>
        <w:t xml:space="preserve"> </w:t>
      </w:r>
      <w:r>
        <w:rPr>
          <w:rFonts w:ascii="Times New Roman" w:hAnsi="Times New Roman"/>
          <w:sz w:val="24"/>
          <w:szCs w:val="24"/>
        </w:rPr>
        <w:t>COH to file an application to exit the merchant function for residential customers.</w:t>
      </w:r>
    </w:p>
    <w:p w:rsidR="001E01E8" w:rsidRPr="007950C4" w:rsidRDefault="001E01E8" w:rsidP="00EB6D19">
      <w:pPr>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Reject the </w:t>
      </w:r>
      <w:r w:rsidR="00752AB1" w:rsidRPr="002D4BB8">
        <w:rPr>
          <w:rFonts w:ascii="Times New Roman" w:hAnsi="Times New Roman"/>
          <w:sz w:val="24"/>
          <w:szCs w:val="24"/>
        </w:rPr>
        <w:t>Amended</w:t>
      </w:r>
      <w:r w:rsidR="00752AB1">
        <w:rPr>
          <w:rFonts w:ascii="Times New Roman" w:hAnsi="Times New Roman"/>
          <w:b/>
          <w:sz w:val="24"/>
          <w:szCs w:val="24"/>
        </w:rPr>
        <w:t xml:space="preserve"> </w:t>
      </w:r>
      <w:r>
        <w:rPr>
          <w:rFonts w:ascii="Times New Roman" w:hAnsi="Times New Roman"/>
          <w:sz w:val="24"/>
          <w:szCs w:val="24"/>
        </w:rPr>
        <w:t>Stipulation’s proposed $0.</w:t>
      </w:r>
      <w:r w:rsidR="00752AB1">
        <w:rPr>
          <w:rFonts w:ascii="Times New Roman" w:hAnsi="Times New Roman"/>
          <w:sz w:val="24"/>
          <w:szCs w:val="24"/>
        </w:rPr>
        <w:t>06</w:t>
      </w:r>
      <w:r>
        <w:rPr>
          <w:rFonts w:ascii="Times New Roman" w:hAnsi="Times New Roman"/>
          <w:sz w:val="24"/>
          <w:szCs w:val="24"/>
        </w:rPr>
        <w:t xml:space="preserve"> per Mcf SCO security charge.</w:t>
      </w:r>
    </w:p>
    <w:p w:rsidR="00053086" w:rsidRPr="006C66A0" w:rsidRDefault="00053086" w:rsidP="00EB6D19">
      <w:pPr>
        <w:spacing w:after="0" w:line="480" w:lineRule="auto"/>
        <w:jc w:val="both"/>
        <w:rPr>
          <w:rFonts w:ascii="Times New Roman" w:hAnsi="Times New Roman"/>
          <w:b/>
          <w:sz w:val="24"/>
          <w:szCs w:val="24"/>
        </w:rPr>
      </w:pPr>
      <w:r w:rsidRPr="006C66A0">
        <w:rPr>
          <w:rFonts w:ascii="Times New Roman" w:hAnsi="Times New Roman"/>
          <w:b/>
          <w:sz w:val="24"/>
          <w:szCs w:val="24"/>
        </w:rPr>
        <w:t>Q.</w:t>
      </w:r>
      <w:r>
        <w:rPr>
          <w:rFonts w:ascii="Times New Roman" w:hAnsi="Times New Roman"/>
          <w:b/>
          <w:sz w:val="24"/>
          <w:szCs w:val="24"/>
        </w:rPr>
        <w:tab/>
      </w:r>
      <w:r w:rsidRPr="006C66A0">
        <w:rPr>
          <w:rFonts w:ascii="Times New Roman" w:hAnsi="Times New Roman"/>
          <w:b/>
          <w:sz w:val="24"/>
          <w:szCs w:val="24"/>
        </w:rPr>
        <w:t>Does this conclude your testimony?</w:t>
      </w:r>
    </w:p>
    <w:p w:rsidR="00053086" w:rsidRPr="006C66A0" w:rsidRDefault="00053086" w:rsidP="00EB6D19">
      <w:pPr>
        <w:spacing w:after="0" w:line="480" w:lineRule="auto"/>
        <w:jc w:val="both"/>
        <w:rPr>
          <w:rFonts w:ascii="Times New Roman" w:hAnsi="Times New Roman"/>
          <w:sz w:val="24"/>
          <w:szCs w:val="24"/>
        </w:rPr>
      </w:pPr>
      <w:r w:rsidRPr="006C66A0">
        <w:rPr>
          <w:rFonts w:ascii="Times New Roman" w:hAnsi="Times New Roman"/>
          <w:sz w:val="24"/>
          <w:szCs w:val="24"/>
        </w:rPr>
        <w:t>A.</w:t>
      </w:r>
      <w:r>
        <w:rPr>
          <w:rFonts w:ascii="Times New Roman" w:hAnsi="Times New Roman"/>
          <w:sz w:val="24"/>
          <w:szCs w:val="24"/>
        </w:rPr>
        <w:tab/>
      </w:r>
      <w:r w:rsidRPr="006C66A0">
        <w:rPr>
          <w:rFonts w:ascii="Times New Roman" w:hAnsi="Times New Roman"/>
          <w:sz w:val="24"/>
          <w:szCs w:val="24"/>
        </w:rPr>
        <w:t>Yes</w:t>
      </w:r>
      <w:r>
        <w:rPr>
          <w:rFonts w:ascii="Times New Roman" w:hAnsi="Times New Roman"/>
          <w:sz w:val="24"/>
          <w:szCs w:val="24"/>
        </w:rPr>
        <w:t>, at this time.  Hess reserves the right to file Supplemental Testimony.</w:t>
      </w:r>
    </w:p>
    <w:sectPr w:rsidR="00053086" w:rsidRPr="006C66A0" w:rsidSect="00115088">
      <w:type w:val="continuous"/>
      <w:pgSz w:w="12240" w:h="15840"/>
      <w:pgMar w:top="1440" w:right="1440" w:bottom="1440" w:left="144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19B" w:rsidRDefault="005A119B" w:rsidP="006A5623">
      <w:pPr>
        <w:spacing w:after="0" w:line="240" w:lineRule="auto"/>
      </w:pPr>
      <w:r>
        <w:separator/>
      </w:r>
    </w:p>
  </w:endnote>
  <w:endnote w:type="continuationSeparator" w:id="0">
    <w:p w:rsidR="005A119B" w:rsidRDefault="005A119B" w:rsidP="006A5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19B" w:rsidRDefault="001D3300" w:rsidP="00115088">
    <w:pPr>
      <w:pStyle w:val="Footer"/>
      <w:framePr w:wrap="around" w:vAnchor="text" w:hAnchor="margin" w:xAlign="center" w:y="1"/>
      <w:rPr>
        <w:rStyle w:val="PageNumber"/>
      </w:rPr>
    </w:pPr>
    <w:r>
      <w:rPr>
        <w:rStyle w:val="PageNumber"/>
      </w:rPr>
      <w:fldChar w:fldCharType="begin"/>
    </w:r>
    <w:r w:rsidR="005A119B">
      <w:rPr>
        <w:rStyle w:val="PageNumber"/>
      </w:rPr>
      <w:instrText xml:space="preserve">PAGE  </w:instrText>
    </w:r>
    <w:r>
      <w:rPr>
        <w:rStyle w:val="PageNumber"/>
      </w:rPr>
      <w:fldChar w:fldCharType="end"/>
    </w:r>
  </w:p>
  <w:p w:rsidR="005A119B" w:rsidRDefault="005A11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88" w:rsidRDefault="001D3300" w:rsidP="00115088">
    <w:pPr>
      <w:pStyle w:val="Footer"/>
      <w:framePr w:wrap="around" w:vAnchor="text" w:hAnchor="margin" w:xAlign="center" w:y="1"/>
      <w:rPr>
        <w:rStyle w:val="PageNumber"/>
      </w:rPr>
    </w:pPr>
    <w:r>
      <w:rPr>
        <w:rStyle w:val="PageNumber"/>
      </w:rPr>
      <w:fldChar w:fldCharType="begin"/>
    </w:r>
    <w:r w:rsidR="00115088">
      <w:rPr>
        <w:rStyle w:val="PageNumber"/>
      </w:rPr>
      <w:instrText xml:space="preserve">PAGE  </w:instrText>
    </w:r>
    <w:r>
      <w:rPr>
        <w:rStyle w:val="PageNumber"/>
      </w:rPr>
      <w:fldChar w:fldCharType="separate"/>
    </w:r>
    <w:r w:rsidR="00620250">
      <w:rPr>
        <w:rStyle w:val="PageNumber"/>
        <w:noProof/>
      </w:rPr>
      <w:t>21</w:t>
    </w:r>
    <w:r>
      <w:rPr>
        <w:rStyle w:val="PageNumber"/>
      </w:rPr>
      <w:fldChar w:fldCharType="end"/>
    </w:r>
  </w:p>
  <w:p w:rsidR="00115088" w:rsidRDefault="001150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88" w:rsidRDefault="00115088" w:rsidP="00115088">
    <w:pPr>
      <w:pStyle w:val="Footer"/>
      <w:rPr>
        <w:rFonts w:ascii="Times New Roman" w:hAnsi="Times New Roman"/>
        <w:sz w:val="16"/>
      </w:rPr>
    </w:pPr>
    <w:r>
      <w:rPr>
        <w:rFonts w:ascii="Times New Roman" w:hAnsi="Times New Roman"/>
        <w:sz w:val="16"/>
      </w:rPr>
      <w:t>#731058v1</w:t>
    </w:r>
  </w:p>
  <w:p w:rsidR="005A119B" w:rsidRDefault="00115088" w:rsidP="00B31570">
    <w:pPr>
      <w:pStyle w:val="Footer"/>
      <w:rPr>
        <w:rFonts w:ascii="Times New Roman" w:hAnsi="Times New Roman"/>
        <w:sz w:val="16"/>
      </w:rPr>
    </w:pPr>
    <w:r>
      <w:rPr>
        <w:rFonts w:ascii="Times New Roman" w:hAnsi="Times New Roman"/>
        <w:sz w:val="16"/>
      </w:rPr>
      <w:t>97000.00850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19B" w:rsidRDefault="005A119B" w:rsidP="006A5623">
      <w:pPr>
        <w:spacing w:after="0" w:line="240" w:lineRule="auto"/>
      </w:pPr>
      <w:r>
        <w:separator/>
      </w:r>
    </w:p>
  </w:footnote>
  <w:footnote w:type="continuationSeparator" w:id="0">
    <w:p w:rsidR="005A119B" w:rsidRDefault="005A119B" w:rsidP="006A5623">
      <w:pPr>
        <w:spacing w:after="0" w:line="240" w:lineRule="auto"/>
      </w:pPr>
      <w:r>
        <w:continuationSeparator/>
      </w:r>
    </w:p>
  </w:footnote>
  <w:footnote w:id="1">
    <w:p w:rsidR="005A119B" w:rsidRPr="00C75F2B" w:rsidRDefault="005A119B">
      <w:pPr>
        <w:pStyle w:val="FootnoteText"/>
        <w:rPr>
          <w:rFonts w:ascii="Times New Roman" w:hAnsi="Times New Roman"/>
        </w:rPr>
      </w:pPr>
      <w:r w:rsidRPr="00C75F2B">
        <w:rPr>
          <w:rStyle w:val="FootnoteReference"/>
          <w:rFonts w:ascii="Times New Roman" w:hAnsi="Times New Roman"/>
        </w:rPr>
        <w:footnoteRef/>
      </w:r>
      <w:r w:rsidRPr="00C75F2B">
        <w:rPr>
          <w:rFonts w:ascii="Times New Roman" w:hAnsi="Times New Roman"/>
        </w:rPr>
        <w:t xml:space="preserve"> At the time, KeySpan was a wholly-owned subsidiary of The Brooklyn Union Gas Company.</w:t>
      </w:r>
    </w:p>
  </w:footnote>
  <w:footnote w:id="2">
    <w:p w:rsidR="005A119B" w:rsidRPr="000A2A6B" w:rsidRDefault="005A119B">
      <w:pPr>
        <w:pStyle w:val="FootnoteText"/>
        <w:rPr>
          <w:rFonts w:ascii="Times New Roman" w:hAnsi="Times New Roman"/>
        </w:rPr>
      </w:pPr>
      <w:r w:rsidRPr="000A2A6B">
        <w:rPr>
          <w:rStyle w:val="FootnoteReference"/>
          <w:rFonts w:ascii="Times New Roman" w:hAnsi="Times New Roman"/>
        </w:rPr>
        <w:footnoteRef/>
      </w:r>
      <w:r w:rsidRPr="000A2A6B">
        <w:rPr>
          <w:rFonts w:ascii="Times New Roman" w:hAnsi="Times New Roman"/>
        </w:rPr>
        <w:t xml:space="preserve"> </w:t>
      </w:r>
      <w:r>
        <w:rPr>
          <w:rFonts w:ascii="Times New Roman" w:hAnsi="Times New Roman"/>
        </w:rPr>
        <w:t xml:space="preserve">Amended </w:t>
      </w:r>
      <w:r w:rsidRPr="000A2A6B">
        <w:rPr>
          <w:rFonts w:ascii="Times New Roman" w:hAnsi="Times New Roman"/>
        </w:rPr>
        <w:t xml:space="preserve">Stipulation, at </w:t>
      </w:r>
      <w:r>
        <w:rPr>
          <w:rFonts w:ascii="Times New Roman" w:hAnsi="Times New Roman"/>
        </w:rPr>
        <w:t>9</w:t>
      </w:r>
      <w:r w:rsidRPr="000A2A6B">
        <w:rPr>
          <w:rFonts w:ascii="Times New Roman" w:hAnsi="Times New Roman"/>
        </w:rPr>
        <w:t>.</w:t>
      </w:r>
    </w:p>
  </w:footnote>
  <w:footnote w:id="3">
    <w:p w:rsidR="005A119B" w:rsidRPr="000A2A6B" w:rsidRDefault="005A119B">
      <w:pPr>
        <w:pStyle w:val="FootnoteText"/>
        <w:rPr>
          <w:rFonts w:ascii="Times New Roman" w:hAnsi="Times New Roman"/>
        </w:rPr>
      </w:pPr>
      <w:r w:rsidRPr="000A2A6B">
        <w:rPr>
          <w:rStyle w:val="FootnoteReference"/>
          <w:rFonts w:ascii="Times New Roman" w:hAnsi="Times New Roman"/>
        </w:rPr>
        <w:footnoteRef/>
      </w:r>
      <w:r w:rsidRPr="000A2A6B">
        <w:rPr>
          <w:rFonts w:ascii="Times New Roman" w:hAnsi="Times New Roman"/>
        </w:rPr>
        <w:t xml:space="preserve"> </w:t>
      </w:r>
      <w:r w:rsidRPr="000A2A6B">
        <w:rPr>
          <w:rFonts w:ascii="Times New Roman" w:hAnsi="Times New Roman"/>
          <w:i/>
        </w:rPr>
        <w:t>Id</w:t>
      </w:r>
      <w:r w:rsidRPr="000A2A6B">
        <w:rPr>
          <w:rFonts w:ascii="Times New Roman" w:hAnsi="Times New Roman"/>
        </w:rPr>
        <w:t xml:space="preserve">. at </w:t>
      </w:r>
      <w:r>
        <w:rPr>
          <w:rFonts w:ascii="Times New Roman" w:hAnsi="Times New Roman"/>
        </w:rPr>
        <w:t>10-11</w:t>
      </w:r>
      <w:r w:rsidRPr="000A2A6B">
        <w:rPr>
          <w:rFonts w:ascii="Times New Roman" w:hAnsi="Times New Roman"/>
        </w:rPr>
        <w:t>.</w:t>
      </w:r>
    </w:p>
  </w:footnote>
  <w:footnote w:id="4">
    <w:p w:rsidR="005A119B" w:rsidRPr="000A2A6B" w:rsidRDefault="005A119B">
      <w:pPr>
        <w:pStyle w:val="FootnoteText"/>
        <w:rPr>
          <w:rFonts w:ascii="Times New Roman" w:hAnsi="Times New Roman"/>
        </w:rPr>
      </w:pPr>
      <w:r w:rsidRPr="000A2A6B">
        <w:rPr>
          <w:rStyle w:val="FootnoteReference"/>
          <w:rFonts w:ascii="Times New Roman" w:hAnsi="Times New Roman"/>
        </w:rPr>
        <w:footnoteRef/>
      </w:r>
      <w:r w:rsidRPr="000A2A6B">
        <w:rPr>
          <w:rFonts w:ascii="Times New Roman" w:hAnsi="Times New Roman"/>
        </w:rPr>
        <w:t xml:space="preserve"> </w:t>
      </w:r>
      <w:r w:rsidRPr="000A2A6B">
        <w:rPr>
          <w:rFonts w:ascii="Times New Roman" w:hAnsi="Times New Roman"/>
          <w:i/>
        </w:rPr>
        <w:t>Id</w:t>
      </w:r>
      <w:r w:rsidRPr="000A2A6B">
        <w:rPr>
          <w:rFonts w:ascii="Times New Roman" w:hAnsi="Times New Roman"/>
        </w:rPr>
        <w:t xml:space="preserve">. at </w:t>
      </w:r>
      <w:r>
        <w:rPr>
          <w:rFonts w:ascii="Times New Roman" w:hAnsi="Times New Roman"/>
        </w:rPr>
        <w:t>12-14</w:t>
      </w:r>
      <w:r w:rsidRPr="000A2A6B">
        <w:rPr>
          <w:rFonts w:ascii="Times New Roman" w:hAnsi="Times New Roman"/>
        </w:rPr>
        <w:t>.</w:t>
      </w:r>
    </w:p>
  </w:footnote>
  <w:footnote w:id="5">
    <w:p w:rsidR="005A119B" w:rsidRPr="000A2A6B" w:rsidRDefault="005A119B">
      <w:pPr>
        <w:pStyle w:val="FootnoteText"/>
        <w:rPr>
          <w:rFonts w:ascii="Times New Roman" w:hAnsi="Times New Roman"/>
        </w:rPr>
      </w:pPr>
      <w:r w:rsidRPr="000A2A6B">
        <w:rPr>
          <w:rStyle w:val="FootnoteReference"/>
          <w:rFonts w:ascii="Times New Roman" w:hAnsi="Times New Roman"/>
        </w:rPr>
        <w:footnoteRef/>
      </w:r>
      <w:r w:rsidRPr="000A2A6B">
        <w:rPr>
          <w:rFonts w:ascii="Times New Roman" w:hAnsi="Times New Roman"/>
        </w:rPr>
        <w:t xml:space="preserve"> </w:t>
      </w:r>
      <w:r w:rsidRPr="000A2A6B">
        <w:rPr>
          <w:rFonts w:ascii="Times New Roman" w:hAnsi="Times New Roman"/>
          <w:i/>
        </w:rPr>
        <w:t>Id</w:t>
      </w:r>
      <w:r w:rsidRPr="000A2A6B">
        <w:rPr>
          <w:rFonts w:ascii="Times New Roman" w:hAnsi="Times New Roman"/>
        </w:rPr>
        <w:t xml:space="preserve">. at </w:t>
      </w:r>
      <w:r>
        <w:rPr>
          <w:rFonts w:ascii="Times New Roman" w:hAnsi="Times New Roman"/>
        </w:rPr>
        <w:t>4</w:t>
      </w:r>
      <w:r w:rsidRPr="000A2A6B">
        <w:rPr>
          <w:rFonts w:ascii="Times New Roman" w:hAnsi="Times New Roman"/>
        </w:rPr>
        <w:t>.</w:t>
      </w:r>
    </w:p>
  </w:footnote>
  <w:footnote w:id="6">
    <w:p w:rsidR="005A119B" w:rsidRPr="00F35898" w:rsidRDefault="005A119B">
      <w:pPr>
        <w:pStyle w:val="FootnoteText"/>
        <w:rPr>
          <w:rFonts w:ascii="Times New Roman" w:hAnsi="Times New Roman"/>
        </w:rPr>
      </w:pPr>
      <w:r w:rsidRPr="00F35898">
        <w:rPr>
          <w:rStyle w:val="FootnoteReference"/>
          <w:rFonts w:ascii="Times New Roman" w:hAnsi="Times New Roman"/>
        </w:rPr>
        <w:footnoteRef/>
      </w:r>
      <w:r w:rsidRPr="00F35898">
        <w:rPr>
          <w:rFonts w:ascii="Times New Roman" w:hAnsi="Times New Roman"/>
        </w:rPr>
        <w:t xml:space="preserve"> </w:t>
      </w:r>
      <w:r w:rsidRPr="00960A39">
        <w:rPr>
          <w:rFonts w:ascii="Times New Roman" w:hAnsi="Times New Roman"/>
        </w:rPr>
        <w:t>Amended</w:t>
      </w:r>
      <w:r>
        <w:rPr>
          <w:rFonts w:ascii="Times New Roman" w:hAnsi="Times New Roman"/>
          <w:sz w:val="24"/>
          <w:szCs w:val="24"/>
        </w:rPr>
        <w:t xml:space="preserve"> </w:t>
      </w:r>
      <w:r w:rsidRPr="00F35898">
        <w:rPr>
          <w:rFonts w:ascii="Times New Roman" w:hAnsi="Times New Roman"/>
        </w:rPr>
        <w:t>Stipulation at 6-10.</w:t>
      </w:r>
    </w:p>
  </w:footnote>
  <w:footnote w:id="7">
    <w:p w:rsidR="005A119B" w:rsidRDefault="005A119B">
      <w:pPr>
        <w:pStyle w:val="FootnoteText"/>
      </w:pPr>
      <w:r w:rsidRPr="0067399B">
        <w:rPr>
          <w:rStyle w:val="FootnoteReference"/>
          <w:rFonts w:ascii="Times New Roman" w:hAnsi="Times New Roman"/>
        </w:rPr>
        <w:footnoteRef/>
      </w:r>
      <w:r w:rsidRPr="0067399B">
        <w:rPr>
          <w:rFonts w:ascii="Times New Roman" w:hAnsi="Times New Roman"/>
        </w:rPr>
        <w:t xml:space="preserve"> Though with only one or two large municipal aggregations, the residential (along with non-residential) shopping</w:t>
      </w:r>
      <w:r>
        <w:t xml:space="preserve"> </w:t>
      </w:r>
      <w:r w:rsidRPr="0067399B">
        <w:rPr>
          <w:rFonts w:ascii="Times New Roman" w:hAnsi="Times New Roman"/>
        </w:rPr>
        <w:t>statistics could increase dramatically.</w:t>
      </w:r>
    </w:p>
  </w:footnote>
  <w:footnote w:id="8">
    <w:p w:rsidR="005A119B" w:rsidRPr="00B849CC" w:rsidRDefault="005A119B" w:rsidP="00646036">
      <w:pPr>
        <w:pStyle w:val="FootnoteText"/>
        <w:rPr>
          <w:rFonts w:ascii="Times New Roman" w:hAnsi="Times New Roman"/>
        </w:rPr>
      </w:pPr>
      <w:r w:rsidRPr="00B849CC">
        <w:rPr>
          <w:rStyle w:val="FootnoteReference"/>
          <w:rFonts w:ascii="Times New Roman" w:hAnsi="Times New Roman"/>
        </w:rPr>
        <w:footnoteRef/>
      </w:r>
      <w:r w:rsidRPr="00B849CC">
        <w:rPr>
          <w:rFonts w:ascii="Times New Roman" w:hAnsi="Times New Roman"/>
        </w:rPr>
        <w:t xml:space="preserve"> </w:t>
      </w:r>
      <w:r w:rsidRPr="00B849CC">
        <w:rPr>
          <w:rFonts w:ascii="Times New Roman" w:hAnsi="Times New Roman"/>
          <w:i/>
        </w:rPr>
        <w:t xml:space="preserve">See </w:t>
      </w:r>
      <w:r w:rsidRPr="006A5901">
        <w:rPr>
          <w:rFonts w:ascii="Times New Roman" w:hAnsi="Times New Roman"/>
        </w:rPr>
        <w:t>Exhibit OM – 3.</w:t>
      </w:r>
      <w:r>
        <w:rPr>
          <w:rFonts w:ascii="Times New Roman" w:hAnsi="Times New Roman"/>
          <w:i/>
        </w:rPr>
        <w:t xml:space="preserve"> </w:t>
      </w:r>
    </w:p>
  </w:footnote>
  <w:footnote w:id="9">
    <w:p w:rsidR="005A119B" w:rsidRPr="00B849CC" w:rsidRDefault="005A119B">
      <w:pPr>
        <w:pStyle w:val="FootnoteText"/>
        <w:rPr>
          <w:rFonts w:ascii="Times New Roman" w:hAnsi="Times New Roman"/>
        </w:rPr>
      </w:pPr>
      <w:r w:rsidRPr="00B849CC">
        <w:rPr>
          <w:rStyle w:val="FootnoteReference"/>
          <w:rFonts w:ascii="Times New Roman" w:hAnsi="Times New Roman"/>
        </w:rPr>
        <w:footnoteRef/>
      </w:r>
      <w:r w:rsidRPr="00B849CC">
        <w:rPr>
          <w:rFonts w:ascii="Times New Roman" w:hAnsi="Times New Roman"/>
        </w:rPr>
        <w:t xml:space="preserve"> </w:t>
      </w:r>
      <w:r w:rsidRPr="00B849CC">
        <w:rPr>
          <w:rFonts w:ascii="Times New Roman" w:hAnsi="Times New Roman"/>
          <w:i/>
        </w:rPr>
        <w:t>See id</w:t>
      </w:r>
      <w:r w:rsidRPr="00B849CC">
        <w:rPr>
          <w:rFonts w:ascii="Times New Roman" w:hAnsi="Times New Roman"/>
        </w:rPr>
        <w:t>.</w:t>
      </w:r>
    </w:p>
  </w:footnote>
  <w:footnote w:id="10">
    <w:p w:rsidR="005A119B" w:rsidRPr="00F635B0" w:rsidRDefault="005A119B">
      <w:pPr>
        <w:pStyle w:val="FootnoteText"/>
        <w:rPr>
          <w:rFonts w:ascii="Times New Roman" w:hAnsi="Times New Roman"/>
        </w:rPr>
      </w:pPr>
      <w:r w:rsidRPr="00F635B0">
        <w:rPr>
          <w:rStyle w:val="FootnoteReference"/>
          <w:rFonts w:ascii="Times New Roman" w:hAnsi="Times New Roman"/>
        </w:rPr>
        <w:footnoteRef/>
      </w:r>
      <w:r w:rsidRPr="00F635B0">
        <w:rPr>
          <w:rFonts w:ascii="Times New Roman" w:hAnsi="Times New Roman"/>
        </w:rPr>
        <w:t xml:space="preserve"> Stipulation at </w:t>
      </w:r>
      <w:r>
        <w:rPr>
          <w:rFonts w:ascii="Times New Roman" w:hAnsi="Times New Roman"/>
        </w:rPr>
        <w:t>4</w:t>
      </w:r>
      <w:r w:rsidRPr="00F635B0">
        <w:rPr>
          <w:rFonts w:ascii="Times New Roman" w:hAnsi="Times New Roman"/>
        </w:rPr>
        <w:t>.</w:t>
      </w:r>
    </w:p>
  </w:footnote>
  <w:footnote w:id="11">
    <w:p w:rsidR="005A119B" w:rsidRPr="00F635B0" w:rsidRDefault="005A119B">
      <w:pPr>
        <w:pStyle w:val="FootnoteText"/>
        <w:rPr>
          <w:rFonts w:ascii="Times New Roman" w:hAnsi="Times New Roman"/>
        </w:rPr>
      </w:pPr>
      <w:r w:rsidRPr="00F635B0">
        <w:rPr>
          <w:rStyle w:val="FootnoteReference"/>
          <w:rFonts w:ascii="Times New Roman" w:hAnsi="Times New Roman"/>
        </w:rPr>
        <w:footnoteRef/>
      </w:r>
      <w:r w:rsidRPr="00F635B0">
        <w:rPr>
          <w:rFonts w:ascii="Times New Roman" w:hAnsi="Times New Roman"/>
        </w:rPr>
        <w:t xml:space="preserve"> </w:t>
      </w:r>
      <w:r w:rsidRPr="00F635B0">
        <w:rPr>
          <w:rFonts w:ascii="Times New Roman" w:hAnsi="Times New Roman"/>
          <w:i/>
        </w:rPr>
        <w:t>Id</w:t>
      </w:r>
      <w:r w:rsidRPr="00F635B0">
        <w:rPr>
          <w:rFonts w:ascii="Times New Roman" w:hAnsi="Times New Roman"/>
        </w:rPr>
        <w:t>.</w:t>
      </w:r>
    </w:p>
  </w:footnote>
  <w:footnote w:id="12">
    <w:p w:rsidR="005A119B" w:rsidRPr="00F635B0" w:rsidRDefault="005A119B">
      <w:pPr>
        <w:pStyle w:val="FootnoteText"/>
        <w:rPr>
          <w:rFonts w:ascii="Times New Roman" w:hAnsi="Times New Roman"/>
        </w:rPr>
      </w:pPr>
      <w:r w:rsidRPr="00F635B0">
        <w:rPr>
          <w:rStyle w:val="FootnoteReference"/>
          <w:rFonts w:ascii="Times New Roman" w:hAnsi="Times New Roman"/>
        </w:rPr>
        <w:footnoteRef/>
      </w:r>
      <w:r w:rsidRPr="00F635B0">
        <w:rPr>
          <w:rFonts w:ascii="Times New Roman" w:hAnsi="Times New Roman"/>
        </w:rPr>
        <w:t xml:space="preserve"> </w:t>
      </w:r>
      <w:r w:rsidRPr="00F635B0">
        <w:rPr>
          <w:rFonts w:ascii="Times New Roman" w:hAnsi="Times New Roman"/>
          <w:i/>
        </w:rPr>
        <w:t>Id</w:t>
      </w:r>
      <w:r w:rsidRPr="00F635B0">
        <w:rPr>
          <w:rFonts w:ascii="Times New Roman" w:hAnsi="Times New Roman"/>
        </w:rPr>
        <w:t>.</w:t>
      </w:r>
    </w:p>
  </w:footnote>
  <w:footnote w:id="13">
    <w:p w:rsidR="005A119B" w:rsidRPr="00960A39" w:rsidRDefault="005A119B">
      <w:pPr>
        <w:pStyle w:val="FootnoteText"/>
        <w:rPr>
          <w:rFonts w:ascii="Times New Roman" w:hAnsi="Times New Roman"/>
        </w:rPr>
      </w:pPr>
      <w:r w:rsidRPr="00960A39">
        <w:rPr>
          <w:rStyle w:val="FootnoteReference"/>
          <w:rFonts w:ascii="Times New Roman" w:hAnsi="Times New Roman"/>
        </w:rPr>
        <w:footnoteRef/>
      </w:r>
      <w:r w:rsidRPr="00960A39">
        <w:rPr>
          <w:rFonts w:ascii="Times New Roman" w:hAnsi="Times New Roman"/>
        </w:rPr>
        <w:t xml:space="preserve"> Amended Stipulation at 16 and Attachment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19B" w:rsidRDefault="005A119B" w:rsidP="00D60874">
    <w:pPr>
      <w:pStyle w:val="Header"/>
    </w:pPr>
    <w:r>
      <w:tab/>
    </w:r>
    <w:r>
      <w:tab/>
    </w:r>
  </w:p>
  <w:p w:rsidR="005A119B" w:rsidRDefault="005A11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88" w:rsidRPr="00115088" w:rsidRDefault="00115088">
    <w:pPr>
      <w:pStyle w:val="Header"/>
      <w:rPr>
        <w:rFonts w:ascii="Times New Roman" w:hAnsi="Times New Roman"/>
        <w:sz w:val="24"/>
        <w:szCs w:val="24"/>
      </w:rPr>
    </w:pPr>
    <w:r>
      <w:tab/>
    </w:r>
    <w:r>
      <w:tab/>
    </w:r>
    <w:r w:rsidRPr="00115088">
      <w:rPr>
        <w:rFonts w:ascii="Times New Roman" w:hAnsi="Times New Roman"/>
        <w:sz w:val="24"/>
        <w:szCs w:val="24"/>
      </w:rPr>
      <w:t xml:space="preserve">HESS EXHBIT </w:t>
    </w:r>
    <w:r>
      <w:rPr>
        <w:rFonts w:ascii="Times New Roman" w:hAnsi="Times New Roman"/>
        <w:sz w:val="24"/>
        <w:szCs w:val="24"/>
      </w:rPr>
      <w:t>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0CFB"/>
    <w:multiLevelType w:val="hybridMultilevel"/>
    <w:tmpl w:val="0114A4A4"/>
    <w:lvl w:ilvl="0" w:tplc="E350251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F0F6770"/>
    <w:multiLevelType w:val="hybridMultilevel"/>
    <w:tmpl w:val="2CECB23E"/>
    <w:lvl w:ilvl="0" w:tplc="B2C265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E490430"/>
    <w:multiLevelType w:val="hybridMultilevel"/>
    <w:tmpl w:val="5C5ED756"/>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
    <w:nsid w:val="60864446"/>
    <w:multiLevelType w:val="hybridMultilevel"/>
    <w:tmpl w:val="D7DEFD9E"/>
    <w:lvl w:ilvl="0" w:tplc="070494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4B2B74"/>
    <w:rsid w:val="00001F4E"/>
    <w:rsid w:val="000050A0"/>
    <w:rsid w:val="000050E9"/>
    <w:rsid w:val="000129BA"/>
    <w:rsid w:val="00033211"/>
    <w:rsid w:val="00034288"/>
    <w:rsid w:val="0004314F"/>
    <w:rsid w:val="00046B8B"/>
    <w:rsid w:val="00047C6B"/>
    <w:rsid w:val="000508CC"/>
    <w:rsid w:val="00053086"/>
    <w:rsid w:val="00053A07"/>
    <w:rsid w:val="00054E9E"/>
    <w:rsid w:val="000609A3"/>
    <w:rsid w:val="00062135"/>
    <w:rsid w:val="0006396C"/>
    <w:rsid w:val="00064A56"/>
    <w:rsid w:val="00064E3D"/>
    <w:rsid w:val="000677B5"/>
    <w:rsid w:val="00067BC6"/>
    <w:rsid w:val="00071ECC"/>
    <w:rsid w:val="00073A6E"/>
    <w:rsid w:val="00074041"/>
    <w:rsid w:val="00075606"/>
    <w:rsid w:val="00075658"/>
    <w:rsid w:val="00076F9E"/>
    <w:rsid w:val="00077020"/>
    <w:rsid w:val="00077C1E"/>
    <w:rsid w:val="000802F1"/>
    <w:rsid w:val="0008629B"/>
    <w:rsid w:val="00087383"/>
    <w:rsid w:val="00095DE3"/>
    <w:rsid w:val="0009757F"/>
    <w:rsid w:val="000A2A6B"/>
    <w:rsid w:val="000A5495"/>
    <w:rsid w:val="000A5971"/>
    <w:rsid w:val="000A59C5"/>
    <w:rsid w:val="000B05C9"/>
    <w:rsid w:val="000B484C"/>
    <w:rsid w:val="000B4A2A"/>
    <w:rsid w:val="000B4D50"/>
    <w:rsid w:val="000B69C0"/>
    <w:rsid w:val="000B7CD6"/>
    <w:rsid w:val="000B7CDF"/>
    <w:rsid w:val="000C1E7B"/>
    <w:rsid w:val="000C7B3D"/>
    <w:rsid w:val="000D1406"/>
    <w:rsid w:val="000D70C4"/>
    <w:rsid w:val="000E3AAF"/>
    <w:rsid w:val="000E40C1"/>
    <w:rsid w:val="000F072F"/>
    <w:rsid w:val="000F3DA7"/>
    <w:rsid w:val="000F3DDB"/>
    <w:rsid w:val="00103681"/>
    <w:rsid w:val="00103BAA"/>
    <w:rsid w:val="00107897"/>
    <w:rsid w:val="001107F1"/>
    <w:rsid w:val="00113E34"/>
    <w:rsid w:val="00114BEE"/>
    <w:rsid w:val="00115088"/>
    <w:rsid w:val="00116166"/>
    <w:rsid w:val="001208F6"/>
    <w:rsid w:val="00122C2B"/>
    <w:rsid w:val="00123F9D"/>
    <w:rsid w:val="0012417B"/>
    <w:rsid w:val="00125C81"/>
    <w:rsid w:val="001268AF"/>
    <w:rsid w:val="001272B8"/>
    <w:rsid w:val="001329E3"/>
    <w:rsid w:val="0014196D"/>
    <w:rsid w:val="001419C5"/>
    <w:rsid w:val="001452F4"/>
    <w:rsid w:val="00147493"/>
    <w:rsid w:val="00150D32"/>
    <w:rsid w:val="001524C4"/>
    <w:rsid w:val="001527B7"/>
    <w:rsid w:val="00152B94"/>
    <w:rsid w:val="00153E02"/>
    <w:rsid w:val="00154439"/>
    <w:rsid w:val="00157CEF"/>
    <w:rsid w:val="0016246B"/>
    <w:rsid w:val="0017091F"/>
    <w:rsid w:val="00171CFA"/>
    <w:rsid w:val="001751AA"/>
    <w:rsid w:val="00176288"/>
    <w:rsid w:val="00181800"/>
    <w:rsid w:val="00187495"/>
    <w:rsid w:val="00187E21"/>
    <w:rsid w:val="0019333E"/>
    <w:rsid w:val="00194B02"/>
    <w:rsid w:val="00195397"/>
    <w:rsid w:val="00197B35"/>
    <w:rsid w:val="001A0DE9"/>
    <w:rsid w:val="001A50B9"/>
    <w:rsid w:val="001A6963"/>
    <w:rsid w:val="001A6CFD"/>
    <w:rsid w:val="001A7237"/>
    <w:rsid w:val="001B03FE"/>
    <w:rsid w:val="001B29A2"/>
    <w:rsid w:val="001B3947"/>
    <w:rsid w:val="001B3B89"/>
    <w:rsid w:val="001B5231"/>
    <w:rsid w:val="001B62CF"/>
    <w:rsid w:val="001B6D0E"/>
    <w:rsid w:val="001C023C"/>
    <w:rsid w:val="001C1008"/>
    <w:rsid w:val="001C16AE"/>
    <w:rsid w:val="001C2891"/>
    <w:rsid w:val="001C6B2B"/>
    <w:rsid w:val="001D3300"/>
    <w:rsid w:val="001E01E8"/>
    <w:rsid w:val="001E1F82"/>
    <w:rsid w:val="001E2798"/>
    <w:rsid w:val="001E4B1F"/>
    <w:rsid w:val="001E5F14"/>
    <w:rsid w:val="001F2471"/>
    <w:rsid w:val="001F42AC"/>
    <w:rsid w:val="001F59E1"/>
    <w:rsid w:val="001F6ED0"/>
    <w:rsid w:val="001F7816"/>
    <w:rsid w:val="0020283A"/>
    <w:rsid w:val="00210ECA"/>
    <w:rsid w:val="00211D35"/>
    <w:rsid w:val="00212223"/>
    <w:rsid w:val="00214365"/>
    <w:rsid w:val="00220DBB"/>
    <w:rsid w:val="00221A37"/>
    <w:rsid w:val="00222497"/>
    <w:rsid w:val="002253E4"/>
    <w:rsid w:val="00226024"/>
    <w:rsid w:val="002260C3"/>
    <w:rsid w:val="002269ED"/>
    <w:rsid w:val="002328EF"/>
    <w:rsid w:val="002334F6"/>
    <w:rsid w:val="00233DF5"/>
    <w:rsid w:val="00240B7C"/>
    <w:rsid w:val="0024266E"/>
    <w:rsid w:val="002463D2"/>
    <w:rsid w:val="0024693E"/>
    <w:rsid w:val="00250074"/>
    <w:rsid w:val="002507D6"/>
    <w:rsid w:val="002541FC"/>
    <w:rsid w:val="00254B26"/>
    <w:rsid w:val="00261E52"/>
    <w:rsid w:val="00262488"/>
    <w:rsid w:val="00262A60"/>
    <w:rsid w:val="00263063"/>
    <w:rsid w:val="00265449"/>
    <w:rsid w:val="00270188"/>
    <w:rsid w:val="00273751"/>
    <w:rsid w:val="00277348"/>
    <w:rsid w:val="0027749A"/>
    <w:rsid w:val="00280450"/>
    <w:rsid w:val="00281291"/>
    <w:rsid w:val="0028340A"/>
    <w:rsid w:val="00286426"/>
    <w:rsid w:val="00292966"/>
    <w:rsid w:val="00292B53"/>
    <w:rsid w:val="00294681"/>
    <w:rsid w:val="00295479"/>
    <w:rsid w:val="0029588D"/>
    <w:rsid w:val="002A0A16"/>
    <w:rsid w:val="002A3798"/>
    <w:rsid w:val="002A4033"/>
    <w:rsid w:val="002A55A7"/>
    <w:rsid w:val="002B0CF1"/>
    <w:rsid w:val="002C208B"/>
    <w:rsid w:val="002C28F9"/>
    <w:rsid w:val="002C3C0F"/>
    <w:rsid w:val="002D02D2"/>
    <w:rsid w:val="002D08A8"/>
    <w:rsid w:val="002D5601"/>
    <w:rsid w:val="002D74F5"/>
    <w:rsid w:val="002D750B"/>
    <w:rsid w:val="002E2616"/>
    <w:rsid w:val="002E2D60"/>
    <w:rsid w:val="002E55D3"/>
    <w:rsid w:val="002E5AFF"/>
    <w:rsid w:val="002F280D"/>
    <w:rsid w:val="002F4527"/>
    <w:rsid w:val="002F4BAD"/>
    <w:rsid w:val="002F5951"/>
    <w:rsid w:val="0030128B"/>
    <w:rsid w:val="00303AC7"/>
    <w:rsid w:val="00304B73"/>
    <w:rsid w:val="00306866"/>
    <w:rsid w:val="00315394"/>
    <w:rsid w:val="0031648D"/>
    <w:rsid w:val="0032121A"/>
    <w:rsid w:val="003233F2"/>
    <w:rsid w:val="003241CD"/>
    <w:rsid w:val="00327357"/>
    <w:rsid w:val="003343D7"/>
    <w:rsid w:val="003359C9"/>
    <w:rsid w:val="003366B1"/>
    <w:rsid w:val="003369A0"/>
    <w:rsid w:val="0034484C"/>
    <w:rsid w:val="003477E3"/>
    <w:rsid w:val="00347F9D"/>
    <w:rsid w:val="00350227"/>
    <w:rsid w:val="00351BC8"/>
    <w:rsid w:val="00353F7F"/>
    <w:rsid w:val="003676F5"/>
    <w:rsid w:val="00370F7D"/>
    <w:rsid w:val="00371CE8"/>
    <w:rsid w:val="00372EF3"/>
    <w:rsid w:val="003734D0"/>
    <w:rsid w:val="0038003F"/>
    <w:rsid w:val="0038133C"/>
    <w:rsid w:val="003813B9"/>
    <w:rsid w:val="003822D5"/>
    <w:rsid w:val="00382527"/>
    <w:rsid w:val="003859D8"/>
    <w:rsid w:val="003877A8"/>
    <w:rsid w:val="00387CAC"/>
    <w:rsid w:val="003914F6"/>
    <w:rsid w:val="003A1931"/>
    <w:rsid w:val="003A5F98"/>
    <w:rsid w:val="003A7890"/>
    <w:rsid w:val="003A7F3A"/>
    <w:rsid w:val="003B00A5"/>
    <w:rsid w:val="003B2593"/>
    <w:rsid w:val="003B282A"/>
    <w:rsid w:val="003B32DC"/>
    <w:rsid w:val="003B5BB1"/>
    <w:rsid w:val="003C378E"/>
    <w:rsid w:val="003C41C7"/>
    <w:rsid w:val="003C4A06"/>
    <w:rsid w:val="003C60F7"/>
    <w:rsid w:val="003C6124"/>
    <w:rsid w:val="003C68A1"/>
    <w:rsid w:val="003C7396"/>
    <w:rsid w:val="003D131B"/>
    <w:rsid w:val="003E2C2E"/>
    <w:rsid w:val="003E33BA"/>
    <w:rsid w:val="003E515B"/>
    <w:rsid w:val="003F17B1"/>
    <w:rsid w:val="004005E6"/>
    <w:rsid w:val="004006BA"/>
    <w:rsid w:val="00401E96"/>
    <w:rsid w:val="004078C8"/>
    <w:rsid w:val="00411D71"/>
    <w:rsid w:val="004134E8"/>
    <w:rsid w:val="004147E8"/>
    <w:rsid w:val="00414B31"/>
    <w:rsid w:val="00415B12"/>
    <w:rsid w:val="004162D4"/>
    <w:rsid w:val="0041699B"/>
    <w:rsid w:val="00417D47"/>
    <w:rsid w:val="00420504"/>
    <w:rsid w:val="00422C1A"/>
    <w:rsid w:val="00423D8B"/>
    <w:rsid w:val="004242CD"/>
    <w:rsid w:val="004251F3"/>
    <w:rsid w:val="00430111"/>
    <w:rsid w:val="00432174"/>
    <w:rsid w:val="00433CA6"/>
    <w:rsid w:val="004367B4"/>
    <w:rsid w:val="00440268"/>
    <w:rsid w:val="00441B5E"/>
    <w:rsid w:val="00442970"/>
    <w:rsid w:val="00444309"/>
    <w:rsid w:val="004454EC"/>
    <w:rsid w:val="00445766"/>
    <w:rsid w:val="004470C3"/>
    <w:rsid w:val="00447A10"/>
    <w:rsid w:val="004506F4"/>
    <w:rsid w:val="00451B4E"/>
    <w:rsid w:val="004534B2"/>
    <w:rsid w:val="004557F6"/>
    <w:rsid w:val="004564F2"/>
    <w:rsid w:val="00460179"/>
    <w:rsid w:val="0046105B"/>
    <w:rsid w:val="0046161B"/>
    <w:rsid w:val="00466374"/>
    <w:rsid w:val="0047484C"/>
    <w:rsid w:val="00474B10"/>
    <w:rsid w:val="00477C1E"/>
    <w:rsid w:val="00480394"/>
    <w:rsid w:val="004844E9"/>
    <w:rsid w:val="00486545"/>
    <w:rsid w:val="00487A6D"/>
    <w:rsid w:val="0049005F"/>
    <w:rsid w:val="00490A93"/>
    <w:rsid w:val="00496DFC"/>
    <w:rsid w:val="00497881"/>
    <w:rsid w:val="004A43EA"/>
    <w:rsid w:val="004A47F6"/>
    <w:rsid w:val="004B2258"/>
    <w:rsid w:val="004B2B74"/>
    <w:rsid w:val="004C0116"/>
    <w:rsid w:val="004C32E4"/>
    <w:rsid w:val="004C4C76"/>
    <w:rsid w:val="004C5F46"/>
    <w:rsid w:val="004C74FC"/>
    <w:rsid w:val="004D188A"/>
    <w:rsid w:val="004D2237"/>
    <w:rsid w:val="004D3B17"/>
    <w:rsid w:val="004D418D"/>
    <w:rsid w:val="004D789D"/>
    <w:rsid w:val="004E0178"/>
    <w:rsid w:val="004E213C"/>
    <w:rsid w:val="004E37E6"/>
    <w:rsid w:val="004E6DD9"/>
    <w:rsid w:val="004F0DE3"/>
    <w:rsid w:val="004F6FA0"/>
    <w:rsid w:val="004F733F"/>
    <w:rsid w:val="00500BFA"/>
    <w:rsid w:val="00502C06"/>
    <w:rsid w:val="005034C8"/>
    <w:rsid w:val="00505660"/>
    <w:rsid w:val="00511281"/>
    <w:rsid w:val="005127AE"/>
    <w:rsid w:val="00515633"/>
    <w:rsid w:val="00515B7D"/>
    <w:rsid w:val="005238F1"/>
    <w:rsid w:val="00524A98"/>
    <w:rsid w:val="00531607"/>
    <w:rsid w:val="00531793"/>
    <w:rsid w:val="00532120"/>
    <w:rsid w:val="00535E0A"/>
    <w:rsid w:val="00543569"/>
    <w:rsid w:val="0054567B"/>
    <w:rsid w:val="00547674"/>
    <w:rsid w:val="00547C8F"/>
    <w:rsid w:val="005620AC"/>
    <w:rsid w:val="0056564F"/>
    <w:rsid w:val="00570248"/>
    <w:rsid w:val="00570384"/>
    <w:rsid w:val="005773C8"/>
    <w:rsid w:val="0058220E"/>
    <w:rsid w:val="00582F2A"/>
    <w:rsid w:val="00583D34"/>
    <w:rsid w:val="005876C5"/>
    <w:rsid w:val="005908D1"/>
    <w:rsid w:val="005908F1"/>
    <w:rsid w:val="00590C37"/>
    <w:rsid w:val="00591456"/>
    <w:rsid w:val="00591A4E"/>
    <w:rsid w:val="00593540"/>
    <w:rsid w:val="0059395B"/>
    <w:rsid w:val="00595FDB"/>
    <w:rsid w:val="00596332"/>
    <w:rsid w:val="005A119B"/>
    <w:rsid w:val="005A2D5C"/>
    <w:rsid w:val="005A648E"/>
    <w:rsid w:val="005A6EB5"/>
    <w:rsid w:val="005B1B6A"/>
    <w:rsid w:val="005B353C"/>
    <w:rsid w:val="005B704B"/>
    <w:rsid w:val="005B7AA0"/>
    <w:rsid w:val="005B7C28"/>
    <w:rsid w:val="005B7DA9"/>
    <w:rsid w:val="005C7180"/>
    <w:rsid w:val="005D514C"/>
    <w:rsid w:val="005E0E44"/>
    <w:rsid w:val="005E5AE4"/>
    <w:rsid w:val="005E6E98"/>
    <w:rsid w:val="005E7D91"/>
    <w:rsid w:val="005F477E"/>
    <w:rsid w:val="005F6F2B"/>
    <w:rsid w:val="00604A6F"/>
    <w:rsid w:val="00612DE0"/>
    <w:rsid w:val="006158C9"/>
    <w:rsid w:val="00615FD9"/>
    <w:rsid w:val="0061673C"/>
    <w:rsid w:val="00617998"/>
    <w:rsid w:val="00620250"/>
    <w:rsid w:val="006216F8"/>
    <w:rsid w:val="0062179E"/>
    <w:rsid w:val="00624886"/>
    <w:rsid w:val="00627284"/>
    <w:rsid w:val="00630387"/>
    <w:rsid w:val="0063110E"/>
    <w:rsid w:val="006311FD"/>
    <w:rsid w:val="00632345"/>
    <w:rsid w:val="00632F7B"/>
    <w:rsid w:val="00635BEE"/>
    <w:rsid w:val="00635D42"/>
    <w:rsid w:val="00646036"/>
    <w:rsid w:val="006460F0"/>
    <w:rsid w:val="0064795A"/>
    <w:rsid w:val="00656DD4"/>
    <w:rsid w:val="00656E04"/>
    <w:rsid w:val="006573D3"/>
    <w:rsid w:val="00662EEE"/>
    <w:rsid w:val="00666BD8"/>
    <w:rsid w:val="006678C0"/>
    <w:rsid w:val="00670E8E"/>
    <w:rsid w:val="0067399B"/>
    <w:rsid w:val="00677357"/>
    <w:rsid w:val="00684F6D"/>
    <w:rsid w:val="00685086"/>
    <w:rsid w:val="00687BB4"/>
    <w:rsid w:val="0069097F"/>
    <w:rsid w:val="006921AD"/>
    <w:rsid w:val="00694DB4"/>
    <w:rsid w:val="00696837"/>
    <w:rsid w:val="00696E92"/>
    <w:rsid w:val="00697063"/>
    <w:rsid w:val="006A5623"/>
    <w:rsid w:val="006A5901"/>
    <w:rsid w:val="006B0806"/>
    <w:rsid w:val="006B31C5"/>
    <w:rsid w:val="006B6B3E"/>
    <w:rsid w:val="006C0536"/>
    <w:rsid w:val="006C151E"/>
    <w:rsid w:val="006C1F57"/>
    <w:rsid w:val="006C4ADE"/>
    <w:rsid w:val="006C66A0"/>
    <w:rsid w:val="006C6B34"/>
    <w:rsid w:val="006D781D"/>
    <w:rsid w:val="006E3D59"/>
    <w:rsid w:val="006E5A63"/>
    <w:rsid w:val="006F16E2"/>
    <w:rsid w:val="006F1F91"/>
    <w:rsid w:val="006F3473"/>
    <w:rsid w:val="006F4C72"/>
    <w:rsid w:val="006F582D"/>
    <w:rsid w:val="006F5940"/>
    <w:rsid w:val="006F5F88"/>
    <w:rsid w:val="006F76A2"/>
    <w:rsid w:val="0070012F"/>
    <w:rsid w:val="007011F8"/>
    <w:rsid w:val="0070302B"/>
    <w:rsid w:val="007116CA"/>
    <w:rsid w:val="00711F96"/>
    <w:rsid w:val="00712696"/>
    <w:rsid w:val="00713A43"/>
    <w:rsid w:val="00717124"/>
    <w:rsid w:val="007221F4"/>
    <w:rsid w:val="00722E23"/>
    <w:rsid w:val="0072336F"/>
    <w:rsid w:val="00723DFD"/>
    <w:rsid w:val="0072473B"/>
    <w:rsid w:val="00725964"/>
    <w:rsid w:val="00726C42"/>
    <w:rsid w:val="007318AF"/>
    <w:rsid w:val="00731DB0"/>
    <w:rsid w:val="0073334E"/>
    <w:rsid w:val="00733A9F"/>
    <w:rsid w:val="0073482C"/>
    <w:rsid w:val="0073561F"/>
    <w:rsid w:val="0073799F"/>
    <w:rsid w:val="00743C8F"/>
    <w:rsid w:val="00752815"/>
    <w:rsid w:val="00752AB1"/>
    <w:rsid w:val="0075348F"/>
    <w:rsid w:val="00756D0A"/>
    <w:rsid w:val="0076217C"/>
    <w:rsid w:val="00762506"/>
    <w:rsid w:val="0076290D"/>
    <w:rsid w:val="007639AF"/>
    <w:rsid w:val="00764198"/>
    <w:rsid w:val="007643E5"/>
    <w:rsid w:val="00766A40"/>
    <w:rsid w:val="00773BE2"/>
    <w:rsid w:val="00775671"/>
    <w:rsid w:val="007808F2"/>
    <w:rsid w:val="007814F5"/>
    <w:rsid w:val="00782889"/>
    <w:rsid w:val="00784F5D"/>
    <w:rsid w:val="00785129"/>
    <w:rsid w:val="00785A46"/>
    <w:rsid w:val="007867F0"/>
    <w:rsid w:val="00786A9A"/>
    <w:rsid w:val="00787AE8"/>
    <w:rsid w:val="007950C4"/>
    <w:rsid w:val="007A0792"/>
    <w:rsid w:val="007A16B0"/>
    <w:rsid w:val="007A4687"/>
    <w:rsid w:val="007B1D6F"/>
    <w:rsid w:val="007B44E1"/>
    <w:rsid w:val="007B4F2B"/>
    <w:rsid w:val="007B5764"/>
    <w:rsid w:val="007B6D85"/>
    <w:rsid w:val="007C098C"/>
    <w:rsid w:val="007D0F72"/>
    <w:rsid w:val="007D1332"/>
    <w:rsid w:val="007D3E75"/>
    <w:rsid w:val="007D4298"/>
    <w:rsid w:val="007D7A93"/>
    <w:rsid w:val="007E12C3"/>
    <w:rsid w:val="007E243B"/>
    <w:rsid w:val="007F2EDD"/>
    <w:rsid w:val="007F4947"/>
    <w:rsid w:val="00800B99"/>
    <w:rsid w:val="00801298"/>
    <w:rsid w:val="00801647"/>
    <w:rsid w:val="008032AC"/>
    <w:rsid w:val="008040AE"/>
    <w:rsid w:val="00804818"/>
    <w:rsid w:val="00804C3E"/>
    <w:rsid w:val="00807AB0"/>
    <w:rsid w:val="00813C6E"/>
    <w:rsid w:val="00814DCD"/>
    <w:rsid w:val="008151E0"/>
    <w:rsid w:val="00815767"/>
    <w:rsid w:val="00816E74"/>
    <w:rsid w:val="008211B6"/>
    <w:rsid w:val="00821E07"/>
    <w:rsid w:val="00822747"/>
    <w:rsid w:val="00823606"/>
    <w:rsid w:val="00826D44"/>
    <w:rsid w:val="00827538"/>
    <w:rsid w:val="00832C6B"/>
    <w:rsid w:val="00833221"/>
    <w:rsid w:val="008354C5"/>
    <w:rsid w:val="008360F4"/>
    <w:rsid w:val="0083716E"/>
    <w:rsid w:val="00840CCE"/>
    <w:rsid w:val="0084393B"/>
    <w:rsid w:val="0084524F"/>
    <w:rsid w:val="0085084A"/>
    <w:rsid w:val="008535DB"/>
    <w:rsid w:val="008537C1"/>
    <w:rsid w:val="00854039"/>
    <w:rsid w:val="00854D3A"/>
    <w:rsid w:val="008560A9"/>
    <w:rsid w:val="00865C4A"/>
    <w:rsid w:val="0087043F"/>
    <w:rsid w:val="00870E61"/>
    <w:rsid w:val="00873855"/>
    <w:rsid w:val="00875F36"/>
    <w:rsid w:val="00881979"/>
    <w:rsid w:val="0088225A"/>
    <w:rsid w:val="00882319"/>
    <w:rsid w:val="00882342"/>
    <w:rsid w:val="00884097"/>
    <w:rsid w:val="00884B29"/>
    <w:rsid w:val="00885BDD"/>
    <w:rsid w:val="0088668A"/>
    <w:rsid w:val="00887B3E"/>
    <w:rsid w:val="00890436"/>
    <w:rsid w:val="008904A8"/>
    <w:rsid w:val="0089418C"/>
    <w:rsid w:val="00894277"/>
    <w:rsid w:val="0089591A"/>
    <w:rsid w:val="00896AAE"/>
    <w:rsid w:val="008A3322"/>
    <w:rsid w:val="008B20D6"/>
    <w:rsid w:val="008B476C"/>
    <w:rsid w:val="008C283F"/>
    <w:rsid w:val="008C6165"/>
    <w:rsid w:val="008C75DC"/>
    <w:rsid w:val="008D53DB"/>
    <w:rsid w:val="008D76BB"/>
    <w:rsid w:val="008D78C6"/>
    <w:rsid w:val="008E026E"/>
    <w:rsid w:val="008E1823"/>
    <w:rsid w:val="008E186C"/>
    <w:rsid w:val="008E3402"/>
    <w:rsid w:val="008E58E9"/>
    <w:rsid w:val="008E5B2B"/>
    <w:rsid w:val="008E6F70"/>
    <w:rsid w:val="008F1B04"/>
    <w:rsid w:val="008F7E51"/>
    <w:rsid w:val="009037C8"/>
    <w:rsid w:val="00903FFD"/>
    <w:rsid w:val="00907646"/>
    <w:rsid w:val="0091509B"/>
    <w:rsid w:val="00920C8C"/>
    <w:rsid w:val="00926643"/>
    <w:rsid w:val="00930349"/>
    <w:rsid w:val="00940A08"/>
    <w:rsid w:val="00942B56"/>
    <w:rsid w:val="00942EF8"/>
    <w:rsid w:val="009465CE"/>
    <w:rsid w:val="0094787F"/>
    <w:rsid w:val="00947B04"/>
    <w:rsid w:val="00951589"/>
    <w:rsid w:val="0095164B"/>
    <w:rsid w:val="00951CC8"/>
    <w:rsid w:val="009544E2"/>
    <w:rsid w:val="00954BA1"/>
    <w:rsid w:val="009553D3"/>
    <w:rsid w:val="00960A39"/>
    <w:rsid w:val="00960EA0"/>
    <w:rsid w:val="00960EE5"/>
    <w:rsid w:val="00961412"/>
    <w:rsid w:val="00963307"/>
    <w:rsid w:val="009633B6"/>
    <w:rsid w:val="00966060"/>
    <w:rsid w:val="009700EA"/>
    <w:rsid w:val="00970C82"/>
    <w:rsid w:val="00973F11"/>
    <w:rsid w:val="00976DD8"/>
    <w:rsid w:val="00981209"/>
    <w:rsid w:val="009822B6"/>
    <w:rsid w:val="009844E4"/>
    <w:rsid w:val="00984B2D"/>
    <w:rsid w:val="009854A9"/>
    <w:rsid w:val="00987B11"/>
    <w:rsid w:val="009937C1"/>
    <w:rsid w:val="00994D72"/>
    <w:rsid w:val="00996791"/>
    <w:rsid w:val="009A1DEC"/>
    <w:rsid w:val="009A4E45"/>
    <w:rsid w:val="009A6EDD"/>
    <w:rsid w:val="009B0872"/>
    <w:rsid w:val="009B286F"/>
    <w:rsid w:val="009B4E28"/>
    <w:rsid w:val="009B55E5"/>
    <w:rsid w:val="009C0451"/>
    <w:rsid w:val="009C6248"/>
    <w:rsid w:val="009D00EE"/>
    <w:rsid w:val="009D086C"/>
    <w:rsid w:val="009E0B76"/>
    <w:rsid w:val="009E36CF"/>
    <w:rsid w:val="009E3A2A"/>
    <w:rsid w:val="009E6A2F"/>
    <w:rsid w:val="009F35B3"/>
    <w:rsid w:val="009F3AB5"/>
    <w:rsid w:val="00A023F6"/>
    <w:rsid w:val="00A04278"/>
    <w:rsid w:val="00A05281"/>
    <w:rsid w:val="00A05B6D"/>
    <w:rsid w:val="00A10829"/>
    <w:rsid w:val="00A108B7"/>
    <w:rsid w:val="00A1148E"/>
    <w:rsid w:val="00A114F4"/>
    <w:rsid w:val="00A11575"/>
    <w:rsid w:val="00A155FB"/>
    <w:rsid w:val="00A16F48"/>
    <w:rsid w:val="00A16FD7"/>
    <w:rsid w:val="00A20E62"/>
    <w:rsid w:val="00A21B76"/>
    <w:rsid w:val="00A25C88"/>
    <w:rsid w:val="00A302C4"/>
    <w:rsid w:val="00A3395F"/>
    <w:rsid w:val="00A34344"/>
    <w:rsid w:val="00A357F8"/>
    <w:rsid w:val="00A37865"/>
    <w:rsid w:val="00A4157B"/>
    <w:rsid w:val="00A4203D"/>
    <w:rsid w:val="00A42F9C"/>
    <w:rsid w:val="00A4608C"/>
    <w:rsid w:val="00A51B17"/>
    <w:rsid w:val="00A54EF7"/>
    <w:rsid w:val="00A561E7"/>
    <w:rsid w:val="00A56D10"/>
    <w:rsid w:val="00A619AC"/>
    <w:rsid w:val="00A62730"/>
    <w:rsid w:val="00A671BE"/>
    <w:rsid w:val="00A701CD"/>
    <w:rsid w:val="00A70CE0"/>
    <w:rsid w:val="00A72FFE"/>
    <w:rsid w:val="00A8337C"/>
    <w:rsid w:val="00A84D53"/>
    <w:rsid w:val="00A9143B"/>
    <w:rsid w:val="00A945C5"/>
    <w:rsid w:val="00A97A6A"/>
    <w:rsid w:val="00AA1796"/>
    <w:rsid w:val="00AA31BC"/>
    <w:rsid w:val="00AB1596"/>
    <w:rsid w:val="00AB208E"/>
    <w:rsid w:val="00AB34BA"/>
    <w:rsid w:val="00AB37E5"/>
    <w:rsid w:val="00AB76A6"/>
    <w:rsid w:val="00AC055F"/>
    <w:rsid w:val="00AC1170"/>
    <w:rsid w:val="00AC4B79"/>
    <w:rsid w:val="00AD1095"/>
    <w:rsid w:val="00AD4E20"/>
    <w:rsid w:val="00AD5DEF"/>
    <w:rsid w:val="00AD6FFC"/>
    <w:rsid w:val="00AD70BE"/>
    <w:rsid w:val="00AE1F55"/>
    <w:rsid w:val="00AE26F4"/>
    <w:rsid w:val="00AE3BD6"/>
    <w:rsid w:val="00AE5913"/>
    <w:rsid w:val="00AE6EB6"/>
    <w:rsid w:val="00AF06B0"/>
    <w:rsid w:val="00AF0B50"/>
    <w:rsid w:val="00AF612C"/>
    <w:rsid w:val="00AF6709"/>
    <w:rsid w:val="00B045B5"/>
    <w:rsid w:val="00B0612B"/>
    <w:rsid w:val="00B062B0"/>
    <w:rsid w:val="00B07640"/>
    <w:rsid w:val="00B120BE"/>
    <w:rsid w:val="00B13DC0"/>
    <w:rsid w:val="00B15C05"/>
    <w:rsid w:val="00B201B0"/>
    <w:rsid w:val="00B231DD"/>
    <w:rsid w:val="00B240F0"/>
    <w:rsid w:val="00B26001"/>
    <w:rsid w:val="00B3060F"/>
    <w:rsid w:val="00B30BBB"/>
    <w:rsid w:val="00B31570"/>
    <w:rsid w:val="00B31BBF"/>
    <w:rsid w:val="00B322E5"/>
    <w:rsid w:val="00B33377"/>
    <w:rsid w:val="00B335B8"/>
    <w:rsid w:val="00B35BAD"/>
    <w:rsid w:val="00B407BC"/>
    <w:rsid w:val="00B430A2"/>
    <w:rsid w:val="00B43B76"/>
    <w:rsid w:val="00B4653F"/>
    <w:rsid w:val="00B503F3"/>
    <w:rsid w:val="00B51B37"/>
    <w:rsid w:val="00B53FC0"/>
    <w:rsid w:val="00B550E7"/>
    <w:rsid w:val="00B61289"/>
    <w:rsid w:val="00B613FD"/>
    <w:rsid w:val="00B619E3"/>
    <w:rsid w:val="00B65F5B"/>
    <w:rsid w:val="00B6619B"/>
    <w:rsid w:val="00B668FC"/>
    <w:rsid w:val="00B672BF"/>
    <w:rsid w:val="00B672F4"/>
    <w:rsid w:val="00B67AF8"/>
    <w:rsid w:val="00B67E8F"/>
    <w:rsid w:val="00B70E52"/>
    <w:rsid w:val="00B71A23"/>
    <w:rsid w:val="00B73BF5"/>
    <w:rsid w:val="00B73FF7"/>
    <w:rsid w:val="00B75F71"/>
    <w:rsid w:val="00B77D60"/>
    <w:rsid w:val="00B80910"/>
    <w:rsid w:val="00B80F4A"/>
    <w:rsid w:val="00B81C01"/>
    <w:rsid w:val="00B849CC"/>
    <w:rsid w:val="00B862C5"/>
    <w:rsid w:val="00B93B69"/>
    <w:rsid w:val="00BA4CA3"/>
    <w:rsid w:val="00BA60BD"/>
    <w:rsid w:val="00BA6AA9"/>
    <w:rsid w:val="00BB05AC"/>
    <w:rsid w:val="00BB2A98"/>
    <w:rsid w:val="00BB31CB"/>
    <w:rsid w:val="00BB4897"/>
    <w:rsid w:val="00BB73A9"/>
    <w:rsid w:val="00BB7533"/>
    <w:rsid w:val="00BB7FEC"/>
    <w:rsid w:val="00BC047B"/>
    <w:rsid w:val="00BC1859"/>
    <w:rsid w:val="00BC2637"/>
    <w:rsid w:val="00BC345D"/>
    <w:rsid w:val="00BC3793"/>
    <w:rsid w:val="00BC3828"/>
    <w:rsid w:val="00BC4240"/>
    <w:rsid w:val="00BC5249"/>
    <w:rsid w:val="00BD0C8D"/>
    <w:rsid w:val="00BD2970"/>
    <w:rsid w:val="00BD535F"/>
    <w:rsid w:val="00BD58C9"/>
    <w:rsid w:val="00BD5F06"/>
    <w:rsid w:val="00BE0669"/>
    <w:rsid w:val="00BE3E34"/>
    <w:rsid w:val="00BE499D"/>
    <w:rsid w:val="00BF0625"/>
    <w:rsid w:val="00BF1184"/>
    <w:rsid w:val="00BF2A35"/>
    <w:rsid w:val="00BF373D"/>
    <w:rsid w:val="00C008B5"/>
    <w:rsid w:val="00C02A7D"/>
    <w:rsid w:val="00C0610D"/>
    <w:rsid w:val="00C077D8"/>
    <w:rsid w:val="00C10F51"/>
    <w:rsid w:val="00C129FC"/>
    <w:rsid w:val="00C12E60"/>
    <w:rsid w:val="00C132A6"/>
    <w:rsid w:val="00C14C59"/>
    <w:rsid w:val="00C17B25"/>
    <w:rsid w:val="00C21818"/>
    <w:rsid w:val="00C22631"/>
    <w:rsid w:val="00C23C66"/>
    <w:rsid w:val="00C31350"/>
    <w:rsid w:val="00C34459"/>
    <w:rsid w:val="00C37EEE"/>
    <w:rsid w:val="00C45A8C"/>
    <w:rsid w:val="00C46360"/>
    <w:rsid w:val="00C47947"/>
    <w:rsid w:val="00C50ECD"/>
    <w:rsid w:val="00C52D9D"/>
    <w:rsid w:val="00C554C9"/>
    <w:rsid w:val="00C620F1"/>
    <w:rsid w:val="00C6555F"/>
    <w:rsid w:val="00C755DF"/>
    <w:rsid w:val="00C75F2B"/>
    <w:rsid w:val="00C760CC"/>
    <w:rsid w:val="00C76B80"/>
    <w:rsid w:val="00C77DF9"/>
    <w:rsid w:val="00C81637"/>
    <w:rsid w:val="00C81EBA"/>
    <w:rsid w:val="00C8352D"/>
    <w:rsid w:val="00C8386E"/>
    <w:rsid w:val="00C83CD2"/>
    <w:rsid w:val="00C86902"/>
    <w:rsid w:val="00C86FA9"/>
    <w:rsid w:val="00C90034"/>
    <w:rsid w:val="00C90808"/>
    <w:rsid w:val="00C91671"/>
    <w:rsid w:val="00C95C7F"/>
    <w:rsid w:val="00C9602A"/>
    <w:rsid w:val="00C974C4"/>
    <w:rsid w:val="00CA0297"/>
    <w:rsid w:val="00CA5242"/>
    <w:rsid w:val="00CB3915"/>
    <w:rsid w:val="00CB3A9C"/>
    <w:rsid w:val="00CB41F8"/>
    <w:rsid w:val="00CB4F2C"/>
    <w:rsid w:val="00CB682E"/>
    <w:rsid w:val="00CB6F15"/>
    <w:rsid w:val="00CC02C7"/>
    <w:rsid w:val="00CC2588"/>
    <w:rsid w:val="00CC2CD8"/>
    <w:rsid w:val="00CC3780"/>
    <w:rsid w:val="00CC5078"/>
    <w:rsid w:val="00CC5B6E"/>
    <w:rsid w:val="00CC5E71"/>
    <w:rsid w:val="00CC5F32"/>
    <w:rsid w:val="00CD060E"/>
    <w:rsid w:val="00CD10DB"/>
    <w:rsid w:val="00CD1352"/>
    <w:rsid w:val="00CD1BAD"/>
    <w:rsid w:val="00CD1EF1"/>
    <w:rsid w:val="00CD2165"/>
    <w:rsid w:val="00CD3785"/>
    <w:rsid w:val="00CD414B"/>
    <w:rsid w:val="00CD6341"/>
    <w:rsid w:val="00CE022F"/>
    <w:rsid w:val="00CE1F50"/>
    <w:rsid w:val="00CE35E2"/>
    <w:rsid w:val="00CE38F4"/>
    <w:rsid w:val="00CE67D7"/>
    <w:rsid w:val="00CE6CE8"/>
    <w:rsid w:val="00CE7408"/>
    <w:rsid w:val="00CE7939"/>
    <w:rsid w:val="00CE7BBF"/>
    <w:rsid w:val="00CE7C5B"/>
    <w:rsid w:val="00CE7E18"/>
    <w:rsid w:val="00CF434E"/>
    <w:rsid w:val="00CF5074"/>
    <w:rsid w:val="00CF5BBF"/>
    <w:rsid w:val="00CF65EE"/>
    <w:rsid w:val="00CF6BAB"/>
    <w:rsid w:val="00CF6D59"/>
    <w:rsid w:val="00D0194C"/>
    <w:rsid w:val="00D01D8D"/>
    <w:rsid w:val="00D07137"/>
    <w:rsid w:val="00D10764"/>
    <w:rsid w:val="00D12150"/>
    <w:rsid w:val="00D1449F"/>
    <w:rsid w:val="00D14938"/>
    <w:rsid w:val="00D151C5"/>
    <w:rsid w:val="00D24C13"/>
    <w:rsid w:val="00D31BC3"/>
    <w:rsid w:val="00D32513"/>
    <w:rsid w:val="00D32AB2"/>
    <w:rsid w:val="00D34E14"/>
    <w:rsid w:val="00D372EA"/>
    <w:rsid w:val="00D466B5"/>
    <w:rsid w:val="00D47D21"/>
    <w:rsid w:val="00D52648"/>
    <w:rsid w:val="00D52D62"/>
    <w:rsid w:val="00D541E2"/>
    <w:rsid w:val="00D55090"/>
    <w:rsid w:val="00D60874"/>
    <w:rsid w:val="00D60A34"/>
    <w:rsid w:val="00D60ADC"/>
    <w:rsid w:val="00D66217"/>
    <w:rsid w:val="00D66F4A"/>
    <w:rsid w:val="00D7123F"/>
    <w:rsid w:val="00D73A85"/>
    <w:rsid w:val="00D73FB9"/>
    <w:rsid w:val="00D9033C"/>
    <w:rsid w:val="00D90D95"/>
    <w:rsid w:val="00D912FA"/>
    <w:rsid w:val="00D91CB5"/>
    <w:rsid w:val="00D91CEE"/>
    <w:rsid w:val="00D91EE6"/>
    <w:rsid w:val="00D9214C"/>
    <w:rsid w:val="00D93176"/>
    <w:rsid w:val="00D96DCB"/>
    <w:rsid w:val="00DA7D0F"/>
    <w:rsid w:val="00DB171E"/>
    <w:rsid w:val="00DB1C73"/>
    <w:rsid w:val="00DB1ECB"/>
    <w:rsid w:val="00DB2F27"/>
    <w:rsid w:val="00DB4414"/>
    <w:rsid w:val="00DB6037"/>
    <w:rsid w:val="00DB626E"/>
    <w:rsid w:val="00DB68D0"/>
    <w:rsid w:val="00DB6A26"/>
    <w:rsid w:val="00DC110E"/>
    <w:rsid w:val="00DC2BFC"/>
    <w:rsid w:val="00DC3528"/>
    <w:rsid w:val="00DC3732"/>
    <w:rsid w:val="00DC4816"/>
    <w:rsid w:val="00DC4E51"/>
    <w:rsid w:val="00DC60E9"/>
    <w:rsid w:val="00DD543D"/>
    <w:rsid w:val="00DD55BD"/>
    <w:rsid w:val="00DD6D2F"/>
    <w:rsid w:val="00DE08CB"/>
    <w:rsid w:val="00DE160E"/>
    <w:rsid w:val="00DE392B"/>
    <w:rsid w:val="00DE4437"/>
    <w:rsid w:val="00DF009A"/>
    <w:rsid w:val="00DF0183"/>
    <w:rsid w:val="00DF54EF"/>
    <w:rsid w:val="00DF79C9"/>
    <w:rsid w:val="00E020B7"/>
    <w:rsid w:val="00E03924"/>
    <w:rsid w:val="00E04947"/>
    <w:rsid w:val="00E073E5"/>
    <w:rsid w:val="00E07F12"/>
    <w:rsid w:val="00E14430"/>
    <w:rsid w:val="00E14BE1"/>
    <w:rsid w:val="00E15902"/>
    <w:rsid w:val="00E15C27"/>
    <w:rsid w:val="00E1606E"/>
    <w:rsid w:val="00E25744"/>
    <w:rsid w:val="00E323C9"/>
    <w:rsid w:val="00E326E1"/>
    <w:rsid w:val="00E375B9"/>
    <w:rsid w:val="00E43CAD"/>
    <w:rsid w:val="00E50586"/>
    <w:rsid w:val="00E54069"/>
    <w:rsid w:val="00E557D6"/>
    <w:rsid w:val="00E605B5"/>
    <w:rsid w:val="00E6263B"/>
    <w:rsid w:val="00E63A59"/>
    <w:rsid w:val="00E64E03"/>
    <w:rsid w:val="00E6778C"/>
    <w:rsid w:val="00E67D08"/>
    <w:rsid w:val="00E703DE"/>
    <w:rsid w:val="00E72B4D"/>
    <w:rsid w:val="00E74B04"/>
    <w:rsid w:val="00E768EE"/>
    <w:rsid w:val="00E76A96"/>
    <w:rsid w:val="00E80B5D"/>
    <w:rsid w:val="00E81B46"/>
    <w:rsid w:val="00E82C35"/>
    <w:rsid w:val="00E902D8"/>
    <w:rsid w:val="00E9170B"/>
    <w:rsid w:val="00EA0932"/>
    <w:rsid w:val="00EA51CF"/>
    <w:rsid w:val="00EA597C"/>
    <w:rsid w:val="00EA7FC8"/>
    <w:rsid w:val="00EB285D"/>
    <w:rsid w:val="00EB2C76"/>
    <w:rsid w:val="00EB4B3C"/>
    <w:rsid w:val="00EB6D19"/>
    <w:rsid w:val="00EB7FBB"/>
    <w:rsid w:val="00EC1636"/>
    <w:rsid w:val="00EC19E8"/>
    <w:rsid w:val="00EC2606"/>
    <w:rsid w:val="00ED4CA3"/>
    <w:rsid w:val="00EE39D4"/>
    <w:rsid w:val="00EE74E4"/>
    <w:rsid w:val="00EF0A4C"/>
    <w:rsid w:val="00EF1428"/>
    <w:rsid w:val="00EF376F"/>
    <w:rsid w:val="00EF3C2C"/>
    <w:rsid w:val="00F03E40"/>
    <w:rsid w:val="00F0570A"/>
    <w:rsid w:val="00F0649E"/>
    <w:rsid w:val="00F068EF"/>
    <w:rsid w:val="00F102F0"/>
    <w:rsid w:val="00F1046C"/>
    <w:rsid w:val="00F107B3"/>
    <w:rsid w:val="00F13552"/>
    <w:rsid w:val="00F135AC"/>
    <w:rsid w:val="00F14155"/>
    <w:rsid w:val="00F14A5F"/>
    <w:rsid w:val="00F15617"/>
    <w:rsid w:val="00F1672B"/>
    <w:rsid w:val="00F16942"/>
    <w:rsid w:val="00F17083"/>
    <w:rsid w:val="00F24EB8"/>
    <w:rsid w:val="00F265FD"/>
    <w:rsid w:val="00F3110A"/>
    <w:rsid w:val="00F35898"/>
    <w:rsid w:val="00F35ED8"/>
    <w:rsid w:val="00F364CB"/>
    <w:rsid w:val="00F3656A"/>
    <w:rsid w:val="00F375B5"/>
    <w:rsid w:val="00F410D0"/>
    <w:rsid w:val="00F457F3"/>
    <w:rsid w:val="00F468F2"/>
    <w:rsid w:val="00F5015D"/>
    <w:rsid w:val="00F5106C"/>
    <w:rsid w:val="00F51208"/>
    <w:rsid w:val="00F51744"/>
    <w:rsid w:val="00F55C18"/>
    <w:rsid w:val="00F635B0"/>
    <w:rsid w:val="00F646FB"/>
    <w:rsid w:val="00F70399"/>
    <w:rsid w:val="00F74E06"/>
    <w:rsid w:val="00F757D1"/>
    <w:rsid w:val="00F83AFD"/>
    <w:rsid w:val="00F85B4F"/>
    <w:rsid w:val="00F90172"/>
    <w:rsid w:val="00F90413"/>
    <w:rsid w:val="00FA3EA8"/>
    <w:rsid w:val="00FA42FD"/>
    <w:rsid w:val="00FB1B2D"/>
    <w:rsid w:val="00FB2C0F"/>
    <w:rsid w:val="00FB6739"/>
    <w:rsid w:val="00FB77BD"/>
    <w:rsid w:val="00FB7A8D"/>
    <w:rsid w:val="00FC43EB"/>
    <w:rsid w:val="00FC4DC9"/>
    <w:rsid w:val="00FD3679"/>
    <w:rsid w:val="00FD3F44"/>
    <w:rsid w:val="00FD4B30"/>
    <w:rsid w:val="00FD4CDD"/>
    <w:rsid w:val="00FE0136"/>
    <w:rsid w:val="00FE4225"/>
    <w:rsid w:val="00FE68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4B2B74"/>
    <w:rPr>
      <w:rFonts w:cs="Times New Roman"/>
    </w:rPr>
  </w:style>
  <w:style w:type="paragraph" w:styleId="ListParagraph">
    <w:name w:val="List Paragraph"/>
    <w:basedOn w:val="Normal"/>
    <w:uiPriority w:val="99"/>
    <w:qFormat/>
    <w:rsid w:val="00696837"/>
    <w:pPr>
      <w:ind w:left="720"/>
      <w:contextualSpacing/>
    </w:pPr>
  </w:style>
  <w:style w:type="paragraph" w:styleId="FootnoteText">
    <w:name w:val="footnote text"/>
    <w:basedOn w:val="Normal"/>
    <w:link w:val="FootnoteTextChar"/>
    <w:uiPriority w:val="99"/>
    <w:semiHidden/>
    <w:rsid w:val="006A562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A5623"/>
    <w:rPr>
      <w:rFonts w:ascii="Calibri" w:hAnsi="Calibri" w:cs="Times New Roman"/>
      <w:sz w:val="20"/>
    </w:rPr>
  </w:style>
  <w:style w:type="character" w:styleId="FootnoteReference">
    <w:name w:val="footnote reference"/>
    <w:basedOn w:val="DefaultParagraphFont"/>
    <w:uiPriority w:val="99"/>
    <w:semiHidden/>
    <w:rsid w:val="006A5623"/>
    <w:rPr>
      <w:rFonts w:cs="Times New Roman"/>
      <w:vertAlign w:val="superscript"/>
    </w:rPr>
  </w:style>
  <w:style w:type="table" w:styleId="TableGrid">
    <w:name w:val="Table Grid"/>
    <w:basedOn w:val="TableNormal"/>
    <w:uiPriority w:val="99"/>
    <w:rsid w:val="00D151C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11D3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11D35"/>
    <w:rPr>
      <w:rFonts w:ascii="Tahoma" w:hAnsi="Tahoma" w:cs="Times New Roman"/>
      <w:sz w:val="16"/>
    </w:rPr>
  </w:style>
  <w:style w:type="paragraph" w:styleId="Header">
    <w:name w:val="header"/>
    <w:basedOn w:val="Normal"/>
    <w:link w:val="HeaderChar"/>
    <w:uiPriority w:val="99"/>
    <w:semiHidden/>
    <w:rsid w:val="00211D35"/>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semiHidden/>
    <w:locked/>
    <w:rsid w:val="00211D35"/>
    <w:rPr>
      <w:rFonts w:ascii="Calibri" w:hAnsi="Calibri" w:cs="Times New Roman"/>
    </w:rPr>
  </w:style>
  <w:style w:type="paragraph" w:styleId="Footer">
    <w:name w:val="footer"/>
    <w:basedOn w:val="Normal"/>
    <w:link w:val="FooterChar"/>
    <w:uiPriority w:val="99"/>
    <w:semiHidden/>
    <w:rsid w:val="00211D35"/>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semiHidden/>
    <w:locked/>
    <w:rsid w:val="00211D35"/>
    <w:rPr>
      <w:rFonts w:ascii="Calibri" w:hAnsi="Calibri" w:cs="Times New Roman"/>
    </w:rPr>
  </w:style>
  <w:style w:type="paragraph" w:styleId="Revision">
    <w:name w:val="Revision"/>
    <w:hidden/>
    <w:uiPriority w:val="99"/>
    <w:semiHidden/>
    <w:rsid w:val="00211D35"/>
  </w:style>
  <w:style w:type="character" w:styleId="CommentReference">
    <w:name w:val="annotation reference"/>
    <w:basedOn w:val="DefaultParagraphFont"/>
    <w:uiPriority w:val="99"/>
    <w:semiHidden/>
    <w:rsid w:val="00C34459"/>
    <w:rPr>
      <w:rFonts w:cs="Times New Roman"/>
      <w:sz w:val="16"/>
    </w:rPr>
  </w:style>
  <w:style w:type="paragraph" w:styleId="CommentText">
    <w:name w:val="annotation text"/>
    <w:basedOn w:val="Normal"/>
    <w:link w:val="CommentTextChar"/>
    <w:uiPriority w:val="99"/>
    <w:semiHidden/>
    <w:rsid w:val="00C3445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34459"/>
    <w:rPr>
      <w:rFonts w:ascii="Calibri" w:hAnsi="Calibri" w:cs="Times New Roman"/>
      <w:sz w:val="20"/>
    </w:rPr>
  </w:style>
  <w:style w:type="paragraph" w:styleId="CommentSubject">
    <w:name w:val="annotation subject"/>
    <w:basedOn w:val="CommentText"/>
    <w:next w:val="CommentText"/>
    <w:link w:val="CommentSubjectChar"/>
    <w:uiPriority w:val="99"/>
    <w:semiHidden/>
    <w:rsid w:val="00C34459"/>
    <w:rPr>
      <w:b/>
      <w:bCs/>
    </w:rPr>
  </w:style>
  <w:style w:type="character" w:customStyle="1" w:styleId="CommentSubjectChar">
    <w:name w:val="Comment Subject Char"/>
    <w:basedOn w:val="CommentTextChar"/>
    <w:link w:val="CommentSubject"/>
    <w:uiPriority w:val="99"/>
    <w:semiHidden/>
    <w:locked/>
    <w:rsid w:val="00C34459"/>
    <w:rPr>
      <w:rFonts w:ascii="Calibri" w:hAnsi="Calibri" w:cs="Times New Roman"/>
      <w:b/>
      <w:sz w:val="20"/>
    </w:rPr>
  </w:style>
  <w:style w:type="character" w:styleId="PageNumber">
    <w:name w:val="page number"/>
    <w:basedOn w:val="DefaultParagraphFont"/>
    <w:uiPriority w:val="99"/>
    <w:rsid w:val="0046161B"/>
    <w:rPr>
      <w:rFonts w:cs="Times New Roman"/>
    </w:rPr>
  </w:style>
  <w:style w:type="paragraph" w:styleId="NormalWeb">
    <w:name w:val="Normal (Web)"/>
    <w:basedOn w:val="Normal"/>
    <w:uiPriority w:val="99"/>
    <w:semiHidden/>
    <w:rsid w:val="0028340A"/>
    <w:rPr>
      <w:rFonts w:ascii="Times New Roman" w:hAnsi="Times New Roman"/>
      <w:sz w:val="24"/>
      <w:szCs w:val="24"/>
    </w:rPr>
  </w:style>
  <w:style w:type="character" w:styleId="Hyperlink">
    <w:name w:val="Hyperlink"/>
    <w:basedOn w:val="DefaultParagraphFont"/>
    <w:uiPriority w:val="99"/>
    <w:semiHidden/>
    <w:rsid w:val="00DB68D0"/>
    <w:rPr>
      <w:rFonts w:cs="Times New Roman"/>
      <w:color w:val="0000FF"/>
      <w:u w:val="single"/>
    </w:rPr>
  </w:style>
  <w:style w:type="character" w:styleId="FollowedHyperlink">
    <w:name w:val="FollowedHyperlink"/>
    <w:basedOn w:val="DefaultParagraphFont"/>
    <w:uiPriority w:val="99"/>
    <w:semiHidden/>
    <w:unhideWhenUsed/>
    <w:rsid w:val="00E326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4B2B74"/>
    <w:rPr>
      <w:rFonts w:cs="Times New Roman"/>
    </w:rPr>
  </w:style>
  <w:style w:type="paragraph" w:styleId="ListParagraph">
    <w:name w:val="List Paragraph"/>
    <w:basedOn w:val="Normal"/>
    <w:uiPriority w:val="99"/>
    <w:qFormat/>
    <w:rsid w:val="00696837"/>
    <w:pPr>
      <w:ind w:left="720"/>
      <w:contextualSpacing/>
    </w:pPr>
  </w:style>
  <w:style w:type="paragraph" w:styleId="FootnoteText">
    <w:name w:val="footnote text"/>
    <w:basedOn w:val="Normal"/>
    <w:link w:val="FootnoteTextChar"/>
    <w:uiPriority w:val="99"/>
    <w:semiHidden/>
    <w:rsid w:val="006A562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A5623"/>
    <w:rPr>
      <w:rFonts w:ascii="Calibri" w:hAnsi="Calibri" w:cs="Times New Roman"/>
      <w:sz w:val="20"/>
    </w:rPr>
  </w:style>
  <w:style w:type="character" w:styleId="FootnoteReference">
    <w:name w:val="footnote reference"/>
    <w:basedOn w:val="DefaultParagraphFont"/>
    <w:uiPriority w:val="99"/>
    <w:semiHidden/>
    <w:rsid w:val="006A5623"/>
    <w:rPr>
      <w:rFonts w:cs="Times New Roman"/>
      <w:vertAlign w:val="superscript"/>
    </w:rPr>
  </w:style>
  <w:style w:type="table" w:styleId="TableGrid">
    <w:name w:val="Table Grid"/>
    <w:basedOn w:val="TableNormal"/>
    <w:uiPriority w:val="99"/>
    <w:rsid w:val="00D151C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11D3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11D35"/>
    <w:rPr>
      <w:rFonts w:ascii="Tahoma" w:hAnsi="Tahoma" w:cs="Times New Roman"/>
      <w:sz w:val="16"/>
    </w:rPr>
  </w:style>
  <w:style w:type="paragraph" w:styleId="Header">
    <w:name w:val="header"/>
    <w:basedOn w:val="Normal"/>
    <w:link w:val="HeaderChar"/>
    <w:uiPriority w:val="99"/>
    <w:semiHidden/>
    <w:rsid w:val="00211D35"/>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semiHidden/>
    <w:locked/>
    <w:rsid w:val="00211D35"/>
    <w:rPr>
      <w:rFonts w:ascii="Calibri" w:hAnsi="Calibri" w:cs="Times New Roman"/>
    </w:rPr>
  </w:style>
  <w:style w:type="paragraph" w:styleId="Footer">
    <w:name w:val="footer"/>
    <w:basedOn w:val="Normal"/>
    <w:link w:val="FooterChar"/>
    <w:uiPriority w:val="99"/>
    <w:semiHidden/>
    <w:rsid w:val="00211D35"/>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semiHidden/>
    <w:locked/>
    <w:rsid w:val="00211D35"/>
    <w:rPr>
      <w:rFonts w:ascii="Calibri" w:hAnsi="Calibri" w:cs="Times New Roman"/>
    </w:rPr>
  </w:style>
  <w:style w:type="paragraph" w:styleId="Revision">
    <w:name w:val="Revision"/>
    <w:hidden/>
    <w:uiPriority w:val="99"/>
    <w:semiHidden/>
    <w:rsid w:val="00211D35"/>
  </w:style>
  <w:style w:type="character" w:styleId="CommentReference">
    <w:name w:val="annotation reference"/>
    <w:basedOn w:val="DefaultParagraphFont"/>
    <w:uiPriority w:val="99"/>
    <w:semiHidden/>
    <w:rsid w:val="00C34459"/>
    <w:rPr>
      <w:rFonts w:cs="Times New Roman"/>
      <w:sz w:val="16"/>
    </w:rPr>
  </w:style>
  <w:style w:type="paragraph" w:styleId="CommentText">
    <w:name w:val="annotation text"/>
    <w:basedOn w:val="Normal"/>
    <w:link w:val="CommentTextChar"/>
    <w:uiPriority w:val="99"/>
    <w:semiHidden/>
    <w:rsid w:val="00C3445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34459"/>
    <w:rPr>
      <w:rFonts w:ascii="Calibri" w:hAnsi="Calibri" w:cs="Times New Roman"/>
      <w:sz w:val="20"/>
    </w:rPr>
  </w:style>
  <w:style w:type="paragraph" w:styleId="CommentSubject">
    <w:name w:val="annotation subject"/>
    <w:basedOn w:val="CommentText"/>
    <w:next w:val="CommentText"/>
    <w:link w:val="CommentSubjectChar"/>
    <w:uiPriority w:val="99"/>
    <w:semiHidden/>
    <w:rsid w:val="00C34459"/>
    <w:rPr>
      <w:b/>
      <w:bCs/>
    </w:rPr>
  </w:style>
  <w:style w:type="character" w:customStyle="1" w:styleId="CommentSubjectChar">
    <w:name w:val="Comment Subject Char"/>
    <w:basedOn w:val="CommentTextChar"/>
    <w:link w:val="CommentSubject"/>
    <w:uiPriority w:val="99"/>
    <w:semiHidden/>
    <w:locked/>
    <w:rsid w:val="00C34459"/>
    <w:rPr>
      <w:rFonts w:ascii="Calibri" w:hAnsi="Calibri" w:cs="Times New Roman"/>
      <w:b/>
      <w:sz w:val="20"/>
    </w:rPr>
  </w:style>
  <w:style w:type="character" w:styleId="PageNumber">
    <w:name w:val="page number"/>
    <w:basedOn w:val="DefaultParagraphFont"/>
    <w:uiPriority w:val="99"/>
    <w:rsid w:val="0046161B"/>
    <w:rPr>
      <w:rFonts w:cs="Times New Roman"/>
    </w:rPr>
  </w:style>
  <w:style w:type="paragraph" w:styleId="NormalWeb">
    <w:name w:val="Normal (Web)"/>
    <w:basedOn w:val="Normal"/>
    <w:uiPriority w:val="99"/>
    <w:semiHidden/>
    <w:rsid w:val="0028340A"/>
    <w:rPr>
      <w:rFonts w:ascii="Times New Roman" w:hAnsi="Times New Roman"/>
      <w:sz w:val="24"/>
      <w:szCs w:val="24"/>
    </w:rPr>
  </w:style>
  <w:style w:type="character" w:styleId="Hyperlink">
    <w:name w:val="Hyperlink"/>
    <w:basedOn w:val="DefaultParagraphFont"/>
    <w:uiPriority w:val="99"/>
    <w:semiHidden/>
    <w:rsid w:val="00DB68D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17798360">
      <w:marLeft w:val="0"/>
      <w:marRight w:val="0"/>
      <w:marTop w:val="0"/>
      <w:marBottom w:val="0"/>
      <w:divBdr>
        <w:top w:val="none" w:sz="0" w:space="0" w:color="auto"/>
        <w:left w:val="none" w:sz="0" w:space="0" w:color="auto"/>
        <w:bottom w:val="none" w:sz="0" w:space="0" w:color="auto"/>
        <w:right w:val="none" w:sz="0" w:space="0" w:color="auto"/>
      </w:divBdr>
    </w:div>
    <w:div w:id="417798361">
      <w:marLeft w:val="0"/>
      <w:marRight w:val="0"/>
      <w:marTop w:val="0"/>
      <w:marBottom w:val="0"/>
      <w:divBdr>
        <w:top w:val="none" w:sz="0" w:space="0" w:color="auto"/>
        <w:left w:val="none" w:sz="0" w:space="0" w:color="auto"/>
        <w:bottom w:val="none" w:sz="0" w:space="0" w:color="auto"/>
        <w:right w:val="none" w:sz="0" w:space="0" w:color="auto"/>
      </w:divBdr>
    </w:div>
    <w:div w:id="417798362">
      <w:marLeft w:val="0"/>
      <w:marRight w:val="0"/>
      <w:marTop w:val="0"/>
      <w:marBottom w:val="0"/>
      <w:divBdr>
        <w:top w:val="none" w:sz="0" w:space="0" w:color="auto"/>
        <w:left w:val="none" w:sz="0" w:space="0" w:color="auto"/>
        <w:bottom w:val="none" w:sz="0" w:space="0" w:color="auto"/>
        <w:right w:val="none" w:sz="0" w:space="0" w:color="auto"/>
      </w:divBdr>
    </w:div>
    <w:div w:id="417798363">
      <w:marLeft w:val="0"/>
      <w:marRight w:val="0"/>
      <w:marTop w:val="0"/>
      <w:marBottom w:val="0"/>
      <w:divBdr>
        <w:top w:val="none" w:sz="0" w:space="0" w:color="auto"/>
        <w:left w:val="none" w:sz="0" w:space="0" w:color="auto"/>
        <w:bottom w:val="none" w:sz="0" w:space="0" w:color="auto"/>
        <w:right w:val="none" w:sz="0" w:space="0" w:color="auto"/>
      </w:divBdr>
    </w:div>
    <w:div w:id="417798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B4853-A5A9-4099-B627-FC0EB637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6124</Words>
  <Characters>33923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2012-11-30T16:16:00Z</dcterms:created>
  <dcterms:modified xsi:type="dcterms:W3CDTF">2012-11-30T16:16:00Z</dcterms:modified>
</cp:coreProperties>
</file>