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55B90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3D6B36C9" w14:textId="5FEB4E9A" w:rsidR="00993E15" w:rsidRPr="00993E15" w:rsidRDefault="00993E15" w:rsidP="00993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E15">
              <w:rPr>
                <w:rFonts w:ascii="Arial" w:hAnsi="Arial" w:cs="Arial"/>
                <w:sz w:val="24"/>
                <w:szCs w:val="24"/>
              </w:rPr>
              <w:t>In the Mat</w:t>
            </w:r>
            <w:r>
              <w:rPr>
                <w:rFonts w:ascii="Arial" w:hAnsi="Arial" w:cs="Arial"/>
                <w:sz w:val="24"/>
                <w:szCs w:val="24"/>
              </w:rPr>
              <w:t xml:space="preserve">ter of the Application of Duke </w:t>
            </w:r>
          </w:p>
          <w:p w14:paraId="5521A1F2" w14:textId="378274B6" w:rsidR="00993E15" w:rsidRPr="00993E15" w:rsidRDefault="00993E15" w:rsidP="00993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E15">
              <w:rPr>
                <w:rFonts w:ascii="Arial" w:hAnsi="Arial" w:cs="Arial"/>
                <w:sz w:val="24"/>
                <w:szCs w:val="24"/>
              </w:rPr>
              <w:t>Energy O</w:t>
            </w:r>
            <w:r>
              <w:rPr>
                <w:rFonts w:ascii="Arial" w:hAnsi="Arial" w:cs="Arial"/>
                <w:sz w:val="24"/>
                <w:szCs w:val="24"/>
              </w:rPr>
              <w:t xml:space="preserve">hio for Approval of the Fourth </w:t>
            </w:r>
          </w:p>
          <w:p w14:paraId="7176D2BA" w14:textId="3C70AC53" w:rsidR="00545F29" w:rsidRPr="00993E15" w:rsidRDefault="00993E15" w:rsidP="00993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E15">
              <w:rPr>
                <w:rFonts w:ascii="Arial" w:hAnsi="Arial" w:cs="Arial"/>
                <w:sz w:val="24"/>
                <w:szCs w:val="24"/>
              </w:rPr>
              <w:t xml:space="preserve">Amended Corporate Separation Plan </w:t>
            </w:r>
            <w:proofErr w:type="gramStart"/>
            <w:r w:rsidRPr="00993E15">
              <w:rPr>
                <w:rFonts w:ascii="Arial" w:hAnsi="Arial" w:cs="Arial"/>
                <w:sz w:val="24"/>
                <w:szCs w:val="24"/>
              </w:rPr>
              <w:t>under  Section</w:t>
            </w:r>
            <w:proofErr w:type="gramEnd"/>
            <w:r w:rsidRPr="00993E15">
              <w:rPr>
                <w:rFonts w:ascii="Arial" w:hAnsi="Arial" w:cs="Arial"/>
                <w:sz w:val="24"/>
                <w:szCs w:val="24"/>
              </w:rPr>
              <w:t xml:space="preserve"> 4928.17, Revised Code, and Chapter 4901:1-37, Ohio Administrative Code.</w:t>
            </w:r>
          </w:p>
          <w:p w14:paraId="35F15466" w14:textId="77777777" w:rsidR="00D57E21" w:rsidRPr="009D71F6" w:rsidRDefault="00D57E21" w:rsidP="00993E1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76D2BB" w14:textId="77777777" w:rsidR="00545F29" w:rsidRPr="009D71F6" w:rsidRDefault="00545F29" w:rsidP="00993E1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76D2BC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D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E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F" w14:textId="77777777" w:rsidR="00545F29" w:rsidRPr="009D71F6" w:rsidRDefault="0056270F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77777777" w:rsidR="00545F29" w:rsidRPr="009D71F6" w:rsidRDefault="002F05DC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7176D2C1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2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3" w14:textId="133D72A5" w:rsidR="00545F29" w:rsidRPr="009D71F6" w:rsidRDefault="00993E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15-0441</w:t>
            </w:r>
            <w:r w:rsidR="0082422E">
              <w:rPr>
                <w:rFonts w:ascii="Arial" w:hAnsi="Arial" w:cs="Arial"/>
                <w:sz w:val="24"/>
                <w:szCs w:val="24"/>
              </w:rPr>
              <w:t>-EL-UNC</w:t>
            </w:r>
          </w:p>
          <w:p w14:paraId="7176D2C4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5D121B" w14:textId="77777777" w:rsidR="00545F29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C5952" w14:textId="77777777" w:rsidR="00613140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498FC0F9" w:rsidR="00613140" w:rsidRPr="009D71F6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77777777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9E0B968" w14:textId="77777777" w:rsidR="00B573E1" w:rsidRDefault="00B573E1" w:rsidP="00B573E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A" w14:textId="26244E68" w:rsidR="00545F29" w:rsidRPr="009D71F6" w:rsidRDefault="00B573E1" w:rsidP="00B573E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</w:t>
      </w:r>
      <w:r w:rsidR="00AA75B4">
        <w:rPr>
          <w:rFonts w:ascii="Arial" w:hAnsi="Arial" w:cs="Arial"/>
          <w:b/>
          <w:bCs/>
          <w:sz w:val="24"/>
          <w:szCs w:val="24"/>
        </w:rPr>
        <w:t>OF IGS ENERGY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A5282C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307477B" w14:textId="2D25732C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794E3277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47F2F7F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1C54B0A0" w14:textId="1FE88325" w:rsidR="00237730" w:rsidRDefault="00AA75B4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808A77D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F0E5D8B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527965A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3ABFFA73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F7DC00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C805413" w14:textId="166332C2" w:rsidR="0023773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B238123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C1DFB2C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2539B08F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137353E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2F51C0E" w14:textId="04B52F28" w:rsidR="00237730" w:rsidRDefault="00B573E1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12</w:t>
      </w:r>
      <w:r w:rsidR="003C11D0">
        <w:rPr>
          <w:rFonts w:ascii="Arial" w:hAnsi="Arial" w:cs="Arial"/>
          <w:b/>
          <w:sz w:val="24"/>
          <w:szCs w:val="24"/>
        </w:rPr>
        <w:t>, 2015</w:t>
      </w:r>
    </w:p>
    <w:p w14:paraId="4A898901" w14:textId="77777777" w:rsidR="003C11D0" w:rsidRDefault="003C11D0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DEC708" w14:textId="77777777" w:rsidR="00B573E1" w:rsidRDefault="00B573E1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025674" w14:textId="77777777" w:rsidR="003C11D0" w:rsidRPr="00D13280" w:rsidRDefault="003C11D0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BE3E1" w14:textId="77777777" w:rsidR="00C84BD1" w:rsidRDefault="00C84BD1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C2ADBD3" w14:textId="7777777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C11D0" w:rsidRPr="009D71F6" w14:paraId="7097BB97" w14:textId="77777777" w:rsidTr="00D0072D">
        <w:trPr>
          <w:trHeight w:val="873"/>
          <w:jc w:val="center"/>
        </w:trPr>
        <w:tc>
          <w:tcPr>
            <w:tcW w:w="4739" w:type="dxa"/>
          </w:tcPr>
          <w:p w14:paraId="1BE107D8" w14:textId="77777777" w:rsidR="003C11D0" w:rsidRPr="00993E15" w:rsidRDefault="003C11D0" w:rsidP="0006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E15">
              <w:rPr>
                <w:rFonts w:ascii="Arial" w:hAnsi="Arial" w:cs="Arial"/>
                <w:sz w:val="24"/>
                <w:szCs w:val="24"/>
              </w:rPr>
              <w:t>In the Mat</w:t>
            </w:r>
            <w:r>
              <w:rPr>
                <w:rFonts w:ascii="Arial" w:hAnsi="Arial" w:cs="Arial"/>
                <w:sz w:val="24"/>
                <w:szCs w:val="24"/>
              </w:rPr>
              <w:t xml:space="preserve">ter of the Application of Duke </w:t>
            </w:r>
          </w:p>
          <w:p w14:paraId="22F6BD8A" w14:textId="77777777" w:rsidR="003C11D0" w:rsidRPr="00993E15" w:rsidRDefault="003C11D0" w:rsidP="0006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E15">
              <w:rPr>
                <w:rFonts w:ascii="Arial" w:hAnsi="Arial" w:cs="Arial"/>
                <w:sz w:val="24"/>
                <w:szCs w:val="24"/>
              </w:rPr>
              <w:t>Energy O</w:t>
            </w:r>
            <w:r>
              <w:rPr>
                <w:rFonts w:ascii="Arial" w:hAnsi="Arial" w:cs="Arial"/>
                <w:sz w:val="24"/>
                <w:szCs w:val="24"/>
              </w:rPr>
              <w:t xml:space="preserve">hio for Approval of the Fourth </w:t>
            </w:r>
          </w:p>
          <w:p w14:paraId="6ED22954" w14:textId="4DDC8AEC" w:rsidR="003C11D0" w:rsidRPr="00993E15" w:rsidRDefault="003C11D0" w:rsidP="0006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E15">
              <w:rPr>
                <w:rFonts w:ascii="Arial" w:hAnsi="Arial" w:cs="Arial"/>
                <w:sz w:val="24"/>
                <w:szCs w:val="24"/>
              </w:rPr>
              <w:t xml:space="preserve">Amended </w:t>
            </w:r>
            <w:r w:rsidR="000A4AE4">
              <w:rPr>
                <w:rFonts w:ascii="Arial" w:hAnsi="Arial" w:cs="Arial"/>
                <w:sz w:val="24"/>
                <w:szCs w:val="24"/>
              </w:rPr>
              <w:t xml:space="preserve">Corporate Separation Plan under </w:t>
            </w:r>
            <w:r w:rsidRPr="00993E15">
              <w:rPr>
                <w:rFonts w:ascii="Arial" w:hAnsi="Arial" w:cs="Arial"/>
                <w:sz w:val="24"/>
                <w:szCs w:val="24"/>
              </w:rPr>
              <w:t>Section 4928.17, Revised Code, and Chapter 4901:1-37, Ohio Administrative Code.</w:t>
            </w:r>
          </w:p>
          <w:p w14:paraId="0F885F53" w14:textId="77777777" w:rsidR="003C11D0" w:rsidRPr="009D71F6" w:rsidRDefault="003C11D0" w:rsidP="0006306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7A1708" w14:textId="77777777" w:rsidR="003C11D0" w:rsidRPr="009D71F6" w:rsidRDefault="003C11D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5DC3C7" w14:textId="77777777" w:rsidR="003C11D0" w:rsidRPr="009D71F6" w:rsidRDefault="003C11D0" w:rsidP="0006306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2CA958" w14:textId="77777777" w:rsidR="003C11D0" w:rsidRPr="009D71F6" w:rsidRDefault="003C11D0" w:rsidP="0006306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697F24" w14:textId="77777777" w:rsidR="003C11D0" w:rsidRPr="009D71F6" w:rsidRDefault="003C11D0" w:rsidP="0006306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93F70C1" w14:textId="77777777" w:rsidR="003C11D0" w:rsidRPr="009D71F6" w:rsidRDefault="003C11D0" w:rsidP="0006306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CC3C19" w14:textId="31D56C83" w:rsidR="003C11D0" w:rsidRPr="009D71F6" w:rsidRDefault="003C11D0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0CE72F3B" w14:textId="77777777" w:rsidR="003C11D0" w:rsidRPr="009D71F6" w:rsidRDefault="003C11D0" w:rsidP="0006306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BAFD2" w14:textId="77777777" w:rsidR="003C11D0" w:rsidRPr="009D71F6" w:rsidRDefault="003C11D0" w:rsidP="0006306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64C669" w14:textId="77777777" w:rsidR="003C11D0" w:rsidRPr="009D71F6" w:rsidRDefault="003C11D0" w:rsidP="0006306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15-0441-EL-UNC</w:t>
            </w:r>
          </w:p>
          <w:p w14:paraId="401C69AF" w14:textId="77777777" w:rsidR="003C11D0" w:rsidRPr="009D71F6" w:rsidRDefault="003C11D0" w:rsidP="0006306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0F399D" w14:textId="77777777" w:rsidR="003C11D0" w:rsidRDefault="003C11D0" w:rsidP="0006306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20A1C" w14:textId="77777777" w:rsidR="003C11D0" w:rsidRDefault="003C11D0" w:rsidP="0006306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852A8" w14:textId="63B0B39B" w:rsidR="003C11D0" w:rsidRPr="009D71F6" w:rsidRDefault="003C11D0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2E81E5ED" w:rsidR="00237730" w:rsidRPr="009D71F6" w:rsidRDefault="00B573E1" w:rsidP="00B573E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</w:t>
      </w:r>
      <w:r w:rsidR="000A7E66">
        <w:rPr>
          <w:rFonts w:ascii="Arial" w:hAnsi="Arial" w:cs="Arial"/>
          <w:b/>
          <w:bCs/>
          <w:sz w:val="24"/>
          <w:szCs w:val="24"/>
        </w:rPr>
        <w:t xml:space="preserve"> OF IGS ENERGY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39D61D2" w14:textId="40342894" w:rsidR="00B573E1" w:rsidRDefault="009B7BBE" w:rsidP="00B5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0E050343" w14:textId="4529BF57" w:rsidR="009B7BBE" w:rsidRDefault="00B573E1" w:rsidP="008D180E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March 2, 2015, Duke Energy Ohio, Inc. (“Duke”) filed an application seeking</w:t>
      </w:r>
      <w:r w:rsidR="00F5720A">
        <w:rPr>
          <w:rFonts w:ascii="Arial" w:hAnsi="Arial" w:cs="Arial"/>
          <w:sz w:val="24"/>
          <w:szCs w:val="24"/>
        </w:rPr>
        <w:t xml:space="preserve"> approval of an amendment to its corporate separation plan</w:t>
      </w:r>
      <w:r>
        <w:rPr>
          <w:rFonts w:ascii="Arial" w:hAnsi="Arial" w:cs="Arial"/>
          <w:sz w:val="24"/>
          <w:szCs w:val="24"/>
        </w:rPr>
        <w:t xml:space="preserve"> (“Application”)</w:t>
      </w:r>
      <w:r w:rsidR="00F5720A">
        <w:rPr>
          <w:rFonts w:ascii="Arial" w:hAnsi="Arial" w:cs="Arial"/>
          <w:sz w:val="24"/>
          <w:szCs w:val="24"/>
        </w:rPr>
        <w:t>.</w:t>
      </w:r>
      <w:r w:rsidR="008D180E" w:rsidRPr="008D180E">
        <w:rPr>
          <w:rStyle w:val="FootnoteReference"/>
          <w:rFonts w:ascii="Arial" w:hAnsi="Arial" w:cs="Arial"/>
          <w:sz w:val="24"/>
          <w:szCs w:val="24"/>
        </w:rPr>
        <w:t xml:space="preserve"> </w:t>
      </w:r>
      <w:r w:rsidR="008D180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8D180E">
        <w:rPr>
          <w:rFonts w:ascii="Arial" w:hAnsi="Arial" w:cs="Arial"/>
          <w:sz w:val="24"/>
          <w:szCs w:val="24"/>
        </w:rPr>
        <w:t xml:space="preserve"> Duke claims that the amendment is necessary because</w:t>
      </w:r>
      <w:r w:rsidR="009B7BBE">
        <w:rPr>
          <w:rFonts w:ascii="Arial" w:hAnsi="Arial" w:cs="Arial"/>
          <w:sz w:val="24"/>
          <w:szCs w:val="24"/>
        </w:rPr>
        <w:t xml:space="preserve"> in its electric security plan stipulation</w:t>
      </w:r>
      <w:r w:rsidR="008D180E">
        <w:rPr>
          <w:rFonts w:ascii="Arial" w:hAnsi="Arial" w:cs="Arial"/>
          <w:sz w:val="24"/>
          <w:szCs w:val="24"/>
        </w:rPr>
        <w:t xml:space="preserve"> “the Company </w:t>
      </w:r>
      <w:r w:rsidR="008D180E" w:rsidRPr="003C11D0">
        <w:rPr>
          <w:rFonts w:ascii="Arial" w:hAnsi="Arial" w:cs="Arial"/>
          <w:sz w:val="24"/>
          <w:szCs w:val="24"/>
        </w:rPr>
        <w:t>agreed to amend the Plan once again, within ninety days after the effective date of full legal</w:t>
      </w:r>
      <w:r w:rsidR="008D180E">
        <w:rPr>
          <w:rFonts w:ascii="Arial" w:hAnsi="Arial" w:cs="Arial"/>
          <w:sz w:val="24"/>
          <w:szCs w:val="24"/>
        </w:rPr>
        <w:t xml:space="preserve"> </w:t>
      </w:r>
      <w:r w:rsidR="008D180E" w:rsidRPr="003C11D0">
        <w:rPr>
          <w:rFonts w:ascii="Arial" w:hAnsi="Arial" w:cs="Arial"/>
          <w:sz w:val="24"/>
          <w:szCs w:val="24"/>
        </w:rPr>
        <w:t>corporate separation</w:t>
      </w:r>
      <w:r w:rsidR="008D180E">
        <w:rPr>
          <w:rFonts w:ascii="Arial" w:hAnsi="Arial" w:cs="Arial"/>
          <w:sz w:val="24"/>
          <w:szCs w:val="24"/>
        </w:rPr>
        <w:t>.”</w:t>
      </w:r>
      <w:r w:rsidR="000854DC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9B7BBE">
        <w:rPr>
          <w:rFonts w:ascii="Arial" w:hAnsi="Arial" w:cs="Arial"/>
          <w:sz w:val="24"/>
          <w:szCs w:val="24"/>
        </w:rPr>
        <w:t xml:space="preserve"> </w:t>
      </w:r>
    </w:p>
    <w:p w14:paraId="2831F869" w14:textId="41232974" w:rsidR="00E179E5" w:rsidRDefault="00E179E5" w:rsidP="009B7BBE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Duke’s Application states</w:t>
      </w:r>
      <w:r w:rsidR="009B7BBE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“[a]s of December 1, 2014,</w:t>
      </w:r>
      <w:r w:rsidRPr="00E179E5">
        <w:rPr>
          <w:rFonts w:ascii="Arial" w:hAnsi="Arial" w:cs="Arial"/>
          <w:sz w:val="24"/>
          <w:szCs w:val="24"/>
        </w:rPr>
        <w:t xml:space="preserve"> Duke Energy Ohio owns no generating assets and is not engag</w:t>
      </w:r>
      <w:r>
        <w:rPr>
          <w:rFonts w:ascii="Arial" w:hAnsi="Arial" w:cs="Arial"/>
          <w:sz w:val="24"/>
          <w:szCs w:val="24"/>
        </w:rPr>
        <w:t>ed in the generation business.”</w:t>
      </w:r>
      <w:r w:rsidR="000854DC"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 Duke purports that it has </w:t>
      </w:r>
      <w:r w:rsidR="009B7BBE">
        <w:rPr>
          <w:rFonts w:ascii="Arial" w:hAnsi="Arial" w:cs="Arial"/>
          <w:sz w:val="24"/>
          <w:szCs w:val="24"/>
        </w:rPr>
        <w:t>achieved full legal separation</w:t>
      </w:r>
      <w:r>
        <w:rPr>
          <w:rFonts w:ascii="Arial" w:hAnsi="Arial" w:cs="Arial"/>
          <w:sz w:val="24"/>
          <w:szCs w:val="24"/>
        </w:rPr>
        <w:t xml:space="preserve"> and filed its Application in this proceeding in satisfaction of its stipulation obligations.</w:t>
      </w:r>
    </w:p>
    <w:p w14:paraId="20536698" w14:textId="31BCEF2C" w:rsidR="009B7BBE" w:rsidRDefault="00E179E5" w:rsidP="00E179E5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Duke’s</w:t>
      </w:r>
      <w:r w:rsidR="009B7BBE">
        <w:rPr>
          <w:rFonts w:ascii="Arial" w:hAnsi="Arial" w:cs="Arial"/>
          <w:sz w:val="24"/>
          <w:szCs w:val="24"/>
        </w:rPr>
        <w:t xml:space="preserve"> Application</w:t>
      </w:r>
      <w:r>
        <w:rPr>
          <w:rFonts w:ascii="Arial" w:hAnsi="Arial" w:cs="Arial"/>
          <w:sz w:val="24"/>
          <w:szCs w:val="24"/>
        </w:rPr>
        <w:t>, however,</w:t>
      </w:r>
      <w:r w:rsidR="009B7BBE">
        <w:rPr>
          <w:rFonts w:ascii="Arial" w:hAnsi="Arial" w:cs="Arial"/>
          <w:sz w:val="24"/>
          <w:szCs w:val="24"/>
        </w:rPr>
        <w:t xml:space="preserve"> does not identify </w:t>
      </w:r>
      <w:r>
        <w:rPr>
          <w:rFonts w:ascii="Arial" w:hAnsi="Arial" w:cs="Arial"/>
          <w:sz w:val="24"/>
          <w:szCs w:val="24"/>
        </w:rPr>
        <w:t>whether Duke has divested its interest in</w:t>
      </w:r>
      <w:r w:rsidR="009B7BBE">
        <w:rPr>
          <w:rFonts w:ascii="Arial" w:hAnsi="Arial" w:cs="Arial"/>
          <w:sz w:val="24"/>
          <w:szCs w:val="24"/>
        </w:rPr>
        <w:t xml:space="preserve"> the Ohio Valley Electric Corporation (“OVEC”).</w:t>
      </w:r>
      <w:r w:rsidR="009B7BBE" w:rsidRPr="009B7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Because</w:t>
      </w:r>
      <w:r w:rsidR="009B7BBE">
        <w:rPr>
          <w:rFonts w:ascii="Arial" w:hAnsi="Arial" w:cs="Arial"/>
          <w:sz w:val="24"/>
          <w:szCs w:val="24"/>
        </w:rPr>
        <w:t xml:space="preserve"> Duke has publicly represented that it has no intention of divesting</w:t>
      </w:r>
      <w:r>
        <w:rPr>
          <w:rFonts w:ascii="Arial" w:hAnsi="Arial" w:cs="Arial"/>
          <w:sz w:val="24"/>
          <w:szCs w:val="24"/>
        </w:rPr>
        <w:t xml:space="preserve"> its</w:t>
      </w:r>
      <w:r w:rsidR="009B7BBE">
        <w:rPr>
          <w:rFonts w:ascii="Arial" w:hAnsi="Arial" w:cs="Arial"/>
          <w:sz w:val="24"/>
          <w:szCs w:val="24"/>
        </w:rPr>
        <w:t xml:space="preserve"> OVEC </w:t>
      </w:r>
      <w:r>
        <w:rPr>
          <w:rFonts w:ascii="Arial" w:hAnsi="Arial" w:cs="Arial"/>
          <w:sz w:val="24"/>
          <w:szCs w:val="24"/>
        </w:rPr>
        <w:t>interest—despite Commission directives</w:t>
      </w:r>
      <w:r w:rsidR="009956F6"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—there is no reason to believe that Duke has divested it</w:t>
      </w:r>
      <w:r w:rsidR="009B7BBE">
        <w:rPr>
          <w:rFonts w:ascii="Arial" w:hAnsi="Arial" w:cs="Arial"/>
          <w:sz w:val="24"/>
          <w:szCs w:val="24"/>
        </w:rPr>
        <w:t>.</w:t>
      </w:r>
      <w:r w:rsidR="000854DC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9B7BBE">
        <w:rPr>
          <w:rFonts w:ascii="Arial" w:hAnsi="Arial" w:cs="Arial"/>
          <w:sz w:val="24"/>
          <w:szCs w:val="24"/>
        </w:rPr>
        <w:t xml:space="preserve"> Also, while the Application does not discuss</w:t>
      </w:r>
      <w:r>
        <w:rPr>
          <w:rFonts w:ascii="Arial" w:hAnsi="Arial" w:cs="Arial"/>
          <w:sz w:val="24"/>
          <w:szCs w:val="24"/>
        </w:rPr>
        <w:t xml:space="preserve"> Duke’s</w:t>
      </w:r>
      <w:r w:rsidR="009B7BBE">
        <w:rPr>
          <w:rFonts w:ascii="Arial" w:hAnsi="Arial" w:cs="Arial"/>
          <w:sz w:val="24"/>
          <w:szCs w:val="24"/>
        </w:rPr>
        <w:t xml:space="preserve"> OVEC</w:t>
      </w:r>
      <w:r>
        <w:rPr>
          <w:rFonts w:ascii="Arial" w:hAnsi="Arial" w:cs="Arial"/>
          <w:sz w:val="24"/>
          <w:szCs w:val="24"/>
        </w:rPr>
        <w:t xml:space="preserve"> interest</w:t>
      </w:r>
      <w:r w:rsidR="009B7BBE">
        <w:rPr>
          <w:rFonts w:ascii="Arial" w:hAnsi="Arial" w:cs="Arial"/>
          <w:sz w:val="24"/>
          <w:szCs w:val="24"/>
        </w:rPr>
        <w:t>, it proposes to delete OVEC from Duke’s list of affiliates.</w:t>
      </w:r>
      <w:r w:rsidR="000854DC">
        <w:rPr>
          <w:rStyle w:val="FootnoteReference"/>
          <w:rFonts w:ascii="Arial" w:hAnsi="Arial" w:cs="Arial"/>
          <w:sz w:val="24"/>
          <w:szCs w:val="24"/>
        </w:rPr>
        <w:footnoteReference w:id="6"/>
      </w:r>
    </w:p>
    <w:p w14:paraId="03F9C024" w14:textId="7D7F2B6C" w:rsidR="00E179E5" w:rsidRDefault="00E179E5" w:rsidP="00E179E5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Duke’s Application does not </w:t>
      </w:r>
      <w:r w:rsidR="00034A59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 xml:space="preserve"> Commission authority to continue to offer products and services other than</w:t>
      </w:r>
      <w:r w:rsidR="00034A59">
        <w:rPr>
          <w:rFonts w:ascii="Arial" w:hAnsi="Arial" w:cs="Arial"/>
          <w:sz w:val="24"/>
          <w:szCs w:val="24"/>
        </w:rPr>
        <w:t xml:space="preserve"> retail electric service</w:t>
      </w:r>
      <w:r w:rsidR="00A4260C">
        <w:rPr>
          <w:rFonts w:ascii="Arial" w:hAnsi="Arial" w:cs="Arial"/>
          <w:sz w:val="24"/>
          <w:szCs w:val="24"/>
        </w:rPr>
        <w:t xml:space="preserve"> (“non-commodity services”)</w:t>
      </w:r>
      <w:r w:rsidR="00034A59">
        <w:rPr>
          <w:rFonts w:ascii="Arial" w:hAnsi="Arial" w:cs="Arial"/>
          <w:sz w:val="24"/>
          <w:szCs w:val="24"/>
        </w:rPr>
        <w:t xml:space="preserve">, </w:t>
      </w:r>
      <w:r w:rsidR="00034A59" w:rsidRPr="00034A59">
        <w:rPr>
          <w:rFonts w:ascii="Arial" w:hAnsi="Arial" w:cs="Arial"/>
          <w:sz w:val="24"/>
          <w:szCs w:val="24"/>
        </w:rPr>
        <w:t>though its proposed corporate separation plan appears to assume that it will be allowed to do so.</w:t>
      </w:r>
      <w:r w:rsidR="000854DC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034A59">
        <w:rPr>
          <w:rFonts w:ascii="Arial" w:hAnsi="Arial" w:cs="Arial"/>
          <w:sz w:val="24"/>
          <w:szCs w:val="24"/>
        </w:rPr>
        <w:t xml:space="preserve">  Duke’s Application does not identify facts and circumstances to support a waiver of the requirement to provide non-commodity services through a separate affiliate. </w:t>
      </w:r>
    </w:p>
    <w:p w14:paraId="5B665D86" w14:textId="12099B8F" w:rsidR="008D180E" w:rsidRDefault="00034A59" w:rsidP="009B7BBE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discussed further below, the Commission should dismiss Duke’s Application. It is fatally flawed and </w:t>
      </w:r>
      <w:r w:rsidR="008D180E">
        <w:rPr>
          <w:rFonts w:ascii="Arial" w:hAnsi="Arial" w:cs="Arial"/>
          <w:sz w:val="24"/>
          <w:szCs w:val="24"/>
        </w:rPr>
        <w:t>not ripe</w:t>
      </w:r>
      <w:r>
        <w:rPr>
          <w:rFonts w:ascii="Arial" w:hAnsi="Arial" w:cs="Arial"/>
          <w:sz w:val="24"/>
          <w:szCs w:val="24"/>
        </w:rPr>
        <w:t xml:space="preserve"> for consideration.  Further,</w:t>
      </w:r>
      <w:r w:rsidR="008D180E">
        <w:rPr>
          <w:rFonts w:ascii="Arial" w:hAnsi="Arial" w:cs="Arial"/>
          <w:sz w:val="24"/>
          <w:szCs w:val="24"/>
        </w:rPr>
        <w:t xml:space="preserve"> consideration of the Application </w:t>
      </w:r>
      <w:r>
        <w:rPr>
          <w:rFonts w:ascii="Arial" w:hAnsi="Arial" w:cs="Arial"/>
          <w:sz w:val="24"/>
          <w:szCs w:val="24"/>
        </w:rPr>
        <w:t xml:space="preserve">will lead to </w:t>
      </w:r>
      <w:r w:rsidR="008D180E">
        <w:rPr>
          <w:rFonts w:ascii="Arial" w:hAnsi="Arial" w:cs="Arial"/>
          <w:sz w:val="24"/>
          <w:szCs w:val="24"/>
        </w:rPr>
        <w:t>needless and duplicative litigation.</w:t>
      </w:r>
    </w:p>
    <w:p w14:paraId="20B3124E" w14:textId="1118D0BA" w:rsidR="008D180E" w:rsidRPr="008D180E" w:rsidRDefault="008D180E" w:rsidP="008D18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</w:t>
      </w:r>
    </w:p>
    <w:p w14:paraId="2EEBC334" w14:textId="5F067D23" w:rsidR="008D180E" w:rsidRPr="008D180E" w:rsidRDefault="008D180E" w:rsidP="008D18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Duke has not satisfied its Stipulation Obligation</w:t>
      </w:r>
    </w:p>
    <w:p w14:paraId="22392A7B" w14:textId="6642671A" w:rsidR="008D180E" w:rsidRDefault="009956F6" w:rsidP="000A34C1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Duke claims it is</w:t>
      </w:r>
      <w:r w:rsidR="005C118E">
        <w:rPr>
          <w:rFonts w:ascii="Arial" w:hAnsi="Arial" w:cs="Arial"/>
          <w:sz w:val="24"/>
          <w:szCs w:val="24"/>
        </w:rPr>
        <w:t xml:space="preserve"> necessary to</w:t>
      </w:r>
      <w:r w:rsidR="008D180E">
        <w:rPr>
          <w:rFonts w:ascii="Arial" w:hAnsi="Arial" w:cs="Arial"/>
          <w:sz w:val="24"/>
          <w:szCs w:val="24"/>
        </w:rPr>
        <w:t xml:space="preserve"> amen</w:t>
      </w:r>
      <w:r w:rsidR="000A34C1">
        <w:rPr>
          <w:rFonts w:ascii="Arial" w:hAnsi="Arial" w:cs="Arial"/>
          <w:sz w:val="24"/>
          <w:szCs w:val="24"/>
        </w:rPr>
        <w:t xml:space="preserve">d its corporate separation plan because it has satisfied its Stipulation obligation to achieve full legal separation.  </w:t>
      </w:r>
      <w:r w:rsidR="008D180E">
        <w:rPr>
          <w:rFonts w:ascii="Arial" w:hAnsi="Arial" w:cs="Arial"/>
          <w:sz w:val="24"/>
          <w:szCs w:val="24"/>
        </w:rPr>
        <w:t>As discussed below</w:t>
      </w:r>
      <w:r w:rsidR="000A34C1">
        <w:rPr>
          <w:rFonts w:ascii="Arial" w:hAnsi="Arial" w:cs="Arial"/>
          <w:sz w:val="24"/>
          <w:szCs w:val="24"/>
        </w:rPr>
        <w:t>, Duke has not demonstrated that it has satisfied its Stipulation obligation.</w:t>
      </w:r>
    </w:p>
    <w:p w14:paraId="09740F02" w14:textId="77777777" w:rsidR="008D180E" w:rsidRPr="001F264F" w:rsidRDefault="008D180E" w:rsidP="008D180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</w:rPr>
      </w:pPr>
      <w:r w:rsidRPr="001F264F">
        <w:rPr>
          <w:rFonts w:ascii="Arial" w:hAnsi="Arial" w:cs="Arial"/>
          <w:sz w:val="24"/>
        </w:rPr>
        <w:t>The Stipulation provides:</w:t>
      </w:r>
    </w:p>
    <w:p w14:paraId="44707D9E" w14:textId="77777777" w:rsidR="008D180E" w:rsidRPr="001F264F" w:rsidRDefault="008D180E" w:rsidP="008D180E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4"/>
        </w:rPr>
      </w:pPr>
      <w:r w:rsidRPr="001F264F">
        <w:rPr>
          <w:rFonts w:ascii="Arial" w:hAnsi="Arial" w:cs="Arial"/>
          <w:sz w:val="24"/>
        </w:rPr>
        <w:t xml:space="preserve">that the Commission's approval of the stipulation will constitute approval of Duke's Third Amended CSP and </w:t>
      </w:r>
      <w:r w:rsidRPr="001F264F">
        <w:rPr>
          <w:rFonts w:ascii="Arial" w:hAnsi="Arial" w:cs="Arial"/>
          <w:b/>
          <w:sz w:val="24"/>
        </w:rPr>
        <w:t>full legal corporate separation</w:t>
      </w:r>
      <w:r w:rsidRPr="001F264F">
        <w:rPr>
          <w:rFonts w:ascii="Arial" w:hAnsi="Arial" w:cs="Arial"/>
          <w:sz w:val="24"/>
        </w:rPr>
        <w:t xml:space="preserve">, </w:t>
      </w:r>
      <w:r w:rsidRPr="009956F6">
        <w:rPr>
          <w:rFonts w:ascii="Arial" w:hAnsi="Arial" w:cs="Arial"/>
          <w:b/>
          <w:sz w:val="24"/>
        </w:rPr>
        <w:t>as contemplated by Section 4928.17(A)</w:t>
      </w:r>
      <w:r w:rsidRPr="001F264F">
        <w:rPr>
          <w:rFonts w:ascii="Arial" w:hAnsi="Arial" w:cs="Arial"/>
          <w:sz w:val="24"/>
        </w:rPr>
        <w:t>,</w:t>
      </w:r>
      <w:r w:rsidRPr="001F264F">
        <w:rPr>
          <w:rFonts w:ascii="Arial" w:hAnsi="Arial" w:cs="Arial"/>
          <w:b/>
          <w:sz w:val="24"/>
        </w:rPr>
        <w:t xml:space="preserve"> </w:t>
      </w:r>
      <w:r w:rsidRPr="001F264F">
        <w:rPr>
          <w:rFonts w:ascii="Arial" w:hAnsi="Arial" w:cs="Arial"/>
          <w:sz w:val="24"/>
        </w:rPr>
        <w:t xml:space="preserve">Revised Code, such that the transmission and distribution assets of Duke will continue to be held by the distribution utility and </w:t>
      </w:r>
      <w:r w:rsidRPr="001F264F">
        <w:rPr>
          <w:rFonts w:ascii="Arial" w:hAnsi="Arial" w:cs="Arial"/>
          <w:b/>
          <w:sz w:val="24"/>
        </w:rPr>
        <w:t>all of Duke's generation assets</w:t>
      </w:r>
      <w:r w:rsidRPr="001F264F">
        <w:rPr>
          <w:rFonts w:ascii="Arial" w:hAnsi="Arial" w:cs="Arial"/>
          <w:sz w:val="24"/>
        </w:rPr>
        <w:t xml:space="preserve"> will be transferred to an affiliate.</w:t>
      </w:r>
      <w:r w:rsidRPr="001F264F">
        <w:rPr>
          <w:rStyle w:val="FootnoteReference"/>
          <w:rFonts w:ascii="Arial" w:hAnsi="Arial" w:cs="Arial"/>
          <w:sz w:val="24"/>
        </w:rPr>
        <w:footnoteReference w:id="8"/>
      </w:r>
      <w:r w:rsidRPr="001F264F">
        <w:rPr>
          <w:rFonts w:ascii="Arial" w:hAnsi="Arial" w:cs="Arial"/>
          <w:sz w:val="24"/>
        </w:rPr>
        <w:t xml:space="preserve">  </w:t>
      </w:r>
    </w:p>
    <w:p w14:paraId="2A8FF196" w14:textId="77777777" w:rsidR="008D180E" w:rsidRPr="001F264F" w:rsidRDefault="008D180E" w:rsidP="008D1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302907F6" w14:textId="661A3712" w:rsidR="000A34C1" w:rsidRDefault="000A34C1" w:rsidP="000A34C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</w:rPr>
      </w:pPr>
      <w:r w:rsidRPr="001F264F">
        <w:rPr>
          <w:rFonts w:ascii="Arial" w:hAnsi="Arial" w:cs="Arial"/>
          <w:sz w:val="24"/>
        </w:rPr>
        <w:t>R</w:t>
      </w:r>
      <w:r w:rsidR="009956F6">
        <w:rPr>
          <w:rFonts w:ascii="Arial" w:hAnsi="Arial" w:cs="Arial"/>
          <w:sz w:val="24"/>
        </w:rPr>
        <w:t>.C. 4928.17(A</w:t>
      </w:r>
      <w:proofErr w:type="gramStart"/>
      <w:r w:rsidR="009956F6">
        <w:rPr>
          <w:rFonts w:ascii="Arial" w:hAnsi="Arial" w:cs="Arial"/>
          <w:sz w:val="24"/>
        </w:rPr>
        <w:t>)(</w:t>
      </w:r>
      <w:proofErr w:type="gramEnd"/>
      <w:r w:rsidR="009956F6">
        <w:rPr>
          <w:rFonts w:ascii="Arial" w:hAnsi="Arial" w:cs="Arial"/>
          <w:sz w:val="24"/>
        </w:rPr>
        <w:t>1), requires an electric distribution utility’s (“EDU”)</w:t>
      </w:r>
      <w:r w:rsidRPr="001F264F">
        <w:rPr>
          <w:rFonts w:ascii="Arial" w:hAnsi="Arial" w:cs="Arial"/>
          <w:sz w:val="24"/>
        </w:rPr>
        <w:t xml:space="preserve"> corporate separation plan</w:t>
      </w:r>
      <w:r w:rsidR="009956F6">
        <w:rPr>
          <w:rFonts w:ascii="Arial" w:hAnsi="Arial" w:cs="Arial"/>
          <w:sz w:val="24"/>
        </w:rPr>
        <w:t xml:space="preserve"> to</w:t>
      </w:r>
      <w:r w:rsidRPr="001F264F">
        <w:rPr>
          <w:rFonts w:ascii="Arial" w:hAnsi="Arial" w:cs="Arial"/>
          <w:sz w:val="24"/>
        </w:rPr>
        <w:t xml:space="preserve"> provide at a minimum </w:t>
      </w:r>
      <w:r w:rsidRPr="001F264F">
        <w:rPr>
          <w:rFonts w:ascii="Arial" w:hAnsi="Arial" w:cs="Arial"/>
          <w:b/>
          <w:i/>
          <w:sz w:val="24"/>
        </w:rPr>
        <w:t xml:space="preserve"> “</w:t>
      </w:r>
      <w:r w:rsidRPr="001F264F">
        <w:rPr>
          <w:rFonts w:ascii="Arial" w:hAnsi="Arial" w:cs="Arial"/>
          <w:b/>
          <w:sz w:val="24"/>
        </w:rPr>
        <w:t xml:space="preserve">provision of the competitive retail electric service </w:t>
      </w:r>
      <w:r w:rsidRPr="001F264F">
        <w:rPr>
          <w:rFonts w:ascii="Arial" w:hAnsi="Arial" w:cs="Arial"/>
          <w:sz w:val="24"/>
        </w:rPr>
        <w:t xml:space="preserve">or the nonelectric product or service </w:t>
      </w:r>
      <w:r w:rsidRPr="001F264F">
        <w:rPr>
          <w:rFonts w:ascii="Arial" w:hAnsi="Arial" w:cs="Arial"/>
          <w:b/>
          <w:sz w:val="24"/>
        </w:rPr>
        <w:t>through a fully separated affiliate</w:t>
      </w:r>
      <w:r w:rsidRPr="001F264F">
        <w:rPr>
          <w:rFonts w:ascii="Arial" w:hAnsi="Arial" w:cs="Arial"/>
          <w:sz w:val="24"/>
        </w:rPr>
        <w:t xml:space="preserve"> of the utility (emphasis added)</w:t>
      </w:r>
      <w:r w:rsidRPr="001F264F">
        <w:rPr>
          <w:rFonts w:ascii="Arial" w:hAnsi="Arial" w:cs="Arial"/>
          <w:i/>
          <w:sz w:val="24"/>
        </w:rPr>
        <w:t>.</w:t>
      </w:r>
      <w:r w:rsidRPr="001F264F">
        <w:rPr>
          <w:rFonts w:ascii="Arial" w:hAnsi="Arial" w:cs="Arial"/>
          <w:sz w:val="24"/>
        </w:rPr>
        <w:t>”</w:t>
      </w:r>
      <w:r w:rsidR="009956F6">
        <w:rPr>
          <w:rStyle w:val="FootnoteReference"/>
          <w:rFonts w:ascii="Arial" w:hAnsi="Arial" w:cs="Arial"/>
          <w:sz w:val="24"/>
        </w:rPr>
        <w:footnoteReference w:id="9"/>
      </w:r>
      <w:r w:rsidRPr="001F264F">
        <w:rPr>
          <w:rFonts w:ascii="Arial" w:hAnsi="Arial" w:cs="Arial"/>
          <w:sz w:val="24"/>
        </w:rPr>
        <w:t xml:space="preserve"> Thus, the Stipulation required Duke, the EDU, to cease providing competitive retail electric services and to operate solely as a distribution utility in the business of prov</w:t>
      </w:r>
      <w:r>
        <w:rPr>
          <w:rFonts w:ascii="Arial" w:hAnsi="Arial" w:cs="Arial"/>
          <w:sz w:val="24"/>
        </w:rPr>
        <w:t>iding non-competitive service.</w:t>
      </w:r>
    </w:p>
    <w:p w14:paraId="2258A661" w14:textId="47AC9CD5" w:rsidR="000A34C1" w:rsidRDefault="000A34C1" w:rsidP="008D1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>Duke’s Application</w:t>
      </w:r>
      <w:r w:rsidR="009956F6">
        <w:rPr>
          <w:rFonts w:ascii="Arial" w:hAnsi="Arial" w:cs="Arial"/>
          <w:sz w:val="24"/>
          <w:szCs w:val="24"/>
        </w:rPr>
        <w:t>, however,</w:t>
      </w:r>
      <w:r>
        <w:rPr>
          <w:rFonts w:ascii="Arial" w:hAnsi="Arial" w:cs="Arial"/>
          <w:sz w:val="24"/>
          <w:szCs w:val="24"/>
        </w:rPr>
        <w:t xml:space="preserve"> failed to identify whether it has divested its interest</w:t>
      </w:r>
      <w:r w:rsidR="00A4260C">
        <w:rPr>
          <w:rFonts w:ascii="Arial" w:hAnsi="Arial" w:cs="Arial"/>
          <w:sz w:val="24"/>
          <w:szCs w:val="24"/>
        </w:rPr>
        <w:t xml:space="preserve"> in OVEC</w:t>
      </w:r>
      <w:r>
        <w:rPr>
          <w:rFonts w:ascii="Arial" w:hAnsi="Arial" w:cs="Arial"/>
          <w:sz w:val="24"/>
          <w:szCs w:val="24"/>
        </w:rPr>
        <w:t>.  To the extent that Duke still maintains an interest in OVEC</w:t>
      </w:r>
      <w:r w:rsidR="00A4260C">
        <w:rPr>
          <w:rFonts w:ascii="Arial" w:hAnsi="Arial" w:cs="Arial"/>
          <w:sz w:val="24"/>
          <w:szCs w:val="24"/>
        </w:rPr>
        <w:t>—an interest in unregulated generating assets—</w:t>
      </w:r>
      <w:r>
        <w:rPr>
          <w:rFonts w:ascii="Arial" w:hAnsi="Arial" w:cs="Arial"/>
          <w:sz w:val="24"/>
          <w:szCs w:val="24"/>
        </w:rPr>
        <w:t>it has not achieved full legal separation</w:t>
      </w:r>
      <w:r w:rsidR="00A4260C">
        <w:rPr>
          <w:rFonts w:ascii="Arial" w:hAnsi="Arial" w:cs="Arial"/>
          <w:sz w:val="24"/>
          <w:szCs w:val="24"/>
        </w:rPr>
        <w:t>.  A</w:t>
      </w:r>
      <w:r>
        <w:rPr>
          <w:rFonts w:ascii="Arial" w:hAnsi="Arial" w:cs="Arial"/>
          <w:sz w:val="24"/>
          <w:szCs w:val="24"/>
        </w:rPr>
        <w:t>nd thus it ha</w:t>
      </w:r>
      <w:r w:rsidR="00A4260C">
        <w:rPr>
          <w:rFonts w:ascii="Arial" w:hAnsi="Arial" w:cs="Arial"/>
          <w:sz w:val="24"/>
          <w:szCs w:val="24"/>
        </w:rPr>
        <w:t>s not satisfied the stipulation condition</w:t>
      </w:r>
      <w:r>
        <w:rPr>
          <w:rFonts w:ascii="Arial" w:hAnsi="Arial" w:cs="Arial"/>
          <w:sz w:val="24"/>
          <w:szCs w:val="24"/>
        </w:rPr>
        <w:t xml:space="preserve"> that provided the basis for the present Application.  </w:t>
      </w:r>
    </w:p>
    <w:p w14:paraId="58298A9C" w14:textId="7B7A14D5" w:rsidR="00BE7573" w:rsidRDefault="008D180E" w:rsidP="008D1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1F264F">
        <w:rPr>
          <w:rFonts w:ascii="Arial" w:hAnsi="Arial" w:cs="Arial"/>
          <w:sz w:val="24"/>
        </w:rPr>
        <w:t>Mo</w:t>
      </w:r>
      <w:r>
        <w:rPr>
          <w:rFonts w:ascii="Arial" w:hAnsi="Arial" w:cs="Arial"/>
          <w:sz w:val="24"/>
        </w:rPr>
        <w:t>reover,</w:t>
      </w:r>
      <w:r w:rsidR="000A7E66">
        <w:rPr>
          <w:rFonts w:ascii="Arial" w:hAnsi="Arial" w:cs="Arial"/>
          <w:sz w:val="24"/>
        </w:rPr>
        <w:t xml:space="preserve"> </w:t>
      </w:r>
      <w:r w:rsidR="000A34C1">
        <w:rPr>
          <w:rFonts w:ascii="Arial" w:hAnsi="Arial" w:cs="Arial"/>
          <w:sz w:val="24"/>
        </w:rPr>
        <w:t>R.C. 4928.17(A</w:t>
      </w:r>
      <w:proofErr w:type="gramStart"/>
      <w:r w:rsidR="000A34C1">
        <w:rPr>
          <w:rFonts w:ascii="Arial" w:hAnsi="Arial" w:cs="Arial"/>
          <w:sz w:val="24"/>
        </w:rPr>
        <w:t>)(</w:t>
      </w:r>
      <w:proofErr w:type="gramEnd"/>
      <w:r w:rsidR="000A34C1">
        <w:rPr>
          <w:rFonts w:ascii="Arial" w:hAnsi="Arial" w:cs="Arial"/>
          <w:sz w:val="24"/>
        </w:rPr>
        <w:t>1) requires</w:t>
      </w:r>
      <w:r w:rsidRPr="001F264F">
        <w:rPr>
          <w:rFonts w:ascii="Arial" w:hAnsi="Arial" w:cs="Arial"/>
          <w:sz w:val="24"/>
        </w:rPr>
        <w:t xml:space="preserve"> Duke to implement “separate accounting requirements” for services other than Duke’s non-competitive service.</w:t>
      </w:r>
      <w:r w:rsidR="000A34C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To the extent that Duke has an interest in OVEC, it must maintain accounting entries related to OVEC costs and revenues on the books of the EDU.</w:t>
      </w:r>
      <w:r w:rsidR="009956F6">
        <w:rPr>
          <w:rFonts w:ascii="Arial" w:hAnsi="Arial" w:cs="Arial"/>
          <w:sz w:val="24"/>
        </w:rPr>
        <w:t xml:space="preserve">  That would</w:t>
      </w:r>
      <w:r w:rsidR="000A7E66">
        <w:rPr>
          <w:rFonts w:ascii="Arial" w:hAnsi="Arial" w:cs="Arial"/>
          <w:sz w:val="24"/>
        </w:rPr>
        <w:t xml:space="preserve"> run afoul of R.C. 4928.17(A</w:t>
      </w:r>
      <w:proofErr w:type="gramStart"/>
      <w:r w:rsidR="000A7E66">
        <w:rPr>
          <w:rFonts w:ascii="Arial" w:hAnsi="Arial" w:cs="Arial"/>
          <w:sz w:val="24"/>
        </w:rPr>
        <w:t>)(</w:t>
      </w:r>
      <w:proofErr w:type="gramEnd"/>
      <w:r w:rsidR="000A7E66">
        <w:rPr>
          <w:rFonts w:ascii="Arial" w:hAnsi="Arial" w:cs="Arial"/>
          <w:sz w:val="24"/>
        </w:rPr>
        <w:t xml:space="preserve">1). </w:t>
      </w:r>
    </w:p>
    <w:p w14:paraId="2A368AB5" w14:textId="72E78DD9" w:rsidR="008D180E" w:rsidRPr="00BE7573" w:rsidRDefault="00BE7573" w:rsidP="00BE757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Commission’s rules further demonstrate that Duke must divest its OVEC interest in order to ach</w:t>
      </w:r>
      <w:r w:rsidR="00A4260C">
        <w:rPr>
          <w:rFonts w:ascii="Arial" w:hAnsi="Arial" w:cs="Arial"/>
          <w:sz w:val="24"/>
        </w:rPr>
        <w:t xml:space="preserve">ieve full legal separation.  </w:t>
      </w:r>
      <w:r w:rsidR="000A7E66">
        <w:rPr>
          <w:rFonts w:ascii="Arial" w:hAnsi="Arial" w:cs="Arial"/>
          <w:sz w:val="24"/>
        </w:rPr>
        <w:t>Chapter</w:t>
      </w:r>
      <w:r>
        <w:rPr>
          <w:rFonts w:ascii="Arial" w:hAnsi="Arial" w:cs="Arial"/>
          <w:sz w:val="24"/>
        </w:rPr>
        <w:t xml:space="preserve"> 4901:</w:t>
      </w:r>
      <w:proofErr w:type="gramStart"/>
      <w:r>
        <w:rPr>
          <w:rFonts w:ascii="Arial" w:hAnsi="Arial" w:cs="Arial"/>
          <w:sz w:val="24"/>
        </w:rPr>
        <w:t>1-37</w:t>
      </w:r>
      <w:r w:rsidR="00A4260C">
        <w:rPr>
          <w:rFonts w:ascii="Arial" w:hAnsi="Arial" w:cs="Arial"/>
          <w:sz w:val="24"/>
        </w:rPr>
        <w:t xml:space="preserve"> Ohio Administrative Code (“OAC”)</w:t>
      </w:r>
      <w:proofErr w:type="gramEnd"/>
      <w:r>
        <w:rPr>
          <w:rFonts w:ascii="Arial" w:hAnsi="Arial" w:cs="Arial"/>
          <w:sz w:val="24"/>
        </w:rPr>
        <w:t xml:space="preserve"> is applicable to an EDU’s corporate separation plan and an EDU’s interactions with its affiliates.</w:t>
      </w:r>
      <w:r w:rsidR="000A7E66">
        <w:rPr>
          <w:rStyle w:val="FootnoteReference"/>
          <w:rFonts w:ascii="Arial" w:hAnsi="Arial" w:cs="Arial"/>
          <w:sz w:val="24"/>
        </w:rPr>
        <w:footnoteReference w:id="10"/>
      </w:r>
      <w:r w:rsidR="00351A0B">
        <w:rPr>
          <w:rFonts w:ascii="Arial" w:hAnsi="Arial" w:cs="Arial"/>
          <w:sz w:val="24"/>
        </w:rPr>
        <w:t xml:space="preserve">  Indeed, Duke’s Application includes a reference to these Commission rules in the case title.</w:t>
      </w:r>
      <w:r w:rsidR="00351A0B">
        <w:rPr>
          <w:rStyle w:val="FootnoteReference"/>
          <w:rFonts w:ascii="Arial" w:hAnsi="Arial" w:cs="Arial"/>
          <w:sz w:val="24"/>
        </w:rPr>
        <w:footnoteReference w:id="11"/>
      </w:r>
      <w:r>
        <w:rPr>
          <w:rFonts w:ascii="Arial" w:hAnsi="Arial" w:cs="Arial"/>
          <w:sz w:val="24"/>
        </w:rPr>
        <w:t xml:space="preserve">  That chapter provides that “[a]</w:t>
      </w:r>
      <w:proofErr w:type="spellStart"/>
      <w:r w:rsidRPr="000A34C1">
        <w:rPr>
          <w:rFonts w:ascii="Arial" w:hAnsi="Arial" w:cs="Arial"/>
          <w:sz w:val="24"/>
        </w:rPr>
        <w:t>ny</w:t>
      </w:r>
      <w:proofErr w:type="spellEnd"/>
      <w:r w:rsidRPr="000A34C1">
        <w:rPr>
          <w:rFonts w:ascii="Arial" w:hAnsi="Arial" w:cs="Arial"/>
          <w:sz w:val="24"/>
        </w:rPr>
        <w:t xml:space="preserve"> indebtedness incurred by an affiliate shall be without recourse to the electric utility.</w:t>
      </w:r>
      <w:r>
        <w:rPr>
          <w:rFonts w:ascii="Arial" w:hAnsi="Arial" w:cs="Arial"/>
          <w:sz w:val="24"/>
        </w:rPr>
        <w:t>”</w:t>
      </w:r>
      <w:r>
        <w:rPr>
          <w:rStyle w:val="FootnoteReference"/>
          <w:rFonts w:ascii="Arial" w:hAnsi="Arial" w:cs="Arial"/>
          <w:sz w:val="24"/>
        </w:rPr>
        <w:footnoteReference w:id="12"/>
      </w:r>
      <w:r w:rsidRPr="000A34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Duke’s current corporate separation plan lists OVEC as an affiliate</w:t>
      </w:r>
      <w:r w:rsidR="00A8681D">
        <w:rPr>
          <w:rFonts w:ascii="Arial" w:hAnsi="Arial" w:cs="Arial"/>
          <w:sz w:val="24"/>
        </w:rPr>
        <w:t>.</w:t>
      </w:r>
      <w:r>
        <w:rPr>
          <w:rStyle w:val="FootnoteReference"/>
          <w:rFonts w:ascii="Arial" w:hAnsi="Arial" w:cs="Arial"/>
          <w:sz w:val="24"/>
        </w:rPr>
        <w:footnoteReference w:id="13"/>
      </w:r>
      <w:r>
        <w:rPr>
          <w:rFonts w:ascii="Arial" w:hAnsi="Arial" w:cs="Arial"/>
          <w:sz w:val="24"/>
        </w:rPr>
        <w:t xml:space="preserve"> T</w:t>
      </w:r>
      <w:r w:rsidR="000A34C1">
        <w:rPr>
          <w:rFonts w:ascii="Arial" w:hAnsi="Arial" w:cs="Arial"/>
          <w:sz w:val="24"/>
        </w:rPr>
        <w:t>he Intercompany Power Agreement (“ICPA”)—the purchase power agreement at issue in this case—</w:t>
      </w:r>
      <w:r>
        <w:rPr>
          <w:rFonts w:ascii="Arial" w:hAnsi="Arial" w:cs="Arial"/>
          <w:sz w:val="24"/>
        </w:rPr>
        <w:t xml:space="preserve">is littered </w:t>
      </w:r>
      <w:r>
        <w:rPr>
          <w:rFonts w:ascii="Arial" w:hAnsi="Arial" w:cs="Arial"/>
          <w:sz w:val="24"/>
        </w:rPr>
        <w:lastRenderedPageBreak/>
        <w:t>with provisions that hold</w:t>
      </w:r>
      <w:r w:rsidR="000A34C1">
        <w:rPr>
          <w:rFonts w:ascii="Arial" w:hAnsi="Arial" w:cs="Arial"/>
          <w:sz w:val="24"/>
        </w:rPr>
        <w:t xml:space="preserve"> Duke specifically liable for OVEC’s debts</w:t>
      </w:r>
      <w:r>
        <w:rPr>
          <w:rFonts w:ascii="Arial" w:hAnsi="Arial" w:cs="Arial"/>
          <w:sz w:val="24"/>
        </w:rPr>
        <w:t xml:space="preserve"> and obligations</w:t>
      </w:r>
      <w:r w:rsidR="000A34C1">
        <w:rPr>
          <w:rFonts w:ascii="Arial" w:hAnsi="Arial" w:cs="Arial"/>
          <w:sz w:val="24"/>
        </w:rPr>
        <w:t>.</w:t>
      </w:r>
      <w:r w:rsidR="000A34C1">
        <w:rPr>
          <w:rStyle w:val="FootnoteReference"/>
          <w:rFonts w:ascii="Arial" w:hAnsi="Arial" w:cs="Arial"/>
          <w:sz w:val="24"/>
        </w:rPr>
        <w:footnoteReference w:id="14"/>
      </w:r>
      <w:r w:rsidR="000A34C1">
        <w:rPr>
          <w:rFonts w:ascii="Arial" w:hAnsi="Arial" w:cs="Arial"/>
          <w:sz w:val="24"/>
        </w:rPr>
        <w:t xml:space="preserve"> </w:t>
      </w:r>
      <w:r w:rsidR="008D180E">
        <w:rPr>
          <w:rFonts w:ascii="Arial" w:hAnsi="Arial" w:cs="Arial"/>
          <w:sz w:val="24"/>
        </w:rPr>
        <w:t xml:space="preserve">  Thus, Duke cannot hold onto its interest in OVEC and fulfil its requirement to achieve full legal separation.</w:t>
      </w:r>
    </w:p>
    <w:p w14:paraId="21141C06" w14:textId="2B79E210" w:rsidR="003C11D0" w:rsidRDefault="000A7E66" w:rsidP="00B573E1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548AE">
        <w:rPr>
          <w:rFonts w:ascii="Arial" w:hAnsi="Arial" w:cs="Arial"/>
          <w:sz w:val="24"/>
          <w:szCs w:val="24"/>
        </w:rPr>
        <w:t>n summary, Duke has not satisfied its Stipulation obligation to achieve</w:t>
      </w:r>
      <w:r>
        <w:rPr>
          <w:rFonts w:ascii="Arial" w:hAnsi="Arial" w:cs="Arial"/>
          <w:sz w:val="24"/>
          <w:szCs w:val="24"/>
        </w:rPr>
        <w:t xml:space="preserve"> full legal separation.  As suc</w:t>
      </w:r>
      <w:r w:rsidR="002548AE">
        <w:rPr>
          <w:rFonts w:ascii="Arial" w:hAnsi="Arial" w:cs="Arial"/>
          <w:sz w:val="24"/>
          <w:szCs w:val="24"/>
        </w:rPr>
        <w:t>h, its Application in this proceeding is not ripe for review.  The Commission should dismiss Duke’s Application and direct it to refile after it has transferred its interest in OVEC to a third party in accordance with the Opinion and Order modifying and approving Duke’s third electric security plan.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DE45A6" w14:textId="77D841D7" w:rsidR="005330E7" w:rsidRDefault="005330E7" w:rsidP="002548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Duke has not demonstrated </w:t>
      </w:r>
      <w:r w:rsidR="00D82CFE">
        <w:rPr>
          <w:rFonts w:ascii="Arial" w:hAnsi="Arial" w:cs="Arial"/>
          <w:b/>
          <w:sz w:val="24"/>
          <w:szCs w:val="24"/>
        </w:rPr>
        <w:t xml:space="preserve">that </w:t>
      </w:r>
      <w:r w:rsidR="002548AE">
        <w:rPr>
          <w:rFonts w:ascii="Arial" w:hAnsi="Arial" w:cs="Arial"/>
          <w:b/>
          <w:sz w:val="24"/>
          <w:szCs w:val="24"/>
        </w:rPr>
        <w:t xml:space="preserve">good cause </w:t>
      </w:r>
      <w:r w:rsidR="00D82CFE">
        <w:rPr>
          <w:rFonts w:ascii="Arial" w:hAnsi="Arial" w:cs="Arial"/>
          <w:b/>
          <w:sz w:val="24"/>
          <w:szCs w:val="24"/>
        </w:rPr>
        <w:t xml:space="preserve">exists </w:t>
      </w:r>
      <w:r w:rsidR="002548AE">
        <w:rPr>
          <w:rFonts w:ascii="Arial" w:hAnsi="Arial" w:cs="Arial"/>
          <w:b/>
          <w:sz w:val="24"/>
          <w:szCs w:val="24"/>
        </w:rPr>
        <w:t>for a waiver of the requirement to provide products and services other than retail electric service through an affiliate</w:t>
      </w:r>
    </w:p>
    <w:p w14:paraId="52F6BDE0" w14:textId="36584027" w:rsidR="00D82CFE" w:rsidRDefault="005330E7" w:rsidP="002548AE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Duke’s last corporate separation case, the Commission authorized Duke to provide non-commodity services.</w:t>
      </w:r>
      <w:r w:rsidR="00351A0B">
        <w:rPr>
          <w:rStyle w:val="FootnoteReference"/>
          <w:rFonts w:ascii="Arial" w:hAnsi="Arial" w:cs="Arial"/>
          <w:sz w:val="24"/>
          <w:szCs w:val="24"/>
        </w:rPr>
        <w:footnoteReference w:id="15"/>
      </w:r>
      <w:r w:rsidR="00DC34A1">
        <w:rPr>
          <w:rFonts w:ascii="Arial" w:hAnsi="Arial" w:cs="Arial"/>
          <w:sz w:val="24"/>
          <w:szCs w:val="24"/>
        </w:rPr>
        <w:t xml:space="preserve">  In that case</w:t>
      </w:r>
      <w:r w:rsidR="00D82CFE">
        <w:rPr>
          <w:rFonts w:ascii="Arial" w:hAnsi="Arial" w:cs="Arial"/>
          <w:sz w:val="24"/>
          <w:szCs w:val="24"/>
        </w:rPr>
        <w:t>, the Commission affirmed that Duke was required to separate its generation business from the EDU to achieve full legal separation, but that the Commission did not rule out Duke pro</w:t>
      </w:r>
      <w:r w:rsidR="00A4260C">
        <w:rPr>
          <w:rFonts w:ascii="Arial" w:hAnsi="Arial" w:cs="Arial"/>
          <w:sz w:val="24"/>
          <w:szCs w:val="24"/>
        </w:rPr>
        <w:t>viding non-commodity services</w:t>
      </w:r>
      <w:r w:rsidR="00D82CFE">
        <w:rPr>
          <w:rFonts w:ascii="Arial" w:hAnsi="Arial" w:cs="Arial"/>
          <w:sz w:val="24"/>
          <w:szCs w:val="24"/>
        </w:rPr>
        <w:t xml:space="preserve"> to customers.</w:t>
      </w:r>
      <w:r w:rsidR="00DC34A1">
        <w:rPr>
          <w:rStyle w:val="FootnoteReference"/>
          <w:rFonts w:ascii="Arial" w:hAnsi="Arial" w:cs="Arial"/>
          <w:sz w:val="24"/>
          <w:szCs w:val="24"/>
        </w:rPr>
        <w:footnoteReference w:id="16"/>
      </w:r>
      <w:r>
        <w:rPr>
          <w:rFonts w:ascii="Arial" w:hAnsi="Arial" w:cs="Arial"/>
          <w:sz w:val="24"/>
          <w:szCs w:val="24"/>
        </w:rPr>
        <w:t xml:space="preserve">  </w:t>
      </w:r>
    </w:p>
    <w:p w14:paraId="5697D8A4" w14:textId="00CA9FCB" w:rsidR="005330E7" w:rsidRDefault="00D82CFE" w:rsidP="00D82CFE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Commission’s </w:t>
      </w:r>
      <w:r w:rsidR="005330E7">
        <w:rPr>
          <w:rFonts w:ascii="Arial" w:hAnsi="Arial" w:cs="Arial"/>
          <w:sz w:val="24"/>
          <w:szCs w:val="24"/>
        </w:rPr>
        <w:t>decision was appealed to the Supreme Court of Ohio</w:t>
      </w:r>
      <w:r>
        <w:rPr>
          <w:rFonts w:ascii="Arial" w:hAnsi="Arial" w:cs="Arial"/>
          <w:sz w:val="24"/>
          <w:szCs w:val="24"/>
        </w:rPr>
        <w:t xml:space="preserve"> because Duke did not de</w:t>
      </w:r>
      <w:r w:rsidR="00DC34A1">
        <w:rPr>
          <w:rFonts w:ascii="Arial" w:hAnsi="Arial" w:cs="Arial"/>
          <w:sz w:val="24"/>
          <w:szCs w:val="24"/>
        </w:rPr>
        <w:t xml:space="preserve">monstrate that good cause existed to allow Duke to </w:t>
      </w:r>
      <w:r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lastRenderedPageBreak/>
        <w:t>non-commodity services</w:t>
      </w:r>
      <w:r w:rsidR="005330E7">
        <w:rPr>
          <w:rFonts w:ascii="Arial" w:hAnsi="Arial" w:cs="Arial"/>
          <w:sz w:val="24"/>
          <w:szCs w:val="24"/>
        </w:rPr>
        <w:t>.</w:t>
      </w:r>
      <w:r w:rsidR="005330E7">
        <w:rPr>
          <w:rStyle w:val="FootnoteReference"/>
          <w:rFonts w:ascii="Arial" w:hAnsi="Arial" w:cs="Arial"/>
          <w:sz w:val="24"/>
          <w:szCs w:val="24"/>
        </w:rPr>
        <w:footnoteReference w:id="17"/>
      </w:r>
      <w:r>
        <w:rPr>
          <w:rFonts w:ascii="Arial" w:hAnsi="Arial" w:cs="Arial"/>
          <w:sz w:val="24"/>
          <w:szCs w:val="24"/>
        </w:rPr>
        <w:t xml:space="preserve">  That decision may be remanded to the Commission to correct the flaws identified in the appeal.</w:t>
      </w:r>
      <w:r w:rsidR="005330E7">
        <w:rPr>
          <w:rFonts w:ascii="Arial" w:hAnsi="Arial" w:cs="Arial"/>
          <w:sz w:val="24"/>
          <w:szCs w:val="24"/>
        </w:rPr>
        <w:t xml:space="preserve">  Duke’s pending Ap</w:t>
      </w:r>
      <w:r w:rsidR="002548AE">
        <w:rPr>
          <w:rFonts w:ascii="Arial" w:hAnsi="Arial" w:cs="Arial"/>
          <w:sz w:val="24"/>
          <w:szCs w:val="24"/>
        </w:rPr>
        <w:t>plication contains similar flaws</w:t>
      </w:r>
      <w:r>
        <w:rPr>
          <w:rFonts w:ascii="Arial" w:hAnsi="Arial" w:cs="Arial"/>
          <w:sz w:val="24"/>
          <w:szCs w:val="24"/>
        </w:rPr>
        <w:t xml:space="preserve">.  </w:t>
      </w:r>
      <w:r w:rsidR="002548AE">
        <w:rPr>
          <w:rFonts w:ascii="Arial" w:hAnsi="Arial" w:cs="Arial"/>
          <w:sz w:val="24"/>
          <w:szCs w:val="24"/>
        </w:rPr>
        <w:t xml:space="preserve">Because Duke’s Application is not ripe for consideration and should be summarily dismissed, there is no need to </w:t>
      </w:r>
      <w:proofErr w:type="spellStart"/>
      <w:r w:rsidR="002548AE">
        <w:rPr>
          <w:rFonts w:ascii="Arial" w:hAnsi="Arial" w:cs="Arial"/>
          <w:sz w:val="24"/>
          <w:szCs w:val="24"/>
        </w:rPr>
        <w:t>relitigate</w:t>
      </w:r>
      <w:proofErr w:type="spellEnd"/>
      <w:r w:rsidR="002548AE">
        <w:rPr>
          <w:rFonts w:ascii="Arial" w:hAnsi="Arial" w:cs="Arial"/>
          <w:sz w:val="24"/>
          <w:szCs w:val="24"/>
        </w:rPr>
        <w:t xml:space="preserve"> those issues at this time.</w:t>
      </w:r>
      <w:r w:rsidRPr="00D82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But, to the extent that an order unnecessarily approves Duke’s unripe request to modify its corporate separation plan, IGS may be forced to </w:t>
      </w:r>
      <w:proofErr w:type="spellStart"/>
      <w:r>
        <w:rPr>
          <w:rFonts w:ascii="Arial" w:hAnsi="Arial" w:cs="Arial"/>
          <w:sz w:val="24"/>
          <w:szCs w:val="24"/>
        </w:rPr>
        <w:t>relitigate</w:t>
      </w:r>
      <w:proofErr w:type="spellEnd"/>
      <w:r>
        <w:rPr>
          <w:rFonts w:ascii="Arial" w:hAnsi="Arial" w:cs="Arial"/>
          <w:sz w:val="24"/>
          <w:szCs w:val="24"/>
        </w:rPr>
        <w:t xml:space="preserve"> those issues here.  </w:t>
      </w:r>
    </w:p>
    <w:p w14:paraId="7860DCD3" w14:textId="25099A97" w:rsidR="00DC34A1" w:rsidRDefault="00DC34A1" w:rsidP="00DC34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</w:p>
    <w:p w14:paraId="635A94C1" w14:textId="3F94DEF1" w:rsidR="00DC34A1" w:rsidRPr="00DC34A1" w:rsidRDefault="00DC34A1" w:rsidP="00DC34A1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stated herein, the Commission should dismiss Duke’s unripe Application.  </w:t>
      </w:r>
    </w:p>
    <w:p w14:paraId="1A5EFB60" w14:textId="77777777" w:rsidR="005330E7" w:rsidRDefault="005330E7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4" w14:textId="71202B1E" w:rsidR="00F10F9B" w:rsidRDefault="00F5720A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/s/ Joseph Oliker</w:t>
      </w:r>
    </w:p>
    <w:p w14:paraId="0181F1A6" w14:textId="1A5098FC" w:rsidR="00F5720A" w:rsidRPr="007B3399" w:rsidRDefault="00F5720A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Joseph Oliker</w:t>
      </w:r>
      <w:r w:rsidR="007B3399">
        <w:rPr>
          <w:rFonts w:ascii="Arial" w:eastAsia="Arial" w:hAnsi="Arial" w:cs="Arial"/>
          <w:sz w:val="24"/>
          <w:szCs w:val="24"/>
        </w:rPr>
        <w:t xml:space="preserve"> </w:t>
      </w:r>
      <w:r w:rsidR="007B3399">
        <w:rPr>
          <w:rFonts w:ascii="Arial" w:hAnsi="Arial" w:cs="Arial"/>
          <w:sz w:val="24"/>
          <w:szCs w:val="24"/>
        </w:rPr>
        <w:t>(0086088)</w:t>
      </w:r>
    </w:p>
    <w:p w14:paraId="4878AB42" w14:textId="5D55136F" w:rsidR="00F5720A" w:rsidRDefault="00F5720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Counsel of Record </w:t>
      </w:r>
    </w:p>
    <w:p w14:paraId="7176D2D6" w14:textId="54340D04" w:rsidR="00545F29" w:rsidRDefault="00F5720A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joliker</w:t>
      </w:r>
      <w:r w:rsidR="0056270F">
        <w:rPr>
          <w:rFonts w:ascii="Arial" w:hAnsi="Arial" w:cs="Arial"/>
          <w:sz w:val="24"/>
          <w:szCs w:val="24"/>
        </w:rPr>
        <w:t>@igsenergy.com</w:t>
      </w:r>
    </w:p>
    <w:p w14:paraId="7176D2DA" w14:textId="71124126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2DB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2DC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2DD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2D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72BEF5AA" w:rsidR="00545F29" w:rsidRPr="0023773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Attorney </w:t>
      </w:r>
      <w:r w:rsidR="00237730">
        <w:rPr>
          <w:rFonts w:ascii="Arial" w:hAnsi="Arial" w:cs="Arial"/>
          <w:b/>
          <w:i/>
          <w:sz w:val="24"/>
          <w:szCs w:val="24"/>
        </w:rPr>
        <w:t>for IGS Energy</w:t>
      </w:r>
    </w:p>
    <w:p w14:paraId="4D398F3A" w14:textId="77777777" w:rsidR="00DC34A1" w:rsidRDefault="00DC34A1" w:rsidP="00DC34A1">
      <w:pPr>
        <w:rPr>
          <w:rFonts w:ascii="Arial" w:hAnsi="Arial" w:cs="Arial"/>
          <w:b/>
          <w:szCs w:val="24"/>
        </w:rPr>
      </w:pPr>
    </w:p>
    <w:p w14:paraId="63C5435F" w14:textId="77777777" w:rsidR="00A4260C" w:rsidRDefault="00A4260C" w:rsidP="00734E39">
      <w:pPr>
        <w:jc w:val="center"/>
        <w:rPr>
          <w:rFonts w:ascii="Arial" w:hAnsi="Arial" w:cs="Arial"/>
          <w:b/>
          <w:szCs w:val="24"/>
        </w:rPr>
      </w:pPr>
    </w:p>
    <w:p w14:paraId="21B6718D" w14:textId="77777777" w:rsidR="00A4260C" w:rsidRDefault="00A4260C" w:rsidP="00734E39">
      <w:pPr>
        <w:jc w:val="center"/>
        <w:rPr>
          <w:rFonts w:ascii="Arial" w:hAnsi="Arial" w:cs="Arial"/>
          <w:b/>
          <w:szCs w:val="24"/>
        </w:rPr>
      </w:pPr>
    </w:p>
    <w:p w14:paraId="49DB1C7F" w14:textId="77777777" w:rsidR="002C6514" w:rsidRDefault="002C6514" w:rsidP="00734E39">
      <w:pPr>
        <w:jc w:val="center"/>
        <w:rPr>
          <w:rFonts w:ascii="Arial" w:hAnsi="Arial" w:cs="Arial"/>
          <w:b/>
          <w:szCs w:val="24"/>
        </w:rPr>
      </w:pPr>
    </w:p>
    <w:p w14:paraId="4D86998F" w14:textId="77777777" w:rsidR="002548AE" w:rsidRDefault="002548AE" w:rsidP="00DC34A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4388F72" w14:textId="77777777" w:rsidR="00DC34A1" w:rsidRDefault="00DC34A1" w:rsidP="00DC34A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2CB75B07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="002548AE">
        <w:rPr>
          <w:rFonts w:ascii="Arial" w:eastAsia="Calibri" w:hAnsi="Arial" w:cs="Arial"/>
          <w:i/>
          <w:sz w:val="24"/>
          <w:szCs w:val="24"/>
        </w:rPr>
        <w:t>Commen</w:t>
      </w:r>
      <w:r w:rsidRPr="009D71F6">
        <w:rPr>
          <w:rFonts w:ascii="Arial" w:eastAsia="Calibri" w:hAnsi="Arial" w:cs="Arial"/>
          <w:i/>
          <w:sz w:val="24"/>
          <w:szCs w:val="24"/>
        </w:rPr>
        <w:t>t</w:t>
      </w:r>
      <w:r w:rsidR="002548AE">
        <w:rPr>
          <w:rFonts w:ascii="Arial" w:eastAsia="Calibri" w:hAnsi="Arial" w:cs="Arial"/>
          <w:i/>
          <w:sz w:val="24"/>
          <w:szCs w:val="24"/>
        </w:rPr>
        <w:t>s</w:t>
      </w:r>
      <w:r w:rsidR="00AA75B4">
        <w:rPr>
          <w:rFonts w:ascii="Arial" w:eastAsia="Calibri" w:hAnsi="Arial" w:cs="Arial"/>
          <w:i/>
          <w:sz w:val="24"/>
          <w:szCs w:val="24"/>
        </w:rPr>
        <w:t xml:space="preserve"> of IGS Energy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2548AE">
        <w:rPr>
          <w:rFonts w:ascii="Arial" w:eastAsia="Calibri" w:hAnsi="Arial" w:cs="Arial"/>
          <w:sz w:val="24"/>
          <w:szCs w:val="24"/>
        </w:rPr>
        <w:t>12</w:t>
      </w:r>
      <w:r w:rsidR="00846419">
        <w:rPr>
          <w:rFonts w:ascii="Arial" w:eastAsia="Calibri" w:hAnsi="Arial" w:cs="Arial"/>
          <w:sz w:val="24"/>
          <w:szCs w:val="24"/>
        </w:rPr>
        <w:t>t</w:t>
      </w:r>
      <w:r w:rsidR="00237730">
        <w:rPr>
          <w:rFonts w:ascii="Arial" w:eastAsia="Calibri" w:hAnsi="Arial" w:cs="Arial"/>
          <w:sz w:val="24"/>
          <w:szCs w:val="24"/>
        </w:rPr>
        <w:t>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2548AE">
        <w:rPr>
          <w:rFonts w:ascii="Arial" w:eastAsia="Calibri" w:hAnsi="Arial" w:cs="Arial"/>
          <w:sz w:val="24"/>
          <w:szCs w:val="24"/>
        </w:rPr>
        <w:t>June</w:t>
      </w:r>
      <w:r w:rsidR="00846419">
        <w:rPr>
          <w:rFonts w:ascii="Arial" w:eastAsia="Calibri" w:hAnsi="Arial" w:cs="Arial"/>
          <w:sz w:val="24"/>
          <w:szCs w:val="24"/>
        </w:rPr>
        <w:t xml:space="preserve"> 2015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77777777" w:rsidR="00545F29" w:rsidRPr="009D71F6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76D30E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10" w14:textId="46FCE781" w:rsidR="009D71F6" w:rsidRPr="009D71F6" w:rsidRDefault="009D71F6" w:rsidP="00237730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 w:rsidRPr="009D71F6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Joseph Oliker_______</w:t>
      </w:r>
    </w:p>
    <w:p w14:paraId="7176D311" w14:textId="5306D116" w:rsidR="00FE2DE0" w:rsidRPr="009D71F6" w:rsidRDefault="00237730" w:rsidP="00237730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7176D312" w14:textId="77777777" w:rsidR="00545F29" w:rsidRPr="00237730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6D329" w14:textId="1AF27350" w:rsidR="00545F29" w:rsidRPr="00237730" w:rsidRDefault="00CF56D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237730" w:rsidRPr="0023773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Amy.Spiller@duke-energy.com</w:t>
        </w:r>
      </w:hyperlink>
    </w:p>
    <w:p w14:paraId="17B002AE" w14:textId="5133D943" w:rsidR="00237730" w:rsidRDefault="00CF56D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237730" w:rsidRPr="0023773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Jeanne.Kingery@duke-energy.com</w:t>
        </w:r>
      </w:hyperlink>
    </w:p>
    <w:p w14:paraId="78E3C70D" w14:textId="2B9ADA00" w:rsidR="00DC34A1" w:rsidRDefault="00DC34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Jodi.Bair@occ.ohio.gov</w:t>
      </w:r>
    </w:p>
    <w:p w14:paraId="6EA9F967" w14:textId="767316D0" w:rsidR="00DC34A1" w:rsidRDefault="00DC34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Katie.Johnson@puc.state.oh.us</w:t>
      </w:r>
    </w:p>
    <w:p w14:paraId="737812B3" w14:textId="1C8BAE9F" w:rsidR="00DC34A1" w:rsidRDefault="00DC34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Joseph.Clark@directenergy.com</w:t>
      </w:r>
    </w:p>
    <w:p w14:paraId="35B6BD63" w14:textId="69BE58D3" w:rsidR="00DC34A1" w:rsidRPr="00237730" w:rsidRDefault="00DC34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MHPetricoff@vorys.com</w:t>
      </w:r>
    </w:p>
    <w:p w14:paraId="5D7DE879" w14:textId="77777777" w:rsidR="00237730" w:rsidRDefault="00237730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377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72698" w14:textId="77777777" w:rsidR="00CF56D6" w:rsidRDefault="00CF56D6">
      <w:pPr>
        <w:spacing w:after="0" w:line="240" w:lineRule="auto"/>
      </w:pPr>
      <w:r>
        <w:separator/>
      </w:r>
    </w:p>
  </w:endnote>
  <w:endnote w:type="continuationSeparator" w:id="0">
    <w:p w14:paraId="22DDBB42" w14:textId="77777777" w:rsidR="00CF56D6" w:rsidRDefault="00C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AB7B2" w14:textId="77777777" w:rsidR="00DC01BC" w:rsidRDefault="00DC0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FABE" w14:textId="77777777" w:rsidR="00DC01BC" w:rsidRDefault="00DC0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86C8" w14:textId="77777777" w:rsidR="00CF56D6" w:rsidRDefault="00CF56D6">
      <w:pPr>
        <w:spacing w:after="0" w:line="240" w:lineRule="auto"/>
      </w:pPr>
      <w:r>
        <w:separator/>
      </w:r>
    </w:p>
  </w:footnote>
  <w:footnote w:type="continuationSeparator" w:id="0">
    <w:p w14:paraId="07398C82" w14:textId="77777777" w:rsidR="00CF56D6" w:rsidRDefault="00CF56D6">
      <w:pPr>
        <w:spacing w:after="0" w:line="240" w:lineRule="auto"/>
      </w:pPr>
      <w:r>
        <w:continuationSeparator/>
      </w:r>
    </w:p>
  </w:footnote>
  <w:footnote w:id="1">
    <w:p w14:paraId="69839492" w14:textId="77777777" w:rsidR="008D180E" w:rsidRPr="00005B17" w:rsidRDefault="008D180E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proofErr w:type="gramStart"/>
      <w:r w:rsidRPr="00005B17">
        <w:rPr>
          <w:rFonts w:ascii="Arial" w:hAnsi="Arial" w:cs="Arial"/>
        </w:rPr>
        <w:t>Application at 2.</w:t>
      </w:r>
      <w:proofErr w:type="gramEnd"/>
      <w:r w:rsidRPr="00005B17">
        <w:rPr>
          <w:rFonts w:ascii="Arial" w:hAnsi="Arial" w:cs="Arial"/>
        </w:rPr>
        <w:t xml:space="preserve">  The Application title appears to refer to approval of Duke’s Fourth Corporate Separation Plan.  The proposed amendment, however, relates to a proposed Fifth Corporate Separation Plan.</w:t>
      </w:r>
    </w:p>
    <w:p w14:paraId="77E7859E" w14:textId="77777777" w:rsidR="008D180E" w:rsidRPr="00005B17" w:rsidRDefault="008D180E" w:rsidP="00005B17">
      <w:pPr>
        <w:pStyle w:val="FootnoteText"/>
        <w:jc w:val="both"/>
        <w:rPr>
          <w:rFonts w:ascii="Arial" w:hAnsi="Arial" w:cs="Arial"/>
        </w:rPr>
      </w:pPr>
    </w:p>
  </w:footnote>
  <w:footnote w:id="2">
    <w:p w14:paraId="6D9E4984" w14:textId="6372AB51" w:rsidR="000854DC" w:rsidRPr="00005B17" w:rsidRDefault="000854DC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proofErr w:type="gramStart"/>
      <w:r w:rsidRPr="00005B17">
        <w:rPr>
          <w:rFonts w:ascii="Arial" w:hAnsi="Arial" w:cs="Arial"/>
        </w:rPr>
        <w:t>Application at 2.</w:t>
      </w:r>
      <w:proofErr w:type="gramEnd"/>
      <w:r w:rsidRPr="00005B17">
        <w:rPr>
          <w:rFonts w:ascii="Arial" w:hAnsi="Arial" w:cs="Arial"/>
        </w:rPr>
        <w:t xml:space="preserve"> </w:t>
      </w:r>
    </w:p>
    <w:p w14:paraId="226B7962" w14:textId="77777777" w:rsidR="000854DC" w:rsidRPr="00005B17" w:rsidRDefault="000854DC" w:rsidP="00005B17">
      <w:pPr>
        <w:pStyle w:val="FootnoteText"/>
        <w:jc w:val="both"/>
        <w:rPr>
          <w:rFonts w:ascii="Arial" w:hAnsi="Arial" w:cs="Arial"/>
        </w:rPr>
      </w:pPr>
    </w:p>
  </w:footnote>
  <w:footnote w:id="3">
    <w:p w14:paraId="7CFA179C" w14:textId="2D9663CB" w:rsidR="000854DC" w:rsidRPr="00005B17" w:rsidRDefault="000854DC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proofErr w:type="gramStart"/>
      <w:r w:rsidRPr="00005B17">
        <w:rPr>
          <w:rFonts w:ascii="Arial" w:hAnsi="Arial" w:cs="Arial"/>
        </w:rPr>
        <w:t>Application, Ex.</w:t>
      </w:r>
      <w:proofErr w:type="gramEnd"/>
      <w:r w:rsidRPr="00005B17">
        <w:rPr>
          <w:rFonts w:ascii="Arial" w:hAnsi="Arial" w:cs="Arial"/>
        </w:rPr>
        <w:t xml:space="preserve"> A at Section </w:t>
      </w:r>
      <w:proofErr w:type="gramStart"/>
      <w:r w:rsidRPr="00005B17">
        <w:rPr>
          <w:rFonts w:ascii="Arial" w:hAnsi="Arial" w:cs="Arial"/>
        </w:rPr>
        <w:t>XIV(</w:t>
      </w:r>
      <w:proofErr w:type="gramEnd"/>
      <w:r w:rsidRPr="00005B17">
        <w:rPr>
          <w:rFonts w:ascii="Arial" w:hAnsi="Arial" w:cs="Arial"/>
        </w:rPr>
        <w:t xml:space="preserve">A). </w:t>
      </w:r>
    </w:p>
  </w:footnote>
  <w:footnote w:id="4">
    <w:p w14:paraId="38304832" w14:textId="5316B6E0" w:rsidR="009956F6" w:rsidRPr="00005B17" w:rsidRDefault="009956F6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r w:rsidRPr="00005B17">
        <w:rPr>
          <w:rFonts w:ascii="Arial" w:hAnsi="Arial" w:cs="Arial"/>
          <w:i/>
        </w:rPr>
        <w:t>See In the matter of the application of Duke Energy Ohio, Inc. for authority to establish a Standard Service Offer Pursuant to Section 4928.143, Revised Code, in the form of an electric security plan, accounting modifications and tariffs for generation service</w:t>
      </w:r>
      <w:r w:rsidRPr="00005B17">
        <w:rPr>
          <w:rFonts w:ascii="Arial" w:hAnsi="Arial" w:cs="Arial"/>
        </w:rPr>
        <w:t xml:space="preserve">, Case Nos. 14-841-EL-SSO, </w:t>
      </w:r>
      <w:r w:rsidRPr="00005B17">
        <w:rPr>
          <w:rFonts w:ascii="Arial" w:hAnsi="Arial" w:cs="Arial"/>
          <w:i/>
        </w:rPr>
        <w:t>et al.</w:t>
      </w:r>
      <w:r w:rsidRPr="00005B17">
        <w:rPr>
          <w:rFonts w:ascii="Arial" w:hAnsi="Arial" w:cs="Arial"/>
        </w:rPr>
        <w:t>,</w:t>
      </w:r>
      <w:r w:rsidRPr="00005B17">
        <w:rPr>
          <w:rFonts w:ascii="Arial" w:hAnsi="Arial" w:cs="Arial"/>
        </w:rPr>
        <w:t xml:space="preserve"> Opinion and Order at 48 (Apr. 2, 2015).  This case is here</w:t>
      </w:r>
      <w:r w:rsidR="00351A0B" w:rsidRPr="00005B17">
        <w:rPr>
          <w:rFonts w:ascii="Arial" w:hAnsi="Arial" w:cs="Arial"/>
        </w:rPr>
        <w:t>in</w:t>
      </w:r>
      <w:r w:rsidRPr="00005B17">
        <w:rPr>
          <w:rFonts w:ascii="Arial" w:hAnsi="Arial" w:cs="Arial"/>
        </w:rPr>
        <w:t>after referred to as “</w:t>
      </w:r>
      <w:r w:rsidRPr="00005B17">
        <w:rPr>
          <w:rFonts w:ascii="Arial" w:hAnsi="Arial" w:cs="Arial"/>
          <w:i/>
        </w:rPr>
        <w:t>ESP III</w:t>
      </w:r>
      <w:r w:rsidRPr="00005B17">
        <w:rPr>
          <w:rFonts w:ascii="Arial" w:hAnsi="Arial" w:cs="Arial"/>
        </w:rPr>
        <w:t>”.</w:t>
      </w:r>
    </w:p>
    <w:p w14:paraId="17B8C569" w14:textId="77777777" w:rsidR="009956F6" w:rsidRPr="00005B17" w:rsidRDefault="009956F6" w:rsidP="00005B17">
      <w:pPr>
        <w:pStyle w:val="FootnoteText"/>
        <w:jc w:val="both"/>
        <w:rPr>
          <w:rFonts w:ascii="Arial" w:hAnsi="Arial" w:cs="Arial"/>
        </w:rPr>
      </w:pPr>
    </w:p>
  </w:footnote>
  <w:footnote w:id="5">
    <w:p w14:paraId="2EF234D2" w14:textId="287BA211" w:rsidR="000854DC" w:rsidRPr="00005B17" w:rsidRDefault="000854DC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r w:rsidR="009956F6" w:rsidRPr="00005B17">
        <w:rPr>
          <w:rFonts w:ascii="Arial" w:hAnsi="Arial" w:cs="Arial"/>
          <w:i/>
        </w:rPr>
        <w:t>ESP III</w:t>
      </w:r>
      <w:r w:rsidR="009956F6" w:rsidRPr="00005B17">
        <w:rPr>
          <w:rFonts w:ascii="Arial" w:hAnsi="Arial" w:cs="Arial"/>
        </w:rPr>
        <w:t>,</w:t>
      </w:r>
      <w:r w:rsidR="009956F6" w:rsidRPr="00005B17">
        <w:rPr>
          <w:rFonts w:ascii="Arial" w:hAnsi="Arial" w:cs="Arial"/>
          <w:i/>
        </w:rPr>
        <w:t xml:space="preserve"> </w:t>
      </w:r>
      <w:r w:rsidRPr="00005B17">
        <w:rPr>
          <w:rFonts w:ascii="Arial" w:hAnsi="Arial" w:cs="Arial"/>
        </w:rPr>
        <w:t>Application for Rehearing and Memorandum in Support</w:t>
      </w:r>
      <w:r w:rsidR="00005B17">
        <w:rPr>
          <w:rFonts w:ascii="Arial" w:hAnsi="Arial" w:cs="Arial"/>
        </w:rPr>
        <w:t xml:space="preserve"> of Duke Energy Ohio, Inc.</w:t>
      </w:r>
      <w:r w:rsidRPr="00005B17">
        <w:rPr>
          <w:rFonts w:ascii="Arial" w:hAnsi="Arial" w:cs="Arial"/>
        </w:rPr>
        <w:t xml:space="preserve"> at 11-17 (May 4, 2015).</w:t>
      </w:r>
      <w:r w:rsidR="009956F6" w:rsidRPr="00005B17">
        <w:rPr>
          <w:rFonts w:ascii="Arial" w:hAnsi="Arial" w:cs="Arial"/>
        </w:rPr>
        <w:t xml:space="preserve">  </w:t>
      </w:r>
    </w:p>
    <w:p w14:paraId="1432364F" w14:textId="77777777" w:rsidR="000854DC" w:rsidRPr="00005B17" w:rsidRDefault="000854DC" w:rsidP="00005B17">
      <w:pPr>
        <w:pStyle w:val="FootnoteText"/>
        <w:jc w:val="both"/>
        <w:rPr>
          <w:rFonts w:ascii="Arial" w:hAnsi="Arial" w:cs="Arial"/>
        </w:rPr>
      </w:pPr>
    </w:p>
  </w:footnote>
  <w:footnote w:id="6">
    <w:p w14:paraId="431A322B" w14:textId="5983BA7E" w:rsidR="000854DC" w:rsidRPr="00005B17" w:rsidRDefault="000854DC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proofErr w:type="gramStart"/>
      <w:r w:rsidRPr="00005B17">
        <w:rPr>
          <w:rFonts w:ascii="Arial" w:hAnsi="Arial" w:cs="Arial"/>
        </w:rPr>
        <w:t>Application, Ex.</w:t>
      </w:r>
      <w:proofErr w:type="gramEnd"/>
      <w:r w:rsidRPr="00005B17">
        <w:rPr>
          <w:rFonts w:ascii="Arial" w:hAnsi="Arial" w:cs="Arial"/>
        </w:rPr>
        <w:t xml:space="preserve"> </w:t>
      </w:r>
      <w:proofErr w:type="gramStart"/>
      <w:r w:rsidRPr="00005B17">
        <w:rPr>
          <w:rFonts w:ascii="Arial" w:hAnsi="Arial" w:cs="Arial"/>
        </w:rPr>
        <w:t>A at Section V.</w:t>
      </w:r>
      <w:proofErr w:type="gramEnd"/>
      <w:r w:rsidRPr="00005B17">
        <w:rPr>
          <w:rFonts w:ascii="Arial" w:hAnsi="Arial" w:cs="Arial"/>
        </w:rPr>
        <w:t xml:space="preserve"> </w:t>
      </w:r>
    </w:p>
    <w:p w14:paraId="27196486" w14:textId="77777777" w:rsidR="000854DC" w:rsidRPr="00005B17" w:rsidRDefault="000854DC" w:rsidP="00005B17">
      <w:pPr>
        <w:pStyle w:val="FootnoteText"/>
        <w:jc w:val="both"/>
        <w:rPr>
          <w:rFonts w:ascii="Arial" w:hAnsi="Arial" w:cs="Arial"/>
        </w:rPr>
      </w:pPr>
    </w:p>
  </w:footnote>
  <w:footnote w:id="7">
    <w:p w14:paraId="12B1D5C8" w14:textId="11AFFA13" w:rsidR="000854DC" w:rsidRPr="00005B17" w:rsidRDefault="000854DC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r w:rsidRPr="00005B17">
        <w:rPr>
          <w:rFonts w:ascii="Arial" w:hAnsi="Arial" w:cs="Arial"/>
          <w:i/>
        </w:rPr>
        <w:t xml:space="preserve">See </w:t>
      </w:r>
      <w:r w:rsidRPr="00005B17">
        <w:rPr>
          <w:rFonts w:ascii="Arial" w:hAnsi="Arial" w:cs="Arial"/>
        </w:rPr>
        <w:t xml:space="preserve">Application, Ex. </w:t>
      </w:r>
      <w:proofErr w:type="gramStart"/>
      <w:r w:rsidRPr="00005B17">
        <w:rPr>
          <w:rFonts w:ascii="Arial" w:hAnsi="Arial" w:cs="Arial"/>
        </w:rPr>
        <w:t>A at Section XIV(C).</w:t>
      </w:r>
      <w:proofErr w:type="gramEnd"/>
    </w:p>
  </w:footnote>
  <w:footnote w:id="8">
    <w:p w14:paraId="00CB4A97" w14:textId="22271F39" w:rsidR="009956F6" w:rsidRPr="00005B17" w:rsidRDefault="008D180E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r w:rsidRPr="00005B17">
        <w:rPr>
          <w:rFonts w:ascii="Arial" w:hAnsi="Arial" w:cs="Arial"/>
          <w:i/>
        </w:rPr>
        <w:t>In the matter of the application, motion for protective order and memorandum in support of Duke Energy Ohio for authority to establish a Standard Service Offer pursuant to Section 4928.143, Revised Code, in the form of an Electric Security Plan, Accounting Modifications and Tariffs for Generation Service</w:t>
      </w:r>
      <w:r w:rsidRPr="00005B17">
        <w:rPr>
          <w:rFonts w:ascii="Arial" w:hAnsi="Arial" w:cs="Arial"/>
        </w:rPr>
        <w:t xml:space="preserve">, Case Nos. 11-3549-EL-SSO, </w:t>
      </w:r>
      <w:r w:rsidRPr="00005B17">
        <w:rPr>
          <w:rFonts w:ascii="Arial" w:hAnsi="Arial" w:cs="Arial"/>
          <w:i/>
        </w:rPr>
        <w:t>et al.</w:t>
      </w:r>
      <w:r w:rsidRPr="00005B17">
        <w:rPr>
          <w:rFonts w:ascii="Arial" w:hAnsi="Arial" w:cs="Arial"/>
        </w:rPr>
        <w:t>, Opinion and Order at 45 (Nov. 21, 2011) (emphasis added).</w:t>
      </w:r>
    </w:p>
    <w:p w14:paraId="51E5923A" w14:textId="77777777" w:rsidR="009956F6" w:rsidRPr="00005B17" w:rsidRDefault="009956F6" w:rsidP="00005B17">
      <w:pPr>
        <w:pStyle w:val="FootnoteText"/>
        <w:jc w:val="both"/>
        <w:rPr>
          <w:rFonts w:ascii="Arial" w:hAnsi="Arial" w:cs="Arial"/>
        </w:rPr>
      </w:pPr>
    </w:p>
  </w:footnote>
  <w:footnote w:id="9">
    <w:p w14:paraId="16BFA6DA" w14:textId="55981D65" w:rsidR="009956F6" w:rsidRPr="00005B17" w:rsidRDefault="009956F6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While this provision may be waived for good cause shown, Duke does not request a waiver.  Rather, it claims to satisfy this provision of the law.</w:t>
      </w:r>
    </w:p>
  </w:footnote>
  <w:footnote w:id="10">
    <w:p w14:paraId="541FCA9A" w14:textId="3AF544B7" w:rsidR="000A7E66" w:rsidRPr="00005B17" w:rsidRDefault="000A7E66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r w:rsidR="00005B17" w:rsidRPr="00005B17">
        <w:rPr>
          <w:rFonts w:ascii="Arial" w:hAnsi="Arial" w:cs="Arial"/>
        </w:rPr>
        <w:t>Rule 4901:</w:t>
      </w:r>
      <w:r w:rsidR="00005B17">
        <w:rPr>
          <w:rFonts w:ascii="Arial" w:hAnsi="Arial" w:cs="Arial"/>
        </w:rPr>
        <w:t>1-37-03(A), OAC provided: “[t]</w:t>
      </w:r>
      <w:r w:rsidRPr="00005B17">
        <w:rPr>
          <w:rFonts w:ascii="Arial" w:hAnsi="Arial" w:cs="Arial"/>
        </w:rPr>
        <w:t>he provisions of this chapter shall be applicable in accordance with sections  4928.17 and  4928.18 of the Revised Code and apply to:</w:t>
      </w:r>
    </w:p>
    <w:p w14:paraId="62AC4897" w14:textId="77777777" w:rsidR="000A7E66" w:rsidRPr="00005B17" w:rsidRDefault="000A7E66" w:rsidP="00005B17">
      <w:pPr>
        <w:pStyle w:val="FootnoteText"/>
        <w:jc w:val="both"/>
        <w:rPr>
          <w:rFonts w:ascii="Arial" w:hAnsi="Arial" w:cs="Arial"/>
        </w:rPr>
      </w:pPr>
    </w:p>
    <w:p w14:paraId="2552908B" w14:textId="23DAAE21" w:rsidR="000A7E66" w:rsidRPr="00005B17" w:rsidRDefault="000A7E66" w:rsidP="00005B17">
      <w:pPr>
        <w:pStyle w:val="FootnoteText"/>
        <w:numPr>
          <w:ilvl w:val="0"/>
          <w:numId w:val="10"/>
        </w:numPr>
        <w:jc w:val="both"/>
        <w:rPr>
          <w:rFonts w:ascii="Arial" w:hAnsi="Arial" w:cs="Arial"/>
        </w:rPr>
      </w:pPr>
      <w:r w:rsidRPr="00005B17">
        <w:rPr>
          <w:rFonts w:ascii="Arial" w:hAnsi="Arial" w:cs="Arial"/>
        </w:rPr>
        <w:t xml:space="preserve">The activities of the electric utility and its transactions or other arrangements with its affiliates </w:t>
      </w:r>
    </w:p>
    <w:p w14:paraId="2FED588D" w14:textId="6B7FE0A9" w:rsidR="000A7E66" w:rsidRPr="00005B17" w:rsidRDefault="000A7E66" w:rsidP="00005B17">
      <w:pPr>
        <w:pStyle w:val="FootnoteText"/>
        <w:ind w:left="1080"/>
        <w:jc w:val="both"/>
        <w:rPr>
          <w:rFonts w:ascii="Arial" w:hAnsi="Arial" w:cs="Arial"/>
        </w:rPr>
      </w:pPr>
      <w:r w:rsidRPr="00005B17">
        <w:rPr>
          <w:rFonts w:ascii="Arial" w:hAnsi="Arial" w:cs="Arial"/>
        </w:rPr>
        <w:t>. . . .”</w:t>
      </w:r>
    </w:p>
    <w:p w14:paraId="3F6C4B4A" w14:textId="77777777" w:rsidR="000A7E66" w:rsidRPr="00005B17" w:rsidRDefault="000A7E66" w:rsidP="00005B17">
      <w:pPr>
        <w:pStyle w:val="FootnoteText"/>
        <w:jc w:val="both"/>
        <w:rPr>
          <w:rFonts w:ascii="Arial" w:hAnsi="Arial" w:cs="Arial"/>
        </w:rPr>
      </w:pPr>
    </w:p>
  </w:footnote>
  <w:footnote w:id="11">
    <w:p w14:paraId="3839BC89" w14:textId="2423FC73" w:rsidR="00351A0B" w:rsidRPr="00005B17" w:rsidRDefault="00351A0B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See Application case caption.  Duke incorrectly refers to 4901:11-37, but that rule does not exist.</w:t>
      </w:r>
    </w:p>
    <w:p w14:paraId="5F498FF1" w14:textId="77777777" w:rsidR="00351A0B" w:rsidRPr="00005B17" w:rsidRDefault="00351A0B" w:rsidP="00005B17">
      <w:pPr>
        <w:pStyle w:val="FootnoteText"/>
        <w:jc w:val="both"/>
        <w:rPr>
          <w:rFonts w:ascii="Arial" w:hAnsi="Arial" w:cs="Arial"/>
        </w:rPr>
      </w:pPr>
    </w:p>
  </w:footnote>
  <w:footnote w:id="12">
    <w:p w14:paraId="20EAE7A8" w14:textId="734116C8" w:rsidR="00BE7573" w:rsidRPr="00005B17" w:rsidRDefault="00BE7573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="00A4260C" w:rsidRPr="00005B17">
        <w:rPr>
          <w:rFonts w:ascii="Arial" w:hAnsi="Arial" w:cs="Arial"/>
        </w:rPr>
        <w:t xml:space="preserve"> Rule </w:t>
      </w:r>
      <w:r w:rsidRPr="00005B17">
        <w:rPr>
          <w:rFonts w:ascii="Arial" w:hAnsi="Arial" w:cs="Arial"/>
        </w:rPr>
        <w:t>4901:1-37(C</w:t>
      </w:r>
      <w:proofErr w:type="gramStart"/>
      <w:r w:rsidRPr="00005B17">
        <w:rPr>
          <w:rFonts w:ascii="Arial" w:hAnsi="Arial" w:cs="Arial"/>
        </w:rPr>
        <w:t>)(</w:t>
      </w:r>
      <w:proofErr w:type="gramEnd"/>
      <w:r w:rsidRPr="00005B17">
        <w:rPr>
          <w:rFonts w:ascii="Arial" w:hAnsi="Arial" w:cs="Arial"/>
        </w:rPr>
        <w:t>1)</w:t>
      </w:r>
      <w:r w:rsidR="00A4260C" w:rsidRPr="00005B17">
        <w:rPr>
          <w:rFonts w:ascii="Arial" w:hAnsi="Arial" w:cs="Arial"/>
        </w:rPr>
        <w:t xml:space="preserve">. </w:t>
      </w:r>
      <w:proofErr w:type="gramStart"/>
      <w:r w:rsidR="00A4260C" w:rsidRPr="00005B17">
        <w:rPr>
          <w:rFonts w:ascii="Arial" w:hAnsi="Arial" w:cs="Arial"/>
        </w:rPr>
        <w:t>OAC</w:t>
      </w:r>
      <w:r w:rsidRPr="00005B17">
        <w:rPr>
          <w:rFonts w:ascii="Arial" w:hAnsi="Arial" w:cs="Arial"/>
        </w:rPr>
        <w:t>.</w:t>
      </w:r>
      <w:proofErr w:type="gramEnd"/>
      <w:r w:rsidR="00351A0B" w:rsidRPr="00005B17">
        <w:rPr>
          <w:rFonts w:ascii="Arial" w:hAnsi="Arial" w:cs="Arial"/>
        </w:rPr>
        <w:t xml:space="preserve">  That section also provides that “[a]</w:t>
      </w:r>
      <w:r w:rsidRPr="00005B17">
        <w:rPr>
          <w:rFonts w:ascii="Arial" w:hAnsi="Arial" w:cs="Arial"/>
        </w:rPr>
        <w:t>n electric utility shall not enter into any agreement with terms under which the electric utility is obligated to commit funds to maintain the financial</w:t>
      </w:r>
      <w:r w:rsidR="00A4260C" w:rsidRPr="00005B17">
        <w:rPr>
          <w:rFonts w:ascii="Arial" w:hAnsi="Arial" w:cs="Arial"/>
        </w:rPr>
        <w:t xml:space="preserve"> viability of an affiliate.” Rule</w:t>
      </w:r>
      <w:r w:rsidRPr="00005B17">
        <w:rPr>
          <w:rFonts w:ascii="Arial" w:hAnsi="Arial" w:cs="Arial"/>
        </w:rPr>
        <w:t xml:space="preserve"> 4901:1-37(C</w:t>
      </w:r>
      <w:proofErr w:type="gramStart"/>
      <w:r w:rsidRPr="00005B17">
        <w:rPr>
          <w:rFonts w:ascii="Arial" w:hAnsi="Arial" w:cs="Arial"/>
        </w:rPr>
        <w:t>)(</w:t>
      </w:r>
      <w:proofErr w:type="gramEnd"/>
      <w:r w:rsidRPr="00005B17">
        <w:rPr>
          <w:rFonts w:ascii="Arial" w:hAnsi="Arial" w:cs="Arial"/>
        </w:rPr>
        <w:t>2)</w:t>
      </w:r>
      <w:r w:rsidR="00A4260C" w:rsidRPr="00005B17">
        <w:rPr>
          <w:rFonts w:ascii="Arial" w:hAnsi="Arial" w:cs="Arial"/>
        </w:rPr>
        <w:t>, OAC</w:t>
      </w:r>
      <w:r w:rsidRPr="00005B17">
        <w:rPr>
          <w:rFonts w:ascii="Arial" w:hAnsi="Arial" w:cs="Arial"/>
        </w:rPr>
        <w:t xml:space="preserve">. An electric utility shall not make any investment in an affiliate under any circumstances in which the electric utility would be liable for the debts and/or liabilities of the affiliate incurred as a result of actions or </w:t>
      </w:r>
      <w:r w:rsidR="00A4260C" w:rsidRPr="00005B17">
        <w:rPr>
          <w:rFonts w:ascii="Arial" w:hAnsi="Arial" w:cs="Arial"/>
        </w:rPr>
        <w:t xml:space="preserve">omissions of an affiliate.”  Rule </w:t>
      </w:r>
      <w:r w:rsidRPr="00005B17">
        <w:rPr>
          <w:rFonts w:ascii="Arial" w:hAnsi="Arial" w:cs="Arial"/>
        </w:rPr>
        <w:t>4901:1-37(C</w:t>
      </w:r>
      <w:proofErr w:type="gramStart"/>
      <w:r w:rsidRPr="00005B17">
        <w:rPr>
          <w:rFonts w:ascii="Arial" w:hAnsi="Arial" w:cs="Arial"/>
        </w:rPr>
        <w:t>)(</w:t>
      </w:r>
      <w:proofErr w:type="gramEnd"/>
      <w:r w:rsidRPr="00005B17">
        <w:rPr>
          <w:rFonts w:ascii="Arial" w:hAnsi="Arial" w:cs="Arial"/>
        </w:rPr>
        <w:t>3)</w:t>
      </w:r>
      <w:r w:rsidR="00A4260C" w:rsidRPr="00005B17">
        <w:rPr>
          <w:rFonts w:ascii="Arial" w:hAnsi="Arial" w:cs="Arial"/>
        </w:rPr>
        <w:t>, OAC</w:t>
      </w:r>
      <w:r w:rsidRPr="00005B17">
        <w:rPr>
          <w:rFonts w:ascii="Arial" w:hAnsi="Arial" w:cs="Arial"/>
        </w:rPr>
        <w:t>.</w:t>
      </w:r>
      <w:r w:rsidR="00351A0B" w:rsidRPr="00005B17">
        <w:rPr>
          <w:rFonts w:ascii="Arial" w:hAnsi="Arial" w:cs="Arial"/>
        </w:rPr>
        <w:t xml:space="preserve"> These sections undermine Duke’s assertion that it has complied with the Commission’s rules with respect to full legal separation.</w:t>
      </w:r>
    </w:p>
    <w:p w14:paraId="6EC5D851" w14:textId="77777777" w:rsidR="00BE7573" w:rsidRPr="00005B17" w:rsidRDefault="00BE7573" w:rsidP="00005B17">
      <w:pPr>
        <w:pStyle w:val="FootnoteText"/>
        <w:jc w:val="both"/>
        <w:rPr>
          <w:rFonts w:ascii="Arial" w:hAnsi="Arial" w:cs="Arial"/>
        </w:rPr>
      </w:pPr>
    </w:p>
  </w:footnote>
  <w:footnote w:id="13">
    <w:p w14:paraId="4D1BCE1D" w14:textId="38912B3A" w:rsidR="00BE7573" w:rsidRPr="00005B17" w:rsidRDefault="00BE7573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proofErr w:type="gramStart"/>
      <w:r w:rsidR="00A8681D" w:rsidRPr="00005B17">
        <w:rPr>
          <w:rFonts w:ascii="Arial" w:hAnsi="Arial" w:cs="Arial"/>
        </w:rPr>
        <w:t>Application, Ex.</w:t>
      </w:r>
      <w:proofErr w:type="gramEnd"/>
      <w:r w:rsidR="00A8681D" w:rsidRPr="00005B17">
        <w:rPr>
          <w:rFonts w:ascii="Arial" w:hAnsi="Arial" w:cs="Arial"/>
        </w:rPr>
        <w:t xml:space="preserve"> </w:t>
      </w:r>
      <w:proofErr w:type="gramStart"/>
      <w:r w:rsidR="00A8681D" w:rsidRPr="00005B17">
        <w:rPr>
          <w:rFonts w:ascii="Arial" w:hAnsi="Arial" w:cs="Arial"/>
        </w:rPr>
        <w:t>A at Section V.</w:t>
      </w:r>
      <w:proofErr w:type="gramEnd"/>
      <w:r w:rsidR="00A8681D" w:rsidRPr="00005B17">
        <w:rPr>
          <w:rFonts w:ascii="Arial" w:hAnsi="Arial" w:cs="Arial"/>
        </w:rPr>
        <w:t xml:space="preserve">  </w:t>
      </w:r>
      <w:r w:rsidRPr="00005B17">
        <w:rPr>
          <w:rFonts w:ascii="Arial" w:hAnsi="Arial" w:cs="Arial"/>
        </w:rPr>
        <w:t xml:space="preserve">While it is arguable that Duke </w:t>
      </w:r>
      <w:r w:rsidR="00A8681D" w:rsidRPr="00005B17">
        <w:rPr>
          <w:rFonts w:ascii="Arial" w:hAnsi="Arial" w:cs="Arial"/>
        </w:rPr>
        <w:t>operates OVEC as if it is directly owned</w:t>
      </w:r>
      <w:r w:rsidR="000A7E66" w:rsidRPr="00005B17">
        <w:rPr>
          <w:rFonts w:ascii="Arial" w:hAnsi="Arial" w:cs="Arial"/>
        </w:rPr>
        <w:t xml:space="preserve"> by Duke</w:t>
      </w:r>
      <w:r w:rsidR="00A8681D" w:rsidRPr="00005B17">
        <w:rPr>
          <w:rFonts w:ascii="Arial" w:hAnsi="Arial" w:cs="Arial"/>
        </w:rPr>
        <w:t>, determination of that issue is not relevant to this Application because corporate separation rules also apply to an EDU’s interaction with generation assets held by an affiliate.</w:t>
      </w:r>
    </w:p>
    <w:p w14:paraId="6B846DBA" w14:textId="77777777" w:rsidR="00A8681D" w:rsidRPr="00005B17" w:rsidRDefault="00A8681D" w:rsidP="00005B17">
      <w:pPr>
        <w:pStyle w:val="FootnoteText"/>
        <w:jc w:val="both"/>
        <w:rPr>
          <w:rFonts w:ascii="Arial" w:hAnsi="Arial" w:cs="Arial"/>
        </w:rPr>
      </w:pPr>
    </w:p>
  </w:footnote>
  <w:footnote w:id="14">
    <w:p w14:paraId="2E112E30" w14:textId="5AC719B0" w:rsidR="000A34C1" w:rsidRPr="00005B17" w:rsidRDefault="000A34C1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r w:rsidR="009956F6" w:rsidRPr="00005B17">
        <w:rPr>
          <w:rFonts w:ascii="Arial" w:hAnsi="Arial" w:cs="Arial"/>
          <w:i/>
        </w:rPr>
        <w:t xml:space="preserve">See </w:t>
      </w:r>
      <w:r w:rsidR="009956F6" w:rsidRPr="00005B17">
        <w:rPr>
          <w:rFonts w:ascii="Arial" w:hAnsi="Arial" w:cs="Arial"/>
        </w:rPr>
        <w:t xml:space="preserve">IGS Ex. </w:t>
      </w:r>
      <w:proofErr w:type="gramStart"/>
      <w:r w:rsidR="009956F6" w:rsidRPr="00005B17">
        <w:rPr>
          <w:rFonts w:ascii="Arial" w:hAnsi="Arial" w:cs="Arial"/>
        </w:rPr>
        <w:t>A (containing the</w:t>
      </w:r>
      <w:r w:rsidRPr="00005B17">
        <w:rPr>
          <w:rFonts w:ascii="Arial" w:hAnsi="Arial" w:cs="Arial"/>
          <w:i/>
        </w:rPr>
        <w:t xml:space="preserve"> </w:t>
      </w:r>
      <w:r w:rsidR="00351A0B" w:rsidRPr="00005B17">
        <w:rPr>
          <w:rFonts w:ascii="Arial" w:hAnsi="Arial" w:cs="Arial"/>
        </w:rPr>
        <w:t>ICPA</w:t>
      </w:r>
      <w:r w:rsidR="009956F6" w:rsidRPr="00005B17">
        <w:rPr>
          <w:rFonts w:ascii="Arial" w:hAnsi="Arial" w:cs="Arial"/>
        </w:rPr>
        <w:t>).</w:t>
      </w:r>
      <w:proofErr w:type="gramEnd"/>
      <w:r w:rsidRPr="00005B17">
        <w:rPr>
          <w:rFonts w:ascii="Arial" w:hAnsi="Arial" w:cs="Arial"/>
        </w:rPr>
        <w:t xml:space="preserve"> </w:t>
      </w:r>
      <w:r w:rsidR="009956F6" w:rsidRPr="00005B17">
        <w:rPr>
          <w:rFonts w:ascii="Arial" w:hAnsi="Arial" w:cs="Arial"/>
          <w:i/>
        </w:rPr>
        <w:t>S</w:t>
      </w:r>
      <w:r w:rsidRPr="00005B17">
        <w:rPr>
          <w:rFonts w:ascii="Arial" w:hAnsi="Arial" w:cs="Arial"/>
          <w:i/>
        </w:rPr>
        <w:t xml:space="preserve">ee id. </w:t>
      </w:r>
      <w:r w:rsidRPr="00005B17">
        <w:rPr>
          <w:rFonts w:ascii="Arial" w:hAnsi="Arial" w:cs="Arial"/>
        </w:rPr>
        <w:t xml:space="preserve">at Article 7. </w:t>
      </w:r>
      <w:r w:rsidR="00074B12" w:rsidRPr="00005B17">
        <w:rPr>
          <w:rFonts w:ascii="Arial" w:hAnsi="Arial" w:cs="Arial"/>
        </w:rPr>
        <w:t xml:space="preserve">“As </w:t>
      </w:r>
      <w:r w:rsidRPr="00005B17">
        <w:rPr>
          <w:rFonts w:ascii="Arial" w:hAnsi="Arial" w:cs="Arial"/>
        </w:rPr>
        <w:t xml:space="preserve">soon as practicable after the end of each month Corporation </w:t>
      </w:r>
      <w:r w:rsidR="00074B12" w:rsidRPr="00005B17">
        <w:rPr>
          <w:rFonts w:ascii="Arial" w:hAnsi="Arial" w:cs="Arial"/>
        </w:rPr>
        <w:t xml:space="preserve">shall render to each Sponsoring </w:t>
      </w:r>
      <w:r w:rsidRPr="00005B17">
        <w:rPr>
          <w:rFonts w:ascii="Arial" w:hAnsi="Arial" w:cs="Arial"/>
        </w:rPr>
        <w:t>Company a statement of all Available Power and Available Energy</w:t>
      </w:r>
      <w:r w:rsidR="00074B12" w:rsidRPr="00005B17">
        <w:rPr>
          <w:rFonts w:ascii="Arial" w:hAnsi="Arial" w:cs="Arial"/>
        </w:rPr>
        <w:t xml:space="preserve"> supplied to or for the account </w:t>
      </w:r>
      <w:r w:rsidRPr="00005B17">
        <w:rPr>
          <w:rFonts w:ascii="Arial" w:hAnsi="Arial" w:cs="Arial"/>
        </w:rPr>
        <w:t>of such Sponsoring Company during such month, specifying th</w:t>
      </w:r>
      <w:r w:rsidR="00074B12" w:rsidRPr="00005B17">
        <w:rPr>
          <w:rFonts w:ascii="Arial" w:hAnsi="Arial" w:cs="Arial"/>
        </w:rPr>
        <w:t xml:space="preserve">e amount due to the Corporation </w:t>
      </w:r>
      <w:r w:rsidRPr="00005B17">
        <w:rPr>
          <w:rFonts w:ascii="Arial" w:hAnsi="Arial" w:cs="Arial"/>
        </w:rPr>
        <w:t>therefor, including any amounts for reimbursement for the cost of repl</w:t>
      </w:r>
      <w:r w:rsidR="00074B12" w:rsidRPr="00005B17">
        <w:rPr>
          <w:rFonts w:ascii="Arial" w:hAnsi="Arial" w:cs="Arial"/>
        </w:rPr>
        <w:t xml:space="preserve">acements and additional </w:t>
      </w:r>
      <w:r w:rsidRPr="00005B17">
        <w:rPr>
          <w:rFonts w:ascii="Arial" w:hAnsi="Arial" w:cs="Arial"/>
        </w:rPr>
        <w:t>facilities and/or spare parts incurred during such month, pursuant to Articles 5 and 7 above.</w:t>
      </w:r>
      <w:r w:rsidR="00074B12" w:rsidRPr="00005B17">
        <w:rPr>
          <w:rFonts w:ascii="Arial" w:hAnsi="Arial" w:cs="Arial"/>
        </w:rPr>
        <w:t xml:space="preserve">”  </w:t>
      </w:r>
      <w:proofErr w:type="gramStart"/>
      <w:r w:rsidR="00074B12" w:rsidRPr="00005B17">
        <w:rPr>
          <w:rFonts w:ascii="Arial" w:hAnsi="Arial" w:cs="Arial"/>
          <w:i/>
        </w:rPr>
        <w:t xml:space="preserve">Id. </w:t>
      </w:r>
      <w:r w:rsidR="00074B12" w:rsidRPr="00005B17">
        <w:rPr>
          <w:rFonts w:ascii="Arial" w:hAnsi="Arial" w:cs="Arial"/>
        </w:rPr>
        <w:t>at Article 8.01.</w:t>
      </w:r>
      <w:proofErr w:type="gramEnd"/>
    </w:p>
    <w:p w14:paraId="29B4FF25" w14:textId="77777777" w:rsidR="00074B12" w:rsidRPr="00005B17" w:rsidRDefault="00074B12" w:rsidP="00005B17">
      <w:pPr>
        <w:pStyle w:val="FootnoteText"/>
        <w:jc w:val="both"/>
        <w:rPr>
          <w:rFonts w:ascii="Arial" w:hAnsi="Arial" w:cs="Arial"/>
        </w:rPr>
      </w:pPr>
    </w:p>
  </w:footnote>
  <w:footnote w:id="15">
    <w:p w14:paraId="5034449E" w14:textId="72A1E98A" w:rsidR="00351A0B" w:rsidRPr="00005B17" w:rsidRDefault="00351A0B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r w:rsidRPr="00005B17">
        <w:rPr>
          <w:rFonts w:ascii="Arial" w:hAnsi="Arial" w:cs="Arial"/>
          <w:i/>
        </w:rPr>
        <w:t>In the Matt</w:t>
      </w:r>
      <w:r w:rsidRPr="00005B17">
        <w:rPr>
          <w:rFonts w:ascii="Arial" w:hAnsi="Arial" w:cs="Arial"/>
          <w:i/>
        </w:rPr>
        <w:t xml:space="preserve">er of the Application of Duke </w:t>
      </w:r>
      <w:r w:rsidRPr="00005B17">
        <w:rPr>
          <w:rFonts w:ascii="Arial" w:hAnsi="Arial" w:cs="Arial"/>
          <w:i/>
        </w:rPr>
        <w:t xml:space="preserve">Energy </w:t>
      </w:r>
      <w:r w:rsidRPr="00005B17">
        <w:rPr>
          <w:rFonts w:ascii="Arial" w:hAnsi="Arial" w:cs="Arial"/>
          <w:i/>
        </w:rPr>
        <w:t xml:space="preserve">Ohio, Inc. for Approval of its </w:t>
      </w:r>
      <w:r w:rsidRPr="00005B17">
        <w:rPr>
          <w:rFonts w:ascii="Arial" w:hAnsi="Arial" w:cs="Arial"/>
          <w:i/>
        </w:rPr>
        <w:t>Fourt</w:t>
      </w:r>
      <w:r w:rsidRPr="00005B17">
        <w:rPr>
          <w:rFonts w:ascii="Arial" w:hAnsi="Arial" w:cs="Arial"/>
          <w:i/>
        </w:rPr>
        <w:t xml:space="preserve">h Amended Corporate Separation </w:t>
      </w:r>
      <w:r w:rsidRPr="00005B17">
        <w:rPr>
          <w:rFonts w:ascii="Arial" w:hAnsi="Arial" w:cs="Arial"/>
          <w:i/>
        </w:rPr>
        <w:t>Plan Under R.C. 4928.17 and Ohi</w:t>
      </w:r>
      <w:r w:rsidRPr="00005B17">
        <w:rPr>
          <w:rFonts w:ascii="Arial" w:hAnsi="Arial" w:cs="Arial"/>
          <w:i/>
        </w:rPr>
        <w:t xml:space="preserve">o </w:t>
      </w:r>
      <w:proofErr w:type="spellStart"/>
      <w:r w:rsidR="00490046" w:rsidRPr="00005B17">
        <w:rPr>
          <w:rFonts w:ascii="Arial" w:hAnsi="Arial" w:cs="Arial"/>
          <w:i/>
        </w:rPr>
        <w:t>Adm.Code</w:t>
      </w:r>
      <w:proofErr w:type="spellEnd"/>
      <w:r w:rsidR="00490046" w:rsidRPr="00005B17">
        <w:rPr>
          <w:rFonts w:ascii="Arial" w:hAnsi="Arial" w:cs="Arial"/>
          <w:i/>
        </w:rPr>
        <w:t xml:space="preserve"> 4901:11-37</w:t>
      </w:r>
      <w:r w:rsidR="00490046" w:rsidRPr="00005B17">
        <w:rPr>
          <w:rFonts w:ascii="Arial" w:hAnsi="Arial" w:cs="Arial"/>
        </w:rPr>
        <w:t>, Finding and Order</w:t>
      </w:r>
      <w:r w:rsidR="00DC34A1" w:rsidRPr="00005B17">
        <w:rPr>
          <w:rFonts w:ascii="Arial" w:hAnsi="Arial" w:cs="Arial"/>
        </w:rPr>
        <w:t xml:space="preserve"> (Jun. 11, 2014)</w:t>
      </w:r>
      <w:r w:rsidR="00490046" w:rsidRPr="00005B17">
        <w:rPr>
          <w:rFonts w:ascii="Arial" w:hAnsi="Arial" w:cs="Arial"/>
        </w:rPr>
        <w:t>.</w:t>
      </w:r>
      <w:r w:rsidR="00DC34A1" w:rsidRPr="00005B17">
        <w:rPr>
          <w:rFonts w:ascii="Arial" w:hAnsi="Arial" w:cs="Arial"/>
        </w:rPr>
        <w:t xml:space="preserve"> </w:t>
      </w:r>
    </w:p>
    <w:p w14:paraId="6BA8EE93" w14:textId="77777777" w:rsidR="00351A0B" w:rsidRPr="00005B17" w:rsidRDefault="00351A0B" w:rsidP="00005B17">
      <w:pPr>
        <w:pStyle w:val="FootnoteText"/>
        <w:jc w:val="both"/>
        <w:rPr>
          <w:rFonts w:ascii="Arial" w:hAnsi="Arial" w:cs="Arial"/>
          <w:i/>
        </w:rPr>
      </w:pPr>
    </w:p>
  </w:footnote>
  <w:footnote w:id="16">
    <w:p w14:paraId="44961160" w14:textId="3818A2D6" w:rsidR="00DC34A1" w:rsidRPr="00005B17" w:rsidRDefault="00DC34A1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r w:rsidRPr="00005B17">
        <w:rPr>
          <w:rFonts w:ascii="Arial" w:hAnsi="Arial" w:cs="Arial"/>
          <w:i/>
        </w:rPr>
        <w:t xml:space="preserve">In the Matter of the Application of Duke Energy Ohio, Inc. for Approval of its Fourth Amended Corporate Separation Plan Under R.C. 4928.17 and Ohio </w:t>
      </w:r>
      <w:proofErr w:type="spellStart"/>
      <w:r w:rsidRPr="00005B17">
        <w:rPr>
          <w:rFonts w:ascii="Arial" w:hAnsi="Arial" w:cs="Arial"/>
          <w:i/>
        </w:rPr>
        <w:t>Adm.Code</w:t>
      </w:r>
      <w:proofErr w:type="spellEnd"/>
      <w:r w:rsidRPr="00005B17">
        <w:rPr>
          <w:rFonts w:ascii="Arial" w:hAnsi="Arial" w:cs="Arial"/>
          <w:i/>
        </w:rPr>
        <w:t xml:space="preserve"> 4901:11-37</w:t>
      </w:r>
      <w:r w:rsidRPr="00005B17">
        <w:rPr>
          <w:rFonts w:ascii="Arial" w:hAnsi="Arial" w:cs="Arial"/>
        </w:rPr>
        <w:t>,</w:t>
      </w:r>
      <w:r w:rsidRPr="00005B17">
        <w:rPr>
          <w:rFonts w:ascii="Arial" w:hAnsi="Arial" w:cs="Arial"/>
        </w:rPr>
        <w:t xml:space="preserve"> Entry on Rehearing at 5 (Aug. 6, 2014).</w:t>
      </w:r>
    </w:p>
  </w:footnote>
  <w:footnote w:id="17">
    <w:p w14:paraId="41D1BD09" w14:textId="77777777" w:rsidR="005330E7" w:rsidRPr="00005B17" w:rsidRDefault="005330E7" w:rsidP="00005B17">
      <w:pPr>
        <w:pStyle w:val="FootnoteText"/>
        <w:jc w:val="both"/>
        <w:rPr>
          <w:rFonts w:ascii="Arial" w:hAnsi="Arial" w:cs="Arial"/>
        </w:rPr>
      </w:pPr>
      <w:r w:rsidRPr="00005B17">
        <w:rPr>
          <w:rStyle w:val="FootnoteReference"/>
          <w:rFonts w:ascii="Arial" w:hAnsi="Arial" w:cs="Arial"/>
        </w:rPr>
        <w:footnoteRef/>
      </w:r>
      <w:r w:rsidRPr="00005B17">
        <w:rPr>
          <w:rFonts w:ascii="Arial" w:hAnsi="Arial" w:cs="Arial"/>
        </w:rPr>
        <w:t xml:space="preserve"> </w:t>
      </w:r>
      <w:r w:rsidRPr="00005B17">
        <w:rPr>
          <w:rFonts w:ascii="Arial" w:hAnsi="Arial" w:cs="Arial"/>
          <w:i/>
        </w:rPr>
        <w:t xml:space="preserve">See generally </w:t>
      </w:r>
      <w:r w:rsidRPr="00005B17">
        <w:rPr>
          <w:rFonts w:ascii="Arial" w:hAnsi="Arial" w:cs="Arial"/>
        </w:rPr>
        <w:t>Supreme Court Case No. 2014-1651.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C5DF8" w14:textId="77777777" w:rsidR="00DC01BC" w:rsidRDefault="00DC0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00F41" w14:textId="77777777" w:rsidR="00DC01BC" w:rsidRDefault="00DC0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D35"/>
    <w:multiLevelType w:val="hybridMultilevel"/>
    <w:tmpl w:val="63401AEA"/>
    <w:lvl w:ilvl="0" w:tplc="E11EDB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0DF5"/>
    <w:multiLevelType w:val="hybridMultilevel"/>
    <w:tmpl w:val="ABB6FF60"/>
    <w:lvl w:ilvl="0" w:tplc="1272E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7703"/>
    <w:multiLevelType w:val="hybridMultilevel"/>
    <w:tmpl w:val="C0A8639E"/>
    <w:lvl w:ilvl="0" w:tplc="7BBEA9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9"/>
    <w:rsid w:val="00005B17"/>
    <w:rsid w:val="00034A59"/>
    <w:rsid w:val="00074B12"/>
    <w:rsid w:val="000854DC"/>
    <w:rsid w:val="000A34C1"/>
    <w:rsid w:val="000A4AE4"/>
    <w:rsid w:val="000A7E66"/>
    <w:rsid w:val="000B223F"/>
    <w:rsid w:val="000C123A"/>
    <w:rsid w:val="00121836"/>
    <w:rsid w:val="001520B6"/>
    <w:rsid w:val="001E2568"/>
    <w:rsid w:val="001F264F"/>
    <w:rsid w:val="00231B62"/>
    <w:rsid w:val="00237730"/>
    <w:rsid w:val="00240FFB"/>
    <w:rsid w:val="0024588F"/>
    <w:rsid w:val="002548AE"/>
    <w:rsid w:val="0026046D"/>
    <w:rsid w:val="00292C7B"/>
    <w:rsid w:val="002C6514"/>
    <w:rsid w:val="002F05DC"/>
    <w:rsid w:val="00351A0B"/>
    <w:rsid w:val="00355B90"/>
    <w:rsid w:val="003C11D0"/>
    <w:rsid w:val="0045281C"/>
    <w:rsid w:val="00490046"/>
    <w:rsid w:val="00492AD6"/>
    <w:rsid w:val="005330E7"/>
    <w:rsid w:val="00545F29"/>
    <w:rsid w:val="0056270F"/>
    <w:rsid w:val="005C118E"/>
    <w:rsid w:val="0060155B"/>
    <w:rsid w:val="00613140"/>
    <w:rsid w:val="00645BF6"/>
    <w:rsid w:val="00734E39"/>
    <w:rsid w:val="00741166"/>
    <w:rsid w:val="007B3399"/>
    <w:rsid w:val="007D2210"/>
    <w:rsid w:val="007E1157"/>
    <w:rsid w:val="00813BFB"/>
    <w:rsid w:val="0082422E"/>
    <w:rsid w:val="00846419"/>
    <w:rsid w:val="00852B02"/>
    <w:rsid w:val="008D180E"/>
    <w:rsid w:val="009365B4"/>
    <w:rsid w:val="00955F86"/>
    <w:rsid w:val="009759AB"/>
    <w:rsid w:val="0098338B"/>
    <w:rsid w:val="0098755F"/>
    <w:rsid w:val="00993E15"/>
    <w:rsid w:val="009956F6"/>
    <w:rsid w:val="009B069B"/>
    <w:rsid w:val="009B7BBE"/>
    <w:rsid w:val="009D71F6"/>
    <w:rsid w:val="009F4632"/>
    <w:rsid w:val="009F6674"/>
    <w:rsid w:val="00A4260C"/>
    <w:rsid w:val="00A71E20"/>
    <w:rsid w:val="00A8681D"/>
    <w:rsid w:val="00A940AD"/>
    <w:rsid w:val="00AA75B4"/>
    <w:rsid w:val="00AD5E1E"/>
    <w:rsid w:val="00AE363C"/>
    <w:rsid w:val="00B573E1"/>
    <w:rsid w:val="00B92A76"/>
    <w:rsid w:val="00BE7573"/>
    <w:rsid w:val="00BF0FDF"/>
    <w:rsid w:val="00C20F96"/>
    <w:rsid w:val="00C64120"/>
    <w:rsid w:val="00C84BD1"/>
    <w:rsid w:val="00CF56D6"/>
    <w:rsid w:val="00D13280"/>
    <w:rsid w:val="00D41C53"/>
    <w:rsid w:val="00D57E21"/>
    <w:rsid w:val="00D76C4C"/>
    <w:rsid w:val="00D82CFE"/>
    <w:rsid w:val="00DC01BC"/>
    <w:rsid w:val="00DC34A1"/>
    <w:rsid w:val="00DE4973"/>
    <w:rsid w:val="00E179E5"/>
    <w:rsid w:val="00F10F9B"/>
    <w:rsid w:val="00F111C7"/>
    <w:rsid w:val="00F46B7B"/>
    <w:rsid w:val="00F5720A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anne.Kingery@duke-energy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my.Spiller@duke-energy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oliker@igsenerg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CB44-5F6E-434F-B24C-3084EE62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2015-06-02T21:18:00Z</dcterms:created>
  <dcterms:modified xsi:type="dcterms:W3CDTF">2015-06-12T20:15:00Z</dcterms:modified>
</cp:coreProperties>
</file>