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2C" w:rsidRDefault="0015629B">
      <w:pPr>
        <w:pStyle w:val="Title"/>
        <w:rPr>
          <w:sz w:val="28"/>
        </w:rPr>
      </w:pPr>
      <w:bookmarkStart w:id="0" w:name="OLE_LINK1"/>
      <w:bookmarkStart w:id="1" w:name="OLE_LINK2"/>
      <w:r>
        <w:rPr>
          <w:sz w:val="28"/>
        </w:rPr>
        <w:t>Before</w:t>
      </w:r>
    </w:p>
    <w:p w:rsidR="00C9112C" w:rsidRDefault="0015629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C9112C" w:rsidRDefault="00C9112C">
      <w:pPr>
        <w:autoSpaceDE w:val="0"/>
        <w:autoSpaceDN w:val="0"/>
        <w:adjustRightInd w:val="0"/>
        <w:rPr>
          <w:rFonts w:ascii="Arial" w:eastAsiaTheme="minorHAnsi" w:hAnsi="Arial" w:cs="Arial"/>
        </w:rPr>
      </w:pPr>
    </w:p>
    <w:p w:rsidR="00C9112C" w:rsidRDefault="0015629B">
      <w:pPr>
        <w:autoSpaceDE w:val="0"/>
        <w:autoSpaceDN w:val="0"/>
        <w:adjustRightInd w:val="0"/>
        <w:rPr>
          <w:rFonts w:ascii="Arial" w:eastAsiaTheme="minorHAnsi" w:hAnsi="Arial" w:cs="Arial"/>
        </w:rPr>
      </w:pPr>
      <w:r>
        <w:rPr>
          <w:rFonts w:ascii="Arial" w:eastAsiaTheme="minorHAnsi" w:hAnsi="Arial" w:cs="Arial"/>
        </w:rPr>
        <w:t>In the Matter the Application of Duke Energy</w:t>
      </w:r>
      <w:r>
        <w:rPr>
          <w:rFonts w:ascii="Arial" w:eastAsiaTheme="minorHAnsi" w:hAnsi="Arial" w:cs="Arial"/>
        </w:rPr>
        <w:tab/>
        <w:t>)</w:t>
      </w:r>
    </w:p>
    <w:p w:rsidR="00C9112C" w:rsidRDefault="0015629B">
      <w:pPr>
        <w:autoSpaceDE w:val="0"/>
        <w:autoSpaceDN w:val="0"/>
        <w:adjustRightInd w:val="0"/>
        <w:rPr>
          <w:rFonts w:ascii="Arial" w:eastAsiaTheme="minorHAnsi" w:hAnsi="Arial" w:cs="Arial"/>
        </w:rPr>
      </w:pPr>
      <w:r>
        <w:rPr>
          <w:rFonts w:ascii="Arial" w:eastAsiaTheme="minorHAnsi" w:hAnsi="Arial" w:cs="Arial"/>
        </w:rPr>
        <w:t xml:space="preserve">Ohio, Inc., for the Establishment of a Charge </w:t>
      </w:r>
      <w:r>
        <w:rPr>
          <w:rFonts w:ascii="Arial" w:eastAsiaTheme="minorHAnsi" w:hAnsi="Arial" w:cs="Arial"/>
        </w:rPr>
        <w:tab/>
        <w:t>)</w:t>
      </w:r>
      <w:r>
        <w:rPr>
          <w:rFonts w:ascii="Arial" w:eastAsiaTheme="minorHAnsi" w:hAnsi="Arial" w:cs="Arial"/>
        </w:rPr>
        <w:tab/>
        <w:t>Case No. 12-2400-EL-UNC</w:t>
      </w:r>
    </w:p>
    <w:p w:rsidR="00C9112C" w:rsidRDefault="0015629B">
      <w:pPr>
        <w:autoSpaceDE w:val="0"/>
        <w:autoSpaceDN w:val="0"/>
        <w:adjustRightInd w:val="0"/>
        <w:rPr>
          <w:rFonts w:ascii="Arial" w:eastAsiaTheme="minorHAnsi" w:hAnsi="Arial" w:cs="Arial"/>
        </w:rPr>
      </w:pPr>
      <w:r>
        <w:rPr>
          <w:rFonts w:ascii="Arial" w:eastAsiaTheme="minorHAnsi" w:hAnsi="Arial" w:cs="Arial"/>
        </w:rPr>
        <w:t>Pursuant to Revised Code Section 4909.18</w:t>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p>
    <w:p w:rsidR="0015629B" w:rsidRDefault="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r>
        <w:rPr>
          <w:rFonts w:ascii="Arial" w:eastAsiaTheme="minorHAnsi" w:hAnsi="Arial" w:cs="Arial"/>
        </w:rPr>
        <w:t>Ohio, Inc., for Approval to Change Accounting</w:t>
      </w:r>
      <w:r>
        <w:rPr>
          <w:rFonts w:ascii="Arial" w:eastAsiaTheme="minorHAnsi" w:hAnsi="Arial" w:cs="Arial"/>
        </w:rPr>
        <w:tab/>
        <w:t>)</w:t>
      </w:r>
      <w:r>
        <w:rPr>
          <w:rFonts w:ascii="Arial" w:eastAsiaTheme="minorHAnsi" w:hAnsi="Arial" w:cs="Arial"/>
        </w:rPr>
        <w:tab/>
        <w:t>Case No. 12-2401-EL-AAM</w:t>
      </w:r>
    </w:p>
    <w:p w:rsidR="0015629B" w:rsidRDefault="0015629B">
      <w:pPr>
        <w:autoSpaceDE w:val="0"/>
        <w:autoSpaceDN w:val="0"/>
        <w:adjustRightInd w:val="0"/>
        <w:rPr>
          <w:rFonts w:ascii="Arial" w:eastAsiaTheme="minorHAnsi" w:hAnsi="Arial" w:cs="Arial"/>
        </w:rPr>
      </w:pPr>
      <w:r>
        <w:rPr>
          <w:rFonts w:ascii="Arial" w:eastAsiaTheme="minorHAnsi" w:hAnsi="Arial" w:cs="Arial"/>
        </w:rPr>
        <w:t>Methods</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p>
    <w:p w:rsidR="0015629B" w:rsidRDefault="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pPr>
        <w:autoSpaceDE w:val="0"/>
        <w:autoSpaceDN w:val="0"/>
        <w:adjustRightInd w:val="0"/>
        <w:rPr>
          <w:rFonts w:ascii="Arial" w:eastAsiaTheme="minorHAnsi" w:hAnsi="Arial" w:cs="Arial"/>
        </w:rPr>
      </w:pPr>
      <w:r>
        <w:rPr>
          <w:rFonts w:ascii="Arial" w:eastAsiaTheme="minorHAnsi" w:hAnsi="Arial" w:cs="Arial"/>
        </w:rPr>
        <w:t xml:space="preserve">Ohio, Inc., for the Approval of a Tariff for a </w:t>
      </w:r>
      <w:r>
        <w:rPr>
          <w:rFonts w:ascii="Arial" w:eastAsiaTheme="minorHAnsi" w:hAnsi="Arial" w:cs="Arial"/>
        </w:rPr>
        <w:tab/>
        <w:t>)</w:t>
      </w:r>
      <w:r>
        <w:rPr>
          <w:rFonts w:ascii="Arial" w:eastAsiaTheme="minorHAnsi" w:hAnsi="Arial" w:cs="Arial"/>
        </w:rPr>
        <w:tab/>
        <w:t>Case No. 12-2402-EL-ATA</w:t>
      </w:r>
    </w:p>
    <w:p w:rsidR="0015629B" w:rsidRDefault="0015629B">
      <w:pPr>
        <w:autoSpaceDE w:val="0"/>
        <w:autoSpaceDN w:val="0"/>
        <w:adjustRightInd w:val="0"/>
        <w:rPr>
          <w:rFonts w:ascii="Arial" w:eastAsiaTheme="minorHAnsi" w:hAnsi="Arial" w:cs="Arial"/>
        </w:rPr>
      </w:pPr>
      <w:r>
        <w:rPr>
          <w:rFonts w:ascii="Arial" w:eastAsiaTheme="minorHAnsi" w:hAnsi="Arial" w:cs="Arial"/>
        </w:rPr>
        <w:t>New Service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C9112C" w:rsidRDefault="00C9112C">
      <w:pPr>
        <w:pStyle w:val="BodyText"/>
        <w:tabs>
          <w:tab w:val="left" w:pos="5040"/>
        </w:tabs>
      </w:pPr>
    </w:p>
    <w:p w:rsidR="00C9112C" w:rsidRDefault="00C9112C">
      <w:pPr>
        <w:pStyle w:val="BodyText"/>
        <w:tabs>
          <w:tab w:val="left" w:pos="5040"/>
        </w:tabs>
      </w:pPr>
    </w:p>
    <w:p w:rsidR="00C9112C" w:rsidRDefault="00C9112C">
      <w:pPr>
        <w:pBdr>
          <w:top w:val="single" w:sz="12" w:space="1" w:color="auto"/>
        </w:pBdr>
        <w:tabs>
          <w:tab w:val="left" w:pos="7320"/>
        </w:tabs>
        <w:jc w:val="both"/>
        <w:rPr>
          <w:rFonts w:ascii="Arial" w:hAnsi="Arial" w:cs="Arial"/>
          <w:sz w:val="28"/>
        </w:rPr>
      </w:pPr>
    </w:p>
    <w:p w:rsidR="00F20B21" w:rsidRDefault="00F20B21">
      <w:pPr>
        <w:pStyle w:val="Heading1"/>
        <w:tabs>
          <w:tab w:val="left" w:pos="7320"/>
        </w:tabs>
        <w:ind w:left="0" w:right="0"/>
        <w:jc w:val="center"/>
        <w:rPr>
          <w:sz w:val="24"/>
        </w:rPr>
      </w:pPr>
      <w:r>
        <w:rPr>
          <w:sz w:val="24"/>
        </w:rPr>
        <w:t xml:space="preserve">REPLY TO DUKE ENERGY </w:t>
      </w:r>
      <w:r w:rsidR="00316435">
        <w:rPr>
          <w:sz w:val="24"/>
        </w:rPr>
        <w:t xml:space="preserve">OHIO, </w:t>
      </w:r>
      <w:r>
        <w:rPr>
          <w:sz w:val="24"/>
        </w:rPr>
        <w:t xml:space="preserve">INC.’S MEMORANDUM CONTRA </w:t>
      </w:r>
    </w:p>
    <w:p w:rsidR="00C9112C" w:rsidRDefault="00F20B21">
      <w:pPr>
        <w:pStyle w:val="Heading1"/>
        <w:tabs>
          <w:tab w:val="left" w:pos="7320"/>
        </w:tabs>
        <w:ind w:left="0" w:right="0"/>
        <w:jc w:val="center"/>
        <w:rPr>
          <w:szCs w:val="28"/>
        </w:rPr>
      </w:pPr>
      <w:r>
        <w:rPr>
          <w:sz w:val="24"/>
        </w:rPr>
        <w:t xml:space="preserve">INDUSTRIAL ENERGY USERS-OHIO’S </w:t>
      </w:r>
      <w:r w:rsidR="0015629B">
        <w:rPr>
          <w:sz w:val="24"/>
        </w:rPr>
        <w:t xml:space="preserve">MOTION TO INTERVENE </w:t>
      </w:r>
    </w:p>
    <w:p w:rsidR="00C9112C" w:rsidRDefault="0015629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C9112C">
      <w:pPr>
        <w:pStyle w:val="Title"/>
        <w:rPr>
          <w:sz w:val="28"/>
          <w:u w:val="single"/>
        </w:rPr>
      </w:pPr>
    </w:p>
    <w:p w:rsidR="00C9112C" w:rsidRDefault="0015629B" w:rsidP="0015629B">
      <w:pPr>
        <w:tabs>
          <w:tab w:val="left" w:pos="4320"/>
          <w:tab w:val="right" w:pos="8640"/>
        </w:tabs>
        <w:ind w:left="4320"/>
        <w:jc w:val="both"/>
        <w:rPr>
          <w:rFonts w:ascii="Arial" w:hAnsi="Arial" w:cs="Arial"/>
        </w:rPr>
      </w:pPr>
      <w:r>
        <w:rPr>
          <w:rFonts w:ascii="Arial" w:hAnsi="Arial" w:cs="Arial"/>
        </w:rPr>
        <w:t>Samuel C. Randazzo (Counsel of Record)</w:t>
      </w:r>
    </w:p>
    <w:p w:rsidR="00C9112C"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C9112C"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15629B"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C9112C" w:rsidRDefault="0015629B" w:rsidP="0015629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C9112C" w:rsidRDefault="0015629B" w:rsidP="0015629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C9112C" w:rsidRDefault="0015629B" w:rsidP="0015629B">
      <w:pPr>
        <w:pStyle w:val="BodyText"/>
        <w:tabs>
          <w:tab w:val="left" w:pos="4320"/>
        </w:tabs>
        <w:ind w:left="4320"/>
      </w:pPr>
      <w:r>
        <w:t>Columbus, OH  43215</w:t>
      </w:r>
    </w:p>
    <w:p w:rsidR="00C9112C" w:rsidRDefault="0015629B" w:rsidP="0015629B">
      <w:pPr>
        <w:pStyle w:val="BodyText"/>
        <w:tabs>
          <w:tab w:val="left" w:pos="4320"/>
        </w:tabs>
        <w:ind w:left="4320"/>
      </w:pPr>
      <w:r>
        <w:t>Telephone:  (614) 469-8000</w:t>
      </w:r>
    </w:p>
    <w:p w:rsidR="00C9112C" w:rsidRDefault="0015629B" w:rsidP="0015629B">
      <w:pPr>
        <w:pStyle w:val="BodyText"/>
        <w:tabs>
          <w:tab w:val="left" w:pos="4320"/>
        </w:tabs>
        <w:ind w:left="4320"/>
      </w:pPr>
      <w:r>
        <w:t>Telecopier:  (614) 469-4653</w:t>
      </w:r>
    </w:p>
    <w:p w:rsidR="00C9112C" w:rsidRDefault="0015629B" w:rsidP="0015629B">
      <w:pPr>
        <w:pStyle w:val="BodyText"/>
        <w:ind w:left="4320"/>
      </w:pPr>
      <w:r>
        <w:t>sam@mwncmh.com</w:t>
      </w:r>
    </w:p>
    <w:p w:rsidR="00C9112C" w:rsidRDefault="0015629B" w:rsidP="0015629B">
      <w:pPr>
        <w:pStyle w:val="BodyText"/>
        <w:ind w:left="4320"/>
      </w:pPr>
      <w:r>
        <w:t>fdarr@mwncmh.com</w:t>
      </w:r>
    </w:p>
    <w:p w:rsidR="00C9112C" w:rsidRDefault="0015629B" w:rsidP="0015629B">
      <w:pPr>
        <w:pStyle w:val="BodyText"/>
        <w:ind w:left="4320"/>
      </w:pPr>
      <w:r>
        <w:t>joliker@mwncmh.com</w:t>
      </w:r>
    </w:p>
    <w:p w:rsidR="0015629B" w:rsidRDefault="0015629B" w:rsidP="0015629B">
      <w:pPr>
        <w:pStyle w:val="BodyText"/>
        <w:ind w:left="4320"/>
      </w:pPr>
      <w:r>
        <w:t>mpritchard@mwncmh.com</w:t>
      </w:r>
    </w:p>
    <w:p w:rsidR="00C9112C" w:rsidRDefault="00C9112C">
      <w:pPr>
        <w:pStyle w:val="BodyText"/>
      </w:pPr>
    </w:p>
    <w:p w:rsidR="00C9112C" w:rsidRDefault="00316435">
      <w:pPr>
        <w:pStyle w:val="Title"/>
        <w:jc w:val="left"/>
        <w:rPr>
          <w:smallCaps w:val="0"/>
          <w:sz w:val="24"/>
        </w:rPr>
      </w:pPr>
      <w:r>
        <w:rPr>
          <w:smallCaps w:val="0"/>
          <w:sz w:val="24"/>
        </w:rPr>
        <w:t>September 11</w:t>
      </w:r>
      <w:r w:rsidR="00766DB8">
        <w:rPr>
          <w:smallCaps w:val="0"/>
          <w:sz w:val="24"/>
        </w:rPr>
        <w:t>, 2012</w:t>
      </w:r>
      <w:r w:rsidR="0015629B">
        <w:rPr>
          <w:smallCaps w:val="0"/>
          <w:sz w:val="24"/>
        </w:rPr>
        <w:tab/>
      </w:r>
      <w:r w:rsidR="0015629B">
        <w:rPr>
          <w:smallCaps w:val="0"/>
          <w:sz w:val="24"/>
        </w:rPr>
        <w:tab/>
      </w:r>
      <w:r w:rsidR="0015629B">
        <w:rPr>
          <w:smallCaps w:val="0"/>
          <w:sz w:val="24"/>
        </w:rPr>
        <w:tab/>
        <w:t>Attorneys for Industrial Energy Users-Ohio</w:t>
      </w:r>
    </w:p>
    <w:p w:rsidR="00C9112C" w:rsidRDefault="00C9112C">
      <w:pPr>
        <w:pStyle w:val="Title"/>
        <w:rPr>
          <w:sz w:val="28"/>
        </w:rPr>
        <w:sectPr w:rsidR="00C9112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C9112C" w:rsidRDefault="0015629B">
      <w:pPr>
        <w:pStyle w:val="Title"/>
        <w:rPr>
          <w:sz w:val="28"/>
        </w:rPr>
      </w:pPr>
      <w:r>
        <w:rPr>
          <w:sz w:val="28"/>
        </w:rPr>
        <w:lastRenderedPageBreak/>
        <w:t>Before</w:t>
      </w:r>
    </w:p>
    <w:p w:rsidR="00C9112C" w:rsidRDefault="0015629B">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C9112C" w:rsidRDefault="00C9112C">
      <w:pPr>
        <w:autoSpaceDE w:val="0"/>
        <w:autoSpaceDN w:val="0"/>
        <w:adjustRightInd w:val="0"/>
        <w:rPr>
          <w:rFonts w:ascii="Arial" w:eastAsiaTheme="minorHAnsi" w:hAnsi="Arial" w:cs="Arial"/>
        </w:rPr>
      </w:pP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In the Matter the Application of Duke Energy</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 xml:space="preserve">Ohio, Inc., for the Establishment of a Charge </w:t>
      </w:r>
      <w:r>
        <w:rPr>
          <w:rFonts w:ascii="Arial" w:eastAsiaTheme="minorHAnsi" w:hAnsi="Arial" w:cs="Arial"/>
        </w:rPr>
        <w:tab/>
        <w:t>)</w:t>
      </w:r>
      <w:r>
        <w:rPr>
          <w:rFonts w:ascii="Arial" w:eastAsiaTheme="minorHAnsi" w:hAnsi="Arial" w:cs="Arial"/>
        </w:rPr>
        <w:tab/>
        <w:t>Case No. 12-2400-EL-UNC</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Pursuant to Revised Code Section 4909.18</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Ohio, Inc., for Approval to Change Accounting</w:t>
      </w:r>
      <w:r>
        <w:rPr>
          <w:rFonts w:ascii="Arial" w:eastAsiaTheme="minorHAnsi" w:hAnsi="Arial" w:cs="Arial"/>
        </w:rPr>
        <w:tab/>
        <w:t>)</w:t>
      </w:r>
      <w:r>
        <w:rPr>
          <w:rFonts w:ascii="Arial" w:eastAsiaTheme="minorHAnsi" w:hAnsi="Arial" w:cs="Arial"/>
        </w:rPr>
        <w:tab/>
        <w:t>Case No. 12-2401-EL-AAM</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Methods</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In the Matter of the Application of Duke Energy</w:t>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 xml:space="preserve">Ohio, Inc., for the Approval of a Tariff for a </w:t>
      </w:r>
      <w:r>
        <w:rPr>
          <w:rFonts w:ascii="Arial" w:eastAsiaTheme="minorHAnsi" w:hAnsi="Arial" w:cs="Arial"/>
        </w:rPr>
        <w:tab/>
        <w:t>)</w:t>
      </w:r>
      <w:r>
        <w:rPr>
          <w:rFonts w:ascii="Arial" w:eastAsiaTheme="minorHAnsi" w:hAnsi="Arial" w:cs="Arial"/>
        </w:rPr>
        <w:tab/>
        <w:t>Case No. 12-2402-EL-ATA</w:t>
      </w:r>
    </w:p>
    <w:p w:rsidR="0015629B" w:rsidRDefault="0015629B" w:rsidP="0015629B">
      <w:pPr>
        <w:autoSpaceDE w:val="0"/>
        <w:autoSpaceDN w:val="0"/>
        <w:adjustRightInd w:val="0"/>
        <w:rPr>
          <w:rFonts w:ascii="Arial" w:eastAsiaTheme="minorHAnsi" w:hAnsi="Arial" w:cs="Arial"/>
        </w:rPr>
      </w:pPr>
      <w:r>
        <w:rPr>
          <w:rFonts w:ascii="Arial" w:eastAsiaTheme="minorHAnsi" w:hAnsi="Arial" w:cs="Arial"/>
        </w:rPr>
        <w:t>New Service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5629B" w:rsidRDefault="0015629B" w:rsidP="0015629B">
      <w:pPr>
        <w:autoSpaceDE w:val="0"/>
        <w:autoSpaceDN w:val="0"/>
        <w:adjustRightInd w:val="0"/>
        <w:rPr>
          <w:rFonts w:ascii="Arial" w:eastAsiaTheme="minorHAnsi" w:hAnsi="Arial" w:cs="Arial"/>
        </w:rPr>
      </w:pPr>
    </w:p>
    <w:p w:rsidR="00C9112C" w:rsidRDefault="00C9112C">
      <w:pPr>
        <w:pBdr>
          <w:top w:val="single" w:sz="12" w:space="1" w:color="auto"/>
        </w:pBdr>
        <w:tabs>
          <w:tab w:val="left" w:pos="7320"/>
        </w:tabs>
        <w:jc w:val="both"/>
        <w:rPr>
          <w:rFonts w:ascii="Arial" w:hAnsi="Arial" w:cs="Arial"/>
          <w:sz w:val="28"/>
        </w:rPr>
      </w:pPr>
    </w:p>
    <w:p w:rsidR="00316435" w:rsidRDefault="00316435" w:rsidP="00316435">
      <w:pPr>
        <w:pStyle w:val="Heading1"/>
        <w:tabs>
          <w:tab w:val="left" w:pos="7320"/>
        </w:tabs>
        <w:ind w:left="0" w:right="0"/>
        <w:jc w:val="center"/>
        <w:rPr>
          <w:sz w:val="24"/>
        </w:rPr>
      </w:pPr>
      <w:r>
        <w:rPr>
          <w:sz w:val="24"/>
        </w:rPr>
        <w:t xml:space="preserve">REPLY TO DUKE ENERGY OHIO, INC.’S MEMORANDUM CONTRA </w:t>
      </w:r>
    </w:p>
    <w:p w:rsidR="00316435" w:rsidRDefault="00316435" w:rsidP="00316435">
      <w:pPr>
        <w:pStyle w:val="Heading1"/>
        <w:tabs>
          <w:tab w:val="left" w:pos="7320"/>
        </w:tabs>
        <w:ind w:left="0" w:right="0"/>
        <w:jc w:val="center"/>
        <w:rPr>
          <w:szCs w:val="28"/>
        </w:rPr>
      </w:pPr>
      <w:r>
        <w:rPr>
          <w:sz w:val="24"/>
        </w:rPr>
        <w:t xml:space="preserve">INDUSTRIAL ENERGY USERS-OHIO’S MOTION TO INTERVENE </w:t>
      </w:r>
    </w:p>
    <w:p w:rsidR="00C9112C" w:rsidRDefault="0015629B">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9112C" w:rsidRDefault="00C9112C" w:rsidP="00131328">
      <w:pPr>
        <w:pStyle w:val="BodyTextIndent"/>
        <w:tabs>
          <w:tab w:val="left" w:pos="7320"/>
        </w:tabs>
        <w:spacing w:after="120"/>
        <w:ind w:firstLine="0"/>
      </w:pPr>
    </w:p>
    <w:p w:rsidR="00651D85" w:rsidRDefault="00651D85" w:rsidP="005365F3">
      <w:pPr>
        <w:spacing w:line="480" w:lineRule="auto"/>
        <w:ind w:firstLine="720"/>
        <w:jc w:val="both"/>
        <w:rPr>
          <w:rFonts w:ascii="Arial" w:eastAsia="Calibri" w:hAnsi="Arial" w:cs="Arial"/>
        </w:rPr>
      </w:pPr>
      <w:r>
        <w:rPr>
          <w:rFonts w:ascii="Arial" w:eastAsia="Calibri" w:hAnsi="Arial" w:cs="Arial"/>
        </w:rPr>
        <w:t>On July 2, 2012, the Public Utilities Commission of Ohio (“Commission”) approved a state compensation for Ohio Power Company.</w:t>
      </w:r>
      <w:r>
        <w:rPr>
          <w:rStyle w:val="FootnoteReference"/>
          <w:rFonts w:ascii="Arial" w:eastAsia="Calibri" w:hAnsi="Arial" w:cs="Arial"/>
        </w:rPr>
        <w:footnoteReference w:id="1"/>
      </w:r>
      <w:r>
        <w:rPr>
          <w:rFonts w:ascii="Arial" w:eastAsia="Calibri" w:hAnsi="Arial" w:cs="Arial"/>
        </w:rPr>
        <w:t xml:space="preserve">  The Industrial Energy Users of Ohio (“IEU-Ohio”) has contested the Commission’s decision to invent and apply a cost-based ratemaking methodology for generation capacity service and will not repeat its positions in this pleading.  </w:t>
      </w:r>
    </w:p>
    <w:p w:rsidR="00651D85" w:rsidRDefault="00651D85" w:rsidP="005365F3">
      <w:pPr>
        <w:spacing w:line="480" w:lineRule="auto"/>
        <w:ind w:firstLine="720"/>
        <w:jc w:val="both"/>
        <w:rPr>
          <w:rFonts w:ascii="Arial" w:eastAsiaTheme="minorHAnsi" w:hAnsi="Arial" w:cs="Arial"/>
        </w:rPr>
      </w:pPr>
      <w:r>
        <w:rPr>
          <w:rFonts w:ascii="Arial" w:eastAsia="Calibri" w:hAnsi="Arial" w:cs="Arial"/>
        </w:rPr>
        <w:t>Shortly after the Commission approved a state compensation mechanism to increase the price of capacity in Ohio Power Company’s service territory, o</w:t>
      </w:r>
      <w:r w:rsidR="00DD558D" w:rsidRPr="001D764E">
        <w:rPr>
          <w:rFonts w:ascii="Arial" w:eastAsia="Calibri" w:hAnsi="Arial" w:cs="Arial"/>
        </w:rPr>
        <w:t>n August 29, 2012, Duke Energy Ohio, Inc. (“Duke”) filed an applica</w:t>
      </w:r>
      <w:r>
        <w:rPr>
          <w:rFonts w:ascii="Arial" w:eastAsia="Calibri" w:hAnsi="Arial" w:cs="Arial"/>
        </w:rPr>
        <w:t>tion with the Commission</w:t>
      </w:r>
      <w:r w:rsidR="00DD558D" w:rsidRPr="001D764E">
        <w:rPr>
          <w:rFonts w:ascii="Arial" w:eastAsia="Calibri" w:hAnsi="Arial" w:cs="Arial"/>
        </w:rPr>
        <w:t xml:space="preserve"> to i</w:t>
      </w:r>
      <w:r w:rsidR="001D764E" w:rsidRPr="001D764E">
        <w:rPr>
          <w:rFonts w:ascii="Arial" w:eastAsia="Calibri" w:hAnsi="Arial" w:cs="Arial"/>
        </w:rPr>
        <w:t>ncrease</w:t>
      </w:r>
      <w:r w:rsidR="001D764E">
        <w:rPr>
          <w:rFonts w:ascii="Arial" w:eastAsia="Calibri" w:hAnsi="Arial" w:cs="Arial"/>
        </w:rPr>
        <w:t xml:space="preserve"> its capacity charges by</w:t>
      </w:r>
      <w:r w:rsidR="001D764E" w:rsidRPr="001D764E">
        <w:rPr>
          <w:rFonts w:ascii="Arial" w:eastAsia="Calibri" w:hAnsi="Arial" w:cs="Arial"/>
        </w:rPr>
        <w:t xml:space="preserve"> </w:t>
      </w:r>
      <w:r>
        <w:rPr>
          <w:rFonts w:ascii="Arial" w:eastAsia="Calibri" w:hAnsi="Arial" w:cs="Arial"/>
        </w:rPr>
        <w:t xml:space="preserve">over </w:t>
      </w:r>
      <w:r>
        <w:rPr>
          <w:rFonts w:ascii="Arial" w:eastAsiaTheme="minorHAnsi" w:hAnsi="Arial" w:cs="Arial"/>
        </w:rPr>
        <w:t>$770</w:t>
      </w:r>
      <w:r w:rsidR="00131328">
        <w:rPr>
          <w:rFonts w:ascii="Arial" w:eastAsiaTheme="minorHAnsi" w:hAnsi="Arial" w:cs="Arial"/>
        </w:rPr>
        <w:t xml:space="preserve"> million</w:t>
      </w:r>
      <w:r w:rsidR="005365F3">
        <w:rPr>
          <w:rFonts w:ascii="Arial" w:eastAsiaTheme="minorHAnsi" w:hAnsi="Arial" w:cs="Arial"/>
        </w:rPr>
        <w:t xml:space="preserve"> (“Application”)</w:t>
      </w:r>
      <w:r w:rsidR="001D764E" w:rsidRPr="001D764E">
        <w:rPr>
          <w:rFonts w:ascii="Arial" w:eastAsiaTheme="minorHAnsi" w:hAnsi="Arial" w:cs="Arial"/>
        </w:rPr>
        <w:t>.</w:t>
      </w:r>
      <w:r>
        <w:rPr>
          <w:rFonts w:ascii="Arial" w:eastAsiaTheme="minorHAnsi" w:hAnsi="Arial" w:cs="Arial"/>
        </w:rPr>
        <w:t xml:space="preserve">  </w:t>
      </w:r>
    </w:p>
    <w:p w:rsidR="00DD558D" w:rsidRPr="005365F3" w:rsidRDefault="001D764E" w:rsidP="005365F3">
      <w:pPr>
        <w:spacing w:line="480" w:lineRule="auto"/>
        <w:ind w:firstLine="720"/>
        <w:jc w:val="both"/>
        <w:rPr>
          <w:rFonts w:ascii="Arial" w:eastAsiaTheme="minorHAnsi" w:hAnsi="Arial" w:cs="Arial"/>
        </w:rPr>
      </w:pPr>
      <w:r>
        <w:rPr>
          <w:rFonts w:ascii="Arial" w:eastAsiaTheme="minorHAnsi" w:hAnsi="Arial" w:cs="Arial"/>
        </w:rPr>
        <w:t>On August 30, 2012, IEU-Ohio</w:t>
      </w:r>
      <w:r w:rsidR="00746383">
        <w:rPr>
          <w:rFonts w:ascii="Arial" w:eastAsiaTheme="minorHAnsi" w:hAnsi="Arial" w:cs="Arial"/>
        </w:rPr>
        <w:t xml:space="preserve"> </w:t>
      </w:r>
      <w:r>
        <w:rPr>
          <w:rFonts w:ascii="Arial" w:eastAsiaTheme="minorHAnsi" w:hAnsi="Arial" w:cs="Arial"/>
        </w:rPr>
        <w:t xml:space="preserve">filed a Motion to Intervene and Memorandum in Support (“Motion”).  </w:t>
      </w:r>
      <w:r w:rsidR="00492744">
        <w:rPr>
          <w:rFonts w:ascii="Arial" w:eastAsiaTheme="minorHAnsi" w:hAnsi="Arial" w:cs="Arial"/>
        </w:rPr>
        <w:t xml:space="preserve">Although IEU-Ohio has intervened and contributed to the </w:t>
      </w:r>
      <w:r w:rsidR="00492744">
        <w:rPr>
          <w:rFonts w:ascii="Arial" w:eastAsiaTheme="minorHAnsi" w:hAnsi="Arial" w:cs="Arial"/>
        </w:rPr>
        <w:lastRenderedPageBreak/>
        <w:t>development of several recent Duke proceedings,</w:t>
      </w:r>
      <w:r w:rsidR="00492744">
        <w:rPr>
          <w:rStyle w:val="FootnoteReference"/>
          <w:rFonts w:ascii="Arial" w:eastAsiaTheme="minorHAnsi" w:hAnsi="Arial" w:cs="Arial"/>
        </w:rPr>
        <w:footnoteReference w:id="2"/>
      </w:r>
      <w:r w:rsidR="00492744">
        <w:rPr>
          <w:rFonts w:ascii="Arial" w:eastAsiaTheme="minorHAnsi" w:hAnsi="Arial" w:cs="Arial"/>
        </w:rPr>
        <w:t xml:space="preserve"> </w:t>
      </w:r>
      <w:r>
        <w:rPr>
          <w:rFonts w:ascii="Arial" w:eastAsiaTheme="minorHAnsi" w:hAnsi="Arial" w:cs="Arial"/>
        </w:rPr>
        <w:t>Du</w:t>
      </w:r>
      <w:r w:rsidR="00492744">
        <w:rPr>
          <w:rFonts w:ascii="Arial" w:eastAsiaTheme="minorHAnsi" w:hAnsi="Arial" w:cs="Arial"/>
        </w:rPr>
        <w:t>ke served a Memorandum Contra IEU-Ohio’s Motion</w:t>
      </w:r>
      <w:r w:rsidR="005365F3">
        <w:rPr>
          <w:rFonts w:ascii="Arial" w:eastAsiaTheme="minorHAnsi" w:hAnsi="Arial" w:cs="Arial"/>
        </w:rPr>
        <w:t xml:space="preserve"> on September 4, 2012.  Duke’s Memorandum Contra, however, does not appear to have been formally docketed </w:t>
      </w:r>
      <w:r w:rsidR="00EB20C0">
        <w:rPr>
          <w:rFonts w:ascii="Arial" w:eastAsiaTheme="minorHAnsi" w:hAnsi="Arial" w:cs="Arial"/>
        </w:rPr>
        <w:t>and accepted by</w:t>
      </w:r>
      <w:r w:rsidR="005365F3">
        <w:rPr>
          <w:rFonts w:ascii="Arial" w:eastAsiaTheme="minorHAnsi" w:hAnsi="Arial" w:cs="Arial"/>
        </w:rPr>
        <w:t xml:space="preserve"> the Commission, as it cannot be viewed on the Commission’s website.  For that reason alone, the Commission should give no weight to Duke’s Memorandum Contra.</w:t>
      </w:r>
      <w:r w:rsidRPr="001D764E">
        <w:rPr>
          <w:rFonts w:ascii="Arial" w:eastAsiaTheme="minorHAnsi" w:hAnsi="Arial" w:cs="Arial"/>
        </w:rPr>
        <w:t xml:space="preserve"> </w:t>
      </w:r>
      <w:r w:rsidR="005365F3">
        <w:rPr>
          <w:rFonts w:ascii="Arial" w:eastAsiaTheme="minorHAnsi" w:hAnsi="Arial" w:cs="Arial"/>
        </w:rPr>
        <w:t xml:space="preserve"> In the event that the Com</w:t>
      </w:r>
      <w:r w:rsidR="00EB20C0">
        <w:rPr>
          <w:rFonts w:ascii="Arial" w:eastAsiaTheme="minorHAnsi" w:hAnsi="Arial" w:cs="Arial"/>
        </w:rPr>
        <w:t>mission determines that</w:t>
      </w:r>
      <w:r w:rsidR="005365F3">
        <w:rPr>
          <w:rFonts w:ascii="Arial" w:eastAsiaTheme="minorHAnsi" w:hAnsi="Arial" w:cs="Arial"/>
        </w:rPr>
        <w:t xml:space="preserve"> Duke’s Memorandum Contra was properly filed, IEU-Ohio</w:t>
      </w:r>
      <w:r w:rsidR="004B7FE7">
        <w:rPr>
          <w:rFonts w:ascii="Arial" w:eastAsiaTheme="minorHAnsi" w:hAnsi="Arial" w:cs="Arial"/>
        </w:rPr>
        <w:t xml:space="preserve"> addresse</w:t>
      </w:r>
      <w:r w:rsidR="00131328">
        <w:rPr>
          <w:rFonts w:ascii="Arial" w:eastAsiaTheme="minorHAnsi" w:hAnsi="Arial" w:cs="Arial"/>
        </w:rPr>
        <w:t>s</w:t>
      </w:r>
      <w:r w:rsidR="005365F3">
        <w:rPr>
          <w:rFonts w:ascii="Arial" w:eastAsiaTheme="minorHAnsi" w:hAnsi="Arial" w:cs="Arial"/>
        </w:rPr>
        <w:t xml:space="preserve"> Duke’s arguments below.</w:t>
      </w:r>
    </w:p>
    <w:p w:rsidR="004B7FE7" w:rsidRPr="004B7FE7" w:rsidRDefault="004B7FE7" w:rsidP="00492744">
      <w:pPr>
        <w:spacing w:line="480" w:lineRule="auto"/>
        <w:ind w:firstLine="720"/>
        <w:jc w:val="both"/>
        <w:rPr>
          <w:rFonts w:ascii="Arial" w:eastAsia="Calibri" w:hAnsi="Arial"/>
        </w:rPr>
      </w:pPr>
      <w:r>
        <w:rPr>
          <w:rFonts w:ascii="Arial" w:eastAsia="Calibri" w:hAnsi="Arial"/>
        </w:rPr>
        <w:t xml:space="preserve">Under Section 4903.221, Revised Code, the Commission will consider four criteria </w:t>
      </w:r>
      <w:r w:rsidRPr="004B7FE7">
        <w:rPr>
          <w:rFonts w:ascii="Arial" w:eastAsia="Calibri" w:hAnsi="Arial"/>
        </w:rPr>
        <w:t>upon applications to int</w:t>
      </w:r>
      <w:r>
        <w:rPr>
          <w:rFonts w:ascii="Arial" w:eastAsia="Calibri" w:hAnsi="Arial"/>
        </w:rPr>
        <w:t>ervene in its proceedings</w:t>
      </w:r>
      <w:r w:rsidR="00492744">
        <w:rPr>
          <w:rFonts w:ascii="Arial" w:eastAsia="Calibri" w:hAnsi="Arial"/>
        </w:rPr>
        <w:t>:</w:t>
      </w:r>
    </w:p>
    <w:p w:rsidR="004B7FE7" w:rsidRPr="004B7FE7" w:rsidRDefault="004B7FE7" w:rsidP="004B7FE7">
      <w:pPr>
        <w:pStyle w:val="ListParagraph"/>
        <w:numPr>
          <w:ilvl w:val="0"/>
          <w:numId w:val="1"/>
        </w:numPr>
        <w:ind w:right="720"/>
        <w:jc w:val="both"/>
        <w:rPr>
          <w:rFonts w:ascii="Arial" w:eastAsia="Calibri" w:hAnsi="Arial"/>
        </w:rPr>
      </w:pPr>
      <w:r w:rsidRPr="004B7FE7">
        <w:rPr>
          <w:rFonts w:ascii="Arial" w:eastAsia="Calibri" w:hAnsi="Arial"/>
        </w:rPr>
        <w:t>The nature and extent of the prospective intervenor’s interest;</w:t>
      </w:r>
    </w:p>
    <w:p w:rsidR="004B7FE7" w:rsidRPr="004B7FE7" w:rsidRDefault="004B7FE7" w:rsidP="004B7FE7">
      <w:pPr>
        <w:pStyle w:val="ListParagraph"/>
        <w:ind w:left="1080" w:right="720"/>
        <w:jc w:val="both"/>
        <w:rPr>
          <w:rFonts w:ascii="Arial" w:eastAsia="Calibri" w:hAnsi="Arial"/>
        </w:rPr>
      </w:pPr>
    </w:p>
    <w:p w:rsidR="004B7FE7" w:rsidRPr="004B7FE7" w:rsidRDefault="004B7FE7" w:rsidP="004B7FE7">
      <w:pPr>
        <w:pStyle w:val="ListParagraph"/>
        <w:numPr>
          <w:ilvl w:val="0"/>
          <w:numId w:val="1"/>
        </w:numPr>
        <w:ind w:right="720"/>
        <w:jc w:val="both"/>
        <w:rPr>
          <w:rFonts w:ascii="Arial" w:eastAsia="Calibri" w:hAnsi="Arial"/>
        </w:rPr>
      </w:pPr>
      <w:r w:rsidRPr="004B7FE7">
        <w:rPr>
          <w:rFonts w:ascii="Arial" w:eastAsia="Calibri" w:hAnsi="Arial"/>
        </w:rPr>
        <w:t>The legal position advanced by the prospective intervenor and its probable relation to the merits of the case;</w:t>
      </w:r>
    </w:p>
    <w:p w:rsidR="004B7FE7" w:rsidRPr="004B7FE7" w:rsidRDefault="004B7FE7" w:rsidP="004B7FE7">
      <w:pPr>
        <w:ind w:right="720"/>
        <w:jc w:val="both"/>
        <w:rPr>
          <w:rFonts w:ascii="Arial" w:eastAsia="Calibri" w:hAnsi="Arial"/>
        </w:rPr>
      </w:pPr>
    </w:p>
    <w:p w:rsidR="004B7FE7" w:rsidRPr="004B7FE7" w:rsidRDefault="004B7FE7" w:rsidP="004B7FE7">
      <w:pPr>
        <w:pStyle w:val="ListParagraph"/>
        <w:numPr>
          <w:ilvl w:val="0"/>
          <w:numId w:val="1"/>
        </w:numPr>
        <w:ind w:right="720"/>
        <w:jc w:val="both"/>
        <w:rPr>
          <w:rFonts w:ascii="Arial" w:eastAsia="Calibri" w:hAnsi="Arial"/>
        </w:rPr>
      </w:pPr>
      <w:r w:rsidRPr="004B7FE7">
        <w:rPr>
          <w:rFonts w:ascii="Arial" w:eastAsia="Calibri" w:hAnsi="Arial"/>
        </w:rPr>
        <w:t>Whether the intervention by the prospective intervenor will unduly prolong or delay the proceedings;</w:t>
      </w:r>
    </w:p>
    <w:p w:rsidR="004B7FE7" w:rsidRPr="004B7FE7" w:rsidRDefault="004B7FE7" w:rsidP="004B7FE7">
      <w:pPr>
        <w:ind w:right="720"/>
        <w:jc w:val="both"/>
        <w:rPr>
          <w:rFonts w:ascii="Arial" w:eastAsia="Calibri" w:hAnsi="Arial"/>
        </w:rPr>
      </w:pPr>
    </w:p>
    <w:p w:rsidR="004B7FE7" w:rsidRPr="00EB20C0" w:rsidRDefault="004B7FE7" w:rsidP="00EB20C0">
      <w:pPr>
        <w:pStyle w:val="ListParagraph"/>
        <w:numPr>
          <w:ilvl w:val="0"/>
          <w:numId w:val="1"/>
        </w:numPr>
        <w:tabs>
          <w:tab w:val="left" w:pos="1080"/>
        </w:tabs>
        <w:ind w:right="720"/>
        <w:jc w:val="both"/>
        <w:rPr>
          <w:rFonts w:ascii="Arial" w:eastAsia="Calibri" w:hAnsi="Arial"/>
        </w:rPr>
      </w:pPr>
      <w:r w:rsidRPr="00EB20C0">
        <w:rPr>
          <w:rFonts w:ascii="Arial" w:eastAsia="Calibri" w:hAnsi="Arial"/>
        </w:rPr>
        <w:t>Whether the prospective intervenor will significantly contribute to full development and equitable resolution of the factual issues</w:t>
      </w:r>
      <w:r w:rsidR="00A802C1" w:rsidRPr="00EB20C0">
        <w:rPr>
          <w:rFonts w:ascii="Arial" w:eastAsia="Calibri" w:hAnsi="Arial"/>
        </w:rPr>
        <w:t>.</w:t>
      </w:r>
    </w:p>
    <w:p w:rsidR="00EB20C0" w:rsidRPr="00EB20C0" w:rsidRDefault="00EB20C0" w:rsidP="00EB20C0">
      <w:pPr>
        <w:tabs>
          <w:tab w:val="left" w:pos="1080"/>
        </w:tabs>
        <w:ind w:right="720"/>
        <w:jc w:val="both"/>
        <w:rPr>
          <w:rFonts w:ascii="Arial" w:eastAsia="Calibri" w:hAnsi="Arial"/>
        </w:rPr>
      </w:pPr>
    </w:p>
    <w:p w:rsidR="003E6E56" w:rsidRDefault="003E6E56" w:rsidP="004B7FE7">
      <w:pPr>
        <w:spacing w:line="480" w:lineRule="auto"/>
        <w:jc w:val="both"/>
        <w:rPr>
          <w:rFonts w:ascii="Arial" w:eastAsia="Calibri" w:hAnsi="Arial"/>
        </w:rPr>
      </w:pPr>
      <w:r>
        <w:rPr>
          <w:rFonts w:ascii="Arial" w:eastAsia="Calibri" w:hAnsi="Arial"/>
        </w:rPr>
        <w:t>The Supreme Court of Ohio has determined that “</w:t>
      </w:r>
      <w:r w:rsidRPr="003E6E56">
        <w:rPr>
          <w:rFonts w:ascii="Arial" w:eastAsia="Calibri" w:hAnsi="Arial"/>
        </w:rPr>
        <w:t>intervention ought to be liberally allowed so that the positions of all persons with a real and substantial interest in the proceedings can be considered by the PUCO.</w:t>
      </w:r>
      <w:r>
        <w:rPr>
          <w:rFonts w:ascii="Arial" w:eastAsia="Calibri" w:hAnsi="Arial"/>
        </w:rPr>
        <w:t>”</w:t>
      </w:r>
      <w:r w:rsidR="00EB20C0">
        <w:rPr>
          <w:rStyle w:val="FootnoteReference"/>
          <w:rFonts w:ascii="Arial" w:eastAsia="Calibri" w:hAnsi="Arial"/>
        </w:rPr>
        <w:footnoteReference w:id="3"/>
      </w:r>
      <w:r w:rsidR="00651D85">
        <w:rPr>
          <w:rFonts w:ascii="Arial" w:eastAsia="Calibri" w:hAnsi="Arial"/>
        </w:rPr>
        <w:t xml:space="preserve">  IEU-Ohio’s Motion demonstrated that each of the above criteria are satisfied. </w:t>
      </w:r>
    </w:p>
    <w:p w:rsidR="0023360F" w:rsidRDefault="005365F3" w:rsidP="003E6E56">
      <w:pPr>
        <w:spacing w:line="480" w:lineRule="auto"/>
        <w:ind w:firstLine="720"/>
        <w:jc w:val="both"/>
        <w:rPr>
          <w:rFonts w:ascii="Arial" w:eastAsia="Calibri" w:hAnsi="Arial"/>
        </w:rPr>
      </w:pPr>
      <w:r>
        <w:rPr>
          <w:rFonts w:ascii="Arial" w:eastAsia="Calibri" w:hAnsi="Arial"/>
        </w:rPr>
        <w:lastRenderedPageBreak/>
        <w:t xml:space="preserve">Duke claims that IEU-Ohio’s Motion should be </w:t>
      </w:r>
      <w:r w:rsidR="004B7FE7">
        <w:rPr>
          <w:rFonts w:ascii="Arial" w:eastAsia="Calibri" w:hAnsi="Arial"/>
        </w:rPr>
        <w:t>denied because it fails to demonstrate that IEU-Ohio meets any of the four criteria.</w:t>
      </w:r>
      <w:r>
        <w:rPr>
          <w:rStyle w:val="FootnoteReference"/>
          <w:rFonts w:ascii="Arial" w:eastAsia="Calibri" w:hAnsi="Arial"/>
        </w:rPr>
        <w:footnoteReference w:id="4"/>
      </w:r>
      <w:r w:rsidR="00F203EF">
        <w:rPr>
          <w:rFonts w:ascii="Arial" w:eastAsia="Calibri" w:hAnsi="Arial"/>
        </w:rPr>
        <w:t xml:space="preserve">  Regarding th</w:t>
      </w:r>
      <w:r w:rsidR="0023360F">
        <w:rPr>
          <w:rFonts w:ascii="Arial" w:eastAsia="Calibri" w:hAnsi="Arial"/>
        </w:rPr>
        <w:t>e first two criteria, Duke mainly relies on</w:t>
      </w:r>
      <w:r w:rsidR="00F203EF">
        <w:rPr>
          <w:rFonts w:ascii="Arial" w:eastAsia="Calibri" w:hAnsi="Arial"/>
        </w:rPr>
        <w:t xml:space="preserve"> the same </w:t>
      </w:r>
      <w:r w:rsidR="0023360F">
        <w:rPr>
          <w:rFonts w:ascii="Arial" w:eastAsia="Calibri" w:hAnsi="Arial"/>
        </w:rPr>
        <w:t xml:space="preserve">flawed </w:t>
      </w:r>
      <w:r w:rsidR="00F203EF">
        <w:rPr>
          <w:rFonts w:ascii="Arial" w:eastAsia="Calibri" w:hAnsi="Arial"/>
        </w:rPr>
        <w:t>argument:  Duke claims that the Motion did not assert that IEU-Ohio has members in Duke’s service territory that will be effected by the Application.</w:t>
      </w:r>
      <w:r w:rsidR="008A5607">
        <w:rPr>
          <w:rStyle w:val="FootnoteReference"/>
          <w:rFonts w:ascii="Arial" w:eastAsia="Calibri" w:hAnsi="Arial"/>
        </w:rPr>
        <w:footnoteReference w:id="5"/>
      </w:r>
      <w:r w:rsidR="00F203EF">
        <w:rPr>
          <w:rFonts w:ascii="Arial" w:eastAsia="Calibri" w:hAnsi="Arial"/>
        </w:rPr>
        <w:t xml:space="preserve">  For purposes of </w:t>
      </w:r>
      <w:r w:rsidR="00131328">
        <w:rPr>
          <w:rFonts w:ascii="Arial" w:eastAsia="Calibri" w:hAnsi="Arial"/>
        </w:rPr>
        <w:t>clarifying</w:t>
      </w:r>
      <w:r w:rsidR="00F203EF">
        <w:rPr>
          <w:rFonts w:ascii="Arial" w:eastAsia="Calibri" w:hAnsi="Arial"/>
        </w:rPr>
        <w:t xml:space="preserve"> any ambiguity, IEU-Ohio stated in its Motion that </w:t>
      </w:r>
      <w:r w:rsidR="00F203EF" w:rsidRPr="00F203EF">
        <w:rPr>
          <w:rFonts w:ascii="Arial" w:eastAsia="Calibri" w:hAnsi="Arial"/>
        </w:rPr>
        <w:t xml:space="preserve">IEU-Ohio’s members </w:t>
      </w:r>
      <w:r w:rsidR="00F203EF">
        <w:rPr>
          <w:rFonts w:ascii="Arial" w:eastAsia="Calibri" w:hAnsi="Arial"/>
        </w:rPr>
        <w:t xml:space="preserve">purchase substantial amounts of </w:t>
      </w:r>
      <w:r w:rsidR="00F203EF" w:rsidRPr="00F203EF">
        <w:rPr>
          <w:rFonts w:ascii="Arial" w:eastAsia="Calibri" w:hAnsi="Arial"/>
        </w:rPr>
        <w:t xml:space="preserve">electric and related services from Ohio’s </w:t>
      </w:r>
      <w:r w:rsidR="00A802C1">
        <w:rPr>
          <w:rFonts w:ascii="Arial" w:eastAsia="Calibri" w:hAnsi="Arial"/>
        </w:rPr>
        <w:t>e</w:t>
      </w:r>
      <w:r w:rsidR="00F203EF" w:rsidRPr="00F203EF">
        <w:rPr>
          <w:rFonts w:ascii="Arial" w:eastAsia="Calibri" w:hAnsi="Arial"/>
        </w:rPr>
        <w:t xml:space="preserve">lectric </w:t>
      </w:r>
      <w:r w:rsidR="00A802C1">
        <w:rPr>
          <w:rFonts w:ascii="Arial" w:eastAsia="Calibri" w:hAnsi="Arial"/>
        </w:rPr>
        <w:t>d</w:t>
      </w:r>
      <w:r w:rsidR="00F203EF">
        <w:rPr>
          <w:rFonts w:ascii="Arial" w:eastAsia="Calibri" w:hAnsi="Arial"/>
        </w:rPr>
        <w:t xml:space="preserve">istribution </w:t>
      </w:r>
      <w:r w:rsidR="00A802C1">
        <w:rPr>
          <w:rFonts w:ascii="Arial" w:eastAsia="Calibri" w:hAnsi="Arial"/>
        </w:rPr>
        <w:t>u</w:t>
      </w:r>
      <w:r w:rsidR="00F203EF">
        <w:rPr>
          <w:rFonts w:ascii="Arial" w:eastAsia="Calibri" w:hAnsi="Arial"/>
        </w:rPr>
        <w:t xml:space="preserve">tilities (“EDU”).  IEU-Ohio has members located in the service territories of each investor owned utility in Ohio — including </w:t>
      </w:r>
      <w:r w:rsidR="00A46F02">
        <w:rPr>
          <w:rFonts w:ascii="Arial" w:eastAsia="Calibri" w:hAnsi="Arial"/>
        </w:rPr>
        <w:t>the service territory of Duke</w:t>
      </w:r>
      <w:r w:rsidR="00F203EF">
        <w:rPr>
          <w:rFonts w:ascii="Arial" w:eastAsia="Calibri" w:hAnsi="Arial"/>
        </w:rPr>
        <w:t>.</w:t>
      </w:r>
      <w:r w:rsidR="00F203EF" w:rsidRPr="00F203EF">
        <w:rPr>
          <w:rFonts w:ascii="Arial" w:eastAsia="Calibri" w:hAnsi="Arial"/>
        </w:rPr>
        <w:t xml:space="preserve"> </w:t>
      </w:r>
      <w:r w:rsidR="00A802C1">
        <w:rPr>
          <w:rFonts w:ascii="Arial" w:eastAsia="Calibri" w:hAnsi="Arial"/>
        </w:rPr>
        <w:t xml:space="preserve"> </w:t>
      </w:r>
      <w:r w:rsidR="00F203EF">
        <w:rPr>
          <w:rFonts w:ascii="Arial" w:eastAsia="Calibri" w:hAnsi="Arial"/>
        </w:rPr>
        <w:t xml:space="preserve">A current listing of IEU-Ohio </w:t>
      </w:r>
      <w:r w:rsidR="00F203EF" w:rsidRPr="00F203EF">
        <w:rPr>
          <w:rFonts w:ascii="Arial" w:eastAsia="Calibri" w:hAnsi="Arial"/>
        </w:rPr>
        <w:t>member companies is available on IEU-Ohio's</w:t>
      </w:r>
      <w:r w:rsidR="00F203EF">
        <w:rPr>
          <w:rFonts w:ascii="Arial" w:eastAsia="Calibri" w:hAnsi="Arial"/>
        </w:rPr>
        <w:t xml:space="preserve"> website at </w:t>
      </w:r>
      <w:hyperlink r:id="rId15" w:history="1">
        <w:r w:rsidR="00F203EF" w:rsidRPr="00466045">
          <w:rPr>
            <w:rStyle w:val="Hyperlink"/>
            <w:rFonts w:ascii="Arial" w:eastAsia="Calibri" w:hAnsi="Arial"/>
            <w:color w:val="auto"/>
          </w:rPr>
          <w:t>http://www.ieu</w:t>
        </w:r>
        <w:r w:rsidR="00F203EF" w:rsidRPr="00F203EF">
          <w:rPr>
            <w:rStyle w:val="Hyperlink"/>
            <w:rFonts w:ascii="Arial" w:eastAsia="Calibri" w:hAnsi="Arial"/>
            <w:color w:val="auto"/>
          </w:rPr>
          <w:t>ohio.org/member_list.aspx</w:t>
        </w:r>
      </w:hyperlink>
      <w:r w:rsidR="00466045">
        <w:rPr>
          <w:rStyle w:val="Hyperlink"/>
          <w:rFonts w:ascii="Arial" w:eastAsia="Calibri" w:hAnsi="Arial"/>
          <w:color w:val="auto"/>
          <w:u w:val="none"/>
        </w:rPr>
        <w:t xml:space="preserve"> (this link was included in the Motion)</w:t>
      </w:r>
      <w:r w:rsidR="00F203EF" w:rsidRPr="00F203EF">
        <w:rPr>
          <w:rFonts w:ascii="Arial" w:eastAsia="Calibri" w:hAnsi="Arial"/>
        </w:rPr>
        <w:t xml:space="preserve">.  </w:t>
      </w:r>
      <w:r w:rsidR="00F203EF">
        <w:rPr>
          <w:rFonts w:ascii="Arial" w:eastAsia="Calibri" w:hAnsi="Arial"/>
        </w:rPr>
        <w:t>Duke can readily identify IEU-Ohio membe</w:t>
      </w:r>
      <w:r w:rsidR="00A46F02">
        <w:rPr>
          <w:rFonts w:ascii="Arial" w:eastAsia="Calibri" w:hAnsi="Arial"/>
        </w:rPr>
        <w:t>rs in its service territory on IEU-Ohio’s</w:t>
      </w:r>
      <w:r w:rsidR="00F203EF">
        <w:rPr>
          <w:rFonts w:ascii="Arial" w:eastAsia="Calibri" w:hAnsi="Arial"/>
        </w:rPr>
        <w:t xml:space="preserve"> website.</w:t>
      </w:r>
    </w:p>
    <w:p w:rsidR="00F01062" w:rsidRDefault="0023360F" w:rsidP="004B7FE7">
      <w:pPr>
        <w:spacing w:line="480" w:lineRule="auto"/>
        <w:jc w:val="both"/>
        <w:rPr>
          <w:rFonts w:ascii="Arial" w:eastAsia="Calibri" w:hAnsi="Arial"/>
        </w:rPr>
      </w:pPr>
      <w:r>
        <w:rPr>
          <w:rFonts w:ascii="Arial" w:eastAsia="Calibri" w:hAnsi="Arial"/>
        </w:rPr>
        <w:tab/>
        <w:t>Duke then attacks the Motion’s claim that the Application will impact the price of electricity, claiming that “these proceedings will not have an impact on existing prices.”</w:t>
      </w:r>
      <w:r>
        <w:rPr>
          <w:rStyle w:val="FootnoteReference"/>
          <w:rFonts w:ascii="Arial" w:eastAsia="Calibri" w:hAnsi="Arial"/>
        </w:rPr>
        <w:footnoteReference w:id="6"/>
      </w:r>
      <w:r>
        <w:rPr>
          <w:rFonts w:ascii="Arial" w:eastAsia="Calibri" w:hAnsi="Arial"/>
        </w:rPr>
        <w:t xml:space="preserve">  Duke’s argument is not even factually correct because IEU-Ohio did not limit its interest to the impact on “existing” prices, and Duke’s Application would increase the price of capacity by over $770 million (befo</w:t>
      </w:r>
      <w:r w:rsidR="00B459CD">
        <w:rPr>
          <w:rFonts w:ascii="Arial" w:eastAsia="Calibri" w:hAnsi="Arial"/>
        </w:rPr>
        <w:t>re carrying charges).  Moreover, a</w:t>
      </w:r>
      <w:r>
        <w:rPr>
          <w:rFonts w:ascii="Arial" w:eastAsia="Calibri" w:hAnsi="Arial"/>
        </w:rPr>
        <w:t>lthough Duke is requesting authority to defer collection of its requested capacity</w:t>
      </w:r>
      <w:r w:rsidR="00A46F02">
        <w:rPr>
          <w:rFonts w:ascii="Arial" w:eastAsia="Calibri" w:hAnsi="Arial"/>
        </w:rPr>
        <w:t xml:space="preserve"> price</w:t>
      </w:r>
      <w:r>
        <w:rPr>
          <w:rFonts w:ascii="Arial" w:eastAsia="Calibri" w:hAnsi="Arial"/>
        </w:rPr>
        <w:t xml:space="preserve"> increase,</w:t>
      </w:r>
      <w:r w:rsidR="00EB20C0">
        <w:rPr>
          <w:rFonts w:ascii="Arial" w:eastAsia="Calibri" w:hAnsi="Arial"/>
        </w:rPr>
        <w:t xml:space="preserve"> Duke’s Application seeks to increase th</w:t>
      </w:r>
      <w:r>
        <w:rPr>
          <w:rFonts w:ascii="Arial" w:eastAsia="Calibri" w:hAnsi="Arial"/>
        </w:rPr>
        <w:t>e</w:t>
      </w:r>
      <w:r w:rsidR="00A46F02">
        <w:rPr>
          <w:rFonts w:ascii="Arial" w:eastAsia="Calibri" w:hAnsi="Arial"/>
        </w:rPr>
        <w:t xml:space="preserve"> existing price of capacity, a service</w:t>
      </w:r>
      <w:r>
        <w:rPr>
          <w:rFonts w:ascii="Arial" w:eastAsia="Calibri" w:hAnsi="Arial"/>
        </w:rPr>
        <w:t xml:space="preserve"> that impacts the price of electricity.</w:t>
      </w:r>
      <w:r w:rsidR="00EB20C0">
        <w:rPr>
          <w:rFonts w:ascii="Arial" w:eastAsia="Calibri" w:hAnsi="Arial"/>
        </w:rPr>
        <w:t xml:space="preserve"> </w:t>
      </w:r>
    </w:p>
    <w:p w:rsidR="00DD558D" w:rsidRDefault="00A46F02" w:rsidP="00F01062">
      <w:pPr>
        <w:spacing w:line="480" w:lineRule="auto"/>
        <w:jc w:val="both"/>
        <w:rPr>
          <w:rFonts w:ascii="Arial" w:eastAsia="Calibri" w:hAnsi="Arial"/>
        </w:rPr>
      </w:pPr>
      <w:r>
        <w:rPr>
          <w:rFonts w:ascii="Arial" w:eastAsia="Calibri" w:hAnsi="Arial"/>
        </w:rPr>
        <w:lastRenderedPageBreak/>
        <w:tab/>
        <w:t>Duke also claims that IEU-Ohio’s statement that it will promote the furtherance of</w:t>
      </w:r>
      <w:r w:rsidR="00F01062">
        <w:rPr>
          <w:rFonts w:ascii="Arial" w:eastAsia="Calibri" w:hAnsi="Arial"/>
        </w:rPr>
        <w:t xml:space="preserve"> poli</w:t>
      </w:r>
      <w:r>
        <w:rPr>
          <w:rFonts w:ascii="Arial" w:eastAsia="Calibri" w:hAnsi="Arial"/>
        </w:rPr>
        <w:t>cy</w:t>
      </w:r>
      <w:r w:rsidR="00F01062">
        <w:rPr>
          <w:rFonts w:ascii="Arial" w:eastAsia="Calibri" w:hAnsi="Arial"/>
        </w:rPr>
        <w:t xml:space="preserve"> in the</w:t>
      </w:r>
      <w:r>
        <w:rPr>
          <w:rFonts w:ascii="Arial" w:eastAsia="Calibri" w:hAnsi="Arial"/>
        </w:rPr>
        <w:t>se</w:t>
      </w:r>
      <w:r w:rsidR="00F01062">
        <w:rPr>
          <w:rFonts w:ascii="Arial" w:eastAsia="Calibri" w:hAnsi="Arial"/>
        </w:rPr>
        <w:t xml:space="preserve"> proceeding</w:t>
      </w:r>
      <w:r>
        <w:rPr>
          <w:rFonts w:ascii="Arial" w:eastAsia="Calibri" w:hAnsi="Arial"/>
        </w:rPr>
        <w:t>s</w:t>
      </w:r>
      <w:r w:rsidR="00F01062">
        <w:rPr>
          <w:rFonts w:ascii="Arial" w:eastAsia="Calibri" w:hAnsi="Arial"/>
        </w:rPr>
        <w:t xml:space="preserve"> is irrelevant because Duke did not file its Application pursuant to Chapter 4928</w:t>
      </w:r>
      <w:r w:rsidR="00131328">
        <w:rPr>
          <w:rFonts w:ascii="Arial" w:eastAsia="Calibri" w:hAnsi="Arial"/>
        </w:rPr>
        <w:t>,</w:t>
      </w:r>
      <w:r w:rsidR="00466045">
        <w:rPr>
          <w:rFonts w:ascii="Arial" w:eastAsia="Calibri" w:hAnsi="Arial"/>
        </w:rPr>
        <w:t xml:space="preserve"> Revised Code</w:t>
      </w:r>
      <w:r w:rsidR="00F01062">
        <w:rPr>
          <w:rFonts w:ascii="Arial" w:eastAsia="Calibri" w:hAnsi="Arial"/>
        </w:rPr>
        <w:t>.  D</w:t>
      </w:r>
      <w:r w:rsidR="0062279A">
        <w:rPr>
          <w:rFonts w:ascii="Arial" w:eastAsia="Calibri" w:hAnsi="Arial"/>
        </w:rPr>
        <w:t xml:space="preserve">uke’s argument is </w:t>
      </w:r>
      <w:r w:rsidR="00B459CD">
        <w:rPr>
          <w:rFonts w:ascii="Arial" w:eastAsia="Calibri" w:hAnsi="Arial"/>
        </w:rPr>
        <w:t xml:space="preserve">at </w:t>
      </w:r>
      <w:r w:rsidR="0062279A">
        <w:rPr>
          <w:rFonts w:ascii="Arial" w:eastAsia="Calibri" w:hAnsi="Arial"/>
        </w:rPr>
        <w:t>odds with the Commission’s Opinion and Order approving a state compensation for Ohio Power Company.</w:t>
      </w:r>
      <w:r>
        <w:rPr>
          <w:rStyle w:val="FootnoteReference"/>
          <w:rFonts w:ascii="Arial" w:eastAsia="Calibri" w:hAnsi="Arial"/>
        </w:rPr>
        <w:footnoteReference w:id="7"/>
      </w:r>
      <w:r w:rsidR="00B459CD">
        <w:rPr>
          <w:rFonts w:ascii="Arial" w:eastAsia="Calibri" w:hAnsi="Arial"/>
        </w:rPr>
        <w:t xml:space="preserve">  The Capacity Order </w:t>
      </w:r>
      <w:r>
        <w:rPr>
          <w:rFonts w:ascii="Arial" w:eastAsia="Calibri" w:hAnsi="Arial"/>
        </w:rPr>
        <w:t>authorized Ohio Power Company to increase the price of capacity charged to competitive retail electric service (“CRES”) providers, but</w:t>
      </w:r>
      <w:r w:rsidR="00EB20C0">
        <w:rPr>
          <w:rFonts w:ascii="Arial" w:eastAsia="Calibri" w:hAnsi="Arial"/>
        </w:rPr>
        <w:t>,</w:t>
      </w:r>
      <w:r>
        <w:rPr>
          <w:rFonts w:ascii="Arial" w:eastAsia="Calibri" w:hAnsi="Arial"/>
        </w:rPr>
        <w:t xml:space="preserve"> in furtherance of </w:t>
      </w:r>
      <w:r w:rsidR="00A802C1">
        <w:rPr>
          <w:rFonts w:ascii="Arial" w:eastAsia="Calibri" w:hAnsi="Arial"/>
        </w:rPr>
        <w:t>s</w:t>
      </w:r>
      <w:r w:rsidR="0062279A">
        <w:rPr>
          <w:rFonts w:ascii="Arial" w:eastAsia="Calibri" w:hAnsi="Arial"/>
        </w:rPr>
        <w:t xml:space="preserve">tate </w:t>
      </w:r>
      <w:r w:rsidR="00A802C1">
        <w:rPr>
          <w:rFonts w:ascii="Arial" w:eastAsia="Calibri" w:hAnsi="Arial"/>
        </w:rPr>
        <w:t>p</w:t>
      </w:r>
      <w:r>
        <w:rPr>
          <w:rFonts w:ascii="Arial" w:eastAsia="Calibri" w:hAnsi="Arial"/>
        </w:rPr>
        <w:t>olicy (</w:t>
      </w:r>
      <w:r w:rsidR="0062279A">
        <w:rPr>
          <w:rFonts w:ascii="Arial" w:eastAsia="Calibri" w:hAnsi="Arial"/>
        </w:rPr>
        <w:t>Section 4928.02, Revised Code</w:t>
      </w:r>
      <w:r>
        <w:rPr>
          <w:rFonts w:ascii="Arial" w:eastAsia="Calibri" w:hAnsi="Arial"/>
        </w:rPr>
        <w:t>)</w:t>
      </w:r>
      <w:r w:rsidR="00EB20C0">
        <w:rPr>
          <w:rFonts w:ascii="Arial" w:eastAsia="Calibri" w:hAnsi="Arial"/>
        </w:rPr>
        <w:t>,</w:t>
      </w:r>
      <w:r>
        <w:rPr>
          <w:rFonts w:ascii="Arial" w:eastAsia="Calibri" w:hAnsi="Arial"/>
        </w:rPr>
        <w:t xml:space="preserve"> the Commission directed Ohio Power Company to defer for future collection the difference between Ohio Power Company’s “cost” of capacity and</w:t>
      </w:r>
      <w:r w:rsidR="0062279A">
        <w:rPr>
          <w:rFonts w:ascii="Arial" w:eastAsia="Calibri" w:hAnsi="Arial"/>
        </w:rPr>
        <w:t xml:space="preserve"> </w:t>
      </w:r>
      <w:r>
        <w:rPr>
          <w:rFonts w:ascii="Arial" w:eastAsia="Calibri" w:hAnsi="Arial"/>
        </w:rPr>
        <w:t xml:space="preserve">the PJM </w:t>
      </w:r>
      <w:r w:rsidR="00466045">
        <w:rPr>
          <w:rFonts w:ascii="Arial" w:eastAsia="Calibri" w:hAnsi="Arial"/>
        </w:rPr>
        <w:t xml:space="preserve">Interconnection LLC (“PJM”) </w:t>
      </w:r>
      <w:r>
        <w:rPr>
          <w:rFonts w:ascii="Arial" w:eastAsia="Calibri" w:hAnsi="Arial"/>
        </w:rPr>
        <w:t>reliability pricing model (“RPM”) capacity price</w:t>
      </w:r>
      <w:r w:rsidR="0062279A">
        <w:rPr>
          <w:rFonts w:ascii="Arial" w:eastAsia="Calibri" w:hAnsi="Arial"/>
        </w:rPr>
        <w:t>.</w:t>
      </w:r>
      <w:r w:rsidR="00301D19">
        <w:rPr>
          <w:rStyle w:val="FootnoteReference"/>
          <w:rFonts w:ascii="Arial" w:eastAsia="Calibri" w:hAnsi="Arial"/>
        </w:rPr>
        <w:footnoteReference w:id="8"/>
      </w:r>
      <w:r w:rsidR="00B459CD">
        <w:rPr>
          <w:rFonts w:ascii="Arial" w:eastAsia="Calibri" w:hAnsi="Arial"/>
        </w:rPr>
        <w:t xml:space="preserve">  Duke’s Application contains a similar proposal</w:t>
      </w:r>
      <w:r w:rsidR="0062279A">
        <w:rPr>
          <w:rFonts w:ascii="Arial" w:eastAsia="Calibri" w:hAnsi="Arial"/>
        </w:rPr>
        <w:t>; thus, state policy i</w:t>
      </w:r>
      <w:r w:rsidR="00EB20C0">
        <w:rPr>
          <w:rFonts w:ascii="Arial" w:eastAsia="Calibri" w:hAnsi="Arial"/>
        </w:rPr>
        <w:t>s of integral importance in these</w:t>
      </w:r>
      <w:r w:rsidR="0062279A">
        <w:rPr>
          <w:rFonts w:ascii="Arial" w:eastAsia="Calibri" w:hAnsi="Arial"/>
        </w:rPr>
        <w:t xml:space="preserve"> proceeding</w:t>
      </w:r>
      <w:r w:rsidR="00EB20C0">
        <w:rPr>
          <w:rFonts w:ascii="Arial" w:eastAsia="Calibri" w:hAnsi="Arial"/>
        </w:rPr>
        <w:t>s</w:t>
      </w:r>
      <w:r w:rsidR="0062279A">
        <w:rPr>
          <w:rFonts w:ascii="Arial" w:eastAsia="Calibri" w:hAnsi="Arial"/>
        </w:rPr>
        <w:t xml:space="preserve">. </w:t>
      </w:r>
    </w:p>
    <w:p w:rsidR="003E6E56" w:rsidRPr="003E6E56" w:rsidRDefault="0062279A" w:rsidP="003E6E56">
      <w:pPr>
        <w:spacing w:line="480" w:lineRule="auto"/>
        <w:jc w:val="both"/>
        <w:rPr>
          <w:rFonts w:ascii="Arial" w:eastAsia="Calibri" w:hAnsi="Arial"/>
        </w:rPr>
      </w:pPr>
      <w:r>
        <w:rPr>
          <w:rFonts w:ascii="Arial" w:eastAsia="Calibri" w:hAnsi="Arial"/>
        </w:rPr>
        <w:tab/>
        <w:t xml:space="preserve">Duke’s claims with respect to the third and fourth criteria also lack merit.  Duke claims that because “these proceedings seek approval of a tariff to collect for services not previously covered by a tariff </w:t>
      </w:r>
      <w:r w:rsidR="00B459CD">
        <w:rPr>
          <w:rFonts w:ascii="Arial" w:eastAsia="Calibri" w:hAnsi="Arial"/>
        </w:rPr>
        <w:t xml:space="preserve">and </w:t>
      </w:r>
      <w:r w:rsidR="00301D19">
        <w:rPr>
          <w:rFonts w:ascii="Arial" w:eastAsia="Calibri" w:hAnsi="Arial"/>
        </w:rPr>
        <w:t>do not seek any increases; thus no hearing is required under R.C. 4909.18 unless the Application may be unjust or unreasonable.”</w:t>
      </w:r>
      <w:r w:rsidR="008A5607">
        <w:rPr>
          <w:rStyle w:val="FootnoteReference"/>
          <w:rFonts w:ascii="Arial" w:eastAsia="Calibri" w:hAnsi="Arial"/>
        </w:rPr>
        <w:footnoteReference w:id="9"/>
      </w:r>
      <w:r w:rsidR="00A46F02">
        <w:rPr>
          <w:rFonts w:ascii="Arial" w:eastAsia="Calibri" w:hAnsi="Arial"/>
        </w:rPr>
        <w:t xml:space="preserve">  </w:t>
      </w:r>
      <w:r w:rsidR="003E6E56">
        <w:rPr>
          <w:rFonts w:ascii="Arial" w:eastAsia="Calibri" w:hAnsi="Arial"/>
        </w:rPr>
        <w:t xml:space="preserve">First, </w:t>
      </w:r>
      <w:r w:rsidR="003E6E56" w:rsidRPr="003E6E56">
        <w:rPr>
          <w:rFonts w:ascii="Arial" w:eastAsia="Calibri" w:hAnsi="Arial"/>
        </w:rPr>
        <w:t>Duke has not articulated how IEU-Ohio’s interventio</w:t>
      </w:r>
      <w:r w:rsidR="00B459CD">
        <w:rPr>
          <w:rFonts w:ascii="Arial" w:eastAsia="Calibri" w:hAnsi="Arial"/>
        </w:rPr>
        <w:t xml:space="preserve">n would delay these proceedings. </w:t>
      </w:r>
      <w:r w:rsidR="00131328">
        <w:rPr>
          <w:rFonts w:ascii="Arial" w:eastAsia="Calibri" w:hAnsi="Arial"/>
        </w:rPr>
        <w:t xml:space="preserve"> </w:t>
      </w:r>
      <w:r w:rsidR="00B459CD">
        <w:rPr>
          <w:rFonts w:ascii="Arial" w:eastAsia="Calibri" w:hAnsi="Arial"/>
        </w:rPr>
        <w:t>R</w:t>
      </w:r>
      <w:r w:rsidR="003E6E56" w:rsidRPr="003E6E56">
        <w:rPr>
          <w:rFonts w:ascii="Arial" w:eastAsia="Calibri" w:hAnsi="Arial"/>
        </w:rPr>
        <w:t>ather</w:t>
      </w:r>
      <w:r w:rsidR="00B459CD">
        <w:rPr>
          <w:rFonts w:ascii="Arial" w:eastAsia="Calibri" w:hAnsi="Arial"/>
        </w:rPr>
        <w:t>,</w:t>
      </w:r>
      <w:r w:rsidR="003E6E56" w:rsidRPr="003E6E56">
        <w:rPr>
          <w:rFonts w:ascii="Arial" w:eastAsia="Calibri" w:hAnsi="Arial"/>
        </w:rPr>
        <w:t xml:space="preserve"> Duke has claimed </w:t>
      </w:r>
      <w:r w:rsidR="003E6E56">
        <w:rPr>
          <w:rFonts w:ascii="Arial" w:eastAsia="Calibri" w:hAnsi="Arial"/>
        </w:rPr>
        <w:t>that a hearing is not required.</w:t>
      </w:r>
      <w:r w:rsidR="003E6E56" w:rsidRPr="003E6E56">
        <w:rPr>
          <w:rFonts w:ascii="Arial" w:eastAsiaTheme="minorHAnsi" w:hAnsi="Arial" w:cs="Arial"/>
        </w:rPr>
        <w:t xml:space="preserve"> </w:t>
      </w:r>
      <w:r w:rsidR="00131328">
        <w:rPr>
          <w:rFonts w:ascii="Arial" w:eastAsiaTheme="minorHAnsi" w:hAnsi="Arial" w:cs="Arial"/>
        </w:rPr>
        <w:t xml:space="preserve"> </w:t>
      </w:r>
      <w:r w:rsidR="003E6E56" w:rsidRPr="003E6E56">
        <w:rPr>
          <w:rFonts w:ascii="Arial" w:eastAsia="Calibri" w:hAnsi="Arial"/>
        </w:rPr>
        <w:t xml:space="preserve">Even assuming, </w:t>
      </w:r>
      <w:r w:rsidR="003E6E56" w:rsidRPr="003E6E56">
        <w:rPr>
          <w:rFonts w:ascii="Arial" w:eastAsia="Calibri" w:hAnsi="Arial"/>
          <w:i/>
        </w:rPr>
        <w:t>arguendo</w:t>
      </w:r>
      <w:r w:rsidR="003E6E56">
        <w:rPr>
          <w:rFonts w:ascii="Arial" w:eastAsia="Calibri" w:hAnsi="Arial"/>
        </w:rPr>
        <w:t>, that the Commission heeds</w:t>
      </w:r>
      <w:r w:rsidR="003E6E56" w:rsidRPr="003E6E56">
        <w:rPr>
          <w:rFonts w:ascii="Arial" w:eastAsia="Calibri" w:hAnsi="Arial"/>
        </w:rPr>
        <w:t xml:space="preserve"> Duke’s absurd claim that a</w:t>
      </w:r>
      <w:r w:rsidR="003E6E56">
        <w:rPr>
          <w:rFonts w:ascii="Arial" w:eastAsia="Calibri" w:hAnsi="Arial"/>
        </w:rPr>
        <w:t xml:space="preserve"> hearing is not required in these</w:t>
      </w:r>
      <w:r w:rsidR="003E6E56" w:rsidRPr="003E6E56">
        <w:rPr>
          <w:rFonts w:ascii="Arial" w:eastAsia="Calibri" w:hAnsi="Arial"/>
        </w:rPr>
        <w:t xml:space="preserve"> proceeding</w:t>
      </w:r>
      <w:r w:rsidR="003E6E56">
        <w:rPr>
          <w:rFonts w:ascii="Arial" w:eastAsia="Calibri" w:hAnsi="Arial"/>
        </w:rPr>
        <w:t>s</w:t>
      </w:r>
      <w:r w:rsidR="003E6E56" w:rsidRPr="003E6E56">
        <w:rPr>
          <w:rFonts w:ascii="Arial" w:eastAsia="Calibri" w:hAnsi="Arial"/>
        </w:rPr>
        <w:t>, the Supreme Court</w:t>
      </w:r>
      <w:r w:rsidR="00EB20C0">
        <w:rPr>
          <w:rFonts w:ascii="Arial" w:eastAsia="Calibri" w:hAnsi="Arial"/>
        </w:rPr>
        <w:t xml:space="preserve"> of Ohio</w:t>
      </w:r>
      <w:r w:rsidR="003E6E56">
        <w:rPr>
          <w:rFonts w:ascii="Arial" w:eastAsia="Calibri" w:hAnsi="Arial"/>
        </w:rPr>
        <w:t>, in</w:t>
      </w:r>
      <w:r w:rsidR="003E6E56" w:rsidRPr="003E6E56">
        <w:rPr>
          <w:rFonts w:cs="Arial"/>
          <w:i/>
        </w:rPr>
        <w:t xml:space="preserve"> </w:t>
      </w:r>
      <w:r w:rsidR="003E6E56" w:rsidRPr="003E6E56">
        <w:rPr>
          <w:rFonts w:ascii="Arial" w:hAnsi="Arial" w:cs="Arial"/>
          <w:i/>
        </w:rPr>
        <w:t>Ohio Consumers' Counsel v. Pub. Util. Comm.</w:t>
      </w:r>
      <w:r w:rsidR="003E6E56" w:rsidRPr="003E6E56">
        <w:rPr>
          <w:rFonts w:ascii="Arial" w:hAnsi="Arial" w:cs="Arial"/>
        </w:rPr>
        <w:t>, 111 Ohio St. 3d 384, ¶16 (2006)</w:t>
      </w:r>
      <w:r w:rsidR="003E6E56">
        <w:rPr>
          <w:rFonts w:ascii="Arial" w:hAnsi="Arial" w:cs="Arial"/>
        </w:rPr>
        <w:t xml:space="preserve">, </w:t>
      </w:r>
      <w:r w:rsidR="003E6E56" w:rsidRPr="003E6E56">
        <w:rPr>
          <w:rFonts w:ascii="Arial" w:eastAsia="Calibri" w:hAnsi="Arial" w:cs="Arial"/>
        </w:rPr>
        <w:t>determine</w:t>
      </w:r>
      <w:r w:rsidR="003E6E56" w:rsidRPr="003E6E56">
        <w:rPr>
          <w:rFonts w:ascii="Arial" w:eastAsia="Calibri" w:hAnsi="Arial"/>
        </w:rPr>
        <w:t>d</w:t>
      </w:r>
      <w:r w:rsidR="003E6E56">
        <w:rPr>
          <w:rFonts w:ascii="Arial" w:eastAsia="Calibri" w:hAnsi="Arial"/>
        </w:rPr>
        <w:t xml:space="preserve"> that</w:t>
      </w:r>
      <w:r w:rsidR="003E6E56" w:rsidRPr="003E6E56">
        <w:rPr>
          <w:rFonts w:ascii="Arial" w:eastAsia="Calibri" w:hAnsi="Arial"/>
        </w:rPr>
        <w:t xml:space="preserve"> the absence of a hearing is not a ground for denying intervention</w:t>
      </w:r>
      <w:r w:rsidR="003E6E56">
        <w:rPr>
          <w:rFonts w:ascii="Arial" w:eastAsia="Calibri" w:hAnsi="Arial"/>
        </w:rPr>
        <w:t xml:space="preserve">, stating: </w:t>
      </w:r>
    </w:p>
    <w:p w:rsidR="00A46F02" w:rsidRDefault="003E6E56" w:rsidP="003E6E56">
      <w:pPr>
        <w:ind w:left="720" w:right="720"/>
        <w:jc w:val="both"/>
        <w:rPr>
          <w:rFonts w:ascii="Arial" w:eastAsia="Calibri" w:hAnsi="Arial"/>
        </w:rPr>
      </w:pPr>
      <w:r w:rsidRPr="003E6E56">
        <w:rPr>
          <w:rFonts w:ascii="Arial" w:eastAsia="Calibri" w:hAnsi="Arial"/>
        </w:rPr>
        <w:lastRenderedPageBreak/>
        <w:t>Even if no hearing was scheduled or contemplated when the Consumers' Counsel sought to intervene, her motions and accompanying memoranda properly addressed the relevant criteria of R.C. 4903.221. In our view, whether or not a hearing is held, intervention ought to be liberally allowed so that the positions of all persons with a real and substantial interest in the proceedings can be considered by the PUCO.</w:t>
      </w:r>
    </w:p>
    <w:p w:rsidR="003E6E56" w:rsidRDefault="003E6E56" w:rsidP="003E6E56">
      <w:pPr>
        <w:ind w:left="720" w:right="720"/>
        <w:jc w:val="both"/>
        <w:rPr>
          <w:rFonts w:ascii="Arial" w:eastAsia="Calibri" w:hAnsi="Arial"/>
        </w:rPr>
      </w:pPr>
    </w:p>
    <w:p w:rsidR="0062279A" w:rsidRDefault="00301D19" w:rsidP="00F01062">
      <w:pPr>
        <w:spacing w:line="480" w:lineRule="auto"/>
        <w:jc w:val="both"/>
        <w:rPr>
          <w:rFonts w:ascii="Arial" w:eastAsia="Calibri" w:hAnsi="Arial"/>
        </w:rPr>
      </w:pPr>
      <w:r>
        <w:rPr>
          <w:rFonts w:ascii="Arial" w:eastAsia="Calibri" w:hAnsi="Arial"/>
        </w:rPr>
        <w:t xml:space="preserve">  </w:t>
      </w:r>
      <w:r w:rsidR="003E6E56">
        <w:rPr>
          <w:rFonts w:ascii="Arial" w:eastAsia="Calibri" w:hAnsi="Arial"/>
        </w:rPr>
        <w:tab/>
        <w:t>Re</w:t>
      </w:r>
      <w:r w:rsidR="00B459CD">
        <w:rPr>
          <w:rFonts w:ascii="Arial" w:eastAsia="Calibri" w:hAnsi="Arial"/>
        </w:rPr>
        <w:t>gardless, a hearing is required</w:t>
      </w:r>
      <w:r w:rsidR="003E6E56">
        <w:rPr>
          <w:rFonts w:ascii="Arial" w:eastAsia="Calibri" w:hAnsi="Arial"/>
        </w:rPr>
        <w:t>.  C</w:t>
      </w:r>
      <w:r w:rsidR="00DC11E5">
        <w:rPr>
          <w:rFonts w:ascii="Arial" w:eastAsia="Calibri" w:hAnsi="Arial"/>
        </w:rPr>
        <w:t xml:space="preserve">ontrary to Duke’s claim, the Application seeks an increase in rates.  In the Stipulation submitted by Duke and several intervenors — including IEU-Ohio — to resolve Duke’s </w:t>
      </w:r>
      <w:r w:rsidR="00A802C1">
        <w:rPr>
          <w:rFonts w:ascii="Arial" w:eastAsia="Calibri" w:hAnsi="Arial"/>
        </w:rPr>
        <w:t>electric security plan (“</w:t>
      </w:r>
      <w:r w:rsidR="00DC11E5">
        <w:rPr>
          <w:rFonts w:ascii="Arial" w:eastAsia="Calibri" w:hAnsi="Arial"/>
        </w:rPr>
        <w:t>ESP</w:t>
      </w:r>
      <w:r w:rsidR="00A802C1">
        <w:rPr>
          <w:rFonts w:ascii="Arial" w:eastAsia="Calibri" w:hAnsi="Arial"/>
        </w:rPr>
        <w:t>”)</w:t>
      </w:r>
      <w:r w:rsidR="00DC11E5">
        <w:rPr>
          <w:rFonts w:ascii="Arial" w:eastAsia="Calibri" w:hAnsi="Arial"/>
        </w:rPr>
        <w:t>, Duke committed to charge the final zonal clearing price (“FZCP”) for capacity, the RPM-based price, during the term of its ESP.  Duke’s ESP is set to expire on May 31, 2015.  Because Duke seeks to modify and increase the price for capacity charged during the duration of its ESP, Duke’</w:t>
      </w:r>
      <w:r w:rsidR="003E6E56">
        <w:rPr>
          <w:rFonts w:ascii="Arial" w:eastAsia="Calibri" w:hAnsi="Arial"/>
        </w:rPr>
        <w:t>s Application is a request to</w:t>
      </w:r>
      <w:r w:rsidR="00DC11E5">
        <w:rPr>
          <w:rFonts w:ascii="Arial" w:eastAsia="Calibri" w:hAnsi="Arial"/>
        </w:rPr>
        <w:t xml:space="preserve"> increase rates.  Accordingly</w:t>
      </w:r>
      <w:r w:rsidR="00756CC1">
        <w:rPr>
          <w:rFonts w:ascii="Arial" w:eastAsia="Calibri" w:hAnsi="Arial"/>
        </w:rPr>
        <w:t xml:space="preserve">, </w:t>
      </w:r>
      <w:r w:rsidR="00DC11E5">
        <w:rPr>
          <w:rFonts w:ascii="Arial" w:eastAsia="Calibri" w:hAnsi="Arial"/>
        </w:rPr>
        <w:t xml:space="preserve">a hearing is required and IEU-Ohio is entitled to participate in such hearing with the full rights afforded to intervening parties. </w:t>
      </w:r>
    </w:p>
    <w:p w:rsidR="0006447D" w:rsidRDefault="00DC11E5" w:rsidP="00DC11E5">
      <w:pPr>
        <w:spacing w:line="480" w:lineRule="auto"/>
        <w:jc w:val="both"/>
        <w:rPr>
          <w:rFonts w:ascii="Arial" w:eastAsia="Calibri" w:hAnsi="Arial"/>
        </w:rPr>
      </w:pPr>
      <w:r>
        <w:rPr>
          <w:rFonts w:ascii="Arial" w:eastAsia="Calibri" w:hAnsi="Arial"/>
        </w:rPr>
        <w:tab/>
        <w:t>Even if Duke’s Application is not for an increase in rates</w:t>
      </w:r>
      <w:r w:rsidR="00492744">
        <w:rPr>
          <w:rFonts w:ascii="Arial" w:eastAsia="Calibri" w:hAnsi="Arial"/>
        </w:rPr>
        <w:t>,</w:t>
      </w:r>
      <w:r w:rsidR="00EB20C0">
        <w:rPr>
          <w:rFonts w:ascii="Arial" w:eastAsia="Calibri" w:hAnsi="Arial"/>
        </w:rPr>
        <w:t xml:space="preserve"> </w:t>
      </w:r>
      <w:r>
        <w:rPr>
          <w:rFonts w:ascii="Arial" w:eastAsia="Calibri" w:hAnsi="Arial"/>
        </w:rPr>
        <w:t>the Application does not appear to be just or reasonable</w:t>
      </w:r>
      <w:r w:rsidR="0006447D">
        <w:rPr>
          <w:rFonts w:ascii="Arial" w:eastAsia="Calibri" w:hAnsi="Arial"/>
        </w:rPr>
        <w:t xml:space="preserve"> for several reasons</w:t>
      </w:r>
      <w:r w:rsidR="00EB20C0">
        <w:rPr>
          <w:rFonts w:ascii="Arial" w:eastAsia="Calibri" w:hAnsi="Arial"/>
        </w:rPr>
        <w:t>.  T</w:t>
      </w:r>
      <w:r>
        <w:rPr>
          <w:rFonts w:ascii="Arial" w:eastAsia="Calibri" w:hAnsi="Arial"/>
        </w:rPr>
        <w:t>hus, a hearing is required.</w:t>
      </w:r>
      <w:r w:rsidR="0006447D">
        <w:rPr>
          <w:rFonts w:ascii="Arial" w:eastAsia="Calibri" w:hAnsi="Arial"/>
        </w:rPr>
        <w:t xml:space="preserve"> </w:t>
      </w:r>
      <w:r w:rsidR="00A10573">
        <w:rPr>
          <w:rFonts w:ascii="Arial" w:eastAsia="Calibri" w:hAnsi="Arial"/>
        </w:rPr>
        <w:t xml:space="preserve"> </w:t>
      </w:r>
      <w:r w:rsidR="0006447D">
        <w:rPr>
          <w:rFonts w:ascii="Arial" w:eastAsia="Calibri" w:hAnsi="Arial"/>
        </w:rPr>
        <w:t>First, a</w:t>
      </w:r>
      <w:r>
        <w:rPr>
          <w:rFonts w:ascii="Arial" w:eastAsia="Calibri" w:hAnsi="Arial"/>
        </w:rPr>
        <w:t>s stated above, Duke previously committed to charge the RPM price for capacity during the duration of its ESP.</w:t>
      </w:r>
      <w:r w:rsidR="002525B2">
        <w:rPr>
          <w:rStyle w:val="FootnoteReference"/>
          <w:rFonts w:ascii="Arial" w:eastAsia="Calibri" w:hAnsi="Arial"/>
        </w:rPr>
        <w:footnoteReference w:id="10"/>
      </w:r>
      <w:r>
        <w:rPr>
          <w:rFonts w:ascii="Arial" w:eastAsia="Calibri" w:hAnsi="Arial"/>
        </w:rPr>
        <w:t xml:space="preserve">  Duke’s Application violates the </w:t>
      </w:r>
      <w:r w:rsidR="00492744">
        <w:rPr>
          <w:rFonts w:ascii="Arial" w:eastAsia="Calibri" w:hAnsi="Arial"/>
        </w:rPr>
        <w:t xml:space="preserve">ESP </w:t>
      </w:r>
      <w:r>
        <w:rPr>
          <w:rFonts w:ascii="Arial" w:eastAsia="Calibri" w:hAnsi="Arial"/>
        </w:rPr>
        <w:t xml:space="preserve">Stipulation.  As a signatory party to the </w:t>
      </w:r>
      <w:r w:rsidR="00492744">
        <w:rPr>
          <w:rFonts w:ascii="Arial" w:eastAsia="Calibri" w:hAnsi="Arial"/>
        </w:rPr>
        <w:t xml:space="preserve">ESP </w:t>
      </w:r>
      <w:r>
        <w:rPr>
          <w:rFonts w:ascii="Arial" w:eastAsia="Calibri" w:hAnsi="Arial"/>
        </w:rPr>
        <w:t xml:space="preserve">Stipulation, IEU-Ohio must be permitted to </w:t>
      </w:r>
      <w:r w:rsidR="002525B2">
        <w:rPr>
          <w:rFonts w:ascii="Arial" w:eastAsia="Calibri" w:hAnsi="Arial"/>
        </w:rPr>
        <w:t xml:space="preserve">intervene in this proceeding so that IEU-Ohio may </w:t>
      </w:r>
      <w:r>
        <w:rPr>
          <w:rFonts w:ascii="Arial" w:eastAsia="Calibri" w:hAnsi="Arial"/>
        </w:rPr>
        <w:t xml:space="preserve">enforce the terms </w:t>
      </w:r>
      <w:r w:rsidR="002525B2">
        <w:rPr>
          <w:rFonts w:ascii="Arial" w:eastAsia="Calibri" w:hAnsi="Arial"/>
        </w:rPr>
        <w:t xml:space="preserve">of the bargain </w:t>
      </w:r>
      <w:r>
        <w:rPr>
          <w:rFonts w:ascii="Arial" w:eastAsia="Calibri" w:hAnsi="Arial"/>
        </w:rPr>
        <w:t xml:space="preserve">agreed </w:t>
      </w:r>
      <w:r w:rsidR="002525B2">
        <w:rPr>
          <w:rFonts w:ascii="Arial" w:eastAsia="Calibri" w:hAnsi="Arial"/>
        </w:rPr>
        <w:t>to by Duke in its ESP Stipulation</w:t>
      </w:r>
      <w:r>
        <w:rPr>
          <w:rFonts w:ascii="Arial" w:eastAsia="Calibri" w:hAnsi="Arial"/>
        </w:rPr>
        <w:t>.</w:t>
      </w:r>
    </w:p>
    <w:p w:rsidR="00DD558D" w:rsidRPr="00DC11E5" w:rsidRDefault="0006447D" w:rsidP="00DC11E5">
      <w:pPr>
        <w:spacing w:line="480" w:lineRule="auto"/>
        <w:jc w:val="both"/>
        <w:rPr>
          <w:rFonts w:ascii="Arial" w:eastAsia="Calibri" w:hAnsi="Arial"/>
        </w:rPr>
      </w:pPr>
      <w:r>
        <w:rPr>
          <w:rFonts w:ascii="Arial" w:eastAsia="Calibri" w:hAnsi="Arial"/>
        </w:rPr>
        <w:tab/>
        <w:t xml:space="preserve">Second, through a separate </w:t>
      </w:r>
      <w:r w:rsidR="00A10573">
        <w:rPr>
          <w:rFonts w:ascii="Arial" w:eastAsia="Calibri" w:hAnsi="Arial"/>
        </w:rPr>
        <w:t>S</w:t>
      </w:r>
      <w:r>
        <w:rPr>
          <w:rFonts w:ascii="Arial" w:eastAsia="Calibri" w:hAnsi="Arial"/>
        </w:rPr>
        <w:t xml:space="preserve">tipulation and </w:t>
      </w:r>
      <w:r w:rsidR="00A10573">
        <w:rPr>
          <w:rFonts w:ascii="Arial" w:eastAsia="Calibri" w:hAnsi="Arial"/>
        </w:rPr>
        <w:t>R</w:t>
      </w:r>
      <w:r>
        <w:rPr>
          <w:rFonts w:ascii="Arial" w:eastAsia="Calibri" w:hAnsi="Arial"/>
        </w:rPr>
        <w:t>ecommendation</w:t>
      </w:r>
      <w:r w:rsidR="003E6E56">
        <w:rPr>
          <w:rFonts w:ascii="Arial" w:eastAsia="Calibri" w:hAnsi="Arial"/>
        </w:rPr>
        <w:t xml:space="preserve"> (the Base Transmission Rider Stipulation)</w:t>
      </w:r>
      <w:r>
        <w:rPr>
          <w:rFonts w:ascii="Arial" w:eastAsia="Calibri" w:hAnsi="Arial"/>
        </w:rPr>
        <w:t xml:space="preserve">, Duke committed to not seek a cost-based capacity </w:t>
      </w:r>
      <w:r>
        <w:rPr>
          <w:rFonts w:ascii="Arial" w:eastAsia="Calibri" w:hAnsi="Arial"/>
        </w:rPr>
        <w:lastRenderedPageBreak/>
        <w:t>filing at the Federal Energy Regulatory Commission (“FERC”).</w:t>
      </w:r>
      <w:r>
        <w:rPr>
          <w:rStyle w:val="FootnoteReference"/>
          <w:rFonts w:ascii="Arial" w:eastAsia="Calibri" w:hAnsi="Arial"/>
        </w:rPr>
        <w:footnoteReference w:id="11"/>
      </w:r>
      <w:r>
        <w:rPr>
          <w:rFonts w:ascii="Arial" w:eastAsia="Calibri" w:hAnsi="Arial"/>
        </w:rPr>
        <w:t xml:space="preserve"> </w:t>
      </w:r>
      <w:r w:rsidR="006663E8">
        <w:rPr>
          <w:rFonts w:ascii="Arial" w:eastAsia="Calibri" w:hAnsi="Arial"/>
        </w:rPr>
        <w:t xml:space="preserve"> </w:t>
      </w:r>
      <w:r w:rsidRPr="0006447D">
        <w:rPr>
          <w:rFonts w:ascii="Arial" w:hAnsi="Arial" w:cs="Arial"/>
        </w:rPr>
        <w:t>Duk</w:t>
      </w:r>
      <w:r w:rsidR="002525B2">
        <w:rPr>
          <w:rFonts w:ascii="Arial" w:hAnsi="Arial" w:cs="Arial"/>
        </w:rPr>
        <w:t>e’s commitment is</w:t>
      </w:r>
      <w:r>
        <w:rPr>
          <w:rFonts w:ascii="Arial" w:hAnsi="Arial" w:cs="Arial"/>
        </w:rPr>
        <w:t xml:space="preserve"> </w:t>
      </w:r>
      <w:r w:rsidRPr="0006447D">
        <w:rPr>
          <w:rFonts w:ascii="Arial" w:hAnsi="Arial" w:cs="Arial"/>
        </w:rPr>
        <w:t>for the period between Janu</w:t>
      </w:r>
      <w:r w:rsidR="002525B2">
        <w:rPr>
          <w:rFonts w:ascii="Arial" w:hAnsi="Arial" w:cs="Arial"/>
        </w:rPr>
        <w:t xml:space="preserve">ary 1, 2012 and May 31, 2016.  </w:t>
      </w:r>
      <w:r w:rsidRPr="0006447D">
        <w:rPr>
          <w:rFonts w:ascii="Arial" w:eastAsia="Calibri" w:hAnsi="Arial" w:cs="Arial"/>
        </w:rPr>
        <w:t>Th</w:t>
      </w:r>
      <w:r>
        <w:rPr>
          <w:rFonts w:ascii="Arial" w:eastAsia="Calibri" w:hAnsi="Arial"/>
        </w:rPr>
        <w:t xml:space="preserve">e Commission approved that Stipulation </w:t>
      </w:r>
      <w:r w:rsidR="00BC65F9">
        <w:rPr>
          <w:rFonts w:ascii="Arial" w:eastAsia="Calibri" w:hAnsi="Arial"/>
        </w:rPr>
        <w:t>on May 25, 2011.  Duke’s Application appears to be unjust and unreasonable in light of its BTR</w:t>
      </w:r>
      <w:r w:rsidR="00127BD0">
        <w:rPr>
          <w:rFonts w:ascii="Arial" w:eastAsia="Calibri" w:hAnsi="Arial"/>
        </w:rPr>
        <w:t xml:space="preserve"> </w:t>
      </w:r>
      <w:r w:rsidR="00BC65F9">
        <w:rPr>
          <w:rFonts w:ascii="Arial" w:eastAsia="Calibri" w:hAnsi="Arial"/>
        </w:rPr>
        <w:t>Stipulation commitment.</w:t>
      </w:r>
    </w:p>
    <w:p w:rsidR="0006447D" w:rsidRDefault="00BC65F9" w:rsidP="00BC65F9">
      <w:pPr>
        <w:spacing w:line="480" w:lineRule="auto"/>
        <w:ind w:firstLine="720"/>
        <w:jc w:val="both"/>
        <w:rPr>
          <w:rFonts w:ascii="Arial" w:eastAsia="Calibri" w:hAnsi="Arial"/>
        </w:rPr>
      </w:pPr>
      <w:r>
        <w:rPr>
          <w:rFonts w:ascii="Arial" w:eastAsia="Calibri" w:hAnsi="Arial"/>
        </w:rPr>
        <w:t>Third</w:t>
      </w:r>
      <w:r w:rsidR="00DD558D" w:rsidRPr="00DD558D">
        <w:rPr>
          <w:rFonts w:ascii="Arial" w:eastAsia="Calibri" w:hAnsi="Arial"/>
        </w:rPr>
        <w:t>, the Application indicates that Duke is seeking to recover the cost of capacity provided by its generating units for the period of August 1, 201</w:t>
      </w:r>
      <w:r w:rsidR="006663E8">
        <w:rPr>
          <w:rFonts w:ascii="Arial" w:eastAsia="Calibri" w:hAnsi="Arial"/>
        </w:rPr>
        <w:t>2</w:t>
      </w:r>
      <w:r w:rsidR="00DD558D" w:rsidRPr="00DD558D">
        <w:rPr>
          <w:rFonts w:ascii="Arial" w:eastAsia="Calibri" w:hAnsi="Arial"/>
        </w:rPr>
        <w:t xml:space="preserve"> to May 31, 2015.</w:t>
      </w:r>
      <w:r w:rsidR="002525B2">
        <w:rPr>
          <w:rStyle w:val="FootnoteReference"/>
          <w:rFonts w:ascii="Arial" w:eastAsia="Calibri" w:hAnsi="Arial"/>
        </w:rPr>
        <w:footnoteReference w:id="12"/>
      </w:r>
      <w:r w:rsidR="00DD558D" w:rsidRPr="00DD558D">
        <w:rPr>
          <w:rFonts w:ascii="Arial" w:eastAsia="Calibri" w:hAnsi="Arial"/>
        </w:rPr>
        <w:t xml:space="preserve">  Because Duke’s revenue requirement was calculated as if it had a cost-based rate from August 1, 2012</w:t>
      </w:r>
      <w:r w:rsidR="002525B2">
        <w:rPr>
          <w:rFonts w:ascii="Arial" w:eastAsia="Calibri" w:hAnsi="Arial"/>
        </w:rPr>
        <w:t xml:space="preserve"> (and it is currently September)</w:t>
      </w:r>
      <w:r w:rsidR="00DD558D" w:rsidRPr="00DD558D">
        <w:rPr>
          <w:rFonts w:ascii="Arial" w:eastAsia="Calibri" w:hAnsi="Arial"/>
        </w:rPr>
        <w:t xml:space="preserve">; Duke’s Application seeks to retroactively increase rates.  Such a request is not just and reasonable.   </w:t>
      </w:r>
    </w:p>
    <w:p w:rsidR="00DD558D" w:rsidRPr="00DD558D" w:rsidRDefault="00BC65F9" w:rsidP="00DD558D">
      <w:pPr>
        <w:spacing w:line="480" w:lineRule="auto"/>
        <w:ind w:firstLine="720"/>
        <w:jc w:val="both"/>
        <w:rPr>
          <w:rFonts w:ascii="Arial" w:eastAsia="Calibri" w:hAnsi="Arial"/>
        </w:rPr>
      </w:pPr>
      <w:r>
        <w:rPr>
          <w:rFonts w:ascii="Arial" w:eastAsia="Calibri" w:hAnsi="Arial"/>
        </w:rPr>
        <w:t>Fourth</w:t>
      </w:r>
      <w:r w:rsidR="00DD558D" w:rsidRPr="00DD558D">
        <w:rPr>
          <w:rFonts w:ascii="Arial" w:eastAsia="Calibri" w:hAnsi="Arial"/>
        </w:rPr>
        <w:t>,</w:t>
      </w:r>
      <w:r w:rsidR="003E6E56" w:rsidRPr="003E6E56">
        <w:rPr>
          <w:rFonts w:ascii="Arial" w:eastAsia="Calibri" w:hAnsi="Arial"/>
        </w:rPr>
        <w:t xml:space="preserve"> </w:t>
      </w:r>
      <w:r w:rsidR="002525B2">
        <w:rPr>
          <w:rFonts w:ascii="Arial" w:eastAsia="Calibri" w:hAnsi="Arial"/>
        </w:rPr>
        <w:t>while Duke claims its rate increase</w:t>
      </w:r>
      <w:r w:rsidR="003E6E56">
        <w:rPr>
          <w:rFonts w:ascii="Arial" w:eastAsia="Calibri" w:hAnsi="Arial"/>
        </w:rPr>
        <w:t xml:space="preserve"> requires “no more than arithmetic modifications”</w:t>
      </w:r>
      <w:r w:rsidR="003E6E56">
        <w:rPr>
          <w:rStyle w:val="FootnoteReference"/>
          <w:rFonts w:ascii="Arial" w:eastAsia="Calibri" w:hAnsi="Arial"/>
        </w:rPr>
        <w:footnoteReference w:id="13"/>
      </w:r>
      <w:r w:rsidR="003E6E56">
        <w:rPr>
          <w:rFonts w:ascii="Arial" w:eastAsia="Calibri" w:hAnsi="Arial"/>
        </w:rPr>
        <w:t xml:space="preserve"> because the Commission approved a state compensation mechanism for Ohio Power Company, Duke ignores the fact the Ohio Power Company’s “arithmetic” was</w:t>
      </w:r>
      <w:r w:rsidR="002525B2">
        <w:rPr>
          <w:rFonts w:ascii="Arial" w:eastAsia="Calibri" w:hAnsi="Arial"/>
        </w:rPr>
        <w:t xml:space="preserve"> the subject of witness testimony, weeks of hearings, and Ohio Power Company’s “arithmetic” was ultimately rejected</w:t>
      </w:r>
      <w:r w:rsidR="003E6E56">
        <w:rPr>
          <w:rFonts w:ascii="Arial" w:eastAsia="Calibri" w:hAnsi="Arial"/>
        </w:rPr>
        <w:t xml:space="preserve">.  Moreover, the Application appears to contain several “arithmetic” errors.  For example, </w:t>
      </w:r>
      <w:r w:rsidR="006663E8">
        <w:rPr>
          <w:rFonts w:ascii="Arial" w:eastAsia="Calibri" w:hAnsi="Arial"/>
        </w:rPr>
        <w:t xml:space="preserve">Application, </w:t>
      </w:r>
      <w:r w:rsidR="00DD558D" w:rsidRPr="00DD558D">
        <w:rPr>
          <w:rFonts w:ascii="Arial" w:eastAsia="Calibri" w:hAnsi="Arial"/>
        </w:rPr>
        <w:t>Attachment A</w:t>
      </w:r>
      <w:r w:rsidR="006663E8">
        <w:rPr>
          <w:rFonts w:ascii="Arial" w:eastAsia="Calibri" w:hAnsi="Arial"/>
        </w:rPr>
        <w:t>,</w:t>
      </w:r>
      <w:r w:rsidR="00DD558D" w:rsidRPr="00DD558D">
        <w:rPr>
          <w:rFonts w:ascii="Arial" w:eastAsia="Calibri" w:hAnsi="Arial"/>
        </w:rPr>
        <w:t xml:space="preserve"> contains a list of the generating units, which alleged</w:t>
      </w:r>
      <w:r w:rsidR="003E6E56">
        <w:rPr>
          <w:rFonts w:ascii="Arial" w:eastAsia="Calibri" w:hAnsi="Arial"/>
        </w:rPr>
        <w:t>ly are being relied upon to provide capacity for Duke’s service territory</w:t>
      </w:r>
      <w:r w:rsidR="00DD558D" w:rsidRPr="00DD558D">
        <w:rPr>
          <w:rFonts w:ascii="Arial" w:eastAsia="Calibri" w:hAnsi="Arial"/>
        </w:rPr>
        <w:t>.  The list, however, in Attachment A con</w:t>
      </w:r>
      <w:r w:rsidR="00DD3D67">
        <w:rPr>
          <w:rFonts w:ascii="Arial" w:eastAsia="Calibri" w:hAnsi="Arial"/>
        </w:rPr>
        <w:t>tains Beckjord Units 1 through 6</w:t>
      </w:r>
      <w:r w:rsidR="00DD558D" w:rsidRPr="00DD558D">
        <w:rPr>
          <w:rFonts w:ascii="Arial" w:eastAsia="Calibri" w:hAnsi="Arial"/>
        </w:rPr>
        <w:t xml:space="preserve">, which are scheduled for retirement </w:t>
      </w:r>
      <w:r w:rsidR="00DD3D67">
        <w:rPr>
          <w:rFonts w:ascii="Arial" w:eastAsia="Calibri" w:hAnsi="Arial"/>
        </w:rPr>
        <w:t xml:space="preserve">in </w:t>
      </w:r>
      <w:r w:rsidR="00DD558D" w:rsidRPr="00DD558D">
        <w:rPr>
          <w:rFonts w:ascii="Arial" w:eastAsia="Calibri" w:hAnsi="Arial"/>
        </w:rPr>
        <w:t>2015.</w:t>
      </w:r>
      <w:r w:rsidR="00DD3D67">
        <w:rPr>
          <w:rStyle w:val="FootnoteReference"/>
          <w:rFonts w:ascii="Arial" w:eastAsia="Calibri" w:hAnsi="Arial"/>
        </w:rPr>
        <w:footnoteReference w:id="14"/>
      </w:r>
      <w:r w:rsidR="00DD558D" w:rsidRPr="00DD558D">
        <w:rPr>
          <w:rFonts w:ascii="Arial" w:eastAsia="Calibri" w:hAnsi="Arial"/>
        </w:rPr>
        <w:t xml:space="preserve">  Thus, Duke’s request is not </w:t>
      </w:r>
      <w:r w:rsidR="00DD558D" w:rsidRPr="00DD558D">
        <w:rPr>
          <w:rFonts w:ascii="Arial" w:eastAsia="Calibri" w:hAnsi="Arial"/>
        </w:rPr>
        <w:lastRenderedPageBreak/>
        <w:t>just and reasonable because it seeks to recover costs for units, which will not be used and useful during the duration of the charge sought by Duke.</w:t>
      </w:r>
      <w:r w:rsidR="00493E2E">
        <w:rPr>
          <w:rFonts w:ascii="Arial" w:eastAsia="Calibri" w:hAnsi="Arial"/>
        </w:rPr>
        <w:t xml:space="preserve">  </w:t>
      </w:r>
    </w:p>
    <w:p w:rsidR="00C609F8" w:rsidRDefault="00BC65F9" w:rsidP="00BC65F9">
      <w:pPr>
        <w:spacing w:line="480" w:lineRule="auto"/>
        <w:ind w:firstLine="720"/>
        <w:jc w:val="both"/>
        <w:rPr>
          <w:rFonts w:ascii="Arial" w:eastAsia="Calibri" w:hAnsi="Arial"/>
        </w:rPr>
      </w:pPr>
      <w:r>
        <w:rPr>
          <w:rFonts w:ascii="Arial" w:eastAsia="Calibri" w:hAnsi="Arial"/>
        </w:rPr>
        <w:t>Fifth</w:t>
      </w:r>
      <w:r w:rsidR="00DD558D" w:rsidRPr="00DD558D">
        <w:rPr>
          <w:rFonts w:ascii="Arial" w:eastAsia="Calibri" w:hAnsi="Arial"/>
        </w:rPr>
        <w:t xml:space="preserve">, Duke’s Application also appears to be unjust and unreasonable because </w:t>
      </w:r>
      <w:r w:rsidR="00C609F8">
        <w:rPr>
          <w:rFonts w:ascii="Arial" w:eastAsia="Calibri" w:hAnsi="Arial"/>
        </w:rPr>
        <w:t>it violates state corporate separation requirements,</w:t>
      </w:r>
      <w:r w:rsidR="000C23CA">
        <w:rPr>
          <w:rStyle w:val="FootnoteReference"/>
          <w:rFonts w:ascii="Arial" w:eastAsia="Calibri" w:hAnsi="Arial"/>
        </w:rPr>
        <w:footnoteReference w:id="15"/>
      </w:r>
      <w:r w:rsidR="00C609F8">
        <w:rPr>
          <w:rFonts w:ascii="Arial" w:eastAsia="Calibri" w:hAnsi="Arial"/>
        </w:rPr>
        <w:t xml:space="preserve"> state prohibitions against subsidies, federal prohibitions against affiliate abuse</w:t>
      </w:r>
      <w:r w:rsidR="008A5607">
        <w:rPr>
          <w:rFonts w:ascii="Arial" w:eastAsia="Calibri" w:hAnsi="Arial"/>
        </w:rPr>
        <w:t xml:space="preserve"> (Edgar Standards)</w:t>
      </w:r>
      <w:r w:rsidR="00C609F8">
        <w:rPr>
          <w:rFonts w:ascii="Arial" w:eastAsia="Calibri" w:hAnsi="Arial"/>
        </w:rPr>
        <w:t>, and conflicts with representations made by Duke in its</w:t>
      </w:r>
      <w:r w:rsidR="00DD558D" w:rsidRPr="00DD558D">
        <w:rPr>
          <w:rFonts w:ascii="Arial" w:eastAsia="Calibri" w:hAnsi="Arial"/>
        </w:rPr>
        <w:t xml:space="preserve"> FERC </w:t>
      </w:r>
      <w:r w:rsidR="00C609F8">
        <w:rPr>
          <w:rFonts w:ascii="Arial" w:eastAsia="Calibri" w:hAnsi="Arial"/>
        </w:rPr>
        <w:t>application</w:t>
      </w:r>
      <w:r w:rsidR="00DD558D" w:rsidRPr="00DD558D">
        <w:rPr>
          <w:rFonts w:ascii="Arial" w:eastAsia="Calibri" w:hAnsi="Arial"/>
        </w:rPr>
        <w:t xml:space="preserve"> to divest generating assets</w:t>
      </w:r>
      <w:r w:rsidR="00C609F8">
        <w:rPr>
          <w:rFonts w:ascii="Arial" w:eastAsia="Calibri" w:hAnsi="Arial"/>
        </w:rPr>
        <w:t xml:space="preserve"> (FERC Application).  Duke’s FERC Application, which requested that Duke be authorized to divest generating assets in October 2012,</w:t>
      </w:r>
      <w:r w:rsidR="00DD558D" w:rsidRPr="00DD558D">
        <w:rPr>
          <w:rFonts w:ascii="Arial" w:eastAsia="Calibri" w:hAnsi="Arial"/>
        </w:rPr>
        <w:t xml:space="preserve"> was approved on Septe</w:t>
      </w:r>
      <w:r w:rsidR="00C609F8">
        <w:rPr>
          <w:rFonts w:ascii="Arial" w:eastAsia="Calibri" w:hAnsi="Arial"/>
        </w:rPr>
        <w:t>mber 5, 2012.  Accordingly, the generating units listed on Attachment A will not be owned by Duke—the assets will be owned by Duke’s affiliated</w:t>
      </w:r>
      <w:r w:rsidR="00405CE4">
        <w:rPr>
          <w:rFonts w:ascii="Arial" w:eastAsia="Calibri" w:hAnsi="Arial"/>
        </w:rPr>
        <w:t xml:space="preserve"> companies. The Application’s request that Duke’s affiliates receive above-market cost-based capacity compensation</w:t>
      </w:r>
      <w:r w:rsidR="00C609F8">
        <w:rPr>
          <w:rFonts w:ascii="Arial" w:eastAsia="Calibri" w:hAnsi="Arial"/>
        </w:rPr>
        <w:t xml:space="preserve"> would</w:t>
      </w:r>
      <w:r w:rsidR="00405CE4">
        <w:rPr>
          <w:rFonts w:ascii="Arial" w:eastAsia="Calibri" w:hAnsi="Arial"/>
        </w:rPr>
        <w:t xml:space="preserve"> provide Duke’s affiliates with</w:t>
      </w:r>
      <w:r w:rsidR="00C609F8">
        <w:rPr>
          <w:rFonts w:ascii="Arial" w:eastAsia="Calibri" w:hAnsi="Arial"/>
        </w:rPr>
        <w:t xml:space="preserve"> an undue affiliate</w:t>
      </w:r>
      <w:r w:rsidR="00405CE4">
        <w:rPr>
          <w:rFonts w:ascii="Arial" w:eastAsia="Calibri" w:hAnsi="Arial"/>
        </w:rPr>
        <w:t xml:space="preserve"> preference in violation of Ohio law</w:t>
      </w:r>
      <w:r w:rsidR="00C609F8">
        <w:rPr>
          <w:rFonts w:ascii="Arial" w:eastAsia="Calibri" w:hAnsi="Arial"/>
        </w:rPr>
        <w:t>.  Such a revenue stream would also provide Duke’s affiliates an unlawful subsidy.  It is incredible that Duke has advanced such a position given that its own affiliated companies,</w:t>
      </w:r>
      <w:r w:rsidR="00DD558D" w:rsidRPr="00DD558D">
        <w:rPr>
          <w:rFonts w:ascii="Arial" w:eastAsia="Calibri" w:hAnsi="Arial"/>
        </w:rPr>
        <w:t xml:space="preserve"> Duke Energy Commercial Asset Management and Duke </w:t>
      </w:r>
      <w:r w:rsidR="00C609F8">
        <w:rPr>
          <w:rFonts w:ascii="Arial" w:eastAsia="Calibri" w:hAnsi="Arial"/>
        </w:rPr>
        <w:t xml:space="preserve">Energy </w:t>
      </w:r>
      <w:r w:rsidR="00DD558D" w:rsidRPr="00DD558D">
        <w:rPr>
          <w:rFonts w:ascii="Arial" w:eastAsia="Calibri" w:hAnsi="Arial"/>
        </w:rPr>
        <w:t>Retail</w:t>
      </w:r>
      <w:r w:rsidR="00C609F8">
        <w:rPr>
          <w:rFonts w:ascii="Arial" w:eastAsia="Calibri" w:hAnsi="Arial"/>
        </w:rPr>
        <w:t>, recently stated</w:t>
      </w:r>
      <w:r w:rsidR="00DD558D" w:rsidRPr="00DD558D">
        <w:rPr>
          <w:rFonts w:ascii="Arial" w:eastAsia="Calibri" w:hAnsi="Arial"/>
        </w:rPr>
        <w:t>, “allowing a competitive, unregulated [affiliate] Genco to receive above-market capacity revenues from the regulated EDU flies in the face of the policies of this state and would have a serious negative impact on the ability of una</w:t>
      </w:r>
      <w:r w:rsidR="00127BD0">
        <w:rPr>
          <w:rFonts w:ascii="Arial" w:eastAsia="Calibri" w:hAnsi="Arial"/>
        </w:rPr>
        <w:t>f</w:t>
      </w:r>
      <w:r w:rsidR="00DD558D" w:rsidRPr="00DD558D">
        <w:rPr>
          <w:rFonts w:ascii="Arial" w:eastAsia="Calibri" w:hAnsi="Arial"/>
        </w:rPr>
        <w:t>filiated CRES providers . . . the proposed contract . . . is in violation of Ohio’s corporate separation laws.”</w:t>
      </w:r>
      <w:r w:rsidR="00DD558D" w:rsidRPr="00DD558D">
        <w:rPr>
          <w:rFonts w:ascii="Arial" w:eastAsia="Calibri" w:hAnsi="Arial"/>
          <w:vertAlign w:val="superscript"/>
        </w:rPr>
        <w:footnoteReference w:id="16"/>
      </w:r>
      <w:r w:rsidR="00DD558D" w:rsidRPr="00DD558D">
        <w:rPr>
          <w:rFonts w:ascii="Arial" w:eastAsia="Calibri" w:hAnsi="Arial"/>
        </w:rPr>
        <w:t xml:space="preserve">  Incredibly, these are the very affiliates which will own the generating units which are the subject of Duke’s </w:t>
      </w:r>
      <w:r w:rsidR="00493E2E">
        <w:rPr>
          <w:rFonts w:ascii="Arial" w:eastAsia="Calibri" w:hAnsi="Arial"/>
        </w:rPr>
        <w:t xml:space="preserve">proposed </w:t>
      </w:r>
      <w:r w:rsidR="00DD558D" w:rsidRPr="00DD558D">
        <w:rPr>
          <w:rFonts w:ascii="Arial" w:eastAsia="Calibri" w:hAnsi="Arial"/>
        </w:rPr>
        <w:t>cost</w:t>
      </w:r>
      <w:r w:rsidR="00127BD0">
        <w:rPr>
          <w:rFonts w:ascii="Arial" w:eastAsia="Calibri" w:hAnsi="Arial"/>
        </w:rPr>
        <w:t>-</w:t>
      </w:r>
      <w:r w:rsidR="00DD558D" w:rsidRPr="00DD558D">
        <w:rPr>
          <w:rFonts w:ascii="Arial" w:eastAsia="Calibri" w:hAnsi="Arial"/>
        </w:rPr>
        <w:t>based rate</w:t>
      </w:r>
      <w:r w:rsidR="00127BD0">
        <w:rPr>
          <w:rFonts w:ascii="Arial" w:eastAsia="Calibri" w:hAnsi="Arial"/>
        </w:rPr>
        <w:t>s</w:t>
      </w:r>
      <w:r w:rsidR="00DD558D" w:rsidRPr="00DD558D">
        <w:rPr>
          <w:rFonts w:ascii="Arial" w:eastAsia="Calibri" w:hAnsi="Arial"/>
        </w:rPr>
        <w:t>.</w:t>
      </w:r>
    </w:p>
    <w:p w:rsidR="00DD558D" w:rsidRPr="00DD558D" w:rsidRDefault="00C609F8" w:rsidP="00C609F8">
      <w:pPr>
        <w:spacing w:line="480" w:lineRule="auto"/>
        <w:ind w:firstLine="720"/>
        <w:jc w:val="both"/>
        <w:rPr>
          <w:rFonts w:ascii="Arial" w:eastAsia="Calibri" w:hAnsi="Arial"/>
        </w:rPr>
      </w:pPr>
      <w:r>
        <w:rPr>
          <w:rFonts w:ascii="Arial" w:eastAsia="Calibri" w:hAnsi="Arial"/>
        </w:rPr>
        <w:lastRenderedPageBreak/>
        <w:t xml:space="preserve">Finally, Duke’s </w:t>
      </w:r>
      <w:r w:rsidR="00DD558D" w:rsidRPr="00DD558D">
        <w:rPr>
          <w:rFonts w:ascii="Arial" w:eastAsia="Calibri" w:hAnsi="Arial"/>
        </w:rPr>
        <w:t>Application conflicts with representat</w:t>
      </w:r>
      <w:r>
        <w:rPr>
          <w:rFonts w:ascii="Arial" w:eastAsia="Calibri" w:hAnsi="Arial"/>
        </w:rPr>
        <w:t>ions that Duke made in its FERC</w:t>
      </w:r>
      <w:r w:rsidR="00DD558D" w:rsidRPr="00DD558D">
        <w:rPr>
          <w:rFonts w:ascii="Arial" w:eastAsia="Calibri" w:hAnsi="Arial"/>
        </w:rPr>
        <w:t xml:space="preserve"> Appli</w:t>
      </w:r>
      <w:r>
        <w:rPr>
          <w:rFonts w:ascii="Arial" w:eastAsia="Calibri" w:hAnsi="Arial"/>
        </w:rPr>
        <w:t>cation.</w:t>
      </w:r>
      <w:r w:rsidR="00DD558D" w:rsidRPr="00DD558D">
        <w:rPr>
          <w:rFonts w:ascii="Arial" w:eastAsia="Calibri" w:hAnsi="Arial"/>
        </w:rPr>
        <w:t xml:space="preserve">  To support</w:t>
      </w:r>
      <w:r>
        <w:rPr>
          <w:rFonts w:ascii="Arial" w:eastAsia="Calibri" w:hAnsi="Arial"/>
        </w:rPr>
        <w:t xml:space="preserve"> approval of the FERC Application</w:t>
      </w:r>
      <w:r w:rsidR="00DD558D" w:rsidRPr="00DD558D">
        <w:rPr>
          <w:rFonts w:ascii="Arial" w:eastAsia="Calibri" w:hAnsi="Arial"/>
        </w:rPr>
        <w:t>, FERC stated:</w:t>
      </w:r>
    </w:p>
    <w:p w:rsidR="00DD558D" w:rsidRPr="00DD558D" w:rsidRDefault="00DD558D" w:rsidP="00DD558D">
      <w:pPr>
        <w:autoSpaceDE w:val="0"/>
        <w:autoSpaceDN w:val="0"/>
        <w:adjustRightInd w:val="0"/>
        <w:ind w:left="720" w:right="720"/>
        <w:jc w:val="both"/>
        <w:rPr>
          <w:rFonts w:ascii="Arial" w:eastAsia="Calibri" w:hAnsi="Arial" w:cs="Arial"/>
          <w:b/>
        </w:rPr>
      </w:pPr>
      <w:r w:rsidRPr="00DD558D">
        <w:rPr>
          <w:rFonts w:ascii="Arial" w:eastAsia="Calibri" w:hAnsi="Arial" w:cs="Arial"/>
        </w:rPr>
        <w:t xml:space="preserve">We find that the Proposed Transaction will not adversely affect wholesale rates. </w:t>
      </w:r>
      <w:r w:rsidRPr="00DD558D">
        <w:rPr>
          <w:rFonts w:ascii="Arial" w:eastAsia="Calibri" w:hAnsi="Arial" w:cs="Arial"/>
          <w:b/>
        </w:rPr>
        <w:t>The Applicants represent that Duke Ohio has no captive wholesale customers and its wholesale sales are made under market-based rate authorizations.</w:t>
      </w:r>
      <w:r w:rsidRPr="00DD558D">
        <w:rPr>
          <w:rFonts w:ascii="Arial" w:eastAsia="Calibri" w:hAnsi="Arial" w:cs="Arial"/>
        </w:rPr>
        <w:t xml:space="preserve"> The Commission has previously stated that, when there are market-based rates, the effect on rates is not of concern.</w:t>
      </w:r>
      <w:r w:rsidRPr="00DD558D">
        <w:rPr>
          <w:rFonts w:ascii="Arial" w:eastAsia="Calibri" w:hAnsi="Arial" w:cs="Arial"/>
          <w:b/>
          <w:bCs/>
        </w:rPr>
        <w:t xml:space="preserve"> </w:t>
      </w:r>
      <w:r w:rsidRPr="00DD3D67">
        <w:rPr>
          <w:rFonts w:ascii="Arial" w:eastAsia="Calibri" w:hAnsi="Arial" w:cs="Arial"/>
          <w:b/>
          <w:i/>
        </w:rPr>
        <w:t xml:space="preserve">The effect on rates is not of concern in these circumstances because market-based rates will not be affected by the seller’s cost of service </w:t>
      </w:r>
      <w:r w:rsidRPr="00DD558D">
        <w:rPr>
          <w:rFonts w:ascii="Arial" w:eastAsia="Calibri" w:hAnsi="Arial" w:cs="Arial"/>
          <w:b/>
        </w:rPr>
        <w:t>and, thus, will not be adversely affected by the Proposed Transaction.</w:t>
      </w:r>
      <w:r w:rsidR="00756CC1" w:rsidRPr="00756CC1">
        <w:rPr>
          <w:rStyle w:val="FootnoteReference"/>
          <w:rFonts w:ascii="Arial" w:eastAsia="Calibri" w:hAnsi="Arial" w:cs="Arial"/>
        </w:rPr>
        <w:footnoteReference w:id="17"/>
      </w:r>
    </w:p>
    <w:p w:rsidR="00DD558D" w:rsidRPr="00DD558D" w:rsidRDefault="00DD558D" w:rsidP="00DD558D">
      <w:pPr>
        <w:autoSpaceDE w:val="0"/>
        <w:autoSpaceDN w:val="0"/>
        <w:adjustRightInd w:val="0"/>
        <w:ind w:right="720"/>
        <w:jc w:val="both"/>
        <w:rPr>
          <w:rFonts w:ascii="Arial" w:eastAsia="Calibri" w:hAnsi="Arial" w:cs="Arial"/>
          <w:b/>
        </w:rPr>
      </w:pPr>
    </w:p>
    <w:p w:rsidR="00DD558D" w:rsidRPr="00DD558D" w:rsidRDefault="00DD558D" w:rsidP="00DD558D">
      <w:pPr>
        <w:autoSpaceDE w:val="0"/>
        <w:autoSpaceDN w:val="0"/>
        <w:adjustRightInd w:val="0"/>
        <w:ind w:right="720"/>
        <w:jc w:val="both"/>
        <w:rPr>
          <w:rFonts w:ascii="Arial" w:eastAsia="Calibri" w:hAnsi="Arial" w:cs="Arial"/>
        </w:rPr>
      </w:pPr>
      <w:r w:rsidRPr="00DD558D">
        <w:rPr>
          <w:rFonts w:ascii="Arial" w:eastAsia="Calibri" w:hAnsi="Arial" w:cs="Arial"/>
        </w:rPr>
        <w:t>FERC further stated:</w:t>
      </w:r>
    </w:p>
    <w:p w:rsidR="00DD558D" w:rsidRPr="00DD558D" w:rsidRDefault="00DD558D" w:rsidP="00DD558D">
      <w:pPr>
        <w:autoSpaceDE w:val="0"/>
        <w:autoSpaceDN w:val="0"/>
        <w:adjustRightInd w:val="0"/>
        <w:ind w:left="720" w:right="720"/>
        <w:jc w:val="both"/>
        <w:rPr>
          <w:rFonts w:ascii="Arial" w:eastAsia="Calibri" w:hAnsi="Arial" w:cs="Arial"/>
        </w:rPr>
      </w:pPr>
    </w:p>
    <w:p w:rsidR="00DD558D" w:rsidRPr="00DD558D" w:rsidRDefault="00DD558D" w:rsidP="00DD558D">
      <w:pPr>
        <w:autoSpaceDE w:val="0"/>
        <w:autoSpaceDN w:val="0"/>
        <w:adjustRightInd w:val="0"/>
        <w:ind w:left="720" w:right="720"/>
        <w:jc w:val="both"/>
        <w:rPr>
          <w:rFonts w:ascii="Arial" w:eastAsia="Calibri" w:hAnsi="Arial" w:cs="Arial"/>
        </w:rPr>
      </w:pPr>
      <w:r w:rsidRPr="00DD3D67">
        <w:rPr>
          <w:rFonts w:ascii="Arial" w:eastAsia="Calibri" w:hAnsi="Arial" w:cs="Arial"/>
          <w:b/>
          <w:i/>
        </w:rPr>
        <w:t>Based on Applicants’ representations, we find that the Proposed Transaction will not result in cross-subsidization</w:t>
      </w:r>
      <w:r w:rsidRPr="00DD558D">
        <w:rPr>
          <w:rFonts w:ascii="Arial" w:eastAsia="Calibri" w:hAnsi="Arial" w:cs="Arial"/>
        </w:rPr>
        <w:t xml:space="preserve"> of or the pledge or encumbrance of utility assets for the benefit of an associate company.</w:t>
      </w:r>
    </w:p>
    <w:p w:rsidR="00DD558D" w:rsidRPr="00DD558D" w:rsidRDefault="00DD558D" w:rsidP="00DD558D">
      <w:pPr>
        <w:autoSpaceDE w:val="0"/>
        <w:autoSpaceDN w:val="0"/>
        <w:adjustRightInd w:val="0"/>
        <w:ind w:left="720" w:right="720"/>
        <w:jc w:val="both"/>
        <w:rPr>
          <w:rFonts w:ascii="Arial" w:eastAsia="Calibri" w:hAnsi="Arial" w:cs="Arial"/>
        </w:rPr>
      </w:pPr>
    </w:p>
    <w:p w:rsidR="00DD558D" w:rsidRPr="00DD558D" w:rsidRDefault="00DD558D" w:rsidP="00DD558D">
      <w:pPr>
        <w:autoSpaceDE w:val="0"/>
        <w:autoSpaceDN w:val="0"/>
        <w:adjustRightInd w:val="0"/>
        <w:ind w:left="720" w:right="720"/>
        <w:jc w:val="both"/>
        <w:rPr>
          <w:rFonts w:ascii="Arial" w:eastAsia="Calibri" w:hAnsi="Arial" w:cs="Arial"/>
        </w:rPr>
      </w:pPr>
      <w:r w:rsidRPr="00DD3D67">
        <w:rPr>
          <w:rFonts w:ascii="Arial" w:eastAsia="Calibri" w:hAnsi="Arial" w:cs="Arial"/>
          <w:b/>
        </w:rPr>
        <w:t>The Commission’s focus, as it pertains to cross-subsidization, has “been on preventing a transfer of benefits from a public utility’s captive customers to shareholders of the public utility’s holding company.</w:t>
      </w:r>
      <w:r w:rsidRPr="00DD558D">
        <w:rPr>
          <w:rFonts w:ascii="Arial" w:eastAsia="Calibri" w:hAnsi="Arial" w:cs="Arial"/>
        </w:rPr>
        <w:t xml:space="preserve">” </w:t>
      </w:r>
      <w:r w:rsidRPr="00DD3D67">
        <w:rPr>
          <w:rFonts w:ascii="Arial" w:eastAsia="Calibri" w:hAnsi="Arial" w:cs="Arial"/>
          <w:b/>
          <w:i/>
        </w:rPr>
        <w:t>Applicants represent that Duke Ohio does not have any captive wholesale customers</w:t>
      </w:r>
      <w:r w:rsidRPr="00DD3D67">
        <w:rPr>
          <w:rFonts w:ascii="Arial" w:eastAsia="Calibri" w:hAnsi="Arial" w:cs="Arial"/>
          <w:b/>
        </w:rPr>
        <w:t xml:space="preserve"> </w:t>
      </w:r>
      <w:r w:rsidRPr="00DD3D67">
        <w:rPr>
          <w:rFonts w:ascii="Arial" w:eastAsia="Calibri" w:hAnsi="Arial" w:cs="Arial"/>
          <w:b/>
          <w:i/>
        </w:rPr>
        <w:t>and its wholesale sales are at market-based rates</w:t>
      </w:r>
      <w:r w:rsidRPr="00DD3D67">
        <w:rPr>
          <w:rFonts w:ascii="Arial" w:eastAsia="Calibri" w:hAnsi="Arial" w:cs="Arial"/>
          <w:b/>
        </w:rPr>
        <w:t>.</w:t>
      </w:r>
      <w:r w:rsidRPr="00DD558D">
        <w:rPr>
          <w:rFonts w:ascii="Arial" w:eastAsia="Calibri" w:hAnsi="Arial" w:cs="Arial"/>
        </w:rPr>
        <w:t xml:space="preserve"> Applicants also represent that their retail customers have full retail choice.</w:t>
      </w:r>
      <w:r w:rsidR="00756CC1">
        <w:rPr>
          <w:rStyle w:val="FootnoteReference"/>
          <w:rFonts w:ascii="Arial" w:eastAsia="Calibri" w:hAnsi="Arial" w:cs="Arial"/>
        </w:rPr>
        <w:footnoteReference w:id="18"/>
      </w:r>
    </w:p>
    <w:p w:rsidR="00DD558D" w:rsidRPr="00DD558D" w:rsidRDefault="00DD558D" w:rsidP="00DD558D">
      <w:pPr>
        <w:autoSpaceDE w:val="0"/>
        <w:autoSpaceDN w:val="0"/>
        <w:adjustRightInd w:val="0"/>
        <w:ind w:right="720"/>
        <w:jc w:val="both"/>
        <w:rPr>
          <w:rFonts w:ascii="Arial" w:eastAsia="Calibri" w:hAnsi="Arial" w:cs="Arial"/>
        </w:rPr>
      </w:pPr>
    </w:p>
    <w:p w:rsidR="00316435" w:rsidRDefault="00493E2E" w:rsidP="00316435">
      <w:pPr>
        <w:pStyle w:val="BodyText"/>
        <w:tabs>
          <w:tab w:val="left" w:pos="720"/>
          <w:tab w:val="left" w:pos="5040"/>
        </w:tabs>
        <w:spacing w:line="480" w:lineRule="auto"/>
      </w:pPr>
      <w:r>
        <w:t>While Duke’s FERC Application represented that it would charge market-based wholesale rates and not subsidize its affiliates, the Application flies in the face of that representation, requesting authority to establish a non-bypassable above-market revenue stream</w:t>
      </w:r>
      <w:r w:rsidR="008A5607">
        <w:t xml:space="preserve"> for its affiliated companies</w:t>
      </w:r>
      <w:r>
        <w:t>.</w:t>
      </w:r>
      <w:r>
        <w:rPr>
          <w:rStyle w:val="FootnoteReference"/>
        </w:rPr>
        <w:footnoteReference w:id="19"/>
      </w:r>
      <w:r>
        <w:t xml:space="preserve">  </w:t>
      </w:r>
    </w:p>
    <w:p w:rsidR="00C9112C" w:rsidRDefault="00493E2E" w:rsidP="00493E2E">
      <w:pPr>
        <w:pStyle w:val="BodyText"/>
        <w:tabs>
          <w:tab w:val="left" w:pos="720"/>
          <w:tab w:val="left" w:pos="5040"/>
        </w:tabs>
        <w:spacing w:line="480" w:lineRule="auto"/>
      </w:pPr>
      <w:r>
        <w:tab/>
        <w:t>Because the Applicatio</w:t>
      </w:r>
      <w:r w:rsidR="0033131F">
        <w:t>n appears to be un</w:t>
      </w:r>
      <w:r>
        <w:t xml:space="preserve">just and </w:t>
      </w:r>
      <w:r w:rsidR="0033131F">
        <w:t>un</w:t>
      </w:r>
      <w:r>
        <w:t>reasonable, the Commission must</w:t>
      </w:r>
      <w:r w:rsidR="0033131F">
        <w:t>, at a minimum,</w:t>
      </w:r>
      <w:r>
        <w:t xml:space="preserve"> set the matter for hearing</w:t>
      </w:r>
      <w:r w:rsidR="0033131F">
        <w:t xml:space="preserve"> (if the Commission does not dismiss the Application outright, as the requested relief violates the terms of prior </w:t>
      </w:r>
      <w:r w:rsidR="0033131F">
        <w:lastRenderedPageBreak/>
        <w:t xml:space="preserve">stipulations). </w:t>
      </w:r>
      <w:r w:rsidR="006663E8">
        <w:t xml:space="preserve"> </w:t>
      </w:r>
      <w:r w:rsidR="0033131F">
        <w:t>IEU-Ohio’s experience will contribute to the full and complete development o</w:t>
      </w:r>
      <w:r w:rsidR="008D7F2F">
        <w:t>f a record in this proceeding.  IEU-Ohio has expertise regarding the operation of the PJM capacity market and the reliab</w:t>
      </w:r>
      <w:r w:rsidR="00756CC1">
        <w:t>ility assurance agreement</w:t>
      </w:r>
      <w:r w:rsidR="008D7F2F">
        <w:t>.  Further,</w:t>
      </w:r>
      <w:r w:rsidR="008D7F2F" w:rsidRPr="008D7F2F">
        <w:t xml:space="preserve"> </w:t>
      </w:r>
      <w:r w:rsidR="008D7F2F">
        <w:t>as is evident by IEU-Ohio’s testimony and pleadings in Ohio Power Company’s Capacity Case, IEU-Ohio’s interests and positions are unique to IEU-Ohio; thus no other party may adequately represent IEU-Ohio’s interest in this proceeding.</w:t>
      </w:r>
    </w:p>
    <w:p w:rsidR="008D7F2F" w:rsidRDefault="008D7F2F" w:rsidP="00493E2E">
      <w:pPr>
        <w:pStyle w:val="BodyText"/>
        <w:tabs>
          <w:tab w:val="left" w:pos="720"/>
          <w:tab w:val="left" w:pos="5040"/>
        </w:tabs>
        <w:spacing w:line="480" w:lineRule="auto"/>
      </w:pPr>
      <w:r>
        <w:tab/>
        <w:t>Therefore, Duke’s Memorandum Contra should be rejected and IEU-Ohio should be granted intervention in these proceedings.</w:t>
      </w:r>
    </w:p>
    <w:p w:rsidR="00C9112C" w:rsidRDefault="0015629B">
      <w:pPr>
        <w:tabs>
          <w:tab w:val="left" w:pos="4320"/>
          <w:tab w:val="right" w:pos="8640"/>
        </w:tabs>
        <w:jc w:val="both"/>
        <w:rPr>
          <w:rFonts w:ascii="Arial" w:hAnsi="Arial" w:cs="Arial"/>
        </w:rPr>
      </w:pPr>
      <w:r>
        <w:rPr>
          <w:rFonts w:ascii="Arial" w:hAnsi="Arial" w:cs="Arial"/>
        </w:rPr>
        <w:tab/>
        <w:t>Respectfully submitted,</w:t>
      </w:r>
    </w:p>
    <w:p w:rsidR="00C9112C" w:rsidRDefault="00C9112C">
      <w:pPr>
        <w:tabs>
          <w:tab w:val="left" w:pos="4320"/>
          <w:tab w:val="right" w:pos="8640"/>
        </w:tabs>
        <w:jc w:val="both"/>
        <w:rPr>
          <w:rFonts w:ascii="Arial" w:hAnsi="Arial" w:cs="Arial"/>
        </w:rPr>
      </w:pPr>
    </w:p>
    <w:p w:rsidR="00C9112C" w:rsidRDefault="00C9112C">
      <w:pPr>
        <w:tabs>
          <w:tab w:val="left" w:pos="4320"/>
          <w:tab w:val="right" w:pos="8640"/>
        </w:tabs>
        <w:jc w:val="both"/>
        <w:rPr>
          <w:rFonts w:ascii="Arial" w:hAnsi="Arial" w:cs="Arial"/>
        </w:rPr>
      </w:pPr>
    </w:p>
    <w:p w:rsidR="00C9112C" w:rsidRDefault="0015629B">
      <w:pPr>
        <w:tabs>
          <w:tab w:val="left" w:pos="4320"/>
          <w:tab w:val="right" w:pos="8640"/>
        </w:tabs>
        <w:jc w:val="both"/>
        <w:rPr>
          <w:rFonts w:ascii="Arial" w:hAnsi="Arial" w:cs="Arial"/>
          <w:u w:val="single"/>
        </w:rPr>
      </w:pPr>
      <w:r>
        <w:rPr>
          <w:rFonts w:ascii="Arial" w:hAnsi="Arial" w:cs="Arial"/>
        </w:rPr>
        <w:tab/>
      </w:r>
      <w:r w:rsidR="00DA327C">
        <w:rPr>
          <w:rFonts w:ascii="Arial" w:hAnsi="Arial" w:cs="Arial"/>
          <w:u w:val="single"/>
        </w:rPr>
        <w:t>/s/ Joseph E. Oliker</w:t>
      </w:r>
      <w:r>
        <w:rPr>
          <w:rFonts w:ascii="Arial" w:hAnsi="Arial" w:cs="Arial"/>
          <w:u w:val="single"/>
        </w:rPr>
        <w:tab/>
      </w:r>
      <w:r>
        <w:rPr>
          <w:rFonts w:ascii="Arial" w:hAnsi="Arial" w:cs="Arial"/>
          <w:u w:val="single"/>
        </w:rPr>
        <w:tab/>
      </w:r>
    </w:p>
    <w:p w:rsidR="00766DB8" w:rsidRDefault="0015629B" w:rsidP="00766DB8">
      <w:pPr>
        <w:tabs>
          <w:tab w:val="left" w:pos="4320"/>
          <w:tab w:val="right" w:pos="8640"/>
        </w:tabs>
        <w:ind w:left="4320"/>
        <w:jc w:val="both"/>
        <w:rPr>
          <w:rFonts w:ascii="Arial" w:hAnsi="Arial" w:cs="Arial"/>
        </w:rPr>
      </w:pPr>
      <w:r>
        <w:rPr>
          <w:rFonts w:ascii="Arial" w:hAnsi="Arial" w:cs="Arial"/>
        </w:rPr>
        <w:tab/>
      </w:r>
      <w:r w:rsidR="00766DB8">
        <w:rPr>
          <w:rFonts w:ascii="Arial" w:hAnsi="Arial" w:cs="Arial"/>
        </w:rPr>
        <w:t>Samuel C. Randazzo (Counsel of Record)</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66DB8" w:rsidRDefault="00766DB8" w:rsidP="00766DB8">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66DB8" w:rsidRDefault="00766DB8" w:rsidP="00766DB8">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66DB8" w:rsidRDefault="00766DB8" w:rsidP="00766DB8">
      <w:pPr>
        <w:pStyle w:val="BodyText"/>
        <w:tabs>
          <w:tab w:val="left" w:pos="4320"/>
        </w:tabs>
        <w:ind w:left="4320"/>
      </w:pPr>
      <w:r>
        <w:t>Columbus, OH  43215</w:t>
      </w:r>
    </w:p>
    <w:p w:rsidR="00766DB8" w:rsidRDefault="00766DB8" w:rsidP="00766DB8">
      <w:pPr>
        <w:pStyle w:val="BodyText"/>
        <w:tabs>
          <w:tab w:val="left" w:pos="4320"/>
        </w:tabs>
        <w:ind w:left="4320"/>
      </w:pPr>
      <w:r>
        <w:t>Telephone:  (614) 469-8000</w:t>
      </w:r>
    </w:p>
    <w:p w:rsidR="00766DB8" w:rsidRDefault="00766DB8" w:rsidP="00766DB8">
      <w:pPr>
        <w:pStyle w:val="BodyText"/>
        <w:tabs>
          <w:tab w:val="left" w:pos="4320"/>
        </w:tabs>
        <w:ind w:left="4320"/>
      </w:pPr>
      <w:r>
        <w:t>Telecopier:  (614) 469-4653</w:t>
      </w:r>
    </w:p>
    <w:p w:rsidR="00766DB8" w:rsidRDefault="00766DB8" w:rsidP="00766DB8">
      <w:pPr>
        <w:pStyle w:val="BodyText"/>
        <w:ind w:left="4320"/>
      </w:pPr>
      <w:r>
        <w:t>sam@mwncmh.com</w:t>
      </w:r>
    </w:p>
    <w:p w:rsidR="00766DB8" w:rsidRDefault="00766DB8" w:rsidP="00766DB8">
      <w:pPr>
        <w:pStyle w:val="BodyText"/>
        <w:ind w:left="4320"/>
      </w:pPr>
      <w:r>
        <w:t>fdarr@mwncmh.com</w:t>
      </w:r>
    </w:p>
    <w:p w:rsidR="00766DB8" w:rsidRDefault="00766DB8" w:rsidP="00766DB8">
      <w:pPr>
        <w:pStyle w:val="BodyText"/>
        <w:ind w:left="4320"/>
      </w:pPr>
      <w:r>
        <w:t>joliker@mwncmh.com</w:t>
      </w:r>
    </w:p>
    <w:p w:rsidR="00766DB8" w:rsidRDefault="00766DB8" w:rsidP="00766DB8">
      <w:pPr>
        <w:pStyle w:val="BodyText"/>
        <w:ind w:left="4320"/>
      </w:pPr>
      <w:r>
        <w:t>mpritchard@mwncmh.com</w:t>
      </w:r>
    </w:p>
    <w:p w:rsidR="00766DB8" w:rsidRDefault="00766DB8" w:rsidP="00766DB8">
      <w:pPr>
        <w:pStyle w:val="BodyText"/>
      </w:pPr>
    </w:p>
    <w:p w:rsidR="00766DB8" w:rsidRDefault="00766DB8" w:rsidP="00766DB8">
      <w:pPr>
        <w:pStyle w:val="Title"/>
        <w:jc w:val="left"/>
        <w:rPr>
          <w:b w:val="0"/>
          <w:bCs/>
        </w:rPr>
      </w:pPr>
      <w:r>
        <w:rPr>
          <w:smallCaps w:val="0"/>
          <w:sz w:val="24"/>
        </w:rPr>
        <w:tab/>
      </w:r>
      <w:r>
        <w:rPr>
          <w:smallCaps w:val="0"/>
          <w:sz w:val="24"/>
        </w:rPr>
        <w:tab/>
      </w:r>
      <w:r>
        <w:rPr>
          <w:smallCaps w:val="0"/>
          <w:sz w:val="24"/>
        </w:rPr>
        <w:tab/>
      </w:r>
      <w:r>
        <w:rPr>
          <w:smallCaps w:val="0"/>
          <w:sz w:val="24"/>
        </w:rPr>
        <w:tab/>
      </w:r>
      <w:r>
        <w:rPr>
          <w:smallCaps w:val="0"/>
          <w:sz w:val="24"/>
        </w:rPr>
        <w:tab/>
      </w:r>
      <w:r>
        <w:rPr>
          <w:smallCaps w:val="0"/>
          <w:sz w:val="24"/>
        </w:rPr>
        <w:tab/>
        <w:t>Attorneys for Industrial Energy Users-Ohio</w:t>
      </w:r>
    </w:p>
    <w:p w:rsidR="00766DB8" w:rsidRDefault="0015629B" w:rsidP="00316435">
      <w:pPr>
        <w:pStyle w:val="Title"/>
        <w:sectPr w:rsidR="00766DB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r>
        <w:br w:type="page"/>
      </w:r>
    </w:p>
    <w:p w:rsidR="00C9112C" w:rsidRDefault="00C9112C">
      <w:pPr>
        <w:tabs>
          <w:tab w:val="left" w:pos="2160"/>
          <w:tab w:val="left" w:pos="2280"/>
        </w:tabs>
        <w:sectPr w:rsidR="00C9112C">
          <w:pgSz w:w="12240" w:h="15840" w:code="1"/>
          <w:pgMar w:top="1440" w:right="1440" w:bottom="1141" w:left="1440" w:header="720" w:footer="720" w:gutter="0"/>
          <w:pgNumType w:start="1"/>
          <w:cols w:space="720"/>
          <w:titlePg/>
          <w:docGrid w:linePitch="326"/>
        </w:sectPr>
      </w:pPr>
    </w:p>
    <w:p w:rsidR="00C9112C" w:rsidRDefault="0015629B">
      <w:pPr>
        <w:tabs>
          <w:tab w:val="left" w:pos="2160"/>
          <w:tab w:val="left" w:pos="2280"/>
        </w:tabs>
        <w:jc w:val="center"/>
        <w:rPr>
          <w:rFonts w:ascii="Arial" w:hAnsi="Arial" w:cs="Arial"/>
          <w:b/>
        </w:rPr>
      </w:pPr>
      <w:r>
        <w:rPr>
          <w:rFonts w:ascii="Arial" w:hAnsi="Arial" w:cs="Arial"/>
          <w:b/>
        </w:rPr>
        <w:lastRenderedPageBreak/>
        <w:t>CERTIFICATE OF SERVICE</w:t>
      </w:r>
    </w:p>
    <w:p w:rsidR="00C9112C" w:rsidRDefault="00C9112C">
      <w:pPr>
        <w:rPr>
          <w:rFonts w:ascii="Arial" w:hAnsi="Arial" w:cs="Arial"/>
        </w:rPr>
      </w:pPr>
    </w:p>
    <w:p w:rsidR="00C9112C" w:rsidRDefault="0015629B">
      <w:pPr>
        <w:pStyle w:val="Heading4"/>
        <w:spacing w:line="480" w:lineRule="auto"/>
        <w:ind w:firstLine="720"/>
        <w:rPr>
          <w:b w:val="0"/>
          <w:smallCaps w:val="0"/>
          <w:sz w:val="24"/>
        </w:rPr>
      </w:pPr>
      <w:r>
        <w:rPr>
          <w:b w:val="0"/>
          <w:smallCaps w:val="0"/>
          <w:sz w:val="24"/>
        </w:rPr>
        <w:t xml:space="preserve">I hereby certify that a copy of the foregoing </w:t>
      </w:r>
      <w:r w:rsidR="00316435">
        <w:rPr>
          <w:b w:val="0"/>
          <w:i/>
          <w:smallCaps w:val="0"/>
          <w:sz w:val="24"/>
        </w:rPr>
        <w:t xml:space="preserve">Reply to Duke Energy Ohio, Inc.’s Memorandum Contra Industrial </w:t>
      </w:r>
      <w:r>
        <w:rPr>
          <w:b w:val="0"/>
          <w:i/>
          <w:smallCaps w:val="0"/>
          <w:sz w:val="24"/>
        </w:rPr>
        <w:t>Energy Users-Ohio</w:t>
      </w:r>
      <w:r w:rsidR="00316435">
        <w:rPr>
          <w:b w:val="0"/>
          <w:i/>
          <w:smallCaps w:val="0"/>
          <w:sz w:val="24"/>
        </w:rPr>
        <w:t>’s Motion to Intervene</w:t>
      </w:r>
      <w:r>
        <w:rPr>
          <w:b w:val="0"/>
          <w:smallCaps w:val="0"/>
          <w:sz w:val="24"/>
        </w:rPr>
        <w:t>, was served upon the follo</w:t>
      </w:r>
      <w:r w:rsidR="00766DB8">
        <w:rPr>
          <w:b w:val="0"/>
          <w:smallCaps w:val="0"/>
          <w:sz w:val="24"/>
        </w:rPr>
        <w:t>wing parties o</w:t>
      </w:r>
      <w:r w:rsidR="00316435">
        <w:rPr>
          <w:b w:val="0"/>
          <w:smallCaps w:val="0"/>
          <w:sz w:val="24"/>
        </w:rPr>
        <w:t>f record this 11th day of September</w:t>
      </w:r>
      <w:r w:rsidR="00766DB8">
        <w:rPr>
          <w:b w:val="0"/>
          <w:smallCaps w:val="0"/>
          <w:sz w:val="24"/>
        </w:rPr>
        <w:t>, 2012</w:t>
      </w:r>
      <w:r w:rsidR="00DA327C">
        <w:rPr>
          <w:b w:val="0"/>
          <w:smallCaps w:val="0"/>
          <w:sz w:val="24"/>
        </w:rPr>
        <w:t xml:space="preserve">, </w:t>
      </w:r>
      <w:r w:rsidR="00DA327C" w:rsidRPr="009939CB">
        <w:rPr>
          <w:b w:val="0"/>
          <w:i/>
          <w:smallCaps w:val="0"/>
          <w:sz w:val="24"/>
        </w:rPr>
        <w:t>via</w:t>
      </w:r>
      <w:r w:rsidR="00DA327C" w:rsidRPr="009939CB">
        <w:rPr>
          <w:b w:val="0"/>
          <w:smallCaps w:val="0"/>
          <w:sz w:val="24"/>
        </w:rPr>
        <w:t xml:space="preserve"> hand-delivery, electronic transmission, or first class mail, U.S. postage prepaid.</w:t>
      </w:r>
    </w:p>
    <w:p w:rsidR="00C9112C" w:rsidRDefault="00C9112C">
      <w:pPr>
        <w:tabs>
          <w:tab w:val="left" w:pos="2160"/>
          <w:tab w:val="left" w:pos="2280"/>
        </w:tabs>
        <w:rPr>
          <w:rFonts w:ascii="Arial" w:hAnsi="Arial" w:cs="Arial"/>
        </w:rPr>
      </w:pPr>
    </w:p>
    <w:p w:rsidR="00C9112C" w:rsidRPr="00DA327C" w:rsidRDefault="0015629B">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327C" w:rsidRPr="00DA327C">
        <w:rPr>
          <w:rFonts w:ascii="Arial" w:hAnsi="Arial" w:cs="Arial"/>
          <w:u w:val="single"/>
        </w:rPr>
        <w:t>/s/ Joseph E. Oliker</w:t>
      </w:r>
      <w:r w:rsidRPr="00DA327C">
        <w:rPr>
          <w:rFonts w:ascii="Arial" w:hAnsi="Arial" w:cs="Arial"/>
          <w:u w:val="single"/>
        </w:rPr>
        <w:tab/>
      </w:r>
      <w:r w:rsidRPr="00DA327C">
        <w:rPr>
          <w:rFonts w:ascii="Arial" w:hAnsi="Arial" w:cs="Arial"/>
          <w:u w:val="single"/>
        </w:rPr>
        <w:tab/>
      </w:r>
      <w:r w:rsidRPr="00DA327C">
        <w:rPr>
          <w:rFonts w:ascii="Arial" w:hAnsi="Arial" w:cs="Arial"/>
          <w:u w:val="single"/>
        </w:rPr>
        <w:tab/>
      </w:r>
      <w:r w:rsidRPr="00DA327C">
        <w:rPr>
          <w:rFonts w:ascii="Arial" w:hAnsi="Arial" w:cs="Arial"/>
          <w:u w:val="single"/>
        </w:rPr>
        <w:tab/>
      </w:r>
    </w:p>
    <w:p w:rsidR="00766DB8" w:rsidRDefault="00766DB8">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r w:rsidR="0015629B">
        <w:rPr>
          <w:rFonts w:ascii="Arial" w:hAnsi="Arial" w:cs="Arial"/>
        </w:rPr>
        <w:tab/>
      </w:r>
    </w:p>
    <w:p w:rsidR="00C9112C" w:rsidRDefault="0015629B">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9112C" w:rsidRDefault="00C9112C">
      <w:pPr>
        <w:tabs>
          <w:tab w:val="left" w:pos="2160"/>
          <w:tab w:val="left" w:pos="2280"/>
        </w:tabs>
        <w:rPr>
          <w:rFonts w:ascii="Arial" w:hAnsi="Arial" w:cs="Arial"/>
        </w:rPr>
        <w:sectPr w:rsidR="00C9112C">
          <w:type w:val="continuous"/>
          <w:pgSz w:w="12240" w:h="15840" w:code="1"/>
          <w:pgMar w:top="1440" w:right="1440" w:bottom="1141" w:left="1440" w:header="720" w:footer="720" w:gutter="0"/>
          <w:pgNumType w:start="1"/>
          <w:cols w:space="720"/>
          <w:titlePg/>
          <w:docGrid w:linePitch="326"/>
        </w:sectPr>
      </w:pPr>
    </w:p>
    <w:p w:rsidR="00C9112C" w:rsidRDefault="00766DB8">
      <w:pPr>
        <w:tabs>
          <w:tab w:val="left" w:pos="2160"/>
          <w:tab w:val="left" w:pos="2280"/>
        </w:tabs>
        <w:rPr>
          <w:rFonts w:ascii="Arial" w:hAnsi="Arial" w:cs="Arial"/>
        </w:rPr>
      </w:pPr>
      <w:r>
        <w:rPr>
          <w:rFonts w:ascii="Arial" w:hAnsi="Arial" w:cs="Arial"/>
        </w:rPr>
        <w:lastRenderedPageBreak/>
        <w:t>Amy B. Spiller</w:t>
      </w:r>
    </w:p>
    <w:p w:rsidR="00766DB8" w:rsidRDefault="00766DB8">
      <w:pPr>
        <w:tabs>
          <w:tab w:val="left" w:pos="2160"/>
          <w:tab w:val="left" w:pos="2280"/>
        </w:tabs>
        <w:rPr>
          <w:rFonts w:ascii="Arial" w:hAnsi="Arial" w:cs="Arial"/>
        </w:rPr>
      </w:pPr>
      <w:r>
        <w:rPr>
          <w:rFonts w:ascii="Arial" w:hAnsi="Arial" w:cs="Arial"/>
        </w:rPr>
        <w:t>Rocco D’Ascenzo</w:t>
      </w:r>
    </w:p>
    <w:p w:rsidR="00766DB8" w:rsidRDefault="00766DB8">
      <w:pPr>
        <w:tabs>
          <w:tab w:val="left" w:pos="2160"/>
          <w:tab w:val="left" w:pos="2280"/>
        </w:tabs>
        <w:rPr>
          <w:rFonts w:ascii="Arial" w:hAnsi="Arial" w:cs="Arial"/>
        </w:rPr>
      </w:pPr>
      <w:r>
        <w:rPr>
          <w:rFonts w:ascii="Arial" w:hAnsi="Arial" w:cs="Arial"/>
        </w:rPr>
        <w:t>Jeanne Kingery</w:t>
      </w:r>
    </w:p>
    <w:p w:rsidR="00766DB8" w:rsidRDefault="00766DB8">
      <w:pPr>
        <w:tabs>
          <w:tab w:val="left" w:pos="2160"/>
          <w:tab w:val="left" w:pos="2280"/>
        </w:tabs>
        <w:rPr>
          <w:rFonts w:ascii="Arial" w:hAnsi="Arial" w:cs="Arial"/>
        </w:rPr>
      </w:pPr>
      <w:r>
        <w:rPr>
          <w:rFonts w:ascii="Arial" w:hAnsi="Arial" w:cs="Arial"/>
        </w:rPr>
        <w:t>Elizabeth Watts</w:t>
      </w:r>
    </w:p>
    <w:p w:rsidR="00766DB8" w:rsidRDefault="00766DB8">
      <w:pPr>
        <w:tabs>
          <w:tab w:val="left" w:pos="2160"/>
          <w:tab w:val="left" w:pos="2280"/>
        </w:tabs>
        <w:rPr>
          <w:rFonts w:ascii="Arial" w:hAnsi="Arial" w:cs="Arial"/>
        </w:rPr>
      </w:pPr>
      <w:r>
        <w:rPr>
          <w:rFonts w:ascii="Arial" w:hAnsi="Arial" w:cs="Arial"/>
        </w:rPr>
        <w:t>Duke Energy Business Services LLC</w:t>
      </w:r>
    </w:p>
    <w:p w:rsidR="00766DB8" w:rsidRDefault="00766DB8">
      <w:pPr>
        <w:tabs>
          <w:tab w:val="left" w:pos="2160"/>
          <w:tab w:val="left" w:pos="2280"/>
        </w:tabs>
        <w:rPr>
          <w:rFonts w:ascii="Arial" w:hAnsi="Arial" w:cs="Arial"/>
        </w:rPr>
      </w:pPr>
      <w:r>
        <w:rPr>
          <w:rFonts w:ascii="Arial" w:hAnsi="Arial" w:cs="Arial"/>
        </w:rPr>
        <w:t>139 East Fourth Street</w:t>
      </w:r>
    </w:p>
    <w:p w:rsidR="00766DB8" w:rsidRDefault="00766DB8">
      <w:pPr>
        <w:tabs>
          <w:tab w:val="left" w:pos="2160"/>
          <w:tab w:val="left" w:pos="2280"/>
        </w:tabs>
        <w:rPr>
          <w:rFonts w:ascii="Arial" w:hAnsi="Arial" w:cs="Arial"/>
        </w:rPr>
      </w:pPr>
      <w:r>
        <w:rPr>
          <w:rFonts w:ascii="Arial" w:hAnsi="Arial" w:cs="Arial"/>
        </w:rPr>
        <w:t>1303 Main</w:t>
      </w:r>
    </w:p>
    <w:p w:rsidR="00766DB8" w:rsidRDefault="00766DB8">
      <w:pPr>
        <w:tabs>
          <w:tab w:val="left" w:pos="2160"/>
          <w:tab w:val="left" w:pos="2280"/>
        </w:tabs>
        <w:rPr>
          <w:rFonts w:ascii="Arial" w:hAnsi="Arial" w:cs="Arial"/>
        </w:rPr>
      </w:pPr>
      <w:r>
        <w:rPr>
          <w:rFonts w:ascii="Arial" w:hAnsi="Arial" w:cs="Arial"/>
        </w:rPr>
        <w:t>Cincinnati, Ohio  45202</w:t>
      </w:r>
    </w:p>
    <w:p w:rsidR="00766DB8" w:rsidRDefault="00766DB8">
      <w:pPr>
        <w:tabs>
          <w:tab w:val="left" w:pos="2160"/>
          <w:tab w:val="left" w:pos="2280"/>
        </w:tabs>
        <w:rPr>
          <w:rFonts w:ascii="Arial" w:hAnsi="Arial" w:cs="Arial"/>
        </w:rPr>
      </w:pPr>
      <w:r>
        <w:rPr>
          <w:rFonts w:ascii="Arial" w:hAnsi="Arial" w:cs="Arial"/>
        </w:rPr>
        <w:t>amy.spiller@duke-energy.com</w:t>
      </w:r>
    </w:p>
    <w:p w:rsidR="00766DB8" w:rsidRDefault="00766DB8">
      <w:pPr>
        <w:tabs>
          <w:tab w:val="left" w:pos="2160"/>
          <w:tab w:val="left" w:pos="2280"/>
        </w:tabs>
        <w:rPr>
          <w:rFonts w:ascii="Arial" w:hAnsi="Arial" w:cs="Arial"/>
        </w:rPr>
      </w:pPr>
      <w:r>
        <w:rPr>
          <w:rFonts w:ascii="Arial" w:hAnsi="Arial" w:cs="Arial"/>
        </w:rPr>
        <w:t>rocco.dascenzo@duke-energy.com</w:t>
      </w:r>
    </w:p>
    <w:p w:rsidR="00766DB8" w:rsidRDefault="00766DB8">
      <w:pPr>
        <w:tabs>
          <w:tab w:val="left" w:pos="2160"/>
          <w:tab w:val="left" w:pos="2280"/>
        </w:tabs>
        <w:rPr>
          <w:rFonts w:ascii="Arial" w:hAnsi="Arial" w:cs="Arial"/>
        </w:rPr>
      </w:pPr>
      <w:r>
        <w:rPr>
          <w:rFonts w:ascii="Arial" w:hAnsi="Arial" w:cs="Arial"/>
        </w:rPr>
        <w:t>jeanne.kingery@duke-energy.com</w:t>
      </w:r>
    </w:p>
    <w:p w:rsidR="00766DB8" w:rsidRDefault="00766DB8">
      <w:pPr>
        <w:tabs>
          <w:tab w:val="left" w:pos="2160"/>
          <w:tab w:val="left" w:pos="2280"/>
        </w:tabs>
        <w:rPr>
          <w:rFonts w:ascii="Arial" w:hAnsi="Arial" w:cs="Arial"/>
        </w:rPr>
      </w:pPr>
      <w:r>
        <w:rPr>
          <w:rFonts w:ascii="Arial" w:hAnsi="Arial" w:cs="Arial"/>
        </w:rPr>
        <w:t>elizabeth.watts@duke-energy.com</w:t>
      </w:r>
    </w:p>
    <w:p w:rsidR="00766DB8" w:rsidRDefault="00766DB8">
      <w:pPr>
        <w:tabs>
          <w:tab w:val="left" w:pos="2160"/>
          <w:tab w:val="left" w:pos="2280"/>
        </w:tabs>
        <w:rPr>
          <w:rFonts w:ascii="Arial" w:hAnsi="Arial" w:cs="Arial"/>
        </w:rPr>
      </w:pPr>
    </w:p>
    <w:p w:rsidR="00316435" w:rsidRDefault="00316435">
      <w:pPr>
        <w:tabs>
          <w:tab w:val="left" w:pos="2160"/>
          <w:tab w:val="left" w:pos="2280"/>
        </w:tabs>
        <w:rPr>
          <w:rFonts w:ascii="Arial" w:hAnsi="Arial" w:cs="Arial"/>
          <w:b/>
        </w:rPr>
      </w:pPr>
      <w:r>
        <w:rPr>
          <w:rFonts w:ascii="Arial" w:hAnsi="Arial" w:cs="Arial"/>
          <w:b/>
        </w:rPr>
        <w:t>On Behalf of Duke Energy Ohio, Inc.</w:t>
      </w:r>
    </w:p>
    <w:p w:rsidR="00316435" w:rsidRDefault="00316435">
      <w:pPr>
        <w:tabs>
          <w:tab w:val="left" w:pos="2160"/>
          <w:tab w:val="left" w:pos="2280"/>
        </w:tabs>
        <w:rPr>
          <w:rFonts w:ascii="Arial" w:hAnsi="Arial" w:cs="Arial"/>
          <w:b/>
        </w:rPr>
      </w:pPr>
    </w:p>
    <w:p w:rsidR="00316435" w:rsidRDefault="00316435">
      <w:pPr>
        <w:tabs>
          <w:tab w:val="left" w:pos="2160"/>
          <w:tab w:val="left" w:pos="2280"/>
        </w:tabs>
        <w:rPr>
          <w:rFonts w:ascii="Arial" w:hAnsi="Arial" w:cs="Arial"/>
        </w:rPr>
      </w:pPr>
      <w:r>
        <w:rPr>
          <w:rFonts w:ascii="Arial" w:hAnsi="Arial" w:cs="Arial"/>
        </w:rPr>
        <w:t>Bruce J. Weston</w:t>
      </w:r>
    </w:p>
    <w:p w:rsidR="00316435" w:rsidRDefault="00316435">
      <w:pPr>
        <w:tabs>
          <w:tab w:val="left" w:pos="2160"/>
          <w:tab w:val="left" w:pos="2280"/>
        </w:tabs>
        <w:rPr>
          <w:rFonts w:ascii="Arial" w:hAnsi="Arial" w:cs="Arial"/>
        </w:rPr>
      </w:pPr>
      <w:r>
        <w:rPr>
          <w:rFonts w:ascii="Arial" w:hAnsi="Arial" w:cs="Arial"/>
        </w:rPr>
        <w:t>Consumers’ Counsel</w:t>
      </w:r>
    </w:p>
    <w:p w:rsidR="00316435" w:rsidRDefault="00316435">
      <w:pPr>
        <w:tabs>
          <w:tab w:val="left" w:pos="2160"/>
          <w:tab w:val="left" w:pos="2280"/>
        </w:tabs>
        <w:rPr>
          <w:rFonts w:ascii="Arial" w:hAnsi="Arial" w:cs="Arial"/>
        </w:rPr>
      </w:pPr>
      <w:r>
        <w:rPr>
          <w:rFonts w:ascii="Arial" w:hAnsi="Arial" w:cs="Arial"/>
        </w:rPr>
        <w:t>Maureen R. Grady</w:t>
      </w:r>
    </w:p>
    <w:p w:rsidR="00316435" w:rsidRDefault="00316435">
      <w:pPr>
        <w:tabs>
          <w:tab w:val="left" w:pos="2160"/>
          <w:tab w:val="left" w:pos="2280"/>
        </w:tabs>
        <w:rPr>
          <w:rFonts w:ascii="Arial" w:hAnsi="Arial" w:cs="Arial"/>
        </w:rPr>
      </w:pPr>
      <w:r>
        <w:rPr>
          <w:rFonts w:ascii="Arial" w:hAnsi="Arial" w:cs="Arial"/>
        </w:rPr>
        <w:t>Kyle L. Kern</w:t>
      </w:r>
    </w:p>
    <w:p w:rsidR="00316435" w:rsidRDefault="00316435">
      <w:pPr>
        <w:tabs>
          <w:tab w:val="left" w:pos="2160"/>
          <w:tab w:val="left" w:pos="2280"/>
        </w:tabs>
        <w:rPr>
          <w:rFonts w:ascii="Arial" w:hAnsi="Arial" w:cs="Arial"/>
        </w:rPr>
      </w:pPr>
      <w:r>
        <w:rPr>
          <w:rFonts w:ascii="Arial" w:hAnsi="Arial" w:cs="Arial"/>
        </w:rPr>
        <w:t>Office of the Ohio Consumers’ Counsel</w:t>
      </w:r>
    </w:p>
    <w:p w:rsidR="00316435" w:rsidRDefault="00316435">
      <w:pPr>
        <w:tabs>
          <w:tab w:val="left" w:pos="2160"/>
          <w:tab w:val="left" w:pos="2280"/>
        </w:tabs>
        <w:rPr>
          <w:rFonts w:ascii="Arial" w:hAnsi="Arial" w:cs="Arial"/>
        </w:rPr>
      </w:pPr>
      <w:r>
        <w:rPr>
          <w:rFonts w:ascii="Arial" w:hAnsi="Arial" w:cs="Arial"/>
        </w:rPr>
        <w:t>10 West Broad Street, Suite 1800</w:t>
      </w:r>
    </w:p>
    <w:p w:rsidR="00316435" w:rsidRDefault="00316435">
      <w:pPr>
        <w:tabs>
          <w:tab w:val="left" w:pos="2160"/>
          <w:tab w:val="left" w:pos="2280"/>
        </w:tabs>
        <w:rPr>
          <w:rFonts w:ascii="Arial" w:hAnsi="Arial" w:cs="Arial"/>
        </w:rPr>
      </w:pPr>
      <w:r>
        <w:rPr>
          <w:rFonts w:ascii="Arial" w:hAnsi="Arial" w:cs="Arial"/>
        </w:rPr>
        <w:t>Columbus, Ohio  43215</w:t>
      </w:r>
    </w:p>
    <w:p w:rsidR="00316435" w:rsidRDefault="00316435">
      <w:pPr>
        <w:tabs>
          <w:tab w:val="left" w:pos="2160"/>
          <w:tab w:val="left" w:pos="2280"/>
        </w:tabs>
        <w:rPr>
          <w:rFonts w:ascii="Arial" w:hAnsi="Arial" w:cs="Arial"/>
        </w:rPr>
      </w:pPr>
      <w:r>
        <w:rPr>
          <w:rFonts w:ascii="Arial" w:hAnsi="Arial" w:cs="Arial"/>
        </w:rPr>
        <w:t>grady@occ.state.oh.us</w:t>
      </w:r>
    </w:p>
    <w:p w:rsidR="00316435" w:rsidRDefault="00316435">
      <w:pPr>
        <w:tabs>
          <w:tab w:val="left" w:pos="2160"/>
          <w:tab w:val="left" w:pos="2280"/>
        </w:tabs>
        <w:rPr>
          <w:rFonts w:ascii="Arial" w:hAnsi="Arial" w:cs="Arial"/>
        </w:rPr>
      </w:pPr>
      <w:r w:rsidRPr="00316435">
        <w:rPr>
          <w:rFonts w:ascii="Arial" w:hAnsi="Arial" w:cs="Arial"/>
        </w:rPr>
        <w:t>kern@occ.state.oh.us</w:t>
      </w:r>
    </w:p>
    <w:p w:rsidR="00316435" w:rsidRDefault="00316435">
      <w:pPr>
        <w:tabs>
          <w:tab w:val="left" w:pos="2160"/>
          <w:tab w:val="left" w:pos="2280"/>
        </w:tabs>
        <w:rPr>
          <w:rFonts w:ascii="Arial" w:hAnsi="Arial" w:cs="Arial"/>
        </w:rPr>
      </w:pPr>
    </w:p>
    <w:p w:rsidR="00316435" w:rsidRDefault="00316435">
      <w:pPr>
        <w:tabs>
          <w:tab w:val="left" w:pos="2160"/>
          <w:tab w:val="left" w:pos="2280"/>
        </w:tabs>
        <w:rPr>
          <w:rFonts w:ascii="Arial" w:hAnsi="Arial" w:cs="Arial"/>
          <w:b/>
        </w:rPr>
      </w:pPr>
      <w:r>
        <w:rPr>
          <w:rFonts w:ascii="Arial" w:hAnsi="Arial" w:cs="Arial"/>
          <w:b/>
        </w:rPr>
        <w:t>On Behalf of the Office of the Ohio Consumers’ Counsel</w:t>
      </w:r>
    </w:p>
    <w:p w:rsidR="00316435" w:rsidRDefault="00316435">
      <w:pPr>
        <w:tabs>
          <w:tab w:val="left" w:pos="2160"/>
          <w:tab w:val="left" w:pos="2280"/>
        </w:tabs>
        <w:rPr>
          <w:rFonts w:ascii="Arial" w:hAnsi="Arial" w:cs="Arial"/>
          <w:b/>
        </w:rPr>
      </w:pPr>
    </w:p>
    <w:p w:rsidR="00316435" w:rsidRDefault="00316435">
      <w:pPr>
        <w:tabs>
          <w:tab w:val="left" w:pos="2160"/>
          <w:tab w:val="left" w:pos="2280"/>
        </w:tabs>
        <w:rPr>
          <w:rFonts w:ascii="Arial" w:hAnsi="Arial" w:cs="Arial"/>
          <w:b/>
        </w:rPr>
      </w:pPr>
    </w:p>
    <w:p w:rsidR="00316435" w:rsidRDefault="00316435">
      <w:pPr>
        <w:tabs>
          <w:tab w:val="left" w:pos="2160"/>
          <w:tab w:val="left" w:pos="2280"/>
        </w:tabs>
        <w:rPr>
          <w:rFonts w:ascii="Arial" w:hAnsi="Arial" w:cs="Arial"/>
          <w:b/>
        </w:rPr>
      </w:pPr>
    </w:p>
    <w:p w:rsidR="00316435" w:rsidRDefault="00316435">
      <w:pPr>
        <w:tabs>
          <w:tab w:val="left" w:pos="2160"/>
          <w:tab w:val="left" w:pos="2280"/>
        </w:tabs>
        <w:rPr>
          <w:rFonts w:ascii="Arial" w:hAnsi="Arial" w:cs="Arial"/>
          <w:b/>
        </w:rPr>
      </w:pPr>
    </w:p>
    <w:p w:rsidR="00316435" w:rsidRDefault="00316435">
      <w:pPr>
        <w:tabs>
          <w:tab w:val="left" w:pos="2160"/>
          <w:tab w:val="left" w:pos="2280"/>
        </w:tabs>
        <w:rPr>
          <w:rFonts w:ascii="Arial" w:hAnsi="Arial" w:cs="Arial"/>
          <w:b/>
        </w:rPr>
      </w:pPr>
    </w:p>
    <w:p w:rsidR="00316435" w:rsidRDefault="00316435">
      <w:pPr>
        <w:tabs>
          <w:tab w:val="left" w:pos="2160"/>
          <w:tab w:val="left" w:pos="2280"/>
        </w:tabs>
        <w:rPr>
          <w:rFonts w:ascii="Arial" w:hAnsi="Arial" w:cs="Arial"/>
          <w:b/>
        </w:rPr>
      </w:pPr>
    </w:p>
    <w:p w:rsidR="00316435" w:rsidRDefault="00316435">
      <w:pPr>
        <w:tabs>
          <w:tab w:val="left" w:pos="2160"/>
          <w:tab w:val="left" w:pos="2280"/>
        </w:tabs>
        <w:rPr>
          <w:rFonts w:ascii="Arial" w:hAnsi="Arial" w:cs="Arial"/>
        </w:rPr>
      </w:pPr>
      <w:r>
        <w:rPr>
          <w:rFonts w:ascii="Arial" w:hAnsi="Arial" w:cs="Arial"/>
        </w:rPr>
        <w:lastRenderedPageBreak/>
        <w:t>David F. Boehm</w:t>
      </w:r>
    </w:p>
    <w:p w:rsidR="00316435" w:rsidRDefault="00316435">
      <w:pPr>
        <w:tabs>
          <w:tab w:val="left" w:pos="2160"/>
          <w:tab w:val="left" w:pos="2280"/>
        </w:tabs>
        <w:rPr>
          <w:rFonts w:ascii="Arial" w:hAnsi="Arial" w:cs="Arial"/>
        </w:rPr>
      </w:pPr>
      <w:r>
        <w:rPr>
          <w:rFonts w:ascii="Arial" w:hAnsi="Arial" w:cs="Arial"/>
        </w:rPr>
        <w:t>Michael L. Kurtz</w:t>
      </w:r>
    </w:p>
    <w:p w:rsidR="00316435" w:rsidRDefault="00316435">
      <w:pPr>
        <w:tabs>
          <w:tab w:val="left" w:pos="2160"/>
          <w:tab w:val="left" w:pos="2280"/>
        </w:tabs>
        <w:rPr>
          <w:rFonts w:ascii="Arial" w:hAnsi="Arial" w:cs="Arial"/>
        </w:rPr>
      </w:pPr>
      <w:r>
        <w:rPr>
          <w:rFonts w:ascii="Arial" w:hAnsi="Arial" w:cs="Arial"/>
        </w:rPr>
        <w:t>Jody M. Kyler</w:t>
      </w:r>
    </w:p>
    <w:p w:rsidR="00316435" w:rsidRDefault="00316435">
      <w:pPr>
        <w:tabs>
          <w:tab w:val="left" w:pos="2160"/>
          <w:tab w:val="left" w:pos="2280"/>
        </w:tabs>
        <w:rPr>
          <w:rFonts w:ascii="Arial" w:hAnsi="Arial" w:cs="Arial"/>
        </w:rPr>
      </w:pPr>
      <w:r>
        <w:rPr>
          <w:rFonts w:ascii="Arial" w:hAnsi="Arial" w:cs="Arial"/>
        </w:rPr>
        <w:t>Boehm, Kurtz &amp; Lowry</w:t>
      </w:r>
    </w:p>
    <w:p w:rsidR="00316435" w:rsidRDefault="00316435">
      <w:pPr>
        <w:tabs>
          <w:tab w:val="left" w:pos="2160"/>
          <w:tab w:val="left" w:pos="2280"/>
        </w:tabs>
        <w:rPr>
          <w:rFonts w:ascii="Arial" w:hAnsi="Arial" w:cs="Arial"/>
        </w:rPr>
      </w:pPr>
      <w:r>
        <w:rPr>
          <w:rFonts w:ascii="Arial" w:hAnsi="Arial" w:cs="Arial"/>
        </w:rPr>
        <w:t>36 East Seventh Street, Suite 1510</w:t>
      </w:r>
    </w:p>
    <w:p w:rsidR="00316435" w:rsidRDefault="00316435">
      <w:pPr>
        <w:tabs>
          <w:tab w:val="left" w:pos="2160"/>
          <w:tab w:val="left" w:pos="2280"/>
        </w:tabs>
        <w:rPr>
          <w:rFonts w:ascii="Arial" w:hAnsi="Arial" w:cs="Arial"/>
        </w:rPr>
      </w:pPr>
      <w:r>
        <w:rPr>
          <w:rFonts w:ascii="Arial" w:hAnsi="Arial" w:cs="Arial"/>
        </w:rPr>
        <w:t>Cincinnati, Ohio  45202</w:t>
      </w:r>
    </w:p>
    <w:p w:rsidR="00316435" w:rsidRDefault="00316435">
      <w:pPr>
        <w:tabs>
          <w:tab w:val="left" w:pos="2160"/>
          <w:tab w:val="left" w:pos="2280"/>
        </w:tabs>
        <w:rPr>
          <w:rFonts w:ascii="Arial" w:hAnsi="Arial" w:cs="Arial"/>
        </w:rPr>
      </w:pPr>
      <w:r>
        <w:rPr>
          <w:rFonts w:ascii="Arial" w:hAnsi="Arial" w:cs="Arial"/>
        </w:rPr>
        <w:t>dboehm@bkllawfirm.com</w:t>
      </w:r>
    </w:p>
    <w:p w:rsidR="00316435" w:rsidRDefault="00316435">
      <w:pPr>
        <w:tabs>
          <w:tab w:val="left" w:pos="2160"/>
          <w:tab w:val="left" w:pos="2280"/>
        </w:tabs>
        <w:rPr>
          <w:rFonts w:ascii="Arial" w:hAnsi="Arial" w:cs="Arial"/>
        </w:rPr>
      </w:pPr>
      <w:r>
        <w:rPr>
          <w:rFonts w:ascii="Arial" w:hAnsi="Arial" w:cs="Arial"/>
        </w:rPr>
        <w:t>mkurtz@bkllawfirm.com</w:t>
      </w:r>
    </w:p>
    <w:p w:rsidR="00316435" w:rsidRDefault="00316435">
      <w:pPr>
        <w:tabs>
          <w:tab w:val="left" w:pos="2160"/>
          <w:tab w:val="left" w:pos="2280"/>
        </w:tabs>
        <w:rPr>
          <w:rFonts w:ascii="Arial" w:hAnsi="Arial" w:cs="Arial"/>
        </w:rPr>
      </w:pPr>
      <w:r>
        <w:rPr>
          <w:rFonts w:ascii="Arial" w:hAnsi="Arial" w:cs="Arial"/>
        </w:rPr>
        <w:t>jkyler@bkllawfirm.com</w:t>
      </w:r>
    </w:p>
    <w:p w:rsidR="00316435" w:rsidRDefault="00316435">
      <w:pPr>
        <w:tabs>
          <w:tab w:val="left" w:pos="2160"/>
          <w:tab w:val="left" w:pos="2280"/>
        </w:tabs>
        <w:rPr>
          <w:rFonts w:ascii="Arial" w:hAnsi="Arial" w:cs="Arial"/>
        </w:rPr>
      </w:pPr>
    </w:p>
    <w:p w:rsidR="00316435" w:rsidRPr="00316435" w:rsidRDefault="006A61FF">
      <w:pPr>
        <w:tabs>
          <w:tab w:val="left" w:pos="2160"/>
          <w:tab w:val="left" w:pos="2280"/>
        </w:tabs>
        <w:rPr>
          <w:rFonts w:ascii="Arial" w:hAnsi="Arial" w:cs="Arial"/>
          <w:b/>
        </w:rPr>
      </w:pPr>
      <w:r>
        <w:rPr>
          <w:rFonts w:ascii="Arial" w:hAnsi="Arial" w:cs="Arial"/>
          <w:b/>
        </w:rPr>
        <w:t>On B</w:t>
      </w:r>
      <w:r w:rsidR="00316435">
        <w:rPr>
          <w:rFonts w:ascii="Arial" w:hAnsi="Arial" w:cs="Arial"/>
          <w:b/>
        </w:rPr>
        <w:t>ehalf of the Ohio Energy Group</w:t>
      </w:r>
    </w:p>
    <w:p w:rsidR="00316435" w:rsidRDefault="00316435">
      <w:pPr>
        <w:tabs>
          <w:tab w:val="left" w:pos="2160"/>
          <w:tab w:val="left" w:pos="2280"/>
        </w:tabs>
        <w:rPr>
          <w:rFonts w:ascii="Arial" w:hAnsi="Arial" w:cs="Arial"/>
        </w:rPr>
      </w:pPr>
    </w:p>
    <w:p w:rsidR="00316435" w:rsidRDefault="006A61FF">
      <w:pPr>
        <w:tabs>
          <w:tab w:val="left" w:pos="2160"/>
          <w:tab w:val="left" w:pos="2280"/>
        </w:tabs>
        <w:rPr>
          <w:rFonts w:ascii="Arial" w:hAnsi="Arial" w:cs="Arial"/>
        </w:rPr>
      </w:pPr>
      <w:r>
        <w:rPr>
          <w:rFonts w:ascii="Arial" w:hAnsi="Arial" w:cs="Arial"/>
        </w:rPr>
        <w:t>Colleen L. Mooney</w:t>
      </w:r>
    </w:p>
    <w:p w:rsidR="006A61FF" w:rsidRDefault="006A61FF">
      <w:pPr>
        <w:tabs>
          <w:tab w:val="left" w:pos="2160"/>
          <w:tab w:val="left" w:pos="2280"/>
        </w:tabs>
        <w:rPr>
          <w:rFonts w:ascii="Arial" w:hAnsi="Arial" w:cs="Arial"/>
        </w:rPr>
      </w:pPr>
      <w:r>
        <w:rPr>
          <w:rFonts w:ascii="Arial" w:hAnsi="Arial" w:cs="Arial"/>
        </w:rPr>
        <w:t>Ohio Partners for Affordable Energy</w:t>
      </w:r>
    </w:p>
    <w:p w:rsidR="006A61FF" w:rsidRDefault="006A61FF">
      <w:pPr>
        <w:tabs>
          <w:tab w:val="left" w:pos="2160"/>
          <w:tab w:val="left" w:pos="2280"/>
        </w:tabs>
        <w:rPr>
          <w:rFonts w:ascii="Arial" w:hAnsi="Arial" w:cs="Arial"/>
        </w:rPr>
      </w:pPr>
      <w:r>
        <w:rPr>
          <w:rFonts w:ascii="Arial" w:hAnsi="Arial" w:cs="Arial"/>
        </w:rPr>
        <w:t>231 West Lima Street</w:t>
      </w:r>
    </w:p>
    <w:p w:rsidR="006A61FF" w:rsidRDefault="006A61FF">
      <w:pPr>
        <w:tabs>
          <w:tab w:val="left" w:pos="2160"/>
          <w:tab w:val="left" w:pos="2280"/>
        </w:tabs>
        <w:rPr>
          <w:rFonts w:ascii="Arial" w:hAnsi="Arial" w:cs="Arial"/>
        </w:rPr>
      </w:pPr>
      <w:r>
        <w:rPr>
          <w:rFonts w:ascii="Arial" w:hAnsi="Arial" w:cs="Arial"/>
        </w:rPr>
        <w:t>Findlay, Ohio 45839-1793</w:t>
      </w:r>
    </w:p>
    <w:p w:rsidR="006A61FF" w:rsidRDefault="006A61FF">
      <w:pPr>
        <w:tabs>
          <w:tab w:val="left" w:pos="2160"/>
          <w:tab w:val="left" w:pos="2280"/>
        </w:tabs>
        <w:rPr>
          <w:rFonts w:ascii="Arial" w:hAnsi="Arial" w:cs="Arial"/>
        </w:rPr>
      </w:pPr>
      <w:r>
        <w:rPr>
          <w:rFonts w:ascii="Arial" w:hAnsi="Arial" w:cs="Arial"/>
        </w:rPr>
        <w:t>Cmooney2@columbus.rr.com</w:t>
      </w:r>
    </w:p>
    <w:p w:rsidR="006A61FF" w:rsidRDefault="006A61FF">
      <w:pPr>
        <w:tabs>
          <w:tab w:val="left" w:pos="2160"/>
          <w:tab w:val="left" w:pos="2280"/>
        </w:tabs>
        <w:rPr>
          <w:rFonts w:ascii="Arial" w:hAnsi="Arial" w:cs="Arial"/>
        </w:rPr>
      </w:pPr>
    </w:p>
    <w:p w:rsidR="006A61FF" w:rsidRDefault="006A61FF">
      <w:pPr>
        <w:tabs>
          <w:tab w:val="left" w:pos="2160"/>
          <w:tab w:val="left" w:pos="2280"/>
        </w:tabs>
        <w:rPr>
          <w:rFonts w:ascii="Arial" w:hAnsi="Arial" w:cs="Arial"/>
          <w:b/>
        </w:rPr>
      </w:pPr>
      <w:r>
        <w:rPr>
          <w:rFonts w:ascii="Arial" w:hAnsi="Arial" w:cs="Arial"/>
          <w:b/>
        </w:rPr>
        <w:t>On Behalf of Ohio Partners for Affordable Energy</w:t>
      </w:r>
    </w:p>
    <w:p w:rsidR="006A61FF" w:rsidRDefault="006A61FF">
      <w:pPr>
        <w:tabs>
          <w:tab w:val="left" w:pos="2160"/>
          <w:tab w:val="left" w:pos="2280"/>
        </w:tabs>
        <w:rPr>
          <w:rFonts w:ascii="Arial" w:hAnsi="Arial" w:cs="Arial"/>
          <w:b/>
        </w:rPr>
      </w:pPr>
    </w:p>
    <w:p w:rsidR="006A61FF" w:rsidRDefault="006A61FF">
      <w:pPr>
        <w:tabs>
          <w:tab w:val="left" w:pos="2160"/>
          <w:tab w:val="left" w:pos="2280"/>
        </w:tabs>
        <w:rPr>
          <w:rFonts w:ascii="Arial" w:hAnsi="Arial" w:cs="Arial"/>
        </w:rPr>
      </w:pPr>
      <w:r>
        <w:rPr>
          <w:rFonts w:ascii="Arial" w:hAnsi="Arial" w:cs="Arial"/>
        </w:rPr>
        <w:t>Douglas E. Hart</w:t>
      </w:r>
    </w:p>
    <w:p w:rsidR="006A61FF" w:rsidRDefault="006A61FF">
      <w:pPr>
        <w:tabs>
          <w:tab w:val="left" w:pos="2160"/>
          <w:tab w:val="left" w:pos="2280"/>
        </w:tabs>
        <w:rPr>
          <w:rFonts w:ascii="Arial" w:hAnsi="Arial" w:cs="Arial"/>
        </w:rPr>
      </w:pPr>
      <w:r>
        <w:rPr>
          <w:rFonts w:ascii="Arial" w:hAnsi="Arial" w:cs="Arial"/>
        </w:rPr>
        <w:t>411 Vine Street, Suite 4192</w:t>
      </w:r>
    </w:p>
    <w:p w:rsidR="006A61FF" w:rsidRDefault="006A61FF">
      <w:pPr>
        <w:tabs>
          <w:tab w:val="left" w:pos="2160"/>
          <w:tab w:val="left" w:pos="2280"/>
        </w:tabs>
        <w:rPr>
          <w:rFonts w:ascii="Arial" w:hAnsi="Arial" w:cs="Arial"/>
        </w:rPr>
      </w:pPr>
      <w:r>
        <w:rPr>
          <w:rFonts w:ascii="Arial" w:hAnsi="Arial" w:cs="Arial"/>
        </w:rPr>
        <w:t>Cincinnati, Ohio 45202</w:t>
      </w:r>
    </w:p>
    <w:p w:rsidR="006A61FF" w:rsidRDefault="006A61FF">
      <w:pPr>
        <w:tabs>
          <w:tab w:val="left" w:pos="2160"/>
          <w:tab w:val="left" w:pos="2280"/>
        </w:tabs>
        <w:rPr>
          <w:rFonts w:ascii="Arial" w:hAnsi="Arial" w:cs="Arial"/>
        </w:rPr>
      </w:pPr>
      <w:r>
        <w:rPr>
          <w:rFonts w:ascii="Arial" w:hAnsi="Arial" w:cs="Arial"/>
        </w:rPr>
        <w:t>dhart@douglasehart.com</w:t>
      </w:r>
    </w:p>
    <w:p w:rsidR="006A61FF" w:rsidRDefault="006A61FF">
      <w:pPr>
        <w:tabs>
          <w:tab w:val="left" w:pos="2160"/>
          <w:tab w:val="left" w:pos="2280"/>
        </w:tabs>
        <w:rPr>
          <w:rFonts w:ascii="Arial" w:hAnsi="Arial" w:cs="Arial"/>
        </w:rPr>
      </w:pPr>
    </w:p>
    <w:p w:rsidR="006A61FF" w:rsidRDefault="006A61FF">
      <w:pPr>
        <w:tabs>
          <w:tab w:val="left" w:pos="2160"/>
          <w:tab w:val="left" w:pos="2280"/>
        </w:tabs>
        <w:rPr>
          <w:rFonts w:ascii="Arial" w:hAnsi="Arial" w:cs="Arial"/>
          <w:b/>
        </w:rPr>
      </w:pPr>
      <w:r>
        <w:rPr>
          <w:rFonts w:ascii="Arial" w:hAnsi="Arial" w:cs="Arial"/>
          <w:b/>
        </w:rPr>
        <w:t>On Behalf of The Greater Cincinnati Health Council and Cincinnati Bell Inc.</w:t>
      </w:r>
    </w:p>
    <w:p w:rsidR="006A61FF" w:rsidRDefault="006A61FF">
      <w:pPr>
        <w:spacing w:after="200" w:line="276" w:lineRule="auto"/>
        <w:rPr>
          <w:rFonts w:ascii="Arial" w:hAnsi="Arial" w:cs="Arial"/>
          <w:b/>
        </w:rPr>
      </w:pPr>
      <w:r>
        <w:rPr>
          <w:rFonts w:ascii="Arial" w:hAnsi="Arial" w:cs="Arial"/>
          <w:b/>
        </w:rPr>
        <w:br w:type="page"/>
      </w:r>
    </w:p>
    <w:p w:rsidR="006A61FF" w:rsidRPr="00FC5C94" w:rsidRDefault="006A61FF">
      <w:pPr>
        <w:tabs>
          <w:tab w:val="left" w:pos="2160"/>
          <w:tab w:val="left" w:pos="2280"/>
        </w:tabs>
        <w:rPr>
          <w:rFonts w:ascii="Arial" w:hAnsi="Arial" w:cs="Arial"/>
        </w:rPr>
      </w:pPr>
      <w:r w:rsidRPr="00FC5C94">
        <w:rPr>
          <w:rFonts w:ascii="Arial" w:hAnsi="Arial" w:cs="Arial"/>
        </w:rPr>
        <w:lastRenderedPageBreak/>
        <w:t>Kimberly W. Bojko</w:t>
      </w:r>
    </w:p>
    <w:p w:rsidR="006A61FF" w:rsidRPr="00FC5C94" w:rsidRDefault="006A61FF">
      <w:pPr>
        <w:tabs>
          <w:tab w:val="left" w:pos="2160"/>
          <w:tab w:val="left" w:pos="2280"/>
        </w:tabs>
        <w:rPr>
          <w:rFonts w:ascii="Arial" w:hAnsi="Arial" w:cs="Arial"/>
        </w:rPr>
      </w:pPr>
      <w:r w:rsidRPr="00FC5C94">
        <w:rPr>
          <w:rFonts w:ascii="Arial" w:hAnsi="Arial" w:cs="Arial"/>
        </w:rPr>
        <w:t>Mallory M. Mohler</w:t>
      </w:r>
    </w:p>
    <w:p w:rsidR="006A61FF" w:rsidRPr="00FC5C94" w:rsidRDefault="006A61FF">
      <w:pPr>
        <w:tabs>
          <w:tab w:val="left" w:pos="2160"/>
          <w:tab w:val="left" w:pos="2280"/>
        </w:tabs>
        <w:rPr>
          <w:rFonts w:ascii="Arial" w:hAnsi="Arial" w:cs="Arial"/>
        </w:rPr>
      </w:pPr>
      <w:r w:rsidRPr="00FC5C94">
        <w:rPr>
          <w:rFonts w:ascii="Arial" w:hAnsi="Arial" w:cs="Arial"/>
        </w:rPr>
        <w:t>Carpenter Lipps &amp; Leland LLP</w:t>
      </w:r>
    </w:p>
    <w:p w:rsidR="006A61FF" w:rsidRPr="00FC5C94" w:rsidRDefault="006A61FF">
      <w:pPr>
        <w:tabs>
          <w:tab w:val="left" w:pos="2160"/>
          <w:tab w:val="left" w:pos="2280"/>
        </w:tabs>
        <w:rPr>
          <w:rFonts w:ascii="Arial" w:hAnsi="Arial" w:cs="Arial"/>
        </w:rPr>
      </w:pPr>
      <w:r w:rsidRPr="00FC5C94">
        <w:rPr>
          <w:rFonts w:ascii="Arial" w:hAnsi="Arial" w:cs="Arial"/>
        </w:rPr>
        <w:t>280 North High Street</w:t>
      </w:r>
    </w:p>
    <w:p w:rsidR="006A61FF" w:rsidRPr="00FC5C94" w:rsidRDefault="006A61FF">
      <w:pPr>
        <w:tabs>
          <w:tab w:val="left" w:pos="2160"/>
          <w:tab w:val="left" w:pos="2280"/>
        </w:tabs>
        <w:rPr>
          <w:rFonts w:ascii="Arial" w:hAnsi="Arial" w:cs="Arial"/>
        </w:rPr>
      </w:pPr>
      <w:r w:rsidRPr="00FC5C94">
        <w:rPr>
          <w:rFonts w:ascii="Arial" w:hAnsi="Arial" w:cs="Arial"/>
        </w:rPr>
        <w:t>Suite 1300</w:t>
      </w:r>
    </w:p>
    <w:p w:rsidR="006A61FF" w:rsidRPr="00FC5C94" w:rsidRDefault="006A61FF">
      <w:pPr>
        <w:tabs>
          <w:tab w:val="left" w:pos="2160"/>
          <w:tab w:val="left" w:pos="2280"/>
        </w:tabs>
        <w:rPr>
          <w:rFonts w:ascii="Arial" w:hAnsi="Arial" w:cs="Arial"/>
        </w:rPr>
      </w:pPr>
      <w:r w:rsidRPr="00FC5C94">
        <w:rPr>
          <w:rFonts w:ascii="Arial" w:hAnsi="Arial" w:cs="Arial"/>
        </w:rPr>
        <w:t>Columbus, Ohio 43215</w:t>
      </w:r>
    </w:p>
    <w:p w:rsidR="006A61FF" w:rsidRPr="00FC5C94" w:rsidRDefault="006A61FF">
      <w:pPr>
        <w:tabs>
          <w:tab w:val="left" w:pos="2160"/>
          <w:tab w:val="left" w:pos="2280"/>
        </w:tabs>
        <w:rPr>
          <w:rFonts w:ascii="Arial" w:hAnsi="Arial" w:cs="Arial"/>
        </w:rPr>
      </w:pPr>
      <w:r w:rsidRPr="00FC5C94">
        <w:rPr>
          <w:rFonts w:ascii="Arial" w:hAnsi="Arial" w:cs="Arial"/>
        </w:rPr>
        <w:t>bojko@carpenterlipps.com</w:t>
      </w:r>
    </w:p>
    <w:p w:rsidR="006A61FF" w:rsidRPr="00FC5C94" w:rsidRDefault="006A61FF">
      <w:pPr>
        <w:tabs>
          <w:tab w:val="left" w:pos="2160"/>
          <w:tab w:val="left" w:pos="2280"/>
        </w:tabs>
        <w:rPr>
          <w:rFonts w:ascii="Arial" w:hAnsi="Arial" w:cs="Arial"/>
        </w:rPr>
      </w:pPr>
      <w:r w:rsidRPr="00FC5C94">
        <w:rPr>
          <w:rFonts w:ascii="Arial" w:hAnsi="Arial" w:cs="Arial"/>
        </w:rPr>
        <w:t>mohler@carpenterlipps.com</w:t>
      </w:r>
    </w:p>
    <w:p w:rsidR="006A61FF" w:rsidRPr="00FC5C94" w:rsidRDefault="006A61FF">
      <w:pPr>
        <w:tabs>
          <w:tab w:val="left" w:pos="2160"/>
          <w:tab w:val="left" w:pos="2280"/>
        </w:tabs>
        <w:rPr>
          <w:rFonts w:ascii="Arial" w:hAnsi="Arial" w:cs="Arial"/>
        </w:rPr>
      </w:pPr>
    </w:p>
    <w:p w:rsidR="006A61FF" w:rsidRPr="00FC5C94" w:rsidRDefault="006A61FF">
      <w:pPr>
        <w:tabs>
          <w:tab w:val="left" w:pos="2160"/>
          <w:tab w:val="left" w:pos="2280"/>
        </w:tabs>
        <w:rPr>
          <w:rFonts w:ascii="Arial" w:hAnsi="Arial" w:cs="Arial"/>
          <w:b/>
        </w:rPr>
      </w:pPr>
      <w:r w:rsidRPr="00FC5C94">
        <w:rPr>
          <w:rFonts w:ascii="Arial" w:hAnsi="Arial" w:cs="Arial"/>
          <w:b/>
        </w:rPr>
        <w:t>On Behalf of Kroger Co.</w:t>
      </w:r>
    </w:p>
    <w:p w:rsidR="0095367A" w:rsidRPr="00FC5C94" w:rsidRDefault="0095367A">
      <w:pPr>
        <w:tabs>
          <w:tab w:val="left" w:pos="2160"/>
          <w:tab w:val="left" w:pos="2280"/>
        </w:tabs>
        <w:rPr>
          <w:rFonts w:ascii="Arial" w:hAnsi="Arial" w:cs="Arial"/>
          <w:b/>
        </w:rPr>
      </w:pP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Thomas J. O’Brien</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Bricker &amp; Eckler LLP</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100 South Third Street</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Columbus, Ohio  43215</w:t>
      </w:r>
    </w:p>
    <w:p w:rsidR="00FC5C94" w:rsidRPr="00FC5C94" w:rsidRDefault="00FC5C94" w:rsidP="00FC5C94">
      <w:pPr>
        <w:tabs>
          <w:tab w:val="left" w:pos="2160"/>
          <w:tab w:val="left" w:pos="2280"/>
        </w:tabs>
        <w:rPr>
          <w:rFonts w:ascii="Arial" w:eastAsia="Calibri" w:hAnsi="Arial" w:cs="Arial"/>
          <w:b/>
        </w:rPr>
      </w:pPr>
      <w:r w:rsidRPr="00FC5C94">
        <w:rPr>
          <w:rFonts w:ascii="Arial" w:eastAsia="Calibri" w:hAnsi="Arial" w:cs="Arial"/>
        </w:rPr>
        <w:t>tobrien@bricker.com</w:t>
      </w:r>
    </w:p>
    <w:p w:rsidR="00FC5C94" w:rsidRPr="00FC5C94" w:rsidRDefault="00FC5C94" w:rsidP="00FC5C94">
      <w:pPr>
        <w:tabs>
          <w:tab w:val="left" w:pos="2160"/>
          <w:tab w:val="left" w:pos="2280"/>
        </w:tabs>
        <w:rPr>
          <w:rFonts w:ascii="Arial" w:eastAsia="Calibri" w:hAnsi="Arial" w:cs="Arial"/>
          <w:b/>
        </w:rPr>
      </w:pPr>
    </w:p>
    <w:p w:rsidR="00FC5C94" w:rsidRPr="00FC5C94" w:rsidRDefault="00FC5C94" w:rsidP="00FC5C94">
      <w:pPr>
        <w:tabs>
          <w:tab w:val="left" w:pos="2160"/>
          <w:tab w:val="left" w:pos="2280"/>
        </w:tabs>
        <w:rPr>
          <w:rFonts w:ascii="Arial" w:eastAsia="Calibri" w:hAnsi="Arial" w:cs="Arial"/>
          <w:b/>
        </w:rPr>
      </w:pPr>
      <w:r w:rsidRPr="00FC5C94">
        <w:rPr>
          <w:rFonts w:ascii="Arial" w:eastAsia="Calibri" w:hAnsi="Arial" w:cs="Arial"/>
          <w:b/>
        </w:rPr>
        <w:t>On Behalf of the City of Cincinnati</w:t>
      </w:r>
    </w:p>
    <w:p w:rsidR="00FC5C94" w:rsidRPr="00FC5C94" w:rsidRDefault="00FC5C94" w:rsidP="00FC5C94">
      <w:pPr>
        <w:tabs>
          <w:tab w:val="left" w:pos="2160"/>
          <w:tab w:val="left" w:pos="2280"/>
        </w:tabs>
        <w:rPr>
          <w:rFonts w:ascii="Arial" w:eastAsia="Calibri" w:hAnsi="Arial" w:cs="Arial"/>
        </w:rPr>
      </w:pP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Mark A. Hayden</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FirstEnergy Service Company</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76 South Main Street</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Akron, Ohio  44308</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haydenm@firstenergycorp.com</w:t>
      </w:r>
    </w:p>
    <w:p w:rsidR="00FC5C94" w:rsidRPr="00FC5C94" w:rsidRDefault="00FC5C94" w:rsidP="00FC5C94">
      <w:pPr>
        <w:tabs>
          <w:tab w:val="left" w:pos="2160"/>
          <w:tab w:val="left" w:pos="2280"/>
        </w:tabs>
        <w:rPr>
          <w:rFonts w:ascii="Arial" w:eastAsia="Calibri" w:hAnsi="Arial" w:cs="Arial"/>
        </w:rPr>
      </w:pP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James F. Lang</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Laura C. McBride</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N. Trevor Alexander</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Calfee, Halter &amp; Griswold LLP</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1405 East Sixth Street</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Cleveland, Ohio 44114</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jlang@calfee.com</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lmcbride@calfee.com</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talexander@calfee.com</w:t>
      </w:r>
    </w:p>
    <w:p w:rsidR="00FC5C94" w:rsidRPr="00FC5C94" w:rsidRDefault="00FC5C94" w:rsidP="00FC5C94">
      <w:pPr>
        <w:tabs>
          <w:tab w:val="left" w:pos="2160"/>
          <w:tab w:val="left" w:pos="2280"/>
        </w:tabs>
        <w:rPr>
          <w:rFonts w:ascii="Arial" w:eastAsia="Calibri" w:hAnsi="Arial" w:cs="Arial"/>
        </w:rPr>
      </w:pPr>
    </w:p>
    <w:p w:rsidR="00FC5C94" w:rsidRPr="00FC5C94" w:rsidRDefault="00FC5C94" w:rsidP="00FC5C94">
      <w:pPr>
        <w:tabs>
          <w:tab w:val="left" w:pos="2160"/>
          <w:tab w:val="left" w:pos="2280"/>
        </w:tabs>
        <w:rPr>
          <w:rFonts w:ascii="Arial" w:eastAsia="Calibri" w:hAnsi="Arial" w:cs="Arial"/>
          <w:b/>
        </w:rPr>
      </w:pPr>
      <w:r w:rsidRPr="00FC5C94">
        <w:rPr>
          <w:rFonts w:ascii="Arial" w:eastAsia="Calibri" w:hAnsi="Arial" w:cs="Arial"/>
          <w:b/>
        </w:rPr>
        <w:t>On Behalf of FirstEnergy Solutions Corp.</w:t>
      </w:r>
    </w:p>
    <w:p w:rsidR="00FC5C94" w:rsidRPr="00FC5C94" w:rsidRDefault="00FC5C94" w:rsidP="00FC5C94">
      <w:pPr>
        <w:tabs>
          <w:tab w:val="left" w:pos="2160"/>
          <w:tab w:val="left" w:pos="2280"/>
        </w:tabs>
        <w:rPr>
          <w:rFonts w:ascii="Arial" w:eastAsia="Calibri" w:hAnsi="Arial" w:cs="Arial"/>
        </w:rPr>
      </w:pP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William Wright</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Assistant Attorney General</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Ohio Attorney General’s Office</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180 East Broad Street</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Columbus, Ohio 43215</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William.wright@puc.state.oh.us</w:t>
      </w:r>
    </w:p>
    <w:p w:rsidR="00FC5C94" w:rsidRPr="00FC5C94" w:rsidRDefault="00FC5C94" w:rsidP="00FC5C94">
      <w:pPr>
        <w:tabs>
          <w:tab w:val="left" w:pos="2160"/>
          <w:tab w:val="left" w:pos="2280"/>
        </w:tabs>
        <w:rPr>
          <w:rFonts w:ascii="Arial" w:eastAsia="Calibri" w:hAnsi="Arial" w:cs="Arial"/>
        </w:rPr>
      </w:pPr>
    </w:p>
    <w:p w:rsidR="00FC5C94" w:rsidRPr="00FC5C94" w:rsidRDefault="00FC5C94" w:rsidP="00FC5C94">
      <w:pPr>
        <w:tabs>
          <w:tab w:val="left" w:pos="2160"/>
          <w:tab w:val="left" w:pos="2280"/>
        </w:tabs>
        <w:rPr>
          <w:rFonts w:ascii="Arial" w:eastAsia="Calibri" w:hAnsi="Arial" w:cs="Arial"/>
          <w:b/>
        </w:rPr>
      </w:pPr>
      <w:r w:rsidRPr="00FC5C94">
        <w:rPr>
          <w:rFonts w:ascii="Arial" w:eastAsia="Calibri" w:hAnsi="Arial" w:cs="Arial"/>
          <w:b/>
        </w:rPr>
        <w:t>On Behalf of the Public Utilities Commission of Ohio</w:t>
      </w:r>
    </w:p>
    <w:p w:rsidR="00FC5C94" w:rsidRPr="00FC5C94" w:rsidRDefault="00FC5C94" w:rsidP="00FC5C94">
      <w:pPr>
        <w:tabs>
          <w:tab w:val="left" w:pos="2160"/>
          <w:tab w:val="left" w:pos="2280"/>
        </w:tabs>
        <w:rPr>
          <w:rFonts w:ascii="Arial" w:eastAsia="Calibri" w:hAnsi="Arial" w:cs="Arial"/>
          <w:b/>
        </w:rPr>
      </w:pP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lastRenderedPageBreak/>
        <w:t>Christine Pirik</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Katie Stenman</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Public Utilities Commission of Ohio</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180 East Broad Street</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Columbus, Ohio 43215</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Christine.pirik@puc.state.oh.us</w:t>
      </w:r>
    </w:p>
    <w:p w:rsidR="00FC5C94" w:rsidRPr="00FC5C94" w:rsidRDefault="00FC5C94" w:rsidP="00FC5C94">
      <w:pPr>
        <w:tabs>
          <w:tab w:val="left" w:pos="2160"/>
          <w:tab w:val="left" w:pos="2280"/>
        </w:tabs>
        <w:rPr>
          <w:rFonts w:ascii="Arial" w:eastAsia="Calibri" w:hAnsi="Arial" w:cs="Arial"/>
        </w:rPr>
      </w:pPr>
      <w:r w:rsidRPr="00FC5C94">
        <w:rPr>
          <w:rFonts w:ascii="Arial" w:eastAsia="Calibri" w:hAnsi="Arial" w:cs="Arial"/>
        </w:rPr>
        <w:t>Katie.stenman@puc.state.oh.us</w:t>
      </w:r>
    </w:p>
    <w:p w:rsidR="00FC5C94" w:rsidRPr="00FC5C94" w:rsidRDefault="00FC5C94" w:rsidP="00FC5C94">
      <w:pPr>
        <w:tabs>
          <w:tab w:val="left" w:pos="2160"/>
          <w:tab w:val="left" w:pos="2280"/>
        </w:tabs>
        <w:rPr>
          <w:rFonts w:ascii="Arial" w:eastAsia="Calibri" w:hAnsi="Arial" w:cs="Arial"/>
        </w:rPr>
      </w:pPr>
    </w:p>
    <w:p w:rsidR="00FC5C94" w:rsidRPr="00FC5C94" w:rsidRDefault="00FC5C94" w:rsidP="00FC5C94">
      <w:pPr>
        <w:tabs>
          <w:tab w:val="left" w:pos="2160"/>
          <w:tab w:val="left" w:pos="2280"/>
        </w:tabs>
        <w:rPr>
          <w:rFonts w:ascii="Arial" w:eastAsia="Calibri" w:hAnsi="Arial" w:cs="Arial"/>
          <w:b/>
        </w:rPr>
      </w:pPr>
      <w:r w:rsidRPr="00FC5C94">
        <w:rPr>
          <w:rFonts w:ascii="Arial" w:eastAsia="Calibri" w:hAnsi="Arial" w:cs="Arial"/>
          <w:b/>
        </w:rPr>
        <w:t>Attorney Examiners</w:t>
      </w:r>
    </w:p>
    <w:p w:rsidR="0095367A" w:rsidRPr="00FC5C94" w:rsidRDefault="0095367A">
      <w:pPr>
        <w:tabs>
          <w:tab w:val="left" w:pos="2160"/>
          <w:tab w:val="left" w:pos="2280"/>
        </w:tabs>
        <w:rPr>
          <w:rFonts w:ascii="Arial" w:hAnsi="Arial" w:cs="Arial"/>
        </w:rPr>
      </w:pPr>
    </w:p>
    <w:sectPr w:rsidR="0095367A" w:rsidRPr="00FC5C94">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E8" w:rsidRDefault="006663E8">
      <w:r>
        <w:separator/>
      </w:r>
    </w:p>
  </w:endnote>
  <w:endnote w:type="continuationSeparator" w:id="0">
    <w:p w:rsidR="006663E8" w:rsidRDefault="0066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63E8" w:rsidRDefault="00666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1</w:t>
    </w:r>
    <w:r>
      <w:rPr>
        <w:rStyle w:val="PageNumber"/>
        <w:rFonts w:ascii="Arial" w:hAnsi="Arial" w:cs="Arial"/>
        <w:noProof/>
      </w:rPr>
      <w:fldChar w:fldCharType="end"/>
    </w:r>
  </w:p>
  <w:p w:rsidR="006663E8" w:rsidRDefault="0048734D">
    <w:pPr>
      <w:pStyle w:val="Footer"/>
    </w:pPr>
    <w:r w:rsidRPr="0048734D">
      <w:rPr>
        <w:sz w:val="16"/>
      </w:rPr>
      <w:t>{C38607: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48734D">
    <w:pPr>
      <w:pStyle w:val="Footer"/>
    </w:pPr>
    <w:r w:rsidRPr="0048734D">
      <w:rPr>
        <w:noProof/>
        <w:sz w:val="16"/>
      </w:rPr>
      <w:t>{C38607: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63E8" w:rsidRDefault="006663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48734D">
      <w:rPr>
        <w:rStyle w:val="PageNumber"/>
        <w:rFonts w:ascii="Arial" w:hAnsi="Arial" w:cs="Arial"/>
        <w:noProof/>
      </w:rPr>
      <w:t>8</w:t>
    </w:r>
    <w:r>
      <w:rPr>
        <w:rStyle w:val="PageNumber"/>
        <w:rFonts w:ascii="Arial" w:hAnsi="Arial" w:cs="Arial"/>
        <w:noProof/>
      </w:rPr>
      <w:fldChar w:fldCharType="end"/>
    </w:r>
  </w:p>
  <w:p w:rsidR="006663E8" w:rsidRDefault="0048734D">
    <w:pPr>
      <w:pStyle w:val="Footer"/>
    </w:pPr>
    <w:r w:rsidRPr="0048734D">
      <w:rPr>
        <w:sz w:val="16"/>
      </w:rPr>
      <w:t>{C38607: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48734D">
    <w:pPr>
      <w:pStyle w:val="Footer"/>
    </w:pPr>
    <w:r w:rsidRPr="0048734D">
      <w:rPr>
        <w:noProof/>
        <w:sz w:val="16"/>
      </w:rPr>
      <w:t>{C38607: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E8" w:rsidRDefault="006663E8">
      <w:pPr>
        <w:rPr>
          <w:noProof/>
        </w:rPr>
      </w:pPr>
      <w:r>
        <w:rPr>
          <w:noProof/>
        </w:rPr>
        <w:separator/>
      </w:r>
    </w:p>
  </w:footnote>
  <w:footnote w:type="continuationSeparator" w:id="0">
    <w:p w:rsidR="006663E8" w:rsidRDefault="006663E8">
      <w:r>
        <w:continuationSeparator/>
      </w:r>
    </w:p>
  </w:footnote>
  <w:footnote w:id="1">
    <w:p w:rsidR="006663E8" w:rsidRDefault="006663E8" w:rsidP="00131328">
      <w:pPr>
        <w:pStyle w:val="FootnoteText"/>
        <w:jc w:val="both"/>
      </w:pPr>
      <w:r>
        <w:rPr>
          <w:rStyle w:val="FootnoteReference"/>
        </w:rPr>
        <w:footnoteRef/>
      </w:r>
      <w:r>
        <w:t xml:space="preserve"> </w:t>
      </w:r>
      <w:r w:rsidRPr="000C23CA">
        <w:rPr>
          <w:rFonts w:ascii="Arial" w:hAnsi="Arial" w:cs="Arial"/>
          <w:i/>
        </w:rPr>
        <w:t xml:space="preserve">In the Matter of the Commission </w:t>
      </w:r>
      <w:r>
        <w:rPr>
          <w:rFonts w:ascii="Arial" w:hAnsi="Arial" w:cs="Arial"/>
          <w:i/>
        </w:rPr>
        <w:t>R</w:t>
      </w:r>
      <w:r w:rsidRPr="000C23CA">
        <w:rPr>
          <w:rFonts w:ascii="Arial" w:hAnsi="Arial" w:cs="Arial"/>
          <w:i/>
        </w:rPr>
        <w:t>eview of the Capacity Charges of Ohio Power Company and Columbus Southern Power Company</w:t>
      </w:r>
      <w:r>
        <w:rPr>
          <w:rFonts w:ascii="Arial" w:hAnsi="Arial" w:cs="Arial"/>
          <w:i/>
        </w:rPr>
        <w:t xml:space="preserve">, </w:t>
      </w:r>
      <w:r>
        <w:rPr>
          <w:rFonts w:ascii="Arial" w:hAnsi="Arial" w:cs="Arial"/>
        </w:rPr>
        <w:t>Case No. 10-2929-EL-UNC</w:t>
      </w:r>
      <w:r w:rsidRPr="000C23CA">
        <w:rPr>
          <w:rFonts w:ascii="Arial" w:hAnsi="Arial" w:cs="Arial"/>
        </w:rPr>
        <w:t>, Opinion and Order at 23 (Jul. 2, 2012) (hereinafter “Capacity Order”).</w:t>
      </w:r>
    </w:p>
  </w:footnote>
  <w:footnote w:id="2">
    <w:p w:rsidR="006663E8" w:rsidRDefault="006663E8" w:rsidP="00492744">
      <w:pPr>
        <w:pStyle w:val="FootnoteText"/>
        <w:jc w:val="both"/>
        <w:rPr>
          <w:rFonts w:ascii="Arial" w:hAnsi="Arial" w:cs="Arial"/>
        </w:rPr>
      </w:pPr>
      <w:r w:rsidRPr="000C23CA">
        <w:rPr>
          <w:rStyle w:val="FootnoteReference"/>
          <w:rFonts w:ascii="Arial" w:hAnsi="Arial" w:cs="Arial"/>
        </w:rPr>
        <w:footnoteRef/>
      </w:r>
      <w:r w:rsidRPr="000C23CA">
        <w:rPr>
          <w:rFonts w:ascii="Arial" w:hAnsi="Arial" w:cs="Arial"/>
        </w:rPr>
        <w:t xml:space="preserve"> </w:t>
      </w:r>
      <w:r w:rsidRPr="000C23CA">
        <w:rPr>
          <w:rFonts w:ascii="Arial" w:hAnsi="Arial" w:cs="Arial"/>
          <w:i/>
        </w:rPr>
        <w:t>In the Matter of Application of Duke Energy Ohio, Inc. for Authority to Establish a Standard Service Offer Pursuant to Section 4928.143, Revised Code, in the Form of an Electric Security Plan, Accounting Modifications, and Tariffs for Generation Service</w:t>
      </w:r>
      <w:r w:rsidRPr="000C23CA">
        <w:rPr>
          <w:rFonts w:ascii="Arial" w:hAnsi="Arial" w:cs="Arial"/>
        </w:rPr>
        <w:t xml:space="preserve">, Case Nos. 11-3549-EL-SSO, </w:t>
      </w:r>
      <w:r w:rsidRPr="000C23CA">
        <w:rPr>
          <w:rFonts w:ascii="Arial" w:hAnsi="Arial" w:cs="Arial"/>
          <w:i/>
        </w:rPr>
        <w:t>et al.</w:t>
      </w:r>
      <w:r w:rsidRPr="000C23CA">
        <w:rPr>
          <w:rFonts w:ascii="Arial" w:hAnsi="Arial" w:cs="Arial"/>
        </w:rPr>
        <w:t>, Opinion and Order (Nov. 22, 2011) (hereinafter “</w:t>
      </w:r>
      <w:r w:rsidRPr="000C23CA">
        <w:rPr>
          <w:rFonts w:ascii="Arial" w:hAnsi="Arial" w:cs="Arial"/>
          <w:i/>
        </w:rPr>
        <w:t>Duke ESP II</w:t>
      </w:r>
      <w:r w:rsidRPr="000C23CA">
        <w:rPr>
          <w:rFonts w:ascii="Arial" w:hAnsi="Arial" w:cs="Arial"/>
        </w:rPr>
        <w:t xml:space="preserve">”); </w:t>
      </w:r>
      <w:r w:rsidRPr="000C23CA">
        <w:rPr>
          <w:rFonts w:ascii="Arial" w:hAnsi="Arial" w:cs="Arial"/>
          <w:i/>
        </w:rPr>
        <w:t>In the Matter of the Application of Duke Energy Ohio, Inc. for Approval of the Establishment of Rider BTR and Rider RTO and Associated Tariffs,</w:t>
      </w:r>
      <w:r w:rsidRPr="000C23CA">
        <w:rPr>
          <w:rFonts w:ascii="Arial" w:hAnsi="Arial" w:cs="Arial"/>
        </w:rPr>
        <w:t xml:space="preserve"> Case Nos. 11-2641-EL-RDR, </w:t>
      </w:r>
      <w:r w:rsidRPr="000C23CA">
        <w:rPr>
          <w:rFonts w:ascii="Arial" w:hAnsi="Arial" w:cs="Arial"/>
          <w:i/>
        </w:rPr>
        <w:t xml:space="preserve">et al., </w:t>
      </w:r>
      <w:r w:rsidRPr="000C23CA">
        <w:rPr>
          <w:rFonts w:ascii="Arial" w:hAnsi="Arial" w:cs="Arial"/>
        </w:rPr>
        <w:t xml:space="preserve">Opinion and Order (May 25, 2011); </w:t>
      </w:r>
      <w:r w:rsidRPr="000C23CA">
        <w:rPr>
          <w:rFonts w:ascii="Arial" w:hAnsi="Arial" w:cs="Arial"/>
          <w:i/>
        </w:rPr>
        <w:t>In the Matter of Application of Duke Energy Ohio, Inc. for Approval of a Market Rate Offer to Conduct a Competitive Bidding Process for a Standard Service Offer Electric Generation Supply, Accounting Modifications, and Tariffs for Generation Service</w:t>
      </w:r>
      <w:r w:rsidRPr="000C23CA">
        <w:rPr>
          <w:rFonts w:ascii="Arial" w:hAnsi="Arial" w:cs="Arial"/>
        </w:rPr>
        <w:t>, Case No. 10-2586-EL-SSO, Opinion and Order (Fe</w:t>
      </w:r>
      <w:r>
        <w:rPr>
          <w:rFonts w:ascii="Arial" w:hAnsi="Arial" w:cs="Arial"/>
        </w:rPr>
        <w:t>b</w:t>
      </w:r>
      <w:r w:rsidRPr="000C23CA">
        <w:rPr>
          <w:rFonts w:ascii="Arial" w:hAnsi="Arial" w:cs="Arial"/>
        </w:rPr>
        <w:t>. 23, 2011).</w:t>
      </w:r>
    </w:p>
    <w:p w:rsidR="006663E8" w:rsidRPr="000C23CA" w:rsidRDefault="006663E8" w:rsidP="00492744">
      <w:pPr>
        <w:pStyle w:val="FootnoteText"/>
        <w:jc w:val="both"/>
        <w:rPr>
          <w:rFonts w:ascii="Arial" w:hAnsi="Arial" w:cs="Arial"/>
          <w:i/>
        </w:rPr>
      </w:pPr>
    </w:p>
  </w:footnote>
  <w:footnote w:id="3">
    <w:p w:rsidR="006663E8" w:rsidRPr="000C23CA" w:rsidRDefault="006663E8">
      <w:pPr>
        <w:pStyle w:val="FootnoteText"/>
        <w:rPr>
          <w:rFonts w:ascii="Arial" w:hAnsi="Arial" w:cs="Arial"/>
        </w:rPr>
      </w:pPr>
      <w:r w:rsidRPr="000C23CA">
        <w:rPr>
          <w:rStyle w:val="FootnoteReference"/>
          <w:rFonts w:ascii="Arial" w:hAnsi="Arial" w:cs="Arial"/>
        </w:rPr>
        <w:footnoteRef/>
      </w:r>
      <w:r w:rsidRPr="000C23CA">
        <w:rPr>
          <w:rFonts w:ascii="Arial" w:hAnsi="Arial" w:cs="Arial"/>
        </w:rPr>
        <w:t xml:space="preserve"> </w:t>
      </w:r>
      <w:r w:rsidRPr="000C23CA">
        <w:rPr>
          <w:rFonts w:ascii="Arial" w:hAnsi="Arial" w:cs="Arial"/>
          <w:i/>
        </w:rPr>
        <w:t>Ohio Consumers' Counsel v. Pub. Util. Comm.</w:t>
      </w:r>
      <w:r w:rsidRPr="000C23CA">
        <w:rPr>
          <w:rFonts w:ascii="Arial" w:hAnsi="Arial" w:cs="Arial"/>
        </w:rPr>
        <w:t>, 111 Ohio St. 3d 384, ¶ 20 (2006).</w:t>
      </w:r>
    </w:p>
    <w:p w:rsidR="006663E8" w:rsidRPr="000C23CA" w:rsidRDefault="006663E8">
      <w:pPr>
        <w:pStyle w:val="FootnoteText"/>
        <w:rPr>
          <w:rFonts w:ascii="Arial" w:hAnsi="Arial" w:cs="Arial"/>
        </w:rPr>
      </w:pPr>
    </w:p>
  </w:footnote>
  <w:footnote w:id="4">
    <w:p w:rsidR="006663E8" w:rsidRPr="000C23CA" w:rsidRDefault="006663E8">
      <w:pPr>
        <w:pStyle w:val="FootnoteText"/>
        <w:rPr>
          <w:rFonts w:ascii="Arial" w:hAnsi="Arial" w:cs="Arial"/>
        </w:rPr>
      </w:pPr>
      <w:r w:rsidRPr="000C23CA">
        <w:rPr>
          <w:rStyle w:val="FootnoteReference"/>
          <w:rFonts w:ascii="Arial" w:hAnsi="Arial" w:cs="Arial"/>
        </w:rPr>
        <w:footnoteRef/>
      </w:r>
      <w:r w:rsidRPr="000C23CA">
        <w:rPr>
          <w:rFonts w:ascii="Arial" w:hAnsi="Arial" w:cs="Arial"/>
        </w:rPr>
        <w:t xml:space="preserve"> Duke Memorandum Contra at 1.</w:t>
      </w:r>
    </w:p>
    <w:p w:rsidR="006663E8" w:rsidRPr="000C23CA" w:rsidRDefault="006663E8">
      <w:pPr>
        <w:pStyle w:val="FootnoteText"/>
        <w:rPr>
          <w:rFonts w:ascii="Arial" w:hAnsi="Arial" w:cs="Arial"/>
        </w:rPr>
      </w:pPr>
    </w:p>
  </w:footnote>
  <w:footnote w:id="5">
    <w:p w:rsidR="008A5607" w:rsidRDefault="008A5607">
      <w:pPr>
        <w:pStyle w:val="FootnoteText"/>
        <w:rPr>
          <w:rFonts w:ascii="Arial" w:hAnsi="Arial" w:cs="Arial"/>
        </w:rPr>
      </w:pPr>
      <w:r w:rsidRPr="008A5607">
        <w:rPr>
          <w:rStyle w:val="FootnoteReference"/>
          <w:rFonts w:ascii="Arial" w:hAnsi="Arial" w:cs="Arial"/>
        </w:rPr>
        <w:footnoteRef/>
      </w:r>
      <w:r w:rsidRPr="008A5607">
        <w:rPr>
          <w:rFonts w:ascii="Arial" w:hAnsi="Arial" w:cs="Arial"/>
        </w:rPr>
        <w:t xml:space="preserve"> Duke Memorandum Contra at 1-3.</w:t>
      </w:r>
    </w:p>
    <w:p w:rsidR="008A5607" w:rsidRPr="008A5607" w:rsidRDefault="008A5607">
      <w:pPr>
        <w:pStyle w:val="FootnoteText"/>
        <w:rPr>
          <w:rFonts w:ascii="Arial" w:hAnsi="Arial" w:cs="Arial"/>
        </w:rPr>
      </w:pPr>
    </w:p>
  </w:footnote>
  <w:footnote w:id="6">
    <w:p w:rsidR="006663E8" w:rsidRPr="000C23CA" w:rsidRDefault="006663E8">
      <w:pPr>
        <w:pStyle w:val="FootnoteText"/>
        <w:rPr>
          <w:rFonts w:ascii="Arial" w:hAnsi="Arial" w:cs="Arial"/>
        </w:rPr>
      </w:pPr>
      <w:r w:rsidRPr="000C23CA">
        <w:rPr>
          <w:rStyle w:val="FootnoteReference"/>
          <w:rFonts w:ascii="Arial" w:hAnsi="Arial" w:cs="Arial"/>
        </w:rPr>
        <w:footnoteRef/>
      </w:r>
      <w:r w:rsidR="00746383">
        <w:rPr>
          <w:rFonts w:ascii="Arial" w:hAnsi="Arial" w:cs="Arial"/>
        </w:rPr>
        <w:t xml:space="preserve"> </w:t>
      </w:r>
      <w:r w:rsidRPr="000C23CA">
        <w:rPr>
          <w:rFonts w:ascii="Arial" w:hAnsi="Arial" w:cs="Arial"/>
        </w:rPr>
        <w:t xml:space="preserve">Duke Memorandum Contra at 3. </w:t>
      </w:r>
    </w:p>
    <w:p w:rsidR="006663E8" w:rsidRPr="000C23CA" w:rsidRDefault="006663E8">
      <w:pPr>
        <w:pStyle w:val="FootnoteText"/>
        <w:rPr>
          <w:rFonts w:ascii="Arial" w:hAnsi="Arial" w:cs="Arial"/>
        </w:rPr>
      </w:pPr>
    </w:p>
  </w:footnote>
  <w:footnote w:id="7">
    <w:p w:rsidR="006663E8" w:rsidRPr="000C23CA" w:rsidRDefault="006663E8">
      <w:pPr>
        <w:pStyle w:val="FootnoteText"/>
        <w:rPr>
          <w:rFonts w:ascii="Arial" w:hAnsi="Arial" w:cs="Arial"/>
        </w:rPr>
      </w:pPr>
      <w:r w:rsidRPr="000C23CA">
        <w:rPr>
          <w:rStyle w:val="FootnoteReference"/>
          <w:rFonts w:ascii="Arial" w:hAnsi="Arial" w:cs="Arial"/>
        </w:rPr>
        <w:footnoteRef/>
      </w:r>
      <w:r>
        <w:rPr>
          <w:rFonts w:ascii="Arial" w:hAnsi="Arial" w:cs="Arial"/>
        </w:rPr>
        <w:t xml:space="preserve"> </w:t>
      </w:r>
      <w:r w:rsidRPr="00651D85">
        <w:rPr>
          <w:rFonts w:ascii="Arial" w:hAnsi="Arial" w:cs="Arial"/>
        </w:rPr>
        <w:t>Capacity Order</w:t>
      </w:r>
      <w:r w:rsidRPr="000C23CA">
        <w:rPr>
          <w:rFonts w:ascii="Arial" w:hAnsi="Arial" w:cs="Arial"/>
        </w:rPr>
        <w:t>, Opinion</w:t>
      </w:r>
      <w:r>
        <w:rPr>
          <w:rFonts w:ascii="Arial" w:hAnsi="Arial" w:cs="Arial"/>
        </w:rPr>
        <w:t xml:space="preserve"> and Order at 23 (Jul. 2, 2012)</w:t>
      </w:r>
    </w:p>
    <w:p w:rsidR="006663E8" w:rsidRPr="000C23CA" w:rsidRDefault="006663E8" w:rsidP="00651D85">
      <w:pPr>
        <w:pStyle w:val="FootnoteText"/>
        <w:tabs>
          <w:tab w:val="left" w:pos="6338"/>
        </w:tabs>
        <w:rPr>
          <w:rFonts w:ascii="Arial" w:hAnsi="Arial" w:cs="Arial"/>
        </w:rPr>
      </w:pPr>
      <w:r>
        <w:rPr>
          <w:rFonts w:ascii="Arial" w:hAnsi="Arial" w:cs="Arial"/>
        </w:rPr>
        <w:tab/>
      </w:r>
    </w:p>
  </w:footnote>
  <w:footnote w:id="8">
    <w:p w:rsidR="006663E8" w:rsidRDefault="006663E8">
      <w:pPr>
        <w:pStyle w:val="FootnoteText"/>
        <w:rPr>
          <w:rFonts w:ascii="Arial" w:hAnsi="Arial" w:cs="Arial"/>
          <w:i/>
        </w:rPr>
      </w:pPr>
      <w:r w:rsidRPr="000C23CA">
        <w:rPr>
          <w:rStyle w:val="FootnoteReference"/>
          <w:rFonts w:ascii="Arial" w:hAnsi="Arial" w:cs="Arial"/>
        </w:rPr>
        <w:footnoteRef/>
      </w:r>
      <w:r w:rsidRPr="000C23CA">
        <w:rPr>
          <w:rFonts w:ascii="Arial" w:hAnsi="Arial" w:cs="Arial"/>
        </w:rPr>
        <w:t xml:space="preserve"> </w:t>
      </w:r>
      <w:r w:rsidRPr="000C23CA">
        <w:rPr>
          <w:rFonts w:ascii="Arial" w:hAnsi="Arial" w:cs="Arial"/>
          <w:i/>
        </w:rPr>
        <w:t>Id.</w:t>
      </w:r>
    </w:p>
    <w:p w:rsidR="008A5607" w:rsidRPr="000C23CA" w:rsidRDefault="008A5607">
      <w:pPr>
        <w:pStyle w:val="FootnoteText"/>
        <w:rPr>
          <w:rFonts w:ascii="Arial" w:hAnsi="Arial" w:cs="Arial"/>
          <w:i/>
        </w:rPr>
      </w:pPr>
    </w:p>
  </w:footnote>
  <w:footnote w:id="9">
    <w:p w:rsidR="008A5607" w:rsidRPr="008A5607" w:rsidRDefault="008A5607">
      <w:pPr>
        <w:pStyle w:val="FootnoteText"/>
        <w:rPr>
          <w:rFonts w:ascii="Arial" w:hAnsi="Arial" w:cs="Arial"/>
        </w:rPr>
      </w:pPr>
      <w:r w:rsidRPr="008A5607">
        <w:rPr>
          <w:rStyle w:val="FootnoteReference"/>
          <w:rFonts w:ascii="Arial" w:hAnsi="Arial" w:cs="Arial"/>
        </w:rPr>
        <w:footnoteRef/>
      </w:r>
      <w:r w:rsidRPr="008A5607">
        <w:rPr>
          <w:rFonts w:ascii="Arial" w:hAnsi="Arial" w:cs="Arial"/>
        </w:rPr>
        <w:t xml:space="preserve"> Duke Memorandum Contra at 3-4. </w:t>
      </w:r>
    </w:p>
  </w:footnote>
  <w:footnote w:id="10">
    <w:p w:rsidR="006663E8" w:rsidRPr="000C23CA" w:rsidRDefault="006663E8">
      <w:pPr>
        <w:pStyle w:val="FootnoteText"/>
        <w:rPr>
          <w:rFonts w:ascii="Arial" w:hAnsi="Arial" w:cs="Arial"/>
        </w:rPr>
      </w:pPr>
      <w:r w:rsidRPr="000C23CA">
        <w:rPr>
          <w:rStyle w:val="FootnoteReference"/>
          <w:rFonts w:ascii="Arial" w:hAnsi="Arial" w:cs="Arial"/>
        </w:rPr>
        <w:footnoteRef/>
      </w:r>
      <w:r w:rsidRPr="000C23CA">
        <w:rPr>
          <w:rFonts w:ascii="Arial" w:hAnsi="Arial" w:cs="Arial"/>
        </w:rPr>
        <w:t xml:space="preserve"> </w:t>
      </w:r>
      <w:r w:rsidRPr="000C23CA">
        <w:rPr>
          <w:rFonts w:ascii="Arial" w:hAnsi="Arial" w:cs="Arial"/>
          <w:i/>
        </w:rPr>
        <w:t>Duke ESP II</w:t>
      </w:r>
      <w:r w:rsidRPr="000C23CA">
        <w:rPr>
          <w:rFonts w:ascii="Arial" w:hAnsi="Arial" w:cs="Arial"/>
        </w:rPr>
        <w:t>, Stipulation and Recommendation at 6-7, (Oct. 24, 2011).</w:t>
      </w:r>
    </w:p>
    <w:p w:rsidR="006663E8" w:rsidRPr="000C23CA" w:rsidRDefault="006663E8">
      <w:pPr>
        <w:pStyle w:val="FootnoteText"/>
        <w:rPr>
          <w:rFonts w:ascii="Arial" w:hAnsi="Arial" w:cs="Arial"/>
        </w:rPr>
      </w:pPr>
    </w:p>
  </w:footnote>
  <w:footnote w:id="11">
    <w:p w:rsidR="006663E8" w:rsidRPr="000C23CA" w:rsidRDefault="006663E8" w:rsidP="00A105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C23CA">
        <w:rPr>
          <w:rStyle w:val="FootnoteReference"/>
          <w:rFonts w:ascii="Arial" w:hAnsi="Arial" w:cs="Arial"/>
        </w:rPr>
        <w:footnoteRef/>
      </w:r>
      <w:r w:rsidRPr="000C23CA">
        <w:rPr>
          <w:rFonts w:ascii="Arial" w:hAnsi="Arial" w:cs="Arial"/>
        </w:rPr>
        <w:t xml:space="preserve"> </w:t>
      </w:r>
      <w:r w:rsidRPr="000C23CA">
        <w:rPr>
          <w:rFonts w:ascii="Arial" w:hAnsi="Arial" w:cs="Arial"/>
          <w:i/>
        </w:rPr>
        <w:t>In the Matter of the Application of Duke Energy Ohio, Inc. for Approval of the Establishment of Rider BTR and Rider RTO and Associated Tariffs,</w:t>
      </w:r>
      <w:r w:rsidRPr="000C23CA">
        <w:rPr>
          <w:rFonts w:ascii="Arial" w:hAnsi="Arial" w:cs="Arial"/>
        </w:rPr>
        <w:t xml:space="preserve"> Case Nos. 11-2641-EL-RDR, </w:t>
      </w:r>
      <w:r w:rsidRPr="000C23CA">
        <w:rPr>
          <w:rFonts w:ascii="Arial" w:hAnsi="Arial" w:cs="Arial"/>
          <w:i/>
        </w:rPr>
        <w:t>et al.,</w:t>
      </w:r>
      <w:r w:rsidRPr="000C23CA">
        <w:rPr>
          <w:rFonts w:ascii="Arial" w:hAnsi="Arial" w:cs="Arial"/>
        </w:rPr>
        <w:t xml:space="preserve"> Stipulation and Recommendation at ¶20 (Apr</w:t>
      </w:r>
      <w:r>
        <w:rPr>
          <w:rFonts w:ascii="Arial" w:hAnsi="Arial" w:cs="Arial"/>
        </w:rPr>
        <w:t>.</w:t>
      </w:r>
      <w:r w:rsidRPr="000C23CA">
        <w:rPr>
          <w:rFonts w:ascii="Arial" w:hAnsi="Arial" w:cs="Arial"/>
        </w:rPr>
        <w:t xml:space="preserve"> 26, 2012).  </w:t>
      </w:r>
    </w:p>
    <w:p w:rsidR="006663E8" w:rsidRPr="000C23CA" w:rsidRDefault="006663E8">
      <w:pPr>
        <w:pStyle w:val="FootnoteText"/>
        <w:rPr>
          <w:rFonts w:ascii="Arial" w:hAnsi="Arial" w:cs="Arial"/>
        </w:rPr>
      </w:pPr>
    </w:p>
  </w:footnote>
  <w:footnote w:id="12">
    <w:p w:rsidR="006663E8" w:rsidRPr="000C23CA" w:rsidRDefault="006663E8">
      <w:pPr>
        <w:pStyle w:val="FootnoteText"/>
        <w:rPr>
          <w:rFonts w:ascii="Arial" w:hAnsi="Arial" w:cs="Arial"/>
        </w:rPr>
      </w:pPr>
      <w:r w:rsidRPr="000C23CA">
        <w:rPr>
          <w:rStyle w:val="FootnoteReference"/>
          <w:rFonts w:ascii="Arial" w:hAnsi="Arial" w:cs="Arial"/>
        </w:rPr>
        <w:footnoteRef/>
      </w:r>
      <w:r w:rsidRPr="000C23CA">
        <w:rPr>
          <w:rFonts w:ascii="Arial" w:hAnsi="Arial" w:cs="Arial"/>
        </w:rPr>
        <w:t xml:space="preserve"> Application at 8. </w:t>
      </w:r>
    </w:p>
    <w:p w:rsidR="006663E8" w:rsidRPr="000C23CA" w:rsidRDefault="006663E8">
      <w:pPr>
        <w:pStyle w:val="FootnoteText"/>
        <w:rPr>
          <w:rFonts w:ascii="Arial" w:hAnsi="Arial" w:cs="Arial"/>
        </w:rPr>
      </w:pPr>
    </w:p>
  </w:footnote>
  <w:footnote w:id="13">
    <w:p w:rsidR="006663E8" w:rsidRPr="000C23CA" w:rsidRDefault="006663E8" w:rsidP="003E6E56">
      <w:pPr>
        <w:pStyle w:val="FootnoteText"/>
        <w:rPr>
          <w:rFonts w:ascii="Arial" w:hAnsi="Arial" w:cs="Arial"/>
        </w:rPr>
      </w:pPr>
      <w:r w:rsidRPr="000C23CA">
        <w:rPr>
          <w:rStyle w:val="FootnoteReference"/>
          <w:rFonts w:ascii="Arial" w:hAnsi="Arial" w:cs="Arial"/>
        </w:rPr>
        <w:footnoteRef/>
      </w:r>
      <w:r w:rsidRPr="000C23CA">
        <w:rPr>
          <w:rFonts w:ascii="Arial" w:hAnsi="Arial" w:cs="Arial"/>
        </w:rPr>
        <w:t xml:space="preserve"> Application at 9.</w:t>
      </w:r>
    </w:p>
    <w:p w:rsidR="006663E8" w:rsidRPr="000C23CA" w:rsidRDefault="006663E8" w:rsidP="003E6E56">
      <w:pPr>
        <w:pStyle w:val="FootnoteText"/>
        <w:rPr>
          <w:rFonts w:ascii="Arial" w:hAnsi="Arial" w:cs="Arial"/>
        </w:rPr>
      </w:pPr>
    </w:p>
  </w:footnote>
  <w:footnote w:id="14">
    <w:p w:rsidR="006663E8" w:rsidRPr="000C23CA" w:rsidRDefault="006663E8">
      <w:pPr>
        <w:pStyle w:val="FootnoteText"/>
        <w:rPr>
          <w:rFonts w:ascii="Arial" w:hAnsi="Arial" w:cs="Arial"/>
        </w:rPr>
      </w:pPr>
      <w:r w:rsidRPr="000C23CA">
        <w:rPr>
          <w:rStyle w:val="FootnoteReference"/>
          <w:rFonts w:ascii="Arial" w:hAnsi="Arial" w:cs="Arial"/>
        </w:rPr>
        <w:footnoteRef/>
      </w:r>
      <w:r w:rsidRPr="000C23CA">
        <w:rPr>
          <w:rFonts w:ascii="Arial" w:hAnsi="Arial" w:cs="Arial"/>
        </w:rPr>
        <w:t xml:space="preserve"> </w:t>
      </w:r>
      <w:r w:rsidRPr="000C23CA">
        <w:rPr>
          <w:rFonts w:ascii="Arial" w:hAnsi="Arial" w:cs="Arial"/>
          <w:i/>
        </w:rPr>
        <w:t>Duke Energy Ohio 2011 Long-Term Forecast Report</w:t>
      </w:r>
      <w:r w:rsidRPr="000C23CA">
        <w:rPr>
          <w:rFonts w:ascii="Arial" w:hAnsi="Arial" w:cs="Arial"/>
        </w:rPr>
        <w:t>,</w:t>
      </w:r>
      <w:r w:rsidRPr="000C23CA">
        <w:rPr>
          <w:rFonts w:ascii="Arial" w:hAnsi="Arial" w:cs="Arial"/>
          <w:i/>
        </w:rPr>
        <w:t xml:space="preserve"> </w:t>
      </w:r>
      <w:r w:rsidRPr="000C23CA">
        <w:rPr>
          <w:rFonts w:ascii="Arial" w:hAnsi="Arial" w:cs="Arial"/>
        </w:rPr>
        <w:t xml:space="preserve">Case No. 11-1439-EL-FOR at 133 (Jul. 15, 2011). </w:t>
      </w:r>
    </w:p>
    <w:p w:rsidR="006663E8" w:rsidRPr="000C23CA" w:rsidRDefault="006663E8">
      <w:pPr>
        <w:pStyle w:val="FootnoteText"/>
        <w:rPr>
          <w:rFonts w:ascii="Arial" w:hAnsi="Arial" w:cs="Arial"/>
        </w:rPr>
      </w:pPr>
    </w:p>
  </w:footnote>
  <w:footnote w:id="15">
    <w:p w:rsidR="006663E8" w:rsidRDefault="006663E8" w:rsidP="006663E8">
      <w:pPr>
        <w:pStyle w:val="FootnoteText"/>
        <w:jc w:val="both"/>
        <w:rPr>
          <w:rFonts w:ascii="Arial" w:hAnsi="Arial" w:cs="Arial"/>
        </w:rPr>
      </w:pPr>
      <w:r w:rsidRPr="000C23CA">
        <w:rPr>
          <w:rStyle w:val="FootnoteReference"/>
          <w:rFonts w:ascii="Arial" w:hAnsi="Arial" w:cs="Arial"/>
        </w:rPr>
        <w:footnoteRef/>
      </w:r>
      <w:r w:rsidRPr="000C23CA">
        <w:rPr>
          <w:rFonts w:ascii="Arial" w:hAnsi="Arial" w:cs="Arial"/>
        </w:rPr>
        <w:t xml:space="preserve"> Sections 4928.02 and 4928.17, Revised Code, and Rule 4901:1-37-09, Ohio Administrative Code, prohibit an EDU from providing an affiliate an undue preference, a competitive advantage, and subsidies. </w:t>
      </w:r>
    </w:p>
    <w:p w:rsidR="00746383" w:rsidRPr="000C23CA" w:rsidRDefault="00746383" w:rsidP="006663E8">
      <w:pPr>
        <w:pStyle w:val="FootnoteText"/>
        <w:jc w:val="both"/>
        <w:rPr>
          <w:rFonts w:ascii="Arial" w:hAnsi="Arial" w:cs="Arial"/>
        </w:rPr>
      </w:pPr>
      <w:bookmarkStart w:id="2" w:name="_GoBack"/>
      <w:bookmarkEnd w:id="2"/>
    </w:p>
  </w:footnote>
  <w:footnote w:id="16">
    <w:p w:rsidR="006663E8" w:rsidRDefault="006663E8" w:rsidP="006663E8">
      <w:pPr>
        <w:pStyle w:val="FootnoteText1"/>
        <w:jc w:val="both"/>
        <w:rPr>
          <w:rFonts w:ascii="Arial" w:hAnsi="Arial" w:cs="Arial"/>
        </w:rPr>
      </w:pPr>
      <w:r w:rsidRPr="00756CC1">
        <w:rPr>
          <w:rStyle w:val="FootnoteReference"/>
          <w:rFonts w:ascii="Arial" w:hAnsi="Arial" w:cs="Arial"/>
        </w:rPr>
        <w:footnoteRef/>
      </w:r>
      <w:r w:rsidRPr="00756CC1">
        <w:rPr>
          <w:rFonts w:ascii="Arial" w:hAnsi="Arial" w:cs="Arial"/>
        </w:rPr>
        <w:t xml:space="preserve"> </w:t>
      </w:r>
      <w:r w:rsidRPr="008A5607">
        <w:rPr>
          <w:rFonts w:ascii="Arial" w:hAnsi="Arial" w:cs="Arial"/>
          <w:i/>
        </w:rPr>
        <w:t>ESP II</w:t>
      </w:r>
      <w:r w:rsidRPr="00756CC1">
        <w:rPr>
          <w:rFonts w:ascii="Arial" w:hAnsi="Arial" w:cs="Arial"/>
        </w:rPr>
        <w:t xml:space="preserve">, Initial Brief of Duke Energy Commercial Asset Management </w:t>
      </w:r>
      <w:r>
        <w:rPr>
          <w:rFonts w:ascii="Arial" w:hAnsi="Arial" w:cs="Arial"/>
        </w:rPr>
        <w:t xml:space="preserve">and Duke Energy Retail Sales at </w:t>
      </w:r>
      <w:r w:rsidRPr="00756CC1">
        <w:rPr>
          <w:rFonts w:ascii="Arial" w:hAnsi="Arial" w:cs="Arial"/>
        </w:rPr>
        <w:t>11.</w:t>
      </w:r>
    </w:p>
    <w:p w:rsidR="006663E8" w:rsidRPr="00756CC1" w:rsidRDefault="006663E8" w:rsidP="00756CC1">
      <w:pPr>
        <w:pStyle w:val="FootnoteText"/>
      </w:pPr>
    </w:p>
  </w:footnote>
  <w:footnote w:id="17">
    <w:p w:rsidR="006663E8" w:rsidRPr="00756CC1" w:rsidRDefault="006663E8" w:rsidP="006663E8">
      <w:pPr>
        <w:pStyle w:val="FootnoteText"/>
        <w:jc w:val="both"/>
        <w:rPr>
          <w:rFonts w:ascii="Arial" w:hAnsi="Arial" w:cs="Arial"/>
        </w:rPr>
      </w:pPr>
      <w:r w:rsidRPr="00756CC1">
        <w:rPr>
          <w:rStyle w:val="FootnoteReference"/>
          <w:rFonts w:ascii="Arial" w:hAnsi="Arial" w:cs="Arial"/>
        </w:rPr>
        <w:footnoteRef/>
      </w:r>
      <w:r w:rsidRPr="00756CC1">
        <w:rPr>
          <w:rFonts w:ascii="Arial" w:hAnsi="Arial" w:cs="Arial"/>
        </w:rPr>
        <w:t xml:space="preserve"> </w:t>
      </w:r>
      <w:r>
        <w:rPr>
          <w:rFonts w:ascii="Arial" w:hAnsi="Arial" w:cs="Arial"/>
          <w:i/>
        </w:rPr>
        <w:t>Order Authorizing Disposition of Jurisdictional F</w:t>
      </w:r>
      <w:r w:rsidRPr="00756CC1">
        <w:rPr>
          <w:rFonts w:ascii="Arial" w:hAnsi="Arial" w:cs="Arial"/>
          <w:i/>
        </w:rPr>
        <w:t>acilities re Cinergy Corp</w:t>
      </w:r>
      <w:r>
        <w:rPr>
          <w:rFonts w:ascii="Arial" w:hAnsi="Arial" w:cs="Arial"/>
          <w:i/>
        </w:rPr>
        <w:t>.,</w:t>
      </w:r>
      <w:r w:rsidRPr="00756CC1">
        <w:rPr>
          <w:rFonts w:ascii="Arial" w:hAnsi="Arial" w:cs="Arial"/>
          <w:i/>
        </w:rPr>
        <w:t xml:space="preserve"> et al</w:t>
      </w:r>
      <w:r w:rsidRPr="00756CC1">
        <w:rPr>
          <w:rFonts w:ascii="Arial" w:hAnsi="Arial" w:cs="Arial"/>
        </w:rPr>
        <w:t xml:space="preserve">, </w:t>
      </w:r>
      <w:r>
        <w:rPr>
          <w:rFonts w:ascii="Arial" w:eastAsiaTheme="minorHAnsi" w:hAnsi="Arial" w:cs="Arial"/>
        </w:rPr>
        <w:t>140 FERC ¶</w:t>
      </w:r>
      <w:r w:rsidRPr="00756CC1">
        <w:rPr>
          <w:rFonts w:ascii="Arial" w:eastAsiaTheme="minorHAnsi" w:hAnsi="Arial" w:cs="Arial"/>
        </w:rPr>
        <w:t xml:space="preserve">61,180 </w:t>
      </w:r>
      <w:r>
        <w:rPr>
          <w:rFonts w:ascii="Arial" w:eastAsiaTheme="minorHAnsi" w:hAnsi="Arial" w:cs="Arial"/>
        </w:rPr>
        <w:t xml:space="preserve">at 15 (Sep. 5, 2012) </w:t>
      </w:r>
      <w:r w:rsidRPr="00756CC1">
        <w:rPr>
          <w:rFonts w:ascii="Arial" w:eastAsiaTheme="minorHAnsi" w:hAnsi="Arial" w:cs="Arial"/>
        </w:rPr>
        <w:t>(FERC Docket EC12-90-00</w:t>
      </w:r>
      <w:r>
        <w:rPr>
          <w:rFonts w:ascii="Arial" w:eastAsiaTheme="minorHAnsi" w:hAnsi="Arial" w:cs="Arial"/>
        </w:rPr>
        <w:t>0).</w:t>
      </w:r>
    </w:p>
    <w:p w:rsidR="006663E8" w:rsidRDefault="006663E8" w:rsidP="006663E8">
      <w:pPr>
        <w:pStyle w:val="FootnoteText"/>
        <w:jc w:val="both"/>
      </w:pPr>
    </w:p>
  </w:footnote>
  <w:footnote w:id="18">
    <w:p w:rsidR="006663E8" w:rsidRPr="00756CC1" w:rsidRDefault="006663E8" w:rsidP="006663E8">
      <w:pPr>
        <w:pStyle w:val="FootnoteText"/>
        <w:jc w:val="both"/>
        <w:rPr>
          <w:rFonts w:ascii="Arial" w:hAnsi="Arial" w:cs="Arial"/>
        </w:rPr>
      </w:pPr>
      <w:r w:rsidRPr="00756CC1">
        <w:rPr>
          <w:rStyle w:val="FootnoteReference"/>
          <w:rFonts w:ascii="Arial" w:hAnsi="Arial" w:cs="Arial"/>
        </w:rPr>
        <w:footnoteRef/>
      </w:r>
      <w:r w:rsidRPr="00756CC1">
        <w:rPr>
          <w:rFonts w:ascii="Arial" w:hAnsi="Arial" w:cs="Arial"/>
        </w:rPr>
        <w:t xml:space="preserve"> </w:t>
      </w:r>
      <w:r w:rsidRPr="00756CC1">
        <w:rPr>
          <w:rFonts w:ascii="Arial" w:hAnsi="Arial" w:cs="Arial"/>
          <w:i/>
        </w:rPr>
        <w:t xml:space="preserve">Id. </w:t>
      </w:r>
      <w:r w:rsidRPr="00756CC1">
        <w:rPr>
          <w:rFonts w:ascii="Arial" w:hAnsi="Arial" w:cs="Arial"/>
        </w:rPr>
        <w:t>at 21.</w:t>
      </w:r>
    </w:p>
    <w:p w:rsidR="006663E8" w:rsidRPr="00756CC1" w:rsidRDefault="006663E8" w:rsidP="006663E8">
      <w:pPr>
        <w:pStyle w:val="FootnoteText"/>
        <w:jc w:val="both"/>
      </w:pPr>
    </w:p>
  </w:footnote>
  <w:footnote w:id="19">
    <w:p w:rsidR="006663E8" w:rsidRDefault="006663E8" w:rsidP="006663E8">
      <w:pPr>
        <w:pStyle w:val="FootnoteText"/>
        <w:jc w:val="both"/>
      </w:pPr>
      <w:r w:rsidRPr="000C23CA">
        <w:rPr>
          <w:rStyle w:val="FootnoteReference"/>
          <w:rFonts w:ascii="Arial" w:hAnsi="Arial" w:cs="Arial"/>
        </w:rPr>
        <w:footnoteRef/>
      </w:r>
      <w:r w:rsidRPr="000C23CA">
        <w:rPr>
          <w:rFonts w:ascii="Arial" w:hAnsi="Arial" w:cs="Arial"/>
        </w:rPr>
        <w:t xml:space="preserve"> Application at 10.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8" w:rsidRDefault="00666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C3CB1"/>
    <w:multiLevelType w:val="hybridMultilevel"/>
    <w:tmpl w:val="E5C8E5C0"/>
    <w:lvl w:ilvl="0" w:tplc="B76C4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2C"/>
    <w:rsid w:val="0006447D"/>
    <w:rsid w:val="000C23CA"/>
    <w:rsid w:val="00127BD0"/>
    <w:rsid w:val="00131328"/>
    <w:rsid w:val="0015629B"/>
    <w:rsid w:val="001D764E"/>
    <w:rsid w:val="0023360F"/>
    <w:rsid w:val="002525B2"/>
    <w:rsid w:val="00301D19"/>
    <w:rsid w:val="00316435"/>
    <w:rsid w:val="0033131F"/>
    <w:rsid w:val="0037025B"/>
    <w:rsid w:val="003E6E56"/>
    <w:rsid w:val="00405CE4"/>
    <w:rsid w:val="00466045"/>
    <w:rsid w:val="0048734D"/>
    <w:rsid w:val="00492744"/>
    <w:rsid w:val="00493E2E"/>
    <w:rsid w:val="004B7FE7"/>
    <w:rsid w:val="005365F3"/>
    <w:rsid w:val="005F72CA"/>
    <w:rsid w:val="0062279A"/>
    <w:rsid w:val="00651D85"/>
    <w:rsid w:val="006663E8"/>
    <w:rsid w:val="006A61FF"/>
    <w:rsid w:val="00746383"/>
    <w:rsid w:val="00756CC1"/>
    <w:rsid w:val="00766DB8"/>
    <w:rsid w:val="007D2F01"/>
    <w:rsid w:val="00821779"/>
    <w:rsid w:val="008A5607"/>
    <w:rsid w:val="008D7F2F"/>
    <w:rsid w:val="0095367A"/>
    <w:rsid w:val="00A10573"/>
    <w:rsid w:val="00A46F02"/>
    <w:rsid w:val="00A802C1"/>
    <w:rsid w:val="00AF7CD4"/>
    <w:rsid w:val="00B459CD"/>
    <w:rsid w:val="00BC65F9"/>
    <w:rsid w:val="00BE7BCA"/>
    <w:rsid w:val="00C609F8"/>
    <w:rsid w:val="00C9112C"/>
    <w:rsid w:val="00DA327C"/>
    <w:rsid w:val="00DC11E5"/>
    <w:rsid w:val="00DD3D67"/>
    <w:rsid w:val="00DD558D"/>
    <w:rsid w:val="00EB20C0"/>
    <w:rsid w:val="00F01062"/>
    <w:rsid w:val="00F203EF"/>
    <w:rsid w:val="00F20B21"/>
    <w:rsid w:val="00F56C2A"/>
    <w:rsid w:val="00FC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A327C"/>
    <w:rPr>
      <w:sz w:val="16"/>
      <w:szCs w:val="16"/>
    </w:rPr>
  </w:style>
  <w:style w:type="paragraph" w:styleId="CommentText">
    <w:name w:val="annotation text"/>
    <w:basedOn w:val="Normal"/>
    <w:link w:val="CommentTextChar"/>
    <w:uiPriority w:val="99"/>
    <w:semiHidden/>
    <w:unhideWhenUsed/>
    <w:rsid w:val="00DA327C"/>
    <w:rPr>
      <w:sz w:val="20"/>
      <w:szCs w:val="20"/>
    </w:rPr>
  </w:style>
  <w:style w:type="character" w:customStyle="1" w:styleId="CommentTextChar">
    <w:name w:val="Comment Text Char"/>
    <w:basedOn w:val="DefaultParagraphFont"/>
    <w:link w:val="CommentText"/>
    <w:uiPriority w:val="99"/>
    <w:semiHidden/>
    <w:rsid w:val="00DA3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27C"/>
    <w:rPr>
      <w:b/>
      <w:bCs/>
    </w:rPr>
  </w:style>
  <w:style w:type="character" w:customStyle="1" w:styleId="CommentSubjectChar">
    <w:name w:val="Comment Subject Char"/>
    <w:basedOn w:val="CommentTextChar"/>
    <w:link w:val="CommentSubject"/>
    <w:uiPriority w:val="99"/>
    <w:semiHidden/>
    <w:rsid w:val="00DA32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327C"/>
    <w:rPr>
      <w:rFonts w:ascii="Tahoma" w:hAnsi="Tahoma" w:cs="Tahoma"/>
      <w:sz w:val="16"/>
      <w:szCs w:val="16"/>
    </w:rPr>
  </w:style>
  <w:style w:type="character" w:customStyle="1" w:styleId="BalloonTextChar">
    <w:name w:val="Balloon Text Char"/>
    <w:basedOn w:val="DefaultParagraphFont"/>
    <w:link w:val="BalloonText"/>
    <w:uiPriority w:val="99"/>
    <w:semiHidden/>
    <w:rsid w:val="00DA327C"/>
    <w:rPr>
      <w:rFonts w:ascii="Tahoma" w:eastAsia="Times New Roman" w:hAnsi="Tahoma" w:cs="Tahoma"/>
      <w:sz w:val="16"/>
      <w:szCs w:val="16"/>
    </w:rPr>
  </w:style>
  <w:style w:type="paragraph" w:customStyle="1" w:styleId="FootnoteText1">
    <w:name w:val="Footnote Text1"/>
    <w:basedOn w:val="Normal"/>
    <w:next w:val="FootnoteText"/>
    <w:link w:val="FootnoteTextChar"/>
    <w:uiPriority w:val="99"/>
    <w:semiHidden/>
    <w:unhideWhenUsed/>
    <w:rsid w:val="00DD558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D558D"/>
    <w:rPr>
      <w:sz w:val="20"/>
      <w:szCs w:val="20"/>
    </w:rPr>
  </w:style>
  <w:style w:type="character" w:styleId="FootnoteReference">
    <w:name w:val="footnote reference"/>
    <w:basedOn w:val="DefaultParagraphFont"/>
    <w:uiPriority w:val="99"/>
    <w:semiHidden/>
    <w:unhideWhenUsed/>
    <w:rsid w:val="00DD558D"/>
    <w:rPr>
      <w:vertAlign w:val="superscript"/>
    </w:rPr>
  </w:style>
  <w:style w:type="paragraph" w:styleId="FootnoteText">
    <w:name w:val="footnote text"/>
    <w:basedOn w:val="Normal"/>
    <w:link w:val="FootnoteTextChar1"/>
    <w:uiPriority w:val="99"/>
    <w:semiHidden/>
    <w:unhideWhenUsed/>
    <w:rsid w:val="00DD558D"/>
    <w:rPr>
      <w:sz w:val="20"/>
      <w:szCs w:val="20"/>
    </w:rPr>
  </w:style>
  <w:style w:type="character" w:customStyle="1" w:styleId="FootnoteTextChar1">
    <w:name w:val="Footnote Text Char1"/>
    <w:basedOn w:val="DefaultParagraphFont"/>
    <w:link w:val="FootnoteText"/>
    <w:uiPriority w:val="99"/>
    <w:semiHidden/>
    <w:rsid w:val="00DD558D"/>
    <w:rPr>
      <w:rFonts w:ascii="Times New Roman" w:eastAsia="Times New Roman" w:hAnsi="Times New Roman" w:cs="Times New Roman"/>
      <w:sz w:val="20"/>
      <w:szCs w:val="20"/>
    </w:rPr>
  </w:style>
  <w:style w:type="paragraph" w:styleId="ListParagraph">
    <w:name w:val="List Paragraph"/>
    <w:basedOn w:val="Normal"/>
    <w:uiPriority w:val="34"/>
    <w:qFormat/>
    <w:rsid w:val="004B7FE7"/>
    <w:pPr>
      <w:ind w:left="720"/>
      <w:contextualSpacing/>
    </w:pPr>
  </w:style>
  <w:style w:type="paragraph" w:styleId="Revision">
    <w:name w:val="Revision"/>
    <w:hidden/>
    <w:uiPriority w:val="99"/>
    <w:semiHidden/>
    <w:rsid w:val="00A802C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A327C"/>
    <w:rPr>
      <w:sz w:val="16"/>
      <w:szCs w:val="16"/>
    </w:rPr>
  </w:style>
  <w:style w:type="paragraph" w:styleId="CommentText">
    <w:name w:val="annotation text"/>
    <w:basedOn w:val="Normal"/>
    <w:link w:val="CommentTextChar"/>
    <w:uiPriority w:val="99"/>
    <w:semiHidden/>
    <w:unhideWhenUsed/>
    <w:rsid w:val="00DA327C"/>
    <w:rPr>
      <w:sz w:val="20"/>
      <w:szCs w:val="20"/>
    </w:rPr>
  </w:style>
  <w:style w:type="character" w:customStyle="1" w:styleId="CommentTextChar">
    <w:name w:val="Comment Text Char"/>
    <w:basedOn w:val="DefaultParagraphFont"/>
    <w:link w:val="CommentText"/>
    <w:uiPriority w:val="99"/>
    <w:semiHidden/>
    <w:rsid w:val="00DA3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27C"/>
    <w:rPr>
      <w:b/>
      <w:bCs/>
    </w:rPr>
  </w:style>
  <w:style w:type="character" w:customStyle="1" w:styleId="CommentSubjectChar">
    <w:name w:val="Comment Subject Char"/>
    <w:basedOn w:val="CommentTextChar"/>
    <w:link w:val="CommentSubject"/>
    <w:uiPriority w:val="99"/>
    <w:semiHidden/>
    <w:rsid w:val="00DA32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327C"/>
    <w:rPr>
      <w:rFonts w:ascii="Tahoma" w:hAnsi="Tahoma" w:cs="Tahoma"/>
      <w:sz w:val="16"/>
      <w:szCs w:val="16"/>
    </w:rPr>
  </w:style>
  <w:style w:type="character" w:customStyle="1" w:styleId="BalloonTextChar">
    <w:name w:val="Balloon Text Char"/>
    <w:basedOn w:val="DefaultParagraphFont"/>
    <w:link w:val="BalloonText"/>
    <w:uiPriority w:val="99"/>
    <w:semiHidden/>
    <w:rsid w:val="00DA327C"/>
    <w:rPr>
      <w:rFonts w:ascii="Tahoma" w:eastAsia="Times New Roman" w:hAnsi="Tahoma" w:cs="Tahoma"/>
      <w:sz w:val="16"/>
      <w:szCs w:val="16"/>
    </w:rPr>
  </w:style>
  <w:style w:type="paragraph" w:customStyle="1" w:styleId="FootnoteText1">
    <w:name w:val="Footnote Text1"/>
    <w:basedOn w:val="Normal"/>
    <w:next w:val="FootnoteText"/>
    <w:link w:val="FootnoteTextChar"/>
    <w:uiPriority w:val="99"/>
    <w:semiHidden/>
    <w:unhideWhenUsed/>
    <w:rsid w:val="00DD558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D558D"/>
    <w:rPr>
      <w:sz w:val="20"/>
      <w:szCs w:val="20"/>
    </w:rPr>
  </w:style>
  <w:style w:type="character" w:styleId="FootnoteReference">
    <w:name w:val="footnote reference"/>
    <w:basedOn w:val="DefaultParagraphFont"/>
    <w:uiPriority w:val="99"/>
    <w:semiHidden/>
    <w:unhideWhenUsed/>
    <w:rsid w:val="00DD558D"/>
    <w:rPr>
      <w:vertAlign w:val="superscript"/>
    </w:rPr>
  </w:style>
  <w:style w:type="paragraph" w:styleId="FootnoteText">
    <w:name w:val="footnote text"/>
    <w:basedOn w:val="Normal"/>
    <w:link w:val="FootnoteTextChar1"/>
    <w:uiPriority w:val="99"/>
    <w:semiHidden/>
    <w:unhideWhenUsed/>
    <w:rsid w:val="00DD558D"/>
    <w:rPr>
      <w:sz w:val="20"/>
      <w:szCs w:val="20"/>
    </w:rPr>
  </w:style>
  <w:style w:type="character" w:customStyle="1" w:styleId="FootnoteTextChar1">
    <w:name w:val="Footnote Text Char1"/>
    <w:basedOn w:val="DefaultParagraphFont"/>
    <w:link w:val="FootnoteText"/>
    <w:uiPriority w:val="99"/>
    <w:semiHidden/>
    <w:rsid w:val="00DD558D"/>
    <w:rPr>
      <w:rFonts w:ascii="Times New Roman" w:eastAsia="Times New Roman" w:hAnsi="Times New Roman" w:cs="Times New Roman"/>
      <w:sz w:val="20"/>
      <w:szCs w:val="20"/>
    </w:rPr>
  </w:style>
  <w:style w:type="paragraph" w:styleId="ListParagraph">
    <w:name w:val="List Paragraph"/>
    <w:basedOn w:val="Normal"/>
    <w:uiPriority w:val="34"/>
    <w:qFormat/>
    <w:rsid w:val="004B7FE7"/>
    <w:pPr>
      <w:ind w:left="720"/>
      <w:contextualSpacing/>
    </w:pPr>
  </w:style>
  <w:style w:type="paragraph" w:styleId="Revision">
    <w:name w:val="Revision"/>
    <w:hidden/>
    <w:uiPriority w:val="99"/>
    <w:semiHidden/>
    <w:rsid w:val="00A802C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euohio.org/member_list.asp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C64A-06E1-472D-B04B-DDBA58C3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2600</Words>
  <Characters>14839</Characters>
  <Application>Microsoft Office Word</Application>
  <DocSecurity>0</DocSecurity>
  <PresentationFormat/>
  <Lines>399</Lines>
  <Paragraphs>177</Paragraphs>
  <ScaleCrop>false</ScaleCrop>
  <HeadingPairs>
    <vt:vector size="2" baseType="variant">
      <vt:variant>
        <vt:lpstr>Title</vt:lpstr>
      </vt:variant>
      <vt:variant>
        <vt:i4>1</vt:i4>
      </vt:variant>
    </vt:vector>
  </HeadingPairs>
  <TitlesOfParts>
    <vt:vector size="1" baseType="lpstr">
      <vt:lpstr>Reply to Duke's Memo Contra 12-2400-EL-UNC (C38607).DOCX</vt:lpstr>
    </vt:vector>
  </TitlesOfParts>
  <Manager/>
  <Company/>
  <LinksUpToDate>false</LinksUpToDate>
  <CharactersWithSpaces>17434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Duke's Memo Contra 12-2400-EL-UNC (C38607).DOCX</dc:title>
  <dc:subject>C38607: /font=8</dc:subject>
  <dc:creator/>
  <cp:keywords> </cp:keywords>
  <dc:description> </dc:description>
  <cp:lastModifiedBy/>
  <cp:revision>1</cp:revision>
  <cp:lastPrinted>2012-08-30T13:56:00Z</cp:lastPrinted>
  <dcterms:created xsi:type="dcterms:W3CDTF">2012-09-11T13:27:00Z</dcterms:created>
  <dcterms:modified xsi:type="dcterms:W3CDTF">2012-09-11T21:11:00Z</dcterms:modified>
  <cp:category> </cp:category>
  <cp:contentStatus> </cp:contentStatus>
</cp:coreProperties>
</file>