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98" w:rsidRPr="00462998" w:rsidRDefault="00462998" w:rsidP="00462998">
      <w:pPr>
        <w:spacing w:after="0" w:line="240" w:lineRule="auto"/>
        <w:ind w:right="576"/>
        <w:jc w:val="center"/>
        <w:rPr>
          <w:rFonts w:ascii="Arial" w:eastAsia="Arial" w:hAnsi="Arial" w:cs="Arial"/>
          <w:b/>
          <w:bCs/>
          <w:sz w:val="32"/>
          <w:szCs w:val="32"/>
        </w:rPr>
      </w:pPr>
      <w:bookmarkStart w:id="0" w:name="_Hlk19525134"/>
      <w:r w:rsidRPr="00462998">
        <w:rPr>
          <w:rFonts w:ascii="Arial" w:eastAsia="Arial" w:hAnsi="Arial" w:cs="Arial"/>
          <w:b/>
          <w:bCs/>
          <w:sz w:val="32"/>
          <w:szCs w:val="32"/>
          <w:u w:val="thick"/>
        </w:rPr>
        <w:t>EXIT TRANSITION COST RIDER</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APPLICABILITY</w:t>
      </w:r>
    </w:p>
    <w:p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Exit Transition Cost (“ETC”) Rider is applicable to all Customers served under the following Rate Schedules:</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310 - Residential Default Sales Service</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311 - Residential Standard Choice Offer Service</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315 - Residential Transportation Service</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320 - General Default Sales Service</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321 - General Standard Choice Offer Service</w:t>
      </w:r>
    </w:p>
    <w:p w:rsidR="00462998" w:rsidRPr="00462998" w:rsidRDefault="00462998" w:rsidP="00462998">
      <w:pPr>
        <w:widowControl w:val="0"/>
        <w:numPr>
          <w:ilvl w:val="0"/>
          <w:numId w:val="1"/>
        </w:numPr>
        <w:autoSpaceDE w:val="0"/>
        <w:autoSpaceDN w:val="0"/>
        <w:spacing w:after="0" w:line="240" w:lineRule="auto"/>
        <w:ind w:left="1296" w:right="576" w:hanging="288"/>
        <w:jc w:val="both"/>
        <w:rPr>
          <w:rFonts w:ascii="Arial" w:eastAsia="Arial" w:hAnsi="Arial" w:cs="Arial"/>
          <w:sz w:val="20"/>
          <w:szCs w:val="20"/>
        </w:rPr>
      </w:pPr>
      <w:r w:rsidRPr="00462998">
        <w:rPr>
          <w:rFonts w:ascii="Arial" w:eastAsia="Arial" w:hAnsi="Arial" w:cs="Arial"/>
          <w:sz w:val="20"/>
          <w:szCs w:val="20"/>
        </w:rPr>
        <w:t>Rate 325 - General Transportation Service</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DESCRIPTION</w:t>
      </w:r>
    </w:p>
    <w:p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 xml:space="preserve">The ETC Rider charge shall be the product of the </w:t>
      </w:r>
      <w:r w:rsidR="00B97B60">
        <w:rPr>
          <w:rFonts w:ascii="Arial" w:eastAsia="Arial" w:hAnsi="Arial" w:cs="Arial"/>
          <w:sz w:val="20"/>
          <w:szCs w:val="20"/>
        </w:rPr>
        <w:t>B</w:t>
      </w:r>
      <w:r w:rsidRPr="00462998">
        <w:rPr>
          <w:rFonts w:ascii="Arial" w:eastAsia="Arial" w:hAnsi="Arial" w:cs="Arial"/>
          <w:sz w:val="20"/>
          <w:szCs w:val="20"/>
        </w:rPr>
        <w:t>illing C</w:t>
      </w:r>
      <w:bookmarkStart w:id="1" w:name="_GoBack"/>
      <w:bookmarkEnd w:id="1"/>
      <w:r w:rsidRPr="00462998">
        <w:rPr>
          <w:rFonts w:ascii="Arial" w:eastAsia="Arial" w:hAnsi="Arial" w:cs="Arial"/>
          <w:sz w:val="20"/>
          <w:szCs w:val="20"/>
        </w:rPr>
        <w:t>cf and the ETC Rider Rate.</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will recover or pass back applicable incremental costs associated with Company’s Choice Program and exit of the merchant function, including, but not limited to the following:</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All stranded gas supply costs related to Customer migrations to Choice Service,</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incremental provider-of-last-resort costs not recovered from a defaulting SCO Supplier, or Choice Supplier,</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imbalance costs not recovered from Pool Operators,</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Gas costs incurred by Company when diverting Customers’ transportation gas quantities during a Curtailment,</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Any Cashout amounts resulting from the Monthly Volume Reconciliations for Choice and SCO Suppliers,</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Adjustments to charges billed through the ETC Rider during prior period(s), and</w:t>
      </w:r>
    </w:p>
    <w:p w:rsidR="00462998" w:rsidRPr="00462998" w:rsidRDefault="00462998" w:rsidP="00462998">
      <w:pPr>
        <w:numPr>
          <w:ilvl w:val="0"/>
          <w:numId w:val="2"/>
        </w:numPr>
        <w:spacing w:after="0" w:line="240" w:lineRule="auto"/>
        <w:ind w:left="1440" w:right="576" w:hanging="432"/>
        <w:jc w:val="both"/>
        <w:rPr>
          <w:rFonts w:ascii="Arial" w:eastAsia="Arial" w:hAnsi="Arial" w:cs="Arial"/>
          <w:sz w:val="20"/>
          <w:szCs w:val="20"/>
        </w:rPr>
      </w:pPr>
      <w:r w:rsidRPr="00462998">
        <w:rPr>
          <w:rFonts w:ascii="Arial" w:eastAsia="Arial" w:hAnsi="Arial" w:cs="Arial"/>
          <w:sz w:val="20"/>
          <w:szCs w:val="20"/>
        </w:rPr>
        <w:t>Other costs or credits applicable to SCO Service (Rate 311 and Rate 321), Residential and General Default Sales Service (Rate 310 and Rate 320), and Residential and General Transportation Service (Rate 315 and Rate 325) as approved by the Commission.</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Projected ETC Rider costs shall be divided by projected total volumes for the applicable Rate Schedules to determine the ETC Rider Rate. The ETC Rider shall be updated annually and shall reflect the reconciliation of projected costs and actual costs, with any under- or over- recovery being recovered or returned via the ETC Rider.</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right="576"/>
        <w:jc w:val="both"/>
        <w:rPr>
          <w:rFonts w:ascii="Arial" w:eastAsia="Arial" w:hAnsi="Arial" w:cs="Times New Roman"/>
          <w:u w:val="thick"/>
        </w:rPr>
      </w:pPr>
      <w:r w:rsidRPr="00462998">
        <w:rPr>
          <w:rFonts w:ascii="Arial" w:eastAsia="Arial" w:hAnsi="Arial" w:cs="Arial"/>
          <w:b/>
          <w:bCs/>
          <w:sz w:val="20"/>
          <w:szCs w:val="20"/>
          <w:u w:val="thick"/>
        </w:rPr>
        <w:t>RECONCILIATION</w:t>
      </w:r>
    </w:p>
    <w:p w:rsidR="00462998" w:rsidRPr="00462998" w:rsidRDefault="00462998" w:rsidP="00462998">
      <w:pPr>
        <w:spacing w:after="0" w:line="240" w:lineRule="auto"/>
        <w:ind w:left="720" w:right="576"/>
        <w:jc w:val="both"/>
        <w:rPr>
          <w:rFonts w:ascii="Arial" w:eastAsia="Arial" w:hAnsi="Arial" w:cs="Times New Roman"/>
        </w:rPr>
      </w:pPr>
      <w:r w:rsidRPr="00462998">
        <w:rPr>
          <w:rFonts w:ascii="Arial" w:eastAsia="Arial" w:hAnsi="Arial" w:cs="Arial"/>
          <w:sz w:val="20"/>
          <w:szCs w:val="20"/>
        </w:rPr>
        <w:t>The ETC Rider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right="576"/>
        <w:jc w:val="both"/>
        <w:rPr>
          <w:rFonts w:ascii="Arial" w:eastAsia="Arial" w:hAnsi="Arial" w:cs="Arial"/>
          <w:b/>
          <w:bCs/>
          <w:sz w:val="20"/>
          <w:szCs w:val="20"/>
        </w:rPr>
      </w:pPr>
      <w:r w:rsidRPr="00462998">
        <w:rPr>
          <w:rFonts w:ascii="Arial" w:eastAsia="Arial" w:hAnsi="Arial" w:cs="Arial"/>
          <w:b/>
          <w:bCs/>
          <w:sz w:val="20"/>
          <w:szCs w:val="20"/>
          <w:u w:val="thick"/>
        </w:rPr>
        <w:t>EXIT TRANSITION COST RIDER RATE</w:t>
      </w:r>
    </w:p>
    <w:p w:rsidR="00462998" w:rsidRPr="00462998" w:rsidRDefault="00462998" w:rsidP="00462998">
      <w:pPr>
        <w:spacing w:after="0" w:line="240" w:lineRule="auto"/>
        <w:ind w:left="720" w:right="576"/>
        <w:jc w:val="both"/>
        <w:rPr>
          <w:rFonts w:ascii="Arial" w:eastAsia="Arial" w:hAnsi="Arial" w:cs="Arial"/>
          <w:sz w:val="20"/>
          <w:szCs w:val="20"/>
        </w:rPr>
      </w:pPr>
      <w:r w:rsidRPr="00462998">
        <w:rPr>
          <w:rFonts w:ascii="Arial" w:eastAsia="Arial" w:hAnsi="Arial" w:cs="Arial"/>
          <w:sz w:val="20"/>
          <w:szCs w:val="20"/>
        </w:rPr>
        <w:t>The ETC Rider Rate is $(0.</w:t>
      </w:r>
      <w:r w:rsidR="00EA171E" w:rsidRPr="00462998">
        <w:rPr>
          <w:rFonts w:ascii="Arial" w:eastAsia="Arial" w:hAnsi="Arial" w:cs="Arial"/>
          <w:sz w:val="20"/>
          <w:szCs w:val="20"/>
        </w:rPr>
        <w:t>00</w:t>
      </w:r>
      <w:r w:rsidR="00EA171E">
        <w:rPr>
          <w:rFonts w:ascii="Arial" w:eastAsia="Arial" w:hAnsi="Arial" w:cs="Arial"/>
          <w:sz w:val="20"/>
          <w:szCs w:val="20"/>
        </w:rPr>
        <w:t>876</w:t>
      </w:r>
      <w:r w:rsidRPr="00462998">
        <w:rPr>
          <w:rFonts w:ascii="Arial" w:eastAsia="Arial" w:hAnsi="Arial" w:cs="Arial"/>
          <w:sz w:val="20"/>
          <w:szCs w:val="20"/>
        </w:rPr>
        <w:t>) per Billing Ccf.</w:t>
      </w:r>
    </w:p>
    <w:p w:rsidR="00462998" w:rsidRPr="00462998" w:rsidRDefault="00462998" w:rsidP="00462998">
      <w:pPr>
        <w:spacing w:after="0" w:line="240" w:lineRule="auto"/>
        <w:ind w:right="576"/>
        <w:jc w:val="both"/>
        <w:rPr>
          <w:rFonts w:ascii="Arial" w:eastAsia="Arial" w:hAnsi="Arial" w:cs="Arial"/>
          <w:sz w:val="20"/>
          <w:szCs w:val="20"/>
        </w:rPr>
      </w:pPr>
    </w:p>
    <w:p w:rsidR="00462998" w:rsidRPr="00462998" w:rsidRDefault="00462998" w:rsidP="00462998">
      <w:pPr>
        <w:spacing w:after="0" w:line="240" w:lineRule="auto"/>
        <w:ind w:right="576"/>
        <w:jc w:val="both"/>
        <w:rPr>
          <w:rFonts w:ascii="Arial" w:eastAsia="Arial" w:hAnsi="Arial" w:cs="Arial"/>
          <w:sz w:val="20"/>
          <w:szCs w:val="20"/>
        </w:rPr>
      </w:pPr>
    </w:p>
    <w:bookmarkEnd w:id="0"/>
    <w:sectPr w:rsidR="00462998" w:rsidRPr="00462998" w:rsidSect="00462998">
      <w:headerReference w:type="even" r:id="rId7"/>
      <w:headerReference w:type="default" r:id="rId8"/>
      <w:footerReference w:type="even" r:id="rId9"/>
      <w:footerReference w:type="default" r:id="rId10"/>
      <w:headerReference w:type="first" r:id="rId11"/>
      <w:footerReference w:type="first" r:id="rId12"/>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71E" w:rsidRDefault="00EA171E" w:rsidP="00EA171E">
      <w:pPr>
        <w:spacing w:after="0" w:line="240" w:lineRule="auto"/>
      </w:pPr>
      <w:r>
        <w:separator/>
      </w:r>
    </w:p>
  </w:endnote>
  <w:endnote w:type="continuationSeparator" w:id="0">
    <w:p w:rsidR="00EA171E" w:rsidRDefault="00EA171E" w:rsidP="00E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A5" w:rsidRDefault="00F35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D4" w:rsidRDefault="00F950AA">
    <w:pPr>
      <w:pStyle w:val="Footer"/>
      <w:rPr>
        <w:sz w:val="20"/>
        <w:szCs w:val="20"/>
      </w:rPr>
    </w:pPr>
  </w:p>
  <w:p w:rsidR="00737FD4" w:rsidRDefault="00F950AA">
    <w:pPr>
      <w:pStyle w:val="Footer"/>
      <w:rPr>
        <w:sz w:val="20"/>
        <w:szCs w:val="20"/>
      </w:rPr>
    </w:pPr>
    <w:r>
      <w:rPr>
        <w:sz w:val="20"/>
        <w:szCs w:val="20"/>
      </w:rPr>
      <w:pict>
        <v:rect id="_x0000_i1025" style="width:468pt;height:1.5pt" o:hralign="center" o:hrstd="t" o:hrnoshade="t" o:hr="t" fillcolor="black" stroked="f"/>
      </w:pict>
    </w:r>
  </w:p>
  <w:p w:rsidR="00737FD4" w:rsidRPr="00E21841" w:rsidRDefault="00C31D12" w:rsidP="00E21841">
    <w:pPr>
      <w:widowControl w:val="0"/>
      <w:autoSpaceDE w:val="0"/>
      <w:autoSpaceDN w:val="0"/>
      <w:rPr>
        <w:rFonts w:ascii="Arial" w:eastAsia="Arial" w:hAnsi="Arial" w:cs="Arial"/>
        <w:sz w:val="20"/>
        <w:szCs w:val="20"/>
      </w:rPr>
    </w:pPr>
    <w:r w:rsidRPr="00E21841">
      <w:rPr>
        <w:rFonts w:ascii="Arial" w:eastAsia="Arial" w:hAnsi="Arial" w:cs="Arial"/>
        <w:sz w:val="20"/>
        <w:szCs w:val="20"/>
      </w:rPr>
      <w:t xml:space="preserve">Filed </w:t>
    </w:r>
    <w:r w:rsidRPr="00E21841">
      <w:rPr>
        <w:rFonts w:ascii="Arial" w:eastAsia="Arial" w:hAnsi="Arial" w:cs="Arial"/>
        <w:spacing w:val="-3"/>
        <w:sz w:val="20"/>
        <w:szCs w:val="20"/>
      </w:rPr>
      <w:t xml:space="preserve">pursuant </w:t>
    </w:r>
    <w:r w:rsidRPr="00E21841">
      <w:rPr>
        <w:rFonts w:ascii="Arial" w:eastAsia="Arial" w:hAnsi="Arial" w:cs="Arial"/>
        <w:sz w:val="20"/>
        <w:szCs w:val="20"/>
      </w:rPr>
      <w:t xml:space="preserve">to the </w:t>
    </w:r>
    <w:r>
      <w:rPr>
        <w:rFonts w:ascii="Arial" w:eastAsia="Arial" w:hAnsi="Arial" w:cs="Arial"/>
        <w:sz w:val="20"/>
        <w:szCs w:val="20"/>
      </w:rPr>
      <w:t>Opinion and Order</w:t>
    </w:r>
    <w:r w:rsidRPr="00E21841">
      <w:rPr>
        <w:rFonts w:ascii="Arial" w:eastAsia="Arial" w:hAnsi="Arial" w:cs="Arial"/>
        <w:spacing w:val="-3"/>
        <w:sz w:val="20"/>
        <w:szCs w:val="20"/>
      </w:rPr>
      <w:t xml:space="preserve"> dated </w:t>
    </w:r>
    <w:r>
      <w:rPr>
        <w:rFonts w:ascii="Arial" w:hAnsi="Arial" w:cs="Arial"/>
        <w:sz w:val="20"/>
        <w:szCs w:val="20"/>
      </w:rPr>
      <w:t>August 28, 2019</w:t>
    </w:r>
    <w:r w:rsidRPr="0067443B">
      <w:rPr>
        <w:rFonts w:ascii="Arial" w:hAnsi="Arial" w:cs="Arial"/>
        <w:sz w:val="20"/>
        <w:szCs w:val="20"/>
      </w:rPr>
      <w:t xml:space="preserve"> in Case No. </w:t>
    </w:r>
    <w:r>
      <w:rPr>
        <w:rFonts w:ascii="Arial" w:hAnsi="Arial" w:cs="Arial"/>
        <w:sz w:val="20"/>
        <w:szCs w:val="20"/>
      </w:rPr>
      <w:t>18-0298</w:t>
    </w:r>
    <w:r w:rsidRPr="0067443B">
      <w:rPr>
        <w:rFonts w:ascii="Arial" w:hAnsi="Arial" w:cs="Arial"/>
        <w:sz w:val="20"/>
        <w:szCs w:val="20"/>
      </w:rPr>
      <w:t>-GA-</w:t>
    </w:r>
    <w:r>
      <w:rPr>
        <w:rFonts w:ascii="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rsidR="00737FD4" w:rsidRPr="00E21841" w:rsidRDefault="00F950AA"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rsidTr="00DB0A04">
      <w:tc>
        <w:tcPr>
          <w:tcW w:w="2880" w:type="dxa"/>
        </w:tcPr>
        <w:p w:rsidR="00737FD4" w:rsidRPr="00E21841" w:rsidRDefault="00C31D12" w:rsidP="005524B6">
          <w:pPr>
            <w:rPr>
              <w:rFonts w:ascii="Arial" w:eastAsia="Arial" w:hAnsi="Arial" w:cs="Arial"/>
              <w:sz w:val="19"/>
              <w:szCs w:val="19"/>
            </w:rPr>
          </w:pPr>
          <w:r>
            <w:rPr>
              <w:rFonts w:ascii="Arial" w:eastAsia="Arial" w:hAnsi="Arial" w:cs="Arial"/>
              <w:sz w:val="19"/>
              <w:szCs w:val="19"/>
            </w:rPr>
            <w:t xml:space="preserve">Issued </w:t>
          </w:r>
          <w:r w:rsidR="00EA171E">
            <w:rPr>
              <w:rFonts w:ascii="Arial" w:eastAsia="Arial" w:hAnsi="Arial" w:cs="Arial"/>
              <w:sz w:val="19"/>
              <w:szCs w:val="19"/>
            </w:rPr>
            <w:t>September 1</w:t>
          </w:r>
          <w:r w:rsidR="00F35DA5">
            <w:rPr>
              <w:rFonts w:ascii="Arial" w:eastAsia="Arial" w:hAnsi="Arial" w:cs="Arial"/>
              <w:sz w:val="19"/>
              <w:szCs w:val="19"/>
            </w:rPr>
            <w:t>9</w:t>
          </w:r>
          <w:r>
            <w:rPr>
              <w:rFonts w:ascii="Arial" w:eastAsia="Arial" w:hAnsi="Arial" w:cs="Arial"/>
              <w:sz w:val="19"/>
              <w:szCs w:val="19"/>
            </w:rPr>
            <w:t>, 2019</w:t>
          </w:r>
        </w:p>
      </w:tc>
      <w:tc>
        <w:tcPr>
          <w:tcW w:w="4032" w:type="dxa"/>
        </w:tcPr>
        <w:p w:rsidR="00737FD4" w:rsidRPr="00E21841" w:rsidRDefault="00C31D12" w:rsidP="00E21841">
          <w:pPr>
            <w:rPr>
              <w:rFonts w:ascii="Arial" w:eastAsia="Arial" w:hAnsi="Arial" w:cs="Arial"/>
              <w:sz w:val="19"/>
              <w:szCs w:val="19"/>
            </w:rPr>
          </w:pPr>
          <w:r w:rsidRPr="00E21841">
            <w:rPr>
              <w:rFonts w:ascii="Arial" w:eastAsia="Arial" w:hAnsi="Arial" w:cs="Arial"/>
              <w:sz w:val="19"/>
              <w:szCs w:val="19"/>
            </w:rPr>
            <w:t xml:space="preserve">Issued by </w:t>
          </w:r>
          <w:r>
            <w:rPr>
              <w:rFonts w:ascii="Arial" w:hAnsi="Arial" w:cs="Arial"/>
              <w:sz w:val="20"/>
              <w:szCs w:val="20"/>
            </w:rPr>
            <w:t>J. Cas Swiz, Director</w:t>
          </w:r>
        </w:p>
      </w:tc>
      <w:tc>
        <w:tcPr>
          <w:tcW w:w="2448" w:type="dxa"/>
        </w:tcPr>
        <w:p w:rsidR="00737FD4" w:rsidRPr="00E21841" w:rsidRDefault="00C31D12" w:rsidP="005524B6">
          <w:pPr>
            <w:rPr>
              <w:rFonts w:ascii="Arial" w:eastAsia="Arial" w:hAnsi="Arial" w:cs="Arial"/>
              <w:sz w:val="19"/>
              <w:szCs w:val="19"/>
            </w:rPr>
          </w:pPr>
          <w:r w:rsidRPr="00E21841">
            <w:rPr>
              <w:rFonts w:ascii="Arial" w:eastAsia="Arial" w:hAnsi="Arial" w:cs="Arial"/>
              <w:spacing w:val="-3"/>
              <w:sz w:val="19"/>
              <w:szCs w:val="19"/>
            </w:rPr>
            <w:t xml:space="preserve">Effective </w:t>
          </w:r>
          <w:r w:rsidR="00EA171E">
            <w:rPr>
              <w:rFonts w:ascii="Arial" w:eastAsia="Arial" w:hAnsi="Arial" w:cs="Arial"/>
              <w:spacing w:val="-3"/>
              <w:sz w:val="19"/>
              <w:szCs w:val="19"/>
            </w:rPr>
            <w:t xml:space="preserve">October </w:t>
          </w:r>
          <w:r>
            <w:rPr>
              <w:rFonts w:ascii="Arial" w:eastAsia="Arial" w:hAnsi="Arial" w:cs="Arial"/>
              <w:spacing w:val="-3"/>
              <w:sz w:val="19"/>
              <w:szCs w:val="19"/>
            </w:rPr>
            <w:t>1, 2019</w:t>
          </w:r>
        </w:p>
      </w:tc>
    </w:tr>
  </w:tbl>
  <w:p w:rsidR="00737FD4" w:rsidRPr="00E21841" w:rsidRDefault="00F950AA"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A5" w:rsidRDefault="00F35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71E" w:rsidRDefault="00EA171E" w:rsidP="00EA171E">
      <w:pPr>
        <w:spacing w:after="0" w:line="240" w:lineRule="auto"/>
      </w:pPr>
      <w:r>
        <w:separator/>
      </w:r>
    </w:p>
  </w:footnote>
  <w:footnote w:type="continuationSeparator" w:id="0">
    <w:p w:rsidR="00EA171E" w:rsidRDefault="00EA171E" w:rsidP="00EA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A5" w:rsidRDefault="00F35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rsidTr="00B519C7">
      <w:trPr>
        <w:trHeight w:val="90"/>
      </w:trPr>
      <w:tc>
        <w:tcPr>
          <w:tcW w:w="5760" w:type="dxa"/>
        </w:tcPr>
        <w:p w:rsidR="00737FD4" w:rsidRDefault="00C31D12" w:rsidP="00972430">
          <w:pPr>
            <w:rPr>
              <w:rFonts w:ascii="Arial" w:eastAsia="Arial" w:hAnsi="Arial" w:cs="Arial"/>
              <w:spacing w:val="-3"/>
              <w:sz w:val="20"/>
              <w:szCs w:val="20"/>
            </w:rPr>
          </w:pPr>
          <w:bookmarkStart w:id="2" w:name="_Hlk19525072"/>
          <w:bookmarkStart w:id="3" w:name="_Hlk19525073"/>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rsidR="00737FD4" w:rsidRDefault="00C31D12" w:rsidP="00237A01">
          <w:pPr>
            <w:tabs>
              <w:tab w:val="left" w:pos="6480"/>
            </w:tabs>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rsidR="00737FD4" w:rsidRDefault="00C31D12"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rsidR="00737FD4" w:rsidRDefault="00C31D12" w:rsidP="007D3F9A">
          <w:pPr>
            <w:tabs>
              <w:tab w:val="left" w:pos="6480"/>
            </w:tabs>
            <w:rPr>
              <w:rFonts w:ascii="Arial" w:eastAsia="Arial" w:hAnsi="Arial" w:cs="Arial"/>
              <w:spacing w:val="-3"/>
              <w:sz w:val="20"/>
              <w:szCs w:val="20"/>
            </w:rPr>
          </w:pPr>
          <w:r>
            <w:rPr>
              <w:rFonts w:ascii="Arial" w:eastAsia="Arial" w:hAnsi="Arial" w:cs="Arial"/>
              <w:spacing w:val="-3"/>
              <w:sz w:val="20"/>
              <w:szCs w:val="20"/>
            </w:rPr>
            <w:t>Sheet No. 41</w:t>
          </w:r>
        </w:p>
        <w:p w:rsidR="00737FD4" w:rsidRDefault="008A62C6" w:rsidP="007D3F9A">
          <w:pPr>
            <w:tabs>
              <w:tab w:val="left" w:pos="6480"/>
            </w:tabs>
            <w:rPr>
              <w:rFonts w:ascii="Arial" w:eastAsia="Arial" w:hAnsi="Arial" w:cs="Arial"/>
              <w:spacing w:val="-3"/>
              <w:sz w:val="20"/>
              <w:szCs w:val="20"/>
            </w:rPr>
          </w:pPr>
          <w:r>
            <w:rPr>
              <w:rFonts w:ascii="Arial" w:hAnsi="Arial" w:cs="Arial"/>
              <w:sz w:val="20"/>
              <w:szCs w:val="20"/>
            </w:rPr>
            <w:t xml:space="preserve">First </w:t>
          </w:r>
          <w:r w:rsidR="00EA171E">
            <w:rPr>
              <w:rFonts w:ascii="Arial" w:hAnsi="Arial" w:cs="Arial"/>
              <w:sz w:val="20"/>
              <w:szCs w:val="20"/>
            </w:rPr>
            <w:t xml:space="preserve">Revised </w:t>
          </w:r>
          <w:r w:rsidR="00C31D12">
            <w:rPr>
              <w:rFonts w:ascii="Arial" w:hAnsi="Arial" w:cs="Arial"/>
              <w:sz w:val="20"/>
              <w:szCs w:val="20"/>
            </w:rPr>
            <w:t>Page 1 of 1</w:t>
          </w:r>
        </w:p>
        <w:p w:rsidR="00737FD4" w:rsidRDefault="008A62C6" w:rsidP="005524B6">
          <w:pPr>
            <w:tabs>
              <w:tab w:val="left" w:pos="6480"/>
            </w:tabs>
            <w:rPr>
              <w:rFonts w:ascii="Arial" w:eastAsia="Arial" w:hAnsi="Arial" w:cs="Arial"/>
              <w:spacing w:val="-3"/>
              <w:sz w:val="20"/>
              <w:szCs w:val="20"/>
            </w:rPr>
          </w:pPr>
          <w:r>
            <w:rPr>
              <w:rFonts w:ascii="Arial" w:eastAsia="Arial" w:hAnsi="Arial" w:cs="Arial"/>
              <w:spacing w:val="-3"/>
              <w:sz w:val="20"/>
              <w:szCs w:val="20"/>
            </w:rPr>
            <w:t>Cancel</w:t>
          </w:r>
          <w:r w:rsidR="00EA171E">
            <w:rPr>
              <w:rFonts w:ascii="Arial" w:eastAsia="Arial" w:hAnsi="Arial" w:cs="Arial"/>
              <w:spacing w:val="-3"/>
              <w:sz w:val="20"/>
              <w:szCs w:val="20"/>
            </w:rPr>
            <w:t>s Original Page 1 of 1</w:t>
          </w:r>
        </w:p>
      </w:tc>
    </w:tr>
    <w:bookmarkEnd w:id="2"/>
    <w:bookmarkEnd w:id="3"/>
  </w:tbl>
  <w:p w:rsidR="00737FD4" w:rsidRPr="002824B9" w:rsidRDefault="00F950AA"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A5" w:rsidRDefault="00F35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98"/>
    <w:rsid w:val="00462998"/>
    <w:rsid w:val="007D5736"/>
    <w:rsid w:val="008A62C6"/>
    <w:rsid w:val="00B97B60"/>
    <w:rsid w:val="00C144B5"/>
    <w:rsid w:val="00C31D12"/>
    <w:rsid w:val="00EA171E"/>
    <w:rsid w:val="00F35DA5"/>
    <w:rsid w:val="00F9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BA70F9B-83F9-4E6D-B886-D97F4715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98"/>
  </w:style>
  <w:style w:type="paragraph" w:styleId="Footer">
    <w:name w:val="footer"/>
    <w:basedOn w:val="Normal"/>
    <w:link w:val="FooterChar"/>
    <w:uiPriority w:val="99"/>
    <w:unhideWhenUsed/>
    <w:rsid w:val="0046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98"/>
  </w:style>
  <w:style w:type="table" w:styleId="TableGrid">
    <w:name w:val="Table Grid"/>
    <w:basedOn w:val="TableNormal"/>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29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Ramming, Waylon</dc:creator>
  <cp:keywords/>
  <dc:description/>
  <cp:lastModifiedBy>Ramming, Waylon</cp:lastModifiedBy>
  <cp:revision>2</cp:revision>
  <dcterms:created xsi:type="dcterms:W3CDTF">2019-09-19T15:19:00Z</dcterms:created>
  <dcterms:modified xsi:type="dcterms:W3CDTF">2019-09-19T15:19:00Z</dcterms:modified>
</cp:coreProperties>
</file>