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B1879" w:rsidRPr="004A780B" w:rsidP="00DC517F" w14:paraId="2E187335" w14:textId="63CBCFD9">
      <w:pPr>
        <w:pStyle w:val="HTMLPreformatted"/>
        <w:jc w:val="center"/>
        <w:rPr>
          <w:rFonts w:ascii="Times New Roman" w:hAnsi="Times New Roman" w:cs="Times New Roman"/>
          <w:b/>
          <w:bCs/>
          <w:sz w:val="24"/>
          <w:szCs w:val="24"/>
        </w:rPr>
      </w:pPr>
      <w:r w:rsidRPr="004A780B">
        <w:rPr>
          <w:rFonts w:ascii="Times New Roman" w:hAnsi="Times New Roman" w:cs="Times New Roman"/>
          <w:b/>
          <w:bCs/>
          <w:sz w:val="24"/>
          <w:szCs w:val="24"/>
        </w:rPr>
        <w:t>BEFORE</w:t>
      </w:r>
    </w:p>
    <w:p w:rsidR="00A5637F" w:rsidRPr="004A780B" w14:paraId="46FC91B4" w14:textId="77777777">
      <w:pPr>
        <w:pStyle w:val="HTMLPreformatted"/>
        <w:jc w:val="center"/>
        <w:rPr>
          <w:rFonts w:ascii="Times New Roman" w:hAnsi="Times New Roman" w:cs="Times New Roman"/>
          <w:b/>
          <w:sz w:val="24"/>
          <w:szCs w:val="24"/>
        </w:rPr>
      </w:pPr>
      <w:r w:rsidRPr="004A780B">
        <w:rPr>
          <w:rFonts w:ascii="Times New Roman" w:hAnsi="Times New Roman" w:cs="Times New Roman"/>
          <w:b/>
          <w:bCs/>
          <w:sz w:val="24"/>
          <w:szCs w:val="24"/>
        </w:rPr>
        <w:t>THE PUBLIC UTILITIES COMMISSION OF OHIO</w:t>
      </w:r>
    </w:p>
    <w:p w:rsidR="00A5637F" w:rsidRPr="004A780B" w:rsidP="00DB6639" w14:paraId="626E78F6"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15B67F5F" w14:textId="77777777" w:rsidTr="00DB6639">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0B6A5B" w:rsidRPr="004A780B" w:rsidP="000B6A5B" w14:paraId="01E3D74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In the Matter of</w:t>
            </w:r>
            <w:r w:rsidRPr="004A780B">
              <w:rPr>
                <w:rFonts w:ascii="Times New Roman" w:eastAsia="Courier New" w:hAnsi="Times New Roman" w:cs="Times New Roman"/>
                <w:sz w:val="24"/>
                <w:szCs w:val="24"/>
                <w:lang w:val="en-US" w:eastAsia="en-US" w:bidi="ar-SA"/>
              </w:rPr>
              <w:t xml:space="preserve"> the Application of Ohio Power Company for Authority to New or Amended Rate Schedules and Tariffs</w:t>
            </w:r>
          </w:p>
          <w:p w:rsidR="000B6A5B" w:rsidRPr="004A780B" w:rsidP="000B6A5B" w14:paraId="7DC55BA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C7D60" w:rsidRPr="004A780B" w:rsidP="000B6A5B" w14:paraId="432355A6" w14:textId="4F38AD5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In the Matter of the Application of Ohio Power Company for Approval to Change Accounting Methods.</w:t>
            </w:r>
            <w:r w:rsidRPr="004A780B" w:rsidR="00A044B5">
              <w:rPr>
                <w:rFonts w:ascii="Times New Roman" w:eastAsia="Courier New" w:hAnsi="Times New Roman" w:cs="Times New Roman"/>
                <w:sz w:val="24"/>
                <w:szCs w:val="24"/>
                <w:lang w:val="en-US" w:eastAsia="en-US" w:bidi="ar-SA"/>
              </w:rPr>
              <w:t xml:space="preserve"> </w:t>
            </w:r>
          </w:p>
        </w:tc>
        <w:tc>
          <w:tcPr>
            <w:tcW w:w="630" w:type="dxa"/>
            <w:shd w:val="clear" w:color="auto" w:fill="auto"/>
          </w:tcPr>
          <w:p w:rsidR="002C7D60" w:rsidRPr="004A780B" w:rsidP="003F6E1A" w14:paraId="3D99AA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2C7D60" w:rsidRPr="004A780B" w:rsidP="003F6E1A" w14:paraId="4B3A711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2C7D60" w:rsidRPr="004A780B" w:rsidP="003F6E1A" w14:paraId="447AB79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0B6A5B" w:rsidRPr="004A780B" w:rsidP="003F6E1A" w14:paraId="019C911B" w14:textId="5D77C34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B6A5B" w:rsidRPr="004A780B" w:rsidP="003F6E1A" w14:paraId="70149D9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0B6A5B" w:rsidRPr="004A780B" w:rsidP="003F6E1A" w14:paraId="6AC0D56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0B6A5B" w:rsidRPr="004A780B" w:rsidP="003F6E1A" w14:paraId="1C112113" w14:textId="02C8CA9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tc>
        <w:tc>
          <w:tcPr>
            <w:tcW w:w="3780" w:type="dxa"/>
            <w:shd w:val="clear" w:color="auto" w:fill="auto"/>
          </w:tcPr>
          <w:p w:rsidR="002C7D60" w:rsidRPr="004A780B" w:rsidP="003F6E1A" w14:paraId="582EA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C7D60" w:rsidRPr="004A780B" w:rsidP="003F6E1A" w14:paraId="1097AF07" w14:textId="26D463D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 xml:space="preserve">Case No. </w:t>
            </w:r>
            <w:r w:rsidRPr="004A780B" w:rsidR="000B6A5B">
              <w:rPr>
                <w:rFonts w:ascii="Times New Roman" w:eastAsia="Courier New" w:hAnsi="Times New Roman" w:cs="Times New Roman"/>
                <w:sz w:val="24"/>
                <w:szCs w:val="24"/>
                <w:lang w:val="en-US" w:eastAsia="en-US" w:bidi="ar-SA"/>
              </w:rPr>
              <w:t>24-106-EL-ATA</w:t>
            </w:r>
          </w:p>
          <w:p w:rsidR="000B6A5B" w:rsidRPr="004A780B" w:rsidP="003F6E1A" w14:paraId="50F19FF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B6A5B" w:rsidRPr="004A780B" w:rsidP="003F6E1A" w14:paraId="792E98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30E0F" w:rsidRPr="004A780B" w:rsidP="003F6E1A" w14:paraId="0F168C2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B6A5B" w:rsidRPr="004A780B" w:rsidP="003F6E1A" w14:paraId="79A33449" w14:textId="7D039F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Case No. 24-107-EL-AAM</w:t>
            </w:r>
          </w:p>
          <w:p w:rsidR="002C7D60" w:rsidRPr="004A780B" w:rsidP="003F6E1A" w14:paraId="100B1F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4A780B" w:rsidP="00DB6639" w14:paraId="15412A71" w14:textId="77777777">
      <w:pPr>
        <w:pStyle w:val="InsideAddress"/>
        <w:pBdr>
          <w:bottom w:val="single" w:sz="12" w:space="1" w:color="auto"/>
        </w:pBdr>
        <w:rPr>
          <w:rFonts w:ascii="Times New Roman" w:hAnsi="Times New Roman"/>
          <w:szCs w:val="24"/>
        </w:rPr>
      </w:pPr>
    </w:p>
    <w:p w:rsidR="00A5637F" w:rsidRPr="004A780B" w:rsidP="00DB6639" w14:paraId="0005FD1B" w14:textId="77777777">
      <w:pPr>
        <w:pStyle w:val="InsideAddress"/>
        <w:rPr>
          <w:rFonts w:ascii="Times New Roman" w:hAnsi="Times New Roman"/>
          <w:szCs w:val="24"/>
        </w:rPr>
      </w:pPr>
    </w:p>
    <w:p w:rsidR="00E372F2" w:rsidRPr="004A780B" w:rsidP="00DB6639" w14:paraId="4E9FFCD0" w14:textId="21A35047">
      <w:pPr>
        <w:pStyle w:val="Footer"/>
        <w:tabs>
          <w:tab w:val="clear" w:pos="4320"/>
          <w:tab w:val="clear" w:pos="8640"/>
        </w:tabs>
        <w:spacing w:line="240" w:lineRule="auto"/>
        <w:jc w:val="center"/>
        <w:rPr>
          <w:b/>
        </w:rPr>
      </w:pPr>
      <w:r w:rsidRPr="004A780B">
        <w:rPr>
          <w:b/>
        </w:rPr>
        <w:t>MOTION TO INTERVENE</w:t>
      </w:r>
    </w:p>
    <w:p w:rsidR="00A5637F" w:rsidRPr="004A780B" w:rsidP="00DB6639" w14:paraId="221D5203" w14:textId="77777777">
      <w:pPr>
        <w:pStyle w:val="Footer"/>
        <w:tabs>
          <w:tab w:val="clear" w:pos="4320"/>
          <w:tab w:val="clear" w:pos="8640"/>
        </w:tabs>
        <w:spacing w:line="240" w:lineRule="auto"/>
        <w:jc w:val="center"/>
        <w:rPr>
          <w:b/>
        </w:rPr>
      </w:pPr>
      <w:r w:rsidRPr="004A780B">
        <w:rPr>
          <w:b/>
        </w:rPr>
        <w:t>BY</w:t>
      </w:r>
    </w:p>
    <w:p w:rsidR="002C7D60" w:rsidRPr="004A780B" w:rsidP="002C7D60" w14:paraId="59DFFA66" w14:textId="754C7A7C">
      <w:pPr>
        <w:jc w:val="center"/>
        <w:rPr>
          <w:b/>
          <w:bCs/>
        </w:rPr>
      </w:pPr>
      <w:r w:rsidRPr="004A780B">
        <w:rPr>
          <w:b/>
          <w:bCs/>
        </w:rPr>
        <w:t>OFFICE OF THE OHIO CONSUMERS</w:t>
      </w:r>
      <w:r w:rsidR="004A780B">
        <w:rPr>
          <w:b/>
          <w:bCs/>
        </w:rPr>
        <w:t>’</w:t>
      </w:r>
      <w:r w:rsidRPr="004A780B">
        <w:rPr>
          <w:b/>
          <w:bCs/>
        </w:rPr>
        <w:t xml:space="preserve"> COUNSEL</w:t>
      </w:r>
    </w:p>
    <w:p w:rsidR="00A5637F" w:rsidRPr="004A780B" w:rsidP="00DB6639" w14:paraId="0095FDA1" w14:textId="77777777">
      <w:pPr>
        <w:pStyle w:val="Footer"/>
        <w:pBdr>
          <w:bottom w:val="single" w:sz="12" w:space="1" w:color="auto"/>
        </w:pBdr>
        <w:tabs>
          <w:tab w:val="clear" w:pos="4320"/>
          <w:tab w:val="clear" w:pos="8640"/>
        </w:tabs>
        <w:spacing w:line="240" w:lineRule="auto"/>
        <w:rPr>
          <w:b/>
        </w:rPr>
      </w:pPr>
    </w:p>
    <w:p w:rsidR="00A5637F" w:rsidRPr="004A780B" w:rsidP="00DB6639" w14:paraId="152FA7C3" w14:textId="77777777">
      <w:pPr>
        <w:pStyle w:val="Footer"/>
        <w:tabs>
          <w:tab w:val="clear" w:pos="4320"/>
          <w:tab w:val="clear" w:pos="8640"/>
        </w:tabs>
        <w:spacing w:line="240" w:lineRule="auto"/>
        <w:jc w:val="center"/>
        <w:rPr>
          <w:b/>
        </w:rPr>
      </w:pPr>
    </w:p>
    <w:p w:rsidR="00444D83" w:rsidRPr="004A780B" w:rsidP="008A1088" w14:paraId="54AAD8BC" w14:textId="3933265D">
      <w:pPr>
        <w:pStyle w:val="BodyTextIndent3"/>
        <w:widowControl w:val="0"/>
        <w:spacing w:line="480" w:lineRule="auto"/>
        <w:rPr>
          <w:szCs w:val="24"/>
        </w:rPr>
      </w:pPr>
      <w:r w:rsidRPr="004A780B">
        <w:rPr>
          <w:szCs w:val="24"/>
        </w:rPr>
        <w:t>The Office of the Ohio Consumers</w:t>
      </w:r>
      <w:r w:rsidR="004A780B">
        <w:rPr>
          <w:szCs w:val="24"/>
        </w:rPr>
        <w:t>’</w:t>
      </w:r>
      <w:r w:rsidRPr="004A780B">
        <w:rPr>
          <w:szCs w:val="24"/>
        </w:rPr>
        <w:t xml:space="preserve"> Counsel (</w:t>
      </w:r>
      <w:r w:rsidR="004A780B">
        <w:rPr>
          <w:szCs w:val="24"/>
        </w:rPr>
        <w:t>“</w:t>
      </w:r>
      <w:r w:rsidRPr="004A780B">
        <w:rPr>
          <w:szCs w:val="24"/>
        </w:rPr>
        <w:t>OCC</w:t>
      </w:r>
      <w:r w:rsidR="004A780B">
        <w:rPr>
          <w:szCs w:val="24"/>
        </w:rPr>
        <w:t>”</w:t>
      </w:r>
      <w:r w:rsidRPr="004A780B">
        <w:rPr>
          <w:szCs w:val="24"/>
        </w:rPr>
        <w:t>) moves to intervene</w:t>
      </w:r>
      <w:r w:rsidRPr="004A780B" w:rsidR="00A044B5">
        <w:rPr>
          <w:szCs w:val="24"/>
        </w:rPr>
        <w:t xml:space="preserve"> in this case</w:t>
      </w:r>
      <w:r w:rsidRPr="004A780B">
        <w:rPr>
          <w:szCs w:val="24"/>
        </w:rPr>
        <w:t xml:space="preserve"> where </w:t>
      </w:r>
      <w:r w:rsidRPr="004A780B">
        <w:rPr>
          <w:szCs w:val="24"/>
        </w:rPr>
        <w:t>AEP Ohio</w:t>
      </w:r>
      <w:r w:rsidRPr="004A780B" w:rsidR="00111BD6">
        <w:rPr>
          <w:szCs w:val="24"/>
        </w:rPr>
        <w:t xml:space="preserve"> </w:t>
      </w:r>
      <w:r w:rsidRPr="004A780B" w:rsidR="00B9455B">
        <w:rPr>
          <w:szCs w:val="24"/>
        </w:rPr>
        <w:t>is modifying</w:t>
      </w:r>
      <w:r w:rsidRPr="004A780B" w:rsidR="00600977">
        <w:rPr>
          <w:szCs w:val="24"/>
        </w:rPr>
        <w:t xml:space="preserve"> </w:t>
      </w:r>
      <w:r w:rsidRPr="004A780B" w:rsidR="00111BD6">
        <w:rPr>
          <w:szCs w:val="24"/>
        </w:rPr>
        <w:t>its tariff</w:t>
      </w:r>
      <w:r w:rsidRPr="004A780B" w:rsidR="00B9455B">
        <w:rPr>
          <w:szCs w:val="24"/>
        </w:rPr>
        <w:t>s</w:t>
      </w:r>
      <w:r w:rsidRPr="004A780B" w:rsidR="00412123">
        <w:rPr>
          <w:szCs w:val="24"/>
        </w:rPr>
        <w:t xml:space="preserve"> </w:t>
      </w:r>
      <w:r w:rsidRPr="004A780B" w:rsidR="00B9455B">
        <w:rPr>
          <w:szCs w:val="24"/>
        </w:rPr>
        <w:t xml:space="preserve">in response to </w:t>
      </w:r>
      <w:r w:rsidRPr="004A780B" w:rsidR="00600977">
        <w:rPr>
          <w:szCs w:val="24"/>
        </w:rPr>
        <w:t>a</w:t>
      </w:r>
      <w:r w:rsidRPr="004A780B" w:rsidR="00111BD6">
        <w:rPr>
          <w:szCs w:val="24"/>
        </w:rPr>
        <w:t xml:space="preserve"> </w:t>
      </w:r>
      <w:r w:rsidRPr="004A780B">
        <w:rPr>
          <w:szCs w:val="24"/>
        </w:rPr>
        <w:t>PUCO</w:t>
      </w:r>
      <w:r w:rsidRPr="004A780B" w:rsidR="00600977">
        <w:rPr>
          <w:i/>
          <w:iCs/>
          <w:szCs w:val="24"/>
        </w:rPr>
        <w:t xml:space="preserve"> </w:t>
      </w:r>
      <w:r w:rsidRPr="004A780B" w:rsidR="00600977">
        <w:rPr>
          <w:szCs w:val="24"/>
        </w:rPr>
        <w:t>order</w:t>
      </w:r>
      <w:r w:rsidRPr="004A780B">
        <w:rPr>
          <w:szCs w:val="24"/>
        </w:rPr>
        <w:t xml:space="preserve"> </w:t>
      </w:r>
      <w:r w:rsidRPr="004A780B" w:rsidR="00B9455B">
        <w:rPr>
          <w:szCs w:val="24"/>
        </w:rPr>
        <w:t>that allows submeterers to provide utility service to consumers without standard consumer protections</w:t>
      </w:r>
      <w:r w:rsidRPr="004A780B" w:rsidR="00111BD6">
        <w:rPr>
          <w:i/>
          <w:iCs/>
          <w:szCs w:val="24"/>
        </w:rPr>
        <w:t>.</w:t>
      </w:r>
      <w:r>
        <w:rPr>
          <w:rStyle w:val="FootnoteReference"/>
          <w:szCs w:val="24"/>
        </w:rPr>
        <w:footnoteReference w:id="3"/>
      </w:r>
      <w:r w:rsidRPr="004A780B" w:rsidR="00D05D18">
        <w:rPr>
          <w:szCs w:val="24"/>
        </w:rPr>
        <w:t xml:space="preserve"> </w:t>
      </w:r>
      <w:r w:rsidRPr="004A780B">
        <w:rPr>
          <w:szCs w:val="24"/>
        </w:rPr>
        <w:t>In the order, the PUCO determined it has no jurisdiction to regulate third party submetering companies like N</w:t>
      </w:r>
      <w:r w:rsidRPr="004A780B" w:rsidR="00B9455B">
        <w:rPr>
          <w:szCs w:val="24"/>
        </w:rPr>
        <w:t>ationwide Energy Partners (</w:t>
      </w:r>
      <w:r w:rsidR="004A780B">
        <w:rPr>
          <w:szCs w:val="24"/>
        </w:rPr>
        <w:t>“</w:t>
      </w:r>
      <w:r w:rsidRPr="004A780B" w:rsidR="00B9455B">
        <w:rPr>
          <w:szCs w:val="24"/>
        </w:rPr>
        <w:t>N</w:t>
      </w:r>
      <w:r w:rsidRPr="004A780B">
        <w:rPr>
          <w:szCs w:val="24"/>
        </w:rPr>
        <w:t>EP</w:t>
      </w:r>
      <w:r w:rsidR="004A780B">
        <w:rPr>
          <w:szCs w:val="24"/>
        </w:rPr>
        <w:t>”</w:t>
      </w:r>
      <w:r w:rsidRPr="004A780B" w:rsidR="00B9455B">
        <w:rPr>
          <w:szCs w:val="24"/>
        </w:rPr>
        <w:t>)</w:t>
      </w:r>
      <w:r w:rsidRPr="004A780B">
        <w:rPr>
          <w:szCs w:val="24"/>
        </w:rPr>
        <w:t xml:space="preserve">. </w:t>
      </w:r>
      <w:r w:rsidRPr="004A780B" w:rsidR="00451F1C">
        <w:rPr>
          <w:szCs w:val="24"/>
        </w:rPr>
        <w:t>The PUCO recognized that</w:t>
      </w:r>
      <w:r w:rsidRPr="004A780B" w:rsidR="00D304B5">
        <w:rPr>
          <w:szCs w:val="24"/>
        </w:rPr>
        <w:t xml:space="preserve"> when resident</w:t>
      </w:r>
      <w:r w:rsidRPr="004A780B" w:rsidR="00451F1C">
        <w:rPr>
          <w:szCs w:val="24"/>
        </w:rPr>
        <w:t>ial consumers</w:t>
      </w:r>
      <w:r w:rsidRPr="004A780B" w:rsidR="00D304B5">
        <w:rPr>
          <w:szCs w:val="24"/>
        </w:rPr>
        <w:t xml:space="preserve"> are forced by their landlords to give up their PUCO-regulated utility service to be served by NEP,</w:t>
      </w:r>
      <w:r w:rsidRPr="004A780B">
        <w:rPr>
          <w:szCs w:val="24"/>
        </w:rPr>
        <w:t xml:space="preserve"> they will </w:t>
      </w:r>
      <w:r w:rsidR="004A780B">
        <w:rPr>
          <w:szCs w:val="24"/>
        </w:rPr>
        <w:t>“</w:t>
      </w:r>
      <w:r w:rsidRPr="004A780B">
        <w:rPr>
          <w:szCs w:val="24"/>
        </w:rPr>
        <w:t>lose[] the rights under law associated with being under the Commission</w:t>
      </w:r>
      <w:r w:rsidR="004A780B">
        <w:rPr>
          <w:szCs w:val="24"/>
        </w:rPr>
        <w:t>’</w:t>
      </w:r>
      <w:r w:rsidRPr="004A780B">
        <w:rPr>
          <w:szCs w:val="24"/>
        </w:rPr>
        <w:t>s jurisdiction.</w:t>
      </w:r>
      <w:r w:rsidR="004A780B">
        <w:rPr>
          <w:szCs w:val="24"/>
        </w:rPr>
        <w:t>”</w:t>
      </w:r>
      <w:r>
        <w:rPr>
          <w:rStyle w:val="FootnoteReference"/>
          <w:szCs w:val="24"/>
        </w:rPr>
        <w:footnoteReference w:id="4"/>
      </w:r>
    </w:p>
    <w:p w:rsidR="00DB6639" w:rsidRPr="004A780B" w:rsidP="00D304B5" w14:paraId="1F453CC1" w14:textId="467BFB58">
      <w:pPr>
        <w:pStyle w:val="BodyTextIndent3"/>
        <w:widowControl w:val="0"/>
        <w:spacing w:line="480" w:lineRule="auto"/>
        <w:rPr>
          <w:szCs w:val="24"/>
        </w:rPr>
      </w:pPr>
      <w:r w:rsidRPr="004A780B">
        <w:rPr>
          <w:szCs w:val="24"/>
        </w:rPr>
        <w:t>T</w:t>
      </w:r>
      <w:r w:rsidRPr="004A780B" w:rsidR="008A1088">
        <w:rPr>
          <w:szCs w:val="24"/>
        </w:rPr>
        <w:t xml:space="preserve">he modifications the PUCO has required AEP Ohio to make to its resale tariff </w:t>
      </w:r>
      <w:r w:rsidRPr="004A780B" w:rsidR="00D304B5">
        <w:rPr>
          <w:szCs w:val="24"/>
        </w:rPr>
        <w:t xml:space="preserve">do </w:t>
      </w:r>
      <w:r w:rsidRPr="004A780B" w:rsidR="00451F1C">
        <w:rPr>
          <w:szCs w:val="24"/>
        </w:rPr>
        <w:t>little to</w:t>
      </w:r>
      <w:r w:rsidRPr="004A780B" w:rsidR="008A1088">
        <w:rPr>
          <w:szCs w:val="24"/>
        </w:rPr>
        <w:t xml:space="preserve"> restore</w:t>
      </w:r>
      <w:r w:rsidRPr="004A780B" w:rsidR="00D304B5">
        <w:rPr>
          <w:szCs w:val="24"/>
        </w:rPr>
        <w:t xml:space="preserve"> the </w:t>
      </w:r>
      <w:r w:rsidRPr="004A780B" w:rsidR="00451F1C">
        <w:rPr>
          <w:szCs w:val="24"/>
        </w:rPr>
        <w:t xml:space="preserve">legal rights </w:t>
      </w:r>
      <w:r w:rsidRPr="004A780B" w:rsidR="00D304B5">
        <w:rPr>
          <w:szCs w:val="24"/>
        </w:rPr>
        <w:t xml:space="preserve">that </w:t>
      </w:r>
      <w:r w:rsidRPr="004A780B" w:rsidR="008A1088">
        <w:rPr>
          <w:szCs w:val="24"/>
        </w:rPr>
        <w:t>residential consumers</w:t>
      </w:r>
      <w:r w:rsidRPr="004A780B" w:rsidR="00D304B5">
        <w:rPr>
          <w:szCs w:val="24"/>
        </w:rPr>
        <w:t xml:space="preserve"> </w:t>
      </w:r>
      <w:r w:rsidRPr="004A780B" w:rsidR="008A1088">
        <w:rPr>
          <w:szCs w:val="24"/>
        </w:rPr>
        <w:t>lose when the</w:t>
      </w:r>
      <w:r w:rsidRPr="004A780B" w:rsidR="00D304B5">
        <w:rPr>
          <w:szCs w:val="24"/>
        </w:rPr>
        <w:t xml:space="preserve">y </w:t>
      </w:r>
      <w:r w:rsidRPr="004A780B" w:rsidR="00B9455B">
        <w:rPr>
          <w:szCs w:val="24"/>
        </w:rPr>
        <w:t xml:space="preserve">are required to take </w:t>
      </w:r>
      <w:r w:rsidRPr="004A780B" w:rsidR="008A1088">
        <w:rPr>
          <w:szCs w:val="24"/>
        </w:rPr>
        <w:t>submetered utility service</w:t>
      </w:r>
      <w:r w:rsidRPr="004A780B" w:rsidR="00D304B5">
        <w:rPr>
          <w:szCs w:val="24"/>
        </w:rPr>
        <w:t xml:space="preserve"> from a company like NEP.</w:t>
      </w:r>
      <w:r w:rsidRPr="004A780B" w:rsidR="008A1088">
        <w:rPr>
          <w:szCs w:val="24"/>
        </w:rPr>
        <w:t xml:space="preserve"> As AEP Ohio correctly </w:t>
      </w:r>
      <w:r w:rsidRPr="004A780B">
        <w:rPr>
          <w:szCs w:val="24"/>
        </w:rPr>
        <w:t>recognizes</w:t>
      </w:r>
      <w:r w:rsidRPr="004A780B" w:rsidR="00451F1C">
        <w:rPr>
          <w:szCs w:val="24"/>
        </w:rPr>
        <w:t xml:space="preserve"> in its Application</w:t>
      </w:r>
      <w:r w:rsidRPr="004A780B" w:rsidR="008A1088">
        <w:rPr>
          <w:szCs w:val="24"/>
        </w:rPr>
        <w:t xml:space="preserve"> </w:t>
      </w:r>
      <w:r w:rsidR="004A780B">
        <w:rPr>
          <w:szCs w:val="24"/>
        </w:rPr>
        <w:t>“</w:t>
      </w:r>
      <w:r w:rsidRPr="004A780B" w:rsidR="00451F1C">
        <w:rPr>
          <w:szCs w:val="24"/>
        </w:rPr>
        <w:t>[t]</w:t>
      </w:r>
      <w:r w:rsidRPr="004A780B" w:rsidR="008A1088">
        <w:rPr>
          <w:szCs w:val="24"/>
        </w:rPr>
        <w:t xml:space="preserve">he just and reasonable solution to address the scourge of </w:t>
      </w:r>
      <w:r w:rsidRPr="004A780B" w:rsidR="008A1088">
        <w:rPr>
          <w:szCs w:val="24"/>
        </w:rPr>
        <w:t xml:space="preserve">big business third-party submetering companies </w:t>
      </w:r>
      <w:r w:rsidRPr="004A780B" w:rsidR="008A1088">
        <w:rPr>
          <w:b/>
          <w:bCs/>
          <w:i/>
          <w:iCs/>
          <w:szCs w:val="24"/>
        </w:rPr>
        <w:t>is to prohibit the unlawful practice, not to enable it through ineffective tariff provisions.</w:t>
      </w:r>
      <w:r w:rsidR="004A780B">
        <w:rPr>
          <w:szCs w:val="24"/>
        </w:rPr>
        <w:t>”</w:t>
      </w:r>
      <w:r>
        <w:rPr>
          <w:rStyle w:val="FootnoteReference"/>
          <w:szCs w:val="24"/>
        </w:rPr>
        <w:footnoteReference w:id="5"/>
      </w:r>
      <w:r w:rsidRPr="004A780B" w:rsidR="00451F1C">
        <w:rPr>
          <w:szCs w:val="24"/>
        </w:rPr>
        <w:t xml:space="preserve"> OCC agrees.</w:t>
      </w:r>
      <w:r w:rsidRPr="004A780B" w:rsidR="00D304B5">
        <w:rPr>
          <w:i/>
          <w:iCs/>
          <w:szCs w:val="24"/>
        </w:rPr>
        <w:t xml:space="preserve"> </w:t>
      </w:r>
    </w:p>
    <w:p w:rsidR="000D2136" w:rsidP="004D618A" w14:paraId="139EDB46" w14:textId="04A33444">
      <w:pPr>
        <w:pStyle w:val="BodyTextIndent3"/>
        <w:widowControl w:val="0"/>
        <w:spacing w:line="480" w:lineRule="auto"/>
        <w:rPr>
          <w:szCs w:val="24"/>
        </w:rPr>
      </w:pPr>
      <w:r w:rsidRPr="004A780B">
        <w:rPr>
          <w:szCs w:val="24"/>
        </w:rPr>
        <w:t xml:space="preserve">OCC is </w:t>
      </w:r>
      <w:r w:rsidRPr="004A780B" w:rsidR="0072721B">
        <w:rPr>
          <w:szCs w:val="24"/>
        </w:rPr>
        <w:t>filing</w:t>
      </w:r>
      <w:r w:rsidRPr="004A780B">
        <w:rPr>
          <w:szCs w:val="24"/>
        </w:rPr>
        <w:t xml:space="preserve"> on</w:t>
      </w:r>
      <w:r w:rsidRPr="004A780B" w:rsidR="00D55177">
        <w:rPr>
          <w:szCs w:val="24"/>
        </w:rPr>
        <w:t xml:space="preserve"> behalf of </w:t>
      </w:r>
      <w:r w:rsidRPr="004A780B" w:rsidR="00451F1C">
        <w:rPr>
          <w:szCs w:val="24"/>
        </w:rPr>
        <w:t xml:space="preserve">the </w:t>
      </w:r>
      <w:r w:rsidRPr="004A780B" w:rsidR="002D1714">
        <w:rPr>
          <w:szCs w:val="24"/>
        </w:rPr>
        <w:t>residential</w:t>
      </w:r>
      <w:r w:rsidRPr="004A780B" w:rsidR="00451F1C">
        <w:rPr>
          <w:szCs w:val="24"/>
        </w:rPr>
        <w:t xml:space="preserve"> utility</w:t>
      </w:r>
      <w:r w:rsidRPr="004A780B" w:rsidR="002D1714">
        <w:rPr>
          <w:szCs w:val="24"/>
        </w:rPr>
        <w:t xml:space="preserve"> consumers </w:t>
      </w:r>
      <w:r w:rsidRPr="004A780B" w:rsidR="00B9455B">
        <w:rPr>
          <w:szCs w:val="24"/>
        </w:rPr>
        <w:t xml:space="preserve">who are the victims in this case –where they are </w:t>
      </w:r>
      <w:r w:rsidRPr="004A780B" w:rsidR="002D1714">
        <w:rPr>
          <w:szCs w:val="24"/>
        </w:rPr>
        <w:t xml:space="preserve">forced to take submetered electric utility service under the </w:t>
      </w:r>
      <w:r w:rsidR="004A780B">
        <w:rPr>
          <w:szCs w:val="24"/>
        </w:rPr>
        <w:t>“</w:t>
      </w:r>
      <w:r w:rsidRPr="004A780B" w:rsidR="00B9455B">
        <w:rPr>
          <w:szCs w:val="24"/>
        </w:rPr>
        <w:t>ineffective</w:t>
      </w:r>
      <w:r w:rsidR="004A780B">
        <w:rPr>
          <w:szCs w:val="24"/>
        </w:rPr>
        <w:t>”</w:t>
      </w:r>
      <w:r w:rsidRPr="004A780B" w:rsidR="00B9455B">
        <w:rPr>
          <w:szCs w:val="24"/>
        </w:rPr>
        <w:t xml:space="preserve"> </w:t>
      </w:r>
      <w:r w:rsidRPr="004A780B" w:rsidR="002D1714">
        <w:rPr>
          <w:szCs w:val="24"/>
        </w:rPr>
        <w:t>tariffs AEP Ohio proposes in this case</w:t>
      </w:r>
      <w:r w:rsidRPr="004A780B" w:rsidR="00B9455B">
        <w:rPr>
          <w:szCs w:val="24"/>
        </w:rPr>
        <w:t xml:space="preserve">. </w:t>
      </w:r>
      <w:r w:rsidRPr="004A780B" w:rsidR="007D395D">
        <w:rPr>
          <w:szCs w:val="24"/>
        </w:rPr>
        <w:t>Apartment complex residents (including low-income consumers) with submetered service lose the ability to participate in the Percentage of Income Payment Plan (</w:t>
      </w:r>
      <w:r w:rsidR="00FA1A49">
        <w:rPr>
          <w:szCs w:val="24"/>
        </w:rPr>
        <w:t>“</w:t>
      </w:r>
      <w:r w:rsidRPr="004A780B" w:rsidR="007D395D">
        <w:rPr>
          <w:szCs w:val="24"/>
        </w:rPr>
        <w:t>PIPP</w:t>
      </w:r>
      <w:r w:rsidR="00FA1A49">
        <w:rPr>
          <w:szCs w:val="24"/>
        </w:rPr>
        <w:t>”</w:t>
      </w:r>
      <w:r w:rsidRPr="004A780B" w:rsidR="007D395D">
        <w:rPr>
          <w:szCs w:val="24"/>
        </w:rPr>
        <w:t>)</w:t>
      </w:r>
      <w:r w:rsidRPr="004A780B" w:rsidR="008C754E">
        <w:rPr>
          <w:szCs w:val="24"/>
        </w:rPr>
        <w:t>.</w:t>
      </w:r>
      <w:r w:rsidR="004A780B">
        <w:rPr>
          <w:szCs w:val="24"/>
        </w:rPr>
        <w:t xml:space="preserve"> </w:t>
      </w:r>
      <w:bookmarkStart w:id="0" w:name="_Hlk161229313"/>
      <w:r w:rsidRPr="004A780B" w:rsidR="008C754E">
        <w:rPr>
          <w:szCs w:val="24"/>
        </w:rPr>
        <w:t>This is a critical issue.</w:t>
      </w:r>
      <w:r w:rsidR="004A780B">
        <w:rPr>
          <w:szCs w:val="24"/>
        </w:rPr>
        <w:t xml:space="preserve"> </w:t>
      </w:r>
      <w:r w:rsidRPr="004A780B" w:rsidR="008C754E">
        <w:rPr>
          <w:szCs w:val="24"/>
        </w:rPr>
        <w:t xml:space="preserve">For example, AEP reported 286 residential </w:t>
      </w:r>
      <w:r w:rsidRPr="004A780B" w:rsidR="00487700">
        <w:rPr>
          <w:szCs w:val="24"/>
        </w:rPr>
        <w:t xml:space="preserve">consumer </w:t>
      </w:r>
      <w:r w:rsidRPr="004A780B" w:rsidR="008C754E">
        <w:rPr>
          <w:szCs w:val="24"/>
        </w:rPr>
        <w:t>accounts at the Northtowne Apartments which NEP seeks to convert to submetering.</w:t>
      </w:r>
      <w:r>
        <w:rPr>
          <w:rStyle w:val="FootnoteReference"/>
          <w:szCs w:val="24"/>
        </w:rPr>
        <w:footnoteReference w:id="6"/>
      </w:r>
      <w:r w:rsidRPr="004A780B" w:rsidR="007D395D">
        <w:rPr>
          <w:szCs w:val="24"/>
        </w:rPr>
        <w:t xml:space="preserve"> </w:t>
      </w:r>
      <w:r w:rsidRPr="004A780B" w:rsidR="00487700">
        <w:rPr>
          <w:szCs w:val="24"/>
        </w:rPr>
        <w:t>More than 25% of those residential consumers participate in the PIPP program.</w:t>
      </w:r>
      <w:r>
        <w:rPr>
          <w:rStyle w:val="FootnoteReference"/>
          <w:szCs w:val="24"/>
        </w:rPr>
        <w:footnoteReference w:id="7"/>
      </w:r>
      <w:r w:rsidR="004A780B">
        <w:rPr>
          <w:szCs w:val="24"/>
        </w:rPr>
        <w:t xml:space="preserve"> </w:t>
      </w:r>
      <w:r w:rsidRPr="004A780B" w:rsidR="005D63CE">
        <w:rPr>
          <w:szCs w:val="24"/>
        </w:rPr>
        <w:t>This is a significant number of low-income consumers who will lose the ability to participate in the PIPP program if Northtowne is converted to NEP submetering.</w:t>
      </w:r>
      <w:bookmarkEnd w:id="0"/>
      <w:r w:rsidR="004A780B">
        <w:rPr>
          <w:szCs w:val="24"/>
        </w:rPr>
        <w:t xml:space="preserve"> </w:t>
      </w:r>
      <w:r w:rsidRPr="004A780B">
        <w:rPr>
          <w:szCs w:val="24"/>
        </w:rPr>
        <w:t xml:space="preserve">The reasons the </w:t>
      </w:r>
      <w:r w:rsidRPr="004A780B" w:rsidR="004943AC">
        <w:rPr>
          <w:szCs w:val="24"/>
        </w:rPr>
        <w:t>PUCO</w:t>
      </w:r>
      <w:r w:rsidRPr="004A780B" w:rsidR="00844294">
        <w:rPr>
          <w:szCs w:val="24"/>
        </w:rPr>
        <w:t xml:space="preserve"> should grant OCC</w:t>
      </w:r>
      <w:r w:rsidR="004A780B">
        <w:rPr>
          <w:szCs w:val="24"/>
        </w:rPr>
        <w:t>’</w:t>
      </w:r>
      <w:r w:rsidRPr="004A780B" w:rsidR="00844294">
        <w:rPr>
          <w:szCs w:val="24"/>
        </w:rPr>
        <w:t xml:space="preserve">s </w:t>
      </w:r>
      <w:r w:rsidRPr="004A780B">
        <w:rPr>
          <w:szCs w:val="24"/>
        </w:rPr>
        <w:t xml:space="preserve">Motion are further </w:t>
      </w:r>
      <w:r w:rsidRPr="004A780B" w:rsidR="00844294">
        <w:rPr>
          <w:szCs w:val="24"/>
        </w:rPr>
        <w:t xml:space="preserve">set forth in the attached </w:t>
      </w:r>
      <w:r w:rsidRPr="004A780B">
        <w:rPr>
          <w:szCs w:val="24"/>
        </w:rPr>
        <w:t>Memorandum</w:t>
      </w:r>
      <w:r w:rsidRPr="004A780B" w:rsidR="00844294">
        <w:rPr>
          <w:szCs w:val="24"/>
        </w:rPr>
        <w:t xml:space="preserve"> in </w:t>
      </w:r>
      <w:r w:rsidRPr="004A780B">
        <w:rPr>
          <w:szCs w:val="24"/>
        </w:rPr>
        <w:t>Support</w:t>
      </w:r>
      <w:r w:rsidRPr="004A780B" w:rsidR="00844294">
        <w:rPr>
          <w:szCs w:val="24"/>
        </w:rPr>
        <w:t>.</w:t>
      </w:r>
      <w:bookmarkStart w:id="1" w:name="_Hlk159407523"/>
    </w:p>
    <w:p w:rsidR="000D2136" w14:paraId="33AC298A" w14:textId="77777777">
      <w:r>
        <w:br w:type="page"/>
      </w:r>
    </w:p>
    <w:p w:rsidR="00667426" w:rsidRPr="004A780B" w:rsidP="00667426" w14:paraId="7CA30B3A" w14:textId="467BBA1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4A780B">
        <w:rPr>
          <w:rFonts w:eastAsia="Courier New"/>
        </w:rPr>
        <w:t>Respectfully submitted,</w:t>
      </w:r>
    </w:p>
    <w:p w:rsidR="00667426" w:rsidRPr="004A780B" w:rsidP="00667426" w14:paraId="15F2A80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667426" w:rsidRPr="004A780B" w:rsidP="00667426" w14:paraId="19250D68"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4A780B">
        <w:rPr>
          <w:rFonts w:eastAsia="Courier New"/>
        </w:rPr>
        <w:t>Maureen R. Willis (0020847)</w:t>
      </w:r>
    </w:p>
    <w:p w:rsidR="00667426" w:rsidRPr="004A780B" w:rsidP="00667426" w14:paraId="3D8001BC" w14:textId="2F5460C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4A780B">
        <w:t>Ohio Consumers</w:t>
      </w:r>
      <w:r w:rsidR="004A780B">
        <w:t>’</w:t>
      </w:r>
      <w:r w:rsidRPr="004A780B">
        <w:t xml:space="preserve"> Counsel</w:t>
      </w:r>
    </w:p>
    <w:p w:rsidR="00667426" w:rsidRPr="004A780B" w:rsidP="00667426" w14:paraId="72CF508D" w14:textId="77777777">
      <w:pPr>
        <w:tabs>
          <w:tab w:val="left" w:pos="4320"/>
        </w:tabs>
        <w:ind w:left="4320"/>
      </w:pPr>
    </w:p>
    <w:p w:rsidR="00667426" w:rsidRPr="004A780B" w:rsidP="00667426" w14:paraId="16522776" w14:textId="165D87E6">
      <w:pPr>
        <w:tabs>
          <w:tab w:val="left" w:pos="4320"/>
        </w:tabs>
        <w:ind w:left="4320"/>
        <w:rPr>
          <w:i/>
          <w:iCs/>
          <w:u w:val="single"/>
        </w:rPr>
      </w:pPr>
      <w:r w:rsidRPr="004A780B">
        <w:rPr>
          <w:i/>
          <w:iCs/>
          <w:u w:val="single"/>
        </w:rPr>
        <w:t xml:space="preserve">/s/ Donald </w:t>
      </w:r>
      <w:r w:rsidRPr="004A780B" w:rsidR="00493C2E">
        <w:rPr>
          <w:i/>
          <w:iCs/>
          <w:u w:val="single"/>
        </w:rPr>
        <w:t xml:space="preserve">J. </w:t>
      </w:r>
      <w:r w:rsidRPr="004A780B">
        <w:rPr>
          <w:i/>
          <w:iCs/>
          <w:u w:val="single"/>
        </w:rPr>
        <w:t>Kral</w:t>
      </w:r>
    </w:p>
    <w:p w:rsidR="00667426" w:rsidRPr="004A780B" w:rsidP="00667426" w14:paraId="68C0A59E" w14:textId="5A2F90CE">
      <w:pPr>
        <w:tabs>
          <w:tab w:val="left" w:pos="4320"/>
        </w:tabs>
        <w:ind w:left="4320"/>
      </w:pPr>
      <w:r w:rsidRPr="004A780B">
        <w:t xml:space="preserve">Donald </w:t>
      </w:r>
      <w:r w:rsidRPr="004A780B" w:rsidR="00493C2E">
        <w:t xml:space="preserve">J. </w:t>
      </w:r>
      <w:r w:rsidRPr="004A780B">
        <w:t>Kral</w:t>
      </w:r>
      <w:r w:rsidRPr="004A780B" w:rsidR="003B7BFA">
        <w:t xml:space="preserve"> (0042091)</w:t>
      </w:r>
    </w:p>
    <w:p w:rsidR="00667426" w:rsidRPr="004A780B" w:rsidP="00667426" w14:paraId="419E90BD" w14:textId="77777777">
      <w:pPr>
        <w:tabs>
          <w:tab w:val="left" w:pos="4320"/>
        </w:tabs>
        <w:ind w:left="4320"/>
      </w:pPr>
      <w:r w:rsidRPr="004A780B">
        <w:t>Counsel of Record</w:t>
      </w:r>
    </w:p>
    <w:p w:rsidR="00667426" w:rsidRPr="004A780B" w:rsidP="00667426" w14:paraId="1C7A4005" w14:textId="6B27D6DC">
      <w:pPr>
        <w:tabs>
          <w:tab w:val="left" w:pos="4320"/>
        </w:tabs>
      </w:pPr>
      <w:r w:rsidRPr="004A780B">
        <w:tab/>
      </w:r>
      <w:r w:rsidRPr="004A780B" w:rsidR="00EB29B1">
        <w:t xml:space="preserve">Thomas </w:t>
      </w:r>
      <w:r w:rsidRPr="004A780B" w:rsidR="00493C2E">
        <w:t xml:space="preserve">J. </w:t>
      </w:r>
      <w:r w:rsidRPr="004A780B" w:rsidR="00EB29B1">
        <w:t>Brodbeck</w:t>
      </w:r>
      <w:r w:rsidRPr="004A780B">
        <w:t xml:space="preserve"> </w:t>
      </w:r>
      <w:r w:rsidRPr="004A780B" w:rsidR="003B7BFA">
        <w:t>(0093920)</w:t>
      </w:r>
    </w:p>
    <w:p w:rsidR="00667426" w:rsidRPr="004A780B" w:rsidP="003B7BFA" w14:paraId="4AA81D29" w14:textId="6CCDB7B5">
      <w:pPr>
        <w:tabs>
          <w:tab w:val="left" w:pos="4320"/>
        </w:tabs>
      </w:pPr>
      <w:r w:rsidRPr="004A780B">
        <w:tab/>
        <w:t>Assistant Consumers</w:t>
      </w:r>
      <w:r w:rsidR="004A780B">
        <w:t>’</w:t>
      </w:r>
      <w:r w:rsidRPr="004A780B">
        <w:t xml:space="preserve"> Counsel</w:t>
      </w:r>
    </w:p>
    <w:p w:rsidR="00667426" w:rsidRPr="004A780B" w:rsidP="00667426" w14:paraId="2E7387E3" w14:textId="77777777">
      <w:pPr>
        <w:tabs>
          <w:tab w:val="left" w:pos="4320"/>
        </w:tabs>
        <w:ind w:left="4320"/>
      </w:pPr>
    </w:p>
    <w:p w:rsidR="00667426" w:rsidRPr="004A780B" w:rsidP="00667426" w14:paraId="2130C8B6" w14:textId="404CC560">
      <w:pPr>
        <w:keepNext/>
        <w:ind w:left="4320" w:right="-648"/>
        <w:outlineLvl w:val="0"/>
        <w:rPr>
          <w:b/>
        </w:rPr>
      </w:pPr>
      <w:r w:rsidRPr="004A780B">
        <w:rPr>
          <w:b/>
        </w:rPr>
        <w:t>Office of the Ohio Consumers</w:t>
      </w:r>
      <w:r w:rsidR="004A780B">
        <w:rPr>
          <w:b/>
        </w:rPr>
        <w:t>’</w:t>
      </w:r>
      <w:r w:rsidRPr="004A780B">
        <w:rPr>
          <w:b/>
        </w:rPr>
        <w:t xml:space="preserve"> Counsel</w:t>
      </w:r>
    </w:p>
    <w:p w:rsidR="00667426" w:rsidRPr="004A780B" w:rsidP="00667426" w14:paraId="6790BF43" w14:textId="77777777">
      <w:pPr>
        <w:keepNext/>
        <w:ind w:left="4320" w:right="-648"/>
        <w:outlineLvl w:val="0"/>
      </w:pPr>
      <w:r w:rsidRPr="004A780B">
        <w:t>65 East State Street, Suite 700</w:t>
      </w:r>
    </w:p>
    <w:p w:rsidR="00667426" w:rsidRPr="004A780B" w:rsidP="00667426" w14:paraId="370662AE" w14:textId="77777777">
      <w:pPr>
        <w:keepNext/>
        <w:ind w:left="4320" w:right="-648"/>
        <w:outlineLvl w:val="0"/>
      </w:pPr>
      <w:r w:rsidRPr="004A780B">
        <w:t>Columbus, Ohio 43215</w:t>
      </w:r>
    </w:p>
    <w:p w:rsidR="00667426" w:rsidRPr="004A780B" w:rsidP="00667426" w14:paraId="0B0471EC" w14:textId="40F63DF6">
      <w:pPr>
        <w:autoSpaceDE w:val="0"/>
        <w:autoSpaceDN w:val="0"/>
        <w:adjustRightInd w:val="0"/>
        <w:ind w:left="4320"/>
      </w:pPr>
      <w:r w:rsidRPr="004A780B">
        <w:t>Telephone</w:t>
      </w:r>
      <w:r w:rsidRPr="004A780B" w:rsidR="00407FF9">
        <w:t xml:space="preserve"> </w:t>
      </w:r>
      <w:r w:rsidRPr="004A780B" w:rsidR="00071BE3">
        <w:t>[</w:t>
      </w:r>
      <w:r w:rsidRPr="004A780B" w:rsidR="00407FF9">
        <w:t>Kral</w:t>
      </w:r>
      <w:r w:rsidRPr="004A780B" w:rsidR="00071BE3">
        <w:t>]:</w:t>
      </w:r>
      <w:r w:rsidRPr="004A780B">
        <w:t xml:space="preserve"> (614) </w:t>
      </w:r>
      <w:r w:rsidRPr="004A780B" w:rsidR="00407FF9">
        <w:t>466-9571</w:t>
      </w:r>
    </w:p>
    <w:p w:rsidR="00667426" w:rsidRPr="004A780B" w:rsidP="00667426" w14:paraId="449333DD" w14:textId="64918679">
      <w:pPr>
        <w:autoSpaceDE w:val="0"/>
        <w:autoSpaceDN w:val="0"/>
        <w:adjustRightInd w:val="0"/>
        <w:ind w:left="4320"/>
      </w:pPr>
      <w:r w:rsidRPr="004A780B">
        <w:t>Telephone</w:t>
      </w:r>
      <w:r w:rsidRPr="004A780B" w:rsidR="00071BE3">
        <w:t xml:space="preserve"> [</w:t>
      </w:r>
      <w:r w:rsidRPr="004A780B" w:rsidR="00407FF9">
        <w:t>Brodbeck</w:t>
      </w:r>
      <w:r w:rsidRPr="004A780B" w:rsidR="00071BE3">
        <w:t>]:</w:t>
      </w:r>
      <w:r w:rsidRPr="004A780B" w:rsidR="00407FF9">
        <w:t xml:space="preserve"> </w:t>
      </w:r>
      <w:r w:rsidRPr="004A780B">
        <w:t xml:space="preserve">(614) </w:t>
      </w:r>
      <w:r w:rsidRPr="004A780B" w:rsidR="00407FF9">
        <w:t>466-9565</w:t>
      </w:r>
    </w:p>
    <w:p w:rsidR="00667426" w:rsidRPr="004A780B" w:rsidP="00667426" w14:paraId="5E3989EA" w14:textId="7DB89BD1">
      <w:pPr>
        <w:autoSpaceDE w:val="0"/>
        <w:autoSpaceDN w:val="0"/>
        <w:adjustRightInd w:val="0"/>
        <w:ind w:left="4320"/>
      </w:pPr>
      <w:hyperlink r:id="rId6" w:history="1">
        <w:r w:rsidRPr="004A780B" w:rsidR="003843B1">
          <w:rPr>
            <w:rStyle w:val="Hyperlink"/>
          </w:rPr>
          <w:t>donald.kral@occ.ohio.gov</w:t>
        </w:r>
      </w:hyperlink>
    </w:p>
    <w:p w:rsidR="00587EAA" w:rsidRPr="004A780B" w:rsidP="00667426" w14:paraId="4BF30E73" w14:textId="68DAE64B">
      <w:pPr>
        <w:autoSpaceDE w:val="0"/>
        <w:autoSpaceDN w:val="0"/>
        <w:adjustRightInd w:val="0"/>
        <w:ind w:left="4320"/>
      </w:pPr>
      <w:hyperlink r:id="rId7" w:history="1">
        <w:r w:rsidRPr="004A780B" w:rsidR="003843B1">
          <w:rPr>
            <w:rStyle w:val="Hyperlink"/>
          </w:rPr>
          <w:t>thomas.brodbeck@occ.ohio.gov</w:t>
        </w:r>
      </w:hyperlink>
    </w:p>
    <w:p w:rsidR="00667426" w:rsidRPr="004A780B" w:rsidP="00667426" w14:paraId="444F8D41" w14:textId="5E01E247">
      <w:r w:rsidRPr="004A780B">
        <w:tab/>
      </w:r>
      <w:r w:rsidRPr="004A780B">
        <w:tab/>
      </w:r>
      <w:r w:rsidRPr="004A780B">
        <w:tab/>
      </w:r>
      <w:r w:rsidRPr="004A780B">
        <w:tab/>
      </w:r>
      <w:r w:rsidRPr="004A780B">
        <w:tab/>
      </w:r>
      <w:r w:rsidRPr="004A780B">
        <w:tab/>
      </w:r>
      <w:r w:rsidRPr="004A780B" w:rsidR="003A55EB">
        <w:t>(willing to accept service by e-mail)</w:t>
      </w:r>
    </w:p>
    <w:bookmarkEnd w:id="1"/>
    <w:p w:rsidR="00A044B5" w:rsidRPr="004A780B" w14:paraId="482C58C1" w14:textId="77777777"/>
    <w:p w:rsidR="00600468" w:rsidRPr="004A780B" w:rsidP="00DB6639" w14:paraId="4294F051" w14:textId="3373A130">
      <w:pPr>
        <w:pStyle w:val="BodyTextIndent3"/>
        <w:widowControl w:val="0"/>
        <w:spacing w:line="480" w:lineRule="auto"/>
        <w:rPr>
          <w:b/>
          <w:szCs w:val="24"/>
        </w:rPr>
        <w:sectPr w:rsidSect="00B7426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A5637F" w:rsidRPr="004A780B" w:rsidP="00DB6639" w14:paraId="675B72E8" w14:textId="3F7A51EB">
      <w:pPr>
        <w:jc w:val="center"/>
        <w:rPr>
          <w:b/>
        </w:rPr>
      </w:pPr>
      <w:r w:rsidRPr="004A780B">
        <w:rPr>
          <w:b/>
        </w:rPr>
        <w:t>BEFORE</w:t>
      </w:r>
    </w:p>
    <w:p w:rsidR="00A5637F" w:rsidRPr="004A780B" w:rsidP="00BB4C86" w14:paraId="3A542CD6" w14:textId="77777777">
      <w:pPr>
        <w:pStyle w:val="HTMLPreformatted"/>
        <w:jc w:val="center"/>
        <w:rPr>
          <w:rFonts w:ascii="Times New Roman" w:hAnsi="Times New Roman" w:cs="Times New Roman"/>
          <w:b/>
          <w:sz w:val="24"/>
          <w:szCs w:val="24"/>
        </w:rPr>
      </w:pPr>
      <w:r w:rsidRPr="004A780B">
        <w:rPr>
          <w:rFonts w:ascii="Times New Roman" w:hAnsi="Times New Roman" w:cs="Times New Roman"/>
          <w:b/>
          <w:bCs/>
          <w:sz w:val="24"/>
          <w:szCs w:val="24"/>
        </w:rPr>
        <w:t>THE PUBLIC UTILITIES COMMISSION OF OHIO</w:t>
      </w:r>
    </w:p>
    <w:p w:rsidR="00A5637F" w:rsidRPr="004A780B" w:rsidP="00DB6639" w14:paraId="4A48DF90"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70FFBA54" w14:textId="77777777" w:rsidTr="00066FAC">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2A683D" w:rsidRPr="004A780B" w:rsidP="00066FAC" w14:paraId="7A81F37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In the Matter of the Application of Ohio Power Company for Authority to New or Amended Rate Schedules and Tariffs</w:t>
            </w:r>
          </w:p>
          <w:p w:rsidR="002A683D" w:rsidRPr="004A780B" w:rsidP="00066FAC" w14:paraId="66662BA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A683D" w:rsidRPr="004A780B" w:rsidP="00066FAC" w14:paraId="78A525E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 xml:space="preserve">In the Matter of the Application of Ohio Power Company for Approval to Change Accounting Methods. </w:t>
            </w:r>
          </w:p>
        </w:tc>
        <w:tc>
          <w:tcPr>
            <w:tcW w:w="630" w:type="dxa"/>
            <w:shd w:val="clear" w:color="auto" w:fill="auto"/>
          </w:tcPr>
          <w:p w:rsidR="002A683D" w:rsidRPr="004A780B" w:rsidP="00066FAC" w14:paraId="72AB8A9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2A683D" w:rsidRPr="004A780B" w:rsidP="00066FAC" w14:paraId="39EFEE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2A683D" w:rsidRPr="004A780B" w:rsidP="00066FAC" w14:paraId="44AB567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2A683D" w:rsidRPr="004A780B" w:rsidP="00066FAC" w14:paraId="7C203C29" w14:textId="19E2237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A683D" w:rsidRPr="004A780B" w:rsidP="00066FAC" w14:paraId="7BB0EE8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2A683D" w:rsidRPr="004A780B" w:rsidP="00066FAC" w14:paraId="4DBC623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p w:rsidR="002A683D" w:rsidRPr="004A780B" w:rsidP="00066FAC" w14:paraId="4F111E2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w:t>
            </w:r>
          </w:p>
        </w:tc>
        <w:tc>
          <w:tcPr>
            <w:tcW w:w="3780" w:type="dxa"/>
            <w:shd w:val="clear" w:color="auto" w:fill="auto"/>
          </w:tcPr>
          <w:p w:rsidR="002A683D" w:rsidRPr="004A780B" w:rsidP="00066FAC" w14:paraId="5EBF1BF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A683D" w:rsidRPr="004A780B" w:rsidP="00066FAC" w14:paraId="64A052A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Case No. 24-106-EL-ATA</w:t>
            </w:r>
          </w:p>
          <w:p w:rsidR="002A683D" w:rsidRPr="004A780B" w:rsidP="00066FAC" w14:paraId="758FC9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A683D" w:rsidRPr="004A780B" w:rsidP="00066FAC" w14:paraId="284178B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23BAE" w:rsidRPr="004A780B" w:rsidP="00066FAC" w14:paraId="4F7D9DE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A683D" w:rsidRPr="004A780B" w:rsidP="00066FAC" w14:paraId="72C0B734" w14:textId="448C253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A780B">
              <w:rPr>
                <w:rFonts w:ascii="Times New Roman" w:eastAsia="Courier New" w:hAnsi="Times New Roman" w:cs="Times New Roman"/>
                <w:sz w:val="24"/>
                <w:szCs w:val="24"/>
                <w:lang w:val="en-US" w:eastAsia="en-US" w:bidi="ar-SA"/>
              </w:rPr>
              <w:t>Case No. 24-107-EL-AAM</w:t>
            </w:r>
          </w:p>
          <w:p w:rsidR="002A683D" w:rsidRPr="004A780B" w:rsidP="00066FAC" w14:paraId="664144F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4A780B" w:rsidP="00DB6639" w14:paraId="295E824B" w14:textId="77777777">
      <w:pPr>
        <w:pStyle w:val="HTMLPreformatted"/>
        <w:rPr>
          <w:rFonts w:ascii="Times New Roman" w:hAnsi="Times New Roman" w:cs="Times New Roman"/>
          <w:b/>
          <w:sz w:val="24"/>
          <w:szCs w:val="24"/>
        </w:rPr>
      </w:pPr>
    </w:p>
    <w:p w:rsidR="00A5637F" w:rsidRPr="004A780B" w:rsidP="00DB6639" w14:paraId="29B94DF1" w14:textId="77777777">
      <w:pPr>
        <w:pStyle w:val="Footer"/>
        <w:pBdr>
          <w:top w:val="single" w:sz="12" w:space="1" w:color="auto"/>
        </w:pBdr>
        <w:tabs>
          <w:tab w:val="left" w:pos="4320"/>
          <w:tab w:val="clear" w:pos="8640"/>
        </w:tabs>
        <w:spacing w:line="240" w:lineRule="auto"/>
      </w:pPr>
    </w:p>
    <w:p w:rsidR="00A5637F" w:rsidRPr="004A780B" w:rsidP="00DB6639" w14:paraId="44EFD019" w14:textId="1598D0B6">
      <w:pPr>
        <w:pStyle w:val="Footer"/>
        <w:tabs>
          <w:tab w:val="left" w:pos="4320"/>
          <w:tab w:val="clear" w:pos="8640"/>
        </w:tabs>
        <w:spacing w:line="240" w:lineRule="auto"/>
        <w:jc w:val="center"/>
      </w:pPr>
      <w:r w:rsidRPr="004A780B">
        <w:rPr>
          <w:b/>
        </w:rPr>
        <w:t>MEMORANDUM IN SUPPORT</w:t>
      </w:r>
    </w:p>
    <w:p w:rsidR="00A5637F" w:rsidRPr="004A780B" w:rsidP="00DB6639" w14:paraId="3F0F15BD" w14:textId="77777777">
      <w:pPr>
        <w:pStyle w:val="Footer"/>
        <w:pBdr>
          <w:bottom w:val="single" w:sz="12" w:space="1" w:color="auto"/>
        </w:pBdr>
        <w:tabs>
          <w:tab w:val="left" w:pos="4320"/>
          <w:tab w:val="clear" w:pos="8640"/>
        </w:tabs>
        <w:spacing w:line="240" w:lineRule="auto"/>
      </w:pPr>
    </w:p>
    <w:p w:rsidR="00FE02B3" w:rsidRPr="004A780B" w:rsidP="00FE02B3" w14:paraId="4B579D63" w14:textId="77777777">
      <w:pPr>
        <w:pStyle w:val="BodyTextIndent3"/>
        <w:widowControl w:val="0"/>
        <w:spacing w:line="240" w:lineRule="auto"/>
        <w:ind w:right="-24"/>
        <w:rPr>
          <w:szCs w:val="24"/>
        </w:rPr>
      </w:pPr>
    </w:p>
    <w:p w:rsidR="00732C43" w:rsidRPr="004A780B" w:rsidP="00FE02B3" w14:paraId="7265ED85" w14:textId="37258607">
      <w:pPr>
        <w:pStyle w:val="BodyTextIndent3"/>
        <w:widowControl w:val="0"/>
        <w:spacing w:line="480" w:lineRule="auto"/>
        <w:ind w:right="-24"/>
        <w:rPr>
          <w:szCs w:val="24"/>
        </w:rPr>
      </w:pPr>
      <w:r w:rsidRPr="004A780B">
        <w:rPr>
          <w:szCs w:val="24"/>
        </w:rPr>
        <w:t>This case concerns AEP Ohio</w:t>
      </w:r>
      <w:r w:rsidR="004A780B">
        <w:rPr>
          <w:szCs w:val="24"/>
        </w:rPr>
        <w:t>’</w:t>
      </w:r>
      <w:r w:rsidRPr="004A780B">
        <w:rPr>
          <w:szCs w:val="24"/>
        </w:rPr>
        <w:t xml:space="preserve">s modifications to its electric resale tariff </w:t>
      </w:r>
      <w:r w:rsidRPr="004A780B" w:rsidR="005834B2">
        <w:rPr>
          <w:szCs w:val="24"/>
        </w:rPr>
        <w:t>to comply with the PUCO</w:t>
      </w:r>
      <w:r w:rsidR="004A780B">
        <w:rPr>
          <w:szCs w:val="24"/>
        </w:rPr>
        <w:t>’</w:t>
      </w:r>
      <w:r w:rsidRPr="004A780B" w:rsidR="005834B2">
        <w:rPr>
          <w:szCs w:val="24"/>
        </w:rPr>
        <w:t>s directive</w:t>
      </w:r>
      <w:r w:rsidRPr="004A780B" w:rsidR="00451F1C">
        <w:rPr>
          <w:szCs w:val="24"/>
        </w:rPr>
        <w:t>s</w:t>
      </w:r>
      <w:r w:rsidRPr="004A780B" w:rsidR="005834B2">
        <w:rPr>
          <w:szCs w:val="24"/>
        </w:rPr>
        <w:t xml:space="preserve"> in Case No. 21-990-EL-CSS.</w:t>
      </w:r>
      <w:r>
        <w:rPr>
          <w:rStyle w:val="FootnoteReference"/>
          <w:szCs w:val="24"/>
        </w:rPr>
        <w:footnoteReference w:id="8"/>
      </w:r>
      <w:r w:rsidRPr="004A780B" w:rsidR="00DA40C0">
        <w:rPr>
          <w:szCs w:val="24"/>
        </w:rPr>
        <w:t xml:space="preserve"> </w:t>
      </w:r>
      <w:r w:rsidRPr="004A780B">
        <w:rPr>
          <w:szCs w:val="24"/>
        </w:rPr>
        <w:t xml:space="preserve">In that case, the PUCO determined </w:t>
      </w:r>
      <w:r w:rsidRPr="004A780B" w:rsidR="00451F1C">
        <w:rPr>
          <w:szCs w:val="24"/>
        </w:rPr>
        <w:t xml:space="preserve">that </w:t>
      </w:r>
      <w:r w:rsidRPr="004A780B">
        <w:rPr>
          <w:szCs w:val="24"/>
        </w:rPr>
        <w:t>it has no jurisdiction over third party submetering companies like NEP</w:t>
      </w:r>
      <w:r w:rsidRPr="004A780B" w:rsidR="00451F1C">
        <w:rPr>
          <w:szCs w:val="24"/>
        </w:rPr>
        <w:t>.</w:t>
      </w:r>
      <w:r w:rsidRPr="004A780B">
        <w:rPr>
          <w:szCs w:val="24"/>
        </w:rPr>
        <w:t xml:space="preserve"> </w:t>
      </w:r>
      <w:r w:rsidRPr="004A780B" w:rsidR="00451F1C">
        <w:rPr>
          <w:szCs w:val="24"/>
        </w:rPr>
        <w:t xml:space="preserve">That means </w:t>
      </w:r>
      <w:r w:rsidRPr="004A780B" w:rsidR="00ED0BEF">
        <w:rPr>
          <w:szCs w:val="24"/>
        </w:rPr>
        <w:t xml:space="preserve">that residential consumers served by NEP will </w:t>
      </w:r>
      <w:r w:rsidR="004A780B">
        <w:rPr>
          <w:szCs w:val="24"/>
        </w:rPr>
        <w:t>“</w:t>
      </w:r>
      <w:r w:rsidRPr="004A780B" w:rsidR="00ED0BEF">
        <w:rPr>
          <w:szCs w:val="24"/>
        </w:rPr>
        <w:t>lose[] the rights under law associated with being under the Commission</w:t>
      </w:r>
      <w:r w:rsidR="004A780B">
        <w:rPr>
          <w:szCs w:val="24"/>
        </w:rPr>
        <w:t>’</w:t>
      </w:r>
      <w:r w:rsidRPr="004A780B" w:rsidR="00ED0BEF">
        <w:rPr>
          <w:szCs w:val="24"/>
        </w:rPr>
        <w:t>s jurisdiction.</w:t>
      </w:r>
      <w:r w:rsidR="004A780B">
        <w:rPr>
          <w:szCs w:val="24"/>
        </w:rPr>
        <w:t>”</w:t>
      </w:r>
      <w:r>
        <w:rPr>
          <w:rStyle w:val="FootnoteReference"/>
          <w:szCs w:val="24"/>
        </w:rPr>
        <w:footnoteReference w:id="9"/>
      </w:r>
      <w:r w:rsidRPr="004A780B" w:rsidR="00ED0BEF">
        <w:rPr>
          <w:szCs w:val="24"/>
        </w:rPr>
        <w:t xml:space="preserve"> </w:t>
      </w:r>
      <w:r w:rsidRPr="004A780B">
        <w:rPr>
          <w:szCs w:val="24"/>
        </w:rPr>
        <w:t xml:space="preserve">Essentially, </w:t>
      </w:r>
      <w:r w:rsidRPr="004A780B" w:rsidR="00ED0BEF">
        <w:rPr>
          <w:szCs w:val="24"/>
        </w:rPr>
        <w:t>the PUCO</w:t>
      </w:r>
      <w:r w:rsidR="004A780B">
        <w:rPr>
          <w:szCs w:val="24"/>
        </w:rPr>
        <w:t>’</w:t>
      </w:r>
      <w:r w:rsidRPr="004A780B" w:rsidR="00ED0BEF">
        <w:rPr>
          <w:szCs w:val="24"/>
        </w:rPr>
        <w:t>s order create</w:t>
      </w:r>
      <w:r w:rsidRPr="004A780B" w:rsidR="00675DEF">
        <w:rPr>
          <w:szCs w:val="24"/>
        </w:rPr>
        <w:t>d</w:t>
      </w:r>
      <w:r w:rsidRPr="004A780B" w:rsidR="00ED0BEF">
        <w:rPr>
          <w:szCs w:val="24"/>
        </w:rPr>
        <w:t xml:space="preserve"> a </w:t>
      </w:r>
      <w:r w:rsidR="004A780B">
        <w:rPr>
          <w:szCs w:val="24"/>
        </w:rPr>
        <w:t>“</w:t>
      </w:r>
      <w:r w:rsidRPr="004A780B" w:rsidR="00ED0BEF">
        <w:rPr>
          <w:szCs w:val="24"/>
        </w:rPr>
        <w:t>second class</w:t>
      </w:r>
      <w:r w:rsidR="004A780B">
        <w:rPr>
          <w:szCs w:val="24"/>
        </w:rPr>
        <w:t>”</w:t>
      </w:r>
      <w:r w:rsidRPr="004A780B" w:rsidR="00ED0BEF">
        <w:rPr>
          <w:szCs w:val="24"/>
        </w:rPr>
        <w:t xml:space="preserve"> of residential utility consumers, those who live in apartment complexes </w:t>
      </w:r>
      <w:r w:rsidRPr="004A780B" w:rsidR="00451F1C">
        <w:rPr>
          <w:szCs w:val="24"/>
        </w:rPr>
        <w:t>where the landlord has decided to</w:t>
      </w:r>
      <w:r w:rsidRPr="004A780B" w:rsidR="00ED0BEF">
        <w:rPr>
          <w:szCs w:val="24"/>
        </w:rPr>
        <w:t xml:space="preserve"> submeter utility service. </w:t>
      </w:r>
      <w:r w:rsidRPr="004A780B">
        <w:rPr>
          <w:szCs w:val="24"/>
        </w:rPr>
        <w:t>Apartment complex residents (including low-income consumer</w:t>
      </w:r>
      <w:r w:rsidRPr="004A780B" w:rsidR="00451F1C">
        <w:rPr>
          <w:szCs w:val="24"/>
        </w:rPr>
        <w:t>s) with</w:t>
      </w:r>
      <w:r w:rsidRPr="004A780B" w:rsidR="00675DEF">
        <w:rPr>
          <w:szCs w:val="24"/>
        </w:rPr>
        <w:t xml:space="preserve"> submeter</w:t>
      </w:r>
      <w:r w:rsidRPr="004A780B" w:rsidR="00451F1C">
        <w:rPr>
          <w:szCs w:val="24"/>
        </w:rPr>
        <w:t>ed service</w:t>
      </w:r>
      <w:r w:rsidRPr="004A780B">
        <w:rPr>
          <w:szCs w:val="24"/>
        </w:rPr>
        <w:t xml:space="preserve"> lose the ability to participate in the PIPP, the ability to </w:t>
      </w:r>
      <w:r w:rsidR="004A780B">
        <w:rPr>
          <w:szCs w:val="24"/>
        </w:rPr>
        <w:t>“</w:t>
      </w:r>
      <w:r w:rsidRPr="004A780B">
        <w:rPr>
          <w:szCs w:val="24"/>
        </w:rPr>
        <w:t>shop</w:t>
      </w:r>
      <w:r w:rsidR="004A780B">
        <w:rPr>
          <w:szCs w:val="24"/>
        </w:rPr>
        <w:t>”</w:t>
      </w:r>
      <w:r w:rsidRPr="004A780B">
        <w:rPr>
          <w:szCs w:val="24"/>
        </w:rPr>
        <w:t xml:space="preserve"> for competitive energy supply, and other rights that consumers served by the PUCO-</w:t>
      </w:r>
      <w:r w:rsidRPr="004A780B" w:rsidR="00C53682">
        <w:rPr>
          <w:szCs w:val="24"/>
        </w:rPr>
        <w:t>regulated</w:t>
      </w:r>
      <w:r w:rsidRPr="004A780B">
        <w:rPr>
          <w:szCs w:val="24"/>
        </w:rPr>
        <w:t xml:space="preserve"> utility (AEP Ohio) receive.</w:t>
      </w:r>
    </w:p>
    <w:p w:rsidR="005D63CE" w:rsidRPr="004A780B" w:rsidP="005D63CE" w14:paraId="7DB61F40" w14:textId="374C58D4">
      <w:pPr>
        <w:pStyle w:val="BodyTextIndent3"/>
        <w:widowControl w:val="0"/>
        <w:spacing w:line="480" w:lineRule="auto"/>
        <w:ind w:right="-24"/>
        <w:rPr>
          <w:szCs w:val="24"/>
        </w:rPr>
      </w:pPr>
      <w:r w:rsidRPr="004A780B">
        <w:rPr>
          <w:szCs w:val="24"/>
        </w:rPr>
        <w:t>One example of the harm caused by submetering is NEP</w:t>
      </w:r>
      <w:r w:rsidR="004A780B">
        <w:rPr>
          <w:szCs w:val="24"/>
        </w:rPr>
        <w:t>’</w:t>
      </w:r>
      <w:r w:rsidRPr="004A780B">
        <w:rPr>
          <w:szCs w:val="24"/>
        </w:rPr>
        <w:t>s proposal to submeter Northtowne Apartments which are currently served by AEP.</w:t>
      </w:r>
      <w:r w:rsidR="004A780B">
        <w:rPr>
          <w:szCs w:val="24"/>
        </w:rPr>
        <w:t xml:space="preserve"> </w:t>
      </w:r>
      <w:r w:rsidRPr="004A780B">
        <w:rPr>
          <w:szCs w:val="24"/>
        </w:rPr>
        <w:t>NEP seeks to convert Northtowne to submetering including 286 residential consumer accounts.</w:t>
      </w:r>
      <w:r>
        <w:rPr>
          <w:rStyle w:val="FootnoteReference"/>
          <w:szCs w:val="24"/>
        </w:rPr>
        <w:footnoteReference w:id="10"/>
      </w:r>
      <w:r w:rsidRPr="004A780B">
        <w:rPr>
          <w:szCs w:val="24"/>
        </w:rPr>
        <w:t xml:space="preserve"> More than 25% of those residential consumers participate in the PIPP program.</w:t>
      </w:r>
      <w:r>
        <w:rPr>
          <w:rStyle w:val="FootnoteReference"/>
          <w:szCs w:val="24"/>
        </w:rPr>
        <w:footnoteReference w:id="11"/>
      </w:r>
      <w:r w:rsidR="004A780B">
        <w:rPr>
          <w:szCs w:val="24"/>
        </w:rPr>
        <w:t xml:space="preserve"> </w:t>
      </w:r>
      <w:r w:rsidRPr="004A780B">
        <w:rPr>
          <w:szCs w:val="24"/>
        </w:rPr>
        <w:t>Fifty-four percent of the AEP accounts at Northtowne are shopping for competitive generation services.</w:t>
      </w:r>
      <w:r w:rsidR="004A780B">
        <w:rPr>
          <w:szCs w:val="24"/>
        </w:rPr>
        <w:t xml:space="preserve"> </w:t>
      </w:r>
      <w:r w:rsidRPr="004A780B">
        <w:rPr>
          <w:szCs w:val="24"/>
        </w:rPr>
        <w:t>And 14 consumers avail themselves of AEP Ohio</w:t>
      </w:r>
      <w:r w:rsidR="004A780B">
        <w:rPr>
          <w:szCs w:val="24"/>
        </w:rPr>
        <w:t>’</w:t>
      </w:r>
      <w:r w:rsidRPr="004A780B">
        <w:rPr>
          <w:szCs w:val="24"/>
        </w:rPr>
        <w:t>s average monthly payment plan.</w:t>
      </w:r>
      <w:r>
        <w:rPr>
          <w:rStyle w:val="FootnoteReference"/>
          <w:szCs w:val="24"/>
        </w:rPr>
        <w:footnoteReference w:id="12"/>
      </w:r>
      <w:r w:rsidR="004A780B">
        <w:rPr>
          <w:szCs w:val="24"/>
        </w:rPr>
        <w:t xml:space="preserve"> </w:t>
      </w:r>
      <w:r w:rsidRPr="004A780B" w:rsidR="00FB23FA">
        <w:rPr>
          <w:szCs w:val="24"/>
        </w:rPr>
        <w:t>These consumers will lose these rights that they receive under a PUCO regulated electric utility if submetering takes place.</w:t>
      </w:r>
    </w:p>
    <w:p w:rsidR="005834B2" w:rsidRPr="004A780B" w:rsidP="00FE02B3" w14:paraId="30479052" w14:textId="54EDFE3D">
      <w:pPr>
        <w:pStyle w:val="BodyTextIndent3"/>
        <w:widowControl w:val="0"/>
        <w:spacing w:line="480" w:lineRule="auto"/>
        <w:ind w:right="-24"/>
        <w:rPr>
          <w:szCs w:val="24"/>
        </w:rPr>
      </w:pPr>
      <w:r w:rsidRPr="004A780B">
        <w:rPr>
          <w:szCs w:val="24"/>
        </w:rPr>
        <w:t>T</w:t>
      </w:r>
      <w:r w:rsidRPr="004A780B" w:rsidR="00ED0BEF">
        <w:rPr>
          <w:szCs w:val="24"/>
        </w:rPr>
        <w:t xml:space="preserve">o </w:t>
      </w:r>
      <w:r w:rsidRPr="004A780B" w:rsidR="00732C43">
        <w:rPr>
          <w:szCs w:val="24"/>
        </w:rPr>
        <w:t xml:space="preserve">restore some protections to </w:t>
      </w:r>
      <w:r w:rsidRPr="004A780B" w:rsidR="00ED0BEF">
        <w:rPr>
          <w:szCs w:val="24"/>
        </w:rPr>
        <w:t xml:space="preserve">residential consumers </w:t>
      </w:r>
      <w:r w:rsidRPr="004A780B" w:rsidR="00C53682">
        <w:rPr>
          <w:szCs w:val="24"/>
        </w:rPr>
        <w:t xml:space="preserve">who are </w:t>
      </w:r>
      <w:r w:rsidRPr="004A780B" w:rsidR="00ED0BEF">
        <w:rPr>
          <w:szCs w:val="24"/>
        </w:rPr>
        <w:t xml:space="preserve">forced </w:t>
      </w:r>
      <w:r w:rsidRPr="004A780B" w:rsidR="00732C43">
        <w:rPr>
          <w:szCs w:val="24"/>
        </w:rPr>
        <w:t xml:space="preserve">by their landlords </w:t>
      </w:r>
      <w:r w:rsidRPr="004A780B" w:rsidR="00ED0BEF">
        <w:rPr>
          <w:szCs w:val="24"/>
        </w:rPr>
        <w:t>to</w:t>
      </w:r>
      <w:r w:rsidRPr="004A780B" w:rsidR="00C53682">
        <w:rPr>
          <w:szCs w:val="24"/>
        </w:rPr>
        <w:t xml:space="preserve"> </w:t>
      </w:r>
      <w:r w:rsidRPr="004A780B" w:rsidR="00ED0BEF">
        <w:rPr>
          <w:szCs w:val="24"/>
        </w:rPr>
        <w:t xml:space="preserve">take submetered service, the PUCO directed </w:t>
      </w:r>
      <w:r w:rsidRPr="004A780B" w:rsidR="00C53682">
        <w:rPr>
          <w:szCs w:val="24"/>
        </w:rPr>
        <w:t>AEP Ohio</w:t>
      </w:r>
      <w:r w:rsidRPr="004A780B" w:rsidR="00ED0BEF">
        <w:rPr>
          <w:szCs w:val="24"/>
        </w:rPr>
        <w:t xml:space="preserve"> to file updated reseller tariffs</w:t>
      </w:r>
      <w:r w:rsidRPr="004A780B" w:rsidR="00732C43">
        <w:rPr>
          <w:szCs w:val="24"/>
        </w:rPr>
        <w:t>.</w:t>
      </w:r>
      <w:r>
        <w:rPr>
          <w:rStyle w:val="FootnoteReference"/>
          <w:szCs w:val="24"/>
        </w:rPr>
        <w:footnoteReference w:id="13"/>
      </w:r>
      <w:r w:rsidRPr="004A780B" w:rsidR="00732C43">
        <w:rPr>
          <w:szCs w:val="24"/>
        </w:rPr>
        <w:t xml:space="preserve"> </w:t>
      </w:r>
      <w:r w:rsidRPr="004A780B" w:rsidR="00C53682">
        <w:rPr>
          <w:szCs w:val="24"/>
        </w:rPr>
        <w:t>But</w:t>
      </w:r>
      <w:r w:rsidRPr="004A780B">
        <w:rPr>
          <w:szCs w:val="24"/>
        </w:rPr>
        <w:t xml:space="preserve"> t</w:t>
      </w:r>
      <w:r w:rsidRPr="004A780B" w:rsidR="00732C43">
        <w:rPr>
          <w:szCs w:val="24"/>
        </w:rPr>
        <w:t xml:space="preserve">he tariff modifications ordered by the PUCO fall woefully short when it comes to protecting consumers. </w:t>
      </w:r>
      <w:r w:rsidRPr="004A780B" w:rsidR="00C53682">
        <w:rPr>
          <w:szCs w:val="24"/>
        </w:rPr>
        <w:t xml:space="preserve">As </w:t>
      </w:r>
      <w:r w:rsidRPr="004A780B" w:rsidR="00732C43">
        <w:rPr>
          <w:szCs w:val="24"/>
        </w:rPr>
        <w:t>AEP Ohio</w:t>
      </w:r>
      <w:r w:rsidR="004A780B">
        <w:rPr>
          <w:szCs w:val="24"/>
        </w:rPr>
        <w:t>’</w:t>
      </w:r>
      <w:r w:rsidRPr="004A780B" w:rsidR="00732C43">
        <w:rPr>
          <w:szCs w:val="24"/>
        </w:rPr>
        <w:t xml:space="preserve">s </w:t>
      </w:r>
      <w:r w:rsidRPr="004A780B" w:rsidR="00C53682">
        <w:rPr>
          <w:szCs w:val="24"/>
        </w:rPr>
        <w:t xml:space="preserve">correctly </w:t>
      </w:r>
      <w:r w:rsidRPr="004A780B" w:rsidR="00732C43">
        <w:rPr>
          <w:szCs w:val="24"/>
        </w:rPr>
        <w:t>stat</w:t>
      </w:r>
      <w:r w:rsidRPr="004A780B" w:rsidR="00C53682">
        <w:rPr>
          <w:szCs w:val="24"/>
        </w:rPr>
        <w:t>ed</w:t>
      </w:r>
      <w:r w:rsidRPr="004A780B" w:rsidR="00732C43">
        <w:rPr>
          <w:szCs w:val="24"/>
        </w:rPr>
        <w:t xml:space="preserve"> in its Application </w:t>
      </w:r>
      <w:r w:rsidR="004A780B">
        <w:rPr>
          <w:szCs w:val="24"/>
        </w:rPr>
        <w:t>“</w:t>
      </w:r>
      <w:r w:rsidRPr="004A780B">
        <w:rPr>
          <w:szCs w:val="24"/>
        </w:rPr>
        <w:t>[t]</w:t>
      </w:r>
      <w:r w:rsidRPr="004A780B" w:rsidR="00732C43">
        <w:rPr>
          <w:szCs w:val="24"/>
        </w:rPr>
        <w:t xml:space="preserve">he just and reasonable solution to address the scourge of big business third-party submetering companies </w:t>
      </w:r>
      <w:r w:rsidRPr="004A780B" w:rsidR="00732C43">
        <w:rPr>
          <w:b/>
          <w:bCs/>
          <w:i/>
          <w:iCs/>
          <w:szCs w:val="24"/>
        </w:rPr>
        <w:t>is to prohibit the unlawful practice, not to enable it through ineffective tariff provisions.</w:t>
      </w:r>
      <w:r w:rsidR="004A780B">
        <w:rPr>
          <w:szCs w:val="24"/>
        </w:rPr>
        <w:t>”</w:t>
      </w:r>
      <w:r>
        <w:rPr>
          <w:rStyle w:val="FootnoteReference"/>
          <w:szCs w:val="24"/>
        </w:rPr>
        <w:footnoteReference w:id="14"/>
      </w:r>
      <w:r w:rsidRPr="004A780B" w:rsidR="00732C43">
        <w:rPr>
          <w:szCs w:val="24"/>
        </w:rPr>
        <w:t xml:space="preserve"> </w:t>
      </w:r>
    </w:p>
    <w:p w:rsidR="00C4744B" w:rsidRPr="004A780B" w:rsidP="00DB6639" w14:paraId="7D7B5BD9" w14:textId="24461BCF">
      <w:pPr>
        <w:pStyle w:val="Footer"/>
        <w:tabs>
          <w:tab w:val="left" w:pos="4320"/>
          <w:tab w:val="clear" w:pos="8640"/>
        </w:tabs>
      </w:pPr>
      <w:r w:rsidRPr="004A780B">
        <w:tab/>
      </w:r>
      <w:r w:rsidRPr="004A780B" w:rsidR="00A044B5">
        <w:t xml:space="preserve">OCC has authority under </w:t>
      </w:r>
      <w:r w:rsidRPr="004A780B" w:rsidR="00675DEF">
        <w:t xml:space="preserve">R.C. Chapter 4911 </w:t>
      </w:r>
      <w:r w:rsidRPr="004A780B" w:rsidR="00A044B5">
        <w:t>to represent the in</w:t>
      </w:r>
      <w:r w:rsidRPr="004A780B" w:rsidR="00A5514C">
        <w:t xml:space="preserve">terests of </w:t>
      </w:r>
      <w:r w:rsidRPr="004A780B" w:rsidR="00A044B5">
        <w:t xml:space="preserve">residential utility </w:t>
      </w:r>
      <w:r w:rsidRPr="004A780B" w:rsidR="003E7261">
        <w:t>consumers</w:t>
      </w:r>
      <w:r w:rsidRPr="004A780B" w:rsidR="00A044B5">
        <w:t xml:space="preserve"> </w:t>
      </w:r>
      <w:r w:rsidRPr="004A780B" w:rsidR="00675DEF">
        <w:t xml:space="preserve">who may be forced to take submetered electric utility service under the tariffs AEP Ohio proposes </w:t>
      </w:r>
      <w:r w:rsidRPr="004A780B">
        <w:t>in this case</w:t>
      </w:r>
      <w:r w:rsidRPr="004A780B" w:rsidR="00A044B5">
        <w:t>.</w:t>
      </w:r>
      <w:r w:rsidRPr="004A780B" w:rsidR="00DA40C0">
        <w:t xml:space="preserve"> </w:t>
      </w:r>
    </w:p>
    <w:p w:rsidR="00165484" w:rsidRPr="004A780B" w:rsidP="008B1879" w14:paraId="07B3685A" w14:textId="1AD5C909">
      <w:pPr>
        <w:pStyle w:val="Footer"/>
        <w:tabs>
          <w:tab w:val="left" w:pos="4320"/>
          <w:tab w:val="clear" w:pos="8640"/>
        </w:tabs>
      </w:pPr>
      <w:r w:rsidRPr="004A780B">
        <w:tab/>
      </w:r>
      <w:r w:rsidRPr="004A780B" w:rsidR="006755BB">
        <w:t>R.C. 4903.221 provides</w:t>
      </w:r>
      <w:r w:rsidRPr="004A780B" w:rsidR="00F92877">
        <w:t xml:space="preserve"> the standard for permissive intervention – where the PUCO may exercise discretion in ruling upon a party</w:t>
      </w:r>
      <w:r w:rsidR="004A780B">
        <w:t>’</w:t>
      </w:r>
      <w:r w:rsidRPr="004A780B" w:rsidR="00F92877">
        <w:t>s motion to intervene.</w:t>
      </w:r>
      <w:r w:rsidRPr="004A780B" w:rsidR="00A46DBC">
        <w:t xml:space="preserve"> </w:t>
      </w:r>
      <w:r w:rsidRPr="004A780B" w:rsidR="00F92877">
        <w:t>That law provides</w:t>
      </w:r>
      <w:r w:rsidRPr="004A780B" w:rsidR="006755BB">
        <w:t xml:space="preserve">, in part, that any person </w:t>
      </w:r>
      <w:r w:rsidR="004A780B">
        <w:t>“</w:t>
      </w:r>
      <w:r w:rsidRPr="004A780B" w:rsidR="006755BB">
        <w:t>who may be adversely affected</w:t>
      </w:r>
      <w:r w:rsidR="004A780B">
        <w:t>”</w:t>
      </w:r>
      <w:r w:rsidRPr="004A780B" w:rsidR="006755BB">
        <w:t xml:space="preserve"> by a PUCO proceeding is entitled to seek intervention in that proceeding.</w:t>
      </w:r>
    </w:p>
    <w:p w:rsidR="004D14D4" w:rsidRPr="004A780B" w:rsidP="00DB6639" w14:paraId="7B31A4D2" w14:textId="67C96A53">
      <w:pPr>
        <w:pStyle w:val="Footer"/>
        <w:tabs>
          <w:tab w:val="left" w:pos="4320"/>
          <w:tab w:val="clear" w:pos="8640"/>
        </w:tabs>
      </w:pPr>
      <w:r w:rsidRPr="004A780B">
        <w:tab/>
      </w:r>
      <w:r w:rsidRPr="004A780B" w:rsidR="006755BB">
        <w:t xml:space="preserve">The interests of </w:t>
      </w:r>
      <w:r w:rsidRPr="004A780B" w:rsidR="00732F27">
        <w:t>AEP</w:t>
      </w:r>
      <w:r w:rsidRPr="004A780B" w:rsidR="00FD1674">
        <w:t xml:space="preserve"> Ohio</w:t>
      </w:r>
      <w:r w:rsidR="004A780B">
        <w:t>’</w:t>
      </w:r>
      <w:r w:rsidRPr="004A780B" w:rsidR="00A044B5">
        <w:t>s</w:t>
      </w:r>
      <w:r w:rsidRPr="004A780B" w:rsidR="006755BB">
        <w:t xml:space="preserve"> residential </w:t>
      </w:r>
      <w:r w:rsidRPr="004A780B" w:rsidR="00DA6AE4">
        <w:t>consumer</w:t>
      </w:r>
      <w:r w:rsidRPr="004A780B" w:rsidR="006755BB">
        <w:t xml:space="preserve">s may be </w:t>
      </w:r>
      <w:r w:rsidR="004A780B">
        <w:t>“</w:t>
      </w:r>
      <w:r w:rsidRPr="004A780B" w:rsidR="006755BB">
        <w:t>adversely affected</w:t>
      </w:r>
      <w:r w:rsidR="004A780B">
        <w:t>”</w:t>
      </w:r>
      <w:r w:rsidRPr="004A780B" w:rsidR="006755BB">
        <w:t xml:space="preserve"> by this case</w:t>
      </w:r>
      <w:r w:rsidRPr="004A780B" w:rsidR="00A044B5">
        <w:t>,</w:t>
      </w:r>
      <w:r w:rsidRPr="004A780B" w:rsidR="000330D3">
        <w:t xml:space="preserve"> especially </w:t>
      </w:r>
      <w:r w:rsidRPr="004A780B" w:rsidR="006755BB">
        <w:t xml:space="preserve">if </w:t>
      </w:r>
      <w:r w:rsidRPr="004A780B" w:rsidR="00A044B5">
        <w:t xml:space="preserve">the </w:t>
      </w:r>
      <w:r w:rsidRPr="004A780B" w:rsidR="003E7261">
        <w:t>consumers</w:t>
      </w:r>
      <w:r w:rsidRPr="004A780B" w:rsidR="00A044B5">
        <w:t xml:space="preserve"> </w:t>
      </w:r>
      <w:r w:rsidRPr="004A780B" w:rsidR="006755BB">
        <w:t>were unrepresented in a proceeding</w:t>
      </w:r>
      <w:r w:rsidRPr="004A780B" w:rsidR="00732F27">
        <w:t xml:space="preserve"> where the PUCO may adopt</w:t>
      </w:r>
      <w:r w:rsidRPr="004A780B" w:rsidR="00FD1674">
        <w:t xml:space="preserve"> inadequate</w:t>
      </w:r>
      <w:r w:rsidRPr="004A780B" w:rsidR="00732F27">
        <w:t xml:space="preserve"> terms and conditions under which </w:t>
      </w:r>
      <w:r w:rsidRPr="004A780B" w:rsidR="00367461">
        <w:t>l</w:t>
      </w:r>
      <w:r w:rsidRPr="004A780B" w:rsidR="001531AE">
        <w:t xml:space="preserve">andlords and submetering companies may resell electricity to residential </w:t>
      </w:r>
      <w:r w:rsidRPr="004A780B" w:rsidR="00B9455B">
        <w:t>consumers</w:t>
      </w:r>
      <w:r w:rsidRPr="004A780B" w:rsidR="001531AE">
        <w:t>.</w:t>
      </w:r>
      <w:r w:rsidRPr="004A780B" w:rsidR="00DA40C0">
        <w:t xml:space="preserve"> </w:t>
      </w:r>
      <w:r w:rsidRPr="004A780B" w:rsidR="001531AE">
        <w:t>The extent to which resident</w:t>
      </w:r>
      <w:r w:rsidRPr="004A780B" w:rsidR="00792DA3">
        <w:t xml:space="preserve">ial </w:t>
      </w:r>
      <w:r w:rsidRPr="004A780B" w:rsidR="001E4B91">
        <w:t>consumers</w:t>
      </w:r>
      <w:r w:rsidRPr="004A780B" w:rsidR="001531AE">
        <w:t xml:space="preserve"> will suffer the loss of protections under Ohio law may very well be determined by the specific terms and conditions of any updated electric service tariff </w:t>
      </w:r>
      <w:r w:rsidRPr="004A780B" w:rsidR="00792DA3">
        <w:t>a</w:t>
      </w:r>
      <w:r w:rsidRPr="004A780B" w:rsidR="00642EE0">
        <w:t>pproved</w:t>
      </w:r>
      <w:r w:rsidRPr="004A780B" w:rsidR="00792DA3">
        <w:t xml:space="preserve"> by the </w:t>
      </w:r>
      <w:r w:rsidRPr="004A780B" w:rsidR="00CD10FB">
        <w:t>PUCO</w:t>
      </w:r>
      <w:r w:rsidRPr="004A780B" w:rsidR="00792DA3">
        <w:t xml:space="preserve"> in this case.</w:t>
      </w:r>
      <w:r w:rsidRPr="004A780B" w:rsidR="00DA40C0">
        <w:t xml:space="preserve"> </w:t>
      </w:r>
      <w:r w:rsidRPr="004A780B" w:rsidR="006755BB">
        <w:t>Thus, this element of the</w:t>
      </w:r>
      <w:r w:rsidRPr="004A780B">
        <w:t xml:space="preserve"> permissive</w:t>
      </w:r>
      <w:r w:rsidRPr="004A780B" w:rsidR="006755BB">
        <w:t xml:space="preserve"> intervention standard in R.C. 4903.221 is satisfied. </w:t>
      </w:r>
    </w:p>
    <w:p w:rsidR="004D14D4" w:rsidRPr="004A780B" w:rsidP="004D14D4" w14:paraId="3A8D0659" w14:textId="48F8C391">
      <w:pPr>
        <w:spacing w:line="480" w:lineRule="auto"/>
        <w:ind w:firstLine="720"/>
      </w:pPr>
      <w:r w:rsidRPr="004A780B">
        <w:t xml:space="preserve">R.C. 4903.221(B) requires the PUCO to consider the following criteria in ruling on </w:t>
      </w:r>
      <w:r w:rsidRPr="004A780B" w:rsidR="00F92877">
        <w:t xml:space="preserve">permissive </w:t>
      </w:r>
      <w:r w:rsidRPr="004A780B">
        <w:t>interven</w:t>
      </w:r>
      <w:r w:rsidRPr="004A780B" w:rsidR="00F92877">
        <w:t>tion</w:t>
      </w:r>
      <w:r w:rsidRPr="004A780B">
        <w:t>:</w:t>
      </w:r>
    </w:p>
    <w:p w:rsidR="004D14D4" w:rsidRPr="004A780B" w:rsidP="00DB6639" w14:paraId="4F395A20" w14:textId="007B1D71">
      <w:pPr>
        <w:ind w:left="1440" w:hanging="720"/>
      </w:pPr>
      <w:r w:rsidRPr="004A780B">
        <w:t>(1)</w:t>
      </w:r>
      <w:r w:rsidRPr="004A780B">
        <w:tab/>
        <w:t>The nature and extent of the prospective intervenor</w:t>
      </w:r>
      <w:r w:rsidR="004A780B">
        <w:t>’</w:t>
      </w:r>
      <w:r w:rsidRPr="004A780B">
        <w:t>s interest;</w:t>
      </w:r>
    </w:p>
    <w:p w:rsidR="004D14D4" w:rsidRPr="004A780B" w:rsidP="00DB6639" w14:paraId="664356A3" w14:textId="77777777">
      <w:pPr>
        <w:spacing w:before="240"/>
        <w:ind w:left="1440" w:hanging="720"/>
      </w:pPr>
      <w:r w:rsidRPr="004A780B">
        <w:t>(2)</w:t>
      </w:r>
      <w:r w:rsidRPr="004A780B">
        <w:tab/>
        <w:t>The legal position advanced by the prospective intervenor and its probable relation to the merits of the case;</w:t>
      </w:r>
    </w:p>
    <w:p w:rsidR="00F620D7" w:rsidRPr="004A780B" w:rsidP="00DB6639" w14:paraId="2A4407A3" w14:textId="10741856">
      <w:pPr>
        <w:spacing w:before="240"/>
        <w:ind w:left="1440" w:hanging="720"/>
      </w:pPr>
      <w:r w:rsidRPr="004A780B">
        <w:t>(3)</w:t>
      </w:r>
      <w:r w:rsidRPr="004A780B">
        <w:tab/>
        <w:t>Whether the intervention by the prospective intervenor will unduly prolong or delay the proceeding;</w:t>
      </w:r>
      <w:r w:rsidRPr="004A780B" w:rsidR="00492585">
        <w:t xml:space="preserve"> and</w:t>
      </w:r>
    </w:p>
    <w:p w:rsidR="004D14D4" w:rsidRPr="004A780B" w:rsidP="00302790" w14:paraId="30098783" w14:textId="77777777">
      <w:pPr>
        <w:pStyle w:val="BodyTextIndent2"/>
        <w:spacing w:before="240"/>
        <w:ind w:left="1440"/>
        <w:rPr>
          <w:b w:val="0"/>
        </w:rPr>
      </w:pPr>
      <w:r w:rsidRPr="004A780B">
        <w:rPr>
          <w:b w:val="0"/>
        </w:rPr>
        <w:t>(4)</w:t>
      </w:r>
      <w:r w:rsidRPr="004A780B">
        <w:rPr>
          <w:b w:val="0"/>
        </w:rPr>
        <w:tab/>
        <w:t>Whether the prospective intervenor will significantly contribute to</w:t>
      </w:r>
      <w:r w:rsidRPr="004A780B">
        <w:rPr>
          <w:b w:val="0"/>
          <w:bCs w:val="0"/>
        </w:rPr>
        <w:t xml:space="preserve"> the</w:t>
      </w:r>
      <w:r w:rsidRPr="004A780B">
        <w:rPr>
          <w:b w:val="0"/>
        </w:rPr>
        <w:t xml:space="preserve"> full development and equitable resolution of the factual issues.</w:t>
      </w:r>
    </w:p>
    <w:p w:rsidR="000330D3" w:rsidRPr="004A780B" w:rsidP="000330D3" w14:paraId="3BED3F3E" w14:textId="42853168">
      <w:pPr>
        <w:pStyle w:val="BodyTextIndent3"/>
        <w:spacing w:line="480" w:lineRule="auto"/>
        <w:rPr>
          <w:szCs w:val="24"/>
        </w:rPr>
      </w:pPr>
      <w:r w:rsidRPr="004A780B">
        <w:rPr>
          <w:szCs w:val="24"/>
        </w:rPr>
        <w:t>First, the nature and extent of OCC</w:t>
      </w:r>
      <w:r w:rsidR="004A780B">
        <w:rPr>
          <w:szCs w:val="24"/>
        </w:rPr>
        <w:t>’</w:t>
      </w:r>
      <w:r w:rsidRPr="004A780B">
        <w:rPr>
          <w:szCs w:val="24"/>
        </w:rPr>
        <w:t xml:space="preserve">s interest is representing </w:t>
      </w:r>
      <w:r w:rsidRPr="004A780B" w:rsidR="00A044B5">
        <w:rPr>
          <w:szCs w:val="24"/>
        </w:rPr>
        <w:t>the</w:t>
      </w:r>
      <w:r w:rsidRPr="004A780B">
        <w:rPr>
          <w:szCs w:val="24"/>
        </w:rPr>
        <w:t xml:space="preserve"> residential </w:t>
      </w:r>
      <w:r w:rsidRPr="004A780B" w:rsidR="00DA6AE4">
        <w:rPr>
          <w:szCs w:val="24"/>
        </w:rPr>
        <w:t>consumer</w:t>
      </w:r>
      <w:r w:rsidRPr="004A780B">
        <w:rPr>
          <w:szCs w:val="24"/>
        </w:rPr>
        <w:t xml:space="preserve">s </w:t>
      </w:r>
      <w:r w:rsidRPr="004A780B" w:rsidR="00A044B5">
        <w:rPr>
          <w:szCs w:val="24"/>
        </w:rPr>
        <w:t xml:space="preserve">of </w:t>
      </w:r>
      <w:r w:rsidRPr="004A780B" w:rsidR="00792DA3">
        <w:rPr>
          <w:szCs w:val="24"/>
        </w:rPr>
        <w:t>AEP</w:t>
      </w:r>
      <w:r w:rsidRPr="004A780B" w:rsidR="001E4B91">
        <w:rPr>
          <w:szCs w:val="24"/>
        </w:rPr>
        <w:t xml:space="preserve"> Ohio</w:t>
      </w:r>
      <w:r w:rsidRPr="004A780B" w:rsidR="00792DA3">
        <w:rPr>
          <w:szCs w:val="24"/>
        </w:rPr>
        <w:t xml:space="preserve"> </w:t>
      </w:r>
      <w:r w:rsidRPr="004A780B" w:rsidR="001E4B91">
        <w:rPr>
          <w:szCs w:val="24"/>
        </w:rPr>
        <w:t xml:space="preserve">who will receive electric utility service under the inadequate tariff </w:t>
      </w:r>
      <w:r w:rsidRPr="004A780B" w:rsidR="00792DA3">
        <w:rPr>
          <w:szCs w:val="24"/>
        </w:rPr>
        <w:t xml:space="preserve">terms and conditions </w:t>
      </w:r>
      <w:r w:rsidRPr="004A780B" w:rsidR="001E4B91">
        <w:rPr>
          <w:szCs w:val="24"/>
        </w:rPr>
        <w:t>proposed by AEP Ohio under protest in this case.</w:t>
      </w:r>
      <w:r w:rsidRPr="004A780B" w:rsidR="00A46DBC">
        <w:rPr>
          <w:szCs w:val="24"/>
        </w:rPr>
        <w:t xml:space="preserve"> </w:t>
      </w:r>
      <w:r w:rsidRPr="004A780B">
        <w:rPr>
          <w:szCs w:val="24"/>
        </w:rPr>
        <w:t xml:space="preserve">This interest is different than that of any other party and different than that of </w:t>
      </w:r>
      <w:r w:rsidRPr="004A780B" w:rsidR="00A044B5">
        <w:rPr>
          <w:szCs w:val="24"/>
        </w:rPr>
        <w:t>the utility</w:t>
      </w:r>
      <w:r w:rsidRPr="004A780B">
        <w:rPr>
          <w:szCs w:val="24"/>
        </w:rPr>
        <w:t xml:space="preserve"> whose advocacy includes </w:t>
      </w:r>
      <w:r w:rsidRPr="004A780B" w:rsidR="00B9455B">
        <w:rPr>
          <w:szCs w:val="24"/>
        </w:rPr>
        <w:t xml:space="preserve">its own </w:t>
      </w:r>
      <w:r w:rsidRPr="004A780B">
        <w:rPr>
          <w:szCs w:val="24"/>
        </w:rPr>
        <w:t>financial interest.</w:t>
      </w:r>
      <w:r w:rsidRPr="004A780B" w:rsidR="00DA40C0">
        <w:rPr>
          <w:szCs w:val="24"/>
        </w:rPr>
        <w:t xml:space="preserve"> </w:t>
      </w:r>
      <w:r w:rsidRPr="004A780B" w:rsidR="00BB612E">
        <w:rPr>
          <w:szCs w:val="24"/>
        </w:rPr>
        <w:t xml:space="preserve">This interest is also clearly different from intervenor NEP whose advocacy is on behalf of itself and </w:t>
      </w:r>
      <w:r w:rsidRPr="004A780B" w:rsidR="001E4B91">
        <w:rPr>
          <w:szCs w:val="24"/>
        </w:rPr>
        <w:t xml:space="preserve">the </w:t>
      </w:r>
      <w:r w:rsidRPr="004A780B" w:rsidR="00BB612E">
        <w:rPr>
          <w:szCs w:val="24"/>
        </w:rPr>
        <w:t xml:space="preserve">landlords who seek to </w:t>
      </w:r>
      <w:r w:rsidRPr="004A780B" w:rsidR="001E4B91">
        <w:rPr>
          <w:szCs w:val="24"/>
        </w:rPr>
        <w:t>submeter essential electric utility service to residential consumers</w:t>
      </w:r>
      <w:r w:rsidRPr="004A780B" w:rsidR="00957B28">
        <w:rPr>
          <w:szCs w:val="24"/>
        </w:rPr>
        <w:t>.</w:t>
      </w:r>
      <w:r w:rsidRPr="004A780B" w:rsidR="00DA40C0">
        <w:rPr>
          <w:szCs w:val="24"/>
        </w:rPr>
        <w:t xml:space="preserve"> </w:t>
      </w:r>
    </w:p>
    <w:p w:rsidR="000330D3" w:rsidRPr="004A780B" w:rsidP="00302790" w14:paraId="62436CA7" w14:textId="00773BA4">
      <w:pPr>
        <w:pStyle w:val="BodyTextIndent3"/>
        <w:spacing w:line="480" w:lineRule="auto"/>
        <w:rPr>
          <w:szCs w:val="24"/>
        </w:rPr>
      </w:pPr>
      <w:r w:rsidRPr="004A780B">
        <w:rPr>
          <w:szCs w:val="24"/>
        </w:rPr>
        <w:t>Second, OCC</w:t>
      </w:r>
      <w:r w:rsidR="004A780B">
        <w:rPr>
          <w:szCs w:val="24"/>
        </w:rPr>
        <w:t>’</w:t>
      </w:r>
      <w:r w:rsidRPr="004A780B">
        <w:rPr>
          <w:szCs w:val="24"/>
        </w:rPr>
        <w:t xml:space="preserve">s advocacy for residential </w:t>
      </w:r>
      <w:r w:rsidRPr="004A780B" w:rsidR="00DA6AE4">
        <w:rPr>
          <w:szCs w:val="24"/>
        </w:rPr>
        <w:t>consumer</w:t>
      </w:r>
      <w:r w:rsidRPr="004A780B">
        <w:rPr>
          <w:szCs w:val="24"/>
        </w:rPr>
        <w:t>s will include</w:t>
      </w:r>
      <w:r w:rsidRPr="004A780B" w:rsidR="0055107B">
        <w:rPr>
          <w:szCs w:val="24"/>
        </w:rPr>
        <w:t>, among other things,</w:t>
      </w:r>
      <w:r w:rsidRPr="004A780B">
        <w:rPr>
          <w:szCs w:val="24"/>
        </w:rPr>
        <w:t xml:space="preserve"> advancing the position that </w:t>
      </w:r>
      <w:r w:rsidRPr="004A780B" w:rsidR="00957B28">
        <w:rPr>
          <w:szCs w:val="24"/>
        </w:rPr>
        <w:t xml:space="preserve">the PUCO </w:t>
      </w:r>
      <w:r w:rsidRPr="004A780B" w:rsidR="00DA5D18">
        <w:rPr>
          <w:szCs w:val="24"/>
        </w:rPr>
        <w:t>should,</w:t>
      </w:r>
      <w:r w:rsidRPr="004A780B" w:rsidR="00957B28">
        <w:rPr>
          <w:szCs w:val="24"/>
        </w:rPr>
        <w:t xml:space="preserve"> through AEP</w:t>
      </w:r>
      <w:r w:rsidRPr="004A780B" w:rsidR="001E4B91">
        <w:rPr>
          <w:szCs w:val="24"/>
        </w:rPr>
        <w:t xml:space="preserve"> Ohio</w:t>
      </w:r>
      <w:r w:rsidR="004A780B">
        <w:rPr>
          <w:szCs w:val="24"/>
        </w:rPr>
        <w:t>’</w:t>
      </w:r>
      <w:r w:rsidRPr="004A780B" w:rsidR="00957B28">
        <w:rPr>
          <w:szCs w:val="24"/>
        </w:rPr>
        <w:t xml:space="preserve">s electric </w:t>
      </w:r>
      <w:r w:rsidRPr="004A780B" w:rsidR="001E4B91">
        <w:rPr>
          <w:szCs w:val="24"/>
        </w:rPr>
        <w:t xml:space="preserve">resale </w:t>
      </w:r>
      <w:r w:rsidRPr="004A780B" w:rsidR="00957B28">
        <w:rPr>
          <w:szCs w:val="24"/>
        </w:rPr>
        <w:t>tariff</w:t>
      </w:r>
      <w:r w:rsidRPr="004A780B" w:rsidR="00DA5D18">
        <w:rPr>
          <w:szCs w:val="24"/>
        </w:rPr>
        <w:t>,</w:t>
      </w:r>
      <w:r w:rsidRPr="004A780B" w:rsidR="00957B28">
        <w:rPr>
          <w:szCs w:val="24"/>
        </w:rPr>
        <w:t xml:space="preserve"> maximize consumer protections to resident</w:t>
      </w:r>
      <w:r w:rsidRPr="004A780B" w:rsidR="001E4B91">
        <w:rPr>
          <w:szCs w:val="24"/>
        </w:rPr>
        <w:t>ial consumers</w:t>
      </w:r>
      <w:r w:rsidRPr="004A780B" w:rsidR="00957B28">
        <w:rPr>
          <w:szCs w:val="24"/>
        </w:rPr>
        <w:t>.</w:t>
      </w:r>
      <w:r w:rsidRPr="004A780B" w:rsidR="00DA40C0">
        <w:rPr>
          <w:szCs w:val="24"/>
        </w:rPr>
        <w:t xml:space="preserve"> </w:t>
      </w:r>
      <w:r w:rsidRPr="004A780B" w:rsidR="0067395A">
        <w:rPr>
          <w:szCs w:val="24"/>
        </w:rPr>
        <w:t>OCC</w:t>
      </w:r>
      <w:r w:rsidR="004A780B">
        <w:rPr>
          <w:szCs w:val="24"/>
        </w:rPr>
        <w:t>’</w:t>
      </w:r>
      <w:r w:rsidRPr="004A780B" w:rsidR="0067395A">
        <w:rPr>
          <w:szCs w:val="24"/>
        </w:rPr>
        <w:t xml:space="preserve">s advocacy will further include that </w:t>
      </w:r>
      <w:r w:rsidRPr="004A780B" w:rsidR="001E4B91">
        <w:rPr>
          <w:szCs w:val="24"/>
        </w:rPr>
        <w:t>AEP Ohio</w:t>
      </w:r>
      <w:r w:rsidR="004A780B">
        <w:rPr>
          <w:szCs w:val="24"/>
        </w:rPr>
        <w:t>’</w:t>
      </w:r>
      <w:r w:rsidRPr="004A780B" w:rsidR="001E4B91">
        <w:rPr>
          <w:szCs w:val="24"/>
        </w:rPr>
        <w:t xml:space="preserve">s </w:t>
      </w:r>
      <w:r w:rsidRPr="004A780B" w:rsidR="0067395A">
        <w:rPr>
          <w:szCs w:val="24"/>
        </w:rPr>
        <w:t>residential utility consumers</w:t>
      </w:r>
      <w:r w:rsidRPr="004A780B" w:rsidR="001E4B91">
        <w:rPr>
          <w:szCs w:val="24"/>
        </w:rPr>
        <w:t xml:space="preserve"> forced to take submetered service</w:t>
      </w:r>
      <w:r w:rsidRPr="004A780B" w:rsidR="0067395A">
        <w:rPr>
          <w:szCs w:val="24"/>
        </w:rPr>
        <w:t xml:space="preserve"> should not pay unreasonable rates for essential electric utility service while giving up rights and protections under Ohio law. </w:t>
      </w:r>
      <w:r w:rsidRPr="004A780B" w:rsidR="00957B28">
        <w:rPr>
          <w:szCs w:val="24"/>
        </w:rPr>
        <w:t xml:space="preserve">This is especially important given that </w:t>
      </w:r>
      <w:r w:rsidRPr="004A780B" w:rsidR="001365EF">
        <w:rPr>
          <w:szCs w:val="24"/>
        </w:rPr>
        <w:t>many</w:t>
      </w:r>
      <w:r w:rsidRPr="004A780B" w:rsidR="00957B28">
        <w:rPr>
          <w:szCs w:val="24"/>
        </w:rPr>
        <w:t xml:space="preserve"> </w:t>
      </w:r>
      <w:r w:rsidRPr="004A780B" w:rsidR="001E4B91">
        <w:rPr>
          <w:szCs w:val="24"/>
        </w:rPr>
        <w:t xml:space="preserve">residential consumers are being switched from PUCO-regulated service to submetered service and </w:t>
      </w:r>
      <w:r w:rsidRPr="004A780B" w:rsidR="002011CF">
        <w:rPr>
          <w:szCs w:val="24"/>
        </w:rPr>
        <w:t xml:space="preserve">will </w:t>
      </w:r>
      <w:r w:rsidRPr="004A780B" w:rsidR="00957B28">
        <w:rPr>
          <w:szCs w:val="24"/>
        </w:rPr>
        <w:t>los</w:t>
      </w:r>
      <w:r w:rsidRPr="004A780B" w:rsidR="002011CF">
        <w:rPr>
          <w:szCs w:val="24"/>
        </w:rPr>
        <w:t>e</w:t>
      </w:r>
      <w:r w:rsidRPr="004A780B" w:rsidR="00957B28">
        <w:rPr>
          <w:szCs w:val="24"/>
        </w:rPr>
        <w:t xml:space="preserve"> </w:t>
      </w:r>
      <w:r w:rsidRPr="004A780B" w:rsidR="002011CF">
        <w:rPr>
          <w:szCs w:val="24"/>
        </w:rPr>
        <w:t xml:space="preserve">the </w:t>
      </w:r>
      <w:r w:rsidRPr="004A780B" w:rsidR="001E4B91">
        <w:rPr>
          <w:szCs w:val="24"/>
        </w:rPr>
        <w:t xml:space="preserve">legal </w:t>
      </w:r>
      <w:r w:rsidRPr="004A780B" w:rsidR="00957B28">
        <w:rPr>
          <w:szCs w:val="24"/>
        </w:rPr>
        <w:t xml:space="preserve">protections </w:t>
      </w:r>
      <w:r w:rsidRPr="004A780B" w:rsidR="00FA6B5C">
        <w:rPr>
          <w:szCs w:val="24"/>
        </w:rPr>
        <w:t xml:space="preserve">they receive from </w:t>
      </w:r>
      <w:r w:rsidRPr="004A780B" w:rsidR="00957B28">
        <w:rPr>
          <w:szCs w:val="24"/>
        </w:rPr>
        <w:t>the PUCO</w:t>
      </w:r>
      <w:r w:rsidRPr="004A780B" w:rsidR="002011CF">
        <w:rPr>
          <w:szCs w:val="24"/>
        </w:rPr>
        <w:t>-</w:t>
      </w:r>
      <w:r w:rsidRPr="004A780B" w:rsidR="00957B28">
        <w:rPr>
          <w:szCs w:val="24"/>
        </w:rPr>
        <w:t>regulated utility</w:t>
      </w:r>
      <w:r w:rsidRPr="004A780B" w:rsidR="002011CF">
        <w:rPr>
          <w:szCs w:val="24"/>
        </w:rPr>
        <w:t xml:space="preserve"> service</w:t>
      </w:r>
      <w:r w:rsidRPr="004A780B" w:rsidR="00FD3335">
        <w:rPr>
          <w:szCs w:val="24"/>
        </w:rPr>
        <w:t xml:space="preserve"> provided by AEP Ohio</w:t>
      </w:r>
      <w:r w:rsidRPr="004A780B" w:rsidR="00957B28">
        <w:rPr>
          <w:szCs w:val="24"/>
        </w:rPr>
        <w:t>.</w:t>
      </w:r>
      <w:r w:rsidRPr="004A780B" w:rsidR="00DA40C0">
        <w:rPr>
          <w:szCs w:val="24"/>
        </w:rPr>
        <w:t xml:space="preserve"> </w:t>
      </w:r>
      <w:r w:rsidRPr="004A780B">
        <w:rPr>
          <w:szCs w:val="24"/>
        </w:rPr>
        <w:t>OCC</w:t>
      </w:r>
      <w:r w:rsidR="004A780B">
        <w:rPr>
          <w:szCs w:val="24"/>
        </w:rPr>
        <w:t>’</w:t>
      </w:r>
      <w:r w:rsidRPr="004A780B">
        <w:rPr>
          <w:szCs w:val="24"/>
        </w:rPr>
        <w:t>s position is therefore directly related to the merits of this case</w:t>
      </w:r>
      <w:r w:rsidRPr="004A780B" w:rsidR="0055107B">
        <w:rPr>
          <w:szCs w:val="24"/>
        </w:rPr>
        <w:t>, which</w:t>
      </w:r>
      <w:r w:rsidRPr="004A780B">
        <w:rPr>
          <w:szCs w:val="24"/>
        </w:rPr>
        <w:t xml:space="preserve"> is pending before the PUCO, the authority with regulatory control of public utilities</w:t>
      </w:r>
      <w:r w:rsidR="004A780B">
        <w:rPr>
          <w:szCs w:val="24"/>
        </w:rPr>
        <w:t>’</w:t>
      </w:r>
      <w:r w:rsidRPr="004A780B">
        <w:rPr>
          <w:szCs w:val="24"/>
        </w:rPr>
        <w:t xml:space="preserve"> rates and service quality in Ohio. </w:t>
      </w:r>
    </w:p>
    <w:p w:rsidR="00320F5D" w:rsidRPr="004A780B" w:rsidP="00DB6639" w14:paraId="1C00AA42" w14:textId="5056248E">
      <w:pPr>
        <w:pStyle w:val="BodyTextIndent3"/>
        <w:spacing w:line="480" w:lineRule="auto"/>
        <w:rPr>
          <w:szCs w:val="24"/>
        </w:rPr>
      </w:pPr>
      <w:r w:rsidRPr="004A780B">
        <w:rPr>
          <w:szCs w:val="24"/>
        </w:rPr>
        <w:t>Third, OCC</w:t>
      </w:r>
      <w:r w:rsidR="004A780B">
        <w:rPr>
          <w:szCs w:val="24"/>
        </w:rPr>
        <w:t>’</w:t>
      </w:r>
      <w:r w:rsidRPr="004A780B">
        <w:rPr>
          <w:szCs w:val="24"/>
        </w:rPr>
        <w:t>s intervention will not unduly prolong or delay the proceedings.</w:t>
      </w:r>
      <w:r w:rsidRPr="004A780B" w:rsidR="00A46DBC">
        <w:rPr>
          <w:szCs w:val="24"/>
        </w:rPr>
        <w:t xml:space="preserve"> </w:t>
      </w:r>
      <w:r w:rsidRPr="004A780B">
        <w:rPr>
          <w:szCs w:val="24"/>
        </w:rPr>
        <w:t>Delay in and of itself does not mean that intervention should be denied.</w:t>
      </w:r>
      <w:r w:rsidRPr="004A780B" w:rsidR="00A46DBC">
        <w:rPr>
          <w:szCs w:val="24"/>
        </w:rPr>
        <w:t xml:space="preserve"> </w:t>
      </w:r>
      <w:r w:rsidRPr="004A780B">
        <w:rPr>
          <w:szCs w:val="24"/>
        </w:rPr>
        <w:t xml:space="preserve">The key consideration is whether the intervention will cause </w:t>
      </w:r>
      <w:r w:rsidR="004A780B">
        <w:rPr>
          <w:szCs w:val="24"/>
        </w:rPr>
        <w:t>“</w:t>
      </w:r>
      <w:r w:rsidRPr="004A780B">
        <w:rPr>
          <w:szCs w:val="24"/>
        </w:rPr>
        <w:t>undue delay.</w:t>
      </w:r>
      <w:r w:rsidR="004A780B">
        <w:rPr>
          <w:szCs w:val="24"/>
        </w:rPr>
        <w:t>”</w:t>
      </w:r>
      <w:r w:rsidRPr="004A780B">
        <w:rPr>
          <w:szCs w:val="24"/>
        </w:rPr>
        <w:t xml:space="preserve"> Here OCC</w:t>
      </w:r>
      <w:r w:rsidR="004A780B">
        <w:rPr>
          <w:szCs w:val="24"/>
        </w:rPr>
        <w:t>’</w:t>
      </w:r>
      <w:r w:rsidRPr="004A780B">
        <w:rPr>
          <w:szCs w:val="24"/>
        </w:rPr>
        <w:t>s intervention will not cause undue delay.</w:t>
      </w:r>
    </w:p>
    <w:p w:rsidR="00957B28" w:rsidRPr="004A780B" w:rsidP="00957B28" w14:paraId="4D8D6210" w14:textId="21A2F8A4">
      <w:pPr>
        <w:pStyle w:val="BodyTextIndent3"/>
        <w:suppressAutoHyphens/>
        <w:spacing w:line="480" w:lineRule="auto"/>
        <w:rPr>
          <w:szCs w:val="24"/>
        </w:rPr>
      </w:pPr>
      <w:r w:rsidRPr="004A780B">
        <w:rPr>
          <w:szCs w:val="24"/>
        </w:rPr>
        <w:t xml:space="preserve">OCC promptly seeks leave to intervene. The Application to </w:t>
      </w:r>
      <w:r w:rsidRPr="004A780B" w:rsidR="00511685">
        <w:rPr>
          <w:szCs w:val="24"/>
        </w:rPr>
        <w:t xml:space="preserve">amend its electric tariff </w:t>
      </w:r>
      <w:r w:rsidRPr="004A780B">
        <w:rPr>
          <w:szCs w:val="24"/>
        </w:rPr>
        <w:t xml:space="preserve">was filed on </w:t>
      </w:r>
      <w:r w:rsidRPr="004A780B" w:rsidR="00511685">
        <w:rPr>
          <w:szCs w:val="24"/>
        </w:rPr>
        <w:t xml:space="preserve">February 5, </w:t>
      </w:r>
      <w:r w:rsidRPr="004A780B">
        <w:rPr>
          <w:szCs w:val="24"/>
        </w:rPr>
        <w:t>2024.</w:t>
      </w:r>
      <w:r w:rsidRPr="004A780B" w:rsidR="00DA40C0">
        <w:rPr>
          <w:szCs w:val="24"/>
        </w:rPr>
        <w:t xml:space="preserve"> </w:t>
      </w:r>
      <w:r w:rsidRPr="004A780B">
        <w:rPr>
          <w:szCs w:val="24"/>
        </w:rPr>
        <w:t>The PUCO has not set any procedural schedule for review of the application. No hearing has been scheduled such that granting intervention would delay the hearing. The PUCO Staff has not filed its Review and Recommendation regarding th</w:t>
      </w:r>
      <w:r w:rsidRPr="004A780B" w:rsidR="0067395A">
        <w:rPr>
          <w:szCs w:val="24"/>
        </w:rPr>
        <w:t>e proposed electric service tariff.</w:t>
      </w:r>
      <w:r w:rsidRPr="004A780B" w:rsidR="00DA40C0">
        <w:rPr>
          <w:szCs w:val="24"/>
        </w:rPr>
        <w:t xml:space="preserve"> </w:t>
      </w:r>
      <w:r w:rsidRPr="004A780B" w:rsidR="0067395A">
        <w:rPr>
          <w:szCs w:val="24"/>
        </w:rPr>
        <w:t>The PUCO has</w:t>
      </w:r>
      <w:r w:rsidRPr="004A780B">
        <w:rPr>
          <w:szCs w:val="24"/>
        </w:rPr>
        <w:t xml:space="preserve"> not issued any dispositive rulings. </w:t>
      </w:r>
    </w:p>
    <w:p w:rsidR="00054998" w:rsidRPr="004A780B" w:rsidP="007C5DF4" w14:paraId="3FF9A881" w14:textId="1148D522">
      <w:pPr>
        <w:pStyle w:val="BodyTextIndent3"/>
        <w:suppressAutoHyphens/>
        <w:spacing w:line="480" w:lineRule="auto"/>
        <w:rPr>
          <w:szCs w:val="24"/>
        </w:rPr>
      </w:pPr>
      <w:r w:rsidRPr="004A780B">
        <w:rPr>
          <w:szCs w:val="24"/>
        </w:rPr>
        <w:t xml:space="preserve">OCC will </w:t>
      </w:r>
      <w:r w:rsidRPr="004A780B" w:rsidR="004A330E">
        <w:rPr>
          <w:szCs w:val="24"/>
        </w:rPr>
        <w:t>attempt to avoid duplicative discovery in the proceeding.</w:t>
      </w:r>
      <w:r w:rsidRPr="004A780B" w:rsidR="00A46DBC">
        <w:rPr>
          <w:szCs w:val="24"/>
        </w:rPr>
        <w:t xml:space="preserve"> </w:t>
      </w:r>
      <w:r w:rsidRPr="004A780B" w:rsidR="004A330E">
        <w:rPr>
          <w:szCs w:val="24"/>
        </w:rPr>
        <w:t xml:space="preserve">The issues OCC will raise fall clearly within the scope of the proceeding </w:t>
      </w:r>
      <w:r w:rsidRPr="004A780B" w:rsidR="0067395A">
        <w:rPr>
          <w:szCs w:val="24"/>
        </w:rPr>
        <w:t>which include</w:t>
      </w:r>
      <w:r w:rsidRPr="004A780B" w:rsidR="002011CF">
        <w:rPr>
          <w:szCs w:val="24"/>
        </w:rPr>
        <w:t xml:space="preserve"> whether the protections in AEP Ohio</w:t>
      </w:r>
      <w:r w:rsidR="004A780B">
        <w:rPr>
          <w:szCs w:val="24"/>
        </w:rPr>
        <w:t>’</w:t>
      </w:r>
      <w:r w:rsidRPr="004A780B" w:rsidR="002011CF">
        <w:rPr>
          <w:szCs w:val="24"/>
        </w:rPr>
        <w:t xml:space="preserve">s proposed electric resale tariffs are sufficient </w:t>
      </w:r>
      <w:r w:rsidRPr="004A780B" w:rsidR="00B9455B">
        <w:rPr>
          <w:szCs w:val="24"/>
        </w:rPr>
        <w:t>for</w:t>
      </w:r>
      <w:r w:rsidRPr="004A780B" w:rsidR="00BD3907">
        <w:rPr>
          <w:szCs w:val="24"/>
        </w:rPr>
        <w:t xml:space="preserve"> </w:t>
      </w:r>
      <w:r w:rsidRPr="004A780B" w:rsidR="002011CF">
        <w:rPr>
          <w:szCs w:val="24"/>
        </w:rPr>
        <w:t xml:space="preserve">residential utility consumers who receive submetered service. </w:t>
      </w:r>
      <w:r w:rsidRPr="004A780B" w:rsidR="007C5DF4">
        <w:rPr>
          <w:szCs w:val="24"/>
        </w:rPr>
        <w:t xml:space="preserve">In addition, </w:t>
      </w:r>
      <w:r w:rsidRPr="004A780B">
        <w:rPr>
          <w:szCs w:val="24"/>
        </w:rPr>
        <w:t>OCC will also use its best efforts to comply with any procedural schedule that the PUCO may adopt for this proceeding.</w:t>
      </w:r>
      <w:r w:rsidRPr="004A780B" w:rsidR="00A46DBC">
        <w:rPr>
          <w:szCs w:val="24"/>
        </w:rPr>
        <w:t xml:space="preserve"> </w:t>
      </w:r>
    </w:p>
    <w:p w:rsidR="004D14D4" w:rsidRPr="004A780B" w:rsidP="004256EA" w14:paraId="0B6C7235" w14:textId="57B9CCBD">
      <w:pPr>
        <w:pStyle w:val="BodyTextIndent3"/>
        <w:suppressAutoHyphens/>
        <w:spacing w:line="480" w:lineRule="auto"/>
        <w:rPr>
          <w:szCs w:val="24"/>
        </w:rPr>
      </w:pPr>
      <w:r w:rsidRPr="004A780B">
        <w:rPr>
          <w:szCs w:val="24"/>
        </w:rPr>
        <w:t xml:space="preserve">Further, </w:t>
      </w:r>
      <w:r w:rsidRPr="004A780B" w:rsidR="00FB5C69">
        <w:rPr>
          <w:szCs w:val="24"/>
        </w:rPr>
        <w:t>O</w:t>
      </w:r>
      <w:r w:rsidRPr="004A780B" w:rsidR="009A775D">
        <w:rPr>
          <w:szCs w:val="24"/>
        </w:rPr>
        <w:t>CC, with its longstanding expertise and experience in PUCO proceedings</w:t>
      </w:r>
      <w:r w:rsidRPr="004A780B" w:rsidR="008B0AFF">
        <w:rPr>
          <w:szCs w:val="24"/>
        </w:rPr>
        <w:t xml:space="preserve"> and consumer protection advocacy</w:t>
      </w:r>
      <w:r w:rsidRPr="004A780B" w:rsidR="009A775D">
        <w:rPr>
          <w:szCs w:val="24"/>
        </w:rPr>
        <w:t>, will duly allow for the efficient processing of the case with consideration of the public interest.</w:t>
      </w:r>
      <w:r w:rsidRPr="004A780B">
        <w:rPr>
          <w:szCs w:val="24"/>
        </w:rPr>
        <w:t xml:space="preserve"> </w:t>
      </w:r>
      <w:r w:rsidRPr="004A780B" w:rsidR="000A4775">
        <w:rPr>
          <w:szCs w:val="24"/>
        </w:rPr>
        <w:t>OCC has already intervened and filed comments in a recent case before the PUCO regarding AEP</w:t>
      </w:r>
      <w:r w:rsidR="004A780B">
        <w:rPr>
          <w:szCs w:val="24"/>
        </w:rPr>
        <w:t>’</w:t>
      </w:r>
      <w:r w:rsidRPr="004A780B" w:rsidR="000A4775">
        <w:rPr>
          <w:szCs w:val="24"/>
        </w:rPr>
        <w:t>s proposed abandonment of electric service lines in a similar situation regarding submetering.</w:t>
      </w:r>
      <w:r>
        <w:rPr>
          <w:szCs w:val="24"/>
          <w:vertAlign w:val="superscript"/>
        </w:rPr>
        <w:footnoteReference w:id="15"/>
      </w:r>
      <w:r w:rsidRPr="004A780B" w:rsidR="00DA40C0">
        <w:rPr>
          <w:szCs w:val="24"/>
        </w:rPr>
        <w:t xml:space="preserve"> </w:t>
      </w:r>
      <w:r w:rsidRPr="004A780B" w:rsidR="008B0AFF">
        <w:rPr>
          <w:szCs w:val="24"/>
        </w:rPr>
        <w:t xml:space="preserve">There will be no prejudice to </w:t>
      </w:r>
      <w:r w:rsidRPr="004A780B" w:rsidR="009C40B1">
        <w:rPr>
          <w:szCs w:val="24"/>
        </w:rPr>
        <w:t xml:space="preserve">the </w:t>
      </w:r>
      <w:r w:rsidRPr="004A780B" w:rsidR="008B0AFF">
        <w:rPr>
          <w:szCs w:val="24"/>
        </w:rPr>
        <w:t>PUCO Staff</w:t>
      </w:r>
      <w:r w:rsidRPr="004A780B" w:rsidR="009E70D5">
        <w:rPr>
          <w:szCs w:val="24"/>
        </w:rPr>
        <w:t>, AEP, or other intervening parties</w:t>
      </w:r>
      <w:r w:rsidRPr="004A780B" w:rsidR="008B0AFF">
        <w:rPr>
          <w:szCs w:val="24"/>
        </w:rPr>
        <w:t xml:space="preserve"> in granting OCC intervention.</w:t>
      </w:r>
    </w:p>
    <w:p w:rsidR="004D14D4" w:rsidRPr="004A780B" w14:paraId="1647A504" w14:textId="6E7DD60F">
      <w:pPr>
        <w:pStyle w:val="Footer"/>
        <w:tabs>
          <w:tab w:val="clear" w:pos="4320"/>
          <w:tab w:val="clear" w:pos="8640"/>
        </w:tabs>
        <w:ind w:firstLine="720"/>
      </w:pPr>
      <w:r w:rsidRPr="004A780B">
        <w:t>Fourth, OCC</w:t>
      </w:r>
      <w:r w:rsidR="004A780B">
        <w:t>’</w:t>
      </w:r>
      <w:r w:rsidRPr="004A780B">
        <w:t>s intervention will significantly contribute to full development and equitable resolution of the factual issues.</w:t>
      </w:r>
      <w:r w:rsidRPr="004A780B" w:rsidR="005D08D2">
        <w:t xml:space="preserve"> </w:t>
      </w:r>
      <w:r w:rsidRPr="004A780B" w:rsidR="000451CF">
        <w:t>OCC</w:t>
      </w:r>
      <w:r w:rsidR="004A780B">
        <w:t>’</w:t>
      </w:r>
      <w:r w:rsidRPr="004A780B" w:rsidR="000451CF">
        <w:t>s interest in protecting residential consumers will lead it to examine issues fully and carefully regarding the impact of AEP</w:t>
      </w:r>
      <w:r w:rsidRPr="004A780B" w:rsidR="002011CF">
        <w:t xml:space="preserve"> Ohio</w:t>
      </w:r>
      <w:r w:rsidR="004A780B">
        <w:t>’</w:t>
      </w:r>
      <w:r w:rsidRPr="004A780B" w:rsidR="000451CF">
        <w:t>s proposed amendment to the resale provisions of its electric tariff on residential consumers. No other party is solely focused on the needs of residential consumers and thus, there can be no equitable resolution of the factual issues in this case absent OCC</w:t>
      </w:r>
      <w:r w:rsidR="004A780B">
        <w:t>’</w:t>
      </w:r>
      <w:r w:rsidRPr="004A780B" w:rsidR="000451CF">
        <w:t>s participation. OCC will obtain and develop information that the PUCO should consider for equitably and lawfully deciding the case in the public interest.</w:t>
      </w:r>
    </w:p>
    <w:p w:rsidR="003C1DCE" w:rsidRPr="004A780B" w:rsidP="004569A0" w14:paraId="78EEFF2B" w14:textId="0198E6AA">
      <w:pPr>
        <w:pStyle w:val="WW-BodyTextIndent3"/>
        <w:widowControl w:val="0"/>
        <w:spacing w:line="480" w:lineRule="auto"/>
        <w:rPr>
          <w:szCs w:val="24"/>
        </w:rPr>
      </w:pPr>
      <w:r w:rsidRPr="004A780B">
        <w:rPr>
          <w:szCs w:val="24"/>
        </w:rPr>
        <w:t>OCC also satisfies the intervention criteria in O</w:t>
      </w:r>
      <w:r w:rsidRPr="004A780B" w:rsidR="00D6552A">
        <w:rPr>
          <w:szCs w:val="24"/>
        </w:rPr>
        <w:t>.A.C.</w:t>
      </w:r>
      <w:r w:rsidRPr="004A780B" w:rsidR="008B0AFF">
        <w:rPr>
          <w:szCs w:val="24"/>
        </w:rPr>
        <w:t xml:space="preserve"> 4901-1-11(A) which sets the standard for </w:t>
      </w:r>
      <w:r w:rsidRPr="004A780B" w:rsidR="008B0AFF">
        <w:rPr>
          <w:i/>
          <w:iCs/>
          <w:szCs w:val="24"/>
        </w:rPr>
        <w:t>intervention as of right</w:t>
      </w:r>
      <w:r w:rsidRPr="004A780B" w:rsidR="008B0AFF">
        <w:rPr>
          <w:szCs w:val="24"/>
        </w:rPr>
        <w:t>, mirroring Ohio Civil Rule 24(A).</w:t>
      </w:r>
      <w:r w:rsidRPr="004A780B" w:rsidR="00A46DBC">
        <w:rPr>
          <w:szCs w:val="24"/>
        </w:rPr>
        <w:t xml:space="preserve"> </w:t>
      </w:r>
      <w:r w:rsidRPr="004A780B" w:rsidR="008B0AFF">
        <w:rPr>
          <w:szCs w:val="24"/>
        </w:rPr>
        <w:t xml:space="preserve">Under 4901:1-11(A)(2) a person shall be granted intervention as of right if it has a real and substantial interest in a proceeding and is </w:t>
      </w:r>
      <w:r w:rsidR="004A780B">
        <w:rPr>
          <w:szCs w:val="24"/>
        </w:rPr>
        <w:t>“</w:t>
      </w:r>
      <w:r w:rsidRPr="004A780B" w:rsidR="008B0AFF">
        <w:rPr>
          <w:szCs w:val="24"/>
        </w:rPr>
        <w:t xml:space="preserve">so situated that disposition of </w:t>
      </w:r>
      <w:r w:rsidRPr="004A780B">
        <w:rPr>
          <w:szCs w:val="24"/>
        </w:rPr>
        <w:t>the proceeding may, as a practical matter, impair or impede his or her ability to protect that interest, unless the person</w:t>
      </w:r>
      <w:r w:rsidR="004A780B">
        <w:rPr>
          <w:szCs w:val="24"/>
        </w:rPr>
        <w:t>’</w:t>
      </w:r>
      <w:r w:rsidRPr="004A780B">
        <w:rPr>
          <w:szCs w:val="24"/>
        </w:rPr>
        <w:t>s interest is adequately represented by existing parties.</w:t>
      </w:r>
      <w:r w:rsidR="004A780B">
        <w:rPr>
          <w:szCs w:val="24"/>
        </w:rPr>
        <w:t>”</w:t>
      </w:r>
      <w:r w:rsidRPr="004A780B">
        <w:rPr>
          <w:szCs w:val="24"/>
        </w:rPr>
        <w:t xml:space="preserve"> </w:t>
      </w:r>
    </w:p>
    <w:p w:rsidR="004D14D4" w:rsidRPr="004A780B" w:rsidP="00DB6639" w14:paraId="55924E7D" w14:textId="601DB73A">
      <w:pPr>
        <w:pStyle w:val="WW-BodyTextIndent3"/>
        <w:widowControl w:val="0"/>
        <w:spacing w:line="480" w:lineRule="auto"/>
        <w:rPr>
          <w:szCs w:val="24"/>
        </w:rPr>
      </w:pPr>
      <w:r w:rsidRPr="004A780B">
        <w:rPr>
          <w:szCs w:val="24"/>
        </w:rPr>
        <w:t>A</w:t>
      </w:r>
      <w:r w:rsidRPr="004A780B" w:rsidR="009A775D">
        <w:rPr>
          <w:szCs w:val="24"/>
        </w:rPr>
        <w:t xml:space="preserve">s the </w:t>
      </w:r>
      <w:r w:rsidRPr="004A780B">
        <w:rPr>
          <w:szCs w:val="24"/>
        </w:rPr>
        <w:t xml:space="preserve">statutory </w:t>
      </w:r>
      <w:r w:rsidRPr="004A780B" w:rsidR="009A775D">
        <w:rPr>
          <w:szCs w:val="24"/>
        </w:rPr>
        <w:t xml:space="preserve">advocate for residential utility </w:t>
      </w:r>
      <w:r w:rsidRPr="004A780B" w:rsidR="00DA6AE4">
        <w:rPr>
          <w:szCs w:val="24"/>
        </w:rPr>
        <w:t>consumer</w:t>
      </w:r>
      <w:r w:rsidRPr="004A780B" w:rsidR="009A775D">
        <w:rPr>
          <w:szCs w:val="24"/>
        </w:rPr>
        <w:t>s, OCC has a very real and substantial interest in this case where</w:t>
      </w:r>
      <w:r w:rsidRPr="004A780B" w:rsidR="000451CF">
        <w:rPr>
          <w:szCs w:val="24"/>
        </w:rPr>
        <w:t xml:space="preserve"> residential consumers</w:t>
      </w:r>
      <w:r w:rsidRPr="004A780B" w:rsidR="002011CF">
        <w:rPr>
          <w:szCs w:val="24"/>
        </w:rPr>
        <w:t xml:space="preserve"> who receive submetered electric utility service may be forced to </w:t>
      </w:r>
      <w:r w:rsidRPr="004A780B" w:rsidR="00B9455B">
        <w:rPr>
          <w:szCs w:val="24"/>
        </w:rPr>
        <w:t xml:space="preserve">accept </w:t>
      </w:r>
      <w:r w:rsidRPr="004A780B" w:rsidR="002011CF">
        <w:rPr>
          <w:szCs w:val="24"/>
        </w:rPr>
        <w:t>service under the inadequate</w:t>
      </w:r>
      <w:r w:rsidRPr="004A780B" w:rsidR="00B9455B">
        <w:rPr>
          <w:szCs w:val="24"/>
        </w:rPr>
        <w:t>, and</w:t>
      </w:r>
      <w:r w:rsidRPr="004A780B" w:rsidR="00BD3907">
        <w:rPr>
          <w:szCs w:val="24"/>
        </w:rPr>
        <w:t xml:space="preserve"> </w:t>
      </w:r>
      <w:r w:rsidRPr="004A780B" w:rsidR="00B9455B">
        <w:rPr>
          <w:szCs w:val="24"/>
        </w:rPr>
        <w:t>unprotective</w:t>
      </w:r>
      <w:r w:rsidRPr="004A780B" w:rsidR="00BD3907">
        <w:rPr>
          <w:szCs w:val="24"/>
        </w:rPr>
        <w:t xml:space="preserve"> </w:t>
      </w:r>
      <w:r w:rsidRPr="004A780B" w:rsidR="002011CF">
        <w:rPr>
          <w:szCs w:val="24"/>
        </w:rPr>
        <w:t>terms and conditions proposed by AEP Ohio</w:t>
      </w:r>
      <w:r w:rsidRPr="004A780B" w:rsidR="007D395D">
        <w:rPr>
          <w:szCs w:val="24"/>
        </w:rPr>
        <w:t xml:space="preserve">. </w:t>
      </w:r>
      <w:r w:rsidRPr="004A780B">
        <w:rPr>
          <w:szCs w:val="24"/>
        </w:rPr>
        <w:t>Disposition of this proceeding may, as a practical matter, impair or impede OCC</w:t>
      </w:r>
      <w:r w:rsidR="004A780B">
        <w:rPr>
          <w:szCs w:val="24"/>
        </w:rPr>
        <w:t>’</w:t>
      </w:r>
      <w:r w:rsidRPr="004A780B">
        <w:rPr>
          <w:szCs w:val="24"/>
        </w:rPr>
        <w:t>s ability to protect that interest where the interest is not adequately represented by existing parties - the PUCO Staff</w:t>
      </w:r>
      <w:r w:rsidRPr="004A780B" w:rsidR="000451CF">
        <w:rPr>
          <w:szCs w:val="24"/>
        </w:rPr>
        <w:t xml:space="preserve">, </w:t>
      </w:r>
      <w:r w:rsidRPr="004A780B">
        <w:rPr>
          <w:szCs w:val="24"/>
        </w:rPr>
        <w:t xml:space="preserve">the </w:t>
      </w:r>
      <w:r w:rsidRPr="004A780B" w:rsidR="002011CF">
        <w:rPr>
          <w:szCs w:val="24"/>
        </w:rPr>
        <w:t>AEP Ohio</w:t>
      </w:r>
      <w:r w:rsidRPr="004A780B" w:rsidR="000451CF">
        <w:rPr>
          <w:szCs w:val="24"/>
        </w:rPr>
        <w:t>, and</w:t>
      </w:r>
      <w:r w:rsidRPr="004A780B" w:rsidR="001365EF">
        <w:rPr>
          <w:szCs w:val="24"/>
        </w:rPr>
        <w:t xml:space="preserve"> </w:t>
      </w:r>
      <w:r w:rsidRPr="004A780B" w:rsidR="002011CF">
        <w:rPr>
          <w:szCs w:val="24"/>
        </w:rPr>
        <w:t>NEP</w:t>
      </w:r>
      <w:r w:rsidRPr="004A780B">
        <w:rPr>
          <w:szCs w:val="24"/>
        </w:rPr>
        <w:t>.</w:t>
      </w:r>
      <w:r w:rsidRPr="004A780B" w:rsidR="00A46DBC">
        <w:rPr>
          <w:szCs w:val="24"/>
        </w:rPr>
        <w:t xml:space="preserve"> </w:t>
      </w:r>
      <w:r w:rsidRPr="004A780B">
        <w:rPr>
          <w:szCs w:val="24"/>
        </w:rPr>
        <w:t>OCC should be granted intervention as of right under O.A.C. 4901-1-11(A)(2)</w:t>
      </w:r>
      <w:r w:rsidRPr="004A780B" w:rsidR="009C40B1">
        <w:rPr>
          <w:szCs w:val="24"/>
        </w:rPr>
        <w:t>.</w:t>
      </w:r>
    </w:p>
    <w:p w:rsidR="004D14D4" w:rsidRPr="004A780B" w:rsidP="00DB6639" w14:paraId="68D9E88D" w14:textId="1369A283">
      <w:pPr>
        <w:pStyle w:val="BodyTextIndent3"/>
        <w:widowControl w:val="0"/>
        <w:spacing w:line="480" w:lineRule="auto"/>
        <w:rPr>
          <w:szCs w:val="24"/>
        </w:rPr>
      </w:pPr>
      <w:r w:rsidRPr="004A780B">
        <w:rPr>
          <w:szCs w:val="24"/>
        </w:rPr>
        <w:t xml:space="preserve">In addition, OCC meets the </w:t>
      </w:r>
      <w:r w:rsidRPr="004A780B" w:rsidR="003C1DCE">
        <w:rPr>
          <w:szCs w:val="24"/>
        </w:rPr>
        <w:t xml:space="preserve">permissive intervention </w:t>
      </w:r>
      <w:r w:rsidRPr="004A780B">
        <w:rPr>
          <w:szCs w:val="24"/>
        </w:rPr>
        <w:t xml:space="preserve">criteria of </w:t>
      </w:r>
      <w:r w:rsidRPr="004A780B" w:rsidR="00CE38C7">
        <w:rPr>
          <w:szCs w:val="24"/>
        </w:rPr>
        <w:t>O.A.C.</w:t>
      </w:r>
      <w:r w:rsidRPr="004A780B">
        <w:rPr>
          <w:szCs w:val="24"/>
        </w:rPr>
        <w:t xml:space="preserve"> 4901-1-11(B)(1)-(4).</w:t>
      </w:r>
      <w:r w:rsidRPr="004A780B" w:rsidR="00692036">
        <w:rPr>
          <w:szCs w:val="24"/>
        </w:rPr>
        <w:t xml:space="preserve"> </w:t>
      </w:r>
      <w:r w:rsidRPr="004A780B">
        <w:rPr>
          <w:szCs w:val="24"/>
        </w:rPr>
        <w:t xml:space="preserve">These criteria mirror the </w:t>
      </w:r>
      <w:r w:rsidRPr="004A780B" w:rsidR="003C1DCE">
        <w:rPr>
          <w:szCs w:val="24"/>
        </w:rPr>
        <w:t xml:space="preserve">permissive intervention </w:t>
      </w:r>
      <w:r w:rsidRPr="004A780B">
        <w:rPr>
          <w:szCs w:val="24"/>
        </w:rPr>
        <w:t>criteria in R.C. 4903.221(B) that OCC already has addressed and that OCC satisfies.</w:t>
      </w:r>
    </w:p>
    <w:p w:rsidR="0084217B" w:rsidRPr="004A780B" w:rsidP="00DB6639" w14:paraId="5519FF6E" w14:textId="43182DE9">
      <w:pPr>
        <w:pStyle w:val="BodyTextIndent3"/>
        <w:widowControl w:val="0"/>
        <w:spacing w:line="480" w:lineRule="auto"/>
        <w:rPr>
          <w:szCs w:val="24"/>
        </w:rPr>
      </w:pPr>
      <w:r w:rsidRPr="004A780B">
        <w:rPr>
          <w:szCs w:val="24"/>
        </w:rPr>
        <w:t xml:space="preserve">O.A.C. 4901-1-11(B)(5) states that the PUCO shall consider </w:t>
      </w:r>
      <w:r w:rsidR="004A780B">
        <w:rPr>
          <w:szCs w:val="24"/>
        </w:rPr>
        <w:t>“</w:t>
      </w:r>
      <w:r w:rsidRPr="004A780B" w:rsidR="002D29C3">
        <w:rPr>
          <w:szCs w:val="24"/>
        </w:rPr>
        <w:t>(t)</w:t>
      </w:r>
      <w:r w:rsidRPr="004A780B">
        <w:rPr>
          <w:szCs w:val="24"/>
        </w:rPr>
        <w:t>he extent to which the person</w:t>
      </w:r>
      <w:r w:rsidR="004A780B">
        <w:rPr>
          <w:szCs w:val="24"/>
        </w:rPr>
        <w:t>’</w:t>
      </w:r>
      <w:r w:rsidRPr="004A780B">
        <w:rPr>
          <w:szCs w:val="24"/>
        </w:rPr>
        <w:t>s interest is represented by existing parties.</w:t>
      </w:r>
      <w:r w:rsidR="004A780B">
        <w:rPr>
          <w:szCs w:val="24"/>
        </w:rPr>
        <w:t>”</w:t>
      </w:r>
      <w:r w:rsidRPr="004A780B">
        <w:rPr>
          <w:szCs w:val="24"/>
        </w:rPr>
        <w:t xml:space="preserve"> While OCC does not concede the lawfulness of this criterion, OCC satisfies this criterion in that it has been </w:t>
      </w:r>
      <w:r w:rsidRPr="004A780B" w:rsidR="003C1DCE">
        <w:rPr>
          <w:szCs w:val="24"/>
        </w:rPr>
        <w:t xml:space="preserve">uniquely </w:t>
      </w:r>
      <w:r w:rsidRPr="004A780B">
        <w:rPr>
          <w:szCs w:val="24"/>
        </w:rPr>
        <w:t>designated as the state representative of the interests of Ohio</w:t>
      </w:r>
      <w:r w:rsidR="004A780B">
        <w:rPr>
          <w:szCs w:val="24"/>
        </w:rPr>
        <w:t>’</w:t>
      </w:r>
      <w:r w:rsidRPr="004A780B">
        <w:rPr>
          <w:szCs w:val="24"/>
        </w:rPr>
        <w:t>s residential utility consumer</w:t>
      </w:r>
      <w:r w:rsidRPr="004A780B" w:rsidR="006755BB">
        <w:rPr>
          <w:szCs w:val="24"/>
        </w:rPr>
        <w:t xml:space="preserve">s. </w:t>
      </w:r>
      <w:r w:rsidRPr="004A780B" w:rsidR="003C1DCE">
        <w:rPr>
          <w:szCs w:val="24"/>
        </w:rPr>
        <w:t>OCC</w:t>
      </w:r>
      <w:r w:rsidR="004A780B">
        <w:rPr>
          <w:szCs w:val="24"/>
        </w:rPr>
        <w:t>’</w:t>
      </w:r>
      <w:r w:rsidRPr="004A780B" w:rsidR="003C1DCE">
        <w:rPr>
          <w:szCs w:val="24"/>
        </w:rPr>
        <w:t>s i</w:t>
      </w:r>
      <w:r w:rsidRPr="004A780B" w:rsidR="006755BB">
        <w:rPr>
          <w:szCs w:val="24"/>
        </w:rPr>
        <w:t>nterest is different from, and not represented by, any other entity in Ohio.</w:t>
      </w:r>
    </w:p>
    <w:p w:rsidR="00F523BB" w:rsidRPr="004A780B" w:rsidP="00DB6639" w14:paraId="79A68205" w14:textId="462D4273">
      <w:pPr>
        <w:pStyle w:val="BodyTextIndent3"/>
        <w:widowControl w:val="0"/>
        <w:spacing w:line="480" w:lineRule="auto"/>
        <w:rPr>
          <w:szCs w:val="24"/>
        </w:rPr>
      </w:pPr>
      <w:r w:rsidRPr="004A780B">
        <w:rPr>
          <w:szCs w:val="24"/>
        </w:rPr>
        <w:t>Moreover</w:t>
      </w:r>
      <w:r w:rsidRPr="004A780B" w:rsidR="00C37973">
        <w:rPr>
          <w:szCs w:val="24"/>
        </w:rPr>
        <w:t xml:space="preserve">, the </w:t>
      </w:r>
      <w:r w:rsidRPr="004A780B" w:rsidR="009A775D">
        <w:rPr>
          <w:szCs w:val="24"/>
        </w:rPr>
        <w:t>Supreme Court of Ohio confirmed OCC</w:t>
      </w:r>
      <w:r w:rsidR="004A780B">
        <w:rPr>
          <w:szCs w:val="24"/>
        </w:rPr>
        <w:t>’</w:t>
      </w:r>
      <w:r w:rsidRPr="004A780B" w:rsidR="009A775D">
        <w:rPr>
          <w:szCs w:val="24"/>
        </w:rPr>
        <w:t>s right to intervene in PUCO proceedings, in deciding two appeals in which OCC claimed the PUCO erred by denying its interventions. The Court found that the PUCO abused its discretion in denying OCC</w:t>
      </w:r>
      <w:r w:rsidR="004A780B">
        <w:rPr>
          <w:szCs w:val="24"/>
        </w:rPr>
        <w:t>’</w:t>
      </w:r>
      <w:r w:rsidRPr="004A780B" w:rsidR="009A775D">
        <w:rPr>
          <w:szCs w:val="24"/>
        </w:rPr>
        <w:t>s interventions and that OCC should have been granted intervention in both proceedings.</w:t>
      </w:r>
      <w:r>
        <w:rPr>
          <w:rStyle w:val="FootnoteReference"/>
          <w:szCs w:val="24"/>
        </w:rPr>
        <w:footnoteReference w:id="16"/>
      </w:r>
      <w:r w:rsidRPr="004A780B" w:rsidR="00692036">
        <w:rPr>
          <w:szCs w:val="24"/>
        </w:rPr>
        <w:t xml:space="preserve"> </w:t>
      </w:r>
    </w:p>
    <w:p w:rsidR="009F2EA1" w:rsidP="009F2EA1" w14:paraId="247C65AD" w14:textId="181FF275">
      <w:pPr>
        <w:spacing w:line="480" w:lineRule="auto"/>
        <w:ind w:firstLine="720"/>
      </w:pPr>
      <w:r w:rsidRPr="004A780B">
        <w:t>OCC meets the criteria set forth in R.C. 4903.221, O.A.C. 4901-1-11,</w:t>
      </w:r>
      <w:r w:rsidRPr="004A780B" w:rsidR="003C1DCE">
        <w:t xml:space="preserve"> </w:t>
      </w:r>
      <w:r w:rsidRPr="004A780B">
        <w:t>and the precedent established by the Supreme Court of Ohio for intervention. On behalf of Ohio residential consumers, the PUCO should grant OCC</w:t>
      </w:r>
      <w:r w:rsidR="004A780B">
        <w:t>’</w:t>
      </w:r>
      <w:r w:rsidRPr="004A780B">
        <w:t>s Motion to Int</w:t>
      </w:r>
      <w:r>
        <w:t>ervene</w:t>
      </w:r>
      <w:r w:rsidR="00A35CA9">
        <w:t>.</w:t>
      </w:r>
    </w:p>
    <w:p w:rsidR="00E524AF" w:rsidRPr="004A780B" w:rsidP="004A780B" w14:paraId="7A22B04A" w14:textId="0A922AB0">
      <w:pPr>
        <w:ind w:left="3600" w:firstLine="720"/>
        <w:rPr>
          <w:rFonts w:eastAsia="Courier New"/>
        </w:rPr>
      </w:pPr>
      <w:r w:rsidRPr="004A780B">
        <w:rPr>
          <w:rFonts w:eastAsia="Courier New"/>
        </w:rPr>
        <w:t>Respectfully submitted,</w:t>
      </w:r>
    </w:p>
    <w:p w:rsidR="00E524AF" w:rsidRPr="004A780B" w:rsidP="00E524AF" w14:paraId="1FD1FF25"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E524AF" w:rsidRPr="004A780B" w:rsidP="00E524AF" w14:paraId="5635F672"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4A780B">
        <w:rPr>
          <w:rFonts w:eastAsia="Courier New"/>
        </w:rPr>
        <w:t>Maureen R. Willis (0020847)</w:t>
      </w:r>
    </w:p>
    <w:p w:rsidR="00E524AF" w:rsidRPr="004A780B" w:rsidP="00E524AF" w14:paraId="6F3C629B" w14:textId="7BDDFB5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4A780B">
        <w:t>Ohio Consumers</w:t>
      </w:r>
      <w:r w:rsidR="004A780B">
        <w:t>’</w:t>
      </w:r>
      <w:r w:rsidRPr="004A780B">
        <w:t xml:space="preserve"> Counsel</w:t>
      </w:r>
    </w:p>
    <w:p w:rsidR="00E524AF" w:rsidRPr="004A780B" w:rsidP="00E524AF" w14:paraId="7A9FC36D" w14:textId="77777777">
      <w:pPr>
        <w:tabs>
          <w:tab w:val="left" w:pos="4320"/>
        </w:tabs>
        <w:ind w:left="4320"/>
      </w:pPr>
    </w:p>
    <w:p w:rsidR="00E524AF" w:rsidRPr="004A780B" w:rsidP="00E524AF" w14:paraId="5E1914D2" w14:textId="77777777">
      <w:pPr>
        <w:tabs>
          <w:tab w:val="left" w:pos="4320"/>
        </w:tabs>
        <w:ind w:left="4320"/>
        <w:rPr>
          <w:i/>
          <w:iCs/>
          <w:u w:val="single"/>
        </w:rPr>
      </w:pPr>
      <w:r w:rsidRPr="004A780B">
        <w:rPr>
          <w:i/>
          <w:iCs/>
          <w:u w:val="single"/>
        </w:rPr>
        <w:t>/s/ Donald J. Kral</w:t>
      </w:r>
    </w:p>
    <w:p w:rsidR="00E524AF" w:rsidRPr="004A780B" w:rsidP="00E524AF" w14:paraId="0340AF9C" w14:textId="77777777">
      <w:pPr>
        <w:tabs>
          <w:tab w:val="left" w:pos="4320"/>
        </w:tabs>
        <w:ind w:left="4320"/>
      </w:pPr>
      <w:r w:rsidRPr="004A780B">
        <w:t>Donald J. Kral (0042091)</w:t>
      </w:r>
    </w:p>
    <w:p w:rsidR="00E524AF" w:rsidRPr="004A780B" w:rsidP="00E524AF" w14:paraId="639D95B0" w14:textId="77777777">
      <w:pPr>
        <w:tabs>
          <w:tab w:val="left" w:pos="4320"/>
        </w:tabs>
        <w:ind w:left="4320"/>
      </w:pPr>
      <w:r w:rsidRPr="004A780B">
        <w:t>Counsel of Record</w:t>
      </w:r>
    </w:p>
    <w:p w:rsidR="00E524AF" w:rsidRPr="004A780B" w:rsidP="00E524AF" w14:paraId="2F846C9D" w14:textId="77777777">
      <w:pPr>
        <w:tabs>
          <w:tab w:val="left" w:pos="4320"/>
        </w:tabs>
      </w:pPr>
      <w:r w:rsidRPr="004A780B">
        <w:tab/>
        <w:t>Thomas J. Brodbeck (0093920)</w:t>
      </w:r>
    </w:p>
    <w:p w:rsidR="00E524AF" w:rsidRPr="004A780B" w:rsidP="00E524AF" w14:paraId="06478E31" w14:textId="3BD4D4D3">
      <w:pPr>
        <w:tabs>
          <w:tab w:val="left" w:pos="4320"/>
        </w:tabs>
      </w:pPr>
      <w:r w:rsidRPr="004A780B">
        <w:tab/>
        <w:t>Assistant Consumers</w:t>
      </w:r>
      <w:r w:rsidR="004A780B">
        <w:t>’</w:t>
      </w:r>
      <w:r w:rsidRPr="004A780B">
        <w:t xml:space="preserve"> Counsel</w:t>
      </w:r>
    </w:p>
    <w:p w:rsidR="00E524AF" w:rsidRPr="004A780B" w:rsidP="00E524AF" w14:paraId="0226A866" w14:textId="77777777">
      <w:pPr>
        <w:tabs>
          <w:tab w:val="left" w:pos="4320"/>
        </w:tabs>
        <w:ind w:left="4320"/>
      </w:pPr>
    </w:p>
    <w:p w:rsidR="00E524AF" w:rsidRPr="004A780B" w:rsidP="00E524AF" w14:paraId="2017062E" w14:textId="57AAC27E">
      <w:pPr>
        <w:keepNext/>
        <w:ind w:left="4320" w:right="-648"/>
        <w:outlineLvl w:val="0"/>
        <w:rPr>
          <w:b/>
        </w:rPr>
      </w:pPr>
      <w:r w:rsidRPr="004A780B">
        <w:rPr>
          <w:b/>
        </w:rPr>
        <w:t>Office of the Ohio Consumers</w:t>
      </w:r>
      <w:r w:rsidR="004A780B">
        <w:rPr>
          <w:b/>
        </w:rPr>
        <w:t>’</w:t>
      </w:r>
      <w:r w:rsidRPr="004A780B">
        <w:rPr>
          <w:b/>
        </w:rPr>
        <w:t xml:space="preserve"> Counsel</w:t>
      </w:r>
    </w:p>
    <w:p w:rsidR="00E524AF" w:rsidRPr="004A780B" w:rsidP="00E524AF" w14:paraId="2E54E43D" w14:textId="77777777">
      <w:pPr>
        <w:keepNext/>
        <w:ind w:left="4320" w:right="-648"/>
        <w:outlineLvl w:val="0"/>
      </w:pPr>
      <w:r w:rsidRPr="004A780B">
        <w:t>65 East State Street, Suite 700</w:t>
      </w:r>
    </w:p>
    <w:p w:rsidR="00E524AF" w:rsidRPr="004A780B" w:rsidP="00E524AF" w14:paraId="09C4B442" w14:textId="77777777">
      <w:pPr>
        <w:keepNext/>
        <w:ind w:left="4320" w:right="-648"/>
        <w:outlineLvl w:val="0"/>
      </w:pPr>
      <w:r w:rsidRPr="004A780B">
        <w:t>Columbus, Ohio 43215</w:t>
      </w:r>
    </w:p>
    <w:p w:rsidR="00E524AF" w:rsidRPr="004A780B" w:rsidP="00E524AF" w14:paraId="5A43EF03" w14:textId="7D8969FE">
      <w:pPr>
        <w:autoSpaceDE w:val="0"/>
        <w:autoSpaceDN w:val="0"/>
        <w:adjustRightInd w:val="0"/>
        <w:ind w:left="4320"/>
      </w:pPr>
      <w:r w:rsidRPr="004A780B">
        <w:t xml:space="preserve">Telephone [Kral]: (614) </w:t>
      </w:r>
      <w:r w:rsidRPr="004A780B" w:rsidR="00DA5D18">
        <w:t>466-9571</w:t>
      </w:r>
    </w:p>
    <w:p w:rsidR="00E524AF" w:rsidRPr="004A780B" w:rsidP="00E524AF" w14:paraId="7B353847" w14:textId="77777777">
      <w:pPr>
        <w:autoSpaceDE w:val="0"/>
        <w:autoSpaceDN w:val="0"/>
        <w:adjustRightInd w:val="0"/>
        <w:ind w:left="4320"/>
      </w:pPr>
      <w:r w:rsidRPr="004A780B">
        <w:t>Telephone [Brodbeck]: (614) 466-9565</w:t>
      </w:r>
    </w:p>
    <w:p w:rsidR="00E524AF" w:rsidRPr="004A780B" w:rsidP="00E524AF" w14:paraId="43BCF51A" w14:textId="77777777">
      <w:pPr>
        <w:autoSpaceDE w:val="0"/>
        <w:autoSpaceDN w:val="0"/>
        <w:adjustRightInd w:val="0"/>
        <w:ind w:left="4320"/>
      </w:pPr>
      <w:hyperlink r:id="rId6" w:history="1">
        <w:r w:rsidRPr="004A780B">
          <w:rPr>
            <w:rStyle w:val="Hyperlink"/>
          </w:rPr>
          <w:t>donald.kral@occ.ohio.gov</w:t>
        </w:r>
      </w:hyperlink>
    </w:p>
    <w:p w:rsidR="00E524AF" w:rsidRPr="004A780B" w:rsidP="00E524AF" w14:paraId="4313C348" w14:textId="77777777">
      <w:pPr>
        <w:autoSpaceDE w:val="0"/>
        <w:autoSpaceDN w:val="0"/>
        <w:adjustRightInd w:val="0"/>
        <w:ind w:left="4320"/>
      </w:pPr>
      <w:hyperlink r:id="rId7" w:history="1">
        <w:r w:rsidRPr="004A780B">
          <w:rPr>
            <w:rStyle w:val="Hyperlink"/>
          </w:rPr>
          <w:t>thomas.brodbeck@occ.ohio.gov</w:t>
        </w:r>
      </w:hyperlink>
    </w:p>
    <w:p w:rsidR="00E524AF" w:rsidRPr="004A780B" w:rsidP="00E524AF" w14:paraId="68377D04" w14:textId="77777777">
      <w:r w:rsidRPr="004A780B">
        <w:tab/>
      </w:r>
      <w:r w:rsidRPr="004A780B">
        <w:tab/>
      </w:r>
      <w:r w:rsidRPr="004A780B">
        <w:tab/>
      </w:r>
      <w:r w:rsidRPr="004A780B">
        <w:tab/>
      </w:r>
      <w:r w:rsidRPr="004A780B">
        <w:tab/>
      </w:r>
      <w:r w:rsidRPr="004A780B">
        <w:tab/>
        <w:t>(willing to accept service by e-mail)</w:t>
      </w:r>
    </w:p>
    <w:p w:rsidR="00983F12" w:rsidRPr="004A780B" w14:paraId="45BFE1A7" w14:textId="34F9FA07">
      <w:pPr>
        <w:rPr>
          <w:b/>
          <w:u w:val="single"/>
        </w:rPr>
      </w:pPr>
      <w:r w:rsidRPr="004A780B">
        <w:br w:type="page"/>
      </w:r>
    </w:p>
    <w:p w:rsidR="00A5637F" w:rsidRPr="004A780B" w:rsidP="00DB6639" w14:paraId="610DF17B" w14:textId="7C6B91A8">
      <w:pPr>
        <w:pStyle w:val="ANSWER"/>
        <w:ind w:left="720"/>
        <w:jc w:val="center"/>
        <w:rPr>
          <w:b/>
          <w:szCs w:val="24"/>
          <w:u w:val="single"/>
        </w:rPr>
      </w:pPr>
      <w:r w:rsidRPr="004A780B">
        <w:rPr>
          <w:b/>
          <w:szCs w:val="24"/>
          <w:u w:val="single"/>
        </w:rPr>
        <w:t>CERTIFICATE OF SERVICE</w:t>
      </w:r>
    </w:p>
    <w:p w:rsidR="00A044B5" w:rsidRPr="004A780B" w:rsidP="001C6FA3" w14:paraId="0F322DE7" w14:textId="58936C4E">
      <w:pPr>
        <w:spacing w:line="480" w:lineRule="auto"/>
      </w:pPr>
      <w:r w:rsidRPr="004A780B">
        <w:tab/>
        <w:t>I hereby certify that a copy of the foregoing Motion to Intervene</w:t>
      </w:r>
      <w:r w:rsidRPr="004A780B" w:rsidR="00114B63">
        <w:t xml:space="preserve"> </w:t>
      </w:r>
      <w:r w:rsidRPr="004A780B">
        <w:t>has been served electronically upon those persons listed below this</w:t>
      </w:r>
      <w:r w:rsidRPr="004A780B" w:rsidR="00D037AC">
        <w:t xml:space="preserve"> </w:t>
      </w:r>
      <w:r w:rsidRPr="004A780B" w:rsidR="00BE6679">
        <w:t>1</w:t>
      </w:r>
      <w:r w:rsidR="004A6EB6">
        <w:t>4</w:t>
      </w:r>
      <w:r w:rsidRPr="004A780B" w:rsidR="00BE6679">
        <w:rPr>
          <w:vertAlign w:val="superscript"/>
        </w:rPr>
        <w:t>th</w:t>
      </w:r>
      <w:r w:rsidRPr="004A780B" w:rsidR="00BE6679">
        <w:t xml:space="preserve"> </w:t>
      </w:r>
      <w:r w:rsidRPr="004A780B">
        <w:t xml:space="preserve">day of </w:t>
      </w:r>
      <w:r w:rsidRPr="004A780B" w:rsidR="00CC3595">
        <w:t xml:space="preserve">March </w:t>
      </w:r>
      <w:r w:rsidRPr="004A780B">
        <w:t>20</w:t>
      </w:r>
      <w:r w:rsidRPr="004A780B" w:rsidR="002A683D">
        <w:t>24</w:t>
      </w:r>
      <w:r w:rsidRPr="004A780B">
        <w:t>.</w:t>
      </w:r>
    </w:p>
    <w:p w:rsidR="00A044B5" w:rsidRPr="004A780B" w14:paraId="13179D0F" w14:textId="51A803B6">
      <w:pPr>
        <w:tabs>
          <w:tab w:val="left" w:pos="4320"/>
        </w:tabs>
        <w:rPr>
          <w:i/>
          <w:iCs/>
          <w:u w:val="single"/>
        </w:rPr>
      </w:pPr>
      <w:r w:rsidRPr="004A780B">
        <w:tab/>
      </w:r>
      <w:r w:rsidRPr="004A780B" w:rsidR="0082139C">
        <w:rPr>
          <w:i/>
          <w:iCs/>
          <w:u w:val="single"/>
        </w:rPr>
        <w:t>/s/ Donald Kral</w:t>
      </w:r>
    </w:p>
    <w:p w:rsidR="00A044B5" w:rsidRPr="004A780B" w14:paraId="0BF10D63" w14:textId="2AF4606C">
      <w:pPr>
        <w:tabs>
          <w:tab w:val="left" w:pos="4320"/>
        </w:tabs>
      </w:pPr>
      <w:r w:rsidRPr="004A780B">
        <w:tab/>
      </w:r>
      <w:r w:rsidRPr="004A780B" w:rsidR="002A683D">
        <w:t>Donald Kral</w:t>
      </w:r>
    </w:p>
    <w:p w:rsidR="00CF2964" w:rsidRPr="004A780B" w:rsidP="00CF2964" w14:paraId="664D6775" w14:textId="504F12FB">
      <w:pPr>
        <w:tabs>
          <w:tab w:val="left" w:pos="4320"/>
        </w:tabs>
      </w:pPr>
      <w:r w:rsidRPr="004A780B">
        <w:tab/>
        <w:t>Assistant Consumers</w:t>
      </w:r>
      <w:r w:rsidR="004A780B">
        <w:t>’</w:t>
      </w:r>
      <w:r w:rsidRPr="004A780B">
        <w:t xml:space="preserve"> Counsel</w:t>
      </w:r>
    </w:p>
    <w:p w:rsidR="002C7D60" w:rsidRPr="004A780B" w:rsidP="00DB6639" w14:paraId="268A0765" w14:textId="4286E9D1">
      <w:pPr>
        <w:tabs>
          <w:tab w:val="left" w:pos="4320"/>
        </w:tabs>
      </w:pPr>
    </w:p>
    <w:p w:rsidR="002C7D60" w:rsidRPr="004A780B" w:rsidP="002C7D60" w14:paraId="184A87AF" w14:textId="58BC3A36">
      <w:pPr>
        <w:pStyle w:val="CommentText"/>
      </w:pPr>
      <w:r w:rsidRPr="004A780B">
        <w:t>The PUCO</w:t>
      </w:r>
      <w:r w:rsidR="004A780B">
        <w:t>’</w:t>
      </w:r>
      <w:r w:rsidRPr="004A780B">
        <w:t>s e-filing system will electronically serve notice of the filing of this document on the following parties:</w:t>
      </w:r>
    </w:p>
    <w:p w:rsidR="002C7D60" w:rsidRPr="004A780B" w:rsidP="00DB6639" w14:paraId="7E43FDD1" w14:textId="77777777">
      <w:pPr>
        <w:tabs>
          <w:tab w:val="left" w:pos="4320"/>
        </w:tabs>
      </w:pPr>
    </w:p>
    <w:p w:rsidR="002C7D60" w:rsidRPr="004A780B" w:rsidP="002C7D60" w14:paraId="116D3271" w14:textId="77777777">
      <w:pPr>
        <w:pStyle w:val="CommentText"/>
        <w:jc w:val="center"/>
        <w:rPr>
          <w:b/>
          <w:u w:val="single"/>
        </w:rPr>
      </w:pPr>
      <w:r w:rsidRPr="004A780B">
        <w:rPr>
          <w:b/>
          <w:u w:val="single"/>
        </w:rPr>
        <w:t>SERVICE LIST</w:t>
      </w:r>
    </w:p>
    <w:p w:rsidR="00B65BFA" w:rsidRPr="004A780B" w:rsidP="002C7D60" w14:paraId="157FDDB9" w14:textId="77777777">
      <w:pPr>
        <w:pStyle w:val="CommentText"/>
        <w:jc w:val="center"/>
        <w:rPr>
          <w:b/>
          <w:u w:val="single"/>
        </w:rPr>
      </w:pPr>
    </w:p>
    <w:tbl>
      <w:tblPr>
        <w:tblW w:w="9090" w:type="dxa"/>
        <w:tblInd w:w="0" w:type="dxa"/>
        <w:tblCellMar>
          <w:top w:w="0" w:type="dxa"/>
          <w:left w:w="108" w:type="dxa"/>
          <w:bottom w:w="0" w:type="dxa"/>
          <w:right w:w="108" w:type="dxa"/>
        </w:tblCellMar>
        <w:tblLook w:val="04A0"/>
      </w:tblPr>
      <w:tblGrid>
        <w:gridCol w:w="4770"/>
        <w:gridCol w:w="4320"/>
      </w:tblGrid>
      <w:tr w14:paraId="5C56951D" w14:textId="77777777" w:rsidTr="00050E95">
        <w:tblPrEx>
          <w:tblW w:w="9090" w:type="dxa"/>
          <w:tblInd w:w="0" w:type="dxa"/>
          <w:tblCellMar>
            <w:top w:w="0" w:type="dxa"/>
            <w:left w:w="108" w:type="dxa"/>
            <w:bottom w:w="0" w:type="dxa"/>
            <w:right w:w="108" w:type="dxa"/>
          </w:tblCellMar>
          <w:tblLook w:val="04A0"/>
        </w:tblPrEx>
        <w:tc>
          <w:tcPr>
            <w:tcW w:w="4770" w:type="dxa"/>
            <w:shd w:val="clear" w:color="auto" w:fill="auto"/>
          </w:tcPr>
          <w:p w:rsidR="00050E95" w:rsidRPr="004A780B" w:rsidP="00050E95" w14:paraId="7B02FEBA" w14:textId="77777777">
            <w:pPr>
              <w:rPr>
                <w:rStyle w:val="Hyperlink"/>
                <w:bCs/>
                <w:color w:val="0000FF"/>
                <w:sz w:val="24"/>
                <w:szCs w:val="24"/>
                <w:u w:val="single"/>
                <w:lang w:val="en-US" w:eastAsia="en-US" w:bidi="ar-SA"/>
              </w:rPr>
            </w:pPr>
            <w:hyperlink r:id="rId14" w:history="1">
              <w:r w:rsidRPr="004A780B">
                <w:rPr>
                  <w:rStyle w:val="Hyperlink"/>
                  <w:bCs/>
                  <w:color w:val="0000FF"/>
                  <w:sz w:val="24"/>
                  <w:szCs w:val="24"/>
                  <w:u w:val="single"/>
                  <w:lang w:val="en-US" w:eastAsia="en-US" w:bidi="ar-SA"/>
                </w:rPr>
                <w:t>john.jones@ohioago.gov</w:t>
              </w:r>
            </w:hyperlink>
          </w:p>
          <w:p w:rsidR="004E008C" w:rsidRPr="004A780B" w:rsidP="00050E95" w14:paraId="617CADC5" w14:textId="77777777">
            <w:pPr>
              <w:rPr>
                <w:rStyle w:val="Hyperlink"/>
                <w:bCs/>
                <w:color w:val="0000FF"/>
                <w:sz w:val="24"/>
                <w:szCs w:val="24"/>
                <w:u w:val="single"/>
                <w:lang w:val="en-US" w:eastAsia="en-US" w:bidi="ar-SA"/>
              </w:rPr>
            </w:pPr>
          </w:p>
          <w:p w:rsidR="004E008C" w:rsidRPr="004A780B" w:rsidP="00050E95" w14:paraId="6E83C08D" w14:textId="6A8BDDE1">
            <w:pPr>
              <w:rPr>
                <w:rStyle w:val="Hyperlink"/>
                <w:bCs/>
                <w:color w:val="auto"/>
                <w:sz w:val="24"/>
                <w:szCs w:val="24"/>
                <w:u w:val="none"/>
                <w:lang w:val="en-US" w:eastAsia="en-US" w:bidi="ar-SA"/>
              </w:rPr>
            </w:pPr>
            <w:r w:rsidRPr="004A780B">
              <w:rPr>
                <w:rStyle w:val="Hyperlink"/>
                <w:bCs/>
                <w:color w:val="auto"/>
                <w:sz w:val="24"/>
                <w:szCs w:val="24"/>
                <w:u w:val="none"/>
                <w:lang w:val="en-US" w:eastAsia="en-US" w:bidi="ar-SA"/>
              </w:rPr>
              <w:t>Attorney Examiners:</w:t>
            </w:r>
          </w:p>
          <w:p w:rsidR="004E008C" w:rsidRPr="004A780B" w:rsidP="00050E95" w14:paraId="4DAD0B32" w14:textId="17DDD758">
            <w:pPr>
              <w:rPr>
                <w:bCs/>
                <w:sz w:val="24"/>
                <w:szCs w:val="24"/>
                <w:lang w:val="en-US" w:eastAsia="en-US" w:bidi="ar-SA"/>
              </w:rPr>
            </w:pPr>
            <w:hyperlink r:id="rId15" w:history="1">
              <w:r w:rsidRPr="004A780B" w:rsidR="009275EA">
                <w:rPr>
                  <w:rStyle w:val="Hyperlink"/>
                  <w:bCs/>
                  <w:color w:val="0000FF"/>
                  <w:sz w:val="24"/>
                  <w:szCs w:val="24"/>
                  <w:u w:val="single"/>
                  <w:lang w:val="en-US" w:eastAsia="en-US" w:bidi="ar-SA"/>
                </w:rPr>
                <w:t>david.hicks@puco.ohio.gov</w:t>
              </w:r>
            </w:hyperlink>
          </w:p>
          <w:p w:rsidR="009275EA" w:rsidRPr="004A780B" w:rsidP="00050E95" w14:paraId="449899B2" w14:textId="352CE9A4">
            <w:pPr>
              <w:rPr>
                <w:bCs/>
                <w:sz w:val="24"/>
                <w:szCs w:val="24"/>
                <w:lang w:val="en-US" w:eastAsia="en-US" w:bidi="ar-SA"/>
              </w:rPr>
            </w:pPr>
            <w:hyperlink r:id="rId16" w:history="1">
              <w:r w:rsidRPr="004A780B">
                <w:rPr>
                  <w:rStyle w:val="Hyperlink"/>
                  <w:bCs/>
                  <w:color w:val="0000FF"/>
                  <w:sz w:val="24"/>
                  <w:szCs w:val="24"/>
                  <w:u w:val="single"/>
                  <w:lang w:val="en-US" w:eastAsia="en-US" w:bidi="ar-SA"/>
                </w:rPr>
                <w:t>greta.see@puco.ohio.gov</w:t>
              </w:r>
            </w:hyperlink>
          </w:p>
          <w:p w:rsidR="009275EA" w:rsidRPr="004A780B" w:rsidP="00050E95" w14:paraId="39A2F660" w14:textId="77777777">
            <w:pPr>
              <w:rPr>
                <w:bCs/>
                <w:sz w:val="24"/>
                <w:szCs w:val="24"/>
                <w:lang w:val="en-US" w:eastAsia="en-US" w:bidi="ar-SA"/>
              </w:rPr>
            </w:pPr>
          </w:p>
          <w:p w:rsidR="0082139C" w:rsidRPr="004A780B" w:rsidP="00D5331E" w14:paraId="73F93B56" w14:textId="7A83A6B2">
            <w:pPr>
              <w:rPr>
                <w:bCs/>
                <w:sz w:val="24"/>
                <w:szCs w:val="24"/>
                <w:lang w:val="en-US" w:eastAsia="en-US" w:bidi="ar-SA"/>
              </w:rPr>
            </w:pPr>
          </w:p>
        </w:tc>
        <w:tc>
          <w:tcPr>
            <w:tcW w:w="4320" w:type="dxa"/>
            <w:shd w:val="clear" w:color="auto" w:fill="auto"/>
          </w:tcPr>
          <w:p w:rsidR="00050E95" w:rsidRPr="004A780B" w:rsidP="00050E95" w14:paraId="312FF719" w14:textId="77777777">
            <w:pPr>
              <w:rPr>
                <w:bCs/>
                <w:sz w:val="24"/>
                <w:szCs w:val="24"/>
                <w:lang w:val="en-US" w:eastAsia="en-US" w:bidi="ar-SA"/>
              </w:rPr>
            </w:pPr>
            <w:hyperlink r:id="rId17" w:history="1">
              <w:r w:rsidRPr="004A780B">
                <w:rPr>
                  <w:rStyle w:val="Hyperlink"/>
                  <w:bCs/>
                  <w:color w:val="0000FF"/>
                  <w:sz w:val="24"/>
                  <w:szCs w:val="24"/>
                  <w:u w:val="single"/>
                  <w:lang w:val="en-US" w:eastAsia="en-US" w:bidi="ar-SA"/>
                </w:rPr>
                <w:t>stnourse@aep.com</w:t>
              </w:r>
            </w:hyperlink>
          </w:p>
          <w:p w:rsidR="00D5331E" w:rsidRPr="004A780B" w:rsidP="00D5331E" w14:paraId="66CF522D" w14:textId="77777777">
            <w:pPr>
              <w:rPr>
                <w:bCs/>
                <w:sz w:val="24"/>
                <w:szCs w:val="24"/>
                <w:lang w:val="en-US" w:eastAsia="en-US" w:bidi="ar-SA"/>
              </w:rPr>
            </w:pPr>
            <w:hyperlink r:id="rId18" w:history="1">
              <w:r w:rsidRPr="004A780B">
                <w:rPr>
                  <w:rStyle w:val="Hyperlink"/>
                  <w:bCs/>
                  <w:color w:val="0000FF"/>
                  <w:sz w:val="24"/>
                  <w:szCs w:val="24"/>
                  <w:u w:val="single"/>
                  <w:lang w:val="en-US" w:eastAsia="en-US" w:bidi="ar-SA"/>
                </w:rPr>
                <w:t>dromig@nationwideenergypartners.com</w:t>
              </w:r>
            </w:hyperlink>
          </w:p>
          <w:p w:rsidR="002C7D60" w:rsidRPr="004A780B" w:rsidP="00DB6639" w14:paraId="3B663D9D" w14:textId="77777777">
            <w:pPr>
              <w:rPr>
                <w:bCs/>
                <w:sz w:val="24"/>
                <w:szCs w:val="24"/>
                <w:lang w:val="en-US" w:eastAsia="en-US" w:bidi="ar-SA"/>
              </w:rPr>
            </w:pPr>
          </w:p>
        </w:tc>
      </w:tr>
    </w:tbl>
    <w:p w:rsidR="00A5637F" w:rsidRPr="004A780B" w:rsidP="00DB6639" w14:paraId="00A354A7" w14:textId="77777777">
      <w:pPr>
        <w:tabs>
          <w:tab w:val="left" w:pos="4320"/>
        </w:tabs>
      </w:pPr>
    </w:p>
    <w:sectPr w:rsidSect="00B7426F">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1EB" w14:paraId="169ECC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7190339"/>
      <w:docPartObj>
        <w:docPartGallery w:val="Page Numbers (Bottom of Page)"/>
        <w:docPartUnique/>
      </w:docPartObj>
    </w:sdtPr>
    <w:sdtEndPr>
      <w:rPr>
        <w:noProof/>
      </w:rPr>
    </w:sdtEndPr>
    <w:sdtContent>
      <w:p w:rsidR="008936C2" w:rsidRPr="000F0A9C" w:rsidP="000F0A9C" w14:paraId="515FFC7A" w14:textId="18917D0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87F" w:rsidP="00DB6639" w14:paraId="18E08110" w14:textId="3BB02CFC">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rsidP="002C3812" w14:paraId="6D62D1F4" w14:textId="19E2624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rsidP="0021581F" w14:paraId="12F85826" w14:textId="1066341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426F" w14:paraId="5BBE0D4C" w14:textId="77777777">
      <w:r>
        <w:separator/>
      </w:r>
    </w:p>
  </w:footnote>
  <w:footnote w:type="continuationSeparator" w:id="1">
    <w:p w:rsidR="00B7426F" w14:paraId="187D77EC" w14:textId="77777777">
      <w:r>
        <w:continuationSeparator/>
      </w:r>
    </w:p>
  </w:footnote>
  <w:footnote w:type="continuationNotice" w:id="2">
    <w:p w:rsidR="00B7426F" w14:paraId="46D83277" w14:textId="77777777"/>
  </w:footnote>
  <w:footnote w:id="3">
    <w:p w:rsidR="00111BD6" w:rsidRPr="00111BD6" w:rsidP="004A780B" w14:paraId="1FBA7034" w14:textId="187AE1D8">
      <w:pPr>
        <w:pStyle w:val="FootnoteText"/>
        <w:spacing w:before="0" w:after="120"/>
      </w:pPr>
      <w:r>
        <w:rPr>
          <w:rStyle w:val="FootnoteReference"/>
        </w:rPr>
        <w:footnoteRef/>
      </w:r>
      <w:r>
        <w:t xml:space="preserve"> </w:t>
      </w:r>
      <w:r>
        <w:rPr>
          <w:i/>
          <w:iCs/>
        </w:rPr>
        <w:t xml:space="preserve">In the Matter of the Complaint of Ohio Power Company v. Nationwide Energy Partners, LLC, </w:t>
      </w:r>
      <w:r>
        <w:t>Case No. 21-990-EL-CSS, Opinion and Order (September 6, 2023)</w:t>
      </w:r>
      <w:r w:rsidR="00ED0BEF">
        <w:t xml:space="preserve"> (</w:t>
      </w:r>
      <w:r w:rsidR="004A780B">
        <w:t>“</w:t>
      </w:r>
      <w:r w:rsidR="00ED0BEF">
        <w:t>NEP Order</w:t>
      </w:r>
      <w:r w:rsidR="004A780B">
        <w:t>”</w:t>
      </w:r>
      <w:r w:rsidR="00ED0BEF">
        <w:t>)</w:t>
      </w:r>
      <w:r>
        <w:t xml:space="preserve"> at </w:t>
      </w:r>
      <w:r w:rsidR="00DA40C0">
        <w:t>¶¶</w:t>
      </w:r>
      <w:r>
        <w:t xml:space="preserve"> 224-225.</w:t>
      </w:r>
    </w:p>
  </w:footnote>
  <w:footnote w:id="4">
    <w:p w:rsidR="00444D83" w:rsidRPr="00045B84" w:rsidP="004A780B" w14:paraId="7D720305" w14:textId="77777777">
      <w:pPr>
        <w:pStyle w:val="FootnoteText"/>
        <w:spacing w:before="0" w:after="120"/>
      </w:pPr>
      <w:r>
        <w:rPr>
          <w:rStyle w:val="FootnoteReference"/>
        </w:rPr>
        <w:footnoteRef/>
      </w:r>
      <w:r>
        <w:t xml:space="preserve"> </w:t>
      </w:r>
      <w:r>
        <w:rPr>
          <w:i/>
          <w:iCs/>
        </w:rPr>
        <w:t>Id.</w:t>
      </w:r>
      <w:r>
        <w:t xml:space="preserve"> at ¶ 224.</w:t>
      </w:r>
    </w:p>
  </w:footnote>
  <w:footnote w:id="5">
    <w:p w:rsidR="008A1088" w:rsidP="004A780B" w14:paraId="53037AE5" w14:textId="40A21EE7">
      <w:pPr>
        <w:pStyle w:val="FootnoteText"/>
        <w:spacing w:before="0" w:after="120"/>
      </w:pPr>
      <w:r>
        <w:rPr>
          <w:rStyle w:val="FootnoteReference"/>
        </w:rPr>
        <w:footnoteRef/>
      </w:r>
      <w:r>
        <w:t xml:space="preserve"> AEP Ohio Application, at 1.</w:t>
      </w:r>
      <w:r w:rsidR="00444D83">
        <w:t xml:space="preserve"> (Emphasis added.)</w:t>
      </w:r>
    </w:p>
  </w:footnote>
  <w:footnote w:id="6">
    <w:p w:rsidR="008C754E" w:rsidRPr="008C754E" w:rsidP="004A780B" w14:paraId="50E22F02" w14:textId="034F46C9">
      <w:pPr>
        <w:pStyle w:val="FootnoteText"/>
        <w:spacing w:before="0" w:after="120"/>
      </w:pPr>
      <w:r>
        <w:rPr>
          <w:rStyle w:val="FootnoteReference"/>
        </w:rPr>
        <w:footnoteRef/>
      </w:r>
      <w:r>
        <w:t xml:space="preserve"> </w:t>
      </w:r>
      <w:r w:rsidRPr="004A780B">
        <w:rPr>
          <w:i/>
          <w:iCs/>
        </w:rPr>
        <w:t>In the Matter of the Application of Ohio Power Company for Authority to Abandon Electric Service Lines, Pursuant to Ohio Revised Code Sections 4905.20 and 4905.21</w:t>
      </w:r>
      <w:r>
        <w:t xml:space="preserve">, Case No. 22-693-EL-ABN, Application (July 11, 2022) at </w:t>
      </w:r>
      <w:r w:rsidR="004A780B">
        <w:t>¶</w:t>
      </w:r>
      <w:r w:rsidR="00D5119E">
        <w:t>¶</w:t>
      </w:r>
      <w:r>
        <w:t xml:space="preserve"> 11-12.</w:t>
      </w:r>
    </w:p>
  </w:footnote>
  <w:footnote w:id="7">
    <w:p w:rsidR="00487700" w:rsidRPr="00487700" w:rsidP="004A780B" w14:paraId="08C8A083" w14:textId="32E675EB">
      <w:pPr>
        <w:pStyle w:val="FootnoteText"/>
        <w:spacing w:before="0" w:after="120"/>
      </w:pPr>
      <w:r>
        <w:rPr>
          <w:rStyle w:val="FootnoteReference"/>
        </w:rPr>
        <w:footnoteRef/>
      </w:r>
      <w:r>
        <w:t xml:space="preserve"> </w:t>
      </w:r>
      <w:r>
        <w:rPr>
          <w:i/>
          <w:iCs/>
        </w:rPr>
        <w:t>Id.</w:t>
      </w:r>
      <w:r>
        <w:t xml:space="preserve"> at </w:t>
      </w:r>
      <w:r w:rsidR="004A780B">
        <w:t>¶</w:t>
      </w:r>
      <w:r>
        <w:t xml:space="preserve"> 5.</w:t>
      </w:r>
    </w:p>
  </w:footnote>
  <w:footnote w:id="8">
    <w:p w:rsidR="005834B2" w:rsidP="004A780B" w14:paraId="23DEE0A6" w14:textId="22ABC8CE">
      <w:pPr>
        <w:pStyle w:val="FootnoteText"/>
        <w:spacing w:before="0" w:after="120"/>
      </w:pPr>
      <w:r>
        <w:rPr>
          <w:rStyle w:val="FootnoteReference"/>
        </w:rPr>
        <w:footnoteRef/>
      </w:r>
      <w:r>
        <w:t xml:space="preserve"> </w:t>
      </w:r>
      <w:bookmarkStart w:id="2" w:name="_Hlk161229720"/>
      <w:r>
        <w:rPr>
          <w:i/>
          <w:iCs/>
        </w:rPr>
        <w:t xml:space="preserve">In the Matter of the Complaint of Ohio Power Company v. Nationwide Energy Partners, LLC, </w:t>
      </w:r>
      <w:r>
        <w:t xml:space="preserve">Case No. 21-990-EL-CSS, Opinion and Order (September 6, 2023) at </w:t>
      </w:r>
      <w:r w:rsidR="00DA40C0">
        <w:t>¶¶</w:t>
      </w:r>
      <w:r>
        <w:t xml:space="preserve"> 224</w:t>
      </w:r>
      <w:bookmarkEnd w:id="2"/>
      <w:r>
        <w:t>-225.</w:t>
      </w:r>
    </w:p>
  </w:footnote>
  <w:footnote w:id="9">
    <w:p w:rsidR="00ED0BEF" w:rsidRPr="00045B84" w:rsidP="004A780B" w14:paraId="7E4FDC7E" w14:textId="77777777">
      <w:pPr>
        <w:pStyle w:val="FootnoteText"/>
        <w:spacing w:before="0" w:after="120"/>
      </w:pPr>
      <w:r>
        <w:rPr>
          <w:rStyle w:val="FootnoteReference"/>
        </w:rPr>
        <w:footnoteRef/>
      </w:r>
      <w:r>
        <w:t xml:space="preserve"> </w:t>
      </w:r>
      <w:r>
        <w:rPr>
          <w:i/>
          <w:iCs/>
        </w:rPr>
        <w:t>Id.</w:t>
      </w:r>
      <w:r>
        <w:t xml:space="preserve"> at ¶ 224.</w:t>
      </w:r>
    </w:p>
  </w:footnote>
  <w:footnote w:id="10">
    <w:p w:rsidR="005D63CE" w:rsidRPr="008C754E" w:rsidP="004A780B" w14:paraId="61DF04F2" w14:textId="2BE4EEB3">
      <w:pPr>
        <w:pStyle w:val="FootnoteText"/>
        <w:spacing w:before="0" w:after="120"/>
      </w:pPr>
      <w:r>
        <w:rPr>
          <w:rStyle w:val="FootnoteReference"/>
        </w:rPr>
        <w:footnoteRef/>
      </w:r>
      <w:r>
        <w:t xml:space="preserve"> </w:t>
      </w:r>
      <w:r w:rsidRPr="00667B4F">
        <w:rPr>
          <w:i/>
          <w:iCs/>
        </w:rPr>
        <w:t>In the Matter of the Application of Ohio Power Company for Authority to Abandon Electric Service Lines, Pursuant to Ohio Revised Code Sections 4905.20 and 4905.21</w:t>
      </w:r>
      <w:r>
        <w:t xml:space="preserve">, Case No. 22-693-EL-ABN, Application (July 11, 2022) at </w:t>
      </w:r>
      <w:r w:rsidR="004A780B">
        <w:t>¶</w:t>
      </w:r>
      <w:r w:rsidR="00CC56AE">
        <w:t>¶</w:t>
      </w:r>
      <w:r>
        <w:t xml:space="preserve"> 11-12.</w:t>
      </w:r>
    </w:p>
  </w:footnote>
  <w:footnote w:id="11">
    <w:p w:rsidR="005D63CE" w:rsidRPr="00487700" w:rsidP="004A780B" w14:paraId="5F93932D" w14:textId="60D5DC80">
      <w:pPr>
        <w:pStyle w:val="FootnoteText"/>
        <w:spacing w:before="0" w:after="120"/>
      </w:pPr>
      <w:r>
        <w:rPr>
          <w:rStyle w:val="FootnoteReference"/>
        </w:rPr>
        <w:footnoteRef/>
      </w:r>
      <w:r>
        <w:t xml:space="preserve"> </w:t>
      </w:r>
      <w:r>
        <w:rPr>
          <w:i/>
          <w:iCs/>
        </w:rPr>
        <w:t>Id.</w:t>
      </w:r>
      <w:r>
        <w:t xml:space="preserve"> at </w:t>
      </w:r>
      <w:r w:rsidR="004A780B">
        <w:t>¶</w:t>
      </w:r>
      <w:r>
        <w:t xml:space="preserve"> 5.</w:t>
      </w:r>
    </w:p>
  </w:footnote>
  <w:footnote w:id="12">
    <w:p w:rsidR="005D63CE" w:rsidRPr="004A780B" w:rsidP="004A780B" w14:paraId="57002F05" w14:textId="3EDC7E3E">
      <w:pPr>
        <w:pStyle w:val="FootnoteText"/>
        <w:spacing w:before="0" w:after="120"/>
        <w:rPr>
          <w:i/>
          <w:iCs/>
        </w:rPr>
      </w:pPr>
      <w:r>
        <w:rPr>
          <w:rStyle w:val="FootnoteReference"/>
        </w:rPr>
        <w:footnoteRef/>
      </w:r>
      <w:r>
        <w:t xml:space="preserve"> </w:t>
      </w:r>
      <w:r>
        <w:rPr>
          <w:i/>
          <w:iCs/>
        </w:rPr>
        <w:t>Id.</w:t>
      </w:r>
    </w:p>
  </w:footnote>
  <w:footnote w:id="13">
    <w:p w:rsidR="00C53682" w:rsidRPr="006820EE" w:rsidP="004A780B" w14:paraId="7DE0CBE7" w14:textId="4F2BCC17">
      <w:pPr>
        <w:pStyle w:val="FootnoteText"/>
        <w:spacing w:before="0" w:after="120"/>
        <w:rPr>
          <w:i/>
          <w:iCs/>
        </w:rPr>
      </w:pPr>
      <w:r>
        <w:rPr>
          <w:rStyle w:val="FootnoteReference"/>
        </w:rPr>
        <w:footnoteRef/>
      </w:r>
      <w:r>
        <w:t xml:space="preserve"> </w:t>
      </w:r>
      <w:r w:rsidR="00FB23FA">
        <w:rPr>
          <w:i/>
          <w:iCs/>
        </w:rPr>
        <w:t xml:space="preserve">In the Matter of the Complaint of Ohio Power Company v. Nationwide Energy Partners, LLC, </w:t>
      </w:r>
      <w:r w:rsidR="00FB23FA">
        <w:t>Case No. 21-990-EL-CSS, Opinion and Order (September 6, 2023) at ¶</w:t>
      </w:r>
      <w:r w:rsidR="001E7E83">
        <w:t xml:space="preserve"> </w:t>
      </w:r>
      <w:r w:rsidR="00FB23FA">
        <w:t>224</w:t>
      </w:r>
      <w:r>
        <w:rPr>
          <w:i/>
          <w:iCs/>
        </w:rPr>
        <w:t>.</w:t>
      </w:r>
    </w:p>
  </w:footnote>
  <w:footnote w:id="14">
    <w:p w:rsidR="00732C43" w:rsidP="004A780B" w14:paraId="5BA5F8BA" w14:textId="77777777">
      <w:pPr>
        <w:pStyle w:val="FootnoteText"/>
        <w:spacing w:before="0" w:after="120"/>
      </w:pPr>
      <w:r>
        <w:rPr>
          <w:rStyle w:val="FootnoteReference"/>
        </w:rPr>
        <w:footnoteRef/>
      </w:r>
      <w:r>
        <w:t xml:space="preserve"> AEP Ohio Application, at 1. (Emphasis added.)</w:t>
      </w:r>
    </w:p>
  </w:footnote>
  <w:footnote w:id="15">
    <w:p w:rsidR="000A4775" w:rsidRPr="00194C69" w:rsidP="004A780B" w14:paraId="4C4551EC" w14:textId="329474D3">
      <w:pPr>
        <w:pStyle w:val="FootnoteText"/>
        <w:spacing w:before="0" w:after="120"/>
      </w:pPr>
      <w:r>
        <w:rPr>
          <w:rStyle w:val="FootnoteReference"/>
        </w:rPr>
        <w:footnoteRef/>
      </w:r>
      <w:r>
        <w:t xml:space="preserve"> </w:t>
      </w:r>
      <w:r>
        <w:rPr>
          <w:i/>
          <w:iCs/>
        </w:rPr>
        <w:t xml:space="preserve">In the Matter of the Application of Ohio Power Company for Authority to Abandon Electric Service Lines, Pursuant to Ohio Revised Code Sections 4905.20 and 4905.21, </w:t>
      </w:r>
      <w:r>
        <w:t xml:space="preserve">Case No. </w:t>
      </w:r>
      <w:r w:rsidRPr="00302D66" w:rsidR="00302D66">
        <w:t>22-693-EL-ABN</w:t>
      </w:r>
      <w:r>
        <w:t>, Motion to Intervene and Memorandum in Support by Office of the Ohio Consumers</w:t>
      </w:r>
      <w:r w:rsidR="004A780B">
        <w:t>’</w:t>
      </w:r>
      <w:r>
        <w:t xml:space="preserve"> Counsel (September 9, 2022), Consumer Protection Comments by Office of the Ohio Consumers</w:t>
      </w:r>
      <w:r w:rsidR="004A780B">
        <w:t>’</w:t>
      </w:r>
      <w:r>
        <w:t xml:space="preserve"> Counsel (December 4, 2023), and Consumer Protection Reply Comments by Office of the Ohio Consumers</w:t>
      </w:r>
      <w:r w:rsidR="004A780B">
        <w:t>’</w:t>
      </w:r>
      <w:r>
        <w:t xml:space="preserve"> Counsel (December 19, 2023).</w:t>
      </w:r>
    </w:p>
  </w:footnote>
  <w:footnote w:id="16">
    <w:p w:rsidR="004D14D4" w:rsidP="004A780B" w14:paraId="6EFC569F" w14:textId="6E8CD37D">
      <w:pPr>
        <w:pStyle w:val="FootnoteText"/>
        <w:spacing w:before="0" w:after="120"/>
      </w:pPr>
      <w:r>
        <w:rPr>
          <w:rStyle w:val="FootnoteReference"/>
        </w:rPr>
        <w:footnoteRef/>
      </w:r>
      <w:r>
        <w:rPr>
          <w:i/>
        </w:rPr>
        <w:t xml:space="preserve"> See Ohio Consumers</w:t>
      </w:r>
      <w:r w:rsidR="004A780B">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1EB" w14:paraId="64537E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1EB" w14:paraId="4CA64E1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1EB" w14:paraId="7C8A90E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3DF9F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24ED17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02A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2"/>
  </w:num>
  <w:num w:numId="5">
    <w:abstractNumId w:val="13"/>
  </w:num>
  <w:num w:numId="6">
    <w:abstractNumId w:val="12"/>
  </w:num>
  <w:num w:numId="7">
    <w:abstractNumId w:val="3"/>
  </w:num>
  <w:num w:numId="8">
    <w:abstractNumId w:val="7"/>
  </w:num>
  <w:num w:numId="9">
    <w:abstractNumId w:val="5"/>
  </w:num>
  <w:num w:numId="10">
    <w:abstractNumId w:val="21"/>
  </w:num>
  <w:num w:numId="11">
    <w:abstractNumId w:val="0"/>
  </w:num>
  <w:num w:numId="12">
    <w:abstractNumId w:val="18"/>
  </w:num>
  <w:num w:numId="13">
    <w:abstractNumId w:val="25"/>
  </w:num>
  <w:num w:numId="14">
    <w:abstractNumId w:val="10"/>
  </w:num>
  <w:num w:numId="15">
    <w:abstractNumId w:val="22"/>
  </w:num>
  <w:num w:numId="16">
    <w:abstractNumId w:val="24"/>
  </w:num>
  <w:num w:numId="17">
    <w:abstractNumId w:val="8"/>
  </w:num>
  <w:num w:numId="18">
    <w:abstractNumId w:val="11"/>
  </w:num>
  <w:num w:numId="19">
    <w:abstractNumId w:val="19"/>
  </w:num>
  <w:num w:numId="20">
    <w:abstractNumId w:val="4"/>
  </w:num>
  <w:num w:numId="21">
    <w:abstractNumId w:val="16"/>
  </w:num>
  <w:num w:numId="22">
    <w:abstractNumId w:val="15"/>
  </w:num>
  <w:num w:numId="23">
    <w:abstractNumId w:val="20"/>
  </w:num>
  <w:num w:numId="24">
    <w:abstractNumId w:val="1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2131F"/>
    <w:rsid w:val="00021852"/>
    <w:rsid w:val="00023BAE"/>
    <w:rsid w:val="000277A9"/>
    <w:rsid w:val="000330D3"/>
    <w:rsid w:val="00037E1B"/>
    <w:rsid w:val="000451CF"/>
    <w:rsid w:val="000457B7"/>
    <w:rsid w:val="00045B84"/>
    <w:rsid w:val="00050E95"/>
    <w:rsid w:val="0005101E"/>
    <w:rsid w:val="000511D6"/>
    <w:rsid w:val="00054998"/>
    <w:rsid w:val="00066FAC"/>
    <w:rsid w:val="00067A34"/>
    <w:rsid w:val="00071BE3"/>
    <w:rsid w:val="00076BDE"/>
    <w:rsid w:val="00082870"/>
    <w:rsid w:val="00083102"/>
    <w:rsid w:val="00087A0A"/>
    <w:rsid w:val="00090C9A"/>
    <w:rsid w:val="00094959"/>
    <w:rsid w:val="000953E4"/>
    <w:rsid w:val="000A1059"/>
    <w:rsid w:val="000A35C6"/>
    <w:rsid w:val="000A4775"/>
    <w:rsid w:val="000B6A5B"/>
    <w:rsid w:val="000C20F7"/>
    <w:rsid w:val="000C4282"/>
    <w:rsid w:val="000D15A6"/>
    <w:rsid w:val="000D2136"/>
    <w:rsid w:val="000D587F"/>
    <w:rsid w:val="000E0D5C"/>
    <w:rsid w:val="000E1935"/>
    <w:rsid w:val="000F0A9C"/>
    <w:rsid w:val="001075A8"/>
    <w:rsid w:val="001107BE"/>
    <w:rsid w:val="0011134C"/>
    <w:rsid w:val="00111BD6"/>
    <w:rsid w:val="00112E29"/>
    <w:rsid w:val="00114B63"/>
    <w:rsid w:val="0012231D"/>
    <w:rsid w:val="00133319"/>
    <w:rsid w:val="001365EF"/>
    <w:rsid w:val="00136CD8"/>
    <w:rsid w:val="00136E3A"/>
    <w:rsid w:val="00142EBC"/>
    <w:rsid w:val="00151D3D"/>
    <w:rsid w:val="001531AE"/>
    <w:rsid w:val="00153773"/>
    <w:rsid w:val="00165484"/>
    <w:rsid w:val="00180197"/>
    <w:rsid w:val="00180B87"/>
    <w:rsid w:val="00184FD7"/>
    <w:rsid w:val="001850AE"/>
    <w:rsid w:val="00194C69"/>
    <w:rsid w:val="0019554F"/>
    <w:rsid w:val="001B4F98"/>
    <w:rsid w:val="001C0912"/>
    <w:rsid w:val="001C6FA3"/>
    <w:rsid w:val="001D0897"/>
    <w:rsid w:val="001D6BA8"/>
    <w:rsid w:val="001E4B91"/>
    <w:rsid w:val="001E7E83"/>
    <w:rsid w:val="001F46B8"/>
    <w:rsid w:val="001F5C86"/>
    <w:rsid w:val="002011CF"/>
    <w:rsid w:val="00203C79"/>
    <w:rsid w:val="0021581F"/>
    <w:rsid w:val="0022072D"/>
    <w:rsid w:val="002249B5"/>
    <w:rsid w:val="00233B91"/>
    <w:rsid w:val="00236255"/>
    <w:rsid w:val="00240F08"/>
    <w:rsid w:val="002423F2"/>
    <w:rsid w:val="0024284C"/>
    <w:rsid w:val="00251300"/>
    <w:rsid w:val="00254476"/>
    <w:rsid w:val="00255A79"/>
    <w:rsid w:val="00270856"/>
    <w:rsid w:val="0027171F"/>
    <w:rsid w:val="00273CEA"/>
    <w:rsid w:val="0027466D"/>
    <w:rsid w:val="00282DD0"/>
    <w:rsid w:val="0028384C"/>
    <w:rsid w:val="00290440"/>
    <w:rsid w:val="00292131"/>
    <w:rsid w:val="00292B26"/>
    <w:rsid w:val="002A375F"/>
    <w:rsid w:val="002A4912"/>
    <w:rsid w:val="002A683D"/>
    <w:rsid w:val="002C20F3"/>
    <w:rsid w:val="002C3812"/>
    <w:rsid w:val="002C48DC"/>
    <w:rsid w:val="002C7D60"/>
    <w:rsid w:val="002D1714"/>
    <w:rsid w:val="002D1902"/>
    <w:rsid w:val="002D29C3"/>
    <w:rsid w:val="002D3482"/>
    <w:rsid w:val="002E21B0"/>
    <w:rsid w:val="002E5118"/>
    <w:rsid w:val="002E5BD6"/>
    <w:rsid w:val="002E61B7"/>
    <w:rsid w:val="002F205E"/>
    <w:rsid w:val="003005ED"/>
    <w:rsid w:val="003026A8"/>
    <w:rsid w:val="00302790"/>
    <w:rsid w:val="00302D66"/>
    <w:rsid w:val="00311285"/>
    <w:rsid w:val="0031242C"/>
    <w:rsid w:val="00315C60"/>
    <w:rsid w:val="00320F5D"/>
    <w:rsid w:val="003258C2"/>
    <w:rsid w:val="003418A8"/>
    <w:rsid w:val="00343FD2"/>
    <w:rsid w:val="00351760"/>
    <w:rsid w:val="003558EF"/>
    <w:rsid w:val="00355EF6"/>
    <w:rsid w:val="003604E7"/>
    <w:rsid w:val="00367461"/>
    <w:rsid w:val="00372776"/>
    <w:rsid w:val="0037614B"/>
    <w:rsid w:val="003801D3"/>
    <w:rsid w:val="00380B6D"/>
    <w:rsid w:val="0038311C"/>
    <w:rsid w:val="003843B1"/>
    <w:rsid w:val="003864B5"/>
    <w:rsid w:val="00387C2C"/>
    <w:rsid w:val="00392196"/>
    <w:rsid w:val="003943B4"/>
    <w:rsid w:val="00394EB1"/>
    <w:rsid w:val="00397C34"/>
    <w:rsid w:val="003A2BCE"/>
    <w:rsid w:val="003A55EB"/>
    <w:rsid w:val="003B2653"/>
    <w:rsid w:val="003B3BA0"/>
    <w:rsid w:val="003B5A65"/>
    <w:rsid w:val="003B7BFA"/>
    <w:rsid w:val="003B7CA8"/>
    <w:rsid w:val="003C1DCE"/>
    <w:rsid w:val="003C240A"/>
    <w:rsid w:val="003D1A04"/>
    <w:rsid w:val="003D23A5"/>
    <w:rsid w:val="003D4F9A"/>
    <w:rsid w:val="003D7A0C"/>
    <w:rsid w:val="003E41D6"/>
    <w:rsid w:val="003E6509"/>
    <w:rsid w:val="003E6511"/>
    <w:rsid w:val="003E6D05"/>
    <w:rsid w:val="003E7261"/>
    <w:rsid w:val="003F0FBF"/>
    <w:rsid w:val="003F52E7"/>
    <w:rsid w:val="003F6E1A"/>
    <w:rsid w:val="004015F8"/>
    <w:rsid w:val="00407FF9"/>
    <w:rsid w:val="00412123"/>
    <w:rsid w:val="00415A83"/>
    <w:rsid w:val="00421D8A"/>
    <w:rsid w:val="004256EA"/>
    <w:rsid w:val="004306B9"/>
    <w:rsid w:val="00437A5C"/>
    <w:rsid w:val="00441487"/>
    <w:rsid w:val="004417B3"/>
    <w:rsid w:val="00444D83"/>
    <w:rsid w:val="00451F1C"/>
    <w:rsid w:val="00452DB3"/>
    <w:rsid w:val="004550E8"/>
    <w:rsid w:val="004569A0"/>
    <w:rsid w:val="00465278"/>
    <w:rsid w:val="0047251D"/>
    <w:rsid w:val="00476981"/>
    <w:rsid w:val="004857B4"/>
    <w:rsid w:val="00486D84"/>
    <w:rsid w:val="00487700"/>
    <w:rsid w:val="00492585"/>
    <w:rsid w:val="00492D19"/>
    <w:rsid w:val="00493B5B"/>
    <w:rsid w:val="00493C2E"/>
    <w:rsid w:val="004943AC"/>
    <w:rsid w:val="00496E1F"/>
    <w:rsid w:val="00497B9F"/>
    <w:rsid w:val="004A330E"/>
    <w:rsid w:val="004A3C94"/>
    <w:rsid w:val="004A691D"/>
    <w:rsid w:val="004A6EB6"/>
    <w:rsid w:val="004A780B"/>
    <w:rsid w:val="004A7AF2"/>
    <w:rsid w:val="004B7158"/>
    <w:rsid w:val="004C3F8D"/>
    <w:rsid w:val="004C5420"/>
    <w:rsid w:val="004C5A66"/>
    <w:rsid w:val="004D14D4"/>
    <w:rsid w:val="004D2087"/>
    <w:rsid w:val="004D2153"/>
    <w:rsid w:val="004D618A"/>
    <w:rsid w:val="004E008C"/>
    <w:rsid w:val="004E40A2"/>
    <w:rsid w:val="004E78F9"/>
    <w:rsid w:val="004F20DA"/>
    <w:rsid w:val="004F2E70"/>
    <w:rsid w:val="0050288B"/>
    <w:rsid w:val="00502946"/>
    <w:rsid w:val="00502B03"/>
    <w:rsid w:val="00503587"/>
    <w:rsid w:val="00504C2E"/>
    <w:rsid w:val="005075C1"/>
    <w:rsid w:val="00511685"/>
    <w:rsid w:val="00512B71"/>
    <w:rsid w:val="0051520D"/>
    <w:rsid w:val="005234CD"/>
    <w:rsid w:val="00526491"/>
    <w:rsid w:val="00526A48"/>
    <w:rsid w:val="005270F0"/>
    <w:rsid w:val="00527999"/>
    <w:rsid w:val="00534756"/>
    <w:rsid w:val="00540A30"/>
    <w:rsid w:val="00546956"/>
    <w:rsid w:val="0055107B"/>
    <w:rsid w:val="0055143F"/>
    <w:rsid w:val="00555315"/>
    <w:rsid w:val="00557F89"/>
    <w:rsid w:val="00561894"/>
    <w:rsid w:val="00576439"/>
    <w:rsid w:val="00580E1B"/>
    <w:rsid w:val="005834B2"/>
    <w:rsid w:val="00587EAA"/>
    <w:rsid w:val="0059543B"/>
    <w:rsid w:val="005959CA"/>
    <w:rsid w:val="005A6744"/>
    <w:rsid w:val="005A6D15"/>
    <w:rsid w:val="005B209C"/>
    <w:rsid w:val="005B4B0A"/>
    <w:rsid w:val="005C33FF"/>
    <w:rsid w:val="005D08D2"/>
    <w:rsid w:val="005D5E7D"/>
    <w:rsid w:val="005D63CE"/>
    <w:rsid w:val="005E6DAD"/>
    <w:rsid w:val="005F1D3B"/>
    <w:rsid w:val="005F7781"/>
    <w:rsid w:val="0060001E"/>
    <w:rsid w:val="00600468"/>
    <w:rsid w:val="00600977"/>
    <w:rsid w:val="00601A67"/>
    <w:rsid w:val="00604F8E"/>
    <w:rsid w:val="0060650A"/>
    <w:rsid w:val="0062108F"/>
    <w:rsid w:val="00624184"/>
    <w:rsid w:val="0063027F"/>
    <w:rsid w:val="00631CC7"/>
    <w:rsid w:val="00633A6B"/>
    <w:rsid w:val="00637ED7"/>
    <w:rsid w:val="00641070"/>
    <w:rsid w:val="00641BAF"/>
    <w:rsid w:val="0064211D"/>
    <w:rsid w:val="0064262C"/>
    <w:rsid w:val="00642EE0"/>
    <w:rsid w:val="00644835"/>
    <w:rsid w:val="00650CFA"/>
    <w:rsid w:val="0065217E"/>
    <w:rsid w:val="0066433D"/>
    <w:rsid w:val="00665EE2"/>
    <w:rsid w:val="00667426"/>
    <w:rsid w:val="00667B4F"/>
    <w:rsid w:val="0067395A"/>
    <w:rsid w:val="00673F15"/>
    <w:rsid w:val="006755BB"/>
    <w:rsid w:val="00675DEF"/>
    <w:rsid w:val="006820EE"/>
    <w:rsid w:val="00692036"/>
    <w:rsid w:val="0069241E"/>
    <w:rsid w:val="006B3D4D"/>
    <w:rsid w:val="006B6CEE"/>
    <w:rsid w:val="006C522E"/>
    <w:rsid w:val="006C5841"/>
    <w:rsid w:val="006C5A50"/>
    <w:rsid w:val="006D2F15"/>
    <w:rsid w:val="006E1293"/>
    <w:rsid w:val="006E3A5C"/>
    <w:rsid w:val="006E3B64"/>
    <w:rsid w:val="006E6967"/>
    <w:rsid w:val="006E7561"/>
    <w:rsid w:val="006F6268"/>
    <w:rsid w:val="006F6C88"/>
    <w:rsid w:val="00705DD2"/>
    <w:rsid w:val="00711444"/>
    <w:rsid w:val="007134F2"/>
    <w:rsid w:val="00714F95"/>
    <w:rsid w:val="0072721B"/>
    <w:rsid w:val="00730C0C"/>
    <w:rsid w:val="00732C43"/>
    <w:rsid w:val="00732F27"/>
    <w:rsid w:val="00754642"/>
    <w:rsid w:val="00754DDF"/>
    <w:rsid w:val="00755402"/>
    <w:rsid w:val="00760606"/>
    <w:rsid w:val="00760DE9"/>
    <w:rsid w:val="00763EA2"/>
    <w:rsid w:val="00764DB5"/>
    <w:rsid w:val="0076652C"/>
    <w:rsid w:val="00772D32"/>
    <w:rsid w:val="00783CE2"/>
    <w:rsid w:val="00784859"/>
    <w:rsid w:val="00784D8A"/>
    <w:rsid w:val="0078718F"/>
    <w:rsid w:val="00792DA3"/>
    <w:rsid w:val="007B6430"/>
    <w:rsid w:val="007C5DF4"/>
    <w:rsid w:val="007D076D"/>
    <w:rsid w:val="007D395D"/>
    <w:rsid w:val="007E000E"/>
    <w:rsid w:val="007E0B3F"/>
    <w:rsid w:val="007F18AC"/>
    <w:rsid w:val="00806351"/>
    <w:rsid w:val="00806B12"/>
    <w:rsid w:val="0082139C"/>
    <w:rsid w:val="00827211"/>
    <w:rsid w:val="00830862"/>
    <w:rsid w:val="008318BD"/>
    <w:rsid w:val="0083578A"/>
    <w:rsid w:val="00837736"/>
    <w:rsid w:val="00837FCB"/>
    <w:rsid w:val="0084217B"/>
    <w:rsid w:val="00843D9A"/>
    <w:rsid w:val="00844294"/>
    <w:rsid w:val="00845A5D"/>
    <w:rsid w:val="008471F8"/>
    <w:rsid w:val="00852654"/>
    <w:rsid w:val="00857EE9"/>
    <w:rsid w:val="00865E16"/>
    <w:rsid w:val="008663A9"/>
    <w:rsid w:val="00883415"/>
    <w:rsid w:val="008873D1"/>
    <w:rsid w:val="00891076"/>
    <w:rsid w:val="00891DF4"/>
    <w:rsid w:val="008936C2"/>
    <w:rsid w:val="008A1088"/>
    <w:rsid w:val="008A1894"/>
    <w:rsid w:val="008A7BF2"/>
    <w:rsid w:val="008B0351"/>
    <w:rsid w:val="008B0AFF"/>
    <w:rsid w:val="008B1879"/>
    <w:rsid w:val="008B1FAA"/>
    <w:rsid w:val="008B571A"/>
    <w:rsid w:val="008B5EEF"/>
    <w:rsid w:val="008C3DAE"/>
    <w:rsid w:val="008C754E"/>
    <w:rsid w:val="008D33C8"/>
    <w:rsid w:val="008D3A4F"/>
    <w:rsid w:val="008E1E4E"/>
    <w:rsid w:val="008E5CF6"/>
    <w:rsid w:val="008F2320"/>
    <w:rsid w:val="008F2C24"/>
    <w:rsid w:val="008F4272"/>
    <w:rsid w:val="009119FC"/>
    <w:rsid w:val="00925488"/>
    <w:rsid w:val="009275EA"/>
    <w:rsid w:val="00931325"/>
    <w:rsid w:val="00933D87"/>
    <w:rsid w:val="00934A3F"/>
    <w:rsid w:val="00936A26"/>
    <w:rsid w:val="00943AF2"/>
    <w:rsid w:val="009512E6"/>
    <w:rsid w:val="00956600"/>
    <w:rsid w:val="00957B28"/>
    <w:rsid w:val="00961D96"/>
    <w:rsid w:val="0096282F"/>
    <w:rsid w:val="00971D8D"/>
    <w:rsid w:val="00982990"/>
    <w:rsid w:val="00983F12"/>
    <w:rsid w:val="0099127C"/>
    <w:rsid w:val="00992355"/>
    <w:rsid w:val="00992E47"/>
    <w:rsid w:val="0099436D"/>
    <w:rsid w:val="0099438F"/>
    <w:rsid w:val="009A775D"/>
    <w:rsid w:val="009B246C"/>
    <w:rsid w:val="009B6D8B"/>
    <w:rsid w:val="009B79D5"/>
    <w:rsid w:val="009C3DA4"/>
    <w:rsid w:val="009C40B1"/>
    <w:rsid w:val="009D31FF"/>
    <w:rsid w:val="009D468C"/>
    <w:rsid w:val="009E706C"/>
    <w:rsid w:val="009E70D5"/>
    <w:rsid w:val="009F067A"/>
    <w:rsid w:val="009F144B"/>
    <w:rsid w:val="009F2EA1"/>
    <w:rsid w:val="009F553E"/>
    <w:rsid w:val="00A044B5"/>
    <w:rsid w:val="00A0729B"/>
    <w:rsid w:val="00A12ADC"/>
    <w:rsid w:val="00A13D5B"/>
    <w:rsid w:val="00A14281"/>
    <w:rsid w:val="00A32250"/>
    <w:rsid w:val="00A35CA9"/>
    <w:rsid w:val="00A367E7"/>
    <w:rsid w:val="00A410DE"/>
    <w:rsid w:val="00A46DBC"/>
    <w:rsid w:val="00A47CD2"/>
    <w:rsid w:val="00A501F7"/>
    <w:rsid w:val="00A51347"/>
    <w:rsid w:val="00A5231A"/>
    <w:rsid w:val="00A5514C"/>
    <w:rsid w:val="00A555B5"/>
    <w:rsid w:val="00A5637F"/>
    <w:rsid w:val="00A62965"/>
    <w:rsid w:val="00A72885"/>
    <w:rsid w:val="00A858A6"/>
    <w:rsid w:val="00A85B17"/>
    <w:rsid w:val="00A92D24"/>
    <w:rsid w:val="00AA7682"/>
    <w:rsid w:val="00AB5851"/>
    <w:rsid w:val="00AB76EC"/>
    <w:rsid w:val="00AC05F4"/>
    <w:rsid w:val="00AC0C27"/>
    <w:rsid w:val="00AC102B"/>
    <w:rsid w:val="00AC29E2"/>
    <w:rsid w:val="00AD135E"/>
    <w:rsid w:val="00AD27D7"/>
    <w:rsid w:val="00AE0747"/>
    <w:rsid w:val="00AE2BF5"/>
    <w:rsid w:val="00AE437E"/>
    <w:rsid w:val="00B00F18"/>
    <w:rsid w:val="00B02598"/>
    <w:rsid w:val="00B1108C"/>
    <w:rsid w:val="00B14C77"/>
    <w:rsid w:val="00B178E3"/>
    <w:rsid w:val="00B30E0F"/>
    <w:rsid w:val="00B41BAE"/>
    <w:rsid w:val="00B446B3"/>
    <w:rsid w:val="00B5044A"/>
    <w:rsid w:val="00B560F2"/>
    <w:rsid w:val="00B56EF6"/>
    <w:rsid w:val="00B64BA9"/>
    <w:rsid w:val="00B65BFA"/>
    <w:rsid w:val="00B7380A"/>
    <w:rsid w:val="00B7426F"/>
    <w:rsid w:val="00B742C1"/>
    <w:rsid w:val="00B75F55"/>
    <w:rsid w:val="00B773D6"/>
    <w:rsid w:val="00B77795"/>
    <w:rsid w:val="00B77B93"/>
    <w:rsid w:val="00B9127F"/>
    <w:rsid w:val="00B9455B"/>
    <w:rsid w:val="00B95657"/>
    <w:rsid w:val="00B96A88"/>
    <w:rsid w:val="00B97AF0"/>
    <w:rsid w:val="00BA335C"/>
    <w:rsid w:val="00BA5213"/>
    <w:rsid w:val="00BB208D"/>
    <w:rsid w:val="00BB4C86"/>
    <w:rsid w:val="00BB612E"/>
    <w:rsid w:val="00BB77DD"/>
    <w:rsid w:val="00BC08B2"/>
    <w:rsid w:val="00BC0B1E"/>
    <w:rsid w:val="00BC7A39"/>
    <w:rsid w:val="00BC7AB9"/>
    <w:rsid w:val="00BD3907"/>
    <w:rsid w:val="00BD41FA"/>
    <w:rsid w:val="00BD6C32"/>
    <w:rsid w:val="00BE06F7"/>
    <w:rsid w:val="00BE209C"/>
    <w:rsid w:val="00BE6679"/>
    <w:rsid w:val="00BF0449"/>
    <w:rsid w:val="00BF3A3C"/>
    <w:rsid w:val="00BF7AA5"/>
    <w:rsid w:val="00C12614"/>
    <w:rsid w:val="00C14D59"/>
    <w:rsid w:val="00C233E1"/>
    <w:rsid w:val="00C3282B"/>
    <w:rsid w:val="00C371CD"/>
    <w:rsid w:val="00C377D2"/>
    <w:rsid w:val="00C37973"/>
    <w:rsid w:val="00C4142F"/>
    <w:rsid w:val="00C417A5"/>
    <w:rsid w:val="00C4744B"/>
    <w:rsid w:val="00C52461"/>
    <w:rsid w:val="00C53682"/>
    <w:rsid w:val="00C55795"/>
    <w:rsid w:val="00C6286A"/>
    <w:rsid w:val="00C7183B"/>
    <w:rsid w:val="00C80F09"/>
    <w:rsid w:val="00C85D4D"/>
    <w:rsid w:val="00C864EE"/>
    <w:rsid w:val="00C90305"/>
    <w:rsid w:val="00C910AC"/>
    <w:rsid w:val="00CA16E1"/>
    <w:rsid w:val="00CA3F81"/>
    <w:rsid w:val="00CB2786"/>
    <w:rsid w:val="00CB48FC"/>
    <w:rsid w:val="00CB5C31"/>
    <w:rsid w:val="00CB7047"/>
    <w:rsid w:val="00CC3595"/>
    <w:rsid w:val="00CC56AE"/>
    <w:rsid w:val="00CD020B"/>
    <w:rsid w:val="00CD10FB"/>
    <w:rsid w:val="00CD40A1"/>
    <w:rsid w:val="00CE04EA"/>
    <w:rsid w:val="00CE0EBD"/>
    <w:rsid w:val="00CE2C72"/>
    <w:rsid w:val="00CE3699"/>
    <w:rsid w:val="00CE38C7"/>
    <w:rsid w:val="00CF2632"/>
    <w:rsid w:val="00CF2964"/>
    <w:rsid w:val="00CF4480"/>
    <w:rsid w:val="00D0222B"/>
    <w:rsid w:val="00D037AC"/>
    <w:rsid w:val="00D05D18"/>
    <w:rsid w:val="00D13D3B"/>
    <w:rsid w:val="00D1405D"/>
    <w:rsid w:val="00D14189"/>
    <w:rsid w:val="00D14B97"/>
    <w:rsid w:val="00D23A6B"/>
    <w:rsid w:val="00D264A9"/>
    <w:rsid w:val="00D304B5"/>
    <w:rsid w:val="00D33D0E"/>
    <w:rsid w:val="00D412F3"/>
    <w:rsid w:val="00D417AA"/>
    <w:rsid w:val="00D42952"/>
    <w:rsid w:val="00D5119E"/>
    <w:rsid w:val="00D5331E"/>
    <w:rsid w:val="00D55177"/>
    <w:rsid w:val="00D57504"/>
    <w:rsid w:val="00D6552A"/>
    <w:rsid w:val="00D71790"/>
    <w:rsid w:val="00D71D52"/>
    <w:rsid w:val="00D73160"/>
    <w:rsid w:val="00D74838"/>
    <w:rsid w:val="00D74BAB"/>
    <w:rsid w:val="00D761A4"/>
    <w:rsid w:val="00D867B4"/>
    <w:rsid w:val="00D93D5B"/>
    <w:rsid w:val="00DA40C0"/>
    <w:rsid w:val="00DA44F6"/>
    <w:rsid w:val="00DA489A"/>
    <w:rsid w:val="00DA5D18"/>
    <w:rsid w:val="00DA6AE4"/>
    <w:rsid w:val="00DB5C04"/>
    <w:rsid w:val="00DB6639"/>
    <w:rsid w:val="00DC1306"/>
    <w:rsid w:val="00DC517F"/>
    <w:rsid w:val="00DD72A3"/>
    <w:rsid w:val="00DE2B27"/>
    <w:rsid w:val="00DE3BDA"/>
    <w:rsid w:val="00DF2D72"/>
    <w:rsid w:val="00E03228"/>
    <w:rsid w:val="00E05877"/>
    <w:rsid w:val="00E149D7"/>
    <w:rsid w:val="00E2102F"/>
    <w:rsid w:val="00E236BD"/>
    <w:rsid w:val="00E30525"/>
    <w:rsid w:val="00E33698"/>
    <w:rsid w:val="00E336D8"/>
    <w:rsid w:val="00E372F2"/>
    <w:rsid w:val="00E444D2"/>
    <w:rsid w:val="00E4538D"/>
    <w:rsid w:val="00E47615"/>
    <w:rsid w:val="00E50AD8"/>
    <w:rsid w:val="00E511B4"/>
    <w:rsid w:val="00E524AF"/>
    <w:rsid w:val="00E571C5"/>
    <w:rsid w:val="00E668F3"/>
    <w:rsid w:val="00E71EB8"/>
    <w:rsid w:val="00E721EB"/>
    <w:rsid w:val="00E74334"/>
    <w:rsid w:val="00E75D2C"/>
    <w:rsid w:val="00E80601"/>
    <w:rsid w:val="00E80AB7"/>
    <w:rsid w:val="00E91E1E"/>
    <w:rsid w:val="00E93A2E"/>
    <w:rsid w:val="00E94038"/>
    <w:rsid w:val="00EA7F2D"/>
    <w:rsid w:val="00EB29B1"/>
    <w:rsid w:val="00EC368A"/>
    <w:rsid w:val="00EC4963"/>
    <w:rsid w:val="00ED0BEF"/>
    <w:rsid w:val="00ED4464"/>
    <w:rsid w:val="00ED4A50"/>
    <w:rsid w:val="00ED606A"/>
    <w:rsid w:val="00EE0768"/>
    <w:rsid w:val="00EF0215"/>
    <w:rsid w:val="00EF3AD6"/>
    <w:rsid w:val="00F017A2"/>
    <w:rsid w:val="00F02C6C"/>
    <w:rsid w:val="00F036E7"/>
    <w:rsid w:val="00F0404C"/>
    <w:rsid w:val="00F0417E"/>
    <w:rsid w:val="00F04FC3"/>
    <w:rsid w:val="00F1341B"/>
    <w:rsid w:val="00F1450F"/>
    <w:rsid w:val="00F16812"/>
    <w:rsid w:val="00F21D4C"/>
    <w:rsid w:val="00F2469C"/>
    <w:rsid w:val="00F24D02"/>
    <w:rsid w:val="00F348AA"/>
    <w:rsid w:val="00F46148"/>
    <w:rsid w:val="00F523BB"/>
    <w:rsid w:val="00F56D26"/>
    <w:rsid w:val="00F620D7"/>
    <w:rsid w:val="00F661B9"/>
    <w:rsid w:val="00F83B55"/>
    <w:rsid w:val="00F83F48"/>
    <w:rsid w:val="00F8420C"/>
    <w:rsid w:val="00F92877"/>
    <w:rsid w:val="00F95917"/>
    <w:rsid w:val="00FA0B06"/>
    <w:rsid w:val="00FA1A49"/>
    <w:rsid w:val="00FA5B9C"/>
    <w:rsid w:val="00FA6B5C"/>
    <w:rsid w:val="00FB23FA"/>
    <w:rsid w:val="00FB5C69"/>
    <w:rsid w:val="00FC1A7D"/>
    <w:rsid w:val="00FD12B3"/>
    <w:rsid w:val="00FD1674"/>
    <w:rsid w:val="00FD3335"/>
    <w:rsid w:val="00FE02B3"/>
    <w:rsid w:val="00FE05A8"/>
    <w:rsid w:val="00FF1674"/>
    <w:rsid w:val="00FF2A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08A84B82"/>
  <w15:chartTrackingRefBased/>
  <w15:docId w15:val="{11E462BC-5A0C-4221-9E28-DFE8994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AF"/>
    <w:rPr>
      <w:sz w:val="24"/>
      <w:szCs w:val="24"/>
    </w:rPr>
  </w:style>
  <w:style w:type="paragraph" w:styleId="Heading1">
    <w:name w:val="heading 1"/>
    <w:basedOn w:val="Normal"/>
    <w:next w:val="Normal"/>
    <w:qFormat/>
    <w:rsid w:val="000F0A9C"/>
    <w:pPr>
      <w:keepNext/>
      <w:spacing w:after="24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
    <w:name w:val="Unresolved Mention"/>
    <w:basedOn w:val="DefaultParagraphFont"/>
    <w:rsid w:val="0058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david.hicks@puco.ohio.gov" TargetMode="External" /><Relationship Id="rId16" Type="http://schemas.openxmlformats.org/officeDocument/2006/relationships/hyperlink" Target="mailto:greta.see@puco.ohio.gov" TargetMode="External" /><Relationship Id="rId17" Type="http://schemas.openxmlformats.org/officeDocument/2006/relationships/hyperlink" Target="mailto:stnourse@aep.com" TargetMode="External" /><Relationship Id="rId18" Type="http://schemas.openxmlformats.org/officeDocument/2006/relationships/hyperlink" Target="mailto:dromig@nationwideenergypartners.com" TargetMode="Externa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donald.kral@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2024-03-14T16:49:50Z</dcterms:created>
  <dcterms:modified xsi:type="dcterms:W3CDTF">2024-03-14T16:49:50Z</dcterms:modified>
</cp:coreProperties>
</file>