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96B42" w14:textId="77777777" w:rsidR="00DA43CB" w:rsidRDefault="00B1671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thick"/>
        </w:rPr>
        <w:t>STANDARD CHOICE OFFER RIDER</w:t>
      </w:r>
    </w:p>
    <w:p w14:paraId="0BE47DF3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57C084E1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APPLICABILITY</w:t>
      </w:r>
    </w:p>
    <w:p w14:paraId="0FB68F06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 Choice Offer (“SCO”) Rider is applicable to Rate 310, 311, 320 and 321 Customers.</w:t>
      </w:r>
    </w:p>
    <w:p w14:paraId="69998024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40D5D04D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DESCRIPTION</w:t>
      </w:r>
    </w:p>
    <w:p w14:paraId="65A4F10A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03BFE906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 Choice Offer charge shall be the product of the Billing Ccf and the SCO Rider Rate.</w:t>
      </w:r>
    </w:p>
    <w:p w14:paraId="745B3D3B" w14:textId="77777777" w:rsidR="00DA43CB" w:rsidRDefault="00DA43CB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14:paraId="6B48E728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 Rider Rate each month will be the NYMEX settlement price for such month converted to a price per Mcf using a standard Btu value of 1.070, plus the Retail Price Adjustment determined in the SCO auction. The resulting rate per Mcf will be converted to a rate per Ccf for billing purposes.</w:t>
      </w:r>
    </w:p>
    <w:p w14:paraId="66D8EAEE" w14:textId="77777777" w:rsidR="00DA43CB" w:rsidRDefault="00DA43CB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14:paraId="2AB9A0FA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Retail Price Adjustment effective April 1, 2021 through March 31, 2022 is $1.16 per Mcf.</w:t>
      </w:r>
    </w:p>
    <w:p w14:paraId="2E615B9B" w14:textId="77777777" w:rsidR="00DA43CB" w:rsidRDefault="00DA43CB">
      <w:pPr>
        <w:jc w:val="both"/>
        <w:rPr>
          <w:rFonts w:ascii="Arial" w:hAnsi="Arial" w:cs="Arial"/>
          <w:sz w:val="20"/>
          <w:szCs w:val="20"/>
        </w:rPr>
      </w:pPr>
    </w:p>
    <w:p w14:paraId="68041968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SCO RIDER RATE</w:t>
      </w:r>
    </w:p>
    <w:p w14:paraId="004F8B4B" w14:textId="0E7A1948" w:rsidR="00DA43CB" w:rsidRDefault="00B1671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SCO Rider Rate for </w:t>
      </w:r>
      <w:r w:rsidR="00651DC9">
        <w:rPr>
          <w:rFonts w:ascii="Arial" w:hAnsi="Arial" w:cs="Arial"/>
          <w:sz w:val="20"/>
          <w:szCs w:val="20"/>
        </w:rPr>
        <w:t>January 2022</w:t>
      </w:r>
      <w:r>
        <w:rPr>
          <w:rFonts w:ascii="Arial" w:hAnsi="Arial" w:cs="Arial"/>
          <w:sz w:val="20"/>
          <w:szCs w:val="20"/>
        </w:rPr>
        <w:t xml:space="preserve"> is $</w:t>
      </w:r>
      <w:r w:rsidR="007D7B9E">
        <w:rPr>
          <w:rFonts w:ascii="Arial" w:hAnsi="Arial" w:cs="Arial"/>
          <w:sz w:val="20"/>
          <w:szCs w:val="20"/>
        </w:rPr>
        <w:t>0.</w:t>
      </w:r>
      <w:r w:rsidR="00651DC9">
        <w:rPr>
          <w:rFonts w:ascii="Arial" w:hAnsi="Arial" w:cs="Arial"/>
          <w:sz w:val="20"/>
          <w:szCs w:val="20"/>
        </w:rPr>
        <w:t>54657</w:t>
      </w:r>
      <w:r>
        <w:rPr>
          <w:rFonts w:ascii="Arial" w:hAnsi="Arial" w:cs="Arial"/>
          <w:sz w:val="20"/>
          <w:szCs w:val="20"/>
        </w:rPr>
        <w:t xml:space="preserve"> per Billing Ccf.</w:t>
      </w:r>
    </w:p>
    <w:p w14:paraId="069F6DED" w14:textId="1C5E25CB" w:rsidR="00DA43CB" w:rsidRDefault="00FF53D1" w:rsidP="00FF53D1">
      <w:pPr>
        <w:tabs>
          <w:tab w:val="left" w:pos="489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DA43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5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4DABA" w14:textId="77777777" w:rsidR="00DA43CB" w:rsidRDefault="00B16711">
      <w:r>
        <w:separator/>
      </w:r>
    </w:p>
  </w:endnote>
  <w:endnote w:type="continuationSeparator" w:id="0">
    <w:p w14:paraId="6CE154B5" w14:textId="77777777" w:rsidR="00DA43CB" w:rsidRDefault="00B1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0F6F6" w14:textId="77777777" w:rsidR="00651DC9" w:rsidRDefault="00651D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39B84" w14:textId="77777777" w:rsidR="00DA43CB" w:rsidRDefault="00DA43CB">
    <w:pPr>
      <w:pStyle w:val="Footer"/>
      <w:rPr>
        <w:sz w:val="20"/>
        <w:szCs w:val="20"/>
      </w:rPr>
    </w:pPr>
  </w:p>
  <w:p w14:paraId="4F92198D" w14:textId="77777777" w:rsidR="00DA43CB" w:rsidRDefault="00651DC9">
    <w:pPr>
      <w:pStyle w:val="Footer"/>
      <w:rPr>
        <w:sz w:val="20"/>
        <w:szCs w:val="20"/>
      </w:rPr>
    </w:pPr>
    <w:r>
      <w:rPr>
        <w:sz w:val="20"/>
        <w:szCs w:val="20"/>
      </w:rPr>
      <w:pict w14:anchorId="3D112E9B">
        <v:rect id="_x0000_i1025" style="width:468pt;height:1.5pt" o:hralign="center" o:hrstd="t" o:hrnoshade="t" o:hr="t" fillcolor="black" stroked="f"/>
      </w:pict>
    </w:r>
  </w:p>
  <w:p w14:paraId="32EB2724" w14:textId="77777777" w:rsidR="00DA43CB" w:rsidRDefault="00B16711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Filed pursuant to the Opinion and Order dated August 28, 2019 in Case No. 18-0298-GA-AIR and the Entry dated January 13, 2010 in Case No. 07-1285-GA-EXM of The Public Utilities Commission of Ohio.</w:t>
    </w:r>
  </w:p>
  <w:p w14:paraId="02495FA8" w14:textId="77777777" w:rsidR="00DA43CB" w:rsidRDefault="00DA43CB">
    <w:pPr>
      <w:widowControl w:val="0"/>
      <w:autoSpaceDE w:val="0"/>
      <w:autoSpaceDN w:val="0"/>
      <w:rPr>
        <w:rFonts w:ascii="Arial" w:eastAsia="Arial" w:hAnsi="Arial" w:cs="Arial"/>
        <w:sz w:val="19"/>
        <w:szCs w:val="20"/>
      </w:rPr>
    </w:pPr>
  </w:p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4032"/>
      <w:gridCol w:w="2628"/>
    </w:tblGrid>
    <w:tr w:rsidR="00DA43CB" w14:paraId="3A208B73" w14:textId="77777777">
      <w:tc>
        <w:tcPr>
          <w:tcW w:w="2880" w:type="dxa"/>
        </w:tcPr>
        <w:p w14:paraId="53E75FC2" w14:textId="55DB107C" w:rsidR="00DA43CB" w:rsidRDefault="00B16711">
          <w:pPr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Issued </w:t>
          </w:r>
          <w:r w:rsidR="00651DC9">
            <w:rPr>
              <w:rFonts w:ascii="Arial" w:hAnsi="Arial" w:cs="Arial"/>
              <w:sz w:val="20"/>
              <w:szCs w:val="20"/>
            </w:rPr>
            <w:t>December 29, 2021</w:t>
          </w:r>
        </w:p>
      </w:tc>
      <w:tc>
        <w:tcPr>
          <w:tcW w:w="4032" w:type="dxa"/>
        </w:tcPr>
        <w:p w14:paraId="6E518A5D" w14:textId="77777777" w:rsidR="00DA43CB" w:rsidRDefault="00B16711">
          <w:pPr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19"/>
              <w:szCs w:val="19"/>
            </w:rPr>
            <w:t xml:space="preserve">Issued by </w:t>
          </w:r>
          <w:r>
            <w:rPr>
              <w:rFonts w:ascii="Arial" w:hAnsi="Arial" w:cs="Arial"/>
              <w:sz w:val="20"/>
              <w:szCs w:val="20"/>
            </w:rPr>
            <w:t>Katie J. Tieken, Director</w:t>
          </w:r>
        </w:p>
      </w:tc>
      <w:tc>
        <w:tcPr>
          <w:tcW w:w="2628" w:type="dxa"/>
        </w:tcPr>
        <w:p w14:paraId="4936106A" w14:textId="0EAE5683" w:rsidR="00DA43CB" w:rsidRDefault="00B16711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Effective </w:t>
          </w:r>
          <w:r w:rsidR="00651DC9">
            <w:rPr>
              <w:rFonts w:ascii="Arial" w:hAnsi="Arial" w:cs="Arial"/>
              <w:sz w:val="20"/>
              <w:szCs w:val="20"/>
            </w:rPr>
            <w:t>January 1, 2022</w:t>
          </w:r>
        </w:p>
      </w:tc>
    </w:tr>
  </w:tbl>
  <w:p w14:paraId="0D92858F" w14:textId="77777777" w:rsidR="00DA43CB" w:rsidRDefault="00DA43CB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B3CB6" w14:textId="77777777" w:rsidR="00651DC9" w:rsidRDefault="00651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8E0FC" w14:textId="77777777" w:rsidR="00DA43CB" w:rsidRDefault="00B16711">
      <w:r>
        <w:separator/>
      </w:r>
    </w:p>
  </w:footnote>
  <w:footnote w:type="continuationSeparator" w:id="0">
    <w:p w14:paraId="7B0DCA88" w14:textId="77777777" w:rsidR="00DA43CB" w:rsidRDefault="00B16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6951C" w14:textId="77777777" w:rsidR="00651DC9" w:rsidRDefault="00651D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60"/>
      <w:gridCol w:w="4680"/>
    </w:tblGrid>
    <w:tr w:rsidR="00DA43CB" w14:paraId="4EEB7E77" w14:textId="77777777">
      <w:trPr>
        <w:trHeight w:val="90"/>
      </w:trPr>
      <w:tc>
        <w:tcPr>
          <w:tcW w:w="5760" w:type="dxa"/>
        </w:tcPr>
        <w:p w14:paraId="0BA81A80" w14:textId="77777777" w:rsidR="00DA43CB" w:rsidRDefault="00B16711">
          <w:pPr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VECTREN ENERGY DELIVERY </w:t>
          </w:r>
          <w:r>
            <w:rPr>
              <w:rFonts w:ascii="Arial" w:eastAsia="Arial" w:hAnsi="Arial" w:cs="Arial"/>
              <w:sz w:val="20"/>
              <w:szCs w:val="20"/>
            </w:rPr>
            <w:t>OF</w:t>
          </w:r>
          <w:r>
            <w:rPr>
              <w:rFonts w:ascii="Arial" w:eastAsia="Arial" w:hAnsi="Arial" w:cs="Arial"/>
              <w:spacing w:val="-6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OHIO,</w:t>
          </w:r>
          <w:r>
            <w:rPr>
              <w:rFonts w:ascii="Arial" w:eastAsia="Arial" w:hAnsi="Arial" w:cs="Arial"/>
              <w:spacing w:val="-4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pacing w:val="-3"/>
              <w:sz w:val="20"/>
              <w:szCs w:val="20"/>
            </w:rPr>
            <w:t>INC.</w:t>
          </w:r>
        </w:p>
        <w:p w14:paraId="4B0D45D0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Tariff for</w:t>
          </w:r>
          <w:r>
            <w:rPr>
              <w:rFonts w:ascii="Arial" w:eastAsia="Arial" w:hAnsi="Arial" w:cs="Arial"/>
              <w:spacing w:val="-19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Gas</w:t>
          </w:r>
          <w:r>
            <w:rPr>
              <w:rFonts w:ascii="Arial" w:eastAsia="Arial" w:hAnsi="Arial" w:cs="Arial"/>
              <w:spacing w:val="-1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Service</w:t>
          </w:r>
        </w:p>
        <w:p w14:paraId="573C27EF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P.U.C.O. No. 4</w:t>
          </w:r>
        </w:p>
      </w:tc>
      <w:tc>
        <w:tcPr>
          <w:tcW w:w="4680" w:type="dxa"/>
        </w:tcPr>
        <w:p w14:paraId="39D4E0D4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Sheet No. 44</w:t>
          </w:r>
        </w:p>
        <w:p w14:paraId="36C1F929" w14:textId="40F97FAE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Twenty </w:t>
          </w:r>
          <w:r w:rsidR="00651DC9">
            <w:rPr>
              <w:rFonts w:ascii="Arial" w:hAnsi="Arial" w:cs="Arial"/>
              <w:sz w:val="20"/>
              <w:szCs w:val="20"/>
            </w:rPr>
            <w:t>Eighth</w:t>
          </w:r>
          <w:r w:rsidR="00FB5E5A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Revised Page 1 of 1</w:t>
          </w:r>
        </w:p>
        <w:p w14:paraId="4A80730F" w14:textId="0024E33E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Cancels </w:t>
          </w:r>
          <w:r w:rsidR="00FF53D1">
            <w:rPr>
              <w:rFonts w:ascii="Arial" w:hAnsi="Arial" w:cs="Arial"/>
              <w:sz w:val="20"/>
              <w:szCs w:val="20"/>
            </w:rPr>
            <w:t xml:space="preserve">Twenty </w:t>
          </w:r>
          <w:r w:rsidR="00651DC9">
            <w:rPr>
              <w:rFonts w:ascii="Arial" w:hAnsi="Arial" w:cs="Arial"/>
              <w:sz w:val="20"/>
              <w:szCs w:val="20"/>
            </w:rPr>
            <w:t>Seventh</w:t>
          </w:r>
          <w:r>
            <w:rPr>
              <w:rFonts w:ascii="Arial" w:hAnsi="Arial" w:cs="Arial"/>
              <w:sz w:val="20"/>
              <w:szCs w:val="20"/>
            </w:rPr>
            <w:t xml:space="preserve"> Revised Page 1 of 1</w:t>
          </w:r>
        </w:p>
        <w:p w14:paraId="3CCAE622" w14:textId="77777777" w:rsidR="00DA43CB" w:rsidRDefault="00DA43CB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</w:p>
      </w:tc>
    </w:tr>
  </w:tbl>
  <w:p w14:paraId="3B5F8C73" w14:textId="77777777" w:rsidR="00DA43CB" w:rsidRDefault="00DA43CB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E717E" w14:textId="77777777" w:rsidR="00651DC9" w:rsidRDefault="00651D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CB"/>
    <w:rsid w:val="001765B3"/>
    <w:rsid w:val="00651DC9"/>
    <w:rsid w:val="007D7B9E"/>
    <w:rsid w:val="00AC7994"/>
    <w:rsid w:val="00B16711"/>
    <w:rsid w:val="00DA43CB"/>
    <w:rsid w:val="00FB5E5A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."/>
  <w:listSeparator w:val=","/>
  <w14:docId w14:val="43E6D901"/>
  <w15:docId w15:val="{939E4E05-111B-4365-92EE-88E25405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Vectren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Killion, Scott A.</dc:creator>
  <cp:lastModifiedBy>Ramming, Waylon</cp:lastModifiedBy>
  <cp:revision>3</cp:revision>
  <cp:lastPrinted>2021-08-27T19:46:00Z</cp:lastPrinted>
  <dcterms:created xsi:type="dcterms:W3CDTF">2021-11-29T14:24:00Z</dcterms:created>
  <dcterms:modified xsi:type="dcterms:W3CDTF">2021-12-29T21:03:00Z</dcterms:modified>
</cp:coreProperties>
</file>