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E7C9B" w:rsidRPr="00EF64A9" w:rsidP="004E7C9B" w14:paraId="08B98A70" w14:textId="77777777">
      <w:pPr>
        <w:pStyle w:val="Title"/>
        <w:rPr>
          <w:sz w:val="24"/>
          <w:szCs w:val="24"/>
        </w:rPr>
      </w:pPr>
      <w:r w:rsidRPr="00EF64A9">
        <w:rPr>
          <w:sz w:val="24"/>
          <w:szCs w:val="24"/>
        </w:rPr>
        <w:t>BEFORE</w:t>
      </w:r>
    </w:p>
    <w:p w:rsidR="004E7C9B" w:rsidRPr="00EF64A9" w:rsidP="004E7C9B" w14:paraId="51009193" w14:textId="77777777">
      <w:pPr>
        <w:jc w:val="center"/>
        <w:rPr>
          <w:b/>
        </w:rPr>
      </w:pPr>
      <w:r w:rsidRPr="00EF64A9">
        <w:rPr>
          <w:b/>
        </w:rPr>
        <w:t>THE PUBLIC UTILITIES COMMISSION OF OHIO</w:t>
      </w:r>
    </w:p>
    <w:p w:rsidR="004E7C9B" w:rsidRPr="00EF64A9" w:rsidP="004E7C9B" w14:paraId="1DDD98A9" w14:textId="77777777">
      <w:pPr>
        <w:pStyle w:val="HTMLPreformatted"/>
        <w:rPr>
          <w:rFonts w:ascii="Times New Roman" w:hAnsi="Times New Roman" w:cs="Times New Roman"/>
          <w:sz w:val="24"/>
          <w:szCs w:val="24"/>
        </w:rPr>
      </w:pPr>
    </w:p>
    <w:tbl>
      <w:tblPr>
        <w:tblW w:w="8550" w:type="dxa"/>
        <w:tblLook w:val="01E0"/>
      </w:tblPr>
      <w:tblGrid>
        <w:gridCol w:w="4331"/>
        <w:gridCol w:w="296"/>
        <w:gridCol w:w="3923"/>
      </w:tblGrid>
      <w:tr w14:paraId="601807DC" w14:textId="77777777" w:rsidTr="00D76033">
        <w:tblPrEx>
          <w:tblW w:w="8550" w:type="dxa"/>
          <w:tblLook w:val="01E0"/>
        </w:tblPrEx>
        <w:trPr>
          <w:trHeight w:val="807"/>
        </w:trPr>
        <w:tc>
          <w:tcPr>
            <w:tcW w:w="4331" w:type="dxa"/>
            <w:shd w:val="clear" w:color="auto" w:fill="auto"/>
          </w:tcPr>
          <w:p w:rsidR="004E7C9B" w:rsidRPr="00EF64A9" w:rsidP="00D76033" w14:paraId="59364038" w14:textId="77777777">
            <w:pPr>
              <w:autoSpaceDE w:val="0"/>
              <w:autoSpaceDN w:val="0"/>
              <w:adjustRightInd w:val="0"/>
            </w:pPr>
            <w:r w:rsidRPr="00EF64A9">
              <w:t>In the Matter of the Application of the Dayton Power and Light Company d/b/a AES Ohio for Establishing New Reliability Standards.</w:t>
            </w:r>
          </w:p>
        </w:tc>
        <w:tc>
          <w:tcPr>
            <w:tcW w:w="296" w:type="dxa"/>
            <w:shd w:val="clear" w:color="auto" w:fill="auto"/>
          </w:tcPr>
          <w:p w:rsidR="004E7C9B" w:rsidRPr="00EF64A9" w:rsidP="00D76033" w14:paraId="114A805C"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p w:rsidR="004E7C9B" w:rsidRPr="00EF64A9" w:rsidP="00D76033" w14:paraId="722AFEFE"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p w:rsidR="004E7C9B" w:rsidRPr="00EF64A9" w:rsidP="00D76033" w14:paraId="7685519A"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p w:rsidR="004E7C9B" w:rsidRPr="00EF64A9" w:rsidP="00D76033" w14:paraId="7398808C"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tc>
        <w:tc>
          <w:tcPr>
            <w:tcW w:w="3923" w:type="dxa"/>
            <w:shd w:val="clear" w:color="auto" w:fill="auto"/>
          </w:tcPr>
          <w:p w:rsidR="004E7C9B" w:rsidRPr="00EF64A9" w:rsidP="00D76033" w14:paraId="3C886196" w14:textId="77777777">
            <w:pPr>
              <w:pStyle w:val="HTMLPreformatted"/>
              <w:rPr>
                <w:rFonts w:ascii="Times New Roman" w:hAnsi="Times New Roman" w:cs="Times New Roman"/>
                <w:sz w:val="24"/>
                <w:szCs w:val="24"/>
              </w:rPr>
            </w:pPr>
          </w:p>
          <w:p w:rsidR="004E7C9B" w:rsidRPr="00EF64A9" w:rsidP="00D76033" w14:paraId="57149287" w14:textId="77777777">
            <w:pPr>
              <w:pStyle w:val="HTMLPreformatted"/>
              <w:ind w:left="119"/>
              <w:rPr>
                <w:rFonts w:ascii="Times New Roman" w:hAnsi="Times New Roman" w:cs="Times New Roman"/>
                <w:sz w:val="24"/>
                <w:szCs w:val="24"/>
              </w:rPr>
            </w:pPr>
            <w:r w:rsidRPr="00EF64A9">
              <w:rPr>
                <w:rFonts w:ascii="Times New Roman" w:hAnsi="Times New Roman" w:cs="Times New Roman"/>
                <w:sz w:val="24"/>
                <w:szCs w:val="24"/>
              </w:rPr>
              <w:t>Case No. 21-956-EL-ESS</w:t>
            </w:r>
          </w:p>
          <w:p w:rsidR="004E7C9B" w:rsidRPr="00EF64A9" w:rsidP="00D76033" w14:paraId="4B46397B" w14:textId="77777777">
            <w:pPr>
              <w:pStyle w:val="HTMLPreformatted"/>
              <w:rPr>
                <w:rFonts w:ascii="Times New Roman" w:hAnsi="Times New Roman" w:cs="Times New Roman"/>
                <w:sz w:val="24"/>
                <w:szCs w:val="24"/>
              </w:rPr>
            </w:pPr>
          </w:p>
        </w:tc>
      </w:tr>
    </w:tbl>
    <w:p w:rsidR="004E7C9B" w:rsidRPr="00EF64A9" w:rsidP="004E7C9B" w14:paraId="14F27D82" w14:textId="77777777"/>
    <w:p w:rsidR="004E7C9B" w:rsidRPr="00EF64A9" w:rsidP="004E7C9B" w14:paraId="35C59DFF" w14:textId="77777777">
      <w:pPr>
        <w:pBdr>
          <w:top w:val="single" w:sz="12" w:space="1" w:color="auto"/>
        </w:pBdr>
      </w:pPr>
    </w:p>
    <w:p w:rsidR="004E7C9B" w:rsidRPr="00EF64A9" w:rsidP="004E7C9B" w14:paraId="794B1B32" w14:textId="77777777">
      <w:pPr>
        <w:jc w:val="center"/>
        <w:rPr>
          <w:b/>
        </w:rPr>
      </w:pPr>
      <w:r w:rsidRPr="00EF64A9">
        <w:rPr>
          <w:b/>
        </w:rPr>
        <w:t>INITIAL BRIEF FOR CONSUMER PROTECTION</w:t>
      </w:r>
    </w:p>
    <w:p w:rsidR="004E7C9B" w:rsidRPr="00EF64A9" w:rsidP="004E7C9B" w14:paraId="515F4C04" w14:textId="77777777">
      <w:pPr>
        <w:jc w:val="center"/>
        <w:rPr>
          <w:b/>
        </w:rPr>
      </w:pPr>
      <w:r w:rsidRPr="00EF64A9">
        <w:rPr>
          <w:b/>
        </w:rPr>
        <w:t>BY</w:t>
      </w:r>
    </w:p>
    <w:p w:rsidR="004E7C9B" w:rsidRPr="00EF64A9" w:rsidP="004E7C9B" w14:paraId="4FF42339" w14:textId="77777777">
      <w:pPr>
        <w:jc w:val="center"/>
        <w:rPr>
          <w:b/>
        </w:rPr>
      </w:pPr>
      <w:r w:rsidRPr="00EF64A9">
        <w:rPr>
          <w:b/>
        </w:rPr>
        <w:t>OFFICE OF THE OHIO CONSUMERS’ COUNSEL</w:t>
      </w:r>
    </w:p>
    <w:p w:rsidR="004E7C9B" w:rsidRPr="00EF64A9" w:rsidP="004E7C9B" w14:paraId="63F81F84" w14:textId="77777777">
      <w:pPr>
        <w:pBdr>
          <w:bottom w:val="single" w:sz="12" w:space="1" w:color="auto"/>
        </w:pBdr>
        <w:spacing w:after="240"/>
      </w:pPr>
    </w:p>
    <w:p w:rsidR="004E7C9B" w:rsidRPr="00EF64A9" w:rsidP="00D76A13" w14:paraId="287BF599" w14:textId="77777777">
      <w:pPr>
        <w:pStyle w:val="Title"/>
        <w:rPr>
          <w:sz w:val="24"/>
          <w:szCs w:val="24"/>
        </w:rPr>
      </w:pPr>
    </w:p>
    <w:p w:rsidR="004E7C9B" w:rsidRPr="00EF64A9" w:rsidP="004E7C9B" w14:paraId="1150F06C" w14:textId="77777777">
      <w:pPr>
        <w:ind w:left="4320"/>
      </w:pPr>
      <w:r w:rsidRPr="00EF64A9">
        <w:t>Bruce Weston (0016973)</w:t>
      </w:r>
    </w:p>
    <w:p w:rsidR="004E7C9B" w:rsidRPr="00EF64A9" w:rsidP="004E7C9B" w14:paraId="692428D0" w14:textId="77777777">
      <w:pPr>
        <w:tabs>
          <w:tab w:val="left" w:pos="4320"/>
        </w:tabs>
        <w:ind w:left="4320" w:hanging="450"/>
      </w:pPr>
      <w:r w:rsidRPr="00EF64A9">
        <w:tab/>
        <w:t>Ohio Consumers’ Counsel</w:t>
      </w:r>
    </w:p>
    <w:p w:rsidR="004E7C9B" w:rsidRPr="00EF64A9" w:rsidP="004E7C9B" w14:paraId="2B3E9BA4" w14:textId="77777777">
      <w:pPr>
        <w:tabs>
          <w:tab w:val="left" w:pos="4320"/>
        </w:tabs>
        <w:ind w:left="4320"/>
      </w:pPr>
    </w:p>
    <w:p w:rsidR="004E7C9B" w:rsidRPr="00EF64A9" w:rsidP="004E7C9B" w14:paraId="537234F8" w14:textId="77777777">
      <w:pPr>
        <w:tabs>
          <w:tab w:val="left" w:pos="4320"/>
        </w:tabs>
        <w:ind w:left="4320"/>
      </w:pPr>
      <w:r w:rsidRPr="00EF64A9">
        <w:t>William J. Michael (0070921)</w:t>
      </w:r>
    </w:p>
    <w:p w:rsidR="004E7C9B" w:rsidRPr="00EF64A9" w:rsidP="004E7C9B" w14:paraId="5F66FD23" w14:textId="77777777">
      <w:pPr>
        <w:tabs>
          <w:tab w:val="left" w:pos="4320"/>
        </w:tabs>
        <w:ind w:left="4320"/>
      </w:pPr>
      <w:r w:rsidRPr="00EF64A9">
        <w:t>Counsel of Record</w:t>
      </w:r>
    </w:p>
    <w:p w:rsidR="004E7C9B" w:rsidRPr="00EF64A9" w:rsidP="004E7C9B" w14:paraId="0D0A08E6" w14:textId="77777777">
      <w:pPr>
        <w:tabs>
          <w:tab w:val="left" w:pos="4320"/>
        </w:tabs>
        <w:ind w:left="4320"/>
      </w:pPr>
      <w:r w:rsidRPr="00EF64A9">
        <w:t>Ambrosia E. Wilson (0096598)</w:t>
      </w:r>
    </w:p>
    <w:p w:rsidR="004E7C9B" w:rsidRPr="00EF64A9" w:rsidP="004E7C9B" w14:paraId="55042995" w14:textId="77777777">
      <w:pPr>
        <w:tabs>
          <w:tab w:val="left" w:pos="4320"/>
        </w:tabs>
        <w:ind w:left="4320"/>
      </w:pPr>
      <w:r w:rsidRPr="00EF64A9">
        <w:t>Connor D. Semple (0101102)</w:t>
      </w:r>
    </w:p>
    <w:p w:rsidR="004E7C9B" w:rsidRPr="00EF64A9" w:rsidP="004E7C9B" w14:paraId="1BBC24A7" w14:textId="77777777">
      <w:pPr>
        <w:ind w:left="4320"/>
      </w:pPr>
      <w:r w:rsidRPr="00EF64A9">
        <w:t>Assistant Consumers’ Counsel</w:t>
      </w:r>
    </w:p>
    <w:p w:rsidR="004E7C9B" w:rsidRPr="00EF64A9" w:rsidP="004E7C9B" w14:paraId="1BD6E73F" w14:textId="77777777"/>
    <w:p w:rsidR="004E7C9B" w:rsidRPr="00EF64A9" w:rsidP="004E7C9B" w14:paraId="1E7227CB" w14:textId="77777777">
      <w:pPr>
        <w:ind w:left="4320"/>
        <w:rPr>
          <w:b/>
          <w:bCs/>
        </w:rPr>
      </w:pPr>
      <w:r w:rsidRPr="00EF64A9">
        <w:rPr>
          <w:b/>
          <w:bCs/>
        </w:rPr>
        <w:t>Office of the Ohio Consumers' Counsel</w:t>
      </w:r>
    </w:p>
    <w:p w:rsidR="004E7C9B" w:rsidRPr="00EF64A9" w:rsidP="004E7C9B" w14:paraId="1C6D4A4D" w14:textId="77777777">
      <w:pPr>
        <w:ind w:left="4320"/>
      </w:pPr>
      <w:r w:rsidRPr="00EF64A9">
        <w:t>65 East State Street, Suite 700</w:t>
      </w:r>
    </w:p>
    <w:p w:rsidR="004E7C9B" w:rsidRPr="00EF64A9" w:rsidP="004E7C9B" w14:paraId="27C81E40" w14:textId="77777777">
      <w:pPr>
        <w:ind w:left="4320"/>
      </w:pPr>
      <w:r w:rsidRPr="00EF64A9">
        <w:t>Columbus, Ohio 43215</w:t>
      </w:r>
    </w:p>
    <w:p w:rsidR="004E7C9B" w:rsidRPr="00EF64A9" w:rsidP="004E7C9B" w14:paraId="433D5285" w14:textId="77777777">
      <w:pPr>
        <w:autoSpaceDE w:val="0"/>
        <w:autoSpaceDN w:val="0"/>
        <w:adjustRightInd w:val="0"/>
        <w:ind w:left="4320"/>
      </w:pPr>
      <w:r w:rsidRPr="00EF64A9">
        <w:t>Telephone: [Michael]: (614) 466-1291</w:t>
      </w:r>
    </w:p>
    <w:p w:rsidR="004E7C9B" w:rsidRPr="00EF64A9" w:rsidP="004E7C9B" w14:paraId="229386EB" w14:textId="77777777">
      <w:pPr>
        <w:autoSpaceDE w:val="0"/>
        <w:autoSpaceDN w:val="0"/>
        <w:adjustRightInd w:val="0"/>
        <w:ind w:left="4320"/>
      </w:pPr>
      <w:r w:rsidRPr="00EF64A9">
        <w:t>Telephone: [Wilson]: (614) 466-1292</w:t>
      </w:r>
    </w:p>
    <w:p w:rsidR="004E7C9B" w:rsidRPr="00EF64A9" w:rsidP="004E7C9B" w14:paraId="10ABAD9B" w14:textId="77777777">
      <w:pPr>
        <w:ind w:left="4320"/>
        <w:rPr>
          <w:color w:val="000000"/>
        </w:rPr>
      </w:pPr>
      <w:r w:rsidRPr="00EF64A9">
        <w:rPr>
          <w:color w:val="000000"/>
        </w:rPr>
        <w:t>Telephone [Semple]:(614) 466-9565</w:t>
      </w:r>
    </w:p>
    <w:p w:rsidR="004E7C9B" w:rsidRPr="00EF64A9" w:rsidP="004E7C9B" w14:paraId="252FCAAF" w14:textId="68B8A89C">
      <w:pPr>
        <w:ind w:left="4320"/>
      </w:pPr>
      <w:hyperlink r:id="rId6" w:history="1">
        <w:r w:rsidRPr="00EF64A9">
          <w:rPr>
            <w:rStyle w:val="Hyperlink"/>
          </w:rPr>
          <w:t>william.michael@occ.ohio.gov</w:t>
        </w:r>
      </w:hyperlink>
      <w:r w:rsidRPr="00EF64A9">
        <w:t xml:space="preserve"> </w:t>
      </w:r>
    </w:p>
    <w:p w:rsidR="004E7C9B" w:rsidRPr="00EF64A9" w:rsidP="004E7C9B" w14:paraId="357F57F8" w14:textId="77777777">
      <w:pPr>
        <w:ind w:left="4320"/>
        <w:rPr>
          <w:color w:val="0000FF"/>
        </w:rPr>
      </w:pPr>
      <w:hyperlink r:id="rId7" w:history="1">
        <w:r w:rsidRPr="00EF64A9">
          <w:rPr>
            <w:rStyle w:val="Hyperlink"/>
          </w:rPr>
          <w:t>ambrosia.wilson@occ.ohio.gov</w:t>
        </w:r>
      </w:hyperlink>
      <w:r w:rsidRPr="00EF64A9">
        <w:rPr>
          <w:color w:val="0000FF"/>
        </w:rPr>
        <w:t xml:space="preserve"> </w:t>
      </w:r>
    </w:p>
    <w:p w:rsidR="004E7C9B" w:rsidRPr="00EF64A9" w:rsidP="004E7C9B" w14:paraId="715E8801" w14:textId="77777777">
      <w:pPr>
        <w:ind w:left="4320"/>
        <w:rPr>
          <w:rFonts w:eastAsia="Courier New"/>
        </w:rPr>
      </w:pPr>
      <w:r w:rsidRPr="00EF64A9">
        <w:rPr>
          <w:rStyle w:val="Hyperlink"/>
          <w:rFonts w:eastAsia="Courier New"/>
        </w:rPr>
        <w:t>connor.semple@occ.ohio.gov</w:t>
      </w:r>
    </w:p>
    <w:p w:rsidR="004E7C9B" w:rsidRPr="00EF64A9" w:rsidP="004E7C9B" w14:paraId="4814FE5B" w14:textId="6806F760">
      <w:pPr>
        <w:ind w:left="4320" w:hanging="4320"/>
      </w:pPr>
      <w:r w:rsidRPr="00EF64A9">
        <w:t>January 31, 2023</w:t>
      </w:r>
      <w:r w:rsidRPr="00EF64A9">
        <w:tab/>
        <w:t>(willing to accept service by e-mail)</w:t>
      </w:r>
    </w:p>
    <w:p w:rsidR="000E53BE" w:rsidRPr="00EF64A9" w:rsidP="004E7C9B" w14:paraId="6E4D0ABE" w14:textId="24C19DAE">
      <w:pPr>
        <w:ind w:left="4320" w:hanging="4320"/>
      </w:pPr>
    </w:p>
    <w:p w:rsidR="000E53BE" w:rsidRPr="00EF64A9" w:rsidP="004E7C9B" w14:paraId="2B600FA9" w14:textId="77777777">
      <w:pPr>
        <w:ind w:left="4320" w:hanging="4320"/>
        <w:rPr>
          <w:b/>
        </w:rPr>
        <w:sectPr w:rsidSect="005D75E1">
          <w:headerReference w:type="even" r:id="rId8"/>
          <w:footerReference w:type="default" r:id="rId9"/>
          <w:headerReference w:type="first" r:id="rId10"/>
          <w:pgSz w:w="12240" w:h="15840" w:code="1"/>
          <w:pgMar w:top="1440" w:right="1800" w:bottom="1440" w:left="1800" w:header="720" w:footer="720" w:gutter="0"/>
          <w:cols w:space="720"/>
          <w:docGrid w:linePitch="360"/>
        </w:sectPr>
      </w:pPr>
    </w:p>
    <w:p w:rsidR="000E53BE" w:rsidRPr="00EF64A9" w:rsidP="000E53BE" w14:paraId="0FBC67FA" w14:textId="77777777">
      <w:pPr>
        <w:jc w:val="center"/>
        <w:rPr>
          <w:b/>
          <w:bCs/>
          <w:u w:val="single"/>
        </w:rPr>
      </w:pPr>
      <w:r w:rsidRPr="00EF64A9">
        <w:rPr>
          <w:b/>
          <w:bCs/>
          <w:u w:val="single"/>
        </w:rPr>
        <w:t>TABLE OF CONTENTS</w:t>
      </w:r>
    </w:p>
    <w:p w:rsidR="000E53BE" w:rsidRPr="00EF64A9" w:rsidP="000E53BE" w14:paraId="49ED96A5" w14:textId="77777777">
      <w:pPr>
        <w:jc w:val="right"/>
        <w:rPr>
          <w:b/>
          <w:bCs/>
        </w:rPr>
      </w:pPr>
      <w:r w:rsidRPr="00EF64A9">
        <w:tab/>
      </w:r>
      <w:r w:rsidRPr="00EF64A9">
        <w:tab/>
      </w:r>
      <w:r w:rsidRPr="00EF64A9">
        <w:tab/>
      </w:r>
      <w:r w:rsidRPr="00EF64A9">
        <w:tab/>
      </w:r>
      <w:r w:rsidRPr="00EF64A9">
        <w:tab/>
      </w:r>
      <w:r w:rsidRPr="00EF64A9">
        <w:tab/>
      </w:r>
      <w:r w:rsidRPr="00EF64A9">
        <w:tab/>
      </w:r>
      <w:r w:rsidRPr="00EF64A9">
        <w:tab/>
      </w:r>
      <w:r w:rsidRPr="00EF64A9">
        <w:tab/>
      </w:r>
      <w:r w:rsidRPr="00EF64A9">
        <w:tab/>
      </w:r>
      <w:r w:rsidRPr="00EF64A9">
        <w:tab/>
      </w:r>
      <w:r w:rsidRPr="00EF64A9">
        <w:tab/>
      </w:r>
      <w:r w:rsidRPr="00EF64A9">
        <w:rPr>
          <w:b/>
          <w:bCs/>
        </w:rPr>
        <w:t>PAGE</w:t>
      </w:r>
    </w:p>
    <w:p w:rsidR="000E53BE" w:rsidRPr="00EF64A9" w:rsidP="000E53BE" w14:paraId="3AB913F4" w14:textId="77777777">
      <w:pPr>
        <w:jc w:val="center"/>
        <w:rPr>
          <w:b/>
          <w:bCs/>
        </w:rPr>
      </w:pPr>
    </w:p>
    <w:p w:rsidR="005E493F" w14:paraId="1F804DF0" w14:textId="065E646D">
      <w:pPr>
        <w:pStyle w:val="TOC1"/>
        <w:rPr>
          <w:rFonts w:asciiTheme="minorHAnsi" w:eastAsiaTheme="minorEastAsia" w:hAnsiTheme="minorHAnsi" w:cstheme="minorBidi"/>
          <w:caps w:val="0"/>
          <w:sz w:val="22"/>
          <w:szCs w:val="22"/>
        </w:rPr>
      </w:pPr>
      <w:r>
        <w:rPr>
          <w:b/>
          <w:bCs/>
          <w:caps w:val="0"/>
        </w:rPr>
        <w:fldChar w:fldCharType="begin"/>
      </w:r>
      <w:r>
        <w:rPr>
          <w:b/>
          <w:bCs/>
          <w:caps w:val="0"/>
        </w:rPr>
        <w:instrText xml:space="preserve"> TOC \o "1-3" \h \z \u </w:instrText>
      </w:r>
      <w:r>
        <w:rPr>
          <w:b/>
          <w:bCs/>
          <w:caps w:val="0"/>
        </w:rPr>
        <w:fldChar w:fldCharType="separate"/>
      </w:r>
      <w:hyperlink w:anchor="_Toc126054941" w:history="1">
        <w:r w:rsidRPr="00434302">
          <w:rPr>
            <w:rStyle w:val="Hyperlink"/>
          </w:rPr>
          <w:t>I.</w:t>
        </w:r>
        <w:r>
          <w:rPr>
            <w:rFonts w:asciiTheme="minorHAnsi" w:eastAsiaTheme="minorEastAsia" w:hAnsiTheme="minorHAnsi" w:cstheme="minorBidi"/>
            <w:caps w:val="0"/>
            <w:sz w:val="22"/>
            <w:szCs w:val="22"/>
          </w:rPr>
          <w:tab/>
        </w:r>
        <w:r w:rsidRPr="00434302">
          <w:rPr>
            <w:rStyle w:val="Hyperlink"/>
          </w:rPr>
          <w:t>INTRODUCTION</w:t>
        </w:r>
        <w:r>
          <w:rPr>
            <w:webHidden/>
          </w:rPr>
          <w:tab/>
        </w:r>
        <w:r>
          <w:rPr>
            <w:webHidden/>
          </w:rPr>
          <w:fldChar w:fldCharType="begin"/>
        </w:r>
        <w:r>
          <w:rPr>
            <w:webHidden/>
          </w:rPr>
          <w:instrText xml:space="preserve"> PAGEREF _Toc126054941 \h </w:instrText>
        </w:r>
        <w:r>
          <w:rPr>
            <w:webHidden/>
          </w:rPr>
          <w:fldChar w:fldCharType="separate"/>
        </w:r>
        <w:r>
          <w:rPr>
            <w:webHidden/>
          </w:rPr>
          <w:t>1</w:t>
        </w:r>
        <w:r>
          <w:rPr>
            <w:webHidden/>
          </w:rPr>
          <w:fldChar w:fldCharType="end"/>
        </w:r>
      </w:hyperlink>
    </w:p>
    <w:p w:rsidR="005E493F" w14:paraId="183AC5AF" w14:textId="5025B002">
      <w:pPr>
        <w:pStyle w:val="TOC1"/>
        <w:rPr>
          <w:rFonts w:asciiTheme="minorHAnsi" w:eastAsiaTheme="minorEastAsia" w:hAnsiTheme="minorHAnsi" w:cstheme="minorBidi"/>
          <w:caps w:val="0"/>
          <w:sz w:val="22"/>
          <w:szCs w:val="22"/>
        </w:rPr>
      </w:pPr>
      <w:hyperlink w:anchor="_Toc126054942" w:history="1">
        <w:r w:rsidRPr="00434302">
          <w:rPr>
            <w:rStyle w:val="Hyperlink"/>
          </w:rPr>
          <w:t>II.</w:t>
        </w:r>
        <w:r>
          <w:rPr>
            <w:rFonts w:asciiTheme="minorHAnsi" w:eastAsiaTheme="minorEastAsia" w:hAnsiTheme="minorHAnsi" w:cstheme="minorBidi"/>
            <w:caps w:val="0"/>
            <w:sz w:val="22"/>
            <w:szCs w:val="22"/>
          </w:rPr>
          <w:tab/>
        </w:r>
        <w:r w:rsidRPr="00434302">
          <w:rPr>
            <w:rStyle w:val="Hyperlink"/>
          </w:rPr>
          <w:t>RECOMMENDATIONS</w:t>
        </w:r>
        <w:r>
          <w:rPr>
            <w:webHidden/>
          </w:rPr>
          <w:tab/>
        </w:r>
        <w:r>
          <w:rPr>
            <w:webHidden/>
          </w:rPr>
          <w:fldChar w:fldCharType="begin"/>
        </w:r>
        <w:r>
          <w:rPr>
            <w:webHidden/>
          </w:rPr>
          <w:instrText xml:space="preserve"> PAGEREF _Toc126054942 \h </w:instrText>
        </w:r>
        <w:r>
          <w:rPr>
            <w:webHidden/>
          </w:rPr>
          <w:fldChar w:fldCharType="separate"/>
        </w:r>
        <w:r>
          <w:rPr>
            <w:webHidden/>
          </w:rPr>
          <w:t>2</w:t>
        </w:r>
        <w:r>
          <w:rPr>
            <w:webHidden/>
          </w:rPr>
          <w:fldChar w:fldCharType="end"/>
        </w:r>
      </w:hyperlink>
    </w:p>
    <w:p w:rsidR="005E493F" w14:paraId="21BE87B8" w14:textId="14C50F65">
      <w:pPr>
        <w:pStyle w:val="TOC2"/>
        <w:tabs>
          <w:tab w:val="left" w:pos="1440"/>
        </w:tabs>
        <w:rPr>
          <w:rFonts w:asciiTheme="minorHAnsi" w:eastAsiaTheme="minorEastAsia" w:hAnsiTheme="minorHAnsi" w:cstheme="minorBidi"/>
          <w:noProof/>
          <w:sz w:val="22"/>
          <w:szCs w:val="22"/>
        </w:rPr>
      </w:pPr>
      <w:hyperlink w:anchor="_Toc126054943" w:history="1">
        <w:r w:rsidRPr="00434302">
          <w:rPr>
            <w:rStyle w:val="Hyperlink"/>
            <w:noProof/>
          </w:rPr>
          <w:t>A.</w:t>
        </w:r>
        <w:r>
          <w:rPr>
            <w:rFonts w:asciiTheme="minorHAnsi" w:eastAsiaTheme="minorEastAsia" w:hAnsiTheme="minorHAnsi" w:cstheme="minorBidi"/>
            <w:noProof/>
            <w:sz w:val="22"/>
            <w:szCs w:val="22"/>
          </w:rPr>
          <w:tab/>
        </w:r>
        <w:r w:rsidRPr="00434302">
          <w:rPr>
            <w:rStyle w:val="Hyperlink"/>
            <w:noProof/>
          </w:rPr>
          <w:t xml:space="preserve">To protect consumers, the PUCO should reject DP&amp;L’s proposal to </w:t>
        </w:r>
        <w:r>
          <w:rPr>
            <w:rStyle w:val="Hyperlink"/>
            <w:noProof/>
          </w:rPr>
          <w:br/>
        </w:r>
        <w:r w:rsidRPr="00434302">
          <w:rPr>
            <w:rStyle w:val="Hyperlink"/>
            <w:noProof/>
          </w:rPr>
          <w:t>reduce its applicable reliability standards.</w:t>
        </w:r>
        <w:r>
          <w:rPr>
            <w:noProof/>
            <w:webHidden/>
          </w:rPr>
          <w:tab/>
        </w:r>
        <w:r>
          <w:rPr>
            <w:noProof/>
            <w:webHidden/>
          </w:rPr>
          <w:fldChar w:fldCharType="begin"/>
        </w:r>
        <w:r>
          <w:rPr>
            <w:noProof/>
            <w:webHidden/>
          </w:rPr>
          <w:instrText xml:space="preserve"> PAGEREF _Toc126054943 \h </w:instrText>
        </w:r>
        <w:r>
          <w:rPr>
            <w:noProof/>
            <w:webHidden/>
          </w:rPr>
          <w:fldChar w:fldCharType="separate"/>
        </w:r>
        <w:r>
          <w:rPr>
            <w:noProof/>
            <w:webHidden/>
          </w:rPr>
          <w:t>2</w:t>
        </w:r>
        <w:r>
          <w:rPr>
            <w:noProof/>
            <w:webHidden/>
          </w:rPr>
          <w:fldChar w:fldCharType="end"/>
        </w:r>
      </w:hyperlink>
    </w:p>
    <w:p w:rsidR="005E493F" w14:paraId="256959B7" w14:textId="127A9FE4">
      <w:pPr>
        <w:pStyle w:val="TOC2"/>
        <w:tabs>
          <w:tab w:val="left" w:pos="1440"/>
        </w:tabs>
        <w:rPr>
          <w:rFonts w:asciiTheme="minorHAnsi" w:eastAsiaTheme="minorEastAsia" w:hAnsiTheme="minorHAnsi" w:cstheme="minorBidi"/>
          <w:noProof/>
          <w:sz w:val="22"/>
          <w:szCs w:val="22"/>
        </w:rPr>
      </w:pPr>
      <w:hyperlink w:anchor="_Toc126054944" w:history="1">
        <w:r w:rsidRPr="00434302">
          <w:rPr>
            <w:rStyle w:val="Hyperlink"/>
            <w:noProof/>
          </w:rPr>
          <w:t>B.</w:t>
        </w:r>
        <w:r>
          <w:rPr>
            <w:rFonts w:asciiTheme="minorHAnsi" w:eastAsiaTheme="minorEastAsia" w:hAnsiTheme="minorHAnsi" w:cstheme="minorBidi"/>
            <w:noProof/>
            <w:sz w:val="22"/>
            <w:szCs w:val="22"/>
          </w:rPr>
          <w:tab/>
        </w:r>
        <w:r w:rsidRPr="00434302">
          <w:rPr>
            <w:rStyle w:val="Hyperlink"/>
            <w:noProof/>
          </w:rPr>
          <w:t xml:space="preserve">To protect consumers, the PUCO should reject DP&amp;L’s proposed methodology for calculating SAIFI and CAIDI, because they are not </w:t>
        </w:r>
        <w:r>
          <w:rPr>
            <w:rStyle w:val="Hyperlink"/>
            <w:noProof/>
          </w:rPr>
          <w:br/>
        </w:r>
        <w:r w:rsidRPr="00434302">
          <w:rPr>
            <w:rStyle w:val="Hyperlink"/>
            <w:noProof/>
          </w:rPr>
          <w:t xml:space="preserve">just and reasonable and they lead to reduced reliability for </w:t>
        </w:r>
        <w:r>
          <w:rPr>
            <w:rStyle w:val="Hyperlink"/>
            <w:noProof/>
          </w:rPr>
          <w:br/>
        </w:r>
        <w:r w:rsidRPr="00434302">
          <w:rPr>
            <w:rStyle w:val="Hyperlink"/>
            <w:noProof/>
          </w:rPr>
          <w:t>consumers.</w:t>
        </w:r>
        <w:r>
          <w:rPr>
            <w:noProof/>
            <w:webHidden/>
          </w:rPr>
          <w:tab/>
        </w:r>
        <w:r>
          <w:rPr>
            <w:noProof/>
            <w:webHidden/>
          </w:rPr>
          <w:fldChar w:fldCharType="begin"/>
        </w:r>
        <w:r>
          <w:rPr>
            <w:noProof/>
            <w:webHidden/>
          </w:rPr>
          <w:instrText xml:space="preserve"> PAGEREF _Toc126054944 \h </w:instrText>
        </w:r>
        <w:r>
          <w:rPr>
            <w:noProof/>
            <w:webHidden/>
          </w:rPr>
          <w:fldChar w:fldCharType="separate"/>
        </w:r>
        <w:r>
          <w:rPr>
            <w:noProof/>
            <w:webHidden/>
          </w:rPr>
          <w:t>6</w:t>
        </w:r>
        <w:r>
          <w:rPr>
            <w:noProof/>
            <w:webHidden/>
          </w:rPr>
          <w:fldChar w:fldCharType="end"/>
        </w:r>
      </w:hyperlink>
    </w:p>
    <w:p w:rsidR="005E493F" w14:paraId="55A379FA" w14:textId="0554A188">
      <w:pPr>
        <w:pStyle w:val="TOC2"/>
        <w:tabs>
          <w:tab w:val="left" w:pos="1440"/>
        </w:tabs>
        <w:rPr>
          <w:rFonts w:asciiTheme="minorHAnsi" w:eastAsiaTheme="minorEastAsia" w:hAnsiTheme="minorHAnsi" w:cstheme="minorBidi"/>
          <w:noProof/>
          <w:sz w:val="22"/>
          <w:szCs w:val="22"/>
        </w:rPr>
      </w:pPr>
      <w:hyperlink w:anchor="_Toc126054945" w:history="1">
        <w:r w:rsidRPr="00434302">
          <w:rPr>
            <w:rStyle w:val="Hyperlink"/>
            <w:noProof/>
          </w:rPr>
          <w:t>C.</w:t>
        </w:r>
        <w:r>
          <w:rPr>
            <w:rFonts w:asciiTheme="minorHAnsi" w:eastAsiaTheme="minorEastAsia" w:hAnsiTheme="minorHAnsi" w:cstheme="minorBidi"/>
            <w:noProof/>
            <w:sz w:val="22"/>
            <w:szCs w:val="22"/>
          </w:rPr>
          <w:tab/>
        </w:r>
        <w:r w:rsidRPr="00434302">
          <w:rPr>
            <w:rStyle w:val="Hyperlink"/>
            <w:noProof/>
          </w:rPr>
          <w:t xml:space="preserve">The DP&amp;L five-year average historical SAIFI performance supports </w:t>
        </w:r>
        <w:r>
          <w:rPr>
            <w:rStyle w:val="Hyperlink"/>
            <w:noProof/>
          </w:rPr>
          <w:br/>
        </w:r>
        <w:r w:rsidRPr="00434302">
          <w:rPr>
            <w:rStyle w:val="Hyperlink"/>
            <w:noProof/>
          </w:rPr>
          <w:t>the PUCO improving the current SAIFI performance standard for consumers, not weakening the standard as proposed by DP&amp;L.</w:t>
        </w:r>
        <w:r>
          <w:rPr>
            <w:noProof/>
            <w:webHidden/>
          </w:rPr>
          <w:tab/>
        </w:r>
        <w:r>
          <w:rPr>
            <w:noProof/>
            <w:webHidden/>
          </w:rPr>
          <w:fldChar w:fldCharType="begin"/>
        </w:r>
        <w:r>
          <w:rPr>
            <w:noProof/>
            <w:webHidden/>
          </w:rPr>
          <w:instrText xml:space="preserve"> PAGEREF _Toc126054945 \h </w:instrText>
        </w:r>
        <w:r>
          <w:rPr>
            <w:noProof/>
            <w:webHidden/>
          </w:rPr>
          <w:fldChar w:fldCharType="separate"/>
        </w:r>
        <w:r>
          <w:rPr>
            <w:noProof/>
            <w:webHidden/>
          </w:rPr>
          <w:t>9</w:t>
        </w:r>
        <w:r>
          <w:rPr>
            <w:noProof/>
            <w:webHidden/>
          </w:rPr>
          <w:fldChar w:fldCharType="end"/>
        </w:r>
      </w:hyperlink>
    </w:p>
    <w:p w:rsidR="005E493F" w14:paraId="7B8B4402" w14:textId="1AC59E9F">
      <w:pPr>
        <w:pStyle w:val="TOC2"/>
        <w:tabs>
          <w:tab w:val="left" w:pos="1440"/>
        </w:tabs>
        <w:rPr>
          <w:rFonts w:asciiTheme="minorHAnsi" w:eastAsiaTheme="minorEastAsia" w:hAnsiTheme="minorHAnsi" w:cstheme="minorBidi"/>
          <w:noProof/>
          <w:sz w:val="22"/>
          <w:szCs w:val="22"/>
        </w:rPr>
      </w:pPr>
      <w:hyperlink w:anchor="_Toc126054946" w:history="1">
        <w:r w:rsidRPr="00434302">
          <w:rPr>
            <w:rStyle w:val="Hyperlink"/>
            <w:noProof/>
          </w:rPr>
          <w:t>D.</w:t>
        </w:r>
        <w:r>
          <w:rPr>
            <w:rFonts w:asciiTheme="minorHAnsi" w:eastAsiaTheme="minorEastAsia" w:hAnsiTheme="minorHAnsi" w:cstheme="minorBidi"/>
            <w:noProof/>
            <w:sz w:val="22"/>
            <w:szCs w:val="22"/>
          </w:rPr>
          <w:tab/>
        </w:r>
        <w:r w:rsidRPr="00434302">
          <w:rPr>
            <w:rStyle w:val="Hyperlink"/>
            <w:noProof/>
          </w:rPr>
          <w:t xml:space="preserve">To protect consumers, the PUCO should require that a downward adjustment be made to DP&amp;L’s five-year average historical CAIDI performance to avoid rewarding DP&amp;L for providing inadequate </w:t>
        </w:r>
        <w:r>
          <w:rPr>
            <w:rStyle w:val="Hyperlink"/>
            <w:noProof/>
          </w:rPr>
          <w:br/>
        </w:r>
        <w:r w:rsidRPr="00434302">
          <w:rPr>
            <w:rStyle w:val="Hyperlink"/>
            <w:noProof/>
          </w:rPr>
          <w:t>and substandard service to consumers.</w:t>
        </w:r>
        <w:r>
          <w:rPr>
            <w:noProof/>
            <w:webHidden/>
          </w:rPr>
          <w:tab/>
        </w:r>
        <w:r>
          <w:rPr>
            <w:noProof/>
            <w:webHidden/>
          </w:rPr>
          <w:fldChar w:fldCharType="begin"/>
        </w:r>
        <w:r>
          <w:rPr>
            <w:noProof/>
            <w:webHidden/>
          </w:rPr>
          <w:instrText xml:space="preserve"> PAGEREF _Toc126054946 \h </w:instrText>
        </w:r>
        <w:r>
          <w:rPr>
            <w:noProof/>
            <w:webHidden/>
          </w:rPr>
          <w:fldChar w:fldCharType="separate"/>
        </w:r>
        <w:r>
          <w:rPr>
            <w:noProof/>
            <w:webHidden/>
          </w:rPr>
          <w:t>12</w:t>
        </w:r>
        <w:r>
          <w:rPr>
            <w:noProof/>
            <w:webHidden/>
          </w:rPr>
          <w:fldChar w:fldCharType="end"/>
        </w:r>
      </w:hyperlink>
    </w:p>
    <w:p w:rsidR="005E493F" w14:paraId="28BCF8EA" w14:textId="340842BC">
      <w:pPr>
        <w:pStyle w:val="TOC2"/>
        <w:tabs>
          <w:tab w:val="left" w:pos="1440"/>
        </w:tabs>
        <w:rPr>
          <w:rFonts w:asciiTheme="minorHAnsi" w:eastAsiaTheme="minorEastAsia" w:hAnsiTheme="minorHAnsi" w:cstheme="minorBidi"/>
          <w:noProof/>
          <w:sz w:val="22"/>
          <w:szCs w:val="22"/>
        </w:rPr>
      </w:pPr>
      <w:hyperlink w:anchor="_Toc126054947" w:history="1">
        <w:r w:rsidRPr="00434302">
          <w:rPr>
            <w:rStyle w:val="Hyperlink"/>
            <w:noProof/>
          </w:rPr>
          <w:t>E.</w:t>
        </w:r>
        <w:r>
          <w:rPr>
            <w:rFonts w:asciiTheme="minorHAnsi" w:eastAsiaTheme="minorEastAsia" w:hAnsiTheme="minorHAnsi" w:cstheme="minorBidi"/>
            <w:noProof/>
            <w:sz w:val="22"/>
            <w:szCs w:val="22"/>
          </w:rPr>
          <w:tab/>
        </w:r>
        <w:r w:rsidRPr="00434302">
          <w:rPr>
            <w:rStyle w:val="Hyperlink"/>
            <w:noProof/>
          </w:rPr>
          <w:t xml:space="preserve">The PUCO should protect consumers by adjusting the historical CAIDI as recommended by OCC because DP&amp;L’s failure to meet reliability standards is the result of DP&amp;L’s unilateral decisions not to make </w:t>
        </w:r>
        <w:r>
          <w:rPr>
            <w:rStyle w:val="Hyperlink"/>
            <w:noProof/>
          </w:rPr>
          <w:br/>
        </w:r>
        <w:r w:rsidRPr="00434302">
          <w:rPr>
            <w:rStyle w:val="Hyperlink"/>
            <w:noProof/>
          </w:rPr>
          <w:t xml:space="preserve">needed investments in its distribution system and/or sufficient </w:t>
        </w:r>
        <w:r>
          <w:rPr>
            <w:rStyle w:val="Hyperlink"/>
            <w:noProof/>
          </w:rPr>
          <w:br/>
        </w:r>
        <w:r w:rsidRPr="00434302">
          <w:rPr>
            <w:rStyle w:val="Hyperlink"/>
            <w:noProof/>
          </w:rPr>
          <w:t>spending for vegetation management.</w:t>
        </w:r>
        <w:r>
          <w:rPr>
            <w:noProof/>
            <w:webHidden/>
          </w:rPr>
          <w:tab/>
        </w:r>
        <w:r>
          <w:rPr>
            <w:noProof/>
            <w:webHidden/>
          </w:rPr>
          <w:fldChar w:fldCharType="begin"/>
        </w:r>
        <w:r>
          <w:rPr>
            <w:noProof/>
            <w:webHidden/>
          </w:rPr>
          <w:instrText xml:space="preserve"> PAGEREF _Toc126054947 \h </w:instrText>
        </w:r>
        <w:r>
          <w:rPr>
            <w:noProof/>
            <w:webHidden/>
          </w:rPr>
          <w:fldChar w:fldCharType="separate"/>
        </w:r>
        <w:r>
          <w:rPr>
            <w:noProof/>
            <w:webHidden/>
          </w:rPr>
          <w:t>14</w:t>
        </w:r>
        <w:r>
          <w:rPr>
            <w:noProof/>
            <w:webHidden/>
          </w:rPr>
          <w:fldChar w:fldCharType="end"/>
        </w:r>
      </w:hyperlink>
    </w:p>
    <w:p w:rsidR="005E493F" w14:paraId="74A5E9F8" w14:textId="3D615AEF">
      <w:pPr>
        <w:pStyle w:val="TOC2"/>
        <w:tabs>
          <w:tab w:val="left" w:pos="1440"/>
        </w:tabs>
        <w:rPr>
          <w:rFonts w:asciiTheme="minorHAnsi" w:eastAsiaTheme="minorEastAsia" w:hAnsiTheme="minorHAnsi" w:cstheme="minorBidi"/>
          <w:noProof/>
          <w:sz w:val="22"/>
          <w:szCs w:val="22"/>
        </w:rPr>
      </w:pPr>
      <w:hyperlink w:anchor="_Toc126054948" w:history="1">
        <w:r w:rsidRPr="00434302">
          <w:rPr>
            <w:rStyle w:val="Hyperlink"/>
            <w:noProof/>
          </w:rPr>
          <w:t>F.</w:t>
        </w:r>
        <w:r>
          <w:rPr>
            <w:rFonts w:asciiTheme="minorHAnsi" w:eastAsiaTheme="minorEastAsia" w:hAnsiTheme="minorHAnsi" w:cstheme="minorBidi"/>
            <w:noProof/>
            <w:sz w:val="22"/>
            <w:szCs w:val="22"/>
          </w:rPr>
          <w:tab/>
        </w:r>
        <w:r w:rsidRPr="00434302">
          <w:rPr>
            <w:rStyle w:val="Hyperlink"/>
            <w:noProof/>
          </w:rPr>
          <w:t xml:space="preserve">The PUCO should adjust the historical CAIDI because DP&amp;L </w:t>
        </w:r>
        <w:r>
          <w:rPr>
            <w:rStyle w:val="Hyperlink"/>
            <w:noProof/>
          </w:rPr>
          <w:br/>
        </w:r>
        <w:r w:rsidRPr="00434302">
          <w:rPr>
            <w:rStyle w:val="Hyperlink"/>
            <w:noProof/>
          </w:rPr>
          <w:t xml:space="preserve">committed to improve reliability in its 15-1830-EL-AIR distribution </w:t>
        </w:r>
        <w:r>
          <w:rPr>
            <w:rStyle w:val="Hyperlink"/>
            <w:noProof/>
          </w:rPr>
          <w:br/>
        </w:r>
        <w:r w:rsidRPr="00434302">
          <w:rPr>
            <w:rStyle w:val="Hyperlink"/>
            <w:noProof/>
          </w:rPr>
          <w:t>rate case. It should be held to that PUCO-approved commitment, to protect consumers.</w:t>
        </w:r>
        <w:r>
          <w:rPr>
            <w:noProof/>
            <w:webHidden/>
          </w:rPr>
          <w:tab/>
        </w:r>
        <w:r>
          <w:rPr>
            <w:noProof/>
            <w:webHidden/>
          </w:rPr>
          <w:fldChar w:fldCharType="begin"/>
        </w:r>
        <w:r>
          <w:rPr>
            <w:noProof/>
            <w:webHidden/>
          </w:rPr>
          <w:instrText xml:space="preserve"> PAGEREF _Toc126054948 \h </w:instrText>
        </w:r>
        <w:r>
          <w:rPr>
            <w:noProof/>
            <w:webHidden/>
          </w:rPr>
          <w:fldChar w:fldCharType="separate"/>
        </w:r>
        <w:r>
          <w:rPr>
            <w:noProof/>
            <w:webHidden/>
          </w:rPr>
          <w:t>16</w:t>
        </w:r>
        <w:r>
          <w:rPr>
            <w:noProof/>
            <w:webHidden/>
          </w:rPr>
          <w:fldChar w:fldCharType="end"/>
        </w:r>
      </w:hyperlink>
    </w:p>
    <w:p w:rsidR="005E493F" w14:paraId="1C0DBB71" w14:textId="7F92B7DE">
      <w:pPr>
        <w:pStyle w:val="TOC2"/>
        <w:tabs>
          <w:tab w:val="left" w:pos="1440"/>
        </w:tabs>
        <w:rPr>
          <w:rFonts w:asciiTheme="minorHAnsi" w:eastAsiaTheme="minorEastAsia" w:hAnsiTheme="minorHAnsi" w:cstheme="minorBidi"/>
          <w:noProof/>
          <w:sz w:val="22"/>
          <w:szCs w:val="22"/>
        </w:rPr>
      </w:pPr>
      <w:hyperlink w:anchor="_Toc126054949" w:history="1">
        <w:r w:rsidRPr="00434302">
          <w:rPr>
            <w:rStyle w:val="Hyperlink"/>
            <w:noProof/>
          </w:rPr>
          <w:t>G.</w:t>
        </w:r>
        <w:r>
          <w:rPr>
            <w:rFonts w:asciiTheme="minorHAnsi" w:eastAsiaTheme="minorEastAsia" w:hAnsiTheme="minorHAnsi" w:cstheme="minorBidi"/>
            <w:noProof/>
            <w:sz w:val="22"/>
            <w:szCs w:val="22"/>
          </w:rPr>
          <w:tab/>
        </w:r>
        <w:r w:rsidRPr="00434302">
          <w:rPr>
            <w:rStyle w:val="Hyperlink"/>
            <w:noProof/>
          </w:rPr>
          <w:t xml:space="preserve">The PUCO should protect consumers by adjusting the historical </w:t>
        </w:r>
        <w:r>
          <w:rPr>
            <w:rStyle w:val="Hyperlink"/>
            <w:noProof/>
          </w:rPr>
          <w:br/>
        </w:r>
        <w:r w:rsidRPr="00434302">
          <w:rPr>
            <w:rStyle w:val="Hyperlink"/>
            <w:noProof/>
          </w:rPr>
          <w:t xml:space="preserve">CAIDI baseline because increases in DP&amp;L’s annual vegetation management expense were authorized in its 15-1830-EL-AIR </w:t>
        </w:r>
        <w:r>
          <w:rPr>
            <w:rStyle w:val="Hyperlink"/>
            <w:noProof/>
          </w:rPr>
          <w:br/>
        </w:r>
        <w:r w:rsidRPr="00434302">
          <w:rPr>
            <w:rStyle w:val="Hyperlink"/>
            <w:noProof/>
          </w:rPr>
          <w:t xml:space="preserve">distribution rate case—yet despite this increase, DP&amp;L has not </w:t>
        </w:r>
        <w:r>
          <w:rPr>
            <w:rStyle w:val="Hyperlink"/>
            <w:noProof/>
          </w:rPr>
          <w:br/>
        </w:r>
        <w:r w:rsidRPr="00434302">
          <w:rPr>
            <w:rStyle w:val="Hyperlink"/>
            <w:noProof/>
          </w:rPr>
          <w:t>complied with its vegetation management plan.</w:t>
        </w:r>
        <w:r>
          <w:rPr>
            <w:noProof/>
            <w:webHidden/>
          </w:rPr>
          <w:tab/>
        </w:r>
        <w:r>
          <w:rPr>
            <w:noProof/>
            <w:webHidden/>
          </w:rPr>
          <w:fldChar w:fldCharType="begin"/>
        </w:r>
        <w:r>
          <w:rPr>
            <w:noProof/>
            <w:webHidden/>
          </w:rPr>
          <w:instrText xml:space="preserve"> PAGEREF _Toc126054949 \h </w:instrText>
        </w:r>
        <w:r>
          <w:rPr>
            <w:noProof/>
            <w:webHidden/>
          </w:rPr>
          <w:fldChar w:fldCharType="separate"/>
        </w:r>
        <w:r>
          <w:rPr>
            <w:noProof/>
            <w:webHidden/>
          </w:rPr>
          <w:t>17</w:t>
        </w:r>
        <w:r>
          <w:rPr>
            <w:noProof/>
            <w:webHidden/>
          </w:rPr>
          <w:fldChar w:fldCharType="end"/>
        </w:r>
      </w:hyperlink>
    </w:p>
    <w:p w:rsidR="005E493F" w14:paraId="55DCAAB4" w14:textId="3AA4CD57">
      <w:pPr>
        <w:pStyle w:val="TOC2"/>
        <w:tabs>
          <w:tab w:val="left" w:pos="1440"/>
        </w:tabs>
        <w:rPr>
          <w:rFonts w:asciiTheme="minorHAnsi" w:eastAsiaTheme="minorEastAsia" w:hAnsiTheme="minorHAnsi" w:cstheme="minorBidi"/>
          <w:noProof/>
          <w:sz w:val="22"/>
          <w:szCs w:val="22"/>
        </w:rPr>
      </w:pPr>
      <w:hyperlink w:anchor="_Toc126054950" w:history="1">
        <w:r w:rsidRPr="00434302">
          <w:rPr>
            <w:rStyle w:val="Hyperlink"/>
            <w:noProof/>
          </w:rPr>
          <w:t>H.</w:t>
        </w:r>
        <w:r>
          <w:rPr>
            <w:rFonts w:asciiTheme="minorHAnsi" w:eastAsiaTheme="minorEastAsia" w:hAnsiTheme="minorHAnsi" w:cstheme="minorBidi"/>
            <w:noProof/>
            <w:sz w:val="22"/>
            <w:szCs w:val="22"/>
          </w:rPr>
          <w:tab/>
        </w:r>
        <w:r w:rsidRPr="00434302">
          <w:rPr>
            <w:rStyle w:val="Hyperlink"/>
            <w:noProof/>
          </w:rPr>
          <w:t xml:space="preserve">The PUCO should protect consumers by rejecting DP&amp;L’s proposed </w:t>
        </w:r>
        <w:r>
          <w:rPr>
            <w:rStyle w:val="Hyperlink"/>
            <w:noProof/>
          </w:rPr>
          <w:br/>
        </w:r>
        <w:r w:rsidRPr="00434302">
          <w:rPr>
            <w:rStyle w:val="Hyperlink"/>
            <w:noProof/>
          </w:rPr>
          <w:t>15 percent adder on the five-year average historical SAIFI and CAIDI performance as it does not comply with the PUCO rules for establishing reliability standards, O.A.C. 4901:1-10-10(B).</w:t>
        </w:r>
        <w:r>
          <w:rPr>
            <w:noProof/>
            <w:webHidden/>
          </w:rPr>
          <w:tab/>
        </w:r>
        <w:r>
          <w:rPr>
            <w:noProof/>
            <w:webHidden/>
          </w:rPr>
          <w:fldChar w:fldCharType="begin"/>
        </w:r>
        <w:r>
          <w:rPr>
            <w:noProof/>
            <w:webHidden/>
          </w:rPr>
          <w:instrText xml:space="preserve"> PAGEREF _Toc126054950 \h </w:instrText>
        </w:r>
        <w:r>
          <w:rPr>
            <w:noProof/>
            <w:webHidden/>
          </w:rPr>
          <w:fldChar w:fldCharType="separate"/>
        </w:r>
        <w:r>
          <w:rPr>
            <w:noProof/>
            <w:webHidden/>
          </w:rPr>
          <w:t>21</w:t>
        </w:r>
        <w:r>
          <w:rPr>
            <w:noProof/>
            <w:webHidden/>
          </w:rPr>
          <w:fldChar w:fldCharType="end"/>
        </w:r>
      </w:hyperlink>
    </w:p>
    <w:p w:rsidR="004E7C9B" w:rsidRPr="00EF64A9" w:rsidP="003A71AB" w14:paraId="6DA5B264" w14:textId="168AC5DD">
      <w:pPr>
        <w:pStyle w:val="TOC1"/>
        <w:sectPr w:rsidSect="000E53BE">
          <w:footerReference w:type="default" r:id="rId11"/>
          <w:pgSz w:w="12240" w:h="15840" w:code="1"/>
          <w:pgMar w:top="1440" w:right="1800" w:bottom="1440" w:left="1800" w:header="720" w:footer="720" w:gutter="0"/>
          <w:pgNumType w:fmt="lowerRoman" w:start="1"/>
          <w:cols w:space="720"/>
          <w:docGrid w:linePitch="360"/>
        </w:sectPr>
      </w:pPr>
      <w:hyperlink w:anchor="_Toc126054951" w:history="1">
        <w:r w:rsidRPr="00434302" w:rsidR="005E493F">
          <w:rPr>
            <w:rStyle w:val="Hyperlink"/>
          </w:rPr>
          <w:t>III.</w:t>
        </w:r>
        <w:r w:rsidR="005E493F">
          <w:rPr>
            <w:rFonts w:asciiTheme="minorHAnsi" w:eastAsiaTheme="minorEastAsia" w:hAnsiTheme="minorHAnsi" w:cstheme="minorBidi"/>
            <w:caps w:val="0"/>
            <w:sz w:val="22"/>
            <w:szCs w:val="22"/>
          </w:rPr>
          <w:tab/>
        </w:r>
        <w:r w:rsidRPr="00434302" w:rsidR="005E493F">
          <w:rPr>
            <w:rStyle w:val="Hyperlink"/>
          </w:rPr>
          <w:t>CONCLUSION</w:t>
        </w:r>
        <w:r w:rsidR="005E493F">
          <w:rPr>
            <w:webHidden/>
          </w:rPr>
          <w:tab/>
        </w:r>
        <w:r w:rsidR="005E493F">
          <w:rPr>
            <w:webHidden/>
          </w:rPr>
          <w:fldChar w:fldCharType="begin"/>
        </w:r>
        <w:r w:rsidR="005E493F">
          <w:rPr>
            <w:webHidden/>
          </w:rPr>
          <w:instrText xml:space="preserve"> PAGEREF _Toc126054951 \h </w:instrText>
        </w:r>
        <w:r w:rsidR="005E493F">
          <w:rPr>
            <w:webHidden/>
          </w:rPr>
          <w:fldChar w:fldCharType="separate"/>
        </w:r>
        <w:r w:rsidR="005E493F">
          <w:rPr>
            <w:webHidden/>
          </w:rPr>
          <w:t>22</w:t>
        </w:r>
        <w:r w:rsidR="005E493F">
          <w:rPr>
            <w:webHidden/>
          </w:rPr>
          <w:fldChar w:fldCharType="end"/>
        </w:r>
      </w:hyperlink>
      <w:r w:rsidR="00056704">
        <w:rPr>
          <w:b/>
          <w:bCs/>
          <w:caps w:val="0"/>
        </w:rPr>
        <w:fldChar w:fldCharType="end"/>
      </w:r>
    </w:p>
    <w:p w:rsidR="00D76A13" w:rsidRPr="00EF64A9" w:rsidP="00D76A13" w14:paraId="7B176E25" w14:textId="77777777">
      <w:pPr>
        <w:pStyle w:val="Title"/>
        <w:rPr>
          <w:sz w:val="24"/>
          <w:szCs w:val="24"/>
        </w:rPr>
      </w:pPr>
      <w:r w:rsidRPr="00EF64A9">
        <w:rPr>
          <w:sz w:val="24"/>
          <w:szCs w:val="24"/>
        </w:rPr>
        <w:t>BEFORE</w:t>
      </w:r>
    </w:p>
    <w:p w:rsidR="00D76A13" w:rsidRPr="00EF64A9" w:rsidP="00D76A13" w14:paraId="4CE96B9D" w14:textId="77777777">
      <w:pPr>
        <w:jc w:val="center"/>
        <w:rPr>
          <w:b/>
        </w:rPr>
      </w:pPr>
      <w:r w:rsidRPr="00EF64A9">
        <w:rPr>
          <w:b/>
        </w:rPr>
        <w:t>THE PUBLIC UTILITIES COMMISSION OF OHIO</w:t>
      </w:r>
    </w:p>
    <w:p w:rsidR="00D76A13" w:rsidRPr="00EF64A9" w:rsidP="00D76A13" w14:paraId="31D24EB6" w14:textId="77777777">
      <w:pPr>
        <w:pStyle w:val="HTMLPreformatted"/>
        <w:rPr>
          <w:rFonts w:ascii="Times New Roman" w:hAnsi="Times New Roman" w:cs="Times New Roman"/>
          <w:sz w:val="24"/>
          <w:szCs w:val="24"/>
        </w:rPr>
      </w:pPr>
    </w:p>
    <w:tbl>
      <w:tblPr>
        <w:tblW w:w="8550" w:type="dxa"/>
        <w:tblLook w:val="01E0"/>
      </w:tblPr>
      <w:tblGrid>
        <w:gridCol w:w="4331"/>
        <w:gridCol w:w="296"/>
        <w:gridCol w:w="3923"/>
      </w:tblGrid>
      <w:tr w14:paraId="64684EA6" w14:textId="77777777" w:rsidTr="00D76033">
        <w:tblPrEx>
          <w:tblW w:w="8550" w:type="dxa"/>
          <w:tblLook w:val="01E0"/>
        </w:tblPrEx>
        <w:trPr>
          <w:trHeight w:val="807"/>
        </w:trPr>
        <w:tc>
          <w:tcPr>
            <w:tcW w:w="4331" w:type="dxa"/>
            <w:shd w:val="clear" w:color="auto" w:fill="auto"/>
          </w:tcPr>
          <w:p w:rsidR="00D76A13" w:rsidRPr="00EF64A9" w:rsidP="00D76033" w14:paraId="6C226C70" w14:textId="0FE0D162">
            <w:pPr>
              <w:autoSpaceDE w:val="0"/>
              <w:autoSpaceDN w:val="0"/>
              <w:adjustRightInd w:val="0"/>
            </w:pPr>
            <w:r w:rsidRPr="00EF64A9">
              <w:t xml:space="preserve">In the Matter of the Application of </w:t>
            </w:r>
            <w:r w:rsidRPr="00EF64A9" w:rsidR="00751BD3">
              <w:t>t</w:t>
            </w:r>
            <w:r w:rsidRPr="00EF64A9">
              <w:t>he Dayton Power and Light Company d/b/a AES Ohio for Establishing New Reliability Standards.</w:t>
            </w:r>
          </w:p>
        </w:tc>
        <w:tc>
          <w:tcPr>
            <w:tcW w:w="296" w:type="dxa"/>
            <w:shd w:val="clear" w:color="auto" w:fill="auto"/>
          </w:tcPr>
          <w:p w:rsidR="00D76A13" w:rsidRPr="00EF64A9" w:rsidP="00D76033" w14:paraId="7FA6FA19"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p w:rsidR="00D76A13" w:rsidRPr="00EF64A9" w:rsidP="00D76033" w14:paraId="43D58333"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p w:rsidR="00D76A13" w:rsidRPr="00EF64A9" w:rsidP="00D76033" w14:paraId="71170794"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p w:rsidR="00D76A13" w:rsidRPr="00EF64A9" w:rsidP="00D76033" w14:paraId="1B8AA09E" w14:textId="77777777">
            <w:pPr>
              <w:pStyle w:val="HTMLPreformatted"/>
              <w:rPr>
                <w:rFonts w:ascii="Times New Roman" w:hAnsi="Times New Roman" w:cs="Times New Roman"/>
                <w:sz w:val="24"/>
                <w:szCs w:val="24"/>
              </w:rPr>
            </w:pPr>
            <w:r w:rsidRPr="00EF64A9">
              <w:rPr>
                <w:rFonts w:ascii="Times New Roman" w:hAnsi="Times New Roman" w:cs="Times New Roman"/>
                <w:sz w:val="24"/>
                <w:szCs w:val="24"/>
              </w:rPr>
              <w:t>)</w:t>
            </w:r>
          </w:p>
        </w:tc>
        <w:tc>
          <w:tcPr>
            <w:tcW w:w="3923" w:type="dxa"/>
            <w:shd w:val="clear" w:color="auto" w:fill="auto"/>
          </w:tcPr>
          <w:p w:rsidR="00D76A13" w:rsidRPr="00EF64A9" w:rsidP="00D76033" w14:paraId="30409DF3" w14:textId="77777777">
            <w:pPr>
              <w:pStyle w:val="HTMLPreformatted"/>
              <w:rPr>
                <w:rFonts w:ascii="Times New Roman" w:hAnsi="Times New Roman" w:cs="Times New Roman"/>
                <w:sz w:val="24"/>
                <w:szCs w:val="24"/>
              </w:rPr>
            </w:pPr>
          </w:p>
          <w:p w:rsidR="00D76A13" w:rsidRPr="00EF64A9" w:rsidP="00E7452B" w14:paraId="39F830DE" w14:textId="77777777">
            <w:pPr>
              <w:pStyle w:val="HTMLPreformatted"/>
              <w:ind w:left="119"/>
              <w:rPr>
                <w:rFonts w:ascii="Times New Roman" w:hAnsi="Times New Roman" w:cs="Times New Roman"/>
                <w:sz w:val="24"/>
                <w:szCs w:val="24"/>
              </w:rPr>
            </w:pPr>
            <w:r w:rsidRPr="00EF64A9">
              <w:rPr>
                <w:rFonts w:ascii="Times New Roman" w:hAnsi="Times New Roman" w:cs="Times New Roman"/>
                <w:sz w:val="24"/>
                <w:szCs w:val="24"/>
              </w:rPr>
              <w:t>Case No. 21-956-EL-ESS</w:t>
            </w:r>
          </w:p>
          <w:p w:rsidR="00D76A13" w:rsidRPr="00EF64A9" w:rsidP="00D76033" w14:paraId="01779A55" w14:textId="77777777">
            <w:pPr>
              <w:pStyle w:val="HTMLPreformatted"/>
              <w:rPr>
                <w:rFonts w:ascii="Times New Roman" w:hAnsi="Times New Roman" w:cs="Times New Roman"/>
                <w:sz w:val="24"/>
                <w:szCs w:val="24"/>
              </w:rPr>
            </w:pPr>
          </w:p>
        </w:tc>
      </w:tr>
    </w:tbl>
    <w:p w:rsidR="00D76A13" w:rsidRPr="00EF64A9" w:rsidP="00D76A13" w14:paraId="109E10BF" w14:textId="77777777"/>
    <w:p w:rsidR="00D76A13" w:rsidRPr="00EF64A9" w:rsidP="00D76A13" w14:paraId="1AF5378C" w14:textId="77777777">
      <w:pPr>
        <w:pBdr>
          <w:top w:val="single" w:sz="12" w:space="1" w:color="auto"/>
        </w:pBdr>
      </w:pPr>
    </w:p>
    <w:p w:rsidR="00D76A13" w:rsidRPr="00EF64A9" w:rsidP="00D76A13" w14:paraId="4C60A643" w14:textId="264091F3">
      <w:pPr>
        <w:jc w:val="center"/>
        <w:rPr>
          <w:b/>
        </w:rPr>
      </w:pPr>
      <w:r w:rsidRPr="00EF64A9">
        <w:rPr>
          <w:b/>
        </w:rPr>
        <w:t xml:space="preserve">INITIAL </w:t>
      </w:r>
      <w:r w:rsidRPr="00EF64A9" w:rsidR="009108D2">
        <w:rPr>
          <w:b/>
        </w:rPr>
        <w:t>BRIEF FOR CONSUMER PROTECTION</w:t>
      </w:r>
    </w:p>
    <w:p w:rsidR="00D76A13" w:rsidRPr="00EF64A9" w:rsidP="00D76A13" w14:paraId="32D73F38" w14:textId="77777777">
      <w:pPr>
        <w:jc w:val="center"/>
        <w:rPr>
          <w:b/>
        </w:rPr>
      </w:pPr>
      <w:r w:rsidRPr="00EF64A9">
        <w:rPr>
          <w:b/>
        </w:rPr>
        <w:t>BY</w:t>
      </w:r>
    </w:p>
    <w:p w:rsidR="00D76A13" w:rsidRPr="00EF64A9" w:rsidP="00D76A13" w14:paraId="06A109E2" w14:textId="77777777">
      <w:pPr>
        <w:jc w:val="center"/>
        <w:rPr>
          <w:b/>
        </w:rPr>
      </w:pPr>
      <w:r w:rsidRPr="00EF64A9">
        <w:rPr>
          <w:b/>
        </w:rPr>
        <w:t>OFFICE OF THE OHIO CONSUMERS’ COUNSEL</w:t>
      </w:r>
    </w:p>
    <w:p w:rsidR="00D76A13" w:rsidRPr="00EF64A9" w:rsidP="00D76A13" w14:paraId="6B04E1F7" w14:textId="77777777">
      <w:pPr>
        <w:pBdr>
          <w:bottom w:val="single" w:sz="12" w:space="1" w:color="auto"/>
        </w:pBdr>
        <w:spacing w:after="240"/>
      </w:pPr>
    </w:p>
    <w:p w:rsidR="005D75E1" w:rsidRPr="00906649" w:rsidP="00247CC5" w14:paraId="48B1A0FF" w14:textId="236EB92C">
      <w:pPr>
        <w:pStyle w:val="Heading1"/>
      </w:pPr>
      <w:bookmarkStart w:id="0" w:name="_Toc126054941"/>
      <w:r>
        <w:t>I.</w:t>
      </w:r>
      <w:r>
        <w:tab/>
      </w:r>
      <w:r w:rsidRPr="00906649" w:rsidR="0000612B">
        <w:t>INTRODUCTION</w:t>
      </w:r>
      <w:bookmarkEnd w:id="0"/>
    </w:p>
    <w:p w:rsidR="00491A91" w:rsidRPr="00EF64A9" w:rsidP="00491A91" w14:paraId="105B1793" w14:textId="1AC1E85D">
      <w:pPr>
        <w:tabs>
          <w:tab w:val="left" w:pos="1260"/>
          <w:tab w:val="left" w:pos="1440"/>
          <w:tab w:val="left" w:leader="dot" w:pos="8640"/>
        </w:tabs>
        <w:spacing w:line="480" w:lineRule="auto"/>
        <w:ind w:firstLine="720"/>
      </w:pPr>
      <w:r w:rsidRPr="00EF64A9">
        <w:t xml:space="preserve">The Public Utilities Commission of Ohio (“PUCO”) in this case will be setting the standards by which the reliability of the Dayton Power and Light Company d/b/a AES Ohio’s (“DP&amp;L”) electric service </w:t>
      </w:r>
      <w:r w:rsidRPr="00EF64A9" w:rsidR="009C6E88">
        <w:t xml:space="preserve">to consumers </w:t>
      </w:r>
      <w:r w:rsidRPr="00EF64A9">
        <w:t>will be measured. R.C. 4928.11(A) requires the PUCO to protect consumers by adopting rules that specify the minimum service quality, safety, and reliability requirements that are to be provided by electric utilities. The law goes further in requiring electric utilities to establish prescriptive standards over the inspection, maintenance, repair, and replacement of its distribution system and to file annual reliability performance reports.</w:t>
      </w:r>
      <w:r>
        <w:rPr>
          <w:rStyle w:val="FootnoteReference"/>
        </w:rPr>
        <w:footnoteReference w:id="2"/>
      </w:r>
      <w:r w:rsidRPr="00EF64A9">
        <w:t xml:space="preserve"> </w:t>
      </w:r>
    </w:p>
    <w:p w:rsidR="00984970" w:rsidRPr="00EF64A9" w:rsidP="00830F13" w14:paraId="6B90F26C" w14:textId="3A9E3FE6">
      <w:pPr>
        <w:tabs>
          <w:tab w:val="left" w:pos="720"/>
          <w:tab w:val="left" w:pos="1440"/>
          <w:tab w:val="left" w:leader="dot" w:pos="8640"/>
        </w:tabs>
        <w:spacing w:line="480" w:lineRule="auto"/>
      </w:pPr>
      <w:r w:rsidRPr="00EF64A9">
        <w:tab/>
      </w:r>
      <w:r w:rsidRPr="00EF64A9" w:rsidR="000F4262">
        <w:t xml:space="preserve">DP&amp;L </w:t>
      </w:r>
      <w:r w:rsidRPr="00EF64A9" w:rsidR="00491A91">
        <w:t xml:space="preserve">would have the PUCO </w:t>
      </w:r>
      <w:r w:rsidR="00CD66A7">
        <w:t>disregard</w:t>
      </w:r>
      <w:r w:rsidR="0099120E">
        <w:t xml:space="preserve"> </w:t>
      </w:r>
      <w:r w:rsidRPr="00EF64A9" w:rsidR="00491A91">
        <w:t xml:space="preserve">the governing law and rules. </w:t>
      </w:r>
      <w:r w:rsidRPr="00EF64A9" w:rsidR="006226F0">
        <w:t xml:space="preserve">DP&amp;L would </w:t>
      </w:r>
      <w:r w:rsidRPr="00EF64A9" w:rsidR="007622B3">
        <w:t xml:space="preserve">also </w:t>
      </w:r>
      <w:r w:rsidRPr="00EF64A9" w:rsidR="006226F0">
        <w:t xml:space="preserve">have the PUCO </w:t>
      </w:r>
      <w:r w:rsidR="00CD66A7">
        <w:t>ignore</w:t>
      </w:r>
      <w:r w:rsidR="0099120E">
        <w:t xml:space="preserve"> </w:t>
      </w:r>
      <w:r w:rsidRPr="00EF64A9" w:rsidR="006226F0">
        <w:t xml:space="preserve">the </w:t>
      </w:r>
      <w:r w:rsidR="00CD66A7">
        <w:t xml:space="preserve">PUCO-approved </w:t>
      </w:r>
      <w:r w:rsidRPr="00EF64A9" w:rsidR="006226F0">
        <w:t xml:space="preserve">commitments </w:t>
      </w:r>
      <w:r w:rsidR="00CD66A7">
        <w:t>DP&amp;L</w:t>
      </w:r>
      <w:r w:rsidR="0099120E">
        <w:t xml:space="preserve"> </w:t>
      </w:r>
      <w:r w:rsidRPr="00EF64A9" w:rsidR="006226F0">
        <w:t xml:space="preserve">made for </w:t>
      </w:r>
      <w:r w:rsidRPr="00EF64A9" w:rsidR="007622B3">
        <w:t>improving</w:t>
      </w:r>
      <w:r w:rsidRPr="00EF64A9" w:rsidR="006226F0">
        <w:t xml:space="preserve"> reliability in its rate case.</w:t>
      </w:r>
      <w:r>
        <w:rPr>
          <w:rStyle w:val="FootnoteReference"/>
        </w:rPr>
        <w:footnoteReference w:id="3"/>
      </w:r>
      <w:r w:rsidRPr="00EF64A9" w:rsidR="006226F0">
        <w:t xml:space="preserve"> And DP&amp;L would have the PUCO overlook the commitments it made </w:t>
      </w:r>
      <w:r w:rsidR="00CD66A7">
        <w:t xml:space="preserve">in settling its SmartGrid application </w:t>
      </w:r>
      <w:r w:rsidRPr="00EF64A9" w:rsidR="006226F0">
        <w:t>to significantly improve the reliability standards.</w:t>
      </w:r>
      <w:r>
        <w:rPr>
          <w:rStyle w:val="FootnoteReference"/>
        </w:rPr>
        <w:footnoteReference w:id="4"/>
      </w:r>
      <w:r w:rsidRPr="00EF64A9" w:rsidR="006226F0">
        <w:t xml:space="preserve"> </w:t>
      </w:r>
      <w:r w:rsidRPr="00EF64A9" w:rsidR="00491A91">
        <w:t xml:space="preserve">It wants to set the bar </w:t>
      </w:r>
      <w:r w:rsidR="00CD66A7">
        <w:t>much lower allowing it to provide less, not more,</w:t>
      </w:r>
      <w:r w:rsidR="0099120E">
        <w:t xml:space="preserve"> </w:t>
      </w:r>
      <w:r w:rsidR="00CD66A7">
        <w:t xml:space="preserve">reliable service to its consumers. </w:t>
      </w:r>
      <w:r w:rsidRPr="00EF64A9" w:rsidR="00491A91">
        <w:rPr>
          <w:i/>
          <w:iCs/>
        </w:rPr>
        <w:t>.</w:t>
      </w:r>
      <w:r>
        <w:rPr>
          <w:rStyle w:val="FootnoteReference"/>
        </w:rPr>
        <w:footnoteReference w:id="5"/>
      </w:r>
      <w:r w:rsidRPr="00EF64A9" w:rsidR="00491A91">
        <w:rPr>
          <w:i/>
          <w:iCs/>
        </w:rPr>
        <w:t xml:space="preserve"> </w:t>
      </w:r>
      <w:r w:rsidRPr="00EF64A9" w:rsidR="00491A91">
        <w:t xml:space="preserve">Consumers would experience more outages of longer duration if DP&amp;L gets its way. </w:t>
      </w:r>
      <w:r w:rsidR="00CD66A7">
        <w:t>That is unreasonable</w:t>
      </w:r>
      <w:r w:rsidRPr="00EF64A9" w:rsidR="00491A91">
        <w:t xml:space="preserve">. </w:t>
      </w:r>
      <w:r w:rsidRPr="00EF64A9">
        <w:t>To protect consumers, DP&amp;L’s application should be rejected.</w:t>
      </w:r>
    </w:p>
    <w:p w:rsidR="00DE7871" w:rsidRPr="00EF64A9" w:rsidP="008F5322" w14:paraId="29303EEC" w14:textId="6A4C5158">
      <w:pPr>
        <w:tabs>
          <w:tab w:val="left" w:pos="720"/>
          <w:tab w:val="left" w:pos="1440"/>
          <w:tab w:val="left" w:leader="dot" w:pos="8640"/>
        </w:tabs>
      </w:pPr>
      <w:r w:rsidRPr="00EF64A9">
        <w:tab/>
      </w:r>
    </w:p>
    <w:p w:rsidR="00AD42D6" w:rsidRPr="008F5322" w:rsidP="00247CC5" w14:paraId="163AD57C" w14:textId="56B65BC8">
      <w:pPr>
        <w:pStyle w:val="Heading1"/>
      </w:pPr>
      <w:bookmarkStart w:id="1" w:name="_Toc126054942"/>
      <w:r>
        <w:t>II.</w:t>
      </w:r>
      <w:r>
        <w:tab/>
      </w:r>
      <w:r w:rsidRPr="00EF64A9" w:rsidR="00B6022B">
        <w:t>RECOMMENDATIONS</w:t>
      </w:r>
      <w:bookmarkEnd w:id="1"/>
    </w:p>
    <w:p w:rsidR="00B30B55" w:rsidRPr="00451E8B" w:rsidP="00FF2510" w14:paraId="62635BF6" w14:textId="1B6899CD">
      <w:pPr>
        <w:pStyle w:val="Heading2"/>
      </w:pPr>
      <w:bookmarkStart w:id="2" w:name="_Toc126054943"/>
      <w:r w:rsidRPr="00451E8B">
        <w:t>T</w:t>
      </w:r>
      <w:r w:rsidRPr="00451E8B" w:rsidR="00B0378E">
        <w:t>o protect consumers, t</w:t>
      </w:r>
      <w:r w:rsidRPr="00451E8B">
        <w:t xml:space="preserve">he PUCO should reject DP&amp;L’s proposal </w:t>
      </w:r>
      <w:r w:rsidRPr="00451E8B" w:rsidR="009A6989">
        <w:t xml:space="preserve">to reduce its applicable reliability </w:t>
      </w:r>
      <w:r w:rsidRPr="00451E8B" w:rsidR="0099120E">
        <w:t>standards.</w:t>
      </w:r>
      <w:bookmarkEnd w:id="2"/>
      <w:r w:rsidRPr="00451E8B" w:rsidR="009A6989">
        <w:t xml:space="preserve"> </w:t>
      </w:r>
    </w:p>
    <w:p w:rsidR="00C61DD1" w:rsidRPr="00EF64A9" w:rsidP="009C6E88" w14:paraId="3F198DA7" w14:textId="0F6DC161">
      <w:pPr>
        <w:tabs>
          <w:tab w:val="left" w:pos="720"/>
          <w:tab w:val="left" w:pos="1350"/>
          <w:tab w:val="left" w:leader="dot" w:pos="8640"/>
        </w:tabs>
        <w:spacing w:line="480" w:lineRule="auto"/>
      </w:pPr>
      <w:r w:rsidRPr="00EF64A9">
        <w:tab/>
        <w:t>Under the PUCO rules,</w:t>
      </w:r>
      <w:r>
        <w:rPr>
          <w:rStyle w:val="FootnoteReference"/>
        </w:rPr>
        <w:footnoteReference w:id="6"/>
      </w:r>
      <w:r w:rsidRPr="00EF64A9">
        <w:t xml:space="preserve"> at a minimum, DP&amp;L is required to provide reliable service in compliance with two reliability indices. These indices include a Customer Average Interruption Duration Index (“CAIDI”) and a System Average Interruption Frequency Index (“SAIFI”). SAIFI represents the average number of interruptions per consumer per year. CAIDI represents the average interruption duration or average time to restore service per interrupted consumer.</w:t>
      </w:r>
    </w:p>
    <w:p w:rsidR="009C6E88" w:rsidRPr="00EF64A9" w:rsidP="009C6E88" w14:paraId="74FB1162" w14:textId="219D6E14">
      <w:pPr>
        <w:tabs>
          <w:tab w:val="left" w:pos="720"/>
          <w:tab w:val="left" w:pos="1350"/>
          <w:tab w:val="left" w:leader="dot" w:pos="8640"/>
        </w:tabs>
        <w:spacing w:line="480" w:lineRule="auto"/>
        <w:rPr>
          <w:b/>
          <w:bCs/>
        </w:rPr>
      </w:pPr>
      <w:r w:rsidRPr="00EF64A9">
        <w:tab/>
      </w:r>
      <w:r w:rsidRPr="00EF64A9">
        <w:t xml:space="preserve">OCC’s expert Williams testified that reliability standards are calculated by </w:t>
      </w:r>
      <w:r w:rsidR="009244DF">
        <w:t xml:space="preserve">developing a baseline for reliability, </w:t>
      </w:r>
      <w:r w:rsidRPr="00EF64A9">
        <w:t xml:space="preserve">using a recent five-year average </w:t>
      </w:r>
      <w:r w:rsidR="009244DF">
        <w:t xml:space="preserve">based on </w:t>
      </w:r>
      <w:r w:rsidRPr="00EF64A9">
        <w:t>historical</w:t>
      </w:r>
      <w:r w:rsidR="0099120E">
        <w:t xml:space="preserve"> </w:t>
      </w:r>
      <w:r w:rsidRPr="00EF64A9">
        <w:t>performance</w:t>
      </w:r>
      <w:r w:rsidR="009244DF">
        <w:t>.</w:t>
      </w:r>
      <w:r w:rsidRPr="00EF64A9">
        <w:rPr>
          <w:color w:val="333333"/>
          <w:shd w:val="clear" w:color="auto" w:fill="FFFFFF"/>
        </w:rPr>
        <w:t>.</w:t>
      </w:r>
      <w:r>
        <w:rPr>
          <w:rStyle w:val="FootnoteReference"/>
          <w:color w:val="333333"/>
          <w:shd w:val="clear" w:color="auto" w:fill="FFFFFF"/>
        </w:rPr>
        <w:footnoteReference w:id="7"/>
      </w:r>
      <w:r w:rsidRPr="00EF64A9">
        <w:rPr>
          <w:color w:val="333333"/>
          <w:shd w:val="clear" w:color="auto" w:fill="FFFFFF"/>
        </w:rPr>
        <w:t xml:space="preserve"> The five-year average baseline is then adjusted to reflect changes that are occurring (or have occurred) in the system design, technological advancements, service area geography, customer perception survey results, and other relevant factors.</w:t>
      </w:r>
      <w:r>
        <w:rPr>
          <w:rStyle w:val="FootnoteReference"/>
          <w:color w:val="333333"/>
          <w:shd w:val="clear" w:color="auto" w:fill="FFFFFF"/>
        </w:rPr>
        <w:footnoteReference w:id="8"/>
      </w:r>
      <w:r w:rsidRPr="00EF64A9">
        <w:rPr>
          <w:color w:val="333333"/>
          <w:shd w:val="clear" w:color="auto" w:fill="FFFFFF"/>
        </w:rPr>
        <w:t xml:space="preserve"> Importantly, reliability performance data during major events and transmission outages are excluded from calculating the indices and the proposed standards.</w:t>
      </w:r>
      <w:r>
        <w:rPr>
          <w:rStyle w:val="FootnoteReference"/>
          <w:color w:val="333333"/>
          <w:shd w:val="clear" w:color="auto" w:fill="FFFFFF"/>
        </w:rPr>
        <w:footnoteReference w:id="9"/>
      </w:r>
      <w:r w:rsidRPr="00EF64A9">
        <w:rPr>
          <w:color w:val="333333"/>
          <w:shd w:val="clear" w:color="auto" w:fill="FFFFFF"/>
        </w:rPr>
        <w:t xml:space="preserve"> Momentary interruptions (outages with durations under five minutes) are also excluded from calculating the indices and the proposed standards.</w:t>
      </w:r>
      <w:r>
        <w:rPr>
          <w:rStyle w:val="FootnoteReference"/>
          <w:color w:val="333333"/>
          <w:shd w:val="clear" w:color="auto" w:fill="FFFFFF"/>
        </w:rPr>
        <w:footnoteReference w:id="10"/>
      </w:r>
      <w:r w:rsidR="0099120E">
        <w:rPr>
          <w:color w:val="333333"/>
          <w:shd w:val="clear" w:color="auto" w:fill="FFFFFF"/>
        </w:rPr>
        <w:t xml:space="preserve"> </w:t>
      </w:r>
      <w:r w:rsidR="009244DF">
        <w:rPr>
          <w:color w:val="333333"/>
          <w:shd w:val="clear" w:color="auto" w:fill="FFFFFF"/>
        </w:rPr>
        <w:t>Thus the standards can be considered as normal operating conditions.</w:t>
      </w:r>
      <w:r w:rsidR="0099120E">
        <w:rPr>
          <w:color w:val="333333"/>
          <w:shd w:val="clear" w:color="auto" w:fill="FFFFFF"/>
        </w:rPr>
        <w:t xml:space="preserve"> </w:t>
      </w:r>
    </w:p>
    <w:p w:rsidR="003F092C" w:rsidRPr="00EF64A9" w:rsidP="00984970" w14:paraId="4FA5BCE1" w14:textId="2B13C9D1">
      <w:pPr>
        <w:tabs>
          <w:tab w:val="left" w:pos="720"/>
          <w:tab w:val="left" w:pos="1440"/>
          <w:tab w:val="left" w:leader="dot" w:pos="8640"/>
        </w:tabs>
        <w:spacing w:line="480" w:lineRule="auto"/>
      </w:pPr>
      <w:r w:rsidRPr="00EF64A9">
        <w:rPr>
          <w:color w:val="333333"/>
          <w:shd w:val="clear" w:color="auto" w:fill="FFFFFF"/>
        </w:rPr>
        <w:tab/>
        <w:t>The reliability standards considered in this proceeding reflect DP&amp;L’s day-to-day operations and maintenance of its distribution system outside of periods of extreme inclement weather or other events outside of the control of DP&amp;L.</w:t>
      </w:r>
      <w:r>
        <w:rPr>
          <w:rStyle w:val="FootnoteReference"/>
          <w:color w:val="333333"/>
          <w:shd w:val="clear" w:color="auto" w:fill="FFFFFF"/>
        </w:rPr>
        <w:footnoteReference w:id="11"/>
      </w:r>
      <w:r w:rsidRPr="00EF64A9">
        <w:rPr>
          <w:color w:val="333333"/>
          <w:shd w:val="clear" w:color="auto" w:fill="FFFFFF"/>
        </w:rPr>
        <w:t xml:space="preserve"> OCC’s expert Williams testified that these are commonly referred to as “blue sky” standards.</w:t>
      </w:r>
      <w:r>
        <w:rPr>
          <w:rStyle w:val="FootnoteReference"/>
          <w:color w:val="333333"/>
          <w:shd w:val="clear" w:color="auto" w:fill="FFFFFF"/>
        </w:rPr>
        <w:footnoteReference w:id="12"/>
      </w:r>
      <w:r w:rsidRPr="00EF64A9">
        <w:rPr>
          <w:color w:val="333333"/>
          <w:shd w:val="clear" w:color="auto" w:fill="FFFFFF"/>
        </w:rPr>
        <w:t xml:space="preserve"> </w:t>
      </w:r>
      <w:r w:rsidRPr="00EF64A9">
        <w:rPr>
          <w:bCs/>
        </w:rPr>
        <w:t>DP&amp;L’s current reliability standards of a 0.88 SAIFI and a CAIDI of 125.04 minutes were established in PUCO Case No. 12-1832-EL-ESS, and have been in effect since 2013.</w:t>
      </w:r>
      <w:r>
        <w:rPr>
          <w:rStyle w:val="FootnoteReference"/>
          <w:bCs/>
        </w:rPr>
        <w:footnoteReference w:id="13"/>
      </w:r>
      <w:r w:rsidR="00EF64A9">
        <w:rPr>
          <w:bCs/>
        </w:rPr>
        <w:t xml:space="preserve"> </w:t>
      </w:r>
    </w:p>
    <w:p w:rsidR="00984970" w:rsidRPr="00EF64A9" w:rsidP="00C61DD1" w14:paraId="4708C9D7" w14:textId="5B70FAEA">
      <w:pPr>
        <w:tabs>
          <w:tab w:val="left" w:pos="720"/>
          <w:tab w:val="left" w:pos="1440"/>
          <w:tab w:val="left" w:leader="dot" w:pos="8640"/>
        </w:tabs>
        <w:spacing w:line="480" w:lineRule="auto"/>
        <w:rPr>
          <w:b/>
          <w:bCs/>
        </w:rPr>
      </w:pPr>
      <w:r w:rsidRPr="00EF64A9">
        <w:tab/>
        <w:t xml:space="preserve">DP&amp;L has proposed standards in this proceeding that result in </w:t>
      </w:r>
      <w:r w:rsidRPr="00EF64A9">
        <w:rPr>
          <w:i/>
          <w:iCs/>
        </w:rPr>
        <w:t>reduced</w:t>
      </w:r>
      <w:r w:rsidRPr="00EF64A9">
        <w:t xml:space="preserve"> reliability for consumers, including a SAIFI of 1.02 and a CAIDI of 147.22</w:t>
      </w:r>
      <w:r w:rsidRPr="00EF64A9" w:rsidR="00B64F86">
        <w:t>.</w:t>
      </w:r>
      <w:r w:rsidRPr="00EF64A9">
        <w:t xml:space="preserve"> Under these standards, DP&amp;L may interrupt service to consumers more often and the interruptions can be longer. If the PUCO approves DP&amp;L’s amended application (which it should not), the average number of annual interruptions experienced by DP&amp;L consumers could increase by 15.9 percent. Further, the average annual duration of a DP&amp;L consumer interruption would increase by over 22 minutes over the minimum service standards that the PUCO currently considers acceptable.</w:t>
      </w:r>
      <w:r w:rsidR="00EF64A9">
        <w:t xml:space="preserve"> </w:t>
      </w:r>
    </w:p>
    <w:p w:rsidR="001F5171" w:rsidRPr="00EF64A9" w:rsidP="00C61DD1" w14:paraId="53762CB3" w14:textId="7EBBD13A">
      <w:pPr>
        <w:tabs>
          <w:tab w:val="left" w:pos="720"/>
          <w:tab w:val="left" w:pos="1350"/>
          <w:tab w:val="left" w:leader="dot" w:pos="8640"/>
        </w:tabs>
        <w:spacing w:line="480" w:lineRule="auto"/>
      </w:pPr>
      <w:r w:rsidRPr="00EF64A9">
        <w:rPr>
          <w:b/>
          <w:bCs/>
        </w:rPr>
        <w:tab/>
      </w:r>
      <w:r w:rsidRPr="00EF64A9">
        <w:t xml:space="preserve">DP&amp;L’s attempt to lower its reliability standards should be viewed in light of its historical reliability performance. </w:t>
      </w:r>
      <w:r w:rsidRPr="00EF64A9" w:rsidR="00C965F2">
        <w:t>Table 1</w:t>
      </w:r>
      <w:r w:rsidRPr="00EF64A9" w:rsidR="00F06B77">
        <w:t>, below</w:t>
      </w:r>
      <w:r w:rsidRPr="00EF64A9" w:rsidR="00EE14CC">
        <w:t>,</w:t>
      </w:r>
      <w:r w:rsidRPr="00EF64A9" w:rsidR="00C965F2">
        <w:t xml:space="preserve"> provides a summary of DP&amp;L’s reliability performance compared </w:t>
      </w:r>
      <w:r w:rsidRPr="00EF64A9" w:rsidR="002F0C4B">
        <w:t xml:space="preserve">to </w:t>
      </w:r>
      <w:r w:rsidRPr="00EF64A9" w:rsidR="00C965F2">
        <w:t>its standard for 2013 through 202</w:t>
      </w:r>
      <w:r w:rsidRPr="00EF64A9" w:rsidR="002E618F">
        <w:t>1</w:t>
      </w:r>
      <w:r w:rsidRPr="00EF64A9" w:rsidR="00C965F2">
        <w:t xml:space="preserve">. Table 1 also provides a summary of the </w:t>
      </w:r>
      <w:r w:rsidRPr="00EF64A9" w:rsidR="00FF2FA4">
        <w:t xml:space="preserve">actual </w:t>
      </w:r>
      <w:r w:rsidRPr="00EF64A9" w:rsidR="00C965F2">
        <w:t>reliability performance if major events and transmission outages were not excluded from the standards.</w:t>
      </w:r>
      <w:r w:rsidRPr="00EF64A9" w:rsidR="00633037">
        <w:t xml:space="preserve"> </w:t>
      </w:r>
      <w:r w:rsidRPr="00EF64A9" w:rsidR="00FF2FA4">
        <w:t>This is important information in evaluating the actual average number of outages that DP&amp;L consumers are enduring and the average duration of each.</w:t>
      </w:r>
      <w:r w:rsidRPr="00EF64A9" w:rsidR="00633037">
        <w:t xml:space="preserve"> </w:t>
      </w:r>
    </w:p>
    <w:p w:rsidR="004F6383" w:rsidRPr="00EF64A9" w:rsidP="00A80CFF" w14:paraId="6FC88849" w14:textId="3395439D">
      <w:pPr>
        <w:jc w:val="center"/>
        <w:rPr>
          <w:b/>
          <w:bCs/>
        </w:rPr>
      </w:pPr>
      <w:r w:rsidRPr="00EF64A9">
        <w:rPr>
          <w:b/>
          <w:bCs/>
        </w:rPr>
        <w:t>Table 1: DP&amp;L Reliability Performance Compared with Its Standards (2013 – 2021)</w:t>
      </w:r>
      <w:r>
        <w:rPr>
          <w:rStyle w:val="FootnoteReference"/>
          <w:b/>
          <w:bCs/>
        </w:rPr>
        <w:footnoteReference w:id="14"/>
      </w:r>
    </w:p>
    <w:p w:rsidR="00B03E1E" w:rsidRPr="00EF64A9" w:rsidP="00B03E1E" w14:paraId="004FADFD" w14:textId="77777777">
      <w:pPr>
        <w:ind w:left="720" w:hanging="720"/>
        <w:jc w:val="center"/>
        <w:rPr>
          <w:b/>
          <w:bCs/>
        </w:rPr>
      </w:pPr>
    </w:p>
    <w:tbl>
      <w:tblPr>
        <w:tblStyle w:val="TableGrid"/>
        <w:tblW w:w="10407" w:type="dxa"/>
        <w:tblInd w:w="-889" w:type="dxa"/>
        <w:tblLook w:val="04A0"/>
      </w:tblPr>
      <w:tblGrid>
        <w:gridCol w:w="1443"/>
        <w:gridCol w:w="996"/>
        <w:gridCol w:w="996"/>
        <w:gridCol w:w="996"/>
        <w:gridCol w:w="996"/>
        <w:gridCol w:w="996"/>
        <w:gridCol w:w="996"/>
        <w:gridCol w:w="996"/>
        <w:gridCol w:w="996"/>
        <w:gridCol w:w="996"/>
      </w:tblGrid>
      <w:tr w14:paraId="62FAFCF4" w14:textId="77777777" w:rsidTr="005E493F">
        <w:tblPrEx>
          <w:tblW w:w="10407" w:type="dxa"/>
          <w:tblInd w:w="-889" w:type="dxa"/>
          <w:tblLook w:val="04A0"/>
        </w:tblPrEx>
        <w:tc>
          <w:tcPr>
            <w:tcW w:w="1443" w:type="dxa"/>
          </w:tcPr>
          <w:p w:rsidR="00D55487" w:rsidRPr="00EF64A9" w:rsidP="00DF6D6B" w14:paraId="7B214084" w14:textId="77777777">
            <w:r w:rsidRPr="00EF64A9">
              <w:t>Year</w:t>
            </w:r>
          </w:p>
        </w:tc>
        <w:tc>
          <w:tcPr>
            <w:tcW w:w="996" w:type="dxa"/>
          </w:tcPr>
          <w:p w:rsidR="00D55487" w:rsidRPr="00EF64A9" w:rsidP="00DF6D6B" w14:paraId="45B50CA7" w14:textId="77777777">
            <w:r w:rsidRPr="00EF64A9">
              <w:t>2013</w:t>
            </w:r>
          </w:p>
        </w:tc>
        <w:tc>
          <w:tcPr>
            <w:tcW w:w="996" w:type="dxa"/>
          </w:tcPr>
          <w:p w:rsidR="00D55487" w:rsidRPr="00EF64A9" w:rsidP="00DF6D6B" w14:paraId="4DB33085" w14:textId="77777777">
            <w:r w:rsidRPr="00EF64A9">
              <w:t>2014</w:t>
            </w:r>
          </w:p>
        </w:tc>
        <w:tc>
          <w:tcPr>
            <w:tcW w:w="996" w:type="dxa"/>
          </w:tcPr>
          <w:p w:rsidR="00D55487" w:rsidRPr="00EF64A9" w:rsidP="00DF6D6B" w14:paraId="6E592D97" w14:textId="77777777">
            <w:r w:rsidRPr="00EF64A9">
              <w:t>2015</w:t>
            </w:r>
          </w:p>
        </w:tc>
        <w:tc>
          <w:tcPr>
            <w:tcW w:w="996" w:type="dxa"/>
          </w:tcPr>
          <w:p w:rsidR="00D55487" w:rsidRPr="00EF64A9" w:rsidP="00DF6D6B" w14:paraId="6E36DA70" w14:textId="77777777">
            <w:r w:rsidRPr="00EF64A9">
              <w:t>2016</w:t>
            </w:r>
          </w:p>
        </w:tc>
        <w:tc>
          <w:tcPr>
            <w:tcW w:w="996" w:type="dxa"/>
          </w:tcPr>
          <w:p w:rsidR="00D55487" w:rsidRPr="00EF64A9" w:rsidP="00DF6D6B" w14:paraId="4966D9C5" w14:textId="77777777">
            <w:r w:rsidRPr="00EF64A9">
              <w:t>2017</w:t>
            </w:r>
          </w:p>
        </w:tc>
        <w:tc>
          <w:tcPr>
            <w:tcW w:w="996" w:type="dxa"/>
          </w:tcPr>
          <w:p w:rsidR="00D55487" w:rsidRPr="00EF64A9" w:rsidP="00DF6D6B" w14:paraId="09BD47BE" w14:textId="77777777">
            <w:r w:rsidRPr="00EF64A9">
              <w:t>2018</w:t>
            </w:r>
          </w:p>
        </w:tc>
        <w:tc>
          <w:tcPr>
            <w:tcW w:w="996" w:type="dxa"/>
          </w:tcPr>
          <w:p w:rsidR="00D55487" w:rsidRPr="00EF64A9" w:rsidP="00DF6D6B" w14:paraId="3D75EA16" w14:textId="77777777">
            <w:r w:rsidRPr="00EF64A9">
              <w:t>2019</w:t>
            </w:r>
          </w:p>
        </w:tc>
        <w:tc>
          <w:tcPr>
            <w:tcW w:w="996" w:type="dxa"/>
          </w:tcPr>
          <w:p w:rsidR="00D55487" w:rsidRPr="00EF64A9" w:rsidP="00DF6D6B" w14:paraId="6FA23252" w14:textId="77777777">
            <w:r w:rsidRPr="00EF64A9">
              <w:t>2020</w:t>
            </w:r>
          </w:p>
        </w:tc>
        <w:tc>
          <w:tcPr>
            <w:tcW w:w="996" w:type="dxa"/>
          </w:tcPr>
          <w:p w:rsidR="00D55487" w:rsidRPr="00EF64A9" w:rsidP="00DF6D6B" w14:paraId="3C7155F2" w14:textId="77777777">
            <w:r w:rsidRPr="00EF64A9">
              <w:t>2021</w:t>
            </w:r>
          </w:p>
        </w:tc>
      </w:tr>
      <w:tr w14:paraId="122A48A2" w14:textId="77777777" w:rsidTr="005E493F">
        <w:tblPrEx>
          <w:tblW w:w="10407" w:type="dxa"/>
          <w:tblInd w:w="-889" w:type="dxa"/>
          <w:tblLook w:val="04A0"/>
        </w:tblPrEx>
        <w:tc>
          <w:tcPr>
            <w:tcW w:w="1443" w:type="dxa"/>
          </w:tcPr>
          <w:p w:rsidR="00D55487" w:rsidRPr="00EF64A9" w:rsidP="00DF6D6B" w14:paraId="51C706E3" w14:textId="77777777">
            <w:r w:rsidRPr="00EF64A9">
              <w:t>SAIFI Standard</w:t>
            </w:r>
          </w:p>
        </w:tc>
        <w:tc>
          <w:tcPr>
            <w:tcW w:w="996" w:type="dxa"/>
          </w:tcPr>
          <w:p w:rsidR="00D55487" w:rsidRPr="00EF64A9" w:rsidP="00DF6D6B" w14:paraId="5B602208" w14:textId="77777777">
            <w:r w:rsidRPr="00EF64A9">
              <w:t>0.88</w:t>
            </w:r>
          </w:p>
        </w:tc>
        <w:tc>
          <w:tcPr>
            <w:tcW w:w="996" w:type="dxa"/>
          </w:tcPr>
          <w:p w:rsidR="00D55487" w:rsidRPr="00EF64A9" w:rsidP="00DF6D6B" w14:paraId="12067882" w14:textId="77777777">
            <w:r w:rsidRPr="00EF64A9">
              <w:t>0.88</w:t>
            </w:r>
          </w:p>
        </w:tc>
        <w:tc>
          <w:tcPr>
            <w:tcW w:w="996" w:type="dxa"/>
          </w:tcPr>
          <w:p w:rsidR="00D55487" w:rsidRPr="00EF64A9" w:rsidP="00DF6D6B" w14:paraId="1D49C069" w14:textId="77777777">
            <w:r w:rsidRPr="00EF64A9">
              <w:t>0.88</w:t>
            </w:r>
          </w:p>
        </w:tc>
        <w:tc>
          <w:tcPr>
            <w:tcW w:w="996" w:type="dxa"/>
          </w:tcPr>
          <w:p w:rsidR="00D55487" w:rsidRPr="00EF64A9" w:rsidP="00DF6D6B" w14:paraId="316743ED" w14:textId="77777777">
            <w:r w:rsidRPr="00EF64A9">
              <w:t>0.88</w:t>
            </w:r>
          </w:p>
        </w:tc>
        <w:tc>
          <w:tcPr>
            <w:tcW w:w="996" w:type="dxa"/>
          </w:tcPr>
          <w:p w:rsidR="00D55487" w:rsidRPr="00EF64A9" w:rsidP="00DF6D6B" w14:paraId="61A5B562" w14:textId="77777777">
            <w:r w:rsidRPr="00EF64A9">
              <w:t>0.88</w:t>
            </w:r>
          </w:p>
        </w:tc>
        <w:tc>
          <w:tcPr>
            <w:tcW w:w="996" w:type="dxa"/>
          </w:tcPr>
          <w:p w:rsidR="00D55487" w:rsidRPr="00EF64A9" w:rsidP="00DF6D6B" w14:paraId="2D2C6C16" w14:textId="77777777">
            <w:r w:rsidRPr="00EF64A9">
              <w:t>0.88</w:t>
            </w:r>
          </w:p>
        </w:tc>
        <w:tc>
          <w:tcPr>
            <w:tcW w:w="996" w:type="dxa"/>
          </w:tcPr>
          <w:p w:rsidR="00D55487" w:rsidRPr="00EF64A9" w:rsidP="00DF6D6B" w14:paraId="1C3B48A8" w14:textId="77777777">
            <w:r w:rsidRPr="00EF64A9">
              <w:t>0.88</w:t>
            </w:r>
          </w:p>
        </w:tc>
        <w:tc>
          <w:tcPr>
            <w:tcW w:w="996" w:type="dxa"/>
          </w:tcPr>
          <w:p w:rsidR="00D55487" w:rsidRPr="00EF64A9" w:rsidP="00DF6D6B" w14:paraId="295F2582" w14:textId="77777777">
            <w:r w:rsidRPr="00EF64A9">
              <w:t>0.88</w:t>
            </w:r>
          </w:p>
        </w:tc>
        <w:tc>
          <w:tcPr>
            <w:tcW w:w="996" w:type="dxa"/>
          </w:tcPr>
          <w:p w:rsidR="00D55487" w:rsidRPr="00EF64A9" w:rsidP="00DF6D6B" w14:paraId="422EA2D9" w14:textId="77777777">
            <w:r w:rsidRPr="00EF64A9">
              <w:t>0.88</w:t>
            </w:r>
          </w:p>
        </w:tc>
      </w:tr>
      <w:tr w14:paraId="7FAC4B5B" w14:textId="77777777" w:rsidTr="005E493F">
        <w:tblPrEx>
          <w:tblW w:w="10407" w:type="dxa"/>
          <w:tblInd w:w="-889" w:type="dxa"/>
          <w:tblLook w:val="04A0"/>
        </w:tblPrEx>
        <w:tc>
          <w:tcPr>
            <w:tcW w:w="1443" w:type="dxa"/>
          </w:tcPr>
          <w:p w:rsidR="00D55487" w:rsidRPr="00EF64A9" w:rsidP="00DF6D6B" w14:paraId="7B31349B" w14:textId="77777777">
            <w:r w:rsidRPr="00EF64A9">
              <w:t>SAIFI Performance (After Exclusion)</w:t>
            </w:r>
          </w:p>
        </w:tc>
        <w:tc>
          <w:tcPr>
            <w:tcW w:w="996" w:type="dxa"/>
          </w:tcPr>
          <w:p w:rsidR="00D55487" w:rsidRPr="00EF64A9" w:rsidP="00DF6D6B" w14:paraId="29BC22A2" w14:textId="77777777">
            <w:r w:rsidRPr="00EF64A9">
              <w:t>0.70</w:t>
            </w:r>
          </w:p>
        </w:tc>
        <w:tc>
          <w:tcPr>
            <w:tcW w:w="996" w:type="dxa"/>
          </w:tcPr>
          <w:p w:rsidR="00D55487" w:rsidRPr="00EF64A9" w:rsidP="00DF6D6B" w14:paraId="3189724D" w14:textId="77777777">
            <w:r w:rsidRPr="00EF64A9">
              <w:t>0.82</w:t>
            </w:r>
          </w:p>
        </w:tc>
        <w:tc>
          <w:tcPr>
            <w:tcW w:w="996" w:type="dxa"/>
          </w:tcPr>
          <w:p w:rsidR="00D55487" w:rsidRPr="00EF64A9" w:rsidP="00DF6D6B" w14:paraId="00F2B876" w14:textId="77777777">
            <w:r w:rsidRPr="00EF64A9">
              <w:t>0.85</w:t>
            </w:r>
          </w:p>
        </w:tc>
        <w:tc>
          <w:tcPr>
            <w:tcW w:w="996" w:type="dxa"/>
          </w:tcPr>
          <w:p w:rsidR="00D55487" w:rsidRPr="00EF64A9" w:rsidP="00DF6D6B" w14:paraId="7A9B3B17" w14:textId="77777777">
            <w:r w:rsidRPr="00EF64A9">
              <w:t>0.69</w:t>
            </w:r>
          </w:p>
        </w:tc>
        <w:tc>
          <w:tcPr>
            <w:tcW w:w="996" w:type="dxa"/>
          </w:tcPr>
          <w:p w:rsidR="00D55487" w:rsidRPr="00EF64A9" w:rsidP="00DF6D6B" w14:paraId="3036D25A" w14:textId="77777777">
            <w:r w:rsidRPr="00EF64A9">
              <w:t>0.68</w:t>
            </w:r>
          </w:p>
        </w:tc>
        <w:tc>
          <w:tcPr>
            <w:tcW w:w="996" w:type="dxa"/>
          </w:tcPr>
          <w:p w:rsidR="00D55487" w:rsidRPr="00EF64A9" w:rsidP="00DF6D6B" w14:paraId="4230826A" w14:textId="77777777">
            <w:r w:rsidRPr="00EF64A9">
              <w:t>0.83</w:t>
            </w:r>
          </w:p>
        </w:tc>
        <w:tc>
          <w:tcPr>
            <w:tcW w:w="996" w:type="dxa"/>
          </w:tcPr>
          <w:p w:rsidR="00D55487" w:rsidRPr="00EF64A9" w:rsidP="00DF6D6B" w14:paraId="5A07ED6E" w14:textId="77777777">
            <w:r w:rsidRPr="00EF64A9">
              <w:t>0.88</w:t>
            </w:r>
          </w:p>
        </w:tc>
        <w:tc>
          <w:tcPr>
            <w:tcW w:w="996" w:type="dxa"/>
          </w:tcPr>
          <w:p w:rsidR="00D55487" w:rsidRPr="00EF64A9" w:rsidP="00DF6D6B" w14:paraId="7D2C7564" w14:textId="77777777">
            <w:r w:rsidRPr="00EF64A9">
              <w:t>0.84</w:t>
            </w:r>
          </w:p>
        </w:tc>
        <w:tc>
          <w:tcPr>
            <w:tcW w:w="996" w:type="dxa"/>
          </w:tcPr>
          <w:p w:rsidR="00D55487" w:rsidRPr="00EF64A9" w:rsidP="00DF6D6B" w14:paraId="2DA074C4" w14:textId="77777777">
            <w:r w:rsidRPr="00EF64A9">
              <w:t>0.72</w:t>
            </w:r>
          </w:p>
        </w:tc>
      </w:tr>
      <w:tr w14:paraId="3E37E063" w14:textId="77777777" w:rsidTr="005E493F">
        <w:tblPrEx>
          <w:tblW w:w="10407" w:type="dxa"/>
          <w:tblInd w:w="-889" w:type="dxa"/>
          <w:tblLook w:val="04A0"/>
        </w:tblPrEx>
        <w:tc>
          <w:tcPr>
            <w:tcW w:w="1443" w:type="dxa"/>
          </w:tcPr>
          <w:p w:rsidR="00D55487" w:rsidRPr="00EF64A9" w:rsidP="00DF6D6B" w14:paraId="0FD3DF31" w14:textId="77777777">
            <w:r w:rsidRPr="00EF64A9">
              <w:t>SAIFI Performance (Before Exclusion)</w:t>
            </w:r>
          </w:p>
        </w:tc>
        <w:tc>
          <w:tcPr>
            <w:tcW w:w="996" w:type="dxa"/>
          </w:tcPr>
          <w:p w:rsidR="00D55487" w:rsidRPr="00EF64A9" w:rsidP="00DF6D6B" w14:paraId="4E261B77" w14:textId="77777777">
            <w:r w:rsidRPr="00EF64A9">
              <w:t>0.86</w:t>
            </w:r>
          </w:p>
        </w:tc>
        <w:tc>
          <w:tcPr>
            <w:tcW w:w="996" w:type="dxa"/>
          </w:tcPr>
          <w:p w:rsidR="00D55487" w:rsidRPr="00EF64A9" w:rsidP="00DF6D6B" w14:paraId="26F874B5" w14:textId="77777777">
            <w:r w:rsidRPr="00EF64A9">
              <w:t>0.97</w:t>
            </w:r>
          </w:p>
        </w:tc>
        <w:tc>
          <w:tcPr>
            <w:tcW w:w="996" w:type="dxa"/>
          </w:tcPr>
          <w:p w:rsidR="00D55487" w:rsidRPr="00EF64A9" w:rsidP="00DF6D6B" w14:paraId="24A1FA61" w14:textId="77777777">
            <w:r w:rsidRPr="00EF64A9">
              <w:t>0.96</w:t>
            </w:r>
          </w:p>
        </w:tc>
        <w:tc>
          <w:tcPr>
            <w:tcW w:w="996" w:type="dxa"/>
          </w:tcPr>
          <w:p w:rsidR="00D55487" w:rsidRPr="00EF64A9" w:rsidP="00DF6D6B" w14:paraId="750F1EAC" w14:textId="77777777">
            <w:r w:rsidRPr="00EF64A9">
              <w:t>0.92</w:t>
            </w:r>
          </w:p>
        </w:tc>
        <w:tc>
          <w:tcPr>
            <w:tcW w:w="996" w:type="dxa"/>
          </w:tcPr>
          <w:p w:rsidR="00D55487" w:rsidRPr="00EF64A9" w:rsidP="00DF6D6B" w14:paraId="6018989B" w14:textId="77777777">
            <w:r w:rsidRPr="00EF64A9">
              <w:t>1.06</w:t>
            </w:r>
          </w:p>
        </w:tc>
        <w:tc>
          <w:tcPr>
            <w:tcW w:w="996" w:type="dxa"/>
          </w:tcPr>
          <w:p w:rsidR="00D55487" w:rsidRPr="00EF64A9" w:rsidP="00DF6D6B" w14:paraId="2AA35058" w14:textId="77777777">
            <w:r w:rsidRPr="00EF64A9">
              <w:t>1.14</w:t>
            </w:r>
          </w:p>
        </w:tc>
        <w:tc>
          <w:tcPr>
            <w:tcW w:w="996" w:type="dxa"/>
          </w:tcPr>
          <w:p w:rsidR="00D55487" w:rsidRPr="00EF64A9" w:rsidP="00DF6D6B" w14:paraId="564E183C" w14:textId="77777777">
            <w:r w:rsidRPr="00EF64A9">
              <w:t>1.39</w:t>
            </w:r>
          </w:p>
        </w:tc>
        <w:tc>
          <w:tcPr>
            <w:tcW w:w="996" w:type="dxa"/>
          </w:tcPr>
          <w:p w:rsidR="00D55487" w:rsidRPr="00EF64A9" w:rsidP="00DF6D6B" w14:paraId="0D048E97" w14:textId="77777777">
            <w:r w:rsidRPr="00EF64A9">
              <w:t>1.10</w:t>
            </w:r>
          </w:p>
        </w:tc>
        <w:tc>
          <w:tcPr>
            <w:tcW w:w="996" w:type="dxa"/>
          </w:tcPr>
          <w:p w:rsidR="00D55487" w:rsidRPr="00EF64A9" w:rsidP="00DF6D6B" w14:paraId="02DEF3B4" w14:textId="77777777">
            <w:r w:rsidRPr="00EF64A9">
              <w:t>0.99</w:t>
            </w:r>
          </w:p>
        </w:tc>
      </w:tr>
      <w:tr w14:paraId="35B5A535" w14:textId="77777777" w:rsidTr="005E493F">
        <w:tblPrEx>
          <w:tblW w:w="10407" w:type="dxa"/>
          <w:tblInd w:w="-889" w:type="dxa"/>
          <w:tblLook w:val="04A0"/>
        </w:tblPrEx>
        <w:tc>
          <w:tcPr>
            <w:tcW w:w="1443" w:type="dxa"/>
          </w:tcPr>
          <w:p w:rsidR="00D55487" w:rsidRPr="00EF64A9" w:rsidP="00DF6D6B" w14:paraId="00A7FEF4" w14:textId="77777777">
            <w:r w:rsidRPr="00EF64A9">
              <w:t>CAIDI Standard</w:t>
            </w:r>
          </w:p>
        </w:tc>
        <w:tc>
          <w:tcPr>
            <w:tcW w:w="996" w:type="dxa"/>
          </w:tcPr>
          <w:p w:rsidR="00D55487" w:rsidRPr="00EF64A9" w:rsidP="00DF6D6B" w14:paraId="47EC779C" w14:textId="77777777">
            <w:r w:rsidRPr="00EF64A9">
              <w:t>125.04</w:t>
            </w:r>
          </w:p>
        </w:tc>
        <w:tc>
          <w:tcPr>
            <w:tcW w:w="996" w:type="dxa"/>
          </w:tcPr>
          <w:p w:rsidR="00D55487" w:rsidRPr="00EF64A9" w:rsidP="00DF6D6B" w14:paraId="55B57284" w14:textId="77777777">
            <w:r w:rsidRPr="00EF64A9">
              <w:t>125.04</w:t>
            </w:r>
          </w:p>
        </w:tc>
        <w:tc>
          <w:tcPr>
            <w:tcW w:w="996" w:type="dxa"/>
          </w:tcPr>
          <w:p w:rsidR="00D55487" w:rsidRPr="00EF64A9" w:rsidP="00DF6D6B" w14:paraId="2CF704E6" w14:textId="77777777">
            <w:r w:rsidRPr="00EF64A9">
              <w:t>125.04</w:t>
            </w:r>
          </w:p>
        </w:tc>
        <w:tc>
          <w:tcPr>
            <w:tcW w:w="996" w:type="dxa"/>
          </w:tcPr>
          <w:p w:rsidR="00D55487" w:rsidRPr="00EF64A9" w:rsidP="00DF6D6B" w14:paraId="1B83C852" w14:textId="77777777">
            <w:r w:rsidRPr="00EF64A9">
              <w:t>125.04</w:t>
            </w:r>
          </w:p>
        </w:tc>
        <w:tc>
          <w:tcPr>
            <w:tcW w:w="996" w:type="dxa"/>
          </w:tcPr>
          <w:p w:rsidR="00D55487" w:rsidRPr="00EF64A9" w:rsidP="00DF6D6B" w14:paraId="29A8A052" w14:textId="77777777">
            <w:r w:rsidRPr="00EF64A9">
              <w:t>125.04</w:t>
            </w:r>
          </w:p>
        </w:tc>
        <w:tc>
          <w:tcPr>
            <w:tcW w:w="996" w:type="dxa"/>
          </w:tcPr>
          <w:p w:rsidR="00D55487" w:rsidRPr="00EF64A9" w:rsidP="00DF6D6B" w14:paraId="451B3BE9" w14:textId="77777777">
            <w:r w:rsidRPr="00EF64A9">
              <w:t>125.04</w:t>
            </w:r>
          </w:p>
        </w:tc>
        <w:tc>
          <w:tcPr>
            <w:tcW w:w="996" w:type="dxa"/>
          </w:tcPr>
          <w:p w:rsidR="00D55487" w:rsidRPr="00EF64A9" w:rsidP="00DF6D6B" w14:paraId="40D6367B" w14:textId="77777777">
            <w:r w:rsidRPr="00EF64A9">
              <w:t>125.04</w:t>
            </w:r>
          </w:p>
        </w:tc>
        <w:tc>
          <w:tcPr>
            <w:tcW w:w="996" w:type="dxa"/>
          </w:tcPr>
          <w:p w:rsidR="00D55487" w:rsidRPr="00EF64A9" w:rsidP="00DF6D6B" w14:paraId="74F4E88B" w14:textId="77777777">
            <w:r w:rsidRPr="00EF64A9">
              <w:t>125.04</w:t>
            </w:r>
          </w:p>
        </w:tc>
        <w:tc>
          <w:tcPr>
            <w:tcW w:w="996" w:type="dxa"/>
          </w:tcPr>
          <w:p w:rsidR="00D55487" w:rsidRPr="00EF64A9" w:rsidP="00DF6D6B" w14:paraId="728A10DB" w14:textId="77777777">
            <w:r w:rsidRPr="00EF64A9">
              <w:t>125.04</w:t>
            </w:r>
          </w:p>
        </w:tc>
      </w:tr>
      <w:tr w14:paraId="663CD314" w14:textId="77777777" w:rsidTr="005E493F">
        <w:tblPrEx>
          <w:tblW w:w="10407" w:type="dxa"/>
          <w:tblInd w:w="-889" w:type="dxa"/>
          <w:tblLook w:val="04A0"/>
        </w:tblPrEx>
        <w:tc>
          <w:tcPr>
            <w:tcW w:w="1443" w:type="dxa"/>
          </w:tcPr>
          <w:p w:rsidR="00D55487" w:rsidRPr="00EF64A9" w:rsidP="00DF6D6B" w14:paraId="148FC1A4" w14:textId="77777777">
            <w:r w:rsidRPr="00EF64A9">
              <w:t>CAIFI Performance (After Exclusion)</w:t>
            </w:r>
          </w:p>
        </w:tc>
        <w:tc>
          <w:tcPr>
            <w:tcW w:w="996" w:type="dxa"/>
          </w:tcPr>
          <w:p w:rsidR="00D55487" w:rsidRPr="00EF64A9" w:rsidP="00DF6D6B" w14:paraId="6A046CD1" w14:textId="77777777">
            <w:r w:rsidRPr="00EF64A9">
              <w:t>110.51</w:t>
            </w:r>
          </w:p>
        </w:tc>
        <w:tc>
          <w:tcPr>
            <w:tcW w:w="996" w:type="dxa"/>
          </w:tcPr>
          <w:p w:rsidR="00D55487" w:rsidRPr="00EF64A9" w:rsidP="00DF6D6B" w14:paraId="46CF8FA0" w14:textId="77777777">
            <w:r w:rsidRPr="00EF64A9">
              <w:t>121.86</w:t>
            </w:r>
          </w:p>
        </w:tc>
        <w:tc>
          <w:tcPr>
            <w:tcW w:w="996" w:type="dxa"/>
          </w:tcPr>
          <w:p w:rsidR="00D55487" w:rsidRPr="00EF64A9" w:rsidP="00DF6D6B" w14:paraId="23C5D713" w14:textId="77777777">
            <w:r w:rsidRPr="00EF64A9">
              <w:t>118.69</w:t>
            </w:r>
          </w:p>
        </w:tc>
        <w:tc>
          <w:tcPr>
            <w:tcW w:w="996" w:type="dxa"/>
          </w:tcPr>
          <w:p w:rsidR="00D55487" w:rsidRPr="00EF64A9" w:rsidP="00DF6D6B" w14:paraId="77D8C798" w14:textId="77777777">
            <w:r w:rsidRPr="00EF64A9">
              <w:t>119.08</w:t>
            </w:r>
          </w:p>
        </w:tc>
        <w:tc>
          <w:tcPr>
            <w:tcW w:w="996" w:type="dxa"/>
          </w:tcPr>
          <w:p w:rsidR="00D55487" w:rsidRPr="00EF64A9" w:rsidP="00DF6D6B" w14:paraId="526E0E4D" w14:textId="77777777">
            <w:pPr>
              <w:rPr>
                <w:b/>
                <w:bCs/>
                <w:i/>
                <w:iCs/>
              </w:rPr>
            </w:pPr>
            <w:r w:rsidRPr="00EF64A9">
              <w:rPr>
                <w:b/>
                <w:bCs/>
                <w:i/>
                <w:iCs/>
              </w:rPr>
              <w:t>133.07</w:t>
            </w:r>
          </w:p>
        </w:tc>
        <w:tc>
          <w:tcPr>
            <w:tcW w:w="996" w:type="dxa"/>
          </w:tcPr>
          <w:p w:rsidR="00D55487" w:rsidRPr="00EF64A9" w:rsidP="00DF6D6B" w14:paraId="63277204" w14:textId="77777777">
            <w:r w:rsidRPr="00EF64A9">
              <w:t>118.41</w:t>
            </w:r>
          </w:p>
        </w:tc>
        <w:tc>
          <w:tcPr>
            <w:tcW w:w="996" w:type="dxa"/>
          </w:tcPr>
          <w:p w:rsidR="00D55487" w:rsidRPr="00EF64A9" w:rsidP="00DF6D6B" w14:paraId="7B4DFFAE" w14:textId="77777777">
            <w:pPr>
              <w:rPr>
                <w:b/>
                <w:bCs/>
                <w:i/>
                <w:iCs/>
              </w:rPr>
            </w:pPr>
            <w:r w:rsidRPr="00EF64A9">
              <w:rPr>
                <w:b/>
                <w:bCs/>
                <w:i/>
                <w:iCs/>
              </w:rPr>
              <w:t>133.29</w:t>
            </w:r>
          </w:p>
        </w:tc>
        <w:tc>
          <w:tcPr>
            <w:tcW w:w="996" w:type="dxa"/>
          </w:tcPr>
          <w:p w:rsidR="00D55487" w:rsidRPr="00EF64A9" w:rsidP="00DF6D6B" w14:paraId="7A56BC8E" w14:textId="77777777">
            <w:pPr>
              <w:rPr>
                <w:b/>
                <w:bCs/>
                <w:i/>
                <w:iCs/>
              </w:rPr>
            </w:pPr>
            <w:r w:rsidRPr="00EF64A9">
              <w:rPr>
                <w:b/>
                <w:bCs/>
                <w:i/>
                <w:iCs/>
              </w:rPr>
              <w:t>132.17</w:t>
            </w:r>
          </w:p>
        </w:tc>
        <w:tc>
          <w:tcPr>
            <w:tcW w:w="996" w:type="dxa"/>
          </w:tcPr>
          <w:p w:rsidR="00D55487" w:rsidRPr="00EF64A9" w:rsidP="00DF6D6B" w14:paraId="6C8C87A6" w14:textId="77777777">
            <w:pPr>
              <w:rPr>
                <w:b/>
                <w:bCs/>
                <w:i/>
                <w:iCs/>
              </w:rPr>
            </w:pPr>
            <w:r w:rsidRPr="00EF64A9">
              <w:rPr>
                <w:b/>
                <w:bCs/>
                <w:i/>
                <w:iCs/>
              </w:rPr>
              <w:t>129.52</w:t>
            </w:r>
          </w:p>
        </w:tc>
      </w:tr>
      <w:tr w14:paraId="71EDCB00" w14:textId="77777777" w:rsidTr="005E493F">
        <w:tblPrEx>
          <w:tblW w:w="10407" w:type="dxa"/>
          <w:tblInd w:w="-889" w:type="dxa"/>
          <w:tblLook w:val="04A0"/>
        </w:tblPrEx>
        <w:tc>
          <w:tcPr>
            <w:tcW w:w="1443" w:type="dxa"/>
          </w:tcPr>
          <w:p w:rsidR="00D55487" w:rsidRPr="00EF64A9" w:rsidP="00DF6D6B" w14:paraId="467A9622" w14:textId="77777777">
            <w:r w:rsidRPr="00EF64A9">
              <w:t>CAIFI Performance (Before Exclusion)</w:t>
            </w:r>
          </w:p>
        </w:tc>
        <w:tc>
          <w:tcPr>
            <w:tcW w:w="996" w:type="dxa"/>
          </w:tcPr>
          <w:p w:rsidR="00D55487" w:rsidRPr="00EF64A9" w:rsidP="00DF6D6B" w14:paraId="67DE7775" w14:textId="77777777">
            <w:r w:rsidRPr="00EF64A9">
              <w:t>148.11</w:t>
            </w:r>
          </w:p>
        </w:tc>
        <w:tc>
          <w:tcPr>
            <w:tcW w:w="996" w:type="dxa"/>
          </w:tcPr>
          <w:p w:rsidR="00D55487" w:rsidRPr="00EF64A9" w:rsidP="00DF6D6B" w14:paraId="5C99ACED" w14:textId="77777777">
            <w:r w:rsidRPr="00EF64A9">
              <w:t>132.25</w:t>
            </w:r>
          </w:p>
        </w:tc>
        <w:tc>
          <w:tcPr>
            <w:tcW w:w="996" w:type="dxa"/>
          </w:tcPr>
          <w:p w:rsidR="00D55487" w:rsidRPr="00EF64A9" w:rsidP="00DF6D6B" w14:paraId="0E8BEFBF" w14:textId="77777777">
            <w:r w:rsidRPr="00EF64A9">
              <w:t>123.46</w:t>
            </w:r>
          </w:p>
        </w:tc>
        <w:tc>
          <w:tcPr>
            <w:tcW w:w="996" w:type="dxa"/>
          </w:tcPr>
          <w:p w:rsidR="00D55487" w:rsidRPr="00EF64A9" w:rsidP="00DF6D6B" w14:paraId="2979183A" w14:textId="77777777">
            <w:r w:rsidRPr="00EF64A9">
              <w:t>164.16</w:t>
            </w:r>
          </w:p>
        </w:tc>
        <w:tc>
          <w:tcPr>
            <w:tcW w:w="996" w:type="dxa"/>
          </w:tcPr>
          <w:p w:rsidR="00D55487" w:rsidRPr="00EF64A9" w:rsidP="00DF6D6B" w14:paraId="25A3387F" w14:textId="77777777">
            <w:r w:rsidRPr="00EF64A9">
              <w:t>185.56</w:t>
            </w:r>
          </w:p>
        </w:tc>
        <w:tc>
          <w:tcPr>
            <w:tcW w:w="996" w:type="dxa"/>
          </w:tcPr>
          <w:p w:rsidR="00D55487" w:rsidRPr="00EF64A9" w:rsidP="00DF6D6B" w14:paraId="01BB284C" w14:textId="77777777">
            <w:r w:rsidRPr="00EF64A9">
              <w:t>170.86</w:t>
            </w:r>
          </w:p>
        </w:tc>
        <w:tc>
          <w:tcPr>
            <w:tcW w:w="996" w:type="dxa"/>
          </w:tcPr>
          <w:p w:rsidR="00D55487" w:rsidRPr="00EF64A9" w:rsidP="00DF6D6B" w14:paraId="04059C04" w14:textId="77777777">
            <w:r w:rsidRPr="00EF64A9">
              <w:t>437.03</w:t>
            </w:r>
          </w:p>
        </w:tc>
        <w:tc>
          <w:tcPr>
            <w:tcW w:w="996" w:type="dxa"/>
          </w:tcPr>
          <w:p w:rsidR="00D55487" w:rsidRPr="00EF64A9" w:rsidP="00DF6D6B" w14:paraId="663F05F7" w14:textId="77777777">
            <w:r w:rsidRPr="00EF64A9">
              <w:t>157.88</w:t>
            </w:r>
          </w:p>
        </w:tc>
        <w:tc>
          <w:tcPr>
            <w:tcW w:w="996" w:type="dxa"/>
          </w:tcPr>
          <w:p w:rsidR="00D55487" w:rsidRPr="00EF64A9" w:rsidP="00DF6D6B" w14:paraId="1AD4D4A0" w14:textId="77777777">
            <w:r w:rsidRPr="00EF64A9">
              <w:t>181.93</w:t>
            </w:r>
          </w:p>
        </w:tc>
      </w:tr>
      <w:tr w14:paraId="4DA6ADDB" w14:textId="77777777" w:rsidTr="005E493F">
        <w:tblPrEx>
          <w:tblW w:w="10407" w:type="dxa"/>
          <w:tblInd w:w="-889" w:type="dxa"/>
          <w:tblLook w:val="04A0"/>
        </w:tblPrEx>
        <w:tc>
          <w:tcPr>
            <w:tcW w:w="1443" w:type="dxa"/>
          </w:tcPr>
          <w:p w:rsidR="00D55487" w:rsidRPr="00EF64A9" w:rsidP="00DF6D6B" w14:paraId="4A91A6C6" w14:textId="77777777">
            <w:r w:rsidRPr="00EF64A9">
              <w:t>Number of Customers</w:t>
            </w:r>
          </w:p>
        </w:tc>
        <w:tc>
          <w:tcPr>
            <w:tcW w:w="996" w:type="dxa"/>
          </w:tcPr>
          <w:p w:rsidR="00D55487" w:rsidRPr="00EF64A9" w:rsidP="00DF6D6B" w14:paraId="50B7E9CC" w14:textId="77777777">
            <w:r w:rsidRPr="00EF64A9">
              <w:t>572,667</w:t>
            </w:r>
          </w:p>
        </w:tc>
        <w:tc>
          <w:tcPr>
            <w:tcW w:w="996" w:type="dxa"/>
          </w:tcPr>
          <w:p w:rsidR="00D55487" w:rsidRPr="00EF64A9" w:rsidP="00DF6D6B" w14:paraId="3A911838" w14:textId="77777777">
            <w:r w:rsidRPr="00EF64A9">
              <w:t>574,993</w:t>
            </w:r>
          </w:p>
        </w:tc>
        <w:tc>
          <w:tcPr>
            <w:tcW w:w="996" w:type="dxa"/>
          </w:tcPr>
          <w:p w:rsidR="00D55487" w:rsidRPr="00EF64A9" w:rsidP="00DF6D6B" w14:paraId="6B5ADF67" w14:textId="77777777">
            <w:r w:rsidRPr="00EF64A9">
              <w:t>577,709</w:t>
            </w:r>
          </w:p>
        </w:tc>
        <w:tc>
          <w:tcPr>
            <w:tcW w:w="996" w:type="dxa"/>
          </w:tcPr>
          <w:p w:rsidR="00D55487" w:rsidRPr="00EF64A9" w:rsidP="00DF6D6B" w14:paraId="18396210" w14:textId="77777777">
            <w:r w:rsidRPr="00EF64A9">
              <w:t>580,592</w:t>
            </w:r>
          </w:p>
        </w:tc>
        <w:tc>
          <w:tcPr>
            <w:tcW w:w="996" w:type="dxa"/>
          </w:tcPr>
          <w:p w:rsidR="00D55487" w:rsidRPr="00EF64A9" w:rsidP="00DF6D6B" w14:paraId="6C73CC29" w14:textId="77777777">
            <w:r w:rsidRPr="00EF64A9">
              <w:t>584,044</w:t>
            </w:r>
          </w:p>
        </w:tc>
        <w:tc>
          <w:tcPr>
            <w:tcW w:w="996" w:type="dxa"/>
          </w:tcPr>
          <w:p w:rsidR="00D55487" w:rsidRPr="00EF64A9" w:rsidP="00DF6D6B" w14:paraId="316C449F" w14:textId="77777777">
            <w:r w:rsidRPr="00EF64A9">
              <w:t>587,473</w:t>
            </w:r>
          </w:p>
        </w:tc>
        <w:tc>
          <w:tcPr>
            <w:tcW w:w="996" w:type="dxa"/>
          </w:tcPr>
          <w:p w:rsidR="00D55487" w:rsidRPr="00EF64A9" w:rsidP="00DF6D6B" w14:paraId="219147D4" w14:textId="77777777">
            <w:r w:rsidRPr="00EF64A9">
              <w:t>591,607</w:t>
            </w:r>
          </w:p>
        </w:tc>
        <w:tc>
          <w:tcPr>
            <w:tcW w:w="996" w:type="dxa"/>
          </w:tcPr>
          <w:p w:rsidR="00D55487" w:rsidRPr="00EF64A9" w:rsidP="00DF6D6B" w14:paraId="5D7D4F1B" w14:textId="77777777">
            <w:r w:rsidRPr="00EF64A9">
              <w:t>594,965</w:t>
            </w:r>
          </w:p>
        </w:tc>
        <w:tc>
          <w:tcPr>
            <w:tcW w:w="996" w:type="dxa"/>
          </w:tcPr>
          <w:p w:rsidR="00D55487" w:rsidRPr="00EF64A9" w:rsidP="00DF6D6B" w14:paraId="2B509667" w14:textId="77777777">
            <w:r w:rsidRPr="00EF64A9">
              <w:t>600,136</w:t>
            </w:r>
          </w:p>
        </w:tc>
      </w:tr>
    </w:tbl>
    <w:p w:rsidR="001F5171" w:rsidRPr="00EF64A9" w:rsidP="00802115" w14:paraId="1A189A71" w14:textId="77777777">
      <w:pPr>
        <w:spacing w:line="480" w:lineRule="auto"/>
        <w:ind w:left="720" w:hanging="720"/>
      </w:pPr>
      <w:r w:rsidRPr="00EF64A9">
        <w:tab/>
      </w:r>
    </w:p>
    <w:p w:rsidR="00B30B55" w:rsidRPr="00EF64A9" w:rsidP="00923F1B" w14:paraId="0E688C7E" w14:textId="61ABA66D">
      <w:pPr>
        <w:spacing w:line="480" w:lineRule="auto"/>
        <w:ind w:firstLine="720"/>
      </w:pPr>
      <w:r w:rsidRPr="00EF64A9">
        <w:t>OCC expert Williams explained in his testimony that, u</w:t>
      </w:r>
      <w:r w:rsidRPr="00EF64A9" w:rsidR="00923F1B">
        <w:t xml:space="preserve">ntil recently, </w:t>
      </w:r>
      <w:r w:rsidRPr="00EF64A9" w:rsidR="000D1C23">
        <w:t xml:space="preserve">DP&amp;L has consistently met the SAIFI standard each year since </w:t>
      </w:r>
      <w:r w:rsidRPr="00EF64A9" w:rsidR="00B55BD4">
        <w:t>the standards were</w:t>
      </w:r>
      <w:r w:rsidRPr="00EF64A9" w:rsidR="001F5171">
        <w:t xml:space="preserve"> </w:t>
      </w:r>
      <w:r w:rsidRPr="00EF64A9" w:rsidR="00B55BD4">
        <w:t>initially established.</w:t>
      </w:r>
      <w:r>
        <w:rPr>
          <w:rStyle w:val="FootnoteReference"/>
        </w:rPr>
        <w:footnoteReference w:id="15"/>
      </w:r>
      <w:r w:rsidRPr="00EF64A9" w:rsidR="00B55BD4">
        <w:t xml:space="preserve"> </w:t>
      </w:r>
      <w:r w:rsidRPr="00EF64A9" w:rsidR="00B76930">
        <w:t>And PUCO Staff confirmed this.</w:t>
      </w:r>
      <w:r>
        <w:rPr>
          <w:rStyle w:val="FootnoteReference"/>
        </w:rPr>
        <w:footnoteReference w:id="16"/>
      </w:r>
      <w:r w:rsidRPr="00EF64A9" w:rsidR="00F91AD4">
        <w:t xml:space="preserve"> </w:t>
      </w:r>
      <w:r w:rsidRPr="00EF64A9" w:rsidR="00B0378E">
        <w:t>But as confirmed by</w:t>
      </w:r>
      <w:r w:rsidRPr="00EF64A9" w:rsidR="0015560C">
        <w:t xml:space="preserve"> PUCO Staff</w:t>
      </w:r>
      <w:r w:rsidRPr="00EF64A9" w:rsidR="00B0378E">
        <w:t>,</w:t>
      </w:r>
      <w:r w:rsidRPr="00EF64A9" w:rsidR="00C61DD1">
        <w:t xml:space="preserve"> </w:t>
      </w:r>
      <w:r w:rsidRPr="00EF64A9" w:rsidR="00B0378E">
        <w:t>D</w:t>
      </w:r>
      <w:r w:rsidRPr="00EF64A9" w:rsidR="000D1C23">
        <w:t>P&amp;L failed to</w:t>
      </w:r>
      <w:r w:rsidRPr="00EF64A9" w:rsidR="00B55BD4">
        <w:t xml:space="preserve"> </w:t>
      </w:r>
      <w:r w:rsidRPr="00EF64A9" w:rsidR="000D1C23">
        <w:t xml:space="preserve">meet the </w:t>
      </w:r>
      <w:r w:rsidRPr="00EF64A9" w:rsidR="00B55BD4">
        <w:t xml:space="preserve">minimum required </w:t>
      </w:r>
      <w:r w:rsidRPr="00EF64A9" w:rsidR="000D1C23">
        <w:t>CAIDI performance standard in 2017, 2019, 2020, and 2021.</w:t>
      </w:r>
      <w:r>
        <w:rPr>
          <w:rStyle w:val="FootnoteReference"/>
        </w:rPr>
        <w:footnoteReference w:id="17"/>
      </w:r>
      <w:r w:rsidR="00EF64A9">
        <w:t xml:space="preserve"> </w:t>
      </w:r>
      <w:r w:rsidRPr="00EF64A9" w:rsidR="00D17850">
        <w:t xml:space="preserve">This means that consumers have had longer </w:t>
      </w:r>
      <w:r w:rsidRPr="00EF64A9" w:rsidR="005E0163">
        <w:t xml:space="preserve">duration </w:t>
      </w:r>
      <w:r w:rsidRPr="00EF64A9" w:rsidR="00D17850">
        <w:t>outages than what the PUCO considers minimally acceptable.</w:t>
      </w:r>
      <w:r>
        <w:rPr>
          <w:rStyle w:val="FootnoteReference"/>
        </w:rPr>
        <w:footnoteReference w:id="18"/>
      </w:r>
      <w:r w:rsidRPr="00EF64A9" w:rsidR="00D17850">
        <w:t xml:space="preserve"> </w:t>
      </w:r>
      <w:r w:rsidRPr="00EF64A9" w:rsidR="007707E0">
        <w:t>But c</w:t>
      </w:r>
      <w:r w:rsidRPr="00EF64A9" w:rsidR="00F72246">
        <w:t>ompl</w:t>
      </w:r>
      <w:r w:rsidRPr="00EF64A9" w:rsidR="007707E0">
        <w:t>iance</w:t>
      </w:r>
      <w:r w:rsidRPr="00EF64A9" w:rsidR="00F72246">
        <w:t xml:space="preserve"> with the </w:t>
      </w:r>
      <w:r w:rsidR="009244DF">
        <w:t xml:space="preserve">standards for </w:t>
      </w:r>
      <w:r w:rsidR="00C111A8">
        <w:t>number of interruption</w:t>
      </w:r>
      <w:r w:rsidR="0099120E">
        <w:t xml:space="preserve"> </w:t>
      </w:r>
      <w:r w:rsidRPr="00EF64A9" w:rsidR="00F72246">
        <w:t>does not excuse DP&amp;L from providing</w:t>
      </w:r>
      <w:r w:rsidR="00C111A8">
        <w:t xml:space="preserve"> too long outages,</w:t>
      </w:r>
      <w:r w:rsidR="0099120E">
        <w:t xml:space="preserve"> </w:t>
      </w:r>
      <w:r w:rsidRPr="00EF64A9" w:rsidR="00F72246">
        <w:t>inadequate service as measured by the CAIDI standards.</w:t>
      </w:r>
      <w:r w:rsidR="00EF64A9">
        <w:t xml:space="preserve"> </w:t>
      </w:r>
    </w:p>
    <w:p w:rsidR="00A27326" w:rsidRPr="00EF64A9" w:rsidP="00AE7D98" w14:paraId="7CFB7777" w14:textId="1001A0F6">
      <w:pPr>
        <w:spacing w:line="480" w:lineRule="auto"/>
        <w:ind w:firstLine="720"/>
      </w:pPr>
      <w:r w:rsidRPr="00EF64A9">
        <w:t xml:space="preserve">Under </w:t>
      </w:r>
      <w:r w:rsidRPr="00EF64A9" w:rsidR="00C70E90">
        <w:t>O.A.C.</w:t>
      </w:r>
      <w:r w:rsidRPr="00EF64A9">
        <w:t xml:space="preserve"> 4901:1-10-10(E), failure to comply with the SAIFI or CAIDI reliability performance standard for two consecutive years constitutes a violation of PUCO rules. </w:t>
      </w:r>
      <w:r w:rsidRPr="00EF64A9">
        <w:t xml:space="preserve">The PUCO has initiated </w:t>
      </w:r>
      <w:r w:rsidRPr="00EF64A9" w:rsidR="009C6E88">
        <w:t xml:space="preserve">an </w:t>
      </w:r>
      <w:r w:rsidRPr="00EF64A9" w:rsidR="009D363C">
        <w:t xml:space="preserve">enforcement action </w:t>
      </w:r>
      <w:r w:rsidR="00C111A8">
        <w:t xml:space="preserve">against DP&amp;L </w:t>
      </w:r>
      <w:r w:rsidRPr="00EF64A9" w:rsidR="002F0C4B">
        <w:t>(</w:t>
      </w:r>
      <w:r w:rsidRPr="00EF64A9">
        <w:t>21-1220-EL-UNC</w:t>
      </w:r>
      <w:r w:rsidRPr="00EF64A9" w:rsidR="002F0C4B">
        <w:t>)</w:t>
      </w:r>
      <w:r w:rsidRPr="00EF64A9">
        <w:t xml:space="preserve"> </w:t>
      </w:r>
      <w:r w:rsidRPr="00EF64A9" w:rsidR="008E5B65">
        <w:t>for failure to comply with the CAIDI standard.</w:t>
      </w:r>
      <w:r>
        <w:rPr>
          <w:rStyle w:val="FootnoteReference"/>
        </w:rPr>
        <w:footnoteReference w:id="19"/>
      </w:r>
      <w:r w:rsidR="0099120E">
        <w:t xml:space="preserve"> </w:t>
      </w:r>
      <w:r w:rsidR="00C111A8">
        <w:t xml:space="preserve">That action is pending. </w:t>
      </w:r>
    </w:p>
    <w:p w:rsidR="00C61DD1" w:rsidRPr="00EF64A9" w:rsidP="00C61DD1" w14:paraId="3D754E8C" w14:textId="4CD99DCD">
      <w:pPr>
        <w:tabs>
          <w:tab w:val="left" w:pos="2520"/>
          <w:tab w:val="left" w:pos="2610"/>
          <w:tab w:val="left" w:leader="dot" w:pos="8640"/>
        </w:tabs>
        <w:spacing w:line="480" w:lineRule="auto"/>
        <w:ind w:firstLine="720"/>
      </w:pPr>
      <w:r w:rsidRPr="00EF64A9">
        <w:t>As supported by OCC expert Williams’ testimony, the PUCO should not approve a DP&amp;L SAIFI standard that exceeds 0.79 or a CAIDI standard that exceeds 123.34 minutes. These standards align with the PUCO rules and provide a just and reasonable benchmark for judging the reliability of electric service that DP&amp;L provides consumers. The PUCO should not approve DP&amp;L’s application in this case</w:t>
      </w:r>
      <w:r w:rsidRPr="00EF64A9">
        <w:rPr>
          <w:b/>
          <w:bCs/>
          <w:i/>
          <w:iCs/>
        </w:rPr>
        <w:t xml:space="preserve">. </w:t>
      </w:r>
      <w:r w:rsidRPr="00EF64A9">
        <w:t>It should adopt OCC’s recommended CAIDI and SAIFI standards, to protect consumers.</w:t>
      </w:r>
    </w:p>
    <w:p w:rsidR="00C111A8" w:rsidP="00AE7D98" w14:paraId="5B9D225F" w14:textId="77777777">
      <w:pPr>
        <w:spacing w:line="480" w:lineRule="auto"/>
        <w:ind w:firstLine="720"/>
      </w:pPr>
      <w:r w:rsidRPr="00EF64A9">
        <w:t xml:space="preserve">The PUCO should not permit DP&amp;L </w:t>
      </w:r>
      <w:r w:rsidRPr="00EF64A9" w:rsidR="009C6E88">
        <w:t xml:space="preserve">to </w:t>
      </w:r>
      <w:r w:rsidRPr="00EF64A9">
        <w:t>lower reliability standards</w:t>
      </w:r>
      <w:r w:rsidRPr="00EF64A9" w:rsidR="003A7644">
        <w:t xml:space="preserve">. This is </w:t>
      </w:r>
      <w:r w:rsidRPr="00EF64A9" w:rsidR="001A5BBD">
        <w:t xml:space="preserve">especially </w:t>
      </w:r>
      <w:r w:rsidRPr="00EF64A9" w:rsidR="003A7644">
        <w:t xml:space="preserve">true given that the reason why </w:t>
      </w:r>
      <w:r w:rsidRPr="00EF64A9" w:rsidR="007622B3">
        <w:t>DP&amp;L</w:t>
      </w:r>
      <w:r w:rsidRPr="00EF64A9" w:rsidR="003A7644">
        <w:t xml:space="preserve"> failed to meet its current reliability standards is due entirely </w:t>
      </w:r>
      <w:r w:rsidRPr="00EF64A9" w:rsidR="007622B3">
        <w:t>to</w:t>
      </w:r>
      <w:r w:rsidRPr="00EF64A9" w:rsidR="008804A0">
        <w:t xml:space="preserve"> </w:t>
      </w:r>
      <w:r w:rsidRPr="00EF64A9" w:rsidR="00E36A81">
        <w:t xml:space="preserve">its failure to perform the required inspection, maintenance, repair, and replacement of its distribution system </w:t>
      </w:r>
      <w:r w:rsidRPr="00EF64A9" w:rsidR="00D751B2">
        <w:t xml:space="preserve">that was needed </w:t>
      </w:r>
      <w:r w:rsidRPr="00EF64A9" w:rsidR="00E36A81">
        <w:t xml:space="preserve">to </w:t>
      </w:r>
      <w:r w:rsidRPr="00EF64A9" w:rsidR="001A5BBD">
        <w:t>meet</w:t>
      </w:r>
      <w:r w:rsidRPr="00EF64A9" w:rsidR="00E36A81">
        <w:t xml:space="preserve"> </w:t>
      </w:r>
      <w:r w:rsidRPr="00EF64A9" w:rsidR="001A5BBD">
        <w:t xml:space="preserve">the current standards. </w:t>
      </w:r>
    </w:p>
    <w:p w:rsidR="00A6701E" w:rsidRPr="00EF64A9" w:rsidP="00AE7D98" w14:paraId="5D06348C" w14:textId="39CF2A78">
      <w:pPr>
        <w:spacing w:line="480" w:lineRule="auto"/>
        <w:ind w:firstLine="720"/>
      </w:pPr>
      <w:r w:rsidRPr="00EF64A9">
        <w:t>DP&amp;L</w:t>
      </w:r>
      <w:r w:rsidRPr="00EF64A9" w:rsidR="007622B3">
        <w:t>’s</w:t>
      </w:r>
      <w:r w:rsidRPr="00EF64A9">
        <w:t xml:space="preserve"> distribution </w:t>
      </w:r>
      <w:r w:rsidRPr="00EF64A9" w:rsidR="007622B3">
        <w:t>charges</w:t>
      </w:r>
      <w:r w:rsidRPr="00EF64A9">
        <w:t xml:space="preserve"> approved by the PUCO </w:t>
      </w:r>
      <w:r w:rsidRPr="00EF64A9" w:rsidR="00D16ACD">
        <w:t xml:space="preserve">in the 15-1830-EL-AIR rate case </w:t>
      </w:r>
      <w:r w:rsidRPr="00EF64A9">
        <w:t xml:space="preserve">were determined to be just and reasonable </w:t>
      </w:r>
      <w:r w:rsidRPr="00EF64A9" w:rsidR="00D16ACD">
        <w:t xml:space="preserve">and sufficient </w:t>
      </w:r>
      <w:r w:rsidRPr="00EF64A9">
        <w:t>for DP&amp;L to provide adequate service to consumers</w:t>
      </w:r>
      <w:r w:rsidRPr="00EF64A9" w:rsidR="00D16ACD">
        <w:t>.</w:t>
      </w:r>
      <w:r w:rsidR="00EF64A9">
        <w:t xml:space="preserve"> </w:t>
      </w:r>
      <w:r w:rsidRPr="00EF64A9" w:rsidR="007622B3">
        <w:t>It would be</w:t>
      </w:r>
      <w:r w:rsidRPr="00EF64A9" w:rsidR="00916527">
        <w:t xml:space="preserve"> unjust and unreasonable fo</w:t>
      </w:r>
      <w:r w:rsidR="00AB395C">
        <w:t>r</w:t>
      </w:r>
      <w:r>
        <w:rPr>
          <w:rStyle w:val="FootnoteReference"/>
        </w:rPr>
        <w:footnoteReference w:id="20"/>
      </w:r>
      <w:r w:rsidRPr="00EF64A9" w:rsidR="00916527">
        <w:t xml:space="preserve"> c</w:t>
      </w:r>
      <w:r w:rsidRPr="00EF64A9" w:rsidR="001A5BBD">
        <w:t xml:space="preserve">onsumers </w:t>
      </w:r>
      <w:r w:rsidRPr="00EF64A9" w:rsidR="00916527">
        <w:t xml:space="preserve">to now </w:t>
      </w:r>
      <w:r w:rsidRPr="00EF64A9" w:rsidR="001A5BBD">
        <w:t>pay</w:t>
      </w:r>
      <w:r w:rsidRPr="00EF64A9">
        <w:t xml:space="preserve"> </w:t>
      </w:r>
      <w:r w:rsidRPr="00EF64A9" w:rsidR="00916527">
        <w:t xml:space="preserve">the </w:t>
      </w:r>
      <w:r w:rsidRPr="00EF64A9" w:rsidR="00D16ACD">
        <w:t xml:space="preserve">even higher distribution </w:t>
      </w:r>
      <w:r w:rsidRPr="00EF64A9" w:rsidR="007622B3">
        <w:t>charges</w:t>
      </w:r>
      <w:r w:rsidRPr="00EF64A9" w:rsidR="00D16ACD">
        <w:t xml:space="preserve"> that </w:t>
      </w:r>
      <w:r w:rsidRPr="00EF64A9" w:rsidR="00916527">
        <w:t xml:space="preserve">the </w:t>
      </w:r>
      <w:r w:rsidRPr="00EF64A9" w:rsidR="00D16ACD">
        <w:t xml:space="preserve">PUCO </w:t>
      </w:r>
      <w:r w:rsidRPr="00EF64A9" w:rsidR="00916527">
        <w:t xml:space="preserve">approved </w:t>
      </w:r>
      <w:r w:rsidRPr="00EF64A9" w:rsidR="00D16ACD">
        <w:t xml:space="preserve">in case 20-1651-EL-AIR </w:t>
      </w:r>
      <w:r w:rsidRPr="00EF64A9" w:rsidR="00916527">
        <w:t xml:space="preserve">and yet </w:t>
      </w:r>
      <w:r w:rsidRPr="00EF64A9" w:rsidR="007622B3">
        <w:t xml:space="preserve">allow </w:t>
      </w:r>
      <w:r w:rsidRPr="00EF64A9" w:rsidR="00916527">
        <w:t xml:space="preserve">DP&amp;L to provide </w:t>
      </w:r>
      <w:r w:rsidRPr="00EF64A9" w:rsidR="00D76A13">
        <w:t>even less</w:t>
      </w:r>
      <w:r w:rsidRPr="00EF64A9" w:rsidR="00267AF1">
        <w:t xml:space="preserve"> </w:t>
      </w:r>
      <w:r w:rsidRPr="00EF64A9" w:rsidR="008216CA">
        <w:t>reliable service</w:t>
      </w:r>
      <w:r w:rsidRPr="00EF64A9" w:rsidR="00916527">
        <w:t>.</w:t>
      </w:r>
      <w:r w:rsidRPr="00EF64A9" w:rsidR="008216CA">
        <w:t xml:space="preserve"> </w:t>
      </w:r>
    </w:p>
    <w:p w:rsidR="00B30B55" w:rsidRPr="00582FDE" w:rsidP="00FF2510" w14:paraId="195FCDE7" w14:textId="2D50C118">
      <w:pPr>
        <w:pStyle w:val="Heading2"/>
      </w:pPr>
      <w:bookmarkStart w:id="3" w:name="_Toc126054944"/>
      <w:r w:rsidRPr="00EF64A9">
        <w:t>T</w:t>
      </w:r>
      <w:r w:rsidRPr="00EF64A9" w:rsidR="00C61DD1">
        <w:t>o protect consumers, t</w:t>
      </w:r>
      <w:r w:rsidRPr="00EF64A9">
        <w:t xml:space="preserve">he PUCO should </w:t>
      </w:r>
      <w:r w:rsidRPr="00EF64A9" w:rsidR="00691418">
        <w:t>reject</w:t>
      </w:r>
      <w:r w:rsidRPr="00EF64A9">
        <w:t xml:space="preserve"> DP&amp;L’s </w:t>
      </w:r>
      <w:r w:rsidRPr="00EF64A9" w:rsidR="00453049">
        <w:t xml:space="preserve">proposed </w:t>
      </w:r>
      <w:r w:rsidRPr="00EF64A9" w:rsidR="00691418">
        <w:t xml:space="preserve">methodology for calculating </w:t>
      </w:r>
      <w:r w:rsidRPr="00EF64A9" w:rsidR="00453049">
        <w:t>SAIFI and CAIDI</w:t>
      </w:r>
      <w:r w:rsidRPr="00EF64A9" w:rsidR="00705C45">
        <w:t xml:space="preserve">, because </w:t>
      </w:r>
      <w:r w:rsidRPr="00EF64A9" w:rsidR="00817372">
        <w:t xml:space="preserve">they are not just and reasonable and they </w:t>
      </w:r>
      <w:r w:rsidRPr="00EF64A9" w:rsidR="00705C45">
        <w:t xml:space="preserve">lead to </w:t>
      </w:r>
      <w:r w:rsidRPr="00EF64A9" w:rsidR="006226F0">
        <w:t xml:space="preserve">reduced </w:t>
      </w:r>
      <w:r w:rsidRPr="00EF64A9" w:rsidR="00705C45">
        <w:t xml:space="preserve">reliability </w:t>
      </w:r>
      <w:r w:rsidRPr="00EF64A9" w:rsidR="00E36A81">
        <w:t>for consumers.</w:t>
      </w:r>
      <w:bookmarkEnd w:id="3"/>
      <w:r w:rsidRPr="00EF64A9" w:rsidR="00E36A81">
        <w:t xml:space="preserve"> </w:t>
      </w:r>
    </w:p>
    <w:p w:rsidR="00D230AE" w:rsidRPr="00EF64A9" w:rsidP="00FA1563" w14:paraId="0FCFFCDA" w14:textId="4D72CC8E">
      <w:pPr>
        <w:spacing w:line="480" w:lineRule="auto"/>
        <w:ind w:firstLine="720"/>
      </w:pPr>
      <w:r w:rsidRPr="00EF64A9">
        <w:t>Neither OCC, nor the PUCO Staff,</w:t>
      </w:r>
      <w:r w:rsidRPr="00EF64A9" w:rsidR="00CB0A4A">
        <w:t xml:space="preserve"> </w:t>
      </w:r>
      <w:r w:rsidRPr="00EF64A9" w:rsidR="00E55E1C">
        <w:t xml:space="preserve">support </w:t>
      </w:r>
      <w:r w:rsidRPr="00EF64A9" w:rsidR="007C3883">
        <w:t xml:space="preserve">DP&amp;L’s proposed </w:t>
      </w:r>
      <w:r w:rsidRPr="00EF64A9">
        <w:t xml:space="preserve">reliability </w:t>
      </w:r>
      <w:r w:rsidRPr="00EF64A9" w:rsidR="007C3883">
        <w:t>standards.</w:t>
      </w:r>
      <w:r>
        <w:rPr>
          <w:rStyle w:val="FootnoteReference"/>
        </w:rPr>
        <w:footnoteReference w:id="21"/>
      </w:r>
      <w:r w:rsidRPr="00EF64A9" w:rsidR="007C3883">
        <w:t xml:space="preserve"> </w:t>
      </w:r>
      <w:r w:rsidRPr="00EF64A9" w:rsidR="00691418">
        <w:t xml:space="preserve">One reason is based on how DP&amp;L proposes to calculate the standards. </w:t>
      </w:r>
      <w:r w:rsidRPr="00EF64A9" w:rsidR="00033B47">
        <w:t>The PUCO should not approve DP&amp;L’s proposal to use</w:t>
      </w:r>
      <w:r w:rsidRPr="00EF64A9" w:rsidR="00675D12">
        <w:t xml:space="preserve"> performance data from 2016 through 2020 to establish its five</w:t>
      </w:r>
      <w:r w:rsidRPr="00EF64A9" w:rsidR="00705C45">
        <w:t>-</w:t>
      </w:r>
      <w:r w:rsidRPr="00EF64A9" w:rsidR="00675D12">
        <w:t>year average historical performance baseline</w:t>
      </w:r>
      <w:r w:rsidRPr="00EF64A9" w:rsidR="00E36A81">
        <w:t xml:space="preserve"> without making specific adjustments as required </w:t>
      </w:r>
      <w:r w:rsidRPr="00EF64A9" w:rsidR="00B32813">
        <w:t xml:space="preserve">by </w:t>
      </w:r>
      <w:r w:rsidRPr="00EF64A9" w:rsidR="00E36A81">
        <w:t>the rules</w:t>
      </w:r>
      <w:r w:rsidRPr="00EF64A9" w:rsidR="00675D12">
        <w:t>.</w:t>
      </w:r>
      <w:r>
        <w:rPr>
          <w:rStyle w:val="FootnoteReference"/>
        </w:rPr>
        <w:footnoteReference w:id="22"/>
      </w:r>
      <w:r w:rsidRPr="00EF64A9" w:rsidR="00675D12">
        <w:t xml:space="preserve"> </w:t>
      </w:r>
      <w:r w:rsidRPr="00EF64A9" w:rsidR="0010181B">
        <w:t>PUCO Staff’s testimony</w:t>
      </w:r>
      <w:r w:rsidRPr="00EF64A9" w:rsidR="009D6537">
        <w:t xml:space="preserve"> </w:t>
      </w:r>
      <w:r w:rsidRPr="00EF64A9" w:rsidR="00691418">
        <w:t>describes</w:t>
      </w:r>
      <w:r w:rsidRPr="00EF64A9" w:rsidR="00D61FE8">
        <w:t xml:space="preserve"> two primary issues.</w:t>
      </w:r>
      <w:r>
        <w:rPr>
          <w:rStyle w:val="FootnoteReference"/>
        </w:rPr>
        <w:footnoteReference w:id="23"/>
      </w:r>
      <w:r w:rsidRPr="00EF64A9" w:rsidR="00D61FE8">
        <w:t xml:space="preserve"> </w:t>
      </w:r>
      <w:r w:rsidRPr="00EF64A9" w:rsidR="0042357C">
        <w:t>“</w:t>
      </w:r>
      <w:r w:rsidRPr="00EF64A9" w:rsidR="00D61FE8">
        <w:t xml:space="preserve">First, the Company proposes to deviate from how SAIFI has historically been calculated and reported by the Company, which Staff does not believe the Company’s outage management system (OMS) is designed to do. Second, the Company proposes to base new standards on the past five years’ </w:t>
      </w:r>
      <w:r w:rsidRPr="00EF64A9" w:rsidR="00C95B2F">
        <w:t>average performance plus a 15% increment to account for variability, which Staff does not believe is appropriate.</w:t>
      </w:r>
      <w:r w:rsidRPr="00EF64A9" w:rsidR="0042357C">
        <w:t>”</w:t>
      </w:r>
      <w:r>
        <w:rPr>
          <w:rStyle w:val="FootnoteReference"/>
        </w:rPr>
        <w:footnoteReference w:id="24"/>
      </w:r>
      <w:r w:rsidRPr="00EF64A9" w:rsidR="0010181B">
        <w:t xml:space="preserve"> </w:t>
      </w:r>
    </w:p>
    <w:p w:rsidR="00F838A4" w:rsidP="00817372" w14:paraId="6CE4F8BE" w14:textId="77777777">
      <w:pPr>
        <w:autoSpaceDE w:val="0"/>
        <w:autoSpaceDN w:val="0"/>
        <w:adjustRightInd w:val="0"/>
        <w:spacing w:line="480" w:lineRule="auto"/>
        <w:ind w:firstLine="720"/>
      </w:pPr>
      <w:r w:rsidRPr="00EF64A9">
        <w:t xml:space="preserve">OCC’s expert </w:t>
      </w:r>
      <w:r w:rsidRPr="00EF64A9" w:rsidR="00D416D0">
        <w:t xml:space="preserve">Williams </w:t>
      </w:r>
      <w:r w:rsidRPr="00EF64A9">
        <w:t xml:space="preserve">testified </w:t>
      </w:r>
      <w:r w:rsidRPr="00EF64A9" w:rsidR="00691418">
        <w:t xml:space="preserve">in even greater detail about the consumer protection issues involved. He </w:t>
      </w:r>
      <w:r w:rsidRPr="00EF64A9" w:rsidR="007622B3">
        <w:t xml:space="preserve">explained </w:t>
      </w:r>
      <w:r w:rsidRPr="00EF64A9" w:rsidR="00691418">
        <w:t>that r</w:t>
      </w:r>
      <w:r w:rsidRPr="00EF64A9" w:rsidR="00675D12">
        <w:t>ather than using the actual historical baseline</w:t>
      </w:r>
      <w:r w:rsidRPr="00EF64A9" w:rsidR="00B32813">
        <w:t xml:space="preserve"> to </w:t>
      </w:r>
      <w:r w:rsidRPr="00EF64A9" w:rsidR="000E3FB3">
        <w:t xml:space="preserve">calculate </w:t>
      </w:r>
      <w:r w:rsidRPr="00EF64A9" w:rsidR="00B32813">
        <w:t xml:space="preserve">the total number of </w:t>
      </w:r>
      <w:r w:rsidRPr="00EF64A9" w:rsidR="007622B3">
        <w:t>consumers</w:t>
      </w:r>
      <w:r w:rsidRPr="00EF64A9" w:rsidR="00B32813">
        <w:t xml:space="preserve"> served, </w:t>
      </w:r>
      <w:r w:rsidRPr="00EF64A9">
        <w:t>DP&amp;L</w:t>
      </w:r>
      <w:r w:rsidRPr="00EF64A9" w:rsidR="00B32813">
        <w:t xml:space="preserve"> </w:t>
      </w:r>
      <w:r w:rsidRPr="00EF64A9" w:rsidR="00675D12">
        <w:t xml:space="preserve">proposed </w:t>
      </w:r>
      <w:r w:rsidRPr="00EF64A9" w:rsidR="00D416D0">
        <w:t>adjust</w:t>
      </w:r>
      <w:r w:rsidRPr="00EF64A9" w:rsidR="00B32813">
        <w:t xml:space="preserve">ing </w:t>
      </w:r>
      <w:r w:rsidRPr="00EF64A9" w:rsidR="00675D12">
        <w:t xml:space="preserve">the number of </w:t>
      </w:r>
      <w:r w:rsidRPr="00EF64A9" w:rsidR="002F0C4B">
        <w:t>consumers</w:t>
      </w:r>
      <w:r w:rsidRPr="00EF64A9" w:rsidR="00DA4936">
        <w:t>,</w:t>
      </w:r>
      <w:r w:rsidRPr="00EF64A9" w:rsidR="002F0C4B">
        <w:t xml:space="preserve"> </w:t>
      </w:r>
      <w:r w:rsidRPr="00EF64A9" w:rsidR="00675D12">
        <w:t xml:space="preserve">for each year </w:t>
      </w:r>
      <w:r w:rsidRPr="00EF64A9" w:rsidR="003D4F2D">
        <w:t>2016 – 2020</w:t>
      </w:r>
      <w:r w:rsidRPr="00EF64A9" w:rsidR="00DA4936">
        <w:t>,</w:t>
      </w:r>
      <w:r w:rsidRPr="00EF64A9" w:rsidR="003D4F2D">
        <w:t xml:space="preserve"> </w:t>
      </w:r>
      <w:r w:rsidRPr="00EF64A9" w:rsidR="00675D12">
        <w:t xml:space="preserve">based on </w:t>
      </w:r>
      <w:r w:rsidRPr="00EF64A9" w:rsidR="00B32813">
        <w:t xml:space="preserve">what it </w:t>
      </w:r>
      <w:r w:rsidRPr="00EF64A9" w:rsidR="00B32813">
        <w:rPr>
          <w:i/>
          <w:iCs/>
        </w:rPr>
        <w:t>claims</w:t>
      </w:r>
      <w:r w:rsidRPr="00EF64A9" w:rsidR="00B32813">
        <w:t xml:space="preserve"> </w:t>
      </w:r>
      <w:r w:rsidRPr="00EF64A9" w:rsidR="00C14EFB">
        <w:t xml:space="preserve">were </w:t>
      </w:r>
      <w:r w:rsidRPr="00EF64A9" w:rsidR="00675D12">
        <w:t xml:space="preserve">the </w:t>
      </w:r>
      <w:r w:rsidRPr="00EF64A9" w:rsidR="003D4F2D">
        <w:t xml:space="preserve">actual number of </w:t>
      </w:r>
      <w:r w:rsidRPr="00EF64A9" w:rsidR="002F0C4B">
        <w:t xml:space="preserve">consumers </w:t>
      </w:r>
      <w:r w:rsidRPr="00EF64A9" w:rsidR="003D4F2D">
        <w:t>served</w:t>
      </w:r>
      <w:r w:rsidRPr="00EF64A9" w:rsidR="000E3FB3">
        <w:t xml:space="preserve">. </w:t>
      </w:r>
    </w:p>
    <w:p w:rsidR="00817372" w:rsidRPr="00EF64A9" w:rsidP="00817372" w14:paraId="5BFF1FAD" w14:textId="7883A1D9">
      <w:pPr>
        <w:autoSpaceDE w:val="0"/>
        <w:autoSpaceDN w:val="0"/>
        <w:adjustRightInd w:val="0"/>
        <w:spacing w:line="480" w:lineRule="auto"/>
        <w:ind w:firstLine="720"/>
      </w:pPr>
      <w:r w:rsidRPr="00EF64A9">
        <w:t xml:space="preserve">Traditionally, DP&amp;L has appropriately reported the total consumer count based on the number of premises that it </w:t>
      </w:r>
      <w:r w:rsidRPr="00EF64A9" w:rsidR="007622B3">
        <w:t>serves</w:t>
      </w:r>
      <w:r w:rsidRPr="00EF64A9" w:rsidR="009A23BE">
        <w:t xml:space="preserve">. This methodology accurately reflects the fact that even though consumer counts will continually change as people move from one premise to another, DP&amp;L is </w:t>
      </w:r>
      <w:r w:rsidRPr="00EF64A9" w:rsidR="007622B3">
        <w:t xml:space="preserve">always </w:t>
      </w:r>
      <w:r w:rsidRPr="00EF64A9" w:rsidR="009A23BE">
        <w:t>obligated to p</w:t>
      </w:r>
      <w:r w:rsidRPr="00EF64A9">
        <w:t>rovide safe and reliable service</w:t>
      </w:r>
      <w:r w:rsidRPr="00EF64A9" w:rsidR="009A23BE">
        <w:t xml:space="preserve"> to the premise</w:t>
      </w:r>
      <w:r w:rsidRPr="00EF64A9">
        <w:t>.</w:t>
      </w:r>
      <w:r>
        <w:rPr>
          <w:rStyle w:val="FootnoteReference"/>
        </w:rPr>
        <w:footnoteReference w:id="25"/>
      </w:r>
      <w:r w:rsidRPr="00EF64A9" w:rsidR="003D4F2D">
        <w:t xml:space="preserve"> </w:t>
      </w:r>
      <w:r w:rsidRPr="00EF64A9" w:rsidR="008A23E6">
        <w:t>T</w:t>
      </w:r>
      <w:r w:rsidRPr="00EF64A9" w:rsidR="009A23BE">
        <w:t>hat DP&amp;L has met or exceeded its SAIFI performance standard since at least 2013 when the standards were last approved (</w:t>
      </w:r>
      <w:r w:rsidRPr="00EF64A9">
        <w:t xml:space="preserve">based on a </w:t>
      </w:r>
      <w:r w:rsidRPr="00EF64A9" w:rsidR="009A23BE">
        <w:t xml:space="preserve">total premise count) </w:t>
      </w:r>
      <w:r w:rsidRPr="00EF64A9" w:rsidR="00886C09">
        <w:t xml:space="preserve">is evidence </w:t>
      </w:r>
      <w:r w:rsidRPr="00EF64A9">
        <w:t xml:space="preserve">that </w:t>
      </w:r>
      <w:r w:rsidRPr="00EF64A9" w:rsidR="006226F0">
        <w:t xml:space="preserve">there is no legitimate reason for </w:t>
      </w:r>
      <w:r w:rsidRPr="00EF64A9">
        <w:t xml:space="preserve">changing the methodology </w:t>
      </w:r>
      <w:r w:rsidRPr="00EF64A9" w:rsidR="006226F0">
        <w:t xml:space="preserve">used </w:t>
      </w:r>
      <w:r w:rsidRPr="00EF64A9">
        <w:t xml:space="preserve">for calculating </w:t>
      </w:r>
      <w:r w:rsidRPr="00EF64A9" w:rsidR="00886C09">
        <w:t>consumer counts</w:t>
      </w:r>
      <w:r w:rsidRPr="00EF64A9" w:rsidR="006226F0">
        <w:t>.</w:t>
      </w:r>
      <w:r w:rsidR="00EF64A9">
        <w:t xml:space="preserve"> </w:t>
      </w:r>
      <w:r w:rsidRPr="00EF64A9" w:rsidR="008A23E6">
        <w:t>G</w:t>
      </w:r>
      <w:r w:rsidRPr="00EF64A9" w:rsidR="00046333">
        <w:t xml:space="preserve">iven the lack of factual support for changing how consumer counts are determined, </w:t>
      </w:r>
      <w:r w:rsidRPr="00EF64A9" w:rsidR="008A23E6">
        <w:t>doing so</w:t>
      </w:r>
      <w:r w:rsidRPr="00EF64A9" w:rsidR="00046333">
        <w:t xml:space="preserve"> can serve </w:t>
      </w:r>
      <w:r w:rsidRPr="00EF64A9" w:rsidR="00886C09">
        <w:t xml:space="preserve">no purpose other than </w:t>
      </w:r>
      <w:r w:rsidRPr="00EF64A9" w:rsidR="00046333">
        <w:t xml:space="preserve">enabling </w:t>
      </w:r>
      <w:r w:rsidRPr="00EF64A9" w:rsidR="00886C09">
        <w:t xml:space="preserve">DP&amp;L </w:t>
      </w:r>
      <w:r w:rsidRPr="00EF64A9" w:rsidR="00046333">
        <w:t xml:space="preserve">to provide </w:t>
      </w:r>
      <w:r w:rsidRPr="00EF64A9" w:rsidR="00886C09">
        <w:t xml:space="preserve">less reliable service </w:t>
      </w:r>
      <w:r w:rsidRPr="00EF64A9" w:rsidR="00046333">
        <w:t>to consumers.</w:t>
      </w:r>
      <w:r w:rsidR="00EF64A9">
        <w:t xml:space="preserve"> </w:t>
      </w:r>
    </w:p>
    <w:p w:rsidR="008A23E6" w:rsidRPr="00EF64A9" w:rsidP="00886C09" w14:paraId="5B8B247C" w14:textId="5F1DC920">
      <w:pPr>
        <w:autoSpaceDE w:val="0"/>
        <w:autoSpaceDN w:val="0"/>
        <w:adjustRightInd w:val="0"/>
        <w:spacing w:line="480" w:lineRule="auto"/>
        <w:ind w:firstLine="720"/>
      </w:pPr>
      <w:r w:rsidRPr="00EF64A9">
        <w:t>D</w:t>
      </w:r>
      <w:r w:rsidRPr="00EF64A9" w:rsidR="008D7C79">
        <w:t>P&amp;L</w:t>
      </w:r>
      <w:r w:rsidRPr="00EF64A9" w:rsidR="00803903">
        <w:t xml:space="preserve"> </w:t>
      </w:r>
      <w:r w:rsidRPr="00EF64A9" w:rsidR="003D4F2D">
        <w:t>proposed adding a 15-percent variance on</w:t>
      </w:r>
      <w:r w:rsidRPr="00EF64A9" w:rsidR="00FF7350">
        <w:t xml:space="preserve">to </w:t>
      </w:r>
      <w:r w:rsidRPr="00EF64A9" w:rsidR="003D4F2D">
        <w:t xml:space="preserve">the </w:t>
      </w:r>
      <w:r w:rsidRPr="00EF64A9" w:rsidR="00803903">
        <w:t xml:space="preserve">adjusted </w:t>
      </w:r>
      <w:r w:rsidRPr="00EF64A9" w:rsidR="003D4F2D">
        <w:t xml:space="preserve">five-year average historical performance to be included in the </w:t>
      </w:r>
      <w:r w:rsidRPr="00EF64A9" w:rsidR="00803903">
        <w:t xml:space="preserve">new </w:t>
      </w:r>
      <w:r w:rsidRPr="00EF64A9" w:rsidR="003D4F2D">
        <w:t>proposed standard.</w:t>
      </w:r>
      <w:r>
        <w:rPr>
          <w:rStyle w:val="FootnoteReference"/>
        </w:rPr>
        <w:footnoteReference w:id="26"/>
      </w:r>
      <w:r w:rsidRPr="00EF64A9" w:rsidR="00633037">
        <w:t xml:space="preserve"> </w:t>
      </w:r>
      <w:r w:rsidRPr="00EF64A9">
        <w:t>This</w:t>
      </w:r>
      <w:r w:rsidRPr="00EF64A9">
        <w:t xml:space="preserve"> </w:t>
      </w:r>
      <w:r w:rsidRPr="00EF64A9" w:rsidR="00046333">
        <w:t xml:space="preserve">would </w:t>
      </w:r>
      <w:r w:rsidRPr="00EF64A9" w:rsidR="00886C09">
        <w:t>undermine</w:t>
      </w:r>
      <w:r w:rsidRPr="00EF64A9" w:rsidR="00046333">
        <w:t xml:space="preserve"> </w:t>
      </w:r>
      <w:r w:rsidRPr="00EF64A9" w:rsidR="00886C09">
        <w:t xml:space="preserve">the </w:t>
      </w:r>
      <w:r w:rsidRPr="00EF64A9" w:rsidR="00046333">
        <w:t xml:space="preserve">very </w:t>
      </w:r>
      <w:r w:rsidRPr="00EF64A9" w:rsidR="00886C09">
        <w:t xml:space="preserve">rationale </w:t>
      </w:r>
      <w:r w:rsidRPr="00EF64A9" w:rsidR="00046333">
        <w:t xml:space="preserve">and rules that the </w:t>
      </w:r>
      <w:r w:rsidRPr="00EF64A9">
        <w:t>PUCO</w:t>
      </w:r>
      <w:r w:rsidRPr="00EF64A9" w:rsidR="00046333">
        <w:t xml:space="preserve"> has enacted </w:t>
      </w:r>
      <w:r w:rsidRPr="00EF64A9" w:rsidR="00886C09">
        <w:t xml:space="preserve">for establishing realistic and meaningful reliability standards in the first place. </w:t>
      </w:r>
      <w:r w:rsidRPr="00EF64A9">
        <w:rPr>
          <w:color w:val="333333"/>
          <w:shd w:val="clear" w:color="auto" w:fill="FFFFFF"/>
        </w:rPr>
        <w:t>As explained earlier, the reliability standards considered in this proceeding reflect DP&amp;L’s normal day-to-day operations and maintenance of its distribution system outside of periods of extreme inclement weather or other events that may be outside of the control of DP&amp;L. They are commonly referred to as “blue sky” standards.</w:t>
      </w:r>
      <w:r>
        <w:rPr>
          <w:rStyle w:val="FootnoteReference"/>
          <w:color w:val="333333"/>
          <w:shd w:val="clear" w:color="auto" w:fill="FFFFFF"/>
        </w:rPr>
        <w:footnoteReference w:id="27"/>
      </w:r>
      <w:r w:rsidRPr="00EF64A9">
        <w:rPr>
          <w:color w:val="333333"/>
          <w:shd w:val="clear" w:color="auto" w:fill="FFFFFF"/>
        </w:rPr>
        <w:t xml:space="preserve"> There is no </w:t>
      </w:r>
      <w:r w:rsidRPr="00EF64A9">
        <w:rPr>
          <w:i/>
          <w:iCs/>
          <w:color w:val="333333"/>
          <w:shd w:val="clear" w:color="auto" w:fill="FFFFFF"/>
        </w:rPr>
        <w:t xml:space="preserve">need </w:t>
      </w:r>
      <w:r w:rsidRPr="00EF64A9">
        <w:rPr>
          <w:color w:val="333333"/>
          <w:shd w:val="clear" w:color="auto" w:fill="FFFFFF"/>
        </w:rPr>
        <w:t>for a 15-percent variance. Adopting one would harm consumers.</w:t>
      </w:r>
    </w:p>
    <w:p w:rsidR="00886C09" w:rsidRPr="00EF64A9" w:rsidP="00886C09" w14:paraId="52FF708D" w14:textId="2A82C68D">
      <w:pPr>
        <w:autoSpaceDE w:val="0"/>
        <w:autoSpaceDN w:val="0"/>
        <w:adjustRightInd w:val="0"/>
        <w:spacing w:line="480" w:lineRule="auto"/>
        <w:ind w:firstLine="720"/>
        <w:rPr>
          <w:bCs/>
        </w:rPr>
      </w:pPr>
      <w:r w:rsidRPr="00EF64A9">
        <w:t xml:space="preserve">DP&amp;L has </w:t>
      </w:r>
      <w:r w:rsidRPr="00EF64A9" w:rsidR="008A23E6">
        <w:t xml:space="preserve">also </w:t>
      </w:r>
      <w:r w:rsidRPr="00EF64A9">
        <w:t xml:space="preserve">proposed no adjustment on the </w:t>
      </w:r>
      <w:r w:rsidRPr="00EF64A9">
        <w:rPr>
          <w:bCs/>
        </w:rPr>
        <w:t xml:space="preserve">historical five-year average CAIDI performance 2016 through 2020. </w:t>
      </w:r>
      <w:r w:rsidRPr="00EF64A9" w:rsidR="00595DCF">
        <w:rPr>
          <w:bCs/>
        </w:rPr>
        <w:t>I</w:t>
      </w:r>
      <w:r w:rsidRPr="00EF64A9">
        <w:rPr>
          <w:bCs/>
        </w:rPr>
        <w:t>t is unjust and unreasonable</w:t>
      </w:r>
      <w:r w:rsidRPr="00EF64A9" w:rsidR="00595DCF">
        <w:rPr>
          <w:bCs/>
        </w:rPr>
        <w:t xml:space="preserve"> not to adjust the historical average CAIDI baseline downwards for 2017, 2019, and 2020</w:t>
      </w:r>
      <w:r w:rsidRPr="00EF64A9">
        <w:rPr>
          <w:bCs/>
        </w:rPr>
        <w:t xml:space="preserve"> </w:t>
      </w:r>
      <w:r w:rsidRPr="00EF64A9" w:rsidR="00F06CB5">
        <w:rPr>
          <w:bCs/>
        </w:rPr>
        <w:t>to reflect the years in which DP&amp;L</w:t>
      </w:r>
      <w:r w:rsidRPr="00EF64A9" w:rsidR="00595DCF">
        <w:rPr>
          <w:bCs/>
        </w:rPr>
        <w:t>,</w:t>
      </w:r>
      <w:r w:rsidRPr="00EF64A9" w:rsidR="00F06CB5">
        <w:rPr>
          <w:bCs/>
        </w:rPr>
        <w:t xml:space="preserve"> through its own actions</w:t>
      </w:r>
      <w:r w:rsidRPr="00EF64A9" w:rsidR="00595DCF">
        <w:rPr>
          <w:bCs/>
        </w:rPr>
        <w:t>, failed to</w:t>
      </w:r>
      <w:r w:rsidRPr="00EF64A9" w:rsidR="00F06CB5">
        <w:rPr>
          <w:bCs/>
        </w:rPr>
        <w:t xml:space="preserve"> provide </w:t>
      </w:r>
      <w:r w:rsidRPr="00EF64A9">
        <w:rPr>
          <w:bCs/>
        </w:rPr>
        <w:t>adequate service to consumers</w:t>
      </w:r>
      <w:r w:rsidRPr="00EF64A9" w:rsidR="00F06CB5">
        <w:rPr>
          <w:bCs/>
        </w:rPr>
        <w:t xml:space="preserve">. </w:t>
      </w:r>
      <w:r w:rsidRPr="00EF64A9" w:rsidR="00595DCF">
        <w:rPr>
          <w:bCs/>
        </w:rPr>
        <w:t>It</w:t>
      </w:r>
      <w:r w:rsidRPr="00EF64A9" w:rsidR="00F06CB5">
        <w:rPr>
          <w:bCs/>
        </w:rPr>
        <w:t xml:space="preserve"> </w:t>
      </w:r>
      <w:r w:rsidRPr="00EF64A9" w:rsidR="00046333">
        <w:rPr>
          <w:bCs/>
        </w:rPr>
        <w:t xml:space="preserve">would </w:t>
      </w:r>
      <w:r w:rsidRPr="00EF64A9" w:rsidR="00F06CB5">
        <w:rPr>
          <w:bCs/>
        </w:rPr>
        <w:t xml:space="preserve">reward DP&amp;L’s poor performance </w:t>
      </w:r>
      <w:r w:rsidRPr="00EF64A9" w:rsidR="00046333">
        <w:rPr>
          <w:bCs/>
        </w:rPr>
        <w:t xml:space="preserve">during those years </w:t>
      </w:r>
      <w:r w:rsidRPr="00EF64A9" w:rsidR="00595DCF">
        <w:rPr>
          <w:bCs/>
        </w:rPr>
        <w:t>and enable it to</w:t>
      </w:r>
      <w:r w:rsidRPr="00EF64A9" w:rsidR="00046333">
        <w:rPr>
          <w:bCs/>
        </w:rPr>
        <w:t xml:space="preserve"> </w:t>
      </w:r>
      <w:r w:rsidRPr="00EF64A9" w:rsidR="00F06CB5">
        <w:rPr>
          <w:bCs/>
        </w:rPr>
        <w:t>provide less reliable service in</w:t>
      </w:r>
      <w:r w:rsidRPr="00EF64A9" w:rsidR="00046333">
        <w:rPr>
          <w:bCs/>
        </w:rPr>
        <w:t>to</w:t>
      </w:r>
      <w:r w:rsidRPr="00EF64A9" w:rsidR="00F06CB5">
        <w:rPr>
          <w:bCs/>
        </w:rPr>
        <w:t xml:space="preserve"> the future.</w:t>
      </w:r>
      <w:r>
        <w:rPr>
          <w:rStyle w:val="FootnoteReference"/>
          <w:bCs/>
        </w:rPr>
        <w:footnoteReference w:id="28"/>
      </w:r>
      <w:r w:rsidRPr="00EF64A9">
        <w:rPr>
          <w:bCs/>
        </w:rPr>
        <w:t xml:space="preserve"> </w:t>
      </w:r>
    </w:p>
    <w:p w:rsidR="00EB7FA4" w:rsidRPr="009D41AB" w:rsidP="009D41AB" w14:paraId="4823FA20" w14:textId="7CE9C192">
      <w:pPr>
        <w:autoSpaceDE w:val="0"/>
        <w:autoSpaceDN w:val="0"/>
        <w:adjustRightInd w:val="0"/>
        <w:spacing w:line="480" w:lineRule="auto"/>
        <w:ind w:firstLine="720"/>
        <w:rPr>
          <w:bCs/>
        </w:rPr>
      </w:pPr>
      <w:r w:rsidRPr="00EF64A9">
        <w:t xml:space="preserve">The effect of </w:t>
      </w:r>
      <w:r w:rsidRPr="00EF64A9" w:rsidR="0034583B">
        <w:t>DP&amp;L’s proposed</w:t>
      </w:r>
      <w:r w:rsidRPr="00EF64A9">
        <w:t xml:space="preserve"> approach is to </w:t>
      </w:r>
      <w:r w:rsidRPr="00EF64A9" w:rsidR="005E0163">
        <w:t xml:space="preserve">make it acceptable </w:t>
      </w:r>
      <w:r w:rsidRPr="00EF64A9" w:rsidR="003034B7">
        <w:t xml:space="preserve">under the standards </w:t>
      </w:r>
      <w:r w:rsidRPr="00EF64A9" w:rsidR="0034583B">
        <w:t>to provide</w:t>
      </w:r>
      <w:r w:rsidRPr="00EF64A9" w:rsidR="003034B7">
        <w:t xml:space="preserve"> less reliable electric service to consumers.</w:t>
      </w:r>
      <w:r>
        <w:rPr>
          <w:rStyle w:val="FootnoteReference"/>
        </w:rPr>
        <w:footnoteReference w:id="29"/>
      </w:r>
      <w:r w:rsidRPr="00EF64A9" w:rsidR="003034B7">
        <w:t xml:space="preserve"> </w:t>
      </w:r>
      <w:r w:rsidRPr="00EF64A9" w:rsidR="00041145">
        <w:t xml:space="preserve">DP&amp;L’s </w:t>
      </w:r>
      <w:r w:rsidRPr="00EF64A9" w:rsidR="001233E3">
        <w:t xml:space="preserve">proposed adjustment </w:t>
      </w:r>
      <w:r w:rsidRPr="00EF64A9">
        <w:t>to</w:t>
      </w:r>
      <w:r w:rsidRPr="00EF64A9" w:rsidR="001233E3">
        <w:t xml:space="preserve"> the actual five-year average performance and proposed standards are illustrated in Table 2, below.</w:t>
      </w:r>
      <w:r w:rsidRPr="00EF64A9" w:rsidR="00817372">
        <w:t xml:space="preserve"> </w:t>
      </w:r>
    </w:p>
    <w:p w:rsidR="009D41AB" w14:paraId="0327EDDA" w14:textId="77777777">
      <w:pPr>
        <w:rPr>
          <w:b/>
          <w:bCs/>
        </w:rPr>
      </w:pPr>
      <w:r>
        <w:rPr>
          <w:b/>
          <w:bCs/>
        </w:rPr>
        <w:br w:type="page"/>
      </w:r>
    </w:p>
    <w:p w:rsidR="003D4F2D" w:rsidRPr="00EF64A9" w:rsidP="009D41AB" w14:paraId="477DC27A" w14:textId="5A261CB3">
      <w:pPr>
        <w:jc w:val="center"/>
        <w:rPr>
          <w:b/>
          <w:bCs/>
        </w:rPr>
      </w:pPr>
      <w:r w:rsidRPr="00EF64A9">
        <w:rPr>
          <w:b/>
          <w:bCs/>
        </w:rPr>
        <w:t xml:space="preserve">Table 2: </w:t>
      </w:r>
      <w:r w:rsidRPr="00EF64A9" w:rsidR="00EB7FA4">
        <w:rPr>
          <w:b/>
          <w:bCs/>
        </w:rPr>
        <w:t xml:space="preserve">DP&amp;L’s </w:t>
      </w:r>
      <w:r w:rsidRPr="00EF64A9">
        <w:rPr>
          <w:b/>
          <w:bCs/>
        </w:rPr>
        <w:t xml:space="preserve">Proposed </w:t>
      </w:r>
      <w:r w:rsidRPr="00EF64A9" w:rsidR="00803903">
        <w:rPr>
          <w:b/>
          <w:bCs/>
        </w:rPr>
        <w:t xml:space="preserve">Adjustment </w:t>
      </w:r>
      <w:r w:rsidRPr="00EF64A9" w:rsidR="00EB7FA4">
        <w:rPr>
          <w:b/>
          <w:bCs/>
        </w:rPr>
        <w:t>to</w:t>
      </w:r>
      <w:r w:rsidRPr="00EF64A9" w:rsidR="00803903">
        <w:rPr>
          <w:b/>
          <w:bCs/>
        </w:rPr>
        <w:t xml:space="preserve"> the </w:t>
      </w:r>
      <w:r w:rsidRPr="00EF64A9" w:rsidR="00584954">
        <w:rPr>
          <w:b/>
          <w:bCs/>
        </w:rPr>
        <w:t xml:space="preserve">Actual </w:t>
      </w:r>
      <w:r w:rsidRPr="00EF64A9" w:rsidR="00803903">
        <w:rPr>
          <w:b/>
          <w:bCs/>
        </w:rPr>
        <w:t xml:space="preserve">Five-Year Average Performance </w:t>
      </w:r>
      <w:r w:rsidRPr="00EF64A9" w:rsidR="00584954">
        <w:rPr>
          <w:b/>
          <w:bCs/>
        </w:rPr>
        <w:t>and Proposed Standards</w:t>
      </w:r>
    </w:p>
    <w:p w:rsidR="00584954" w:rsidRPr="00EF64A9" w:rsidP="00584954" w14:paraId="3E9AAA3F" w14:textId="77777777">
      <w:pPr>
        <w:ind w:left="720" w:hanging="720"/>
        <w:jc w:val="center"/>
        <w:rPr>
          <w:b/>
          <w:bCs/>
        </w:rPr>
      </w:pPr>
    </w:p>
    <w:tbl>
      <w:tblPr>
        <w:tblStyle w:val="TableGrid"/>
        <w:tblW w:w="0" w:type="auto"/>
        <w:jc w:val="center"/>
        <w:tblLook w:val="04A0"/>
      </w:tblPr>
      <w:tblGrid>
        <w:gridCol w:w="2340"/>
        <w:gridCol w:w="1260"/>
        <w:gridCol w:w="1440"/>
      </w:tblGrid>
      <w:tr w14:paraId="4120748B" w14:textId="77777777" w:rsidTr="009D41AB">
        <w:tblPrEx>
          <w:tblW w:w="0" w:type="auto"/>
          <w:jc w:val="center"/>
          <w:tblLook w:val="04A0"/>
        </w:tblPrEx>
        <w:trPr>
          <w:jc w:val="center"/>
        </w:trPr>
        <w:tc>
          <w:tcPr>
            <w:tcW w:w="2340" w:type="dxa"/>
          </w:tcPr>
          <w:p w:rsidR="00803903" w:rsidRPr="00EF64A9" w:rsidP="00803903" w14:paraId="4E820A41" w14:textId="77777777">
            <w:pPr>
              <w:jc w:val="center"/>
              <w:rPr>
                <w:b/>
                <w:bCs/>
              </w:rPr>
            </w:pPr>
            <w:r w:rsidRPr="00EF64A9">
              <w:rPr>
                <w:b/>
                <w:bCs/>
              </w:rPr>
              <w:t>Year</w:t>
            </w:r>
          </w:p>
        </w:tc>
        <w:tc>
          <w:tcPr>
            <w:tcW w:w="1260" w:type="dxa"/>
          </w:tcPr>
          <w:p w:rsidR="00803903" w:rsidRPr="00EF64A9" w:rsidP="00803903" w14:paraId="6DD03182" w14:textId="77777777">
            <w:pPr>
              <w:jc w:val="center"/>
              <w:rPr>
                <w:b/>
                <w:bCs/>
              </w:rPr>
            </w:pPr>
            <w:r w:rsidRPr="00EF64A9">
              <w:rPr>
                <w:b/>
                <w:bCs/>
              </w:rPr>
              <w:t>SAIFI</w:t>
            </w:r>
          </w:p>
        </w:tc>
        <w:tc>
          <w:tcPr>
            <w:tcW w:w="1440" w:type="dxa"/>
          </w:tcPr>
          <w:p w:rsidR="00803903" w:rsidRPr="00EF64A9" w:rsidP="00803903" w14:paraId="67083685" w14:textId="77777777">
            <w:pPr>
              <w:jc w:val="center"/>
              <w:rPr>
                <w:b/>
                <w:bCs/>
              </w:rPr>
            </w:pPr>
            <w:r w:rsidRPr="00EF64A9">
              <w:rPr>
                <w:b/>
                <w:bCs/>
              </w:rPr>
              <w:t>CAIDI</w:t>
            </w:r>
          </w:p>
        </w:tc>
      </w:tr>
      <w:tr w14:paraId="66835433" w14:textId="77777777" w:rsidTr="009D41AB">
        <w:tblPrEx>
          <w:tblW w:w="0" w:type="auto"/>
          <w:jc w:val="center"/>
          <w:tblLook w:val="04A0"/>
        </w:tblPrEx>
        <w:trPr>
          <w:jc w:val="center"/>
        </w:trPr>
        <w:tc>
          <w:tcPr>
            <w:tcW w:w="2340" w:type="dxa"/>
          </w:tcPr>
          <w:p w:rsidR="00803903" w:rsidRPr="00EF64A9" w:rsidP="00803903" w14:paraId="1523C560" w14:textId="77777777">
            <w:pPr>
              <w:jc w:val="center"/>
            </w:pPr>
            <w:r w:rsidRPr="00EF64A9">
              <w:t>2016</w:t>
            </w:r>
          </w:p>
        </w:tc>
        <w:tc>
          <w:tcPr>
            <w:tcW w:w="1260" w:type="dxa"/>
          </w:tcPr>
          <w:p w:rsidR="00803903" w:rsidRPr="00EF64A9" w:rsidP="00803903" w14:paraId="1857B54A" w14:textId="77777777">
            <w:pPr>
              <w:jc w:val="center"/>
            </w:pPr>
            <w:r w:rsidRPr="00EF64A9">
              <w:t>0.77</w:t>
            </w:r>
          </w:p>
        </w:tc>
        <w:tc>
          <w:tcPr>
            <w:tcW w:w="1440" w:type="dxa"/>
          </w:tcPr>
          <w:p w:rsidR="00803903" w:rsidRPr="00EF64A9" w:rsidP="00803903" w14:paraId="77D2A14F" w14:textId="77777777">
            <w:pPr>
              <w:jc w:val="center"/>
            </w:pPr>
            <w:r w:rsidRPr="00EF64A9">
              <w:t>119.08</w:t>
            </w:r>
          </w:p>
        </w:tc>
      </w:tr>
      <w:tr w14:paraId="5E7D6CF7" w14:textId="77777777" w:rsidTr="009D41AB">
        <w:tblPrEx>
          <w:tblW w:w="0" w:type="auto"/>
          <w:jc w:val="center"/>
          <w:tblLook w:val="04A0"/>
        </w:tblPrEx>
        <w:trPr>
          <w:jc w:val="center"/>
        </w:trPr>
        <w:tc>
          <w:tcPr>
            <w:tcW w:w="2340" w:type="dxa"/>
          </w:tcPr>
          <w:p w:rsidR="00803903" w:rsidRPr="00EF64A9" w:rsidP="00803903" w14:paraId="57421625" w14:textId="77777777">
            <w:pPr>
              <w:jc w:val="center"/>
            </w:pPr>
            <w:r w:rsidRPr="00EF64A9">
              <w:t>2017</w:t>
            </w:r>
          </w:p>
        </w:tc>
        <w:tc>
          <w:tcPr>
            <w:tcW w:w="1260" w:type="dxa"/>
          </w:tcPr>
          <w:p w:rsidR="00803903" w:rsidRPr="00EF64A9" w:rsidP="00803903" w14:paraId="1D587FAE" w14:textId="77777777">
            <w:pPr>
              <w:jc w:val="center"/>
            </w:pPr>
            <w:r w:rsidRPr="00EF64A9">
              <w:t>0.76</w:t>
            </w:r>
          </w:p>
        </w:tc>
        <w:tc>
          <w:tcPr>
            <w:tcW w:w="1440" w:type="dxa"/>
          </w:tcPr>
          <w:p w:rsidR="00803903" w:rsidRPr="00EF64A9" w:rsidP="00803903" w14:paraId="672701D0" w14:textId="77777777">
            <w:pPr>
              <w:jc w:val="center"/>
            </w:pPr>
            <w:r w:rsidRPr="00EF64A9">
              <w:t>133.07</w:t>
            </w:r>
          </w:p>
        </w:tc>
      </w:tr>
      <w:tr w14:paraId="063FB4D2" w14:textId="77777777" w:rsidTr="009D41AB">
        <w:tblPrEx>
          <w:tblW w:w="0" w:type="auto"/>
          <w:jc w:val="center"/>
          <w:tblLook w:val="04A0"/>
        </w:tblPrEx>
        <w:trPr>
          <w:jc w:val="center"/>
        </w:trPr>
        <w:tc>
          <w:tcPr>
            <w:tcW w:w="2340" w:type="dxa"/>
          </w:tcPr>
          <w:p w:rsidR="00803903" w:rsidRPr="00EF64A9" w:rsidP="00803903" w14:paraId="0CCA28DC" w14:textId="77777777">
            <w:pPr>
              <w:jc w:val="center"/>
            </w:pPr>
            <w:r w:rsidRPr="00EF64A9">
              <w:t>2018</w:t>
            </w:r>
          </w:p>
        </w:tc>
        <w:tc>
          <w:tcPr>
            <w:tcW w:w="1260" w:type="dxa"/>
          </w:tcPr>
          <w:p w:rsidR="00803903" w:rsidRPr="00EF64A9" w:rsidP="00803903" w14:paraId="428E2D54" w14:textId="77777777">
            <w:pPr>
              <w:jc w:val="center"/>
            </w:pPr>
            <w:r w:rsidRPr="00EF64A9">
              <w:t>0.96</w:t>
            </w:r>
          </w:p>
        </w:tc>
        <w:tc>
          <w:tcPr>
            <w:tcW w:w="1440" w:type="dxa"/>
          </w:tcPr>
          <w:p w:rsidR="00803903" w:rsidRPr="00EF64A9" w:rsidP="00803903" w14:paraId="636DCC33" w14:textId="77777777">
            <w:pPr>
              <w:jc w:val="center"/>
            </w:pPr>
            <w:r w:rsidRPr="00EF64A9">
              <w:t>122.48</w:t>
            </w:r>
          </w:p>
        </w:tc>
      </w:tr>
      <w:tr w14:paraId="3FE620B2" w14:textId="77777777" w:rsidTr="009D41AB">
        <w:tblPrEx>
          <w:tblW w:w="0" w:type="auto"/>
          <w:jc w:val="center"/>
          <w:tblLook w:val="04A0"/>
        </w:tblPrEx>
        <w:trPr>
          <w:jc w:val="center"/>
        </w:trPr>
        <w:tc>
          <w:tcPr>
            <w:tcW w:w="2340" w:type="dxa"/>
          </w:tcPr>
          <w:p w:rsidR="00803903" w:rsidRPr="00EF64A9" w:rsidP="00803903" w14:paraId="55088C2B" w14:textId="77777777">
            <w:pPr>
              <w:jc w:val="center"/>
            </w:pPr>
            <w:r w:rsidRPr="00EF64A9">
              <w:t>2019</w:t>
            </w:r>
          </w:p>
        </w:tc>
        <w:tc>
          <w:tcPr>
            <w:tcW w:w="1260" w:type="dxa"/>
          </w:tcPr>
          <w:p w:rsidR="00803903" w:rsidRPr="00EF64A9" w:rsidP="00803903" w14:paraId="43F62A15" w14:textId="77777777">
            <w:pPr>
              <w:jc w:val="center"/>
            </w:pPr>
            <w:r w:rsidRPr="00EF64A9">
              <w:t>0.99</w:t>
            </w:r>
          </w:p>
        </w:tc>
        <w:tc>
          <w:tcPr>
            <w:tcW w:w="1440" w:type="dxa"/>
          </w:tcPr>
          <w:p w:rsidR="00803903" w:rsidRPr="00EF64A9" w:rsidP="00803903" w14:paraId="55B94703" w14:textId="77777777">
            <w:pPr>
              <w:jc w:val="center"/>
            </w:pPr>
            <w:r w:rsidRPr="00EF64A9">
              <w:t>133.29</w:t>
            </w:r>
          </w:p>
        </w:tc>
      </w:tr>
      <w:tr w14:paraId="2B16C7EB" w14:textId="77777777" w:rsidTr="009D41AB">
        <w:tblPrEx>
          <w:tblW w:w="0" w:type="auto"/>
          <w:jc w:val="center"/>
          <w:tblLook w:val="04A0"/>
        </w:tblPrEx>
        <w:trPr>
          <w:jc w:val="center"/>
        </w:trPr>
        <w:tc>
          <w:tcPr>
            <w:tcW w:w="2340" w:type="dxa"/>
          </w:tcPr>
          <w:p w:rsidR="00803903" w:rsidRPr="00EF64A9" w:rsidP="00803903" w14:paraId="7A812800" w14:textId="77777777">
            <w:pPr>
              <w:jc w:val="center"/>
            </w:pPr>
            <w:r w:rsidRPr="00EF64A9">
              <w:t>2020</w:t>
            </w:r>
          </w:p>
        </w:tc>
        <w:tc>
          <w:tcPr>
            <w:tcW w:w="1260" w:type="dxa"/>
          </w:tcPr>
          <w:p w:rsidR="00803903" w:rsidRPr="00EF64A9" w:rsidP="00803903" w14:paraId="47E871F3" w14:textId="77777777">
            <w:pPr>
              <w:jc w:val="center"/>
            </w:pPr>
            <w:r w:rsidRPr="00EF64A9">
              <w:t>0.95</w:t>
            </w:r>
          </w:p>
        </w:tc>
        <w:tc>
          <w:tcPr>
            <w:tcW w:w="1440" w:type="dxa"/>
          </w:tcPr>
          <w:p w:rsidR="00803903" w:rsidRPr="00EF64A9" w:rsidP="00803903" w14:paraId="3B684B1F" w14:textId="77777777">
            <w:pPr>
              <w:jc w:val="center"/>
            </w:pPr>
            <w:r w:rsidRPr="00EF64A9">
              <w:t>132.17</w:t>
            </w:r>
          </w:p>
        </w:tc>
      </w:tr>
      <w:tr w14:paraId="18F02D44" w14:textId="77777777" w:rsidTr="009D41AB">
        <w:tblPrEx>
          <w:tblW w:w="0" w:type="auto"/>
          <w:jc w:val="center"/>
          <w:tblLook w:val="04A0"/>
        </w:tblPrEx>
        <w:trPr>
          <w:jc w:val="center"/>
        </w:trPr>
        <w:tc>
          <w:tcPr>
            <w:tcW w:w="2340" w:type="dxa"/>
          </w:tcPr>
          <w:p w:rsidR="00803903" w:rsidRPr="00EF64A9" w:rsidP="00803903" w14:paraId="24004C2D" w14:textId="3D8BDC82">
            <w:pPr>
              <w:jc w:val="center"/>
            </w:pPr>
            <w:r w:rsidRPr="00EF64A9">
              <w:t>DP&amp;L</w:t>
            </w:r>
            <w:r w:rsidRPr="00EF64A9" w:rsidR="00C965F2">
              <w:t xml:space="preserve"> Proposed Five-Year Average Performance</w:t>
            </w:r>
          </w:p>
        </w:tc>
        <w:tc>
          <w:tcPr>
            <w:tcW w:w="1260" w:type="dxa"/>
          </w:tcPr>
          <w:p w:rsidR="00803903" w:rsidRPr="00EF64A9" w:rsidP="00803903" w14:paraId="3A7730F7" w14:textId="77777777">
            <w:pPr>
              <w:jc w:val="center"/>
            </w:pPr>
            <w:r w:rsidRPr="00EF64A9">
              <w:t>0.89</w:t>
            </w:r>
          </w:p>
        </w:tc>
        <w:tc>
          <w:tcPr>
            <w:tcW w:w="1440" w:type="dxa"/>
          </w:tcPr>
          <w:p w:rsidR="00803903" w:rsidRPr="00EF64A9" w:rsidP="00803903" w14:paraId="099E4CAD" w14:textId="77777777">
            <w:pPr>
              <w:jc w:val="center"/>
            </w:pPr>
            <w:r w:rsidRPr="00EF64A9">
              <w:t>128.02</w:t>
            </w:r>
          </w:p>
        </w:tc>
      </w:tr>
      <w:tr w14:paraId="6C51DA4A" w14:textId="77777777" w:rsidTr="009D41AB">
        <w:tblPrEx>
          <w:tblW w:w="0" w:type="auto"/>
          <w:jc w:val="center"/>
          <w:tblLook w:val="04A0"/>
        </w:tblPrEx>
        <w:trPr>
          <w:jc w:val="center"/>
        </w:trPr>
        <w:tc>
          <w:tcPr>
            <w:tcW w:w="2340" w:type="dxa"/>
          </w:tcPr>
          <w:p w:rsidR="00803903" w:rsidRPr="00EF64A9" w:rsidP="00803903" w14:paraId="510547D1" w14:textId="77777777">
            <w:pPr>
              <w:jc w:val="center"/>
            </w:pPr>
            <w:r w:rsidRPr="00EF64A9">
              <w:t>New Standard(s) With an Additional Proposed 15 percent adder.</w:t>
            </w:r>
          </w:p>
        </w:tc>
        <w:tc>
          <w:tcPr>
            <w:tcW w:w="1260" w:type="dxa"/>
          </w:tcPr>
          <w:p w:rsidR="00803903" w:rsidRPr="00EF64A9" w:rsidP="00803903" w14:paraId="52A10D05" w14:textId="77777777">
            <w:pPr>
              <w:jc w:val="center"/>
            </w:pPr>
            <w:r w:rsidRPr="00EF64A9">
              <w:t>1.02</w:t>
            </w:r>
          </w:p>
        </w:tc>
        <w:tc>
          <w:tcPr>
            <w:tcW w:w="1440" w:type="dxa"/>
          </w:tcPr>
          <w:p w:rsidR="00803903" w:rsidRPr="00EF64A9" w:rsidP="00803903" w14:paraId="077D4878" w14:textId="77777777">
            <w:pPr>
              <w:jc w:val="center"/>
            </w:pPr>
            <w:r w:rsidRPr="00EF64A9">
              <w:t>147.22</w:t>
            </w:r>
          </w:p>
        </w:tc>
      </w:tr>
    </w:tbl>
    <w:p w:rsidR="00803903" w:rsidRPr="00EF64A9" w:rsidP="001A7F60" w14:paraId="1B3039A7" w14:textId="77777777">
      <w:pPr>
        <w:ind w:left="720" w:hanging="720"/>
        <w:rPr>
          <w:b/>
          <w:bCs/>
        </w:rPr>
      </w:pPr>
    </w:p>
    <w:p w:rsidR="000959F7" w:rsidRPr="00EF64A9" w:rsidP="000959F7" w14:paraId="4CA6C292" w14:textId="0963DDF4">
      <w:pPr>
        <w:spacing w:line="480" w:lineRule="auto"/>
        <w:ind w:firstLine="720"/>
      </w:pPr>
      <w:r w:rsidRPr="00EF64A9">
        <w:t xml:space="preserve">Under these </w:t>
      </w:r>
      <w:r w:rsidRPr="00EF64A9" w:rsidR="00EB7FA4">
        <w:t xml:space="preserve">proposed </w:t>
      </w:r>
      <w:r w:rsidRPr="00EF64A9" w:rsidR="00F06CB5">
        <w:t xml:space="preserve">minimum performance </w:t>
      </w:r>
      <w:r w:rsidRPr="00EF64A9">
        <w:t>standards</w:t>
      </w:r>
      <w:r w:rsidRPr="00EF64A9" w:rsidR="00EB7FA4">
        <w:t>,</w:t>
      </w:r>
      <w:r w:rsidRPr="00EF64A9">
        <w:t xml:space="preserve"> </w:t>
      </w:r>
      <w:r w:rsidRPr="00EF64A9" w:rsidR="00F06CB5">
        <w:t xml:space="preserve">it would be acceptable for consumers to experience more </w:t>
      </w:r>
      <w:r w:rsidRPr="00EF64A9">
        <w:t xml:space="preserve">interruptions </w:t>
      </w:r>
      <w:r w:rsidRPr="00EF64A9" w:rsidR="00F06CB5">
        <w:t xml:space="preserve">annually and for each interruption to last </w:t>
      </w:r>
      <w:r w:rsidRPr="00EF64A9">
        <w:t>for longer periods of time.</w:t>
      </w:r>
      <w:r w:rsidRPr="00EF64A9" w:rsidR="00633037">
        <w:t xml:space="preserve"> </w:t>
      </w:r>
      <w:r w:rsidRPr="00EF64A9" w:rsidR="00595DCF">
        <w:t>Specifically</w:t>
      </w:r>
      <w:r w:rsidRPr="00EF64A9" w:rsidR="00FF7350">
        <w:t xml:space="preserve">, regarding the </w:t>
      </w:r>
      <w:r w:rsidRPr="00EF64A9" w:rsidR="0078642E">
        <w:t xml:space="preserve">proposed SAIFI, consumers could experience 15.9 percent more interruptions annually than under the current 0.88 standard. Regarding the proposed CAIDI, </w:t>
      </w:r>
      <w:r w:rsidRPr="00EF64A9" w:rsidR="0051373A">
        <w:t xml:space="preserve">consumers </w:t>
      </w:r>
      <w:r w:rsidRPr="00EF64A9" w:rsidR="00FF7350">
        <w:t xml:space="preserve">would be </w:t>
      </w:r>
      <w:r w:rsidRPr="00EF64A9" w:rsidR="0051373A">
        <w:t xml:space="preserve">subjected to average restoration times that are over </w:t>
      </w:r>
      <w:r w:rsidRPr="00EF64A9" w:rsidR="0078642E">
        <w:t xml:space="preserve">22 minutes </w:t>
      </w:r>
      <w:r w:rsidRPr="00EF64A9" w:rsidR="00FF7350">
        <w:t xml:space="preserve">longer </w:t>
      </w:r>
      <w:r w:rsidRPr="00EF64A9" w:rsidR="0051373A">
        <w:t xml:space="preserve">than supported under the </w:t>
      </w:r>
      <w:r w:rsidRPr="00EF64A9" w:rsidR="0078642E">
        <w:t xml:space="preserve">current standard of 125.04 minutes. </w:t>
      </w:r>
      <w:r w:rsidRPr="00EF64A9" w:rsidR="002B1BBC">
        <w:t>This approach should be rejected</w:t>
      </w:r>
      <w:r w:rsidRPr="00EF64A9" w:rsidR="00731FEF">
        <w:t xml:space="preserve"> as recommended by OCC and the PUCO Staff</w:t>
      </w:r>
      <w:r w:rsidRPr="00EF64A9" w:rsidR="002B1BBC">
        <w:t>.</w:t>
      </w:r>
    </w:p>
    <w:p w:rsidR="00AB4A6E" w:rsidRPr="0067574C" w:rsidP="00FF2510" w14:paraId="24C05DC1" w14:textId="657E2C12">
      <w:pPr>
        <w:pStyle w:val="Heading2"/>
      </w:pPr>
      <w:bookmarkStart w:id="4" w:name="_Toc126054945"/>
      <w:r w:rsidRPr="00EF64A9">
        <w:t xml:space="preserve">The </w:t>
      </w:r>
      <w:r w:rsidRPr="00EF64A9" w:rsidR="008328EC">
        <w:t xml:space="preserve">DP&amp;L five-year average historical SAIFI performance supports the PUCO improving the </w:t>
      </w:r>
      <w:r w:rsidRPr="00EF64A9" w:rsidR="00984AB1">
        <w:t xml:space="preserve">current </w:t>
      </w:r>
      <w:r w:rsidRPr="00EF64A9" w:rsidR="008328EC">
        <w:t xml:space="preserve">SAIFI </w:t>
      </w:r>
      <w:r w:rsidRPr="00EF64A9" w:rsidR="00984AB1">
        <w:t xml:space="preserve">performance </w:t>
      </w:r>
      <w:r w:rsidRPr="00EF64A9" w:rsidR="008328EC">
        <w:t>standard for consumers, not weakening the standard as proposed by DP&amp;L.</w:t>
      </w:r>
      <w:bookmarkEnd w:id="4"/>
    </w:p>
    <w:p w:rsidR="0017671B" w:rsidP="00C700AE" w14:paraId="4CED87F6" w14:textId="11363D33">
      <w:pPr>
        <w:autoSpaceDE w:val="0"/>
        <w:autoSpaceDN w:val="0"/>
        <w:adjustRightInd w:val="0"/>
        <w:spacing w:line="480" w:lineRule="auto"/>
        <w:ind w:firstLine="720"/>
        <w:rPr>
          <w:bCs/>
        </w:rPr>
      </w:pPr>
      <w:r w:rsidRPr="00EF64A9">
        <w:rPr>
          <w:bCs/>
        </w:rPr>
        <w:t xml:space="preserve">OCC’s expert </w:t>
      </w:r>
      <w:r w:rsidRPr="00EF64A9" w:rsidR="00162EE9">
        <w:rPr>
          <w:bCs/>
        </w:rPr>
        <w:t>Williams</w:t>
      </w:r>
      <w:r w:rsidRPr="00EF64A9" w:rsidR="001126DE">
        <w:rPr>
          <w:bCs/>
        </w:rPr>
        <w:t xml:space="preserve"> and PUCO Staff</w:t>
      </w:r>
      <w:r w:rsidRPr="00EF64A9" w:rsidR="00162EE9">
        <w:rPr>
          <w:bCs/>
        </w:rPr>
        <w:t xml:space="preserve"> </w:t>
      </w:r>
      <w:r w:rsidRPr="00EF64A9">
        <w:rPr>
          <w:bCs/>
        </w:rPr>
        <w:t>testified that t</w:t>
      </w:r>
      <w:r w:rsidRPr="00EF64A9" w:rsidR="00C965F2">
        <w:rPr>
          <w:bCs/>
        </w:rPr>
        <w:t xml:space="preserve">he SAIFI is calculated by dividing the total number of </w:t>
      </w:r>
      <w:r w:rsidRPr="00EF64A9" w:rsidR="002F0C4B">
        <w:rPr>
          <w:bCs/>
        </w:rPr>
        <w:t xml:space="preserve">consumer </w:t>
      </w:r>
      <w:r w:rsidRPr="00EF64A9" w:rsidR="00C965F2">
        <w:rPr>
          <w:bCs/>
        </w:rPr>
        <w:t xml:space="preserve">interruptions (“CI”) by the total number of </w:t>
      </w:r>
      <w:r w:rsidRPr="00EF64A9" w:rsidR="002F0C4B">
        <w:rPr>
          <w:bCs/>
        </w:rPr>
        <w:t xml:space="preserve">consumers </w:t>
      </w:r>
      <w:r w:rsidRPr="00EF64A9" w:rsidR="00C965F2">
        <w:rPr>
          <w:bCs/>
        </w:rPr>
        <w:t>served.</w:t>
      </w:r>
      <w:r>
        <w:rPr>
          <w:rStyle w:val="FootnoteReference"/>
          <w:bCs/>
        </w:rPr>
        <w:footnoteReference w:id="30"/>
      </w:r>
      <w:r w:rsidRPr="00EF64A9" w:rsidR="00C965F2">
        <w:rPr>
          <w:bCs/>
        </w:rPr>
        <w:t xml:space="preserve"> </w:t>
      </w:r>
      <w:r w:rsidRPr="00EF64A9" w:rsidR="004954A4">
        <w:rPr>
          <w:bCs/>
        </w:rPr>
        <w:t xml:space="preserve">In establishing reliability standards in previous proceedings, </w:t>
      </w:r>
      <w:r w:rsidRPr="00EF64A9" w:rsidR="00595DCF">
        <w:rPr>
          <w:bCs/>
        </w:rPr>
        <w:t>DP&amp;L</w:t>
      </w:r>
      <w:r w:rsidRPr="00EF64A9" w:rsidR="008328EC">
        <w:rPr>
          <w:bCs/>
        </w:rPr>
        <w:t xml:space="preserve"> has traditional</w:t>
      </w:r>
      <w:r w:rsidRPr="00EF64A9" w:rsidR="00595DCF">
        <w:rPr>
          <w:bCs/>
        </w:rPr>
        <w:t>ly</w:t>
      </w:r>
      <w:r w:rsidRPr="00EF64A9" w:rsidR="008328EC">
        <w:rPr>
          <w:bCs/>
        </w:rPr>
        <w:t xml:space="preserve"> used the total premises where it is required to provide service </w:t>
      </w:r>
      <w:r w:rsidRPr="00EF64A9" w:rsidR="004954A4">
        <w:rPr>
          <w:bCs/>
        </w:rPr>
        <w:t xml:space="preserve">as the total number of consumers served. </w:t>
      </w:r>
      <w:r w:rsidRPr="00EF64A9" w:rsidR="00C965F2">
        <w:rPr>
          <w:bCs/>
        </w:rPr>
        <w:t>Thi</w:t>
      </w:r>
      <w:r w:rsidRPr="00EF64A9" w:rsidR="00EE0E5D">
        <w:rPr>
          <w:bCs/>
        </w:rPr>
        <w:t xml:space="preserve">s method </w:t>
      </w:r>
      <w:r w:rsidRPr="00EF64A9" w:rsidR="00C965F2">
        <w:rPr>
          <w:bCs/>
        </w:rPr>
        <w:t xml:space="preserve">is appropriate because while all premises may not have </w:t>
      </w:r>
      <w:r w:rsidRPr="00EF64A9" w:rsidR="00EE0E5D">
        <w:rPr>
          <w:bCs/>
        </w:rPr>
        <w:t xml:space="preserve">active </w:t>
      </w:r>
      <w:r w:rsidRPr="00EF64A9" w:rsidR="002F0C4B">
        <w:rPr>
          <w:bCs/>
        </w:rPr>
        <w:t xml:space="preserve">consumers </w:t>
      </w:r>
      <w:r w:rsidRPr="00EF64A9" w:rsidR="00C965F2">
        <w:rPr>
          <w:bCs/>
        </w:rPr>
        <w:t xml:space="preserve">100% of the time, </w:t>
      </w:r>
      <w:r w:rsidRPr="00EF64A9" w:rsidR="002F0C4B">
        <w:rPr>
          <w:bCs/>
        </w:rPr>
        <w:t>DP&amp;L</w:t>
      </w:r>
      <w:r w:rsidRPr="00EF64A9" w:rsidR="00C965F2">
        <w:rPr>
          <w:bCs/>
        </w:rPr>
        <w:t xml:space="preserve"> has an obligation to </w:t>
      </w:r>
      <w:r w:rsidRPr="00EF64A9" w:rsidR="00FB51BF">
        <w:rPr>
          <w:bCs/>
        </w:rPr>
        <w:t>be ready</w:t>
      </w:r>
      <w:r w:rsidRPr="00EF64A9" w:rsidR="003A22C9">
        <w:rPr>
          <w:bCs/>
        </w:rPr>
        <w:t xml:space="preserve"> </w:t>
      </w:r>
      <w:r w:rsidRPr="00EF64A9" w:rsidR="00FB51BF">
        <w:rPr>
          <w:bCs/>
        </w:rPr>
        <w:t>to</w:t>
      </w:r>
      <w:r w:rsidRPr="00EF64A9" w:rsidR="003A22C9">
        <w:rPr>
          <w:bCs/>
        </w:rPr>
        <w:t xml:space="preserve"> </w:t>
      </w:r>
      <w:r w:rsidRPr="00EF64A9" w:rsidR="00C965F2">
        <w:rPr>
          <w:bCs/>
        </w:rPr>
        <w:t xml:space="preserve">serve the premises </w:t>
      </w:r>
      <w:r w:rsidRPr="00EF64A9" w:rsidR="00EE0E5D">
        <w:rPr>
          <w:bCs/>
        </w:rPr>
        <w:t xml:space="preserve">any time that there is an active </w:t>
      </w:r>
      <w:r w:rsidRPr="00EF64A9" w:rsidR="002F0C4B">
        <w:rPr>
          <w:bCs/>
        </w:rPr>
        <w:t>consumer</w:t>
      </w:r>
      <w:r w:rsidRPr="00EF64A9" w:rsidR="00EE0E5D">
        <w:rPr>
          <w:bCs/>
        </w:rPr>
        <w:t>.</w:t>
      </w:r>
      <w:r>
        <w:rPr>
          <w:rStyle w:val="FootnoteReference"/>
          <w:bCs/>
        </w:rPr>
        <w:footnoteReference w:id="31"/>
      </w:r>
      <w:r w:rsidRPr="00EF64A9" w:rsidR="00EE0E5D">
        <w:rPr>
          <w:bCs/>
        </w:rPr>
        <w:t xml:space="preserve"> </w:t>
      </w:r>
      <w:r w:rsidRPr="00EF64A9" w:rsidR="003A22C9">
        <w:rPr>
          <w:bCs/>
        </w:rPr>
        <w:t>But r</w:t>
      </w:r>
      <w:r w:rsidRPr="00EF64A9" w:rsidR="006A4C3A">
        <w:rPr>
          <w:bCs/>
        </w:rPr>
        <w:t>educing the denominator</w:t>
      </w:r>
      <w:r w:rsidRPr="00EF64A9" w:rsidR="008328EC">
        <w:rPr>
          <w:bCs/>
        </w:rPr>
        <w:t xml:space="preserve"> as proposed by DP&amp;L </w:t>
      </w:r>
      <w:r w:rsidRPr="00EF64A9" w:rsidR="004954A4">
        <w:rPr>
          <w:bCs/>
        </w:rPr>
        <w:t xml:space="preserve">to reflect only active consumers at a given time </w:t>
      </w:r>
      <w:r w:rsidRPr="00EF64A9" w:rsidR="006A4C3A">
        <w:rPr>
          <w:bCs/>
        </w:rPr>
        <w:t>results in a</w:t>
      </w:r>
      <w:r w:rsidRPr="00EF64A9" w:rsidR="00984AB1">
        <w:rPr>
          <w:bCs/>
        </w:rPr>
        <w:t>n unrealistic</w:t>
      </w:r>
      <w:r w:rsidRPr="00EF64A9" w:rsidR="00595DCF">
        <w:rPr>
          <w:bCs/>
        </w:rPr>
        <w:t>,</w:t>
      </w:r>
      <w:r w:rsidR="00EF64A9">
        <w:rPr>
          <w:bCs/>
        </w:rPr>
        <w:t xml:space="preserve"> </w:t>
      </w:r>
      <w:r w:rsidRPr="00EF64A9" w:rsidR="006A4C3A">
        <w:rPr>
          <w:bCs/>
        </w:rPr>
        <w:t>higher SAIFI</w:t>
      </w:r>
      <w:r w:rsidRPr="00EF64A9">
        <w:rPr>
          <w:bCs/>
        </w:rPr>
        <w:t>.</w:t>
      </w:r>
      <w:r>
        <w:rPr>
          <w:rStyle w:val="FootnoteReference"/>
          <w:bCs/>
        </w:rPr>
        <w:footnoteReference w:id="32"/>
      </w:r>
    </w:p>
    <w:p w:rsidR="0010430F" w:rsidRPr="00EF64A9" w:rsidP="00C700AE" w14:paraId="1BAD70DC" w14:textId="2C1C18BB">
      <w:pPr>
        <w:autoSpaceDE w:val="0"/>
        <w:autoSpaceDN w:val="0"/>
        <w:adjustRightInd w:val="0"/>
        <w:spacing w:line="480" w:lineRule="auto"/>
        <w:ind w:firstLine="720"/>
        <w:rPr>
          <w:bCs/>
        </w:rPr>
      </w:pPr>
      <w:r w:rsidRPr="00EF64A9">
        <w:rPr>
          <w:bCs/>
        </w:rPr>
        <w:t xml:space="preserve">As shown in Table 1, DP&amp;L’s SAIFI performance has met or exceeded the SAIFI standard since at least 2013 when the standards were last established. It is not just and reasonable for </w:t>
      </w:r>
      <w:r w:rsidRPr="00EF64A9" w:rsidR="00595DCF">
        <w:rPr>
          <w:bCs/>
        </w:rPr>
        <w:t>DP&amp;L</w:t>
      </w:r>
      <w:r w:rsidRPr="00EF64A9">
        <w:rPr>
          <w:bCs/>
        </w:rPr>
        <w:t xml:space="preserve"> to propose changing how consumer counts are calculated when it would serve no purpose other than to increase the SAIFI standard and make it acceptable for consumers to incur additional outages.</w:t>
      </w:r>
      <w:r w:rsidR="00EF64A9">
        <w:rPr>
          <w:bCs/>
        </w:rPr>
        <w:t xml:space="preserve"> </w:t>
      </w:r>
    </w:p>
    <w:p w:rsidR="0017671B" w:rsidP="00C700AE" w14:paraId="0BD44442" w14:textId="77777777">
      <w:pPr>
        <w:autoSpaceDE w:val="0"/>
        <w:autoSpaceDN w:val="0"/>
        <w:adjustRightInd w:val="0"/>
        <w:spacing w:line="480" w:lineRule="auto"/>
        <w:ind w:firstLine="720"/>
        <w:rPr>
          <w:bCs/>
        </w:rPr>
      </w:pPr>
      <w:r w:rsidRPr="00EF64A9">
        <w:rPr>
          <w:bCs/>
        </w:rPr>
        <w:t xml:space="preserve">Using </w:t>
      </w:r>
      <w:r w:rsidRPr="00EF64A9" w:rsidR="00B252D8">
        <w:rPr>
          <w:bCs/>
        </w:rPr>
        <w:t xml:space="preserve">only the </w:t>
      </w:r>
      <w:r w:rsidRPr="00EF64A9">
        <w:rPr>
          <w:bCs/>
        </w:rPr>
        <w:t xml:space="preserve">actual </w:t>
      </w:r>
      <w:r w:rsidRPr="00EF64A9" w:rsidR="002F0C4B">
        <w:rPr>
          <w:bCs/>
        </w:rPr>
        <w:t xml:space="preserve">consumers </w:t>
      </w:r>
      <w:r w:rsidRPr="00EF64A9" w:rsidR="00B252D8">
        <w:rPr>
          <w:bCs/>
        </w:rPr>
        <w:t xml:space="preserve">served </w:t>
      </w:r>
      <w:r w:rsidRPr="00EF64A9">
        <w:rPr>
          <w:bCs/>
        </w:rPr>
        <w:t>on a</w:t>
      </w:r>
      <w:r w:rsidRPr="00EF64A9" w:rsidR="004E5C9B">
        <w:rPr>
          <w:bCs/>
        </w:rPr>
        <w:t>ny</w:t>
      </w:r>
      <w:r w:rsidRPr="00EF64A9">
        <w:rPr>
          <w:bCs/>
        </w:rPr>
        <w:t xml:space="preserve"> particular day during the year can understate the actual </w:t>
      </w:r>
      <w:r w:rsidRPr="00EF64A9" w:rsidR="00093A8E">
        <w:rPr>
          <w:bCs/>
        </w:rPr>
        <w:t xml:space="preserve">count of the </w:t>
      </w:r>
      <w:r w:rsidRPr="00EF64A9">
        <w:rPr>
          <w:bCs/>
        </w:rPr>
        <w:t xml:space="preserve">number of </w:t>
      </w:r>
      <w:r w:rsidRPr="00EF64A9" w:rsidR="002F0C4B">
        <w:rPr>
          <w:bCs/>
        </w:rPr>
        <w:t xml:space="preserve">consumers </w:t>
      </w:r>
      <w:r w:rsidRPr="00EF64A9">
        <w:rPr>
          <w:bCs/>
        </w:rPr>
        <w:t xml:space="preserve">served during </w:t>
      </w:r>
      <w:r w:rsidRPr="00EF64A9" w:rsidR="004E5C9B">
        <w:rPr>
          <w:bCs/>
        </w:rPr>
        <w:t xml:space="preserve">the </w:t>
      </w:r>
      <w:r w:rsidRPr="00EF64A9">
        <w:rPr>
          <w:bCs/>
        </w:rPr>
        <w:t>year</w:t>
      </w:r>
      <w:r w:rsidRPr="00EF64A9" w:rsidR="0010430F">
        <w:rPr>
          <w:bCs/>
        </w:rPr>
        <w:t>, witness Williams</w:t>
      </w:r>
      <w:r w:rsidR="00EF64A9">
        <w:rPr>
          <w:bCs/>
        </w:rPr>
        <w:t xml:space="preserve"> </w:t>
      </w:r>
      <w:r w:rsidRPr="00EF64A9" w:rsidR="0010430F">
        <w:rPr>
          <w:bCs/>
        </w:rPr>
        <w:t>explain</w:t>
      </w:r>
      <w:r w:rsidRPr="00EF64A9" w:rsidR="004A3D99">
        <w:rPr>
          <w:bCs/>
        </w:rPr>
        <w:t>ed</w:t>
      </w:r>
      <w:r w:rsidRPr="00EF64A9" w:rsidR="0010430F">
        <w:rPr>
          <w:bCs/>
        </w:rPr>
        <w:t xml:space="preserve"> in his testimony</w:t>
      </w:r>
      <w:r w:rsidRPr="00EF64A9" w:rsidR="00705C45">
        <w:rPr>
          <w:bCs/>
        </w:rPr>
        <w:t>.</w:t>
      </w:r>
      <w:r>
        <w:rPr>
          <w:rStyle w:val="FootnoteReference"/>
          <w:bCs/>
        </w:rPr>
        <w:footnoteReference w:id="33"/>
      </w:r>
      <w:r w:rsidRPr="00EF64A9" w:rsidR="00693C24">
        <w:rPr>
          <w:bCs/>
        </w:rPr>
        <w:t xml:space="preserve"> </w:t>
      </w:r>
      <w:r w:rsidRPr="00EF64A9" w:rsidR="00705C45">
        <w:rPr>
          <w:bCs/>
        </w:rPr>
        <w:t>T</w:t>
      </w:r>
      <w:r w:rsidRPr="00EF64A9">
        <w:rPr>
          <w:bCs/>
        </w:rPr>
        <w:t xml:space="preserve">his can also distort the actual average number of outages that </w:t>
      </w:r>
      <w:r w:rsidRPr="00EF64A9" w:rsidR="00292B57">
        <w:rPr>
          <w:bCs/>
        </w:rPr>
        <w:t>DP&amp;L</w:t>
      </w:r>
      <w:r w:rsidRPr="00EF64A9">
        <w:rPr>
          <w:bCs/>
        </w:rPr>
        <w:t xml:space="preserve"> </w:t>
      </w:r>
      <w:r w:rsidRPr="00EF64A9" w:rsidR="002F0C4B">
        <w:rPr>
          <w:bCs/>
        </w:rPr>
        <w:t xml:space="preserve">consumers </w:t>
      </w:r>
      <w:r w:rsidRPr="00EF64A9" w:rsidR="00292B57">
        <w:rPr>
          <w:bCs/>
        </w:rPr>
        <w:t>incur</w:t>
      </w:r>
      <w:r w:rsidRPr="00EF64A9">
        <w:rPr>
          <w:bCs/>
        </w:rPr>
        <w:t xml:space="preserve"> throughout a year.</w:t>
      </w:r>
      <w:r>
        <w:rPr>
          <w:rStyle w:val="FootnoteReference"/>
          <w:bCs/>
        </w:rPr>
        <w:footnoteReference w:id="34"/>
      </w:r>
      <w:r w:rsidRPr="00EF64A9">
        <w:rPr>
          <w:bCs/>
        </w:rPr>
        <w:t xml:space="preserve"> </w:t>
      </w:r>
    </w:p>
    <w:p w:rsidR="00AB4A6E" w:rsidRPr="00EF64A9" w:rsidP="00C700AE" w14:paraId="02D97B23" w14:textId="66CE1A4F">
      <w:pPr>
        <w:autoSpaceDE w:val="0"/>
        <w:autoSpaceDN w:val="0"/>
        <w:adjustRightInd w:val="0"/>
        <w:spacing w:line="480" w:lineRule="auto"/>
        <w:ind w:firstLine="720"/>
        <w:rPr>
          <w:bCs/>
        </w:rPr>
      </w:pPr>
      <w:r w:rsidRPr="00EF64A9">
        <w:rPr>
          <w:bCs/>
        </w:rPr>
        <w:t xml:space="preserve">The following table provides a comparison of the actual SAIFI </w:t>
      </w:r>
      <w:r w:rsidRPr="00EF64A9" w:rsidR="00B252D8">
        <w:rPr>
          <w:bCs/>
        </w:rPr>
        <w:t xml:space="preserve">historical performance </w:t>
      </w:r>
      <w:r w:rsidRPr="00EF64A9">
        <w:rPr>
          <w:bCs/>
        </w:rPr>
        <w:t xml:space="preserve">for </w:t>
      </w:r>
      <w:r w:rsidRPr="00EF64A9" w:rsidR="00B252D8">
        <w:rPr>
          <w:bCs/>
        </w:rPr>
        <w:t xml:space="preserve">the years </w:t>
      </w:r>
      <w:r w:rsidRPr="00EF64A9">
        <w:rPr>
          <w:bCs/>
        </w:rPr>
        <w:t xml:space="preserve">2016 </w:t>
      </w:r>
      <w:r w:rsidRPr="00EF64A9" w:rsidR="00B252D8">
        <w:rPr>
          <w:bCs/>
        </w:rPr>
        <w:t xml:space="preserve">through 2020 based on the </w:t>
      </w:r>
      <w:r w:rsidRPr="00EF64A9" w:rsidR="004E5C9B">
        <w:rPr>
          <w:bCs/>
        </w:rPr>
        <w:t>as-</w:t>
      </w:r>
      <w:r w:rsidRPr="00EF64A9" w:rsidR="00B252D8">
        <w:rPr>
          <w:bCs/>
        </w:rPr>
        <w:t xml:space="preserve">filed annual reliability performance reports compared to </w:t>
      </w:r>
      <w:r w:rsidRPr="00EF64A9" w:rsidR="00292B57">
        <w:rPr>
          <w:bCs/>
        </w:rPr>
        <w:t>DP&amp;L’s</w:t>
      </w:r>
      <w:r w:rsidRPr="00EF64A9" w:rsidR="00B252D8">
        <w:rPr>
          <w:bCs/>
        </w:rPr>
        <w:t xml:space="preserve"> proposed SAIFI using its new definition </w:t>
      </w:r>
      <w:r w:rsidRPr="00EF64A9" w:rsidR="004F4701">
        <w:rPr>
          <w:bCs/>
        </w:rPr>
        <w:t xml:space="preserve">for </w:t>
      </w:r>
      <w:r w:rsidRPr="00EF64A9" w:rsidR="002F0C4B">
        <w:rPr>
          <w:bCs/>
        </w:rPr>
        <w:t xml:space="preserve">consumer </w:t>
      </w:r>
      <w:r w:rsidRPr="00EF64A9" w:rsidR="004F4701">
        <w:rPr>
          <w:bCs/>
        </w:rPr>
        <w:t>counts</w:t>
      </w:r>
      <w:r w:rsidRPr="00EF64A9" w:rsidR="00B252D8">
        <w:rPr>
          <w:bCs/>
        </w:rPr>
        <w:t>.</w:t>
      </w:r>
      <w:r>
        <w:rPr>
          <w:rStyle w:val="FootnoteReference"/>
          <w:bCs/>
        </w:rPr>
        <w:footnoteReference w:id="35"/>
      </w:r>
    </w:p>
    <w:p w:rsidR="0064265C" w14:paraId="06CC53CB" w14:textId="77777777">
      <w:pPr>
        <w:rPr>
          <w:b/>
        </w:rPr>
      </w:pPr>
      <w:r>
        <w:rPr>
          <w:b/>
        </w:rPr>
        <w:br w:type="page"/>
      </w:r>
    </w:p>
    <w:p w:rsidR="00B252D8" w:rsidRPr="00EF64A9" w:rsidP="0064265C" w14:paraId="6C55AA84" w14:textId="401BD522">
      <w:pPr>
        <w:autoSpaceDE w:val="0"/>
        <w:autoSpaceDN w:val="0"/>
        <w:adjustRightInd w:val="0"/>
        <w:jc w:val="center"/>
        <w:rPr>
          <w:b/>
        </w:rPr>
      </w:pPr>
      <w:r w:rsidRPr="00EF64A9">
        <w:rPr>
          <w:b/>
        </w:rPr>
        <w:t xml:space="preserve">Table 3: </w:t>
      </w:r>
      <w:bookmarkStart w:id="5" w:name="_Hlk121720515"/>
      <w:r w:rsidRPr="00EF64A9">
        <w:rPr>
          <w:b/>
        </w:rPr>
        <w:t xml:space="preserve">Historical SAIFI Performance (2016 – 2020) Compared with </w:t>
      </w:r>
      <w:r w:rsidRPr="00EF64A9" w:rsidR="00F341B6">
        <w:rPr>
          <w:b/>
        </w:rPr>
        <w:t>DP&amp;L’s</w:t>
      </w:r>
      <w:r w:rsidRPr="00EF64A9">
        <w:rPr>
          <w:b/>
        </w:rPr>
        <w:t xml:space="preserve"> Proposed SAIFI Using Different </w:t>
      </w:r>
      <w:r w:rsidRPr="00EF64A9" w:rsidR="002F0C4B">
        <w:rPr>
          <w:b/>
        </w:rPr>
        <w:t xml:space="preserve">Consumer </w:t>
      </w:r>
      <w:r w:rsidRPr="00EF64A9">
        <w:rPr>
          <w:b/>
        </w:rPr>
        <w:t>Counts</w:t>
      </w:r>
    </w:p>
    <w:p w:rsidR="00B252D8" w:rsidRPr="00EF64A9" w:rsidP="00B252D8" w14:paraId="2D7B8660" w14:textId="77777777">
      <w:pPr>
        <w:autoSpaceDE w:val="0"/>
        <w:autoSpaceDN w:val="0"/>
        <w:adjustRightInd w:val="0"/>
        <w:ind w:left="720" w:hanging="720"/>
        <w:jc w:val="center"/>
        <w:rPr>
          <w:b/>
        </w:rPr>
      </w:pPr>
    </w:p>
    <w:tbl>
      <w:tblPr>
        <w:tblStyle w:val="TableGrid"/>
        <w:tblW w:w="0" w:type="auto"/>
        <w:jc w:val="center"/>
        <w:tblLook w:val="04A0"/>
      </w:tblPr>
      <w:tblGrid>
        <w:gridCol w:w="1535"/>
        <w:gridCol w:w="1605"/>
        <w:gridCol w:w="1575"/>
        <w:gridCol w:w="1605"/>
        <w:gridCol w:w="1590"/>
      </w:tblGrid>
      <w:tr w14:paraId="53297C28" w14:textId="77777777" w:rsidTr="0064265C">
        <w:tblPrEx>
          <w:tblW w:w="0" w:type="auto"/>
          <w:jc w:val="center"/>
          <w:tblLook w:val="04A0"/>
        </w:tblPrEx>
        <w:trPr>
          <w:jc w:val="center"/>
        </w:trPr>
        <w:tc>
          <w:tcPr>
            <w:tcW w:w="1535" w:type="dxa"/>
          </w:tcPr>
          <w:bookmarkEnd w:id="5"/>
          <w:p w:rsidR="00B252D8" w:rsidRPr="00EF64A9" w:rsidP="00B252D8" w14:paraId="76DEDFC5" w14:textId="77777777">
            <w:pPr>
              <w:autoSpaceDE w:val="0"/>
              <w:autoSpaceDN w:val="0"/>
              <w:adjustRightInd w:val="0"/>
              <w:jc w:val="center"/>
              <w:rPr>
                <w:b/>
              </w:rPr>
            </w:pPr>
            <w:r w:rsidRPr="00EF64A9">
              <w:rPr>
                <w:b/>
              </w:rPr>
              <w:t>Year</w:t>
            </w:r>
          </w:p>
        </w:tc>
        <w:tc>
          <w:tcPr>
            <w:tcW w:w="1605" w:type="dxa"/>
          </w:tcPr>
          <w:p w:rsidR="00B252D8" w:rsidRPr="00EF64A9" w:rsidP="00B252D8" w14:paraId="5F3B9308" w14:textId="77777777">
            <w:pPr>
              <w:autoSpaceDE w:val="0"/>
              <w:autoSpaceDN w:val="0"/>
              <w:adjustRightInd w:val="0"/>
              <w:jc w:val="center"/>
              <w:rPr>
                <w:b/>
              </w:rPr>
            </w:pPr>
            <w:r w:rsidRPr="00EF64A9">
              <w:rPr>
                <w:b/>
              </w:rPr>
              <w:t xml:space="preserve">Consumer Count in Filed Rule 10 Reports </w:t>
            </w:r>
          </w:p>
        </w:tc>
        <w:tc>
          <w:tcPr>
            <w:tcW w:w="1575" w:type="dxa"/>
          </w:tcPr>
          <w:p w:rsidR="00B252D8" w:rsidRPr="00EF64A9" w:rsidP="00B252D8" w14:paraId="0B848D86" w14:textId="77777777">
            <w:pPr>
              <w:autoSpaceDE w:val="0"/>
              <w:autoSpaceDN w:val="0"/>
              <w:adjustRightInd w:val="0"/>
              <w:jc w:val="center"/>
              <w:rPr>
                <w:b/>
              </w:rPr>
            </w:pPr>
            <w:r w:rsidRPr="00EF64A9">
              <w:rPr>
                <w:b/>
              </w:rPr>
              <w:t>SAIFI as Reported in Filed Rule 10 Reports</w:t>
            </w:r>
          </w:p>
        </w:tc>
        <w:tc>
          <w:tcPr>
            <w:tcW w:w="1605" w:type="dxa"/>
          </w:tcPr>
          <w:p w:rsidR="00B252D8" w:rsidRPr="00EF64A9" w:rsidP="00B252D8" w14:paraId="77360B91" w14:textId="4578356A">
            <w:pPr>
              <w:autoSpaceDE w:val="0"/>
              <w:autoSpaceDN w:val="0"/>
              <w:adjustRightInd w:val="0"/>
              <w:jc w:val="center"/>
              <w:rPr>
                <w:b/>
              </w:rPr>
            </w:pPr>
            <w:r w:rsidRPr="00EF64A9">
              <w:rPr>
                <w:b/>
              </w:rPr>
              <w:t xml:space="preserve">Consumer </w:t>
            </w:r>
            <w:r w:rsidRPr="00EF64A9" w:rsidR="002E618F">
              <w:rPr>
                <w:b/>
              </w:rPr>
              <w:t>Count as</w:t>
            </w:r>
            <w:r w:rsidRPr="00EF64A9" w:rsidR="000A44AD">
              <w:rPr>
                <w:b/>
              </w:rPr>
              <w:t xml:space="preserve"> now </w:t>
            </w:r>
            <w:r w:rsidRPr="00EF64A9" w:rsidR="002E618F">
              <w:rPr>
                <w:b/>
              </w:rPr>
              <w:t xml:space="preserve">Proposed by </w:t>
            </w:r>
            <w:r w:rsidRPr="00EF64A9" w:rsidR="009C1B54">
              <w:rPr>
                <w:b/>
              </w:rPr>
              <w:t>DP&amp;L</w:t>
            </w:r>
          </w:p>
        </w:tc>
        <w:tc>
          <w:tcPr>
            <w:tcW w:w="1590" w:type="dxa"/>
          </w:tcPr>
          <w:p w:rsidR="00B252D8" w:rsidRPr="00EF64A9" w:rsidP="00B252D8" w14:paraId="6F66BB39" w14:textId="41FC336E">
            <w:pPr>
              <w:autoSpaceDE w:val="0"/>
              <w:autoSpaceDN w:val="0"/>
              <w:adjustRightInd w:val="0"/>
              <w:jc w:val="center"/>
              <w:rPr>
                <w:b/>
              </w:rPr>
            </w:pPr>
            <w:r w:rsidRPr="00EF64A9">
              <w:rPr>
                <w:b/>
              </w:rPr>
              <w:t xml:space="preserve">Historical SAIFI as Proposed by </w:t>
            </w:r>
            <w:r w:rsidRPr="00EF64A9" w:rsidR="009C1B54">
              <w:rPr>
                <w:b/>
              </w:rPr>
              <w:t>DP&amp;L</w:t>
            </w:r>
            <w:r w:rsidRPr="00EF64A9" w:rsidR="00633037">
              <w:rPr>
                <w:b/>
              </w:rPr>
              <w:t xml:space="preserve"> </w:t>
            </w:r>
          </w:p>
        </w:tc>
      </w:tr>
      <w:tr w14:paraId="34CF078A" w14:textId="77777777" w:rsidTr="0064265C">
        <w:tblPrEx>
          <w:tblW w:w="0" w:type="auto"/>
          <w:jc w:val="center"/>
          <w:tblLook w:val="04A0"/>
        </w:tblPrEx>
        <w:trPr>
          <w:jc w:val="center"/>
        </w:trPr>
        <w:tc>
          <w:tcPr>
            <w:tcW w:w="1535" w:type="dxa"/>
          </w:tcPr>
          <w:p w:rsidR="00B252D8" w:rsidRPr="00EF64A9" w:rsidP="00B252D8" w14:paraId="798CED82" w14:textId="77777777">
            <w:pPr>
              <w:autoSpaceDE w:val="0"/>
              <w:autoSpaceDN w:val="0"/>
              <w:adjustRightInd w:val="0"/>
              <w:jc w:val="center"/>
              <w:rPr>
                <w:bCs/>
              </w:rPr>
            </w:pPr>
            <w:r w:rsidRPr="00EF64A9">
              <w:rPr>
                <w:bCs/>
              </w:rPr>
              <w:t>2016</w:t>
            </w:r>
          </w:p>
        </w:tc>
        <w:tc>
          <w:tcPr>
            <w:tcW w:w="1605" w:type="dxa"/>
          </w:tcPr>
          <w:p w:rsidR="00B252D8" w:rsidRPr="00EF64A9" w:rsidP="00B252D8" w14:paraId="2E809268" w14:textId="77777777">
            <w:pPr>
              <w:autoSpaceDE w:val="0"/>
              <w:autoSpaceDN w:val="0"/>
              <w:adjustRightInd w:val="0"/>
              <w:jc w:val="center"/>
              <w:rPr>
                <w:bCs/>
              </w:rPr>
            </w:pPr>
            <w:r w:rsidRPr="00EF64A9">
              <w:rPr>
                <w:bCs/>
              </w:rPr>
              <w:t>580,592</w:t>
            </w:r>
          </w:p>
        </w:tc>
        <w:tc>
          <w:tcPr>
            <w:tcW w:w="1575" w:type="dxa"/>
          </w:tcPr>
          <w:p w:rsidR="00B252D8" w:rsidRPr="00EF64A9" w:rsidP="00B252D8" w14:paraId="157D7521" w14:textId="77777777">
            <w:pPr>
              <w:autoSpaceDE w:val="0"/>
              <w:autoSpaceDN w:val="0"/>
              <w:adjustRightInd w:val="0"/>
              <w:jc w:val="center"/>
              <w:rPr>
                <w:bCs/>
              </w:rPr>
            </w:pPr>
            <w:r w:rsidRPr="00EF64A9">
              <w:rPr>
                <w:bCs/>
              </w:rPr>
              <w:t>0.69</w:t>
            </w:r>
          </w:p>
        </w:tc>
        <w:tc>
          <w:tcPr>
            <w:tcW w:w="1605" w:type="dxa"/>
          </w:tcPr>
          <w:p w:rsidR="00B252D8" w:rsidRPr="00EF64A9" w:rsidP="00B252D8" w14:paraId="09032232" w14:textId="77777777">
            <w:pPr>
              <w:autoSpaceDE w:val="0"/>
              <w:autoSpaceDN w:val="0"/>
              <w:adjustRightInd w:val="0"/>
              <w:jc w:val="center"/>
              <w:rPr>
                <w:bCs/>
              </w:rPr>
            </w:pPr>
            <w:r w:rsidRPr="00EF64A9">
              <w:rPr>
                <w:bCs/>
              </w:rPr>
              <w:t>519,665</w:t>
            </w:r>
          </w:p>
        </w:tc>
        <w:tc>
          <w:tcPr>
            <w:tcW w:w="1590" w:type="dxa"/>
          </w:tcPr>
          <w:p w:rsidR="00B252D8" w:rsidRPr="00EF64A9" w:rsidP="00B252D8" w14:paraId="58439C46" w14:textId="77777777">
            <w:pPr>
              <w:autoSpaceDE w:val="0"/>
              <w:autoSpaceDN w:val="0"/>
              <w:adjustRightInd w:val="0"/>
              <w:jc w:val="center"/>
              <w:rPr>
                <w:bCs/>
              </w:rPr>
            </w:pPr>
            <w:r w:rsidRPr="00EF64A9">
              <w:rPr>
                <w:bCs/>
              </w:rPr>
              <w:t>0.77</w:t>
            </w:r>
          </w:p>
        </w:tc>
      </w:tr>
      <w:tr w14:paraId="0B709CAF" w14:textId="77777777" w:rsidTr="0064265C">
        <w:tblPrEx>
          <w:tblW w:w="0" w:type="auto"/>
          <w:jc w:val="center"/>
          <w:tblLook w:val="04A0"/>
        </w:tblPrEx>
        <w:trPr>
          <w:jc w:val="center"/>
        </w:trPr>
        <w:tc>
          <w:tcPr>
            <w:tcW w:w="1535" w:type="dxa"/>
          </w:tcPr>
          <w:p w:rsidR="00B252D8" w:rsidRPr="00EF64A9" w:rsidP="00B252D8" w14:paraId="0561185F" w14:textId="77777777">
            <w:pPr>
              <w:autoSpaceDE w:val="0"/>
              <w:autoSpaceDN w:val="0"/>
              <w:adjustRightInd w:val="0"/>
              <w:jc w:val="center"/>
              <w:rPr>
                <w:bCs/>
              </w:rPr>
            </w:pPr>
            <w:r w:rsidRPr="00EF64A9">
              <w:rPr>
                <w:bCs/>
              </w:rPr>
              <w:t>2017</w:t>
            </w:r>
          </w:p>
        </w:tc>
        <w:tc>
          <w:tcPr>
            <w:tcW w:w="1605" w:type="dxa"/>
          </w:tcPr>
          <w:p w:rsidR="00B252D8" w:rsidRPr="00EF64A9" w:rsidP="00B252D8" w14:paraId="78F0A2D0" w14:textId="77777777">
            <w:pPr>
              <w:autoSpaceDE w:val="0"/>
              <w:autoSpaceDN w:val="0"/>
              <w:adjustRightInd w:val="0"/>
              <w:jc w:val="center"/>
              <w:rPr>
                <w:bCs/>
              </w:rPr>
            </w:pPr>
            <w:r w:rsidRPr="00EF64A9">
              <w:rPr>
                <w:bCs/>
              </w:rPr>
              <w:t>584,044</w:t>
            </w:r>
          </w:p>
        </w:tc>
        <w:tc>
          <w:tcPr>
            <w:tcW w:w="1575" w:type="dxa"/>
          </w:tcPr>
          <w:p w:rsidR="00B252D8" w:rsidRPr="00EF64A9" w:rsidP="00B252D8" w14:paraId="42A30F81" w14:textId="77777777">
            <w:pPr>
              <w:autoSpaceDE w:val="0"/>
              <w:autoSpaceDN w:val="0"/>
              <w:adjustRightInd w:val="0"/>
              <w:jc w:val="center"/>
              <w:rPr>
                <w:bCs/>
              </w:rPr>
            </w:pPr>
            <w:r w:rsidRPr="00EF64A9">
              <w:rPr>
                <w:bCs/>
              </w:rPr>
              <w:t>0.68</w:t>
            </w:r>
          </w:p>
        </w:tc>
        <w:tc>
          <w:tcPr>
            <w:tcW w:w="1605" w:type="dxa"/>
          </w:tcPr>
          <w:p w:rsidR="00B252D8" w:rsidRPr="00EF64A9" w:rsidP="00B252D8" w14:paraId="0496B124" w14:textId="77777777">
            <w:pPr>
              <w:autoSpaceDE w:val="0"/>
              <w:autoSpaceDN w:val="0"/>
              <w:adjustRightInd w:val="0"/>
              <w:jc w:val="center"/>
              <w:rPr>
                <w:bCs/>
              </w:rPr>
            </w:pPr>
            <w:r w:rsidRPr="00EF64A9">
              <w:rPr>
                <w:bCs/>
              </w:rPr>
              <w:t>522,808</w:t>
            </w:r>
          </w:p>
        </w:tc>
        <w:tc>
          <w:tcPr>
            <w:tcW w:w="1590" w:type="dxa"/>
          </w:tcPr>
          <w:p w:rsidR="00B252D8" w:rsidRPr="00EF64A9" w:rsidP="00B252D8" w14:paraId="24166D6C" w14:textId="77777777">
            <w:pPr>
              <w:autoSpaceDE w:val="0"/>
              <w:autoSpaceDN w:val="0"/>
              <w:adjustRightInd w:val="0"/>
              <w:jc w:val="center"/>
              <w:rPr>
                <w:bCs/>
              </w:rPr>
            </w:pPr>
            <w:r w:rsidRPr="00EF64A9">
              <w:rPr>
                <w:bCs/>
              </w:rPr>
              <w:t>0.76</w:t>
            </w:r>
          </w:p>
        </w:tc>
      </w:tr>
      <w:tr w14:paraId="0AD79143" w14:textId="77777777" w:rsidTr="0064265C">
        <w:tblPrEx>
          <w:tblW w:w="0" w:type="auto"/>
          <w:jc w:val="center"/>
          <w:tblLook w:val="04A0"/>
        </w:tblPrEx>
        <w:trPr>
          <w:jc w:val="center"/>
        </w:trPr>
        <w:tc>
          <w:tcPr>
            <w:tcW w:w="1535" w:type="dxa"/>
          </w:tcPr>
          <w:p w:rsidR="00B252D8" w:rsidRPr="00EF64A9" w:rsidP="00B252D8" w14:paraId="7A378DE2" w14:textId="77777777">
            <w:pPr>
              <w:autoSpaceDE w:val="0"/>
              <w:autoSpaceDN w:val="0"/>
              <w:adjustRightInd w:val="0"/>
              <w:jc w:val="center"/>
              <w:rPr>
                <w:bCs/>
              </w:rPr>
            </w:pPr>
            <w:r w:rsidRPr="00EF64A9">
              <w:rPr>
                <w:bCs/>
              </w:rPr>
              <w:t>2018</w:t>
            </w:r>
          </w:p>
        </w:tc>
        <w:tc>
          <w:tcPr>
            <w:tcW w:w="1605" w:type="dxa"/>
          </w:tcPr>
          <w:p w:rsidR="00B252D8" w:rsidRPr="00EF64A9" w:rsidP="00B252D8" w14:paraId="404B0CAA" w14:textId="77777777">
            <w:pPr>
              <w:autoSpaceDE w:val="0"/>
              <w:autoSpaceDN w:val="0"/>
              <w:adjustRightInd w:val="0"/>
              <w:jc w:val="center"/>
              <w:rPr>
                <w:bCs/>
              </w:rPr>
            </w:pPr>
            <w:r w:rsidRPr="00EF64A9">
              <w:rPr>
                <w:bCs/>
              </w:rPr>
              <w:t>587,473</w:t>
            </w:r>
          </w:p>
        </w:tc>
        <w:tc>
          <w:tcPr>
            <w:tcW w:w="1575" w:type="dxa"/>
          </w:tcPr>
          <w:p w:rsidR="00B252D8" w:rsidRPr="00EF64A9" w:rsidP="00B252D8" w14:paraId="1A31AF73" w14:textId="77777777">
            <w:pPr>
              <w:autoSpaceDE w:val="0"/>
              <w:autoSpaceDN w:val="0"/>
              <w:adjustRightInd w:val="0"/>
              <w:jc w:val="center"/>
              <w:rPr>
                <w:bCs/>
              </w:rPr>
            </w:pPr>
            <w:r w:rsidRPr="00EF64A9">
              <w:rPr>
                <w:bCs/>
              </w:rPr>
              <w:t>0.86</w:t>
            </w:r>
          </w:p>
        </w:tc>
        <w:tc>
          <w:tcPr>
            <w:tcW w:w="1605" w:type="dxa"/>
          </w:tcPr>
          <w:p w:rsidR="00B252D8" w:rsidRPr="00EF64A9" w:rsidP="00B252D8" w14:paraId="7F249282" w14:textId="77777777">
            <w:pPr>
              <w:autoSpaceDE w:val="0"/>
              <w:autoSpaceDN w:val="0"/>
              <w:adjustRightInd w:val="0"/>
              <w:jc w:val="center"/>
              <w:rPr>
                <w:bCs/>
              </w:rPr>
            </w:pPr>
            <w:r w:rsidRPr="00EF64A9">
              <w:rPr>
                <w:bCs/>
              </w:rPr>
              <w:t>525,690</w:t>
            </w:r>
          </w:p>
        </w:tc>
        <w:tc>
          <w:tcPr>
            <w:tcW w:w="1590" w:type="dxa"/>
          </w:tcPr>
          <w:p w:rsidR="00B252D8" w:rsidRPr="00EF64A9" w:rsidP="00B252D8" w14:paraId="39158D39" w14:textId="77777777">
            <w:pPr>
              <w:autoSpaceDE w:val="0"/>
              <w:autoSpaceDN w:val="0"/>
              <w:adjustRightInd w:val="0"/>
              <w:jc w:val="center"/>
              <w:rPr>
                <w:bCs/>
              </w:rPr>
            </w:pPr>
            <w:r w:rsidRPr="00EF64A9">
              <w:rPr>
                <w:bCs/>
              </w:rPr>
              <w:t>0.96</w:t>
            </w:r>
          </w:p>
        </w:tc>
      </w:tr>
      <w:tr w14:paraId="7B541195" w14:textId="77777777" w:rsidTr="0064265C">
        <w:tblPrEx>
          <w:tblW w:w="0" w:type="auto"/>
          <w:jc w:val="center"/>
          <w:tblLook w:val="04A0"/>
        </w:tblPrEx>
        <w:trPr>
          <w:jc w:val="center"/>
        </w:trPr>
        <w:tc>
          <w:tcPr>
            <w:tcW w:w="1535" w:type="dxa"/>
          </w:tcPr>
          <w:p w:rsidR="00B252D8" w:rsidRPr="00EF64A9" w:rsidP="00B252D8" w14:paraId="0AEC6ABF" w14:textId="77777777">
            <w:pPr>
              <w:autoSpaceDE w:val="0"/>
              <w:autoSpaceDN w:val="0"/>
              <w:adjustRightInd w:val="0"/>
              <w:jc w:val="center"/>
              <w:rPr>
                <w:bCs/>
              </w:rPr>
            </w:pPr>
            <w:r w:rsidRPr="00EF64A9">
              <w:rPr>
                <w:bCs/>
              </w:rPr>
              <w:t>2019</w:t>
            </w:r>
          </w:p>
        </w:tc>
        <w:tc>
          <w:tcPr>
            <w:tcW w:w="1605" w:type="dxa"/>
          </w:tcPr>
          <w:p w:rsidR="00B252D8" w:rsidRPr="00EF64A9" w:rsidP="00B252D8" w14:paraId="2AC7C5BB" w14:textId="77777777">
            <w:pPr>
              <w:autoSpaceDE w:val="0"/>
              <w:autoSpaceDN w:val="0"/>
              <w:adjustRightInd w:val="0"/>
              <w:jc w:val="center"/>
              <w:rPr>
                <w:bCs/>
              </w:rPr>
            </w:pPr>
            <w:r w:rsidRPr="00EF64A9">
              <w:rPr>
                <w:bCs/>
              </w:rPr>
              <w:t>591,607</w:t>
            </w:r>
          </w:p>
        </w:tc>
        <w:tc>
          <w:tcPr>
            <w:tcW w:w="1575" w:type="dxa"/>
          </w:tcPr>
          <w:p w:rsidR="00B252D8" w:rsidRPr="00EF64A9" w:rsidP="00B252D8" w14:paraId="4CF94E15" w14:textId="77777777">
            <w:pPr>
              <w:autoSpaceDE w:val="0"/>
              <w:autoSpaceDN w:val="0"/>
              <w:adjustRightInd w:val="0"/>
              <w:jc w:val="center"/>
              <w:rPr>
                <w:bCs/>
              </w:rPr>
            </w:pPr>
            <w:r w:rsidRPr="00EF64A9">
              <w:rPr>
                <w:bCs/>
              </w:rPr>
              <w:t>0.88</w:t>
            </w:r>
          </w:p>
        </w:tc>
        <w:tc>
          <w:tcPr>
            <w:tcW w:w="1605" w:type="dxa"/>
          </w:tcPr>
          <w:p w:rsidR="00B252D8" w:rsidRPr="00EF64A9" w:rsidP="00B252D8" w14:paraId="1335497C" w14:textId="77777777">
            <w:pPr>
              <w:autoSpaceDE w:val="0"/>
              <w:autoSpaceDN w:val="0"/>
              <w:adjustRightInd w:val="0"/>
              <w:jc w:val="center"/>
              <w:rPr>
                <w:bCs/>
              </w:rPr>
            </w:pPr>
            <w:r w:rsidRPr="00EF64A9">
              <w:rPr>
                <w:bCs/>
              </w:rPr>
              <w:t>528,892</w:t>
            </w:r>
          </w:p>
        </w:tc>
        <w:tc>
          <w:tcPr>
            <w:tcW w:w="1590" w:type="dxa"/>
          </w:tcPr>
          <w:p w:rsidR="00B252D8" w:rsidRPr="00EF64A9" w:rsidP="00B252D8" w14:paraId="7E50C2F4" w14:textId="77777777">
            <w:pPr>
              <w:autoSpaceDE w:val="0"/>
              <w:autoSpaceDN w:val="0"/>
              <w:adjustRightInd w:val="0"/>
              <w:jc w:val="center"/>
              <w:rPr>
                <w:bCs/>
              </w:rPr>
            </w:pPr>
            <w:r w:rsidRPr="00EF64A9">
              <w:rPr>
                <w:bCs/>
              </w:rPr>
              <w:t>0.99</w:t>
            </w:r>
          </w:p>
        </w:tc>
      </w:tr>
      <w:tr w14:paraId="56623FAA" w14:textId="77777777" w:rsidTr="0064265C">
        <w:tblPrEx>
          <w:tblW w:w="0" w:type="auto"/>
          <w:jc w:val="center"/>
          <w:tblLook w:val="04A0"/>
        </w:tblPrEx>
        <w:trPr>
          <w:jc w:val="center"/>
        </w:trPr>
        <w:tc>
          <w:tcPr>
            <w:tcW w:w="1535" w:type="dxa"/>
          </w:tcPr>
          <w:p w:rsidR="00B252D8" w:rsidRPr="00EF64A9" w:rsidP="00B252D8" w14:paraId="63338693" w14:textId="77777777">
            <w:pPr>
              <w:autoSpaceDE w:val="0"/>
              <w:autoSpaceDN w:val="0"/>
              <w:adjustRightInd w:val="0"/>
              <w:jc w:val="center"/>
              <w:rPr>
                <w:bCs/>
              </w:rPr>
            </w:pPr>
            <w:r w:rsidRPr="00EF64A9">
              <w:rPr>
                <w:bCs/>
              </w:rPr>
              <w:t>2020</w:t>
            </w:r>
          </w:p>
        </w:tc>
        <w:tc>
          <w:tcPr>
            <w:tcW w:w="1605" w:type="dxa"/>
          </w:tcPr>
          <w:p w:rsidR="00B252D8" w:rsidRPr="00EF64A9" w:rsidP="00B252D8" w14:paraId="4ABEA293" w14:textId="77777777">
            <w:pPr>
              <w:autoSpaceDE w:val="0"/>
              <w:autoSpaceDN w:val="0"/>
              <w:adjustRightInd w:val="0"/>
              <w:jc w:val="center"/>
              <w:rPr>
                <w:bCs/>
              </w:rPr>
            </w:pPr>
            <w:r w:rsidRPr="00EF64A9">
              <w:rPr>
                <w:bCs/>
              </w:rPr>
              <w:t>594,965</w:t>
            </w:r>
          </w:p>
        </w:tc>
        <w:tc>
          <w:tcPr>
            <w:tcW w:w="1575" w:type="dxa"/>
          </w:tcPr>
          <w:p w:rsidR="00B252D8" w:rsidRPr="00EF64A9" w:rsidP="00B252D8" w14:paraId="0E6FADD5" w14:textId="77777777">
            <w:pPr>
              <w:autoSpaceDE w:val="0"/>
              <w:autoSpaceDN w:val="0"/>
              <w:adjustRightInd w:val="0"/>
              <w:jc w:val="center"/>
              <w:rPr>
                <w:bCs/>
              </w:rPr>
            </w:pPr>
            <w:r w:rsidRPr="00EF64A9">
              <w:rPr>
                <w:bCs/>
              </w:rPr>
              <w:t>0.84</w:t>
            </w:r>
          </w:p>
        </w:tc>
        <w:tc>
          <w:tcPr>
            <w:tcW w:w="1605" w:type="dxa"/>
          </w:tcPr>
          <w:p w:rsidR="00B252D8" w:rsidRPr="00EF64A9" w:rsidP="00B252D8" w14:paraId="6D6C8258" w14:textId="77777777">
            <w:pPr>
              <w:autoSpaceDE w:val="0"/>
              <w:autoSpaceDN w:val="0"/>
              <w:adjustRightInd w:val="0"/>
              <w:jc w:val="center"/>
              <w:rPr>
                <w:bCs/>
              </w:rPr>
            </w:pPr>
            <w:r w:rsidRPr="00EF64A9">
              <w:rPr>
                <w:bCs/>
              </w:rPr>
              <w:t>529,801</w:t>
            </w:r>
          </w:p>
        </w:tc>
        <w:tc>
          <w:tcPr>
            <w:tcW w:w="1590" w:type="dxa"/>
          </w:tcPr>
          <w:p w:rsidR="00B252D8" w:rsidRPr="00EF64A9" w:rsidP="00B252D8" w14:paraId="76D14C1F" w14:textId="77777777">
            <w:pPr>
              <w:autoSpaceDE w:val="0"/>
              <w:autoSpaceDN w:val="0"/>
              <w:adjustRightInd w:val="0"/>
              <w:jc w:val="center"/>
              <w:rPr>
                <w:bCs/>
              </w:rPr>
            </w:pPr>
            <w:r w:rsidRPr="00EF64A9">
              <w:rPr>
                <w:bCs/>
              </w:rPr>
              <w:t>0.95</w:t>
            </w:r>
          </w:p>
        </w:tc>
      </w:tr>
      <w:tr w14:paraId="05E35C12" w14:textId="77777777" w:rsidTr="0064265C">
        <w:tblPrEx>
          <w:tblW w:w="0" w:type="auto"/>
          <w:jc w:val="center"/>
          <w:tblLook w:val="04A0"/>
        </w:tblPrEx>
        <w:trPr>
          <w:jc w:val="center"/>
        </w:trPr>
        <w:tc>
          <w:tcPr>
            <w:tcW w:w="1535" w:type="dxa"/>
          </w:tcPr>
          <w:p w:rsidR="00B252D8" w:rsidRPr="00EF64A9" w:rsidP="00B252D8" w14:paraId="12314716" w14:textId="77777777">
            <w:pPr>
              <w:autoSpaceDE w:val="0"/>
              <w:autoSpaceDN w:val="0"/>
              <w:adjustRightInd w:val="0"/>
              <w:jc w:val="center"/>
              <w:rPr>
                <w:bCs/>
              </w:rPr>
            </w:pPr>
            <w:r w:rsidRPr="00EF64A9">
              <w:rPr>
                <w:bCs/>
              </w:rPr>
              <w:t>Five-Year Average</w:t>
            </w:r>
          </w:p>
        </w:tc>
        <w:tc>
          <w:tcPr>
            <w:tcW w:w="1605" w:type="dxa"/>
          </w:tcPr>
          <w:p w:rsidR="00B252D8" w:rsidRPr="00EF64A9" w:rsidP="00B252D8" w14:paraId="0780C0CE" w14:textId="77777777">
            <w:pPr>
              <w:autoSpaceDE w:val="0"/>
              <w:autoSpaceDN w:val="0"/>
              <w:adjustRightInd w:val="0"/>
              <w:jc w:val="center"/>
              <w:rPr>
                <w:bCs/>
              </w:rPr>
            </w:pPr>
          </w:p>
        </w:tc>
        <w:tc>
          <w:tcPr>
            <w:tcW w:w="1575" w:type="dxa"/>
          </w:tcPr>
          <w:p w:rsidR="00B252D8" w:rsidRPr="00EF64A9" w:rsidP="00B252D8" w14:paraId="71715FF2" w14:textId="77777777">
            <w:pPr>
              <w:autoSpaceDE w:val="0"/>
              <w:autoSpaceDN w:val="0"/>
              <w:adjustRightInd w:val="0"/>
              <w:jc w:val="center"/>
              <w:rPr>
                <w:bCs/>
              </w:rPr>
            </w:pPr>
            <w:r w:rsidRPr="00EF64A9">
              <w:rPr>
                <w:bCs/>
              </w:rPr>
              <w:t>0.79</w:t>
            </w:r>
          </w:p>
        </w:tc>
        <w:tc>
          <w:tcPr>
            <w:tcW w:w="1605" w:type="dxa"/>
          </w:tcPr>
          <w:p w:rsidR="00B252D8" w:rsidRPr="00EF64A9" w:rsidP="00B252D8" w14:paraId="257AC133" w14:textId="77777777">
            <w:pPr>
              <w:autoSpaceDE w:val="0"/>
              <w:autoSpaceDN w:val="0"/>
              <w:adjustRightInd w:val="0"/>
              <w:jc w:val="center"/>
              <w:rPr>
                <w:bCs/>
              </w:rPr>
            </w:pPr>
          </w:p>
        </w:tc>
        <w:tc>
          <w:tcPr>
            <w:tcW w:w="1590" w:type="dxa"/>
          </w:tcPr>
          <w:p w:rsidR="00B252D8" w:rsidRPr="00EF64A9" w:rsidP="00B252D8" w14:paraId="715285C9" w14:textId="77777777">
            <w:pPr>
              <w:autoSpaceDE w:val="0"/>
              <w:autoSpaceDN w:val="0"/>
              <w:adjustRightInd w:val="0"/>
              <w:jc w:val="center"/>
              <w:rPr>
                <w:bCs/>
              </w:rPr>
            </w:pPr>
            <w:r w:rsidRPr="00EF64A9">
              <w:rPr>
                <w:bCs/>
              </w:rPr>
              <w:t>1.02</w:t>
            </w:r>
          </w:p>
        </w:tc>
      </w:tr>
    </w:tbl>
    <w:p w:rsidR="00360C87" w:rsidRPr="00EF64A9" w:rsidP="00B252D8" w14:paraId="7E4FCF50" w14:textId="44196F31">
      <w:pPr>
        <w:autoSpaceDE w:val="0"/>
        <w:autoSpaceDN w:val="0"/>
        <w:adjustRightInd w:val="0"/>
        <w:ind w:left="720" w:hanging="720"/>
        <w:jc w:val="center"/>
        <w:rPr>
          <w:bCs/>
        </w:rPr>
      </w:pPr>
      <w:r>
        <w:rPr>
          <w:bCs/>
        </w:rPr>
        <w:t xml:space="preserve"> </w:t>
      </w:r>
    </w:p>
    <w:p w:rsidR="0017671B" w:rsidP="00677BD0" w14:paraId="0F064FBD" w14:textId="77777777">
      <w:pPr>
        <w:autoSpaceDE w:val="0"/>
        <w:autoSpaceDN w:val="0"/>
        <w:adjustRightInd w:val="0"/>
        <w:spacing w:line="480" w:lineRule="auto"/>
        <w:ind w:firstLine="720"/>
        <w:rPr>
          <w:bCs/>
        </w:rPr>
      </w:pPr>
      <w:r w:rsidRPr="00EF64A9">
        <w:rPr>
          <w:bCs/>
        </w:rPr>
        <w:t xml:space="preserve">Table 3 shows </w:t>
      </w:r>
      <w:r w:rsidRPr="00EF64A9" w:rsidR="008F0021">
        <w:rPr>
          <w:bCs/>
        </w:rPr>
        <w:t xml:space="preserve">that the five-year average historical SAIFI performance baseline of </w:t>
      </w:r>
      <w:r w:rsidRPr="00EF64A9">
        <w:rPr>
          <w:bCs/>
        </w:rPr>
        <w:t xml:space="preserve">0.79 </w:t>
      </w:r>
      <w:r w:rsidRPr="00EF64A9" w:rsidR="000D2122">
        <w:rPr>
          <w:bCs/>
        </w:rPr>
        <w:t xml:space="preserve">is </w:t>
      </w:r>
      <w:r w:rsidRPr="00EF64A9" w:rsidR="008F0021">
        <w:rPr>
          <w:bCs/>
        </w:rPr>
        <w:t>si</w:t>
      </w:r>
      <w:r w:rsidRPr="00EF64A9" w:rsidR="000D2122">
        <w:rPr>
          <w:bCs/>
        </w:rPr>
        <w:t xml:space="preserve">gnificantly better than </w:t>
      </w:r>
      <w:r w:rsidRPr="00EF64A9" w:rsidR="008F0021">
        <w:rPr>
          <w:bCs/>
        </w:rPr>
        <w:t>its</w:t>
      </w:r>
      <w:r w:rsidR="00EF64A9">
        <w:rPr>
          <w:bCs/>
        </w:rPr>
        <w:t xml:space="preserve"> </w:t>
      </w:r>
      <w:r w:rsidRPr="00EF64A9">
        <w:rPr>
          <w:bCs/>
        </w:rPr>
        <w:t xml:space="preserve">current PUCO standard of 0.88. </w:t>
      </w:r>
      <w:r w:rsidRPr="00EF64A9" w:rsidR="00705C45">
        <w:rPr>
          <w:bCs/>
        </w:rPr>
        <w:t xml:space="preserve">For consumer protection, </w:t>
      </w:r>
      <w:r w:rsidRPr="00EF64A9" w:rsidR="00946C28">
        <w:rPr>
          <w:bCs/>
        </w:rPr>
        <w:t xml:space="preserve">OCC </w:t>
      </w:r>
      <w:r w:rsidRPr="00EF64A9" w:rsidR="008F0021">
        <w:rPr>
          <w:bCs/>
        </w:rPr>
        <w:t xml:space="preserve">recommended adjusting the SAIFI standard downward to accurately reflect the reliability performance </w:t>
      </w:r>
      <w:r w:rsidRPr="00EF64A9" w:rsidR="00565241">
        <w:rPr>
          <w:bCs/>
        </w:rPr>
        <w:t xml:space="preserve">that </w:t>
      </w:r>
      <w:r w:rsidRPr="00EF64A9" w:rsidR="008F0021">
        <w:rPr>
          <w:bCs/>
        </w:rPr>
        <w:t>consumers are receiving.</w:t>
      </w:r>
      <w:r>
        <w:rPr>
          <w:rStyle w:val="FootnoteReference"/>
          <w:bCs/>
        </w:rPr>
        <w:footnoteReference w:id="36"/>
      </w:r>
      <w:r w:rsidRPr="00EF64A9" w:rsidR="008F0021">
        <w:rPr>
          <w:bCs/>
        </w:rPr>
        <w:t xml:space="preserve"> </w:t>
      </w:r>
      <w:r w:rsidRPr="00EF64A9" w:rsidR="00565241">
        <w:rPr>
          <w:bCs/>
        </w:rPr>
        <w:t>Using</w:t>
      </w:r>
      <w:r w:rsidR="00EF64A9">
        <w:rPr>
          <w:bCs/>
        </w:rPr>
        <w:t xml:space="preserve"> </w:t>
      </w:r>
      <w:r w:rsidRPr="00EF64A9" w:rsidR="00705C45">
        <w:rPr>
          <w:bCs/>
        </w:rPr>
        <w:t xml:space="preserve">the total number of premises where DP&amp;L </w:t>
      </w:r>
      <w:r w:rsidRPr="00EF64A9" w:rsidR="00093A8E">
        <w:rPr>
          <w:bCs/>
        </w:rPr>
        <w:t xml:space="preserve">is </w:t>
      </w:r>
      <w:r w:rsidRPr="00EF64A9" w:rsidR="00705C45">
        <w:rPr>
          <w:bCs/>
        </w:rPr>
        <w:t xml:space="preserve">required to serve consumers </w:t>
      </w:r>
      <w:r w:rsidRPr="00EF64A9" w:rsidR="00EC3338">
        <w:rPr>
          <w:bCs/>
        </w:rPr>
        <w:t>should continue</w:t>
      </w:r>
      <w:r w:rsidRPr="00EF64A9" w:rsidR="00705C45">
        <w:rPr>
          <w:bCs/>
        </w:rPr>
        <w:t xml:space="preserve"> to be used </w:t>
      </w:r>
      <w:r w:rsidRPr="00EF64A9" w:rsidR="00093A8E">
        <w:rPr>
          <w:bCs/>
        </w:rPr>
        <w:t xml:space="preserve">for purposes of </w:t>
      </w:r>
      <w:r w:rsidRPr="00EF64A9" w:rsidR="00705C45">
        <w:rPr>
          <w:bCs/>
        </w:rPr>
        <w:t>setting reliability standards</w:t>
      </w:r>
      <w:r w:rsidRPr="00EF64A9" w:rsidR="009D773C">
        <w:rPr>
          <w:bCs/>
        </w:rPr>
        <w:t xml:space="preserve">. </w:t>
      </w:r>
      <w:r>
        <w:rPr>
          <w:rStyle w:val="FootnoteReference"/>
          <w:bCs/>
        </w:rPr>
        <w:footnoteReference w:id="37"/>
      </w:r>
      <w:r w:rsidRPr="00EF64A9" w:rsidR="00EC3338">
        <w:rPr>
          <w:bCs/>
        </w:rPr>
        <w:t xml:space="preserve"> </w:t>
      </w:r>
    </w:p>
    <w:p w:rsidR="00006D85" w:rsidRPr="00EF64A9" w:rsidP="00677BD0" w14:paraId="7C65EE1E" w14:textId="66DEDE62">
      <w:pPr>
        <w:autoSpaceDE w:val="0"/>
        <w:autoSpaceDN w:val="0"/>
        <w:adjustRightInd w:val="0"/>
        <w:spacing w:line="480" w:lineRule="auto"/>
        <w:ind w:firstLine="720"/>
        <w:rPr>
          <w:bCs/>
        </w:rPr>
      </w:pPr>
      <w:r w:rsidRPr="00EF64A9">
        <w:rPr>
          <w:bCs/>
        </w:rPr>
        <w:t>DP&amp;L’s proposal</w:t>
      </w:r>
      <w:r w:rsidRPr="00EF64A9" w:rsidR="009F3659">
        <w:rPr>
          <w:bCs/>
        </w:rPr>
        <w:t xml:space="preserve"> to determine the total number of active </w:t>
      </w:r>
      <w:r w:rsidRPr="00EF64A9" w:rsidR="002F0C4B">
        <w:rPr>
          <w:bCs/>
        </w:rPr>
        <w:t xml:space="preserve">consumers </w:t>
      </w:r>
      <w:r w:rsidRPr="00EF64A9" w:rsidR="009F3659">
        <w:rPr>
          <w:bCs/>
        </w:rPr>
        <w:t>on a given day during the year unreasonably distorts the use of SAIFI as a metric to evaluate reliability.</w:t>
      </w:r>
      <w:r>
        <w:rPr>
          <w:rStyle w:val="FootnoteReference"/>
          <w:bCs/>
        </w:rPr>
        <w:footnoteReference w:id="38"/>
      </w:r>
      <w:r w:rsidRPr="00EF64A9" w:rsidR="009F3659">
        <w:rPr>
          <w:bCs/>
        </w:rPr>
        <w:t xml:space="preserve"> </w:t>
      </w:r>
      <w:r w:rsidRPr="00EF64A9">
        <w:rPr>
          <w:bCs/>
        </w:rPr>
        <w:t>Additionally</w:t>
      </w:r>
      <w:r w:rsidRPr="00EF64A9" w:rsidR="009F3659">
        <w:rPr>
          <w:bCs/>
        </w:rPr>
        <w:t>, as shown in Table 3,</w:t>
      </w:r>
      <w:r w:rsidRPr="00EF64A9">
        <w:rPr>
          <w:bCs/>
        </w:rPr>
        <w:t xml:space="preserve"> </w:t>
      </w:r>
      <w:r w:rsidRPr="00EF64A9" w:rsidR="003A7F78">
        <w:rPr>
          <w:bCs/>
        </w:rPr>
        <w:t>above</w:t>
      </w:r>
      <w:r w:rsidRPr="00EF64A9">
        <w:rPr>
          <w:bCs/>
        </w:rPr>
        <w:t>,</w:t>
      </w:r>
      <w:r w:rsidRPr="00EF64A9" w:rsidR="009F3659">
        <w:rPr>
          <w:bCs/>
        </w:rPr>
        <w:t xml:space="preserve"> modifying the </w:t>
      </w:r>
      <w:r w:rsidRPr="00EF64A9" w:rsidR="002F0C4B">
        <w:rPr>
          <w:bCs/>
        </w:rPr>
        <w:t xml:space="preserve">consumer </w:t>
      </w:r>
      <w:r w:rsidRPr="00EF64A9" w:rsidR="009F3659">
        <w:rPr>
          <w:bCs/>
        </w:rPr>
        <w:t xml:space="preserve">count as proposed by </w:t>
      </w:r>
      <w:r w:rsidRPr="00EF64A9">
        <w:rPr>
          <w:bCs/>
        </w:rPr>
        <w:t>DP&amp;L</w:t>
      </w:r>
      <w:r w:rsidRPr="00EF64A9" w:rsidR="009F3659">
        <w:rPr>
          <w:bCs/>
        </w:rPr>
        <w:t xml:space="preserve"> would weaken the SAIFI standard and </w:t>
      </w:r>
      <w:r w:rsidRPr="00EF64A9" w:rsidR="00093A8E">
        <w:rPr>
          <w:bCs/>
        </w:rPr>
        <w:t xml:space="preserve">serve no purpose other than making </w:t>
      </w:r>
      <w:r w:rsidRPr="00EF64A9" w:rsidR="009F3659">
        <w:rPr>
          <w:bCs/>
        </w:rPr>
        <w:t xml:space="preserve">it acceptable for consumers to experience </w:t>
      </w:r>
      <w:r w:rsidRPr="00EF64A9" w:rsidR="00093A8E">
        <w:rPr>
          <w:bCs/>
        </w:rPr>
        <w:t xml:space="preserve">more </w:t>
      </w:r>
      <w:r w:rsidRPr="00EF64A9" w:rsidR="009F3659">
        <w:rPr>
          <w:bCs/>
        </w:rPr>
        <w:t>outages on an annual basis.</w:t>
      </w:r>
      <w:r>
        <w:rPr>
          <w:rStyle w:val="FootnoteReference"/>
          <w:bCs/>
        </w:rPr>
        <w:footnoteReference w:id="39"/>
      </w:r>
    </w:p>
    <w:p w:rsidR="0017671B" w:rsidP="002D45F3" w14:paraId="6C0F48B2" w14:textId="77777777">
      <w:pPr>
        <w:autoSpaceDE w:val="0"/>
        <w:autoSpaceDN w:val="0"/>
        <w:adjustRightInd w:val="0"/>
        <w:spacing w:line="480" w:lineRule="auto"/>
        <w:ind w:firstLine="720"/>
        <w:rPr>
          <w:bCs/>
        </w:rPr>
      </w:pPr>
      <w:r w:rsidRPr="00EF64A9">
        <w:rPr>
          <w:bCs/>
        </w:rPr>
        <w:t xml:space="preserve">Other reasons for not changing the methodology for calculating SAIFI include </w:t>
      </w:r>
      <w:r w:rsidRPr="00EF64A9" w:rsidR="00CB1353">
        <w:rPr>
          <w:bCs/>
        </w:rPr>
        <w:t>DP&amp;L</w:t>
      </w:r>
      <w:r w:rsidRPr="00EF64A9">
        <w:rPr>
          <w:bCs/>
        </w:rPr>
        <w:t xml:space="preserve">’s </w:t>
      </w:r>
      <w:r w:rsidRPr="00EF64A9" w:rsidR="00C965F2">
        <w:rPr>
          <w:bCs/>
        </w:rPr>
        <w:t>agree</w:t>
      </w:r>
      <w:r w:rsidRPr="00EF64A9">
        <w:rPr>
          <w:bCs/>
        </w:rPr>
        <w:t xml:space="preserve">ment </w:t>
      </w:r>
      <w:r w:rsidRPr="00EF64A9" w:rsidR="00C965F2">
        <w:rPr>
          <w:bCs/>
        </w:rPr>
        <w:t xml:space="preserve">to </w:t>
      </w:r>
      <w:r w:rsidRPr="00EF64A9">
        <w:rPr>
          <w:bCs/>
        </w:rPr>
        <w:t xml:space="preserve">provide </w:t>
      </w:r>
      <w:r w:rsidRPr="00EF64A9" w:rsidR="00C965F2">
        <w:rPr>
          <w:bCs/>
        </w:rPr>
        <w:t>a 15 percent reduction in the 2015</w:t>
      </w:r>
      <w:r w:rsidRPr="00EF64A9" w:rsidR="00F063AF">
        <w:rPr>
          <w:bCs/>
        </w:rPr>
        <w:t>-</w:t>
      </w:r>
      <w:r w:rsidRPr="00EF64A9" w:rsidR="00C965F2">
        <w:rPr>
          <w:bCs/>
        </w:rPr>
        <w:t xml:space="preserve">2019 average historical SAIFI performance </w:t>
      </w:r>
      <w:r w:rsidRPr="00EF64A9" w:rsidR="00AA397D">
        <w:rPr>
          <w:bCs/>
        </w:rPr>
        <w:t xml:space="preserve">baseline </w:t>
      </w:r>
      <w:r w:rsidRPr="00EF64A9" w:rsidR="00C965F2">
        <w:rPr>
          <w:bCs/>
        </w:rPr>
        <w:t>as part of its Smart Grid Plan</w:t>
      </w:r>
      <w:r w:rsidRPr="00EF64A9" w:rsidR="00565241">
        <w:rPr>
          <w:bCs/>
        </w:rPr>
        <w:t>.</w:t>
      </w:r>
      <w:r>
        <w:rPr>
          <w:rStyle w:val="FootnoteReference"/>
          <w:bCs/>
        </w:rPr>
        <w:footnoteReference w:id="40"/>
      </w:r>
      <w:r w:rsidRPr="00EF64A9" w:rsidR="00633037">
        <w:rPr>
          <w:bCs/>
        </w:rPr>
        <w:t xml:space="preserve"> </w:t>
      </w:r>
      <w:r w:rsidRPr="00EF64A9" w:rsidR="00AA397D">
        <w:rPr>
          <w:bCs/>
        </w:rPr>
        <w:t>T</w:t>
      </w:r>
      <w:r w:rsidRPr="00EF64A9" w:rsidR="00A95A0D">
        <w:rPr>
          <w:bCs/>
        </w:rPr>
        <w:t xml:space="preserve">he </w:t>
      </w:r>
      <w:r w:rsidRPr="00EF64A9" w:rsidR="00AA397D">
        <w:rPr>
          <w:bCs/>
        </w:rPr>
        <w:t xml:space="preserve">DP&amp;L </w:t>
      </w:r>
      <w:r w:rsidRPr="00EF64A9" w:rsidR="00A95A0D">
        <w:rPr>
          <w:bCs/>
        </w:rPr>
        <w:t xml:space="preserve">proposed SAIFI standard of 1.02 is heading in the opposite direction from the 15 percent reduction in SAIFI it agreed </w:t>
      </w:r>
      <w:r w:rsidRPr="00EF64A9" w:rsidR="00AA397D">
        <w:rPr>
          <w:bCs/>
        </w:rPr>
        <w:t xml:space="preserve">upon </w:t>
      </w:r>
      <w:r w:rsidRPr="00EF64A9" w:rsidR="00A95A0D">
        <w:rPr>
          <w:bCs/>
        </w:rPr>
        <w:t>where the standards will need to be after the five-year deployment of the smart grid is complete.</w:t>
      </w:r>
      <w:r>
        <w:rPr>
          <w:rStyle w:val="FootnoteReference"/>
          <w:bCs/>
        </w:rPr>
        <w:footnoteReference w:id="41"/>
      </w:r>
      <w:r w:rsidRPr="00EF64A9" w:rsidR="00A95A0D">
        <w:rPr>
          <w:bCs/>
        </w:rPr>
        <w:t xml:space="preserve"> A 15 percent reduction in the average historical SAIFI performance for 2015 -2019 would reflect a SAIFI of 0.67</w:t>
      </w:r>
      <w:r w:rsidRPr="00EF64A9" w:rsidR="00404950">
        <w:rPr>
          <w:bCs/>
        </w:rPr>
        <w:t xml:space="preserve"> by 2026</w:t>
      </w:r>
      <w:r w:rsidRPr="00EF64A9" w:rsidR="00AA397D">
        <w:rPr>
          <w:bCs/>
        </w:rPr>
        <w:t>.</w:t>
      </w:r>
      <w:r>
        <w:rPr>
          <w:rStyle w:val="FootnoteReference"/>
          <w:bCs/>
        </w:rPr>
        <w:footnoteReference w:id="42"/>
      </w:r>
      <w:r w:rsidRPr="00EF64A9" w:rsidR="00A95A0D">
        <w:rPr>
          <w:bCs/>
        </w:rPr>
        <w:t xml:space="preserve"> </w:t>
      </w:r>
    </w:p>
    <w:p w:rsidR="00006D85" w:rsidRPr="00EF64A9" w:rsidP="002D45F3" w14:paraId="6F2D2213" w14:textId="49E83392">
      <w:pPr>
        <w:autoSpaceDE w:val="0"/>
        <w:autoSpaceDN w:val="0"/>
        <w:adjustRightInd w:val="0"/>
        <w:spacing w:line="480" w:lineRule="auto"/>
        <w:ind w:firstLine="720"/>
        <w:rPr>
          <w:bCs/>
        </w:rPr>
      </w:pPr>
      <w:r w:rsidRPr="00EF64A9">
        <w:rPr>
          <w:bCs/>
        </w:rPr>
        <w:t>And m</w:t>
      </w:r>
      <w:r w:rsidRPr="00EF64A9" w:rsidR="006334CC">
        <w:rPr>
          <w:bCs/>
        </w:rPr>
        <w:t xml:space="preserve">odifying the </w:t>
      </w:r>
      <w:r w:rsidRPr="00EF64A9">
        <w:rPr>
          <w:bCs/>
        </w:rPr>
        <w:t xml:space="preserve">method in which </w:t>
      </w:r>
      <w:r w:rsidRPr="00EF64A9" w:rsidR="006334CC">
        <w:rPr>
          <w:bCs/>
        </w:rPr>
        <w:t xml:space="preserve">SAIFI </w:t>
      </w:r>
      <w:r w:rsidRPr="00EF64A9">
        <w:rPr>
          <w:bCs/>
        </w:rPr>
        <w:t xml:space="preserve">is calculated </w:t>
      </w:r>
      <w:r w:rsidRPr="00EF64A9" w:rsidR="00AA397D">
        <w:rPr>
          <w:bCs/>
        </w:rPr>
        <w:t xml:space="preserve">obscures the SAIFI commitment that DP&amp;L made in its smart grid plan that will be reflected in the 2026 reliability standards case. Changing the SAIFI methodology also makes it more </w:t>
      </w:r>
      <w:r w:rsidRPr="00EF64A9" w:rsidR="006334CC">
        <w:rPr>
          <w:bCs/>
        </w:rPr>
        <w:t xml:space="preserve">difficult for the PUCO and others to evaluate the effectiveness of </w:t>
      </w:r>
      <w:r w:rsidRPr="00EF64A9" w:rsidR="009C1B54">
        <w:rPr>
          <w:bCs/>
        </w:rPr>
        <w:t>DP&amp;L</w:t>
      </w:r>
      <w:r w:rsidRPr="00EF64A9" w:rsidR="006334CC">
        <w:rPr>
          <w:bCs/>
        </w:rPr>
        <w:t xml:space="preserve">’s grid </w:t>
      </w:r>
      <w:r w:rsidRPr="00EF64A9">
        <w:rPr>
          <w:bCs/>
        </w:rPr>
        <w:t xml:space="preserve">modernization </w:t>
      </w:r>
      <w:r w:rsidRPr="00EF64A9" w:rsidR="006334CC">
        <w:rPr>
          <w:bCs/>
        </w:rPr>
        <w:t xml:space="preserve">program in providing </w:t>
      </w:r>
      <w:r w:rsidRPr="00EF64A9" w:rsidR="00AA397D">
        <w:rPr>
          <w:bCs/>
        </w:rPr>
        <w:t xml:space="preserve">the </w:t>
      </w:r>
      <w:r w:rsidRPr="00EF64A9">
        <w:rPr>
          <w:bCs/>
        </w:rPr>
        <w:t xml:space="preserve">quantifiable reliability </w:t>
      </w:r>
      <w:r w:rsidRPr="00EF64A9" w:rsidR="006334CC">
        <w:rPr>
          <w:bCs/>
        </w:rPr>
        <w:t xml:space="preserve">benefits </w:t>
      </w:r>
      <w:r w:rsidRPr="00EF64A9" w:rsidR="00AA397D">
        <w:rPr>
          <w:bCs/>
        </w:rPr>
        <w:t>it committed to provide c</w:t>
      </w:r>
      <w:r w:rsidRPr="00EF64A9" w:rsidR="006334CC">
        <w:rPr>
          <w:bCs/>
        </w:rPr>
        <w:t>onsumers.</w:t>
      </w:r>
      <w:r>
        <w:rPr>
          <w:rStyle w:val="FootnoteReference"/>
          <w:bCs/>
        </w:rPr>
        <w:footnoteReference w:id="43"/>
      </w:r>
      <w:r w:rsidRPr="00EF64A9" w:rsidR="006334CC">
        <w:rPr>
          <w:bCs/>
        </w:rPr>
        <w:t xml:space="preserve"> </w:t>
      </w:r>
    </w:p>
    <w:p w:rsidR="00AB4A6E" w:rsidRPr="00EF64A9" w:rsidP="00F119AF" w14:paraId="7AA57BFF" w14:textId="721A9A1D">
      <w:pPr>
        <w:autoSpaceDE w:val="0"/>
        <w:autoSpaceDN w:val="0"/>
        <w:adjustRightInd w:val="0"/>
        <w:spacing w:line="480" w:lineRule="auto"/>
        <w:rPr>
          <w:bCs/>
        </w:rPr>
      </w:pPr>
      <w:r w:rsidRPr="00EF64A9">
        <w:rPr>
          <w:bCs/>
        </w:rPr>
        <w:tab/>
        <w:t>Accordingly, the PUCO should not approve DP&amp;L’s proposal.</w:t>
      </w:r>
    </w:p>
    <w:p w:rsidR="00AB4A6E" w:rsidRPr="004038F3" w:rsidP="00FF2510" w14:paraId="50521FD7" w14:textId="03658137">
      <w:pPr>
        <w:pStyle w:val="Heading2"/>
        <w:rPr>
          <w:i/>
          <w:iCs/>
        </w:rPr>
      </w:pPr>
      <w:bookmarkStart w:id="6" w:name="_Toc126054946"/>
      <w:r w:rsidRPr="00EF64A9">
        <w:t>T</w:t>
      </w:r>
      <w:r w:rsidRPr="00EF64A9" w:rsidR="00677BD0">
        <w:t>o protect consumers, t</w:t>
      </w:r>
      <w:r w:rsidRPr="00EF64A9">
        <w:t xml:space="preserve">he PUCO should </w:t>
      </w:r>
      <w:r w:rsidRPr="00EF64A9" w:rsidR="00A37A03">
        <w:t xml:space="preserve">require </w:t>
      </w:r>
      <w:r w:rsidRPr="00EF64A9" w:rsidR="00595DCF">
        <w:t xml:space="preserve">that </w:t>
      </w:r>
      <w:r w:rsidRPr="00EF64A9" w:rsidR="00684E3B">
        <w:t xml:space="preserve">a downward adjustment </w:t>
      </w:r>
      <w:r w:rsidRPr="00EF64A9" w:rsidR="00A37A03">
        <w:t xml:space="preserve">be made to </w:t>
      </w:r>
      <w:r w:rsidRPr="00EF64A9" w:rsidR="008423BC">
        <w:t xml:space="preserve">DP&amp;L’s </w:t>
      </w:r>
      <w:r w:rsidRPr="00EF64A9" w:rsidR="005F4693">
        <w:t>five-year average historical CAIDI performance</w:t>
      </w:r>
      <w:r w:rsidRPr="00EF64A9" w:rsidR="00A37A03">
        <w:t xml:space="preserve"> to avoid rewarding DP&amp;L for providing inadequate and substandard service to consumers.</w:t>
      </w:r>
      <w:bookmarkEnd w:id="6"/>
      <w:r w:rsidRPr="00EF64A9" w:rsidR="00A37A03">
        <w:t xml:space="preserve"> </w:t>
      </w:r>
    </w:p>
    <w:p w:rsidR="001E75E5" w:rsidRPr="00EF64A9" w:rsidP="009E7154" w14:paraId="799C50D2" w14:textId="25177A35">
      <w:pPr>
        <w:autoSpaceDE w:val="0"/>
        <w:autoSpaceDN w:val="0"/>
        <w:adjustRightInd w:val="0"/>
        <w:spacing w:line="480" w:lineRule="auto"/>
        <w:ind w:firstLine="720"/>
        <w:rPr>
          <w:bCs/>
        </w:rPr>
      </w:pPr>
      <w:r w:rsidRPr="00EF64A9">
        <w:rPr>
          <w:bCs/>
        </w:rPr>
        <w:t xml:space="preserve">As shown in Table 1, </w:t>
      </w:r>
      <w:r w:rsidRPr="00EF64A9" w:rsidR="005D6DBF">
        <w:rPr>
          <w:bCs/>
        </w:rPr>
        <w:t xml:space="preserve">above, </w:t>
      </w:r>
      <w:r w:rsidRPr="00EF64A9" w:rsidR="009E7154">
        <w:rPr>
          <w:bCs/>
        </w:rPr>
        <w:t>DP&amp;L</w:t>
      </w:r>
      <w:r w:rsidRPr="00EF64A9">
        <w:rPr>
          <w:bCs/>
        </w:rPr>
        <w:t xml:space="preserve"> failed to meet the </w:t>
      </w:r>
      <w:r w:rsidRPr="00EF64A9" w:rsidR="00A52575">
        <w:rPr>
          <w:bCs/>
        </w:rPr>
        <w:t xml:space="preserve">CAIDI standard of 125.04 minutes in </w:t>
      </w:r>
      <w:r w:rsidRPr="00EF64A9" w:rsidR="00A65DBC">
        <w:rPr>
          <w:bCs/>
        </w:rPr>
        <w:t xml:space="preserve">2017, </w:t>
      </w:r>
      <w:r w:rsidRPr="00EF64A9" w:rsidR="00A52575">
        <w:rPr>
          <w:bCs/>
        </w:rPr>
        <w:t>2019, 2020</w:t>
      </w:r>
      <w:r w:rsidRPr="00EF64A9" w:rsidR="00A65DBC">
        <w:rPr>
          <w:bCs/>
        </w:rPr>
        <w:t>, and 2021</w:t>
      </w:r>
      <w:r w:rsidRPr="00EF64A9" w:rsidR="00A52575">
        <w:rPr>
          <w:bCs/>
        </w:rPr>
        <w:t xml:space="preserve">. </w:t>
      </w:r>
      <w:r w:rsidRPr="00EF64A9" w:rsidR="001F4EC9">
        <w:rPr>
          <w:bCs/>
        </w:rPr>
        <w:t>DP&amp;L</w:t>
      </w:r>
      <w:r w:rsidRPr="00EF64A9" w:rsidR="00A52575">
        <w:rPr>
          <w:bCs/>
        </w:rPr>
        <w:t xml:space="preserve">’s failure to comply with the PUCO minimum reliability performance standards for three consecutive years is unprecedented </w:t>
      </w:r>
      <w:r w:rsidRPr="00EF64A9" w:rsidR="00AE700D">
        <w:rPr>
          <w:bCs/>
        </w:rPr>
        <w:t>in</w:t>
      </w:r>
      <w:r w:rsidRPr="00EF64A9" w:rsidR="00A52575">
        <w:rPr>
          <w:bCs/>
        </w:rPr>
        <w:t xml:space="preserve"> the Ohio electric industry since the reliability standards were established.</w:t>
      </w:r>
      <w:r>
        <w:rPr>
          <w:rStyle w:val="FootnoteReference"/>
          <w:bCs/>
        </w:rPr>
        <w:footnoteReference w:id="44"/>
      </w:r>
      <w:r w:rsidRPr="00EF64A9" w:rsidR="00A52575">
        <w:rPr>
          <w:bCs/>
        </w:rPr>
        <w:t xml:space="preserve"> </w:t>
      </w:r>
      <w:r w:rsidRPr="00EF64A9" w:rsidR="00DF30CB">
        <w:rPr>
          <w:bCs/>
        </w:rPr>
        <w:t xml:space="preserve">Even PUCO Staff </w:t>
      </w:r>
      <w:r w:rsidRPr="00EF64A9" w:rsidR="00792D38">
        <w:rPr>
          <w:bCs/>
        </w:rPr>
        <w:t>concluded that “</w:t>
      </w:r>
      <w:r w:rsidRPr="00EF64A9" w:rsidR="00677BD0">
        <w:rPr>
          <w:bCs/>
        </w:rPr>
        <w:t>[t]</w:t>
      </w:r>
      <w:r w:rsidRPr="00EF64A9" w:rsidR="00792D38">
        <w:rPr>
          <w:bCs/>
        </w:rPr>
        <w:t>he Company’s proposed standards are significantly worse than both the currently approved standards and the Company’s recent average performance.”</w:t>
      </w:r>
      <w:r>
        <w:rPr>
          <w:rStyle w:val="FootnoteReference"/>
          <w:bCs/>
        </w:rPr>
        <w:footnoteReference w:id="45"/>
      </w:r>
      <w:r w:rsidRPr="00EF64A9" w:rsidR="00296962">
        <w:rPr>
          <w:bCs/>
        </w:rPr>
        <w:t xml:space="preserve">And </w:t>
      </w:r>
      <w:r w:rsidRPr="00EF64A9" w:rsidR="002D45F3">
        <w:rPr>
          <w:bCs/>
        </w:rPr>
        <w:t>sadly</w:t>
      </w:r>
      <w:r w:rsidRPr="00EF64A9" w:rsidR="00296962">
        <w:rPr>
          <w:bCs/>
        </w:rPr>
        <w:t xml:space="preserve"> for DP&amp;L’s consumers, </w:t>
      </w:r>
      <w:r w:rsidRPr="00EF64A9" w:rsidR="0064072A">
        <w:rPr>
          <w:bCs/>
        </w:rPr>
        <w:t xml:space="preserve">the year-to-date CAIDI performance through December </w:t>
      </w:r>
      <w:r w:rsidRPr="00EF64A9" w:rsidR="00EB3D69">
        <w:rPr>
          <w:bCs/>
        </w:rPr>
        <w:t>8</w:t>
      </w:r>
      <w:r w:rsidRPr="00EF64A9" w:rsidR="0064072A">
        <w:rPr>
          <w:bCs/>
        </w:rPr>
        <w:t xml:space="preserve">, 2022 is </w:t>
      </w:r>
      <w:r w:rsidRPr="00EF64A9" w:rsidR="00EB3D69">
        <w:rPr>
          <w:bCs/>
        </w:rPr>
        <w:t xml:space="preserve">126.84 </w:t>
      </w:r>
      <w:r w:rsidRPr="00EF64A9" w:rsidR="0064072A">
        <w:rPr>
          <w:bCs/>
        </w:rPr>
        <w:t>minutes</w:t>
      </w:r>
      <w:r w:rsidRPr="00EF64A9" w:rsidR="00552AD4">
        <w:rPr>
          <w:bCs/>
        </w:rPr>
        <w:t>.</w:t>
      </w:r>
      <w:r>
        <w:rPr>
          <w:rStyle w:val="FootnoteReference"/>
          <w:bCs/>
        </w:rPr>
        <w:footnoteReference w:id="46"/>
      </w:r>
      <w:r w:rsidRPr="00EF64A9" w:rsidR="00552AD4">
        <w:rPr>
          <w:bCs/>
        </w:rPr>
        <w:t xml:space="preserve"> This</w:t>
      </w:r>
      <w:r w:rsidRPr="00EF64A9" w:rsidR="0064072A">
        <w:rPr>
          <w:bCs/>
        </w:rPr>
        <w:t xml:space="preserve"> mean</w:t>
      </w:r>
      <w:r w:rsidRPr="00EF64A9" w:rsidR="00454DBB">
        <w:rPr>
          <w:bCs/>
        </w:rPr>
        <w:t xml:space="preserve">s </w:t>
      </w:r>
      <w:r w:rsidRPr="00EF64A9" w:rsidR="0064072A">
        <w:rPr>
          <w:bCs/>
        </w:rPr>
        <w:t xml:space="preserve">that </w:t>
      </w:r>
      <w:r w:rsidRPr="00EF64A9" w:rsidR="00454DBB">
        <w:rPr>
          <w:bCs/>
        </w:rPr>
        <w:t>DP&amp;L</w:t>
      </w:r>
      <w:r w:rsidRPr="00EF64A9" w:rsidR="0064072A">
        <w:rPr>
          <w:bCs/>
        </w:rPr>
        <w:t xml:space="preserve"> </w:t>
      </w:r>
      <w:r w:rsidRPr="00EF64A9" w:rsidR="009838B0">
        <w:rPr>
          <w:bCs/>
        </w:rPr>
        <w:t>will li</w:t>
      </w:r>
      <w:r w:rsidRPr="00EF64A9" w:rsidR="0064072A">
        <w:rPr>
          <w:bCs/>
        </w:rPr>
        <w:t>kely fail to meet the CAIDI standard again in 2022.</w:t>
      </w:r>
      <w:r>
        <w:rPr>
          <w:rStyle w:val="FootnoteReference"/>
          <w:bCs/>
        </w:rPr>
        <w:footnoteReference w:id="47"/>
      </w:r>
      <w:r w:rsidRPr="00EF64A9" w:rsidR="002C4F24">
        <w:rPr>
          <w:bCs/>
        </w:rPr>
        <w:t xml:space="preserve"> </w:t>
      </w:r>
    </w:p>
    <w:p w:rsidR="007D2EDC" w:rsidRPr="00EF64A9" w:rsidP="007D2EDC" w14:paraId="3680696E" w14:textId="77777777">
      <w:pPr>
        <w:autoSpaceDE w:val="0"/>
        <w:autoSpaceDN w:val="0"/>
        <w:adjustRightInd w:val="0"/>
        <w:spacing w:line="480" w:lineRule="auto"/>
        <w:ind w:firstLine="720"/>
        <w:rPr>
          <w:bCs/>
        </w:rPr>
      </w:pPr>
      <w:r w:rsidRPr="00EF64A9">
        <w:rPr>
          <w:bCs/>
        </w:rPr>
        <w:t>R.C.</w:t>
      </w:r>
      <w:r w:rsidRPr="00EF64A9" w:rsidR="00C965F2">
        <w:rPr>
          <w:bCs/>
        </w:rPr>
        <w:t xml:space="preserve"> 4905.22 requires electric utilities to provide adequate service and facilities to provide consumers with reliable service. </w:t>
      </w:r>
      <w:r w:rsidRPr="00EF64A9" w:rsidR="00D90C9C">
        <w:rPr>
          <w:bCs/>
        </w:rPr>
        <w:t xml:space="preserve">Failure to meet the minimum PUCO required CAIDI standard over multiple years clearly demonstrates that </w:t>
      </w:r>
      <w:r w:rsidRPr="00EF64A9" w:rsidR="00D1768C">
        <w:rPr>
          <w:bCs/>
        </w:rPr>
        <w:t>DP&amp;L</w:t>
      </w:r>
      <w:r w:rsidRPr="00EF64A9" w:rsidR="00D90C9C">
        <w:rPr>
          <w:bCs/>
        </w:rPr>
        <w:t xml:space="preserve"> is </w:t>
      </w:r>
      <w:r w:rsidRPr="00EF64A9" w:rsidR="00AD2E33">
        <w:rPr>
          <w:bCs/>
        </w:rPr>
        <w:t xml:space="preserve">not </w:t>
      </w:r>
      <w:r w:rsidRPr="00EF64A9" w:rsidR="00D90C9C">
        <w:rPr>
          <w:bCs/>
        </w:rPr>
        <w:t>providing adequate service to consumers.</w:t>
      </w:r>
      <w:r>
        <w:rPr>
          <w:rStyle w:val="FootnoteReference"/>
          <w:bCs/>
        </w:rPr>
        <w:footnoteReference w:id="48"/>
      </w:r>
      <w:r w:rsidRPr="00EF64A9" w:rsidR="00D90C9C">
        <w:rPr>
          <w:bCs/>
        </w:rPr>
        <w:t xml:space="preserve"> </w:t>
      </w:r>
      <w:r w:rsidRPr="00EF64A9">
        <w:rPr>
          <w:bCs/>
        </w:rPr>
        <w:t>And w</w:t>
      </w:r>
      <w:r w:rsidRPr="00EF64A9" w:rsidR="00C965F2">
        <w:rPr>
          <w:bCs/>
        </w:rPr>
        <w:t xml:space="preserve">hile enforcement of the PUCO standards is not the subject of this proceeding, </w:t>
      </w:r>
      <w:r w:rsidRPr="00EF64A9">
        <w:rPr>
          <w:bCs/>
        </w:rPr>
        <w:t>how DP&amp;L</w:t>
      </w:r>
      <w:r w:rsidRPr="00EF64A9" w:rsidR="00C965F2">
        <w:rPr>
          <w:bCs/>
        </w:rPr>
        <w:t xml:space="preserve"> calculates its five-year average historical performance baseline is. </w:t>
      </w:r>
    </w:p>
    <w:p w:rsidR="004F0299" w:rsidRPr="00EF64A9" w:rsidP="007D2EDC" w14:paraId="181E0ABD" w14:textId="212D9AD1">
      <w:pPr>
        <w:autoSpaceDE w:val="0"/>
        <w:autoSpaceDN w:val="0"/>
        <w:adjustRightInd w:val="0"/>
        <w:spacing w:line="480" w:lineRule="auto"/>
        <w:ind w:firstLine="720"/>
        <w:rPr>
          <w:bCs/>
        </w:rPr>
      </w:pPr>
      <w:r w:rsidRPr="00EF64A9">
        <w:rPr>
          <w:bCs/>
        </w:rPr>
        <w:t xml:space="preserve">The PUCO should not permit </w:t>
      </w:r>
      <w:r w:rsidRPr="00EF64A9" w:rsidR="007D2EDC">
        <w:rPr>
          <w:bCs/>
        </w:rPr>
        <w:t>DP&amp;L</w:t>
      </w:r>
      <w:r w:rsidRPr="00EF64A9">
        <w:rPr>
          <w:bCs/>
        </w:rPr>
        <w:t xml:space="preserve"> to benefit from the inadequate service it provided consumers in 2017, 2019, and 2020 </w:t>
      </w:r>
      <w:r w:rsidRPr="00EF64A9" w:rsidR="00A37A03">
        <w:rPr>
          <w:bCs/>
        </w:rPr>
        <w:t xml:space="preserve">in calculating the historical baseline performance it used to </w:t>
      </w:r>
      <w:r w:rsidRPr="00EF64A9" w:rsidR="00C70F5F">
        <w:rPr>
          <w:bCs/>
        </w:rPr>
        <w:t>propose</w:t>
      </w:r>
      <w:r w:rsidRPr="00EF64A9" w:rsidR="00A37A03">
        <w:rPr>
          <w:bCs/>
        </w:rPr>
        <w:t xml:space="preserve"> </w:t>
      </w:r>
      <w:r w:rsidRPr="00EF64A9">
        <w:rPr>
          <w:bCs/>
        </w:rPr>
        <w:t>new standards.</w:t>
      </w:r>
      <w:r w:rsidRPr="00EF64A9" w:rsidR="00E92047">
        <w:rPr>
          <w:bCs/>
        </w:rPr>
        <w:t xml:space="preserve"> </w:t>
      </w:r>
      <w:r w:rsidRPr="00EF64A9" w:rsidR="005C2DBE">
        <w:rPr>
          <w:bCs/>
        </w:rPr>
        <w:t xml:space="preserve">In other words, </w:t>
      </w:r>
      <w:r w:rsidRPr="00EF64A9" w:rsidR="00C70F5F">
        <w:rPr>
          <w:bCs/>
        </w:rPr>
        <w:t>th</w:t>
      </w:r>
      <w:r w:rsidRPr="00EF64A9" w:rsidR="00E92047">
        <w:rPr>
          <w:bCs/>
        </w:rPr>
        <w:t xml:space="preserve">e solution to </w:t>
      </w:r>
      <w:r w:rsidRPr="00EF64A9" w:rsidR="005C2DBE">
        <w:rPr>
          <w:bCs/>
        </w:rPr>
        <w:t>DP&amp;L’s failure to meet</w:t>
      </w:r>
      <w:r w:rsidRPr="00EF64A9" w:rsidR="00E92047">
        <w:rPr>
          <w:bCs/>
        </w:rPr>
        <w:t xml:space="preserve"> its CAIDI standards should not be to adjust them upwards</w:t>
      </w:r>
      <w:r w:rsidRPr="00EF64A9" w:rsidR="00677BD0">
        <w:rPr>
          <w:bCs/>
        </w:rPr>
        <w:t xml:space="preserve"> (resulting in less reliability)</w:t>
      </w:r>
      <w:r w:rsidRPr="00EF64A9" w:rsidR="00E92047">
        <w:rPr>
          <w:bCs/>
        </w:rPr>
        <w:t>.</w:t>
      </w:r>
      <w:r w:rsidRPr="00EF64A9" w:rsidR="00633037">
        <w:rPr>
          <w:bCs/>
        </w:rPr>
        <w:t xml:space="preserve"> </w:t>
      </w:r>
      <w:r w:rsidRPr="00EF64A9">
        <w:rPr>
          <w:bCs/>
        </w:rPr>
        <w:t>Table 4</w:t>
      </w:r>
      <w:r w:rsidRPr="00EF64A9" w:rsidR="005C2DBE">
        <w:rPr>
          <w:bCs/>
        </w:rPr>
        <w:t>, below,</w:t>
      </w:r>
      <w:r w:rsidRPr="00EF64A9">
        <w:rPr>
          <w:bCs/>
        </w:rPr>
        <w:t xml:space="preserve"> provides </w:t>
      </w:r>
      <w:r w:rsidRPr="00EF64A9" w:rsidR="001C3306">
        <w:rPr>
          <w:bCs/>
        </w:rPr>
        <w:t xml:space="preserve">a comparison of the five-year average historical performance baseline for </w:t>
      </w:r>
      <w:r w:rsidRPr="00EF64A9">
        <w:rPr>
          <w:bCs/>
        </w:rPr>
        <w:t xml:space="preserve">CAIDI </w:t>
      </w:r>
      <w:r w:rsidRPr="00EF64A9" w:rsidR="001C3306">
        <w:rPr>
          <w:bCs/>
        </w:rPr>
        <w:t xml:space="preserve">as proposed by </w:t>
      </w:r>
      <w:r w:rsidRPr="00EF64A9" w:rsidR="005C2DBE">
        <w:rPr>
          <w:bCs/>
        </w:rPr>
        <w:t>DP&amp;L</w:t>
      </w:r>
      <w:r w:rsidRPr="00EF64A9" w:rsidR="001C3306">
        <w:rPr>
          <w:bCs/>
        </w:rPr>
        <w:t xml:space="preserve"> adjusted to the PUCO CAIDI standard.</w:t>
      </w:r>
      <w:r w:rsidR="00EF64A9">
        <w:rPr>
          <w:bCs/>
        </w:rPr>
        <w:t xml:space="preserve"> </w:t>
      </w:r>
    </w:p>
    <w:p w:rsidR="00E92908" w14:paraId="58823311" w14:textId="77777777">
      <w:pPr>
        <w:rPr>
          <w:b/>
        </w:rPr>
      </w:pPr>
      <w:r>
        <w:rPr>
          <w:b/>
        </w:rPr>
        <w:br w:type="page"/>
      </w:r>
    </w:p>
    <w:p w:rsidR="001C3306" w:rsidRPr="00EF64A9" w:rsidP="00E92908" w14:paraId="538EAB6F" w14:textId="563C0B16">
      <w:pPr>
        <w:autoSpaceDE w:val="0"/>
        <w:autoSpaceDN w:val="0"/>
        <w:adjustRightInd w:val="0"/>
        <w:jc w:val="center"/>
        <w:rPr>
          <w:b/>
        </w:rPr>
      </w:pPr>
      <w:r w:rsidRPr="00EF64A9">
        <w:rPr>
          <w:b/>
        </w:rPr>
        <w:t xml:space="preserve">Table 4: Historical CAIDI Performance (2016 – 2020) as Proposed by </w:t>
      </w:r>
      <w:r w:rsidRPr="00EF64A9" w:rsidR="009C1B54">
        <w:rPr>
          <w:b/>
        </w:rPr>
        <w:t>DP&amp;L</w:t>
      </w:r>
      <w:r w:rsidRPr="00EF64A9">
        <w:rPr>
          <w:b/>
        </w:rPr>
        <w:t xml:space="preserve"> Adjusted to Reflect Compliance with the PUCO Rules</w:t>
      </w:r>
    </w:p>
    <w:p w:rsidR="001C3306" w:rsidRPr="00EF64A9" w:rsidP="001C3306" w14:paraId="235392B3" w14:textId="77777777">
      <w:pPr>
        <w:autoSpaceDE w:val="0"/>
        <w:autoSpaceDN w:val="0"/>
        <w:adjustRightInd w:val="0"/>
        <w:ind w:left="720" w:hanging="720"/>
        <w:jc w:val="center"/>
        <w:rPr>
          <w:b/>
        </w:rPr>
      </w:pPr>
    </w:p>
    <w:tbl>
      <w:tblPr>
        <w:tblStyle w:val="TableGrid"/>
        <w:tblW w:w="0" w:type="auto"/>
        <w:tblInd w:w="720" w:type="dxa"/>
        <w:tblLook w:val="04A0"/>
      </w:tblPr>
      <w:tblGrid>
        <w:gridCol w:w="1480"/>
        <w:gridCol w:w="2745"/>
        <w:gridCol w:w="3330"/>
      </w:tblGrid>
      <w:tr w14:paraId="1844D14B" w14:textId="77777777" w:rsidTr="00BC3E83">
        <w:tblPrEx>
          <w:tblW w:w="0" w:type="auto"/>
          <w:tblInd w:w="720" w:type="dxa"/>
          <w:tblLook w:val="04A0"/>
        </w:tblPrEx>
        <w:tc>
          <w:tcPr>
            <w:tcW w:w="1480" w:type="dxa"/>
          </w:tcPr>
          <w:p w:rsidR="00BC3E83" w:rsidRPr="00EF64A9" w:rsidP="00AE12C7" w14:paraId="582F9A8B" w14:textId="77777777">
            <w:pPr>
              <w:autoSpaceDE w:val="0"/>
              <w:autoSpaceDN w:val="0"/>
              <w:adjustRightInd w:val="0"/>
              <w:jc w:val="center"/>
              <w:rPr>
                <w:b/>
              </w:rPr>
            </w:pPr>
            <w:r w:rsidRPr="00EF64A9">
              <w:rPr>
                <w:b/>
              </w:rPr>
              <w:t>Year</w:t>
            </w:r>
          </w:p>
        </w:tc>
        <w:tc>
          <w:tcPr>
            <w:tcW w:w="2745" w:type="dxa"/>
          </w:tcPr>
          <w:p w:rsidR="00BC3E83" w:rsidRPr="00EF64A9" w:rsidP="001C3306" w14:paraId="3548A535" w14:textId="2A5EC555">
            <w:pPr>
              <w:autoSpaceDE w:val="0"/>
              <w:autoSpaceDN w:val="0"/>
              <w:adjustRightInd w:val="0"/>
              <w:jc w:val="center"/>
              <w:rPr>
                <w:b/>
              </w:rPr>
            </w:pPr>
            <w:r w:rsidRPr="00EF64A9">
              <w:rPr>
                <w:b/>
              </w:rPr>
              <w:t>DP&amp;L</w:t>
            </w:r>
            <w:r w:rsidRPr="00EF64A9" w:rsidR="00C965F2">
              <w:rPr>
                <w:b/>
              </w:rPr>
              <w:t xml:space="preserve"> Proposed Historical Average CAIDI Performance </w:t>
            </w:r>
          </w:p>
        </w:tc>
        <w:tc>
          <w:tcPr>
            <w:tcW w:w="3330" w:type="dxa"/>
          </w:tcPr>
          <w:p w:rsidR="00BC3E83" w:rsidRPr="00EF64A9" w:rsidP="00AE12C7" w14:paraId="3EF6AC82" w14:textId="4B1DEE4F">
            <w:pPr>
              <w:autoSpaceDE w:val="0"/>
              <w:autoSpaceDN w:val="0"/>
              <w:adjustRightInd w:val="0"/>
              <w:jc w:val="center"/>
              <w:rPr>
                <w:b/>
              </w:rPr>
            </w:pPr>
            <w:r w:rsidRPr="00EF64A9">
              <w:rPr>
                <w:b/>
              </w:rPr>
              <w:t>DP&amp;L</w:t>
            </w:r>
            <w:r w:rsidRPr="00EF64A9" w:rsidR="00C965F2">
              <w:rPr>
                <w:b/>
              </w:rPr>
              <w:t xml:space="preserve"> Historical Average </w:t>
            </w:r>
            <w:r w:rsidRPr="00EF64A9" w:rsidR="000F47DD">
              <w:rPr>
                <w:b/>
              </w:rPr>
              <w:t xml:space="preserve">CAIDI </w:t>
            </w:r>
            <w:r w:rsidRPr="00EF64A9" w:rsidR="00C965F2">
              <w:rPr>
                <w:b/>
              </w:rPr>
              <w:t xml:space="preserve">Performance Adjusted to the PUCO Standard </w:t>
            </w:r>
          </w:p>
        </w:tc>
      </w:tr>
      <w:tr w14:paraId="77235AAE" w14:textId="77777777" w:rsidTr="00BC3E83">
        <w:tblPrEx>
          <w:tblW w:w="0" w:type="auto"/>
          <w:tblInd w:w="720" w:type="dxa"/>
          <w:tblLook w:val="04A0"/>
        </w:tblPrEx>
        <w:tc>
          <w:tcPr>
            <w:tcW w:w="1480" w:type="dxa"/>
          </w:tcPr>
          <w:p w:rsidR="00BC3E83" w:rsidRPr="00EF64A9" w:rsidP="00AE12C7" w14:paraId="231DEA76" w14:textId="77777777">
            <w:pPr>
              <w:autoSpaceDE w:val="0"/>
              <w:autoSpaceDN w:val="0"/>
              <w:adjustRightInd w:val="0"/>
              <w:jc w:val="center"/>
              <w:rPr>
                <w:bCs/>
              </w:rPr>
            </w:pPr>
            <w:r w:rsidRPr="00EF64A9">
              <w:rPr>
                <w:bCs/>
              </w:rPr>
              <w:t>2016</w:t>
            </w:r>
          </w:p>
        </w:tc>
        <w:tc>
          <w:tcPr>
            <w:tcW w:w="2745" w:type="dxa"/>
          </w:tcPr>
          <w:p w:rsidR="00BC3E83" w:rsidRPr="00EF64A9" w:rsidP="00AE12C7" w14:paraId="4DB87DE5" w14:textId="77777777">
            <w:pPr>
              <w:autoSpaceDE w:val="0"/>
              <w:autoSpaceDN w:val="0"/>
              <w:adjustRightInd w:val="0"/>
              <w:jc w:val="center"/>
              <w:rPr>
                <w:bCs/>
              </w:rPr>
            </w:pPr>
            <w:r w:rsidRPr="00EF64A9">
              <w:rPr>
                <w:bCs/>
              </w:rPr>
              <w:t>119.08</w:t>
            </w:r>
          </w:p>
        </w:tc>
        <w:tc>
          <w:tcPr>
            <w:tcW w:w="3330" w:type="dxa"/>
          </w:tcPr>
          <w:p w:rsidR="00BC3E83" w:rsidRPr="00EF64A9" w:rsidP="00AE12C7" w14:paraId="39C2898B" w14:textId="77777777">
            <w:pPr>
              <w:autoSpaceDE w:val="0"/>
              <w:autoSpaceDN w:val="0"/>
              <w:adjustRightInd w:val="0"/>
              <w:jc w:val="center"/>
              <w:rPr>
                <w:bCs/>
              </w:rPr>
            </w:pPr>
            <w:r w:rsidRPr="00EF64A9">
              <w:rPr>
                <w:bCs/>
              </w:rPr>
              <w:t>119.08</w:t>
            </w:r>
          </w:p>
        </w:tc>
      </w:tr>
      <w:tr w14:paraId="36FEB367" w14:textId="77777777" w:rsidTr="00BC3E83">
        <w:tblPrEx>
          <w:tblW w:w="0" w:type="auto"/>
          <w:tblInd w:w="720" w:type="dxa"/>
          <w:tblLook w:val="04A0"/>
        </w:tblPrEx>
        <w:tc>
          <w:tcPr>
            <w:tcW w:w="1480" w:type="dxa"/>
          </w:tcPr>
          <w:p w:rsidR="00BC3E83" w:rsidRPr="00EF64A9" w:rsidP="00AE12C7" w14:paraId="225AC677" w14:textId="77777777">
            <w:pPr>
              <w:autoSpaceDE w:val="0"/>
              <w:autoSpaceDN w:val="0"/>
              <w:adjustRightInd w:val="0"/>
              <w:jc w:val="center"/>
              <w:rPr>
                <w:bCs/>
              </w:rPr>
            </w:pPr>
            <w:r w:rsidRPr="00EF64A9">
              <w:rPr>
                <w:bCs/>
              </w:rPr>
              <w:t>2017</w:t>
            </w:r>
          </w:p>
        </w:tc>
        <w:tc>
          <w:tcPr>
            <w:tcW w:w="2745" w:type="dxa"/>
          </w:tcPr>
          <w:p w:rsidR="00BC3E83" w:rsidRPr="00EF64A9" w:rsidP="00AE12C7" w14:paraId="0F7C8373" w14:textId="77777777">
            <w:pPr>
              <w:autoSpaceDE w:val="0"/>
              <w:autoSpaceDN w:val="0"/>
              <w:adjustRightInd w:val="0"/>
              <w:jc w:val="center"/>
              <w:rPr>
                <w:bCs/>
              </w:rPr>
            </w:pPr>
            <w:r w:rsidRPr="00EF64A9">
              <w:rPr>
                <w:bCs/>
              </w:rPr>
              <w:t>133.07</w:t>
            </w:r>
          </w:p>
        </w:tc>
        <w:tc>
          <w:tcPr>
            <w:tcW w:w="3330" w:type="dxa"/>
          </w:tcPr>
          <w:p w:rsidR="00BC3E83" w:rsidRPr="00EF64A9" w:rsidP="00AE12C7" w14:paraId="36CB7971" w14:textId="77777777">
            <w:pPr>
              <w:autoSpaceDE w:val="0"/>
              <w:autoSpaceDN w:val="0"/>
              <w:adjustRightInd w:val="0"/>
              <w:jc w:val="center"/>
              <w:rPr>
                <w:bCs/>
              </w:rPr>
            </w:pPr>
            <w:r w:rsidRPr="00EF64A9">
              <w:rPr>
                <w:bCs/>
              </w:rPr>
              <w:t>125.04</w:t>
            </w:r>
          </w:p>
        </w:tc>
      </w:tr>
      <w:tr w14:paraId="733E4A2D" w14:textId="77777777" w:rsidTr="00BC3E83">
        <w:tblPrEx>
          <w:tblW w:w="0" w:type="auto"/>
          <w:tblInd w:w="720" w:type="dxa"/>
          <w:tblLook w:val="04A0"/>
        </w:tblPrEx>
        <w:tc>
          <w:tcPr>
            <w:tcW w:w="1480" w:type="dxa"/>
          </w:tcPr>
          <w:p w:rsidR="00BC3E83" w:rsidRPr="00EF64A9" w:rsidP="00AE12C7" w14:paraId="6435379B" w14:textId="77777777">
            <w:pPr>
              <w:autoSpaceDE w:val="0"/>
              <w:autoSpaceDN w:val="0"/>
              <w:adjustRightInd w:val="0"/>
              <w:jc w:val="center"/>
              <w:rPr>
                <w:bCs/>
              </w:rPr>
            </w:pPr>
            <w:r w:rsidRPr="00EF64A9">
              <w:rPr>
                <w:bCs/>
              </w:rPr>
              <w:t>2018</w:t>
            </w:r>
          </w:p>
        </w:tc>
        <w:tc>
          <w:tcPr>
            <w:tcW w:w="2745" w:type="dxa"/>
          </w:tcPr>
          <w:p w:rsidR="00BC3E83" w:rsidRPr="00EF64A9" w:rsidP="00AE12C7" w14:paraId="68A31032" w14:textId="77777777">
            <w:pPr>
              <w:autoSpaceDE w:val="0"/>
              <w:autoSpaceDN w:val="0"/>
              <w:adjustRightInd w:val="0"/>
              <w:jc w:val="center"/>
              <w:rPr>
                <w:bCs/>
              </w:rPr>
            </w:pPr>
            <w:r w:rsidRPr="00EF64A9">
              <w:rPr>
                <w:bCs/>
              </w:rPr>
              <w:t>122.48</w:t>
            </w:r>
          </w:p>
        </w:tc>
        <w:tc>
          <w:tcPr>
            <w:tcW w:w="3330" w:type="dxa"/>
          </w:tcPr>
          <w:p w:rsidR="00BC3E83" w:rsidRPr="00EF64A9" w:rsidP="00AE12C7" w14:paraId="52B134AA" w14:textId="77777777">
            <w:pPr>
              <w:autoSpaceDE w:val="0"/>
              <w:autoSpaceDN w:val="0"/>
              <w:adjustRightInd w:val="0"/>
              <w:jc w:val="center"/>
              <w:rPr>
                <w:bCs/>
              </w:rPr>
            </w:pPr>
            <w:r w:rsidRPr="00EF64A9">
              <w:rPr>
                <w:bCs/>
              </w:rPr>
              <w:t>122.48</w:t>
            </w:r>
          </w:p>
        </w:tc>
      </w:tr>
      <w:tr w14:paraId="1E7BB8E7" w14:textId="77777777" w:rsidTr="00BC3E83">
        <w:tblPrEx>
          <w:tblW w:w="0" w:type="auto"/>
          <w:tblInd w:w="720" w:type="dxa"/>
          <w:tblLook w:val="04A0"/>
        </w:tblPrEx>
        <w:tc>
          <w:tcPr>
            <w:tcW w:w="1480" w:type="dxa"/>
          </w:tcPr>
          <w:p w:rsidR="00BC3E83" w:rsidRPr="00EF64A9" w:rsidP="00AE12C7" w14:paraId="37B09A2F" w14:textId="77777777">
            <w:pPr>
              <w:autoSpaceDE w:val="0"/>
              <w:autoSpaceDN w:val="0"/>
              <w:adjustRightInd w:val="0"/>
              <w:jc w:val="center"/>
              <w:rPr>
                <w:bCs/>
              </w:rPr>
            </w:pPr>
            <w:r w:rsidRPr="00EF64A9">
              <w:rPr>
                <w:bCs/>
              </w:rPr>
              <w:t>2019</w:t>
            </w:r>
          </w:p>
        </w:tc>
        <w:tc>
          <w:tcPr>
            <w:tcW w:w="2745" w:type="dxa"/>
          </w:tcPr>
          <w:p w:rsidR="00BC3E83" w:rsidRPr="00EF64A9" w:rsidP="00AE12C7" w14:paraId="0D17BE0A" w14:textId="77777777">
            <w:pPr>
              <w:autoSpaceDE w:val="0"/>
              <w:autoSpaceDN w:val="0"/>
              <w:adjustRightInd w:val="0"/>
              <w:jc w:val="center"/>
              <w:rPr>
                <w:bCs/>
              </w:rPr>
            </w:pPr>
            <w:r w:rsidRPr="00EF64A9">
              <w:rPr>
                <w:bCs/>
              </w:rPr>
              <w:t>133.29</w:t>
            </w:r>
          </w:p>
        </w:tc>
        <w:tc>
          <w:tcPr>
            <w:tcW w:w="3330" w:type="dxa"/>
          </w:tcPr>
          <w:p w:rsidR="00BC3E83" w:rsidRPr="00EF64A9" w:rsidP="00AE12C7" w14:paraId="62E24B9D" w14:textId="77777777">
            <w:pPr>
              <w:autoSpaceDE w:val="0"/>
              <w:autoSpaceDN w:val="0"/>
              <w:adjustRightInd w:val="0"/>
              <w:jc w:val="center"/>
              <w:rPr>
                <w:bCs/>
              </w:rPr>
            </w:pPr>
            <w:r w:rsidRPr="00EF64A9">
              <w:rPr>
                <w:bCs/>
              </w:rPr>
              <w:t>125.04</w:t>
            </w:r>
          </w:p>
        </w:tc>
      </w:tr>
      <w:tr w14:paraId="526DF1D1" w14:textId="77777777" w:rsidTr="00BC3E83">
        <w:tblPrEx>
          <w:tblW w:w="0" w:type="auto"/>
          <w:tblInd w:w="720" w:type="dxa"/>
          <w:tblLook w:val="04A0"/>
        </w:tblPrEx>
        <w:tc>
          <w:tcPr>
            <w:tcW w:w="1480" w:type="dxa"/>
          </w:tcPr>
          <w:p w:rsidR="00BC3E83" w:rsidRPr="00EF64A9" w:rsidP="00AE12C7" w14:paraId="0B713ADB" w14:textId="77777777">
            <w:pPr>
              <w:autoSpaceDE w:val="0"/>
              <w:autoSpaceDN w:val="0"/>
              <w:adjustRightInd w:val="0"/>
              <w:jc w:val="center"/>
              <w:rPr>
                <w:bCs/>
              </w:rPr>
            </w:pPr>
            <w:r w:rsidRPr="00EF64A9">
              <w:rPr>
                <w:bCs/>
              </w:rPr>
              <w:t>2020</w:t>
            </w:r>
          </w:p>
        </w:tc>
        <w:tc>
          <w:tcPr>
            <w:tcW w:w="2745" w:type="dxa"/>
          </w:tcPr>
          <w:p w:rsidR="00BC3E83" w:rsidRPr="00EF64A9" w:rsidP="00AE12C7" w14:paraId="11EB9B3C" w14:textId="77777777">
            <w:pPr>
              <w:autoSpaceDE w:val="0"/>
              <w:autoSpaceDN w:val="0"/>
              <w:adjustRightInd w:val="0"/>
              <w:jc w:val="center"/>
              <w:rPr>
                <w:bCs/>
              </w:rPr>
            </w:pPr>
            <w:r w:rsidRPr="00EF64A9">
              <w:rPr>
                <w:bCs/>
              </w:rPr>
              <w:t>132.17</w:t>
            </w:r>
          </w:p>
        </w:tc>
        <w:tc>
          <w:tcPr>
            <w:tcW w:w="3330" w:type="dxa"/>
          </w:tcPr>
          <w:p w:rsidR="00BC3E83" w:rsidRPr="00EF64A9" w:rsidP="00AE12C7" w14:paraId="16AEFEB4" w14:textId="77777777">
            <w:pPr>
              <w:autoSpaceDE w:val="0"/>
              <w:autoSpaceDN w:val="0"/>
              <w:adjustRightInd w:val="0"/>
              <w:jc w:val="center"/>
              <w:rPr>
                <w:bCs/>
              </w:rPr>
            </w:pPr>
            <w:r w:rsidRPr="00EF64A9">
              <w:rPr>
                <w:bCs/>
              </w:rPr>
              <w:t>125.04</w:t>
            </w:r>
          </w:p>
        </w:tc>
      </w:tr>
      <w:tr w14:paraId="66C320C6" w14:textId="77777777" w:rsidTr="00BC3E83">
        <w:tblPrEx>
          <w:tblW w:w="0" w:type="auto"/>
          <w:tblInd w:w="720" w:type="dxa"/>
          <w:tblLook w:val="04A0"/>
        </w:tblPrEx>
        <w:tc>
          <w:tcPr>
            <w:tcW w:w="1480" w:type="dxa"/>
          </w:tcPr>
          <w:p w:rsidR="00BC3E83" w:rsidRPr="00EF64A9" w:rsidP="00AE12C7" w14:paraId="5EE2C221" w14:textId="77777777">
            <w:pPr>
              <w:autoSpaceDE w:val="0"/>
              <w:autoSpaceDN w:val="0"/>
              <w:adjustRightInd w:val="0"/>
              <w:jc w:val="center"/>
              <w:rPr>
                <w:bCs/>
              </w:rPr>
            </w:pPr>
            <w:r w:rsidRPr="00EF64A9">
              <w:rPr>
                <w:bCs/>
              </w:rPr>
              <w:t>Five-Year Average</w:t>
            </w:r>
          </w:p>
        </w:tc>
        <w:tc>
          <w:tcPr>
            <w:tcW w:w="2745" w:type="dxa"/>
          </w:tcPr>
          <w:p w:rsidR="00BC3E83" w:rsidRPr="00EF64A9" w:rsidP="00AE12C7" w14:paraId="3C3E58B6" w14:textId="77777777">
            <w:pPr>
              <w:autoSpaceDE w:val="0"/>
              <w:autoSpaceDN w:val="0"/>
              <w:adjustRightInd w:val="0"/>
              <w:jc w:val="center"/>
              <w:rPr>
                <w:bCs/>
              </w:rPr>
            </w:pPr>
            <w:r w:rsidRPr="00EF64A9">
              <w:rPr>
                <w:bCs/>
              </w:rPr>
              <w:t>128.02</w:t>
            </w:r>
          </w:p>
        </w:tc>
        <w:tc>
          <w:tcPr>
            <w:tcW w:w="3330" w:type="dxa"/>
          </w:tcPr>
          <w:p w:rsidR="00BC3E83" w:rsidRPr="00EF64A9" w:rsidP="00AE12C7" w14:paraId="3EDE0719" w14:textId="77777777">
            <w:pPr>
              <w:autoSpaceDE w:val="0"/>
              <w:autoSpaceDN w:val="0"/>
              <w:adjustRightInd w:val="0"/>
              <w:jc w:val="center"/>
              <w:rPr>
                <w:bCs/>
              </w:rPr>
            </w:pPr>
            <w:r w:rsidRPr="00EF64A9">
              <w:rPr>
                <w:bCs/>
              </w:rPr>
              <w:t>123.34</w:t>
            </w:r>
          </w:p>
        </w:tc>
      </w:tr>
    </w:tbl>
    <w:p w:rsidR="00677BD0" w:rsidRPr="00EF64A9" w:rsidP="00E92908" w14:paraId="2DBCB1FC" w14:textId="77777777">
      <w:pPr>
        <w:autoSpaceDE w:val="0"/>
        <w:autoSpaceDN w:val="0"/>
        <w:adjustRightInd w:val="0"/>
        <w:rPr>
          <w:b/>
        </w:rPr>
      </w:pPr>
      <w:r w:rsidRPr="00EF64A9">
        <w:rPr>
          <w:b/>
        </w:rPr>
        <w:tab/>
      </w:r>
    </w:p>
    <w:p w:rsidR="00677BD0" w:rsidRPr="00EF64A9" w:rsidP="00E92908" w14:paraId="710FBD2B" w14:textId="3E17AFB6">
      <w:pPr>
        <w:autoSpaceDE w:val="0"/>
        <w:autoSpaceDN w:val="0"/>
        <w:adjustRightInd w:val="0"/>
        <w:spacing w:line="480" w:lineRule="auto"/>
        <w:ind w:firstLine="720"/>
        <w:rPr>
          <w:bCs/>
        </w:rPr>
      </w:pPr>
      <w:r w:rsidRPr="00EF64A9">
        <w:rPr>
          <w:bCs/>
        </w:rPr>
        <w:t>This information confirms that DP&amp;L’s proposal would result in less reliability for consumers. DP&amp;L’s proposal should be rejected.</w:t>
      </w:r>
    </w:p>
    <w:p w:rsidR="009E5259" w:rsidRPr="00EF64A9" w:rsidP="00FF2510" w14:paraId="6624A477" w14:textId="7E5684B8">
      <w:pPr>
        <w:pStyle w:val="Heading2"/>
      </w:pPr>
      <w:bookmarkStart w:id="7" w:name="_Toc126054947"/>
      <w:r w:rsidRPr="00EF64A9">
        <w:t>T</w:t>
      </w:r>
      <w:r w:rsidRPr="00EF64A9" w:rsidR="00684E3B">
        <w:t xml:space="preserve">he PUCO should </w:t>
      </w:r>
      <w:r w:rsidR="00FF2510">
        <w:t xml:space="preserve">protect consumers by </w:t>
      </w:r>
      <w:r w:rsidRPr="00EF64A9" w:rsidR="005913FF">
        <w:t>adjust</w:t>
      </w:r>
      <w:r w:rsidR="00FF2510">
        <w:t>ing</w:t>
      </w:r>
      <w:r w:rsidRPr="00EF64A9" w:rsidR="005913FF">
        <w:t xml:space="preserve"> the historical CAIDI</w:t>
      </w:r>
      <w:r w:rsidRPr="00EF64A9" w:rsidR="00BD351C">
        <w:t xml:space="preserve"> as recommended by OCC </w:t>
      </w:r>
      <w:r w:rsidRPr="00EF64A9" w:rsidR="00E34BCA">
        <w:t>because DP&amp;L’s failure to meet reliability standards</w:t>
      </w:r>
      <w:r w:rsidRPr="00EF64A9" w:rsidR="005913FF">
        <w:t xml:space="preserve"> </w:t>
      </w:r>
      <w:r w:rsidRPr="00EF64A9" w:rsidR="0005779B">
        <w:t xml:space="preserve">is </w:t>
      </w:r>
      <w:r w:rsidRPr="00EF64A9" w:rsidR="0049049F">
        <w:t xml:space="preserve">the result of </w:t>
      </w:r>
      <w:bookmarkStart w:id="8" w:name="_Hlk125091594"/>
      <w:r w:rsidRPr="00EF64A9" w:rsidR="0049049F">
        <w:t>DP&amp;L</w:t>
      </w:r>
      <w:r w:rsidRPr="00EF64A9" w:rsidR="00E34BCA">
        <w:t>’s</w:t>
      </w:r>
      <w:r w:rsidRPr="00EF64A9" w:rsidR="0049049F">
        <w:t xml:space="preserve"> </w:t>
      </w:r>
      <w:r w:rsidR="00303A33">
        <w:t>unilateral</w:t>
      </w:r>
      <w:r w:rsidR="0099120E">
        <w:t xml:space="preserve"> </w:t>
      </w:r>
      <w:r w:rsidR="004F6CE6">
        <w:t xml:space="preserve">decisions </w:t>
      </w:r>
      <w:bookmarkEnd w:id="8"/>
      <w:r w:rsidRPr="00EF64A9" w:rsidR="005913FF">
        <w:t xml:space="preserve">not </w:t>
      </w:r>
      <w:r w:rsidRPr="00EF64A9" w:rsidR="00B634AF">
        <w:t xml:space="preserve">to </w:t>
      </w:r>
      <w:r w:rsidRPr="00EF64A9" w:rsidR="005913FF">
        <w:t>make needed investments in its distribution system and/or sufficient spending for vegetation management</w:t>
      </w:r>
      <w:r w:rsidRPr="00EF64A9" w:rsidR="0049049F">
        <w:t>.</w:t>
      </w:r>
      <w:bookmarkEnd w:id="7"/>
    </w:p>
    <w:p w:rsidR="00D41152" w:rsidRPr="00EF64A9" w:rsidP="009E5259" w14:paraId="43DD8123" w14:textId="77777777">
      <w:pPr>
        <w:autoSpaceDE w:val="0"/>
        <w:autoSpaceDN w:val="0"/>
        <w:adjustRightInd w:val="0"/>
        <w:spacing w:line="480" w:lineRule="auto"/>
        <w:ind w:firstLine="720"/>
        <w:rPr>
          <w:bCs/>
        </w:rPr>
      </w:pPr>
      <w:r w:rsidRPr="00EF64A9">
        <w:rPr>
          <w:bCs/>
        </w:rPr>
        <w:t>DP&amp;L’s proposal to adjust the CAIDI standard</w:t>
      </w:r>
      <w:r w:rsidRPr="00EF64A9" w:rsidR="001B003A">
        <w:rPr>
          <w:bCs/>
        </w:rPr>
        <w:t xml:space="preserve"> is based on its claims </w:t>
      </w:r>
      <w:r w:rsidRPr="00EF64A9" w:rsidR="00A52575">
        <w:rPr>
          <w:bCs/>
        </w:rPr>
        <w:t xml:space="preserve">that being unable to make investments in infrastructure in recent years and vegetation management </w:t>
      </w:r>
      <w:r w:rsidRPr="00EF64A9" w:rsidR="0064072A">
        <w:rPr>
          <w:bCs/>
        </w:rPr>
        <w:t xml:space="preserve">have contributed to </w:t>
      </w:r>
      <w:r w:rsidRPr="00EF64A9">
        <w:rPr>
          <w:bCs/>
        </w:rPr>
        <w:t>DP&amp;L</w:t>
      </w:r>
      <w:r w:rsidRPr="00EF64A9" w:rsidR="0064072A">
        <w:rPr>
          <w:bCs/>
        </w:rPr>
        <w:t xml:space="preserve"> being unable to meet the CAIDI standard.</w:t>
      </w:r>
      <w:r>
        <w:rPr>
          <w:rStyle w:val="FootnoteReference"/>
          <w:bCs/>
        </w:rPr>
        <w:footnoteReference w:id="49"/>
      </w:r>
      <w:r w:rsidRPr="00EF64A9" w:rsidR="0064072A">
        <w:rPr>
          <w:bCs/>
        </w:rPr>
        <w:t xml:space="preserve"> But while </w:t>
      </w:r>
      <w:r w:rsidRPr="00EF64A9">
        <w:rPr>
          <w:bCs/>
        </w:rPr>
        <w:t>DP&amp;L</w:t>
      </w:r>
      <w:r w:rsidRPr="00EF64A9" w:rsidR="0064072A">
        <w:rPr>
          <w:bCs/>
        </w:rPr>
        <w:t xml:space="preserve"> claims it was unable to make the needed investments in its distribution infrastructure, </w:t>
      </w:r>
      <w:r w:rsidRPr="00EF64A9" w:rsidR="004460C9">
        <w:rPr>
          <w:bCs/>
        </w:rPr>
        <w:t>it</w:t>
      </w:r>
      <w:r w:rsidRPr="00EF64A9" w:rsidR="002C4F24">
        <w:rPr>
          <w:bCs/>
        </w:rPr>
        <w:t xml:space="preserve"> is unable to quantify the impact that the decisions to not make the needed investments in its distribution had on providing adequate service to consumers.</w:t>
      </w:r>
      <w:r>
        <w:rPr>
          <w:rStyle w:val="FootnoteReference"/>
          <w:bCs/>
        </w:rPr>
        <w:footnoteReference w:id="50"/>
      </w:r>
      <w:r w:rsidRPr="00EF64A9" w:rsidR="002C4F24">
        <w:rPr>
          <w:bCs/>
        </w:rPr>
        <w:t xml:space="preserve"> </w:t>
      </w:r>
    </w:p>
    <w:p w:rsidR="00A21681" w:rsidRPr="00EF64A9" w:rsidP="009E5259" w14:paraId="05A50CC3" w14:textId="241D3DF8">
      <w:pPr>
        <w:autoSpaceDE w:val="0"/>
        <w:autoSpaceDN w:val="0"/>
        <w:adjustRightInd w:val="0"/>
        <w:spacing w:line="480" w:lineRule="auto"/>
        <w:ind w:firstLine="720"/>
        <w:rPr>
          <w:bCs/>
        </w:rPr>
      </w:pPr>
      <w:r w:rsidRPr="00EF64A9">
        <w:rPr>
          <w:bCs/>
        </w:rPr>
        <w:t xml:space="preserve">Further, </w:t>
      </w:r>
      <w:r w:rsidRPr="00EF64A9" w:rsidR="00D90C9C">
        <w:rPr>
          <w:bCs/>
        </w:rPr>
        <w:t xml:space="preserve">according to </w:t>
      </w:r>
      <w:r w:rsidRPr="00EF64A9" w:rsidR="00D41152">
        <w:rPr>
          <w:bCs/>
        </w:rPr>
        <w:t>DP&amp;L’s</w:t>
      </w:r>
      <w:r w:rsidRPr="00EF64A9" w:rsidR="00D90C9C">
        <w:rPr>
          <w:bCs/>
        </w:rPr>
        <w:t xml:space="preserve"> response to OCC INT-05-00</w:t>
      </w:r>
      <w:r w:rsidRPr="00EF64A9" w:rsidR="00EB3D69">
        <w:rPr>
          <w:bCs/>
        </w:rPr>
        <w:t>6 (</w:t>
      </w:r>
      <w:r w:rsidRPr="00EF64A9" w:rsidR="00677BD0">
        <w:rPr>
          <w:bCs/>
        </w:rPr>
        <w:t>discussed by OCC witness Williams</w:t>
      </w:r>
      <w:r w:rsidRPr="00EF64A9" w:rsidR="00EB3D69">
        <w:rPr>
          <w:bCs/>
        </w:rPr>
        <w:t>)</w:t>
      </w:r>
      <w:r w:rsidRPr="00EF64A9" w:rsidR="00D90C9C">
        <w:rPr>
          <w:bCs/>
        </w:rPr>
        <w:t xml:space="preserve">, </w:t>
      </w:r>
      <w:r w:rsidRPr="00EF64A9" w:rsidR="0050393F">
        <w:rPr>
          <w:bCs/>
        </w:rPr>
        <w:t>DP&amp;L</w:t>
      </w:r>
      <w:r w:rsidRPr="00EF64A9">
        <w:rPr>
          <w:bCs/>
        </w:rPr>
        <w:t xml:space="preserve"> is unable to </w:t>
      </w:r>
      <w:r w:rsidRPr="00EF64A9" w:rsidR="00D90C9C">
        <w:rPr>
          <w:bCs/>
        </w:rPr>
        <w:t>quantify the impact that it</w:t>
      </w:r>
      <w:r w:rsidRPr="00EF64A9" w:rsidR="0050393F">
        <w:rPr>
          <w:bCs/>
        </w:rPr>
        <w:t>s</w:t>
      </w:r>
      <w:r w:rsidRPr="00EF64A9" w:rsidR="00D90C9C">
        <w:rPr>
          <w:bCs/>
        </w:rPr>
        <w:t xml:space="preserve"> decision to revert from the Electric Security Plan (“ESP”) 3 to ESP 1 had on making needed investments in its distribution system.</w:t>
      </w:r>
      <w:r>
        <w:rPr>
          <w:rStyle w:val="FootnoteReference"/>
          <w:bCs/>
        </w:rPr>
        <w:footnoteReference w:id="51"/>
      </w:r>
      <w:r w:rsidRPr="00EF64A9" w:rsidR="00D90C9C">
        <w:rPr>
          <w:bCs/>
        </w:rPr>
        <w:t xml:space="preserve"> Under the terms of ESP 3, </w:t>
      </w:r>
      <w:r w:rsidRPr="00EF64A9" w:rsidR="008E223E">
        <w:rPr>
          <w:bCs/>
        </w:rPr>
        <w:t xml:space="preserve">DP&amp;L </w:t>
      </w:r>
      <w:r w:rsidRPr="00EF64A9" w:rsidR="00D90C9C">
        <w:rPr>
          <w:bCs/>
        </w:rPr>
        <w:t>was authorized to expedite the collection of costs from consumers through a Distribution Investment Rider (“DIR”) for certain investments that it made in its distribution system.</w:t>
      </w:r>
      <w:r>
        <w:rPr>
          <w:rStyle w:val="FootnoteReference"/>
          <w:bCs/>
        </w:rPr>
        <w:footnoteReference w:id="52"/>
      </w:r>
      <w:r w:rsidR="0099120E">
        <w:rPr>
          <w:bCs/>
        </w:rPr>
        <w:t xml:space="preserve"> </w:t>
      </w:r>
      <w:r w:rsidR="00303A33">
        <w:rPr>
          <w:bCs/>
        </w:rPr>
        <w:t xml:space="preserve"> But DP&amp;L withdrew from its ESP 3, and reverted back to ESP 1.</w:t>
      </w:r>
      <w:r w:rsidR="0099120E">
        <w:rPr>
          <w:bCs/>
        </w:rPr>
        <w:t xml:space="preserve"> </w:t>
      </w:r>
      <w:r w:rsidR="00303A33">
        <w:rPr>
          <w:bCs/>
        </w:rPr>
        <w:t>ESP 1 had no rider to enable it to collect distribution investment in an expedited manner.</w:t>
      </w:r>
      <w:r w:rsidR="0099120E">
        <w:rPr>
          <w:bCs/>
        </w:rPr>
        <w:t xml:space="preserve"> </w:t>
      </w:r>
      <w:r w:rsidRPr="00EF64A9" w:rsidR="000A195B">
        <w:rPr>
          <w:bCs/>
        </w:rPr>
        <w:t xml:space="preserve">But with or without a DIR, </w:t>
      </w:r>
      <w:r w:rsidRPr="00EF64A9" w:rsidR="005209EB">
        <w:rPr>
          <w:bCs/>
        </w:rPr>
        <w:t>DP&amp;L</w:t>
      </w:r>
      <w:r w:rsidRPr="00EF64A9" w:rsidR="000A195B">
        <w:rPr>
          <w:bCs/>
        </w:rPr>
        <w:t xml:space="preserve"> was required to make sufficient investment in its </w:t>
      </w:r>
      <w:r w:rsidR="004F6CE6">
        <w:rPr>
          <w:bCs/>
        </w:rPr>
        <w:t>dis</w:t>
      </w:r>
      <w:r w:rsidRPr="00EF64A9" w:rsidR="000A195B">
        <w:rPr>
          <w:bCs/>
        </w:rPr>
        <w:t>tribution system to provide adequate service to consumers.</w:t>
      </w:r>
      <w:r>
        <w:rPr>
          <w:rStyle w:val="FootnoteReference"/>
          <w:bCs/>
        </w:rPr>
        <w:footnoteReference w:id="53"/>
      </w:r>
      <w:r w:rsidRPr="00EF64A9" w:rsidR="00633037">
        <w:rPr>
          <w:bCs/>
        </w:rPr>
        <w:t xml:space="preserve"> </w:t>
      </w:r>
    </w:p>
    <w:p w:rsidR="006334CC" w:rsidRPr="00EF64A9" w:rsidP="009E5259" w14:paraId="063540E0" w14:textId="247CAC5F">
      <w:pPr>
        <w:autoSpaceDE w:val="0"/>
        <w:autoSpaceDN w:val="0"/>
        <w:adjustRightInd w:val="0"/>
        <w:spacing w:line="480" w:lineRule="auto"/>
        <w:ind w:firstLine="720"/>
        <w:rPr>
          <w:bCs/>
        </w:rPr>
      </w:pPr>
      <w:r w:rsidRPr="00EF64A9">
        <w:rPr>
          <w:bCs/>
        </w:rPr>
        <w:t>Alarmingly</w:t>
      </w:r>
      <w:r w:rsidRPr="00EF64A9" w:rsidR="00404950">
        <w:rPr>
          <w:bCs/>
        </w:rPr>
        <w:t>, according to the DP&amp;L response to OCC RPD-5-001 (</w:t>
      </w:r>
      <w:r w:rsidRPr="00EF64A9" w:rsidR="00677BD0">
        <w:rPr>
          <w:bCs/>
        </w:rPr>
        <w:t>discussed by OCC witness Williams</w:t>
      </w:r>
      <w:r w:rsidRPr="00EF64A9" w:rsidR="00404950">
        <w:rPr>
          <w:bCs/>
        </w:rPr>
        <w:t xml:space="preserve">), DP&amp;L is </w:t>
      </w:r>
      <w:r w:rsidRPr="00EF64A9" w:rsidR="00404950">
        <w:rPr>
          <w:bCs/>
          <w:i/>
          <w:iCs/>
        </w:rPr>
        <w:t>unable to produce a single document</w:t>
      </w:r>
      <w:r w:rsidRPr="00EF64A9" w:rsidR="00404950">
        <w:rPr>
          <w:bCs/>
        </w:rPr>
        <w:t xml:space="preserve"> containing any studies or analysis that were performed over the last five-years documenting which investments would not be made in its distribution infrastructure and why.</w:t>
      </w:r>
      <w:r>
        <w:rPr>
          <w:rStyle w:val="FootnoteReference"/>
          <w:bCs/>
        </w:rPr>
        <w:footnoteReference w:id="54"/>
      </w:r>
      <w:r w:rsidR="00EF64A9">
        <w:rPr>
          <w:bCs/>
        </w:rPr>
        <w:t xml:space="preserve"> </w:t>
      </w:r>
    </w:p>
    <w:p w:rsidR="003465A1" w:rsidRPr="00EF64A9" w:rsidP="008702E5" w14:paraId="36E5CFFA" w14:textId="2F5DBB41">
      <w:pPr>
        <w:spacing w:line="480" w:lineRule="auto"/>
        <w:ind w:firstLine="720"/>
      </w:pPr>
      <w:r w:rsidRPr="00EF64A9">
        <w:t>OCC</w:t>
      </w:r>
      <w:r w:rsidRPr="00EF64A9" w:rsidR="00BC2F75">
        <w:t xml:space="preserve"> witness Williams </w:t>
      </w:r>
      <w:r w:rsidRPr="00EF64A9">
        <w:t>testified about</w:t>
      </w:r>
      <w:r w:rsidRPr="00EF64A9" w:rsidR="00C965F2">
        <w:t xml:space="preserve"> a summary by outage cause by year between 2016 and 2020. The single largest contributor to the number of annual outage events, </w:t>
      </w:r>
      <w:r w:rsidRPr="00EF64A9" w:rsidR="004460C9">
        <w:t xml:space="preserve">consumer </w:t>
      </w:r>
      <w:r w:rsidRPr="00EF64A9" w:rsidR="00C965F2">
        <w:t xml:space="preserve">interruptions, and </w:t>
      </w:r>
      <w:r w:rsidRPr="00EF64A9" w:rsidR="004460C9">
        <w:t xml:space="preserve">consumer </w:t>
      </w:r>
      <w:r w:rsidRPr="00EF64A9" w:rsidR="00C965F2">
        <w:t xml:space="preserve">minutes interrupted </w:t>
      </w:r>
      <w:r w:rsidRPr="00EF64A9">
        <w:t>discussed</w:t>
      </w:r>
      <w:r w:rsidRPr="00EF64A9" w:rsidR="00FA1365">
        <w:t xml:space="preserve"> by Mr. Williams </w:t>
      </w:r>
      <w:r w:rsidRPr="00EF64A9" w:rsidR="00C965F2">
        <w:t>is equipment/hardware outages.</w:t>
      </w:r>
      <w:r>
        <w:rPr>
          <w:rStyle w:val="FootnoteReference"/>
        </w:rPr>
        <w:footnoteReference w:id="55"/>
      </w:r>
      <w:r w:rsidRPr="00EF64A9" w:rsidR="00C965F2">
        <w:t xml:space="preserve"> In 2019, equipment/hardware failures constituted approximately 27 percent of all </w:t>
      </w:r>
      <w:r w:rsidRPr="00EF64A9" w:rsidR="004460C9">
        <w:t xml:space="preserve">consumer </w:t>
      </w:r>
      <w:r w:rsidRPr="00EF64A9" w:rsidR="00C965F2">
        <w:t xml:space="preserve">interruptions and 31 percent of all </w:t>
      </w:r>
      <w:r w:rsidRPr="00EF64A9" w:rsidR="004460C9">
        <w:t xml:space="preserve">consumer </w:t>
      </w:r>
      <w:r w:rsidRPr="00EF64A9" w:rsidR="00C965F2">
        <w:t>minutes interrupted.</w:t>
      </w:r>
      <w:r>
        <w:rPr>
          <w:rStyle w:val="FootnoteReference"/>
        </w:rPr>
        <w:footnoteReference w:id="56"/>
      </w:r>
      <w:r w:rsidRPr="00EF64A9" w:rsidR="00C965F2">
        <w:t xml:space="preserve"> In 2020, equipment/hardware failures constituted approximately 24 percent of all </w:t>
      </w:r>
      <w:r w:rsidRPr="00EF64A9" w:rsidR="004460C9">
        <w:t xml:space="preserve">consumer </w:t>
      </w:r>
      <w:r w:rsidRPr="00EF64A9" w:rsidR="00C965F2">
        <w:t xml:space="preserve">interruptions and approximately 26 percent of all </w:t>
      </w:r>
      <w:r w:rsidRPr="00EF64A9" w:rsidR="004460C9">
        <w:t xml:space="preserve">consumer </w:t>
      </w:r>
      <w:r w:rsidRPr="00EF64A9" w:rsidR="00C965F2">
        <w:t>minutes interrupted.</w:t>
      </w:r>
      <w:r>
        <w:rPr>
          <w:rStyle w:val="FootnoteReference"/>
        </w:rPr>
        <w:footnoteReference w:id="57"/>
      </w:r>
      <w:r w:rsidRPr="00EF64A9" w:rsidR="00C965F2">
        <w:t xml:space="preserve"> </w:t>
      </w:r>
    </w:p>
    <w:p w:rsidR="000F47DD" w:rsidRPr="00EF64A9" w:rsidP="00BC2F75" w14:paraId="44068C7E" w14:textId="19A60D89">
      <w:pPr>
        <w:spacing w:line="480" w:lineRule="auto"/>
        <w:ind w:firstLine="720"/>
      </w:pPr>
      <w:r w:rsidRPr="00EF64A9">
        <w:t xml:space="preserve">Mr. Williams provided testimony </w:t>
      </w:r>
      <w:r w:rsidRPr="00EF64A9" w:rsidR="003C51E5">
        <w:t>concluding that</w:t>
      </w:r>
      <w:r w:rsidRPr="00EF64A9">
        <w:t xml:space="preserve"> o</w:t>
      </w:r>
      <w:r w:rsidRPr="00EF64A9" w:rsidR="00C965F2">
        <w:t>utages caused by animals/ birds consistently represent one of the highest causes for outage events.</w:t>
      </w:r>
      <w:r>
        <w:rPr>
          <w:rStyle w:val="FootnoteReference"/>
        </w:rPr>
        <w:footnoteReference w:id="58"/>
      </w:r>
      <w:r w:rsidRPr="00EF64A9" w:rsidR="00C965F2">
        <w:t xml:space="preserve"> </w:t>
      </w:r>
      <w:r w:rsidRPr="00EF64A9" w:rsidR="00856CA3">
        <w:t>And t</w:t>
      </w:r>
      <w:r w:rsidRPr="00EF64A9" w:rsidR="00C965F2">
        <w:t xml:space="preserve">ree-caused outages inside and outside the right of way represent a high number of outage events, </w:t>
      </w:r>
      <w:r w:rsidRPr="00EF64A9" w:rsidR="004460C9">
        <w:t xml:space="preserve">consumer </w:t>
      </w:r>
      <w:r w:rsidRPr="00EF64A9" w:rsidR="00C965F2">
        <w:t xml:space="preserve">interruptions, and </w:t>
      </w:r>
      <w:r w:rsidRPr="00EF64A9" w:rsidR="004460C9">
        <w:t xml:space="preserve">consumer </w:t>
      </w:r>
      <w:r w:rsidRPr="00EF64A9" w:rsidR="00C965F2">
        <w:t>minutes interrupted.</w:t>
      </w:r>
      <w:r>
        <w:rPr>
          <w:rStyle w:val="FootnoteReference"/>
        </w:rPr>
        <w:footnoteReference w:id="59"/>
      </w:r>
      <w:r w:rsidRPr="00EF64A9" w:rsidR="00C965F2">
        <w:t xml:space="preserve"> </w:t>
      </w:r>
    </w:p>
    <w:p w:rsidR="000A195B" w:rsidRPr="00EF64A9" w:rsidP="00EE6887" w14:paraId="4A48A3AD" w14:textId="5C02678C">
      <w:pPr>
        <w:spacing w:line="480" w:lineRule="auto"/>
        <w:ind w:firstLine="720"/>
      </w:pPr>
      <w:r w:rsidRPr="00EF64A9">
        <w:t xml:space="preserve">The PUCO should not approve DP&amp;L’s proposal to </w:t>
      </w:r>
      <w:r w:rsidRPr="00EF64A9" w:rsidR="0025456F">
        <w:t>reduce the re</w:t>
      </w:r>
      <w:r w:rsidRPr="00EF64A9" w:rsidR="003C51E5">
        <w:t>liability</w:t>
      </w:r>
      <w:r w:rsidRPr="00EF64A9" w:rsidR="0025456F">
        <w:t xml:space="preserve"> standards when DP&amp;L’s failure to meet them resulted from </w:t>
      </w:r>
      <w:r w:rsidRPr="00EF64A9" w:rsidR="004B6C8D">
        <w:t xml:space="preserve">DP&amp;L’s </w:t>
      </w:r>
      <w:r w:rsidR="00303A33">
        <w:t xml:space="preserve">unilateral </w:t>
      </w:r>
      <w:r w:rsidRPr="00EF64A9" w:rsidR="004B6C8D">
        <w:t>decision</w:t>
      </w:r>
      <w:r w:rsidRPr="00EF64A9" w:rsidR="006E0A7B">
        <w:t xml:space="preserve"> </w:t>
      </w:r>
      <w:r w:rsidRPr="00EF64A9" w:rsidR="006E0A7B">
        <w:rPr>
          <w:bCs/>
        </w:rPr>
        <w:t>to not make needed investments in its distribution system and/or sufficient</w:t>
      </w:r>
      <w:r w:rsidR="0034191E">
        <w:rPr>
          <w:bCs/>
        </w:rPr>
        <w:t>ly</w:t>
      </w:r>
      <w:r w:rsidR="0099120E">
        <w:rPr>
          <w:bCs/>
        </w:rPr>
        <w:t xml:space="preserve"> </w:t>
      </w:r>
      <w:r w:rsidRPr="00EF64A9" w:rsidR="006E0A7B">
        <w:rPr>
          <w:bCs/>
        </w:rPr>
        <w:t>spend for vegetation management.</w:t>
      </w:r>
    </w:p>
    <w:p w:rsidR="000F47DD" w:rsidRPr="00EF64A9" w:rsidP="00FF2510" w14:paraId="5FBBFEE2" w14:textId="1AB53A92">
      <w:pPr>
        <w:pStyle w:val="Heading2"/>
      </w:pPr>
      <w:bookmarkStart w:id="9" w:name="_Toc126054948"/>
      <w:r w:rsidRPr="00EF64A9">
        <w:t xml:space="preserve">The PUCO should adjust the historical CAIDI because </w:t>
      </w:r>
      <w:r w:rsidRPr="00EF64A9" w:rsidR="00EE6887">
        <w:t xml:space="preserve">DP&amp;L </w:t>
      </w:r>
      <w:r w:rsidRPr="00EF64A9" w:rsidR="0086603D">
        <w:t>committed</w:t>
      </w:r>
      <w:r w:rsidRPr="00EF64A9" w:rsidR="00C965F2">
        <w:t xml:space="preserve"> </w:t>
      </w:r>
      <w:r w:rsidRPr="00EF64A9" w:rsidR="0086603D">
        <w:t>to improve</w:t>
      </w:r>
      <w:r w:rsidRPr="00EF64A9" w:rsidR="00C965F2">
        <w:t xml:space="preserve"> </w:t>
      </w:r>
      <w:r w:rsidRPr="00EF64A9" w:rsidR="0086603D">
        <w:t>reliability in</w:t>
      </w:r>
      <w:r w:rsidRPr="00EF64A9" w:rsidR="00C965F2">
        <w:t xml:space="preserve"> </w:t>
      </w:r>
      <w:r w:rsidRPr="00EF64A9" w:rsidR="0010498B">
        <w:t>its</w:t>
      </w:r>
      <w:r w:rsidRPr="00EF64A9" w:rsidR="00C965F2">
        <w:t xml:space="preserve"> </w:t>
      </w:r>
      <w:r w:rsidRPr="00EF64A9">
        <w:t xml:space="preserve">15-1830-EL-AIR </w:t>
      </w:r>
      <w:r w:rsidRPr="00EF64A9" w:rsidR="002A5466">
        <w:t>distribution rate case.</w:t>
      </w:r>
      <w:r w:rsidRPr="00EF64A9" w:rsidR="008702E5">
        <w:t xml:space="preserve"> It should be held to that </w:t>
      </w:r>
      <w:r w:rsidR="0034191E">
        <w:t xml:space="preserve">PUCO-approved </w:t>
      </w:r>
      <w:r w:rsidRPr="00EF64A9" w:rsidR="008702E5">
        <w:t>commitment, to protect consumers.</w:t>
      </w:r>
      <w:bookmarkEnd w:id="9"/>
      <w:r w:rsidRPr="00EF64A9" w:rsidR="002A5466">
        <w:t xml:space="preserve"> </w:t>
      </w:r>
    </w:p>
    <w:p w:rsidR="008702E5" w:rsidRPr="00EF64A9" w:rsidP="00591DA7" w14:paraId="61F8EF4A" w14:textId="5BC2E613">
      <w:pPr>
        <w:spacing w:line="480" w:lineRule="auto"/>
        <w:ind w:firstLine="720"/>
      </w:pPr>
      <w:r w:rsidRPr="00EF64A9">
        <w:t xml:space="preserve">As part of </w:t>
      </w:r>
      <w:r w:rsidRPr="00EF64A9" w:rsidR="00E864D8">
        <w:t>its</w:t>
      </w:r>
      <w:r w:rsidRPr="00EF64A9">
        <w:t xml:space="preserve"> </w:t>
      </w:r>
      <w:r w:rsidRPr="00EF64A9" w:rsidR="002A0762">
        <w:t xml:space="preserve">15-1830-EL-AIR </w:t>
      </w:r>
      <w:r w:rsidRPr="00EF64A9">
        <w:t xml:space="preserve">distribution rate case, DP&amp;L committed to a process that included funding levels for the Distribution Investment Rider (“DIR”) that was approved </w:t>
      </w:r>
      <w:r w:rsidRPr="00EF64A9" w:rsidR="00E864D8">
        <w:t xml:space="preserve">by the PUCO </w:t>
      </w:r>
      <w:r w:rsidRPr="00EF64A9">
        <w:t>under DP&amp;L</w:t>
      </w:r>
      <w:r w:rsidRPr="00EF64A9">
        <w:t>’s</w:t>
      </w:r>
      <w:r w:rsidRPr="00EF64A9">
        <w:t xml:space="preserve"> ESP III.</w:t>
      </w:r>
      <w:r>
        <w:rPr>
          <w:rStyle w:val="FootnoteReference"/>
        </w:rPr>
        <w:footnoteReference w:id="60"/>
      </w:r>
      <w:r w:rsidRPr="00EF64A9">
        <w:t xml:space="preserve"> DP&amp;L committed to work with the PUCO Staff and OCC to develop an annual plan for the DIR that emphasized proactive distribution maintenance</w:t>
      </w:r>
      <w:r w:rsidRPr="00EF64A9" w:rsidR="00191A3C">
        <w:t>.</w:t>
      </w:r>
      <w:r>
        <w:rPr>
          <w:rStyle w:val="FootnoteReference"/>
        </w:rPr>
        <w:footnoteReference w:id="61"/>
      </w:r>
      <w:r w:rsidRPr="00EF64A9" w:rsidR="00191A3C">
        <w:t xml:space="preserve"> The plan also</w:t>
      </w:r>
      <w:r w:rsidRPr="00EF64A9">
        <w:t xml:space="preserve"> focused spending on where it would have the greatest impact on maintaining or improving reliability for consumers.</w:t>
      </w:r>
      <w:r>
        <w:rPr>
          <w:rStyle w:val="FootnoteReference"/>
        </w:rPr>
        <w:footnoteReference w:id="62"/>
      </w:r>
      <w:r w:rsidR="0099120E">
        <w:t xml:space="preserve"> </w:t>
      </w:r>
      <w:r w:rsidR="0034191E">
        <w:t xml:space="preserve"> </w:t>
      </w:r>
    </w:p>
    <w:p w:rsidR="000A195B" w:rsidRPr="00EF64A9" w:rsidP="00591DA7" w14:paraId="1FDFB349" w14:textId="60AA7A3D">
      <w:pPr>
        <w:spacing w:line="480" w:lineRule="auto"/>
        <w:ind w:firstLine="720"/>
        <w:rPr>
          <w:b/>
          <w:bCs/>
        </w:rPr>
      </w:pPr>
      <w:r w:rsidRPr="00EF64A9">
        <w:t>DP&amp;L’</w:t>
      </w:r>
      <w:r w:rsidRPr="00EF64A9" w:rsidR="004460C9">
        <w:t>s</w:t>
      </w:r>
      <w:r w:rsidRPr="00EF64A9">
        <w:t xml:space="preserve"> decision to revert to ESP </w:t>
      </w:r>
      <w:r w:rsidRPr="00EF64A9" w:rsidR="00191A3C">
        <w:t>I</w:t>
      </w:r>
      <w:r w:rsidRPr="00EF64A9">
        <w:t xml:space="preserve"> </w:t>
      </w:r>
      <w:r w:rsidRPr="00EF64A9" w:rsidR="001C1851">
        <w:t xml:space="preserve">(and the riders that existed from that ESP) </w:t>
      </w:r>
      <w:r w:rsidRPr="00EF64A9">
        <w:t xml:space="preserve">does not excuse </w:t>
      </w:r>
      <w:r w:rsidRPr="00EF64A9" w:rsidR="004460C9">
        <w:t>DP&amp;L</w:t>
      </w:r>
      <w:r w:rsidRPr="00EF64A9">
        <w:t xml:space="preserve"> from </w:t>
      </w:r>
      <w:r w:rsidRPr="00EF64A9" w:rsidR="002129DA">
        <w:t xml:space="preserve">making sufficient investments in its distribution infrastructure </w:t>
      </w:r>
      <w:r w:rsidRPr="00EF64A9">
        <w:t xml:space="preserve">to furnish </w:t>
      </w:r>
      <w:r w:rsidRPr="00EF64A9" w:rsidR="008E73BE">
        <w:rPr>
          <w:i/>
          <w:iCs/>
        </w:rPr>
        <w:t xml:space="preserve">necessary and </w:t>
      </w:r>
      <w:r w:rsidRPr="00EF64A9" w:rsidR="002129DA">
        <w:rPr>
          <w:i/>
          <w:iCs/>
        </w:rPr>
        <w:t>adequate</w:t>
      </w:r>
      <w:r w:rsidRPr="00EF64A9" w:rsidR="002129DA">
        <w:t xml:space="preserve"> service to consumers.</w:t>
      </w:r>
      <w:r w:rsidRPr="00EF64A9" w:rsidR="00633037">
        <w:t xml:space="preserve"> </w:t>
      </w:r>
      <w:r w:rsidRPr="00EF64A9" w:rsidR="00B945DA">
        <w:t>OCC agrees with PUCO Staff that “</w:t>
      </w:r>
      <w:r w:rsidRPr="00EF64A9" w:rsidR="008702E5">
        <w:t>[a]</w:t>
      </w:r>
      <w:r w:rsidRPr="00EF64A9" w:rsidR="00B945DA">
        <w:t>llowing standards in this case to worsen to the degree proposed by the Company would make meeting the reliability commitment from the grid modernization case extremely difficult if not impossible.”</w:t>
      </w:r>
      <w:r>
        <w:rPr>
          <w:rStyle w:val="FootnoteReference"/>
        </w:rPr>
        <w:footnoteReference w:id="63"/>
      </w:r>
      <w:r w:rsidRPr="00EF64A9" w:rsidR="005A4F89">
        <w:t xml:space="preserve"> </w:t>
      </w:r>
      <w:r w:rsidRPr="00EF64A9" w:rsidR="00387DAE">
        <w:t xml:space="preserve">The PUCO should hold DP&amp;L to </w:t>
      </w:r>
      <w:r w:rsidRPr="00EF64A9" w:rsidR="00207D30">
        <w:t>its</w:t>
      </w:r>
      <w:r w:rsidRPr="00EF64A9" w:rsidR="00387DAE">
        <w:t xml:space="preserve"> </w:t>
      </w:r>
      <w:r w:rsidR="0034191E">
        <w:t>PUCO</w:t>
      </w:r>
      <w:r w:rsidR="004F6CE6">
        <w:t>-</w:t>
      </w:r>
      <w:r w:rsidR="0034191E">
        <w:t xml:space="preserve">approved </w:t>
      </w:r>
      <w:r w:rsidRPr="00EF64A9" w:rsidR="00387DAE">
        <w:t>commitment</w:t>
      </w:r>
      <w:r w:rsidRPr="00EF64A9" w:rsidR="00207D30">
        <w:t xml:space="preserve"> to improve reliability</w:t>
      </w:r>
      <w:r w:rsidRPr="00EF64A9" w:rsidR="00387DAE">
        <w:t>.</w:t>
      </w:r>
      <w:r w:rsidRPr="00EF64A9">
        <w:t xml:space="preserve"> </w:t>
      </w:r>
    </w:p>
    <w:p w:rsidR="00AB4A6E" w:rsidRPr="00576FB5" w:rsidP="00FF2510" w14:paraId="30B73F72" w14:textId="4E532588">
      <w:pPr>
        <w:pStyle w:val="Heading2"/>
        <w:rPr>
          <w:i/>
          <w:iCs/>
        </w:rPr>
      </w:pPr>
      <w:bookmarkStart w:id="10" w:name="_Toc126054949"/>
      <w:r w:rsidRPr="00EF64A9">
        <w:t xml:space="preserve">The PUCO should </w:t>
      </w:r>
      <w:r w:rsidR="005E7E76">
        <w:t xml:space="preserve">protect consumers by </w:t>
      </w:r>
      <w:r w:rsidRPr="00EF64A9">
        <w:t>adjust</w:t>
      </w:r>
      <w:r w:rsidR="005E7E76">
        <w:t>ing</w:t>
      </w:r>
      <w:r w:rsidRPr="00EF64A9">
        <w:t xml:space="preserve"> the historical CAIDI baseline because i</w:t>
      </w:r>
      <w:r w:rsidRPr="00EF64A9" w:rsidR="00F25FC9">
        <w:t>ncreases in</w:t>
      </w:r>
      <w:r w:rsidRPr="00EF64A9" w:rsidR="00C965F2">
        <w:t xml:space="preserve"> </w:t>
      </w:r>
      <w:r w:rsidRPr="00EF64A9" w:rsidR="008E73BE">
        <w:t>DP&amp;L’s</w:t>
      </w:r>
      <w:r w:rsidRPr="00EF64A9" w:rsidR="00D61A9E">
        <w:t xml:space="preserve"> </w:t>
      </w:r>
      <w:r w:rsidRPr="00EF64A9" w:rsidR="00F25FC9">
        <w:t>annual</w:t>
      </w:r>
      <w:r w:rsidRPr="00EF64A9" w:rsidR="00D61A9E">
        <w:t xml:space="preserve"> </w:t>
      </w:r>
      <w:r w:rsidRPr="00EF64A9" w:rsidR="00F25FC9">
        <w:t>vege</w:t>
      </w:r>
      <w:r w:rsidRPr="00EF64A9" w:rsidR="008E73BE">
        <w:t>t</w:t>
      </w:r>
      <w:r w:rsidRPr="00EF64A9" w:rsidR="00F25FC9">
        <w:t xml:space="preserve">ation </w:t>
      </w:r>
      <w:r w:rsidRPr="00EF64A9" w:rsidR="006B4C24">
        <w:t>management expense</w:t>
      </w:r>
      <w:r w:rsidRPr="00EF64A9" w:rsidR="00D61A9E">
        <w:t xml:space="preserve"> </w:t>
      </w:r>
      <w:r w:rsidRPr="00EF64A9" w:rsidR="00170023">
        <w:t xml:space="preserve">were </w:t>
      </w:r>
      <w:r w:rsidRPr="00EF64A9" w:rsidR="006B4C24">
        <w:t>authorized in its</w:t>
      </w:r>
      <w:r w:rsidRPr="00EF64A9" w:rsidR="00D61A9E">
        <w:t xml:space="preserve"> </w:t>
      </w:r>
      <w:r w:rsidRPr="00EF64A9" w:rsidR="00DF1451">
        <w:t xml:space="preserve">15-1830-EL-AIR </w:t>
      </w:r>
      <w:r w:rsidRPr="00EF64A9" w:rsidR="006B4C24">
        <w:t>distribution rate case</w:t>
      </w:r>
      <w:r w:rsidRPr="00EF64A9" w:rsidR="005D2835">
        <w:t>—yet</w:t>
      </w:r>
      <w:r w:rsidRPr="00EF64A9" w:rsidR="0006532D">
        <w:t xml:space="preserve"> </w:t>
      </w:r>
      <w:r w:rsidRPr="00EF64A9" w:rsidR="000479B5">
        <w:t xml:space="preserve">despite this increase, </w:t>
      </w:r>
      <w:r w:rsidRPr="00EF64A9" w:rsidR="0006532D">
        <w:t>DP&amp;L has not complied with its vegetation management plan</w:t>
      </w:r>
      <w:r w:rsidRPr="00EF64A9" w:rsidR="006B4C24">
        <w:t>.</w:t>
      </w:r>
      <w:bookmarkEnd w:id="10"/>
    </w:p>
    <w:p w:rsidR="00D61A9E" w:rsidRPr="00EF64A9" w:rsidP="007B6BB9" w14:paraId="0109D0E9" w14:textId="13FD094C">
      <w:pPr>
        <w:spacing w:line="480" w:lineRule="auto"/>
        <w:ind w:firstLine="720"/>
      </w:pPr>
      <w:r w:rsidRPr="00EF64A9">
        <w:t>In DP&amp;L’s 15-1830-EL-AIR distribution rate case, v</w:t>
      </w:r>
      <w:r w:rsidRPr="00EF64A9" w:rsidR="00C965F2">
        <w:t xml:space="preserve">egetation management expenses </w:t>
      </w:r>
      <w:r w:rsidR="0034191E">
        <w:t xml:space="preserve">charged to consumers </w:t>
      </w:r>
      <w:r w:rsidRPr="00EF64A9" w:rsidR="00C965F2">
        <w:t xml:space="preserve">increased </w:t>
      </w:r>
      <w:r w:rsidRPr="00EF64A9" w:rsidR="00132172">
        <w:t xml:space="preserve">from $10.7 million annually </w:t>
      </w:r>
      <w:r w:rsidRPr="00EF64A9" w:rsidR="00C965F2">
        <w:t>to $15.7 million annually</w:t>
      </w:r>
      <w:r w:rsidRPr="00EF64A9">
        <w:t>.</w:t>
      </w:r>
      <w:r>
        <w:rPr>
          <w:rStyle w:val="FootnoteReference"/>
        </w:rPr>
        <w:footnoteReference w:id="64"/>
      </w:r>
      <w:r w:rsidRPr="00EF64A9" w:rsidR="00C965F2">
        <w:t xml:space="preserve"> </w:t>
      </w:r>
      <w:r w:rsidRPr="00EF64A9">
        <w:t>A</w:t>
      </w:r>
      <w:r w:rsidRPr="00EF64A9" w:rsidR="00C965F2">
        <w:t xml:space="preserve">nd </w:t>
      </w:r>
      <w:r w:rsidRPr="00EF64A9">
        <w:t>DP&amp;L</w:t>
      </w:r>
      <w:r w:rsidRPr="00EF64A9" w:rsidR="00C965F2">
        <w:t xml:space="preserve"> was authorized to defer </w:t>
      </w:r>
      <w:r w:rsidR="0034191E">
        <w:t xml:space="preserve">for later </w:t>
      </w:r>
      <w:r w:rsidRPr="00EF64A9" w:rsidR="00C965F2">
        <w:t xml:space="preserve">collection </w:t>
      </w:r>
      <w:r w:rsidR="0034191E">
        <w:t>from consu</w:t>
      </w:r>
      <w:r w:rsidR="005E7E76">
        <w:t>m</w:t>
      </w:r>
      <w:r w:rsidR="0034191E">
        <w:t xml:space="preserve">ers </w:t>
      </w:r>
      <w:r w:rsidRPr="00EF64A9" w:rsidR="00C965F2">
        <w:t>certain tree-trimming costs</w:t>
      </w:r>
      <w:r w:rsidRPr="00EF64A9" w:rsidR="00132172">
        <w:t xml:space="preserve"> subject to a $4.6 million </w:t>
      </w:r>
      <w:r w:rsidRPr="00EF64A9" w:rsidR="00DF1451">
        <w:t xml:space="preserve">annual </w:t>
      </w:r>
      <w:r w:rsidRPr="00EF64A9" w:rsidR="00132172">
        <w:t>cap</w:t>
      </w:r>
      <w:r w:rsidRPr="00EF64A9" w:rsidR="00C965F2">
        <w:t>.</w:t>
      </w:r>
      <w:r>
        <w:rPr>
          <w:rStyle w:val="FootnoteReference"/>
        </w:rPr>
        <w:footnoteReference w:id="65"/>
      </w:r>
      <w:r w:rsidRPr="00EF64A9" w:rsidR="00633037">
        <w:t xml:space="preserve"> </w:t>
      </w:r>
    </w:p>
    <w:p w:rsidR="003928D0" w:rsidRPr="00EF64A9" w:rsidP="00AB395C" w14:paraId="2C95E734" w14:textId="7607C8B1">
      <w:pPr>
        <w:spacing w:line="480" w:lineRule="auto"/>
        <w:ind w:firstLine="720"/>
        <w:rPr>
          <w:bCs/>
        </w:rPr>
      </w:pPr>
      <w:r w:rsidRPr="00EF64A9">
        <w:rPr>
          <w:bCs/>
        </w:rPr>
        <w:t xml:space="preserve">According to the PUCO approved DP&amp;L Inspection, Maintenance, Repair, and Replacement Program, DP&amp;L is required to complete tree-trimming of all </w:t>
      </w:r>
      <w:r w:rsidRPr="00EF64A9" w:rsidR="00C965F2">
        <w:rPr>
          <w:bCs/>
        </w:rPr>
        <w:t>circuits within the right of way under a five-year cycle-based program.</w:t>
      </w:r>
      <w:r>
        <w:rPr>
          <w:rStyle w:val="FootnoteReference"/>
          <w:bCs/>
        </w:rPr>
        <w:footnoteReference w:id="66"/>
      </w:r>
      <w:r w:rsidRPr="00EF64A9" w:rsidR="00C965F2">
        <w:rPr>
          <w:bCs/>
        </w:rPr>
        <w:t xml:space="preserve"> But even though </w:t>
      </w:r>
      <w:r w:rsidRPr="00EF64A9">
        <w:rPr>
          <w:bCs/>
        </w:rPr>
        <w:t>DP&amp;L</w:t>
      </w:r>
      <w:r w:rsidRPr="00EF64A9" w:rsidR="00BD638D">
        <w:rPr>
          <w:bCs/>
        </w:rPr>
        <w:t xml:space="preserve"> </w:t>
      </w:r>
      <w:r w:rsidRPr="00EF64A9" w:rsidR="00C965F2">
        <w:rPr>
          <w:bCs/>
        </w:rPr>
        <w:t xml:space="preserve">is required to trim trees within the right of way on five-year cycle, </w:t>
      </w:r>
      <w:r w:rsidRPr="00EF64A9" w:rsidR="004460C9">
        <w:rPr>
          <w:bCs/>
        </w:rPr>
        <w:t>it</w:t>
      </w:r>
      <w:r w:rsidRPr="00EF64A9" w:rsidR="00C965F2">
        <w:rPr>
          <w:bCs/>
        </w:rPr>
        <w:t xml:space="preserve"> is not doing so.</w:t>
      </w:r>
      <w:r>
        <w:rPr>
          <w:rStyle w:val="FootnoteReference"/>
          <w:bCs/>
        </w:rPr>
        <w:footnoteReference w:id="67"/>
      </w:r>
      <w:r w:rsidRPr="00EF64A9" w:rsidR="00C965F2">
        <w:rPr>
          <w:bCs/>
        </w:rPr>
        <w:t xml:space="preserve"> And even though </w:t>
      </w:r>
      <w:r w:rsidRPr="00EF64A9" w:rsidR="004460C9">
        <w:rPr>
          <w:bCs/>
        </w:rPr>
        <w:t xml:space="preserve">consumer </w:t>
      </w:r>
      <w:r w:rsidRPr="00EF64A9" w:rsidR="00C965F2">
        <w:rPr>
          <w:bCs/>
        </w:rPr>
        <w:t xml:space="preserve">interruptions associated with trees inside the right of way are increasing, </w:t>
      </w:r>
      <w:r w:rsidRPr="00EF64A9">
        <w:rPr>
          <w:bCs/>
        </w:rPr>
        <w:t>DP&amp;L</w:t>
      </w:r>
      <w:r w:rsidRPr="00EF64A9" w:rsidR="00BD638D">
        <w:rPr>
          <w:bCs/>
        </w:rPr>
        <w:t xml:space="preserve"> </w:t>
      </w:r>
      <w:r w:rsidRPr="00EF64A9" w:rsidR="00C965F2">
        <w:rPr>
          <w:bCs/>
        </w:rPr>
        <w:t>has chosen to selectively defer the cycle-based tree-trimming program due to the alleged costs.</w:t>
      </w:r>
      <w:r>
        <w:rPr>
          <w:rStyle w:val="FootnoteReference"/>
          <w:bCs/>
        </w:rPr>
        <w:footnoteReference w:id="68"/>
      </w:r>
      <w:r w:rsidRPr="00EF64A9" w:rsidR="00C965F2">
        <w:rPr>
          <w:bCs/>
        </w:rPr>
        <w:t xml:space="preserve"> </w:t>
      </w:r>
    </w:p>
    <w:p w:rsidR="006A6F4A" w:rsidRPr="00EF64A9" w:rsidP="00C8634F" w14:paraId="31493033" w14:textId="4E73C6D1">
      <w:pPr>
        <w:autoSpaceDE w:val="0"/>
        <w:autoSpaceDN w:val="0"/>
        <w:adjustRightInd w:val="0"/>
        <w:spacing w:line="480" w:lineRule="auto"/>
        <w:ind w:firstLine="720"/>
        <w:rPr>
          <w:bCs/>
        </w:rPr>
      </w:pPr>
      <w:r w:rsidRPr="00EF64A9">
        <w:rPr>
          <w:bCs/>
        </w:rPr>
        <w:t xml:space="preserve">Between 2018 and 2020, </w:t>
      </w:r>
      <w:r w:rsidRPr="00EF64A9" w:rsidR="004460C9">
        <w:rPr>
          <w:bCs/>
        </w:rPr>
        <w:t>DP&amp;L</w:t>
      </w:r>
      <w:r w:rsidRPr="00EF64A9">
        <w:rPr>
          <w:bCs/>
        </w:rPr>
        <w:t xml:space="preserve"> failed to meet the five-year cycle-based tree-trimming requirements.</w:t>
      </w:r>
      <w:r>
        <w:rPr>
          <w:rStyle w:val="FootnoteReference"/>
          <w:bCs/>
        </w:rPr>
        <w:footnoteReference w:id="69"/>
      </w:r>
      <w:r w:rsidRPr="00EF64A9">
        <w:rPr>
          <w:bCs/>
        </w:rPr>
        <w:t xml:space="preserve"> This</w:t>
      </w:r>
      <w:r w:rsidRPr="00EF64A9" w:rsidR="003928D0">
        <w:rPr>
          <w:bCs/>
        </w:rPr>
        <w:t xml:space="preserve"> failure</w:t>
      </w:r>
      <w:r w:rsidRPr="00EF64A9">
        <w:rPr>
          <w:bCs/>
        </w:rPr>
        <w:t xml:space="preserve"> is particularly unreasonable considering the significant increases in baseline vegetation management expense </w:t>
      </w:r>
      <w:r w:rsidRPr="00EF64A9" w:rsidR="00BD638D">
        <w:rPr>
          <w:bCs/>
        </w:rPr>
        <w:t xml:space="preserve">that </w:t>
      </w:r>
      <w:r w:rsidRPr="00EF64A9" w:rsidR="00DC62C8">
        <w:rPr>
          <w:bCs/>
        </w:rPr>
        <w:t xml:space="preserve">the PUCO authorized </w:t>
      </w:r>
      <w:r w:rsidR="0034191E">
        <w:rPr>
          <w:bCs/>
        </w:rPr>
        <w:t xml:space="preserve">DP&amp;L to charge its consumers </w:t>
      </w:r>
      <w:r w:rsidRPr="00EF64A9" w:rsidR="00DC62C8">
        <w:rPr>
          <w:bCs/>
        </w:rPr>
        <w:t>in DP&amp;L’s</w:t>
      </w:r>
      <w:r w:rsidRPr="00EF64A9">
        <w:rPr>
          <w:bCs/>
        </w:rPr>
        <w:t xml:space="preserve"> last base last rate case.</w:t>
      </w:r>
      <w:r>
        <w:rPr>
          <w:rStyle w:val="FootnoteReference"/>
          <w:bCs/>
        </w:rPr>
        <w:footnoteReference w:id="70"/>
      </w:r>
      <w:r w:rsidRPr="00EF64A9" w:rsidR="00E92047">
        <w:rPr>
          <w:bCs/>
        </w:rPr>
        <w:t xml:space="preserve"> Once again </w:t>
      </w:r>
      <w:r w:rsidRPr="00EF64A9" w:rsidR="00DC62C8">
        <w:rPr>
          <w:bCs/>
        </w:rPr>
        <w:t>DP&amp;L</w:t>
      </w:r>
      <w:r w:rsidRPr="00EF64A9" w:rsidR="00E92047">
        <w:rPr>
          <w:bCs/>
        </w:rPr>
        <w:t xml:space="preserve"> is charging consumers but not providing the </w:t>
      </w:r>
      <w:r w:rsidRPr="00EF64A9" w:rsidR="008702E5">
        <w:rPr>
          <w:bCs/>
        </w:rPr>
        <w:t>reliable service</w:t>
      </w:r>
      <w:r w:rsidRPr="00EF64A9" w:rsidR="00E92047">
        <w:rPr>
          <w:bCs/>
        </w:rPr>
        <w:t xml:space="preserve"> they </w:t>
      </w:r>
      <w:r w:rsidR="0034191E">
        <w:rPr>
          <w:bCs/>
        </w:rPr>
        <w:t>are entitled to under Ohio law.</w:t>
      </w:r>
      <w:r w:rsidR="0099120E">
        <w:rPr>
          <w:bCs/>
        </w:rPr>
        <w:t xml:space="preserve"> </w:t>
      </w:r>
    </w:p>
    <w:p w:rsidR="006A6F4A" w:rsidRPr="00EF64A9" w:rsidP="004129F6" w14:paraId="529B1F31" w14:textId="7A5A034D">
      <w:pPr>
        <w:autoSpaceDE w:val="0"/>
        <w:autoSpaceDN w:val="0"/>
        <w:adjustRightInd w:val="0"/>
        <w:spacing w:line="480" w:lineRule="auto"/>
        <w:ind w:firstLine="720"/>
        <w:rPr>
          <w:bCs/>
        </w:rPr>
      </w:pPr>
      <w:r w:rsidRPr="00EF64A9">
        <w:rPr>
          <w:bCs/>
        </w:rPr>
        <w:t>According to the DP&amp;L response to OCC INT-5-005 (</w:t>
      </w:r>
      <w:r w:rsidRPr="00EF64A9" w:rsidR="008702E5">
        <w:rPr>
          <w:bCs/>
        </w:rPr>
        <w:t>discussed by OCC witness Williams</w:t>
      </w:r>
      <w:r w:rsidRPr="00EF64A9">
        <w:rPr>
          <w:bCs/>
        </w:rPr>
        <w:t xml:space="preserve">), there </w:t>
      </w:r>
      <w:r w:rsidRPr="00EF64A9" w:rsidR="00191FF9">
        <w:rPr>
          <w:bCs/>
        </w:rPr>
        <w:t xml:space="preserve">was not a single year where </w:t>
      </w:r>
      <w:r w:rsidRPr="00EF64A9" w:rsidR="004129F6">
        <w:rPr>
          <w:bCs/>
        </w:rPr>
        <w:t>DP&amp;L’s</w:t>
      </w:r>
      <w:r w:rsidRPr="00EF64A9" w:rsidR="00191FF9">
        <w:rPr>
          <w:bCs/>
        </w:rPr>
        <w:t xml:space="preserve"> </w:t>
      </w:r>
      <w:r w:rsidRPr="00EF64A9" w:rsidR="00F72246">
        <w:rPr>
          <w:bCs/>
        </w:rPr>
        <w:t xml:space="preserve">actual </w:t>
      </w:r>
      <w:r w:rsidRPr="00EF64A9" w:rsidR="00191FF9">
        <w:rPr>
          <w:bCs/>
        </w:rPr>
        <w:t xml:space="preserve">spending for vegetation management was even close to exceeding the amount consumers are </w:t>
      </w:r>
      <w:r w:rsidRPr="00EF64A9" w:rsidR="00F72246">
        <w:rPr>
          <w:bCs/>
        </w:rPr>
        <w:t xml:space="preserve">required to </w:t>
      </w:r>
      <w:r w:rsidRPr="00EF64A9" w:rsidR="00191FF9">
        <w:rPr>
          <w:bCs/>
        </w:rPr>
        <w:t>pay</w:t>
      </w:r>
      <w:r w:rsidRPr="00EF64A9" w:rsidR="00F72246">
        <w:rPr>
          <w:bCs/>
        </w:rPr>
        <w:t xml:space="preserve"> </w:t>
      </w:r>
      <w:r w:rsidRPr="00EF64A9" w:rsidR="00191FF9">
        <w:rPr>
          <w:bCs/>
        </w:rPr>
        <w:t xml:space="preserve">in base rates or </w:t>
      </w:r>
      <w:r w:rsidRPr="00EF64A9" w:rsidR="00F72246">
        <w:rPr>
          <w:bCs/>
        </w:rPr>
        <w:t xml:space="preserve">through the </w:t>
      </w:r>
      <w:r w:rsidRPr="00EF64A9" w:rsidR="00191FF9">
        <w:rPr>
          <w:bCs/>
        </w:rPr>
        <w:t>authorized deferrals.</w:t>
      </w:r>
      <w:r>
        <w:rPr>
          <w:rStyle w:val="FootnoteReference"/>
          <w:bCs/>
        </w:rPr>
        <w:footnoteReference w:id="71"/>
      </w:r>
      <w:r w:rsidR="00EF64A9">
        <w:rPr>
          <w:bCs/>
        </w:rPr>
        <w:t xml:space="preserve"> </w:t>
      </w:r>
    </w:p>
    <w:p w:rsidR="00066A5A" w:rsidRPr="00EF64A9" w:rsidP="00066A5A" w14:paraId="31912B4E" w14:textId="77F8FB1F">
      <w:pPr>
        <w:autoSpaceDE w:val="0"/>
        <w:autoSpaceDN w:val="0"/>
        <w:adjustRightInd w:val="0"/>
        <w:spacing w:line="480" w:lineRule="auto"/>
        <w:ind w:firstLine="720"/>
        <w:rPr>
          <w:bCs/>
        </w:rPr>
      </w:pPr>
      <w:r w:rsidRPr="00EF64A9">
        <w:rPr>
          <w:bCs/>
        </w:rPr>
        <w:t xml:space="preserve">In 2019, </w:t>
      </w:r>
      <w:r w:rsidRPr="00EF64A9" w:rsidR="00AA2741">
        <w:rPr>
          <w:bCs/>
        </w:rPr>
        <w:t>DP&amp;L</w:t>
      </w:r>
      <w:r w:rsidRPr="00EF64A9" w:rsidR="00BD638D">
        <w:rPr>
          <w:bCs/>
        </w:rPr>
        <w:t xml:space="preserve"> </w:t>
      </w:r>
      <w:r w:rsidRPr="00EF64A9">
        <w:rPr>
          <w:bCs/>
        </w:rPr>
        <w:t>reported completing tree-trimming on 71 of the 108 circuits in 2018 that it should have completed for the year.</w:t>
      </w:r>
      <w:r>
        <w:rPr>
          <w:rStyle w:val="FootnoteReference"/>
          <w:bCs/>
        </w:rPr>
        <w:footnoteReference w:id="72"/>
      </w:r>
      <w:r w:rsidRPr="00EF64A9">
        <w:rPr>
          <w:bCs/>
        </w:rPr>
        <w:t xml:space="preserve"> In 2020, </w:t>
      </w:r>
      <w:r w:rsidRPr="00EF64A9" w:rsidR="00AA2741">
        <w:rPr>
          <w:bCs/>
        </w:rPr>
        <w:t>DP&amp;L</w:t>
      </w:r>
      <w:r w:rsidRPr="00EF64A9" w:rsidR="00BD638D">
        <w:rPr>
          <w:bCs/>
        </w:rPr>
        <w:t xml:space="preserve"> </w:t>
      </w:r>
      <w:r w:rsidRPr="00EF64A9">
        <w:rPr>
          <w:bCs/>
        </w:rPr>
        <w:t>reported completing tree-trimming on 91 of the 108 circuits in 2019 that it should have completed for the year.</w:t>
      </w:r>
      <w:r>
        <w:rPr>
          <w:rStyle w:val="FootnoteReference"/>
          <w:bCs/>
        </w:rPr>
        <w:footnoteReference w:id="73"/>
      </w:r>
      <w:r w:rsidRPr="00EF64A9">
        <w:rPr>
          <w:bCs/>
        </w:rPr>
        <w:t xml:space="preserve"> In 2021, </w:t>
      </w:r>
      <w:r w:rsidRPr="00EF64A9" w:rsidR="003A3B60">
        <w:rPr>
          <w:bCs/>
        </w:rPr>
        <w:t>DP&amp;L</w:t>
      </w:r>
      <w:r w:rsidRPr="00EF64A9" w:rsidR="00BD638D">
        <w:rPr>
          <w:bCs/>
        </w:rPr>
        <w:t xml:space="preserve"> </w:t>
      </w:r>
      <w:r w:rsidRPr="00EF64A9">
        <w:rPr>
          <w:bCs/>
        </w:rPr>
        <w:t>reported completing tree-trimming on 89 of the 108 circuits in 2020 that it should have completed for the year.</w:t>
      </w:r>
      <w:r>
        <w:rPr>
          <w:rStyle w:val="FootnoteReference"/>
          <w:bCs/>
        </w:rPr>
        <w:footnoteReference w:id="74"/>
      </w:r>
      <w:r w:rsidR="00EF64A9">
        <w:rPr>
          <w:bCs/>
        </w:rPr>
        <w:t xml:space="preserve"> </w:t>
      </w:r>
    </w:p>
    <w:p w:rsidR="002129DA" w:rsidRPr="00EF64A9" w:rsidP="00066A5A" w14:paraId="3AB3DE00" w14:textId="777DE486">
      <w:pPr>
        <w:autoSpaceDE w:val="0"/>
        <w:autoSpaceDN w:val="0"/>
        <w:adjustRightInd w:val="0"/>
        <w:spacing w:line="480" w:lineRule="auto"/>
        <w:ind w:firstLine="720"/>
        <w:rPr>
          <w:bCs/>
        </w:rPr>
      </w:pPr>
      <w:r w:rsidRPr="00EF64A9">
        <w:t>DP&amp;L’s</w:t>
      </w:r>
      <w:r w:rsidRPr="00EF64A9" w:rsidR="00C965F2">
        <w:t xml:space="preserve"> explanation for failing to comply with the PUCO approved vegetation management requirements was “</w:t>
      </w:r>
      <w:r w:rsidRPr="00EF64A9" w:rsidR="008702E5">
        <w:t>[c]</w:t>
      </w:r>
      <w:r w:rsidRPr="00EF64A9" w:rsidR="00C965F2">
        <w:t>hallenging labor market conditions…”</w:t>
      </w:r>
      <w:r>
        <w:rPr>
          <w:rStyle w:val="FootnoteReference"/>
        </w:rPr>
        <w:footnoteReference w:id="75"/>
      </w:r>
      <w:r w:rsidRPr="00EF64A9" w:rsidR="00C965F2">
        <w:t xml:space="preserve"> More specifically, </w:t>
      </w:r>
      <w:r w:rsidRPr="00EF64A9">
        <w:t>DP&amp;L</w:t>
      </w:r>
      <w:r w:rsidRPr="00EF64A9" w:rsidR="00C965F2">
        <w:t xml:space="preserve"> provided the following statement as </w:t>
      </w:r>
      <w:r w:rsidRPr="00EF64A9">
        <w:t>its</w:t>
      </w:r>
      <w:r w:rsidRPr="00EF64A9" w:rsidR="00C965F2">
        <w:t xml:space="preserve"> explanation for not complying with tree-trimming requirements:</w:t>
      </w:r>
      <w:r>
        <w:rPr>
          <w:rStyle w:val="FootnoteReference"/>
        </w:rPr>
        <w:footnoteReference w:id="76"/>
      </w:r>
    </w:p>
    <w:p w:rsidR="002129DA" w:rsidRPr="00EF64A9" w:rsidP="008702E5" w14:paraId="5BA0279A" w14:textId="1BCAC4DD">
      <w:pPr>
        <w:autoSpaceDE w:val="0"/>
        <w:autoSpaceDN w:val="0"/>
        <w:adjustRightInd w:val="0"/>
        <w:ind w:left="1440" w:right="1440"/>
      </w:pPr>
      <w:r w:rsidRPr="00EF64A9">
        <w:t>Challenging labor market conditions affecting the entire vegetation management industry have led to widespread price increases and schedule completion shortfalls for many utilities. Currently there is not enough qualified labor in the utility vegetation management industry to effectively meet the increasing needs of electricity providers. As a result, DP&amp;L Ohio has faced significant challenges in trying to overcome the labor shortages and the related price increases. To the best of its ability, DP&amp;L Ohio made strategic decisions to focus its vegetation management efforts in such a way as to maximize the potential benefit to [consumers] by prioritizing circuits based on safety, reliability and vegetation risk.</w:t>
      </w:r>
      <w:r>
        <w:rPr>
          <w:rStyle w:val="FootnoteReference"/>
        </w:rPr>
        <w:footnoteReference w:id="77"/>
      </w:r>
    </w:p>
    <w:p w:rsidR="008702E5" w:rsidRPr="00EF64A9" w:rsidP="008702E5" w14:paraId="3CD39368" w14:textId="77777777">
      <w:pPr>
        <w:autoSpaceDE w:val="0"/>
        <w:autoSpaceDN w:val="0"/>
        <w:adjustRightInd w:val="0"/>
        <w:ind w:left="1440" w:right="1440"/>
      </w:pPr>
    </w:p>
    <w:p w:rsidR="00581792" w:rsidRPr="00EF64A9" w:rsidP="007B6BB9" w14:paraId="6D6E6071" w14:textId="77777777">
      <w:pPr>
        <w:autoSpaceDE w:val="0"/>
        <w:autoSpaceDN w:val="0"/>
        <w:adjustRightInd w:val="0"/>
        <w:spacing w:line="480" w:lineRule="auto"/>
        <w:ind w:firstLine="720"/>
      </w:pPr>
      <w:r w:rsidRPr="00EF64A9">
        <w:t xml:space="preserve">Identical statements are found in each of </w:t>
      </w:r>
      <w:r w:rsidRPr="00EF64A9" w:rsidR="00A7010F">
        <w:t>DP&amp;L’s</w:t>
      </w:r>
      <w:r w:rsidRPr="00EF64A9">
        <w:t xml:space="preserve"> system improvement plan reports for 2018 through 2020.</w:t>
      </w:r>
      <w:r>
        <w:rPr>
          <w:rStyle w:val="FootnoteReference"/>
        </w:rPr>
        <w:footnoteReference w:id="78"/>
      </w:r>
      <w:r w:rsidRPr="00EF64A9">
        <w:t xml:space="preserve"> In comparing the number of tree-caused outages between 2015 and 2020, there is a significant increase in outages associated with tree-trimming that are contributing to declines in </w:t>
      </w:r>
      <w:r w:rsidRPr="00EF64A9" w:rsidR="00840343">
        <w:t>DP&amp;L’s</w:t>
      </w:r>
      <w:r w:rsidRPr="00EF64A9" w:rsidR="00BD638D">
        <w:t xml:space="preserve"> </w:t>
      </w:r>
      <w:r w:rsidRPr="00EF64A9">
        <w:t>reliability performance as shown in the table below.</w:t>
      </w:r>
    </w:p>
    <w:p w:rsidR="00A35FBF" w14:paraId="52905435" w14:textId="77777777">
      <w:pPr>
        <w:rPr>
          <w:b/>
          <w:bCs/>
        </w:rPr>
      </w:pPr>
      <w:r>
        <w:rPr>
          <w:b/>
          <w:bCs/>
        </w:rPr>
        <w:br w:type="page"/>
      </w:r>
    </w:p>
    <w:p w:rsidR="002129DA" w:rsidRPr="00EF64A9" w:rsidP="00A35FBF" w14:paraId="16E93AEA" w14:textId="7C0E7AF7">
      <w:pPr>
        <w:autoSpaceDE w:val="0"/>
        <w:autoSpaceDN w:val="0"/>
        <w:adjustRightInd w:val="0"/>
        <w:jc w:val="center"/>
      </w:pPr>
      <w:r w:rsidRPr="00EF64A9">
        <w:rPr>
          <w:b/>
          <w:bCs/>
        </w:rPr>
        <w:t>Table 5: Inside Row Tree Caused Outages 2015 – 2020 (Excludes Major Events and Transmission Outages)</w:t>
      </w:r>
      <w:r>
        <w:rPr>
          <w:rStyle w:val="FootnoteReference"/>
        </w:rPr>
        <w:footnoteReference w:id="79"/>
      </w:r>
    </w:p>
    <w:p w:rsidR="002129DA" w:rsidRPr="00EF64A9" w:rsidP="007B6BB9" w14:paraId="0C85D4FD" w14:textId="77777777">
      <w:pPr>
        <w:autoSpaceDE w:val="0"/>
        <w:autoSpaceDN w:val="0"/>
        <w:adjustRightInd w:val="0"/>
        <w:ind w:firstLine="720"/>
        <w:jc w:val="center"/>
      </w:pPr>
    </w:p>
    <w:tbl>
      <w:tblPr>
        <w:tblStyle w:val="TableGrid"/>
        <w:tblW w:w="0" w:type="auto"/>
        <w:jc w:val="center"/>
        <w:tblLook w:val="04A0"/>
      </w:tblPr>
      <w:tblGrid>
        <w:gridCol w:w="2157"/>
        <w:gridCol w:w="2157"/>
        <w:gridCol w:w="2158"/>
        <w:gridCol w:w="2158"/>
      </w:tblGrid>
      <w:tr w14:paraId="5B115BBF" w14:textId="77777777" w:rsidTr="00AE12C7">
        <w:tblPrEx>
          <w:tblW w:w="0" w:type="auto"/>
          <w:jc w:val="center"/>
          <w:tblLook w:val="04A0"/>
        </w:tblPrEx>
        <w:trPr>
          <w:jc w:val="center"/>
        </w:trPr>
        <w:tc>
          <w:tcPr>
            <w:tcW w:w="2157" w:type="dxa"/>
          </w:tcPr>
          <w:p w:rsidR="002129DA" w:rsidRPr="00EF64A9" w:rsidP="00A35FBF" w14:paraId="0548A74F" w14:textId="77777777">
            <w:pPr>
              <w:autoSpaceDE w:val="0"/>
              <w:autoSpaceDN w:val="0"/>
              <w:adjustRightInd w:val="0"/>
              <w:jc w:val="center"/>
              <w:rPr>
                <w:b/>
                <w:bCs/>
              </w:rPr>
            </w:pPr>
            <w:r w:rsidRPr="00EF64A9">
              <w:rPr>
                <w:b/>
                <w:bCs/>
              </w:rPr>
              <w:t>Year</w:t>
            </w:r>
          </w:p>
        </w:tc>
        <w:tc>
          <w:tcPr>
            <w:tcW w:w="2157" w:type="dxa"/>
          </w:tcPr>
          <w:p w:rsidR="002129DA" w:rsidRPr="00EF64A9" w:rsidP="00A35FBF" w14:paraId="4F473A6B" w14:textId="77777777">
            <w:pPr>
              <w:autoSpaceDE w:val="0"/>
              <w:autoSpaceDN w:val="0"/>
              <w:adjustRightInd w:val="0"/>
              <w:jc w:val="center"/>
              <w:rPr>
                <w:b/>
                <w:bCs/>
              </w:rPr>
            </w:pPr>
            <w:r w:rsidRPr="00EF64A9">
              <w:rPr>
                <w:b/>
                <w:bCs/>
              </w:rPr>
              <w:t>Events</w:t>
            </w:r>
          </w:p>
        </w:tc>
        <w:tc>
          <w:tcPr>
            <w:tcW w:w="2158" w:type="dxa"/>
          </w:tcPr>
          <w:p w:rsidR="002129DA" w:rsidRPr="00EF64A9" w:rsidP="00A35FBF" w14:paraId="7A9907F7" w14:textId="77777777">
            <w:pPr>
              <w:autoSpaceDE w:val="0"/>
              <w:autoSpaceDN w:val="0"/>
              <w:adjustRightInd w:val="0"/>
              <w:jc w:val="center"/>
              <w:rPr>
                <w:b/>
                <w:bCs/>
              </w:rPr>
            </w:pPr>
            <w:r w:rsidRPr="00EF64A9">
              <w:rPr>
                <w:b/>
                <w:bCs/>
              </w:rPr>
              <w:t>Consumers Interrupted</w:t>
            </w:r>
          </w:p>
        </w:tc>
        <w:tc>
          <w:tcPr>
            <w:tcW w:w="2158" w:type="dxa"/>
          </w:tcPr>
          <w:p w:rsidR="002129DA" w:rsidRPr="00EF64A9" w:rsidP="00A35FBF" w14:paraId="5BD37A8D" w14:textId="77777777">
            <w:pPr>
              <w:autoSpaceDE w:val="0"/>
              <w:autoSpaceDN w:val="0"/>
              <w:adjustRightInd w:val="0"/>
              <w:jc w:val="center"/>
              <w:rPr>
                <w:b/>
                <w:bCs/>
              </w:rPr>
            </w:pPr>
            <w:r w:rsidRPr="00EF64A9">
              <w:rPr>
                <w:b/>
                <w:bCs/>
              </w:rPr>
              <w:t>Consumer Minutes Interrupted</w:t>
            </w:r>
          </w:p>
        </w:tc>
      </w:tr>
      <w:tr w14:paraId="4023468E" w14:textId="77777777" w:rsidTr="00AE12C7">
        <w:tblPrEx>
          <w:tblW w:w="0" w:type="auto"/>
          <w:jc w:val="center"/>
          <w:tblLook w:val="04A0"/>
        </w:tblPrEx>
        <w:trPr>
          <w:jc w:val="center"/>
        </w:trPr>
        <w:tc>
          <w:tcPr>
            <w:tcW w:w="2157" w:type="dxa"/>
          </w:tcPr>
          <w:p w:rsidR="002129DA" w:rsidRPr="00EF64A9" w:rsidP="00A35FBF" w14:paraId="43F99723" w14:textId="77777777">
            <w:pPr>
              <w:autoSpaceDE w:val="0"/>
              <w:autoSpaceDN w:val="0"/>
              <w:adjustRightInd w:val="0"/>
              <w:jc w:val="center"/>
            </w:pPr>
            <w:r w:rsidRPr="00EF64A9">
              <w:t>2015</w:t>
            </w:r>
          </w:p>
        </w:tc>
        <w:tc>
          <w:tcPr>
            <w:tcW w:w="2157" w:type="dxa"/>
          </w:tcPr>
          <w:p w:rsidR="002129DA" w:rsidRPr="00EF64A9" w:rsidP="00A35FBF" w14:paraId="5927F101" w14:textId="77777777">
            <w:pPr>
              <w:autoSpaceDE w:val="0"/>
              <w:autoSpaceDN w:val="0"/>
              <w:adjustRightInd w:val="0"/>
              <w:jc w:val="center"/>
            </w:pPr>
            <w:r w:rsidRPr="00EF64A9">
              <w:t>145</w:t>
            </w:r>
          </w:p>
        </w:tc>
        <w:tc>
          <w:tcPr>
            <w:tcW w:w="2158" w:type="dxa"/>
          </w:tcPr>
          <w:p w:rsidR="002129DA" w:rsidRPr="00EF64A9" w:rsidP="00A35FBF" w14:paraId="6C55A4A7" w14:textId="77777777">
            <w:pPr>
              <w:autoSpaceDE w:val="0"/>
              <w:autoSpaceDN w:val="0"/>
              <w:adjustRightInd w:val="0"/>
              <w:jc w:val="center"/>
            </w:pPr>
            <w:r w:rsidRPr="00EF64A9">
              <w:t>7,007</w:t>
            </w:r>
          </w:p>
        </w:tc>
        <w:tc>
          <w:tcPr>
            <w:tcW w:w="2158" w:type="dxa"/>
          </w:tcPr>
          <w:p w:rsidR="002129DA" w:rsidRPr="00EF64A9" w:rsidP="00A35FBF" w14:paraId="2C9A8D16" w14:textId="77777777">
            <w:pPr>
              <w:autoSpaceDE w:val="0"/>
              <w:autoSpaceDN w:val="0"/>
              <w:adjustRightInd w:val="0"/>
              <w:jc w:val="center"/>
            </w:pPr>
            <w:r w:rsidRPr="00EF64A9">
              <w:t>1,393,088</w:t>
            </w:r>
          </w:p>
        </w:tc>
      </w:tr>
      <w:tr w14:paraId="20187E83" w14:textId="77777777" w:rsidTr="00AE12C7">
        <w:tblPrEx>
          <w:tblW w:w="0" w:type="auto"/>
          <w:jc w:val="center"/>
          <w:tblLook w:val="04A0"/>
        </w:tblPrEx>
        <w:trPr>
          <w:jc w:val="center"/>
        </w:trPr>
        <w:tc>
          <w:tcPr>
            <w:tcW w:w="2157" w:type="dxa"/>
          </w:tcPr>
          <w:p w:rsidR="002129DA" w:rsidRPr="00EF64A9" w:rsidP="00A35FBF" w14:paraId="24568CF4" w14:textId="77777777">
            <w:pPr>
              <w:autoSpaceDE w:val="0"/>
              <w:autoSpaceDN w:val="0"/>
              <w:adjustRightInd w:val="0"/>
              <w:jc w:val="center"/>
            </w:pPr>
            <w:r w:rsidRPr="00EF64A9">
              <w:t>2016</w:t>
            </w:r>
          </w:p>
        </w:tc>
        <w:tc>
          <w:tcPr>
            <w:tcW w:w="2157" w:type="dxa"/>
          </w:tcPr>
          <w:p w:rsidR="002129DA" w:rsidRPr="00EF64A9" w:rsidP="00A35FBF" w14:paraId="276A3E8A" w14:textId="77777777">
            <w:pPr>
              <w:autoSpaceDE w:val="0"/>
              <w:autoSpaceDN w:val="0"/>
              <w:adjustRightInd w:val="0"/>
              <w:jc w:val="center"/>
            </w:pPr>
            <w:r w:rsidRPr="00EF64A9">
              <w:t>116</w:t>
            </w:r>
          </w:p>
        </w:tc>
        <w:tc>
          <w:tcPr>
            <w:tcW w:w="2158" w:type="dxa"/>
          </w:tcPr>
          <w:p w:rsidR="002129DA" w:rsidRPr="00EF64A9" w:rsidP="00A35FBF" w14:paraId="31EDFC11" w14:textId="77777777">
            <w:pPr>
              <w:autoSpaceDE w:val="0"/>
              <w:autoSpaceDN w:val="0"/>
              <w:adjustRightInd w:val="0"/>
              <w:jc w:val="center"/>
            </w:pPr>
            <w:r w:rsidRPr="00EF64A9">
              <w:t>6,112</w:t>
            </w:r>
          </w:p>
        </w:tc>
        <w:tc>
          <w:tcPr>
            <w:tcW w:w="2158" w:type="dxa"/>
          </w:tcPr>
          <w:p w:rsidR="002129DA" w:rsidRPr="00EF64A9" w:rsidP="00A35FBF" w14:paraId="11EBDA0A" w14:textId="77777777">
            <w:pPr>
              <w:autoSpaceDE w:val="0"/>
              <w:autoSpaceDN w:val="0"/>
              <w:adjustRightInd w:val="0"/>
              <w:jc w:val="center"/>
            </w:pPr>
            <w:r w:rsidRPr="00EF64A9">
              <w:t>2,006,194</w:t>
            </w:r>
          </w:p>
        </w:tc>
      </w:tr>
      <w:tr w14:paraId="32A4B936" w14:textId="77777777" w:rsidTr="00AE12C7">
        <w:tblPrEx>
          <w:tblW w:w="0" w:type="auto"/>
          <w:jc w:val="center"/>
          <w:tblLook w:val="04A0"/>
        </w:tblPrEx>
        <w:trPr>
          <w:jc w:val="center"/>
        </w:trPr>
        <w:tc>
          <w:tcPr>
            <w:tcW w:w="2157" w:type="dxa"/>
          </w:tcPr>
          <w:p w:rsidR="002129DA" w:rsidRPr="00EF64A9" w:rsidP="00A35FBF" w14:paraId="66BA2900" w14:textId="77777777">
            <w:pPr>
              <w:autoSpaceDE w:val="0"/>
              <w:autoSpaceDN w:val="0"/>
              <w:adjustRightInd w:val="0"/>
              <w:jc w:val="center"/>
            </w:pPr>
            <w:r w:rsidRPr="00EF64A9">
              <w:t>2017</w:t>
            </w:r>
          </w:p>
        </w:tc>
        <w:tc>
          <w:tcPr>
            <w:tcW w:w="2157" w:type="dxa"/>
          </w:tcPr>
          <w:p w:rsidR="002129DA" w:rsidRPr="00EF64A9" w:rsidP="00A35FBF" w14:paraId="0EC3D4CC" w14:textId="77777777">
            <w:pPr>
              <w:autoSpaceDE w:val="0"/>
              <w:autoSpaceDN w:val="0"/>
              <w:adjustRightInd w:val="0"/>
              <w:jc w:val="center"/>
            </w:pPr>
            <w:r w:rsidRPr="00EF64A9">
              <w:t>318</w:t>
            </w:r>
          </w:p>
        </w:tc>
        <w:tc>
          <w:tcPr>
            <w:tcW w:w="2158" w:type="dxa"/>
          </w:tcPr>
          <w:p w:rsidR="002129DA" w:rsidRPr="00EF64A9" w:rsidP="00A35FBF" w14:paraId="09C749E3" w14:textId="77777777">
            <w:pPr>
              <w:autoSpaceDE w:val="0"/>
              <w:autoSpaceDN w:val="0"/>
              <w:adjustRightInd w:val="0"/>
              <w:jc w:val="center"/>
            </w:pPr>
            <w:r w:rsidRPr="00EF64A9">
              <w:t>17,128</w:t>
            </w:r>
          </w:p>
        </w:tc>
        <w:tc>
          <w:tcPr>
            <w:tcW w:w="2158" w:type="dxa"/>
          </w:tcPr>
          <w:p w:rsidR="002129DA" w:rsidRPr="00EF64A9" w:rsidP="00A35FBF" w14:paraId="3D6A50A6" w14:textId="77777777">
            <w:pPr>
              <w:autoSpaceDE w:val="0"/>
              <w:autoSpaceDN w:val="0"/>
              <w:adjustRightInd w:val="0"/>
              <w:jc w:val="center"/>
            </w:pPr>
            <w:r w:rsidRPr="00EF64A9">
              <w:t>3,265,144</w:t>
            </w:r>
          </w:p>
        </w:tc>
      </w:tr>
      <w:tr w14:paraId="12867E2B" w14:textId="77777777" w:rsidTr="00AE12C7">
        <w:tblPrEx>
          <w:tblW w:w="0" w:type="auto"/>
          <w:jc w:val="center"/>
          <w:tblLook w:val="04A0"/>
        </w:tblPrEx>
        <w:trPr>
          <w:jc w:val="center"/>
        </w:trPr>
        <w:tc>
          <w:tcPr>
            <w:tcW w:w="2157" w:type="dxa"/>
          </w:tcPr>
          <w:p w:rsidR="002129DA" w:rsidRPr="00EF64A9" w:rsidP="00A35FBF" w14:paraId="74621C57" w14:textId="77777777">
            <w:pPr>
              <w:autoSpaceDE w:val="0"/>
              <w:autoSpaceDN w:val="0"/>
              <w:adjustRightInd w:val="0"/>
              <w:jc w:val="center"/>
            </w:pPr>
            <w:r w:rsidRPr="00EF64A9">
              <w:t>2018</w:t>
            </w:r>
          </w:p>
        </w:tc>
        <w:tc>
          <w:tcPr>
            <w:tcW w:w="2157" w:type="dxa"/>
          </w:tcPr>
          <w:p w:rsidR="002129DA" w:rsidRPr="00EF64A9" w:rsidP="00A35FBF" w14:paraId="72E619A2" w14:textId="77777777">
            <w:pPr>
              <w:autoSpaceDE w:val="0"/>
              <w:autoSpaceDN w:val="0"/>
              <w:adjustRightInd w:val="0"/>
              <w:jc w:val="center"/>
            </w:pPr>
            <w:r w:rsidRPr="00EF64A9">
              <w:t>310</w:t>
            </w:r>
          </w:p>
        </w:tc>
        <w:tc>
          <w:tcPr>
            <w:tcW w:w="2158" w:type="dxa"/>
          </w:tcPr>
          <w:p w:rsidR="002129DA" w:rsidRPr="00EF64A9" w:rsidP="00A35FBF" w14:paraId="00724894" w14:textId="77777777">
            <w:pPr>
              <w:autoSpaceDE w:val="0"/>
              <w:autoSpaceDN w:val="0"/>
              <w:adjustRightInd w:val="0"/>
              <w:jc w:val="center"/>
            </w:pPr>
            <w:r w:rsidRPr="00EF64A9">
              <w:t>16,973</w:t>
            </w:r>
          </w:p>
        </w:tc>
        <w:tc>
          <w:tcPr>
            <w:tcW w:w="2158" w:type="dxa"/>
          </w:tcPr>
          <w:p w:rsidR="002129DA" w:rsidRPr="00EF64A9" w:rsidP="00A35FBF" w14:paraId="3B56F875" w14:textId="77777777">
            <w:pPr>
              <w:autoSpaceDE w:val="0"/>
              <w:autoSpaceDN w:val="0"/>
              <w:adjustRightInd w:val="0"/>
              <w:jc w:val="center"/>
            </w:pPr>
            <w:r w:rsidRPr="00EF64A9">
              <w:t>3,366,969</w:t>
            </w:r>
          </w:p>
        </w:tc>
      </w:tr>
      <w:tr w14:paraId="2803E429" w14:textId="77777777" w:rsidTr="00AE12C7">
        <w:tblPrEx>
          <w:tblW w:w="0" w:type="auto"/>
          <w:jc w:val="center"/>
          <w:tblLook w:val="04A0"/>
        </w:tblPrEx>
        <w:trPr>
          <w:jc w:val="center"/>
        </w:trPr>
        <w:tc>
          <w:tcPr>
            <w:tcW w:w="2157" w:type="dxa"/>
          </w:tcPr>
          <w:p w:rsidR="002129DA" w:rsidRPr="00EF64A9" w:rsidP="00A35FBF" w14:paraId="4CA2F882" w14:textId="77777777">
            <w:pPr>
              <w:autoSpaceDE w:val="0"/>
              <w:autoSpaceDN w:val="0"/>
              <w:adjustRightInd w:val="0"/>
              <w:jc w:val="center"/>
            </w:pPr>
            <w:r w:rsidRPr="00EF64A9">
              <w:t>2019</w:t>
            </w:r>
          </w:p>
        </w:tc>
        <w:tc>
          <w:tcPr>
            <w:tcW w:w="2157" w:type="dxa"/>
          </w:tcPr>
          <w:p w:rsidR="002129DA" w:rsidRPr="00EF64A9" w:rsidP="00A35FBF" w14:paraId="2324789B" w14:textId="77777777">
            <w:pPr>
              <w:autoSpaceDE w:val="0"/>
              <w:autoSpaceDN w:val="0"/>
              <w:adjustRightInd w:val="0"/>
              <w:jc w:val="center"/>
            </w:pPr>
            <w:r w:rsidRPr="00EF64A9">
              <w:t>368</w:t>
            </w:r>
          </w:p>
        </w:tc>
        <w:tc>
          <w:tcPr>
            <w:tcW w:w="2158" w:type="dxa"/>
          </w:tcPr>
          <w:p w:rsidR="002129DA" w:rsidRPr="00EF64A9" w:rsidP="00A35FBF" w14:paraId="4933A2EE" w14:textId="77777777">
            <w:pPr>
              <w:autoSpaceDE w:val="0"/>
              <w:autoSpaceDN w:val="0"/>
              <w:adjustRightInd w:val="0"/>
              <w:jc w:val="center"/>
            </w:pPr>
            <w:r w:rsidRPr="00EF64A9">
              <w:t>22,079</w:t>
            </w:r>
          </w:p>
        </w:tc>
        <w:tc>
          <w:tcPr>
            <w:tcW w:w="2158" w:type="dxa"/>
          </w:tcPr>
          <w:p w:rsidR="002129DA" w:rsidRPr="00EF64A9" w:rsidP="00A35FBF" w14:paraId="5CFE6F62" w14:textId="77777777">
            <w:pPr>
              <w:autoSpaceDE w:val="0"/>
              <w:autoSpaceDN w:val="0"/>
              <w:adjustRightInd w:val="0"/>
              <w:jc w:val="center"/>
            </w:pPr>
            <w:r w:rsidRPr="00EF64A9">
              <w:t>4,318,048</w:t>
            </w:r>
          </w:p>
        </w:tc>
      </w:tr>
      <w:tr w14:paraId="65C4F121" w14:textId="77777777" w:rsidTr="00AE12C7">
        <w:tblPrEx>
          <w:tblW w:w="0" w:type="auto"/>
          <w:jc w:val="center"/>
          <w:tblLook w:val="04A0"/>
        </w:tblPrEx>
        <w:trPr>
          <w:jc w:val="center"/>
        </w:trPr>
        <w:tc>
          <w:tcPr>
            <w:tcW w:w="2157" w:type="dxa"/>
          </w:tcPr>
          <w:p w:rsidR="002129DA" w:rsidRPr="00EF64A9" w:rsidP="00A35FBF" w14:paraId="3854BF67" w14:textId="77777777">
            <w:pPr>
              <w:autoSpaceDE w:val="0"/>
              <w:autoSpaceDN w:val="0"/>
              <w:adjustRightInd w:val="0"/>
              <w:jc w:val="center"/>
            </w:pPr>
            <w:r w:rsidRPr="00EF64A9">
              <w:t>2020</w:t>
            </w:r>
          </w:p>
        </w:tc>
        <w:tc>
          <w:tcPr>
            <w:tcW w:w="2157" w:type="dxa"/>
          </w:tcPr>
          <w:p w:rsidR="002129DA" w:rsidRPr="00EF64A9" w:rsidP="00A35FBF" w14:paraId="263FA956" w14:textId="77777777">
            <w:pPr>
              <w:autoSpaceDE w:val="0"/>
              <w:autoSpaceDN w:val="0"/>
              <w:adjustRightInd w:val="0"/>
              <w:jc w:val="center"/>
            </w:pPr>
            <w:r w:rsidRPr="00EF64A9">
              <w:t>162</w:t>
            </w:r>
          </w:p>
        </w:tc>
        <w:tc>
          <w:tcPr>
            <w:tcW w:w="2158" w:type="dxa"/>
          </w:tcPr>
          <w:p w:rsidR="002129DA" w:rsidRPr="00EF64A9" w:rsidP="00A35FBF" w14:paraId="735016B0" w14:textId="77777777">
            <w:pPr>
              <w:autoSpaceDE w:val="0"/>
              <w:autoSpaceDN w:val="0"/>
              <w:adjustRightInd w:val="0"/>
              <w:jc w:val="center"/>
            </w:pPr>
            <w:r w:rsidRPr="00EF64A9">
              <w:t>16,135</w:t>
            </w:r>
          </w:p>
        </w:tc>
        <w:tc>
          <w:tcPr>
            <w:tcW w:w="2158" w:type="dxa"/>
          </w:tcPr>
          <w:p w:rsidR="002129DA" w:rsidRPr="00EF64A9" w:rsidP="00A35FBF" w14:paraId="628364F5" w14:textId="77777777">
            <w:pPr>
              <w:autoSpaceDE w:val="0"/>
              <w:autoSpaceDN w:val="0"/>
              <w:adjustRightInd w:val="0"/>
              <w:jc w:val="center"/>
            </w:pPr>
            <w:r w:rsidRPr="00EF64A9">
              <w:t>2,652,857</w:t>
            </w:r>
          </w:p>
        </w:tc>
      </w:tr>
      <w:tr w14:paraId="71054DA1" w14:textId="77777777" w:rsidTr="00AE12C7">
        <w:tblPrEx>
          <w:tblW w:w="0" w:type="auto"/>
          <w:jc w:val="center"/>
          <w:tblLook w:val="04A0"/>
        </w:tblPrEx>
        <w:trPr>
          <w:jc w:val="center"/>
        </w:trPr>
        <w:tc>
          <w:tcPr>
            <w:tcW w:w="2157" w:type="dxa"/>
          </w:tcPr>
          <w:p w:rsidR="002129DA" w:rsidRPr="00EF64A9" w:rsidP="00A35FBF" w14:paraId="4F636EEE" w14:textId="77777777">
            <w:pPr>
              <w:autoSpaceDE w:val="0"/>
              <w:autoSpaceDN w:val="0"/>
              <w:adjustRightInd w:val="0"/>
              <w:jc w:val="center"/>
            </w:pPr>
            <w:r w:rsidRPr="00EF64A9">
              <w:t>Average 2015-2017</w:t>
            </w:r>
          </w:p>
        </w:tc>
        <w:tc>
          <w:tcPr>
            <w:tcW w:w="2157" w:type="dxa"/>
          </w:tcPr>
          <w:p w:rsidR="002129DA" w:rsidRPr="00EF64A9" w:rsidP="00A35FBF" w14:paraId="34A3888A" w14:textId="77777777">
            <w:pPr>
              <w:autoSpaceDE w:val="0"/>
              <w:autoSpaceDN w:val="0"/>
              <w:adjustRightInd w:val="0"/>
              <w:jc w:val="center"/>
            </w:pPr>
            <w:r w:rsidRPr="00EF64A9">
              <w:t>193</w:t>
            </w:r>
          </w:p>
        </w:tc>
        <w:tc>
          <w:tcPr>
            <w:tcW w:w="2158" w:type="dxa"/>
          </w:tcPr>
          <w:p w:rsidR="002129DA" w:rsidRPr="00EF64A9" w:rsidP="00A35FBF" w14:paraId="00B9D514" w14:textId="77777777">
            <w:pPr>
              <w:autoSpaceDE w:val="0"/>
              <w:autoSpaceDN w:val="0"/>
              <w:adjustRightInd w:val="0"/>
              <w:jc w:val="center"/>
            </w:pPr>
            <w:r w:rsidRPr="00EF64A9">
              <w:t>10,082</w:t>
            </w:r>
          </w:p>
        </w:tc>
        <w:tc>
          <w:tcPr>
            <w:tcW w:w="2158" w:type="dxa"/>
          </w:tcPr>
          <w:p w:rsidR="002129DA" w:rsidRPr="00EF64A9" w:rsidP="00A35FBF" w14:paraId="7430038E" w14:textId="77777777">
            <w:pPr>
              <w:autoSpaceDE w:val="0"/>
              <w:autoSpaceDN w:val="0"/>
              <w:adjustRightInd w:val="0"/>
              <w:jc w:val="center"/>
            </w:pPr>
            <w:r w:rsidRPr="00EF64A9">
              <w:t>2,221,475</w:t>
            </w:r>
          </w:p>
        </w:tc>
      </w:tr>
      <w:tr w14:paraId="53177D5B" w14:textId="77777777" w:rsidTr="00AE12C7">
        <w:tblPrEx>
          <w:tblW w:w="0" w:type="auto"/>
          <w:jc w:val="center"/>
          <w:tblLook w:val="04A0"/>
        </w:tblPrEx>
        <w:trPr>
          <w:jc w:val="center"/>
        </w:trPr>
        <w:tc>
          <w:tcPr>
            <w:tcW w:w="2157" w:type="dxa"/>
          </w:tcPr>
          <w:p w:rsidR="002129DA" w:rsidRPr="00EF64A9" w:rsidP="00A35FBF" w14:paraId="73800635" w14:textId="77777777">
            <w:pPr>
              <w:autoSpaceDE w:val="0"/>
              <w:autoSpaceDN w:val="0"/>
              <w:adjustRightInd w:val="0"/>
              <w:jc w:val="center"/>
            </w:pPr>
            <w:r w:rsidRPr="00EF64A9">
              <w:t>Average 2018-2020</w:t>
            </w:r>
          </w:p>
        </w:tc>
        <w:tc>
          <w:tcPr>
            <w:tcW w:w="2157" w:type="dxa"/>
          </w:tcPr>
          <w:p w:rsidR="002129DA" w:rsidRPr="00EF64A9" w:rsidP="00A35FBF" w14:paraId="117B0EAD" w14:textId="77777777">
            <w:pPr>
              <w:autoSpaceDE w:val="0"/>
              <w:autoSpaceDN w:val="0"/>
              <w:adjustRightInd w:val="0"/>
              <w:jc w:val="center"/>
            </w:pPr>
            <w:r w:rsidRPr="00EF64A9">
              <w:t>280</w:t>
            </w:r>
          </w:p>
        </w:tc>
        <w:tc>
          <w:tcPr>
            <w:tcW w:w="2158" w:type="dxa"/>
          </w:tcPr>
          <w:p w:rsidR="002129DA" w:rsidRPr="00EF64A9" w:rsidP="00A35FBF" w14:paraId="38EEBA38" w14:textId="77777777">
            <w:pPr>
              <w:autoSpaceDE w:val="0"/>
              <w:autoSpaceDN w:val="0"/>
              <w:adjustRightInd w:val="0"/>
              <w:jc w:val="center"/>
            </w:pPr>
            <w:r w:rsidRPr="00EF64A9">
              <w:t>18,396</w:t>
            </w:r>
          </w:p>
        </w:tc>
        <w:tc>
          <w:tcPr>
            <w:tcW w:w="2158" w:type="dxa"/>
          </w:tcPr>
          <w:p w:rsidR="002129DA" w:rsidRPr="00EF64A9" w:rsidP="00A35FBF" w14:paraId="396AD91A" w14:textId="77777777">
            <w:pPr>
              <w:autoSpaceDE w:val="0"/>
              <w:autoSpaceDN w:val="0"/>
              <w:adjustRightInd w:val="0"/>
              <w:jc w:val="center"/>
            </w:pPr>
            <w:r w:rsidRPr="00EF64A9">
              <w:t>3,459,281</w:t>
            </w:r>
          </w:p>
        </w:tc>
      </w:tr>
      <w:tr w14:paraId="6377DF37" w14:textId="77777777" w:rsidTr="00AE12C7">
        <w:tblPrEx>
          <w:tblW w:w="0" w:type="auto"/>
          <w:jc w:val="center"/>
          <w:tblLook w:val="04A0"/>
        </w:tblPrEx>
        <w:trPr>
          <w:jc w:val="center"/>
        </w:trPr>
        <w:tc>
          <w:tcPr>
            <w:tcW w:w="2157" w:type="dxa"/>
          </w:tcPr>
          <w:p w:rsidR="002129DA" w:rsidRPr="00EF64A9" w:rsidP="00A35FBF" w14:paraId="4730EDC4" w14:textId="77777777">
            <w:pPr>
              <w:autoSpaceDE w:val="0"/>
              <w:autoSpaceDN w:val="0"/>
              <w:adjustRightInd w:val="0"/>
              <w:jc w:val="center"/>
            </w:pPr>
            <w:r w:rsidRPr="00EF64A9">
              <w:t>Percentage Change</w:t>
            </w:r>
          </w:p>
        </w:tc>
        <w:tc>
          <w:tcPr>
            <w:tcW w:w="2157" w:type="dxa"/>
          </w:tcPr>
          <w:p w:rsidR="002129DA" w:rsidRPr="00EF64A9" w:rsidP="00A35FBF" w14:paraId="3B1E4CA6" w14:textId="77777777">
            <w:pPr>
              <w:autoSpaceDE w:val="0"/>
              <w:autoSpaceDN w:val="0"/>
              <w:adjustRightInd w:val="0"/>
              <w:jc w:val="center"/>
            </w:pPr>
            <w:r w:rsidRPr="00EF64A9">
              <w:t>45.1%</w:t>
            </w:r>
          </w:p>
        </w:tc>
        <w:tc>
          <w:tcPr>
            <w:tcW w:w="2158" w:type="dxa"/>
          </w:tcPr>
          <w:p w:rsidR="002129DA" w:rsidRPr="00EF64A9" w:rsidP="00A35FBF" w14:paraId="146F4AFB" w14:textId="77777777">
            <w:pPr>
              <w:autoSpaceDE w:val="0"/>
              <w:autoSpaceDN w:val="0"/>
              <w:adjustRightInd w:val="0"/>
              <w:jc w:val="center"/>
            </w:pPr>
            <w:r w:rsidRPr="00EF64A9">
              <w:t>82.5%</w:t>
            </w:r>
          </w:p>
        </w:tc>
        <w:tc>
          <w:tcPr>
            <w:tcW w:w="2158" w:type="dxa"/>
          </w:tcPr>
          <w:p w:rsidR="002129DA" w:rsidRPr="00EF64A9" w:rsidP="00A35FBF" w14:paraId="0C9C4E63" w14:textId="77777777">
            <w:pPr>
              <w:autoSpaceDE w:val="0"/>
              <w:autoSpaceDN w:val="0"/>
              <w:adjustRightInd w:val="0"/>
              <w:jc w:val="center"/>
            </w:pPr>
            <w:r w:rsidRPr="00EF64A9">
              <w:t>55.7%</w:t>
            </w:r>
          </w:p>
        </w:tc>
      </w:tr>
    </w:tbl>
    <w:p w:rsidR="002129DA" w:rsidRPr="00EF64A9" w:rsidP="00D41BC7" w14:paraId="08BB241D" w14:textId="77777777">
      <w:pPr>
        <w:autoSpaceDE w:val="0"/>
        <w:autoSpaceDN w:val="0"/>
        <w:adjustRightInd w:val="0"/>
        <w:ind w:firstLine="720"/>
      </w:pPr>
    </w:p>
    <w:p w:rsidR="00115D5F" w:rsidRPr="00EF64A9" w:rsidP="003D7958" w14:paraId="7710884C" w14:textId="12B8C440">
      <w:pPr>
        <w:autoSpaceDE w:val="0"/>
        <w:autoSpaceDN w:val="0"/>
        <w:adjustRightInd w:val="0"/>
        <w:spacing w:line="480" w:lineRule="auto"/>
        <w:ind w:firstLine="720"/>
      </w:pPr>
      <w:r w:rsidRPr="00EF64A9">
        <w:t>DP&amp;L’s</w:t>
      </w:r>
      <w:r w:rsidRPr="00EF64A9" w:rsidR="00C965F2">
        <w:t xml:space="preserve"> tree-caused outages within the ROW have increased significantly despite</w:t>
      </w:r>
      <w:r w:rsidRPr="00EF64A9" w:rsidR="00C965F2">
        <w:tab/>
        <w:t xml:space="preserve"> increase</w:t>
      </w:r>
      <w:r w:rsidRPr="00EF64A9" w:rsidR="004460C9">
        <w:t>s</w:t>
      </w:r>
      <w:r w:rsidRPr="00EF64A9" w:rsidR="00C965F2">
        <w:t xml:space="preserve"> in base rates and deferrals of vegetation management expenses that were authorized in the last base rate case.</w:t>
      </w:r>
      <w:r>
        <w:rPr>
          <w:rStyle w:val="FootnoteReference"/>
        </w:rPr>
        <w:footnoteReference w:id="80"/>
      </w:r>
      <w:r w:rsidRPr="00EF64A9" w:rsidR="00C965F2">
        <w:t xml:space="preserve"> </w:t>
      </w:r>
      <w:r w:rsidRPr="00EF64A9" w:rsidR="001D6965">
        <w:t>Table 5 demonstrates t</w:t>
      </w:r>
      <w:r w:rsidRPr="00EF64A9" w:rsidR="00C965F2">
        <w:t>here was a 45.1 percent increase in the average number of in ROW tree-caused outages for the period 2018 through 2020 compared with the average number of outages between 2015 and 2017 and before rate increases went into effect after the last base rate case.</w:t>
      </w:r>
      <w:r>
        <w:rPr>
          <w:rStyle w:val="FootnoteReference"/>
        </w:rPr>
        <w:footnoteReference w:id="81"/>
      </w:r>
      <w:r w:rsidRPr="00EF64A9" w:rsidR="00C965F2">
        <w:t xml:space="preserve"> There is an 82.5 percent increase in the number of consumers interrupted on average between 2018 and 2020 compared with the average number of consumers interrupted due to in ROW tree-caused outages between 2015 and 2017.</w:t>
      </w:r>
      <w:r>
        <w:rPr>
          <w:rStyle w:val="FootnoteReference"/>
        </w:rPr>
        <w:footnoteReference w:id="82"/>
      </w:r>
      <w:r w:rsidRPr="00EF64A9" w:rsidR="00C965F2">
        <w:t xml:space="preserve"> And there is a 55.7 percent increase in the number of consumer minutes interrupted during in ROW tree-caused outages during the period 2018 through 2020 compared with the average number of consumer minutes interrupted between 2015 and 2017.</w:t>
      </w:r>
      <w:r>
        <w:rPr>
          <w:rStyle w:val="FootnoteReference"/>
        </w:rPr>
        <w:footnoteReference w:id="83"/>
      </w:r>
      <w:r w:rsidRPr="00EF64A9" w:rsidR="004B2374">
        <w:t xml:space="preserve"> </w:t>
      </w:r>
    </w:p>
    <w:p w:rsidR="00B30B55" w:rsidRPr="00EF64A9" w:rsidP="007B6BB9" w14:paraId="320803E6" w14:textId="78304418">
      <w:pPr>
        <w:autoSpaceDE w:val="0"/>
        <w:autoSpaceDN w:val="0"/>
        <w:adjustRightInd w:val="0"/>
        <w:spacing w:line="480" w:lineRule="auto"/>
        <w:ind w:firstLine="720"/>
      </w:pPr>
      <w:r w:rsidRPr="00EF64A9">
        <w:t>The PUCO should not relax DP&amp;L’s reliability standard</w:t>
      </w:r>
      <w:r w:rsidRPr="00EF64A9" w:rsidR="00DF7A61">
        <w:t xml:space="preserve">s. This is especially true since DP&amp;L has not complied with its </w:t>
      </w:r>
      <w:r w:rsidRPr="00EF64A9" w:rsidR="008B5ED5">
        <w:t>vegetation management plan despite</w:t>
      </w:r>
      <w:r w:rsidR="0099120E">
        <w:t xml:space="preserve"> </w:t>
      </w:r>
      <w:r w:rsidR="00DB07CC">
        <w:t>charging its consumers for increased</w:t>
      </w:r>
      <w:r w:rsidR="0099120E">
        <w:t xml:space="preserve"> </w:t>
      </w:r>
      <w:r w:rsidRPr="00EF64A9" w:rsidR="008B5ED5">
        <w:t>vegetation management expense</w:t>
      </w:r>
      <w:r w:rsidR="005E7E76">
        <w:t>s</w:t>
      </w:r>
      <w:r w:rsidRPr="00EF64A9" w:rsidR="008B5ED5">
        <w:t xml:space="preserve"> </w:t>
      </w:r>
      <w:r w:rsidR="005E7E76">
        <w:t xml:space="preserve">that the PUCO </w:t>
      </w:r>
      <w:r w:rsidRPr="00EF64A9" w:rsidR="008B5ED5">
        <w:t>authorized in its 15-1830-EL-AIR distribution rate cas</w:t>
      </w:r>
      <w:r w:rsidRPr="00EF64A9" w:rsidR="00115D5F">
        <w:t>e.</w:t>
      </w:r>
      <w:r w:rsidR="00EF64A9">
        <w:t xml:space="preserve"> </w:t>
      </w:r>
    </w:p>
    <w:p w:rsidR="00A37F60" w:rsidRPr="00EF64A9" w:rsidP="00FF2510" w14:paraId="27480992" w14:textId="55F186B1">
      <w:pPr>
        <w:pStyle w:val="Heading2"/>
        <w:rPr>
          <w:i/>
          <w:iCs/>
        </w:rPr>
      </w:pPr>
      <w:bookmarkStart w:id="11" w:name="_Toc126054950"/>
      <w:r w:rsidRPr="00EF64A9">
        <w:t xml:space="preserve">The PUCO should </w:t>
      </w:r>
      <w:r w:rsidR="005E7E76">
        <w:t xml:space="preserve">protect consumers by </w:t>
      </w:r>
      <w:r w:rsidRPr="00EF64A9">
        <w:t>reject</w:t>
      </w:r>
      <w:r w:rsidR="005E7E76">
        <w:t>ing</w:t>
      </w:r>
      <w:r w:rsidRPr="00EF64A9">
        <w:t xml:space="preserve"> </w:t>
      </w:r>
      <w:r w:rsidRPr="00EF64A9" w:rsidR="004C18EA">
        <w:t xml:space="preserve">DP&amp;L’s </w:t>
      </w:r>
      <w:r w:rsidRPr="00EF64A9">
        <w:t xml:space="preserve">proposed </w:t>
      </w:r>
      <w:r w:rsidRPr="00EF64A9" w:rsidR="00D47915">
        <w:t>15 percent adder on the five</w:t>
      </w:r>
      <w:r w:rsidRPr="00EF64A9" w:rsidR="008702E5">
        <w:t>-</w:t>
      </w:r>
      <w:r w:rsidRPr="00EF64A9" w:rsidR="00D47915">
        <w:t>year average historical SAIFI and CAIDI</w:t>
      </w:r>
      <w:r w:rsidRPr="00EF64A9" w:rsidR="005A09F1">
        <w:t xml:space="preserve"> </w:t>
      </w:r>
      <w:r w:rsidRPr="00EF64A9">
        <w:t>performance</w:t>
      </w:r>
      <w:r w:rsidRPr="00EF64A9" w:rsidR="00101D39">
        <w:t xml:space="preserve"> </w:t>
      </w:r>
      <w:r w:rsidRPr="00EF64A9">
        <w:t xml:space="preserve">as it </w:t>
      </w:r>
      <w:r w:rsidRPr="00EF64A9" w:rsidR="00C428DB">
        <w:t xml:space="preserve">does not </w:t>
      </w:r>
      <w:r w:rsidRPr="00EF64A9">
        <w:t>comply with the PUCO rules for establishing reliability standards,</w:t>
      </w:r>
      <w:r w:rsidRPr="00EF64A9" w:rsidR="00434AD0">
        <w:t xml:space="preserve"> </w:t>
      </w:r>
      <w:r w:rsidRPr="00EF64A9" w:rsidR="00E44A83">
        <w:t>O.A.C. 4901:1-10-10(B)</w:t>
      </w:r>
      <w:r w:rsidRPr="00EF64A9" w:rsidR="00C428DB">
        <w:t>.</w:t>
      </w:r>
      <w:bookmarkEnd w:id="11"/>
    </w:p>
    <w:p w:rsidR="00DB07CC" w:rsidP="007B6BB9" w14:paraId="30F64FE7" w14:textId="77777777">
      <w:pPr>
        <w:autoSpaceDE w:val="0"/>
        <w:autoSpaceDN w:val="0"/>
        <w:adjustRightInd w:val="0"/>
        <w:spacing w:line="480" w:lineRule="auto"/>
        <w:ind w:firstLine="720"/>
        <w:rPr>
          <w:bCs/>
        </w:rPr>
      </w:pPr>
      <w:r w:rsidRPr="00EF64A9">
        <w:rPr>
          <w:bCs/>
        </w:rPr>
        <w:t>Neither PUCO Staff</w:t>
      </w:r>
      <w:r>
        <w:rPr>
          <w:rStyle w:val="FootnoteReference"/>
          <w:bCs/>
        </w:rPr>
        <w:footnoteReference w:id="84"/>
      </w:r>
      <w:r w:rsidRPr="00EF64A9">
        <w:rPr>
          <w:bCs/>
        </w:rPr>
        <w:t xml:space="preserve"> nor OCC</w:t>
      </w:r>
      <w:r>
        <w:rPr>
          <w:rStyle w:val="FootnoteReference"/>
          <w:bCs/>
        </w:rPr>
        <w:footnoteReference w:id="85"/>
      </w:r>
      <w:r w:rsidRPr="00EF64A9">
        <w:rPr>
          <w:bCs/>
        </w:rPr>
        <w:t xml:space="preserve"> agrees that </w:t>
      </w:r>
      <w:r w:rsidRPr="00EF64A9" w:rsidR="00C54677">
        <w:rPr>
          <w:bCs/>
        </w:rPr>
        <w:t xml:space="preserve">the addition of a 15 percent adder is </w:t>
      </w:r>
      <w:r w:rsidRPr="00EF64A9" w:rsidR="00E34905">
        <w:rPr>
          <w:bCs/>
        </w:rPr>
        <w:t>reasonable.</w:t>
      </w:r>
      <w:r w:rsidRPr="00EF64A9" w:rsidR="00611A5F">
        <w:rPr>
          <w:bCs/>
        </w:rPr>
        <w:t xml:space="preserve"> </w:t>
      </w:r>
      <w:r w:rsidRPr="00EF64A9" w:rsidR="00C965F2">
        <w:rPr>
          <w:bCs/>
        </w:rPr>
        <w:t xml:space="preserve">As </w:t>
      </w:r>
      <w:r w:rsidRPr="00EF64A9" w:rsidR="00434AD0">
        <w:rPr>
          <w:bCs/>
        </w:rPr>
        <w:t xml:space="preserve">previously </w:t>
      </w:r>
      <w:r w:rsidRPr="00EF64A9" w:rsidR="00C965F2">
        <w:rPr>
          <w:bCs/>
        </w:rPr>
        <w:t>explained, the SAIFI and CAIDI reliability standards should be based on the five-year average historical performance baseline with specific adjustments as required to account for system design, technological advancements, service area geography, customer perception survey results, and other relevant factors.</w:t>
      </w:r>
      <w:r>
        <w:rPr>
          <w:rStyle w:val="FootnoteReference"/>
          <w:bCs/>
        </w:rPr>
        <w:footnoteReference w:id="86"/>
      </w:r>
      <w:r w:rsidRPr="00EF64A9" w:rsidR="00C965F2">
        <w:rPr>
          <w:bCs/>
        </w:rPr>
        <w:t xml:space="preserve"> </w:t>
      </w:r>
    </w:p>
    <w:p w:rsidR="004B2C7B" w:rsidRPr="00EF64A9" w:rsidP="007B6BB9" w14:paraId="3527F12C" w14:textId="32F58E36">
      <w:pPr>
        <w:autoSpaceDE w:val="0"/>
        <w:autoSpaceDN w:val="0"/>
        <w:adjustRightInd w:val="0"/>
        <w:spacing w:line="480" w:lineRule="auto"/>
        <w:ind w:firstLine="720"/>
        <w:rPr>
          <w:bCs/>
        </w:rPr>
      </w:pPr>
      <w:r w:rsidRPr="00EF64A9">
        <w:rPr>
          <w:bCs/>
        </w:rPr>
        <w:t>OCC’s expert witness William</w:t>
      </w:r>
      <w:r w:rsidRPr="00EF64A9" w:rsidR="008702E5">
        <w:rPr>
          <w:bCs/>
        </w:rPr>
        <w:t>s</w:t>
      </w:r>
      <w:r w:rsidRPr="00EF64A9">
        <w:rPr>
          <w:bCs/>
        </w:rPr>
        <w:t xml:space="preserve"> explained in his testimony that a</w:t>
      </w:r>
      <w:r w:rsidRPr="00EF64A9" w:rsidR="00C965F2">
        <w:rPr>
          <w:bCs/>
        </w:rPr>
        <w:t xml:space="preserve">n arbitrary 15 percent adder on the </w:t>
      </w:r>
      <w:r w:rsidRPr="00EF64A9" w:rsidR="00101D39">
        <w:rPr>
          <w:bCs/>
        </w:rPr>
        <w:t xml:space="preserve">historical baseline performance diminishes the purpose of the standards </w:t>
      </w:r>
      <w:r w:rsidRPr="00EF64A9" w:rsidR="00422F89">
        <w:rPr>
          <w:bCs/>
        </w:rPr>
        <w:t>in ensuring that consumers are provided reliable service.</w:t>
      </w:r>
      <w:r>
        <w:rPr>
          <w:rStyle w:val="FootnoteReference"/>
          <w:bCs/>
        </w:rPr>
        <w:footnoteReference w:id="87"/>
      </w:r>
      <w:r w:rsidRPr="00EF64A9" w:rsidR="00422F89">
        <w:rPr>
          <w:bCs/>
        </w:rPr>
        <w:t xml:space="preserve"> </w:t>
      </w:r>
      <w:r w:rsidRPr="00EF64A9" w:rsidR="00CF4C5A">
        <w:rPr>
          <w:bCs/>
        </w:rPr>
        <w:t>Additionally</w:t>
      </w:r>
      <w:r w:rsidRPr="00EF64A9" w:rsidR="00422F89">
        <w:rPr>
          <w:bCs/>
        </w:rPr>
        <w:t xml:space="preserve">, </w:t>
      </w:r>
      <w:r w:rsidRPr="00EF64A9" w:rsidR="00101D39">
        <w:rPr>
          <w:bCs/>
        </w:rPr>
        <w:t xml:space="preserve">over time </w:t>
      </w:r>
      <w:r w:rsidRPr="00EF64A9" w:rsidR="00422F89">
        <w:rPr>
          <w:bCs/>
        </w:rPr>
        <w:t xml:space="preserve">the use of the 15 percent adder results in less </w:t>
      </w:r>
      <w:r w:rsidRPr="00EF64A9" w:rsidR="00101D39">
        <w:rPr>
          <w:bCs/>
        </w:rPr>
        <w:t>stringent reliability requirements</w:t>
      </w:r>
      <w:r w:rsidRPr="00EF64A9" w:rsidR="00422F89">
        <w:rPr>
          <w:bCs/>
        </w:rPr>
        <w:t xml:space="preserve"> because the </w:t>
      </w:r>
      <w:r w:rsidRPr="00EF64A9" w:rsidR="00C965F2">
        <w:rPr>
          <w:bCs/>
        </w:rPr>
        <w:t>annual reliability performance can rise to the elevated level of the standard.</w:t>
      </w:r>
      <w:r>
        <w:rPr>
          <w:rStyle w:val="FootnoteReference"/>
          <w:bCs/>
        </w:rPr>
        <w:footnoteReference w:id="88"/>
      </w:r>
    </w:p>
    <w:p w:rsidR="00F121F0" w:rsidRPr="00EF64A9" w:rsidP="007B6BB9" w14:paraId="75199FAC" w14:textId="77777777">
      <w:pPr>
        <w:autoSpaceDE w:val="0"/>
        <w:autoSpaceDN w:val="0"/>
        <w:adjustRightInd w:val="0"/>
        <w:spacing w:line="480" w:lineRule="auto"/>
        <w:ind w:firstLine="720"/>
        <w:rPr>
          <w:bCs/>
        </w:rPr>
      </w:pPr>
      <w:r w:rsidRPr="00EF64A9">
        <w:rPr>
          <w:bCs/>
        </w:rPr>
        <w:t xml:space="preserve">Rather than a 15 percent adder to the historical performance, </w:t>
      </w:r>
      <w:r w:rsidRPr="00EF64A9" w:rsidR="00A37F60">
        <w:rPr>
          <w:bCs/>
        </w:rPr>
        <w:t>DP&amp;L</w:t>
      </w:r>
      <w:r w:rsidRPr="00EF64A9">
        <w:rPr>
          <w:bCs/>
        </w:rPr>
        <w:t xml:space="preserve"> should quantify changes that are made in its system design and technological advancements within its proposed standards.</w:t>
      </w:r>
      <w:r>
        <w:rPr>
          <w:rStyle w:val="FootnoteReference"/>
          <w:bCs/>
        </w:rPr>
        <w:footnoteReference w:id="89"/>
      </w:r>
      <w:r w:rsidRPr="00EF64A9">
        <w:rPr>
          <w:bCs/>
        </w:rPr>
        <w:t xml:space="preserve"> For example, </w:t>
      </w:r>
      <w:r w:rsidRPr="00EF64A9" w:rsidR="00A37F60">
        <w:rPr>
          <w:bCs/>
        </w:rPr>
        <w:t>DP&amp;L</w:t>
      </w:r>
      <w:r w:rsidRPr="00EF64A9">
        <w:rPr>
          <w:bCs/>
        </w:rPr>
        <w:t xml:space="preserve"> has on-going programs for proactively replacing cut-outs and underground (</w:t>
      </w:r>
      <w:r w:rsidRPr="00EF64A9" w:rsidR="004460C9">
        <w:rPr>
          <w:bCs/>
        </w:rPr>
        <w:t>“</w:t>
      </w:r>
      <w:r w:rsidRPr="00EF64A9">
        <w:rPr>
          <w:bCs/>
        </w:rPr>
        <w:t>URD”) cable that should result in annual improvements in distribution reliability.</w:t>
      </w:r>
      <w:r>
        <w:rPr>
          <w:rStyle w:val="FootnoteReference"/>
          <w:bCs/>
        </w:rPr>
        <w:footnoteReference w:id="90"/>
      </w:r>
      <w:r w:rsidRPr="00EF64A9">
        <w:rPr>
          <w:bCs/>
        </w:rPr>
        <w:t xml:space="preserve"> These improvements should appropriately be included in the standards. </w:t>
      </w:r>
      <w:r w:rsidRPr="00EF64A9" w:rsidR="005129F4">
        <w:rPr>
          <w:bCs/>
        </w:rPr>
        <w:t>And</w:t>
      </w:r>
      <w:r w:rsidRPr="00EF64A9">
        <w:rPr>
          <w:bCs/>
        </w:rPr>
        <w:t xml:space="preserve"> as mentioned earlier, as part of the on-going grid modernization program, </w:t>
      </w:r>
      <w:r w:rsidRPr="00EF64A9" w:rsidR="005129F4">
        <w:rPr>
          <w:bCs/>
        </w:rPr>
        <w:t>DP&amp;L</w:t>
      </w:r>
      <w:r w:rsidRPr="00EF64A9">
        <w:rPr>
          <w:bCs/>
        </w:rPr>
        <w:t xml:space="preserve"> committed to specific improvements in SAIFI and the System Average Interruption Duration Index (“SAIDI”) to be reflected </w:t>
      </w:r>
      <w:r w:rsidRPr="00EF64A9" w:rsidR="00CC177C">
        <w:rPr>
          <w:bCs/>
        </w:rPr>
        <w:t>in a reliability standards case to be filed by June 1, 2026.</w:t>
      </w:r>
      <w:r>
        <w:rPr>
          <w:rStyle w:val="FootnoteReference"/>
          <w:bCs/>
        </w:rPr>
        <w:footnoteReference w:id="91"/>
      </w:r>
      <w:r w:rsidRPr="00EF64A9" w:rsidR="00CC177C">
        <w:rPr>
          <w:bCs/>
        </w:rPr>
        <w:t xml:space="preserve"> </w:t>
      </w:r>
    </w:p>
    <w:p w:rsidR="00CC46CF" w:rsidP="00F121F0" w14:paraId="04F877D4" w14:textId="29211D42">
      <w:pPr>
        <w:autoSpaceDE w:val="0"/>
        <w:autoSpaceDN w:val="0"/>
        <w:adjustRightInd w:val="0"/>
        <w:spacing w:line="480" w:lineRule="auto"/>
        <w:ind w:firstLine="720"/>
        <w:rPr>
          <w:bCs/>
        </w:rPr>
      </w:pPr>
      <w:r w:rsidRPr="00EF64A9">
        <w:rPr>
          <w:bCs/>
        </w:rPr>
        <w:t>As grid modernization technology is being deployed annual</w:t>
      </w:r>
      <w:r w:rsidRPr="00EF64A9" w:rsidR="00F121F0">
        <w:rPr>
          <w:bCs/>
        </w:rPr>
        <w:t>,</w:t>
      </w:r>
      <w:r w:rsidRPr="00EF64A9">
        <w:rPr>
          <w:bCs/>
        </w:rPr>
        <w:t xml:space="preserve"> improvements in reliability should be reflected in the standards.</w:t>
      </w:r>
      <w:r w:rsidR="00EF64A9">
        <w:rPr>
          <w:bCs/>
        </w:rPr>
        <w:t xml:space="preserve"> </w:t>
      </w:r>
      <w:r w:rsidRPr="00EF64A9" w:rsidR="009F4E2D">
        <w:rPr>
          <w:bCs/>
        </w:rPr>
        <w:t xml:space="preserve">Consumers should receive improved service for the additional charges </w:t>
      </w:r>
      <w:r w:rsidRPr="00EF64A9" w:rsidR="00961E60">
        <w:rPr>
          <w:bCs/>
        </w:rPr>
        <w:t>DP&amp;L</w:t>
      </w:r>
      <w:r w:rsidRPr="00EF64A9" w:rsidR="009F4E2D">
        <w:rPr>
          <w:bCs/>
        </w:rPr>
        <w:t xml:space="preserve"> is </w:t>
      </w:r>
      <w:r w:rsidRPr="00EF64A9" w:rsidR="00961E60">
        <w:rPr>
          <w:bCs/>
        </w:rPr>
        <w:t xml:space="preserve">seeks to </w:t>
      </w:r>
      <w:r w:rsidRPr="00EF64A9" w:rsidR="009F4E2D">
        <w:rPr>
          <w:bCs/>
        </w:rPr>
        <w:t>impos</w:t>
      </w:r>
      <w:r w:rsidRPr="00EF64A9" w:rsidR="00961E60">
        <w:rPr>
          <w:bCs/>
        </w:rPr>
        <w:t>e</w:t>
      </w:r>
      <w:r w:rsidRPr="00EF64A9" w:rsidR="009F4E2D">
        <w:rPr>
          <w:bCs/>
        </w:rPr>
        <w:t xml:space="preserve"> on them. </w:t>
      </w:r>
      <w:r w:rsidRPr="00EF64A9" w:rsidR="00961E60">
        <w:rPr>
          <w:bCs/>
        </w:rPr>
        <w:t xml:space="preserve">The PUCO should not allow this. The PUCO should </w:t>
      </w:r>
      <w:r w:rsidRPr="00EF64A9" w:rsidR="00C8388E">
        <w:rPr>
          <w:bCs/>
        </w:rPr>
        <w:t>reject DP&amp;L’s proposal to reduce the reliability standards.</w:t>
      </w:r>
    </w:p>
    <w:p w:rsidR="00DB57A5" w:rsidRPr="00EF64A9" w:rsidP="00DB57A5" w14:paraId="766C283E" w14:textId="77777777">
      <w:pPr>
        <w:autoSpaceDE w:val="0"/>
        <w:autoSpaceDN w:val="0"/>
        <w:adjustRightInd w:val="0"/>
        <w:ind w:firstLine="720"/>
        <w:rPr>
          <w:bCs/>
        </w:rPr>
      </w:pPr>
    </w:p>
    <w:p w:rsidR="005D75E1" w:rsidRPr="00A754D2" w:rsidP="00247CC5" w14:paraId="4B19B49D" w14:textId="55EBDFAA">
      <w:pPr>
        <w:pStyle w:val="Heading1"/>
      </w:pPr>
      <w:bookmarkStart w:id="12" w:name="_Toc122339905"/>
      <w:bookmarkStart w:id="13" w:name="_Toc126054951"/>
      <w:r>
        <w:t>III.</w:t>
      </w:r>
      <w:r>
        <w:tab/>
      </w:r>
      <w:r w:rsidRPr="00A754D2" w:rsidR="00C965F2">
        <w:t>CONCLUSION</w:t>
      </w:r>
      <w:bookmarkEnd w:id="12"/>
      <w:bookmarkEnd w:id="13"/>
    </w:p>
    <w:p w:rsidR="00A723DE" w:rsidRPr="00EF64A9" w:rsidP="00B63962" w14:paraId="29B4291A" w14:textId="1EBD032C">
      <w:pPr>
        <w:spacing w:line="480" w:lineRule="auto"/>
        <w:ind w:firstLine="720"/>
      </w:pPr>
      <w:r w:rsidRPr="00EF64A9">
        <w:t xml:space="preserve">The PUCO should reject DP&amp;L’s proposal to reduce </w:t>
      </w:r>
      <w:r w:rsidRPr="00EF64A9" w:rsidR="00B63962">
        <w:t>reliability standards. Instead, t</w:t>
      </w:r>
      <w:r w:rsidRPr="00EF64A9" w:rsidR="00C965F2">
        <w:t xml:space="preserve">he PUCO </w:t>
      </w:r>
      <w:r w:rsidRPr="00EF64A9" w:rsidR="00B63962">
        <w:t xml:space="preserve">should </w:t>
      </w:r>
      <w:r w:rsidRPr="00EF64A9" w:rsidR="00C965F2">
        <w:t xml:space="preserve">approve a SAIFI of no more than 0.79 </w:t>
      </w:r>
      <w:r w:rsidRPr="00EF64A9" w:rsidR="001F5D97">
        <w:t xml:space="preserve">(the five-year historical SAIFI average) </w:t>
      </w:r>
      <w:r w:rsidRPr="00EF64A9" w:rsidR="00C965F2">
        <w:t>and a CAIDI of no more than 123.34 minutes</w:t>
      </w:r>
      <w:r w:rsidRPr="00EF64A9" w:rsidR="001F5D97">
        <w:t xml:space="preserve"> (the five-year historical CAIDI average adjusted to the PUCO approved CAIDI standard)</w:t>
      </w:r>
      <w:r w:rsidRPr="00EF64A9" w:rsidR="00C965F2">
        <w:t xml:space="preserve">. </w:t>
      </w:r>
      <w:r w:rsidRPr="00EF64A9" w:rsidR="00FF46D8">
        <w:t>And</w:t>
      </w:r>
      <w:r w:rsidRPr="00EF64A9" w:rsidR="00C965F2">
        <w:t xml:space="preserve"> these standards </w:t>
      </w:r>
      <w:r w:rsidRPr="00EF64A9" w:rsidR="00FF46D8">
        <w:t xml:space="preserve">should </w:t>
      </w:r>
      <w:r w:rsidRPr="00EF64A9" w:rsidR="00C965F2">
        <w:t xml:space="preserve">remain in effect until the PUCO approves new reliability standards after </w:t>
      </w:r>
      <w:r w:rsidRPr="00EF64A9" w:rsidR="00525D38">
        <w:t>DP&amp;L</w:t>
      </w:r>
      <w:r w:rsidRPr="00EF64A9" w:rsidR="00C965F2">
        <w:t xml:space="preserve"> completes the grid modernization program in 2026. The application that </w:t>
      </w:r>
      <w:r w:rsidRPr="00EF64A9" w:rsidR="00525D38">
        <w:t>DP&amp;L</w:t>
      </w:r>
      <w:r w:rsidRPr="00EF64A9" w:rsidR="00C965F2">
        <w:t xml:space="preserve"> files in 2026 should reflect the reliability improvements that </w:t>
      </w:r>
      <w:r w:rsidRPr="00EF64A9" w:rsidR="00525D38">
        <w:t>DP&amp;L</w:t>
      </w:r>
      <w:r w:rsidRPr="00EF64A9" w:rsidR="00C965F2">
        <w:t xml:space="preserve"> agreed to regarding SAIFI and SAIDI.</w:t>
      </w:r>
      <w:r w:rsidR="00EF64A9">
        <w:t xml:space="preserve"> </w:t>
      </w:r>
    </w:p>
    <w:p w:rsidR="00BE76D8" w:rsidRPr="00EF64A9" w:rsidP="00BE76D8" w14:paraId="1737B8A3" w14:textId="77777777">
      <w:pPr>
        <w:ind w:left="4320"/>
      </w:pPr>
      <w:r w:rsidRPr="00EF64A9">
        <w:t>Respectfully submitted,</w:t>
      </w:r>
    </w:p>
    <w:p w:rsidR="00BE76D8" w:rsidRPr="00EF64A9" w:rsidP="00BE76D8" w14:paraId="4FB30534" w14:textId="77777777">
      <w:pPr>
        <w:ind w:left="4320"/>
      </w:pPr>
    </w:p>
    <w:p w:rsidR="00BE76D8" w:rsidRPr="00EF64A9" w:rsidP="00BE76D8" w14:paraId="21DB7A61" w14:textId="77777777">
      <w:pPr>
        <w:ind w:left="4320"/>
      </w:pPr>
      <w:r w:rsidRPr="00EF64A9">
        <w:t>Bruce Weston (0016973)</w:t>
      </w:r>
    </w:p>
    <w:p w:rsidR="00BE76D8" w:rsidRPr="00EF64A9" w:rsidP="00BE76D8" w14:paraId="7BF29095" w14:textId="77777777">
      <w:pPr>
        <w:tabs>
          <w:tab w:val="left" w:pos="4320"/>
        </w:tabs>
        <w:ind w:left="4320" w:hanging="450"/>
      </w:pPr>
      <w:r w:rsidRPr="00EF64A9">
        <w:tab/>
        <w:t>Ohio Consumers’ Counsel</w:t>
      </w:r>
    </w:p>
    <w:p w:rsidR="00BE76D8" w:rsidRPr="00EF64A9" w:rsidP="00BE76D8" w14:paraId="23A1B0EC" w14:textId="77777777">
      <w:pPr>
        <w:tabs>
          <w:tab w:val="left" w:pos="4320"/>
        </w:tabs>
        <w:ind w:left="4320"/>
      </w:pPr>
    </w:p>
    <w:p w:rsidR="00BE76D8" w:rsidRPr="00EF64A9" w:rsidP="00BE76D8" w14:paraId="0D0D0CE7" w14:textId="77777777">
      <w:pPr>
        <w:tabs>
          <w:tab w:val="left" w:pos="4320"/>
        </w:tabs>
        <w:ind w:left="4320"/>
        <w:rPr>
          <w:i/>
          <w:iCs/>
          <w:u w:val="single"/>
        </w:rPr>
      </w:pPr>
      <w:r w:rsidRPr="00EF64A9">
        <w:rPr>
          <w:i/>
          <w:iCs/>
          <w:u w:val="single"/>
        </w:rPr>
        <w:t>/s/ William J. Michael</w:t>
      </w:r>
    </w:p>
    <w:p w:rsidR="00BE76D8" w:rsidRPr="00EF64A9" w:rsidP="00BE76D8" w14:paraId="48B4B21D" w14:textId="77777777">
      <w:pPr>
        <w:tabs>
          <w:tab w:val="left" w:pos="4320"/>
        </w:tabs>
        <w:ind w:left="4320"/>
      </w:pPr>
      <w:r w:rsidRPr="00EF64A9">
        <w:t>William J. Michael (0070921)</w:t>
      </w:r>
    </w:p>
    <w:p w:rsidR="00BE76D8" w:rsidRPr="00EF64A9" w:rsidP="00BE76D8" w14:paraId="5721E537" w14:textId="77777777">
      <w:pPr>
        <w:tabs>
          <w:tab w:val="left" w:pos="4320"/>
        </w:tabs>
        <w:ind w:left="4320"/>
      </w:pPr>
      <w:r w:rsidRPr="00EF64A9">
        <w:t>Counsel of Record</w:t>
      </w:r>
    </w:p>
    <w:p w:rsidR="00BE76D8" w:rsidRPr="00EF64A9" w:rsidP="00BE76D8" w14:paraId="4A635149" w14:textId="77777777">
      <w:pPr>
        <w:tabs>
          <w:tab w:val="left" w:pos="4320"/>
        </w:tabs>
        <w:ind w:left="4320"/>
      </w:pPr>
      <w:r w:rsidRPr="00EF64A9">
        <w:t>Ambrosia E. Wilson (0096598)</w:t>
      </w:r>
    </w:p>
    <w:p w:rsidR="00BE76D8" w:rsidRPr="00EF64A9" w:rsidP="00BE76D8" w14:paraId="5F324358" w14:textId="77777777">
      <w:pPr>
        <w:tabs>
          <w:tab w:val="left" w:pos="4320"/>
        </w:tabs>
        <w:ind w:left="4320"/>
      </w:pPr>
      <w:r w:rsidRPr="00EF64A9">
        <w:t>Connor D. Semple (0101102)</w:t>
      </w:r>
    </w:p>
    <w:p w:rsidR="00BE76D8" w:rsidRPr="00EF64A9" w:rsidP="00BE76D8" w14:paraId="264E8167" w14:textId="77777777">
      <w:pPr>
        <w:ind w:left="4320"/>
      </w:pPr>
      <w:r w:rsidRPr="00EF64A9">
        <w:t>Assistant Consumers’ Counsel</w:t>
      </w:r>
    </w:p>
    <w:p w:rsidR="00BE76D8" w:rsidRPr="00EF64A9" w:rsidP="00BE76D8" w14:paraId="2CC71E9E" w14:textId="77777777"/>
    <w:p w:rsidR="00BE76D8" w:rsidRPr="00EF64A9" w:rsidP="00BE76D8" w14:paraId="6DEE50D6" w14:textId="77777777">
      <w:pPr>
        <w:ind w:left="4320"/>
        <w:rPr>
          <w:b/>
          <w:bCs/>
        </w:rPr>
      </w:pPr>
      <w:r w:rsidRPr="00EF64A9">
        <w:rPr>
          <w:b/>
          <w:bCs/>
        </w:rPr>
        <w:t>Office of the Ohio Consumers' Counsel</w:t>
      </w:r>
    </w:p>
    <w:p w:rsidR="00BE76D8" w:rsidRPr="00EF64A9" w:rsidP="00BE76D8" w14:paraId="6AA01FD8" w14:textId="77777777">
      <w:pPr>
        <w:ind w:left="4320"/>
      </w:pPr>
      <w:r w:rsidRPr="00EF64A9">
        <w:t>65 East State Street, Suite 700</w:t>
      </w:r>
    </w:p>
    <w:p w:rsidR="00BE76D8" w:rsidRPr="00EF64A9" w:rsidP="00BE76D8" w14:paraId="1BF29649" w14:textId="77777777">
      <w:pPr>
        <w:ind w:left="4320"/>
      </w:pPr>
      <w:r w:rsidRPr="00EF64A9">
        <w:t>Columbus, Ohio 43215</w:t>
      </w:r>
    </w:p>
    <w:p w:rsidR="00BE76D8" w:rsidRPr="00EF64A9" w:rsidP="00BE76D8" w14:paraId="447C28D0" w14:textId="77777777">
      <w:pPr>
        <w:autoSpaceDE w:val="0"/>
        <w:autoSpaceDN w:val="0"/>
        <w:adjustRightInd w:val="0"/>
        <w:ind w:left="4320"/>
      </w:pPr>
      <w:r w:rsidRPr="00EF64A9">
        <w:t>Telephone: [Michael]: (614) 466-1291</w:t>
      </w:r>
    </w:p>
    <w:p w:rsidR="00BE76D8" w:rsidRPr="00EF64A9" w:rsidP="00BE76D8" w14:paraId="6A36998A" w14:textId="77777777">
      <w:pPr>
        <w:autoSpaceDE w:val="0"/>
        <w:autoSpaceDN w:val="0"/>
        <w:adjustRightInd w:val="0"/>
        <w:ind w:left="4320"/>
      </w:pPr>
      <w:r w:rsidRPr="00EF64A9">
        <w:t>Telephone: [Wilson]: (614) 466-1292</w:t>
      </w:r>
    </w:p>
    <w:p w:rsidR="00BE76D8" w:rsidRPr="00EF64A9" w:rsidP="00BE76D8" w14:paraId="4BAD2523" w14:textId="77777777">
      <w:pPr>
        <w:ind w:left="4320"/>
        <w:rPr>
          <w:color w:val="000000"/>
        </w:rPr>
      </w:pPr>
      <w:r w:rsidRPr="00EF64A9">
        <w:rPr>
          <w:color w:val="000000"/>
        </w:rPr>
        <w:t>Telephone [Semple]:(614) 466-9565</w:t>
      </w:r>
    </w:p>
    <w:p w:rsidR="00BE76D8" w:rsidRPr="00EF64A9" w:rsidP="00BE76D8" w14:paraId="4C76A008" w14:textId="6897FFB8">
      <w:pPr>
        <w:ind w:left="4320"/>
      </w:pPr>
      <w:hyperlink r:id="rId6" w:history="1">
        <w:r w:rsidRPr="00EF64A9" w:rsidR="00EF64A9">
          <w:rPr>
            <w:rStyle w:val="Hyperlink"/>
          </w:rPr>
          <w:t>william.michael@occ.ohio.gov</w:t>
        </w:r>
      </w:hyperlink>
      <w:r w:rsidRPr="00EF64A9">
        <w:t xml:space="preserve"> </w:t>
      </w:r>
    </w:p>
    <w:p w:rsidR="00BE76D8" w:rsidRPr="00EF64A9" w:rsidP="00BE76D8" w14:paraId="7DE63775" w14:textId="77777777">
      <w:pPr>
        <w:ind w:left="4320"/>
        <w:rPr>
          <w:color w:val="0000FF"/>
        </w:rPr>
      </w:pPr>
      <w:hyperlink r:id="rId7" w:history="1">
        <w:r w:rsidRPr="00EF64A9">
          <w:rPr>
            <w:rStyle w:val="Hyperlink"/>
          </w:rPr>
          <w:t>ambrosia.wilson@occ.ohio.gov</w:t>
        </w:r>
      </w:hyperlink>
      <w:r w:rsidRPr="00EF64A9">
        <w:rPr>
          <w:color w:val="0000FF"/>
        </w:rPr>
        <w:t xml:space="preserve"> </w:t>
      </w:r>
    </w:p>
    <w:p w:rsidR="00BE76D8" w:rsidRPr="00EF64A9" w:rsidP="00BE76D8" w14:paraId="03EA7A92" w14:textId="77777777">
      <w:pPr>
        <w:ind w:left="4320"/>
        <w:rPr>
          <w:rFonts w:eastAsia="Courier New"/>
        </w:rPr>
      </w:pPr>
      <w:r w:rsidRPr="00EF64A9">
        <w:rPr>
          <w:rStyle w:val="Hyperlink"/>
          <w:rFonts w:eastAsia="Courier New"/>
        </w:rPr>
        <w:t>connor.semple@occ.ohio.gov</w:t>
      </w:r>
    </w:p>
    <w:p w:rsidR="00A723DE" w:rsidRPr="00EF64A9" w:rsidP="00BE76D8" w14:paraId="7F999465" w14:textId="556CD847">
      <w:pPr>
        <w:spacing w:line="480" w:lineRule="auto"/>
        <w:ind w:firstLine="4320"/>
        <w:rPr>
          <w:b/>
        </w:rPr>
      </w:pPr>
      <w:r w:rsidRPr="00EF64A9">
        <w:t>(willing to accept service by e-mail)</w:t>
      </w:r>
    </w:p>
    <w:p w:rsidR="000E0E8C" w:rsidRPr="00EF64A9" w:rsidP="005D75E1" w14:paraId="1D8D0DFA" w14:textId="77777777">
      <w:pPr>
        <w:pStyle w:val="BodyText"/>
        <w:jc w:val="center"/>
        <w:rPr>
          <w:b/>
          <w:u w:val="single"/>
        </w:rPr>
      </w:pPr>
      <w:r w:rsidRPr="00EF64A9">
        <w:rPr>
          <w:b/>
          <w:u w:val="single"/>
        </w:rPr>
        <w:br w:type="page"/>
      </w:r>
    </w:p>
    <w:p w:rsidR="005D75E1" w:rsidRPr="00EF64A9" w:rsidP="005D75E1" w14:paraId="7584CDC7" w14:textId="4FE84ADE">
      <w:pPr>
        <w:pStyle w:val="BodyText"/>
        <w:jc w:val="center"/>
        <w:rPr>
          <w:b/>
          <w:u w:val="single"/>
        </w:rPr>
      </w:pPr>
      <w:r w:rsidRPr="00EF64A9">
        <w:rPr>
          <w:b/>
          <w:u w:val="single"/>
        </w:rPr>
        <w:t>CERTIFICATE OF SERVICE</w:t>
      </w:r>
    </w:p>
    <w:p w:rsidR="00AA486F" w:rsidRPr="00EF64A9" w:rsidP="003E3855" w14:paraId="17C5E0E8" w14:textId="7FAB1F48">
      <w:pPr>
        <w:spacing w:before="240" w:line="480" w:lineRule="auto"/>
        <w:ind w:firstLine="720"/>
      </w:pPr>
      <w:r w:rsidRPr="00EF64A9">
        <w:t xml:space="preserve">I hereby certify that a true copy of the foregoing </w:t>
      </w:r>
      <w:r w:rsidRPr="00EF64A9" w:rsidR="00207C79">
        <w:t>Initial Brief</w:t>
      </w:r>
      <w:r w:rsidRPr="00EF64A9">
        <w:t xml:space="preserve"> </w:t>
      </w:r>
      <w:r w:rsidRPr="00EF64A9" w:rsidR="003E3855">
        <w:t>for Consumer Protection</w:t>
      </w:r>
      <w:r w:rsidRPr="00EF64A9">
        <w:t xml:space="preserve"> was served via electronic transmission to the persons listed below on this </w:t>
      </w:r>
      <w:r w:rsidRPr="00EF64A9" w:rsidR="003E3855">
        <w:t>31</w:t>
      </w:r>
      <w:r w:rsidRPr="00EF64A9" w:rsidR="003E3855">
        <w:rPr>
          <w:vertAlign w:val="superscript"/>
        </w:rPr>
        <w:t>st</w:t>
      </w:r>
      <w:r w:rsidRPr="00EF64A9" w:rsidR="003E3855">
        <w:t xml:space="preserve"> </w:t>
      </w:r>
      <w:r w:rsidRPr="00EF64A9">
        <w:t xml:space="preserve">day of </w:t>
      </w:r>
      <w:r w:rsidRPr="00EF64A9" w:rsidR="00207C79">
        <w:t>January</w:t>
      </w:r>
      <w:r w:rsidRPr="00EF64A9" w:rsidR="00901B11">
        <w:t xml:space="preserve"> </w:t>
      </w:r>
      <w:r w:rsidRPr="00EF64A9" w:rsidR="00074E75">
        <w:t>202</w:t>
      </w:r>
      <w:r w:rsidRPr="00EF64A9" w:rsidR="00207C79">
        <w:t>3</w:t>
      </w:r>
      <w:r w:rsidRPr="00EF64A9">
        <w:t>.</w:t>
      </w:r>
    </w:p>
    <w:p w:rsidR="00AA486F" w:rsidRPr="00EF64A9" w:rsidP="00AA486F" w14:paraId="1D51D13E" w14:textId="77777777">
      <w:pPr>
        <w:jc w:val="center"/>
      </w:pPr>
      <w:r w:rsidRPr="00EF64A9">
        <w:tab/>
      </w:r>
      <w:r w:rsidRPr="00EF64A9" w:rsidR="00901B11">
        <w:tab/>
      </w:r>
      <w:r w:rsidRPr="00EF64A9" w:rsidR="00901B11">
        <w:tab/>
      </w:r>
      <w:r w:rsidRPr="00EF64A9">
        <w:rPr>
          <w:i/>
          <w:iCs/>
          <w:u w:val="single"/>
        </w:rPr>
        <w:t>/s/ William J. Michael</w:t>
      </w:r>
      <w:r w:rsidRPr="00EF64A9">
        <w:rPr>
          <w:i/>
          <w:iCs/>
          <w:u w:val="single"/>
        </w:rPr>
        <w:tab/>
      </w:r>
    </w:p>
    <w:p w:rsidR="00AA486F" w:rsidRPr="00EF64A9" w:rsidP="00AA486F" w14:paraId="66D50167" w14:textId="77777777">
      <w:pPr>
        <w:tabs>
          <w:tab w:val="left" w:pos="4320"/>
        </w:tabs>
      </w:pPr>
      <w:r w:rsidRPr="00EF64A9">
        <w:tab/>
        <w:t>William J. Michael</w:t>
      </w:r>
    </w:p>
    <w:p w:rsidR="00AA486F" w:rsidRPr="00EF64A9" w:rsidP="00AA486F" w14:paraId="14A3AA02" w14:textId="77777777">
      <w:pPr>
        <w:tabs>
          <w:tab w:val="left" w:pos="4320"/>
        </w:tabs>
      </w:pPr>
      <w:r w:rsidRPr="00EF64A9">
        <w:tab/>
        <w:t>Assistant Consumers’ Counsel</w:t>
      </w:r>
    </w:p>
    <w:p w:rsidR="00E07A16" w:rsidRPr="00EF64A9" w:rsidP="003E3855" w14:paraId="3B0F7F3A" w14:textId="62DC17D9">
      <w:pPr>
        <w:tabs>
          <w:tab w:val="left" w:pos="4320"/>
        </w:tabs>
      </w:pPr>
      <w:r w:rsidRPr="00EF64A9">
        <w:tab/>
      </w:r>
      <w:r w:rsidRPr="00EF64A9">
        <w:tab/>
      </w:r>
    </w:p>
    <w:p w:rsidR="00E07A16" w:rsidRPr="00EF64A9" w:rsidP="00E07A16" w14:paraId="5C90B507" w14:textId="77777777">
      <w:pPr>
        <w:pStyle w:val="CommentText"/>
        <w:rPr>
          <w:sz w:val="24"/>
          <w:szCs w:val="24"/>
        </w:rPr>
      </w:pPr>
      <w:r w:rsidRPr="00EF64A9">
        <w:rPr>
          <w:sz w:val="24"/>
          <w:szCs w:val="24"/>
        </w:rPr>
        <w:t>The PUCO’s e-filing system will electronically serve notice of the filing of this document on the following parties:</w:t>
      </w:r>
    </w:p>
    <w:p w:rsidR="00E07A16" w:rsidRPr="00EF64A9" w:rsidP="00E07A16" w14:paraId="367DA908" w14:textId="77777777">
      <w:pPr>
        <w:pStyle w:val="CommentText"/>
        <w:rPr>
          <w:sz w:val="24"/>
          <w:szCs w:val="24"/>
        </w:rPr>
      </w:pPr>
    </w:p>
    <w:p w:rsidR="00E07A16" w:rsidRPr="00EF64A9" w:rsidP="00E07A16" w14:paraId="0DCA696E" w14:textId="77777777">
      <w:pPr>
        <w:pStyle w:val="CommentText"/>
        <w:jc w:val="center"/>
        <w:rPr>
          <w:b/>
          <w:bCs/>
          <w:sz w:val="24"/>
          <w:szCs w:val="24"/>
          <w:u w:val="single"/>
        </w:rPr>
      </w:pPr>
      <w:r w:rsidRPr="00EF64A9">
        <w:rPr>
          <w:b/>
          <w:bCs/>
          <w:sz w:val="24"/>
          <w:szCs w:val="24"/>
          <w:u w:val="single"/>
        </w:rPr>
        <w:t>SERVICE LIST</w:t>
      </w:r>
    </w:p>
    <w:p w:rsidR="00CC46CF" w:rsidRPr="00EF64A9" w:rsidP="00E07A16" w14:paraId="293B6C6A" w14:textId="77777777">
      <w:pPr>
        <w:pStyle w:val="CommentText"/>
        <w:jc w:val="center"/>
        <w:rPr>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23D8A46F" w14:textId="77777777" w:rsidTr="00D760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E3855" w:rsidRPr="00EF64A9" w:rsidP="00D76033" w14:paraId="38E911CC" w14:textId="77777777">
            <w:pPr>
              <w:pStyle w:val="CommentText"/>
              <w:jc w:val="both"/>
              <w:rPr>
                <w:bCs/>
                <w:sz w:val="24"/>
                <w:szCs w:val="24"/>
              </w:rPr>
            </w:pPr>
            <w:hyperlink r:id="rId12" w:history="1">
              <w:r w:rsidRPr="00EF64A9">
                <w:rPr>
                  <w:rStyle w:val="Hyperlink"/>
                  <w:bCs/>
                  <w:sz w:val="24"/>
                  <w:szCs w:val="24"/>
                </w:rPr>
                <w:t>robert.eubanks@ohioAGO.gov</w:t>
              </w:r>
            </w:hyperlink>
          </w:p>
          <w:p w:rsidR="003E3855" w:rsidRPr="00EF64A9" w:rsidP="00D76033" w14:paraId="605C805F" w14:textId="0ADE94F4">
            <w:pPr>
              <w:pStyle w:val="CommentText"/>
              <w:jc w:val="both"/>
              <w:rPr>
                <w:rStyle w:val="Hyperlink"/>
                <w:sz w:val="24"/>
                <w:szCs w:val="24"/>
              </w:rPr>
            </w:pPr>
            <w:hyperlink r:id="rId13" w:history="1">
              <w:r w:rsidRPr="001D0D04" w:rsidR="005E493F">
                <w:rPr>
                  <w:rStyle w:val="Hyperlink"/>
                  <w:bCs/>
                  <w:sz w:val="24"/>
                  <w:szCs w:val="24"/>
                </w:rPr>
                <w:t>R</w:t>
              </w:r>
              <w:r w:rsidRPr="001D0D04" w:rsidR="005E493F">
                <w:rPr>
                  <w:rStyle w:val="Hyperlink"/>
                  <w:sz w:val="24"/>
                  <w:szCs w:val="24"/>
                </w:rPr>
                <w:t>hiannon.howard@ohioAGO.gov</w:t>
              </w:r>
            </w:hyperlink>
          </w:p>
          <w:p w:rsidR="003E3855" w:rsidRPr="00EF64A9" w:rsidP="00D76033" w14:paraId="6D895E87" w14:textId="77777777">
            <w:pPr>
              <w:pStyle w:val="CommentText"/>
              <w:jc w:val="both"/>
              <w:rPr>
                <w:bCs/>
                <w:sz w:val="24"/>
                <w:szCs w:val="24"/>
              </w:rPr>
            </w:pPr>
          </w:p>
          <w:p w:rsidR="003E3855" w:rsidRPr="00EF64A9" w:rsidP="00D76033" w14:paraId="49FC4DD7" w14:textId="77777777">
            <w:pPr>
              <w:pStyle w:val="CommentText"/>
              <w:jc w:val="both"/>
              <w:rPr>
                <w:bCs/>
                <w:sz w:val="24"/>
                <w:szCs w:val="24"/>
              </w:rPr>
            </w:pPr>
            <w:r w:rsidRPr="00EF64A9">
              <w:rPr>
                <w:bCs/>
                <w:sz w:val="24"/>
                <w:szCs w:val="24"/>
              </w:rPr>
              <w:t>Attorney Examiners:</w:t>
            </w:r>
          </w:p>
          <w:p w:rsidR="003E3855" w:rsidRPr="00EF64A9" w:rsidP="00D76033" w14:paraId="6F43010D" w14:textId="77777777">
            <w:pPr>
              <w:pStyle w:val="CommentText"/>
              <w:jc w:val="both"/>
              <w:rPr>
                <w:bCs/>
                <w:sz w:val="24"/>
                <w:szCs w:val="24"/>
              </w:rPr>
            </w:pPr>
            <w:hyperlink r:id="rId14" w:history="1">
              <w:r w:rsidRPr="00EF64A9">
                <w:rPr>
                  <w:rStyle w:val="Hyperlink"/>
                  <w:bCs/>
                  <w:sz w:val="24"/>
                  <w:szCs w:val="24"/>
                </w:rPr>
                <w:t>Jacqueline.st.john@puco.ohio.gov</w:t>
              </w:r>
            </w:hyperlink>
          </w:p>
          <w:p w:rsidR="003E3855" w:rsidRPr="00EF64A9" w:rsidP="00D76033" w14:paraId="788C48A7" w14:textId="77777777">
            <w:pPr>
              <w:pStyle w:val="CommentText"/>
              <w:jc w:val="both"/>
              <w:rPr>
                <w:bCs/>
                <w:sz w:val="24"/>
                <w:szCs w:val="24"/>
              </w:rPr>
            </w:pPr>
            <w:hyperlink r:id="rId15" w:history="1">
              <w:r w:rsidRPr="00EF64A9">
                <w:rPr>
                  <w:rStyle w:val="Hyperlink"/>
                  <w:bCs/>
                  <w:sz w:val="24"/>
                  <w:szCs w:val="24"/>
                </w:rPr>
                <w:t>Michael.williams@puco.ohio.gov</w:t>
              </w:r>
            </w:hyperlink>
          </w:p>
          <w:p w:rsidR="003E3855" w:rsidRPr="00EF64A9" w:rsidP="00D76033" w14:paraId="38CC3577" w14:textId="77777777">
            <w:pPr>
              <w:pStyle w:val="CommentText"/>
              <w:jc w:val="both"/>
              <w:rPr>
                <w:bCs/>
                <w:sz w:val="24"/>
                <w:szCs w:val="24"/>
              </w:rPr>
            </w:pPr>
          </w:p>
        </w:tc>
        <w:tc>
          <w:tcPr>
            <w:tcW w:w="4315" w:type="dxa"/>
          </w:tcPr>
          <w:p w:rsidR="003E3855" w:rsidRPr="00EF64A9" w:rsidP="00D76033" w14:paraId="0D2BE762" w14:textId="77777777">
            <w:pPr>
              <w:pStyle w:val="CommentText"/>
              <w:ind w:left="78"/>
              <w:rPr>
                <w:color w:val="0000FF"/>
                <w:sz w:val="24"/>
                <w:szCs w:val="24"/>
              </w:rPr>
            </w:pPr>
            <w:hyperlink r:id="rId16" w:history="1">
              <w:r w:rsidRPr="00EF64A9">
                <w:rPr>
                  <w:rStyle w:val="Hyperlink"/>
                  <w:sz w:val="24"/>
                  <w:szCs w:val="24"/>
                </w:rPr>
                <w:t>randall.griffin@aes.com</w:t>
              </w:r>
            </w:hyperlink>
          </w:p>
          <w:p w:rsidR="003E3855" w:rsidRPr="00EF64A9" w:rsidP="00D76033" w14:paraId="68584336" w14:textId="77777777">
            <w:pPr>
              <w:pStyle w:val="CommentText"/>
              <w:ind w:left="77"/>
              <w:rPr>
                <w:rStyle w:val="Hyperlink"/>
                <w:bCs/>
                <w:sz w:val="24"/>
                <w:szCs w:val="24"/>
              </w:rPr>
            </w:pPr>
            <w:hyperlink r:id="rId17" w:history="1">
              <w:r w:rsidRPr="00EF64A9">
                <w:rPr>
                  <w:rStyle w:val="Hyperlink"/>
                  <w:bCs/>
                  <w:sz w:val="24"/>
                  <w:szCs w:val="24"/>
                </w:rPr>
                <w:t>christopher.hollon@aes.com</w:t>
              </w:r>
            </w:hyperlink>
          </w:p>
          <w:p w:rsidR="003E3855" w:rsidRPr="00EF64A9" w:rsidP="00D76033" w14:paraId="1D1759B1" w14:textId="77777777">
            <w:pPr>
              <w:pStyle w:val="CommentText"/>
              <w:rPr>
                <w:b/>
                <w:sz w:val="24"/>
                <w:szCs w:val="24"/>
                <w:u w:val="single"/>
              </w:rPr>
            </w:pPr>
          </w:p>
        </w:tc>
      </w:tr>
    </w:tbl>
    <w:p w:rsidR="00CC46CF" w:rsidRPr="00EF64A9" w:rsidP="00E07A16" w14:paraId="61CE0B14" w14:textId="77777777">
      <w:pPr>
        <w:pStyle w:val="CommentText"/>
        <w:jc w:val="center"/>
        <w:rPr>
          <w:b/>
          <w:bCs/>
          <w:sz w:val="24"/>
          <w:szCs w:val="24"/>
          <w:u w:val="single"/>
        </w:rPr>
      </w:pPr>
    </w:p>
    <w:sectPr w:rsidSect="00073041">
      <w:footerReference w:type="default" r:id="rId18"/>
      <w:pgSz w:w="12240" w:h="15840" w:code="1"/>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245DA07F" w14:textId="6EEF25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4059673"/>
      <w:docPartObj>
        <w:docPartGallery w:val="Page Numbers (Bottom of Page)"/>
        <w:docPartUnique/>
      </w:docPartObj>
    </w:sdtPr>
    <w:sdtEndPr>
      <w:rPr>
        <w:noProof/>
      </w:rPr>
    </w:sdtEndPr>
    <w:sdtContent>
      <w:p w:rsidR="000E53BE" w14:paraId="7A175F8E" w14:textId="297FAA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4947219"/>
      <w:docPartObj>
        <w:docPartGallery w:val="Page Numbers (Bottom of Page)"/>
        <w:docPartUnique/>
      </w:docPartObj>
    </w:sdtPr>
    <w:sdtEndPr>
      <w:rPr>
        <w:noProof/>
      </w:rPr>
    </w:sdtEndPr>
    <w:sdtContent>
      <w:p w:rsidR="00073041" w14:paraId="1E916AD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01F92" w14:paraId="633BF82F" w14:textId="77777777">
      <w:r>
        <w:separator/>
      </w:r>
    </w:p>
  </w:footnote>
  <w:footnote w:type="continuationSeparator" w:id="1">
    <w:p w:rsidR="00F01F92" w14:paraId="1F15FBAC" w14:textId="77777777">
      <w:r>
        <w:continuationSeparator/>
      </w:r>
    </w:p>
  </w:footnote>
  <w:footnote w:id="2">
    <w:p w:rsidR="00491A91" w:rsidRPr="00EF64A9" w:rsidP="00EF64A9" w14:paraId="5EB74C9B" w14:textId="77777777">
      <w:pPr>
        <w:pStyle w:val="FootnoteText"/>
      </w:pPr>
      <w:r w:rsidRPr="00EF64A9">
        <w:rPr>
          <w:rStyle w:val="FootnoteReference"/>
        </w:rPr>
        <w:footnoteRef/>
      </w:r>
      <w:r w:rsidRPr="00EF64A9">
        <w:t xml:space="preserve"> R.C. 4928.11(B).</w:t>
      </w:r>
    </w:p>
  </w:footnote>
  <w:footnote w:id="3">
    <w:p w:rsidR="007622B3" w:rsidRPr="00EF64A9" w:rsidP="00EF64A9" w14:paraId="62C907C5" w14:textId="1572BE4E">
      <w:pPr>
        <w:pStyle w:val="FootnoteText"/>
      </w:pPr>
      <w:r w:rsidRPr="00EF64A9">
        <w:rPr>
          <w:rStyle w:val="FootnoteReference"/>
        </w:rPr>
        <w:footnoteRef/>
      </w:r>
      <w:r w:rsidRPr="00EF64A9">
        <w:t xml:space="preserve"> Case No. 15-1830-EL-AIR.</w:t>
      </w:r>
    </w:p>
  </w:footnote>
  <w:footnote w:id="4">
    <w:p w:rsidR="007622B3" w:rsidRPr="00EF64A9" w:rsidP="00EF64A9" w14:paraId="7F2CE2A3" w14:textId="3CE5CCCF">
      <w:pPr>
        <w:pStyle w:val="FootnoteText"/>
      </w:pPr>
      <w:r w:rsidRPr="00EF64A9">
        <w:rPr>
          <w:rStyle w:val="FootnoteReference"/>
        </w:rPr>
        <w:footnoteRef/>
      </w:r>
      <w:r w:rsidRPr="00EF64A9">
        <w:t xml:space="preserve"> Case No. 18-1875-EL-GRD.</w:t>
      </w:r>
    </w:p>
  </w:footnote>
  <w:footnote w:id="5">
    <w:p w:rsidR="00984970" w:rsidRPr="00EF64A9" w:rsidP="00EF64A9" w14:paraId="6054FA1A" w14:textId="435F15D7">
      <w:pPr>
        <w:pStyle w:val="FootnoteText"/>
      </w:pPr>
      <w:r w:rsidRPr="00EF64A9">
        <w:rPr>
          <w:rStyle w:val="FootnoteReference"/>
        </w:rPr>
        <w:footnoteRef/>
      </w:r>
      <w:r w:rsidRPr="00EF64A9">
        <w:t xml:space="preserve"> </w:t>
      </w:r>
      <w:r w:rsidRPr="00EF64A9">
        <w:rPr>
          <w:i/>
          <w:iCs/>
        </w:rPr>
        <w:t xml:space="preserve">In the Matter of the Application of </w:t>
      </w:r>
      <w:r w:rsidR="00A264BB">
        <w:rPr>
          <w:i/>
          <w:iCs/>
        </w:rPr>
        <w:t>t</w:t>
      </w:r>
      <w:r w:rsidRPr="00EF64A9">
        <w:rPr>
          <w:i/>
          <w:iCs/>
        </w:rPr>
        <w:t>he Dayton Power and Light Company d/b/a AES Ohio for Establishing New Reliability Standards</w:t>
      </w:r>
      <w:r w:rsidR="00246D61">
        <w:t>,</w:t>
      </w:r>
      <w:r w:rsidRPr="00EF64A9">
        <w:t xml:space="preserve"> Case No. 21-956-EL-ESS, Amended Application (March 18, 2022). </w:t>
      </w:r>
    </w:p>
  </w:footnote>
  <w:footnote w:id="6">
    <w:p w:rsidR="003F092C" w:rsidRPr="00EF64A9" w:rsidP="00EF64A9" w14:paraId="67128494" w14:textId="55518557">
      <w:pPr>
        <w:pStyle w:val="FootnoteText"/>
      </w:pPr>
      <w:r w:rsidRPr="00EF64A9">
        <w:rPr>
          <w:rStyle w:val="FootnoteReference"/>
        </w:rPr>
        <w:footnoteRef/>
      </w:r>
      <w:r w:rsidRPr="00EF64A9">
        <w:t xml:space="preserve"> O.A.C. 4901:1-10-10(B)(1).</w:t>
      </w:r>
    </w:p>
  </w:footnote>
  <w:footnote w:id="7">
    <w:p w:rsidR="009C6E88" w:rsidRPr="00EF64A9" w:rsidP="00EF64A9" w14:paraId="782738EC" w14:textId="77777777">
      <w:pPr>
        <w:pStyle w:val="FootnoteText"/>
      </w:pPr>
      <w:r w:rsidRPr="00EF64A9">
        <w:rPr>
          <w:rStyle w:val="FootnoteReference"/>
        </w:rPr>
        <w:footnoteRef/>
      </w:r>
      <w:r w:rsidRPr="00EF64A9">
        <w:t xml:space="preserve"> Williams’ Direct at 5.</w:t>
      </w:r>
    </w:p>
  </w:footnote>
  <w:footnote w:id="8">
    <w:p w:rsidR="009C6E88" w:rsidRPr="00EF64A9" w:rsidP="00EF64A9" w14:paraId="13BFA4DB" w14:textId="77777777">
      <w:pPr>
        <w:pStyle w:val="FootnoteText"/>
      </w:pPr>
      <w:r w:rsidRPr="00EF64A9">
        <w:rPr>
          <w:rStyle w:val="FootnoteReference"/>
        </w:rPr>
        <w:footnoteRef/>
      </w:r>
      <w:r w:rsidRPr="00EF64A9">
        <w:t xml:space="preserve"> Williams’ Direct at 5; O.A.C. 4901:1-10-10(B)(4).</w:t>
      </w:r>
    </w:p>
  </w:footnote>
  <w:footnote w:id="9">
    <w:p w:rsidR="009C6E88" w:rsidRPr="00EF64A9" w:rsidP="00EF64A9" w14:paraId="3A24276C" w14:textId="77777777">
      <w:pPr>
        <w:pStyle w:val="FootnoteText"/>
      </w:pPr>
      <w:r w:rsidRPr="00EF64A9">
        <w:rPr>
          <w:rStyle w:val="FootnoteReference"/>
        </w:rPr>
        <w:footnoteRef/>
      </w:r>
      <w:r w:rsidRPr="00EF64A9">
        <w:t xml:space="preserve"> </w:t>
      </w:r>
      <w:r w:rsidRPr="00EF64A9">
        <w:rPr>
          <w:i/>
          <w:iCs/>
        </w:rPr>
        <w:t>Id.</w:t>
      </w:r>
      <w:r w:rsidRPr="00EF64A9">
        <w:t xml:space="preserve"> </w:t>
      </w:r>
    </w:p>
  </w:footnote>
  <w:footnote w:id="10">
    <w:p w:rsidR="009C6E88" w:rsidRPr="00EF64A9" w:rsidP="00EF64A9" w14:paraId="1809271D" w14:textId="77777777">
      <w:pPr>
        <w:pStyle w:val="FootnoteText"/>
      </w:pPr>
      <w:r w:rsidRPr="00EF64A9">
        <w:rPr>
          <w:rStyle w:val="FootnoteReference"/>
        </w:rPr>
        <w:footnoteRef/>
      </w:r>
      <w:r w:rsidRPr="00EF64A9">
        <w:t xml:space="preserve"> </w:t>
      </w:r>
      <w:r w:rsidRPr="00EF64A9">
        <w:rPr>
          <w:i/>
          <w:iCs/>
        </w:rPr>
        <w:t>Id.</w:t>
      </w:r>
    </w:p>
  </w:footnote>
  <w:footnote w:id="11">
    <w:p w:rsidR="009C6E88" w:rsidRPr="00EF64A9" w:rsidP="00EF64A9" w14:paraId="322E44F3" w14:textId="77777777">
      <w:pPr>
        <w:pStyle w:val="FootnoteText"/>
      </w:pPr>
      <w:r w:rsidRPr="00EF64A9">
        <w:rPr>
          <w:rStyle w:val="FootnoteReference"/>
        </w:rPr>
        <w:footnoteRef/>
      </w:r>
      <w:r w:rsidRPr="00EF64A9">
        <w:t xml:space="preserve"> Williams’ Direct at 6.</w:t>
      </w:r>
    </w:p>
  </w:footnote>
  <w:footnote w:id="12">
    <w:p w:rsidR="009C6E88" w:rsidRPr="00EF64A9" w:rsidP="00EF64A9" w14:paraId="3417E7B5" w14:textId="77777777">
      <w:pPr>
        <w:pStyle w:val="FootnoteText"/>
        <w:rPr>
          <w:i/>
          <w:iCs/>
        </w:rPr>
      </w:pPr>
      <w:r w:rsidRPr="00EF64A9">
        <w:rPr>
          <w:rStyle w:val="FootnoteReference"/>
        </w:rPr>
        <w:footnoteRef/>
      </w:r>
      <w:r w:rsidRPr="00EF64A9">
        <w:t xml:space="preserve"> </w:t>
      </w:r>
      <w:r w:rsidRPr="00EF64A9">
        <w:rPr>
          <w:i/>
          <w:iCs/>
        </w:rPr>
        <w:t>Id.</w:t>
      </w:r>
    </w:p>
  </w:footnote>
  <w:footnote w:id="13">
    <w:p w:rsidR="009C6E88" w:rsidRPr="00EF64A9" w:rsidP="00EF64A9" w14:paraId="1420E4E5" w14:textId="77777777">
      <w:pPr>
        <w:pStyle w:val="FootnoteText"/>
      </w:pPr>
      <w:r w:rsidRPr="00EF64A9">
        <w:rPr>
          <w:rStyle w:val="FootnoteReference"/>
        </w:rPr>
        <w:footnoteRef/>
      </w:r>
      <w:r w:rsidRPr="00EF64A9">
        <w:t xml:space="preserve"> </w:t>
      </w:r>
      <w:r w:rsidRPr="00EF64A9">
        <w:rPr>
          <w:i/>
          <w:iCs/>
        </w:rPr>
        <w:t>Id.</w:t>
      </w:r>
    </w:p>
  </w:footnote>
  <w:footnote w:id="14">
    <w:p w:rsidR="005E0163" w:rsidRPr="00EF64A9" w:rsidP="00EF64A9" w14:paraId="7ACCFF6F" w14:textId="358043B3">
      <w:pPr>
        <w:pStyle w:val="FootnoteText"/>
      </w:pPr>
      <w:r w:rsidRPr="00EF64A9">
        <w:rPr>
          <w:rStyle w:val="FootnoteReference"/>
        </w:rPr>
        <w:footnoteRef/>
      </w:r>
      <w:r w:rsidRPr="00EF64A9">
        <w:t xml:space="preserve"> Annual </w:t>
      </w:r>
      <w:r w:rsidRPr="00EF64A9" w:rsidR="00B03E1E">
        <w:t>O.A.C.</w:t>
      </w:r>
      <w:r w:rsidRPr="00EF64A9">
        <w:t xml:space="preserve"> 4901:1-10-10 Reliability Reports.</w:t>
      </w:r>
    </w:p>
  </w:footnote>
  <w:footnote w:id="15">
    <w:p w:rsidR="002A3D08" w:rsidRPr="00EF64A9" w:rsidP="00EF64A9" w14:paraId="5CDB6329" w14:textId="6528F2CD">
      <w:pPr>
        <w:pStyle w:val="FootnoteText"/>
      </w:pPr>
      <w:r w:rsidRPr="00EF64A9">
        <w:rPr>
          <w:rStyle w:val="FootnoteReference"/>
        </w:rPr>
        <w:footnoteRef/>
      </w:r>
      <w:r w:rsidRPr="00EF64A9">
        <w:t xml:space="preserve"> </w:t>
      </w:r>
      <w:r w:rsidRPr="00EF64A9" w:rsidR="004223B3">
        <w:t>Williams</w:t>
      </w:r>
      <w:r w:rsidRPr="00EF64A9" w:rsidR="00EB7B09">
        <w:t>’</w:t>
      </w:r>
      <w:r w:rsidRPr="00EF64A9" w:rsidR="004223B3">
        <w:t xml:space="preserve"> Direct at 8.</w:t>
      </w:r>
    </w:p>
  </w:footnote>
  <w:footnote w:id="16">
    <w:p w:rsidR="00260A59" w:rsidRPr="00EF64A9" w:rsidP="00EF64A9" w14:paraId="1C054F4E" w14:textId="669819BC">
      <w:pPr>
        <w:pStyle w:val="FootnoteText"/>
      </w:pPr>
      <w:r w:rsidRPr="00EF64A9">
        <w:rPr>
          <w:rStyle w:val="FootnoteReference"/>
        </w:rPr>
        <w:footnoteRef/>
      </w:r>
      <w:r w:rsidRPr="00EF64A9">
        <w:t xml:space="preserve"> </w:t>
      </w:r>
      <w:r w:rsidRPr="00EF64A9" w:rsidR="00D44630">
        <w:t>Prefiled</w:t>
      </w:r>
      <w:r w:rsidRPr="00EF64A9">
        <w:t xml:space="preserve"> Testimony of Jacob Nicodemus</w:t>
      </w:r>
      <w:r w:rsidRPr="00EF64A9" w:rsidR="008E2768">
        <w:t xml:space="preserve"> (</w:t>
      </w:r>
      <w:r w:rsidRPr="00EF64A9" w:rsidR="004F467A">
        <w:t>December 19, 2022) at 6 (“</w:t>
      </w:r>
      <w:r w:rsidRPr="00EF64A9" w:rsidR="00F91AD4">
        <w:t xml:space="preserve">PUCO </w:t>
      </w:r>
      <w:r w:rsidRPr="00EF64A9" w:rsidR="004F467A">
        <w:t>Staff</w:t>
      </w:r>
      <w:r w:rsidRPr="00EF64A9" w:rsidR="00F91AD4">
        <w:t>”).</w:t>
      </w:r>
    </w:p>
  </w:footnote>
  <w:footnote w:id="17">
    <w:p w:rsidR="004223B3" w:rsidRPr="00EF64A9" w:rsidP="00EF64A9" w14:paraId="233A9B34" w14:textId="734C4257">
      <w:pPr>
        <w:pStyle w:val="FootnoteText"/>
        <w:rPr>
          <w:i/>
          <w:iCs/>
        </w:rPr>
      </w:pPr>
      <w:r w:rsidRPr="00EF64A9">
        <w:rPr>
          <w:rStyle w:val="FootnoteReference"/>
        </w:rPr>
        <w:footnoteRef/>
      </w:r>
      <w:r w:rsidRPr="00EF64A9">
        <w:t xml:space="preserve"> </w:t>
      </w:r>
      <w:r w:rsidRPr="00EF64A9" w:rsidR="00A47AE4">
        <w:rPr>
          <w:i/>
          <w:iCs/>
        </w:rPr>
        <w:t xml:space="preserve">Id. </w:t>
      </w:r>
      <w:r w:rsidRPr="00EF64A9" w:rsidR="005644C9">
        <w:t>at 6-7.</w:t>
      </w:r>
    </w:p>
  </w:footnote>
  <w:footnote w:id="18">
    <w:p w:rsidR="00A47AE4" w:rsidRPr="00EF64A9" w:rsidP="00EF64A9" w14:paraId="2CD9B7E5" w14:textId="6EF78D18">
      <w:pPr>
        <w:pStyle w:val="FootnoteText"/>
        <w:rPr>
          <w:i/>
          <w:iCs/>
        </w:rPr>
      </w:pPr>
      <w:r w:rsidRPr="00EF64A9">
        <w:rPr>
          <w:rStyle w:val="FootnoteReference"/>
        </w:rPr>
        <w:footnoteRef/>
      </w:r>
      <w:r w:rsidRPr="00EF64A9">
        <w:t xml:space="preserve"> </w:t>
      </w:r>
      <w:r w:rsidRPr="00EF64A9" w:rsidR="005644C9">
        <w:t>Williams</w:t>
      </w:r>
      <w:r w:rsidRPr="00EF64A9" w:rsidR="00EB7B09">
        <w:t>’</w:t>
      </w:r>
      <w:r w:rsidRPr="00EF64A9" w:rsidR="005644C9">
        <w:t xml:space="preserve"> Direct at 8.</w:t>
      </w:r>
      <w:r w:rsidRPr="00EF64A9">
        <w:rPr>
          <w:i/>
          <w:iCs/>
        </w:rPr>
        <w:t xml:space="preserve"> </w:t>
      </w:r>
    </w:p>
  </w:footnote>
  <w:footnote w:id="19">
    <w:p w:rsidR="00A27326" w:rsidRPr="00EF64A9" w:rsidP="00EF64A9" w14:paraId="25704FF2" w14:textId="77777777">
      <w:pPr>
        <w:pStyle w:val="FootnoteText"/>
      </w:pPr>
      <w:r w:rsidRPr="00EF64A9">
        <w:rPr>
          <w:rStyle w:val="FootnoteReference"/>
        </w:rPr>
        <w:footnoteRef/>
      </w:r>
      <w:r w:rsidRPr="00EF64A9">
        <w:t xml:space="preserve"> </w:t>
      </w:r>
      <w:r w:rsidRPr="00EF64A9">
        <w:rPr>
          <w:i/>
          <w:iCs/>
        </w:rPr>
        <w:t>In the Matter of the Commission’s Investigation into AES Ohio’s Compliance with the Ohio Administrative Code and Potential Remedial Action</w:t>
      </w:r>
      <w:r w:rsidRPr="00EF64A9">
        <w:t>, Case No. 21-1220-EL-UNC, Entry (April 8, 2022).</w:t>
      </w:r>
    </w:p>
  </w:footnote>
  <w:footnote w:id="20">
    <w:p w:rsidR="00A24180" w:rsidRPr="00EF64A9" w:rsidP="00EF64A9" w14:paraId="697E3BDF" w14:textId="271CEE66">
      <w:pPr>
        <w:pStyle w:val="FootnoteText"/>
      </w:pPr>
      <w:r w:rsidRPr="00EF64A9">
        <w:rPr>
          <w:rStyle w:val="FootnoteReference"/>
        </w:rPr>
        <w:footnoteRef/>
      </w:r>
      <w:r w:rsidRPr="00EF64A9">
        <w:t xml:space="preserve"> </w:t>
      </w:r>
      <w:r w:rsidRPr="00EF64A9">
        <w:rPr>
          <w:i/>
          <w:iCs/>
        </w:rPr>
        <w:t xml:space="preserve">In the Matter of the Application of </w:t>
      </w:r>
      <w:r w:rsidR="000008AA">
        <w:rPr>
          <w:i/>
          <w:iCs/>
        </w:rPr>
        <w:t>t</w:t>
      </w:r>
      <w:r w:rsidRPr="00EF64A9">
        <w:rPr>
          <w:i/>
          <w:iCs/>
        </w:rPr>
        <w:t xml:space="preserve">he Dayton Power and Light Company for an Increase in </w:t>
      </w:r>
      <w:r w:rsidR="002E5654">
        <w:rPr>
          <w:i/>
          <w:iCs/>
        </w:rPr>
        <w:t>I</w:t>
      </w:r>
      <w:r w:rsidRPr="00EF64A9">
        <w:rPr>
          <w:i/>
          <w:iCs/>
        </w:rPr>
        <w:t>ts Electric Distribution Rates</w:t>
      </w:r>
      <w:r w:rsidRPr="00EF64A9">
        <w:t>, Case 15-1830-EL-AIR, Opinion and Order (September 26, 2018) at 34 and 39.</w:t>
      </w:r>
    </w:p>
  </w:footnote>
  <w:footnote w:id="21">
    <w:p w:rsidR="007C3883" w:rsidRPr="00EF64A9" w:rsidP="00EF64A9" w14:paraId="11958A40" w14:textId="764FCC61">
      <w:pPr>
        <w:pStyle w:val="FootnoteText"/>
      </w:pPr>
      <w:r w:rsidRPr="00EF64A9">
        <w:rPr>
          <w:rStyle w:val="FootnoteReference"/>
        </w:rPr>
        <w:footnoteRef/>
      </w:r>
      <w:r w:rsidRPr="00EF64A9">
        <w:t xml:space="preserve"> PUCO Staff at </w:t>
      </w:r>
      <w:r w:rsidRPr="00EF64A9" w:rsidR="008148CE">
        <w:t>10-11.</w:t>
      </w:r>
    </w:p>
  </w:footnote>
  <w:footnote w:id="22">
    <w:p w:rsidR="00592294" w:rsidRPr="00EF64A9" w:rsidP="00EF64A9" w14:paraId="4A67C4F0" w14:textId="4A173D40">
      <w:pPr>
        <w:pStyle w:val="FootnoteText"/>
      </w:pPr>
      <w:r w:rsidRPr="00EF64A9">
        <w:rPr>
          <w:rStyle w:val="FootnoteReference"/>
        </w:rPr>
        <w:footnoteRef/>
      </w:r>
      <w:r w:rsidRPr="00EF64A9">
        <w:t xml:space="preserve"> </w:t>
      </w:r>
      <w:r w:rsidRPr="00EF64A9" w:rsidR="00FA6F90">
        <w:t>Williams’ Direct at 8-9.</w:t>
      </w:r>
    </w:p>
  </w:footnote>
  <w:footnote w:id="23">
    <w:p w:rsidR="0042357C" w:rsidRPr="00EF64A9" w:rsidP="00EF64A9" w14:paraId="7F2608BA" w14:textId="6AFA85DB">
      <w:pPr>
        <w:pStyle w:val="FootnoteText"/>
      </w:pPr>
      <w:r w:rsidRPr="00EF64A9">
        <w:rPr>
          <w:rStyle w:val="FootnoteReference"/>
        </w:rPr>
        <w:footnoteRef/>
      </w:r>
      <w:r w:rsidRPr="00EF64A9">
        <w:t xml:space="preserve"> PUCO Staff at 10-11.</w:t>
      </w:r>
    </w:p>
  </w:footnote>
  <w:footnote w:id="24">
    <w:p w:rsidR="00C95B2F" w:rsidRPr="00EF64A9" w:rsidP="00EF64A9" w14:paraId="1C2F5D97" w14:textId="321979BC">
      <w:pPr>
        <w:pStyle w:val="FootnoteText"/>
      </w:pPr>
      <w:r w:rsidRPr="00EF64A9">
        <w:rPr>
          <w:rStyle w:val="FootnoteReference"/>
        </w:rPr>
        <w:footnoteRef/>
      </w:r>
      <w:r w:rsidRPr="00EF64A9">
        <w:t xml:space="preserve"> </w:t>
      </w:r>
      <w:r w:rsidRPr="00EF64A9" w:rsidR="00272ABA">
        <w:rPr>
          <w:i/>
          <w:iCs/>
        </w:rPr>
        <w:t xml:space="preserve">Id. </w:t>
      </w:r>
    </w:p>
  </w:footnote>
  <w:footnote w:id="25">
    <w:p w:rsidR="00033B47" w:rsidRPr="00EF64A9" w:rsidP="00EF64A9" w14:paraId="38B0CB5B" w14:textId="4B26509E">
      <w:pPr>
        <w:pStyle w:val="FootnoteText"/>
      </w:pPr>
      <w:r w:rsidRPr="00EF64A9">
        <w:rPr>
          <w:rStyle w:val="FootnoteReference"/>
        </w:rPr>
        <w:footnoteRef/>
      </w:r>
      <w:r w:rsidRPr="00EF64A9">
        <w:t xml:space="preserve"> </w:t>
      </w:r>
      <w:r w:rsidRPr="00EF64A9" w:rsidR="00272ABA">
        <w:t>Williams’ Direct at 8-9.</w:t>
      </w:r>
    </w:p>
  </w:footnote>
  <w:footnote w:id="26">
    <w:p w:rsidR="0034583B" w:rsidRPr="00EF64A9" w:rsidP="00EF64A9" w14:paraId="100AC40C" w14:textId="354912CB">
      <w:pPr>
        <w:pStyle w:val="FootnoteText"/>
      </w:pPr>
      <w:r w:rsidRPr="00EF64A9">
        <w:rPr>
          <w:rStyle w:val="FootnoteReference"/>
        </w:rPr>
        <w:footnoteRef/>
      </w:r>
      <w:r w:rsidRPr="00EF64A9">
        <w:t xml:space="preserve"> </w:t>
      </w:r>
      <w:r w:rsidRPr="00EF64A9" w:rsidR="00FB1E7E">
        <w:t>Williams’ Direct at 9.</w:t>
      </w:r>
    </w:p>
  </w:footnote>
  <w:footnote w:id="27">
    <w:p w:rsidR="008A23E6" w:rsidRPr="00EF64A9" w:rsidP="00EF64A9" w14:paraId="2B295FCA" w14:textId="77777777">
      <w:pPr>
        <w:pStyle w:val="FootnoteText"/>
        <w:rPr>
          <w:i/>
          <w:iCs/>
        </w:rPr>
      </w:pPr>
      <w:r w:rsidRPr="00EF64A9">
        <w:rPr>
          <w:rStyle w:val="FootnoteReference"/>
        </w:rPr>
        <w:footnoteRef/>
      </w:r>
      <w:r w:rsidRPr="00EF64A9">
        <w:t xml:space="preserve"> </w:t>
      </w:r>
      <w:r w:rsidRPr="00EF64A9">
        <w:rPr>
          <w:i/>
          <w:iCs/>
        </w:rPr>
        <w:t>Id.</w:t>
      </w:r>
    </w:p>
  </w:footnote>
  <w:footnote w:id="28">
    <w:p w:rsidR="00886C09" w:rsidRPr="00EF64A9" w:rsidP="00EF64A9" w14:paraId="520AD4EF" w14:textId="77777777">
      <w:pPr>
        <w:pStyle w:val="FootnoteText"/>
      </w:pPr>
      <w:r w:rsidRPr="00EF64A9">
        <w:rPr>
          <w:rStyle w:val="FootnoteReference"/>
        </w:rPr>
        <w:footnoteRef/>
      </w:r>
      <w:r w:rsidRPr="00EF64A9">
        <w:t xml:space="preserve"> </w:t>
      </w:r>
      <w:r w:rsidRPr="00EF64A9">
        <w:rPr>
          <w:i/>
          <w:iCs/>
        </w:rPr>
        <w:t xml:space="preserve">Id. </w:t>
      </w:r>
      <w:r w:rsidRPr="00EF64A9">
        <w:t>at 10</w:t>
      </w:r>
      <w:r w:rsidRPr="00EF64A9">
        <w:rPr>
          <w:i/>
          <w:iCs/>
        </w:rPr>
        <w:t>.</w:t>
      </w:r>
    </w:p>
  </w:footnote>
  <w:footnote w:id="29">
    <w:p w:rsidR="00594B67" w:rsidRPr="00EF64A9" w:rsidP="00EF64A9" w14:paraId="2BDAD182" w14:textId="5AEF5FDF">
      <w:pPr>
        <w:pStyle w:val="FootnoteText"/>
      </w:pPr>
      <w:r w:rsidRPr="00EF64A9">
        <w:rPr>
          <w:rStyle w:val="FootnoteReference"/>
        </w:rPr>
        <w:footnoteRef/>
      </w:r>
      <w:r w:rsidRPr="00EF64A9">
        <w:t xml:space="preserve"> </w:t>
      </w:r>
      <w:r w:rsidRPr="00EF64A9">
        <w:rPr>
          <w:i/>
          <w:iCs/>
        </w:rPr>
        <w:t>Id.</w:t>
      </w:r>
    </w:p>
  </w:footnote>
  <w:footnote w:id="30">
    <w:p w:rsidR="00BF7DFE" w:rsidRPr="00EF64A9" w:rsidP="00EF64A9" w14:paraId="6F949B53" w14:textId="490DCBE1">
      <w:pPr>
        <w:pStyle w:val="FootnoteText"/>
      </w:pPr>
      <w:r w:rsidRPr="00EF64A9">
        <w:rPr>
          <w:rStyle w:val="FootnoteReference"/>
        </w:rPr>
        <w:footnoteRef/>
      </w:r>
      <w:r w:rsidRPr="00EF64A9">
        <w:t xml:space="preserve"> </w:t>
      </w:r>
      <w:r w:rsidRPr="00EF64A9" w:rsidR="001126DE">
        <w:t>Williams</w:t>
      </w:r>
      <w:r w:rsidR="00EE5A87">
        <w:t>’</w:t>
      </w:r>
      <w:r w:rsidRPr="00EF64A9" w:rsidR="001126DE">
        <w:t xml:space="preserve"> Direct at </w:t>
      </w:r>
      <w:r w:rsidRPr="00EF64A9" w:rsidR="00A5134F">
        <w:t xml:space="preserve">11; PUCO Staff at </w:t>
      </w:r>
      <w:r w:rsidRPr="00EF64A9" w:rsidR="00730B8A">
        <w:t>11-12.</w:t>
      </w:r>
    </w:p>
  </w:footnote>
  <w:footnote w:id="31">
    <w:p w:rsidR="003A22C9" w:rsidRPr="00EF64A9" w:rsidP="00EF64A9" w14:paraId="3EC8E602" w14:textId="41396052">
      <w:pPr>
        <w:pStyle w:val="FootnoteText"/>
      </w:pPr>
      <w:r w:rsidRPr="00EF64A9">
        <w:rPr>
          <w:rStyle w:val="FootnoteReference"/>
        </w:rPr>
        <w:footnoteRef/>
      </w:r>
      <w:r w:rsidRPr="00EF64A9">
        <w:t xml:space="preserve"> </w:t>
      </w:r>
      <w:r w:rsidRPr="00EF64A9" w:rsidR="00832415">
        <w:rPr>
          <w:i/>
          <w:iCs/>
        </w:rPr>
        <w:t xml:space="preserve">Id. </w:t>
      </w:r>
      <w:r w:rsidRPr="00EF64A9" w:rsidR="00832415">
        <w:t>at 11</w:t>
      </w:r>
      <w:r w:rsidRPr="00EF64A9" w:rsidR="00832415">
        <w:rPr>
          <w:i/>
          <w:iCs/>
        </w:rPr>
        <w:t>.</w:t>
      </w:r>
    </w:p>
  </w:footnote>
  <w:footnote w:id="32">
    <w:p w:rsidR="0017671B" w:rsidRPr="00EF64A9" w:rsidP="00EF64A9" w14:paraId="1A2BBD6A" w14:textId="77777777">
      <w:pPr>
        <w:pStyle w:val="FootnoteText"/>
      </w:pPr>
      <w:r w:rsidRPr="00EF64A9">
        <w:rPr>
          <w:rStyle w:val="FootnoteReference"/>
        </w:rPr>
        <w:footnoteRef/>
      </w:r>
      <w:r w:rsidRPr="00EF64A9">
        <w:t xml:space="preserve"> </w:t>
      </w:r>
      <w:r w:rsidRPr="00EF64A9">
        <w:rPr>
          <w:i/>
          <w:iCs/>
        </w:rPr>
        <w:t>Id.</w:t>
      </w:r>
    </w:p>
  </w:footnote>
  <w:footnote w:id="33">
    <w:p w:rsidR="0010430F" w:rsidRPr="00EF64A9" w:rsidP="00EF64A9" w14:paraId="459A38B5" w14:textId="10100335">
      <w:pPr>
        <w:pStyle w:val="FootnoteText"/>
      </w:pPr>
      <w:r w:rsidRPr="00EF64A9">
        <w:rPr>
          <w:rStyle w:val="FootnoteReference"/>
        </w:rPr>
        <w:footnoteRef/>
      </w:r>
      <w:r w:rsidRPr="00EF64A9">
        <w:t xml:space="preserve"> </w:t>
      </w:r>
      <w:r w:rsidRPr="00EF64A9" w:rsidR="007D1931">
        <w:rPr>
          <w:i/>
          <w:iCs/>
        </w:rPr>
        <w:t>Id.</w:t>
      </w:r>
    </w:p>
  </w:footnote>
  <w:footnote w:id="34">
    <w:p w:rsidR="00292B57" w:rsidRPr="00EF64A9" w:rsidP="00EF64A9" w14:paraId="74A56257" w14:textId="4008BC7B">
      <w:pPr>
        <w:pStyle w:val="FootnoteText"/>
      </w:pPr>
      <w:r w:rsidRPr="00EF64A9">
        <w:rPr>
          <w:rStyle w:val="FootnoteReference"/>
        </w:rPr>
        <w:footnoteRef/>
      </w:r>
      <w:r w:rsidRPr="00EF64A9">
        <w:t xml:space="preserve"> </w:t>
      </w:r>
      <w:r w:rsidRPr="00EF64A9" w:rsidR="007D1931">
        <w:rPr>
          <w:i/>
          <w:iCs/>
        </w:rPr>
        <w:t>Id.</w:t>
      </w:r>
    </w:p>
  </w:footnote>
  <w:footnote w:id="35">
    <w:p w:rsidR="00292B57" w:rsidRPr="00EF64A9" w:rsidP="00EF64A9" w14:paraId="5649FBC1" w14:textId="0E361DF9">
      <w:pPr>
        <w:pStyle w:val="FootnoteText"/>
      </w:pPr>
      <w:r w:rsidRPr="00EF64A9">
        <w:rPr>
          <w:rStyle w:val="FootnoteReference"/>
        </w:rPr>
        <w:footnoteRef/>
      </w:r>
      <w:r w:rsidRPr="00EF64A9">
        <w:t xml:space="preserve"> </w:t>
      </w:r>
      <w:r w:rsidRPr="00EF64A9" w:rsidR="007D1931">
        <w:rPr>
          <w:i/>
          <w:iCs/>
        </w:rPr>
        <w:t>Id.</w:t>
      </w:r>
    </w:p>
  </w:footnote>
  <w:footnote w:id="36">
    <w:p w:rsidR="00A24180" w:rsidRPr="00EF64A9" w:rsidP="00EF64A9" w14:paraId="3730708F" w14:textId="0AEAF21F">
      <w:pPr>
        <w:pStyle w:val="FootnoteText"/>
      </w:pPr>
      <w:r w:rsidRPr="00EF64A9">
        <w:rPr>
          <w:rStyle w:val="FootnoteReference"/>
        </w:rPr>
        <w:footnoteRef/>
      </w:r>
      <w:r w:rsidRPr="00EF64A9">
        <w:t xml:space="preserve"> </w:t>
      </w:r>
      <w:r w:rsidRPr="00EF64A9" w:rsidR="004C23A4">
        <w:t>Williams</w:t>
      </w:r>
      <w:r w:rsidR="00EE5A87">
        <w:t>’</w:t>
      </w:r>
      <w:r w:rsidRPr="00EF64A9" w:rsidR="004C23A4">
        <w:t xml:space="preserve"> Direct at 22. </w:t>
      </w:r>
    </w:p>
  </w:footnote>
  <w:footnote w:id="37">
    <w:p w:rsidR="00946C28" w:rsidRPr="00EF64A9" w:rsidP="00EF64A9" w14:paraId="61155DD5" w14:textId="2565A3C2">
      <w:pPr>
        <w:pStyle w:val="FootnoteText"/>
      </w:pPr>
      <w:r w:rsidRPr="00EF64A9">
        <w:rPr>
          <w:rStyle w:val="FootnoteReference"/>
        </w:rPr>
        <w:footnoteRef/>
      </w:r>
      <w:r w:rsidRPr="00EF64A9">
        <w:t xml:space="preserve"> </w:t>
      </w:r>
      <w:r w:rsidRPr="00EF64A9">
        <w:rPr>
          <w:i/>
          <w:iCs/>
        </w:rPr>
        <w:t>Id.</w:t>
      </w:r>
    </w:p>
  </w:footnote>
  <w:footnote w:id="38">
    <w:p w:rsidR="00761893" w:rsidRPr="00EF64A9" w:rsidP="00EF64A9" w14:paraId="280995A0" w14:textId="58185FEC">
      <w:pPr>
        <w:pStyle w:val="FootnoteText"/>
      </w:pPr>
      <w:r w:rsidRPr="00EF64A9">
        <w:rPr>
          <w:rStyle w:val="FootnoteReference"/>
        </w:rPr>
        <w:footnoteRef/>
      </w:r>
      <w:r w:rsidRPr="00EF64A9">
        <w:t xml:space="preserve"> </w:t>
      </w:r>
      <w:r w:rsidRPr="00EF64A9" w:rsidR="00E25BA7">
        <w:rPr>
          <w:i/>
          <w:iCs/>
        </w:rPr>
        <w:t>Id.</w:t>
      </w:r>
    </w:p>
  </w:footnote>
  <w:footnote w:id="39">
    <w:p w:rsidR="00761893" w:rsidRPr="00EF64A9" w:rsidP="00EF64A9" w14:paraId="68452660" w14:textId="07050F06">
      <w:pPr>
        <w:pStyle w:val="FootnoteText"/>
      </w:pPr>
      <w:r w:rsidRPr="00EF64A9">
        <w:rPr>
          <w:rStyle w:val="FootnoteReference"/>
        </w:rPr>
        <w:footnoteRef/>
      </w:r>
      <w:r w:rsidRPr="00EF64A9">
        <w:t xml:space="preserve"> </w:t>
      </w:r>
      <w:r w:rsidRPr="00EF64A9" w:rsidR="00F063AF">
        <w:rPr>
          <w:i/>
          <w:iCs/>
        </w:rPr>
        <w:t>Id.</w:t>
      </w:r>
    </w:p>
  </w:footnote>
  <w:footnote w:id="40">
    <w:p w:rsidR="005B6D99" w:rsidRPr="00EF64A9" w:rsidP="00EF64A9" w14:paraId="2CB2C63E" w14:textId="73252072">
      <w:pPr>
        <w:pStyle w:val="FootnoteText"/>
      </w:pPr>
      <w:r w:rsidRPr="00EF64A9">
        <w:rPr>
          <w:rStyle w:val="FootnoteReference"/>
        </w:rPr>
        <w:footnoteRef/>
      </w:r>
      <w:r w:rsidRPr="00EF64A9">
        <w:t xml:space="preserve"> </w:t>
      </w:r>
      <w:r w:rsidRPr="00EF64A9" w:rsidR="00FB52C6">
        <w:t>Williams</w:t>
      </w:r>
      <w:r w:rsidR="00EE5A87">
        <w:t>’</w:t>
      </w:r>
      <w:r w:rsidRPr="00EF64A9" w:rsidR="00FB52C6">
        <w:t xml:space="preserve"> Direct at 12.</w:t>
      </w:r>
    </w:p>
  </w:footnote>
  <w:footnote w:id="41">
    <w:p w:rsidR="00D00EB4" w:rsidRPr="00EF64A9" w:rsidP="00EF64A9" w14:paraId="3A8A9884" w14:textId="2E622353">
      <w:pPr>
        <w:pStyle w:val="FootnoteText"/>
      </w:pPr>
      <w:r w:rsidRPr="00EF64A9">
        <w:rPr>
          <w:rStyle w:val="FootnoteReference"/>
        </w:rPr>
        <w:footnoteRef/>
      </w:r>
      <w:r w:rsidRPr="00EF64A9">
        <w:t xml:space="preserve"> </w:t>
      </w:r>
      <w:r w:rsidRPr="00EF64A9" w:rsidR="002D45F3">
        <w:t>Williams</w:t>
      </w:r>
      <w:r w:rsidR="00EE5A87">
        <w:t>’</w:t>
      </w:r>
      <w:r w:rsidRPr="00EF64A9" w:rsidR="002D45F3">
        <w:t xml:space="preserve"> Direct at 12.</w:t>
      </w:r>
    </w:p>
  </w:footnote>
  <w:footnote w:id="42">
    <w:p w:rsidR="00D00EB4" w:rsidRPr="00EF64A9" w:rsidP="00EF64A9" w14:paraId="0CE34668" w14:textId="49B4AB38">
      <w:pPr>
        <w:pStyle w:val="FootnoteText"/>
      </w:pPr>
      <w:r w:rsidRPr="00EF64A9">
        <w:rPr>
          <w:rStyle w:val="FootnoteReference"/>
        </w:rPr>
        <w:footnoteRef/>
      </w:r>
      <w:r w:rsidRPr="00EF64A9">
        <w:t xml:space="preserve"> </w:t>
      </w:r>
      <w:r w:rsidRPr="00EF64A9" w:rsidR="002D45F3">
        <w:rPr>
          <w:i/>
          <w:iCs/>
        </w:rPr>
        <w:t>Id.</w:t>
      </w:r>
    </w:p>
  </w:footnote>
  <w:footnote w:id="43">
    <w:p w:rsidR="00F119AF" w:rsidRPr="00EF64A9" w:rsidP="00EF64A9" w14:paraId="4A1D032B" w14:textId="5603E88B">
      <w:pPr>
        <w:pStyle w:val="FootnoteText"/>
      </w:pPr>
      <w:r w:rsidRPr="00EF64A9">
        <w:rPr>
          <w:rStyle w:val="FootnoteReference"/>
        </w:rPr>
        <w:footnoteRef/>
      </w:r>
      <w:r w:rsidRPr="00EF64A9">
        <w:t xml:space="preserve"> </w:t>
      </w:r>
      <w:r w:rsidRPr="00EF64A9" w:rsidR="002D45F3">
        <w:rPr>
          <w:i/>
          <w:iCs/>
        </w:rPr>
        <w:t>Id.</w:t>
      </w:r>
    </w:p>
  </w:footnote>
  <w:footnote w:id="44">
    <w:p w:rsidR="00AE700D" w:rsidRPr="00EF64A9" w:rsidP="00EF64A9" w14:paraId="2C7F0C76" w14:textId="2C7D752D">
      <w:pPr>
        <w:pStyle w:val="FootnoteText"/>
      </w:pPr>
      <w:r w:rsidRPr="00EF64A9">
        <w:rPr>
          <w:rStyle w:val="FootnoteReference"/>
        </w:rPr>
        <w:footnoteRef/>
      </w:r>
      <w:r w:rsidRPr="00EF64A9">
        <w:t xml:space="preserve"> </w:t>
      </w:r>
      <w:r w:rsidRPr="00EF64A9" w:rsidR="002D45F3">
        <w:rPr>
          <w:i/>
          <w:iCs/>
        </w:rPr>
        <w:t>Id.</w:t>
      </w:r>
      <w:r w:rsidRPr="00EF64A9" w:rsidR="00D12510">
        <w:rPr>
          <w:i/>
          <w:iCs/>
        </w:rPr>
        <w:t xml:space="preserve"> </w:t>
      </w:r>
      <w:r w:rsidRPr="00EF64A9" w:rsidR="00D12510">
        <w:t>at 13</w:t>
      </w:r>
      <w:r w:rsidRPr="00EF64A9" w:rsidR="00B85A06">
        <w:t>-14</w:t>
      </w:r>
      <w:r w:rsidRPr="00EF64A9" w:rsidR="00D12510">
        <w:t>.</w:t>
      </w:r>
    </w:p>
  </w:footnote>
  <w:footnote w:id="45">
    <w:p w:rsidR="00792D38" w:rsidRPr="00EF64A9" w:rsidP="00EF64A9" w14:paraId="645BE7AE" w14:textId="1646F2CE">
      <w:pPr>
        <w:pStyle w:val="FootnoteText"/>
      </w:pPr>
      <w:r w:rsidRPr="00EF64A9">
        <w:rPr>
          <w:rStyle w:val="FootnoteReference"/>
        </w:rPr>
        <w:footnoteRef/>
      </w:r>
      <w:r w:rsidRPr="00EF64A9">
        <w:t xml:space="preserve"> PUCO Staff at </w:t>
      </w:r>
      <w:r w:rsidRPr="00EF64A9" w:rsidR="001C3961">
        <w:t>8-9.</w:t>
      </w:r>
    </w:p>
  </w:footnote>
  <w:footnote w:id="46">
    <w:p w:rsidR="00FE20A5" w:rsidRPr="00EF64A9" w:rsidP="00EF64A9" w14:paraId="18B364DC" w14:textId="458179BA">
      <w:pPr>
        <w:pStyle w:val="FootnoteText"/>
      </w:pPr>
      <w:r w:rsidRPr="00EF64A9">
        <w:rPr>
          <w:rStyle w:val="FootnoteReference"/>
        </w:rPr>
        <w:footnoteRef/>
      </w:r>
      <w:r w:rsidRPr="00EF64A9">
        <w:t xml:space="preserve"> </w:t>
      </w:r>
      <w:r w:rsidRPr="00EF64A9" w:rsidR="001C3961">
        <w:t>Williams</w:t>
      </w:r>
      <w:r w:rsidR="00EE5A87">
        <w:t>’</w:t>
      </w:r>
      <w:r w:rsidRPr="00EF64A9" w:rsidR="001C3961">
        <w:t xml:space="preserve"> Direct</w:t>
      </w:r>
      <w:r w:rsidRPr="00EF64A9" w:rsidR="00C01589">
        <w:rPr>
          <w:i/>
          <w:iCs/>
        </w:rPr>
        <w:t xml:space="preserve"> </w:t>
      </w:r>
      <w:r w:rsidRPr="00EF64A9" w:rsidR="00C01589">
        <w:t>at 14.</w:t>
      </w:r>
    </w:p>
  </w:footnote>
  <w:footnote w:id="47">
    <w:p w:rsidR="00FE20A5" w:rsidRPr="00EF64A9" w:rsidP="00EF64A9" w14:paraId="59BA3D67" w14:textId="40CADEA5">
      <w:pPr>
        <w:pStyle w:val="FootnoteText"/>
      </w:pPr>
      <w:r w:rsidRPr="00EF64A9">
        <w:rPr>
          <w:rStyle w:val="FootnoteReference"/>
        </w:rPr>
        <w:footnoteRef/>
      </w:r>
      <w:r w:rsidRPr="00EF64A9">
        <w:t xml:space="preserve"> </w:t>
      </w:r>
      <w:r w:rsidRPr="00EF64A9" w:rsidR="00C01589">
        <w:rPr>
          <w:i/>
          <w:iCs/>
        </w:rPr>
        <w:t>Id.</w:t>
      </w:r>
    </w:p>
  </w:footnote>
  <w:footnote w:id="48">
    <w:p w:rsidR="007D2EDC" w:rsidRPr="00EF64A9" w:rsidP="00EF64A9" w14:paraId="2B6E5266" w14:textId="7FA6D28B">
      <w:pPr>
        <w:pStyle w:val="FootnoteText"/>
      </w:pPr>
      <w:r w:rsidRPr="00EF64A9">
        <w:rPr>
          <w:rStyle w:val="FootnoteReference"/>
        </w:rPr>
        <w:footnoteRef/>
      </w:r>
      <w:r w:rsidRPr="00EF64A9">
        <w:t xml:space="preserve"> </w:t>
      </w:r>
      <w:r w:rsidRPr="00EF64A9" w:rsidR="00C01589">
        <w:rPr>
          <w:i/>
          <w:iCs/>
        </w:rPr>
        <w:t>Id.</w:t>
      </w:r>
    </w:p>
  </w:footnote>
  <w:footnote w:id="49">
    <w:p w:rsidR="00F631D4" w:rsidRPr="00EF64A9" w:rsidP="00EF64A9" w14:paraId="5D9A2295" w14:textId="11DECAFF">
      <w:pPr>
        <w:pStyle w:val="FootnoteText"/>
      </w:pPr>
      <w:r w:rsidRPr="00EF64A9">
        <w:rPr>
          <w:rStyle w:val="FootnoteReference"/>
        </w:rPr>
        <w:footnoteRef/>
      </w:r>
      <w:r w:rsidRPr="00EF64A9">
        <w:t xml:space="preserve"> </w:t>
      </w:r>
      <w:r w:rsidRPr="00EF64A9" w:rsidR="00B634AF">
        <w:rPr>
          <w:i/>
          <w:iCs/>
        </w:rPr>
        <w:t>Id.</w:t>
      </w:r>
      <w:r w:rsidRPr="00EF64A9" w:rsidR="00B94AB7">
        <w:rPr>
          <w:i/>
          <w:iCs/>
        </w:rPr>
        <w:t xml:space="preserve"> </w:t>
      </w:r>
      <w:r w:rsidRPr="00EF64A9" w:rsidR="00A579BC">
        <w:t>a</w:t>
      </w:r>
      <w:r w:rsidRPr="00EF64A9" w:rsidR="00B94AB7">
        <w:t xml:space="preserve">t </w:t>
      </w:r>
      <w:r w:rsidRPr="00EF64A9" w:rsidR="00A579BC">
        <w:t>15.</w:t>
      </w:r>
    </w:p>
  </w:footnote>
  <w:footnote w:id="50">
    <w:p w:rsidR="00EB3D69" w:rsidRPr="00EF64A9" w:rsidP="00EF64A9" w14:paraId="10F16F35" w14:textId="42BFB8B3">
      <w:pPr>
        <w:pStyle w:val="FootnoteText"/>
      </w:pPr>
      <w:r w:rsidRPr="00EF64A9">
        <w:rPr>
          <w:rStyle w:val="FootnoteReference"/>
        </w:rPr>
        <w:footnoteRef/>
      </w:r>
      <w:r w:rsidRPr="00EF64A9">
        <w:t xml:space="preserve"> </w:t>
      </w:r>
      <w:r w:rsidRPr="00EF64A9" w:rsidR="00A579BC">
        <w:rPr>
          <w:i/>
          <w:iCs/>
        </w:rPr>
        <w:t>Id.</w:t>
      </w:r>
    </w:p>
  </w:footnote>
  <w:footnote w:id="51">
    <w:p w:rsidR="008E223E" w:rsidRPr="00EF64A9" w:rsidP="00EF64A9" w14:paraId="3D40D27C" w14:textId="6B603460">
      <w:pPr>
        <w:pStyle w:val="FootnoteText"/>
      </w:pPr>
      <w:r w:rsidRPr="00EF64A9">
        <w:rPr>
          <w:rStyle w:val="FootnoteReference"/>
        </w:rPr>
        <w:footnoteRef/>
      </w:r>
      <w:r w:rsidRPr="00EF64A9">
        <w:t xml:space="preserve"> </w:t>
      </w:r>
      <w:r w:rsidRPr="00EF64A9" w:rsidR="00A579BC">
        <w:rPr>
          <w:i/>
          <w:iCs/>
        </w:rPr>
        <w:t>Id.</w:t>
      </w:r>
    </w:p>
  </w:footnote>
  <w:footnote w:id="52">
    <w:p w:rsidR="008E223E" w:rsidRPr="00EF64A9" w:rsidP="00EF64A9" w14:paraId="3BDEB57A" w14:textId="763753D7">
      <w:pPr>
        <w:pStyle w:val="FootnoteText"/>
      </w:pPr>
      <w:r w:rsidRPr="00EF64A9">
        <w:rPr>
          <w:rStyle w:val="FootnoteReference"/>
        </w:rPr>
        <w:footnoteRef/>
      </w:r>
      <w:r w:rsidRPr="00EF64A9">
        <w:t xml:space="preserve"> </w:t>
      </w:r>
      <w:r w:rsidRPr="00EF64A9" w:rsidR="00A21681">
        <w:rPr>
          <w:i/>
          <w:iCs/>
        </w:rPr>
        <w:t>Id.</w:t>
      </w:r>
    </w:p>
  </w:footnote>
  <w:footnote w:id="53">
    <w:p w:rsidR="00B9657B" w:rsidRPr="00EF64A9" w:rsidP="00EF64A9" w14:paraId="5728E0EE" w14:textId="6A13D9FB">
      <w:pPr>
        <w:pStyle w:val="FootnoteText"/>
      </w:pPr>
      <w:r w:rsidRPr="00EF64A9">
        <w:rPr>
          <w:rStyle w:val="FootnoteReference"/>
        </w:rPr>
        <w:footnoteRef/>
      </w:r>
      <w:r w:rsidRPr="00EF64A9">
        <w:t xml:space="preserve"> </w:t>
      </w:r>
      <w:r w:rsidRPr="00EF64A9" w:rsidR="00A21681">
        <w:rPr>
          <w:i/>
          <w:iCs/>
        </w:rPr>
        <w:t>Id.</w:t>
      </w:r>
    </w:p>
  </w:footnote>
  <w:footnote w:id="54">
    <w:p w:rsidR="0056303C" w:rsidRPr="00EF64A9" w:rsidP="00EF64A9" w14:paraId="218B0D35" w14:textId="14462DF3">
      <w:pPr>
        <w:pStyle w:val="FootnoteText"/>
      </w:pPr>
      <w:r w:rsidRPr="00EF64A9">
        <w:rPr>
          <w:rStyle w:val="FootnoteReference"/>
        </w:rPr>
        <w:footnoteRef/>
      </w:r>
      <w:r w:rsidRPr="00EF64A9">
        <w:t xml:space="preserve"> </w:t>
      </w:r>
      <w:r w:rsidRPr="00EF64A9" w:rsidR="0046206D">
        <w:rPr>
          <w:i/>
          <w:iCs/>
        </w:rPr>
        <w:t xml:space="preserve">Id. </w:t>
      </w:r>
      <w:r w:rsidRPr="00EF64A9" w:rsidR="0046206D">
        <w:t>at 16.</w:t>
      </w:r>
    </w:p>
  </w:footnote>
  <w:footnote w:id="55">
    <w:p w:rsidR="00CB0DCC" w:rsidRPr="00EF64A9" w:rsidP="00EF64A9" w14:paraId="47802843" w14:textId="3D799C9E">
      <w:pPr>
        <w:pStyle w:val="FootnoteText"/>
      </w:pPr>
      <w:r w:rsidRPr="00EF64A9">
        <w:rPr>
          <w:rStyle w:val="FootnoteReference"/>
        </w:rPr>
        <w:footnoteRef/>
      </w:r>
      <w:r w:rsidRPr="00EF64A9">
        <w:t xml:space="preserve"> </w:t>
      </w:r>
      <w:r w:rsidRPr="00EF64A9" w:rsidR="0046206D">
        <w:rPr>
          <w:i/>
          <w:iCs/>
        </w:rPr>
        <w:t>Id.</w:t>
      </w:r>
    </w:p>
  </w:footnote>
  <w:footnote w:id="56">
    <w:p w:rsidR="00CB0DCC" w:rsidRPr="00EF64A9" w:rsidP="00EF64A9" w14:paraId="37FAA205" w14:textId="03EC069B">
      <w:pPr>
        <w:pStyle w:val="FootnoteText"/>
      </w:pPr>
      <w:r w:rsidRPr="00EF64A9">
        <w:rPr>
          <w:rStyle w:val="FootnoteReference"/>
        </w:rPr>
        <w:footnoteRef/>
      </w:r>
      <w:r w:rsidRPr="00EF64A9">
        <w:t xml:space="preserve"> </w:t>
      </w:r>
      <w:r w:rsidRPr="00EF64A9" w:rsidR="0046206D">
        <w:rPr>
          <w:i/>
          <w:iCs/>
        </w:rPr>
        <w:t>Id.</w:t>
      </w:r>
    </w:p>
  </w:footnote>
  <w:footnote w:id="57">
    <w:p w:rsidR="00CB0DCC" w:rsidRPr="00EF64A9" w:rsidP="00EF64A9" w14:paraId="1104F90F" w14:textId="463768DE">
      <w:pPr>
        <w:pStyle w:val="FootnoteText"/>
      </w:pPr>
      <w:r w:rsidRPr="00EF64A9">
        <w:rPr>
          <w:rStyle w:val="FootnoteReference"/>
        </w:rPr>
        <w:footnoteRef/>
      </w:r>
      <w:r w:rsidRPr="00EF64A9">
        <w:t xml:space="preserve"> </w:t>
      </w:r>
      <w:r w:rsidRPr="00EF64A9" w:rsidR="00C470C0">
        <w:rPr>
          <w:i/>
          <w:iCs/>
        </w:rPr>
        <w:t>Id.</w:t>
      </w:r>
    </w:p>
  </w:footnote>
  <w:footnote w:id="58">
    <w:p w:rsidR="00856CA3" w:rsidRPr="00EF64A9" w:rsidP="00EF64A9" w14:paraId="74100FC0" w14:textId="5A5E8FA5">
      <w:pPr>
        <w:pStyle w:val="FootnoteText"/>
      </w:pPr>
      <w:r w:rsidRPr="00EF64A9">
        <w:rPr>
          <w:rStyle w:val="FootnoteReference"/>
        </w:rPr>
        <w:footnoteRef/>
      </w:r>
      <w:r w:rsidRPr="00EF64A9">
        <w:t xml:space="preserve"> </w:t>
      </w:r>
      <w:r w:rsidRPr="00EF64A9" w:rsidR="00C470C0">
        <w:rPr>
          <w:i/>
          <w:iCs/>
        </w:rPr>
        <w:t>Id.</w:t>
      </w:r>
    </w:p>
  </w:footnote>
  <w:footnote w:id="59">
    <w:p w:rsidR="00856CA3" w:rsidRPr="00EF64A9" w:rsidP="00EF64A9" w14:paraId="53417661" w14:textId="4FBED3CF">
      <w:pPr>
        <w:pStyle w:val="FootnoteText"/>
      </w:pPr>
      <w:r w:rsidRPr="00EF64A9">
        <w:rPr>
          <w:rStyle w:val="FootnoteReference"/>
        </w:rPr>
        <w:footnoteRef/>
      </w:r>
      <w:r w:rsidRPr="00EF64A9">
        <w:t xml:space="preserve"> </w:t>
      </w:r>
      <w:r w:rsidRPr="00EF64A9" w:rsidR="00C470C0">
        <w:rPr>
          <w:i/>
          <w:iCs/>
        </w:rPr>
        <w:t>Id.</w:t>
      </w:r>
    </w:p>
  </w:footnote>
  <w:footnote w:id="60">
    <w:p w:rsidR="000F47DD" w:rsidRPr="00EF64A9" w:rsidP="00EF64A9" w14:paraId="1943F39D" w14:textId="1494025F">
      <w:pPr>
        <w:pStyle w:val="FootnoteText"/>
      </w:pPr>
      <w:r w:rsidRPr="00EF64A9">
        <w:rPr>
          <w:rStyle w:val="FootnoteReference"/>
        </w:rPr>
        <w:footnoteRef/>
      </w:r>
      <w:r w:rsidRPr="00EF64A9">
        <w:t xml:space="preserve"> </w:t>
      </w:r>
      <w:r w:rsidRPr="00EF64A9" w:rsidR="00531B20">
        <w:t>Williams</w:t>
      </w:r>
      <w:r w:rsidR="00EE5A87">
        <w:t>’</w:t>
      </w:r>
      <w:r w:rsidRPr="00EF64A9" w:rsidR="00531B20">
        <w:t xml:space="preserve"> Direct at </w:t>
      </w:r>
      <w:r w:rsidRPr="00EF64A9" w:rsidR="003818B5">
        <w:t>16</w:t>
      </w:r>
      <w:r w:rsidR="00CE2F6F">
        <w:t>,</w:t>
      </w:r>
      <w:r w:rsidRPr="00EF64A9" w:rsidR="003818B5">
        <w:t xml:space="preserve"> </w:t>
      </w:r>
      <w:r w:rsidRPr="00EF64A9">
        <w:t xml:space="preserve">Case 15-1830-EL-AIR, Stipulation and Recommendation (June 18, 2018) at 6. </w:t>
      </w:r>
    </w:p>
  </w:footnote>
  <w:footnote w:id="61">
    <w:p w:rsidR="003818B5" w:rsidRPr="00EF64A9" w:rsidP="00EF64A9" w14:paraId="12017FB9" w14:textId="27F072B0">
      <w:pPr>
        <w:pStyle w:val="FootnoteText"/>
      </w:pPr>
      <w:r w:rsidRPr="00EF64A9">
        <w:rPr>
          <w:rStyle w:val="FootnoteReference"/>
        </w:rPr>
        <w:footnoteRef/>
      </w:r>
      <w:r w:rsidRPr="00EF64A9">
        <w:t xml:space="preserve"> </w:t>
      </w:r>
      <w:r w:rsidRPr="00EF64A9" w:rsidR="00BD5017">
        <w:t>Williams</w:t>
      </w:r>
      <w:r w:rsidR="00EE5A87">
        <w:t>’</w:t>
      </w:r>
      <w:r w:rsidRPr="00EF64A9" w:rsidR="00BD5017">
        <w:t xml:space="preserve"> Direct at 16</w:t>
      </w:r>
      <w:r w:rsidR="00CE2F6F">
        <w:t>,</w:t>
      </w:r>
      <w:r w:rsidRPr="00EF64A9" w:rsidR="00287E12">
        <w:t xml:space="preserve"> Case 15-1830-EL-AIR, Stipulation and Recommendation (June 18, 2018) at 9.</w:t>
      </w:r>
    </w:p>
  </w:footnote>
  <w:footnote w:id="62">
    <w:p w:rsidR="000F47DD" w:rsidRPr="00EF64A9" w:rsidP="00EF64A9" w14:paraId="5EE58538" w14:textId="7F4D2884">
      <w:pPr>
        <w:pStyle w:val="FootnoteText"/>
      </w:pPr>
      <w:r w:rsidRPr="00EF64A9">
        <w:rPr>
          <w:rStyle w:val="FootnoteReference"/>
        </w:rPr>
        <w:footnoteRef/>
      </w:r>
      <w:r w:rsidRPr="00EF64A9">
        <w:t xml:space="preserve"> </w:t>
      </w:r>
      <w:r w:rsidRPr="00EF64A9" w:rsidR="00287E12">
        <w:t>Stipulation and Recommendation (June 18, 2018) at 9.</w:t>
      </w:r>
    </w:p>
  </w:footnote>
  <w:footnote w:id="63">
    <w:p w:rsidR="00B945DA" w:rsidRPr="00EF64A9" w:rsidP="00EF64A9" w14:paraId="0FCD6D89" w14:textId="77777777">
      <w:pPr>
        <w:pStyle w:val="FootnoteText"/>
      </w:pPr>
      <w:r w:rsidRPr="00EF64A9">
        <w:rPr>
          <w:rStyle w:val="FootnoteReference"/>
        </w:rPr>
        <w:footnoteRef/>
      </w:r>
      <w:r w:rsidRPr="00EF64A9">
        <w:t xml:space="preserve"> PUCO Staff at 19.</w:t>
      </w:r>
    </w:p>
  </w:footnote>
  <w:footnote w:id="64">
    <w:p w:rsidR="005D2835" w:rsidRPr="00EF64A9" w:rsidP="00EF64A9" w14:paraId="71200FFF" w14:textId="2E6AD6F0">
      <w:pPr>
        <w:pStyle w:val="FootnoteText"/>
      </w:pPr>
      <w:r w:rsidRPr="00EF64A9">
        <w:rPr>
          <w:rStyle w:val="FootnoteReference"/>
        </w:rPr>
        <w:footnoteRef/>
      </w:r>
      <w:r w:rsidRPr="00EF64A9">
        <w:t xml:space="preserve"> </w:t>
      </w:r>
      <w:r w:rsidRPr="00EF64A9" w:rsidR="00287E12">
        <w:rPr>
          <w:i/>
          <w:iCs/>
        </w:rPr>
        <w:t>Id.</w:t>
      </w:r>
      <w:r w:rsidRPr="00EF64A9" w:rsidR="00287E12">
        <w:t xml:space="preserve"> at </w:t>
      </w:r>
      <w:r w:rsidRPr="00EF64A9" w:rsidR="007F2A0A">
        <w:t>9.</w:t>
      </w:r>
    </w:p>
  </w:footnote>
  <w:footnote w:id="65">
    <w:p w:rsidR="00132172" w:rsidRPr="00EF64A9" w:rsidP="00EF64A9" w14:paraId="263499DD" w14:textId="574770F0">
      <w:pPr>
        <w:pStyle w:val="FootnoteText"/>
      </w:pPr>
      <w:r w:rsidRPr="00EF64A9">
        <w:rPr>
          <w:rStyle w:val="FootnoteReference"/>
        </w:rPr>
        <w:footnoteRef/>
      </w:r>
      <w:r w:rsidRPr="00EF64A9">
        <w:t xml:space="preserve"> </w:t>
      </w:r>
      <w:r w:rsidRPr="00EF64A9" w:rsidR="007F2A0A">
        <w:rPr>
          <w:i/>
          <w:iCs/>
        </w:rPr>
        <w:t xml:space="preserve">Id. </w:t>
      </w:r>
      <w:r w:rsidRPr="00EF64A9" w:rsidR="007F2A0A">
        <w:t>at 18.</w:t>
      </w:r>
    </w:p>
  </w:footnote>
  <w:footnote w:id="66">
    <w:p w:rsidR="002129DA" w:rsidRPr="00EF64A9" w:rsidP="00EF64A9" w14:paraId="4AFF6D48" w14:textId="2739D3D8">
      <w:pPr>
        <w:autoSpaceDE w:val="0"/>
        <w:autoSpaceDN w:val="0"/>
        <w:adjustRightInd w:val="0"/>
        <w:spacing w:after="120"/>
        <w:rPr>
          <w:sz w:val="20"/>
          <w:szCs w:val="20"/>
        </w:rPr>
      </w:pPr>
      <w:r w:rsidRPr="00EF64A9">
        <w:rPr>
          <w:rStyle w:val="FootnoteReference"/>
          <w:sz w:val="20"/>
          <w:szCs w:val="20"/>
        </w:rPr>
        <w:footnoteRef/>
      </w:r>
      <w:r w:rsidRPr="00EF64A9">
        <w:rPr>
          <w:sz w:val="20"/>
          <w:szCs w:val="20"/>
        </w:rPr>
        <w:t xml:space="preserve"> </w:t>
      </w:r>
      <w:r w:rsidRPr="00EF64A9" w:rsidR="00F56361">
        <w:rPr>
          <w:sz w:val="20"/>
          <w:szCs w:val="20"/>
        </w:rPr>
        <w:t>Williams</w:t>
      </w:r>
      <w:r w:rsidR="00EE5A87">
        <w:rPr>
          <w:sz w:val="20"/>
          <w:szCs w:val="20"/>
        </w:rPr>
        <w:t>’</w:t>
      </w:r>
      <w:r w:rsidRPr="00EF64A9" w:rsidR="00F56361">
        <w:rPr>
          <w:sz w:val="20"/>
          <w:szCs w:val="20"/>
        </w:rPr>
        <w:t xml:space="preserve"> Direct at 1</w:t>
      </w:r>
      <w:r w:rsidRPr="00EF64A9" w:rsidR="00C8634F">
        <w:rPr>
          <w:sz w:val="20"/>
          <w:szCs w:val="20"/>
        </w:rPr>
        <w:t>7</w:t>
      </w:r>
      <w:r w:rsidRPr="00EF64A9" w:rsidR="00C27EEC">
        <w:rPr>
          <w:sz w:val="20"/>
          <w:szCs w:val="20"/>
        </w:rPr>
        <w:t>.</w:t>
      </w:r>
    </w:p>
  </w:footnote>
  <w:footnote w:id="67">
    <w:p w:rsidR="003928D0" w:rsidRPr="00EF64A9" w:rsidP="00EF64A9" w14:paraId="037D4893" w14:textId="2732F841">
      <w:pPr>
        <w:pStyle w:val="FootnoteText"/>
        <w:rPr>
          <w:i/>
          <w:iCs/>
        </w:rPr>
      </w:pPr>
      <w:r w:rsidRPr="00EF64A9">
        <w:rPr>
          <w:rStyle w:val="FootnoteReference"/>
        </w:rPr>
        <w:footnoteRef/>
      </w:r>
      <w:r w:rsidRPr="00EF64A9">
        <w:t xml:space="preserve"> </w:t>
      </w:r>
      <w:r w:rsidRPr="00EF64A9" w:rsidR="00C8634F">
        <w:rPr>
          <w:i/>
          <w:iCs/>
        </w:rPr>
        <w:t xml:space="preserve">Id. </w:t>
      </w:r>
    </w:p>
  </w:footnote>
  <w:footnote w:id="68">
    <w:p w:rsidR="002129DA" w:rsidRPr="00EF64A9" w:rsidP="00EF64A9" w14:paraId="44102D43" w14:textId="77777777">
      <w:pPr>
        <w:pStyle w:val="FootnoteText"/>
      </w:pPr>
      <w:r w:rsidRPr="00EF64A9">
        <w:rPr>
          <w:rStyle w:val="FootnoteReference"/>
        </w:rPr>
        <w:footnoteRef/>
      </w:r>
      <w:r w:rsidRPr="00EF64A9">
        <w:t xml:space="preserve"> Direct Testimony of Mr. Vest (</w:t>
      </w:r>
      <w:r w:rsidRPr="00EF64A9" w:rsidR="00BD638D">
        <w:t xml:space="preserve">November 18, 2022) </w:t>
      </w:r>
      <w:r w:rsidRPr="00EF64A9">
        <w:t xml:space="preserve">at </w:t>
      </w:r>
      <w:r w:rsidRPr="00EF64A9" w:rsidR="00BD638D">
        <w:t>5</w:t>
      </w:r>
      <w:r w:rsidRPr="00EF64A9">
        <w:t xml:space="preserve">. </w:t>
      </w:r>
    </w:p>
  </w:footnote>
  <w:footnote w:id="69">
    <w:p w:rsidR="003928D0" w:rsidRPr="00EF64A9" w:rsidP="00EF64A9" w14:paraId="622544DF" w14:textId="635C3C14">
      <w:pPr>
        <w:pStyle w:val="FootnoteText"/>
      </w:pPr>
      <w:r w:rsidRPr="00EF64A9">
        <w:rPr>
          <w:rStyle w:val="FootnoteReference"/>
        </w:rPr>
        <w:footnoteRef/>
      </w:r>
      <w:r w:rsidRPr="00EF64A9">
        <w:t xml:space="preserve"> </w:t>
      </w:r>
      <w:r w:rsidRPr="00EF64A9" w:rsidR="004129F6">
        <w:t>Williams</w:t>
      </w:r>
      <w:r w:rsidR="009806A5">
        <w:t>’</w:t>
      </w:r>
      <w:r w:rsidRPr="00EF64A9" w:rsidR="004129F6">
        <w:t xml:space="preserve"> Direct at 17.</w:t>
      </w:r>
    </w:p>
  </w:footnote>
  <w:footnote w:id="70">
    <w:p w:rsidR="00DC62C8" w:rsidRPr="00EF64A9" w:rsidP="00EF64A9" w14:paraId="55D0E82F" w14:textId="66F429A2">
      <w:pPr>
        <w:pStyle w:val="FootnoteText"/>
      </w:pPr>
      <w:r w:rsidRPr="00EF64A9">
        <w:rPr>
          <w:rStyle w:val="FootnoteReference"/>
        </w:rPr>
        <w:footnoteRef/>
      </w:r>
      <w:r w:rsidRPr="00EF64A9">
        <w:t xml:space="preserve"> </w:t>
      </w:r>
      <w:r w:rsidRPr="00EF64A9" w:rsidR="00EE216A">
        <w:rPr>
          <w:i/>
          <w:iCs/>
        </w:rPr>
        <w:t>Id.</w:t>
      </w:r>
      <w:r w:rsidRPr="00EF64A9" w:rsidR="00EE216A">
        <w:t xml:space="preserve"> at 18.</w:t>
      </w:r>
    </w:p>
  </w:footnote>
  <w:footnote w:id="71">
    <w:p w:rsidR="00CF4349" w:rsidRPr="00EF64A9" w:rsidP="00EF64A9" w14:paraId="1FA87760" w14:textId="5127CC7F">
      <w:pPr>
        <w:pStyle w:val="FootnoteText"/>
      </w:pPr>
      <w:r w:rsidRPr="00EF64A9">
        <w:rPr>
          <w:rStyle w:val="FootnoteReference"/>
        </w:rPr>
        <w:footnoteRef/>
      </w:r>
      <w:r w:rsidRPr="00EF64A9">
        <w:t xml:space="preserve"> </w:t>
      </w:r>
      <w:r w:rsidRPr="00EF64A9" w:rsidR="00F94E79">
        <w:t>Williams</w:t>
      </w:r>
      <w:r w:rsidR="009806A5">
        <w:t>’</w:t>
      </w:r>
      <w:r w:rsidRPr="00EF64A9" w:rsidR="00F94E79">
        <w:t xml:space="preserve"> Direct at 18-19.</w:t>
      </w:r>
    </w:p>
  </w:footnote>
  <w:footnote w:id="72">
    <w:p w:rsidR="002129DA" w:rsidRPr="00EF64A9" w:rsidP="00EF64A9" w14:paraId="3BA52F78" w14:textId="7EAE01D0">
      <w:pPr>
        <w:pStyle w:val="FootnoteText"/>
      </w:pPr>
      <w:r w:rsidRPr="00EF64A9">
        <w:rPr>
          <w:rStyle w:val="FootnoteReference"/>
        </w:rPr>
        <w:footnoteRef/>
      </w:r>
      <w:r w:rsidRPr="00EF64A9">
        <w:t xml:space="preserve"> </w:t>
      </w:r>
      <w:r w:rsidRPr="00EF64A9" w:rsidR="00F201F4">
        <w:rPr>
          <w:i/>
          <w:iCs/>
        </w:rPr>
        <w:t>Id.</w:t>
      </w:r>
    </w:p>
  </w:footnote>
  <w:footnote w:id="73">
    <w:p w:rsidR="002129DA" w:rsidRPr="00EF64A9" w:rsidP="00EF64A9" w14:paraId="4B1AD70D" w14:textId="0BE081CA">
      <w:pPr>
        <w:pStyle w:val="FootnoteText"/>
      </w:pPr>
      <w:r w:rsidRPr="00EF64A9">
        <w:rPr>
          <w:rStyle w:val="FootnoteReference"/>
        </w:rPr>
        <w:footnoteRef/>
      </w:r>
      <w:r w:rsidRPr="00EF64A9">
        <w:t xml:space="preserve"> </w:t>
      </w:r>
      <w:r w:rsidRPr="00EF64A9" w:rsidR="004935C1">
        <w:rPr>
          <w:i/>
          <w:iCs/>
        </w:rPr>
        <w:t>Id.</w:t>
      </w:r>
    </w:p>
  </w:footnote>
  <w:footnote w:id="74">
    <w:p w:rsidR="002129DA" w:rsidRPr="00EF64A9" w:rsidP="00EF64A9" w14:paraId="5FB8DA00" w14:textId="777F0875">
      <w:pPr>
        <w:pStyle w:val="FootnoteText"/>
      </w:pPr>
      <w:r w:rsidRPr="00EF64A9">
        <w:rPr>
          <w:rStyle w:val="FootnoteReference"/>
        </w:rPr>
        <w:footnoteRef/>
      </w:r>
      <w:r w:rsidRPr="00EF64A9">
        <w:t xml:space="preserve"> </w:t>
      </w:r>
      <w:r w:rsidRPr="00EF64A9" w:rsidR="00066A5A">
        <w:rPr>
          <w:i/>
          <w:iCs/>
        </w:rPr>
        <w:t>Id.</w:t>
      </w:r>
    </w:p>
  </w:footnote>
  <w:footnote w:id="75">
    <w:p w:rsidR="003A3B60" w:rsidRPr="00EF64A9" w:rsidP="00EF64A9" w14:paraId="0A1A4B02" w14:textId="6C484BCA">
      <w:pPr>
        <w:pStyle w:val="FootnoteText"/>
      </w:pPr>
      <w:r w:rsidRPr="00EF64A9">
        <w:rPr>
          <w:rStyle w:val="FootnoteReference"/>
        </w:rPr>
        <w:footnoteRef/>
      </w:r>
      <w:r w:rsidRPr="00EF64A9">
        <w:t xml:space="preserve"> </w:t>
      </w:r>
      <w:r w:rsidRPr="00EF64A9" w:rsidR="00622F55">
        <w:rPr>
          <w:i/>
          <w:iCs/>
        </w:rPr>
        <w:t xml:space="preserve">Id. </w:t>
      </w:r>
    </w:p>
  </w:footnote>
  <w:footnote w:id="76">
    <w:p w:rsidR="00A7010F" w:rsidRPr="00EF64A9" w:rsidP="00EF64A9" w14:paraId="130F26BB" w14:textId="6C074C91">
      <w:pPr>
        <w:pStyle w:val="FootnoteText"/>
      </w:pPr>
      <w:r w:rsidRPr="00EF64A9">
        <w:rPr>
          <w:rStyle w:val="FootnoteReference"/>
        </w:rPr>
        <w:footnoteRef/>
      </w:r>
      <w:r w:rsidRPr="00EF64A9">
        <w:t xml:space="preserve"> </w:t>
      </w:r>
      <w:r w:rsidRPr="00EF64A9" w:rsidR="00BB746C">
        <w:rPr>
          <w:i/>
          <w:iCs/>
        </w:rPr>
        <w:t xml:space="preserve">Id. </w:t>
      </w:r>
      <w:r w:rsidRPr="00EF64A9" w:rsidR="00BB746C">
        <w:t>at 19.</w:t>
      </w:r>
    </w:p>
  </w:footnote>
  <w:footnote w:id="77">
    <w:p w:rsidR="002129DA" w:rsidRPr="00EF64A9" w:rsidP="00EF64A9" w14:paraId="51900864" w14:textId="5E4FB33B">
      <w:pPr>
        <w:pStyle w:val="FootnoteText"/>
      </w:pPr>
      <w:r w:rsidRPr="00EF64A9">
        <w:rPr>
          <w:rStyle w:val="FootnoteReference"/>
        </w:rPr>
        <w:footnoteRef/>
      </w:r>
      <w:r w:rsidRPr="00EF64A9">
        <w:t xml:space="preserve"> </w:t>
      </w:r>
      <w:r w:rsidRPr="00EF64A9" w:rsidR="00F05246">
        <w:t>Williams</w:t>
      </w:r>
      <w:r w:rsidR="009806A5">
        <w:t>’</w:t>
      </w:r>
      <w:r w:rsidRPr="00EF64A9" w:rsidR="00F05246">
        <w:t xml:space="preserve"> Direct at 19.</w:t>
      </w:r>
    </w:p>
  </w:footnote>
  <w:footnote w:id="78">
    <w:p w:rsidR="00A7010F" w:rsidRPr="00EF64A9" w:rsidP="00EF64A9" w14:paraId="0EF7E958" w14:textId="51340BEB">
      <w:pPr>
        <w:pStyle w:val="FootnoteText"/>
      </w:pPr>
      <w:r w:rsidRPr="00EF64A9">
        <w:rPr>
          <w:rStyle w:val="FootnoteReference"/>
        </w:rPr>
        <w:footnoteRef/>
      </w:r>
      <w:r w:rsidRPr="00EF64A9">
        <w:t xml:space="preserve"> </w:t>
      </w:r>
      <w:r w:rsidRPr="00EF64A9" w:rsidR="00BB746C">
        <w:rPr>
          <w:i/>
          <w:iCs/>
        </w:rPr>
        <w:t xml:space="preserve">Id. </w:t>
      </w:r>
    </w:p>
  </w:footnote>
  <w:footnote w:id="79">
    <w:p w:rsidR="002129DA" w:rsidRPr="00EF64A9" w:rsidP="00EF64A9" w14:paraId="1D9ECEBB" w14:textId="3467DC2F">
      <w:pPr>
        <w:pStyle w:val="FootnoteText"/>
      </w:pPr>
      <w:r w:rsidRPr="00EF64A9">
        <w:rPr>
          <w:rStyle w:val="FootnoteReference"/>
        </w:rPr>
        <w:footnoteRef/>
      </w:r>
      <w:r w:rsidRPr="00EF64A9">
        <w:t xml:space="preserve"> </w:t>
      </w:r>
      <w:r w:rsidRPr="00EF64A9" w:rsidR="003A52F6">
        <w:rPr>
          <w:i/>
          <w:iCs/>
        </w:rPr>
        <w:t xml:space="preserve">Id. </w:t>
      </w:r>
      <w:r w:rsidRPr="00EF64A9" w:rsidR="003A52F6">
        <w:t>at 19.</w:t>
      </w:r>
      <w:r w:rsidRPr="00EF64A9">
        <w:t xml:space="preserve"> </w:t>
      </w:r>
    </w:p>
  </w:footnote>
  <w:footnote w:id="80">
    <w:p w:rsidR="00527B3D" w:rsidRPr="00EF64A9" w:rsidP="00EF64A9" w14:paraId="60BFC56C" w14:textId="15CC03D8">
      <w:pPr>
        <w:pStyle w:val="FootnoteText"/>
      </w:pPr>
      <w:r w:rsidRPr="00EF64A9">
        <w:rPr>
          <w:rStyle w:val="FootnoteReference"/>
        </w:rPr>
        <w:footnoteRef/>
      </w:r>
      <w:r w:rsidRPr="00EF64A9">
        <w:t xml:space="preserve"> </w:t>
      </w:r>
      <w:r w:rsidRPr="00EF64A9" w:rsidR="00F05246">
        <w:t>Williams</w:t>
      </w:r>
      <w:r w:rsidR="009806A5">
        <w:t>’</w:t>
      </w:r>
      <w:r w:rsidRPr="00EF64A9" w:rsidR="00F05246">
        <w:t xml:space="preserve"> Direct at 19.</w:t>
      </w:r>
    </w:p>
  </w:footnote>
  <w:footnote w:id="81">
    <w:p w:rsidR="00527B3D" w:rsidRPr="00EF64A9" w:rsidP="00EF64A9" w14:paraId="4ED2E3B7" w14:textId="4A4F2751">
      <w:pPr>
        <w:pStyle w:val="FootnoteText"/>
      </w:pPr>
      <w:r w:rsidRPr="00EF64A9">
        <w:rPr>
          <w:rStyle w:val="FootnoteReference"/>
        </w:rPr>
        <w:footnoteRef/>
      </w:r>
      <w:r w:rsidRPr="00EF64A9">
        <w:t xml:space="preserve"> </w:t>
      </w:r>
      <w:r w:rsidRPr="00EF64A9">
        <w:rPr>
          <w:i/>
          <w:iCs/>
        </w:rPr>
        <w:t>Id.</w:t>
      </w:r>
    </w:p>
  </w:footnote>
  <w:footnote w:id="82">
    <w:p w:rsidR="004B2374" w:rsidRPr="00EF64A9" w:rsidP="00EF64A9" w14:paraId="4048FD05" w14:textId="49290A45">
      <w:pPr>
        <w:pStyle w:val="FootnoteText"/>
      </w:pPr>
      <w:r w:rsidRPr="00EF64A9">
        <w:rPr>
          <w:rStyle w:val="FootnoteReference"/>
        </w:rPr>
        <w:footnoteRef/>
      </w:r>
      <w:r w:rsidRPr="00EF64A9">
        <w:t xml:space="preserve"> </w:t>
      </w:r>
      <w:r w:rsidRPr="00EF64A9">
        <w:rPr>
          <w:i/>
          <w:iCs/>
        </w:rPr>
        <w:t>Id.</w:t>
      </w:r>
    </w:p>
  </w:footnote>
  <w:footnote w:id="83">
    <w:p w:rsidR="00115D5F" w:rsidRPr="00EF64A9" w:rsidP="00EF64A9" w14:paraId="37036001" w14:textId="31B807D6">
      <w:pPr>
        <w:pStyle w:val="FootnoteText"/>
      </w:pPr>
      <w:r w:rsidRPr="00EF64A9">
        <w:rPr>
          <w:rStyle w:val="FootnoteReference"/>
        </w:rPr>
        <w:footnoteRef/>
      </w:r>
      <w:r w:rsidRPr="00EF64A9">
        <w:t xml:space="preserve"> </w:t>
      </w:r>
      <w:r w:rsidRPr="00EF64A9">
        <w:rPr>
          <w:i/>
          <w:iCs/>
        </w:rPr>
        <w:t>Id.</w:t>
      </w:r>
    </w:p>
  </w:footnote>
  <w:footnote w:id="84">
    <w:p w:rsidR="00611A5F" w:rsidRPr="00EF64A9" w:rsidP="00EF64A9" w14:paraId="67ACAC8F" w14:textId="77777777">
      <w:pPr>
        <w:pStyle w:val="FootnoteText"/>
      </w:pPr>
      <w:r w:rsidRPr="00EF64A9">
        <w:rPr>
          <w:rStyle w:val="FootnoteReference"/>
        </w:rPr>
        <w:footnoteRef/>
      </w:r>
      <w:r w:rsidRPr="00EF64A9">
        <w:t xml:space="preserve"> PUCO Staff at 13.</w:t>
      </w:r>
    </w:p>
  </w:footnote>
  <w:footnote w:id="85">
    <w:p w:rsidR="00611A5F" w:rsidRPr="00EF64A9" w:rsidP="00EF64A9" w14:paraId="7D4E636D" w14:textId="2ED42D27">
      <w:pPr>
        <w:pStyle w:val="FootnoteText"/>
      </w:pPr>
      <w:r w:rsidRPr="00EF64A9">
        <w:rPr>
          <w:rStyle w:val="FootnoteReference"/>
        </w:rPr>
        <w:footnoteRef/>
      </w:r>
      <w:r w:rsidRPr="00EF64A9">
        <w:t xml:space="preserve"> Williams</w:t>
      </w:r>
      <w:r w:rsidR="009806A5">
        <w:t>’</w:t>
      </w:r>
      <w:r w:rsidRPr="00EF64A9">
        <w:t xml:space="preserve"> Direct at </w:t>
      </w:r>
      <w:r w:rsidRPr="00EF64A9" w:rsidR="00B739B3">
        <w:t>19.</w:t>
      </w:r>
    </w:p>
  </w:footnote>
  <w:footnote w:id="86">
    <w:p w:rsidR="00101D39" w:rsidRPr="00EF64A9" w:rsidP="00EF64A9" w14:paraId="706D8CB6" w14:textId="1D491323">
      <w:pPr>
        <w:pStyle w:val="FootnoteText"/>
      </w:pPr>
      <w:r w:rsidRPr="00EF64A9">
        <w:rPr>
          <w:rStyle w:val="FootnoteReference"/>
        </w:rPr>
        <w:footnoteRef/>
      </w:r>
      <w:r w:rsidRPr="00EF64A9">
        <w:t xml:space="preserve"> </w:t>
      </w:r>
      <w:r w:rsidRPr="00EF64A9" w:rsidR="00115D5F">
        <w:t>O.A.C.</w:t>
      </w:r>
      <w:r w:rsidRPr="00EF64A9">
        <w:t xml:space="preserve"> 4901:1-10-10(B)</w:t>
      </w:r>
      <w:r w:rsidRPr="00EF64A9" w:rsidR="00F73D95">
        <w:t>.</w:t>
      </w:r>
    </w:p>
  </w:footnote>
  <w:footnote w:id="87">
    <w:p w:rsidR="00E44A83" w:rsidRPr="00EF64A9" w:rsidP="00EF64A9" w14:paraId="5509BF70" w14:textId="7A5E67F3">
      <w:pPr>
        <w:pStyle w:val="FootnoteText"/>
      </w:pPr>
      <w:r w:rsidRPr="00EF64A9">
        <w:rPr>
          <w:rStyle w:val="FootnoteReference"/>
        </w:rPr>
        <w:footnoteRef/>
      </w:r>
      <w:r w:rsidRPr="00EF64A9">
        <w:t xml:space="preserve"> </w:t>
      </w:r>
      <w:r w:rsidRPr="00EF64A9" w:rsidR="00121F2B">
        <w:t>Williams</w:t>
      </w:r>
      <w:r w:rsidR="00A64F91">
        <w:t>’</w:t>
      </w:r>
      <w:r w:rsidRPr="00EF64A9" w:rsidR="00121F2B">
        <w:t xml:space="preserve"> Direct at 19.</w:t>
      </w:r>
    </w:p>
  </w:footnote>
  <w:footnote w:id="88">
    <w:p w:rsidR="00CF4C5A" w:rsidRPr="00EF64A9" w:rsidP="00EF64A9" w14:paraId="07C7CF87" w14:textId="5FC2627D">
      <w:pPr>
        <w:pStyle w:val="FootnoteText"/>
      </w:pPr>
      <w:r w:rsidRPr="00EF64A9">
        <w:rPr>
          <w:rStyle w:val="FootnoteReference"/>
        </w:rPr>
        <w:footnoteRef/>
      </w:r>
      <w:r w:rsidRPr="00EF64A9">
        <w:t xml:space="preserve"> </w:t>
      </w:r>
      <w:r w:rsidRPr="00EF64A9" w:rsidR="00121F2B">
        <w:rPr>
          <w:i/>
          <w:iCs/>
        </w:rPr>
        <w:t>Id.</w:t>
      </w:r>
    </w:p>
  </w:footnote>
  <w:footnote w:id="89">
    <w:p w:rsidR="009949DD" w:rsidRPr="00EF64A9" w:rsidP="00EF64A9" w14:paraId="72AB8D7A" w14:textId="0C6AC733">
      <w:pPr>
        <w:pStyle w:val="FootnoteText"/>
      </w:pPr>
      <w:r w:rsidRPr="00EF64A9">
        <w:rPr>
          <w:rStyle w:val="FootnoteReference"/>
        </w:rPr>
        <w:footnoteRef/>
      </w:r>
      <w:r w:rsidRPr="00EF64A9">
        <w:t xml:space="preserve"> </w:t>
      </w:r>
      <w:r w:rsidRPr="00EF64A9">
        <w:rPr>
          <w:i/>
          <w:iCs/>
        </w:rPr>
        <w:t>Id.</w:t>
      </w:r>
    </w:p>
  </w:footnote>
  <w:footnote w:id="90">
    <w:p w:rsidR="005129F4" w:rsidRPr="00EF64A9" w:rsidP="00EF64A9" w14:paraId="37B6A434" w14:textId="2282CA87">
      <w:pPr>
        <w:pStyle w:val="FootnoteText"/>
      </w:pPr>
      <w:r w:rsidRPr="00EF64A9">
        <w:rPr>
          <w:rStyle w:val="FootnoteReference"/>
        </w:rPr>
        <w:footnoteRef/>
      </w:r>
      <w:r w:rsidRPr="00EF64A9">
        <w:t xml:space="preserve"> </w:t>
      </w:r>
      <w:r w:rsidRPr="00EF64A9" w:rsidR="009949DD">
        <w:rPr>
          <w:i/>
          <w:iCs/>
        </w:rPr>
        <w:t>Id.</w:t>
      </w:r>
      <w:r w:rsidRPr="00EF64A9" w:rsidR="00BE77AE">
        <w:rPr>
          <w:i/>
          <w:iCs/>
        </w:rPr>
        <w:t xml:space="preserve"> </w:t>
      </w:r>
      <w:r w:rsidRPr="00EF64A9" w:rsidR="00BE77AE">
        <w:t>at 20.</w:t>
      </w:r>
    </w:p>
  </w:footnote>
  <w:footnote w:id="91">
    <w:p w:rsidR="005129F4" w:rsidRPr="00EF64A9" w:rsidP="00EF64A9" w14:paraId="710A2186" w14:textId="177C9BA3">
      <w:pPr>
        <w:pStyle w:val="FootnoteText"/>
      </w:pPr>
      <w:r w:rsidRPr="00EF64A9">
        <w:rPr>
          <w:rStyle w:val="FootnoteReference"/>
        </w:rPr>
        <w:footnoteRef/>
      </w:r>
      <w:r w:rsidRPr="00EF64A9">
        <w:t xml:space="preserve"> </w:t>
      </w:r>
      <w:r w:rsidRPr="00EF64A9" w:rsidR="00BE77AE">
        <w:rPr>
          <w:i/>
          <w:iCs/>
        </w:rPr>
        <w:t xml:space="preserve">Id. </w:t>
      </w:r>
      <w:r w:rsidRPr="00EF64A9" w:rsidR="00BE77AE">
        <w:t>at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160A26C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8" o:spid="_x0000_s2049" type="#_x0000_t136" style="width:567pt;height:42pt;margin-top:0;margin-left:0;mso-height-percent:0;mso-position-horizontal:center;mso-position-horizontal-relative:margin;mso-position-vertical:center;mso-position-vertical-relative:margin;mso-width-percent:0;mso-wrap-edited:f;position:absolute;rotation:315;z-index:-251656192" o:allowincell="f" fillcolor="#7f7f7f" stroked="f">
          <v:fill opacity="0.5"/>
          <v:textpath style="font-family:'Times New Roman';font-size:1pt" string="CONFIDENTIAL 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3BA4DE7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7" o:spid="_x0000_s2050" type="#_x0000_t136" style="width:567pt;height:42pt;margin-top:0;margin-left:0;mso-height-percent:0;mso-position-horizontal:center;mso-position-horizontal-relative:margin;mso-position-vertical:center;mso-position-vertical-relative:margin;mso-width-percent:0;mso-wrap-edited:f;position:absolute;rotation:315;z-index:-251655168" o:allowincell="f" fillcolor="#7f7f7f" stroked="f">
          <v:fill opacity="0.5"/>
          <v:textpath style="font-family:'Times New Roman';font-size:1pt" string="CONFIDENTIAL WORKING DRAFT"/>
          <w10:wrap anchorx="margin" anchory="margin"/>
        </v:shape>
      </w:pict>
    </w:r>
    <w:r w:rsidR="001C51AC">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6"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42AAD" w:rsidP="005D75E1"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2051"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v:stroke joinstyle="round"/>
              <o:lock v:ext="edit" shapetype="t"/>
              <v:textbox style="mso-fit-shape-to-text:t">
                <w:txbxContent>
                  <w:p w:rsidR="00442AAD" w:rsidP="005D75E1" w14:paraId="092AC768" w14:textId="77777777">
                    <w:pPr>
                      <w:pStyle w:val="NormalWeb"/>
                      <w:spacing w:before="0" w:beforeAutospacing="0" w:after="0" w:afterAutospacing="0"/>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35AD2"/>
    <w:multiLevelType w:val="hybridMultilevel"/>
    <w:tmpl w:val="F6F84B18"/>
    <w:lvl w:ilvl="0">
      <w:start w:val="5"/>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F930E7"/>
    <w:multiLevelType w:val="hybridMultilevel"/>
    <w:tmpl w:val="C632F2FA"/>
    <w:lvl w:ilvl="0">
      <w:start w:val="2"/>
      <w:numFmt w:val="upperLetter"/>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B63F8B"/>
    <w:multiLevelType w:val="hybridMultilevel"/>
    <w:tmpl w:val="95FEC294"/>
    <w:lvl w:ilvl="0">
      <w:start w:val="1"/>
      <w:numFmt w:val="decimal"/>
      <w:lvlText w:val="%1."/>
      <w:lvlJc w:val="left"/>
      <w:pPr>
        <w:ind w:left="1080" w:hanging="360"/>
      </w:pPr>
      <w:rPr>
        <w:rFonts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4C219A"/>
    <w:multiLevelType w:val="hybridMultilevel"/>
    <w:tmpl w:val="F6B08974"/>
    <w:lvl w:ilvl="0">
      <w:start w:val="1"/>
      <w:numFmt w:val="upperLetter"/>
      <w:pStyle w:val="Heading2"/>
      <w:lvlText w:val="%1."/>
      <w:lvlJc w:val="left"/>
      <w:pPr>
        <w:ind w:left="1080" w:hanging="360"/>
      </w:pPr>
      <w:rPr>
        <w:rFonts w:hint="default"/>
        <w:b/>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745B5B"/>
    <w:multiLevelType w:val="hybridMultilevel"/>
    <w:tmpl w:val="F5B8376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A067FE"/>
    <w:multiLevelType w:val="hybridMultilevel"/>
    <w:tmpl w:val="99248B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4D7732"/>
    <w:multiLevelType w:val="hybridMultilevel"/>
    <w:tmpl w:val="8A7A0C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3E95AD1"/>
    <w:multiLevelType w:val="hybridMultilevel"/>
    <w:tmpl w:val="762254D4"/>
    <w:lvl w:ilvl="0">
      <w:start w:val="4"/>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D276BC"/>
    <w:multiLevelType w:val="hybridMultilevel"/>
    <w:tmpl w:val="881C0D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0C6DFF"/>
    <w:multiLevelType w:val="hybridMultilevel"/>
    <w:tmpl w:val="FA3A4E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7F10365"/>
    <w:multiLevelType w:val="hybridMultilevel"/>
    <w:tmpl w:val="D020FE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740A4E"/>
    <w:multiLevelType w:val="hybridMultilevel"/>
    <w:tmpl w:val="1BD07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4673C9"/>
    <w:multiLevelType w:val="hybridMultilevel"/>
    <w:tmpl w:val="546AFC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5F662B1"/>
    <w:multiLevelType w:val="hybridMultilevel"/>
    <w:tmpl w:val="967E0B1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157295"/>
    <w:multiLevelType w:val="hybridMultilevel"/>
    <w:tmpl w:val="C1764A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4875FD"/>
    <w:multiLevelType w:val="hybridMultilevel"/>
    <w:tmpl w:val="EE82BB4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12"/>
  </w:num>
  <w:num w:numId="5">
    <w:abstractNumId w:val="9"/>
  </w:num>
  <w:num w:numId="6">
    <w:abstractNumId w:val="5"/>
  </w:num>
  <w:num w:numId="7">
    <w:abstractNumId w:val="10"/>
  </w:num>
  <w:num w:numId="8">
    <w:abstractNumId w:val="15"/>
  </w:num>
  <w:num w:numId="9">
    <w:abstractNumId w:val="6"/>
  </w:num>
  <w:num w:numId="10">
    <w:abstractNumId w:val="11"/>
  </w:num>
  <w:num w:numId="11">
    <w:abstractNumId w:val="4"/>
  </w:num>
  <w:num w:numId="12">
    <w:abstractNumId w:val="1"/>
  </w:num>
  <w:num w:numId="13">
    <w:abstractNumId w:val="13"/>
  </w:num>
  <w:num w:numId="14">
    <w:abstractNumId w:val="3"/>
  </w:num>
  <w:num w:numId="15">
    <w:abstractNumId w:val="0"/>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17"/>
    <w:rsid w:val="000008AA"/>
    <w:rsid w:val="00000C65"/>
    <w:rsid w:val="000017BB"/>
    <w:rsid w:val="00004359"/>
    <w:rsid w:val="000043DB"/>
    <w:rsid w:val="00005329"/>
    <w:rsid w:val="00005CD2"/>
    <w:rsid w:val="0000612B"/>
    <w:rsid w:val="00006D85"/>
    <w:rsid w:val="00012010"/>
    <w:rsid w:val="00013B5E"/>
    <w:rsid w:val="00013BC6"/>
    <w:rsid w:val="00014AB5"/>
    <w:rsid w:val="00016462"/>
    <w:rsid w:val="000169EC"/>
    <w:rsid w:val="00020F54"/>
    <w:rsid w:val="0002118C"/>
    <w:rsid w:val="0002285C"/>
    <w:rsid w:val="00023388"/>
    <w:rsid w:val="000263A6"/>
    <w:rsid w:val="00026787"/>
    <w:rsid w:val="000267EA"/>
    <w:rsid w:val="000302B0"/>
    <w:rsid w:val="00030AA2"/>
    <w:rsid w:val="00030F10"/>
    <w:rsid w:val="00033B47"/>
    <w:rsid w:val="00034A2A"/>
    <w:rsid w:val="00041145"/>
    <w:rsid w:val="00046333"/>
    <w:rsid w:val="000479B5"/>
    <w:rsid w:val="00051977"/>
    <w:rsid w:val="000524BD"/>
    <w:rsid w:val="00052767"/>
    <w:rsid w:val="00054867"/>
    <w:rsid w:val="00056704"/>
    <w:rsid w:val="0005779B"/>
    <w:rsid w:val="0006532D"/>
    <w:rsid w:val="00066A5A"/>
    <w:rsid w:val="00066E3F"/>
    <w:rsid w:val="00067668"/>
    <w:rsid w:val="00073041"/>
    <w:rsid w:val="000738E4"/>
    <w:rsid w:val="00074E75"/>
    <w:rsid w:val="00075C74"/>
    <w:rsid w:val="00076B3F"/>
    <w:rsid w:val="0008018E"/>
    <w:rsid w:val="000822EF"/>
    <w:rsid w:val="00086211"/>
    <w:rsid w:val="000930A3"/>
    <w:rsid w:val="00093A8E"/>
    <w:rsid w:val="00094582"/>
    <w:rsid w:val="0009534A"/>
    <w:rsid w:val="000959F7"/>
    <w:rsid w:val="00095CBE"/>
    <w:rsid w:val="000A195B"/>
    <w:rsid w:val="000A44AD"/>
    <w:rsid w:val="000B38C1"/>
    <w:rsid w:val="000B43F3"/>
    <w:rsid w:val="000B5A48"/>
    <w:rsid w:val="000B7307"/>
    <w:rsid w:val="000C0A2C"/>
    <w:rsid w:val="000C7035"/>
    <w:rsid w:val="000D1C23"/>
    <w:rsid w:val="000D1C8B"/>
    <w:rsid w:val="000D2122"/>
    <w:rsid w:val="000D2A76"/>
    <w:rsid w:val="000D55C1"/>
    <w:rsid w:val="000D5724"/>
    <w:rsid w:val="000E0E8C"/>
    <w:rsid w:val="000E378B"/>
    <w:rsid w:val="000E3FB3"/>
    <w:rsid w:val="000E53BE"/>
    <w:rsid w:val="000E54E1"/>
    <w:rsid w:val="000E5BFE"/>
    <w:rsid w:val="000F0DBB"/>
    <w:rsid w:val="000F1194"/>
    <w:rsid w:val="000F12D5"/>
    <w:rsid w:val="000F1CA5"/>
    <w:rsid w:val="000F4262"/>
    <w:rsid w:val="000F47DD"/>
    <w:rsid w:val="000F51FA"/>
    <w:rsid w:val="0010181B"/>
    <w:rsid w:val="00101D39"/>
    <w:rsid w:val="0010430F"/>
    <w:rsid w:val="0010498B"/>
    <w:rsid w:val="00105C4F"/>
    <w:rsid w:val="0011041B"/>
    <w:rsid w:val="001126DE"/>
    <w:rsid w:val="00114BE3"/>
    <w:rsid w:val="00115D5F"/>
    <w:rsid w:val="00116B17"/>
    <w:rsid w:val="00121F2B"/>
    <w:rsid w:val="001233E3"/>
    <w:rsid w:val="00123705"/>
    <w:rsid w:val="00126604"/>
    <w:rsid w:val="00126C02"/>
    <w:rsid w:val="00132172"/>
    <w:rsid w:val="00133276"/>
    <w:rsid w:val="00134F20"/>
    <w:rsid w:val="00136D00"/>
    <w:rsid w:val="00137051"/>
    <w:rsid w:val="00144A73"/>
    <w:rsid w:val="0014751F"/>
    <w:rsid w:val="00147D7B"/>
    <w:rsid w:val="00150260"/>
    <w:rsid w:val="0015333A"/>
    <w:rsid w:val="0015560C"/>
    <w:rsid w:val="0015795D"/>
    <w:rsid w:val="00157AFD"/>
    <w:rsid w:val="00162EE9"/>
    <w:rsid w:val="001648E2"/>
    <w:rsid w:val="001665C1"/>
    <w:rsid w:val="00167CF5"/>
    <w:rsid w:val="00170023"/>
    <w:rsid w:val="001729EE"/>
    <w:rsid w:val="00174B6C"/>
    <w:rsid w:val="00175179"/>
    <w:rsid w:val="0017671B"/>
    <w:rsid w:val="00176E32"/>
    <w:rsid w:val="00180A82"/>
    <w:rsid w:val="00183190"/>
    <w:rsid w:val="00184065"/>
    <w:rsid w:val="00185407"/>
    <w:rsid w:val="00187F6C"/>
    <w:rsid w:val="00191A3C"/>
    <w:rsid w:val="00191FF9"/>
    <w:rsid w:val="001927DE"/>
    <w:rsid w:val="00193B54"/>
    <w:rsid w:val="00194330"/>
    <w:rsid w:val="001951DC"/>
    <w:rsid w:val="00195375"/>
    <w:rsid w:val="00195647"/>
    <w:rsid w:val="00195F00"/>
    <w:rsid w:val="00196C17"/>
    <w:rsid w:val="00197D49"/>
    <w:rsid w:val="00197E6E"/>
    <w:rsid w:val="00197EFD"/>
    <w:rsid w:val="001A1D85"/>
    <w:rsid w:val="001A5BBD"/>
    <w:rsid w:val="001A6044"/>
    <w:rsid w:val="001A7F60"/>
    <w:rsid w:val="001B003A"/>
    <w:rsid w:val="001B2189"/>
    <w:rsid w:val="001B781D"/>
    <w:rsid w:val="001C0F61"/>
    <w:rsid w:val="001C14E6"/>
    <w:rsid w:val="001C1851"/>
    <w:rsid w:val="001C3306"/>
    <w:rsid w:val="001C3961"/>
    <w:rsid w:val="001C4B4A"/>
    <w:rsid w:val="001C51AC"/>
    <w:rsid w:val="001D0682"/>
    <w:rsid w:val="001D0D04"/>
    <w:rsid w:val="001D4098"/>
    <w:rsid w:val="001D43F5"/>
    <w:rsid w:val="001D6965"/>
    <w:rsid w:val="001E0F3A"/>
    <w:rsid w:val="001E42E9"/>
    <w:rsid w:val="001E58CE"/>
    <w:rsid w:val="001E75E5"/>
    <w:rsid w:val="001F120C"/>
    <w:rsid w:val="001F2DAD"/>
    <w:rsid w:val="001F4EC9"/>
    <w:rsid w:val="001F5171"/>
    <w:rsid w:val="001F5D97"/>
    <w:rsid w:val="001F6B02"/>
    <w:rsid w:val="00201172"/>
    <w:rsid w:val="00201323"/>
    <w:rsid w:val="002048EC"/>
    <w:rsid w:val="00206BF6"/>
    <w:rsid w:val="00207348"/>
    <w:rsid w:val="00207C79"/>
    <w:rsid w:val="00207D30"/>
    <w:rsid w:val="0021063B"/>
    <w:rsid w:val="00211726"/>
    <w:rsid w:val="00212835"/>
    <w:rsid w:val="002129DA"/>
    <w:rsid w:val="00217F4A"/>
    <w:rsid w:val="00225B86"/>
    <w:rsid w:val="0022646A"/>
    <w:rsid w:val="002273D4"/>
    <w:rsid w:val="00227A4C"/>
    <w:rsid w:val="002303F0"/>
    <w:rsid w:val="00230D5E"/>
    <w:rsid w:val="0024193C"/>
    <w:rsid w:val="00241A23"/>
    <w:rsid w:val="00243AB1"/>
    <w:rsid w:val="00246D61"/>
    <w:rsid w:val="00247CC5"/>
    <w:rsid w:val="00252BCD"/>
    <w:rsid w:val="0025340E"/>
    <w:rsid w:val="0025376F"/>
    <w:rsid w:val="0025456F"/>
    <w:rsid w:val="002549AB"/>
    <w:rsid w:val="00254F24"/>
    <w:rsid w:val="00256088"/>
    <w:rsid w:val="00256427"/>
    <w:rsid w:val="00260A59"/>
    <w:rsid w:val="00263904"/>
    <w:rsid w:val="00263B91"/>
    <w:rsid w:val="00267AF1"/>
    <w:rsid w:val="0027167B"/>
    <w:rsid w:val="00272ABA"/>
    <w:rsid w:val="00273EE5"/>
    <w:rsid w:val="002752F0"/>
    <w:rsid w:val="002756F5"/>
    <w:rsid w:val="00275B59"/>
    <w:rsid w:val="00276584"/>
    <w:rsid w:val="00284504"/>
    <w:rsid w:val="00287E12"/>
    <w:rsid w:val="0029056E"/>
    <w:rsid w:val="00290684"/>
    <w:rsid w:val="00292B57"/>
    <w:rsid w:val="00294A9A"/>
    <w:rsid w:val="00295D2C"/>
    <w:rsid w:val="00296962"/>
    <w:rsid w:val="002A0762"/>
    <w:rsid w:val="002A2210"/>
    <w:rsid w:val="002A3D08"/>
    <w:rsid w:val="002A44B9"/>
    <w:rsid w:val="002A4826"/>
    <w:rsid w:val="002A5466"/>
    <w:rsid w:val="002B0382"/>
    <w:rsid w:val="002B0C82"/>
    <w:rsid w:val="002B1BBC"/>
    <w:rsid w:val="002B511E"/>
    <w:rsid w:val="002B538A"/>
    <w:rsid w:val="002B6547"/>
    <w:rsid w:val="002C4CC4"/>
    <w:rsid w:val="002C4F24"/>
    <w:rsid w:val="002C56E7"/>
    <w:rsid w:val="002C6DE7"/>
    <w:rsid w:val="002C7176"/>
    <w:rsid w:val="002D121B"/>
    <w:rsid w:val="002D36B3"/>
    <w:rsid w:val="002D45F3"/>
    <w:rsid w:val="002D5810"/>
    <w:rsid w:val="002D654A"/>
    <w:rsid w:val="002D684B"/>
    <w:rsid w:val="002E22F5"/>
    <w:rsid w:val="002E5654"/>
    <w:rsid w:val="002E618F"/>
    <w:rsid w:val="002F0C4B"/>
    <w:rsid w:val="002F2C24"/>
    <w:rsid w:val="002F40A6"/>
    <w:rsid w:val="002F435E"/>
    <w:rsid w:val="002F62E9"/>
    <w:rsid w:val="002F7702"/>
    <w:rsid w:val="0030169B"/>
    <w:rsid w:val="003034B7"/>
    <w:rsid w:val="00303A33"/>
    <w:rsid w:val="003075D6"/>
    <w:rsid w:val="00311AAF"/>
    <w:rsid w:val="00311E92"/>
    <w:rsid w:val="00315451"/>
    <w:rsid w:val="00317F92"/>
    <w:rsid w:val="00321077"/>
    <w:rsid w:val="00326A35"/>
    <w:rsid w:val="003327C8"/>
    <w:rsid w:val="0033363D"/>
    <w:rsid w:val="003354E2"/>
    <w:rsid w:val="003357C0"/>
    <w:rsid w:val="0033713F"/>
    <w:rsid w:val="00337455"/>
    <w:rsid w:val="003379C4"/>
    <w:rsid w:val="003400D5"/>
    <w:rsid w:val="00340973"/>
    <w:rsid w:val="0034191E"/>
    <w:rsid w:val="00343EC7"/>
    <w:rsid w:val="00345249"/>
    <w:rsid w:val="0034583B"/>
    <w:rsid w:val="003465A1"/>
    <w:rsid w:val="00346A6C"/>
    <w:rsid w:val="00347FD0"/>
    <w:rsid w:val="00351260"/>
    <w:rsid w:val="003520EC"/>
    <w:rsid w:val="00352877"/>
    <w:rsid w:val="00353161"/>
    <w:rsid w:val="00360897"/>
    <w:rsid w:val="00360C87"/>
    <w:rsid w:val="003615A6"/>
    <w:rsid w:val="0036282F"/>
    <w:rsid w:val="003700C0"/>
    <w:rsid w:val="00371BCE"/>
    <w:rsid w:val="00377E61"/>
    <w:rsid w:val="003818B5"/>
    <w:rsid w:val="00381EA5"/>
    <w:rsid w:val="00381EE2"/>
    <w:rsid w:val="00382410"/>
    <w:rsid w:val="00386493"/>
    <w:rsid w:val="00387075"/>
    <w:rsid w:val="00387DAE"/>
    <w:rsid w:val="00390D87"/>
    <w:rsid w:val="00390F96"/>
    <w:rsid w:val="00391093"/>
    <w:rsid w:val="003928D0"/>
    <w:rsid w:val="00392E85"/>
    <w:rsid w:val="00393AE8"/>
    <w:rsid w:val="00394B74"/>
    <w:rsid w:val="00395370"/>
    <w:rsid w:val="003A15BB"/>
    <w:rsid w:val="003A22C9"/>
    <w:rsid w:val="003A2C88"/>
    <w:rsid w:val="003A30C4"/>
    <w:rsid w:val="003A30CD"/>
    <w:rsid w:val="003A35E4"/>
    <w:rsid w:val="003A3B60"/>
    <w:rsid w:val="003A3E4F"/>
    <w:rsid w:val="003A52F6"/>
    <w:rsid w:val="003A5A79"/>
    <w:rsid w:val="003A71AB"/>
    <w:rsid w:val="003A7644"/>
    <w:rsid w:val="003A7B1D"/>
    <w:rsid w:val="003A7BAF"/>
    <w:rsid w:val="003A7F78"/>
    <w:rsid w:val="003B08E3"/>
    <w:rsid w:val="003B15F6"/>
    <w:rsid w:val="003B1627"/>
    <w:rsid w:val="003B1F9A"/>
    <w:rsid w:val="003B36CF"/>
    <w:rsid w:val="003B3763"/>
    <w:rsid w:val="003B4EED"/>
    <w:rsid w:val="003C0F78"/>
    <w:rsid w:val="003C44CA"/>
    <w:rsid w:val="003C51E5"/>
    <w:rsid w:val="003C5443"/>
    <w:rsid w:val="003C7C7B"/>
    <w:rsid w:val="003D2CE1"/>
    <w:rsid w:val="003D429A"/>
    <w:rsid w:val="003D4B1D"/>
    <w:rsid w:val="003D4D2F"/>
    <w:rsid w:val="003D4F2D"/>
    <w:rsid w:val="003D7958"/>
    <w:rsid w:val="003D7E17"/>
    <w:rsid w:val="003E2D61"/>
    <w:rsid w:val="003E3855"/>
    <w:rsid w:val="003E49D3"/>
    <w:rsid w:val="003F092C"/>
    <w:rsid w:val="003F0B14"/>
    <w:rsid w:val="003F1D62"/>
    <w:rsid w:val="003F4B55"/>
    <w:rsid w:val="003F692B"/>
    <w:rsid w:val="003F7425"/>
    <w:rsid w:val="004014B0"/>
    <w:rsid w:val="00403833"/>
    <w:rsid w:val="004038F3"/>
    <w:rsid w:val="00404950"/>
    <w:rsid w:val="00407E02"/>
    <w:rsid w:val="004129F6"/>
    <w:rsid w:val="00414922"/>
    <w:rsid w:val="00415556"/>
    <w:rsid w:val="00415672"/>
    <w:rsid w:val="00416904"/>
    <w:rsid w:val="004223B3"/>
    <w:rsid w:val="00422F89"/>
    <w:rsid w:val="0042357C"/>
    <w:rsid w:val="00424AA7"/>
    <w:rsid w:val="004250A2"/>
    <w:rsid w:val="00426B40"/>
    <w:rsid w:val="0043087C"/>
    <w:rsid w:val="00430F05"/>
    <w:rsid w:val="004319F4"/>
    <w:rsid w:val="00431C34"/>
    <w:rsid w:val="004332B0"/>
    <w:rsid w:val="00434302"/>
    <w:rsid w:val="00434AD0"/>
    <w:rsid w:val="00434B46"/>
    <w:rsid w:val="00442AAD"/>
    <w:rsid w:val="00442B14"/>
    <w:rsid w:val="004460C9"/>
    <w:rsid w:val="004473BA"/>
    <w:rsid w:val="00451E8B"/>
    <w:rsid w:val="00453049"/>
    <w:rsid w:val="00454DBB"/>
    <w:rsid w:val="004562DF"/>
    <w:rsid w:val="0046206D"/>
    <w:rsid w:val="00462967"/>
    <w:rsid w:val="00470271"/>
    <w:rsid w:val="004739F8"/>
    <w:rsid w:val="00480CBB"/>
    <w:rsid w:val="0048281D"/>
    <w:rsid w:val="00484645"/>
    <w:rsid w:val="00484CAA"/>
    <w:rsid w:val="00485585"/>
    <w:rsid w:val="00485E5D"/>
    <w:rsid w:val="0049049F"/>
    <w:rsid w:val="00491A91"/>
    <w:rsid w:val="004935C1"/>
    <w:rsid w:val="004949EB"/>
    <w:rsid w:val="004954A4"/>
    <w:rsid w:val="00495D47"/>
    <w:rsid w:val="00496A5B"/>
    <w:rsid w:val="004A04E3"/>
    <w:rsid w:val="004A3D99"/>
    <w:rsid w:val="004A70F1"/>
    <w:rsid w:val="004B2374"/>
    <w:rsid w:val="004B2C7B"/>
    <w:rsid w:val="004B5D46"/>
    <w:rsid w:val="004B5F8A"/>
    <w:rsid w:val="004B6C8D"/>
    <w:rsid w:val="004C151B"/>
    <w:rsid w:val="004C18EA"/>
    <w:rsid w:val="004C196A"/>
    <w:rsid w:val="004C23A4"/>
    <w:rsid w:val="004C67BD"/>
    <w:rsid w:val="004D7A01"/>
    <w:rsid w:val="004E31A2"/>
    <w:rsid w:val="004E4315"/>
    <w:rsid w:val="004E5C9B"/>
    <w:rsid w:val="004E6A6F"/>
    <w:rsid w:val="004E6E77"/>
    <w:rsid w:val="004E7C9B"/>
    <w:rsid w:val="004F0299"/>
    <w:rsid w:val="004F1BB6"/>
    <w:rsid w:val="004F467A"/>
    <w:rsid w:val="004F4701"/>
    <w:rsid w:val="004F486B"/>
    <w:rsid w:val="004F50E3"/>
    <w:rsid w:val="004F53C6"/>
    <w:rsid w:val="004F6383"/>
    <w:rsid w:val="004F6CE6"/>
    <w:rsid w:val="00500ED5"/>
    <w:rsid w:val="0050393F"/>
    <w:rsid w:val="00503E8F"/>
    <w:rsid w:val="005060B0"/>
    <w:rsid w:val="00506150"/>
    <w:rsid w:val="005129F4"/>
    <w:rsid w:val="0051373A"/>
    <w:rsid w:val="00514A3F"/>
    <w:rsid w:val="00514B89"/>
    <w:rsid w:val="005156C7"/>
    <w:rsid w:val="00516584"/>
    <w:rsid w:val="005209EB"/>
    <w:rsid w:val="00521653"/>
    <w:rsid w:val="005236C2"/>
    <w:rsid w:val="00525D38"/>
    <w:rsid w:val="00527B3D"/>
    <w:rsid w:val="00531B20"/>
    <w:rsid w:val="00532452"/>
    <w:rsid w:val="00532D75"/>
    <w:rsid w:val="005378BE"/>
    <w:rsid w:val="00541C4E"/>
    <w:rsid w:val="005469AE"/>
    <w:rsid w:val="0054787A"/>
    <w:rsid w:val="0055075F"/>
    <w:rsid w:val="00550FCF"/>
    <w:rsid w:val="005512C3"/>
    <w:rsid w:val="00551DC6"/>
    <w:rsid w:val="00552AD4"/>
    <w:rsid w:val="00553AFC"/>
    <w:rsid w:val="005561B3"/>
    <w:rsid w:val="005578A5"/>
    <w:rsid w:val="005609D3"/>
    <w:rsid w:val="005613E8"/>
    <w:rsid w:val="0056303C"/>
    <w:rsid w:val="005644C9"/>
    <w:rsid w:val="00565241"/>
    <w:rsid w:val="005673B1"/>
    <w:rsid w:val="0057187B"/>
    <w:rsid w:val="005726CE"/>
    <w:rsid w:val="005734AE"/>
    <w:rsid w:val="00573E6C"/>
    <w:rsid w:val="00575E64"/>
    <w:rsid w:val="0057685E"/>
    <w:rsid w:val="00576BDF"/>
    <w:rsid w:val="00576FB5"/>
    <w:rsid w:val="00581792"/>
    <w:rsid w:val="00582FDE"/>
    <w:rsid w:val="00583874"/>
    <w:rsid w:val="00584954"/>
    <w:rsid w:val="00585BB1"/>
    <w:rsid w:val="005867C9"/>
    <w:rsid w:val="005902A8"/>
    <w:rsid w:val="00591038"/>
    <w:rsid w:val="005913FF"/>
    <w:rsid w:val="00591DA7"/>
    <w:rsid w:val="00592294"/>
    <w:rsid w:val="00592727"/>
    <w:rsid w:val="005939FA"/>
    <w:rsid w:val="00593E9F"/>
    <w:rsid w:val="00594B67"/>
    <w:rsid w:val="00595DCF"/>
    <w:rsid w:val="005967A7"/>
    <w:rsid w:val="00597407"/>
    <w:rsid w:val="005977A6"/>
    <w:rsid w:val="005A09F1"/>
    <w:rsid w:val="005A3BE9"/>
    <w:rsid w:val="005A4F89"/>
    <w:rsid w:val="005A603E"/>
    <w:rsid w:val="005B6D99"/>
    <w:rsid w:val="005C2B7F"/>
    <w:rsid w:val="005C2DBE"/>
    <w:rsid w:val="005C47CE"/>
    <w:rsid w:val="005C764C"/>
    <w:rsid w:val="005C7992"/>
    <w:rsid w:val="005D09F5"/>
    <w:rsid w:val="005D2835"/>
    <w:rsid w:val="005D5D33"/>
    <w:rsid w:val="005D6DBF"/>
    <w:rsid w:val="005D75E1"/>
    <w:rsid w:val="005E0163"/>
    <w:rsid w:val="005E0AE6"/>
    <w:rsid w:val="005E493F"/>
    <w:rsid w:val="005E5264"/>
    <w:rsid w:val="005E7E76"/>
    <w:rsid w:val="005F22FF"/>
    <w:rsid w:val="005F366B"/>
    <w:rsid w:val="005F4693"/>
    <w:rsid w:val="00601FD2"/>
    <w:rsid w:val="0060389B"/>
    <w:rsid w:val="00611A5F"/>
    <w:rsid w:val="006120E1"/>
    <w:rsid w:val="006226F0"/>
    <w:rsid w:val="00622F55"/>
    <w:rsid w:val="0062600B"/>
    <w:rsid w:val="006263E4"/>
    <w:rsid w:val="00631005"/>
    <w:rsid w:val="00632AED"/>
    <w:rsid w:val="00633037"/>
    <w:rsid w:val="006334CC"/>
    <w:rsid w:val="00634EEE"/>
    <w:rsid w:val="00636E19"/>
    <w:rsid w:val="00637F1F"/>
    <w:rsid w:val="0064072A"/>
    <w:rsid w:val="0064265C"/>
    <w:rsid w:val="0064353F"/>
    <w:rsid w:val="00643B6B"/>
    <w:rsid w:val="0064440E"/>
    <w:rsid w:val="0065157C"/>
    <w:rsid w:val="006560CF"/>
    <w:rsid w:val="00656CF3"/>
    <w:rsid w:val="00660895"/>
    <w:rsid w:val="00661142"/>
    <w:rsid w:val="00670E5C"/>
    <w:rsid w:val="00670EA7"/>
    <w:rsid w:val="00673F94"/>
    <w:rsid w:val="0067574C"/>
    <w:rsid w:val="00675D12"/>
    <w:rsid w:val="0067683C"/>
    <w:rsid w:val="00677BD0"/>
    <w:rsid w:val="00682768"/>
    <w:rsid w:val="00684E3B"/>
    <w:rsid w:val="0068666F"/>
    <w:rsid w:val="0068721A"/>
    <w:rsid w:val="00687628"/>
    <w:rsid w:val="00687856"/>
    <w:rsid w:val="00691418"/>
    <w:rsid w:val="006930C3"/>
    <w:rsid w:val="00693C24"/>
    <w:rsid w:val="006971CE"/>
    <w:rsid w:val="00697927"/>
    <w:rsid w:val="006A4C3A"/>
    <w:rsid w:val="006A6F4A"/>
    <w:rsid w:val="006A7F81"/>
    <w:rsid w:val="006B1EE9"/>
    <w:rsid w:val="006B3336"/>
    <w:rsid w:val="006B3CEA"/>
    <w:rsid w:val="006B3D53"/>
    <w:rsid w:val="006B4C24"/>
    <w:rsid w:val="006B51DA"/>
    <w:rsid w:val="006B74D2"/>
    <w:rsid w:val="006C0488"/>
    <w:rsid w:val="006C0AC4"/>
    <w:rsid w:val="006C0F13"/>
    <w:rsid w:val="006C2857"/>
    <w:rsid w:val="006C3613"/>
    <w:rsid w:val="006C4125"/>
    <w:rsid w:val="006C5211"/>
    <w:rsid w:val="006C5957"/>
    <w:rsid w:val="006D3DB9"/>
    <w:rsid w:val="006D413E"/>
    <w:rsid w:val="006D69F5"/>
    <w:rsid w:val="006D73FE"/>
    <w:rsid w:val="006D7D08"/>
    <w:rsid w:val="006E0A7B"/>
    <w:rsid w:val="006E19CD"/>
    <w:rsid w:val="006E5A35"/>
    <w:rsid w:val="006E5CE1"/>
    <w:rsid w:val="006E6214"/>
    <w:rsid w:val="006E6CFB"/>
    <w:rsid w:val="006F2F19"/>
    <w:rsid w:val="006F3A9E"/>
    <w:rsid w:val="006F51AF"/>
    <w:rsid w:val="006F5A6A"/>
    <w:rsid w:val="006F5ACF"/>
    <w:rsid w:val="00701C5A"/>
    <w:rsid w:val="00703FFD"/>
    <w:rsid w:val="00704FD4"/>
    <w:rsid w:val="00705C45"/>
    <w:rsid w:val="0070714D"/>
    <w:rsid w:val="007201C4"/>
    <w:rsid w:val="00721676"/>
    <w:rsid w:val="007225B0"/>
    <w:rsid w:val="00722DEE"/>
    <w:rsid w:val="00727992"/>
    <w:rsid w:val="00727B8B"/>
    <w:rsid w:val="00730B8A"/>
    <w:rsid w:val="00731FEF"/>
    <w:rsid w:val="007342F0"/>
    <w:rsid w:val="00735AD4"/>
    <w:rsid w:val="0073682E"/>
    <w:rsid w:val="00743599"/>
    <w:rsid w:val="007439C8"/>
    <w:rsid w:val="00746005"/>
    <w:rsid w:val="007477E3"/>
    <w:rsid w:val="0075075C"/>
    <w:rsid w:val="007508AD"/>
    <w:rsid w:val="00751AA4"/>
    <w:rsid w:val="00751BD3"/>
    <w:rsid w:val="00756910"/>
    <w:rsid w:val="00760732"/>
    <w:rsid w:val="00761893"/>
    <w:rsid w:val="00762128"/>
    <w:rsid w:val="007622B3"/>
    <w:rsid w:val="0076290E"/>
    <w:rsid w:val="00762A09"/>
    <w:rsid w:val="00765482"/>
    <w:rsid w:val="007707E0"/>
    <w:rsid w:val="007767CE"/>
    <w:rsid w:val="0077694B"/>
    <w:rsid w:val="00776C3E"/>
    <w:rsid w:val="00776FCE"/>
    <w:rsid w:val="00781F8A"/>
    <w:rsid w:val="0078642E"/>
    <w:rsid w:val="007871C4"/>
    <w:rsid w:val="00792D38"/>
    <w:rsid w:val="00794006"/>
    <w:rsid w:val="00797868"/>
    <w:rsid w:val="007A54F1"/>
    <w:rsid w:val="007A6A43"/>
    <w:rsid w:val="007B1294"/>
    <w:rsid w:val="007B6BB9"/>
    <w:rsid w:val="007B7382"/>
    <w:rsid w:val="007B78A5"/>
    <w:rsid w:val="007C3883"/>
    <w:rsid w:val="007D1931"/>
    <w:rsid w:val="007D1B22"/>
    <w:rsid w:val="007D1C95"/>
    <w:rsid w:val="007D2A63"/>
    <w:rsid w:val="007D2EDC"/>
    <w:rsid w:val="007E217D"/>
    <w:rsid w:val="007E3B89"/>
    <w:rsid w:val="007E6541"/>
    <w:rsid w:val="007F0593"/>
    <w:rsid w:val="007F2A0A"/>
    <w:rsid w:val="007F37B5"/>
    <w:rsid w:val="007F5692"/>
    <w:rsid w:val="00802115"/>
    <w:rsid w:val="00803903"/>
    <w:rsid w:val="008044C6"/>
    <w:rsid w:val="00806698"/>
    <w:rsid w:val="008123F1"/>
    <w:rsid w:val="008133B5"/>
    <w:rsid w:val="008148CE"/>
    <w:rsid w:val="00817372"/>
    <w:rsid w:val="008216CA"/>
    <w:rsid w:val="008255DB"/>
    <w:rsid w:val="00830F13"/>
    <w:rsid w:val="008314D2"/>
    <w:rsid w:val="00832415"/>
    <w:rsid w:val="008328EC"/>
    <w:rsid w:val="00832C24"/>
    <w:rsid w:val="00835148"/>
    <w:rsid w:val="00840278"/>
    <w:rsid w:val="00840343"/>
    <w:rsid w:val="00841294"/>
    <w:rsid w:val="008423BC"/>
    <w:rsid w:val="00846AF3"/>
    <w:rsid w:val="00846ECE"/>
    <w:rsid w:val="0084721C"/>
    <w:rsid w:val="00852909"/>
    <w:rsid w:val="00853667"/>
    <w:rsid w:val="00853EBA"/>
    <w:rsid w:val="0085420F"/>
    <w:rsid w:val="00855F02"/>
    <w:rsid w:val="008568D0"/>
    <w:rsid w:val="00856CA3"/>
    <w:rsid w:val="00860DDB"/>
    <w:rsid w:val="0086603D"/>
    <w:rsid w:val="00867954"/>
    <w:rsid w:val="008702E5"/>
    <w:rsid w:val="00874B29"/>
    <w:rsid w:val="008764F5"/>
    <w:rsid w:val="008804A0"/>
    <w:rsid w:val="0088498C"/>
    <w:rsid w:val="00886C09"/>
    <w:rsid w:val="00890304"/>
    <w:rsid w:val="00891EAB"/>
    <w:rsid w:val="00894342"/>
    <w:rsid w:val="008976BD"/>
    <w:rsid w:val="008A23E6"/>
    <w:rsid w:val="008B48FF"/>
    <w:rsid w:val="008B5ED5"/>
    <w:rsid w:val="008B72C4"/>
    <w:rsid w:val="008B74EF"/>
    <w:rsid w:val="008B7BED"/>
    <w:rsid w:val="008C09D6"/>
    <w:rsid w:val="008C4CB4"/>
    <w:rsid w:val="008C6D0D"/>
    <w:rsid w:val="008D0710"/>
    <w:rsid w:val="008D5CA0"/>
    <w:rsid w:val="008D64DA"/>
    <w:rsid w:val="008D740E"/>
    <w:rsid w:val="008D7C79"/>
    <w:rsid w:val="008E1070"/>
    <w:rsid w:val="008E223E"/>
    <w:rsid w:val="008E2768"/>
    <w:rsid w:val="008E2849"/>
    <w:rsid w:val="008E4530"/>
    <w:rsid w:val="008E470F"/>
    <w:rsid w:val="008E5B65"/>
    <w:rsid w:val="008E73BE"/>
    <w:rsid w:val="008F0021"/>
    <w:rsid w:val="008F2184"/>
    <w:rsid w:val="008F2C6D"/>
    <w:rsid w:val="008F31BA"/>
    <w:rsid w:val="008F3298"/>
    <w:rsid w:val="008F3CDF"/>
    <w:rsid w:val="008F5322"/>
    <w:rsid w:val="008F5C5E"/>
    <w:rsid w:val="008F69CB"/>
    <w:rsid w:val="009006F6"/>
    <w:rsid w:val="00901B11"/>
    <w:rsid w:val="00903FA0"/>
    <w:rsid w:val="00906649"/>
    <w:rsid w:val="009075B0"/>
    <w:rsid w:val="00907C7B"/>
    <w:rsid w:val="0091061A"/>
    <w:rsid w:val="009108D2"/>
    <w:rsid w:val="009127A3"/>
    <w:rsid w:val="00913FF7"/>
    <w:rsid w:val="00916527"/>
    <w:rsid w:val="009201EF"/>
    <w:rsid w:val="00920B44"/>
    <w:rsid w:val="00923DD9"/>
    <w:rsid w:val="00923F1B"/>
    <w:rsid w:val="009244DF"/>
    <w:rsid w:val="00924D15"/>
    <w:rsid w:val="00924FC0"/>
    <w:rsid w:val="00936F3B"/>
    <w:rsid w:val="00940D2C"/>
    <w:rsid w:val="00941023"/>
    <w:rsid w:val="009418A6"/>
    <w:rsid w:val="00942CDC"/>
    <w:rsid w:val="00945F99"/>
    <w:rsid w:val="0094642E"/>
    <w:rsid w:val="00946C28"/>
    <w:rsid w:val="0095079A"/>
    <w:rsid w:val="00951824"/>
    <w:rsid w:val="00956C2F"/>
    <w:rsid w:val="00960BD3"/>
    <w:rsid w:val="00961E60"/>
    <w:rsid w:val="00962295"/>
    <w:rsid w:val="0096640C"/>
    <w:rsid w:val="009736C6"/>
    <w:rsid w:val="00976E31"/>
    <w:rsid w:val="009779F3"/>
    <w:rsid w:val="009806A5"/>
    <w:rsid w:val="00982F80"/>
    <w:rsid w:val="009838B0"/>
    <w:rsid w:val="00983BF9"/>
    <w:rsid w:val="00984970"/>
    <w:rsid w:val="00984AB1"/>
    <w:rsid w:val="0099120E"/>
    <w:rsid w:val="00992D65"/>
    <w:rsid w:val="009949DD"/>
    <w:rsid w:val="00995EE7"/>
    <w:rsid w:val="009A23BE"/>
    <w:rsid w:val="009A281E"/>
    <w:rsid w:val="009A49DA"/>
    <w:rsid w:val="009A581F"/>
    <w:rsid w:val="009A5C4D"/>
    <w:rsid w:val="009A6989"/>
    <w:rsid w:val="009B328D"/>
    <w:rsid w:val="009B5377"/>
    <w:rsid w:val="009B731A"/>
    <w:rsid w:val="009C0B65"/>
    <w:rsid w:val="009C1B54"/>
    <w:rsid w:val="009C218B"/>
    <w:rsid w:val="009C6E88"/>
    <w:rsid w:val="009C7504"/>
    <w:rsid w:val="009D00D1"/>
    <w:rsid w:val="009D1BF7"/>
    <w:rsid w:val="009D363C"/>
    <w:rsid w:val="009D3CEC"/>
    <w:rsid w:val="009D41AB"/>
    <w:rsid w:val="009D6242"/>
    <w:rsid w:val="009D63E4"/>
    <w:rsid w:val="009D6537"/>
    <w:rsid w:val="009D6594"/>
    <w:rsid w:val="009D773C"/>
    <w:rsid w:val="009E02FD"/>
    <w:rsid w:val="009E21A0"/>
    <w:rsid w:val="009E5259"/>
    <w:rsid w:val="009E5E01"/>
    <w:rsid w:val="009E7154"/>
    <w:rsid w:val="009F067A"/>
    <w:rsid w:val="009F08C3"/>
    <w:rsid w:val="009F1D39"/>
    <w:rsid w:val="009F2A89"/>
    <w:rsid w:val="009F352A"/>
    <w:rsid w:val="009F3659"/>
    <w:rsid w:val="009F4E2D"/>
    <w:rsid w:val="009F6BC1"/>
    <w:rsid w:val="009F76D5"/>
    <w:rsid w:val="009F79B0"/>
    <w:rsid w:val="009F7CD8"/>
    <w:rsid w:val="00A029F9"/>
    <w:rsid w:val="00A02A19"/>
    <w:rsid w:val="00A02F9F"/>
    <w:rsid w:val="00A044B5"/>
    <w:rsid w:val="00A04D36"/>
    <w:rsid w:val="00A078C8"/>
    <w:rsid w:val="00A12A80"/>
    <w:rsid w:val="00A1302E"/>
    <w:rsid w:val="00A21681"/>
    <w:rsid w:val="00A24180"/>
    <w:rsid w:val="00A24235"/>
    <w:rsid w:val="00A264BB"/>
    <w:rsid w:val="00A26E4F"/>
    <w:rsid w:val="00A27326"/>
    <w:rsid w:val="00A32935"/>
    <w:rsid w:val="00A3494F"/>
    <w:rsid w:val="00A35FBF"/>
    <w:rsid w:val="00A36288"/>
    <w:rsid w:val="00A37A03"/>
    <w:rsid w:val="00A37F60"/>
    <w:rsid w:val="00A4086D"/>
    <w:rsid w:val="00A41181"/>
    <w:rsid w:val="00A439ED"/>
    <w:rsid w:val="00A43E16"/>
    <w:rsid w:val="00A45E3C"/>
    <w:rsid w:val="00A47AE4"/>
    <w:rsid w:val="00A501F7"/>
    <w:rsid w:val="00A50CBB"/>
    <w:rsid w:val="00A5128E"/>
    <w:rsid w:val="00A5134F"/>
    <w:rsid w:val="00A52575"/>
    <w:rsid w:val="00A54A69"/>
    <w:rsid w:val="00A579BC"/>
    <w:rsid w:val="00A6212A"/>
    <w:rsid w:val="00A64F91"/>
    <w:rsid w:val="00A65DBC"/>
    <w:rsid w:val="00A6701E"/>
    <w:rsid w:val="00A7010F"/>
    <w:rsid w:val="00A723DE"/>
    <w:rsid w:val="00A754D2"/>
    <w:rsid w:val="00A7589A"/>
    <w:rsid w:val="00A75C88"/>
    <w:rsid w:val="00A80CFF"/>
    <w:rsid w:val="00A81D59"/>
    <w:rsid w:val="00A82F43"/>
    <w:rsid w:val="00A83B3A"/>
    <w:rsid w:val="00A84398"/>
    <w:rsid w:val="00A850FE"/>
    <w:rsid w:val="00A913C4"/>
    <w:rsid w:val="00A91F07"/>
    <w:rsid w:val="00A941AB"/>
    <w:rsid w:val="00A95159"/>
    <w:rsid w:val="00A95679"/>
    <w:rsid w:val="00A95841"/>
    <w:rsid w:val="00A95A0D"/>
    <w:rsid w:val="00A96CD6"/>
    <w:rsid w:val="00AA090B"/>
    <w:rsid w:val="00AA0F17"/>
    <w:rsid w:val="00AA2741"/>
    <w:rsid w:val="00AA397D"/>
    <w:rsid w:val="00AA486F"/>
    <w:rsid w:val="00AB19BF"/>
    <w:rsid w:val="00AB1D4B"/>
    <w:rsid w:val="00AB28E8"/>
    <w:rsid w:val="00AB395C"/>
    <w:rsid w:val="00AB4A6E"/>
    <w:rsid w:val="00AB7316"/>
    <w:rsid w:val="00AC2F83"/>
    <w:rsid w:val="00AC3F76"/>
    <w:rsid w:val="00AC5D9F"/>
    <w:rsid w:val="00AD1347"/>
    <w:rsid w:val="00AD2E33"/>
    <w:rsid w:val="00AD42D6"/>
    <w:rsid w:val="00AE12C7"/>
    <w:rsid w:val="00AE3A5E"/>
    <w:rsid w:val="00AE5F0A"/>
    <w:rsid w:val="00AE69FF"/>
    <w:rsid w:val="00AE6EC0"/>
    <w:rsid w:val="00AE700D"/>
    <w:rsid w:val="00AE7D98"/>
    <w:rsid w:val="00AF0154"/>
    <w:rsid w:val="00AF0161"/>
    <w:rsid w:val="00AF38F8"/>
    <w:rsid w:val="00AF5231"/>
    <w:rsid w:val="00B0378E"/>
    <w:rsid w:val="00B03D17"/>
    <w:rsid w:val="00B03E1E"/>
    <w:rsid w:val="00B1035F"/>
    <w:rsid w:val="00B11DBF"/>
    <w:rsid w:val="00B1249B"/>
    <w:rsid w:val="00B124C3"/>
    <w:rsid w:val="00B1260C"/>
    <w:rsid w:val="00B16D9E"/>
    <w:rsid w:val="00B207A9"/>
    <w:rsid w:val="00B24511"/>
    <w:rsid w:val="00B24B66"/>
    <w:rsid w:val="00B252D8"/>
    <w:rsid w:val="00B30B55"/>
    <w:rsid w:val="00B310DE"/>
    <w:rsid w:val="00B31388"/>
    <w:rsid w:val="00B32813"/>
    <w:rsid w:val="00B33BBB"/>
    <w:rsid w:val="00B361F5"/>
    <w:rsid w:val="00B36AD5"/>
    <w:rsid w:val="00B40F87"/>
    <w:rsid w:val="00B4105A"/>
    <w:rsid w:val="00B4313F"/>
    <w:rsid w:val="00B453E9"/>
    <w:rsid w:val="00B51DB6"/>
    <w:rsid w:val="00B54FFA"/>
    <w:rsid w:val="00B55BD4"/>
    <w:rsid w:val="00B57CB5"/>
    <w:rsid w:val="00B6022B"/>
    <w:rsid w:val="00B634AF"/>
    <w:rsid w:val="00B63962"/>
    <w:rsid w:val="00B64F86"/>
    <w:rsid w:val="00B710FE"/>
    <w:rsid w:val="00B71632"/>
    <w:rsid w:val="00B739B3"/>
    <w:rsid w:val="00B7437B"/>
    <w:rsid w:val="00B761E1"/>
    <w:rsid w:val="00B76930"/>
    <w:rsid w:val="00B839B5"/>
    <w:rsid w:val="00B83C91"/>
    <w:rsid w:val="00B84779"/>
    <w:rsid w:val="00B85A06"/>
    <w:rsid w:val="00B86643"/>
    <w:rsid w:val="00B87B33"/>
    <w:rsid w:val="00B91F5D"/>
    <w:rsid w:val="00B945DA"/>
    <w:rsid w:val="00B94AB7"/>
    <w:rsid w:val="00B94C2D"/>
    <w:rsid w:val="00B95A8D"/>
    <w:rsid w:val="00B9657B"/>
    <w:rsid w:val="00B97A68"/>
    <w:rsid w:val="00BA36D8"/>
    <w:rsid w:val="00BA36E8"/>
    <w:rsid w:val="00BB3D10"/>
    <w:rsid w:val="00BB4FD4"/>
    <w:rsid w:val="00BB746C"/>
    <w:rsid w:val="00BC225D"/>
    <w:rsid w:val="00BC2F75"/>
    <w:rsid w:val="00BC3005"/>
    <w:rsid w:val="00BC3E83"/>
    <w:rsid w:val="00BC4138"/>
    <w:rsid w:val="00BD328F"/>
    <w:rsid w:val="00BD351C"/>
    <w:rsid w:val="00BD4021"/>
    <w:rsid w:val="00BD439C"/>
    <w:rsid w:val="00BD5017"/>
    <w:rsid w:val="00BD638D"/>
    <w:rsid w:val="00BD6B12"/>
    <w:rsid w:val="00BD71C0"/>
    <w:rsid w:val="00BE0B52"/>
    <w:rsid w:val="00BE3A50"/>
    <w:rsid w:val="00BE76D8"/>
    <w:rsid w:val="00BE77AE"/>
    <w:rsid w:val="00BF0ADF"/>
    <w:rsid w:val="00BF220F"/>
    <w:rsid w:val="00BF7DFE"/>
    <w:rsid w:val="00C00332"/>
    <w:rsid w:val="00C003A5"/>
    <w:rsid w:val="00C0077B"/>
    <w:rsid w:val="00C01589"/>
    <w:rsid w:val="00C01E5D"/>
    <w:rsid w:val="00C01E7A"/>
    <w:rsid w:val="00C03C0F"/>
    <w:rsid w:val="00C04328"/>
    <w:rsid w:val="00C111A8"/>
    <w:rsid w:val="00C14EFB"/>
    <w:rsid w:val="00C16532"/>
    <w:rsid w:val="00C20387"/>
    <w:rsid w:val="00C20DC5"/>
    <w:rsid w:val="00C21B12"/>
    <w:rsid w:val="00C2412D"/>
    <w:rsid w:val="00C26BF1"/>
    <w:rsid w:val="00C2790F"/>
    <w:rsid w:val="00C27EEC"/>
    <w:rsid w:val="00C322E7"/>
    <w:rsid w:val="00C33B59"/>
    <w:rsid w:val="00C428DB"/>
    <w:rsid w:val="00C4629A"/>
    <w:rsid w:val="00C470C0"/>
    <w:rsid w:val="00C47FA6"/>
    <w:rsid w:val="00C51BB7"/>
    <w:rsid w:val="00C54677"/>
    <w:rsid w:val="00C55EF1"/>
    <w:rsid w:val="00C6012E"/>
    <w:rsid w:val="00C60613"/>
    <w:rsid w:val="00C61DD1"/>
    <w:rsid w:val="00C642C9"/>
    <w:rsid w:val="00C65C77"/>
    <w:rsid w:val="00C66970"/>
    <w:rsid w:val="00C700AE"/>
    <w:rsid w:val="00C70E90"/>
    <w:rsid w:val="00C70F5F"/>
    <w:rsid w:val="00C71139"/>
    <w:rsid w:val="00C73D43"/>
    <w:rsid w:val="00C76606"/>
    <w:rsid w:val="00C80E70"/>
    <w:rsid w:val="00C8388E"/>
    <w:rsid w:val="00C84D78"/>
    <w:rsid w:val="00C8634F"/>
    <w:rsid w:val="00C87265"/>
    <w:rsid w:val="00C93D9A"/>
    <w:rsid w:val="00C9433C"/>
    <w:rsid w:val="00C95B12"/>
    <w:rsid w:val="00C95B2F"/>
    <w:rsid w:val="00C965F2"/>
    <w:rsid w:val="00CA0E36"/>
    <w:rsid w:val="00CA2DA6"/>
    <w:rsid w:val="00CA33BF"/>
    <w:rsid w:val="00CA39B0"/>
    <w:rsid w:val="00CB0332"/>
    <w:rsid w:val="00CB0A4A"/>
    <w:rsid w:val="00CB0DCC"/>
    <w:rsid w:val="00CB1353"/>
    <w:rsid w:val="00CB230E"/>
    <w:rsid w:val="00CB6B64"/>
    <w:rsid w:val="00CC177C"/>
    <w:rsid w:val="00CC1D1B"/>
    <w:rsid w:val="00CC2599"/>
    <w:rsid w:val="00CC39B0"/>
    <w:rsid w:val="00CC46CF"/>
    <w:rsid w:val="00CC54BD"/>
    <w:rsid w:val="00CC5A7A"/>
    <w:rsid w:val="00CC5C1C"/>
    <w:rsid w:val="00CC6F9F"/>
    <w:rsid w:val="00CC7B88"/>
    <w:rsid w:val="00CD3F5E"/>
    <w:rsid w:val="00CD66A7"/>
    <w:rsid w:val="00CD72F9"/>
    <w:rsid w:val="00CE0D1D"/>
    <w:rsid w:val="00CE13AC"/>
    <w:rsid w:val="00CE2290"/>
    <w:rsid w:val="00CE2F6F"/>
    <w:rsid w:val="00CF4349"/>
    <w:rsid w:val="00CF4C5A"/>
    <w:rsid w:val="00D004DE"/>
    <w:rsid w:val="00D00EB4"/>
    <w:rsid w:val="00D062CA"/>
    <w:rsid w:val="00D06419"/>
    <w:rsid w:val="00D07438"/>
    <w:rsid w:val="00D12510"/>
    <w:rsid w:val="00D16ACD"/>
    <w:rsid w:val="00D1768C"/>
    <w:rsid w:val="00D17850"/>
    <w:rsid w:val="00D22504"/>
    <w:rsid w:val="00D230AE"/>
    <w:rsid w:val="00D24C49"/>
    <w:rsid w:val="00D3053D"/>
    <w:rsid w:val="00D31EFC"/>
    <w:rsid w:val="00D35665"/>
    <w:rsid w:val="00D41152"/>
    <w:rsid w:val="00D416D0"/>
    <w:rsid w:val="00D41BC7"/>
    <w:rsid w:val="00D42735"/>
    <w:rsid w:val="00D43DC6"/>
    <w:rsid w:val="00D44630"/>
    <w:rsid w:val="00D47915"/>
    <w:rsid w:val="00D54F6A"/>
    <w:rsid w:val="00D55487"/>
    <w:rsid w:val="00D56638"/>
    <w:rsid w:val="00D61A9E"/>
    <w:rsid w:val="00D61FE8"/>
    <w:rsid w:val="00D62643"/>
    <w:rsid w:val="00D64611"/>
    <w:rsid w:val="00D71F46"/>
    <w:rsid w:val="00D73597"/>
    <w:rsid w:val="00D751B2"/>
    <w:rsid w:val="00D75708"/>
    <w:rsid w:val="00D76033"/>
    <w:rsid w:val="00D76A13"/>
    <w:rsid w:val="00D80F8E"/>
    <w:rsid w:val="00D81BE8"/>
    <w:rsid w:val="00D83141"/>
    <w:rsid w:val="00D8633D"/>
    <w:rsid w:val="00D90C9C"/>
    <w:rsid w:val="00D91522"/>
    <w:rsid w:val="00D91EC4"/>
    <w:rsid w:val="00D939D2"/>
    <w:rsid w:val="00D95039"/>
    <w:rsid w:val="00DA25FF"/>
    <w:rsid w:val="00DA4936"/>
    <w:rsid w:val="00DB07CC"/>
    <w:rsid w:val="00DB57A5"/>
    <w:rsid w:val="00DB6F9F"/>
    <w:rsid w:val="00DB7AD2"/>
    <w:rsid w:val="00DC62C8"/>
    <w:rsid w:val="00DC655A"/>
    <w:rsid w:val="00DD09E0"/>
    <w:rsid w:val="00DD2C8A"/>
    <w:rsid w:val="00DD4500"/>
    <w:rsid w:val="00DD5DDE"/>
    <w:rsid w:val="00DD7EC9"/>
    <w:rsid w:val="00DE0817"/>
    <w:rsid w:val="00DE34BD"/>
    <w:rsid w:val="00DE5DFE"/>
    <w:rsid w:val="00DE6024"/>
    <w:rsid w:val="00DE62B0"/>
    <w:rsid w:val="00DE7871"/>
    <w:rsid w:val="00DF1451"/>
    <w:rsid w:val="00DF169B"/>
    <w:rsid w:val="00DF30CB"/>
    <w:rsid w:val="00DF34AA"/>
    <w:rsid w:val="00DF41A9"/>
    <w:rsid w:val="00DF5CEC"/>
    <w:rsid w:val="00DF6D6B"/>
    <w:rsid w:val="00DF7A61"/>
    <w:rsid w:val="00E07A16"/>
    <w:rsid w:val="00E12625"/>
    <w:rsid w:val="00E13281"/>
    <w:rsid w:val="00E1638A"/>
    <w:rsid w:val="00E206D0"/>
    <w:rsid w:val="00E25BA7"/>
    <w:rsid w:val="00E27CF0"/>
    <w:rsid w:val="00E30BB3"/>
    <w:rsid w:val="00E33AC3"/>
    <w:rsid w:val="00E33B0C"/>
    <w:rsid w:val="00E34905"/>
    <w:rsid w:val="00E34BCA"/>
    <w:rsid w:val="00E36193"/>
    <w:rsid w:val="00E36A09"/>
    <w:rsid w:val="00E36A81"/>
    <w:rsid w:val="00E37323"/>
    <w:rsid w:val="00E44A83"/>
    <w:rsid w:val="00E466F7"/>
    <w:rsid w:val="00E471E6"/>
    <w:rsid w:val="00E52FA6"/>
    <w:rsid w:val="00E53050"/>
    <w:rsid w:val="00E55E1C"/>
    <w:rsid w:val="00E566E9"/>
    <w:rsid w:val="00E63932"/>
    <w:rsid w:val="00E64A50"/>
    <w:rsid w:val="00E651C0"/>
    <w:rsid w:val="00E66042"/>
    <w:rsid w:val="00E67F4A"/>
    <w:rsid w:val="00E718CA"/>
    <w:rsid w:val="00E7441A"/>
    <w:rsid w:val="00E7452B"/>
    <w:rsid w:val="00E8019F"/>
    <w:rsid w:val="00E8248F"/>
    <w:rsid w:val="00E82C76"/>
    <w:rsid w:val="00E83989"/>
    <w:rsid w:val="00E83E6F"/>
    <w:rsid w:val="00E84A78"/>
    <w:rsid w:val="00E857BA"/>
    <w:rsid w:val="00E864D8"/>
    <w:rsid w:val="00E87895"/>
    <w:rsid w:val="00E92047"/>
    <w:rsid w:val="00E92908"/>
    <w:rsid w:val="00E92D7A"/>
    <w:rsid w:val="00E94EC7"/>
    <w:rsid w:val="00EA07A0"/>
    <w:rsid w:val="00EA4B98"/>
    <w:rsid w:val="00EA5821"/>
    <w:rsid w:val="00EA7D7E"/>
    <w:rsid w:val="00EB0C06"/>
    <w:rsid w:val="00EB2B68"/>
    <w:rsid w:val="00EB316E"/>
    <w:rsid w:val="00EB3D69"/>
    <w:rsid w:val="00EB5A94"/>
    <w:rsid w:val="00EB5B9A"/>
    <w:rsid w:val="00EB7B09"/>
    <w:rsid w:val="00EB7FA4"/>
    <w:rsid w:val="00EC3338"/>
    <w:rsid w:val="00ED1908"/>
    <w:rsid w:val="00ED5299"/>
    <w:rsid w:val="00ED6951"/>
    <w:rsid w:val="00ED7BB1"/>
    <w:rsid w:val="00ED7FF9"/>
    <w:rsid w:val="00EE0E5D"/>
    <w:rsid w:val="00EE14CC"/>
    <w:rsid w:val="00EE1DFE"/>
    <w:rsid w:val="00EE216A"/>
    <w:rsid w:val="00EE507F"/>
    <w:rsid w:val="00EE5A87"/>
    <w:rsid w:val="00EE6887"/>
    <w:rsid w:val="00EF0B1B"/>
    <w:rsid w:val="00EF22BC"/>
    <w:rsid w:val="00EF2CFC"/>
    <w:rsid w:val="00EF64A9"/>
    <w:rsid w:val="00F00AE9"/>
    <w:rsid w:val="00F0103E"/>
    <w:rsid w:val="00F01F92"/>
    <w:rsid w:val="00F050C0"/>
    <w:rsid w:val="00F05246"/>
    <w:rsid w:val="00F061CE"/>
    <w:rsid w:val="00F063AF"/>
    <w:rsid w:val="00F063FA"/>
    <w:rsid w:val="00F06B77"/>
    <w:rsid w:val="00F06CB5"/>
    <w:rsid w:val="00F10382"/>
    <w:rsid w:val="00F119AF"/>
    <w:rsid w:val="00F121F0"/>
    <w:rsid w:val="00F130FE"/>
    <w:rsid w:val="00F15363"/>
    <w:rsid w:val="00F177D2"/>
    <w:rsid w:val="00F201F4"/>
    <w:rsid w:val="00F206C7"/>
    <w:rsid w:val="00F21218"/>
    <w:rsid w:val="00F218E0"/>
    <w:rsid w:val="00F236F9"/>
    <w:rsid w:val="00F25BB3"/>
    <w:rsid w:val="00F25FC9"/>
    <w:rsid w:val="00F341B6"/>
    <w:rsid w:val="00F37C53"/>
    <w:rsid w:val="00F469F6"/>
    <w:rsid w:val="00F524CE"/>
    <w:rsid w:val="00F53939"/>
    <w:rsid w:val="00F54E63"/>
    <w:rsid w:val="00F56361"/>
    <w:rsid w:val="00F5779C"/>
    <w:rsid w:val="00F5790F"/>
    <w:rsid w:val="00F631D4"/>
    <w:rsid w:val="00F66700"/>
    <w:rsid w:val="00F70C08"/>
    <w:rsid w:val="00F71393"/>
    <w:rsid w:val="00F72246"/>
    <w:rsid w:val="00F731A2"/>
    <w:rsid w:val="00F733FE"/>
    <w:rsid w:val="00F73D95"/>
    <w:rsid w:val="00F77603"/>
    <w:rsid w:val="00F82A13"/>
    <w:rsid w:val="00F838A4"/>
    <w:rsid w:val="00F85E44"/>
    <w:rsid w:val="00F87BBE"/>
    <w:rsid w:val="00F91AD4"/>
    <w:rsid w:val="00F93809"/>
    <w:rsid w:val="00F94E79"/>
    <w:rsid w:val="00F95699"/>
    <w:rsid w:val="00FA0BEF"/>
    <w:rsid w:val="00FA0C8A"/>
    <w:rsid w:val="00FA0E6C"/>
    <w:rsid w:val="00FA1365"/>
    <w:rsid w:val="00FA1563"/>
    <w:rsid w:val="00FA2AD7"/>
    <w:rsid w:val="00FA6F90"/>
    <w:rsid w:val="00FA7881"/>
    <w:rsid w:val="00FB1E7E"/>
    <w:rsid w:val="00FB3C50"/>
    <w:rsid w:val="00FB51BF"/>
    <w:rsid w:val="00FB52C6"/>
    <w:rsid w:val="00FB7C1C"/>
    <w:rsid w:val="00FC033C"/>
    <w:rsid w:val="00FC2F4E"/>
    <w:rsid w:val="00FC3999"/>
    <w:rsid w:val="00FC5A79"/>
    <w:rsid w:val="00FE0EC3"/>
    <w:rsid w:val="00FE171A"/>
    <w:rsid w:val="00FE20A5"/>
    <w:rsid w:val="00FE25FD"/>
    <w:rsid w:val="00FE382A"/>
    <w:rsid w:val="00FF2510"/>
    <w:rsid w:val="00FF2FA4"/>
    <w:rsid w:val="00FF439D"/>
    <w:rsid w:val="00FF46D8"/>
    <w:rsid w:val="00FF4D83"/>
    <w:rsid w:val="00FF6884"/>
    <w:rsid w:val="00FF7350"/>
  </w:rsids>
  <m:mathPr>
    <m:mathFont m:val="Cambria Math"/>
    <m:smallFrac/>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77"/>
    <w:rPr>
      <w:sz w:val="24"/>
      <w:szCs w:val="24"/>
    </w:rPr>
  </w:style>
  <w:style w:type="paragraph" w:styleId="Heading1">
    <w:name w:val="heading 1"/>
    <w:basedOn w:val="ListParagraph"/>
    <w:next w:val="Normal"/>
    <w:link w:val="Heading1Char"/>
    <w:autoRedefine/>
    <w:uiPriority w:val="99"/>
    <w:qFormat/>
    <w:rsid w:val="00247CC5"/>
    <w:pPr>
      <w:spacing w:after="240"/>
      <w:ind w:left="0"/>
      <w:outlineLvl w:val="0"/>
    </w:pPr>
    <w:rPr>
      <w:b/>
    </w:rPr>
  </w:style>
  <w:style w:type="paragraph" w:styleId="Heading2">
    <w:name w:val="heading 2"/>
    <w:basedOn w:val="ListParagraph"/>
    <w:next w:val="Normal"/>
    <w:link w:val="Heading2Char"/>
    <w:autoRedefine/>
    <w:uiPriority w:val="99"/>
    <w:qFormat/>
    <w:rsid w:val="00FF2510"/>
    <w:pPr>
      <w:numPr>
        <w:numId w:val="14"/>
      </w:numPr>
      <w:tabs>
        <w:tab w:val="left" w:leader="dot" w:pos="8640"/>
      </w:tabs>
      <w:spacing w:after="240"/>
      <w:ind w:left="1440" w:hanging="720"/>
      <w:outlineLvl w:val="1"/>
    </w:pPr>
    <w:rPr>
      <w:b/>
      <w:bCs/>
    </w:rPr>
  </w:style>
  <w:style w:type="paragraph" w:styleId="Heading3">
    <w:name w:val="heading 3"/>
    <w:basedOn w:val="Normal"/>
    <w:next w:val="Normal"/>
    <w:link w:val="Heading3Char"/>
    <w:unhideWhenUsed/>
    <w:locked/>
    <w:rsid w:val="002240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7CC5"/>
    <w:rPr>
      <w:b/>
      <w:sz w:val="24"/>
      <w:szCs w:val="24"/>
    </w:rPr>
  </w:style>
  <w:style w:type="character" w:customStyle="1" w:styleId="Heading2Char">
    <w:name w:val="Heading 2 Char"/>
    <w:link w:val="Heading2"/>
    <w:uiPriority w:val="99"/>
    <w:locked/>
    <w:rsid w:val="00FF2510"/>
    <w:rPr>
      <w:b/>
      <w:bCs/>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uiPriority w:val="39"/>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semiHidden/>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locked/>
    <w:rsid w:val="00381778"/>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B81F70"/>
    <w:rPr>
      <w:vertAlign w:val="superscript"/>
    </w:rPr>
  </w:style>
  <w:style w:type="paragraph" w:styleId="EndnoteText">
    <w:name w:val="endnote text"/>
    <w:basedOn w:val="Normal"/>
    <w:link w:val="EndnoteTextChar"/>
    <w:rsid w:val="00B81F70"/>
    <w:pPr>
      <w:widowControl w:val="0"/>
    </w:pPr>
    <w:rPr>
      <w:sz w:val="20"/>
      <w:szCs w:val="20"/>
    </w:rPr>
  </w:style>
  <w:style w:type="character" w:customStyle="1" w:styleId="EndnoteTextChar">
    <w:name w:val="Endnote Text Char"/>
    <w:link w:val="EndnoteText"/>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uiPriority w:val="99"/>
    <w:rsid w:val="00B81F70"/>
    <w:rPr>
      <w:sz w:val="20"/>
      <w:szCs w:val="20"/>
    </w:rPr>
  </w:style>
  <w:style w:type="character" w:customStyle="1" w:styleId="CommentTextChar">
    <w:name w:val="Comment Text Char"/>
    <w:link w:val="CommentText"/>
    <w:uiPriority w:val="99"/>
    <w:locked/>
    <w:rsid w:val="00B81F70"/>
    <w:rPr>
      <w:sz w:val="20"/>
      <w:szCs w:val="20"/>
    </w:rPr>
  </w:style>
  <w:style w:type="paragraph" w:styleId="CommentSubject">
    <w:name w:val="annotation subject"/>
    <w:basedOn w:val="CommentText"/>
    <w:next w:val="CommentText"/>
    <w:link w:val="CommentSubjectChar"/>
    <w:rsid w:val="00B81F70"/>
    <w:rPr>
      <w:b/>
      <w:bCs/>
    </w:rPr>
  </w:style>
  <w:style w:type="character" w:customStyle="1" w:styleId="CommentSubjectChar">
    <w:name w:val="Comment Subject Char"/>
    <w:link w:val="CommentSubject"/>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A23ACE"/>
    <w:pPr>
      <w:tabs>
        <w:tab w:val="decimal" w:leader="dot" w:pos="8640"/>
      </w:tabs>
      <w:spacing w:after="240"/>
      <w:ind w:left="720" w:hanging="720"/>
    </w:pPr>
    <w:rPr>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6C0E0E"/>
    <w:pPr>
      <w:ind w:left="720"/>
      <w:contextualSpacing/>
    </w:pPr>
  </w:style>
  <w:style w:type="paragraph" w:styleId="TOC2">
    <w:name w:val="toc 2"/>
    <w:basedOn w:val="Normal"/>
    <w:next w:val="Normal"/>
    <w:autoRedefine/>
    <w:uiPriority w:val="39"/>
    <w:locked/>
    <w:rsid w:val="00056704"/>
    <w:pPr>
      <w:tabs>
        <w:tab w:val="left" w:pos="720"/>
        <w:tab w:val="decimal" w:leader="dot" w:pos="8640"/>
      </w:tabs>
      <w:spacing w:after="240"/>
      <w:ind w:left="1440" w:hanging="720"/>
    </w:pPr>
  </w:style>
  <w:style w:type="paragraph" w:styleId="Revision">
    <w:name w:val="Revision"/>
    <w:hidden/>
    <w:uiPriority w:val="99"/>
    <w:semiHidden/>
    <w:rsid w:val="00423AC7"/>
    <w:rPr>
      <w:sz w:val="24"/>
      <w:szCs w:val="24"/>
    </w:rPr>
  </w:style>
  <w:style w:type="character" w:styleId="Emphasis">
    <w:name w:val="Emphasis"/>
    <w:basedOn w:val="DefaultParagraphFont"/>
    <w:locked/>
    <w:rsid w:val="001970DC"/>
    <w:rPr>
      <w:i/>
      <w:iCs/>
    </w:rPr>
  </w:style>
  <w:style w:type="character" w:customStyle="1" w:styleId="Heading3Char">
    <w:name w:val="Heading 3 Char"/>
    <w:basedOn w:val="DefaultParagraphFont"/>
    <w:link w:val="Heading3"/>
    <w:rsid w:val="002240C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locked/>
    <w:rsid w:val="000B75C0"/>
    <w:pPr>
      <w:spacing w:after="100"/>
      <w:ind w:left="48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character" w:customStyle="1" w:styleId="UnresolvedMention2">
    <w:name w:val="Unresolved Mention2"/>
    <w:basedOn w:val="DefaultParagraphFont"/>
    <w:uiPriority w:val="99"/>
    <w:rsid w:val="00340973"/>
    <w:rPr>
      <w:color w:val="605E5C"/>
      <w:shd w:val="clear" w:color="auto" w:fill="E1DFDD"/>
    </w:rPr>
  </w:style>
  <w:style w:type="character" w:customStyle="1" w:styleId="UnresolvedMention3">
    <w:name w:val="Unresolved Mention3"/>
    <w:basedOn w:val="DefaultParagraphFont"/>
    <w:uiPriority w:val="99"/>
    <w:rsid w:val="00484CAA"/>
    <w:rPr>
      <w:color w:val="605E5C"/>
      <w:shd w:val="clear" w:color="auto" w:fill="E1DFDD"/>
    </w:rPr>
  </w:style>
  <w:style w:type="paragraph" w:styleId="Title">
    <w:name w:val="Title"/>
    <w:basedOn w:val="Normal"/>
    <w:link w:val="TitleChar"/>
    <w:qFormat/>
    <w:locked/>
    <w:rsid w:val="00D76A13"/>
    <w:pPr>
      <w:jc w:val="center"/>
    </w:pPr>
    <w:rPr>
      <w:b/>
      <w:sz w:val="22"/>
      <w:szCs w:val="20"/>
    </w:rPr>
  </w:style>
  <w:style w:type="character" w:customStyle="1" w:styleId="TitleChar">
    <w:name w:val="Title Char"/>
    <w:basedOn w:val="DefaultParagraphFont"/>
    <w:link w:val="Title"/>
    <w:rsid w:val="00D76A13"/>
    <w:rPr>
      <w:b/>
      <w:sz w:val="22"/>
    </w:rPr>
  </w:style>
  <w:style w:type="character" w:customStyle="1" w:styleId="UnresolvedMention">
    <w:name w:val="Unresolved Mention"/>
    <w:basedOn w:val="DefaultParagraphFont"/>
    <w:uiPriority w:val="99"/>
    <w:rsid w:val="004E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mailto:robert.eubanks@ohioAGO.gov" TargetMode="External" /><Relationship Id="rId13" Type="http://schemas.openxmlformats.org/officeDocument/2006/relationships/hyperlink" Target="mailto:Rhiannon.howard@ohioAG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Michael.williams@puco.ohio.gov" TargetMode="External" /><Relationship Id="rId16" Type="http://schemas.openxmlformats.org/officeDocument/2006/relationships/hyperlink" Target="mailto:randall.griffin@aes.com" TargetMode="External" /><Relationship Id="rId17" Type="http://schemas.openxmlformats.org/officeDocument/2006/relationships/hyperlink" Target="mailto:christopher.hollon@aes.com" TargetMode="Externa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4A73-E4B9-4E6A-A029-DDA28FF3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2023-01-31T16:03:05Z</dcterms:created>
  <dcterms:modified xsi:type="dcterms:W3CDTF">2023-01-31T16:03:05Z</dcterms:modified>
</cp:coreProperties>
</file>