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4C" w:rsidRPr="002C349B" w:rsidRDefault="00DF6F4C" w:rsidP="00DF6F4C">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UNITED STATES OF AMERICA</w:t>
      </w:r>
    </w:p>
    <w:p w:rsidR="00DF6F4C" w:rsidRPr="002C349B" w:rsidRDefault="00DF6F4C" w:rsidP="00DF6F4C">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BEFORE THE</w:t>
      </w:r>
    </w:p>
    <w:p w:rsidR="00DF6F4C" w:rsidRPr="002C349B" w:rsidRDefault="00DF6F4C" w:rsidP="00DF6F4C">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FEDERAL ENERGY REGULATORY COMMISSION</w:t>
      </w:r>
    </w:p>
    <w:p w:rsidR="00DF6F4C" w:rsidRDefault="00DF6F4C" w:rsidP="00DF6F4C">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tbl>
      <w:tblPr>
        <w:tblW w:w="0" w:type="auto"/>
        <w:tblLook w:val="01E0" w:firstRow="1" w:lastRow="1" w:firstColumn="1" w:lastColumn="1" w:noHBand="0" w:noVBand="0"/>
      </w:tblPr>
      <w:tblGrid>
        <w:gridCol w:w="4788"/>
        <w:gridCol w:w="360"/>
        <w:gridCol w:w="4428"/>
      </w:tblGrid>
      <w:tr w:rsidR="002F562D" w:rsidRPr="009D6A2A" w:rsidTr="001A2F2E">
        <w:tc>
          <w:tcPr>
            <w:tcW w:w="4788" w:type="dxa"/>
            <w:shd w:val="clear" w:color="auto" w:fill="auto"/>
          </w:tcPr>
          <w:p w:rsidR="002F562D" w:rsidRDefault="002F562D" w:rsidP="002F562D">
            <w:pPr>
              <w:spacing w:after="0" w:line="240" w:lineRule="auto"/>
              <w:rPr>
                <w:rFonts w:ascii="Times New Roman" w:hAnsi="Times New Roman"/>
                <w:sz w:val="26"/>
                <w:szCs w:val="26"/>
              </w:rPr>
            </w:pPr>
            <w:r w:rsidRPr="00DF6F4C">
              <w:rPr>
                <w:rFonts w:ascii="Times New Roman" w:hAnsi="Times New Roman"/>
                <w:sz w:val="26"/>
                <w:szCs w:val="26"/>
              </w:rPr>
              <w:t>Electric Storage Participation in Markets Operated by Regional Transmission Organizations and Independent System Operators</w:t>
            </w:r>
          </w:p>
          <w:p w:rsidR="002F562D" w:rsidRDefault="002F562D" w:rsidP="002F562D">
            <w:pPr>
              <w:spacing w:after="0" w:line="240" w:lineRule="auto"/>
              <w:rPr>
                <w:rFonts w:ascii="Times New Roman" w:hAnsi="Times New Roman"/>
                <w:sz w:val="26"/>
                <w:szCs w:val="26"/>
              </w:rPr>
            </w:pPr>
          </w:p>
          <w:p w:rsidR="002F562D" w:rsidRPr="00A9090D" w:rsidRDefault="002F562D" w:rsidP="002F562D">
            <w:pPr>
              <w:spacing w:after="0" w:line="240" w:lineRule="auto"/>
              <w:rPr>
                <w:rFonts w:ascii="Times New Roman" w:hAnsi="Times New Roman"/>
                <w:sz w:val="26"/>
                <w:szCs w:val="26"/>
              </w:rPr>
            </w:pPr>
            <w:r>
              <w:rPr>
                <w:rFonts w:ascii="Times New Roman" w:hAnsi="Times New Roman"/>
                <w:sz w:val="26"/>
                <w:szCs w:val="26"/>
              </w:rPr>
              <w:t>Electric Storage Participation in</w:t>
            </w:r>
            <w:r>
              <w:rPr>
                <w:rFonts w:ascii="Times New Roman" w:hAnsi="Times New Roman"/>
                <w:sz w:val="26"/>
                <w:szCs w:val="26"/>
              </w:rPr>
              <w:t xml:space="preserve"> </w:t>
            </w:r>
            <w:r>
              <w:rPr>
                <w:rFonts w:ascii="Times New Roman" w:hAnsi="Times New Roman"/>
                <w:sz w:val="26"/>
                <w:szCs w:val="26"/>
              </w:rPr>
              <w:t>Regions with Organized</w:t>
            </w:r>
            <w:r>
              <w:rPr>
                <w:rFonts w:ascii="Times New Roman" w:hAnsi="Times New Roman"/>
                <w:sz w:val="26"/>
                <w:szCs w:val="26"/>
              </w:rPr>
              <w:t xml:space="preserve"> </w:t>
            </w:r>
            <w:r>
              <w:rPr>
                <w:rFonts w:ascii="Times New Roman" w:hAnsi="Times New Roman"/>
                <w:sz w:val="26"/>
                <w:szCs w:val="26"/>
              </w:rPr>
              <w:t>Wholesale Electric Markets</w:t>
            </w:r>
          </w:p>
        </w:tc>
        <w:tc>
          <w:tcPr>
            <w:tcW w:w="360" w:type="dxa"/>
            <w:shd w:val="clear" w:color="auto" w:fill="auto"/>
          </w:tcPr>
          <w:p w:rsidR="002F562D" w:rsidRDefault="002F562D" w:rsidP="002F562D">
            <w:pPr>
              <w:spacing w:after="0" w:line="240" w:lineRule="auto"/>
              <w:rPr>
                <w:rFonts w:ascii="Times New Roman" w:hAnsi="Times New Roman"/>
                <w:sz w:val="26"/>
                <w:szCs w:val="26"/>
              </w:rPr>
            </w:pPr>
            <w:r w:rsidRPr="00A9090D">
              <w:rPr>
                <w:rFonts w:ascii="Times New Roman" w:hAnsi="Times New Roman"/>
                <w:sz w:val="26"/>
                <w:szCs w:val="26"/>
              </w:rPr>
              <w:t>:</w:t>
            </w:r>
          </w:p>
          <w:p w:rsidR="002F562D" w:rsidRDefault="002F562D" w:rsidP="002F562D">
            <w:pPr>
              <w:spacing w:after="0" w:line="240" w:lineRule="auto"/>
              <w:rPr>
                <w:rFonts w:ascii="Times New Roman" w:hAnsi="Times New Roman"/>
                <w:sz w:val="26"/>
                <w:szCs w:val="26"/>
              </w:rPr>
            </w:pPr>
            <w:r>
              <w:rPr>
                <w:rFonts w:ascii="Times New Roman" w:hAnsi="Times New Roman"/>
                <w:sz w:val="26"/>
                <w:szCs w:val="26"/>
              </w:rPr>
              <w:t>:</w:t>
            </w:r>
          </w:p>
          <w:p w:rsidR="002F562D" w:rsidRPr="00A9090D" w:rsidRDefault="002F562D" w:rsidP="002F562D">
            <w:pPr>
              <w:spacing w:after="0" w:line="240" w:lineRule="auto"/>
              <w:rPr>
                <w:rFonts w:ascii="Times New Roman" w:hAnsi="Times New Roman"/>
                <w:sz w:val="26"/>
                <w:szCs w:val="26"/>
              </w:rPr>
            </w:pPr>
            <w:r>
              <w:rPr>
                <w:rFonts w:ascii="Times New Roman" w:hAnsi="Times New Roman"/>
                <w:sz w:val="26"/>
                <w:szCs w:val="26"/>
              </w:rPr>
              <w:t>:</w:t>
            </w:r>
          </w:p>
          <w:p w:rsidR="002F562D" w:rsidRDefault="002F562D" w:rsidP="002F562D">
            <w:pPr>
              <w:spacing w:after="0" w:line="240" w:lineRule="auto"/>
              <w:rPr>
                <w:rFonts w:ascii="Times New Roman" w:hAnsi="Times New Roman"/>
                <w:sz w:val="26"/>
                <w:szCs w:val="26"/>
              </w:rPr>
            </w:pPr>
            <w:r w:rsidRPr="00A9090D">
              <w:rPr>
                <w:rFonts w:ascii="Times New Roman" w:hAnsi="Times New Roman"/>
                <w:sz w:val="26"/>
                <w:szCs w:val="26"/>
              </w:rPr>
              <w:t>:</w:t>
            </w:r>
          </w:p>
          <w:p w:rsidR="002F562D" w:rsidRDefault="002F562D" w:rsidP="002F562D">
            <w:pPr>
              <w:spacing w:after="0" w:line="240" w:lineRule="auto"/>
              <w:rPr>
                <w:rFonts w:ascii="Times New Roman" w:hAnsi="Times New Roman"/>
                <w:sz w:val="26"/>
                <w:szCs w:val="26"/>
              </w:rPr>
            </w:pPr>
          </w:p>
          <w:p w:rsidR="002F562D" w:rsidRDefault="002F562D" w:rsidP="002F562D">
            <w:pPr>
              <w:spacing w:after="0" w:line="240" w:lineRule="auto"/>
              <w:rPr>
                <w:rFonts w:ascii="Times New Roman" w:hAnsi="Times New Roman"/>
                <w:sz w:val="26"/>
                <w:szCs w:val="26"/>
              </w:rPr>
            </w:pPr>
            <w:r>
              <w:rPr>
                <w:rFonts w:ascii="Times New Roman" w:hAnsi="Times New Roman"/>
                <w:sz w:val="26"/>
                <w:szCs w:val="26"/>
              </w:rPr>
              <w:t>:</w:t>
            </w:r>
          </w:p>
          <w:p w:rsidR="002F562D" w:rsidRPr="00A9090D" w:rsidRDefault="002F562D" w:rsidP="002F562D">
            <w:pPr>
              <w:spacing w:after="0" w:line="240" w:lineRule="auto"/>
              <w:rPr>
                <w:rFonts w:ascii="Times New Roman" w:hAnsi="Times New Roman"/>
                <w:sz w:val="26"/>
                <w:szCs w:val="26"/>
              </w:rPr>
            </w:pPr>
            <w:r>
              <w:rPr>
                <w:rFonts w:ascii="Times New Roman" w:hAnsi="Times New Roman"/>
                <w:sz w:val="26"/>
                <w:szCs w:val="26"/>
              </w:rPr>
              <w:t>:</w:t>
            </w:r>
          </w:p>
        </w:tc>
        <w:tc>
          <w:tcPr>
            <w:tcW w:w="4428" w:type="dxa"/>
            <w:shd w:val="clear" w:color="auto" w:fill="auto"/>
          </w:tcPr>
          <w:p w:rsidR="002F562D" w:rsidRDefault="002F562D" w:rsidP="002F562D">
            <w:pPr>
              <w:spacing w:after="0" w:line="240" w:lineRule="auto"/>
              <w:ind w:left="1339" w:hanging="1339"/>
              <w:rPr>
                <w:rFonts w:ascii="Times New Roman" w:hAnsi="Times New Roman"/>
                <w:sz w:val="26"/>
                <w:szCs w:val="26"/>
              </w:rPr>
            </w:pPr>
          </w:p>
          <w:p w:rsidR="002F562D" w:rsidRDefault="002F562D" w:rsidP="002F562D">
            <w:pPr>
              <w:spacing w:after="0" w:line="240" w:lineRule="auto"/>
              <w:ind w:left="1339" w:hanging="1339"/>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RM16-23-000</w:t>
            </w:r>
          </w:p>
          <w:p w:rsidR="002F562D" w:rsidRDefault="002F562D" w:rsidP="002F562D">
            <w:pPr>
              <w:spacing w:after="0" w:line="240" w:lineRule="auto"/>
              <w:ind w:left="1339" w:hanging="1339"/>
              <w:rPr>
                <w:rFonts w:ascii="Times New Roman" w:hAnsi="Times New Roman"/>
                <w:sz w:val="26"/>
                <w:szCs w:val="26"/>
              </w:rPr>
            </w:pPr>
          </w:p>
          <w:p w:rsidR="002F562D" w:rsidRDefault="002F562D" w:rsidP="002F562D">
            <w:pPr>
              <w:spacing w:after="0" w:line="240" w:lineRule="auto"/>
              <w:ind w:left="1339" w:hanging="1339"/>
              <w:rPr>
                <w:rFonts w:ascii="Times New Roman" w:hAnsi="Times New Roman"/>
                <w:sz w:val="26"/>
                <w:szCs w:val="26"/>
              </w:rPr>
            </w:pPr>
          </w:p>
          <w:p w:rsidR="002F562D" w:rsidRDefault="002F562D" w:rsidP="002F562D">
            <w:pPr>
              <w:spacing w:after="0" w:line="240" w:lineRule="auto"/>
              <w:ind w:left="1339" w:hanging="1339"/>
              <w:rPr>
                <w:rFonts w:ascii="Times New Roman" w:hAnsi="Times New Roman"/>
                <w:sz w:val="26"/>
                <w:szCs w:val="26"/>
              </w:rPr>
            </w:pPr>
          </w:p>
          <w:p w:rsidR="002F562D" w:rsidRPr="00A9090D" w:rsidRDefault="002F562D" w:rsidP="002F562D">
            <w:pPr>
              <w:spacing w:after="0" w:line="240" w:lineRule="auto"/>
              <w:ind w:left="1339" w:hanging="1339"/>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AD16-20</w:t>
            </w:r>
            <w:r>
              <w:rPr>
                <w:rFonts w:ascii="Times New Roman" w:hAnsi="Times New Roman"/>
                <w:sz w:val="26"/>
                <w:szCs w:val="26"/>
              </w:rPr>
              <w:t>-000</w:t>
            </w:r>
          </w:p>
        </w:tc>
      </w:tr>
    </w:tbl>
    <w:p w:rsidR="00DF6F4C" w:rsidRDefault="00DF6F4C" w:rsidP="002F562D">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p>
    <w:p w:rsidR="00DF6F4C" w:rsidRDefault="00DF6F4C" w:rsidP="002F562D">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p>
    <w:p w:rsidR="002F562D" w:rsidRDefault="002F562D" w:rsidP="002F562D">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p>
    <w:p w:rsidR="002F562D" w:rsidRDefault="002F562D" w:rsidP="002F562D">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p>
    <w:p w:rsidR="002F562D" w:rsidRDefault="002F562D" w:rsidP="002F562D">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p>
    <w:p w:rsidR="00DF6F4C" w:rsidRDefault="00DF6F4C" w:rsidP="002F562D">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p>
    <w:p w:rsidR="00DF6F4C" w:rsidRPr="002C349B" w:rsidRDefault="00DF6F4C" w:rsidP="002F562D">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DF6F4C" w:rsidRPr="00CB37C8" w:rsidRDefault="00DF6F4C" w:rsidP="002F562D">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32"/>
          <w:szCs w:val="32"/>
          <w:lang w:bidi="en-US"/>
        </w:rPr>
      </w:pPr>
      <w:r w:rsidRPr="00CB37C8">
        <w:rPr>
          <w:rFonts w:ascii="Times New Roman" w:eastAsia="Times New Roman" w:hAnsi="Times New Roman"/>
          <w:b/>
          <w:sz w:val="32"/>
          <w:szCs w:val="32"/>
          <w:lang w:bidi="en-US"/>
        </w:rPr>
        <w:t>COMMENTS</w:t>
      </w:r>
    </w:p>
    <w:p w:rsidR="00DF6F4C" w:rsidRPr="00826D54" w:rsidRDefault="00DF6F4C" w:rsidP="002F562D">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 xml:space="preserve">SUBMITTED ON BEHALF </w:t>
      </w:r>
      <w:r w:rsidRPr="00826D54">
        <w:rPr>
          <w:rFonts w:ascii="Times New Roman" w:eastAsia="Times New Roman" w:hAnsi="Times New Roman"/>
          <w:b/>
          <w:sz w:val="26"/>
          <w:szCs w:val="26"/>
          <w:lang w:bidi="en-US"/>
        </w:rPr>
        <w:t xml:space="preserve">OF </w:t>
      </w:r>
    </w:p>
    <w:p w:rsidR="00DF6F4C" w:rsidRDefault="00DF6F4C" w:rsidP="002F562D">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sidRPr="00826D54">
        <w:rPr>
          <w:rFonts w:ascii="Times New Roman" w:eastAsia="Times New Roman" w:hAnsi="Times New Roman"/>
          <w:b/>
          <w:sz w:val="26"/>
          <w:szCs w:val="26"/>
          <w:lang w:bidi="en-US"/>
        </w:rPr>
        <w:t>THE PUBLIC UTILITIES COMMISSION OF OHIO</w:t>
      </w:r>
    </w:p>
    <w:p w:rsidR="00DF6F4C" w:rsidRPr="002C349B" w:rsidRDefault="00DF6F4C" w:rsidP="002F562D">
      <w:pPr>
        <w:tabs>
          <w:tab w:val="left" w:pos="9360"/>
        </w:tabs>
        <w:spacing w:after="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DF6F4C" w:rsidRDefault="00DF6F4C" w:rsidP="002F562D">
      <w:pPr>
        <w:spacing w:after="0" w:line="240" w:lineRule="auto"/>
        <w:jc w:val="center"/>
        <w:rPr>
          <w:rFonts w:ascii="Times New Roman" w:eastAsia="Times New Roman" w:hAnsi="Times New Roman"/>
          <w:b/>
          <w:sz w:val="26"/>
          <w:szCs w:val="26"/>
          <w:lang w:bidi="en-US"/>
        </w:rPr>
      </w:pPr>
    </w:p>
    <w:p w:rsidR="00DF6F4C" w:rsidRDefault="00DF6F4C" w:rsidP="002F562D">
      <w:pPr>
        <w:spacing w:after="0" w:line="240" w:lineRule="auto"/>
        <w:jc w:val="center"/>
        <w:rPr>
          <w:rFonts w:ascii="Times New Roman" w:eastAsia="Times New Roman" w:hAnsi="Times New Roman"/>
          <w:sz w:val="26"/>
          <w:szCs w:val="26"/>
          <w:u w:val="single"/>
          <w:lang w:bidi="en-US"/>
        </w:rPr>
      </w:pPr>
    </w:p>
    <w:p w:rsidR="00DF6F4C" w:rsidRDefault="00DF6F4C" w:rsidP="002F562D">
      <w:pPr>
        <w:spacing w:after="0" w:line="240" w:lineRule="auto"/>
        <w:jc w:val="center"/>
        <w:rPr>
          <w:rFonts w:ascii="Times New Roman" w:hAnsi="Times New Roman"/>
          <w:b/>
          <w:sz w:val="28"/>
          <w:szCs w:val="28"/>
          <w:lang w:bidi="en-US"/>
        </w:rPr>
        <w:sectPr w:rsidR="00DF6F4C" w:rsidSect="003E6567">
          <w:headerReference w:type="default" r:id="rId9"/>
          <w:footerReference w:type="default" r:id="rId10"/>
          <w:pgSz w:w="12240" w:h="15840" w:code="1"/>
          <w:pgMar w:top="1440" w:right="1440" w:bottom="1440" w:left="1440" w:header="720" w:footer="720" w:gutter="0"/>
          <w:cols w:space="720"/>
          <w:docGrid w:linePitch="360"/>
        </w:sectPr>
      </w:pPr>
    </w:p>
    <w:p w:rsidR="00B512C5" w:rsidRDefault="00DF6F4C">
      <w:pPr>
        <w:pStyle w:val="TOC1"/>
        <w:tabs>
          <w:tab w:val="right" w:leader="dot" w:pos="9350"/>
        </w:tabs>
        <w:rPr>
          <w:rFonts w:asciiTheme="minorHAnsi" w:eastAsiaTheme="minorEastAsia" w:hAnsiTheme="minorHAnsi" w:cstheme="minorBidi"/>
          <w:noProof/>
          <w:sz w:val="22"/>
        </w:rPr>
      </w:pPr>
      <w:r>
        <w:rPr>
          <w:b/>
          <w:sz w:val="28"/>
          <w:szCs w:val="28"/>
          <w:lang w:bidi="en-US"/>
        </w:rPr>
        <w:lastRenderedPageBreak/>
        <w:fldChar w:fldCharType="begin"/>
      </w:r>
      <w:r>
        <w:rPr>
          <w:b/>
          <w:sz w:val="28"/>
          <w:szCs w:val="28"/>
          <w:lang w:bidi="en-US"/>
        </w:rPr>
        <w:instrText xml:space="preserve"> TOC \o "1-3" \u </w:instrText>
      </w:r>
      <w:r>
        <w:rPr>
          <w:b/>
          <w:sz w:val="28"/>
          <w:szCs w:val="28"/>
          <w:lang w:bidi="en-US"/>
        </w:rPr>
        <w:fldChar w:fldCharType="separate"/>
      </w:r>
      <w:r w:rsidR="00B512C5">
        <w:rPr>
          <w:noProof/>
        </w:rPr>
        <w:t>INTRODUCTION AND BACKGROUND</w:t>
      </w:r>
      <w:r w:rsidR="00B512C5">
        <w:rPr>
          <w:noProof/>
        </w:rPr>
        <w:tab/>
      </w:r>
      <w:r w:rsidR="00B512C5">
        <w:rPr>
          <w:noProof/>
        </w:rPr>
        <w:fldChar w:fldCharType="begin"/>
      </w:r>
      <w:r w:rsidR="00B512C5">
        <w:rPr>
          <w:noProof/>
        </w:rPr>
        <w:instrText xml:space="preserve"> PAGEREF _Toc474740263 \h </w:instrText>
      </w:r>
      <w:r w:rsidR="00B512C5">
        <w:rPr>
          <w:noProof/>
        </w:rPr>
      </w:r>
      <w:r w:rsidR="00B512C5">
        <w:rPr>
          <w:noProof/>
        </w:rPr>
        <w:fldChar w:fldCharType="separate"/>
      </w:r>
      <w:r w:rsidR="00B512C5">
        <w:rPr>
          <w:noProof/>
        </w:rPr>
        <w:t>1</w:t>
      </w:r>
      <w:r w:rsidR="00B512C5">
        <w:rPr>
          <w:noProof/>
        </w:rPr>
        <w:fldChar w:fldCharType="end"/>
      </w:r>
    </w:p>
    <w:p w:rsidR="00B512C5" w:rsidRDefault="00B512C5">
      <w:pPr>
        <w:pStyle w:val="TOC1"/>
        <w:tabs>
          <w:tab w:val="right" w:leader="dot" w:pos="9350"/>
        </w:tabs>
        <w:rPr>
          <w:rFonts w:asciiTheme="minorHAnsi" w:eastAsiaTheme="minorEastAsia" w:hAnsiTheme="minorHAnsi" w:cstheme="minorBidi"/>
          <w:noProof/>
          <w:sz w:val="22"/>
        </w:rPr>
      </w:pPr>
      <w:r>
        <w:rPr>
          <w:noProof/>
        </w:rPr>
        <w:t>DISCUSSION</w:t>
      </w:r>
      <w:r>
        <w:rPr>
          <w:noProof/>
        </w:rPr>
        <w:tab/>
      </w:r>
      <w:r>
        <w:rPr>
          <w:noProof/>
        </w:rPr>
        <w:fldChar w:fldCharType="begin"/>
      </w:r>
      <w:r>
        <w:rPr>
          <w:noProof/>
        </w:rPr>
        <w:instrText xml:space="preserve"> PAGEREF _Toc474740264 \h </w:instrText>
      </w:r>
      <w:r>
        <w:rPr>
          <w:noProof/>
        </w:rPr>
      </w:r>
      <w:r>
        <w:rPr>
          <w:noProof/>
        </w:rPr>
        <w:fldChar w:fldCharType="separate"/>
      </w:r>
      <w:r>
        <w:rPr>
          <w:noProof/>
        </w:rPr>
        <w:t>2</w:t>
      </w:r>
      <w:r>
        <w:rPr>
          <w:noProof/>
        </w:rPr>
        <w:fldChar w:fldCharType="end"/>
      </w:r>
    </w:p>
    <w:p w:rsidR="00B512C5" w:rsidRDefault="00B512C5">
      <w:pPr>
        <w:pStyle w:val="TOC2"/>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General Remarks</w:t>
      </w:r>
      <w:r>
        <w:rPr>
          <w:noProof/>
        </w:rPr>
        <w:tab/>
      </w:r>
      <w:r>
        <w:rPr>
          <w:noProof/>
        </w:rPr>
        <w:fldChar w:fldCharType="begin"/>
      </w:r>
      <w:r>
        <w:rPr>
          <w:noProof/>
        </w:rPr>
        <w:instrText xml:space="preserve"> PAGEREF _Toc474740265 \h </w:instrText>
      </w:r>
      <w:r>
        <w:rPr>
          <w:noProof/>
        </w:rPr>
      </w:r>
      <w:r>
        <w:rPr>
          <w:noProof/>
        </w:rPr>
        <w:fldChar w:fldCharType="separate"/>
      </w:r>
      <w:r>
        <w:rPr>
          <w:noProof/>
        </w:rPr>
        <w:t>2</w:t>
      </w:r>
      <w:r>
        <w:rPr>
          <w:noProof/>
        </w:rPr>
        <w:fldChar w:fldCharType="end"/>
      </w:r>
    </w:p>
    <w:p w:rsidR="00B512C5" w:rsidRDefault="00B512C5">
      <w:pPr>
        <w:pStyle w:val="TOC2"/>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Wholesale Market Participation Models</w:t>
      </w:r>
      <w:r>
        <w:rPr>
          <w:noProof/>
        </w:rPr>
        <w:tab/>
      </w:r>
      <w:r>
        <w:rPr>
          <w:noProof/>
        </w:rPr>
        <w:fldChar w:fldCharType="begin"/>
      </w:r>
      <w:r>
        <w:rPr>
          <w:noProof/>
        </w:rPr>
        <w:instrText xml:space="preserve"> PAGEREF _Toc474740266 \h </w:instrText>
      </w:r>
      <w:r>
        <w:rPr>
          <w:noProof/>
        </w:rPr>
      </w:r>
      <w:r>
        <w:rPr>
          <w:noProof/>
        </w:rPr>
        <w:fldChar w:fldCharType="separate"/>
      </w:r>
      <w:r>
        <w:rPr>
          <w:noProof/>
        </w:rPr>
        <w:t>4</w:t>
      </w:r>
      <w:r>
        <w:rPr>
          <w:noProof/>
        </w:rPr>
        <w:fldChar w:fldCharType="end"/>
      </w:r>
    </w:p>
    <w:p w:rsidR="00B512C5" w:rsidRDefault="00B512C5">
      <w:pPr>
        <w:pStyle w:val="TOC2"/>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Jurisdiction</w:t>
      </w:r>
      <w:bookmarkStart w:id="0" w:name="_GoBack"/>
      <w:bookmarkEnd w:id="0"/>
      <w:r>
        <w:rPr>
          <w:noProof/>
        </w:rPr>
        <w:tab/>
      </w:r>
      <w:r>
        <w:rPr>
          <w:noProof/>
        </w:rPr>
        <w:fldChar w:fldCharType="begin"/>
      </w:r>
      <w:r>
        <w:rPr>
          <w:noProof/>
        </w:rPr>
        <w:instrText xml:space="preserve"> PAGEREF _Toc474740267 \h </w:instrText>
      </w:r>
      <w:r>
        <w:rPr>
          <w:noProof/>
        </w:rPr>
      </w:r>
      <w:r>
        <w:rPr>
          <w:noProof/>
        </w:rPr>
        <w:fldChar w:fldCharType="separate"/>
      </w:r>
      <w:r>
        <w:rPr>
          <w:noProof/>
        </w:rPr>
        <w:t>5</w:t>
      </w:r>
      <w:r>
        <w:rPr>
          <w:noProof/>
        </w:rPr>
        <w:fldChar w:fldCharType="end"/>
      </w:r>
    </w:p>
    <w:p w:rsidR="00B512C5" w:rsidRDefault="00B512C5">
      <w:pPr>
        <w:pStyle w:val="TOC2"/>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Compensation Eligibility and Bidding Parameters</w:t>
      </w:r>
      <w:r>
        <w:rPr>
          <w:noProof/>
        </w:rPr>
        <w:tab/>
      </w:r>
      <w:r>
        <w:rPr>
          <w:noProof/>
        </w:rPr>
        <w:fldChar w:fldCharType="begin"/>
      </w:r>
      <w:r>
        <w:rPr>
          <w:noProof/>
        </w:rPr>
        <w:instrText xml:space="preserve"> PAGEREF _Toc474740268 \h </w:instrText>
      </w:r>
      <w:r>
        <w:rPr>
          <w:noProof/>
        </w:rPr>
      </w:r>
      <w:r>
        <w:rPr>
          <w:noProof/>
        </w:rPr>
        <w:fldChar w:fldCharType="separate"/>
      </w:r>
      <w:r>
        <w:rPr>
          <w:noProof/>
        </w:rPr>
        <w:t>7</w:t>
      </w:r>
      <w:r>
        <w:rPr>
          <w:noProof/>
        </w:rPr>
        <w:fldChar w:fldCharType="end"/>
      </w:r>
    </w:p>
    <w:p w:rsidR="00B512C5" w:rsidRDefault="00B512C5">
      <w:pPr>
        <w:pStyle w:val="TOC2"/>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Implementation</w:t>
      </w:r>
      <w:r>
        <w:rPr>
          <w:noProof/>
        </w:rPr>
        <w:tab/>
      </w:r>
      <w:r>
        <w:rPr>
          <w:noProof/>
        </w:rPr>
        <w:fldChar w:fldCharType="begin"/>
      </w:r>
      <w:r>
        <w:rPr>
          <w:noProof/>
        </w:rPr>
        <w:instrText xml:space="preserve"> PAGEREF _Toc474740269 \h </w:instrText>
      </w:r>
      <w:r>
        <w:rPr>
          <w:noProof/>
        </w:rPr>
      </w:r>
      <w:r>
        <w:rPr>
          <w:noProof/>
        </w:rPr>
        <w:fldChar w:fldCharType="separate"/>
      </w:r>
      <w:r>
        <w:rPr>
          <w:noProof/>
        </w:rPr>
        <w:t>9</w:t>
      </w:r>
      <w:r>
        <w:rPr>
          <w:noProof/>
        </w:rPr>
        <w:fldChar w:fldCharType="end"/>
      </w:r>
    </w:p>
    <w:p w:rsidR="00B512C5" w:rsidRDefault="00B512C5">
      <w:pPr>
        <w:pStyle w:val="TOC1"/>
        <w:tabs>
          <w:tab w:val="right" w:leader="dot" w:pos="9350"/>
        </w:tabs>
        <w:rPr>
          <w:rFonts w:asciiTheme="minorHAnsi" w:eastAsiaTheme="minorEastAsia" w:hAnsiTheme="minorHAnsi" w:cstheme="minorBidi"/>
          <w:noProof/>
          <w:sz w:val="22"/>
        </w:rPr>
      </w:pPr>
      <w:r>
        <w:rPr>
          <w:noProof/>
        </w:rPr>
        <w:t>CONCLUSION</w:t>
      </w:r>
      <w:r>
        <w:rPr>
          <w:noProof/>
        </w:rPr>
        <w:tab/>
      </w:r>
      <w:r>
        <w:rPr>
          <w:noProof/>
        </w:rPr>
        <w:fldChar w:fldCharType="begin"/>
      </w:r>
      <w:r>
        <w:rPr>
          <w:noProof/>
        </w:rPr>
        <w:instrText xml:space="preserve"> PAGEREF _Toc474740270 \h </w:instrText>
      </w:r>
      <w:r>
        <w:rPr>
          <w:noProof/>
        </w:rPr>
      </w:r>
      <w:r>
        <w:rPr>
          <w:noProof/>
        </w:rPr>
        <w:fldChar w:fldCharType="separate"/>
      </w:r>
      <w:r>
        <w:rPr>
          <w:noProof/>
        </w:rPr>
        <w:t>11</w:t>
      </w:r>
      <w:r>
        <w:rPr>
          <w:noProof/>
        </w:rPr>
        <w:fldChar w:fldCharType="end"/>
      </w:r>
    </w:p>
    <w:p w:rsidR="00B512C5" w:rsidRDefault="00B512C5">
      <w:pPr>
        <w:pStyle w:val="TOC1"/>
        <w:tabs>
          <w:tab w:val="right" w:leader="dot" w:pos="9350"/>
        </w:tabs>
        <w:rPr>
          <w:rFonts w:asciiTheme="minorHAnsi" w:eastAsiaTheme="minorEastAsia" w:hAnsiTheme="minorHAnsi" w:cstheme="minorBidi"/>
          <w:noProof/>
          <w:sz w:val="22"/>
        </w:rPr>
      </w:pPr>
      <w:r>
        <w:rPr>
          <w:noProof/>
        </w:rPr>
        <w:t>CERTIFICATE OF SERVICE</w:t>
      </w:r>
      <w:r>
        <w:rPr>
          <w:noProof/>
        </w:rPr>
        <w:tab/>
      </w:r>
      <w:r>
        <w:rPr>
          <w:noProof/>
        </w:rPr>
        <w:fldChar w:fldCharType="begin"/>
      </w:r>
      <w:r>
        <w:rPr>
          <w:noProof/>
        </w:rPr>
        <w:instrText xml:space="preserve"> PAGEREF _Toc474740271 \h </w:instrText>
      </w:r>
      <w:r>
        <w:rPr>
          <w:noProof/>
        </w:rPr>
      </w:r>
      <w:r>
        <w:rPr>
          <w:noProof/>
        </w:rPr>
        <w:fldChar w:fldCharType="separate"/>
      </w:r>
      <w:r>
        <w:rPr>
          <w:noProof/>
        </w:rPr>
        <w:t>12</w:t>
      </w:r>
      <w:r>
        <w:rPr>
          <w:noProof/>
        </w:rPr>
        <w:fldChar w:fldCharType="end"/>
      </w:r>
    </w:p>
    <w:p w:rsidR="00DF6F4C" w:rsidRDefault="00DF6F4C" w:rsidP="00DF6F4C">
      <w:pPr>
        <w:spacing w:after="0" w:line="240" w:lineRule="auto"/>
        <w:jc w:val="center"/>
        <w:rPr>
          <w:rFonts w:ascii="Times New Roman" w:hAnsi="Times New Roman"/>
          <w:b/>
          <w:sz w:val="28"/>
          <w:szCs w:val="28"/>
          <w:lang w:bidi="en-US"/>
        </w:rPr>
        <w:sectPr w:rsidR="00DF6F4C" w:rsidSect="003E6567">
          <w:headerReference w:type="even" r:id="rId11"/>
          <w:headerReference w:type="default" r:id="rId12"/>
          <w:footerReference w:type="default" r:id="rId13"/>
          <w:headerReference w:type="first" r:id="rId14"/>
          <w:pgSz w:w="12240" w:h="15840" w:code="1"/>
          <w:pgMar w:top="1440" w:right="1440" w:bottom="1440" w:left="1440" w:header="720" w:footer="720" w:gutter="0"/>
          <w:pgNumType w:fmt="lowerRoman" w:start="1"/>
          <w:cols w:space="720"/>
          <w:docGrid w:linePitch="360"/>
        </w:sectPr>
      </w:pPr>
      <w:r>
        <w:rPr>
          <w:rFonts w:ascii="Times New Roman" w:hAnsi="Times New Roman"/>
          <w:b/>
          <w:sz w:val="28"/>
          <w:szCs w:val="28"/>
          <w:lang w:bidi="en-US"/>
        </w:rPr>
        <w:fldChar w:fldCharType="end"/>
      </w:r>
    </w:p>
    <w:p w:rsidR="005D0FB0" w:rsidRPr="002C349B" w:rsidRDefault="005D0FB0" w:rsidP="005D0FB0">
      <w:pPr>
        <w:spacing w:after="0" w:line="240" w:lineRule="auto"/>
        <w:jc w:val="center"/>
        <w:rPr>
          <w:rFonts w:ascii="Times New Roman" w:hAnsi="Times New Roman"/>
          <w:b/>
          <w:sz w:val="28"/>
          <w:szCs w:val="28"/>
          <w:lang w:bidi="en-US"/>
        </w:rPr>
      </w:pPr>
      <w:bookmarkStart w:id="1" w:name="_Toc364859458"/>
      <w:r w:rsidRPr="002C349B">
        <w:rPr>
          <w:rFonts w:ascii="Times New Roman" w:hAnsi="Times New Roman"/>
          <w:b/>
          <w:sz w:val="28"/>
          <w:szCs w:val="28"/>
          <w:lang w:bidi="en-US"/>
        </w:rPr>
        <w:lastRenderedPageBreak/>
        <w:t>UNITED STATES OF AMERICA</w:t>
      </w:r>
    </w:p>
    <w:p w:rsidR="005D0FB0" w:rsidRPr="002C349B" w:rsidRDefault="005D0FB0" w:rsidP="005D0FB0">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BEFORE THE</w:t>
      </w:r>
    </w:p>
    <w:p w:rsidR="005D0FB0" w:rsidRPr="002C349B" w:rsidRDefault="005D0FB0" w:rsidP="005D0FB0">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FEDERAL ENERGY REGULATORY COMMISSION</w:t>
      </w:r>
    </w:p>
    <w:p w:rsidR="005D0FB0" w:rsidRDefault="005D0FB0" w:rsidP="005D0FB0">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tbl>
      <w:tblPr>
        <w:tblW w:w="0" w:type="auto"/>
        <w:tblLook w:val="01E0" w:firstRow="1" w:lastRow="1" w:firstColumn="1" w:lastColumn="1" w:noHBand="0" w:noVBand="0"/>
      </w:tblPr>
      <w:tblGrid>
        <w:gridCol w:w="4788"/>
        <w:gridCol w:w="360"/>
        <w:gridCol w:w="4428"/>
      </w:tblGrid>
      <w:tr w:rsidR="005D0FB0" w:rsidRPr="009D6A2A" w:rsidTr="001A2F2E">
        <w:tc>
          <w:tcPr>
            <w:tcW w:w="4788" w:type="dxa"/>
            <w:shd w:val="clear" w:color="auto" w:fill="auto"/>
          </w:tcPr>
          <w:p w:rsidR="005D0FB0" w:rsidRDefault="005D0FB0" w:rsidP="001A2F2E">
            <w:pPr>
              <w:spacing w:after="0" w:line="240" w:lineRule="auto"/>
              <w:rPr>
                <w:rFonts w:ascii="Times New Roman" w:hAnsi="Times New Roman"/>
                <w:sz w:val="26"/>
                <w:szCs w:val="26"/>
              </w:rPr>
            </w:pPr>
            <w:r w:rsidRPr="00DF6F4C">
              <w:rPr>
                <w:rFonts w:ascii="Times New Roman" w:hAnsi="Times New Roman"/>
                <w:sz w:val="26"/>
                <w:szCs w:val="26"/>
              </w:rPr>
              <w:t>Electric Storage Participation in Markets Operated by Regional Transmission Organizations and Independent System Operators</w:t>
            </w:r>
          </w:p>
          <w:p w:rsidR="005D0FB0" w:rsidRDefault="005D0FB0" w:rsidP="001A2F2E">
            <w:pPr>
              <w:spacing w:after="0" w:line="240" w:lineRule="auto"/>
              <w:rPr>
                <w:rFonts w:ascii="Times New Roman" w:hAnsi="Times New Roman"/>
                <w:sz w:val="26"/>
                <w:szCs w:val="26"/>
              </w:rPr>
            </w:pPr>
          </w:p>
          <w:p w:rsidR="005D0FB0" w:rsidRPr="00A9090D" w:rsidRDefault="005D0FB0" w:rsidP="001A2F2E">
            <w:pPr>
              <w:spacing w:after="0" w:line="240" w:lineRule="auto"/>
              <w:rPr>
                <w:rFonts w:ascii="Times New Roman" w:hAnsi="Times New Roman"/>
                <w:sz w:val="26"/>
                <w:szCs w:val="26"/>
              </w:rPr>
            </w:pPr>
            <w:r>
              <w:rPr>
                <w:rFonts w:ascii="Times New Roman" w:hAnsi="Times New Roman"/>
                <w:sz w:val="26"/>
                <w:szCs w:val="26"/>
              </w:rPr>
              <w:t>Electric Storage Participation in Regions with Organized Wholesale Electric Markets</w:t>
            </w:r>
          </w:p>
        </w:tc>
        <w:tc>
          <w:tcPr>
            <w:tcW w:w="360" w:type="dxa"/>
            <w:shd w:val="clear" w:color="auto" w:fill="auto"/>
          </w:tcPr>
          <w:p w:rsidR="005D0FB0" w:rsidRDefault="005D0FB0" w:rsidP="001A2F2E">
            <w:pPr>
              <w:spacing w:after="0" w:line="240" w:lineRule="auto"/>
              <w:rPr>
                <w:rFonts w:ascii="Times New Roman" w:hAnsi="Times New Roman"/>
                <w:sz w:val="26"/>
                <w:szCs w:val="26"/>
              </w:rPr>
            </w:pPr>
            <w:r w:rsidRPr="00A9090D">
              <w:rPr>
                <w:rFonts w:ascii="Times New Roman" w:hAnsi="Times New Roman"/>
                <w:sz w:val="26"/>
                <w:szCs w:val="26"/>
              </w:rPr>
              <w:t>:</w:t>
            </w:r>
          </w:p>
          <w:p w:rsidR="005D0FB0" w:rsidRDefault="005D0FB0" w:rsidP="001A2F2E">
            <w:pPr>
              <w:spacing w:after="0" w:line="240" w:lineRule="auto"/>
              <w:rPr>
                <w:rFonts w:ascii="Times New Roman" w:hAnsi="Times New Roman"/>
                <w:sz w:val="26"/>
                <w:szCs w:val="26"/>
              </w:rPr>
            </w:pPr>
            <w:r>
              <w:rPr>
                <w:rFonts w:ascii="Times New Roman" w:hAnsi="Times New Roman"/>
                <w:sz w:val="26"/>
                <w:szCs w:val="26"/>
              </w:rPr>
              <w:t>:</w:t>
            </w:r>
          </w:p>
          <w:p w:rsidR="005D0FB0" w:rsidRPr="00A9090D" w:rsidRDefault="005D0FB0" w:rsidP="001A2F2E">
            <w:pPr>
              <w:spacing w:after="0" w:line="240" w:lineRule="auto"/>
              <w:rPr>
                <w:rFonts w:ascii="Times New Roman" w:hAnsi="Times New Roman"/>
                <w:sz w:val="26"/>
                <w:szCs w:val="26"/>
              </w:rPr>
            </w:pPr>
            <w:r>
              <w:rPr>
                <w:rFonts w:ascii="Times New Roman" w:hAnsi="Times New Roman"/>
                <w:sz w:val="26"/>
                <w:szCs w:val="26"/>
              </w:rPr>
              <w:t>:</w:t>
            </w:r>
          </w:p>
          <w:p w:rsidR="005D0FB0" w:rsidRDefault="005D0FB0" w:rsidP="001A2F2E">
            <w:pPr>
              <w:spacing w:after="0" w:line="240" w:lineRule="auto"/>
              <w:rPr>
                <w:rFonts w:ascii="Times New Roman" w:hAnsi="Times New Roman"/>
                <w:sz w:val="26"/>
                <w:szCs w:val="26"/>
              </w:rPr>
            </w:pPr>
            <w:r w:rsidRPr="00A9090D">
              <w:rPr>
                <w:rFonts w:ascii="Times New Roman" w:hAnsi="Times New Roman"/>
                <w:sz w:val="26"/>
                <w:szCs w:val="26"/>
              </w:rPr>
              <w:t>:</w:t>
            </w:r>
          </w:p>
          <w:p w:rsidR="005D0FB0" w:rsidRDefault="005D0FB0" w:rsidP="001A2F2E">
            <w:pPr>
              <w:spacing w:after="0" w:line="240" w:lineRule="auto"/>
              <w:rPr>
                <w:rFonts w:ascii="Times New Roman" w:hAnsi="Times New Roman"/>
                <w:sz w:val="26"/>
                <w:szCs w:val="26"/>
              </w:rPr>
            </w:pPr>
          </w:p>
          <w:p w:rsidR="005D0FB0" w:rsidRDefault="005D0FB0" w:rsidP="001A2F2E">
            <w:pPr>
              <w:spacing w:after="0" w:line="240" w:lineRule="auto"/>
              <w:rPr>
                <w:rFonts w:ascii="Times New Roman" w:hAnsi="Times New Roman"/>
                <w:sz w:val="26"/>
                <w:szCs w:val="26"/>
              </w:rPr>
            </w:pPr>
            <w:r>
              <w:rPr>
                <w:rFonts w:ascii="Times New Roman" w:hAnsi="Times New Roman"/>
                <w:sz w:val="26"/>
                <w:szCs w:val="26"/>
              </w:rPr>
              <w:t>:</w:t>
            </w:r>
          </w:p>
          <w:p w:rsidR="005D0FB0" w:rsidRPr="00A9090D" w:rsidRDefault="005D0FB0" w:rsidP="001A2F2E">
            <w:pPr>
              <w:spacing w:after="0" w:line="240" w:lineRule="auto"/>
              <w:rPr>
                <w:rFonts w:ascii="Times New Roman" w:hAnsi="Times New Roman"/>
                <w:sz w:val="26"/>
                <w:szCs w:val="26"/>
              </w:rPr>
            </w:pPr>
            <w:r>
              <w:rPr>
                <w:rFonts w:ascii="Times New Roman" w:hAnsi="Times New Roman"/>
                <w:sz w:val="26"/>
                <w:szCs w:val="26"/>
              </w:rPr>
              <w:t>:</w:t>
            </w:r>
          </w:p>
        </w:tc>
        <w:tc>
          <w:tcPr>
            <w:tcW w:w="4428" w:type="dxa"/>
            <w:shd w:val="clear" w:color="auto" w:fill="auto"/>
          </w:tcPr>
          <w:p w:rsidR="005D0FB0" w:rsidRDefault="005D0FB0" w:rsidP="001A2F2E">
            <w:pPr>
              <w:spacing w:after="0" w:line="240" w:lineRule="auto"/>
              <w:ind w:left="1339" w:hanging="1339"/>
              <w:rPr>
                <w:rFonts w:ascii="Times New Roman" w:hAnsi="Times New Roman"/>
                <w:sz w:val="26"/>
                <w:szCs w:val="26"/>
              </w:rPr>
            </w:pPr>
          </w:p>
          <w:p w:rsidR="005D0FB0" w:rsidRDefault="005D0FB0" w:rsidP="001A2F2E">
            <w:pPr>
              <w:spacing w:after="0" w:line="240" w:lineRule="auto"/>
              <w:ind w:left="1339" w:hanging="1339"/>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RM16-23-000</w:t>
            </w:r>
          </w:p>
          <w:p w:rsidR="005D0FB0" w:rsidRDefault="005D0FB0" w:rsidP="001A2F2E">
            <w:pPr>
              <w:spacing w:after="0" w:line="240" w:lineRule="auto"/>
              <w:ind w:left="1339" w:hanging="1339"/>
              <w:rPr>
                <w:rFonts w:ascii="Times New Roman" w:hAnsi="Times New Roman"/>
                <w:sz w:val="26"/>
                <w:szCs w:val="26"/>
              </w:rPr>
            </w:pPr>
          </w:p>
          <w:p w:rsidR="005D0FB0" w:rsidRDefault="005D0FB0" w:rsidP="001A2F2E">
            <w:pPr>
              <w:spacing w:after="0" w:line="240" w:lineRule="auto"/>
              <w:ind w:left="1339" w:hanging="1339"/>
              <w:rPr>
                <w:rFonts w:ascii="Times New Roman" w:hAnsi="Times New Roman"/>
                <w:sz w:val="26"/>
                <w:szCs w:val="26"/>
              </w:rPr>
            </w:pPr>
          </w:p>
          <w:p w:rsidR="005D0FB0" w:rsidRDefault="005D0FB0" w:rsidP="001A2F2E">
            <w:pPr>
              <w:spacing w:after="0" w:line="240" w:lineRule="auto"/>
              <w:ind w:left="1339" w:hanging="1339"/>
              <w:rPr>
                <w:rFonts w:ascii="Times New Roman" w:hAnsi="Times New Roman"/>
                <w:sz w:val="26"/>
                <w:szCs w:val="26"/>
              </w:rPr>
            </w:pPr>
          </w:p>
          <w:p w:rsidR="005D0FB0" w:rsidRPr="00A9090D" w:rsidRDefault="005D0FB0" w:rsidP="001A2F2E">
            <w:pPr>
              <w:spacing w:after="0" w:line="240" w:lineRule="auto"/>
              <w:ind w:left="1339" w:hanging="1339"/>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AD16-20-000</w:t>
            </w:r>
          </w:p>
        </w:tc>
      </w:tr>
    </w:tbl>
    <w:p w:rsidR="005D0FB0" w:rsidRDefault="005D0FB0" w:rsidP="005D0FB0">
      <w:pPr>
        <w:tabs>
          <w:tab w:val="left" w:pos="9360"/>
        </w:tabs>
        <w:spacing w:after="240" w:line="240" w:lineRule="auto"/>
        <w:rPr>
          <w:rFonts w:ascii="Times New Roman" w:eastAsia="Times New Roman" w:hAnsi="Times New Roman"/>
          <w:sz w:val="26"/>
          <w:szCs w:val="26"/>
          <w:u w:val="single"/>
          <w:lang w:bidi="en-US"/>
        </w:rPr>
      </w:pPr>
    </w:p>
    <w:p w:rsidR="005D0FB0" w:rsidRPr="002C349B" w:rsidRDefault="005D0FB0" w:rsidP="005D0FB0">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5D0FB0" w:rsidRPr="00CB37C8" w:rsidRDefault="005D0FB0" w:rsidP="005D0FB0">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32"/>
          <w:szCs w:val="32"/>
          <w:lang w:bidi="en-US"/>
        </w:rPr>
      </w:pPr>
      <w:r w:rsidRPr="00CB37C8">
        <w:rPr>
          <w:rFonts w:ascii="Times New Roman" w:eastAsia="Times New Roman" w:hAnsi="Times New Roman"/>
          <w:b/>
          <w:sz w:val="32"/>
          <w:szCs w:val="32"/>
          <w:lang w:bidi="en-US"/>
        </w:rPr>
        <w:t>COMMENTS</w:t>
      </w:r>
    </w:p>
    <w:p w:rsidR="005D0FB0" w:rsidRPr="00826D54" w:rsidRDefault="005D0FB0" w:rsidP="005D0FB0">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 xml:space="preserve">SUBMITTED ON BEHALF </w:t>
      </w:r>
      <w:r w:rsidRPr="00826D54">
        <w:rPr>
          <w:rFonts w:ascii="Times New Roman" w:eastAsia="Times New Roman" w:hAnsi="Times New Roman"/>
          <w:b/>
          <w:sz w:val="26"/>
          <w:szCs w:val="26"/>
          <w:lang w:bidi="en-US"/>
        </w:rPr>
        <w:t xml:space="preserve">OF </w:t>
      </w:r>
    </w:p>
    <w:p w:rsidR="005D0FB0" w:rsidRDefault="005D0FB0" w:rsidP="005D0FB0">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sidRPr="00826D54">
        <w:rPr>
          <w:rFonts w:ascii="Times New Roman" w:eastAsia="Times New Roman" w:hAnsi="Times New Roman"/>
          <w:b/>
          <w:sz w:val="26"/>
          <w:szCs w:val="26"/>
          <w:lang w:bidi="en-US"/>
        </w:rPr>
        <w:t>THE PUBLIC UTILITIES COMMISSION OF OHIO</w:t>
      </w:r>
    </w:p>
    <w:p w:rsidR="005D0FB0" w:rsidRDefault="005D0FB0" w:rsidP="005D0FB0">
      <w:pPr>
        <w:tabs>
          <w:tab w:val="left" w:pos="9360"/>
        </w:tabs>
        <w:spacing w:after="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5D0FB0" w:rsidRPr="002C349B" w:rsidRDefault="005D0FB0" w:rsidP="005D0FB0">
      <w:pPr>
        <w:tabs>
          <w:tab w:val="left" w:pos="9360"/>
        </w:tabs>
        <w:spacing w:after="0" w:line="240" w:lineRule="auto"/>
        <w:rPr>
          <w:rFonts w:ascii="Times New Roman" w:eastAsia="Times New Roman" w:hAnsi="Times New Roman"/>
          <w:sz w:val="26"/>
          <w:szCs w:val="26"/>
          <w:u w:val="single"/>
          <w:lang w:bidi="en-US"/>
        </w:rPr>
      </w:pPr>
    </w:p>
    <w:p w:rsidR="00DF6F4C" w:rsidRDefault="00DF6F4C" w:rsidP="00DF6F4C">
      <w:pPr>
        <w:pStyle w:val="Heading1"/>
      </w:pPr>
      <w:bookmarkStart w:id="2" w:name="_Toc474740263"/>
      <w:r>
        <w:t>INTRODUCTION AND BACKGROUND</w:t>
      </w:r>
      <w:bookmarkEnd w:id="1"/>
      <w:bookmarkEnd w:id="2"/>
      <w:r>
        <w:t xml:space="preserve"> </w:t>
      </w:r>
    </w:p>
    <w:p w:rsidR="00163F23" w:rsidRDefault="00DF6F4C" w:rsidP="00DF6F4C">
      <w:pPr>
        <w:pStyle w:val="TEXTSTYLE"/>
      </w:pPr>
      <w:r>
        <w:tab/>
        <w:t>On November 17, 2016, the Federal Energy Regulatory Commission (</w:t>
      </w:r>
      <w:r w:rsidR="0073363F">
        <w:t>the Commis</w:t>
      </w:r>
      <w:r w:rsidR="005D0FB0">
        <w:softHyphen/>
      </w:r>
      <w:r w:rsidR="0073363F">
        <w:t>sion</w:t>
      </w:r>
      <w:r>
        <w:t>) issued a Notice of Proposed Rulemaking (N</w:t>
      </w:r>
      <w:r w:rsidR="00A650B8">
        <w:t>OPR)</w:t>
      </w:r>
      <w:r>
        <w:t xml:space="preserve"> </w:t>
      </w:r>
      <w:r w:rsidR="00A650B8" w:rsidRPr="00691205">
        <w:t xml:space="preserve">to amend </w:t>
      </w:r>
      <w:r w:rsidR="00974D80" w:rsidRPr="003769E8">
        <w:t xml:space="preserve">its regulations under </w:t>
      </w:r>
      <w:r w:rsidR="00A650B8" w:rsidRPr="00691205">
        <w:t>the Federal Power Act</w:t>
      </w:r>
      <w:r w:rsidR="00A650B8">
        <w:t xml:space="preserve"> to remove barriers to the participation of electric storage resources and distributed energy resource</w:t>
      </w:r>
      <w:r w:rsidR="004F1005">
        <w:t xml:space="preserve"> (DER)</w:t>
      </w:r>
      <w:r w:rsidR="00A650B8">
        <w:t xml:space="preserve"> aggregat</w:t>
      </w:r>
      <w:r w:rsidR="001A6589">
        <w:t>ors</w:t>
      </w:r>
      <w:r w:rsidR="00A650B8">
        <w:t xml:space="preserve"> </w:t>
      </w:r>
      <w:r>
        <w:t>in th</w:t>
      </w:r>
      <w:r w:rsidR="00A650B8">
        <w:t>e capacity, energy and ancillary service markets operated by regional transmission organizations (RTOs) and independent syste</w:t>
      </w:r>
      <w:r w:rsidR="00A97F5B">
        <w:t>m operators (ISOs)</w:t>
      </w:r>
      <w:r w:rsidR="00A650B8">
        <w:t>.</w:t>
      </w:r>
      <w:r w:rsidR="009A49C4">
        <w:t xml:space="preserve"> </w:t>
      </w:r>
      <w:r w:rsidR="002F562D">
        <w:t xml:space="preserve"> </w:t>
      </w:r>
      <w:r w:rsidR="009A49C4">
        <w:t>Among other things, the NOPR recognizes the need to enable storage resources to participate in the organized wholesale electric markets to the extent that they are technically capable of doing so, based on rules that take into account their unique characteristics</w:t>
      </w:r>
      <w:r w:rsidR="00A97F5B">
        <w:t xml:space="preserve">. </w:t>
      </w:r>
      <w:r w:rsidR="002F562D">
        <w:t xml:space="preserve"> </w:t>
      </w:r>
      <w:r w:rsidR="00A97F5B">
        <w:t xml:space="preserve">Current tariffs </w:t>
      </w:r>
      <w:r w:rsidR="009A49C4">
        <w:t>based on market rules designed for other types of resources</w:t>
      </w:r>
      <w:r w:rsidR="00A97F5B">
        <w:t xml:space="preserve"> limit participation of electric storage resources and lead to ineffi</w:t>
      </w:r>
      <w:r w:rsidR="005D0FB0">
        <w:softHyphen/>
      </w:r>
      <w:r w:rsidR="00A97F5B">
        <w:t xml:space="preserve">cient use of resources. </w:t>
      </w:r>
      <w:r w:rsidR="002F562D">
        <w:t xml:space="preserve"> </w:t>
      </w:r>
      <w:r w:rsidR="00A97F5B">
        <w:t xml:space="preserve">Similarly, the NOPR points out </w:t>
      </w:r>
      <w:proofErr w:type="gramStart"/>
      <w:r w:rsidR="00A97F5B">
        <w:t>that</w:t>
      </w:r>
      <w:proofErr w:type="gramEnd"/>
      <w:r w:rsidR="00A97F5B">
        <w:t xml:space="preserve"> </w:t>
      </w:r>
      <w:r w:rsidR="0051735B">
        <w:t>DER</w:t>
      </w:r>
      <w:r w:rsidR="00163F23">
        <w:t xml:space="preserve"> aggregat</w:t>
      </w:r>
      <w:r w:rsidR="00D245AC">
        <w:t>ors</w:t>
      </w:r>
      <w:r w:rsidR="00163F23">
        <w:t xml:space="preserve"> </w:t>
      </w:r>
      <w:r w:rsidR="009A5A28">
        <w:t xml:space="preserve">may be able to offer </w:t>
      </w:r>
      <w:r w:rsidR="00163F23" w:rsidRPr="00691205">
        <w:t xml:space="preserve">a fuller spectrum of products </w:t>
      </w:r>
      <w:r w:rsidR="009A5A28" w:rsidRPr="003769E8">
        <w:t xml:space="preserve">and services </w:t>
      </w:r>
      <w:r w:rsidR="00163F23" w:rsidRPr="00691205">
        <w:t>in wholesale electric markets</w:t>
      </w:r>
      <w:r w:rsidR="009A5A28">
        <w:t xml:space="preserve"> than tar</w:t>
      </w:r>
      <w:r w:rsidR="005D0FB0">
        <w:softHyphen/>
      </w:r>
      <w:r w:rsidR="009A5A28">
        <w:t>iffs currently allow</w:t>
      </w:r>
      <w:r w:rsidR="00163F23">
        <w:t>.</w:t>
      </w:r>
    </w:p>
    <w:p w:rsidR="0073363F" w:rsidRDefault="0073363F" w:rsidP="00DF6F4C">
      <w:pPr>
        <w:pStyle w:val="TEXTSTYLE"/>
      </w:pPr>
      <w:r>
        <w:tab/>
        <w:t xml:space="preserve">The Commission proposes to require RTOs/ISOs to revise their tariffs to establish participation models for electric storage resources and </w:t>
      </w:r>
      <w:r w:rsidR="0051735B">
        <w:t>DER</w:t>
      </w:r>
      <w:r>
        <w:t xml:space="preserve"> aggregators that recognize and accommodate their physical and operational characteristics with appropriate </w:t>
      </w:r>
      <w:r w:rsidR="00191CE3">
        <w:t>tariff revisions i</w:t>
      </w:r>
      <w:r w:rsidR="00436C70">
        <w:t>n</w:t>
      </w:r>
      <w:r w:rsidR="0034239C">
        <w:t xml:space="preserve"> the </w:t>
      </w:r>
      <w:r>
        <w:t>wholesale electric market</w:t>
      </w:r>
      <w:r w:rsidR="0034239C">
        <w:t>.</w:t>
      </w:r>
      <w:r>
        <w:t xml:space="preserve"> </w:t>
      </w:r>
    </w:p>
    <w:p w:rsidR="00DF6F4C" w:rsidRDefault="00DF6F4C" w:rsidP="00DF6F4C">
      <w:pPr>
        <w:pStyle w:val="TEXTSTYLE"/>
      </w:pPr>
      <w:r>
        <w:tab/>
        <w:t>The Public Utilities Commission of Ohio (PUCO) respectfully submits the follow</w:t>
      </w:r>
      <w:r w:rsidR="005D0FB0">
        <w:softHyphen/>
      </w:r>
      <w:r>
        <w:t xml:space="preserve">ing comments </w:t>
      </w:r>
      <w:r w:rsidR="00782541">
        <w:t>in support of efforts to remove</w:t>
      </w:r>
      <w:r w:rsidR="009A49C4">
        <w:t xml:space="preserve"> barriers to wholesale market participation for electric storage resources and </w:t>
      </w:r>
      <w:r w:rsidR="0051735B">
        <w:t>DER</w:t>
      </w:r>
      <w:r w:rsidR="009A49C4">
        <w:t xml:space="preserve"> aggregat</w:t>
      </w:r>
      <w:r w:rsidR="00D245AC">
        <w:t>or</w:t>
      </w:r>
      <w:r w:rsidR="009A49C4">
        <w:t>s.</w:t>
      </w:r>
      <w:r>
        <w:t xml:space="preserve">    </w:t>
      </w:r>
    </w:p>
    <w:p w:rsidR="00DF6F4C" w:rsidRDefault="00DF6F4C" w:rsidP="00DF6F4C">
      <w:pPr>
        <w:pStyle w:val="Heading1"/>
      </w:pPr>
      <w:bookmarkStart w:id="3" w:name="_Toc364859459"/>
      <w:bookmarkStart w:id="4" w:name="_Toc474740264"/>
      <w:r>
        <w:lastRenderedPageBreak/>
        <w:t>DISCUSSION</w:t>
      </w:r>
      <w:bookmarkEnd w:id="3"/>
      <w:bookmarkEnd w:id="4"/>
    </w:p>
    <w:p w:rsidR="00DF6F4C" w:rsidRDefault="00DF6F4C" w:rsidP="002F562D">
      <w:pPr>
        <w:pStyle w:val="Heading2"/>
      </w:pPr>
      <w:bookmarkStart w:id="5" w:name="_Toc364859460"/>
      <w:bookmarkStart w:id="6" w:name="_Toc474740265"/>
      <w:r>
        <w:t>General Remarks</w:t>
      </w:r>
      <w:bookmarkEnd w:id="5"/>
      <w:bookmarkEnd w:id="6"/>
    </w:p>
    <w:p w:rsidR="00C64535" w:rsidRDefault="002F562D" w:rsidP="002F562D">
      <w:pPr>
        <w:pStyle w:val="Textstyle0"/>
      </w:pPr>
      <w:r>
        <w:rPr>
          <w:lang w:val="en-US"/>
        </w:rPr>
        <w:tab/>
      </w:r>
      <w:r w:rsidR="004F1005">
        <w:t xml:space="preserve">The </w:t>
      </w:r>
      <w:r w:rsidR="00E567F9">
        <w:t>PUCO</w:t>
      </w:r>
      <w:r w:rsidR="004F1005">
        <w:t xml:space="preserve"> applauds the Commission’s initiative to remove barriers in the RTO/ISO </w:t>
      </w:r>
      <w:r w:rsidR="0051735B">
        <w:t xml:space="preserve">organized </w:t>
      </w:r>
      <w:r w:rsidR="004F1005">
        <w:t xml:space="preserve">wholesale markets to participation by electric storage resources and </w:t>
      </w:r>
      <w:r w:rsidR="0051735B">
        <w:t>DER</w:t>
      </w:r>
      <w:r w:rsidR="004F1005">
        <w:t xml:space="preserve"> aggregat</w:t>
      </w:r>
      <w:r w:rsidR="00D245AC">
        <w:t>or</w:t>
      </w:r>
      <w:r w:rsidR="004F1005">
        <w:t xml:space="preserve">s. </w:t>
      </w:r>
      <w:r>
        <w:rPr>
          <w:lang w:val="en-US"/>
        </w:rPr>
        <w:t xml:space="preserve"> </w:t>
      </w:r>
      <w:r w:rsidR="004F1005">
        <w:t>The Commission’s recognition that emerging technologies can contribute more fully to a competitive and fully functioning marketplace is timely.</w:t>
      </w:r>
      <w:r>
        <w:rPr>
          <w:lang w:val="en-US"/>
        </w:rPr>
        <w:t xml:space="preserve"> </w:t>
      </w:r>
      <w:r w:rsidR="004F1005">
        <w:t xml:space="preserve"> We agree with the Commission that “e</w:t>
      </w:r>
      <w:r w:rsidR="004F1005" w:rsidRPr="004F1005">
        <w:t>ffective integration of electric storage resources into the organized wholesale electric markets would enhance competition and, in turn, help to ensure that these markets produce just and reasonable rates.</w:t>
      </w:r>
      <w:r w:rsidR="004F1005">
        <w:t>”</w:t>
      </w:r>
      <w:r w:rsidR="004F1005">
        <w:rPr>
          <w:rStyle w:val="FootnoteReference"/>
          <w:szCs w:val="26"/>
        </w:rPr>
        <w:footnoteReference w:id="1"/>
      </w:r>
      <w:r w:rsidR="004F1005">
        <w:t xml:space="preserve"> </w:t>
      </w:r>
      <w:r>
        <w:rPr>
          <w:lang w:val="en-US"/>
        </w:rPr>
        <w:t xml:space="preserve"> </w:t>
      </w:r>
      <w:r w:rsidR="00C64535">
        <w:t xml:space="preserve">For </w:t>
      </w:r>
      <w:r w:rsidR="0051735B">
        <w:t>DER</w:t>
      </w:r>
      <w:r w:rsidR="001A6589">
        <w:t xml:space="preserve"> aggregators</w:t>
      </w:r>
      <w:r w:rsidR="00C64535">
        <w:t>, current restrictions can exclude resources as too small to participate in the market, constrain resources to participate solely as demand response resources and/or impose “</w:t>
      </w:r>
      <w:r w:rsidR="00C64535" w:rsidRPr="00C64535">
        <w:t>prohibitively expensive or otherwise burdensome requirements</w:t>
      </w:r>
      <w:r w:rsidR="00C64535">
        <w:t>.”</w:t>
      </w:r>
      <w:r w:rsidR="00C64535">
        <w:rPr>
          <w:rStyle w:val="FootnoteReference"/>
          <w:szCs w:val="26"/>
        </w:rPr>
        <w:footnoteReference w:id="2"/>
      </w:r>
    </w:p>
    <w:p w:rsidR="005E2EA7" w:rsidRDefault="002F562D" w:rsidP="002F562D">
      <w:pPr>
        <w:pStyle w:val="Textstyle0"/>
        <w:rPr>
          <w:lang w:val="en-US"/>
        </w:rPr>
      </w:pPr>
      <w:r>
        <w:rPr>
          <w:lang w:val="en-US"/>
        </w:rPr>
        <w:tab/>
      </w:r>
      <w:r w:rsidR="004F1005">
        <w:t xml:space="preserve">The </w:t>
      </w:r>
      <w:r w:rsidR="0051735B">
        <w:t>PUCO</w:t>
      </w:r>
      <w:r w:rsidR="004F1005">
        <w:t xml:space="preserve"> agrees that </w:t>
      </w:r>
      <w:r w:rsidR="00FB43F1">
        <w:t>current tariffs in some RTO/ISOs do not fully contemplate the operational characteristics of storage</w:t>
      </w:r>
      <w:r w:rsidR="001A6589">
        <w:t xml:space="preserve"> and DER aggregators</w:t>
      </w:r>
      <w:r w:rsidR="00FB43F1">
        <w:t xml:space="preserve"> and limit the way those resources might participate in the </w:t>
      </w:r>
      <w:r w:rsidR="0051735B">
        <w:t xml:space="preserve">organized </w:t>
      </w:r>
      <w:r w:rsidR="00FB43F1">
        <w:t xml:space="preserve">wholesale market. </w:t>
      </w:r>
      <w:r w:rsidR="00493CD4">
        <w:t xml:space="preserve"> </w:t>
      </w:r>
      <w:r w:rsidR="005E2EA7">
        <w:t xml:space="preserve">As the Commission contemplates changes to facilitate </w:t>
      </w:r>
      <w:r w:rsidR="00436C70">
        <w:t xml:space="preserve">the </w:t>
      </w:r>
      <w:r w:rsidR="005E2EA7">
        <w:t xml:space="preserve">full participation of storage and DER </w:t>
      </w:r>
      <w:r w:rsidR="001A6589">
        <w:t>aggregators</w:t>
      </w:r>
      <w:r w:rsidR="005E2EA7">
        <w:t xml:space="preserve"> in the wholesale market, the </w:t>
      </w:r>
      <w:r w:rsidR="0051735B">
        <w:t>PUCO</w:t>
      </w:r>
      <w:r w:rsidR="005E2EA7">
        <w:t xml:space="preserve"> appreciates </w:t>
      </w:r>
      <w:r w:rsidR="0051735B">
        <w:t>the Commission’s recognition of</w:t>
      </w:r>
      <w:r w:rsidR="005E2EA7">
        <w:t xml:space="preserve"> state authority over retail markets. </w:t>
      </w:r>
      <w:r>
        <w:rPr>
          <w:lang w:val="en-US"/>
        </w:rPr>
        <w:t xml:space="preserve"> </w:t>
      </w:r>
      <w:r w:rsidR="005E2EA7">
        <w:t xml:space="preserve">Our </w:t>
      </w:r>
      <w:r w:rsidR="00DD6442">
        <w:t xml:space="preserve">federal </w:t>
      </w:r>
      <w:r w:rsidR="005E2EA7">
        <w:t xml:space="preserve">system </w:t>
      </w:r>
      <w:r w:rsidR="00DD6442">
        <w:t xml:space="preserve">admirably </w:t>
      </w:r>
      <w:r w:rsidR="0051735B">
        <w:t xml:space="preserve">takes into account </w:t>
      </w:r>
      <w:r w:rsidR="005E2EA7">
        <w:t xml:space="preserve">state law, </w:t>
      </w:r>
      <w:r w:rsidR="005E2EA7">
        <w:lastRenderedPageBreak/>
        <w:t xml:space="preserve">regulation and tariff </w:t>
      </w:r>
      <w:r w:rsidR="0051735B">
        <w:t xml:space="preserve">oversight of </w:t>
      </w:r>
      <w:r w:rsidR="00436C70">
        <w:t xml:space="preserve">all the </w:t>
      </w:r>
      <w:r w:rsidR="005E2EA7">
        <w:t>elements of the distribut</w:t>
      </w:r>
      <w:r w:rsidR="0051735B">
        <w:t xml:space="preserve">ion system. </w:t>
      </w:r>
      <w:r>
        <w:rPr>
          <w:lang w:val="en-US"/>
        </w:rPr>
        <w:t xml:space="preserve"> </w:t>
      </w:r>
      <w:r w:rsidR="0051735B">
        <w:t xml:space="preserve">The PUCO </w:t>
      </w:r>
      <w:r w:rsidR="005E2EA7">
        <w:t>notes the ways in which the Commission proposes to honor differences among states and to preserve the authority of states in matters pertaining to retail markets</w:t>
      </w:r>
      <w:r w:rsidR="00DD6442">
        <w:t xml:space="preserve">. Such prudence contributes to a well-functioning </w:t>
      </w:r>
      <w:r w:rsidR="0051735B">
        <w:t xml:space="preserve">energy </w:t>
      </w:r>
      <w:r w:rsidR="00DD6442">
        <w:t>market that is at once complementary and interrelated.</w:t>
      </w:r>
    </w:p>
    <w:p w:rsidR="00B512C5" w:rsidRPr="00B512C5" w:rsidRDefault="00B512C5" w:rsidP="002F562D">
      <w:pPr>
        <w:pStyle w:val="Textstyle0"/>
        <w:rPr>
          <w:lang w:val="en-US"/>
        </w:rPr>
      </w:pPr>
    </w:p>
    <w:p w:rsidR="0051735B" w:rsidRPr="0051735B" w:rsidRDefault="0051735B" w:rsidP="002F562D">
      <w:pPr>
        <w:pStyle w:val="Heading2"/>
      </w:pPr>
      <w:bookmarkStart w:id="7" w:name="_Toc474740266"/>
      <w:r w:rsidRPr="0051735B">
        <w:t>Wholesale Market Participation Models</w:t>
      </w:r>
      <w:bookmarkEnd w:id="7"/>
    </w:p>
    <w:p w:rsidR="00691205" w:rsidRPr="000567A5" w:rsidRDefault="0051735B" w:rsidP="00392930">
      <w:pPr>
        <w:pStyle w:val="Textstyle0"/>
      </w:pPr>
      <w:r>
        <w:rPr>
          <w:b/>
        </w:rPr>
        <w:tab/>
      </w:r>
      <w:r w:rsidR="00691205" w:rsidRPr="000567A5">
        <w:t xml:space="preserve">The PUCO supports the Commission’s efforts to require participation models for electric storage and DER </w:t>
      </w:r>
      <w:r w:rsidR="00691205">
        <w:t>aggreg</w:t>
      </w:r>
      <w:r w:rsidR="001A6589">
        <w:t>ators</w:t>
      </w:r>
      <w:r w:rsidR="00691205">
        <w:t xml:space="preserve"> </w:t>
      </w:r>
      <w:r w:rsidR="00691205" w:rsidRPr="000567A5">
        <w:t xml:space="preserve">in the organized wholesale market under RTO/ISO tariffs and market rules.  Products provided by these resources will offer supply and demand options that are not widely available.  RTO/ISOs will have a greater ability to manage </w:t>
      </w:r>
      <w:r w:rsidR="00691205">
        <w:t xml:space="preserve">the </w:t>
      </w:r>
      <w:r w:rsidR="00691205" w:rsidRPr="000567A5">
        <w:t xml:space="preserve">operations of </w:t>
      </w:r>
      <w:r w:rsidR="00691205">
        <w:t>the bulk power system</w:t>
      </w:r>
      <w:r w:rsidR="00691205" w:rsidRPr="000567A5">
        <w:t xml:space="preserve"> with a diverse set of resources operating under the same tariff requirements.</w:t>
      </w:r>
      <w:r w:rsidR="00392930">
        <w:rPr>
          <w:lang w:val="en-US"/>
        </w:rPr>
        <w:t xml:space="preserve"> </w:t>
      </w:r>
      <w:r w:rsidR="00691205" w:rsidRPr="000567A5">
        <w:t xml:space="preserve"> The PUCO agrees with the Commission’s statement that newer technologies like electric storage resources are “…capable of faster start up times and higher ramp rates than traditional synchronous generators and are therefore able to provide ramping, spinning, and regulating reserve services without already being online and running.”</w:t>
      </w:r>
      <w:r w:rsidR="00691205" w:rsidRPr="000567A5">
        <w:rPr>
          <w:rStyle w:val="FootnoteReference"/>
          <w:szCs w:val="26"/>
        </w:rPr>
        <w:footnoteReference w:id="3"/>
      </w:r>
    </w:p>
    <w:p w:rsidR="00691205" w:rsidRDefault="00392930" w:rsidP="00392930">
      <w:pPr>
        <w:pStyle w:val="Textstyle0"/>
        <w:rPr>
          <w:lang w:val="en-US"/>
        </w:rPr>
      </w:pPr>
      <w:r>
        <w:rPr>
          <w:lang w:val="en-US"/>
        </w:rPr>
        <w:tab/>
      </w:r>
      <w:r w:rsidR="00691205" w:rsidRPr="000567A5">
        <w:t xml:space="preserve">The PUCO believes that customers, in turn, will have a greater opportunity to manage their demand for electricity while realizing economic benefits.  </w:t>
      </w:r>
      <w:r w:rsidR="001A6589">
        <w:t>E</w:t>
      </w:r>
      <w:r w:rsidR="00691205" w:rsidRPr="000567A5">
        <w:t xml:space="preserve">lectric storage </w:t>
      </w:r>
      <w:r w:rsidR="003769E8">
        <w:t>resources</w:t>
      </w:r>
      <w:r w:rsidR="00691205" w:rsidRPr="000567A5">
        <w:t xml:space="preserve"> and DER aggregators will likely develop new and innovative ways to incent </w:t>
      </w:r>
      <w:r w:rsidR="00691205">
        <w:t xml:space="preserve">customer </w:t>
      </w:r>
      <w:r w:rsidR="00691205" w:rsidRPr="000567A5">
        <w:t xml:space="preserve">participation in wholesale markets </w:t>
      </w:r>
      <w:r w:rsidR="00691205">
        <w:t xml:space="preserve">for potential economic benefits.  </w:t>
      </w:r>
      <w:r w:rsidR="003769E8">
        <w:t xml:space="preserve">On the </w:t>
      </w:r>
      <w:r w:rsidR="003769E8">
        <w:lastRenderedPageBreak/>
        <w:t xml:space="preserve">retail level, </w:t>
      </w:r>
      <w:r w:rsidR="003769E8" w:rsidRPr="003769E8">
        <w:t>the PUCO has begun</w:t>
      </w:r>
      <w:r w:rsidR="00691205" w:rsidRPr="003769E8">
        <w:t xml:space="preserve"> a grid modernization inquiry that will consider the reliability, environmental, economic and other benefits for the consumers in our state.</w:t>
      </w:r>
      <w:r w:rsidR="00691205" w:rsidRPr="000567A5">
        <w:t xml:space="preserve">  </w:t>
      </w:r>
    </w:p>
    <w:p w:rsidR="00B512C5" w:rsidRPr="00B512C5" w:rsidRDefault="00B512C5" w:rsidP="00392930">
      <w:pPr>
        <w:pStyle w:val="Textstyle0"/>
        <w:rPr>
          <w:lang w:val="en-US"/>
        </w:rPr>
      </w:pPr>
    </w:p>
    <w:p w:rsidR="0051735B" w:rsidRDefault="0051735B" w:rsidP="002F562D">
      <w:pPr>
        <w:pStyle w:val="Heading2"/>
      </w:pPr>
      <w:bookmarkStart w:id="8" w:name="_Toc474740267"/>
      <w:r w:rsidRPr="000567A5">
        <w:t>Jurisdiction</w:t>
      </w:r>
      <w:bookmarkEnd w:id="8"/>
    </w:p>
    <w:p w:rsidR="00691205" w:rsidRDefault="00392930" w:rsidP="00392930">
      <w:pPr>
        <w:pStyle w:val="Textstyle0"/>
      </w:pPr>
      <w:r>
        <w:rPr>
          <w:lang w:val="en-US"/>
        </w:rPr>
        <w:tab/>
      </w:r>
      <w:r w:rsidR="003911C8" w:rsidRPr="003911C8">
        <w:t>As stated previously, the PUCO appreciates the NOPR’s delineation between wholesale and retail activities, especially in instances where a customer uses a behind-the-meter generator in conjunction with a storage device.</w:t>
      </w:r>
      <w:r w:rsidR="003911C8" w:rsidRPr="003911C8">
        <w:rPr>
          <w:vertAlign w:val="superscript"/>
        </w:rPr>
        <w:footnoteReference w:id="4"/>
      </w:r>
      <w:r w:rsidR="003911C8" w:rsidRPr="003911C8">
        <w:t xml:space="preserve">  Furthermore, we strongly agree with FERC’s proposal “…to limit the participation of resources in the organized wholesale electric markets through a distributed energy resource aggregator that are receiving compensation for the same services as part of another program.”</w:t>
      </w:r>
      <w:r w:rsidR="003911C8" w:rsidRPr="003911C8">
        <w:rPr>
          <w:vertAlign w:val="superscript"/>
        </w:rPr>
        <w:footnoteReference w:id="5"/>
      </w:r>
      <w:r w:rsidR="003911C8" w:rsidRPr="003911C8">
        <w:t xml:space="preserve">  </w:t>
      </w:r>
      <w:r w:rsidR="00691205" w:rsidRPr="0051735B">
        <w:t xml:space="preserve">These proposals are appropriate and essential to maintaining the current jurisdictional boundaries between state and federal authority over wholesale and retail </w:t>
      </w:r>
      <w:r w:rsidR="00691205">
        <w:t xml:space="preserve">competitive </w:t>
      </w:r>
      <w:r w:rsidR="00691205" w:rsidRPr="0051735B">
        <w:t xml:space="preserve">markets. </w:t>
      </w:r>
      <w:r w:rsidR="00691205">
        <w:rPr>
          <w:rStyle w:val="FootnoteReference"/>
          <w:szCs w:val="26"/>
        </w:rPr>
        <w:footnoteReference w:id="6"/>
      </w:r>
    </w:p>
    <w:p w:rsidR="00691205" w:rsidRPr="0051735B" w:rsidRDefault="00392930" w:rsidP="00392930">
      <w:pPr>
        <w:pStyle w:val="Textstyle0"/>
      </w:pPr>
      <w:r>
        <w:rPr>
          <w:lang w:val="en-US"/>
        </w:rPr>
        <w:tab/>
      </w:r>
      <w:r w:rsidR="00691205" w:rsidRPr="0051735B">
        <w:t xml:space="preserve">Accordingly, the PUCO has authority to review and approve tariffs regarding </w:t>
      </w:r>
      <w:r w:rsidR="00691205">
        <w:t xml:space="preserve">electric </w:t>
      </w:r>
      <w:r w:rsidR="00691205" w:rsidRPr="0051735B">
        <w:t>storage and DER</w:t>
      </w:r>
      <w:r w:rsidR="001A6589">
        <w:t>s</w:t>
      </w:r>
      <w:r w:rsidR="00691205" w:rsidRPr="0051735B">
        <w:t xml:space="preserve"> pursuant to Ohio law. </w:t>
      </w:r>
      <w:r>
        <w:rPr>
          <w:lang w:val="en-US"/>
        </w:rPr>
        <w:t xml:space="preserve"> </w:t>
      </w:r>
      <w:r w:rsidR="00691205" w:rsidRPr="0051735B">
        <w:t xml:space="preserve">The PUCO </w:t>
      </w:r>
      <w:r w:rsidR="00691205">
        <w:t>reviews net-metering tariffs from Ohio’s</w:t>
      </w:r>
      <w:r w:rsidR="00674C8D">
        <w:t xml:space="preserve"> electric</w:t>
      </w:r>
      <w:r w:rsidR="00691205">
        <w:t xml:space="preserve"> distribution utilities (</w:t>
      </w:r>
      <w:r w:rsidR="00691205" w:rsidRPr="0051735B">
        <w:t>EDUs</w:t>
      </w:r>
      <w:r w:rsidR="00691205">
        <w:t>)</w:t>
      </w:r>
      <w:r w:rsidR="00691205" w:rsidRPr="0051735B">
        <w:t xml:space="preserve"> pursuant to Ohio Revised Code 4928 and Ohio Administrative Code 4901:1-</w:t>
      </w:r>
      <w:r w:rsidR="00691205">
        <w:t>10-28</w:t>
      </w:r>
      <w:r w:rsidR="00691205" w:rsidRPr="0051735B">
        <w:t xml:space="preserve">.  The Ohio net-metering </w:t>
      </w:r>
      <w:r w:rsidR="00691205">
        <w:t xml:space="preserve">requirements </w:t>
      </w:r>
      <w:r w:rsidR="00691205" w:rsidRPr="0051735B">
        <w:t xml:space="preserve">allow electric utility customers to utilize interconnected generating equipment </w:t>
      </w:r>
      <w:r w:rsidR="00691205">
        <w:t xml:space="preserve">that is sized primarily </w:t>
      </w:r>
      <w:r w:rsidR="00691205" w:rsidRPr="0051735B">
        <w:t xml:space="preserve">to offset part or all of their electricity requirements through kilowatt-hour </w:t>
      </w:r>
      <w:r w:rsidR="00691205" w:rsidRPr="0051735B">
        <w:lastRenderedPageBreak/>
        <w:t xml:space="preserve">(kWh) credits.  </w:t>
      </w:r>
      <w:r w:rsidR="00691205">
        <w:t>Currently, n</w:t>
      </w:r>
      <w:r w:rsidR="00691205" w:rsidRPr="0051735B">
        <w:t>et metering customers in Ohio are not reimbursed for distribution</w:t>
      </w:r>
      <w:r w:rsidR="00691205">
        <w:t>,</w:t>
      </w:r>
      <w:r w:rsidR="00691205" w:rsidRPr="0051735B">
        <w:t xml:space="preserve"> transmission</w:t>
      </w:r>
      <w:r w:rsidR="00691205">
        <w:t>, or ancillary</w:t>
      </w:r>
      <w:r w:rsidR="00691205" w:rsidRPr="0051735B">
        <w:t xml:space="preserve"> services.</w:t>
      </w:r>
      <w:r w:rsidR="00691205" w:rsidRPr="0051735B">
        <w:rPr>
          <w:rStyle w:val="FootnoteReference"/>
          <w:szCs w:val="26"/>
        </w:rPr>
        <w:footnoteReference w:id="7"/>
      </w:r>
    </w:p>
    <w:p w:rsidR="00691205" w:rsidRDefault="00392930" w:rsidP="00392930">
      <w:pPr>
        <w:pStyle w:val="Textstyle0"/>
      </w:pPr>
      <w:r>
        <w:rPr>
          <w:lang w:val="en-US"/>
        </w:rPr>
        <w:tab/>
      </w:r>
      <w:r w:rsidR="00691205" w:rsidRPr="0051735B">
        <w:t>Furthermore, the PUCO</w:t>
      </w:r>
      <w:r w:rsidR="00691205">
        <w:t xml:space="preserve"> generally</w:t>
      </w:r>
      <w:r w:rsidR="00691205" w:rsidRPr="0051735B">
        <w:t xml:space="preserve"> has jurisdiction over distribution-level interconnection processes both in</w:t>
      </w:r>
      <w:r w:rsidR="0087655D">
        <w:t xml:space="preserve"> </w:t>
      </w:r>
      <w:r w:rsidR="00691205" w:rsidRPr="0051735B">
        <w:t>front</w:t>
      </w:r>
      <w:r w:rsidR="0087655D">
        <w:t xml:space="preserve"> of and behind the </w:t>
      </w:r>
      <w:r w:rsidR="00691205" w:rsidRPr="0051735B">
        <w:t xml:space="preserve">meter pursuant to 4901:1-22 of the Ohio Administrative Code.  Each EDU in the state of Ohio is required to maintain PUCO-approved tariffs that include the </w:t>
      </w:r>
      <w:r w:rsidR="00691205">
        <w:t xml:space="preserve">contractual guidelines, administrative </w:t>
      </w:r>
      <w:r w:rsidR="00691205" w:rsidRPr="0051735B">
        <w:t xml:space="preserve">procedures and technical requirements for distribution-level interconnection </w:t>
      </w:r>
      <w:r w:rsidR="00691205">
        <w:t xml:space="preserve">service </w:t>
      </w:r>
      <w:r w:rsidR="00691205" w:rsidRPr="0051735B">
        <w:t>on a first-come, first</w:t>
      </w:r>
      <w:r w:rsidR="00226154">
        <w:t>-</w:t>
      </w:r>
      <w:r w:rsidR="00691205" w:rsidRPr="0051735B">
        <w:t>served basis.</w:t>
      </w:r>
      <w:r w:rsidR="00691205" w:rsidRPr="0051735B">
        <w:rPr>
          <w:rStyle w:val="FootnoteReference"/>
          <w:szCs w:val="26"/>
        </w:rPr>
        <w:footnoteReference w:id="8"/>
      </w:r>
    </w:p>
    <w:p w:rsidR="00691205" w:rsidRPr="006B04A7" w:rsidRDefault="00392930" w:rsidP="00392930">
      <w:pPr>
        <w:pStyle w:val="Textstyle0"/>
        <w:rPr>
          <w:rFonts w:eastAsiaTheme="minorHAnsi"/>
        </w:rPr>
      </w:pPr>
      <w:r>
        <w:rPr>
          <w:lang w:val="en-US"/>
        </w:rPr>
        <w:tab/>
      </w:r>
      <w:r w:rsidR="00691205" w:rsidRPr="008629BF">
        <w:t xml:space="preserve">In compliance with </w:t>
      </w:r>
      <w:r w:rsidR="00691205">
        <w:t>the Public Utilities Regulatory Policies Act (</w:t>
      </w:r>
      <w:r w:rsidR="00691205" w:rsidRPr="008629BF">
        <w:t>PURPA</w:t>
      </w:r>
      <w:r w:rsidR="00691205">
        <w:t>),</w:t>
      </w:r>
      <w:r w:rsidR="00691205">
        <w:rPr>
          <w:rStyle w:val="FootnoteReference"/>
          <w:szCs w:val="26"/>
        </w:rPr>
        <w:footnoteReference w:id="9"/>
      </w:r>
      <w:r w:rsidR="00691205" w:rsidRPr="008629BF">
        <w:t xml:space="preserve"> the PUCO has ratemaking authority over the purchase and sale of energy and/or capacity between a Qualifying Facility (QF) and an EDU.  Chapter 4901:1-10-34 of the Ohio Administrative Code establishes a market-based rate for the EDUs</w:t>
      </w:r>
      <w:r w:rsidR="00D64EEF">
        <w:t>’</w:t>
      </w:r>
      <w:r w:rsidR="00691205" w:rsidRPr="008629BF">
        <w:t xml:space="preserve"> QF purchase obligation under PU</w:t>
      </w:r>
      <w:r w:rsidR="00691205">
        <w:t>R</w:t>
      </w:r>
      <w:r w:rsidR="00691205" w:rsidRPr="008629BF">
        <w:t>PA.</w:t>
      </w:r>
      <w:r w:rsidR="00691205">
        <w:t xml:space="preserve"> </w:t>
      </w:r>
      <w:r>
        <w:rPr>
          <w:lang w:val="en-US"/>
        </w:rPr>
        <w:t xml:space="preserve"> </w:t>
      </w:r>
      <w:r w:rsidR="00691205">
        <w:t>PURPA establishes that the state regulatory authority is to review rates for sales provided to QF.</w:t>
      </w:r>
      <w:r w:rsidR="00691205">
        <w:rPr>
          <w:rStyle w:val="FootnoteReference"/>
          <w:szCs w:val="26"/>
        </w:rPr>
        <w:footnoteReference w:id="10"/>
      </w:r>
      <w:r w:rsidR="00691205" w:rsidRPr="008629BF">
        <w:t xml:space="preserve"> </w:t>
      </w:r>
    </w:p>
    <w:p w:rsidR="00691205" w:rsidRPr="003769E8" w:rsidRDefault="00392930" w:rsidP="00392930">
      <w:pPr>
        <w:pStyle w:val="Textstyle0"/>
      </w:pPr>
      <w:r>
        <w:rPr>
          <w:lang w:val="en-US"/>
        </w:rPr>
        <w:tab/>
      </w:r>
      <w:r w:rsidR="00691205" w:rsidRPr="0051735B">
        <w:t>The net metering</w:t>
      </w:r>
      <w:r w:rsidR="00691205">
        <w:t>, QF,</w:t>
      </w:r>
      <w:r w:rsidR="00691205" w:rsidRPr="0051735B">
        <w:t xml:space="preserve"> and distribution level interconnection rules and tariffs are properly under the jurisdiction of the </w:t>
      </w:r>
      <w:r w:rsidR="00691205">
        <w:t xml:space="preserve">state of Ohio and the </w:t>
      </w:r>
      <w:r w:rsidR="00691205" w:rsidRPr="0051735B">
        <w:t xml:space="preserve">PUCO.  </w:t>
      </w:r>
      <w:r w:rsidR="00691205">
        <w:t xml:space="preserve">The requirements </w:t>
      </w:r>
      <w:r w:rsidR="00691205" w:rsidRPr="0051735B">
        <w:t xml:space="preserve">set </w:t>
      </w:r>
      <w:r w:rsidR="00691205" w:rsidRPr="0051735B">
        <w:lastRenderedPageBreak/>
        <w:t>the standards for the participation of</w:t>
      </w:r>
      <w:r w:rsidR="00691205">
        <w:t xml:space="preserve"> these </w:t>
      </w:r>
      <w:r w:rsidR="00691205" w:rsidRPr="0051735B">
        <w:t xml:space="preserve">resources by retail customers in Ohio.  The PUCO will continue to review and approve the retail tariffs consistent with Ohio laws and regulation regardless of </w:t>
      </w:r>
      <w:r w:rsidR="00691205">
        <w:t xml:space="preserve">the Commission’s initiatives in </w:t>
      </w:r>
      <w:r w:rsidR="00691205" w:rsidRPr="0051735B">
        <w:t xml:space="preserve">the </w:t>
      </w:r>
      <w:r w:rsidR="00691205">
        <w:t xml:space="preserve">organized </w:t>
      </w:r>
      <w:r w:rsidR="00691205" w:rsidRPr="0051735B">
        <w:t xml:space="preserve">wholesale market. </w:t>
      </w:r>
    </w:p>
    <w:p w:rsidR="0051735B" w:rsidRDefault="0051735B" w:rsidP="002F562D">
      <w:pPr>
        <w:pStyle w:val="Heading2"/>
      </w:pPr>
      <w:bookmarkStart w:id="9" w:name="_Toc474740268"/>
      <w:r w:rsidRPr="0051735B">
        <w:t>Compensation Eligibility and Bidding Parameters</w:t>
      </w:r>
      <w:bookmarkEnd w:id="9"/>
    </w:p>
    <w:p w:rsidR="006B04A7" w:rsidRPr="0051735B" w:rsidRDefault="00392930" w:rsidP="00392930">
      <w:pPr>
        <w:pStyle w:val="Textstyle0"/>
      </w:pPr>
      <w:r>
        <w:rPr>
          <w:lang w:val="en-US"/>
        </w:rPr>
        <w:tab/>
      </w:r>
      <w:r w:rsidR="006B04A7" w:rsidRPr="0051735B">
        <w:t>The PUCO concurs that all energy and capacity</w:t>
      </w:r>
      <w:r w:rsidR="006B04A7">
        <w:t xml:space="preserve"> sales</w:t>
      </w:r>
      <w:r w:rsidR="006B04A7" w:rsidRPr="0051735B">
        <w:t xml:space="preserve"> that are transacted for the purpose of wholesale (i.e. sales-for-resale) should be compensated at the appropriate wholesale market price.</w:t>
      </w:r>
      <w:r w:rsidR="006B04A7" w:rsidRPr="0051735B">
        <w:rPr>
          <w:rStyle w:val="FootnoteReference"/>
          <w:szCs w:val="26"/>
        </w:rPr>
        <w:footnoteReference w:id="11"/>
      </w:r>
      <w:r w:rsidR="006B04A7" w:rsidRPr="0051735B">
        <w:t xml:space="preserve">  The PUCO supports </w:t>
      </w:r>
      <w:r w:rsidR="006B04A7">
        <w:t>the NOPR’s requirement</w:t>
      </w:r>
      <w:r w:rsidR="006B04A7" w:rsidRPr="0051735B">
        <w:t xml:space="preserve"> to ensure that electric storage and DER </w:t>
      </w:r>
      <w:r w:rsidR="00674C8D">
        <w:t xml:space="preserve">aggregators </w:t>
      </w:r>
      <w:r w:rsidR="006B04A7" w:rsidRPr="0051735B">
        <w:t xml:space="preserve">can set the wholesale market clearing price as both a wholesale seller and wholesale buyer.  We also agree with </w:t>
      </w:r>
      <w:r w:rsidR="006B04A7">
        <w:t xml:space="preserve">the NOPR that an electric storage resource or a DER </w:t>
      </w:r>
      <w:r w:rsidR="00674C8D">
        <w:t xml:space="preserve">aggregator </w:t>
      </w:r>
      <w:r w:rsidR="00226154">
        <w:t xml:space="preserve">should </w:t>
      </w:r>
      <w:r w:rsidR="006B04A7">
        <w:t>be allowed</w:t>
      </w:r>
      <w:r w:rsidR="006B04A7" w:rsidRPr="0051735B">
        <w:t xml:space="preserve"> to set </w:t>
      </w:r>
      <w:r w:rsidR="006B04A7">
        <w:t xml:space="preserve">the clearing </w:t>
      </w:r>
      <w:r w:rsidR="006B04A7" w:rsidRPr="0051735B">
        <w:t>price in the organized whole</w:t>
      </w:r>
      <w:r w:rsidR="006B04A7">
        <w:t xml:space="preserve">sale electric market if, and only if, </w:t>
      </w:r>
      <w:r w:rsidR="00674C8D">
        <w:t>its resource is</w:t>
      </w:r>
      <w:r w:rsidR="006B04A7" w:rsidRPr="0051735B">
        <w:t xml:space="preserve"> available to the RTO/ISO as a dispatchable resource. </w:t>
      </w:r>
    </w:p>
    <w:p w:rsidR="006B04A7" w:rsidRPr="0051735B" w:rsidRDefault="00392930" w:rsidP="00392930">
      <w:pPr>
        <w:pStyle w:val="Textstyle0"/>
      </w:pPr>
      <w:r>
        <w:rPr>
          <w:lang w:val="en-US"/>
        </w:rPr>
        <w:tab/>
      </w:r>
      <w:r w:rsidR="006B04A7" w:rsidRPr="0051735B">
        <w:t xml:space="preserve">The PUCO agrees </w:t>
      </w:r>
      <w:r w:rsidR="006B04A7">
        <w:t>with the NOPR</w:t>
      </w:r>
      <w:r w:rsidR="006B04A7" w:rsidRPr="0051735B">
        <w:t xml:space="preserve"> that each RTO</w:t>
      </w:r>
      <w:r w:rsidR="006B04A7">
        <w:t>/ISO</w:t>
      </w:r>
      <w:r w:rsidR="006B04A7" w:rsidRPr="0051735B">
        <w:t xml:space="preserve"> should revise its tariff to include the various bidding parameters that would account for the different physical and operational characteristics of electric storage resources</w:t>
      </w:r>
      <w:r w:rsidR="006B04A7">
        <w:t xml:space="preserve"> and DER</w:t>
      </w:r>
      <w:r w:rsidR="00674C8D">
        <w:t xml:space="preserve"> aggregations</w:t>
      </w:r>
      <w:r w:rsidR="006B04A7" w:rsidRPr="0051735B">
        <w:t>.  This would include a state-of-charge bidding parameter as well as the maximum energy charge and discharge rates.  Of course, any resource that deviates from an agreed upon dispatch schedule should be subject to the same penalties as any other resource providing that same wholesale service.</w:t>
      </w:r>
    </w:p>
    <w:p w:rsidR="006B04A7" w:rsidRDefault="00392930" w:rsidP="00392930">
      <w:pPr>
        <w:pStyle w:val="Textstyle0"/>
      </w:pPr>
      <w:r>
        <w:rPr>
          <w:lang w:val="en-US"/>
        </w:rPr>
        <w:lastRenderedPageBreak/>
        <w:tab/>
      </w:r>
      <w:r w:rsidR="006B04A7">
        <w:t>The NOPR</w:t>
      </w:r>
      <w:r w:rsidR="006B04A7" w:rsidRPr="0051735B">
        <w:t xml:space="preserve"> seeks comment</w:t>
      </w:r>
      <w:r w:rsidR="006B04A7">
        <w:t>s</w:t>
      </w:r>
      <w:r w:rsidR="006B04A7" w:rsidRPr="0051735B">
        <w:t xml:space="preserve"> on whether there should be a mechanism that identifies bids and offers coming from the same resource</w:t>
      </w:r>
      <w:r w:rsidR="006B04A7">
        <w:t>, and</w:t>
      </w:r>
      <w:r w:rsidR="006B04A7" w:rsidRPr="0051735B">
        <w:t xml:space="preserve"> ensures </w:t>
      </w:r>
      <w:r w:rsidR="006B04A7">
        <w:t xml:space="preserve">that </w:t>
      </w:r>
      <w:r w:rsidR="006B04A7" w:rsidRPr="0051735B">
        <w:t>the price for the offer to sell is not lower than the price for the bid to buy during the same market interval.</w:t>
      </w:r>
      <w:r w:rsidR="006B04A7" w:rsidRPr="0051735B">
        <w:rPr>
          <w:rStyle w:val="FootnoteReference"/>
          <w:szCs w:val="26"/>
        </w:rPr>
        <w:footnoteReference w:id="12"/>
      </w:r>
      <w:r w:rsidR="006B04A7" w:rsidRPr="0051735B">
        <w:t xml:space="preserve">  The PUCO recommends that the Independent Market Monitor </w:t>
      </w:r>
      <w:r w:rsidR="006B04A7">
        <w:t xml:space="preserve">or Market Monitoring Unit </w:t>
      </w:r>
      <w:r w:rsidR="006B04A7" w:rsidRPr="0051735B">
        <w:t xml:space="preserve">in each RTO/ISO review all buy </w:t>
      </w:r>
      <w:r w:rsidR="006B04A7">
        <w:t xml:space="preserve">bids </w:t>
      </w:r>
      <w:r w:rsidR="006B04A7" w:rsidRPr="0051735B">
        <w:t xml:space="preserve">and sell </w:t>
      </w:r>
      <w:r w:rsidR="006B04A7">
        <w:t>offers</w:t>
      </w:r>
      <w:r w:rsidR="006B04A7" w:rsidRPr="0051735B">
        <w:t xml:space="preserve"> in</w:t>
      </w:r>
      <w:r w:rsidR="006B04A7">
        <w:t xml:space="preserve"> its organized wholesale market</w:t>
      </w:r>
      <w:r w:rsidR="006B04A7" w:rsidRPr="0051735B">
        <w:t>.  This review would include a market power review to confirm that a resource is appropriately providing a</w:t>
      </w:r>
      <w:r w:rsidR="006B04A7">
        <w:t xml:space="preserve"> marginal</w:t>
      </w:r>
      <w:r w:rsidR="006B04A7" w:rsidRPr="0051735B">
        <w:t xml:space="preserve"> cost-based bid into the markets consistent with current requirements.  </w:t>
      </w:r>
    </w:p>
    <w:p w:rsidR="006B04A7" w:rsidRDefault="00392930" w:rsidP="00392930">
      <w:pPr>
        <w:pStyle w:val="Textstyle0"/>
      </w:pPr>
      <w:r>
        <w:rPr>
          <w:lang w:val="en-US"/>
        </w:rPr>
        <w:tab/>
      </w:r>
      <w:r w:rsidR="006B04A7">
        <w:t>Finally, t</w:t>
      </w:r>
      <w:r w:rsidR="006B04A7" w:rsidRPr="0051735B">
        <w:t xml:space="preserve">he PUCO posits </w:t>
      </w:r>
      <w:r w:rsidR="006B04A7">
        <w:t xml:space="preserve">there is an exception to the NOPR’s requirement not to pay twice for the same energy. </w:t>
      </w:r>
      <w:r>
        <w:rPr>
          <w:lang w:val="en-US"/>
        </w:rPr>
        <w:t xml:space="preserve"> </w:t>
      </w:r>
      <w:r w:rsidR="006B04A7">
        <w:t>An</w:t>
      </w:r>
      <w:r w:rsidR="006B04A7" w:rsidRPr="0051735B">
        <w:t xml:space="preserve"> electric storage battery providing frequency regulation service may be called by the RTO/ISO to take withdrawals, as well as provide injections, depending on the correction needed to maintain the desired frequency on the bulk power system.  A customer may be compensated for taking withdrawals and subsequently receive compensation for injecting energy the next day from energy stored the previous day.  Under this </w:t>
      </w:r>
      <w:r w:rsidR="006B04A7">
        <w:t>scenario</w:t>
      </w:r>
      <w:r w:rsidR="006B04A7" w:rsidRPr="0051735B">
        <w:t xml:space="preserve">, it could be perceived that the customer would be paid twice for the same energy in the organized wholesale </w:t>
      </w:r>
      <w:r w:rsidR="006B04A7" w:rsidRPr="003769E8">
        <w:t>market.  The PUCO believes that it would be acceptable for the customer to be paid the appropriate wholesale rate twice, because the customer is essentially providing two different wholesale services at two different times.</w:t>
      </w:r>
    </w:p>
    <w:p w:rsidR="006B04A7" w:rsidRPr="006B04A7" w:rsidRDefault="006B04A7" w:rsidP="002F562D">
      <w:pPr>
        <w:pStyle w:val="Heading2"/>
      </w:pPr>
      <w:bookmarkStart w:id="10" w:name="_Toc474740269"/>
      <w:r w:rsidRPr="0051735B">
        <w:lastRenderedPageBreak/>
        <w:t>Implementation</w:t>
      </w:r>
      <w:bookmarkEnd w:id="10"/>
    </w:p>
    <w:p w:rsidR="006B04A7" w:rsidRPr="0051735B" w:rsidRDefault="00392930" w:rsidP="00392930">
      <w:pPr>
        <w:pStyle w:val="Textstyle0"/>
      </w:pPr>
      <w:r>
        <w:rPr>
          <w:lang w:val="en-US"/>
        </w:rPr>
        <w:tab/>
      </w:r>
      <w:r w:rsidR="006B04A7">
        <w:t>The NOPR</w:t>
      </w:r>
      <w:r w:rsidR="006B04A7" w:rsidRPr="0051735B">
        <w:t xml:space="preserve"> acknowledges that ongoing c</w:t>
      </w:r>
      <w:r w:rsidR="006B04A7">
        <w:t>oordination among the RTO/ISO, DER</w:t>
      </w:r>
      <w:r w:rsidR="006B04A7" w:rsidRPr="0051735B">
        <w:t xml:space="preserve"> aggregato</w:t>
      </w:r>
      <w:r w:rsidR="006B04A7">
        <w:t>rs, electric storage resources,</w:t>
      </w:r>
      <w:r w:rsidR="006B04A7" w:rsidRPr="0051735B">
        <w:t xml:space="preserve"> and t</w:t>
      </w:r>
      <w:r w:rsidR="006B04A7">
        <w:t>he relevant distribution utilities</w:t>
      </w:r>
      <w:r w:rsidR="006B04A7" w:rsidRPr="0051735B">
        <w:t xml:space="preserve"> may be necessary to ensure that </w:t>
      </w:r>
      <w:r w:rsidR="006B04A7">
        <w:t xml:space="preserve">RTO/ISO </w:t>
      </w:r>
      <w:r w:rsidR="006B04A7" w:rsidRPr="0051735B">
        <w:t>disp</w:t>
      </w:r>
      <w:r w:rsidR="006B04A7">
        <w:t xml:space="preserve">atch of individual resources </w:t>
      </w:r>
      <w:r w:rsidR="006B04A7" w:rsidRPr="0051735B">
        <w:t>is consistent with the limitations of the distribution system.</w:t>
      </w:r>
      <w:r w:rsidR="006B04A7" w:rsidRPr="0051735B">
        <w:rPr>
          <w:rStyle w:val="FootnoteReference"/>
          <w:szCs w:val="26"/>
        </w:rPr>
        <w:footnoteReference w:id="13"/>
      </w:r>
      <w:r w:rsidR="006B04A7" w:rsidRPr="0051735B">
        <w:t xml:space="preserve">  The PUCO stron</w:t>
      </w:r>
      <w:r w:rsidR="006B04A7">
        <w:t>gly agrees that implementation of</w:t>
      </w:r>
      <w:r w:rsidR="006B04A7" w:rsidRPr="0051735B">
        <w:t xml:space="preserve"> proposals in this NOPR will require close planning and coordination of these parties with input from </w:t>
      </w:r>
      <w:r w:rsidR="006B04A7">
        <w:t>the Commission</w:t>
      </w:r>
      <w:r w:rsidR="006B04A7" w:rsidRPr="0051735B">
        <w:t xml:space="preserve"> and state commissions.  </w:t>
      </w:r>
    </w:p>
    <w:p w:rsidR="006B04A7" w:rsidRDefault="00392930" w:rsidP="00392930">
      <w:pPr>
        <w:pStyle w:val="Textstyle0"/>
      </w:pPr>
      <w:r>
        <w:rPr>
          <w:lang w:val="en-US"/>
        </w:rPr>
        <w:tab/>
      </w:r>
      <w:r w:rsidR="006B04A7" w:rsidRPr="0051735B">
        <w:t xml:space="preserve">The PUCO concurs with </w:t>
      </w:r>
      <w:r w:rsidR="006B04A7">
        <w:t>the NOPR</w:t>
      </w:r>
      <w:r w:rsidR="006B04A7" w:rsidRPr="0051735B">
        <w:t xml:space="preserve"> that RTO/ISO tariffs must </w:t>
      </w:r>
      <w:r w:rsidR="006B04A7">
        <w:t xml:space="preserve">clearly </w:t>
      </w:r>
      <w:r w:rsidR="006B04A7" w:rsidRPr="0051735B">
        <w:t>outline the parameters for operat</w:t>
      </w:r>
      <w:r w:rsidR="006B04A7">
        <w:t>ing</w:t>
      </w:r>
      <w:r w:rsidR="006B04A7" w:rsidRPr="0051735B">
        <w:t xml:space="preserve"> as a DER aggregator or </w:t>
      </w:r>
      <w:r w:rsidR="006B04A7">
        <w:t>an</w:t>
      </w:r>
      <w:r w:rsidR="006B04A7" w:rsidRPr="0051735B">
        <w:t xml:space="preserve"> </w:t>
      </w:r>
      <w:r w:rsidR="006B04A7">
        <w:t xml:space="preserve">electric </w:t>
      </w:r>
      <w:r w:rsidR="006B04A7" w:rsidRPr="0051735B">
        <w:t xml:space="preserve">storage </w:t>
      </w:r>
      <w:r w:rsidR="006B04A7">
        <w:t xml:space="preserve">resource </w:t>
      </w:r>
      <w:r w:rsidR="006B04A7" w:rsidRPr="0051735B">
        <w:t xml:space="preserve">consistent with the NOPR’s proposals. </w:t>
      </w:r>
      <w:r w:rsidR="006B04A7" w:rsidRPr="0051735B">
        <w:rPr>
          <w:rStyle w:val="FootnoteReference"/>
          <w:szCs w:val="26"/>
        </w:rPr>
        <w:footnoteReference w:id="14"/>
      </w:r>
      <w:r w:rsidR="006B04A7" w:rsidRPr="0051735B">
        <w:t xml:space="preserve"> </w:t>
      </w:r>
      <w:r>
        <w:rPr>
          <w:lang w:val="en-US"/>
        </w:rPr>
        <w:t xml:space="preserve"> </w:t>
      </w:r>
      <w:r w:rsidR="006B04A7" w:rsidRPr="0051735B">
        <w:t xml:space="preserve">Specifically, among other items, </w:t>
      </w:r>
      <w:r w:rsidR="006B04A7">
        <w:t>the NOPR</w:t>
      </w:r>
      <w:r w:rsidR="006B04A7" w:rsidRPr="0051735B">
        <w:t xml:space="preserve"> proposes that the tariff set forth metering and telemetry system requirements.  Additionally, </w:t>
      </w:r>
      <w:r w:rsidR="00674C8D">
        <w:t>the NOPR</w:t>
      </w:r>
      <w:r w:rsidR="006B04A7">
        <w:t xml:space="preserve"> </w:t>
      </w:r>
      <w:r w:rsidR="006B04A7" w:rsidRPr="0051735B">
        <w:t>recommends that the tariff should allow participation that is as geographically broad as technically feasible.</w:t>
      </w:r>
      <w:r w:rsidR="006B04A7" w:rsidRPr="0051735B">
        <w:rPr>
          <w:rStyle w:val="FootnoteReference"/>
          <w:szCs w:val="26"/>
        </w:rPr>
        <w:footnoteReference w:id="15"/>
      </w:r>
      <w:r w:rsidR="006B04A7" w:rsidRPr="0051735B">
        <w:t xml:space="preserve"> </w:t>
      </w:r>
      <w:r>
        <w:rPr>
          <w:lang w:val="en-US"/>
        </w:rPr>
        <w:t xml:space="preserve"> </w:t>
      </w:r>
      <w:r w:rsidR="006B04A7" w:rsidRPr="0051735B">
        <w:t xml:space="preserve">In order to accommodate this requirement, the PUCO concurs that the relevant </w:t>
      </w:r>
      <w:r w:rsidR="006B04A7">
        <w:t>EDUs</w:t>
      </w:r>
      <w:r w:rsidR="006B04A7" w:rsidRPr="0051735B">
        <w:t xml:space="preserve"> and the RTO/ISO need visibility into the location as well as the output</w:t>
      </w:r>
      <w:r w:rsidR="006B04A7">
        <w:t>,</w:t>
      </w:r>
      <w:r w:rsidR="006B04A7" w:rsidRPr="0051735B">
        <w:t xml:space="preserve"> or distribution factor</w:t>
      </w:r>
      <w:r w:rsidR="006B04A7">
        <w:t>,</w:t>
      </w:r>
      <w:r w:rsidR="006B04A7" w:rsidRPr="0051735B">
        <w:t xml:space="preserve"> </w:t>
      </w:r>
      <w:r w:rsidR="006B04A7">
        <w:t>at</w:t>
      </w:r>
      <w:r w:rsidR="006B04A7" w:rsidRPr="0051735B">
        <w:t xml:space="preserve"> each pricing node where one or more aggregated resources</w:t>
      </w:r>
      <w:r w:rsidR="006B04A7">
        <w:t xml:space="preserve"> is</w:t>
      </w:r>
      <w:r w:rsidR="006B04A7" w:rsidRPr="0051735B">
        <w:t xml:space="preserve"> located.</w:t>
      </w:r>
    </w:p>
    <w:p w:rsidR="006B04A7" w:rsidRPr="0051735B" w:rsidRDefault="00392930" w:rsidP="00392930">
      <w:pPr>
        <w:pStyle w:val="Textstyle0"/>
      </w:pPr>
      <w:r>
        <w:rPr>
          <w:lang w:val="en-US"/>
        </w:rPr>
        <w:tab/>
      </w:r>
      <w:r w:rsidR="006B04A7">
        <w:t>Furthermore</w:t>
      </w:r>
      <w:r w:rsidR="006B04A7" w:rsidRPr="0051735B">
        <w:t>, the PUCO avers that retail customers would need to have the necessary metering capability</w:t>
      </w:r>
      <w:r w:rsidR="006B04A7">
        <w:t xml:space="preserve"> for the RTO/ISOs and EDUs</w:t>
      </w:r>
      <w:r w:rsidR="006B04A7" w:rsidRPr="0051735B">
        <w:t xml:space="preserve"> to be able to distinguish when </w:t>
      </w:r>
      <w:r w:rsidR="006B04A7">
        <w:t>a customer is</w:t>
      </w:r>
      <w:r w:rsidR="006B04A7" w:rsidRPr="0051735B">
        <w:t xml:space="preserve"> providing generation for their own consumption versus when they are </w:t>
      </w:r>
      <w:r w:rsidR="006B04A7" w:rsidRPr="0051735B">
        <w:lastRenderedPageBreak/>
        <w:t xml:space="preserve">providing some type of service to the </w:t>
      </w:r>
      <w:r w:rsidR="006B04A7">
        <w:t xml:space="preserve">organized </w:t>
      </w:r>
      <w:r w:rsidR="006B04A7" w:rsidRPr="0051735B">
        <w:t xml:space="preserve">wholesale market. </w:t>
      </w:r>
      <w:r w:rsidR="006B04A7">
        <w:t xml:space="preserve"> The PUCO recommends that</w:t>
      </w:r>
      <w:r w:rsidR="006B04A7" w:rsidRPr="0051735B">
        <w:t xml:space="preserve"> Ohio’s </w:t>
      </w:r>
      <w:r w:rsidR="006B04A7">
        <w:t>EDUs</w:t>
      </w:r>
      <w:r w:rsidR="006B04A7" w:rsidRPr="0051735B">
        <w:t xml:space="preserve"> should continue to maintain the right to settle transactions that are retail in nature at the appropriate retail rate.  Ohio</w:t>
      </w:r>
      <w:r w:rsidR="006B04A7">
        <w:t>’s</w:t>
      </w:r>
      <w:r w:rsidR="006B04A7" w:rsidRPr="0051735B">
        <w:t xml:space="preserve"> retail customers should not be given the ability to circumvent retail pricing when the end use consumption terminates with the customer.  </w:t>
      </w:r>
      <w:r w:rsidR="006B04A7">
        <w:t>Additionally,</w:t>
      </w:r>
      <w:r w:rsidR="006B04A7" w:rsidRPr="0051735B">
        <w:t xml:space="preserve"> Ohio</w:t>
      </w:r>
      <w:r w:rsidR="006B04A7">
        <w:t>’s</w:t>
      </w:r>
      <w:r w:rsidR="006B04A7" w:rsidRPr="0051735B">
        <w:t xml:space="preserve"> retail customers should not bear the costs of electric storage and DER </w:t>
      </w:r>
      <w:r w:rsidR="006B04A7">
        <w:t>aggregators</w:t>
      </w:r>
      <w:r w:rsidR="00D64EEF">
        <w:t>’</w:t>
      </w:r>
      <w:r w:rsidR="006B04A7">
        <w:t xml:space="preserve"> participation in organized </w:t>
      </w:r>
      <w:r w:rsidR="006B04A7" w:rsidRPr="0051735B">
        <w:t>wholesale</w:t>
      </w:r>
      <w:r w:rsidR="006B04A7">
        <w:t xml:space="preserve"> market</w:t>
      </w:r>
      <w:r w:rsidR="006B04A7" w:rsidRPr="0051735B">
        <w:t xml:space="preserve"> activities in other states through </w:t>
      </w:r>
      <w:r w:rsidR="006B04A7">
        <w:t xml:space="preserve">federally </w:t>
      </w:r>
      <w:r w:rsidR="006B04A7" w:rsidRPr="0051735B">
        <w:t>socialized costs.</w:t>
      </w:r>
    </w:p>
    <w:p w:rsidR="006B04A7" w:rsidRPr="0051735B" w:rsidRDefault="005D0FB0" w:rsidP="005D0FB0">
      <w:pPr>
        <w:pStyle w:val="Textstyle0"/>
      </w:pPr>
      <w:r>
        <w:rPr>
          <w:lang w:val="en-US"/>
        </w:rPr>
        <w:tab/>
      </w:r>
      <w:r w:rsidR="006B04A7" w:rsidRPr="0051735B">
        <w:t xml:space="preserve">The PUCO anticipates that an RTO/ISO, during </w:t>
      </w:r>
      <w:r w:rsidR="006B04A7">
        <w:t xml:space="preserve">its </w:t>
      </w:r>
      <w:r w:rsidR="006B04A7" w:rsidRPr="0051735B">
        <w:t xml:space="preserve">tariff development, will examine issues regarding standards for metering, telemetry and cybersecurity through its stakeholder process. </w:t>
      </w:r>
      <w:r>
        <w:rPr>
          <w:lang w:val="en-US"/>
        </w:rPr>
        <w:t xml:space="preserve"> </w:t>
      </w:r>
      <w:r w:rsidR="006B04A7" w:rsidRPr="0051735B">
        <w:t xml:space="preserve">The stakeholders and the RTO/ISO should also examine the resources’ impact on </w:t>
      </w:r>
      <w:r w:rsidR="006B04A7">
        <w:t xml:space="preserve">the reliability of the </w:t>
      </w:r>
      <w:r w:rsidR="006B04A7" w:rsidRPr="0051735B">
        <w:t>bulk power system</w:t>
      </w:r>
      <w:r w:rsidR="006B04A7">
        <w:t xml:space="preserve"> and the reliability of the distribution grid.</w:t>
      </w:r>
      <w:r w:rsidR="006B04A7">
        <w:rPr>
          <w:rStyle w:val="FootnoteReference"/>
          <w:szCs w:val="26"/>
        </w:rPr>
        <w:footnoteReference w:id="16"/>
      </w:r>
    </w:p>
    <w:p w:rsidR="006B04A7" w:rsidRPr="006B04A7" w:rsidRDefault="005D0FB0" w:rsidP="005D0FB0">
      <w:pPr>
        <w:pStyle w:val="Textstyle0"/>
      </w:pPr>
      <w:r>
        <w:rPr>
          <w:lang w:val="en-US"/>
        </w:rPr>
        <w:tab/>
      </w:r>
      <w:r w:rsidR="006B04A7" w:rsidRPr="0051735B">
        <w:t xml:space="preserve">Finally, the PUCO strongly supports </w:t>
      </w:r>
      <w:r w:rsidR="006B04A7">
        <w:t>the NOPR’s</w:t>
      </w:r>
      <w:r w:rsidR="006B04A7" w:rsidRPr="0051735B">
        <w:t xml:space="preserve"> proposed Market Participation Agreements between an RTO/ISO and a </w:t>
      </w:r>
      <w:r w:rsidR="006B04A7">
        <w:t xml:space="preserve">DER </w:t>
      </w:r>
      <w:r w:rsidR="006B04A7" w:rsidRPr="0051735B">
        <w:t>aggregator</w:t>
      </w:r>
      <w:r w:rsidR="006B04A7">
        <w:t xml:space="preserve"> that defines the DER aggregator’s roles and responsibilities</w:t>
      </w:r>
      <w:r w:rsidR="006B04A7" w:rsidRPr="0051735B">
        <w:t>.</w:t>
      </w:r>
      <w:r>
        <w:rPr>
          <w:lang w:val="en-US"/>
        </w:rPr>
        <w:t xml:space="preserve"> </w:t>
      </w:r>
      <w:r w:rsidR="006B04A7" w:rsidRPr="0051735B">
        <w:t xml:space="preserve"> Importantly, FERC requires that the agreements include an attestation from the </w:t>
      </w:r>
      <w:r w:rsidR="006B04A7">
        <w:t xml:space="preserve">DER </w:t>
      </w:r>
      <w:r w:rsidR="006B04A7" w:rsidRPr="0051735B">
        <w:t xml:space="preserve">aggregator that its aggregation “is compliant with the tariffs and operating procedure of the distribution utilities and the rules and regulations of any other regulatory authority.” </w:t>
      </w:r>
      <w:r w:rsidR="006B04A7" w:rsidRPr="0051735B">
        <w:rPr>
          <w:rStyle w:val="FootnoteReference"/>
          <w:szCs w:val="26"/>
        </w:rPr>
        <w:footnoteReference w:id="17"/>
      </w:r>
      <w:r w:rsidR="006B04A7" w:rsidRPr="0051735B">
        <w:t xml:space="preserve"> </w:t>
      </w:r>
      <w:r>
        <w:rPr>
          <w:lang w:val="en-US"/>
        </w:rPr>
        <w:t xml:space="preserve"> </w:t>
      </w:r>
      <w:r w:rsidR="006B04A7" w:rsidRPr="0051735B">
        <w:t xml:space="preserve">The PUCO believes </w:t>
      </w:r>
      <w:r w:rsidR="006B04A7">
        <w:t xml:space="preserve">that </w:t>
      </w:r>
      <w:r w:rsidR="006B04A7" w:rsidRPr="0051735B">
        <w:t>such an agreement is necessary</w:t>
      </w:r>
      <w:r w:rsidR="006B04A7">
        <w:t xml:space="preserve"> and essential to maintaining </w:t>
      </w:r>
      <w:r w:rsidR="006B04A7" w:rsidRPr="0051735B">
        <w:t>state laws and tariffs</w:t>
      </w:r>
      <w:r w:rsidR="006B04A7">
        <w:t xml:space="preserve">.  The PUCO appreciates the </w:t>
      </w:r>
      <w:r w:rsidR="006B04A7">
        <w:lastRenderedPageBreak/>
        <w:t xml:space="preserve">NOPR </w:t>
      </w:r>
      <w:r w:rsidR="006B04A7" w:rsidRPr="0051735B">
        <w:t xml:space="preserve">for recognizing </w:t>
      </w:r>
      <w:r w:rsidR="006B04A7">
        <w:t>the importance of this item as a prerequisite to participation by these resources.</w:t>
      </w:r>
    </w:p>
    <w:p w:rsidR="00B91E89" w:rsidRPr="00B91E89" w:rsidRDefault="00B91E89" w:rsidP="005D0FB0">
      <w:pPr>
        <w:pStyle w:val="Heading1"/>
      </w:pPr>
      <w:bookmarkStart w:id="11" w:name="_Toc364859465"/>
      <w:bookmarkStart w:id="12" w:name="_Toc474740270"/>
      <w:r w:rsidRPr="00B91E89">
        <w:t>CONCLUSION</w:t>
      </w:r>
      <w:bookmarkEnd w:id="11"/>
      <w:bookmarkEnd w:id="12"/>
    </w:p>
    <w:p w:rsidR="00B91E89" w:rsidRDefault="00B91E89" w:rsidP="005D0FB0">
      <w:pPr>
        <w:pStyle w:val="Textstyle0"/>
      </w:pPr>
      <w:r w:rsidRPr="00B91E89">
        <w:tab/>
        <w:t xml:space="preserve">The </w:t>
      </w:r>
      <w:r w:rsidR="00B76BBF">
        <w:t>PUCO</w:t>
      </w:r>
      <w:r w:rsidRPr="00B91E89">
        <w:t xml:space="preserve"> </w:t>
      </w:r>
      <w:r w:rsidR="00782541">
        <w:t>thanks the Commission for its efforts to remove barriers in the</w:t>
      </w:r>
      <w:r w:rsidR="00B76BBF">
        <w:t xml:space="preserve"> organized</w:t>
      </w:r>
      <w:r w:rsidR="00782541">
        <w:t xml:space="preserve"> wholesale electric market</w:t>
      </w:r>
      <w:r w:rsidR="00B76BBF">
        <w:t>s</w:t>
      </w:r>
      <w:r w:rsidR="00782541">
        <w:t xml:space="preserve"> and to enhance the competitiveness of the market</w:t>
      </w:r>
      <w:r w:rsidR="00B76BBF">
        <w:t>s</w:t>
      </w:r>
      <w:r w:rsidR="00782541">
        <w:t xml:space="preserve">. </w:t>
      </w:r>
      <w:r w:rsidR="005D0FB0">
        <w:rPr>
          <w:lang w:val="en-US"/>
        </w:rPr>
        <w:t xml:space="preserve"> </w:t>
      </w:r>
      <w:r w:rsidR="00782541">
        <w:t>We recognize the reciprocal relationship between the Commission and the states as we respectively oversee wholesale and retail markets, and appreciate</w:t>
      </w:r>
      <w:r w:rsidRPr="00B91E89">
        <w:t xml:space="preserve"> the </w:t>
      </w:r>
      <w:r w:rsidR="00782541">
        <w:t xml:space="preserve">Commission’s deference to states in matters pertaining to retail tariffs and the distribution system requirements for electric storage resources and </w:t>
      </w:r>
      <w:r w:rsidR="00B76BBF">
        <w:t>DER</w:t>
      </w:r>
      <w:r w:rsidR="00674C8D">
        <w:t xml:space="preserve"> aggregators</w:t>
      </w:r>
      <w:r w:rsidR="00782541">
        <w:t xml:space="preserve">. </w:t>
      </w:r>
      <w:r w:rsidR="005D0FB0">
        <w:rPr>
          <w:lang w:val="en-US"/>
        </w:rPr>
        <w:t xml:space="preserve"> </w:t>
      </w:r>
      <w:r w:rsidR="00782541">
        <w:t>Likewise, we see the benefit of the Commission’</w:t>
      </w:r>
      <w:r w:rsidR="00AE3C40">
        <w:t>s initiative to adjust</w:t>
      </w:r>
      <w:r w:rsidR="00782541">
        <w:t xml:space="preserve"> w</w:t>
      </w:r>
      <w:r w:rsidR="00A03A54">
        <w:t>holesa</w:t>
      </w:r>
      <w:r w:rsidR="00AE3C40">
        <w:t xml:space="preserve">le market conditions </w:t>
      </w:r>
      <w:r w:rsidR="00A03A54">
        <w:t xml:space="preserve">to enhance the competitive opportunities for emerging technologies. </w:t>
      </w:r>
      <w:r w:rsidR="005D0FB0">
        <w:rPr>
          <w:lang w:val="en-US"/>
        </w:rPr>
        <w:t xml:space="preserve"> </w:t>
      </w:r>
      <w:r w:rsidR="00A03A54">
        <w:t xml:space="preserve">Together, the Commission and the states will recognize the benefits of grid modernization by removing barriers to new and innovative services and ensuring a robust wholesale </w:t>
      </w:r>
      <w:r w:rsidR="00AE3C40">
        <w:t xml:space="preserve">electric </w:t>
      </w:r>
      <w:r w:rsidR="00A03A54">
        <w:t>marketplace.</w:t>
      </w:r>
    </w:p>
    <w:p w:rsidR="00F2344B" w:rsidRDefault="00F2344B" w:rsidP="00F2344B">
      <w:pPr>
        <w:pStyle w:val="Textstyle0"/>
        <w:ind w:left="4320"/>
        <w:rPr>
          <w:lang w:val="en-US"/>
        </w:rPr>
      </w:pPr>
      <w:r w:rsidRPr="00292490">
        <w:t>Respectfully submitted,</w:t>
      </w:r>
    </w:p>
    <w:p w:rsidR="00F2344B" w:rsidRPr="00FF77FB" w:rsidRDefault="00F2344B" w:rsidP="00F2344B">
      <w:pPr>
        <w:pStyle w:val="Textstyle0"/>
        <w:tabs>
          <w:tab w:val="left" w:pos="9360"/>
        </w:tabs>
        <w:spacing w:line="240" w:lineRule="auto"/>
        <w:ind w:left="4320"/>
        <w:rPr>
          <w:rFonts w:ascii="Viner Hand ITC" w:hAnsi="Viner Hand ITC"/>
          <w:i/>
          <w:sz w:val="28"/>
          <w:szCs w:val="28"/>
          <w:u w:val="single"/>
        </w:rPr>
      </w:pPr>
      <w:r w:rsidRPr="00FF77FB">
        <w:rPr>
          <w:rFonts w:ascii="Viner Hand ITC" w:hAnsi="Viner Hand ITC"/>
          <w:i/>
          <w:sz w:val="28"/>
          <w:szCs w:val="28"/>
          <w:u w:val="single"/>
          <w:lang w:val="en-US"/>
        </w:rPr>
        <w:t>/s/ Thomas W. McNamee</w:t>
      </w:r>
      <w:r w:rsidRPr="00FF77FB">
        <w:rPr>
          <w:rFonts w:ascii="Viner Hand ITC" w:hAnsi="Viner Hand ITC"/>
          <w:i/>
          <w:sz w:val="28"/>
          <w:szCs w:val="28"/>
          <w:u w:val="single"/>
        </w:rPr>
        <w:tab/>
      </w:r>
    </w:p>
    <w:p w:rsidR="00F2344B" w:rsidRPr="002F6873" w:rsidRDefault="00F2344B" w:rsidP="00F2344B">
      <w:pPr>
        <w:pStyle w:val="BodyTextIndent2"/>
        <w:spacing w:after="0" w:line="240" w:lineRule="auto"/>
        <w:ind w:left="4320"/>
        <w:rPr>
          <w:rFonts w:ascii="Times New Roman" w:hAnsi="Times New Roman"/>
          <w:b/>
          <w:sz w:val="26"/>
          <w:szCs w:val="26"/>
        </w:rPr>
      </w:pPr>
      <w:r w:rsidRPr="002F6873">
        <w:rPr>
          <w:rFonts w:ascii="Times New Roman" w:hAnsi="Times New Roman"/>
          <w:b/>
          <w:sz w:val="26"/>
          <w:szCs w:val="26"/>
        </w:rPr>
        <w:t>Thomas W. McNamee</w:t>
      </w:r>
    </w:p>
    <w:p w:rsidR="00F2344B" w:rsidRPr="002F6873" w:rsidRDefault="00F2344B" w:rsidP="00F2344B">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Public Utilities Section</w:t>
      </w:r>
    </w:p>
    <w:p w:rsidR="00F2344B" w:rsidRPr="002F6873" w:rsidRDefault="00F2344B" w:rsidP="00F2344B">
      <w:pPr>
        <w:pStyle w:val="BodyTextIndent2"/>
        <w:spacing w:after="0" w:line="240" w:lineRule="auto"/>
        <w:ind w:left="4320"/>
        <w:rPr>
          <w:rFonts w:ascii="Times New Roman" w:hAnsi="Times New Roman"/>
          <w:sz w:val="26"/>
          <w:szCs w:val="26"/>
        </w:rPr>
      </w:pPr>
      <w:r>
        <w:rPr>
          <w:rFonts w:ascii="Times New Roman" w:hAnsi="Times New Roman"/>
          <w:sz w:val="26"/>
          <w:szCs w:val="26"/>
          <w:lang w:val="en-US"/>
        </w:rPr>
        <w:t>30 East Broad Street, 16</w:t>
      </w:r>
      <w:r w:rsidRPr="00F2344B">
        <w:rPr>
          <w:rFonts w:ascii="Times New Roman" w:hAnsi="Times New Roman"/>
          <w:sz w:val="26"/>
          <w:szCs w:val="26"/>
          <w:lang w:val="en-US"/>
        </w:rPr>
        <w:t xml:space="preserve">th Floor </w:t>
      </w:r>
    </w:p>
    <w:p w:rsidR="00F2344B" w:rsidRPr="002F6873" w:rsidRDefault="00F2344B" w:rsidP="00F2344B">
      <w:pPr>
        <w:pStyle w:val="BodyTextIndent2"/>
        <w:spacing w:after="0" w:line="240" w:lineRule="auto"/>
        <w:ind w:left="4320"/>
        <w:rPr>
          <w:rFonts w:ascii="Times New Roman" w:hAnsi="Times New Roman"/>
          <w:sz w:val="26"/>
          <w:szCs w:val="26"/>
        </w:rPr>
      </w:pPr>
      <w:r>
        <w:rPr>
          <w:rFonts w:ascii="Times New Roman" w:hAnsi="Times New Roman"/>
          <w:sz w:val="26"/>
          <w:szCs w:val="26"/>
        </w:rPr>
        <w:t>Columbus, OH 43215</w:t>
      </w:r>
    </w:p>
    <w:p w:rsidR="00F2344B" w:rsidRPr="002F6873" w:rsidRDefault="00F2344B" w:rsidP="00F2344B">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614.466.4396 (telephone)</w:t>
      </w:r>
    </w:p>
    <w:p w:rsidR="00F2344B" w:rsidRPr="002F6873" w:rsidRDefault="00F2344B" w:rsidP="00F2344B">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614.644.8764 (fax)</w:t>
      </w:r>
    </w:p>
    <w:p w:rsidR="00F2344B" w:rsidRPr="003769E8" w:rsidRDefault="00B512C5" w:rsidP="00F2344B">
      <w:pPr>
        <w:pStyle w:val="BodyTextIndent2"/>
        <w:spacing w:after="0" w:line="240" w:lineRule="auto"/>
        <w:ind w:left="4320"/>
        <w:rPr>
          <w:rFonts w:ascii="Times New Roman" w:hAnsi="Times New Roman"/>
          <w:sz w:val="26"/>
          <w:szCs w:val="26"/>
          <w:lang w:val="en-US"/>
        </w:rPr>
      </w:pPr>
      <w:hyperlink r:id="rId15" w:history="1">
        <w:r w:rsidR="00691205" w:rsidRPr="00691205">
          <w:rPr>
            <w:rStyle w:val="Hyperlink"/>
            <w:rFonts w:ascii="Times New Roman" w:hAnsi="Times New Roman"/>
            <w:sz w:val="26"/>
            <w:szCs w:val="26"/>
          </w:rPr>
          <w:t>thomas.mcnamee@</w:t>
        </w:r>
        <w:r w:rsidR="00691205" w:rsidRPr="00691205">
          <w:rPr>
            <w:rStyle w:val="Hyperlink"/>
            <w:rFonts w:ascii="Times New Roman" w:hAnsi="Times New Roman"/>
            <w:sz w:val="26"/>
            <w:szCs w:val="26"/>
            <w:lang w:val="en-US"/>
          </w:rPr>
          <w:t>ohioattorneygeneral</w:t>
        </w:r>
        <w:r w:rsidR="00691205" w:rsidRPr="004245AB">
          <w:rPr>
            <w:rStyle w:val="Hyperlink"/>
            <w:rFonts w:ascii="Times New Roman" w:hAnsi="Times New Roman"/>
            <w:sz w:val="26"/>
            <w:szCs w:val="26"/>
            <w:lang w:val="en-US"/>
          </w:rPr>
          <w:t>.gov</w:t>
        </w:r>
      </w:hyperlink>
    </w:p>
    <w:p w:rsidR="00F2344B" w:rsidRPr="002F6873" w:rsidRDefault="00F2344B" w:rsidP="00F2344B">
      <w:pPr>
        <w:pStyle w:val="BodyTextIndent2"/>
        <w:spacing w:after="0" w:line="240" w:lineRule="auto"/>
        <w:ind w:left="4320"/>
        <w:rPr>
          <w:rFonts w:ascii="Times New Roman" w:hAnsi="Times New Roman"/>
          <w:sz w:val="26"/>
          <w:szCs w:val="26"/>
        </w:rPr>
      </w:pPr>
    </w:p>
    <w:p w:rsidR="00F2344B" w:rsidRPr="002F6873" w:rsidRDefault="00924B1C" w:rsidP="00F2344B">
      <w:pPr>
        <w:pStyle w:val="BodyTextIndent2"/>
        <w:spacing w:after="0" w:line="240" w:lineRule="auto"/>
        <w:ind w:left="4320"/>
        <w:rPr>
          <w:rFonts w:ascii="Times New Roman" w:hAnsi="Times New Roman"/>
          <w:b/>
          <w:sz w:val="26"/>
          <w:szCs w:val="26"/>
        </w:rPr>
      </w:pPr>
      <w:r>
        <w:rPr>
          <w:rFonts w:ascii="Times New Roman" w:hAnsi="Times New Roman"/>
          <w:b/>
          <w:sz w:val="26"/>
          <w:szCs w:val="26"/>
          <w:lang w:val="en-US"/>
        </w:rPr>
        <w:t>Attorney for the</w:t>
      </w:r>
      <w:r w:rsidR="00F2344B" w:rsidRPr="002F6873">
        <w:rPr>
          <w:rFonts w:ascii="Times New Roman" w:hAnsi="Times New Roman"/>
          <w:b/>
          <w:sz w:val="26"/>
          <w:szCs w:val="26"/>
        </w:rPr>
        <w:t xml:space="preserve"> </w:t>
      </w:r>
    </w:p>
    <w:p w:rsidR="00F2344B" w:rsidRPr="00CB37C8" w:rsidRDefault="00F2344B" w:rsidP="00F2344B">
      <w:pPr>
        <w:pStyle w:val="BodyTextIndent2"/>
        <w:spacing w:after="0" w:line="240" w:lineRule="auto"/>
        <w:ind w:left="4320"/>
        <w:rPr>
          <w:rFonts w:ascii="Times New Roman" w:hAnsi="Times New Roman"/>
          <w:b/>
          <w:sz w:val="26"/>
          <w:szCs w:val="26"/>
        </w:rPr>
      </w:pPr>
      <w:r w:rsidRPr="00CB37C8">
        <w:rPr>
          <w:rFonts w:ascii="Times New Roman" w:hAnsi="Times New Roman"/>
          <w:b/>
          <w:sz w:val="26"/>
          <w:szCs w:val="26"/>
        </w:rPr>
        <w:t>The Public Utilities Commission of Ohio</w:t>
      </w:r>
    </w:p>
    <w:p w:rsidR="00F2344B" w:rsidRPr="00292490" w:rsidRDefault="00F2344B" w:rsidP="00F2344B">
      <w:pPr>
        <w:pStyle w:val="Heading1"/>
      </w:pPr>
      <w:bookmarkStart w:id="13" w:name="_Toc364859466"/>
      <w:bookmarkStart w:id="14" w:name="_Toc474740271"/>
      <w:r w:rsidRPr="00292490">
        <w:lastRenderedPageBreak/>
        <w:t>CERTIFICATE OF SERVICE</w:t>
      </w:r>
      <w:bookmarkEnd w:id="13"/>
      <w:bookmarkEnd w:id="14"/>
    </w:p>
    <w:p w:rsidR="00F2344B" w:rsidRPr="00292490" w:rsidRDefault="00F2344B" w:rsidP="00F2344B">
      <w:pPr>
        <w:pStyle w:val="TEXTSTYLE"/>
      </w:pPr>
      <w:r w:rsidRPr="00292490">
        <w:tab/>
        <w:t>I hereby certify that the foregoing have been served in accordance with 18 C.F.R. Sec. 385.2010 upon each person designated on the official service list compiled by the Secretary in this proceeding.</w:t>
      </w:r>
    </w:p>
    <w:p w:rsidR="00F2344B" w:rsidRPr="00FF77FB" w:rsidRDefault="00F2344B" w:rsidP="00F2344B">
      <w:pPr>
        <w:tabs>
          <w:tab w:val="left" w:pos="9360"/>
        </w:tabs>
        <w:spacing w:after="0" w:line="240" w:lineRule="auto"/>
        <w:ind w:left="4766"/>
        <w:rPr>
          <w:rFonts w:ascii="Viner Hand ITC" w:hAnsi="Viner Hand ITC"/>
          <w:i/>
          <w:sz w:val="28"/>
          <w:szCs w:val="28"/>
          <w:u w:val="single"/>
        </w:rPr>
      </w:pPr>
      <w:r w:rsidRPr="00FF77FB">
        <w:rPr>
          <w:rFonts w:ascii="Viner Hand ITC" w:hAnsi="Viner Hand ITC"/>
          <w:i/>
          <w:sz w:val="28"/>
          <w:szCs w:val="28"/>
          <w:u w:val="single"/>
        </w:rPr>
        <w:t>/s/ Thomas W. McNamee</w:t>
      </w:r>
      <w:r>
        <w:rPr>
          <w:rFonts w:ascii="Viner Hand ITC" w:hAnsi="Viner Hand ITC"/>
          <w:i/>
          <w:sz w:val="28"/>
          <w:szCs w:val="28"/>
          <w:u w:val="single"/>
        </w:rPr>
        <w:tab/>
      </w:r>
      <w:r>
        <w:rPr>
          <w:rFonts w:ascii="Viner Hand ITC" w:hAnsi="Viner Hand ITC"/>
          <w:i/>
          <w:sz w:val="28"/>
          <w:szCs w:val="28"/>
          <w:u w:val="single"/>
        </w:rPr>
        <w:br/>
      </w:r>
      <w:r w:rsidRPr="00292490">
        <w:rPr>
          <w:rFonts w:ascii="Times New Roman" w:hAnsi="Times New Roman"/>
          <w:b/>
          <w:sz w:val="26"/>
          <w:szCs w:val="26"/>
        </w:rPr>
        <w:t>Thomas W. McNamee</w:t>
      </w:r>
    </w:p>
    <w:p w:rsidR="00F2344B" w:rsidRPr="00292490" w:rsidRDefault="00F2344B" w:rsidP="00F2344B">
      <w:pPr>
        <w:tabs>
          <w:tab w:val="left" w:pos="9360"/>
        </w:tabs>
        <w:ind w:left="4760"/>
        <w:rPr>
          <w:rFonts w:ascii="Times New Roman" w:hAnsi="Times New Roman"/>
          <w:sz w:val="26"/>
          <w:szCs w:val="26"/>
        </w:rPr>
      </w:pPr>
    </w:p>
    <w:p w:rsidR="00F2344B" w:rsidRPr="00292490" w:rsidRDefault="00F2344B" w:rsidP="00F2344B">
      <w:pPr>
        <w:rPr>
          <w:rFonts w:ascii="Times New Roman" w:hAnsi="Times New Roman"/>
          <w:sz w:val="26"/>
          <w:szCs w:val="26"/>
        </w:rPr>
      </w:pPr>
    </w:p>
    <w:p w:rsidR="00F2344B" w:rsidRPr="00B91E89" w:rsidRDefault="00F2344B" w:rsidP="00F2344B">
      <w:pPr>
        <w:spacing w:after="0" w:line="480" w:lineRule="auto"/>
        <w:rPr>
          <w:rFonts w:ascii="Times New Roman" w:hAnsi="Times New Roman"/>
          <w:sz w:val="26"/>
          <w:szCs w:val="24"/>
        </w:rPr>
      </w:pPr>
      <w:r w:rsidRPr="00292490">
        <w:rPr>
          <w:rFonts w:ascii="Times New Roman" w:hAnsi="Times New Roman"/>
          <w:sz w:val="26"/>
          <w:szCs w:val="26"/>
        </w:rPr>
        <w:t>Dated at</w:t>
      </w:r>
      <w:r>
        <w:rPr>
          <w:rFonts w:ascii="Times New Roman" w:hAnsi="Times New Roman"/>
          <w:sz w:val="26"/>
          <w:szCs w:val="26"/>
        </w:rPr>
        <w:t xml:space="preserve"> Columbus, Ohio this February 1</w:t>
      </w:r>
      <w:r w:rsidR="00B76BBF">
        <w:rPr>
          <w:rFonts w:ascii="Times New Roman" w:hAnsi="Times New Roman"/>
          <w:sz w:val="26"/>
          <w:szCs w:val="26"/>
        </w:rPr>
        <w:t>3</w:t>
      </w:r>
      <w:r>
        <w:rPr>
          <w:rFonts w:ascii="Times New Roman" w:hAnsi="Times New Roman"/>
          <w:sz w:val="26"/>
          <w:szCs w:val="26"/>
        </w:rPr>
        <w:t>, 2017</w:t>
      </w:r>
    </w:p>
    <w:p w:rsidR="00B91E89" w:rsidRPr="00B91E89" w:rsidRDefault="00B91E89" w:rsidP="00B91E89">
      <w:pPr>
        <w:spacing w:after="0" w:line="480" w:lineRule="auto"/>
        <w:ind w:left="4320"/>
        <w:rPr>
          <w:rFonts w:ascii="Times New Roman" w:eastAsia="Times New Roman" w:hAnsi="Times New Roman"/>
          <w:sz w:val="26"/>
          <w:szCs w:val="24"/>
          <w:lang w:val="x-none" w:eastAsia="x-none"/>
        </w:rPr>
      </w:pPr>
    </w:p>
    <w:p w:rsidR="00B91E89" w:rsidRDefault="00B91E89"/>
    <w:sectPr w:rsidR="00B91E89" w:rsidSect="005D0FB0">
      <w:headerReference w:type="default" r:id="rId16"/>
      <w:footerReference w:type="defaul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D0" w:rsidRDefault="004251D0" w:rsidP="00DF6F4C">
      <w:pPr>
        <w:spacing w:after="0" w:line="240" w:lineRule="auto"/>
      </w:pPr>
      <w:r>
        <w:separator/>
      </w:r>
    </w:p>
  </w:endnote>
  <w:endnote w:type="continuationSeparator" w:id="0">
    <w:p w:rsidR="004251D0" w:rsidRDefault="004251D0" w:rsidP="00DF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67" w:rsidRPr="002F562D" w:rsidRDefault="003E6567" w:rsidP="003E6567">
    <w:pPr>
      <w:pStyle w:val="Footer"/>
      <w:jc w:val="center"/>
      <w:rPr>
        <w:rFonts w:ascii="Times New Roman" w:hAnsi="Times New Roman"/>
        <w:sz w:val="28"/>
        <w:szCs w:val="28"/>
        <w:lang w:val="en-US"/>
      </w:rPr>
    </w:pPr>
    <w:r w:rsidRPr="002F562D">
      <w:rPr>
        <w:rFonts w:ascii="Times New Roman" w:hAnsi="Times New Roman"/>
        <w:sz w:val="28"/>
        <w:szCs w:val="28"/>
        <w:lang w:val="en-US"/>
      </w:rPr>
      <w:t>February 13,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67" w:rsidRPr="002F6873" w:rsidRDefault="003E6567" w:rsidP="003E6567">
    <w:pPr>
      <w:pStyle w:val="Footer"/>
      <w:jc w:val="center"/>
      <w:rPr>
        <w:rFonts w:ascii="Times New Roman" w:hAnsi="Times New Roman"/>
        <w:sz w:val="24"/>
        <w:szCs w:val="24"/>
        <w:lang w:val="en-US"/>
      </w:rPr>
    </w:pPr>
    <w:r w:rsidRPr="002F6873">
      <w:rPr>
        <w:rFonts w:ascii="Times New Roman" w:hAnsi="Times New Roman"/>
        <w:sz w:val="24"/>
        <w:szCs w:val="24"/>
      </w:rPr>
      <w:fldChar w:fldCharType="begin"/>
    </w:r>
    <w:r w:rsidRPr="002F6873">
      <w:rPr>
        <w:rFonts w:ascii="Times New Roman" w:hAnsi="Times New Roman"/>
        <w:sz w:val="24"/>
        <w:szCs w:val="24"/>
      </w:rPr>
      <w:instrText xml:space="preserve"> PAGE   \* MERGEFORMAT </w:instrText>
    </w:r>
    <w:r w:rsidRPr="002F6873">
      <w:rPr>
        <w:rFonts w:ascii="Times New Roman" w:hAnsi="Times New Roman"/>
        <w:sz w:val="24"/>
        <w:szCs w:val="24"/>
      </w:rPr>
      <w:fldChar w:fldCharType="separate"/>
    </w:r>
    <w:r w:rsidR="00B512C5">
      <w:rPr>
        <w:rFonts w:ascii="Times New Roman" w:hAnsi="Times New Roman"/>
        <w:noProof/>
        <w:sz w:val="24"/>
        <w:szCs w:val="24"/>
      </w:rPr>
      <w:t>i</w:t>
    </w:r>
    <w:r w:rsidRPr="002F6873">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0" w:rsidRPr="002F6873" w:rsidRDefault="005D0FB0" w:rsidP="003E6567">
    <w:pPr>
      <w:pStyle w:val="Footer"/>
      <w:jc w:val="center"/>
      <w:rPr>
        <w:rFonts w:ascii="Times New Roman" w:hAnsi="Times New Roman"/>
        <w:sz w:val="24"/>
        <w:szCs w:val="24"/>
        <w:lang w:val="en-US"/>
      </w:rPr>
    </w:pPr>
    <w:r w:rsidRPr="002F6873">
      <w:rPr>
        <w:rFonts w:ascii="Times New Roman" w:hAnsi="Times New Roman"/>
        <w:sz w:val="24"/>
        <w:szCs w:val="24"/>
      </w:rPr>
      <w:fldChar w:fldCharType="begin"/>
    </w:r>
    <w:r w:rsidRPr="002F6873">
      <w:rPr>
        <w:rFonts w:ascii="Times New Roman" w:hAnsi="Times New Roman"/>
        <w:sz w:val="24"/>
        <w:szCs w:val="24"/>
      </w:rPr>
      <w:instrText xml:space="preserve"> PAGE   \* MERGEFORMAT </w:instrText>
    </w:r>
    <w:r w:rsidRPr="002F6873">
      <w:rPr>
        <w:rFonts w:ascii="Times New Roman" w:hAnsi="Times New Roman"/>
        <w:sz w:val="24"/>
        <w:szCs w:val="24"/>
      </w:rPr>
      <w:fldChar w:fldCharType="separate"/>
    </w:r>
    <w:r w:rsidR="00B512C5">
      <w:rPr>
        <w:rFonts w:ascii="Times New Roman" w:hAnsi="Times New Roman"/>
        <w:noProof/>
        <w:sz w:val="24"/>
        <w:szCs w:val="24"/>
      </w:rPr>
      <w:t>12</w:t>
    </w:r>
    <w:r w:rsidRPr="002F6873">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0" w:rsidRDefault="005D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D0" w:rsidRDefault="004251D0" w:rsidP="00DF6F4C">
      <w:pPr>
        <w:spacing w:after="0" w:line="240" w:lineRule="auto"/>
      </w:pPr>
      <w:r>
        <w:separator/>
      </w:r>
    </w:p>
  </w:footnote>
  <w:footnote w:type="continuationSeparator" w:id="0">
    <w:p w:rsidR="004251D0" w:rsidRDefault="004251D0" w:rsidP="00DF6F4C">
      <w:pPr>
        <w:spacing w:after="0" w:line="240" w:lineRule="auto"/>
      </w:pPr>
      <w:r>
        <w:continuationSeparator/>
      </w:r>
    </w:p>
  </w:footnote>
  <w:footnote w:id="1">
    <w:p w:rsidR="003E6567" w:rsidRPr="002F562D" w:rsidRDefault="003E6567" w:rsidP="002F562D">
      <w:pPr>
        <w:pStyle w:val="FootnoteText"/>
      </w:pPr>
      <w:r>
        <w:rPr>
          <w:rStyle w:val="FootnoteReference"/>
        </w:rPr>
        <w:footnoteRef/>
      </w:r>
      <w:r>
        <w:t xml:space="preserve"> </w:t>
      </w:r>
      <w:r w:rsidR="002F562D">
        <w:tab/>
      </w:r>
      <w:r w:rsidR="002F562D">
        <w:tab/>
      </w:r>
      <w:r w:rsidR="00392930" w:rsidRPr="00DF6F4C">
        <w:rPr>
          <w:sz w:val="26"/>
          <w:szCs w:val="26"/>
        </w:rPr>
        <w:t>Electric Storage Participation in Markets Operated by Regional Transmission Organizations and Independent System Operators</w:t>
      </w:r>
      <w:r w:rsidR="00392930">
        <w:t xml:space="preserve">, Docket Nos. RM16-23-000, </w:t>
      </w:r>
      <w:r w:rsidR="00392930">
        <w:rPr>
          <w:i/>
        </w:rPr>
        <w:t>et al</w:t>
      </w:r>
      <w:r w:rsidR="00392930">
        <w:t xml:space="preserve">. </w:t>
      </w:r>
      <w:r w:rsidR="00392930">
        <w:t>(Notice of Proposed Rulemaking</w:t>
      </w:r>
      <w:r w:rsidR="00392930">
        <w:t xml:space="preserve"> at ¶ 13</w:t>
      </w:r>
      <w:r w:rsidR="00392930">
        <w:t>)</w:t>
      </w:r>
      <w:r w:rsidR="00392930">
        <w:t xml:space="preserve"> (Nov. 16, 2016).</w:t>
      </w:r>
    </w:p>
  </w:footnote>
  <w:footnote w:id="2">
    <w:p w:rsidR="003E6567" w:rsidRDefault="003E6567">
      <w:pPr>
        <w:pStyle w:val="FootnoteText"/>
      </w:pPr>
      <w:r>
        <w:rPr>
          <w:rStyle w:val="FootnoteReference"/>
        </w:rPr>
        <w:footnoteRef/>
      </w:r>
      <w:r>
        <w:t xml:space="preserve"> </w:t>
      </w:r>
      <w:r w:rsidR="002F562D">
        <w:tab/>
      </w:r>
      <w:r w:rsidR="002F562D">
        <w:tab/>
      </w:r>
      <w:r>
        <w:t>NOPR</w:t>
      </w:r>
      <w:r w:rsidR="005D0FB0">
        <w:t xml:space="preserve"> </w:t>
      </w:r>
      <w:r w:rsidR="00392930">
        <w:t xml:space="preserve">at ¶ </w:t>
      </w:r>
      <w:r>
        <w:t>14</w:t>
      </w:r>
      <w:r w:rsidR="00392930">
        <w:t>.</w:t>
      </w:r>
    </w:p>
  </w:footnote>
  <w:footnote w:id="3">
    <w:p w:rsidR="00691205" w:rsidRDefault="00691205" w:rsidP="00691205">
      <w:pPr>
        <w:pStyle w:val="FootnoteText"/>
      </w:pPr>
      <w:r>
        <w:rPr>
          <w:rStyle w:val="FootnoteReference"/>
        </w:rPr>
        <w:footnoteRef/>
      </w:r>
      <w:r>
        <w:t xml:space="preserve"> </w:t>
      </w:r>
      <w:r w:rsidR="00392930">
        <w:tab/>
      </w:r>
      <w:r w:rsidR="00392930">
        <w:tab/>
      </w:r>
      <w:r>
        <w:t xml:space="preserve">NOPR </w:t>
      </w:r>
      <w:r w:rsidR="00392930">
        <w:t>at ¶</w:t>
      </w:r>
      <w:r>
        <w:t xml:space="preserve"> 50</w:t>
      </w:r>
      <w:r w:rsidR="00392930">
        <w:t>.</w:t>
      </w:r>
    </w:p>
  </w:footnote>
  <w:footnote w:id="4">
    <w:p w:rsidR="003911C8" w:rsidRDefault="003911C8" w:rsidP="003911C8">
      <w:pPr>
        <w:pStyle w:val="FootnoteText"/>
      </w:pPr>
      <w:r>
        <w:rPr>
          <w:rStyle w:val="FootnoteReference"/>
        </w:rPr>
        <w:footnoteRef/>
      </w:r>
      <w:r>
        <w:t xml:space="preserve"> </w:t>
      </w:r>
      <w:r w:rsidR="00392930">
        <w:tab/>
      </w:r>
      <w:r w:rsidR="00392930">
        <w:tab/>
      </w:r>
      <w:r w:rsidR="00B512C5">
        <w:t xml:space="preserve">NOPR </w:t>
      </w:r>
      <w:r w:rsidR="00392930">
        <w:t>at ¶ 102.</w:t>
      </w:r>
    </w:p>
  </w:footnote>
  <w:footnote w:id="5">
    <w:p w:rsidR="003911C8" w:rsidRDefault="003911C8" w:rsidP="003911C8">
      <w:pPr>
        <w:pStyle w:val="FootnoteText"/>
      </w:pPr>
      <w:r>
        <w:rPr>
          <w:rStyle w:val="FootnoteReference"/>
        </w:rPr>
        <w:footnoteRef/>
      </w:r>
      <w:r>
        <w:t xml:space="preserve"> </w:t>
      </w:r>
      <w:r w:rsidR="00392930">
        <w:tab/>
      </w:r>
      <w:r w:rsidR="00392930">
        <w:tab/>
      </w:r>
      <w:r w:rsidR="00B512C5">
        <w:rPr>
          <w:i/>
        </w:rPr>
        <w:t>Id</w:t>
      </w:r>
      <w:r w:rsidR="00B512C5">
        <w:t>.</w:t>
      </w:r>
      <w:r>
        <w:t xml:space="preserve"> </w:t>
      </w:r>
      <w:r w:rsidR="00392930">
        <w:t>at ¶</w:t>
      </w:r>
      <w:r>
        <w:t xml:space="preserve"> 134</w:t>
      </w:r>
      <w:r w:rsidR="00392930">
        <w:t>.</w:t>
      </w:r>
    </w:p>
  </w:footnote>
  <w:footnote w:id="6">
    <w:p w:rsidR="00691205" w:rsidRDefault="00691205" w:rsidP="00691205">
      <w:pPr>
        <w:pStyle w:val="FootnoteText"/>
      </w:pPr>
      <w:r>
        <w:rPr>
          <w:rStyle w:val="FootnoteReference"/>
        </w:rPr>
        <w:footnoteRef/>
      </w:r>
      <w:r>
        <w:t xml:space="preserve"> </w:t>
      </w:r>
      <w:r w:rsidR="00392930">
        <w:tab/>
      </w:r>
      <w:r w:rsidR="00392930">
        <w:tab/>
      </w:r>
      <w:r>
        <w:t>Ohio is a retail choice state for electricity pursuant to Ohio Revised Code</w:t>
      </w:r>
      <w:r w:rsidR="00392930">
        <w:t xml:space="preserve"> § </w:t>
      </w:r>
      <w:r w:rsidR="00392930">
        <w:t>4928.03</w:t>
      </w:r>
      <w:r>
        <w:t>.</w:t>
      </w:r>
    </w:p>
  </w:footnote>
  <w:footnote w:id="7">
    <w:p w:rsidR="00691205" w:rsidRDefault="00691205" w:rsidP="00691205">
      <w:pPr>
        <w:pStyle w:val="FootnoteText"/>
      </w:pPr>
      <w:r>
        <w:rPr>
          <w:rStyle w:val="FootnoteReference"/>
        </w:rPr>
        <w:footnoteRef/>
      </w:r>
      <w:r>
        <w:t xml:space="preserve"> </w:t>
      </w:r>
      <w:r w:rsidR="00392930">
        <w:tab/>
      </w:r>
      <w:r w:rsidR="00392930">
        <w:tab/>
      </w:r>
      <w:r>
        <w:t>Ohio’s net metering rules are currently under review in PUCO Case No. 12-2050-EL-ORD</w:t>
      </w:r>
      <w:r w:rsidR="00392930">
        <w:t xml:space="preserve">, </w:t>
      </w:r>
      <w:r w:rsidR="00392930" w:rsidRPr="00392930">
        <w:rPr>
          <w:i/>
        </w:rPr>
        <w:t>In the Matter of the Commission’s Review of Chapter 4901:1-10 Ohio Administrative Code Regarding Electric Companies</w:t>
      </w:r>
      <w:r>
        <w:t>.</w:t>
      </w:r>
    </w:p>
  </w:footnote>
  <w:footnote w:id="8">
    <w:p w:rsidR="00691205" w:rsidRDefault="00691205" w:rsidP="00691205">
      <w:pPr>
        <w:pStyle w:val="FootnoteText"/>
      </w:pPr>
      <w:r>
        <w:rPr>
          <w:rStyle w:val="FootnoteReference"/>
        </w:rPr>
        <w:footnoteRef/>
      </w:r>
      <w:r>
        <w:t xml:space="preserve"> </w:t>
      </w:r>
      <w:r w:rsidR="00392930">
        <w:tab/>
      </w:r>
      <w:r w:rsidR="00392930">
        <w:tab/>
        <w:t xml:space="preserve">Ohio Adm. Code </w:t>
      </w:r>
      <w:r>
        <w:t>4901:1-22-02(B).</w:t>
      </w:r>
    </w:p>
  </w:footnote>
  <w:footnote w:id="9">
    <w:p w:rsidR="00691205" w:rsidRPr="00392930" w:rsidRDefault="00691205" w:rsidP="00691205">
      <w:pPr>
        <w:pStyle w:val="FootnoteText"/>
      </w:pPr>
      <w:r>
        <w:rPr>
          <w:rStyle w:val="FootnoteReference"/>
        </w:rPr>
        <w:footnoteRef/>
      </w:r>
      <w:r>
        <w:t xml:space="preserve"> </w:t>
      </w:r>
      <w:r w:rsidR="00392930">
        <w:tab/>
      </w:r>
      <w:r w:rsidR="00392930">
        <w:tab/>
      </w:r>
      <w:r w:rsidRPr="00392930">
        <w:t>Public Utility Regulatory Policies Act of 1978, as amended by the Energy Policy Act of 2005</w:t>
      </w:r>
      <w:r w:rsidR="00392930">
        <w:t xml:space="preserve"> (PURPA)</w:t>
      </w:r>
      <w:r w:rsidRPr="00392930">
        <w:t>, at 16 U.S.C.S. Section 824a-3</w:t>
      </w:r>
      <w:r w:rsidR="00392930">
        <w:t>.</w:t>
      </w:r>
    </w:p>
  </w:footnote>
  <w:footnote w:id="10">
    <w:p w:rsidR="00691205" w:rsidRDefault="00691205" w:rsidP="00691205">
      <w:pPr>
        <w:pStyle w:val="FootnoteText"/>
      </w:pPr>
      <w:r>
        <w:rPr>
          <w:rStyle w:val="FootnoteReference"/>
        </w:rPr>
        <w:footnoteRef/>
      </w:r>
      <w:r>
        <w:t xml:space="preserve"> </w:t>
      </w:r>
      <w:r w:rsidR="00392930">
        <w:tab/>
      </w:r>
      <w:r w:rsidR="00392930">
        <w:tab/>
      </w:r>
      <w:r>
        <w:t>PURPA</w:t>
      </w:r>
      <w:r w:rsidR="00392930">
        <w:t>,</w:t>
      </w:r>
      <w:r>
        <w:t xml:space="preserve"> Subpart C</w:t>
      </w:r>
      <w:r w:rsidR="00392930">
        <w:t>,</w:t>
      </w:r>
      <w:r>
        <w:t xml:space="preserve"> </w:t>
      </w:r>
      <w:r w:rsidR="00392930">
        <w:t>§</w:t>
      </w:r>
      <w:r>
        <w:t xml:space="preserve"> 292.305</w:t>
      </w:r>
      <w:r w:rsidR="00392930">
        <w:t>.</w:t>
      </w:r>
    </w:p>
  </w:footnote>
  <w:footnote w:id="11">
    <w:p w:rsidR="006B04A7" w:rsidRDefault="006B04A7" w:rsidP="006B04A7">
      <w:pPr>
        <w:pStyle w:val="FootnoteText"/>
      </w:pPr>
      <w:r>
        <w:rPr>
          <w:rStyle w:val="FootnoteReference"/>
        </w:rPr>
        <w:footnoteRef/>
      </w:r>
      <w:r>
        <w:rPr>
          <w:rStyle w:val="FootnoteReference"/>
        </w:rPr>
        <w:t xml:space="preserve"> </w:t>
      </w:r>
      <w:r w:rsidR="00392930">
        <w:tab/>
      </w:r>
      <w:r w:rsidR="00392930">
        <w:tab/>
      </w:r>
      <w:r w:rsidR="00833C67">
        <w:t xml:space="preserve">NOPR </w:t>
      </w:r>
      <w:r w:rsidR="00392930">
        <w:t>at ¶</w:t>
      </w:r>
      <w:r w:rsidR="00833C67">
        <w:t xml:space="preserve"> 100</w:t>
      </w:r>
      <w:r w:rsidR="00392930">
        <w:t>.</w:t>
      </w:r>
    </w:p>
  </w:footnote>
  <w:footnote w:id="12">
    <w:p w:rsidR="006B04A7" w:rsidRDefault="006B04A7" w:rsidP="006B04A7">
      <w:pPr>
        <w:pStyle w:val="FootnoteText"/>
      </w:pPr>
      <w:r>
        <w:rPr>
          <w:rStyle w:val="FootnoteReference"/>
        </w:rPr>
        <w:footnoteRef/>
      </w:r>
      <w:r>
        <w:t xml:space="preserve"> </w:t>
      </w:r>
      <w:r w:rsidR="00392930">
        <w:tab/>
      </w:r>
      <w:r w:rsidR="00392930">
        <w:tab/>
      </w:r>
      <w:r>
        <w:t xml:space="preserve">NOPR </w:t>
      </w:r>
      <w:r w:rsidR="00392930">
        <w:t>at ¶</w:t>
      </w:r>
      <w:r>
        <w:t xml:space="preserve"> 83</w:t>
      </w:r>
      <w:r w:rsidR="00392930">
        <w:t>.</w:t>
      </w:r>
    </w:p>
  </w:footnote>
  <w:footnote w:id="13">
    <w:p w:rsidR="006B04A7" w:rsidRDefault="006B04A7" w:rsidP="006B04A7">
      <w:pPr>
        <w:pStyle w:val="FootnoteText"/>
      </w:pPr>
      <w:r>
        <w:rPr>
          <w:rStyle w:val="FootnoteReference"/>
        </w:rPr>
        <w:footnoteRef/>
      </w:r>
      <w:r>
        <w:t xml:space="preserve"> </w:t>
      </w:r>
      <w:r w:rsidR="00392930">
        <w:tab/>
      </w:r>
      <w:r w:rsidR="00392930">
        <w:tab/>
      </w:r>
      <w:r>
        <w:t xml:space="preserve">NOPR </w:t>
      </w:r>
      <w:r w:rsidR="00392930">
        <w:t>at ¶¶</w:t>
      </w:r>
      <w:r>
        <w:t xml:space="preserve"> 154</w:t>
      </w:r>
      <w:r w:rsidR="00392930">
        <w:t>,</w:t>
      </w:r>
      <w:r>
        <w:t xml:space="preserve"> 155</w:t>
      </w:r>
      <w:r w:rsidR="00392930">
        <w:t>.</w:t>
      </w:r>
    </w:p>
  </w:footnote>
  <w:footnote w:id="14">
    <w:p w:rsidR="006B04A7" w:rsidRDefault="006B04A7" w:rsidP="006B04A7">
      <w:pPr>
        <w:pStyle w:val="FootnoteText"/>
      </w:pPr>
      <w:r>
        <w:rPr>
          <w:rStyle w:val="FootnoteReference"/>
        </w:rPr>
        <w:footnoteRef/>
      </w:r>
      <w:r>
        <w:t xml:space="preserve"> </w:t>
      </w:r>
      <w:r w:rsidR="00392930">
        <w:tab/>
      </w:r>
      <w:r w:rsidR="00392930">
        <w:tab/>
      </w:r>
      <w:r w:rsidR="00B512C5">
        <w:rPr>
          <w:i/>
        </w:rPr>
        <w:t>Id</w:t>
      </w:r>
      <w:r w:rsidR="00B512C5">
        <w:t>.</w:t>
      </w:r>
      <w:r>
        <w:t xml:space="preserve"> </w:t>
      </w:r>
      <w:r w:rsidR="00392930">
        <w:t>at ¶</w:t>
      </w:r>
      <w:r>
        <w:t xml:space="preserve"> 132</w:t>
      </w:r>
      <w:r w:rsidR="00392930">
        <w:t>.</w:t>
      </w:r>
    </w:p>
  </w:footnote>
  <w:footnote w:id="15">
    <w:p w:rsidR="006B04A7" w:rsidRDefault="006B04A7" w:rsidP="006B04A7">
      <w:pPr>
        <w:pStyle w:val="FootnoteText"/>
      </w:pPr>
      <w:r>
        <w:rPr>
          <w:rStyle w:val="FootnoteReference"/>
        </w:rPr>
        <w:footnoteRef/>
      </w:r>
      <w:r>
        <w:t xml:space="preserve"> </w:t>
      </w:r>
      <w:r w:rsidR="00392930">
        <w:tab/>
      </w:r>
      <w:r w:rsidR="00392930">
        <w:tab/>
      </w:r>
      <w:r w:rsidR="00B512C5">
        <w:rPr>
          <w:i/>
        </w:rPr>
        <w:t>Id</w:t>
      </w:r>
      <w:r w:rsidR="00B512C5">
        <w:t>.</w:t>
      </w:r>
      <w:r>
        <w:t xml:space="preserve"> </w:t>
      </w:r>
      <w:r w:rsidR="00392930">
        <w:t>at ¶</w:t>
      </w:r>
      <w:r>
        <w:t xml:space="preserve"> 139</w:t>
      </w:r>
      <w:r w:rsidR="00392930">
        <w:t>.</w:t>
      </w:r>
    </w:p>
  </w:footnote>
  <w:footnote w:id="16">
    <w:p w:rsidR="006B04A7" w:rsidRDefault="006B04A7" w:rsidP="006B04A7">
      <w:pPr>
        <w:pStyle w:val="FootnoteText"/>
      </w:pPr>
      <w:r>
        <w:rPr>
          <w:rStyle w:val="FootnoteReference"/>
        </w:rPr>
        <w:footnoteRef/>
      </w:r>
      <w:r>
        <w:t xml:space="preserve"> </w:t>
      </w:r>
      <w:r w:rsidR="005D0FB0">
        <w:tab/>
      </w:r>
      <w:r w:rsidR="005D0FB0">
        <w:tab/>
        <w:t xml:space="preserve">Ohio Adm. Code </w:t>
      </w:r>
      <w:r>
        <w:t>4901:1-22-03, Industry Standards for Safety and Performance.</w:t>
      </w:r>
    </w:p>
  </w:footnote>
  <w:footnote w:id="17">
    <w:p w:rsidR="006B04A7" w:rsidRDefault="006B04A7" w:rsidP="006B04A7">
      <w:pPr>
        <w:pStyle w:val="FootnoteText"/>
      </w:pPr>
      <w:r>
        <w:rPr>
          <w:rStyle w:val="FootnoteReference"/>
        </w:rPr>
        <w:footnoteRef/>
      </w:r>
      <w:r>
        <w:t xml:space="preserve"> </w:t>
      </w:r>
      <w:r w:rsidR="005D0FB0">
        <w:tab/>
      </w:r>
      <w:r w:rsidR="005D0FB0">
        <w:tab/>
      </w:r>
      <w:r>
        <w:t xml:space="preserve">NOPR </w:t>
      </w:r>
      <w:r w:rsidR="005D0FB0">
        <w:t>at ¶</w:t>
      </w:r>
      <w:r>
        <w:t xml:space="preserve"> 157</w:t>
      </w:r>
      <w:r w:rsidR="005D0FB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1C" w:rsidRPr="00934360" w:rsidRDefault="00934360">
    <w:pPr>
      <w:pStyle w:val="Header"/>
      <w:rPr>
        <w:lang w:val="en-US"/>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1C" w:rsidRDefault="00924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67" w:rsidRDefault="005D0FB0" w:rsidP="005D0FB0">
    <w:pPr>
      <w:pStyle w:val="Header"/>
      <w:spacing w:after="0" w:line="240" w:lineRule="auto"/>
      <w:jc w:val="center"/>
      <w:rPr>
        <w:rFonts w:ascii="Times New Roman" w:hAnsi="Times New Roman"/>
        <w:b/>
        <w:sz w:val="28"/>
        <w:szCs w:val="28"/>
        <w:lang w:val="en-US"/>
      </w:rPr>
    </w:pPr>
    <w:r>
      <w:rPr>
        <w:rFonts w:ascii="Times New Roman" w:hAnsi="Times New Roman"/>
        <w:b/>
        <w:sz w:val="28"/>
        <w:szCs w:val="28"/>
        <w:lang w:val="en-US"/>
      </w:rPr>
      <w:t>TABLE OF CONTENTS</w:t>
    </w:r>
  </w:p>
  <w:p w:rsidR="005D0FB0" w:rsidRDefault="005D0FB0" w:rsidP="005D0FB0">
    <w:pPr>
      <w:pStyle w:val="Header"/>
      <w:spacing w:after="0" w:line="240" w:lineRule="auto"/>
      <w:jc w:val="right"/>
      <w:rPr>
        <w:rFonts w:ascii="Times New Roman" w:hAnsi="Times New Roman"/>
        <w:b/>
        <w:sz w:val="28"/>
        <w:szCs w:val="28"/>
        <w:lang w:val="en-US"/>
      </w:rPr>
    </w:pPr>
    <w:r>
      <w:rPr>
        <w:rFonts w:ascii="Times New Roman" w:hAnsi="Times New Roman"/>
        <w:b/>
        <w:sz w:val="28"/>
        <w:szCs w:val="28"/>
        <w:lang w:val="en-US"/>
      </w:rPr>
      <w:t>Page</w:t>
    </w:r>
  </w:p>
  <w:p w:rsidR="005D0FB0" w:rsidRPr="003F5518" w:rsidRDefault="005D0FB0" w:rsidP="005D0FB0">
    <w:pPr>
      <w:pStyle w:val="Header"/>
      <w:spacing w:after="0" w:line="240" w:lineRule="auto"/>
      <w:jc w:val="right"/>
      <w:rPr>
        <w:rFonts w:ascii="Times New Roman" w:hAnsi="Times New Roman"/>
        <w:b/>
        <w:sz w:val="28"/>
        <w:szCs w:val="28"/>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1C" w:rsidRDefault="00924B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0" w:rsidRPr="005D0FB0" w:rsidRDefault="005D0FB0" w:rsidP="005D0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FA0"/>
    <w:multiLevelType w:val="hybridMultilevel"/>
    <w:tmpl w:val="7B583D9C"/>
    <w:lvl w:ilvl="0" w:tplc="1C02EFE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31D10"/>
    <w:multiLevelType w:val="hybridMultilevel"/>
    <w:tmpl w:val="9F66BCB2"/>
    <w:lvl w:ilvl="0" w:tplc="B030A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4C"/>
    <w:rsid w:val="00015F74"/>
    <w:rsid w:val="000236B6"/>
    <w:rsid w:val="00027B67"/>
    <w:rsid w:val="000567A5"/>
    <w:rsid w:val="00115027"/>
    <w:rsid w:val="00163F23"/>
    <w:rsid w:val="00191CE3"/>
    <w:rsid w:val="001A6589"/>
    <w:rsid w:val="00226154"/>
    <w:rsid w:val="00281804"/>
    <w:rsid w:val="002A627B"/>
    <w:rsid w:val="002F562D"/>
    <w:rsid w:val="00341E9A"/>
    <w:rsid w:val="0034239C"/>
    <w:rsid w:val="00365343"/>
    <w:rsid w:val="003769E8"/>
    <w:rsid w:val="00390BA0"/>
    <w:rsid w:val="003911C8"/>
    <w:rsid w:val="00392930"/>
    <w:rsid w:val="003A64E2"/>
    <w:rsid w:val="003E6567"/>
    <w:rsid w:val="003F4A10"/>
    <w:rsid w:val="004229A6"/>
    <w:rsid w:val="004251D0"/>
    <w:rsid w:val="00436C70"/>
    <w:rsid w:val="00493CD4"/>
    <w:rsid w:val="004D46D4"/>
    <w:rsid w:val="004F1005"/>
    <w:rsid w:val="0051735B"/>
    <w:rsid w:val="0055038D"/>
    <w:rsid w:val="0058219E"/>
    <w:rsid w:val="005D0FB0"/>
    <w:rsid w:val="005E2EA7"/>
    <w:rsid w:val="0060166B"/>
    <w:rsid w:val="00674C8D"/>
    <w:rsid w:val="00691205"/>
    <w:rsid w:val="00693467"/>
    <w:rsid w:val="006B04A7"/>
    <w:rsid w:val="006B4AC8"/>
    <w:rsid w:val="006F7A2B"/>
    <w:rsid w:val="00710ADD"/>
    <w:rsid w:val="0073363F"/>
    <w:rsid w:val="00745D7D"/>
    <w:rsid w:val="00782541"/>
    <w:rsid w:val="00833C67"/>
    <w:rsid w:val="00844949"/>
    <w:rsid w:val="00850BA9"/>
    <w:rsid w:val="0087655D"/>
    <w:rsid w:val="008E2F28"/>
    <w:rsid w:val="00904530"/>
    <w:rsid w:val="00924B1C"/>
    <w:rsid w:val="00930547"/>
    <w:rsid w:val="00934360"/>
    <w:rsid w:val="00974773"/>
    <w:rsid w:val="00974D80"/>
    <w:rsid w:val="009A49C4"/>
    <w:rsid w:val="009A5A28"/>
    <w:rsid w:val="009E5692"/>
    <w:rsid w:val="009F1F96"/>
    <w:rsid w:val="00A03A54"/>
    <w:rsid w:val="00A650B8"/>
    <w:rsid w:val="00A87024"/>
    <w:rsid w:val="00A97F5B"/>
    <w:rsid w:val="00AB58E1"/>
    <w:rsid w:val="00AE3C40"/>
    <w:rsid w:val="00AF6CAC"/>
    <w:rsid w:val="00B512C5"/>
    <w:rsid w:val="00B56A7B"/>
    <w:rsid w:val="00B73B6B"/>
    <w:rsid w:val="00B76BBF"/>
    <w:rsid w:val="00B91E89"/>
    <w:rsid w:val="00B976B4"/>
    <w:rsid w:val="00BE7779"/>
    <w:rsid w:val="00C2112A"/>
    <w:rsid w:val="00C64535"/>
    <w:rsid w:val="00D00940"/>
    <w:rsid w:val="00D02372"/>
    <w:rsid w:val="00D245AC"/>
    <w:rsid w:val="00D34A2F"/>
    <w:rsid w:val="00D64EEF"/>
    <w:rsid w:val="00D77B3D"/>
    <w:rsid w:val="00D77B7C"/>
    <w:rsid w:val="00DD6442"/>
    <w:rsid w:val="00DF6F4C"/>
    <w:rsid w:val="00E07F3E"/>
    <w:rsid w:val="00E567F9"/>
    <w:rsid w:val="00EF0E37"/>
    <w:rsid w:val="00F068F9"/>
    <w:rsid w:val="00F2344B"/>
    <w:rsid w:val="00F44593"/>
    <w:rsid w:val="00F55635"/>
    <w:rsid w:val="00F64D75"/>
    <w:rsid w:val="00FB030C"/>
    <w:rsid w:val="00FB43F1"/>
    <w:rsid w:val="00F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4C"/>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DF6F4C"/>
    <w:pPr>
      <w:keepNext/>
      <w:spacing w:before="360" w:after="240" w:line="240" w:lineRule="auto"/>
      <w:jc w:val="center"/>
      <w:outlineLvl w:val="0"/>
    </w:pPr>
    <w:rPr>
      <w:rFonts w:ascii="Times New Roman" w:eastAsia="Times New Roman" w:hAnsi="Times New Roman"/>
      <w:b/>
      <w:bCs/>
      <w:kern w:val="32"/>
      <w:sz w:val="28"/>
      <w:szCs w:val="32"/>
      <w:lang w:val="x-none" w:eastAsia="x-none"/>
    </w:rPr>
  </w:style>
  <w:style w:type="paragraph" w:styleId="Heading2">
    <w:name w:val="heading 2"/>
    <w:basedOn w:val="Normal"/>
    <w:next w:val="Normal"/>
    <w:link w:val="Heading2Char"/>
    <w:autoRedefine/>
    <w:uiPriority w:val="9"/>
    <w:unhideWhenUsed/>
    <w:qFormat/>
    <w:rsid w:val="002F562D"/>
    <w:pPr>
      <w:keepNext/>
      <w:keepLines/>
      <w:numPr>
        <w:numId w:val="1"/>
      </w:numPr>
      <w:spacing w:before="360" w:after="240" w:line="240" w:lineRule="auto"/>
      <w:ind w:right="1440" w:hanging="720"/>
      <w:outlineLvl w:val="1"/>
    </w:pPr>
    <w:rPr>
      <w:rFonts w:ascii="Times New Roman" w:eastAsia="Times New Roman" w:hAnsi="Times New Roman"/>
      <w:b/>
      <w:bCs/>
      <w:sz w:val="28"/>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4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F6F4C"/>
    <w:rPr>
      <w:rFonts w:ascii="Calibri" w:eastAsia="Calibri" w:hAnsi="Calibri" w:cs="Times New Roman"/>
      <w:lang w:val="x-none" w:eastAsia="x-none"/>
    </w:rPr>
  </w:style>
  <w:style w:type="paragraph" w:styleId="Footer">
    <w:name w:val="footer"/>
    <w:basedOn w:val="Normal"/>
    <w:link w:val="FooterChar"/>
    <w:uiPriority w:val="99"/>
    <w:unhideWhenUsed/>
    <w:rsid w:val="00DF6F4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F6F4C"/>
    <w:rPr>
      <w:rFonts w:ascii="Calibri" w:eastAsia="Calibri" w:hAnsi="Calibri" w:cs="Times New Roman"/>
      <w:lang w:val="x-none" w:eastAsia="x-none"/>
    </w:rPr>
  </w:style>
  <w:style w:type="paragraph" w:styleId="TOC1">
    <w:name w:val="toc 1"/>
    <w:basedOn w:val="Normal"/>
    <w:next w:val="Normal"/>
    <w:autoRedefine/>
    <w:uiPriority w:val="39"/>
    <w:unhideWhenUsed/>
    <w:rsid w:val="00DF6F4C"/>
    <w:pPr>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DF6F4C"/>
    <w:pPr>
      <w:tabs>
        <w:tab w:val="left" w:pos="1440"/>
        <w:tab w:val="right" w:leader="dot" w:pos="9350"/>
      </w:tabs>
      <w:spacing w:before="240" w:after="240" w:line="240" w:lineRule="auto"/>
      <w:ind w:left="720" w:right="1440"/>
    </w:pPr>
    <w:rPr>
      <w:rFonts w:ascii="Times New Roman" w:hAnsi="Times New Roman"/>
      <w:sz w:val="26"/>
    </w:rPr>
  </w:style>
  <w:style w:type="character" w:customStyle="1" w:styleId="Heading1Char">
    <w:name w:val="Heading 1 Char"/>
    <w:basedOn w:val="DefaultParagraphFont"/>
    <w:link w:val="Heading1"/>
    <w:uiPriority w:val="9"/>
    <w:rsid w:val="00DF6F4C"/>
    <w:rPr>
      <w:rFonts w:ascii="Times New Roman" w:eastAsia="Times New Roman" w:hAnsi="Times New Roman" w:cs="Times New Roman"/>
      <w:b/>
      <w:bCs/>
      <w:kern w:val="32"/>
      <w:sz w:val="28"/>
      <w:szCs w:val="32"/>
      <w:lang w:val="x-none" w:eastAsia="x-none"/>
    </w:rPr>
  </w:style>
  <w:style w:type="character" w:customStyle="1" w:styleId="Heading2Char">
    <w:name w:val="Heading 2 Char"/>
    <w:basedOn w:val="DefaultParagraphFont"/>
    <w:link w:val="Heading2"/>
    <w:uiPriority w:val="9"/>
    <w:rsid w:val="002F562D"/>
    <w:rPr>
      <w:rFonts w:ascii="Times New Roman" w:eastAsia="Times New Roman" w:hAnsi="Times New Roman" w:cs="Times New Roman"/>
      <w:b/>
      <w:bCs/>
      <w:sz w:val="28"/>
      <w:szCs w:val="26"/>
      <w:lang w:val="x-none" w:eastAsia="x-none"/>
    </w:rPr>
  </w:style>
  <w:style w:type="paragraph" w:customStyle="1" w:styleId="TEXTSTYLE">
    <w:name w:val="TEXT STYLE"/>
    <w:basedOn w:val="Normal"/>
    <w:autoRedefine/>
    <w:rsid w:val="00DF6F4C"/>
    <w:pPr>
      <w:spacing w:after="0" w:line="480" w:lineRule="auto"/>
    </w:pPr>
    <w:rPr>
      <w:rFonts w:ascii="Times New Roman" w:hAnsi="Times New Roman"/>
      <w:sz w:val="26"/>
      <w:szCs w:val="24"/>
    </w:rPr>
  </w:style>
  <w:style w:type="paragraph" w:styleId="FootnoteText">
    <w:name w:val="footnote text"/>
    <w:basedOn w:val="Normal"/>
    <w:link w:val="FootnoteTextChar"/>
    <w:autoRedefine/>
    <w:uiPriority w:val="99"/>
    <w:semiHidden/>
    <w:unhideWhenUsed/>
    <w:rsid w:val="002F562D"/>
    <w:pPr>
      <w:spacing w:before="240" w:after="240" w:line="240" w:lineRule="auto"/>
      <w:ind w:left="720" w:hanging="720"/>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2F562D"/>
    <w:rPr>
      <w:rFonts w:ascii="Times New Roman" w:eastAsia="Calibri" w:hAnsi="Times New Roman" w:cs="Times New Roman"/>
      <w:sz w:val="24"/>
      <w:szCs w:val="20"/>
    </w:rPr>
  </w:style>
  <w:style w:type="character" w:styleId="FootnoteReference">
    <w:name w:val="footnote reference"/>
    <w:basedOn w:val="DefaultParagraphFont"/>
    <w:uiPriority w:val="99"/>
    <w:semiHidden/>
    <w:unhideWhenUsed/>
    <w:rsid w:val="004F1005"/>
    <w:rPr>
      <w:vertAlign w:val="superscript"/>
    </w:rPr>
  </w:style>
  <w:style w:type="character" w:styleId="Hyperlink">
    <w:name w:val="Hyperlink"/>
    <w:uiPriority w:val="99"/>
    <w:unhideWhenUsed/>
    <w:rsid w:val="00F2344B"/>
    <w:rPr>
      <w:color w:val="0000FF"/>
      <w:u w:val="single"/>
    </w:rPr>
  </w:style>
  <w:style w:type="paragraph" w:styleId="BodyTextIndent2">
    <w:name w:val="Body Text Indent 2"/>
    <w:basedOn w:val="Normal"/>
    <w:link w:val="BodyTextIndent2Char"/>
    <w:unhideWhenUsed/>
    <w:rsid w:val="00F2344B"/>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2344B"/>
    <w:rPr>
      <w:rFonts w:ascii="Calibri" w:eastAsia="Calibri" w:hAnsi="Calibri" w:cs="Times New Roman"/>
      <w:lang w:val="x-none" w:eastAsia="x-none"/>
    </w:rPr>
  </w:style>
  <w:style w:type="paragraph" w:customStyle="1" w:styleId="Textstyle0">
    <w:name w:val="Text style"/>
    <w:basedOn w:val="Normal"/>
    <w:link w:val="TextstyleChar"/>
    <w:rsid w:val="00F2344B"/>
    <w:pPr>
      <w:spacing w:after="0" w:line="480" w:lineRule="auto"/>
    </w:pPr>
    <w:rPr>
      <w:rFonts w:ascii="Times New Roman" w:eastAsia="Times New Roman" w:hAnsi="Times New Roman"/>
      <w:sz w:val="26"/>
      <w:szCs w:val="24"/>
      <w:lang w:val="x-none" w:eastAsia="x-none"/>
    </w:rPr>
  </w:style>
  <w:style w:type="character" w:customStyle="1" w:styleId="TextstyleChar">
    <w:name w:val="Text style Char"/>
    <w:link w:val="Textstyle0"/>
    <w:rsid w:val="00F2344B"/>
    <w:rPr>
      <w:rFonts w:ascii="Times New Roman" w:eastAsia="Times New Roman" w:hAnsi="Times New Roman" w:cs="Times New Roman"/>
      <w:sz w:val="26"/>
      <w:szCs w:val="24"/>
      <w:lang w:val="x-none" w:eastAsia="x-none"/>
    </w:rPr>
  </w:style>
  <w:style w:type="paragraph" w:styleId="ListParagraph">
    <w:name w:val="List Paragraph"/>
    <w:basedOn w:val="Normal"/>
    <w:uiPriority w:val="34"/>
    <w:qFormat/>
    <w:rsid w:val="0051735B"/>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0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F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068F9"/>
    <w:rPr>
      <w:sz w:val="16"/>
      <w:szCs w:val="16"/>
    </w:rPr>
  </w:style>
  <w:style w:type="paragraph" w:styleId="CommentText">
    <w:name w:val="annotation text"/>
    <w:basedOn w:val="Normal"/>
    <w:link w:val="CommentTextChar"/>
    <w:uiPriority w:val="99"/>
    <w:semiHidden/>
    <w:unhideWhenUsed/>
    <w:rsid w:val="00F068F9"/>
    <w:pPr>
      <w:spacing w:line="240" w:lineRule="auto"/>
    </w:pPr>
    <w:rPr>
      <w:sz w:val="20"/>
      <w:szCs w:val="20"/>
    </w:rPr>
  </w:style>
  <w:style w:type="character" w:customStyle="1" w:styleId="CommentTextChar">
    <w:name w:val="Comment Text Char"/>
    <w:basedOn w:val="DefaultParagraphFont"/>
    <w:link w:val="CommentText"/>
    <w:uiPriority w:val="99"/>
    <w:semiHidden/>
    <w:rsid w:val="00F068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68F9"/>
    <w:rPr>
      <w:b/>
      <w:bCs/>
    </w:rPr>
  </w:style>
  <w:style w:type="character" w:customStyle="1" w:styleId="CommentSubjectChar">
    <w:name w:val="Comment Subject Char"/>
    <w:basedOn w:val="CommentTextChar"/>
    <w:link w:val="CommentSubject"/>
    <w:uiPriority w:val="99"/>
    <w:semiHidden/>
    <w:rsid w:val="00F068F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4C"/>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DF6F4C"/>
    <w:pPr>
      <w:keepNext/>
      <w:spacing w:before="360" w:after="240" w:line="240" w:lineRule="auto"/>
      <w:jc w:val="center"/>
      <w:outlineLvl w:val="0"/>
    </w:pPr>
    <w:rPr>
      <w:rFonts w:ascii="Times New Roman" w:eastAsia="Times New Roman" w:hAnsi="Times New Roman"/>
      <w:b/>
      <w:bCs/>
      <w:kern w:val="32"/>
      <w:sz w:val="28"/>
      <w:szCs w:val="32"/>
      <w:lang w:val="x-none" w:eastAsia="x-none"/>
    </w:rPr>
  </w:style>
  <w:style w:type="paragraph" w:styleId="Heading2">
    <w:name w:val="heading 2"/>
    <w:basedOn w:val="Normal"/>
    <w:next w:val="Normal"/>
    <w:link w:val="Heading2Char"/>
    <w:autoRedefine/>
    <w:uiPriority w:val="9"/>
    <w:unhideWhenUsed/>
    <w:qFormat/>
    <w:rsid w:val="002F562D"/>
    <w:pPr>
      <w:keepNext/>
      <w:keepLines/>
      <w:numPr>
        <w:numId w:val="1"/>
      </w:numPr>
      <w:spacing w:before="360" w:after="240" w:line="240" w:lineRule="auto"/>
      <w:ind w:right="1440" w:hanging="720"/>
      <w:outlineLvl w:val="1"/>
    </w:pPr>
    <w:rPr>
      <w:rFonts w:ascii="Times New Roman" w:eastAsia="Times New Roman" w:hAnsi="Times New Roman"/>
      <w:b/>
      <w:bCs/>
      <w:sz w:val="28"/>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4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F6F4C"/>
    <w:rPr>
      <w:rFonts w:ascii="Calibri" w:eastAsia="Calibri" w:hAnsi="Calibri" w:cs="Times New Roman"/>
      <w:lang w:val="x-none" w:eastAsia="x-none"/>
    </w:rPr>
  </w:style>
  <w:style w:type="paragraph" w:styleId="Footer">
    <w:name w:val="footer"/>
    <w:basedOn w:val="Normal"/>
    <w:link w:val="FooterChar"/>
    <w:uiPriority w:val="99"/>
    <w:unhideWhenUsed/>
    <w:rsid w:val="00DF6F4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F6F4C"/>
    <w:rPr>
      <w:rFonts w:ascii="Calibri" w:eastAsia="Calibri" w:hAnsi="Calibri" w:cs="Times New Roman"/>
      <w:lang w:val="x-none" w:eastAsia="x-none"/>
    </w:rPr>
  </w:style>
  <w:style w:type="paragraph" w:styleId="TOC1">
    <w:name w:val="toc 1"/>
    <w:basedOn w:val="Normal"/>
    <w:next w:val="Normal"/>
    <w:autoRedefine/>
    <w:uiPriority w:val="39"/>
    <w:unhideWhenUsed/>
    <w:rsid w:val="00DF6F4C"/>
    <w:pPr>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DF6F4C"/>
    <w:pPr>
      <w:tabs>
        <w:tab w:val="left" w:pos="1440"/>
        <w:tab w:val="right" w:leader="dot" w:pos="9350"/>
      </w:tabs>
      <w:spacing w:before="240" w:after="240" w:line="240" w:lineRule="auto"/>
      <w:ind w:left="720" w:right="1440"/>
    </w:pPr>
    <w:rPr>
      <w:rFonts w:ascii="Times New Roman" w:hAnsi="Times New Roman"/>
      <w:sz w:val="26"/>
    </w:rPr>
  </w:style>
  <w:style w:type="character" w:customStyle="1" w:styleId="Heading1Char">
    <w:name w:val="Heading 1 Char"/>
    <w:basedOn w:val="DefaultParagraphFont"/>
    <w:link w:val="Heading1"/>
    <w:uiPriority w:val="9"/>
    <w:rsid w:val="00DF6F4C"/>
    <w:rPr>
      <w:rFonts w:ascii="Times New Roman" w:eastAsia="Times New Roman" w:hAnsi="Times New Roman" w:cs="Times New Roman"/>
      <w:b/>
      <w:bCs/>
      <w:kern w:val="32"/>
      <w:sz w:val="28"/>
      <w:szCs w:val="32"/>
      <w:lang w:val="x-none" w:eastAsia="x-none"/>
    </w:rPr>
  </w:style>
  <w:style w:type="character" w:customStyle="1" w:styleId="Heading2Char">
    <w:name w:val="Heading 2 Char"/>
    <w:basedOn w:val="DefaultParagraphFont"/>
    <w:link w:val="Heading2"/>
    <w:uiPriority w:val="9"/>
    <w:rsid w:val="002F562D"/>
    <w:rPr>
      <w:rFonts w:ascii="Times New Roman" w:eastAsia="Times New Roman" w:hAnsi="Times New Roman" w:cs="Times New Roman"/>
      <w:b/>
      <w:bCs/>
      <w:sz w:val="28"/>
      <w:szCs w:val="26"/>
      <w:lang w:val="x-none" w:eastAsia="x-none"/>
    </w:rPr>
  </w:style>
  <w:style w:type="paragraph" w:customStyle="1" w:styleId="TEXTSTYLE">
    <w:name w:val="TEXT STYLE"/>
    <w:basedOn w:val="Normal"/>
    <w:autoRedefine/>
    <w:rsid w:val="00DF6F4C"/>
    <w:pPr>
      <w:spacing w:after="0" w:line="480" w:lineRule="auto"/>
    </w:pPr>
    <w:rPr>
      <w:rFonts w:ascii="Times New Roman" w:hAnsi="Times New Roman"/>
      <w:sz w:val="26"/>
      <w:szCs w:val="24"/>
    </w:rPr>
  </w:style>
  <w:style w:type="paragraph" w:styleId="FootnoteText">
    <w:name w:val="footnote text"/>
    <w:basedOn w:val="Normal"/>
    <w:link w:val="FootnoteTextChar"/>
    <w:autoRedefine/>
    <w:uiPriority w:val="99"/>
    <w:semiHidden/>
    <w:unhideWhenUsed/>
    <w:rsid w:val="002F562D"/>
    <w:pPr>
      <w:spacing w:before="240" w:after="240" w:line="240" w:lineRule="auto"/>
      <w:ind w:left="720" w:hanging="720"/>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2F562D"/>
    <w:rPr>
      <w:rFonts w:ascii="Times New Roman" w:eastAsia="Calibri" w:hAnsi="Times New Roman" w:cs="Times New Roman"/>
      <w:sz w:val="24"/>
      <w:szCs w:val="20"/>
    </w:rPr>
  </w:style>
  <w:style w:type="character" w:styleId="FootnoteReference">
    <w:name w:val="footnote reference"/>
    <w:basedOn w:val="DefaultParagraphFont"/>
    <w:uiPriority w:val="99"/>
    <w:semiHidden/>
    <w:unhideWhenUsed/>
    <w:rsid w:val="004F1005"/>
    <w:rPr>
      <w:vertAlign w:val="superscript"/>
    </w:rPr>
  </w:style>
  <w:style w:type="character" w:styleId="Hyperlink">
    <w:name w:val="Hyperlink"/>
    <w:uiPriority w:val="99"/>
    <w:unhideWhenUsed/>
    <w:rsid w:val="00F2344B"/>
    <w:rPr>
      <w:color w:val="0000FF"/>
      <w:u w:val="single"/>
    </w:rPr>
  </w:style>
  <w:style w:type="paragraph" w:styleId="BodyTextIndent2">
    <w:name w:val="Body Text Indent 2"/>
    <w:basedOn w:val="Normal"/>
    <w:link w:val="BodyTextIndent2Char"/>
    <w:unhideWhenUsed/>
    <w:rsid w:val="00F2344B"/>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2344B"/>
    <w:rPr>
      <w:rFonts w:ascii="Calibri" w:eastAsia="Calibri" w:hAnsi="Calibri" w:cs="Times New Roman"/>
      <w:lang w:val="x-none" w:eastAsia="x-none"/>
    </w:rPr>
  </w:style>
  <w:style w:type="paragraph" w:customStyle="1" w:styleId="Textstyle0">
    <w:name w:val="Text style"/>
    <w:basedOn w:val="Normal"/>
    <w:link w:val="TextstyleChar"/>
    <w:rsid w:val="00F2344B"/>
    <w:pPr>
      <w:spacing w:after="0" w:line="480" w:lineRule="auto"/>
    </w:pPr>
    <w:rPr>
      <w:rFonts w:ascii="Times New Roman" w:eastAsia="Times New Roman" w:hAnsi="Times New Roman"/>
      <w:sz w:val="26"/>
      <w:szCs w:val="24"/>
      <w:lang w:val="x-none" w:eastAsia="x-none"/>
    </w:rPr>
  </w:style>
  <w:style w:type="character" w:customStyle="1" w:styleId="TextstyleChar">
    <w:name w:val="Text style Char"/>
    <w:link w:val="Textstyle0"/>
    <w:rsid w:val="00F2344B"/>
    <w:rPr>
      <w:rFonts w:ascii="Times New Roman" w:eastAsia="Times New Roman" w:hAnsi="Times New Roman" w:cs="Times New Roman"/>
      <w:sz w:val="26"/>
      <w:szCs w:val="24"/>
      <w:lang w:val="x-none" w:eastAsia="x-none"/>
    </w:rPr>
  </w:style>
  <w:style w:type="paragraph" w:styleId="ListParagraph">
    <w:name w:val="List Paragraph"/>
    <w:basedOn w:val="Normal"/>
    <w:uiPriority w:val="34"/>
    <w:qFormat/>
    <w:rsid w:val="0051735B"/>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0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F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068F9"/>
    <w:rPr>
      <w:sz w:val="16"/>
      <w:szCs w:val="16"/>
    </w:rPr>
  </w:style>
  <w:style w:type="paragraph" w:styleId="CommentText">
    <w:name w:val="annotation text"/>
    <w:basedOn w:val="Normal"/>
    <w:link w:val="CommentTextChar"/>
    <w:uiPriority w:val="99"/>
    <w:semiHidden/>
    <w:unhideWhenUsed/>
    <w:rsid w:val="00F068F9"/>
    <w:pPr>
      <w:spacing w:line="240" w:lineRule="auto"/>
    </w:pPr>
    <w:rPr>
      <w:sz w:val="20"/>
      <w:szCs w:val="20"/>
    </w:rPr>
  </w:style>
  <w:style w:type="character" w:customStyle="1" w:styleId="CommentTextChar">
    <w:name w:val="Comment Text Char"/>
    <w:basedOn w:val="DefaultParagraphFont"/>
    <w:link w:val="CommentText"/>
    <w:uiPriority w:val="99"/>
    <w:semiHidden/>
    <w:rsid w:val="00F068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68F9"/>
    <w:rPr>
      <w:b/>
      <w:bCs/>
    </w:rPr>
  </w:style>
  <w:style w:type="character" w:customStyle="1" w:styleId="CommentSubjectChar">
    <w:name w:val="Comment Subject Char"/>
    <w:basedOn w:val="CommentTextChar"/>
    <w:link w:val="CommentSubject"/>
    <w:uiPriority w:val="99"/>
    <w:semiHidden/>
    <w:rsid w:val="00F068F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thomas.mcnamee@ohioattorneygeneral.gov"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EEE7-43A0-4503-BB96-625D573A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Ohio Attorney General</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Gebolys, Debra</dc:creator>
  <cp:lastModifiedBy>Kim Keeton</cp:lastModifiedBy>
  <cp:revision>3</cp:revision>
  <dcterms:created xsi:type="dcterms:W3CDTF">2017-02-13T14:07:00Z</dcterms:created>
  <dcterms:modified xsi:type="dcterms:W3CDTF">2017-02-13T14:09:00Z</dcterms:modified>
</cp:coreProperties>
</file>