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3FA8D" w14:textId="77777777" w:rsidR="00E6540D" w:rsidRPr="001141EA" w:rsidRDefault="005D2347" w:rsidP="002A7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A">
        <w:rPr>
          <w:rFonts w:ascii="Times New Roman" w:hAnsi="Times New Roman" w:cs="Times New Roman"/>
          <w:b/>
          <w:sz w:val="24"/>
          <w:szCs w:val="24"/>
        </w:rPr>
        <w:t>BEFORE</w:t>
      </w:r>
    </w:p>
    <w:p w14:paraId="5BCF9936" w14:textId="77777777" w:rsidR="00E6540D" w:rsidRPr="001141EA" w:rsidRDefault="005D2347" w:rsidP="002A741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EA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14:paraId="463589FA" w14:textId="77777777" w:rsidR="00E6540D" w:rsidRPr="001141EA" w:rsidRDefault="00E6540D" w:rsidP="00E6540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0" w:type="dxa"/>
        <w:tblLook w:val="01E0" w:firstRow="1" w:lastRow="1" w:firstColumn="1" w:lastColumn="1" w:noHBand="0" w:noVBand="0"/>
      </w:tblPr>
      <w:tblGrid>
        <w:gridCol w:w="4230"/>
        <w:gridCol w:w="630"/>
        <w:gridCol w:w="3780"/>
      </w:tblGrid>
      <w:tr w:rsidR="00A4094F" w14:paraId="74773F02" w14:textId="77777777" w:rsidTr="001927C6">
        <w:trPr>
          <w:trHeight w:val="807"/>
        </w:trPr>
        <w:tc>
          <w:tcPr>
            <w:tcW w:w="4230" w:type="dxa"/>
            <w:shd w:val="clear" w:color="auto" w:fill="auto"/>
          </w:tcPr>
          <w:p w14:paraId="0EFB221A" w14:textId="44368502" w:rsidR="00E6540D" w:rsidRPr="001141EA" w:rsidRDefault="005D2347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A">
              <w:rPr>
                <w:rFonts w:ascii="Times New Roman" w:hAnsi="Times New Roman" w:cs="Times New Roman"/>
                <w:sz w:val="24"/>
                <w:szCs w:val="24"/>
              </w:rPr>
              <w:t>In the Matter of the Commission's Review of the Distribution Investment Rider Work Plan for 2024 of the Dayton Power and Light Company d/b/a AES Ohio</w:t>
            </w:r>
            <w:r w:rsidR="00920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57F099" w14:textId="77777777" w:rsidR="00E6540D" w:rsidRPr="001141EA" w:rsidRDefault="00E6540D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5FD6A" w14:textId="77777777" w:rsidR="00E6540D" w:rsidRPr="001141EA" w:rsidRDefault="00E6540D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3C7B190" w14:textId="77777777" w:rsidR="00E6540D" w:rsidRPr="001141EA" w:rsidRDefault="005D2347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F3A414" w14:textId="77777777" w:rsidR="00E6540D" w:rsidRPr="001141EA" w:rsidRDefault="005D2347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EA40AC" w14:textId="77777777" w:rsidR="00E6540D" w:rsidRPr="001141EA" w:rsidRDefault="005D2347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BFE32C" w14:textId="77777777" w:rsidR="00E6540D" w:rsidRPr="001141EA" w:rsidRDefault="005D2347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7ADCE9" w14:textId="5963E709" w:rsidR="00E6540D" w:rsidRPr="001141EA" w:rsidRDefault="005D2347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79ACE4" w14:textId="6D503E8D" w:rsidR="00E6540D" w:rsidRPr="001141EA" w:rsidRDefault="00E6540D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A5CED" w14:textId="7A997CA8" w:rsidR="00E6540D" w:rsidRPr="001141EA" w:rsidRDefault="00E6540D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63FBCF7B" w14:textId="77777777" w:rsidR="00E6540D" w:rsidRPr="001141EA" w:rsidRDefault="00E6540D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844A" w14:textId="77777777" w:rsidR="00E6540D" w:rsidRPr="001141EA" w:rsidRDefault="005D2347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A">
              <w:rPr>
                <w:rFonts w:ascii="Times New Roman" w:hAnsi="Times New Roman" w:cs="Times New Roman"/>
                <w:sz w:val="24"/>
                <w:szCs w:val="24"/>
              </w:rPr>
              <w:t>Case No. 23-1176-EL-RDR</w:t>
            </w:r>
          </w:p>
          <w:p w14:paraId="7506E638" w14:textId="77777777" w:rsidR="00E6540D" w:rsidRPr="001141EA" w:rsidRDefault="00E6540D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ADC4B" w14:textId="77777777" w:rsidR="00E6540D" w:rsidRPr="001141EA" w:rsidRDefault="00E6540D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1FD18" w14:textId="77777777" w:rsidR="00E6540D" w:rsidRPr="001141EA" w:rsidRDefault="00E6540D" w:rsidP="001927C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64003" w14:textId="77777777" w:rsidR="00E6540D" w:rsidRPr="001141EA" w:rsidRDefault="00E6540D" w:rsidP="00E6540D">
      <w:pPr>
        <w:pStyle w:val="Footer"/>
        <w:pBdr>
          <w:top w:val="single" w:sz="12" w:space="1" w:color="auto"/>
        </w:pBdr>
        <w:tabs>
          <w:tab w:val="left" w:pos="4320"/>
        </w:tabs>
        <w:rPr>
          <w:rFonts w:ascii="Times New Roman" w:hAnsi="Times New Roman" w:cs="Times New Roman"/>
        </w:rPr>
      </w:pPr>
    </w:p>
    <w:p w14:paraId="1766A46A" w14:textId="6B994700" w:rsidR="00AD6C4B" w:rsidRDefault="005D2347" w:rsidP="00F94A08">
      <w:pPr>
        <w:pStyle w:val="Footer"/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REPLY </w:t>
      </w:r>
      <w:r>
        <w:rPr>
          <w:rFonts w:ascii="Times New Roman" w:hAnsi="Times New Roman" w:cs="Times New Roman"/>
          <w:b/>
        </w:rPr>
        <w:t>MEMORANDUM</w:t>
      </w:r>
    </w:p>
    <w:p w14:paraId="65C08D7B" w14:textId="7245C342" w:rsidR="00AD6C4B" w:rsidRDefault="005D2347" w:rsidP="00F94A08">
      <w:pPr>
        <w:pStyle w:val="Footer"/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 w:rsidRPr="001141EA">
        <w:rPr>
          <w:rFonts w:ascii="Times New Roman" w:hAnsi="Times New Roman" w:cs="Times New Roman"/>
          <w:b/>
        </w:rPr>
        <w:t>BY</w:t>
      </w:r>
    </w:p>
    <w:p w14:paraId="6DE279BF" w14:textId="2ADC6FFA" w:rsidR="00E6540D" w:rsidRPr="001141EA" w:rsidRDefault="005D2347" w:rsidP="00F94A08">
      <w:pPr>
        <w:pStyle w:val="Footer"/>
        <w:tabs>
          <w:tab w:val="left" w:pos="4320"/>
        </w:tabs>
        <w:jc w:val="center"/>
        <w:rPr>
          <w:rFonts w:ascii="Times New Roman" w:hAnsi="Times New Roman" w:cs="Times New Roman"/>
        </w:rPr>
      </w:pPr>
      <w:r w:rsidRPr="001141EA">
        <w:rPr>
          <w:rFonts w:ascii="Times New Roman" w:hAnsi="Times New Roman" w:cs="Times New Roman"/>
          <w:b/>
        </w:rPr>
        <w:t>OFFICE OF THE OHIO CONSUMERS’ COUNSEL</w:t>
      </w:r>
    </w:p>
    <w:p w14:paraId="2465793E" w14:textId="77777777" w:rsidR="00E6540D" w:rsidRPr="001141EA" w:rsidRDefault="00E6540D" w:rsidP="00F94A08">
      <w:pPr>
        <w:pStyle w:val="Footer"/>
        <w:pBdr>
          <w:bottom w:val="single" w:sz="12" w:space="1" w:color="auto"/>
        </w:pBdr>
        <w:tabs>
          <w:tab w:val="left" w:pos="4320"/>
        </w:tabs>
        <w:jc w:val="center"/>
        <w:rPr>
          <w:rFonts w:ascii="Times New Roman" w:hAnsi="Times New Roman" w:cs="Times New Roman"/>
        </w:rPr>
      </w:pPr>
    </w:p>
    <w:p w14:paraId="72228A5E" w14:textId="77777777" w:rsidR="00D0672E" w:rsidRPr="004B23C6" w:rsidRDefault="00D0672E" w:rsidP="007569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0E0F16" w14:textId="677DFA6D" w:rsidR="0006119A" w:rsidRDefault="005D2347" w:rsidP="007569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23C6">
        <w:rPr>
          <w:rFonts w:ascii="Times New Roman" w:hAnsi="Times New Roman" w:cs="Times New Roman"/>
          <w:sz w:val="24"/>
          <w:szCs w:val="24"/>
        </w:rPr>
        <w:tab/>
      </w:r>
      <w:r w:rsidR="007D7BCC" w:rsidRPr="004B23C6">
        <w:rPr>
          <w:rFonts w:ascii="Times New Roman" w:hAnsi="Times New Roman" w:cs="Times New Roman"/>
          <w:sz w:val="24"/>
          <w:szCs w:val="24"/>
        </w:rPr>
        <w:t>AES Ohio</w:t>
      </w:r>
      <w:r w:rsidRPr="004B23C6">
        <w:rPr>
          <w:rFonts w:ascii="Times New Roman" w:hAnsi="Times New Roman" w:cs="Times New Roman"/>
          <w:sz w:val="24"/>
          <w:szCs w:val="24"/>
        </w:rPr>
        <w:t xml:space="preserve"> </w:t>
      </w:r>
      <w:r w:rsidR="00EF7749">
        <w:rPr>
          <w:rFonts w:ascii="Times New Roman" w:hAnsi="Times New Roman" w:cs="Times New Roman"/>
          <w:sz w:val="24"/>
          <w:szCs w:val="24"/>
        </w:rPr>
        <w:t xml:space="preserve">has declined to </w:t>
      </w:r>
      <w:r w:rsidR="004D501B">
        <w:rPr>
          <w:rFonts w:ascii="Times New Roman" w:hAnsi="Times New Roman" w:cs="Times New Roman"/>
          <w:sz w:val="24"/>
          <w:szCs w:val="24"/>
        </w:rPr>
        <w:t xml:space="preserve">respond to OCC’s reasonable discovery regarding how AES Ohio plans to spend the money it charges consumers under </w:t>
      </w:r>
      <w:r w:rsidR="00A238CD">
        <w:rPr>
          <w:rFonts w:ascii="Times New Roman" w:hAnsi="Times New Roman" w:cs="Times New Roman"/>
          <w:sz w:val="24"/>
          <w:szCs w:val="24"/>
        </w:rPr>
        <w:t xml:space="preserve">its </w:t>
      </w:r>
      <w:r w:rsidR="004D501B">
        <w:rPr>
          <w:rFonts w:ascii="Times New Roman" w:hAnsi="Times New Roman" w:cs="Times New Roman"/>
          <w:sz w:val="24"/>
          <w:szCs w:val="24"/>
        </w:rPr>
        <w:t>Distribution Investment Rider (“DIR”)</w:t>
      </w:r>
      <w:r w:rsidRPr="004B23C6">
        <w:rPr>
          <w:rFonts w:ascii="Times New Roman" w:hAnsi="Times New Roman" w:cs="Times New Roman"/>
          <w:sz w:val="24"/>
          <w:szCs w:val="24"/>
        </w:rPr>
        <w:t>.</w:t>
      </w:r>
      <w:r w:rsidR="00EF7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 filed a motion to compel responses after all reasonable means of resolving differences with AES.</w:t>
      </w:r>
      <w:r w:rsidR="00F94A08">
        <w:rPr>
          <w:rFonts w:ascii="Times New Roman" w:hAnsi="Times New Roman" w:cs="Times New Roman"/>
          <w:sz w:val="24"/>
          <w:szCs w:val="24"/>
        </w:rPr>
        <w:t xml:space="preserve"> </w:t>
      </w:r>
      <w:r w:rsidR="00E660EF">
        <w:rPr>
          <w:rFonts w:ascii="Times New Roman" w:hAnsi="Times New Roman" w:cs="Times New Roman"/>
          <w:sz w:val="24"/>
          <w:szCs w:val="24"/>
        </w:rPr>
        <w:t>OCC’s motion should be granted, and AES should be ordered to immediately respond to OCC discovery.</w:t>
      </w:r>
      <w:r w:rsidR="00F94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49A4B" w14:textId="1A0B83B6" w:rsidR="00E660EF" w:rsidRDefault="005D2347" w:rsidP="000611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EF7749">
        <w:rPr>
          <w:rFonts w:ascii="Times New Roman" w:hAnsi="Times New Roman" w:cs="Times New Roman"/>
          <w:sz w:val="24"/>
          <w:szCs w:val="24"/>
        </w:rPr>
        <w:t xml:space="preserve">Ohio law and the PUCO’s </w:t>
      </w:r>
      <w:r>
        <w:rPr>
          <w:rFonts w:ascii="Times New Roman" w:hAnsi="Times New Roman" w:cs="Times New Roman"/>
          <w:sz w:val="24"/>
          <w:szCs w:val="24"/>
        </w:rPr>
        <w:t xml:space="preserve">rules </w:t>
      </w:r>
      <w:r w:rsidR="004D501B">
        <w:rPr>
          <w:rFonts w:ascii="Times New Roman" w:hAnsi="Times New Roman" w:cs="Times New Roman"/>
          <w:sz w:val="24"/>
          <w:szCs w:val="24"/>
        </w:rPr>
        <w:t xml:space="preserve">“ample discovery,” </w:t>
      </w:r>
      <w:r>
        <w:rPr>
          <w:rFonts w:ascii="Times New Roman" w:hAnsi="Times New Roman" w:cs="Times New Roman"/>
          <w:sz w:val="24"/>
          <w:szCs w:val="24"/>
        </w:rPr>
        <w:t>is permitted.</w:t>
      </w:r>
      <w:r w:rsidR="00F94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PUCO rules, a</w:t>
      </w:r>
      <w:r w:rsidRPr="004B23C6">
        <w:rPr>
          <w:rFonts w:ascii="Times New Roman" w:hAnsi="Times New Roman" w:cs="Times New Roman"/>
          <w:sz w:val="24"/>
          <w:szCs w:val="24"/>
        </w:rPr>
        <w:t xml:space="preserve"> party that moves to intervene in a proceeding before the PUCO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4B23C6">
        <w:rPr>
          <w:rFonts w:ascii="Times New Roman" w:hAnsi="Times New Roman" w:cs="Times New Roman"/>
          <w:sz w:val="24"/>
          <w:szCs w:val="24"/>
        </w:rPr>
        <w:t xml:space="preserve"> immediately begin participating in the discovery process.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B23C6">
        <w:rPr>
          <w:rFonts w:ascii="Times New Roman" w:hAnsi="Times New Roman" w:cs="Times New Roman"/>
          <w:sz w:val="24"/>
          <w:szCs w:val="24"/>
        </w:rPr>
        <w:t xml:space="preserve"> The right to participate in discovery includes the right to serve interrogatories and requests </w:t>
      </w:r>
      <w:proofErr w:type="gramStart"/>
      <w:r w:rsidRPr="004B23C6">
        <w:rPr>
          <w:rFonts w:ascii="Times New Roman" w:hAnsi="Times New Roman" w:cs="Times New Roman"/>
          <w:sz w:val="24"/>
          <w:szCs w:val="24"/>
        </w:rPr>
        <w:t>for the production of</w:t>
      </w:r>
      <w:proofErr w:type="gramEnd"/>
      <w:r w:rsidRPr="004B23C6">
        <w:rPr>
          <w:rFonts w:ascii="Times New Roman" w:hAnsi="Times New Roman" w:cs="Times New Roman"/>
          <w:sz w:val="24"/>
          <w:szCs w:val="24"/>
        </w:rPr>
        <w:t xml:space="preserve"> documents.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94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38419" w14:textId="1BB576F9" w:rsidR="00362389" w:rsidRPr="004B23C6" w:rsidRDefault="005D2347" w:rsidP="004708C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</w:t>
      </w:r>
      <w:r w:rsidR="00F94A08">
        <w:rPr>
          <w:rFonts w:ascii="Times New Roman" w:hAnsi="Times New Roman" w:cs="Times New Roman"/>
          <w:sz w:val="24"/>
          <w:szCs w:val="24"/>
        </w:rPr>
        <w:t xml:space="preserve"> </w:t>
      </w:r>
      <w:r w:rsidR="00C129C6" w:rsidRPr="004B23C6">
        <w:rPr>
          <w:rFonts w:ascii="Times New Roman" w:hAnsi="Times New Roman" w:cs="Times New Roman"/>
          <w:sz w:val="24"/>
          <w:szCs w:val="24"/>
        </w:rPr>
        <w:t xml:space="preserve">AES </w:t>
      </w:r>
      <w:r w:rsidR="00EF7749">
        <w:rPr>
          <w:rFonts w:ascii="Times New Roman" w:hAnsi="Times New Roman" w:cs="Times New Roman"/>
          <w:sz w:val="24"/>
          <w:szCs w:val="24"/>
        </w:rPr>
        <w:t xml:space="preserve">Ohio continues </w:t>
      </w:r>
      <w:r w:rsidR="00C129C6" w:rsidRPr="004B23C6">
        <w:rPr>
          <w:rFonts w:ascii="Times New Roman" w:hAnsi="Times New Roman" w:cs="Times New Roman"/>
          <w:sz w:val="24"/>
          <w:szCs w:val="24"/>
        </w:rPr>
        <w:t xml:space="preserve">to withhold </w:t>
      </w:r>
      <w:r w:rsidR="00EF7749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4D501B">
        <w:rPr>
          <w:rFonts w:ascii="Times New Roman" w:hAnsi="Times New Roman" w:cs="Times New Roman"/>
          <w:sz w:val="24"/>
          <w:szCs w:val="24"/>
        </w:rPr>
        <w:t>about its DIR workplan, impeding</w:t>
      </w:r>
      <w:r w:rsidR="00EF7749">
        <w:rPr>
          <w:rFonts w:ascii="Times New Roman" w:hAnsi="Times New Roman" w:cs="Times New Roman"/>
          <w:sz w:val="24"/>
          <w:szCs w:val="24"/>
        </w:rPr>
        <w:t xml:space="preserve"> </w:t>
      </w:r>
      <w:r w:rsidR="00C129C6" w:rsidRPr="004B23C6">
        <w:rPr>
          <w:rFonts w:ascii="Times New Roman" w:hAnsi="Times New Roman" w:cs="Times New Roman"/>
          <w:sz w:val="24"/>
          <w:szCs w:val="24"/>
        </w:rPr>
        <w:t>OCC</w:t>
      </w:r>
      <w:r w:rsidR="00AD6C4B">
        <w:rPr>
          <w:rFonts w:ascii="Times New Roman" w:hAnsi="Times New Roman" w:cs="Times New Roman"/>
          <w:sz w:val="24"/>
          <w:szCs w:val="24"/>
        </w:rPr>
        <w:t>’s</w:t>
      </w:r>
      <w:r w:rsidR="00C129C6" w:rsidRPr="004B23C6">
        <w:rPr>
          <w:rFonts w:ascii="Times New Roman" w:hAnsi="Times New Roman" w:cs="Times New Roman"/>
          <w:sz w:val="24"/>
          <w:szCs w:val="24"/>
        </w:rPr>
        <w:t xml:space="preserve"> efforts to </w:t>
      </w:r>
      <w:r w:rsidR="00EF7749">
        <w:rPr>
          <w:rFonts w:ascii="Times New Roman" w:hAnsi="Times New Roman" w:cs="Times New Roman"/>
          <w:sz w:val="24"/>
          <w:szCs w:val="24"/>
        </w:rPr>
        <w:t>advocate for</w:t>
      </w:r>
      <w:r w:rsidR="004D501B">
        <w:rPr>
          <w:rFonts w:ascii="Times New Roman" w:hAnsi="Times New Roman" w:cs="Times New Roman"/>
          <w:sz w:val="24"/>
          <w:szCs w:val="24"/>
        </w:rPr>
        <w:t xml:space="preserve"> AES Ohio’s</w:t>
      </w:r>
      <w:r w:rsidR="00C129C6" w:rsidRPr="004B23C6">
        <w:rPr>
          <w:rFonts w:ascii="Times New Roman" w:hAnsi="Times New Roman" w:cs="Times New Roman"/>
          <w:sz w:val="24"/>
          <w:szCs w:val="24"/>
        </w:rPr>
        <w:t xml:space="preserve"> residential utility consumers. </w:t>
      </w:r>
      <w:r w:rsidR="00366E44">
        <w:rPr>
          <w:rFonts w:ascii="Times New Roman" w:hAnsi="Times New Roman" w:cs="Times New Roman"/>
          <w:sz w:val="24"/>
          <w:szCs w:val="24"/>
        </w:rPr>
        <w:t xml:space="preserve">AES Ohio concedes that </w:t>
      </w:r>
      <w:r w:rsidR="001D3FC3" w:rsidRPr="004B23C6">
        <w:rPr>
          <w:rFonts w:ascii="Times New Roman" w:hAnsi="Times New Roman" w:cs="Times New Roman"/>
          <w:sz w:val="24"/>
          <w:szCs w:val="24"/>
        </w:rPr>
        <w:t>Ohio law provides that “[a]</w:t>
      </w:r>
      <w:proofErr w:type="spellStart"/>
      <w:r w:rsidR="001D3FC3" w:rsidRPr="004B23C6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1D3FC3" w:rsidRPr="004B23C6">
        <w:rPr>
          <w:rFonts w:ascii="Times New Roman" w:hAnsi="Times New Roman" w:cs="Times New Roman"/>
          <w:sz w:val="24"/>
          <w:szCs w:val="24"/>
        </w:rPr>
        <w:t xml:space="preserve"> parties and intervenors shall be granted ample rights of discovery” </w:t>
      </w:r>
      <w:r w:rsidR="001D3FC3" w:rsidRPr="004B23C6">
        <w:rPr>
          <w:rFonts w:ascii="Times New Roman" w:hAnsi="Times New Roman" w:cs="Times New Roman"/>
          <w:sz w:val="24"/>
          <w:szCs w:val="24"/>
        </w:rPr>
        <w:lastRenderedPageBreak/>
        <w:t>in proceedings before the PUCO.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D3FC3" w:rsidRPr="004B23C6">
        <w:rPr>
          <w:rFonts w:ascii="Times New Roman" w:hAnsi="Times New Roman" w:cs="Times New Roman"/>
          <w:sz w:val="24"/>
          <w:szCs w:val="24"/>
        </w:rPr>
        <w:t xml:space="preserve"> </w:t>
      </w:r>
      <w:r w:rsidR="0073634A">
        <w:rPr>
          <w:rFonts w:ascii="Times New Roman" w:hAnsi="Times New Roman" w:cs="Times New Roman"/>
          <w:sz w:val="24"/>
          <w:szCs w:val="24"/>
        </w:rPr>
        <w:t xml:space="preserve">AES Ohio </w:t>
      </w:r>
      <w:r w:rsidR="00A238CD">
        <w:rPr>
          <w:rFonts w:ascii="Times New Roman" w:hAnsi="Times New Roman" w:cs="Times New Roman"/>
          <w:sz w:val="24"/>
          <w:szCs w:val="24"/>
        </w:rPr>
        <w:t xml:space="preserve">also </w:t>
      </w:r>
      <w:r w:rsidR="0073634A">
        <w:rPr>
          <w:rFonts w:ascii="Times New Roman" w:hAnsi="Times New Roman" w:cs="Times New Roman"/>
          <w:sz w:val="24"/>
          <w:szCs w:val="24"/>
        </w:rPr>
        <w:t xml:space="preserve">acknowledges that discovery is permitted in cases where no hearing is scheduled. Despite the well-settled law and rules, </w:t>
      </w:r>
      <w:r w:rsidR="008860E0" w:rsidRPr="004B23C6">
        <w:rPr>
          <w:rFonts w:ascii="Times New Roman" w:hAnsi="Times New Roman" w:cs="Times New Roman"/>
          <w:sz w:val="24"/>
          <w:szCs w:val="24"/>
        </w:rPr>
        <w:t>AES Ohio</w:t>
      </w:r>
      <w:r w:rsidR="0073634A">
        <w:rPr>
          <w:rFonts w:ascii="Times New Roman" w:hAnsi="Times New Roman" w:cs="Times New Roman"/>
          <w:sz w:val="24"/>
          <w:szCs w:val="24"/>
        </w:rPr>
        <w:t xml:space="preserve"> has unilaterally decided that OCC’s discovery is not permitted.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73634A" w:rsidRPr="004B23C6">
        <w:rPr>
          <w:rFonts w:ascii="Times New Roman" w:hAnsi="Times New Roman" w:cs="Times New Roman"/>
          <w:sz w:val="24"/>
          <w:szCs w:val="24"/>
        </w:rPr>
        <w:t xml:space="preserve"> </w:t>
      </w:r>
      <w:r w:rsidR="009C1A41">
        <w:rPr>
          <w:rFonts w:ascii="Times New Roman" w:hAnsi="Times New Roman" w:cs="Times New Roman"/>
          <w:sz w:val="24"/>
          <w:szCs w:val="24"/>
        </w:rPr>
        <w:t>AES Ohio’s claims</w:t>
      </w:r>
      <w:r w:rsidR="004B0C8F">
        <w:rPr>
          <w:rFonts w:ascii="Times New Roman" w:hAnsi="Times New Roman" w:cs="Times New Roman"/>
          <w:sz w:val="24"/>
          <w:szCs w:val="24"/>
        </w:rPr>
        <w:t xml:space="preserve"> should be rejected.</w:t>
      </w:r>
      <w:r w:rsidR="008860E0" w:rsidRPr="004B2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92CB8" w14:textId="06E086E7" w:rsidR="00BC45CD" w:rsidRDefault="005D23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3C6">
        <w:rPr>
          <w:rFonts w:ascii="Times New Roman" w:hAnsi="Times New Roman" w:cs="Times New Roman"/>
          <w:sz w:val="24"/>
          <w:szCs w:val="24"/>
        </w:rPr>
        <w:t xml:space="preserve">The Supreme Court of Ohio recognizes and upholds a </w:t>
      </w:r>
      <w:r w:rsidR="00681E56">
        <w:rPr>
          <w:rFonts w:ascii="Times New Roman" w:hAnsi="Times New Roman" w:cs="Times New Roman"/>
          <w:sz w:val="24"/>
          <w:szCs w:val="24"/>
        </w:rPr>
        <w:t xml:space="preserve">broad </w:t>
      </w:r>
      <w:r w:rsidRPr="004B23C6">
        <w:rPr>
          <w:rFonts w:ascii="Times New Roman" w:hAnsi="Times New Roman" w:cs="Times New Roman"/>
          <w:sz w:val="24"/>
          <w:szCs w:val="24"/>
        </w:rPr>
        <w:t xml:space="preserve">right </w:t>
      </w:r>
      <w:r w:rsidR="00681E56">
        <w:rPr>
          <w:rFonts w:ascii="Times New Roman" w:hAnsi="Times New Roman" w:cs="Times New Roman"/>
          <w:sz w:val="24"/>
          <w:szCs w:val="24"/>
        </w:rPr>
        <w:t xml:space="preserve">of </w:t>
      </w:r>
      <w:r w:rsidRPr="004B23C6">
        <w:rPr>
          <w:rFonts w:ascii="Times New Roman" w:hAnsi="Times New Roman" w:cs="Times New Roman"/>
          <w:sz w:val="24"/>
          <w:szCs w:val="24"/>
        </w:rPr>
        <w:t>discovery on behalf of intervenors in proceedings before the PUCO.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4B23C6">
        <w:rPr>
          <w:rFonts w:ascii="Times New Roman" w:hAnsi="Times New Roman" w:cs="Times New Roman"/>
          <w:sz w:val="24"/>
          <w:szCs w:val="24"/>
        </w:rPr>
        <w:t xml:space="preserve"> </w:t>
      </w:r>
      <w:r w:rsidR="0073634A">
        <w:rPr>
          <w:rFonts w:ascii="Times New Roman" w:hAnsi="Times New Roman" w:cs="Times New Roman"/>
          <w:sz w:val="24"/>
          <w:szCs w:val="24"/>
        </w:rPr>
        <w:t>T</w:t>
      </w:r>
      <w:r w:rsidRPr="004B23C6">
        <w:rPr>
          <w:rFonts w:ascii="Times New Roman" w:hAnsi="Times New Roman" w:cs="Times New Roman"/>
          <w:sz w:val="24"/>
          <w:szCs w:val="24"/>
        </w:rPr>
        <w:t>here are no exceptions for situations in which a party to whom discovery is submitted can unilaterally determine that discovery is inappropriate in certain types of cases.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CF4681" w:rsidRPr="004B23C6">
        <w:rPr>
          <w:rFonts w:ascii="Times New Roman" w:hAnsi="Times New Roman" w:cs="Times New Roman"/>
          <w:sz w:val="24"/>
          <w:szCs w:val="24"/>
        </w:rPr>
        <w:t xml:space="preserve"> </w:t>
      </w:r>
      <w:r w:rsidR="0073634A">
        <w:rPr>
          <w:rFonts w:ascii="Times New Roman" w:hAnsi="Times New Roman" w:cs="Times New Roman"/>
          <w:sz w:val="24"/>
          <w:szCs w:val="24"/>
        </w:rPr>
        <w:t xml:space="preserve">But that is exactly what </w:t>
      </w:r>
      <w:r w:rsidR="00CF4681" w:rsidRPr="004B23C6">
        <w:rPr>
          <w:rFonts w:ascii="Times New Roman" w:hAnsi="Times New Roman" w:cs="Times New Roman"/>
          <w:sz w:val="24"/>
          <w:szCs w:val="24"/>
        </w:rPr>
        <w:t>AES Ohio</w:t>
      </w:r>
      <w:r w:rsidR="0073634A">
        <w:rPr>
          <w:rFonts w:ascii="Times New Roman" w:hAnsi="Times New Roman" w:cs="Times New Roman"/>
          <w:sz w:val="24"/>
          <w:szCs w:val="24"/>
        </w:rPr>
        <w:t xml:space="preserve"> has done here</w:t>
      </w:r>
      <w:r w:rsidR="00681E56">
        <w:rPr>
          <w:rFonts w:ascii="Times New Roman" w:hAnsi="Times New Roman" w:cs="Times New Roman"/>
          <w:sz w:val="24"/>
          <w:szCs w:val="24"/>
        </w:rPr>
        <w:t>.</w:t>
      </w:r>
      <w:r w:rsidR="008D7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6771B" w14:textId="569F2581" w:rsidR="00BC45CD" w:rsidRDefault="005D2347" w:rsidP="00BC45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AES Ohio ha</w:t>
      </w:r>
      <w:r w:rsidR="00366E44">
        <w:rPr>
          <w:rFonts w:ascii="Times New Roman" w:hAnsi="Times New Roman" w:cs="Times New Roman"/>
          <w:sz w:val="24"/>
          <w:szCs w:val="24"/>
        </w:rPr>
        <w:t>s</w:t>
      </w:r>
      <w:r w:rsidR="00CF4681" w:rsidRPr="004B23C6">
        <w:rPr>
          <w:rFonts w:ascii="Times New Roman" w:hAnsi="Times New Roman" w:cs="Times New Roman"/>
          <w:sz w:val="24"/>
          <w:szCs w:val="24"/>
        </w:rPr>
        <w:t xml:space="preserve"> </w:t>
      </w:r>
      <w:r w:rsidR="008E091E" w:rsidRPr="004B23C6">
        <w:rPr>
          <w:rFonts w:ascii="Times New Roman" w:hAnsi="Times New Roman" w:cs="Times New Roman"/>
          <w:sz w:val="24"/>
          <w:szCs w:val="24"/>
        </w:rPr>
        <w:t>unilaterally</w:t>
      </w:r>
      <w:r w:rsidR="00CF4681" w:rsidRPr="004B23C6">
        <w:rPr>
          <w:rFonts w:ascii="Times New Roman" w:hAnsi="Times New Roman" w:cs="Times New Roman"/>
          <w:sz w:val="24"/>
          <w:szCs w:val="24"/>
        </w:rPr>
        <w:t xml:space="preserve"> determine</w:t>
      </w:r>
      <w:r>
        <w:rPr>
          <w:rFonts w:ascii="Times New Roman" w:hAnsi="Times New Roman" w:cs="Times New Roman"/>
          <w:sz w:val="24"/>
          <w:szCs w:val="24"/>
        </w:rPr>
        <w:t>d</w:t>
      </w:r>
      <w:r w:rsidR="00CF4681" w:rsidRPr="004B23C6">
        <w:rPr>
          <w:rFonts w:ascii="Times New Roman" w:hAnsi="Times New Roman" w:cs="Times New Roman"/>
          <w:sz w:val="24"/>
          <w:szCs w:val="24"/>
        </w:rPr>
        <w:t xml:space="preserve"> that </w:t>
      </w:r>
      <w:r w:rsidR="00366E44">
        <w:rPr>
          <w:rFonts w:ascii="Times New Roman" w:hAnsi="Times New Roman" w:cs="Times New Roman"/>
          <w:sz w:val="24"/>
          <w:szCs w:val="24"/>
        </w:rPr>
        <w:t xml:space="preserve">OCC’s </w:t>
      </w:r>
      <w:r w:rsidR="00CF4681" w:rsidRPr="004B23C6">
        <w:rPr>
          <w:rFonts w:ascii="Times New Roman" w:hAnsi="Times New Roman" w:cs="Times New Roman"/>
          <w:sz w:val="24"/>
          <w:szCs w:val="24"/>
        </w:rPr>
        <w:t xml:space="preserve">discovery in this matter is </w:t>
      </w:r>
      <w:r w:rsidR="008E091E" w:rsidRPr="004B23C6">
        <w:rPr>
          <w:rFonts w:ascii="Times New Roman" w:hAnsi="Times New Roman" w:cs="Times New Roman"/>
          <w:sz w:val="24"/>
          <w:szCs w:val="24"/>
        </w:rPr>
        <w:t>no</w:t>
      </w:r>
      <w:r w:rsidR="00366E44">
        <w:rPr>
          <w:rFonts w:ascii="Times New Roman" w:hAnsi="Times New Roman" w:cs="Times New Roman"/>
          <w:sz w:val="24"/>
          <w:szCs w:val="24"/>
        </w:rPr>
        <w:t>t</w:t>
      </w:r>
      <w:r w:rsidR="008E091E" w:rsidRPr="004B23C6">
        <w:rPr>
          <w:rFonts w:ascii="Times New Roman" w:hAnsi="Times New Roman" w:cs="Times New Roman"/>
          <w:sz w:val="24"/>
          <w:szCs w:val="24"/>
        </w:rPr>
        <w:t xml:space="preserve"> </w:t>
      </w:r>
      <w:r w:rsidR="0073634A">
        <w:rPr>
          <w:rFonts w:ascii="Times New Roman" w:hAnsi="Times New Roman" w:cs="Times New Roman"/>
          <w:sz w:val="24"/>
          <w:szCs w:val="24"/>
        </w:rPr>
        <w:t>warranted</w:t>
      </w:r>
      <w:r w:rsidR="00A238CD">
        <w:rPr>
          <w:rFonts w:ascii="Times New Roman" w:hAnsi="Times New Roman" w:cs="Times New Roman"/>
          <w:sz w:val="24"/>
          <w:szCs w:val="24"/>
        </w:rPr>
        <w:t xml:space="preserve"> and that </w:t>
      </w:r>
      <w:r w:rsidR="00366E44">
        <w:rPr>
          <w:rFonts w:ascii="Times New Roman" w:hAnsi="Times New Roman" w:cs="Times New Roman"/>
          <w:sz w:val="24"/>
          <w:szCs w:val="24"/>
        </w:rPr>
        <w:t>how AES Ohio plans to spend the money it charges consumers through the DIR</w:t>
      </w:r>
      <w:r w:rsidR="00A238CD">
        <w:rPr>
          <w:rFonts w:ascii="Times New Roman" w:hAnsi="Times New Roman" w:cs="Times New Roman"/>
          <w:sz w:val="24"/>
          <w:szCs w:val="24"/>
        </w:rPr>
        <w:t xml:space="preserve"> is not relevant</w:t>
      </w:r>
      <w:r w:rsidR="0073634A">
        <w:rPr>
          <w:rFonts w:ascii="Times New Roman" w:hAnsi="Times New Roman" w:cs="Times New Roman"/>
          <w:sz w:val="24"/>
          <w:szCs w:val="24"/>
        </w:rPr>
        <w:t>.</w:t>
      </w:r>
      <w:r w:rsidR="008E091E" w:rsidRPr="004B2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AES Ohio claims that OCC has no right to discovery in this case because AES Ohio’s filing “is merely informational, and nothing is at stake in this docket.”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CFDA4" w14:textId="5EA5AE31" w:rsidR="00BC45CD" w:rsidRDefault="005D2347" w:rsidP="004708C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could be further from the truth.</w:t>
      </w:r>
      <w:r w:rsidR="00F94A08">
        <w:rPr>
          <w:rFonts w:ascii="Times New Roman" w:hAnsi="Times New Roman" w:cs="Times New Roman"/>
          <w:sz w:val="24"/>
          <w:szCs w:val="24"/>
        </w:rPr>
        <w:t xml:space="preserve"> </w:t>
      </w:r>
      <w:r w:rsidR="00366E44">
        <w:rPr>
          <w:rFonts w:ascii="Times New Roman" w:hAnsi="Times New Roman" w:cs="Times New Roman"/>
          <w:sz w:val="24"/>
          <w:szCs w:val="24"/>
        </w:rPr>
        <w:t>Residential utility consumers, who</w:t>
      </w:r>
      <w:r w:rsidR="0073634A">
        <w:rPr>
          <w:rFonts w:ascii="Times New Roman" w:hAnsi="Times New Roman" w:cs="Times New Roman"/>
          <w:sz w:val="24"/>
          <w:szCs w:val="24"/>
        </w:rPr>
        <w:t xml:space="preserve"> pay </w:t>
      </w:r>
      <w:r w:rsidR="00E660EF">
        <w:rPr>
          <w:rFonts w:ascii="Times New Roman" w:hAnsi="Times New Roman" w:cs="Times New Roman"/>
          <w:sz w:val="24"/>
          <w:szCs w:val="24"/>
        </w:rPr>
        <w:t xml:space="preserve">a return on and of </w:t>
      </w:r>
      <w:r w:rsidR="0073634A">
        <w:rPr>
          <w:rFonts w:ascii="Times New Roman" w:hAnsi="Times New Roman" w:cs="Times New Roman"/>
          <w:sz w:val="24"/>
          <w:szCs w:val="24"/>
        </w:rPr>
        <w:t>AES Ohio’s DIR investments</w:t>
      </w:r>
      <w:r w:rsidR="00366E44">
        <w:rPr>
          <w:rFonts w:ascii="Times New Roman" w:hAnsi="Times New Roman" w:cs="Times New Roman"/>
          <w:sz w:val="24"/>
          <w:szCs w:val="24"/>
        </w:rPr>
        <w:t>, should be permitted reasonable discovery regarding AES Ohio’s DIR workplan.</w:t>
      </w:r>
      <w:r w:rsidR="008D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Consumers should have input and a right to challenge how their money is spen</w:t>
      </w:r>
      <w:r w:rsidR="001D3223">
        <w:rPr>
          <w:rFonts w:ascii="Times New Roman" w:hAnsi="Times New Roman" w:cs="Times New Roman"/>
          <w:sz w:val="24"/>
          <w:szCs w:val="24"/>
        </w:rPr>
        <w:t>t.</w:t>
      </w:r>
      <w:r w:rsidR="00F94A08">
        <w:rPr>
          <w:rFonts w:ascii="Times New Roman" w:hAnsi="Times New Roman" w:cs="Times New Roman"/>
          <w:sz w:val="24"/>
          <w:szCs w:val="24"/>
        </w:rPr>
        <w:t xml:space="preserve"> </w:t>
      </w:r>
      <w:r w:rsidR="001D3223">
        <w:rPr>
          <w:rFonts w:ascii="Times New Roman" w:hAnsi="Times New Roman" w:cs="Times New Roman"/>
          <w:sz w:val="24"/>
          <w:szCs w:val="24"/>
        </w:rPr>
        <w:t xml:space="preserve">This is especially true when the </w:t>
      </w:r>
      <w:r w:rsidR="00E660EF">
        <w:rPr>
          <w:rFonts w:ascii="Times New Roman" w:hAnsi="Times New Roman" w:cs="Times New Roman"/>
          <w:sz w:val="24"/>
          <w:szCs w:val="24"/>
        </w:rPr>
        <w:t>utility investments are</w:t>
      </w:r>
      <w:r w:rsidR="001D3223">
        <w:rPr>
          <w:rFonts w:ascii="Times New Roman" w:hAnsi="Times New Roman" w:cs="Times New Roman"/>
          <w:sz w:val="24"/>
          <w:szCs w:val="24"/>
        </w:rPr>
        <w:t xml:space="preserve"> to address reliable service to consumers, something AES has repeatedly failed to achieve in the last few years.</w:t>
      </w:r>
      <w:r w:rsidR="00F94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AES Ohio’s </w:t>
      </w:r>
      <w:r>
        <w:rPr>
          <w:rFonts w:ascii="Times New Roman" w:hAnsi="Times New Roman" w:cs="Times New Roman"/>
          <w:sz w:val="24"/>
          <w:szCs w:val="24"/>
        </w:rPr>
        <w:lastRenderedPageBreak/>
        <w:t>argument is not well-taken. OCC has a right to inquire whether the projects described in the work plan are reasonable</w:t>
      </w:r>
      <w:r w:rsidR="00E660EF">
        <w:rPr>
          <w:rFonts w:ascii="Times New Roman" w:hAnsi="Times New Roman" w:cs="Times New Roman"/>
          <w:sz w:val="24"/>
          <w:szCs w:val="24"/>
        </w:rPr>
        <w:t>, will address AES’s reliability issues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660EF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within the scope of Rider DIR. </w:t>
      </w:r>
    </w:p>
    <w:p w14:paraId="773C11F1" w14:textId="455E9B72" w:rsidR="0006119A" w:rsidRDefault="005D2347" w:rsidP="000611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23C6">
        <w:rPr>
          <w:rFonts w:ascii="Times New Roman" w:hAnsi="Times New Roman" w:cs="Times New Roman"/>
          <w:sz w:val="24"/>
          <w:szCs w:val="24"/>
        </w:rPr>
        <w:tab/>
        <w:t>AES Ohio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681E56">
        <w:rPr>
          <w:rFonts w:ascii="Times New Roman" w:hAnsi="Times New Roman" w:cs="Times New Roman"/>
          <w:sz w:val="24"/>
          <w:szCs w:val="24"/>
        </w:rPr>
        <w:t xml:space="preserve">broad, conclusory objections </w:t>
      </w:r>
      <w:r w:rsidRPr="004B23C6">
        <w:rPr>
          <w:rFonts w:ascii="Times New Roman" w:hAnsi="Times New Roman" w:cs="Times New Roman"/>
          <w:sz w:val="24"/>
          <w:szCs w:val="24"/>
        </w:rPr>
        <w:t xml:space="preserve">to OCC’s discovery requests </w:t>
      </w:r>
      <w:r>
        <w:rPr>
          <w:rFonts w:ascii="Times New Roman" w:hAnsi="Times New Roman" w:cs="Times New Roman"/>
          <w:sz w:val="24"/>
          <w:szCs w:val="24"/>
        </w:rPr>
        <w:t>do not meet the</w:t>
      </w:r>
      <w:r w:rsidR="00F94A08">
        <w:rPr>
          <w:rFonts w:ascii="Times New Roman" w:hAnsi="Times New Roman" w:cs="Times New Roman"/>
          <w:sz w:val="24"/>
          <w:szCs w:val="24"/>
        </w:rPr>
        <w:t xml:space="preserve"> </w:t>
      </w:r>
      <w:r w:rsidRPr="004B23C6">
        <w:rPr>
          <w:rFonts w:ascii="Times New Roman" w:hAnsi="Times New Roman" w:cs="Times New Roman"/>
          <w:sz w:val="24"/>
          <w:szCs w:val="24"/>
        </w:rPr>
        <w:t>burden of demonstrating that the requested information is not relevant or falls outside the scope of discovery in this matter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301C">
        <w:rPr>
          <w:rFonts w:ascii="Times New Roman" w:hAnsi="Times New Roman" w:cs="Times New Roman"/>
          <w:sz w:val="24"/>
          <w:szCs w:val="24"/>
        </w:rPr>
        <w:t xml:space="preserve"> </w:t>
      </w:r>
      <w:r w:rsidR="002751CA" w:rsidRPr="004B23C6">
        <w:rPr>
          <w:rFonts w:ascii="Times New Roman" w:hAnsi="Times New Roman" w:cs="Times New Roman"/>
          <w:sz w:val="24"/>
          <w:szCs w:val="24"/>
        </w:rPr>
        <w:t>AES Ohio argues that OCC’s discovery requests are overly broad and/or unduly burdensome,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2751CA" w:rsidRPr="004B23C6">
        <w:rPr>
          <w:rFonts w:ascii="Times New Roman" w:hAnsi="Times New Roman" w:cs="Times New Roman"/>
          <w:sz w:val="24"/>
          <w:szCs w:val="24"/>
        </w:rPr>
        <w:t xml:space="preserve"> yet provides no specified basis or justification for this claim in any way.</w:t>
      </w:r>
      <w:r w:rsidR="00893792" w:rsidRPr="004B23C6">
        <w:rPr>
          <w:rFonts w:ascii="Times New Roman" w:hAnsi="Times New Roman" w:cs="Times New Roman"/>
          <w:sz w:val="24"/>
          <w:szCs w:val="24"/>
        </w:rPr>
        <w:t xml:space="preserve"> Rather, AES Ohio raises only generalized objections regarding OCC’s discovery requests being “overly broad” or “und</w:t>
      </w:r>
      <w:r w:rsidR="008E091E" w:rsidRPr="004B23C6">
        <w:rPr>
          <w:rFonts w:ascii="Times New Roman" w:hAnsi="Times New Roman" w:cs="Times New Roman"/>
          <w:sz w:val="24"/>
          <w:szCs w:val="24"/>
        </w:rPr>
        <w:t>ue</w:t>
      </w:r>
      <w:r w:rsidR="00893792" w:rsidRPr="004B23C6">
        <w:rPr>
          <w:rFonts w:ascii="Times New Roman" w:hAnsi="Times New Roman" w:cs="Times New Roman"/>
          <w:sz w:val="24"/>
          <w:szCs w:val="24"/>
        </w:rPr>
        <w:t xml:space="preserve"> burdens,” effectively indicating that </w:t>
      </w:r>
      <w:r w:rsidR="00893792" w:rsidRPr="004B23C6">
        <w:rPr>
          <w:rFonts w:ascii="Times New Roman" w:hAnsi="Times New Roman" w:cs="Times New Roman"/>
          <w:i/>
          <w:iCs/>
          <w:sz w:val="24"/>
          <w:szCs w:val="24"/>
        </w:rPr>
        <w:t>any</w:t>
      </w:r>
      <w:r w:rsidR="00893792" w:rsidRPr="004B23C6">
        <w:rPr>
          <w:rFonts w:ascii="Times New Roman" w:hAnsi="Times New Roman" w:cs="Times New Roman"/>
          <w:sz w:val="24"/>
          <w:szCs w:val="24"/>
        </w:rPr>
        <w:t xml:space="preserve"> discovery requests in this matter would fall outside the scope of the proceedings and/or prove to be “unduly burdensome.”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893792" w:rsidRPr="004B2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5ADBC" w14:textId="3BD1B5E6" w:rsidR="008C4B22" w:rsidRDefault="005D2347" w:rsidP="004708C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3C6">
        <w:rPr>
          <w:rFonts w:ascii="Times New Roman" w:hAnsi="Times New Roman" w:cs="Times New Roman"/>
          <w:sz w:val="24"/>
          <w:szCs w:val="24"/>
        </w:rPr>
        <w:t xml:space="preserve">As opposed to these </w:t>
      </w:r>
      <w:r w:rsidRPr="004B23C6">
        <w:rPr>
          <w:rFonts w:ascii="Times New Roman" w:hAnsi="Times New Roman" w:cs="Times New Roman"/>
          <w:sz w:val="24"/>
          <w:szCs w:val="24"/>
        </w:rPr>
        <w:t>general objections, AES Ohio</w:t>
      </w:r>
      <w:r w:rsidR="00206BD8" w:rsidRPr="004B23C6">
        <w:rPr>
          <w:rFonts w:ascii="Times New Roman" w:hAnsi="Times New Roman" w:cs="Times New Roman"/>
          <w:sz w:val="24"/>
          <w:szCs w:val="24"/>
        </w:rPr>
        <w:t>, as the objecting party,</w:t>
      </w:r>
      <w:r w:rsidRPr="004B23C6">
        <w:rPr>
          <w:rFonts w:ascii="Times New Roman" w:hAnsi="Times New Roman" w:cs="Times New Roman"/>
          <w:sz w:val="24"/>
          <w:szCs w:val="24"/>
        </w:rPr>
        <w:t xml:space="preserve"> must show specifically how, despite the broad and liberal interpretation granted to discovery rules, </w:t>
      </w:r>
      <w:r w:rsidRPr="004B23C6">
        <w:rPr>
          <w:rFonts w:ascii="Times New Roman" w:hAnsi="Times New Roman" w:cs="Times New Roman"/>
          <w:i/>
          <w:iCs/>
          <w:sz w:val="24"/>
          <w:szCs w:val="24"/>
        </w:rPr>
        <w:t>each</w:t>
      </w:r>
      <w:r w:rsidRPr="004B23C6">
        <w:rPr>
          <w:rFonts w:ascii="Times New Roman" w:hAnsi="Times New Roman" w:cs="Times New Roman"/>
          <w:sz w:val="24"/>
          <w:szCs w:val="24"/>
        </w:rPr>
        <w:t xml:space="preserve"> interrogatory is overly broad, burdensome, or oppressive.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4B23C6">
        <w:rPr>
          <w:rFonts w:ascii="Times New Roman" w:hAnsi="Times New Roman" w:cs="Times New Roman"/>
          <w:sz w:val="24"/>
          <w:szCs w:val="24"/>
        </w:rPr>
        <w:t xml:space="preserve"> AES Ohio has not done so. Accordingly, AES Ohio’s objections lack necessary specificity and must be overruled</w:t>
      </w:r>
      <w:r w:rsidR="00DF65D0">
        <w:rPr>
          <w:rFonts w:ascii="Times New Roman" w:hAnsi="Times New Roman" w:cs="Times New Roman"/>
          <w:sz w:val="24"/>
          <w:szCs w:val="24"/>
        </w:rPr>
        <w:t>.</w:t>
      </w:r>
      <w:r w:rsidRPr="004B23C6">
        <w:rPr>
          <w:rFonts w:ascii="Times New Roman" w:hAnsi="Times New Roman" w:cs="Times New Roman"/>
          <w:sz w:val="24"/>
          <w:szCs w:val="24"/>
        </w:rPr>
        <w:t xml:space="preserve"> </w:t>
      </w:r>
      <w:r w:rsidR="00DF65D0">
        <w:rPr>
          <w:rFonts w:ascii="Times New Roman" w:hAnsi="Times New Roman" w:cs="Times New Roman"/>
          <w:sz w:val="24"/>
          <w:szCs w:val="24"/>
        </w:rPr>
        <w:t>The PUCO should order</w:t>
      </w:r>
      <w:r w:rsidRPr="004B23C6">
        <w:rPr>
          <w:rFonts w:ascii="Times New Roman" w:hAnsi="Times New Roman" w:cs="Times New Roman"/>
          <w:sz w:val="24"/>
          <w:szCs w:val="24"/>
        </w:rPr>
        <w:t xml:space="preserve"> AES Ohio to respond to OCC’s discovery requests.</w:t>
      </w:r>
    </w:p>
    <w:p w14:paraId="3C5F0B60" w14:textId="31D54159" w:rsidR="00C255D6" w:rsidRDefault="005D2347" w:rsidP="00352F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these reasons, the PUCO should grant OCC’s Motion to Compel and direct AES Ohio to respond </w:t>
      </w:r>
      <w:r w:rsidR="0006119A">
        <w:rPr>
          <w:rFonts w:ascii="Times New Roman" w:hAnsi="Times New Roman" w:cs="Times New Roman"/>
          <w:sz w:val="24"/>
          <w:szCs w:val="24"/>
        </w:rPr>
        <w:t xml:space="preserve">immediately </w:t>
      </w:r>
      <w:r>
        <w:rPr>
          <w:rFonts w:ascii="Times New Roman" w:hAnsi="Times New Roman" w:cs="Times New Roman"/>
          <w:sz w:val="24"/>
          <w:szCs w:val="24"/>
        </w:rPr>
        <w:t>to OCC’s discovery.</w:t>
      </w:r>
    </w:p>
    <w:p w14:paraId="03319F0B" w14:textId="77777777" w:rsidR="00DC301C" w:rsidRDefault="005D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C6C6CD" w14:textId="6D056647" w:rsidR="008C4B22" w:rsidRPr="00E657CE" w:rsidRDefault="005D2347" w:rsidP="008C4B22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lastRenderedPageBreak/>
        <w:t>Respectfully submitted,</w:t>
      </w:r>
    </w:p>
    <w:p w14:paraId="7B92A3DF" w14:textId="53ECACDC" w:rsidR="008C4B22" w:rsidRPr="00E657CE" w:rsidRDefault="005D2347" w:rsidP="008C4B22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t>Maureen R. Willis (0020847)</w:t>
      </w:r>
    </w:p>
    <w:p w14:paraId="43A58F42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t>Ohio Consumers’ Counsel</w:t>
      </w:r>
    </w:p>
    <w:p w14:paraId="4175AA86" w14:textId="77777777" w:rsidR="008C4B22" w:rsidRPr="00E657CE" w:rsidRDefault="008C4B22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5A1B9E76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657CE">
        <w:rPr>
          <w:rFonts w:ascii="Times New Roman" w:hAnsi="Times New Roman" w:cs="Times New Roman"/>
          <w:i/>
          <w:iCs/>
          <w:sz w:val="24"/>
          <w:szCs w:val="24"/>
          <w:u w:val="single"/>
        </w:rPr>
        <w:t>/s/ John Finnigan</w:t>
      </w:r>
      <w:r w:rsidRPr="00E657CE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E657CE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14:paraId="709AEF27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t>John Finnigan (0018689)</w:t>
      </w:r>
    </w:p>
    <w:p w14:paraId="02D5A6A7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t>Counsel of Record</w:t>
      </w:r>
    </w:p>
    <w:p w14:paraId="59671554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t>Thomas Brodbeck (0093920)</w:t>
      </w:r>
      <w:r w:rsidRPr="00E657CE">
        <w:rPr>
          <w:rFonts w:ascii="Times New Roman" w:hAnsi="Times New Roman" w:cs="Times New Roman"/>
          <w:sz w:val="24"/>
          <w:szCs w:val="24"/>
        </w:rPr>
        <w:tab/>
      </w:r>
    </w:p>
    <w:p w14:paraId="62AA2E5A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t>Assistant Consumers’ Counsel</w:t>
      </w:r>
    </w:p>
    <w:p w14:paraId="35C126AF" w14:textId="77777777" w:rsidR="008C4B22" w:rsidRPr="00E657CE" w:rsidRDefault="008C4B22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4DF5E84E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E657CE">
        <w:rPr>
          <w:rFonts w:ascii="Times New Roman" w:hAnsi="Times New Roman" w:cs="Times New Roman"/>
          <w:b/>
          <w:bCs/>
          <w:sz w:val="24"/>
          <w:szCs w:val="24"/>
        </w:rPr>
        <w:t xml:space="preserve">Office of the Ohio Consumers’ </w:t>
      </w:r>
      <w:r w:rsidRPr="00E657CE">
        <w:rPr>
          <w:rFonts w:ascii="Times New Roman" w:hAnsi="Times New Roman" w:cs="Times New Roman"/>
          <w:b/>
          <w:bCs/>
          <w:sz w:val="24"/>
          <w:szCs w:val="24"/>
        </w:rPr>
        <w:t>Counsel</w:t>
      </w:r>
    </w:p>
    <w:p w14:paraId="6DDDE547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t>65 East State Street, Suite 700</w:t>
      </w:r>
    </w:p>
    <w:p w14:paraId="74B1D90A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t>Columbus, Ohio 43215</w:t>
      </w:r>
    </w:p>
    <w:p w14:paraId="65E04566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t>Telephone [Finnigan]: (614) 466-9585</w:t>
      </w:r>
    </w:p>
    <w:p w14:paraId="67D34221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t>Telephone [Brodbeck]: (614) 466-9565</w:t>
      </w:r>
    </w:p>
    <w:p w14:paraId="2E9CD14B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657CE">
          <w:rPr>
            <w:rStyle w:val="Hyperlink"/>
            <w:rFonts w:ascii="Times New Roman" w:hAnsi="Times New Roman" w:cs="Times New Roman"/>
            <w:sz w:val="24"/>
            <w:szCs w:val="24"/>
          </w:rPr>
          <w:t>john.finnigan@occ.ohio.gov</w:t>
        </w:r>
      </w:hyperlink>
    </w:p>
    <w:p w14:paraId="5115F3E6" w14:textId="77777777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657CE">
          <w:rPr>
            <w:rStyle w:val="Hyperlink"/>
            <w:rFonts w:ascii="Times New Roman" w:hAnsi="Times New Roman" w:cs="Times New Roman"/>
            <w:sz w:val="24"/>
            <w:szCs w:val="24"/>
          </w:rPr>
          <w:t>Thomas.brodbeck@occ.ohio.gov</w:t>
        </w:r>
      </w:hyperlink>
    </w:p>
    <w:p w14:paraId="523AAD99" w14:textId="07C765D3" w:rsidR="008C4B22" w:rsidRPr="00E657CE" w:rsidRDefault="005D2347" w:rsidP="008C4B2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657CE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14:paraId="30D18560" w14:textId="50C649A1" w:rsidR="008C4B22" w:rsidRPr="0028472F" w:rsidRDefault="005D2347" w:rsidP="00C63D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7CE">
        <w:rPr>
          <w:rFonts w:ascii="Times New Roman" w:hAnsi="Times New Roman" w:cs="Times New Roman"/>
          <w:sz w:val="24"/>
          <w:szCs w:val="24"/>
        </w:rPr>
        <w:br w:type="page"/>
      </w:r>
      <w:r w:rsidRPr="0028472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CERTIFICATE OF SERVICE</w:t>
      </w:r>
    </w:p>
    <w:p w14:paraId="70F693DB" w14:textId="50286DBD" w:rsidR="008C4B22" w:rsidRPr="0028472F" w:rsidRDefault="005D2347" w:rsidP="00EF53ED">
      <w:pPr>
        <w:pStyle w:val="Footer"/>
        <w:tabs>
          <w:tab w:val="left" w:pos="4320"/>
        </w:tabs>
        <w:spacing w:line="480" w:lineRule="auto"/>
        <w:ind w:firstLine="720"/>
        <w:rPr>
          <w:rFonts w:ascii="Times New Roman" w:hAnsi="Times New Roman" w:cs="Times New Roman"/>
          <w:i/>
          <w:iCs/>
        </w:rPr>
      </w:pPr>
      <w:r w:rsidRPr="0028472F">
        <w:rPr>
          <w:rFonts w:ascii="Times New Roman" w:hAnsi="Times New Roman" w:cs="Times New Roman"/>
        </w:rPr>
        <w:t xml:space="preserve">I hereby certify that a copy of this </w:t>
      </w:r>
      <w:r w:rsidR="00EF53ED" w:rsidRPr="0028472F">
        <w:rPr>
          <w:rFonts w:ascii="Times New Roman" w:hAnsi="Times New Roman" w:cs="Times New Roman"/>
          <w:bCs/>
        </w:rPr>
        <w:t xml:space="preserve">Reply Memorandum </w:t>
      </w:r>
      <w:r w:rsidR="00974538">
        <w:rPr>
          <w:rFonts w:ascii="Times New Roman" w:hAnsi="Times New Roman" w:cs="Times New Roman"/>
          <w:bCs/>
        </w:rPr>
        <w:t>b</w:t>
      </w:r>
      <w:r w:rsidR="00EF53ED" w:rsidRPr="0028472F">
        <w:rPr>
          <w:rFonts w:ascii="Times New Roman" w:hAnsi="Times New Roman" w:cs="Times New Roman"/>
          <w:bCs/>
        </w:rPr>
        <w:t xml:space="preserve">y Office </w:t>
      </w:r>
      <w:r w:rsidR="00974538">
        <w:rPr>
          <w:rFonts w:ascii="Times New Roman" w:hAnsi="Times New Roman" w:cs="Times New Roman"/>
          <w:bCs/>
        </w:rPr>
        <w:t>of</w:t>
      </w:r>
      <w:r w:rsidR="00EF53ED" w:rsidRPr="0028472F">
        <w:rPr>
          <w:rFonts w:ascii="Times New Roman" w:hAnsi="Times New Roman" w:cs="Times New Roman"/>
          <w:bCs/>
        </w:rPr>
        <w:t xml:space="preserve"> </w:t>
      </w:r>
      <w:r w:rsidR="00503FC6">
        <w:rPr>
          <w:rFonts w:ascii="Times New Roman" w:hAnsi="Times New Roman" w:cs="Times New Roman"/>
          <w:bCs/>
        </w:rPr>
        <w:t xml:space="preserve">The </w:t>
      </w:r>
      <w:r w:rsidR="00EF53ED" w:rsidRPr="0028472F">
        <w:rPr>
          <w:rFonts w:ascii="Times New Roman" w:hAnsi="Times New Roman" w:cs="Times New Roman"/>
          <w:bCs/>
        </w:rPr>
        <w:t xml:space="preserve">Ohio Consumers’ Counsel </w:t>
      </w:r>
      <w:r w:rsidRPr="0028472F">
        <w:rPr>
          <w:rFonts w:ascii="Times New Roman" w:hAnsi="Times New Roman" w:cs="Times New Roman"/>
        </w:rPr>
        <w:t xml:space="preserve">was served on the persons stated below via electronic transmission this </w:t>
      </w:r>
      <w:r w:rsidR="00C63D80" w:rsidRPr="0028472F">
        <w:rPr>
          <w:rFonts w:ascii="Times New Roman" w:hAnsi="Times New Roman" w:cs="Times New Roman"/>
        </w:rPr>
        <w:t>29</w:t>
      </w:r>
      <w:r w:rsidRPr="0028472F">
        <w:rPr>
          <w:rFonts w:ascii="Times New Roman" w:hAnsi="Times New Roman" w:cs="Times New Roman"/>
          <w:vertAlign w:val="superscript"/>
        </w:rPr>
        <w:t>th</w:t>
      </w:r>
      <w:r w:rsidRPr="0028472F">
        <w:rPr>
          <w:rFonts w:ascii="Times New Roman" w:hAnsi="Times New Roman" w:cs="Times New Roman"/>
        </w:rPr>
        <w:t xml:space="preserve"> day of April, 2024.</w:t>
      </w:r>
    </w:p>
    <w:p w14:paraId="3E932C8C" w14:textId="77777777" w:rsidR="008C4B22" w:rsidRPr="0028472F" w:rsidRDefault="005D2347" w:rsidP="008C4B2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8472F">
        <w:rPr>
          <w:rFonts w:ascii="Times New Roman" w:hAnsi="Times New Roman" w:cs="Times New Roman"/>
          <w:sz w:val="24"/>
          <w:szCs w:val="24"/>
        </w:rPr>
        <w:tab/>
      </w:r>
      <w:r w:rsidRPr="0028472F">
        <w:rPr>
          <w:rFonts w:ascii="Times New Roman" w:hAnsi="Times New Roman" w:cs="Times New Roman"/>
          <w:i/>
          <w:iCs/>
          <w:sz w:val="24"/>
          <w:szCs w:val="24"/>
          <w:u w:val="single"/>
        </w:rPr>
        <w:t>/s/ John Finnigan</w:t>
      </w:r>
      <w:r w:rsidRPr="0028472F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8472F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14:paraId="2F20D798" w14:textId="77777777" w:rsidR="008C4B22" w:rsidRPr="0028472F" w:rsidRDefault="005D2347" w:rsidP="008C4B2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2F">
        <w:rPr>
          <w:rFonts w:ascii="Times New Roman" w:hAnsi="Times New Roman" w:cs="Times New Roman"/>
          <w:sz w:val="24"/>
          <w:szCs w:val="24"/>
        </w:rPr>
        <w:tab/>
        <w:t>John Finnigan</w:t>
      </w:r>
    </w:p>
    <w:p w14:paraId="19FBA8CE" w14:textId="77777777" w:rsidR="008C4B22" w:rsidRPr="0028472F" w:rsidRDefault="005D2347" w:rsidP="008C4B2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2F">
        <w:rPr>
          <w:rFonts w:ascii="Times New Roman" w:hAnsi="Times New Roman" w:cs="Times New Roman"/>
          <w:sz w:val="24"/>
          <w:szCs w:val="24"/>
        </w:rPr>
        <w:tab/>
        <w:t>Assistant Consumers’ Counsel</w:t>
      </w:r>
    </w:p>
    <w:p w14:paraId="66879E5B" w14:textId="77777777" w:rsidR="008C4B22" w:rsidRPr="0028472F" w:rsidRDefault="008C4B22" w:rsidP="008C4B22">
      <w:pPr>
        <w:pStyle w:val="CommentSubject"/>
        <w:rPr>
          <w:szCs w:val="24"/>
        </w:rPr>
      </w:pPr>
    </w:p>
    <w:p w14:paraId="7BD2F9BF" w14:textId="77777777" w:rsidR="008C4B22" w:rsidRPr="0028472F" w:rsidRDefault="005D2347" w:rsidP="008C4B22">
      <w:pPr>
        <w:rPr>
          <w:rFonts w:ascii="Times New Roman" w:hAnsi="Times New Roman" w:cs="Times New Roman"/>
          <w:sz w:val="24"/>
          <w:szCs w:val="24"/>
        </w:rPr>
      </w:pPr>
      <w:r w:rsidRPr="0028472F">
        <w:rPr>
          <w:rFonts w:ascii="Times New Roman" w:hAnsi="Times New Roman" w:cs="Times New Roman"/>
          <w:sz w:val="24"/>
          <w:szCs w:val="24"/>
        </w:rPr>
        <w:t xml:space="preserve">The PUCO’s e-filing system will electronically serve notice of </w:t>
      </w:r>
      <w:r w:rsidRPr="0028472F">
        <w:rPr>
          <w:rFonts w:ascii="Times New Roman" w:hAnsi="Times New Roman" w:cs="Times New Roman"/>
          <w:sz w:val="24"/>
          <w:szCs w:val="24"/>
        </w:rPr>
        <w:t>the filing of this document on the following parties:</w:t>
      </w:r>
    </w:p>
    <w:p w14:paraId="67C41BC8" w14:textId="77777777" w:rsidR="008C4B22" w:rsidRPr="0028472F" w:rsidRDefault="008C4B22" w:rsidP="008C4B22">
      <w:pPr>
        <w:rPr>
          <w:rFonts w:ascii="Times New Roman" w:hAnsi="Times New Roman" w:cs="Times New Roman"/>
          <w:sz w:val="24"/>
          <w:szCs w:val="24"/>
        </w:rPr>
      </w:pPr>
    </w:p>
    <w:p w14:paraId="696AAA2F" w14:textId="77777777" w:rsidR="008C4B22" w:rsidRPr="0028472F" w:rsidRDefault="005D2347" w:rsidP="008C4B22">
      <w:pPr>
        <w:pStyle w:val="CommentText"/>
        <w:jc w:val="center"/>
        <w:rPr>
          <w:b/>
          <w:u w:val="single"/>
        </w:rPr>
      </w:pPr>
      <w:r w:rsidRPr="0028472F">
        <w:rPr>
          <w:b/>
          <w:u w:val="single"/>
        </w:rPr>
        <w:t>SERVICE LIST</w:t>
      </w:r>
    </w:p>
    <w:p w14:paraId="3C0FC7CF" w14:textId="77777777" w:rsidR="008C4B22" w:rsidRPr="0028472F" w:rsidRDefault="008C4B22" w:rsidP="008C4B22">
      <w:pPr>
        <w:pStyle w:val="CommentTex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4094F" w14:paraId="13FE9EFC" w14:textId="77777777" w:rsidTr="006F08DA">
        <w:tc>
          <w:tcPr>
            <w:tcW w:w="4315" w:type="dxa"/>
            <w:shd w:val="clear" w:color="auto" w:fill="auto"/>
          </w:tcPr>
          <w:p w14:paraId="447117E8" w14:textId="77777777" w:rsidR="008C4B22" w:rsidRPr="0028472F" w:rsidRDefault="005D2347" w:rsidP="006F08DA">
            <w:pPr>
              <w:pStyle w:val="CommentText"/>
              <w:ind w:left="-105"/>
              <w:rPr>
                <w:rStyle w:val="Hyperlink"/>
                <w:rFonts w:eastAsiaTheme="majorEastAsia"/>
                <w:bCs/>
              </w:rPr>
            </w:pPr>
            <w:hyperlink r:id="rId9" w:history="1">
              <w:r w:rsidRPr="0028472F">
                <w:rPr>
                  <w:rStyle w:val="Hyperlink"/>
                  <w:rFonts w:eastAsiaTheme="majorEastAsia"/>
                  <w:bCs/>
                </w:rPr>
                <w:t>John.jones@ohioago.gov</w:t>
              </w:r>
            </w:hyperlink>
          </w:p>
          <w:p w14:paraId="41AEF29A" w14:textId="77777777" w:rsidR="008C4B22" w:rsidRPr="0028472F" w:rsidRDefault="008C4B22" w:rsidP="006F08DA">
            <w:pPr>
              <w:pStyle w:val="CommentText"/>
              <w:ind w:left="-105"/>
              <w:rPr>
                <w:bCs/>
              </w:rPr>
            </w:pPr>
          </w:p>
          <w:p w14:paraId="6F9DD72F" w14:textId="77777777" w:rsidR="008C4B22" w:rsidRPr="0028472F" w:rsidRDefault="005D2347" w:rsidP="006F08DA">
            <w:pPr>
              <w:pStyle w:val="CommentText"/>
              <w:ind w:left="-105"/>
              <w:rPr>
                <w:bCs/>
              </w:rPr>
            </w:pPr>
            <w:r w:rsidRPr="0028472F">
              <w:rPr>
                <w:bCs/>
              </w:rPr>
              <w:t>Attorney Examiners:</w:t>
            </w:r>
          </w:p>
          <w:p w14:paraId="15550CBB" w14:textId="77777777" w:rsidR="008C4B22" w:rsidRPr="0028472F" w:rsidRDefault="005D2347" w:rsidP="006F08DA">
            <w:pPr>
              <w:pStyle w:val="CommentText"/>
              <w:ind w:left="-105"/>
              <w:jc w:val="both"/>
              <w:rPr>
                <w:bCs/>
              </w:rPr>
            </w:pPr>
            <w:hyperlink r:id="rId10" w:history="1">
              <w:r w:rsidRPr="0028472F">
                <w:rPr>
                  <w:rStyle w:val="Hyperlink"/>
                  <w:rFonts w:eastAsiaTheme="majorEastAsia"/>
                  <w:bCs/>
                </w:rPr>
                <w:t>Gregory.price@puco.ohio.gov</w:t>
              </w:r>
            </w:hyperlink>
          </w:p>
          <w:p w14:paraId="47C3B71A" w14:textId="77777777" w:rsidR="008C4B22" w:rsidRPr="0028472F" w:rsidRDefault="005D2347" w:rsidP="006F08DA">
            <w:pPr>
              <w:pStyle w:val="CommentText"/>
              <w:ind w:left="-105"/>
              <w:rPr>
                <w:rStyle w:val="Hyperlink"/>
                <w:rFonts w:eastAsiaTheme="majorEastAsia"/>
                <w:bCs/>
              </w:rPr>
            </w:pPr>
            <w:hyperlink r:id="rId11" w:history="1">
              <w:r w:rsidRPr="0028472F">
                <w:rPr>
                  <w:rStyle w:val="Hyperlink"/>
                  <w:rFonts w:eastAsiaTheme="majorEastAsia"/>
                  <w:bCs/>
                </w:rPr>
                <w:t>Patricia.Schabo@puco.ohio.gov</w:t>
              </w:r>
            </w:hyperlink>
          </w:p>
          <w:p w14:paraId="7AD60FB6" w14:textId="4FC1F72B" w:rsidR="00094830" w:rsidRPr="0028472F" w:rsidRDefault="005D2347" w:rsidP="006F08DA">
            <w:pPr>
              <w:pStyle w:val="CommentText"/>
              <w:ind w:left="-105"/>
              <w:rPr>
                <w:bCs/>
              </w:rPr>
            </w:pPr>
            <w:r w:rsidRPr="0028472F">
              <w:rPr>
                <w:rStyle w:val="Hyperlink"/>
                <w:rFonts w:eastAsiaTheme="majorEastAsia"/>
                <w:bCs/>
              </w:rPr>
              <w:t>Isabel.marcelleti@puco.ohio.gov</w:t>
            </w:r>
          </w:p>
        </w:tc>
        <w:tc>
          <w:tcPr>
            <w:tcW w:w="4315" w:type="dxa"/>
            <w:shd w:val="clear" w:color="auto" w:fill="auto"/>
          </w:tcPr>
          <w:p w14:paraId="0125B8A6" w14:textId="77777777" w:rsidR="008C4B22" w:rsidRPr="0028472F" w:rsidRDefault="005D2347" w:rsidP="006F08DA">
            <w:pPr>
              <w:pStyle w:val="CommentText"/>
              <w:jc w:val="both"/>
              <w:rPr>
                <w:bCs/>
              </w:rPr>
            </w:pPr>
            <w:hyperlink r:id="rId12" w:history="1">
              <w:r w:rsidRPr="0028472F">
                <w:rPr>
                  <w:rStyle w:val="Hyperlink"/>
                  <w:rFonts w:eastAsiaTheme="majorEastAsia"/>
                  <w:bCs/>
                </w:rPr>
                <w:t>Christopher.Hollon@aes.com</w:t>
              </w:r>
            </w:hyperlink>
          </w:p>
          <w:p w14:paraId="1F2971C7" w14:textId="77777777" w:rsidR="008C4B22" w:rsidRPr="0028472F" w:rsidRDefault="008C4B22" w:rsidP="006F08DA">
            <w:pPr>
              <w:pStyle w:val="CommentText"/>
              <w:rPr>
                <w:b/>
                <w:u w:val="single"/>
              </w:rPr>
            </w:pPr>
          </w:p>
        </w:tc>
      </w:tr>
    </w:tbl>
    <w:p w14:paraId="50535CE6" w14:textId="67CF7FD9" w:rsidR="007D7BCC" w:rsidRPr="0028472F" w:rsidRDefault="007D7BCC" w:rsidP="004B23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D7BCC" w:rsidRPr="002847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D811B" w14:textId="77777777" w:rsidR="005D2347" w:rsidRDefault="005D2347">
      <w:pPr>
        <w:spacing w:after="0" w:line="240" w:lineRule="auto"/>
      </w:pPr>
      <w:r>
        <w:separator/>
      </w:r>
    </w:p>
  </w:endnote>
  <w:endnote w:type="continuationSeparator" w:id="0">
    <w:p w14:paraId="25053326" w14:textId="77777777" w:rsidR="005D2347" w:rsidRDefault="005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1B19E" w14:textId="77777777" w:rsidR="00DC5C50" w:rsidRDefault="00DC5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1421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4526AD" w14:textId="5E9CC953" w:rsidR="00A82B78" w:rsidRPr="00A770CD" w:rsidRDefault="005D2347">
        <w:pPr>
          <w:pStyle w:val="Footer"/>
          <w:jc w:val="center"/>
          <w:rPr>
            <w:rFonts w:ascii="Times New Roman" w:hAnsi="Times New Roman" w:cs="Times New Roman"/>
          </w:rPr>
        </w:pPr>
        <w:r w:rsidRPr="00A770CD">
          <w:rPr>
            <w:rFonts w:ascii="Times New Roman" w:hAnsi="Times New Roman" w:cs="Times New Roman"/>
          </w:rPr>
          <w:fldChar w:fldCharType="begin"/>
        </w:r>
        <w:r w:rsidRPr="00A770CD">
          <w:rPr>
            <w:rFonts w:ascii="Times New Roman" w:hAnsi="Times New Roman" w:cs="Times New Roman"/>
          </w:rPr>
          <w:instrText xml:space="preserve"> PAGE   \* MERGEFORMAT </w:instrText>
        </w:r>
        <w:r w:rsidRPr="00A770CD">
          <w:rPr>
            <w:rFonts w:ascii="Times New Roman" w:hAnsi="Times New Roman" w:cs="Times New Roman"/>
          </w:rPr>
          <w:fldChar w:fldCharType="separate"/>
        </w:r>
        <w:r w:rsidRPr="00A770CD">
          <w:rPr>
            <w:rFonts w:ascii="Times New Roman" w:hAnsi="Times New Roman" w:cs="Times New Roman"/>
            <w:noProof/>
          </w:rPr>
          <w:t>2</w:t>
        </w:r>
        <w:r w:rsidRPr="00A770C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9F1F23B" w14:textId="77777777" w:rsidR="00A82B78" w:rsidRDefault="00A82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D5D25" w14:textId="77777777" w:rsidR="00DC5C50" w:rsidRDefault="00DC5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0D635" w14:textId="77777777" w:rsidR="002B39DC" w:rsidRDefault="005D2347" w:rsidP="00943932">
      <w:pPr>
        <w:spacing w:after="0" w:line="240" w:lineRule="auto"/>
      </w:pPr>
      <w:r>
        <w:separator/>
      </w:r>
    </w:p>
  </w:footnote>
  <w:footnote w:type="continuationSeparator" w:id="0">
    <w:p w14:paraId="4706F690" w14:textId="77777777" w:rsidR="002B39DC" w:rsidRDefault="005D2347" w:rsidP="00943932">
      <w:pPr>
        <w:spacing w:after="0" w:line="240" w:lineRule="auto"/>
      </w:pPr>
      <w:r>
        <w:continuationSeparator/>
      </w:r>
    </w:p>
  </w:footnote>
  <w:footnote w:id="1">
    <w:p w14:paraId="3E286BD7" w14:textId="77777777" w:rsidR="00E660EF" w:rsidRPr="004B23C6" w:rsidRDefault="005D2347" w:rsidP="00E660EF">
      <w:pPr>
        <w:pStyle w:val="FootnoteText"/>
        <w:spacing w:after="120"/>
        <w:rPr>
          <w:rFonts w:ascii="Times New Roman" w:hAnsi="Times New Roman" w:cs="Times New Roman"/>
        </w:rPr>
      </w:pPr>
      <w:r w:rsidRPr="004B23C6">
        <w:rPr>
          <w:rStyle w:val="FootnoteReference"/>
          <w:rFonts w:ascii="Times New Roman" w:hAnsi="Times New Roman" w:cs="Times New Roman"/>
        </w:rPr>
        <w:footnoteRef/>
      </w:r>
      <w:r w:rsidRPr="004B23C6">
        <w:rPr>
          <w:rFonts w:ascii="Times New Roman" w:hAnsi="Times New Roman" w:cs="Times New Roman"/>
        </w:rPr>
        <w:t xml:space="preserve"> O.A.C. 4901-1-16(A); O.A.C. 4901-1-17(A).</w:t>
      </w:r>
    </w:p>
  </w:footnote>
  <w:footnote w:id="2">
    <w:p w14:paraId="2FBDE243" w14:textId="77777777" w:rsidR="00E660EF" w:rsidRPr="004B23C6" w:rsidRDefault="005D2347" w:rsidP="00E660EF">
      <w:pPr>
        <w:pStyle w:val="FootnoteText"/>
        <w:spacing w:after="120"/>
        <w:rPr>
          <w:rFonts w:ascii="Times New Roman" w:hAnsi="Times New Roman" w:cs="Times New Roman"/>
        </w:rPr>
      </w:pPr>
      <w:r w:rsidRPr="004B23C6">
        <w:rPr>
          <w:rStyle w:val="FootnoteReference"/>
          <w:rFonts w:ascii="Times New Roman" w:hAnsi="Times New Roman" w:cs="Times New Roman"/>
        </w:rPr>
        <w:footnoteRef/>
      </w:r>
      <w:r w:rsidRPr="004B23C6">
        <w:rPr>
          <w:rFonts w:ascii="Times New Roman" w:hAnsi="Times New Roman" w:cs="Times New Roman"/>
        </w:rPr>
        <w:t xml:space="preserve"> O.A.C. 4901-1-19; 4901-1-20.</w:t>
      </w:r>
    </w:p>
  </w:footnote>
  <w:footnote w:id="3">
    <w:p w14:paraId="178EF1BE" w14:textId="77777777" w:rsidR="001D3FC3" w:rsidRPr="006D5B96" w:rsidRDefault="005D2347" w:rsidP="006D5B96">
      <w:pPr>
        <w:pStyle w:val="FootnoteText"/>
        <w:spacing w:after="120"/>
        <w:rPr>
          <w:rFonts w:ascii="Times New Roman" w:hAnsi="Times New Roman" w:cs="Times New Roman"/>
        </w:rPr>
      </w:pPr>
      <w:r w:rsidRPr="006D5B96">
        <w:rPr>
          <w:rStyle w:val="FootnoteReference"/>
          <w:rFonts w:ascii="Times New Roman" w:hAnsi="Times New Roman" w:cs="Times New Roman"/>
        </w:rPr>
        <w:footnoteRef/>
      </w:r>
      <w:r w:rsidRPr="006D5B96">
        <w:rPr>
          <w:rFonts w:ascii="Times New Roman" w:hAnsi="Times New Roman" w:cs="Times New Roman"/>
        </w:rPr>
        <w:t xml:space="preserve"> R.C. 4903.082.</w:t>
      </w:r>
    </w:p>
  </w:footnote>
  <w:footnote w:id="4">
    <w:p w14:paraId="73948377" w14:textId="2D93D97E" w:rsidR="00E74D0B" w:rsidRPr="006D5B96" w:rsidRDefault="005D2347" w:rsidP="006D5B96">
      <w:pPr>
        <w:pStyle w:val="FootnoteText"/>
        <w:spacing w:after="120"/>
        <w:rPr>
          <w:rFonts w:ascii="Times New Roman" w:hAnsi="Times New Roman" w:cs="Times New Roman"/>
        </w:rPr>
      </w:pPr>
      <w:r w:rsidRPr="006D5B96">
        <w:rPr>
          <w:rStyle w:val="FootnoteReference"/>
          <w:rFonts w:ascii="Times New Roman" w:hAnsi="Times New Roman" w:cs="Times New Roman"/>
        </w:rPr>
        <w:footnoteRef/>
      </w:r>
      <w:r w:rsidRPr="006D5B96">
        <w:rPr>
          <w:rFonts w:ascii="Times New Roman" w:hAnsi="Times New Roman" w:cs="Times New Roman"/>
        </w:rPr>
        <w:t xml:space="preserve"> AES should have moved for a protective order to preserve its position that discovery should not be had, rather than rely on its assertion that it can unilaterally decide not to answer discovery.  See O.A.C. 4901-1-24.   This is another reason for the PUCO to grant OCC’s motion to compel.  </w:t>
      </w:r>
    </w:p>
  </w:footnote>
  <w:footnote w:id="5">
    <w:p w14:paraId="359E6B13" w14:textId="11D40876" w:rsidR="00E22D71" w:rsidRPr="006D5B96" w:rsidRDefault="005D2347" w:rsidP="006D5B96">
      <w:pPr>
        <w:pStyle w:val="FootnoteText"/>
        <w:spacing w:after="120"/>
        <w:rPr>
          <w:rFonts w:ascii="Times New Roman" w:hAnsi="Times New Roman" w:cs="Times New Roman"/>
        </w:rPr>
      </w:pPr>
      <w:r w:rsidRPr="006D5B96">
        <w:rPr>
          <w:rStyle w:val="FootnoteReference"/>
          <w:rFonts w:ascii="Times New Roman" w:hAnsi="Times New Roman" w:cs="Times New Roman"/>
        </w:rPr>
        <w:footnoteRef/>
      </w:r>
      <w:r w:rsidRPr="006D5B96">
        <w:rPr>
          <w:rFonts w:ascii="Times New Roman" w:hAnsi="Times New Roman" w:cs="Times New Roman"/>
        </w:rPr>
        <w:t xml:space="preserve"> </w:t>
      </w:r>
      <w:r w:rsidR="00A908F3" w:rsidRPr="006D5B96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14:ligatures w14:val="none"/>
        </w:rPr>
        <w:t xml:space="preserve">In re </w:t>
      </w:r>
      <w:proofErr w:type="spellStart"/>
      <w:r w:rsidR="00A908F3" w:rsidRPr="006D5B96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14:ligatures w14:val="none"/>
        </w:rPr>
        <w:t>Suvon</w:t>
      </w:r>
      <w:proofErr w:type="spellEnd"/>
      <w:r w:rsidR="00A908F3" w:rsidRPr="006D5B96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14:ligatures w14:val="none"/>
        </w:rPr>
        <w:t>, L.L.C.</w:t>
      </w:r>
      <w:r w:rsidR="00A908F3" w:rsidRPr="006D5B96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t xml:space="preserve">, 166 Ohio St.3d 519, 2021-Ohio-3630, 188 N.E.3d 140, ¶ 42 (citing </w:t>
      </w:r>
      <w:r w:rsidR="00A908F3" w:rsidRPr="006D5B96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14:ligatures w14:val="none"/>
        </w:rPr>
        <w:t xml:space="preserve">Ohio Consumers’ Counsel v. Pub. Util. Comm., </w:t>
      </w:r>
      <w:r w:rsidR="00A908F3" w:rsidRPr="006D5B96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t>111 Ohio St.3d 300, 2006-Ohio-5789, 856 N.E.2d 213. ¶¶ 82-83).</w:t>
      </w:r>
    </w:p>
  </w:footnote>
  <w:footnote w:id="6">
    <w:p w14:paraId="21A101A6" w14:textId="0EA6A9F5" w:rsidR="002751CA" w:rsidRPr="006D5B96" w:rsidRDefault="005D2347" w:rsidP="006D5B96">
      <w:pPr>
        <w:pStyle w:val="FootnoteText"/>
        <w:spacing w:after="120"/>
        <w:rPr>
          <w:rFonts w:ascii="Times New Roman" w:hAnsi="Times New Roman" w:cs="Times New Roman"/>
        </w:rPr>
      </w:pPr>
      <w:r w:rsidRPr="006D5B96">
        <w:rPr>
          <w:rStyle w:val="FootnoteReference"/>
          <w:rFonts w:ascii="Times New Roman" w:hAnsi="Times New Roman" w:cs="Times New Roman"/>
        </w:rPr>
        <w:footnoteRef/>
      </w:r>
      <w:r w:rsidRPr="006D5B96">
        <w:rPr>
          <w:rFonts w:ascii="Times New Roman" w:hAnsi="Times New Roman" w:cs="Times New Roman"/>
        </w:rPr>
        <w:t xml:space="preserve"> </w:t>
      </w:r>
      <w:proofErr w:type="spellStart"/>
      <w:r w:rsidR="00A908F3" w:rsidRPr="006D5B96">
        <w:rPr>
          <w:rFonts w:ascii="Times New Roman" w:hAnsi="Times New Roman" w:cs="Times New Roman"/>
          <w:i/>
          <w:iCs/>
        </w:rPr>
        <w:t>Twism</w:t>
      </w:r>
      <w:proofErr w:type="spellEnd"/>
      <w:r w:rsidR="00A908F3" w:rsidRPr="006D5B96">
        <w:rPr>
          <w:rFonts w:ascii="Times New Roman" w:hAnsi="Times New Roman" w:cs="Times New Roman"/>
          <w:i/>
          <w:iCs/>
        </w:rPr>
        <w:t xml:space="preserve"> Ents., LLC v. State Bd. Of Registration</w:t>
      </w:r>
      <w:r w:rsidR="00A908F3" w:rsidRPr="006D5B96">
        <w:rPr>
          <w:rFonts w:ascii="Times New Roman" w:hAnsi="Times New Roman" w:cs="Times New Roman"/>
        </w:rPr>
        <w:t>, 1</w:t>
      </w:r>
      <w:r w:rsidR="00A908F3" w:rsidRPr="006D5B96">
        <w:rPr>
          <w:rFonts w:ascii="Times New Roman" w:hAnsi="Times New Roman" w:cs="Times New Roman"/>
          <w:vertAlign w:val="superscript"/>
        </w:rPr>
        <w:t>st</w:t>
      </w:r>
      <w:r w:rsidR="00A908F3" w:rsidRPr="006D5B96">
        <w:rPr>
          <w:rFonts w:ascii="Times New Roman" w:hAnsi="Times New Roman" w:cs="Times New Roman"/>
        </w:rPr>
        <w:t xml:space="preserve"> Dist. Hamilton Nos. C-200411 and C-210125, 2021-Ohio-3665, </w:t>
      </w:r>
      <w:r w:rsidR="00A908F3" w:rsidRPr="006D5B96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t xml:space="preserve">¶ 20 (citing </w:t>
      </w:r>
      <w:r w:rsidR="00A908F3" w:rsidRPr="006D5B96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14:ligatures w14:val="none"/>
        </w:rPr>
        <w:t>State ex rel. Fire Rock, Ltd. V. Ohio Dept. of Commerce</w:t>
      </w:r>
      <w:r w:rsidR="00A908F3" w:rsidRPr="006D5B96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t>, 163 Ohio St.3d 277, 2021-Ohio-673, 169 N.E.3d 665, ¶ 13).</w:t>
      </w:r>
    </w:p>
  </w:footnote>
  <w:footnote w:id="7">
    <w:p w14:paraId="4307A4C2" w14:textId="77777777" w:rsidR="00BC45CD" w:rsidRPr="006D5B96" w:rsidRDefault="005D2347" w:rsidP="006D5B96">
      <w:pPr>
        <w:pStyle w:val="FootnoteText"/>
        <w:spacing w:after="120"/>
        <w:rPr>
          <w:rFonts w:ascii="Times New Roman" w:hAnsi="Times New Roman" w:cs="Times New Roman"/>
        </w:rPr>
      </w:pPr>
      <w:r w:rsidRPr="006D5B96">
        <w:rPr>
          <w:rStyle w:val="FootnoteReference"/>
          <w:rFonts w:ascii="Times New Roman" w:hAnsi="Times New Roman" w:cs="Times New Roman"/>
        </w:rPr>
        <w:footnoteRef/>
      </w:r>
      <w:r w:rsidRPr="006D5B96">
        <w:rPr>
          <w:rFonts w:ascii="Times New Roman" w:hAnsi="Times New Roman" w:cs="Times New Roman"/>
        </w:rPr>
        <w:t xml:space="preserve"> Memorandum Contra at 2.</w:t>
      </w:r>
    </w:p>
  </w:footnote>
  <w:footnote w:id="8">
    <w:p w14:paraId="35D5DA62" w14:textId="69FC442F" w:rsidR="00486EDD" w:rsidRPr="00F959E5" w:rsidRDefault="005D2347" w:rsidP="008C4B22">
      <w:pPr>
        <w:pStyle w:val="FootnoteText"/>
        <w:spacing w:after="120"/>
        <w:rPr>
          <w:rFonts w:ascii="Times New Roman" w:hAnsi="Times New Roman" w:cs="Times New Roman"/>
        </w:rPr>
      </w:pPr>
      <w:r w:rsidRPr="00F959E5">
        <w:rPr>
          <w:rStyle w:val="FootnoteReference"/>
          <w:rFonts w:ascii="Times New Roman" w:hAnsi="Times New Roman" w:cs="Times New Roman"/>
        </w:rPr>
        <w:footnoteRef/>
      </w:r>
      <w:r w:rsidRPr="00F959E5">
        <w:rPr>
          <w:rFonts w:ascii="Times New Roman" w:hAnsi="Times New Roman" w:cs="Times New Roman"/>
          <w:i/>
          <w:iCs/>
        </w:rPr>
        <w:t>In the Matter of the Commission’s Review of the Distribution Investment Rider Work Plan for 2024 of the Dayton Power and Light Company d/b/a AES Ohio</w:t>
      </w:r>
      <w:r w:rsidRPr="00F959E5">
        <w:rPr>
          <w:rFonts w:ascii="Times New Roman" w:hAnsi="Times New Roman" w:cs="Times New Roman"/>
        </w:rPr>
        <w:t>, Case No. 23-1176-EL-RDR, Memorandum In Opposition to Motion to Compel (April 22, 2024) at 3-4.</w:t>
      </w:r>
    </w:p>
  </w:footnote>
  <w:footnote w:id="9">
    <w:p w14:paraId="39C18783" w14:textId="0F9DC669" w:rsidR="00206BD8" w:rsidRPr="004B23C6" w:rsidRDefault="005D2347" w:rsidP="008C4B22">
      <w:pPr>
        <w:pStyle w:val="FootnoteText"/>
        <w:spacing w:after="120"/>
        <w:rPr>
          <w:rFonts w:ascii="Times New Roman" w:hAnsi="Times New Roman" w:cs="Times New Roman"/>
        </w:rPr>
      </w:pPr>
      <w:r w:rsidRPr="004B23C6">
        <w:rPr>
          <w:rStyle w:val="FootnoteReference"/>
          <w:rFonts w:ascii="Times New Roman" w:hAnsi="Times New Roman" w:cs="Times New Roman"/>
        </w:rPr>
        <w:footnoteRef/>
      </w:r>
      <w:r w:rsidRPr="004B23C6">
        <w:rPr>
          <w:rFonts w:ascii="Times New Roman" w:hAnsi="Times New Roman" w:cs="Times New Roman"/>
        </w:rPr>
        <w:t xml:space="preserve"> </w:t>
      </w:r>
      <w:r w:rsidRPr="004B23C6">
        <w:rPr>
          <w:rFonts w:ascii="Times New Roman" w:hAnsi="Times New Roman" w:cs="Times New Roman"/>
          <w:i/>
          <w:iCs/>
        </w:rPr>
        <w:t>Id</w:t>
      </w:r>
      <w:r w:rsidRPr="004B23C6">
        <w:rPr>
          <w:rFonts w:ascii="Times New Roman" w:hAnsi="Times New Roman" w:cs="Times New Roman"/>
        </w:rPr>
        <w:t>.</w:t>
      </w:r>
    </w:p>
  </w:footnote>
  <w:footnote w:id="10">
    <w:p w14:paraId="22749C4D" w14:textId="6233C70A" w:rsidR="00893792" w:rsidRPr="004B23C6" w:rsidRDefault="005D2347" w:rsidP="008C4B22">
      <w:pPr>
        <w:pStyle w:val="FootnoteText"/>
        <w:spacing w:after="120"/>
        <w:rPr>
          <w:rFonts w:ascii="Times New Roman" w:hAnsi="Times New Roman" w:cs="Times New Roman"/>
        </w:rPr>
      </w:pPr>
      <w:r w:rsidRPr="004B23C6">
        <w:rPr>
          <w:rStyle w:val="FootnoteReference"/>
          <w:rFonts w:ascii="Times New Roman" w:hAnsi="Times New Roman" w:cs="Times New Roman"/>
        </w:rPr>
        <w:footnoteRef/>
      </w:r>
      <w:r w:rsidR="00206BD8" w:rsidRPr="004B23C6">
        <w:rPr>
          <w:rFonts w:ascii="Times New Roman" w:hAnsi="Times New Roman" w:cs="Times New Roman"/>
          <w:i/>
          <w:iCs/>
        </w:rPr>
        <w:t>Gulf Oil Corp., v. Schlesinger</w:t>
      </w:r>
      <w:r w:rsidR="00206BD8" w:rsidRPr="004B23C6">
        <w:rPr>
          <w:rFonts w:ascii="Times New Roman" w:hAnsi="Times New Roman" w:cs="Times New Roman"/>
        </w:rPr>
        <w:t>, (</w:t>
      </w:r>
      <w:proofErr w:type="spellStart"/>
      <w:r w:rsidR="00206BD8" w:rsidRPr="004B23C6">
        <w:rPr>
          <w:rFonts w:ascii="Times New Roman" w:hAnsi="Times New Roman" w:cs="Times New Roman"/>
        </w:rPr>
        <w:t>E.D.Pa</w:t>
      </w:r>
      <w:proofErr w:type="spellEnd"/>
      <w:r w:rsidR="00206BD8" w:rsidRPr="004B23C6">
        <w:rPr>
          <w:rFonts w:ascii="Times New Roman" w:hAnsi="Times New Roman" w:cs="Times New Roman"/>
        </w:rPr>
        <w:t xml:space="preserve">. 1979), 465 </w:t>
      </w:r>
      <w:proofErr w:type="spellStart"/>
      <w:r w:rsidR="00206BD8" w:rsidRPr="004B23C6">
        <w:rPr>
          <w:rFonts w:ascii="Times New Roman" w:hAnsi="Times New Roman" w:cs="Times New Roman"/>
        </w:rPr>
        <w:t>F.Supp</w:t>
      </w:r>
      <w:proofErr w:type="spellEnd"/>
      <w:r w:rsidR="00206BD8" w:rsidRPr="004B23C6">
        <w:rPr>
          <w:rFonts w:ascii="Times New Roman" w:hAnsi="Times New Roman" w:cs="Times New Roman"/>
        </w:rPr>
        <w:t xml:space="preserve">. 913, 916-917; </w:t>
      </w:r>
      <w:proofErr w:type="spellStart"/>
      <w:r w:rsidR="00206BD8" w:rsidRPr="004B23C6">
        <w:rPr>
          <w:rFonts w:ascii="Times New Roman" w:hAnsi="Times New Roman" w:cs="Times New Roman"/>
          <w:i/>
          <w:iCs/>
        </w:rPr>
        <w:t>Trabon</w:t>
      </w:r>
      <w:proofErr w:type="spellEnd"/>
      <w:r w:rsidR="00206BD8" w:rsidRPr="004B23C6">
        <w:rPr>
          <w:rFonts w:ascii="Times New Roman" w:hAnsi="Times New Roman" w:cs="Times New Roman"/>
          <w:i/>
          <w:iCs/>
        </w:rPr>
        <w:t xml:space="preserve"> Engineering Corp.</w:t>
      </w:r>
      <w:r w:rsidR="00206BD8" w:rsidRPr="004B23C6">
        <w:rPr>
          <w:rFonts w:ascii="Times New Roman" w:hAnsi="Times New Roman" w:cs="Times New Roman"/>
        </w:rPr>
        <w:t xml:space="preserve"> </w:t>
      </w:r>
      <w:r w:rsidR="00206BD8" w:rsidRPr="004B23C6">
        <w:rPr>
          <w:rFonts w:ascii="Times New Roman" w:hAnsi="Times New Roman" w:cs="Times New Roman"/>
          <w:i/>
          <w:iCs/>
        </w:rPr>
        <w:t>v. Eaton Manufacturing Co.,</w:t>
      </w:r>
      <w:r w:rsidR="00206BD8" w:rsidRPr="004B23C6">
        <w:rPr>
          <w:rFonts w:ascii="Times New Roman" w:hAnsi="Times New Roman" w:cs="Times New Roman"/>
        </w:rPr>
        <w:t xml:space="preserve"> (N.D. Ohio 1964), 37 F.R.D. 51, 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D2D20" w14:textId="77777777" w:rsidR="00DC5C50" w:rsidRDefault="00DC5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A7F11" w14:textId="77777777" w:rsidR="00DC5C50" w:rsidRDefault="00DC5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1C408" w14:textId="77777777" w:rsidR="00DC5C50" w:rsidRDefault="00DC5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FC"/>
    <w:rsid w:val="000261B5"/>
    <w:rsid w:val="0003071B"/>
    <w:rsid w:val="0006119A"/>
    <w:rsid w:val="00080F4C"/>
    <w:rsid w:val="00094830"/>
    <w:rsid w:val="000D1D44"/>
    <w:rsid w:val="001016ED"/>
    <w:rsid w:val="001141EA"/>
    <w:rsid w:val="0014220A"/>
    <w:rsid w:val="001927C6"/>
    <w:rsid w:val="001D3223"/>
    <w:rsid w:val="001D3FC3"/>
    <w:rsid w:val="001F44CF"/>
    <w:rsid w:val="00206BD8"/>
    <w:rsid w:val="002209FC"/>
    <w:rsid w:val="002751CA"/>
    <w:rsid w:val="0028472F"/>
    <w:rsid w:val="002A741C"/>
    <w:rsid w:val="002B39DC"/>
    <w:rsid w:val="00334839"/>
    <w:rsid w:val="00352FEE"/>
    <w:rsid w:val="00362389"/>
    <w:rsid w:val="00366E44"/>
    <w:rsid w:val="003953F4"/>
    <w:rsid w:val="003E02BC"/>
    <w:rsid w:val="004708C1"/>
    <w:rsid w:val="00486EDD"/>
    <w:rsid w:val="00494ED3"/>
    <w:rsid w:val="004B0C8F"/>
    <w:rsid w:val="004B23C6"/>
    <w:rsid w:val="004D501B"/>
    <w:rsid w:val="00503FC6"/>
    <w:rsid w:val="005A4797"/>
    <w:rsid w:val="005D2347"/>
    <w:rsid w:val="00600FD4"/>
    <w:rsid w:val="00613B3A"/>
    <w:rsid w:val="006302AB"/>
    <w:rsid w:val="00681E56"/>
    <w:rsid w:val="006D5B96"/>
    <w:rsid w:val="006F08DA"/>
    <w:rsid w:val="0073634A"/>
    <w:rsid w:val="00756993"/>
    <w:rsid w:val="007D7BCC"/>
    <w:rsid w:val="00835D16"/>
    <w:rsid w:val="0087197A"/>
    <w:rsid w:val="008860E0"/>
    <w:rsid w:val="00893792"/>
    <w:rsid w:val="008C4B22"/>
    <w:rsid w:val="008D73B0"/>
    <w:rsid w:val="008E091E"/>
    <w:rsid w:val="008F00C2"/>
    <w:rsid w:val="0091268D"/>
    <w:rsid w:val="009201C1"/>
    <w:rsid w:val="00943932"/>
    <w:rsid w:val="00974538"/>
    <w:rsid w:val="00984DC1"/>
    <w:rsid w:val="009C1A41"/>
    <w:rsid w:val="009F39DA"/>
    <w:rsid w:val="00A109F0"/>
    <w:rsid w:val="00A112D4"/>
    <w:rsid w:val="00A238CD"/>
    <w:rsid w:val="00A4094F"/>
    <w:rsid w:val="00A6507E"/>
    <w:rsid w:val="00A770CD"/>
    <w:rsid w:val="00A82B78"/>
    <w:rsid w:val="00A83931"/>
    <w:rsid w:val="00A908F3"/>
    <w:rsid w:val="00AD6C4B"/>
    <w:rsid w:val="00AF6452"/>
    <w:rsid w:val="00B73678"/>
    <w:rsid w:val="00BC45CD"/>
    <w:rsid w:val="00C129C6"/>
    <w:rsid w:val="00C255D6"/>
    <w:rsid w:val="00C566A3"/>
    <w:rsid w:val="00C63D80"/>
    <w:rsid w:val="00C65F26"/>
    <w:rsid w:val="00CF4681"/>
    <w:rsid w:val="00D0672E"/>
    <w:rsid w:val="00D43006"/>
    <w:rsid w:val="00DC301C"/>
    <w:rsid w:val="00DC5896"/>
    <w:rsid w:val="00DC5C50"/>
    <w:rsid w:val="00DF196E"/>
    <w:rsid w:val="00DF65D0"/>
    <w:rsid w:val="00E00A46"/>
    <w:rsid w:val="00E22D71"/>
    <w:rsid w:val="00E521A8"/>
    <w:rsid w:val="00E6540D"/>
    <w:rsid w:val="00E657CE"/>
    <w:rsid w:val="00E660EF"/>
    <w:rsid w:val="00E74D0B"/>
    <w:rsid w:val="00ED1247"/>
    <w:rsid w:val="00EF53ED"/>
    <w:rsid w:val="00EF7749"/>
    <w:rsid w:val="00F058C6"/>
    <w:rsid w:val="00F51EC9"/>
    <w:rsid w:val="00F94A08"/>
    <w:rsid w:val="00F959E5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E239D-815F-4774-A03C-A80AE1B0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0D"/>
  </w:style>
  <w:style w:type="paragraph" w:styleId="Heading1">
    <w:name w:val="heading 1"/>
    <w:basedOn w:val="Normal"/>
    <w:next w:val="Normal"/>
    <w:link w:val="Heading1Char"/>
    <w:uiPriority w:val="9"/>
    <w:qFormat/>
    <w:rsid w:val="002209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9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9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9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9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9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9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9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9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9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9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9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9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9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9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9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9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9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09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9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09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09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09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09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09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9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9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09FC"/>
    <w:rPr>
      <w:b/>
      <w:bCs/>
      <w:smallCaps/>
      <w:color w:val="0F4761" w:themeColor="accent1" w:themeShade="BF"/>
      <w:spacing w:val="5"/>
    </w:rPr>
  </w:style>
  <w:style w:type="paragraph" w:styleId="Footer">
    <w:name w:val="footer"/>
    <w:aliases w:val=" Char1"/>
    <w:basedOn w:val="Normal"/>
    <w:link w:val="FooterChar"/>
    <w:uiPriority w:val="99"/>
    <w:unhideWhenUsed/>
    <w:rsid w:val="00E6540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aliases w:val=" Char1 Char"/>
    <w:basedOn w:val="DefaultParagraphFont"/>
    <w:link w:val="Footer"/>
    <w:uiPriority w:val="99"/>
    <w:rsid w:val="00E6540D"/>
    <w:rPr>
      <w:sz w:val="24"/>
      <w:szCs w:val="24"/>
    </w:rPr>
  </w:style>
  <w:style w:type="paragraph" w:styleId="HTMLPreformatted">
    <w:name w:val="HTML Preformatted"/>
    <w:aliases w:val=" Char"/>
    <w:basedOn w:val="Normal"/>
    <w:link w:val="HTMLPreformattedChar"/>
    <w:rsid w:val="00E65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E6540D"/>
    <w:rPr>
      <w:rFonts w:ascii="Courier New" w:eastAsia="Courier New" w:hAnsi="Courier New" w:cs="Courier New"/>
      <w:kern w:val="0"/>
      <w:sz w:val="20"/>
      <w:szCs w:val="2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9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9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9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78"/>
  </w:style>
  <w:style w:type="paragraph" w:styleId="Revision">
    <w:name w:val="Revision"/>
    <w:hidden/>
    <w:uiPriority w:val="99"/>
    <w:semiHidden/>
    <w:rsid w:val="00AD6C4B"/>
    <w:pPr>
      <w:spacing w:after="0" w:line="240" w:lineRule="auto"/>
    </w:pPr>
  </w:style>
  <w:style w:type="character" w:styleId="Hyperlink">
    <w:name w:val="Hyperlink"/>
    <w:uiPriority w:val="99"/>
    <w:rsid w:val="008C4B2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8C4B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2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4B22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C4B22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Indent3">
    <w:name w:val="Body Text Indent 3"/>
    <w:basedOn w:val="Normal"/>
    <w:link w:val="BodyTextIndent3Char"/>
    <w:rsid w:val="008C4B22"/>
    <w:pPr>
      <w:spacing w:after="0" w:line="480" w:lineRule="atLeast"/>
      <w:ind w:firstLine="72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8C4B22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C1A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rodbeck@occ.ohio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hn.finnigan@occ.ohio.gov" TargetMode="External"/><Relationship Id="rId12" Type="http://schemas.openxmlformats.org/officeDocument/2006/relationships/hyperlink" Target="mailto:Christopher.Hollon@ae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tricia.Schabo@puco.ohio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regory.price@puco.ohio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.jones@ohioago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3663-9802-452C-9091-1C16E790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Walters, Denise</cp:lastModifiedBy>
  <cp:revision>2</cp:revision>
  <dcterms:created xsi:type="dcterms:W3CDTF">2024-04-29T14:23:00Z</dcterms:created>
  <dcterms:modified xsi:type="dcterms:W3CDTF">2024-04-29T14:24:00Z</dcterms:modified>
</cp:coreProperties>
</file>