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AFA" w:rsidRPr="00D81ACC" w:rsidRDefault="00640642" w:rsidP="00640642">
      <w:pPr>
        <w:spacing w:after="0" w:line="300" w:lineRule="exact"/>
        <w:ind w:firstLine="720"/>
        <w:jc w:val="center"/>
        <w:rPr>
          <w:rFonts w:ascii="Palatino Linotype" w:eastAsia="Calibri" w:hAnsi="Palatino Linotype" w:cs="Times New Roman"/>
          <w:b/>
          <w:spacing w:val="-12"/>
          <w:sz w:val="24"/>
          <w:szCs w:val="20"/>
        </w:rPr>
      </w:pPr>
      <w:r w:rsidRPr="00D81ACC">
        <w:rPr>
          <w:rFonts w:ascii="Palatino Linotype" w:eastAsia="Calibri" w:hAnsi="Palatino Linotype" w:cs="Times New Roman"/>
          <w:b/>
          <w:spacing w:val="-12"/>
          <w:sz w:val="24"/>
          <w:szCs w:val="20"/>
        </w:rPr>
        <w:t>BEFORE</w:t>
      </w:r>
    </w:p>
    <w:p w:rsidR="00640642" w:rsidRPr="00D81ACC" w:rsidRDefault="00640642" w:rsidP="00640642">
      <w:pPr>
        <w:spacing w:after="0" w:line="300" w:lineRule="exact"/>
        <w:ind w:firstLine="720"/>
        <w:jc w:val="center"/>
        <w:rPr>
          <w:rFonts w:ascii="Palatino Linotype" w:eastAsia="Calibri" w:hAnsi="Palatino Linotype" w:cs="Times New Roman"/>
          <w:b/>
          <w:spacing w:val="-12"/>
          <w:sz w:val="24"/>
          <w:szCs w:val="20"/>
        </w:rPr>
      </w:pPr>
      <w:r w:rsidRPr="00D81ACC">
        <w:rPr>
          <w:rFonts w:ascii="Palatino Linotype" w:eastAsia="Calibri" w:hAnsi="Palatino Linotype" w:cs="Times New Roman"/>
          <w:b/>
          <w:spacing w:val="-12"/>
          <w:sz w:val="24"/>
          <w:szCs w:val="20"/>
        </w:rPr>
        <w:t>THE PUBLIC UTILITIES COMMISSION OF OHIO</w:t>
      </w:r>
    </w:p>
    <w:p w:rsidR="003E2F79" w:rsidRPr="003E2F79" w:rsidRDefault="003E2F79" w:rsidP="00640642">
      <w:pPr>
        <w:spacing w:after="0" w:line="300" w:lineRule="exact"/>
        <w:ind w:firstLine="720"/>
        <w:jc w:val="center"/>
        <w:rPr>
          <w:rFonts w:ascii="Palatino Linotype" w:eastAsia="Calibri" w:hAnsi="Palatino Linotype" w:cs="Times New Roman"/>
          <w:b/>
          <w:sz w:val="24"/>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7"/>
        <w:gridCol w:w="2126"/>
        <w:gridCol w:w="3243"/>
      </w:tblGrid>
      <w:tr w:rsidR="00640642" w:rsidRPr="003E2F79" w:rsidTr="003E2F79">
        <w:tc>
          <w:tcPr>
            <w:tcW w:w="3708" w:type="dxa"/>
          </w:tcPr>
          <w:p w:rsidR="00640642" w:rsidRPr="003E2F79" w:rsidRDefault="003E2F79" w:rsidP="004B7AFA">
            <w:pPr>
              <w:rPr>
                <w:rFonts w:ascii="Palatino Linotype" w:eastAsia="Calibri" w:hAnsi="Palatino Linotype" w:cs="Times New Roman"/>
                <w:b/>
                <w:sz w:val="24"/>
                <w:szCs w:val="20"/>
              </w:rPr>
            </w:pPr>
            <w:r w:rsidRPr="003E2F79">
              <w:rPr>
                <w:rFonts w:ascii="Palatino Linotype" w:eastAsia="Calibri" w:hAnsi="Palatino Linotype" w:cs="Times New Roman"/>
                <w:b/>
                <w:sz w:val="24"/>
                <w:szCs w:val="20"/>
              </w:rPr>
              <w:t>In the Matter of the Application of the Ohio School Consortium for a Requested Clarification or Waiver</w:t>
            </w:r>
          </w:p>
        </w:tc>
        <w:tc>
          <w:tcPr>
            <w:tcW w:w="2340" w:type="dxa"/>
          </w:tcPr>
          <w:p w:rsidR="00640642" w:rsidRPr="003E2F79" w:rsidRDefault="00640642" w:rsidP="00640642">
            <w:pPr>
              <w:jc w:val="center"/>
              <w:rPr>
                <w:rFonts w:ascii="Palatino Linotype" w:eastAsia="Calibri" w:hAnsi="Palatino Linotype" w:cs="Times New Roman"/>
                <w:b/>
                <w:sz w:val="24"/>
                <w:szCs w:val="20"/>
              </w:rPr>
            </w:pPr>
            <w:r w:rsidRPr="003E2F79">
              <w:rPr>
                <w:rFonts w:ascii="Palatino Linotype" w:eastAsia="Calibri" w:hAnsi="Palatino Linotype" w:cs="Times New Roman"/>
                <w:b/>
                <w:sz w:val="24"/>
                <w:szCs w:val="20"/>
              </w:rPr>
              <w:t>)</w:t>
            </w:r>
          </w:p>
          <w:p w:rsidR="00640642" w:rsidRPr="003E2F79" w:rsidRDefault="00640642" w:rsidP="00640642">
            <w:pPr>
              <w:jc w:val="center"/>
              <w:rPr>
                <w:rFonts w:ascii="Palatino Linotype" w:eastAsia="Calibri" w:hAnsi="Palatino Linotype" w:cs="Times New Roman"/>
                <w:b/>
                <w:sz w:val="24"/>
                <w:szCs w:val="20"/>
              </w:rPr>
            </w:pPr>
            <w:r w:rsidRPr="003E2F79">
              <w:rPr>
                <w:rFonts w:ascii="Palatino Linotype" w:eastAsia="Calibri" w:hAnsi="Palatino Linotype" w:cs="Times New Roman"/>
                <w:b/>
                <w:sz w:val="24"/>
                <w:szCs w:val="20"/>
              </w:rPr>
              <w:t>)</w:t>
            </w:r>
          </w:p>
          <w:p w:rsidR="00640642" w:rsidRPr="003E2F79" w:rsidRDefault="00640642" w:rsidP="00640642">
            <w:pPr>
              <w:jc w:val="center"/>
              <w:rPr>
                <w:rFonts w:ascii="Palatino Linotype" w:eastAsia="Calibri" w:hAnsi="Palatino Linotype" w:cs="Times New Roman"/>
                <w:b/>
                <w:sz w:val="24"/>
                <w:szCs w:val="20"/>
              </w:rPr>
            </w:pPr>
            <w:r w:rsidRPr="003E2F79">
              <w:rPr>
                <w:rFonts w:ascii="Palatino Linotype" w:eastAsia="Calibri" w:hAnsi="Palatino Linotype" w:cs="Times New Roman"/>
                <w:b/>
                <w:sz w:val="24"/>
                <w:szCs w:val="20"/>
              </w:rPr>
              <w:t>)</w:t>
            </w:r>
          </w:p>
          <w:p w:rsidR="00640642" w:rsidRPr="003E2F79" w:rsidRDefault="00640642" w:rsidP="00640642">
            <w:pPr>
              <w:jc w:val="center"/>
              <w:rPr>
                <w:rFonts w:ascii="Palatino Linotype" w:eastAsia="Calibri" w:hAnsi="Palatino Linotype" w:cs="Times New Roman"/>
                <w:b/>
                <w:sz w:val="24"/>
                <w:szCs w:val="20"/>
              </w:rPr>
            </w:pPr>
            <w:r w:rsidRPr="003E2F79">
              <w:rPr>
                <w:rFonts w:ascii="Palatino Linotype" w:eastAsia="Calibri" w:hAnsi="Palatino Linotype" w:cs="Times New Roman"/>
                <w:b/>
                <w:sz w:val="24"/>
                <w:szCs w:val="20"/>
              </w:rPr>
              <w:t>)</w:t>
            </w:r>
            <w:r w:rsidRPr="003E2F79">
              <w:rPr>
                <w:rFonts w:ascii="Palatino Linotype" w:eastAsia="Calibri" w:hAnsi="Palatino Linotype" w:cs="Times New Roman"/>
                <w:b/>
                <w:sz w:val="24"/>
                <w:szCs w:val="20"/>
              </w:rPr>
              <w:br/>
              <w:t>)</w:t>
            </w:r>
            <w:r w:rsidRPr="003E2F79">
              <w:rPr>
                <w:rFonts w:ascii="Palatino Linotype" w:eastAsia="Calibri" w:hAnsi="Palatino Linotype" w:cs="Times New Roman"/>
                <w:b/>
                <w:sz w:val="24"/>
                <w:szCs w:val="20"/>
              </w:rPr>
              <w:br/>
            </w:r>
          </w:p>
        </w:tc>
        <w:tc>
          <w:tcPr>
            <w:tcW w:w="3528" w:type="dxa"/>
          </w:tcPr>
          <w:p w:rsidR="00640642" w:rsidRPr="003E2F79" w:rsidRDefault="00640642" w:rsidP="004B7AFA">
            <w:pPr>
              <w:rPr>
                <w:rFonts w:ascii="Palatino Linotype" w:eastAsia="Calibri" w:hAnsi="Palatino Linotype" w:cs="Times New Roman"/>
                <w:b/>
                <w:sz w:val="24"/>
                <w:szCs w:val="20"/>
              </w:rPr>
            </w:pPr>
          </w:p>
          <w:p w:rsidR="003E2F79" w:rsidRPr="003E2F79" w:rsidRDefault="003E2F79" w:rsidP="004B7AFA">
            <w:pPr>
              <w:rPr>
                <w:rFonts w:ascii="Palatino Linotype" w:eastAsia="Calibri" w:hAnsi="Palatino Linotype" w:cs="Times New Roman"/>
                <w:b/>
                <w:sz w:val="24"/>
                <w:szCs w:val="20"/>
              </w:rPr>
            </w:pPr>
          </w:p>
          <w:p w:rsidR="003E2F79" w:rsidRPr="003E2F79" w:rsidRDefault="003E2F79" w:rsidP="004B7AFA">
            <w:pPr>
              <w:rPr>
                <w:rFonts w:ascii="Palatino Linotype" w:eastAsia="Calibri" w:hAnsi="Palatino Linotype" w:cs="Times New Roman"/>
                <w:b/>
                <w:sz w:val="24"/>
                <w:szCs w:val="20"/>
              </w:rPr>
            </w:pPr>
            <w:r w:rsidRPr="003E2F79">
              <w:rPr>
                <w:rFonts w:ascii="Palatino Linotype" w:eastAsia="Calibri" w:hAnsi="Palatino Linotype" w:cs="Times New Roman"/>
                <w:b/>
                <w:sz w:val="24"/>
                <w:szCs w:val="20"/>
              </w:rPr>
              <w:t>Case No. 11-6011-GA-WVR</w:t>
            </w:r>
          </w:p>
        </w:tc>
      </w:tr>
    </w:tbl>
    <w:p w:rsidR="004B7AFA" w:rsidRPr="00D81ACC" w:rsidRDefault="003E2F79" w:rsidP="003E2F79">
      <w:pPr>
        <w:pBdr>
          <w:top w:val="single" w:sz="4" w:space="1" w:color="auto"/>
          <w:bottom w:val="single" w:sz="4" w:space="1" w:color="auto"/>
        </w:pBdr>
        <w:ind w:firstLine="720"/>
        <w:jc w:val="center"/>
        <w:rPr>
          <w:rFonts w:ascii="Palatino Linotype" w:eastAsia="Calibri" w:hAnsi="Palatino Linotype" w:cs="Times New Roman"/>
          <w:b/>
          <w:spacing w:val="-12"/>
          <w:sz w:val="24"/>
          <w:szCs w:val="20"/>
        </w:rPr>
      </w:pPr>
      <w:r w:rsidRPr="00D81ACC">
        <w:rPr>
          <w:rFonts w:ascii="Palatino Linotype" w:eastAsia="Calibri" w:hAnsi="Palatino Linotype" w:cs="Times New Roman"/>
          <w:b/>
          <w:spacing w:val="-12"/>
          <w:sz w:val="24"/>
          <w:szCs w:val="20"/>
        </w:rPr>
        <w:t>MEMORANDUM CONTRA OF COLUMBIA GAS OF OHIO, INC. TO THE REQUEST FOR CLARIFICATION OR WAIVER BY THE OHIO SCHOOL CONSORTIUM</w:t>
      </w:r>
    </w:p>
    <w:p w:rsidR="00E32749" w:rsidRDefault="004B7AFA" w:rsidP="004B7AFA">
      <w:pPr>
        <w:ind w:firstLine="720"/>
        <w:jc w:val="both"/>
        <w:rPr>
          <w:rFonts w:ascii="Palatino Linotype" w:eastAsia="Calibri" w:hAnsi="Palatino Linotype" w:cs="Times New Roman"/>
          <w:sz w:val="24"/>
          <w:szCs w:val="20"/>
        </w:rPr>
      </w:pPr>
      <w:r w:rsidRPr="004B7AFA">
        <w:rPr>
          <w:rFonts w:ascii="Palatino Linotype" w:eastAsia="Calibri" w:hAnsi="Palatino Linotype" w:cs="Times New Roman"/>
          <w:sz w:val="24"/>
          <w:szCs w:val="20"/>
        </w:rPr>
        <w:t>Pursuant to Rule 4901-1-</w:t>
      </w:r>
      <w:r>
        <w:rPr>
          <w:rFonts w:ascii="Palatino Linotype" w:eastAsia="Calibri" w:hAnsi="Palatino Linotype" w:cs="Times New Roman"/>
          <w:sz w:val="24"/>
          <w:szCs w:val="20"/>
        </w:rPr>
        <w:t>12(B)(1)</w:t>
      </w:r>
      <w:r w:rsidRPr="004B7AFA">
        <w:rPr>
          <w:rFonts w:ascii="Palatino Linotype" w:eastAsia="Calibri" w:hAnsi="Palatino Linotype" w:cs="Times New Roman"/>
          <w:sz w:val="24"/>
          <w:szCs w:val="20"/>
        </w:rPr>
        <w:t xml:space="preserve"> of the Ohio Administrative Code, Columbia Gas of Ohio, Inc. (“Columbia”)</w:t>
      </w:r>
      <w:r>
        <w:rPr>
          <w:rFonts w:ascii="Palatino Linotype" w:eastAsia="Calibri" w:hAnsi="Palatino Linotype" w:cs="Times New Roman"/>
          <w:sz w:val="24"/>
          <w:szCs w:val="20"/>
        </w:rPr>
        <w:t xml:space="preserve"> submits this Memorandum Contra to the Request for Clarification or in the Alternative Waiver Permitting Participating Parochial and Private Schools and Public Libraries to Continue General Transportation Service (“Request”) filed by the Ohio School Consortium (“OSC”) on December 21, 2011.  </w:t>
      </w:r>
    </w:p>
    <w:p w:rsidR="00F22A64" w:rsidRPr="00F22A64" w:rsidRDefault="00F22A64" w:rsidP="004B7AFA">
      <w:pPr>
        <w:ind w:firstLine="720"/>
        <w:jc w:val="both"/>
        <w:rPr>
          <w:rFonts w:ascii="Palatino Linotype" w:hAnsi="Palatino Linotype"/>
          <w:b/>
          <w:sz w:val="24"/>
          <w:szCs w:val="24"/>
        </w:rPr>
      </w:pPr>
      <w:r w:rsidRPr="00F22A64">
        <w:rPr>
          <w:rFonts w:ascii="Palatino Linotype" w:hAnsi="Palatino Linotype"/>
          <w:b/>
          <w:sz w:val="24"/>
          <w:szCs w:val="24"/>
        </w:rPr>
        <w:t>INTRODUCTION</w:t>
      </w:r>
    </w:p>
    <w:p w:rsidR="003E2F79" w:rsidRDefault="004B7AFA" w:rsidP="003E2F79">
      <w:pPr>
        <w:ind w:firstLine="720"/>
        <w:jc w:val="both"/>
        <w:rPr>
          <w:rFonts w:ascii="Palatino Linotype" w:hAnsi="Palatino Linotype"/>
          <w:sz w:val="24"/>
          <w:szCs w:val="24"/>
        </w:rPr>
      </w:pPr>
      <w:r w:rsidRPr="00BF040B">
        <w:rPr>
          <w:rFonts w:ascii="Palatino Linotype" w:hAnsi="Palatino Linotype"/>
          <w:sz w:val="24"/>
          <w:szCs w:val="24"/>
        </w:rPr>
        <w:t>On January 30, 2009, as supplemented on March 26 and 31, 2009, Columbia filed an application pursuant to Section 4929.04, Revised Code, for approval of a general exemption of certain natural gas commodity sales services or ancillary services contained in Chapters 490</w:t>
      </w:r>
      <w:r w:rsidR="00F22A64">
        <w:rPr>
          <w:rFonts w:ascii="Palatino Linotype" w:hAnsi="Palatino Linotype"/>
          <w:sz w:val="24"/>
          <w:szCs w:val="24"/>
        </w:rPr>
        <w:t xml:space="preserve">5, 4909, and 4935, Revised Code in Case No. 08-1344-GA-EXM. </w:t>
      </w:r>
    </w:p>
    <w:p w:rsidR="004B7AFA" w:rsidRPr="00BF040B" w:rsidRDefault="004B7AFA" w:rsidP="003E2F79">
      <w:pPr>
        <w:ind w:firstLine="720"/>
        <w:jc w:val="both"/>
        <w:rPr>
          <w:rFonts w:ascii="Palatino Linotype" w:hAnsi="Palatino Linotype"/>
          <w:sz w:val="24"/>
          <w:szCs w:val="24"/>
        </w:rPr>
      </w:pPr>
      <w:r w:rsidRPr="00BF040B">
        <w:rPr>
          <w:rFonts w:ascii="Palatino Linotype" w:hAnsi="Palatino Linotype"/>
          <w:sz w:val="24"/>
          <w:szCs w:val="24"/>
        </w:rPr>
        <w:t>On October 7, 2009, the parties filed a Stipulation. The Stipulation was signed by all of the parties.</w:t>
      </w:r>
      <w:r w:rsidR="00AB0C94" w:rsidRPr="00BF040B">
        <w:rPr>
          <w:rStyle w:val="FootnoteReference"/>
          <w:rFonts w:ascii="Palatino Linotype" w:hAnsi="Palatino Linotype"/>
          <w:sz w:val="24"/>
          <w:szCs w:val="24"/>
        </w:rPr>
        <w:footnoteReference w:id="1"/>
      </w:r>
      <w:r w:rsidRPr="00BF040B">
        <w:rPr>
          <w:rFonts w:ascii="Palatino Linotype" w:hAnsi="Palatino Linotype"/>
          <w:sz w:val="24"/>
          <w:szCs w:val="24"/>
        </w:rPr>
        <w:t xml:space="preserve">  </w:t>
      </w:r>
    </w:p>
    <w:p w:rsidR="004B7AFA" w:rsidRDefault="004B7AFA" w:rsidP="004B7AFA">
      <w:pPr>
        <w:ind w:firstLine="720"/>
        <w:jc w:val="both"/>
        <w:rPr>
          <w:rFonts w:ascii="Palatino Linotype" w:eastAsia="Calibri" w:hAnsi="Palatino Linotype" w:cs="Times New Roman"/>
          <w:sz w:val="24"/>
          <w:szCs w:val="24"/>
        </w:rPr>
      </w:pPr>
      <w:r w:rsidRPr="00BF040B">
        <w:rPr>
          <w:rFonts w:ascii="Palatino Linotype" w:hAnsi="Palatino Linotype"/>
          <w:sz w:val="24"/>
          <w:szCs w:val="24"/>
        </w:rPr>
        <w:t>The Commission approved the Stipulation in an Opinion and Order dated December 2, 2009</w:t>
      </w:r>
      <w:r w:rsidR="009315F5" w:rsidRPr="00BF040B">
        <w:rPr>
          <w:rFonts w:ascii="Palatino Linotype" w:hAnsi="Palatino Linotype"/>
          <w:sz w:val="24"/>
          <w:szCs w:val="24"/>
        </w:rPr>
        <w:t xml:space="preserve">.  </w:t>
      </w:r>
      <w:r w:rsidR="009315F5" w:rsidRPr="00BF040B">
        <w:rPr>
          <w:rFonts w:ascii="Palatino Linotype" w:eastAsia="Calibri" w:hAnsi="Palatino Linotype" w:cs="Times New Roman"/>
          <w:sz w:val="24"/>
          <w:szCs w:val="24"/>
        </w:rPr>
        <w:t>The Stipulation provided that Columbia w</w:t>
      </w:r>
      <w:r w:rsidR="00276EFD">
        <w:rPr>
          <w:rFonts w:ascii="Palatino Linotype" w:eastAsia="Calibri" w:hAnsi="Palatino Linotype" w:cs="Times New Roman"/>
          <w:sz w:val="24"/>
          <w:szCs w:val="24"/>
        </w:rPr>
        <w:t>ould</w:t>
      </w:r>
      <w:r w:rsidR="009315F5" w:rsidRPr="00BF040B">
        <w:rPr>
          <w:rFonts w:ascii="Palatino Linotype" w:eastAsia="Calibri" w:hAnsi="Palatino Linotype" w:cs="Times New Roman"/>
          <w:sz w:val="24"/>
          <w:szCs w:val="24"/>
        </w:rPr>
        <w:t xml:space="preserve"> conduct two auctions in order to implement two consecutive one-year long Standard Service Offer (“SSO”) periods, starting in April 2010 and April 2011. Through those auctions, Columbia w</w:t>
      </w:r>
      <w:r w:rsidR="00276EFD">
        <w:rPr>
          <w:rFonts w:ascii="Palatino Linotype" w:eastAsia="Calibri" w:hAnsi="Palatino Linotype" w:cs="Times New Roman"/>
          <w:sz w:val="24"/>
          <w:szCs w:val="24"/>
        </w:rPr>
        <w:t>ould</w:t>
      </w:r>
      <w:r w:rsidR="009315F5" w:rsidRPr="00BF040B">
        <w:rPr>
          <w:rFonts w:ascii="Palatino Linotype" w:eastAsia="Calibri" w:hAnsi="Palatino Linotype" w:cs="Times New Roman"/>
          <w:sz w:val="24"/>
          <w:szCs w:val="24"/>
        </w:rPr>
        <w:t xml:space="preserve"> obtain commodity gas supplies from alternative </w:t>
      </w:r>
      <w:r w:rsidR="009315F5" w:rsidRPr="00BF040B">
        <w:rPr>
          <w:rFonts w:ascii="Palatino Linotype" w:eastAsia="Calibri" w:hAnsi="Palatino Linotype" w:cs="Times New Roman"/>
          <w:sz w:val="24"/>
          <w:szCs w:val="24"/>
        </w:rPr>
        <w:lastRenderedPageBreak/>
        <w:t xml:space="preserve">suppliers for both its PIPP and sales customer requirements and pass the price of the gas on to its sales customers at a monthly SSO rate. Bid winners of the SSO auctions will be assigned an undivided percentage of the standard service customers’ demand. The Stipulation also provided that Columbia will conduct a third auction for the annual period beginning April 2012. This auction will be a Standard Choice Offer (“SCO”) auction. </w:t>
      </w:r>
    </w:p>
    <w:p w:rsidR="00B70D23" w:rsidRPr="00B70D23" w:rsidRDefault="00822436" w:rsidP="00B70D23">
      <w:pPr>
        <w:ind w:firstLine="720"/>
        <w:jc w:val="both"/>
        <w:rPr>
          <w:rFonts w:ascii="Palatino Linotype" w:eastAsia="Calibri" w:hAnsi="Palatino Linotype" w:cs="Times New Roman"/>
          <w:sz w:val="24"/>
          <w:szCs w:val="24"/>
        </w:rPr>
      </w:pPr>
      <w:r>
        <w:rPr>
          <w:rFonts w:ascii="Palatino Linotype" w:eastAsia="Calibri" w:hAnsi="Palatino Linotype" w:cs="Times New Roman"/>
          <w:sz w:val="24"/>
          <w:szCs w:val="24"/>
        </w:rPr>
        <w:t>The Stipulation also contain</w:t>
      </w:r>
      <w:r w:rsidR="00640642">
        <w:rPr>
          <w:rFonts w:ascii="Palatino Linotype" w:eastAsia="Calibri" w:hAnsi="Palatino Linotype" w:cs="Times New Roman"/>
          <w:sz w:val="24"/>
          <w:szCs w:val="24"/>
        </w:rPr>
        <w:t>ed</w:t>
      </w:r>
      <w:r w:rsidR="000C7D76">
        <w:rPr>
          <w:rFonts w:ascii="Palatino Linotype" w:eastAsia="Calibri" w:hAnsi="Palatino Linotype" w:cs="Times New Roman"/>
          <w:sz w:val="24"/>
          <w:szCs w:val="24"/>
        </w:rPr>
        <w:t xml:space="preserve"> a section detailing </w:t>
      </w:r>
      <w:r w:rsidR="00BF040B">
        <w:rPr>
          <w:rFonts w:ascii="Palatino Linotype" w:eastAsia="Calibri" w:hAnsi="Palatino Linotype" w:cs="Times New Roman"/>
          <w:sz w:val="24"/>
          <w:szCs w:val="24"/>
        </w:rPr>
        <w:t xml:space="preserve">eligibility </w:t>
      </w:r>
      <w:r w:rsidR="000C7D76">
        <w:rPr>
          <w:rFonts w:ascii="Palatino Linotype" w:eastAsia="Calibri" w:hAnsi="Palatino Linotype" w:cs="Times New Roman"/>
          <w:sz w:val="24"/>
          <w:szCs w:val="24"/>
        </w:rPr>
        <w:t xml:space="preserve">and terms for </w:t>
      </w:r>
      <w:r>
        <w:rPr>
          <w:rFonts w:ascii="Palatino Linotype" w:eastAsia="Calibri" w:hAnsi="Palatino Linotype" w:cs="Times New Roman"/>
          <w:sz w:val="24"/>
          <w:szCs w:val="24"/>
        </w:rPr>
        <w:t>T</w:t>
      </w:r>
      <w:r w:rsidR="00BF040B">
        <w:rPr>
          <w:rFonts w:ascii="Palatino Linotype" w:eastAsia="Calibri" w:hAnsi="Palatino Linotype" w:cs="Times New Roman"/>
          <w:sz w:val="24"/>
          <w:szCs w:val="24"/>
        </w:rPr>
        <w:t xml:space="preserve">ransportation </w:t>
      </w:r>
      <w:r>
        <w:rPr>
          <w:rFonts w:ascii="Palatino Linotype" w:eastAsia="Calibri" w:hAnsi="Palatino Linotype" w:cs="Times New Roman"/>
          <w:sz w:val="24"/>
          <w:szCs w:val="24"/>
        </w:rPr>
        <w:t>S</w:t>
      </w:r>
      <w:r w:rsidR="00BF040B">
        <w:rPr>
          <w:rFonts w:ascii="Palatino Linotype" w:eastAsia="Calibri" w:hAnsi="Palatino Linotype" w:cs="Times New Roman"/>
          <w:sz w:val="24"/>
          <w:szCs w:val="24"/>
        </w:rPr>
        <w:t>ervi</w:t>
      </w:r>
      <w:r w:rsidR="004B1FC7">
        <w:rPr>
          <w:rFonts w:ascii="Palatino Linotype" w:eastAsia="Calibri" w:hAnsi="Palatino Linotype" w:cs="Times New Roman"/>
          <w:sz w:val="24"/>
          <w:szCs w:val="24"/>
        </w:rPr>
        <w:t xml:space="preserve">ce. Effective April 1, 2012, </w:t>
      </w:r>
      <w:r w:rsidR="00BF040B">
        <w:rPr>
          <w:rFonts w:ascii="Palatino Linotype" w:eastAsia="Calibri" w:hAnsi="Palatino Linotype" w:cs="Times New Roman"/>
          <w:sz w:val="24"/>
          <w:szCs w:val="24"/>
        </w:rPr>
        <w:t>non-residential customers using less than 6,000</w:t>
      </w:r>
      <w:r w:rsidR="000C7D76">
        <w:rPr>
          <w:rFonts w:ascii="Palatino Linotype" w:eastAsia="Calibri" w:hAnsi="Palatino Linotype" w:cs="Times New Roman"/>
          <w:sz w:val="24"/>
          <w:szCs w:val="24"/>
        </w:rPr>
        <w:t xml:space="preserve"> </w:t>
      </w:r>
      <w:proofErr w:type="spellStart"/>
      <w:r w:rsidR="000C7D76">
        <w:rPr>
          <w:rFonts w:ascii="Palatino Linotype" w:eastAsia="Calibri" w:hAnsi="Palatino Linotype" w:cs="Times New Roman"/>
          <w:sz w:val="24"/>
          <w:szCs w:val="24"/>
        </w:rPr>
        <w:t>Mcf</w:t>
      </w:r>
      <w:proofErr w:type="spellEnd"/>
      <w:r w:rsidR="000C7D76">
        <w:rPr>
          <w:rFonts w:ascii="Palatino Linotype" w:eastAsia="Calibri" w:hAnsi="Palatino Linotype" w:cs="Times New Roman"/>
          <w:sz w:val="24"/>
          <w:szCs w:val="24"/>
        </w:rPr>
        <w:t xml:space="preserve"> a year are eligible for transportation service, but must subscribe to 100% Standby Service. </w:t>
      </w:r>
      <w:r w:rsidR="00B70D23" w:rsidRPr="00B70D23">
        <w:rPr>
          <w:rFonts w:ascii="Palatino Linotype" w:eastAsia="Calibri" w:hAnsi="Palatino Linotype" w:cs="Times New Roman"/>
          <w:sz w:val="24"/>
          <w:szCs w:val="24"/>
        </w:rPr>
        <w:t>The 100% standby service is not required for Public School Districts pursuant to the Stipulation</w:t>
      </w:r>
      <w:r w:rsidR="00B70D23">
        <w:rPr>
          <w:rFonts w:ascii="Palatino Linotype" w:eastAsia="Calibri" w:hAnsi="Palatino Linotype" w:cs="Times New Roman"/>
          <w:sz w:val="24"/>
          <w:szCs w:val="24"/>
        </w:rPr>
        <w:t xml:space="preserve"> which states,</w:t>
      </w:r>
      <w:r w:rsidR="00B70D23" w:rsidRPr="00B70D23">
        <w:rPr>
          <w:rFonts w:ascii="Palatino Linotype" w:eastAsia="Calibri" w:hAnsi="Palatino Linotype" w:cs="Times New Roman"/>
          <w:sz w:val="24"/>
          <w:szCs w:val="24"/>
        </w:rPr>
        <w:t xml:space="preserve"> </w:t>
      </w:r>
      <w:r w:rsidR="00B70D23">
        <w:rPr>
          <w:rFonts w:ascii="Palatino Linotype" w:eastAsia="Calibri" w:hAnsi="Palatino Linotype" w:cs="Times New Roman"/>
          <w:sz w:val="24"/>
          <w:szCs w:val="24"/>
        </w:rPr>
        <w:t>“P</w:t>
      </w:r>
      <w:r w:rsidR="00B70D23" w:rsidRPr="00B70D23">
        <w:rPr>
          <w:rFonts w:ascii="Palatino Linotype" w:eastAsia="Calibri" w:hAnsi="Palatino Linotype" w:cs="Times New Roman"/>
          <w:sz w:val="24"/>
          <w:szCs w:val="24"/>
        </w:rPr>
        <w:t xml:space="preserve">ublic School Districts that are receiving Transportation Service as of the date of this Stipulation, including any new or existing facility placed into service in any such Public School District during the term of this Stipulation.” </w:t>
      </w:r>
      <w:proofErr w:type="gramStart"/>
      <w:r w:rsidR="00B70D23" w:rsidRPr="00B70D23">
        <w:rPr>
          <w:rFonts w:ascii="Palatino Linotype" w:eastAsia="Calibri" w:hAnsi="Palatino Linotype" w:cs="Times New Roman"/>
          <w:sz w:val="24"/>
          <w:szCs w:val="24"/>
        </w:rPr>
        <w:t>(2009 Stipulation at 12).</w:t>
      </w:r>
      <w:proofErr w:type="gramEnd"/>
      <w:r w:rsidR="00682064">
        <w:rPr>
          <w:rFonts w:ascii="Palatino Linotype" w:eastAsia="Calibri" w:hAnsi="Palatino Linotype" w:cs="Times New Roman"/>
          <w:sz w:val="24"/>
          <w:szCs w:val="24"/>
        </w:rPr>
        <w:t xml:space="preserve"> Language requiring standby service was purposefully omitted.  </w:t>
      </w:r>
    </w:p>
    <w:p w:rsidR="00822436" w:rsidRDefault="009315F5" w:rsidP="00822436">
      <w:pPr>
        <w:ind w:firstLine="720"/>
        <w:jc w:val="both"/>
        <w:rPr>
          <w:rFonts w:ascii="Palatino Linotype" w:eastAsia="Calibri" w:hAnsi="Palatino Linotype" w:cs="Times New Roman"/>
          <w:sz w:val="24"/>
          <w:szCs w:val="20"/>
        </w:rPr>
      </w:pPr>
      <w:r>
        <w:rPr>
          <w:rFonts w:ascii="Palatino Linotype" w:eastAsia="Calibri" w:hAnsi="Palatino Linotype" w:cs="Times New Roman"/>
          <w:sz w:val="24"/>
          <w:szCs w:val="20"/>
        </w:rPr>
        <w:t xml:space="preserve">Columbia held its first two SSO auctions in accordance with the Stipulation. </w:t>
      </w:r>
      <w:r w:rsidR="00BF040B" w:rsidRPr="00BF040B">
        <w:rPr>
          <w:rFonts w:ascii="Palatino Linotype" w:eastAsia="Calibri" w:hAnsi="Palatino Linotype" w:cs="Times New Roman"/>
          <w:sz w:val="24"/>
          <w:szCs w:val="20"/>
        </w:rPr>
        <w:t xml:space="preserve">On April 15, 2011, Columbia filed a Revised Program Outline, reflecting the operational changes necessary to implement the initial SCO auction in February 2012. On May 9, 2011, the OCC and OPAE filed objections to the SCO auction and requested the suspension of the SCO auction. </w:t>
      </w:r>
      <w:r w:rsidR="00822436">
        <w:rPr>
          <w:rFonts w:ascii="Palatino Linotype" w:eastAsia="Calibri" w:hAnsi="Palatino Linotype" w:cs="Times New Roman"/>
          <w:sz w:val="24"/>
          <w:szCs w:val="20"/>
        </w:rPr>
        <w:t>Ohio Gas Marketers Group (“OGMG”) and North</w:t>
      </w:r>
      <w:r w:rsidR="003E2F79">
        <w:rPr>
          <w:rFonts w:ascii="Palatino Linotype" w:eastAsia="Calibri" w:hAnsi="Palatino Linotype" w:cs="Times New Roman"/>
          <w:sz w:val="24"/>
          <w:szCs w:val="20"/>
        </w:rPr>
        <w:t xml:space="preserve"> Coast Gas Transmission, LLC (“North Coast”) </w:t>
      </w:r>
      <w:r w:rsidR="00822436">
        <w:rPr>
          <w:rFonts w:ascii="Palatino Linotype" w:eastAsia="Calibri" w:hAnsi="Palatino Linotype" w:cs="Times New Roman"/>
          <w:sz w:val="24"/>
          <w:szCs w:val="20"/>
        </w:rPr>
        <w:t xml:space="preserve">also objected to certain portions of the Revised Program Outline that were simply reflections of the 2009 Stipulation. </w:t>
      </w:r>
      <w:r w:rsidR="00BF040B">
        <w:rPr>
          <w:rFonts w:ascii="Palatino Linotype" w:eastAsia="Calibri" w:hAnsi="Palatino Linotype" w:cs="Times New Roman"/>
          <w:sz w:val="24"/>
          <w:szCs w:val="20"/>
        </w:rPr>
        <w:t>A hearing was held on July 14, 2011 and the Commission issued a Second Opinion and Order on September 7, 2011 upholding the transition to the SCO as originally prescribed by the 2009 Stipulation</w:t>
      </w:r>
      <w:r w:rsidR="00822436">
        <w:rPr>
          <w:rFonts w:ascii="Palatino Linotype" w:eastAsia="Calibri" w:hAnsi="Palatino Linotype" w:cs="Times New Roman"/>
          <w:sz w:val="24"/>
          <w:szCs w:val="20"/>
        </w:rPr>
        <w:t xml:space="preserve"> and </w:t>
      </w:r>
      <w:r w:rsidR="00276EFD">
        <w:rPr>
          <w:rFonts w:ascii="Palatino Linotype" w:eastAsia="Calibri" w:hAnsi="Palatino Linotype" w:cs="Times New Roman"/>
          <w:sz w:val="24"/>
          <w:szCs w:val="20"/>
        </w:rPr>
        <w:t xml:space="preserve">rejected </w:t>
      </w:r>
      <w:r w:rsidR="00822436">
        <w:rPr>
          <w:rFonts w:ascii="Palatino Linotype" w:eastAsia="Calibri" w:hAnsi="Palatino Linotype" w:cs="Times New Roman"/>
          <w:sz w:val="24"/>
          <w:szCs w:val="20"/>
        </w:rPr>
        <w:t>effort</w:t>
      </w:r>
      <w:r w:rsidR="00276EFD">
        <w:rPr>
          <w:rFonts w:ascii="Palatino Linotype" w:eastAsia="Calibri" w:hAnsi="Palatino Linotype" w:cs="Times New Roman"/>
          <w:sz w:val="24"/>
          <w:szCs w:val="20"/>
        </w:rPr>
        <w:t>s</w:t>
      </w:r>
      <w:r w:rsidR="00822436">
        <w:rPr>
          <w:rFonts w:ascii="Palatino Linotype" w:eastAsia="Calibri" w:hAnsi="Palatino Linotype" w:cs="Times New Roman"/>
          <w:sz w:val="24"/>
          <w:szCs w:val="20"/>
        </w:rPr>
        <w:t xml:space="preserve"> by </w:t>
      </w:r>
      <w:r w:rsidR="00276EFD">
        <w:rPr>
          <w:rFonts w:ascii="Palatino Linotype" w:eastAsia="Calibri" w:hAnsi="Palatino Linotype" w:cs="Times New Roman"/>
          <w:sz w:val="24"/>
          <w:szCs w:val="20"/>
        </w:rPr>
        <w:t xml:space="preserve">certain </w:t>
      </w:r>
      <w:r w:rsidR="00822436">
        <w:rPr>
          <w:rFonts w:ascii="Palatino Linotype" w:eastAsia="Calibri" w:hAnsi="Palatino Linotype" w:cs="Times New Roman"/>
          <w:sz w:val="24"/>
          <w:szCs w:val="20"/>
        </w:rPr>
        <w:t xml:space="preserve">parties to </w:t>
      </w:r>
      <w:r w:rsidR="00276EFD">
        <w:rPr>
          <w:rFonts w:ascii="Palatino Linotype" w:eastAsia="Calibri" w:hAnsi="Palatino Linotype" w:cs="Times New Roman"/>
          <w:sz w:val="24"/>
          <w:szCs w:val="20"/>
        </w:rPr>
        <w:t>alter</w:t>
      </w:r>
      <w:r w:rsidR="00822436">
        <w:rPr>
          <w:rFonts w:ascii="Palatino Linotype" w:eastAsia="Calibri" w:hAnsi="Palatino Linotype" w:cs="Times New Roman"/>
          <w:sz w:val="24"/>
          <w:szCs w:val="20"/>
        </w:rPr>
        <w:t xml:space="preserve"> the 2009 Stipulation. OSC did not participate in the hearing or file any comments to Columbia’s Revised Program Outline.</w:t>
      </w:r>
      <w:r w:rsidR="00F33320">
        <w:rPr>
          <w:rFonts w:ascii="Palatino Linotype" w:eastAsia="Calibri" w:hAnsi="Palatino Linotype" w:cs="Times New Roman"/>
          <w:sz w:val="24"/>
          <w:szCs w:val="20"/>
        </w:rPr>
        <w:t xml:space="preserve"> Columbia filed its new tariffs on October 14, 2011</w:t>
      </w:r>
      <w:r w:rsidR="00640642">
        <w:rPr>
          <w:rFonts w:ascii="Palatino Linotype" w:eastAsia="Calibri" w:hAnsi="Palatino Linotype" w:cs="Times New Roman"/>
          <w:sz w:val="24"/>
          <w:szCs w:val="20"/>
        </w:rPr>
        <w:t xml:space="preserve"> reflecting the terms of the </w:t>
      </w:r>
      <w:r w:rsidR="004B1FC7">
        <w:rPr>
          <w:rFonts w:ascii="Palatino Linotype" w:eastAsia="Calibri" w:hAnsi="Palatino Linotype" w:cs="Times New Roman"/>
          <w:sz w:val="24"/>
          <w:szCs w:val="20"/>
        </w:rPr>
        <w:t xml:space="preserve">original </w:t>
      </w:r>
      <w:r w:rsidR="00640642">
        <w:rPr>
          <w:rFonts w:ascii="Palatino Linotype" w:eastAsia="Calibri" w:hAnsi="Palatino Linotype" w:cs="Times New Roman"/>
          <w:sz w:val="24"/>
          <w:szCs w:val="20"/>
        </w:rPr>
        <w:t>Stipulation</w:t>
      </w:r>
      <w:r w:rsidR="00F33320">
        <w:rPr>
          <w:rFonts w:ascii="Palatino Linotype" w:eastAsia="Calibri" w:hAnsi="Palatino Linotype" w:cs="Times New Roman"/>
          <w:sz w:val="24"/>
          <w:szCs w:val="20"/>
        </w:rPr>
        <w:t>.</w:t>
      </w:r>
      <w:r w:rsidR="00276EFD">
        <w:rPr>
          <w:rFonts w:ascii="Palatino Linotype" w:eastAsia="Calibri" w:hAnsi="Palatino Linotype" w:cs="Times New Roman"/>
          <w:sz w:val="24"/>
          <w:szCs w:val="20"/>
        </w:rPr>
        <w:t xml:space="preserve"> By Entry dated November 22, 2011, the Commission approved the tariffs and directed Columbia to file the tariffs in final form. Columbia filed the final tariffs on December 30, 2011.</w:t>
      </w:r>
    </w:p>
    <w:p w:rsidR="00814E8E" w:rsidRDefault="00814E8E" w:rsidP="00814E8E">
      <w:pPr>
        <w:ind w:left="720"/>
        <w:rPr>
          <w:rFonts w:ascii="Palatino Linotype" w:eastAsia="Calibri" w:hAnsi="Palatino Linotype" w:cs="Times New Roman"/>
          <w:b/>
          <w:sz w:val="24"/>
          <w:szCs w:val="20"/>
        </w:rPr>
      </w:pPr>
    </w:p>
    <w:p w:rsidR="00F33320" w:rsidRPr="00F33320" w:rsidRDefault="00F33320" w:rsidP="00814E8E">
      <w:pPr>
        <w:ind w:left="720"/>
        <w:rPr>
          <w:rFonts w:ascii="Palatino Linotype" w:eastAsia="Calibri" w:hAnsi="Palatino Linotype" w:cs="Times New Roman"/>
          <w:b/>
          <w:sz w:val="24"/>
          <w:szCs w:val="20"/>
        </w:rPr>
      </w:pPr>
      <w:r>
        <w:rPr>
          <w:rFonts w:ascii="Palatino Linotype" w:eastAsia="Calibri" w:hAnsi="Palatino Linotype" w:cs="Times New Roman"/>
          <w:b/>
          <w:sz w:val="24"/>
          <w:szCs w:val="20"/>
        </w:rPr>
        <w:lastRenderedPageBreak/>
        <w:t>THE COMMISSION SHOULD DENY OSC’S REQUEST FOR CLARIFICATION AND ITS REQUEST FOR A WAIVER.</w:t>
      </w:r>
    </w:p>
    <w:p w:rsidR="00501898" w:rsidRDefault="00F22A64" w:rsidP="00822436">
      <w:pPr>
        <w:ind w:firstLine="720"/>
        <w:jc w:val="both"/>
        <w:rPr>
          <w:rFonts w:ascii="Palatino Linotype" w:eastAsia="Calibri" w:hAnsi="Palatino Linotype" w:cs="Times New Roman"/>
          <w:sz w:val="24"/>
          <w:szCs w:val="20"/>
        </w:rPr>
      </w:pPr>
      <w:r>
        <w:rPr>
          <w:rFonts w:ascii="Palatino Linotype" w:eastAsia="Calibri" w:hAnsi="Palatino Linotype" w:cs="Times New Roman"/>
          <w:sz w:val="24"/>
          <w:szCs w:val="20"/>
        </w:rPr>
        <w:t xml:space="preserve">Despite its absence from the most recent SCO proceedings, </w:t>
      </w:r>
      <w:r w:rsidR="00276EFD">
        <w:rPr>
          <w:rFonts w:ascii="Palatino Linotype" w:eastAsia="Calibri" w:hAnsi="Palatino Linotype" w:cs="Times New Roman"/>
          <w:sz w:val="24"/>
          <w:szCs w:val="20"/>
        </w:rPr>
        <w:t xml:space="preserve">and despite its silence about any tariff concerns prior to the Commission’s approval of the tariffs, </w:t>
      </w:r>
      <w:r w:rsidR="00822436">
        <w:rPr>
          <w:rFonts w:ascii="Palatino Linotype" w:eastAsia="Calibri" w:hAnsi="Palatino Linotype" w:cs="Times New Roman"/>
          <w:sz w:val="24"/>
          <w:szCs w:val="20"/>
        </w:rPr>
        <w:t xml:space="preserve">OSC </w:t>
      </w:r>
      <w:r>
        <w:rPr>
          <w:rFonts w:ascii="Palatino Linotype" w:eastAsia="Calibri" w:hAnsi="Palatino Linotype" w:cs="Times New Roman"/>
          <w:sz w:val="24"/>
          <w:szCs w:val="20"/>
        </w:rPr>
        <w:t xml:space="preserve">now </w:t>
      </w:r>
      <w:r w:rsidR="00822436">
        <w:rPr>
          <w:rFonts w:ascii="Palatino Linotype" w:eastAsia="Calibri" w:hAnsi="Palatino Linotype" w:cs="Times New Roman"/>
          <w:sz w:val="24"/>
          <w:szCs w:val="20"/>
        </w:rPr>
        <w:t>seeks to change the S</w:t>
      </w:r>
      <w:r w:rsidR="004B1FC7">
        <w:rPr>
          <w:rFonts w:ascii="Palatino Linotype" w:eastAsia="Calibri" w:hAnsi="Palatino Linotype" w:cs="Times New Roman"/>
          <w:sz w:val="24"/>
          <w:szCs w:val="20"/>
        </w:rPr>
        <w:t>tipulation by including private and</w:t>
      </w:r>
      <w:r w:rsidR="00822436">
        <w:rPr>
          <w:rFonts w:ascii="Palatino Linotype" w:eastAsia="Calibri" w:hAnsi="Palatino Linotype" w:cs="Times New Roman"/>
          <w:sz w:val="24"/>
          <w:szCs w:val="20"/>
        </w:rPr>
        <w:t xml:space="preserve"> parochial</w:t>
      </w:r>
      <w:r w:rsidR="004B1FC7">
        <w:rPr>
          <w:rFonts w:ascii="Palatino Linotype" w:eastAsia="Calibri" w:hAnsi="Palatino Linotype" w:cs="Times New Roman"/>
          <w:sz w:val="24"/>
          <w:szCs w:val="20"/>
        </w:rPr>
        <w:t xml:space="preserve"> schools</w:t>
      </w:r>
      <w:r w:rsidR="00822436">
        <w:rPr>
          <w:rFonts w:ascii="Palatino Linotype" w:eastAsia="Calibri" w:hAnsi="Palatino Linotype" w:cs="Times New Roman"/>
          <w:sz w:val="24"/>
          <w:szCs w:val="20"/>
        </w:rPr>
        <w:t xml:space="preserve"> and public libraries in the definition of </w:t>
      </w:r>
      <w:r w:rsidR="004B1FC7">
        <w:rPr>
          <w:rFonts w:ascii="Palatino Linotype" w:eastAsia="Calibri" w:hAnsi="Palatino Linotype" w:cs="Times New Roman"/>
          <w:sz w:val="24"/>
          <w:szCs w:val="20"/>
        </w:rPr>
        <w:t>“</w:t>
      </w:r>
      <w:r w:rsidR="00822436">
        <w:rPr>
          <w:rFonts w:ascii="Palatino Linotype" w:eastAsia="Calibri" w:hAnsi="Palatino Linotype" w:cs="Times New Roman"/>
          <w:sz w:val="24"/>
          <w:szCs w:val="20"/>
        </w:rPr>
        <w:t>Public School District</w:t>
      </w:r>
      <w:r w:rsidR="00276EFD">
        <w:rPr>
          <w:rFonts w:ascii="Palatino Linotype" w:eastAsia="Calibri" w:hAnsi="Palatino Linotype" w:cs="Times New Roman"/>
          <w:sz w:val="24"/>
          <w:szCs w:val="20"/>
        </w:rPr>
        <w:t>.</w:t>
      </w:r>
      <w:r w:rsidR="004B1FC7">
        <w:rPr>
          <w:rFonts w:ascii="Palatino Linotype" w:eastAsia="Calibri" w:hAnsi="Palatino Linotype" w:cs="Times New Roman"/>
          <w:sz w:val="24"/>
          <w:szCs w:val="20"/>
        </w:rPr>
        <w:t>”</w:t>
      </w:r>
      <w:r w:rsidR="00822436">
        <w:rPr>
          <w:rFonts w:ascii="Palatino Linotype" w:eastAsia="Calibri" w:hAnsi="Palatino Linotype" w:cs="Times New Roman"/>
          <w:sz w:val="24"/>
          <w:szCs w:val="20"/>
        </w:rPr>
        <w:t xml:space="preserve"> In the alternative, OSC seeks a waiver </w:t>
      </w:r>
      <w:r w:rsidR="00501898">
        <w:rPr>
          <w:rFonts w:ascii="Palatino Linotype" w:eastAsia="Calibri" w:hAnsi="Palatino Linotype" w:cs="Times New Roman"/>
          <w:sz w:val="24"/>
          <w:szCs w:val="20"/>
        </w:rPr>
        <w:t xml:space="preserve">of Columbia’s tariff requirement in order to sweep private and parochial schools and public libraries under the umbrella of “Public School Districts” to circumvent the </w:t>
      </w:r>
      <w:r w:rsidR="00640642">
        <w:rPr>
          <w:rFonts w:ascii="Palatino Linotype" w:eastAsia="Calibri" w:hAnsi="Palatino Linotype" w:cs="Times New Roman"/>
          <w:sz w:val="24"/>
          <w:szCs w:val="20"/>
        </w:rPr>
        <w:t xml:space="preserve">100% </w:t>
      </w:r>
      <w:r w:rsidR="00501898">
        <w:rPr>
          <w:rFonts w:ascii="Palatino Linotype" w:eastAsia="Calibri" w:hAnsi="Palatino Linotype" w:cs="Times New Roman"/>
          <w:sz w:val="24"/>
          <w:szCs w:val="20"/>
        </w:rPr>
        <w:t xml:space="preserve">standby requirement described in the Stipulation. Columbia urges the Commission to reject this request for several reasons.  </w:t>
      </w:r>
    </w:p>
    <w:p w:rsidR="00D02104" w:rsidRDefault="00501898" w:rsidP="00D02104">
      <w:pPr>
        <w:ind w:firstLine="720"/>
        <w:jc w:val="both"/>
        <w:rPr>
          <w:rFonts w:ascii="Palatino Linotype" w:eastAsia="Calibri" w:hAnsi="Palatino Linotype" w:cs="Times New Roman"/>
          <w:sz w:val="24"/>
          <w:szCs w:val="20"/>
        </w:rPr>
      </w:pPr>
      <w:r>
        <w:rPr>
          <w:rFonts w:ascii="Palatino Linotype" w:eastAsia="Calibri" w:hAnsi="Palatino Linotype" w:cs="Times New Roman"/>
          <w:sz w:val="24"/>
          <w:szCs w:val="20"/>
        </w:rPr>
        <w:t xml:space="preserve">First, the language of the Stipulation is clear and does not need clarification. “Public School Districts” </w:t>
      </w:r>
      <w:r w:rsidR="004E1886">
        <w:rPr>
          <w:rFonts w:ascii="Palatino Linotype" w:eastAsia="Calibri" w:hAnsi="Palatino Linotype" w:cs="Times New Roman"/>
          <w:sz w:val="24"/>
          <w:szCs w:val="20"/>
        </w:rPr>
        <w:t xml:space="preserve">is used within the same meaning as in the Ohio Revised Code. </w:t>
      </w:r>
    </w:p>
    <w:p w:rsidR="00D02104" w:rsidRDefault="00770651" w:rsidP="00D02104">
      <w:pPr>
        <w:ind w:left="720"/>
        <w:jc w:val="both"/>
        <w:rPr>
          <w:rFonts w:ascii="Palatino Linotype" w:eastAsia="Calibri" w:hAnsi="Palatino Linotype" w:cs="Times New Roman"/>
          <w:sz w:val="24"/>
          <w:szCs w:val="20"/>
        </w:rPr>
      </w:pPr>
      <w:r w:rsidRPr="00D02104">
        <w:rPr>
          <w:rFonts w:ascii="Palatino Linotype" w:eastAsia="Calibri" w:hAnsi="Palatino Linotype" w:cs="Times New Roman"/>
          <w:sz w:val="24"/>
          <w:szCs w:val="20"/>
        </w:rPr>
        <w:t>"Public school" means either of the following: (1) a school operated by a school district, educational service center, or board of mental retardation and developmental disabilities, including facilities used for child care programs for preschool children operated by the district, center, or board; or (2) a community school established under the statutes governing such schools, including a facility operated by an Internet- or co</w:t>
      </w:r>
      <w:r w:rsidR="00D02104">
        <w:rPr>
          <w:rFonts w:ascii="Palatino Linotype" w:eastAsia="Calibri" w:hAnsi="Palatino Linotype" w:cs="Times New Roman"/>
          <w:sz w:val="24"/>
          <w:szCs w:val="20"/>
        </w:rPr>
        <w:t xml:space="preserve">mputer-based community school, </w:t>
      </w:r>
      <w:r w:rsidRPr="00D02104">
        <w:rPr>
          <w:rFonts w:ascii="Palatino Linotype" w:eastAsia="Calibri" w:hAnsi="Palatino Linotype" w:cs="Times New Roman"/>
          <w:sz w:val="24"/>
          <w:szCs w:val="20"/>
        </w:rPr>
        <w:t>that is used as a classroom or laboratory for one or more students.</w:t>
      </w:r>
      <w:r w:rsidR="00D02104">
        <w:rPr>
          <w:rFonts w:ascii="Palatino Linotype" w:eastAsia="Calibri" w:hAnsi="Palatino Linotype" w:cs="Times New Roman"/>
          <w:sz w:val="24"/>
          <w:szCs w:val="20"/>
        </w:rPr>
        <w:t xml:space="preserve"> </w:t>
      </w:r>
    </w:p>
    <w:p w:rsidR="00D02104" w:rsidRDefault="00D44B38" w:rsidP="00D02104">
      <w:pPr>
        <w:jc w:val="both"/>
        <w:rPr>
          <w:rFonts w:ascii="Palatino Linotype" w:eastAsia="Calibri" w:hAnsi="Palatino Linotype" w:cs="Times New Roman"/>
          <w:sz w:val="24"/>
          <w:szCs w:val="20"/>
        </w:rPr>
      </w:pPr>
      <w:hyperlink r:id="rId9" w:tgtFrame="x" w:tooltip="Clicking this link retrieves the full text document in another window" w:history="1">
        <w:proofErr w:type="gramStart"/>
        <w:r w:rsidR="00770651" w:rsidRPr="00D02104">
          <w:rPr>
            <w:rStyle w:val="Hyperlink"/>
            <w:rFonts w:ascii="Palatino Linotype" w:eastAsia="Calibri" w:hAnsi="Palatino Linotype" w:cs="Times New Roman"/>
            <w:color w:val="auto"/>
            <w:sz w:val="24"/>
            <w:szCs w:val="20"/>
            <w:u w:val="none"/>
          </w:rPr>
          <w:t>82</w:t>
        </w:r>
        <w:r w:rsidR="00770651" w:rsidRPr="00D02104">
          <w:rPr>
            <w:rStyle w:val="Hyperlink"/>
            <w:rFonts w:ascii="Palatino Linotype" w:eastAsia="Calibri" w:hAnsi="Palatino Linotype" w:cs="Times New Roman"/>
            <w:i/>
            <w:color w:val="auto"/>
            <w:sz w:val="24"/>
            <w:szCs w:val="20"/>
            <w:u w:val="none"/>
          </w:rPr>
          <w:t xml:space="preserve"> Oh </w:t>
        </w:r>
        <w:proofErr w:type="spellStart"/>
        <w:r w:rsidR="00770651" w:rsidRPr="00D02104">
          <w:rPr>
            <w:rStyle w:val="Hyperlink"/>
            <w:rFonts w:ascii="Palatino Linotype" w:eastAsia="Calibri" w:hAnsi="Palatino Linotype" w:cs="Times New Roman"/>
            <w:i/>
            <w:color w:val="auto"/>
            <w:sz w:val="24"/>
            <w:szCs w:val="20"/>
            <w:u w:val="none"/>
          </w:rPr>
          <w:t>Jur</w:t>
        </w:r>
        <w:proofErr w:type="spellEnd"/>
        <w:r w:rsidR="00770651" w:rsidRPr="00D02104">
          <w:rPr>
            <w:rStyle w:val="Hyperlink"/>
            <w:rFonts w:ascii="Palatino Linotype" w:eastAsia="Calibri" w:hAnsi="Palatino Linotype" w:cs="Times New Roman"/>
            <w:i/>
            <w:color w:val="auto"/>
            <w:sz w:val="24"/>
            <w:szCs w:val="20"/>
            <w:u w:val="none"/>
          </w:rPr>
          <w:t xml:space="preserve"> Schools, Universities, and Colleges</w:t>
        </w:r>
        <w:r w:rsidR="00770651" w:rsidRPr="00D02104">
          <w:rPr>
            <w:rStyle w:val="Hyperlink"/>
            <w:rFonts w:ascii="Palatino Linotype" w:eastAsia="Calibri" w:hAnsi="Palatino Linotype" w:cs="Times New Roman"/>
            <w:color w:val="auto"/>
            <w:sz w:val="24"/>
            <w:szCs w:val="20"/>
            <w:u w:val="none"/>
          </w:rPr>
          <w:t xml:space="preserve"> § 1</w:t>
        </w:r>
      </w:hyperlink>
      <w:r w:rsidR="007D4148">
        <w:rPr>
          <w:rFonts w:ascii="Palatino Linotype" w:eastAsia="Calibri" w:hAnsi="Palatino Linotype" w:cs="Times New Roman"/>
          <w:sz w:val="24"/>
          <w:szCs w:val="20"/>
        </w:rPr>
        <w:t>,</w:t>
      </w:r>
      <w:r w:rsidR="00D02104" w:rsidRPr="00D02104">
        <w:rPr>
          <w:rFonts w:ascii="Palatino Linotype" w:eastAsia="Calibri" w:hAnsi="Palatino Linotype" w:cs="Times New Roman"/>
          <w:sz w:val="24"/>
          <w:szCs w:val="20"/>
        </w:rPr>
        <w:t xml:space="preserve"> </w:t>
      </w:r>
      <w:r w:rsidR="00D02104" w:rsidRPr="00D02104">
        <w:rPr>
          <w:rFonts w:ascii="Palatino Linotype" w:eastAsia="Calibri" w:hAnsi="Palatino Linotype" w:cs="Times New Roman"/>
          <w:i/>
          <w:sz w:val="24"/>
          <w:szCs w:val="20"/>
        </w:rPr>
        <w:t>citing</w:t>
      </w:r>
      <w:r w:rsidR="00D02104">
        <w:rPr>
          <w:rFonts w:ascii="Palatino Linotype" w:eastAsia="Calibri" w:hAnsi="Palatino Linotype" w:cs="Times New Roman"/>
          <w:sz w:val="24"/>
          <w:szCs w:val="20"/>
        </w:rPr>
        <w:t xml:space="preserve"> O</w:t>
      </w:r>
      <w:r w:rsidR="007D4148">
        <w:rPr>
          <w:rFonts w:ascii="Palatino Linotype" w:eastAsia="Calibri" w:hAnsi="Palatino Linotype" w:cs="Times New Roman"/>
          <w:sz w:val="24"/>
          <w:szCs w:val="20"/>
        </w:rPr>
        <w:t>hio Rev. Code</w:t>
      </w:r>
      <w:r w:rsidR="00D02104">
        <w:rPr>
          <w:rFonts w:ascii="Palatino Linotype" w:eastAsia="Calibri" w:hAnsi="Palatino Linotype" w:cs="Times New Roman"/>
          <w:sz w:val="24"/>
          <w:szCs w:val="20"/>
        </w:rPr>
        <w:t xml:space="preserve"> §§ 3314.01- 3314.99.</w:t>
      </w:r>
      <w:proofErr w:type="gramEnd"/>
      <w:r w:rsidR="00D02104">
        <w:rPr>
          <w:rFonts w:ascii="Palatino Linotype" w:eastAsia="Calibri" w:hAnsi="Palatino Linotype" w:cs="Times New Roman"/>
          <w:sz w:val="24"/>
          <w:szCs w:val="20"/>
        </w:rPr>
        <w:t xml:space="preserve">  Parochial schools, private schools and public libraries </w:t>
      </w:r>
      <w:r w:rsidR="007D4148">
        <w:rPr>
          <w:rFonts w:ascii="Palatino Linotype" w:eastAsia="Calibri" w:hAnsi="Palatino Linotype" w:cs="Times New Roman"/>
          <w:sz w:val="24"/>
          <w:szCs w:val="20"/>
        </w:rPr>
        <w:t xml:space="preserve">do not fit within this definition. </w:t>
      </w:r>
    </w:p>
    <w:p w:rsidR="009315F5" w:rsidRDefault="004E1886" w:rsidP="00D02104">
      <w:pPr>
        <w:ind w:firstLine="720"/>
        <w:jc w:val="both"/>
        <w:rPr>
          <w:rFonts w:ascii="Palatino Linotype" w:eastAsia="Calibri" w:hAnsi="Palatino Linotype" w:cs="Times New Roman"/>
          <w:b/>
          <w:sz w:val="24"/>
          <w:szCs w:val="20"/>
        </w:rPr>
      </w:pPr>
      <w:r>
        <w:rPr>
          <w:rFonts w:ascii="Palatino Linotype" w:eastAsia="Calibri" w:hAnsi="Palatino Linotype" w:cs="Times New Roman"/>
          <w:sz w:val="24"/>
          <w:szCs w:val="20"/>
        </w:rPr>
        <w:t>Further, it is one of the very basic tenants of contract law that "[w]</w:t>
      </w:r>
      <w:r w:rsidRPr="004E1886">
        <w:rPr>
          <w:rFonts w:ascii="Palatino Linotype" w:eastAsia="Calibri" w:hAnsi="Palatino Linotype" w:cs="Times New Roman"/>
          <w:sz w:val="24"/>
          <w:szCs w:val="20"/>
        </w:rPr>
        <w:t>hen the language of a written contract is clear, a court may look no further than the writing itself to find the intent of the parties."</w:t>
      </w:r>
      <w:r>
        <w:rPr>
          <w:rFonts w:ascii="Palatino Linotype" w:eastAsia="Calibri" w:hAnsi="Palatino Linotype" w:cs="Times New Roman"/>
          <w:sz w:val="24"/>
          <w:szCs w:val="20"/>
        </w:rPr>
        <w:t xml:space="preserve"> </w:t>
      </w:r>
      <w:hyperlink r:id="rId10" w:history="1">
        <w:proofErr w:type="gramStart"/>
        <w:r w:rsidRPr="004E1886">
          <w:rPr>
            <w:rStyle w:val="Hyperlink"/>
            <w:rFonts w:ascii="Palatino Linotype" w:eastAsia="Calibri" w:hAnsi="Palatino Linotype" w:cs="Times New Roman"/>
            <w:i/>
            <w:iCs/>
            <w:color w:val="auto"/>
            <w:sz w:val="24"/>
            <w:szCs w:val="20"/>
            <w:u w:val="none"/>
          </w:rPr>
          <w:t xml:space="preserve">Westfield Ins. Co. v. </w:t>
        </w:r>
        <w:proofErr w:type="spellStart"/>
        <w:r w:rsidRPr="004E1886">
          <w:rPr>
            <w:rStyle w:val="Hyperlink"/>
            <w:rFonts w:ascii="Palatino Linotype" w:eastAsia="Calibri" w:hAnsi="Palatino Linotype" w:cs="Times New Roman"/>
            <w:i/>
            <w:iCs/>
            <w:color w:val="auto"/>
            <w:sz w:val="24"/>
            <w:szCs w:val="20"/>
            <w:u w:val="none"/>
          </w:rPr>
          <w:t>Galatis</w:t>
        </w:r>
        <w:proofErr w:type="spellEnd"/>
        <w:r w:rsidRPr="004E1886">
          <w:rPr>
            <w:rStyle w:val="Hyperlink"/>
            <w:rFonts w:ascii="Palatino Linotype" w:eastAsia="Calibri" w:hAnsi="Palatino Linotype" w:cs="Times New Roman"/>
            <w:color w:val="auto"/>
            <w:sz w:val="24"/>
            <w:szCs w:val="20"/>
            <w:u w:val="none"/>
          </w:rPr>
          <w:t>, (2003)100 Ohio St.3d 216</w:t>
        </w:r>
      </w:hyperlink>
      <w:r>
        <w:rPr>
          <w:rFonts w:ascii="Palatino Linotype" w:eastAsia="Calibri" w:hAnsi="Palatino Linotype" w:cs="Times New Roman"/>
          <w:sz w:val="24"/>
          <w:szCs w:val="20"/>
        </w:rPr>
        <w:t xml:space="preserve"> at ¶ 11.</w:t>
      </w:r>
      <w:proofErr w:type="gramEnd"/>
      <w:r>
        <w:rPr>
          <w:rFonts w:ascii="Palatino Linotype" w:eastAsia="Calibri" w:hAnsi="Palatino Linotype" w:cs="Times New Roman"/>
          <w:sz w:val="24"/>
          <w:szCs w:val="20"/>
        </w:rPr>
        <w:t xml:space="preserve"> Here, the language in the Stipulation is clear and </w:t>
      </w:r>
      <w:r w:rsidR="004B1FC7">
        <w:rPr>
          <w:rFonts w:ascii="Palatino Linotype" w:eastAsia="Calibri" w:hAnsi="Palatino Linotype" w:cs="Times New Roman"/>
          <w:sz w:val="24"/>
          <w:szCs w:val="20"/>
        </w:rPr>
        <w:t>does not require any clarification.</w:t>
      </w:r>
      <w:r w:rsidR="00276EFD">
        <w:rPr>
          <w:rFonts w:ascii="Palatino Linotype" w:eastAsia="Calibri" w:hAnsi="Palatino Linotype" w:cs="Times New Roman"/>
          <w:sz w:val="24"/>
          <w:szCs w:val="20"/>
        </w:rPr>
        <w:t xml:space="preserve"> </w:t>
      </w:r>
    </w:p>
    <w:p w:rsidR="00064B00" w:rsidRDefault="007A6872" w:rsidP="00822436">
      <w:pPr>
        <w:ind w:firstLine="720"/>
        <w:jc w:val="both"/>
        <w:rPr>
          <w:rFonts w:ascii="Palatino Linotype" w:eastAsia="Calibri" w:hAnsi="Palatino Linotype" w:cs="Times New Roman"/>
          <w:sz w:val="24"/>
          <w:szCs w:val="20"/>
        </w:rPr>
      </w:pPr>
      <w:r w:rsidRPr="000223E6">
        <w:rPr>
          <w:rFonts w:ascii="Palatino Linotype" w:eastAsia="Calibri" w:hAnsi="Palatino Linotype" w:cs="Times New Roman"/>
          <w:sz w:val="24"/>
          <w:szCs w:val="20"/>
        </w:rPr>
        <w:lastRenderedPageBreak/>
        <w:t xml:space="preserve">Second, the timing of OSC’s request to alter the Stipulation </w:t>
      </w:r>
      <w:r w:rsidR="009F7081">
        <w:rPr>
          <w:rFonts w:ascii="Palatino Linotype" w:eastAsia="Calibri" w:hAnsi="Palatino Linotype" w:cs="Times New Roman"/>
          <w:sz w:val="24"/>
          <w:szCs w:val="20"/>
        </w:rPr>
        <w:t xml:space="preserve">would, if granted, </w:t>
      </w:r>
      <w:proofErr w:type="gramStart"/>
      <w:r w:rsidRPr="000223E6">
        <w:rPr>
          <w:rFonts w:ascii="Palatino Linotype" w:eastAsia="Calibri" w:hAnsi="Palatino Linotype" w:cs="Times New Roman"/>
          <w:sz w:val="24"/>
          <w:szCs w:val="20"/>
        </w:rPr>
        <w:t>cause</w:t>
      </w:r>
      <w:proofErr w:type="gramEnd"/>
      <w:r w:rsidRPr="000223E6">
        <w:rPr>
          <w:rFonts w:ascii="Palatino Linotype" w:eastAsia="Calibri" w:hAnsi="Palatino Linotype" w:cs="Times New Roman"/>
          <w:sz w:val="24"/>
          <w:szCs w:val="20"/>
        </w:rPr>
        <w:t xml:space="preserve"> increased uncertainty </w:t>
      </w:r>
      <w:r w:rsidR="003A72AD">
        <w:rPr>
          <w:rFonts w:ascii="Palatino Linotype" w:eastAsia="Calibri" w:hAnsi="Palatino Linotype" w:cs="Times New Roman"/>
          <w:sz w:val="24"/>
          <w:szCs w:val="20"/>
        </w:rPr>
        <w:t xml:space="preserve">and confusion for </w:t>
      </w:r>
      <w:r w:rsidR="00064B00">
        <w:rPr>
          <w:rFonts w:ascii="Palatino Linotype" w:eastAsia="Calibri" w:hAnsi="Palatino Linotype" w:cs="Times New Roman"/>
          <w:sz w:val="24"/>
          <w:szCs w:val="20"/>
        </w:rPr>
        <w:t xml:space="preserve">those </w:t>
      </w:r>
      <w:r w:rsidRPr="000223E6">
        <w:rPr>
          <w:rFonts w:ascii="Palatino Linotype" w:eastAsia="Calibri" w:hAnsi="Palatino Linotype" w:cs="Times New Roman"/>
          <w:sz w:val="24"/>
          <w:szCs w:val="20"/>
        </w:rPr>
        <w:t>potential suppliers under Columbia’s initial SCO auction</w:t>
      </w:r>
      <w:r w:rsidR="00064B00">
        <w:rPr>
          <w:rFonts w:ascii="Palatino Linotype" w:eastAsia="Calibri" w:hAnsi="Palatino Linotype" w:cs="Times New Roman"/>
          <w:sz w:val="24"/>
          <w:szCs w:val="20"/>
        </w:rPr>
        <w:t xml:space="preserve"> who are </w:t>
      </w:r>
      <w:r w:rsidR="003A72AD">
        <w:rPr>
          <w:rFonts w:ascii="Palatino Linotype" w:eastAsia="Calibri" w:hAnsi="Palatino Linotype" w:cs="Times New Roman"/>
          <w:sz w:val="24"/>
          <w:szCs w:val="20"/>
        </w:rPr>
        <w:t xml:space="preserve">currently in the process of </w:t>
      </w:r>
      <w:r w:rsidRPr="000223E6">
        <w:rPr>
          <w:rFonts w:ascii="Palatino Linotype" w:eastAsia="Calibri" w:hAnsi="Palatino Linotype" w:cs="Times New Roman"/>
          <w:sz w:val="24"/>
          <w:szCs w:val="20"/>
        </w:rPr>
        <w:t>finalizing the development of their bidding plans</w:t>
      </w:r>
      <w:r w:rsidR="003A72AD">
        <w:rPr>
          <w:rFonts w:ascii="Palatino Linotype" w:eastAsia="Calibri" w:hAnsi="Palatino Linotype" w:cs="Times New Roman"/>
          <w:sz w:val="24"/>
          <w:szCs w:val="20"/>
        </w:rPr>
        <w:t>.</w:t>
      </w:r>
      <w:r w:rsidRPr="000223E6">
        <w:rPr>
          <w:rFonts w:ascii="Palatino Linotype" w:eastAsia="Calibri" w:hAnsi="Palatino Linotype" w:cs="Times New Roman"/>
          <w:sz w:val="24"/>
          <w:szCs w:val="20"/>
        </w:rPr>
        <w:t xml:space="preserve"> </w:t>
      </w:r>
      <w:r w:rsidR="00064B00">
        <w:rPr>
          <w:rFonts w:ascii="Palatino Linotype" w:eastAsia="Calibri" w:hAnsi="Palatino Linotype" w:cs="Times New Roman"/>
          <w:sz w:val="24"/>
          <w:szCs w:val="20"/>
        </w:rPr>
        <w:t>Th</w:t>
      </w:r>
      <w:r w:rsidR="00D44B38">
        <w:rPr>
          <w:rFonts w:ascii="Palatino Linotype" w:eastAsia="Calibri" w:hAnsi="Palatino Linotype" w:cs="Times New Roman"/>
          <w:sz w:val="24"/>
          <w:szCs w:val="20"/>
        </w:rPr>
        <w:t>is</w:t>
      </w:r>
      <w:r w:rsidR="00064B00">
        <w:rPr>
          <w:rFonts w:ascii="Palatino Linotype" w:eastAsia="Calibri" w:hAnsi="Palatino Linotype" w:cs="Times New Roman"/>
          <w:sz w:val="24"/>
          <w:szCs w:val="20"/>
        </w:rPr>
        <w:t xml:space="preserve"> </w:t>
      </w:r>
      <w:r w:rsidRPr="000223E6">
        <w:rPr>
          <w:rFonts w:ascii="Palatino Linotype" w:eastAsia="Calibri" w:hAnsi="Palatino Linotype" w:cs="Times New Roman"/>
          <w:sz w:val="24"/>
          <w:szCs w:val="20"/>
        </w:rPr>
        <w:t>uncertainty</w:t>
      </w:r>
      <w:r w:rsidR="00064B00">
        <w:rPr>
          <w:rFonts w:ascii="Palatino Linotype" w:eastAsia="Calibri" w:hAnsi="Palatino Linotype" w:cs="Times New Roman"/>
          <w:sz w:val="24"/>
          <w:szCs w:val="20"/>
        </w:rPr>
        <w:t xml:space="preserve"> </w:t>
      </w:r>
      <w:r w:rsidRPr="000223E6">
        <w:rPr>
          <w:rFonts w:ascii="Palatino Linotype" w:eastAsia="Calibri" w:hAnsi="Palatino Linotype" w:cs="Times New Roman"/>
          <w:sz w:val="24"/>
          <w:szCs w:val="20"/>
        </w:rPr>
        <w:t>is likely to result in higher bid prices</w:t>
      </w:r>
      <w:r w:rsidR="003A72AD">
        <w:rPr>
          <w:rFonts w:ascii="Palatino Linotype" w:eastAsia="Calibri" w:hAnsi="Palatino Linotype" w:cs="Times New Roman"/>
          <w:sz w:val="24"/>
          <w:szCs w:val="20"/>
        </w:rPr>
        <w:t xml:space="preserve"> to the detriment of Columbia’s customers</w:t>
      </w:r>
      <w:r w:rsidRPr="000223E6">
        <w:rPr>
          <w:rFonts w:ascii="Palatino Linotype" w:eastAsia="Calibri" w:hAnsi="Palatino Linotype" w:cs="Times New Roman"/>
          <w:sz w:val="24"/>
          <w:szCs w:val="20"/>
        </w:rPr>
        <w:t xml:space="preserve">.  </w:t>
      </w:r>
    </w:p>
    <w:p w:rsidR="007A6872" w:rsidRPr="000223E6" w:rsidRDefault="007A6872" w:rsidP="00822436">
      <w:pPr>
        <w:ind w:firstLine="720"/>
        <w:jc w:val="both"/>
        <w:rPr>
          <w:rFonts w:ascii="Palatino Linotype" w:eastAsia="Calibri" w:hAnsi="Palatino Linotype" w:cs="Times New Roman"/>
          <w:sz w:val="24"/>
          <w:szCs w:val="20"/>
        </w:rPr>
      </w:pPr>
      <w:r w:rsidRPr="000223E6">
        <w:rPr>
          <w:rFonts w:ascii="Palatino Linotype" w:eastAsia="Calibri" w:hAnsi="Palatino Linotype" w:cs="Times New Roman"/>
          <w:sz w:val="24"/>
          <w:szCs w:val="20"/>
        </w:rPr>
        <w:t>Additionally, the timing of OSC’s request comes at the end of a period of substantial systems</w:t>
      </w:r>
      <w:r w:rsidR="003A72AD">
        <w:rPr>
          <w:rFonts w:ascii="Palatino Linotype" w:eastAsia="Calibri" w:hAnsi="Palatino Linotype" w:cs="Times New Roman"/>
          <w:sz w:val="24"/>
          <w:szCs w:val="20"/>
        </w:rPr>
        <w:t>’</w:t>
      </w:r>
      <w:r w:rsidRPr="000223E6">
        <w:rPr>
          <w:rFonts w:ascii="Palatino Linotype" w:eastAsia="Calibri" w:hAnsi="Palatino Linotype" w:cs="Times New Roman"/>
          <w:sz w:val="24"/>
          <w:szCs w:val="20"/>
        </w:rPr>
        <w:t xml:space="preserve"> upgrades made by Columbia to facilitate the changes incorporated in the Stipulation </w:t>
      </w:r>
      <w:r w:rsidR="003A72AD">
        <w:rPr>
          <w:rFonts w:ascii="Palatino Linotype" w:eastAsia="Calibri" w:hAnsi="Palatino Linotype" w:cs="Times New Roman"/>
          <w:sz w:val="24"/>
          <w:szCs w:val="20"/>
        </w:rPr>
        <w:t xml:space="preserve">necessary to effectuate </w:t>
      </w:r>
      <w:r w:rsidRPr="000223E6">
        <w:rPr>
          <w:rFonts w:ascii="Palatino Linotype" w:eastAsia="Calibri" w:hAnsi="Palatino Linotype" w:cs="Times New Roman"/>
          <w:sz w:val="24"/>
          <w:szCs w:val="20"/>
        </w:rPr>
        <w:t xml:space="preserve">the SCO.  Enabling parties to receive a waiver of the Stipulation requirements at this time will force Columbia to make and maintain </w:t>
      </w:r>
      <w:r w:rsidR="003A72AD">
        <w:rPr>
          <w:rFonts w:ascii="Palatino Linotype" w:eastAsia="Calibri" w:hAnsi="Palatino Linotype" w:cs="Times New Roman"/>
          <w:sz w:val="24"/>
          <w:szCs w:val="20"/>
        </w:rPr>
        <w:t xml:space="preserve">manual </w:t>
      </w:r>
      <w:r w:rsidRPr="000223E6">
        <w:rPr>
          <w:rFonts w:ascii="Palatino Linotype" w:eastAsia="Calibri" w:hAnsi="Palatino Linotype" w:cs="Times New Roman"/>
          <w:sz w:val="24"/>
          <w:szCs w:val="20"/>
        </w:rPr>
        <w:t xml:space="preserve">adjustments to </w:t>
      </w:r>
      <w:r w:rsidR="00A94F06" w:rsidRPr="000223E6">
        <w:rPr>
          <w:rFonts w:ascii="Palatino Linotype" w:eastAsia="Calibri" w:hAnsi="Palatino Linotype" w:cs="Times New Roman"/>
          <w:sz w:val="24"/>
          <w:szCs w:val="20"/>
        </w:rPr>
        <w:t xml:space="preserve">automated </w:t>
      </w:r>
      <w:r w:rsidRPr="000223E6">
        <w:rPr>
          <w:rFonts w:ascii="Palatino Linotype" w:eastAsia="Calibri" w:hAnsi="Palatino Linotype" w:cs="Times New Roman"/>
          <w:sz w:val="24"/>
          <w:szCs w:val="20"/>
        </w:rPr>
        <w:t>processes established pursuant to</w:t>
      </w:r>
      <w:r w:rsidR="00A94F06" w:rsidRPr="000223E6">
        <w:rPr>
          <w:rFonts w:ascii="Palatino Linotype" w:eastAsia="Calibri" w:hAnsi="Palatino Linotype" w:cs="Times New Roman"/>
          <w:sz w:val="24"/>
          <w:szCs w:val="20"/>
        </w:rPr>
        <w:t xml:space="preserve"> the Stipulation, a requirement</w:t>
      </w:r>
      <w:r w:rsidRPr="000223E6">
        <w:rPr>
          <w:rFonts w:ascii="Palatino Linotype" w:eastAsia="Calibri" w:hAnsi="Palatino Linotype" w:cs="Times New Roman"/>
          <w:sz w:val="24"/>
          <w:szCs w:val="20"/>
        </w:rPr>
        <w:t xml:space="preserve"> that will place an additional burden on Columbia and thus increase its costs</w:t>
      </w:r>
      <w:r w:rsidR="003A72AD">
        <w:rPr>
          <w:rFonts w:ascii="Palatino Linotype" w:eastAsia="Calibri" w:hAnsi="Palatino Linotype" w:cs="Times New Roman"/>
          <w:sz w:val="24"/>
          <w:szCs w:val="20"/>
        </w:rPr>
        <w:t>; again to the detriment of Columbia’s customers</w:t>
      </w:r>
      <w:r w:rsidRPr="000223E6">
        <w:rPr>
          <w:rFonts w:ascii="Palatino Linotype" w:eastAsia="Calibri" w:hAnsi="Palatino Linotype" w:cs="Times New Roman"/>
          <w:sz w:val="24"/>
          <w:szCs w:val="20"/>
        </w:rPr>
        <w:t>.</w:t>
      </w:r>
    </w:p>
    <w:p w:rsidR="00501898" w:rsidRDefault="005B20DD" w:rsidP="00822436">
      <w:pPr>
        <w:ind w:firstLine="720"/>
        <w:jc w:val="both"/>
        <w:rPr>
          <w:rFonts w:ascii="Palatino Linotype" w:eastAsia="Calibri" w:hAnsi="Palatino Linotype" w:cs="Times New Roman"/>
          <w:sz w:val="24"/>
          <w:szCs w:val="20"/>
        </w:rPr>
      </w:pPr>
      <w:r>
        <w:rPr>
          <w:rFonts w:ascii="Palatino Linotype" w:eastAsia="Calibri" w:hAnsi="Palatino Linotype" w:cs="Times New Roman"/>
          <w:sz w:val="24"/>
          <w:szCs w:val="20"/>
        </w:rPr>
        <w:t>Third</w:t>
      </w:r>
      <w:r w:rsidR="00501898">
        <w:rPr>
          <w:rFonts w:ascii="Palatino Linotype" w:eastAsia="Calibri" w:hAnsi="Palatino Linotype" w:cs="Times New Roman"/>
          <w:sz w:val="24"/>
          <w:szCs w:val="20"/>
        </w:rPr>
        <w:t xml:space="preserve">, the OSC should not be permitted to change the language of the </w:t>
      </w:r>
      <w:r w:rsidR="00064B00">
        <w:rPr>
          <w:rFonts w:ascii="Palatino Linotype" w:eastAsia="Calibri" w:hAnsi="Palatino Linotype" w:cs="Times New Roman"/>
          <w:sz w:val="24"/>
          <w:szCs w:val="20"/>
        </w:rPr>
        <w:t>Stipulation prior</w:t>
      </w:r>
      <w:r w:rsidR="00501898">
        <w:rPr>
          <w:rFonts w:ascii="Palatino Linotype" w:eastAsia="Calibri" w:hAnsi="Palatino Linotype" w:cs="Times New Roman"/>
          <w:sz w:val="24"/>
          <w:szCs w:val="20"/>
        </w:rPr>
        <w:t xml:space="preserve"> to the expiration of the initial term of the Stipulation. The Stipulation remains in effect until March 31, 2013 and OSC has failed to offer a compelling reason as to</w:t>
      </w:r>
      <w:r w:rsidR="00640642">
        <w:rPr>
          <w:rFonts w:ascii="Palatino Linotype" w:eastAsia="Calibri" w:hAnsi="Palatino Linotype" w:cs="Times New Roman"/>
          <w:sz w:val="24"/>
          <w:szCs w:val="20"/>
        </w:rPr>
        <w:t xml:space="preserve"> why the Stipulation should be altered</w:t>
      </w:r>
      <w:r w:rsidR="00501898">
        <w:rPr>
          <w:rFonts w:ascii="Palatino Linotype" w:eastAsia="Calibri" w:hAnsi="Palatino Linotype" w:cs="Times New Roman"/>
          <w:sz w:val="24"/>
          <w:szCs w:val="20"/>
        </w:rPr>
        <w:t xml:space="preserve"> prior to that date. </w:t>
      </w:r>
      <w:r w:rsidR="00F33320">
        <w:rPr>
          <w:rFonts w:ascii="Palatino Linotype" w:eastAsia="Calibri" w:hAnsi="Palatino Linotype" w:cs="Times New Roman"/>
          <w:sz w:val="24"/>
          <w:szCs w:val="20"/>
        </w:rPr>
        <w:t xml:space="preserve">Columbia is willing to discuss modifications to its transportation service </w:t>
      </w:r>
      <w:r w:rsidR="00640642">
        <w:rPr>
          <w:rFonts w:ascii="Palatino Linotype" w:eastAsia="Calibri" w:hAnsi="Palatino Linotype" w:cs="Times New Roman"/>
          <w:sz w:val="24"/>
          <w:szCs w:val="20"/>
        </w:rPr>
        <w:t xml:space="preserve">for private and parochial schools and public libraries </w:t>
      </w:r>
      <w:r w:rsidR="00F33320" w:rsidRPr="00F33320">
        <w:rPr>
          <w:rFonts w:ascii="Palatino Linotype" w:eastAsia="Calibri" w:hAnsi="Palatino Linotype" w:cs="Times New Roman"/>
          <w:i/>
          <w:sz w:val="24"/>
          <w:szCs w:val="20"/>
        </w:rPr>
        <w:t>after</w:t>
      </w:r>
      <w:r w:rsidR="00F33320">
        <w:rPr>
          <w:rFonts w:ascii="Palatino Linotype" w:eastAsia="Calibri" w:hAnsi="Palatino Linotype" w:cs="Times New Roman"/>
          <w:sz w:val="24"/>
          <w:szCs w:val="20"/>
        </w:rPr>
        <w:t xml:space="preserve"> the </w:t>
      </w:r>
      <w:r w:rsidR="004B1FC7">
        <w:rPr>
          <w:rFonts w:ascii="Palatino Linotype" w:eastAsia="Calibri" w:hAnsi="Palatino Linotype" w:cs="Times New Roman"/>
          <w:sz w:val="24"/>
          <w:szCs w:val="20"/>
        </w:rPr>
        <w:t>expiration of the Stipulation.</w:t>
      </w:r>
    </w:p>
    <w:p w:rsidR="00F33320" w:rsidRPr="00F22A64" w:rsidRDefault="00F33320" w:rsidP="00F22A64">
      <w:pPr>
        <w:ind w:firstLine="720"/>
        <w:jc w:val="both"/>
        <w:rPr>
          <w:rFonts w:ascii="Palatino Linotype" w:eastAsia="Calibri" w:hAnsi="Palatino Linotype" w:cs="Times New Roman"/>
          <w:sz w:val="24"/>
          <w:szCs w:val="20"/>
        </w:rPr>
      </w:pPr>
      <w:r>
        <w:rPr>
          <w:rFonts w:ascii="Palatino Linotype" w:eastAsia="Calibri" w:hAnsi="Palatino Linotype" w:cs="Times New Roman"/>
          <w:sz w:val="24"/>
          <w:szCs w:val="20"/>
        </w:rPr>
        <w:t>Finally, OSC has known about the standby requirement since the adoption of the Stipulation in 2009.</w:t>
      </w:r>
      <w:r w:rsidR="000223E6">
        <w:rPr>
          <w:rFonts w:ascii="Palatino Linotype" w:eastAsia="Calibri" w:hAnsi="Palatino Linotype" w:cs="Times New Roman"/>
          <w:sz w:val="24"/>
          <w:szCs w:val="20"/>
        </w:rPr>
        <w:t xml:space="preserve"> </w:t>
      </w:r>
      <w:r w:rsidR="00064B00">
        <w:rPr>
          <w:rFonts w:ascii="Palatino Linotype" w:eastAsia="Calibri" w:hAnsi="Palatino Linotype" w:cs="Times New Roman"/>
          <w:sz w:val="24"/>
          <w:szCs w:val="20"/>
        </w:rPr>
        <w:t>Counsel for OSC was a key participant in the settlement negotiations and intimately familiar with the provisions of the Stipulation</w:t>
      </w:r>
      <w:r w:rsidR="00814E8E">
        <w:rPr>
          <w:rFonts w:ascii="Palatino Linotype" w:eastAsia="Calibri" w:hAnsi="Palatino Linotype" w:cs="Times New Roman"/>
          <w:sz w:val="24"/>
          <w:szCs w:val="20"/>
        </w:rPr>
        <w:t>.</w:t>
      </w:r>
      <w:r>
        <w:rPr>
          <w:rFonts w:ascii="Palatino Linotype" w:eastAsia="Calibri" w:hAnsi="Palatino Linotype" w:cs="Times New Roman"/>
          <w:sz w:val="24"/>
          <w:szCs w:val="20"/>
        </w:rPr>
        <w:t xml:space="preserve"> </w:t>
      </w:r>
      <w:r w:rsidR="004E1886">
        <w:rPr>
          <w:rFonts w:ascii="Palatino Linotype" w:eastAsia="Calibri" w:hAnsi="Palatino Linotype" w:cs="Times New Roman"/>
          <w:sz w:val="24"/>
          <w:szCs w:val="20"/>
        </w:rPr>
        <w:t>As recently as May 2011, t</w:t>
      </w:r>
      <w:r>
        <w:rPr>
          <w:rFonts w:ascii="Palatino Linotype" w:eastAsia="Calibri" w:hAnsi="Palatino Linotype" w:cs="Times New Roman"/>
          <w:sz w:val="24"/>
          <w:szCs w:val="20"/>
        </w:rPr>
        <w:t xml:space="preserve">he Commission </w:t>
      </w:r>
      <w:r w:rsidR="005B20DD">
        <w:rPr>
          <w:rFonts w:ascii="Palatino Linotype" w:eastAsia="Calibri" w:hAnsi="Palatino Linotype" w:cs="Times New Roman"/>
          <w:sz w:val="24"/>
          <w:szCs w:val="20"/>
        </w:rPr>
        <w:t>provided</w:t>
      </w:r>
      <w:r w:rsidR="004E1886">
        <w:rPr>
          <w:rFonts w:ascii="Palatino Linotype" w:eastAsia="Calibri" w:hAnsi="Palatino Linotype" w:cs="Times New Roman"/>
          <w:sz w:val="24"/>
          <w:szCs w:val="20"/>
        </w:rPr>
        <w:t xml:space="preserve"> </w:t>
      </w:r>
      <w:r>
        <w:rPr>
          <w:rFonts w:ascii="Palatino Linotype" w:eastAsia="Calibri" w:hAnsi="Palatino Linotype" w:cs="Times New Roman"/>
          <w:sz w:val="24"/>
          <w:szCs w:val="20"/>
        </w:rPr>
        <w:t xml:space="preserve">interested parties multiple opportunities to file objections to Columbia’s Revised Program Outline and to the SCO auction as a whole. OSC did not avail itself to the procedural </w:t>
      </w:r>
      <w:r w:rsidR="005B20DD">
        <w:rPr>
          <w:rFonts w:ascii="Palatino Linotype" w:eastAsia="Calibri" w:hAnsi="Palatino Linotype" w:cs="Times New Roman"/>
          <w:sz w:val="24"/>
          <w:szCs w:val="20"/>
        </w:rPr>
        <w:t xml:space="preserve">made available </w:t>
      </w:r>
      <w:r>
        <w:rPr>
          <w:rFonts w:ascii="Palatino Linotype" w:eastAsia="Calibri" w:hAnsi="Palatino Linotype" w:cs="Times New Roman"/>
          <w:sz w:val="24"/>
          <w:szCs w:val="20"/>
        </w:rPr>
        <w:t>by the Commission and should n</w:t>
      </w:r>
      <w:r w:rsidR="00F22A64">
        <w:rPr>
          <w:rFonts w:ascii="Palatino Linotype" w:eastAsia="Calibri" w:hAnsi="Palatino Linotype" w:cs="Times New Roman"/>
          <w:sz w:val="24"/>
          <w:szCs w:val="20"/>
        </w:rPr>
        <w:t>ot be permitted to do so now</w:t>
      </w:r>
      <w:r w:rsidR="005B20DD">
        <w:rPr>
          <w:rFonts w:ascii="Palatino Linotype" w:eastAsia="Calibri" w:hAnsi="Palatino Linotype" w:cs="Times New Roman"/>
          <w:sz w:val="24"/>
          <w:szCs w:val="20"/>
        </w:rPr>
        <w:t xml:space="preserve"> at this late date</w:t>
      </w:r>
      <w:r w:rsidR="00F22A64">
        <w:rPr>
          <w:rFonts w:ascii="Palatino Linotype" w:eastAsia="Calibri" w:hAnsi="Palatino Linotype" w:cs="Times New Roman"/>
          <w:sz w:val="24"/>
          <w:szCs w:val="20"/>
        </w:rPr>
        <w:t xml:space="preserve">.  </w:t>
      </w:r>
    </w:p>
    <w:p w:rsidR="00F33320" w:rsidRPr="00F22A64" w:rsidRDefault="00F33320" w:rsidP="00822436">
      <w:pPr>
        <w:ind w:firstLine="720"/>
        <w:jc w:val="both"/>
        <w:rPr>
          <w:rFonts w:ascii="Palatino Linotype" w:eastAsia="Calibri" w:hAnsi="Palatino Linotype" w:cs="Times New Roman"/>
          <w:b/>
          <w:sz w:val="24"/>
          <w:szCs w:val="20"/>
        </w:rPr>
      </w:pPr>
      <w:r w:rsidRPr="00F22A64">
        <w:rPr>
          <w:rFonts w:ascii="Palatino Linotype" w:eastAsia="Calibri" w:hAnsi="Palatino Linotype" w:cs="Times New Roman"/>
          <w:b/>
          <w:sz w:val="24"/>
          <w:szCs w:val="20"/>
        </w:rPr>
        <w:lastRenderedPageBreak/>
        <w:t>CONCLUSION</w:t>
      </w:r>
    </w:p>
    <w:p w:rsidR="00F33320" w:rsidRPr="00822436" w:rsidRDefault="00F33320" w:rsidP="00822436">
      <w:pPr>
        <w:ind w:firstLine="720"/>
        <w:jc w:val="both"/>
        <w:rPr>
          <w:rFonts w:ascii="Palatino Linotype" w:eastAsia="Calibri" w:hAnsi="Palatino Linotype" w:cs="Times New Roman"/>
          <w:sz w:val="24"/>
          <w:szCs w:val="24"/>
        </w:rPr>
      </w:pPr>
      <w:r>
        <w:rPr>
          <w:rFonts w:ascii="Palatino Linotype" w:eastAsia="Calibri" w:hAnsi="Palatino Linotype" w:cs="Times New Roman"/>
          <w:sz w:val="24"/>
          <w:szCs w:val="20"/>
        </w:rPr>
        <w:t>For the foregoing reasons, Columbia respectfully requests that</w:t>
      </w:r>
      <w:r w:rsidR="00640642">
        <w:rPr>
          <w:rFonts w:ascii="Palatino Linotype" w:eastAsia="Calibri" w:hAnsi="Palatino Linotype" w:cs="Times New Roman"/>
          <w:sz w:val="24"/>
          <w:szCs w:val="20"/>
        </w:rPr>
        <w:t xml:space="preserve"> the OSC Request filed on December 21, 2011 be denied</w:t>
      </w:r>
      <w:r>
        <w:rPr>
          <w:rFonts w:ascii="Palatino Linotype" w:eastAsia="Calibri" w:hAnsi="Palatino Linotype" w:cs="Times New Roman"/>
          <w:sz w:val="24"/>
          <w:szCs w:val="20"/>
        </w:rPr>
        <w:t xml:space="preserve">. </w:t>
      </w:r>
      <w:r w:rsidR="00640642">
        <w:rPr>
          <w:rFonts w:ascii="Palatino Linotype" w:eastAsia="Calibri" w:hAnsi="Palatino Linotype" w:cs="Times New Roman"/>
          <w:sz w:val="24"/>
          <w:szCs w:val="20"/>
        </w:rPr>
        <w:t xml:space="preserve">Columbia is willing </w:t>
      </w:r>
      <w:r w:rsidR="00F22A64">
        <w:rPr>
          <w:rFonts w:ascii="Palatino Linotype" w:eastAsia="Calibri" w:hAnsi="Palatino Linotype" w:cs="Times New Roman"/>
          <w:sz w:val="24"/>
          <w:szCs w:val="20"/>
        </w:rPr>
        <w:t>to discus</w:t>
      </w:r>
      <w:r w:rsidR="00640642">
        <w:rPr>
          <w:rFonts w:ascii="Palatino Linotype" w:eastAsia="Calibri" w:hAnsi="Palatino Linotype" w:cs="Times New Roman"/>
          <w:sz w:val="24"/>
          <w:szCs w:val="20"/>
        </w:rPr>
        <w:t xml:space="preserve">s </w:t>
      </w:r>
      <w:r w:rsidR="00F22A64">
        <w:rPr>
          <w:rFonts w:ascii="Palatino Linotype" w:eastAsia="Calibri" w:hAnsi="Palatino Linotype" w:cs="Times New Roman"/>
          <w:sz w:val="24"/>
          <w:szCs w:val="20"/>
        </w:rPr>
        <w:t>varying options with the OSC regarding private</w:t>
      </w:r>
      <w:r w:rsidR="00640642">
        <w:rPr>
          <w:rFonts w:ascii="Palatino Linotype" w:eastAsia="Calibri" w:hAnsi="Palatino Linotype" w:cs="Times New Roman"/>
          <w:sz w:val="24"/>
          <w:szCs w:val="20"/>
        </w:rPr>
        <w:t xml:space="preserve"> and </w:t>
      </w:r>
      <w:r w:rsidR="00F22A64">
        <w:rPr>
          <w:rFonts w:ascii="Palatino Linotype" w:eastAsia="Calibri" w:hAnsi="Palatino Linotype" w:cs="Times New Roman"/>
          <w:sz w:val="24"/>
          <w:szCs w:val="20"/>
        </w:rPr>
        <w:t xml:space="preserve">parochial </w:t>
      </w:r>
      <w:r w:rsidR="00640642">
        <w:rPr>
          <w:rFonts w:ascii="Palatino Linotype" w:eastAsia="Calibri" w:hAnsi="Palatino Linotype" w:cs="Times New Roman"/>
          <w:sz w:val="24"/>
          <w:szCs w:val="20"/>
        </w:rPr>
        <w:t xml:space="preserve">schools </w:t>
      </w:r>
      <w:r w:rsidR="00F22A64">
        <w:rPr>
          <w:rFonts w:ascii="Palatino Linotype" w:eastAsia="Calibri" w:hAnsi="Palatino Linotype" w:cs="Times New Roman"/>
          <w:sz w:val="24"/>
          <w:szCs w:val="20"/>
        </w:rPr>
        <w:t xml:space="preserve">and libraries at the expiration of the 2009 Stipulation.  </w:t>
      </w:r>
    </w:p>
    <w:p w:rsidR="00BF040B" w:rsidRDefault="00BF040B" w:rsidP="004B7AFA">
      <w:pPr>
        <w:ind w:firstLine="720"/>
        <w:jc w:val="both"/>
        <w:rPr>
          <w:rFonts w:ascii="Palatino Linotype" w:eastAsia="Calibri" w:hAnsi="Palatino Linotype" w:cs="Times New Roman"/>
          <w:sz w:val="24"/>
          <w:szCs w:val="20"/>
        </w:rPr>
      </w:pPr>
    </w:p>
    <w:p w:rsidR="007D4148" w:rsidRDefault="007D4148" w:rsidP="00D81ACC">
      <w:pPr>
        <w:ind w:left="3600" w:firstLine="720"/>
        <w:jc w:val="both"/>
        <w:rPr>
          <w:rFonts w:ascii="Palatino Linotype" w:hAnsi="Palatino Linotype"/>
          <w:sz w:val="24"/>
          <w:szCs w:val="24"/>
        </w:rPr>
      </w:pPr>
    </w:p>
    <w:p w:rsidR="003E2F79" w:rsidRPr="003E2F79" w:rsidRDefault="003E2F79" w:rsidP="00D81ACC">
      <w:pPr>
        <w:ind w:left="3600" w:firstLine="720"/>
        <w:jc w:val="both"/>
        <w:rPr>
          <w:rFonts w:ascii="Palatino Linotype" w:hAnsi="Palatino Linotype"/>
          <w:sz w:val="24"/>
          <w:szCs w:val="24"/>
        </w:rPr>
      </w:pPr>
      <w:r w:rsidRPr="003E2F79">
        <w:rPr>
          <w:rFonts w:ascii="Palatino Linotype" w:hAnsi="Palatino Linotype"/>
          <w:sz w:val="24"/>
          <w:szCs w:val="24"/>
        </w:rPr>
        <w:t>Respectfully submitted,</w:t>
      </w:r>
    </w:p>
    <w:p w:rsidR="003E2F79" w:rsidRPr="003E2F79" w:rsidRDefault="003E2F79" w:rsidP="00D81ACC">
      <w:pPr>
        <w:ind w:left="3600" w:firstLine="720"/>
        <w:jc w:val="both"/>
        <w:rPr>
          <w:rFonts w:ascii="Palatino Linotype" w:hAnsi="Palatino Linotype"/>
          <w:b/>
          <w:sz w:val="24"/>
          <w:szCs w:val="24"/>
        </w:rPr>
      </w:pPr>
      <w:proofErr w:type="gramStart"/>
      <w:r w:rsidRPr="003E2F79">
        <w:rPr>
          <w:rFonts w:ascii="Palatino Linotype" w:hAnsi="Palatino Linotype"/>
          <w:b/>
          <w:sz w:val="24"/>
          <w:szCs w:val="24"/>
        </w:rPr>
        <w:t>COLUMBIA GAS OF OHIO, INC.</w:t>
      </w:r>
      <w:proofErr w:type="gramEnd"/>
    </w:p>
    <w:p w:rsidR="003E2F79" w:rsidRPr="003E2F79" w:rsidRDefault="003E2F79" w:rsidP="003E2F79">
      <w:pPr>
        <w:spacing w:after="0" w:line="240" w:lineRule="auto"/>
        <w:ind w:left="4320" w:firstLine="720"/>
        <w:jc w:val="both"/>
        <w:rPr>
          <w:rFonts w:ascii="Palatino Linotype" w:hAnsi="Palatino Linotype"/>
          <w:sz w:val="24"/>
          <w:szCs w:val="24"/>
        </w:rPr>
      </w:pPr>
    </w:p>
    <w:p w:rsidR="003E2F79" w:rsidRPr="003E2F79" w:rsidRDefault="003E2F79" w:rsidP="00D81ACC">
      <w:pPr>
        <w:spacing w:after="0" w:line="240" w:lineRule="auto"/>
        <w:ind w:left="3510" w:firstLine="720"/>
        <w:jc w:val="both"/>
        <w:rPr>
          <w:rFonts w:ascii="Palatino Linotype" w:hAnsi="Palatino Linotype"/>
          <w:sz w:val="24"/>
          <w:szCs w:val="24"/>
        </w:rPr>
      </w:pPr>
      <w:r w:rsidRPr="003E2F79">
        <w:rPr>
          <w:rFonts w:ascii="Palatino Linotype" w:hAnsi="Palatino Linotype"/>
          <w:sz w:val="24"/>
          <w:szCs w:val="24"/>
        </w:rPr>
        <w:t>By: ________________________________</w:t>
      </w:r>
    </w:p>
    <w:p w:rsidR="003E2F79" w:rsidRPr="003E2F79" w:rsidRDefault="003E2F79" w:rsidP="003E2F79">
      <w:pPr>
        <w:spacing w:after="0" w:line="240" w:lineRule="auto"/>
        <w:ind w:left="4320" w:firstLine="720"/>
        <w:jc w:val="both"/>
        <w:rPr>
          <w:rFonts w:ascii="Palatino Linotype" w:hAnsi="Palatino Linotype"/>
          <w:sz w:val="24"/>
          <w:szCs w:val="24"/>
        </w:rPr>
      </w:pPr>
      <w:r>
        <w:rPr>
          <w:rFonts w:ascii="Palatino Linotype" w:hAnsi="Palatino Linotype"/>
          <w:sz w:val="24"/>
          <w:szCs w:val="24"/>
        </w:rPr>
        <w:t>Brooke E. Leslie</w:t>
      </w:r>
    </w:p>
    <w:p w:rsidR="003E2F79" w:rsidRPr="003E2F79" w:rsidRDefault="003E2F79" w:rsidP="003E2F79">
      <w:pPr>
        <w:spacing w:after="0" w:line="240" w:lineRule="auto"/>
        <w:ind w:left="4320" w:firstLine="720"/>
        <w:jc w:val="both"/>
        <w:rPr>
          <w:rFonts w:ascii="Palatino Linotype" w:hAnsi="Palatino Linotype"/>
          <w:sz w:val="24"/>
          <w:szCs w:val="24"/>
        </w:rPr>
      </w:pPr>
    </w:p>
    <w:p w:rsidR="003E2F79" w:rsidRPr="003E2F79" w:rsidRDefault="003E2F79" w:rsidP="005B20DD">
      <w:pPr>
        <w:spacing w:after="0" w:line="240" w:lineRule="auto"/>
        <w:ind w:left="3600" w:firstLine="720"/>
        <w:jc w:val="both"/>
        <w:rPr>
          <w:rFonts w:ascii="Palatino Linotype" w:hAnsi="Palatino Linotype"/>
          <w:sz w:val="24"/>
          <w:szCs w:val="24"/>
        </w:rPr>
      </w:pPr>
      <w:r w:rsidRPr="003E2F79">
        <w:rPr>
          <w:rFonts w:ascii="Palatino Linotype" w:hAnsi="Palatino Linotype"/>
          <w:sz w:val="24"/>
          <w:szCs w:val="24"/>
        </w:rPr>
        <w:t xml:space="preserve">Stephen B. </w:t>
      </w:r>
      <w:proofErr w:type="spellStart"/>
      <w:r w:rsidRPr="003E2F79">
        <w:rPr>
          <w:rFonts w:ascii="Palatino Linotype" w:hAnsi="Palatino Linotype"/>
          <w:sz w:val="24"/>
          <w:szCs w:val="24"/>
        </w:rPr>
        <w:t>Seiple</w:t>
      </w:r>
      <w:proofErr w:type="spellEnd"/>
      <w:r w:rsidRPr="003E2F79">
        <w:rPr>
          <w:rFonts w:ascii="Palatino Linotype" w:hAnsi="Palatino Linotype"/>
          <w:sz w:val="24"/>
          <w:szCs w:val="24"/>
        </w:rPr>
        <w:t>, Asst. General Counsel</w:t>
      </w:r>
    </w:p>
    <w:p w:rsidR="003E2F79" w:rsidRPr="003E2F79" w:rsidRDefault="003E2F79" w:rsidP="005B20DD">
      <w:pPr>
        <w:spacing w:after="0" w:line="240" w:lineRule="auto"/>
        <w:ind w:left="3600" w:firstLine="720"/>
        <w:jc w:val="both"/>
        <w:rPr>
          <w:rFonts w:ascii="Palatino Linotype" w:hAnsi="Palatino Linotype"/>
          <w:sz w:val="24"/>
          <w:szCs w:val="24"/>
        </w:rPr>
      </w:pPr>
      <w:r w:rsidRPr="003E2F79">
        <w:rPr>
          <w:rFonts w:ascii="Palatino Linotype" w:hAnsi="Palatino Linotype"/>
          <w:sz w:val="24"/>
          <w:szCs w:val="24"/>
        </w:rPr>
        <w:t>Brooke E. Leslie, Counsel</w:t>
      </w:r>
    </w:p>
    <w:p w:rsidR="003E2F79" w:rsidRPr="003E2F79" w:rsidRDefault="003E2F79" w:rsidP="005B20DD">
      <w:pPr>
        <w:spacing w:after="0" w:line="240" w:lineRule="auto"/>
        <w:ind w:left="3600" w:firstLine="720"/>
        <w:jc w:val="both"/>
        <w:rPr>
          <w:rFonts w:ascii="Palatino Linotype" w:hAnsi="Palatino Linotype"/>
          <w:sz w:val="24"/>
          <w:szCs w:val="24"/>
        </w:rPr>
      </w:pPr>
      <w:r w:rsidRPr="003E2F79">
        <w:rPr>
          <w:rFonts w:ascii="Palatino Linotype" w:hAnsi="Palatino Linotype"/>
          <w:sz w:val="24"/>
          <w:szCs w:val="24"/>
        </w:rPr>
        <w:t>200 Civic Center Drive</w:t>
      </w:r>
    </w:p>
    <w:p w:rsidR="003E2F79" w:rsidRPr="003E2F79" w:rsidRDefault="003E2F79" w:rsidP="005B20DD">
      <w:pPr>
        <w:spacing w:after="0" w:line="240" w:lineRule="auto"/>
        <w:ind w:left="3600" w:firstLine="720"/>
        <w:jc w:val="both"/>
        <w:rPr>
          <w:rFonts w:ascii="Palatino Linotype" w:hAnsi="Palatino Linotype"/>
          <w:sz w:val="24"/>
          <w:szCs w:val="24"/>
        </w:rPr>
      </w:pPr>
      <w:r w:rsidRPr="003E2F79">
        <w:rPr>
          <w:rFonts w:ascii="Palatino Linotype" w:hAnsi="Palatino Linotype"/>
          <w:sz w:val="24"/>
          <w:szCs w:val="24"/>
        </w:rPr>
        <w:t>Columbus, OH 43216-0117</w:t>
      </w:r>
    </w:p>
    <w:p w:rsidR="003E2F79" w:rsidRPr="003E2F79" w:rsidRDefault="003E2F79" w:rsidP="005B20DD">
      <w:pPr>
        <w:spacing w:after="0" w:line="240" w:lineRule="auto"/>
        <w:ind w:left="3600" w:firstLine="720"/>
        <w:jc w:val="both"/>
        <w:rPr>
          <w:rFonts w:ascii="Palatino Linotype" w:hAnsi="Palatino Linotype"/>
          <w:sz w:val="24"/>
          <w:szCs w:val="24"/>
        </w:rPr>
      </w:pPr>
      <w:r w:rsidRPr="003E2F79">
        <w:rPr>
          <w:rFonts w:ascii="Palatino Linotype" w:hAnsi="Palatino Linotype"/>
          <w:sz w:val="24"/>
          <w:szCs w:val="24"/>
        </w:rPr>
        <w:t>Telephone: (614) 460-5558</w:t>
      </w:r>
    </w:p>
    <w:p w:rsidR="003E2F79" w:rsidRPr="003E2F79" w:rsidRDefault="003E2F79" w:rsidP="005B20DD">
      <w:pPr>
        <w:spacing w:after="0" w:line="240" w:lineRule="auto"/>
        <w:ind w:left="3600" w:firstLine="720"/>
        <w:jc w:val="both"/>
        <w:rPr>
          <w:rFonts w:ascii="Palatino Linotype" w:hAnsi="Palatino Linotype"/>
          <w:sz w:val="24"/>
          <w:szCs w:val="24"/>
        </w:rPr>
      </w:pPr>
      <w:r w:rsidRPr="003E2F79">
        <w:rPr>
          <w:rFonts w:ascii="Palatino Linotype" w:hAnsi="Palatino Linotype"/>
          <w:sz w:val="24"/>
          <w:szCs w:val="24"/>
        </w:rPr>
        <w:t>Fax: (614) 460-6986</w:t>
      </w:r>
    </w:p>
    <w:p w:rsidR="003E2F79" w:rsidRPr="003E2F79" w:rsidRDefault="003E2F79" w:rsidP="005B20DD">
      <w:pPr>
        <w:spacing w:after="0" w:line="240" w:lineRule="auto"/>
        <w:ind w:left="3600" w:firstLine="720"/>
        <w:jc w:val="both"/>
        <w:rPr>
          <w:rFonts w:ascii="Palatino Linotype" w:hAnsi="Palatino Linotype"/>
          <w:sz w:val="24"/>
          <w:szCs w:val="24"/>
        </w:rPr>
      </w:pPr>
      <w:r w:rsidRPr="003E2F79">
        <w:rPr>
          <w:rFonts w:ascii="Palatino Linotype" w:hAnsi="Palatino Linotype"/>
          <w:sz w:val="24"/>
          <w:szCs w:val="24"/>
        </w:rPr>
        <w:t>Email: bleslie@nisource.com</w:t>
      </w:r>
    </w:p>
    <w:p w:rsidR="003E2F79" w:rsidRPr="003E2F79" w:rsidRDefault="003E2F79" w:rsidP="003E2F79">
      <w:pPr>
        <w:spacing w:after="0" w:line="240" w:lineRule="auto"/>
        <w:ind w:left="4320" w:firstLine="720"/>
        <w:jc w:val="both"/>
        <w:rPr>
          <w:rFonts w:ascii="Palatino Linotype" w:hAnsi="Palatino Linotype"/>
          <w:sz w:val="24"/>
          <w:szCs w:val="24"/>
        </w:rPr>
      </w:pPr>
    </w:p>
    <w:p w:rsidR="003E2F79" w:rsidRPr="003E2F79" w:rsidRDefault="003E2F79" w:rsidP="005B20DD">
      <w:pPr>
        <w:spacing w:after="0" w:line="240" w:lineRule="auto"/>
        <w:ind w:left="3600" w:firstLine="720"/>
        <w:jc w:val="both"/>
        <w:rPr>
          <w:rFonts w:ascii="Palatino Linotype" w:hAnsi="Palatino Linotype"/>
          <w:sz w:val="24"/>
          <w:szCs w:val="24"/>
        </w:rPr>
      </w:pPr>
      <w:r w:rsidRPr="003E2F79">
        <w:rPr>
          <w:rFonts w:ascii="Palatino Linotype" w:hAnsi="Palatino Linotype"/>
          <w:sz w:val="24"/>
          <w:szCs w:val="24"/>
        </w:rPr>
        <w:t xml:space="preserve">Attorneys for </w:t>
      </w:r>
    </w:p>
    <w:p w:rsidR="003E2F79" w:rsidRPr="003E2F79" w:rsidRDefault="003E2F79" w:rsidP="005B20DD">
      <w:pPr>
        <w:spacing w:after="0" w:line="240" w:lineRule="auto"/>
        <w:ind w:left="3600" w:firstLine="720"/>
        <w:jc w:val="both"/>
        <w:rPr>
          <w:rFonts w:ascii="Palatino Linotype" w:hAnsi="Palatino Linotype"/>
          <w:b/>
          <w:sz w:val="24"/>
          <w:szCs w:val="24"/>
        </w:rPr>
      </w:pPr>
      <w:proofErr w:type="gramStart"/>
      <w:r w:rsidRPr="003E2F79">
        <w:rPr>
          <w:rFonts w:ascii="Palatino Linotype" w:hAnsi="Palatino Linotype"/>
          <w:b/>
          <w:sz w:val="24"/>
          <w:szCs w:val="24"/>
        </w:rPr>
        <w:t>COLUMBIA GAS OF OHIO, INC.</w:t>
      </w:r>
      <w:proofErr w:type="gramEnd"/>
    </w:p>
    <w:p w:rsidR="003E2F79" w:rsidRPr="003E2F79" w:rsidRDefault="00D44B38" w:rsidP="00D44B38">
      <w:pPr>
        <w:rPr>
          <w:rFonts w:ascii="Palatino Linotype" w:hAnsi="Palatino Linotype"/>
        </w:rPr>
      </w:pPr>
      <w:r>
        <w:rPr>
          <w:rFonts w:ascii="Palatino Linotype" w:hAnsi="Palatino Linotype"/>
        </w:rPr>
        <w:br w:type="page"/>
      </w:r>
      <w:bookmarkStart w:id="0" w:name="_GoBack"/>
      <w:bookmarkEnd w:id="0"/>
    </w:p>
    <w:p w:rsidR="003E2F79" w:rsidRPr="003E2F79" w:rsidRDefault="003E2F79" w:rsidP="00814E8E">
      <w:pPr>
        <w:jc w:val="center"/>
        <w:rPr>
          <w:rFonts w:ascii="Palatino Linotype" w:hAnsi="Palatino Linotype"/>
          <w:b/>
          <w:u w:val="single"/>
        </w:rPr>
      </w:pPr>
      <w:r w:rsidRPr="003E2F79">
        <w:rPr>
          <w:rFonts w:ascii="Palatino Linotype" w:hAnsi="Palatino Linotype"/>
          <w:b/>
          <w:u w:val="single"/>
        </w:rPr>
        <w:t>CERTIFICATE OF SERVICE</w:t>
      </w:r>
    </w:p>
    <w:p w:rsidR="00BF040B" w:rsidRDefault="003E2F79" w:rsidP="003E2F79">
      <w:pPr>
        <w:jc w:val="both"/>
        <w:rPr>
          <w:rFonts w:ascii="Palatino Linotype" w:hAnsi="Palatino Linotype"/>
        </w:rPr>
      </w:pPr>
      <w:r>
        <w:rPr>
          <w:rFonts w:ascii="Palatino Linotype" w:hAnsi="Palatino Linotype"/>
        </w:rPr>
        <w:t>I certify that a copy of the foregoing document was served via electronic mail on the following persons this 5</w:t>
      </w:r>
      <w:r w:rsidRPr="003E2F79">
        <w:rPr>
          <w:rFonts w:ascii="Palatino Linotype" w:hAnsi="Palatino Linotype"/>
          <w:vertAlign w:val="superscript"/>
        </w:rPr>
        <w:t>th</w:t>
      </w:r>
      <w:r>
        <w:rPr>
          <w:rFonts w:ascii="Palatino Linotype" w:hAnsi="Palatino Linotype"/>
        </w:rPr>
        <w:t xml:space="preserve"> day of January, 2012.</w:t>
      </w:r>
    </w:p>
    <w:p w:rsidR="003E2F79" w:rsidRPr="003E2F79" w:rsidRDefault="003E2F79" w:rsidP="003E2F79">
      <w:pPr>
        <w:jc w:val="both"/>
        <w:rPr>
          <w:rFonts w:ascii="Palatino Linotype" w:hAnsi="Palatino Linotype"/>
          <w:sz w:val="24"/>
          <w:szCs w:val="24"/>
        </w:rPr>
      </w:pPr>
    </w:p>
    <w:p w:rsidR="003E2F79" w:rsidRPr="003E2F79" w:rsidRDefault="003E2F79" w:rsidP="003E2F79">
      <w:pPr>
        <w:ind w:left="5040"/>
        <w:rPr>
          <w:rFonts w:ascii="Palatino Linotype" w:hAnsi="Palatino Linotype"/>
          <w:sz w:val="24"/>
          <w:szCs w:val="24"/>
        </w:rPr>
      </w:pPr>
      <w:r w:rsidRPr="003E2F79">
        <w:rPr>
          <w:rFonts w:ascii="Palatino Linotype" w:hAnsi="Palatino Linotype"/>
          <w:sz w:val="24"/>
          <w:szCs w:val="24"/>
        </w:rPr>
        <w:t>____</w:t>
      </w:r>
      <w:r w:rsidR="00814E8E">
        <w:rPr>
          <w:rFonts w:ascii="Palatino Linotype" w:hAnsi="Palatino Linotype"/>
          <w:sz w:val="24"/>
          <w:szCs w:val="24"/>
        </w:rPr>
        <w:t>__________________________</w:t>
      </w:r>
    </w:p>
    <w:p w:rsidR="003E2F79" w:rsidRDefault="003E2F79" w:rsidP="003E2F79">
      <w:pPr>
        <w:ind w:left="5040"/>
        <w:rPr>
          <w:rFonts w:ascii="Palatino Linotype" w:hAnsi="Palatino Linotype"/>
          <w:sz w:val="24"/>
          <w:szCs w:val="24"/>
        </w:rPr>
      </w:pPr>
      <w:r w:rsidRPr="003E2F79">
        <w:rPr>
          <w:rFonts w:ascii="Palatino Linotype" w:hAnsi="Palatino Linotype"/>
          <w:sz w:val="24"/>
          <w:szCs w:val="24"/>
        </w:rPr>
        <w:t>Brooke E. Leslie</w:t>
      </w:r>
    </w:p>
    <w:p w:rsidR="003E2F79" w:rsidRDefault="003E2F79" w:rsidP="003E2F79">
      <w:pPr>
        <w:spacing w:after="0" w:line="240" w:lineRule="auto"/>
        <w:rPr>
          <w:rFonts w:ascii="Palatino Linotype" w:hAnsi="Palatino Linotype"/>
          <w:sz w:val="24"/>
          <w:szCs w:val="24"/>
        </w:rPr>
      </w:pPr>
      <w:r>
        <w:rPr>
          <w:rFonts w:ascii="Palatino Linotype" w:hAnsi="Palatino Linotype"/>
          <w:sz w:val="24"/>
          <w:szCs w:val="24"/>
        </w:rPr>
        <w:lastRenderedPageBreak/>
        <w:t xml:space="preserve">M. Howard </w:t>
      </w:r>
      <w:proofErr w:type="spellStart"/>
      <w:r>
        <w:rPr>
          <w:rFonts w:ascii="Palatino Linotype" w:hAnsi="Palatino Linotype"/>
          <w:sz w:val="24"/>
          <w:szCs w:val="24"/>
        </w:rPr>
        <w:t>Petricoff</w:t>
      </w:r>
      <w:proofErr w:type="spellEnd"/>
    </w:p>
    <w:p w:rsidR="003E2F79" w:rsidRDefault="003E2F79" w:rsidP="003E2F79">
      <w:pPr>
        <w:spacing w:after="0" w:line="240" w:lineRule="auto"/>
        <w:rPr>
          <w:rFonts w:ascii="Palatino Linotype" w:hAnsi="Palatino Linotype"/>
          <w:sz w:val="24"/>
          <w:szCs w:val="24"/>
        </w:rPr>
      </w:pPr>
      <w:r>
        <w:rPr>
          <w:rFonts w:ascii="Palatino Linotype" w:hAnsi="Palatino Linotype"/>
          <w:sz w:val="24"/>
          <w:szCs w:val="24"/>
        </w:rPr>
        <w:t>Stephen M. Howard</w:t>
      </w:r>
    </w:p>
    <w:p w:rsidR="003E2F79" w:rsidRDefault="003E2F79" w:rsidP="003E2F79">
      <w:pPr>
        <w:spacing w:after="0" w:line="240" w:lineRule="auto"/>
        <w:rPr>
          <w:rFonts w:ascii="Palatino Linotype" w:hAnsi="Palatino Linotype"/>
          <w:sz w:val="24"/>
          <w:szCs w:val="24"/>
        </w:rPr>
      </w:pPr>
      <w:proofErr w:type="spellStart"/>
      <w:r>
        <w:rPr>
          <w:rFonts w:ascii="Palatino Linotype" w:hAnsi="Palatino Linotype"/>
          <w:sz w:val="24"/>
          <w:szCs w:val="24"/>
        </w:rPr>
        <w:t>Vorys</w:t>
      </w:r>
      <w:proofErr w:type="spellEnd"/>
      <w:r>
        <w:rPr>
          <w:rFonts w:ascii="Palatino Linotype" w:hAnsi="Palatino Linotype"/>
          <w:sz w:val="24"/>
          <w:szCs w:val="24"/>
        </w:rPr>
        <w:t xml:space="preserve">, </w:t>
      </w:r>
      <w:proofErr w:type="spellStart"/>
      <w:r>
        <w:rPr>
          <w:rFonts w:ascii="Palatino Linotype" w:hAnsi="Palatino Linotype"/>
          <w:sz w:val="24"/>
          <w:szCs w:val="24"/>
        </w:rPr>
        <w:t>Sater</w:t>
      </w:r>
      <w:proofErr w:type="spellEnd"/>
      <w:r>
        <w:rPr>
          <w:rFonts w:ascii="Palatino Linotype" w:hAnsi="Palatino Linotype"/>
          <w:sz w:val="24"/>
          <w:szCs w:val="24"/>
        </w:rPr>
        <w:t>, Seymour and Pease LLP</w:t>
      </w:r>
    </w:p>
    <w:p w:rsidR="003E2F79" w:rsidRDefault="003E2F79" w:rsidP="003E2F79">
      <w:pPr>
        <w:spacing w:after="0" w:line="240" w:lineRule="auto"/>
        <w:rPr>
          <w:rFonts w:ascii="Palatino Linotype" w:hAnsi="Palatino Linotype"/>
          <w:sz w:val="24"/>
          <w:szCs w:val="24"/>
        </w:rPr>
      </w:pPr>
      <w:r>
        <w:rPr>
          <w:rFonts w:ascii="Palatino Linotype" w:hAnsi="Palatino Linotype"/>
          <w:sz w:val="24"/>
          <w:szCs w:val="24"/>
        </w:rPr>
        <w:t>52 E. Gay Street</w:t>
      </w:r>
    </w:p>
    <w:p w:rsidR="003E2F79" w:rsidRDefault="003E2F79" w:rsidP="003E2F79">
      <w:pPr>
        <w:spacing w:after="0" w:line="240" w:lineRule="auto"/>
        <w:rPr>
          <w:rFonts w:ascii="Palatino Linotype" w:hAnsi="Palatino Linotype"/>
          <w:sz w:val="24"/>
          <w:szCs w:val="24"/>
        </w:rPr>
      </w:pPr>
      <w:r>
        <w:rPr>
          <w:rFonts w:ascii="Palatino Linotype" w:hAnsi="Palatino Linotype"/>
          <w:sz w:val="24"/>
          <w:szCs w:val="24"/>
        </w:rPr>
        <w:t>Columbus, Ohio 43215</w:t>
      </w:r>
    </w:p>
    <w:p w:rsidR="003E2F79" w:rsidRDefault="00D44B38" w:rsidP="003E2F79">
      <w:pPr>
        <w:spacing w:after="0" w:line="240" w:lineRule="auto"/>
        <w:rPr>
          <w:rFonts w:ascii="Palatino Linotype" w:hAnsi="Palatino Linotype"/>
          <w:sz w:val="24"/>
          <w:szCs w:val="24"/>
        </w:rPr>
      </w:pPr>
      <w:hyperlink r:id="rId11" w:history="1">
        <w:r w:rsidR="003E2F79" w:rsidRPr="00DC6895">
          <w:rPr>
            <w:rStyle w:val="Hyperlink"/>
            <w:rFonts w:ascii="Palatino Linotype" w:hAnsi="Palatino Linotype"/>
            <w:sz w:val="24"/>
            <w:szCs w:val="24"/>
          </w:rPr>
          <w:t>mhpetricoff@vorys.com</w:t>
        </w:r>
      </w:hyperlink>
    </w:p>
    <w:p w:rsidR="003E2F79" w:rsidRDefault="00D44B38" w:rsidP="003E2F79">
      <w:pPr>
        <w:spacing w:after="0" w:line="240" w:lineRule="auto"/>
        <w:rPr>
          <w:rFonts w:ascii="Palatino Linotype" w:hAnsi="Palatino Linotype"/>
          <w:sz w:val="24"/>
          <w:szCs w:val="24"/>
        </w:rPr>
      </w:pPr>
      <w:hyperlink r:id="rId12" w:history="1">
        <w:r w:rsidR="003E2F79" w:rsidRPr="00DC6895">
          <w:rPr>
            <w:rStyle w:val="Hyperlink"/>
            <w:rFonts w:ascii="Palatino Linotype" w:hAnsi="Palatino Linotype"/>
            <w:sz w:val="24"/>
            <w:szCs w:val="24"/>
          </w:rPr>
          <w:t>smhoward@vorys.com</w:t>
        </w:r>
      </w:hyperlink>
    </w:p>
    <w:p w:rsidR="003E2F79" w:rsidRPr="003E2F79" w:rsidRDefault="003E2F79" w:rsidP="003E2F79">
      <w:pPr>
        <w:spacing w:after="0" w:line="240" w:lineRule="auto"/>
        <w:rPr>
          <w:rFonts w:ascii="Palatino Linotype" w:hAnsi="Palatino Linotype"/>
          <w:sz w:val="24"/>
          <w:szCs w:val="24"/>
        </w:rPr>
      </w:pPr>
      <w:r>
        <w:rPr>
          <w:rFonts w:ascii="Palatino Linotype" w:hAnsi="Palatino Linotype"/>
          <w:sz w:val="24"/>
          <w:szCs w:val="24"/>
        </w:rPr>
        <w:t>Attorneys for Ohio School Consortium</w:t>
      </w:r>
    </w:p>
    <w:sectPr w:rsidR="003E2F79" w:rsidRPr="003E2F79" w:rsidSect="00D81ACC">
      <w:footerReference w:type="default" r:id="rId13"/>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4356" w:rsidRDefault="00F84356" w:rsidP="00AB0C94">
      <w:pPr>
        <w:spacing w:after="0" w:line="240" w:lineRule="auto"/>
      </w:pPr>
      <w:r>
        <w:separator/>
      </w:r>
    </w:p>
  </w:endnote>
  <w:endnote w:type="continuationSeparator" w:id="0">
    <w:p w:rsidR="00F84356" w:rsidRDefault="00F84356" w:rsidP="00AB0C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00"/>
    <w:family w:val="roman"/>
    <w:pitch w:val="variable"/>
    <w:sig w:usb0="E00003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0762832"/>
      <w:docPartObj>
        <w:docPartGallery w:val="Page Numbers (Bottom of Page)"/>
        <w:docPartUnique/>
      </w:docPartObj>
    </w:sdtPr>
    <w:sdtEndPr>
      <w:rPr>
        <w:noProof/>
      </w:rPr>
    </w:sdtEndPr>
    <w:sdtContent>
      <w:p w:rsidR="00276EFD" w:rsidRDefault="00276EFD">
        <w:pPr>
          <w:pStyle w:val="Footer"/>
          <w:jc w:val="center"/>
        </w:pPr>
        <w:r>
          <w:fldChar w:fldCharType="begin"/>
        </w:r>
        <w:r>
          <w:instrText xml:space="preserve"> PAGE   \* MERGEFORMAT </w:instrText>
        </w:r>
        <w:r>
          <w:fldChar w:fldCharType="separate"/>
        </w:r>
        <w:r w:rsidR="00D44B38">
          <w:rPr>
            <w:noProof/>
          </w:rPr>
          <w:t>2</w:t>
        </w:r>
        <w:r>
          <w:rPr>
            <w:noProof/>
          </w:rPr>
          <w:fldChar w:fldCharType="end"/>
        </w:r>
      </w:p>
    </w:sdtContent>
  </w:sdt>
  <w:p w:rsidR="00276EFD" w:rsidRDefault="0027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4356" w:rsidRDefault="00F84356" w:rsidP="00AB0C94">
      <w:pPr>
        <w:spacing w:after="0" w:line="240" w:lineRule="auto"/>
      </w:pPr>
      <w:r>
        <w:separator/>
      </w:r>
    </w:p>
  </w:footnote>
  <w:footnote w:type="continuationSeparator" w:id="0">
    <w:p w:rsidR="00F84356" w:rsidRDefault="00F84356" w:rsidP="00AB0C94">
      <w:pPr>
        <w:spacing w:after="0" w:line="240" w:lineRule="auto"/>
      </w:pPr>
      <w:r>
        <w:continuationSeparator/>
      </w:r>
    </w:p>
  </w:footnote>
  <w:footnote w:id="1">
    <w:p w:rsidR="00276EFD" w:rsidRPr="00D81ACC" w:rsidRDefault="00276EFD" w:rsidP="00D81ACC">
      <w:pPr>
        <w:pStyle w:val="FootnoteText"/>
        <w:jc w:val="both"/>
        <w:rPr>
          <w:rFonts w:ascii="Palatino Linotype" w:hAnsi="Palatino Linotype"/>
        </w:rPr>
      </w:pPr>
      <w:r w:rsidRPr="00D81ACC">
        <w:rPr>
          <w:rStyle w:val="FootnoteReference"/>
          <w:rFonts w:ascii="Palatino Linotype" w:hAnsi="Palatino Linotype"/>
        </w:rPr>
        <w:footnoteRef/>
      </w:r>
      <w:r w:rsidRPr="00D81ACC">
        <w:rPr>
          <w:rFonts w:ascii="Palatino Linotype" w:hAnsi="Palatino Linotype"/>
        </w:rPr>
        <w:t xml:space="preserve"> JP Morgan, NJR Energy,</w:t>
      </w:r>
      <w:r w:rsidR="009F7081">
        <w:rPr>
          <w:rFonts w:ascii="Palatino Linotype" w:hAnsi="Palatino Linotype"/>
        </w:rPr>
        <w:t xml:space="preserve"> and</w:t>
      </w:r>
      <w:r w:rsidRPr="00D81ACC">
        <w:rPr>
          <w:rFonts w:ascii="Palatino Linotype" w:hAnsi="Palatino Linotype"/>
        </w:rPr>
        <w:t xml:space="preserve"> Sempra Energy Trading LLC did not sign the Stipulation; however, indicated they did not oppose the stipulation.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C95914"/>
    <w:multiLevelType w:val="hybridMultilevel"/>
    <w:tmpl w:val="91700A6E"/>
    <w:lvl w:ilvl="0" w:tplc="2932C072">
      <w:start w:val="1"/>
      <w:numFmt w:val="upperRoman"/>
      <w:lvlText w:val="%1."/>
      <w:lvlJc w:val="left"/>
      <w:pPr>
        <w:ind w:left="1440" w:hanging="720"/>
      </w:pPr>
      <w:rPr>
        <w:rFonts w:ascii="Palatino Linotype" w:eastAsia="Calibri" w:hAnsi="Palatino Linotype" w:cs="Times New Roman"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AFA"/>
    <w:rsid w:val="000223E6"/>
    <w:rsid w:val="00064B00"/>
    <w:rsid w:val="000C7D76"/>
    <w:rsid w:val="00276EFD"/>
    <w:rsid w:val="003A72AD"/>
    <w:rsid w:val="003E2F79"/>
    <w:rsid w:val="004B1FC7"/>
    <w:rsid w:val="004B7AFA"/>
    <w:rsid w:val="004E1886"/>
    <w:rsid w:val="00501898"/>
    <w:rsid w:val="005B20DD"/>
    <w:rsid w:val="00640642"/>
    <w:rsid w:val="00682064"/>
    <w:rsid w:val="006F0052"/>
    <w:rsid w:val="00770651"/>
    <w:rsid w:val="007A5138"/>
    <w:rsid w:val="007A6872"/>
    <w:rsid w:val="007D4148"/>
    <w:rsid w:val="0080537C"/>
    <w:rsid w:val="00814E8E"/>
    <w:rsid w:val="00822436"/>
    <w:rsid w:val="008D77CA"/>
    <w:rsid w:val="009315F5"/>
    <w:rsid w:val="0098452D"/>
    <w:rsid w:val="009F7081"/>
    <w:rsid w:val="00A94F06"/>
    <w:rsid w:val="00AB0C94"/>
    <w:rsid w:val="00B70D23"/>
    <w:rsid w:val="00BE7C99"/>
    <w:rsid w:val="00BF040B"/>
    <w:rsid w:val="00D02104"/>
    <w:rsid w:val="00D44B38"/>
    <w:rsid w:val="00D81ACC"/>
    <w:rsid w:val="00E32749"/>
    <w:rsid w:val="00F22A64"/>
    <w:rsid w:val="00F33320"/>
    <w:rsid w:val="00F843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7AFA"/>
    <w:pPr>
      <w:ind w:left="720"/>
      <w:contextualSpacing/>
    </w:pPr>
  </w:style>
  <w:style w:type="paragraph" w:styleId="FootnoteText">
    <w:name w:val="footnote text"/>
    <w:basedOn w:val="Normal"/>
    <w:link w:val="FootnoteTextChar"/>
    <w:uiPriority w:val="99"/>
    <w:semiHidden/>
    <w:unhideWhenUsed/>
    <w:rsid w:val="00AB0C9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B0C94"/>
    <w:rPr>
      <w:sz w:val="20"/>
      <w:szCs w:val="20"/>
    </w:rPr>
  </w:style>
  <w:style w:type="character" w:styleId="FootnoteReference">
    <w:name w:val="footnote reference"/>
    <w:basedOn w:val="DefaultParagraphFont"/>
    <w:uiPriority w:val="99"/>
    <w:semiHidden/>
    <w:unhideWhenUsed/>
    <w:rsid w:val="00AB0C94"/>
    <w:rPr>
      <w:vertAlign w:val="superscript"/>
    </w:rPr>
  </w:style>
  <w:style w:type="table" w:styleId="TableGrid">
    <w:name w:val="Table Grid"/>
    <w:basedOn w:val="TableNormal"/>
    <w:uiPriority w:val="59"/>
    <w:rsid w:val="006406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E2F79"/>
    <w:rPr>
      <w:color w:val="0000FF" w:themeColor="hyperlink"/>
      <w:u w:val="single"/>
    </w:rPr>
  </w:style>
  <w:style w:type="paragraph" w:styleId="Header">
    <w:name w:val="header"/>
    <w:basedOn w:val="Normal"/>
    <w:link w:val="HeaderChar"/>
    <w:uiPriority w:val="99"/>
    <w:unhideWhenUsed/>
    <w:rsid w:val="003E2F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2F79"/>
  </w:style>
  <w:style w:type="paragraph" w:styleId="Footer">
    <w:name w:val="footer"/>
    <w:basedOn w:val="Normal"/>
    <w:link w:val="FooterChar"/>
    <w:uiPriority w:val="99"/>
    <w:unhideWhenUsed/>
    <w:rsid w:val="003E2F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2F79"/>
  </w:style>
  <w:style w:type="paragraph" w:styleId="BalloonText">
    <w:name w:val="Balloon Text"/>
    <w:basedOn w:val="Normal"/>
    <w:link w:val="BalloonTextChar"/>
    <w:uiPriority w:val="99"/>
    <w:semiHidden/>
    <w:unhideWhenUsed/>
    <w:rsid w:val="00276E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6EFD"/>
    <w:rPr>
      <w:rFonts w:ascii="Tahoma" w:hAnsi="Tahoma" w:cs="Tahoma"/>
      <w:sz w:val="16"/>
      <w:szCs w:val="16"/>
    </w:rPr>
  </w:style>
  <w:style w:type="character" w:styleId="CommentReference">
    <w:name w:val="annotation reference"/>
    <w:basedOn w:val="DefaultParagraphFont"/>
    <w:uiPriority w:val="99"/>
    <w:semiHidden/>
    <w:unhideWhenUsed/>
    <w:rsid w:val="00A94F06"/>
    <w:rPr>
      <w:sz w:val="16"/>
      <w:szCs w:val="16"/>
    </w:rPr>
  </w:style>
  <w:style w:type="paragraph" w:styleId="CommentText">
    <w:name w:val="annotation text"/>
    <w:basedOn w:val="Normal"/>
    <w:link w:val="CommentTextChar"/>
    <w:uiPriority w:val="99"/>
    <w:semiHidden/>
    <w:unhideWhenUsed/>
    <w:rsid w:val="00A94F06"/>
    <w:pPr>
      <w:spacing w:line="240" w:lineRule="auto"/>
    </w:pPr>
    <w:rPr>
      <w:sz w:val="20"/>
      <w:szCs w:val="20"/>
    </w:rPr>
  </w:style>
  <w:style w:type="character" w:customStyle="1" w:styleId="CommentTextChar">
    <w:name w:val="Comment Text Char"/>
    <w:basedOn w:val="DefaultParagraphFont"/>
    <w:link w:val="CommentText"/>
    <w:uiPriority w:val="99"/>
    <w:semiHidden/>
    <w:rsid w:val="00A94F06"/>
    <w:rPr>
      <w:sz w:val="20"/>
      <w:szCs w:val="20"/>
    </w:rPr>
  </w:style>
  <w:style w:type="paragraph" w:styleId="CommentSubject">
    <w:name w:val="annotation subject"/>
    <w:basedOn w:val="CommentText"/>
    <w:next w:val="CommentText"/>
    <w:link w:val="CommentSubjectChar"/>
    <w:uiPriority w:val="99"/>
    <w:semiHidden/>
    <w:unhideWhenUsed/>
    <w:rsid w:val="00A94F06"/>
    <w:rPr>
      <w:b/>
      <w:bCs/>
    </w:rPr>
  </w:style>
  <w:style w:type="character" w:customStyle="1" w:styleId="CommentSubjectChar">
    <w:name w:val="Comment Subject Char"/>
    <w:basedOn w:val="CommentTextChar"/>
    <w:link w:val="CommentSubject"/>
    <w:uiPriority w:val="99"/>
    <w:semiHidden/>
    <w:rsid w:val="00A94F0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7AFA"/>
    <w:pPr>
      <w:ind w:left="720"/>
      <w:contextualSpacing/>
    </w:pPr>
  </w:style>
  <w:style w:type="paragraph" w:styleId="FootnoteText">
    <w:name w:val="footnote text"/>
    <w:basedOn w:val="Normal"/>
    <w:link w:val="FootnoteTextChar"/>
    <w:uiPriority w:val="99"/>
    <w:semiHidden/>
    <w:unhideWhenUsed/>
    <w:rsid w:val="00AB0C9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B0C94"/>
    <w:rPr>
      <w:sz w:val="20"/>
      <w:szCs w:val="20"/>
    </w:rPr>
  </w:style>
  <w:style w:type="character" w:styleId="FootnoteReference">
    <w:name w:val="footnote reference"/>
    <w:basedOn w:val="DefaultParagraphFont"/>
    <w:uiPriority w:val="99"/>
    <w:semiHidden/>
    <w:unhideWhenUsed/>
    <w:rsid w:val="00AB0C94"/>
    <w:rPr>
      <w:vertAlign w:val="superscript"/>
    </w:rPr>
  </w:style>
  <w:style w:type="table" w:styleId="TableGrid">
    <w:name w:val="Table Grid"/>
    <w:basedOn w:val="TableNormal"/>
    <w:uiPriority w:val="59"/>
    <w:rsid w:val="006406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E2F79"/>
    <w:rPr>
      <w:color w:val="0000FF" w:themeColor="hyperlink"/>
      <w:u w:val="single"/>
    </w:rPr>
  </w:style>
  <w:style w:type="paragraph" w:styleId="Header">
    <w:name w:val="header"/>
    <w:basedOn w:val="Normal"/>
    <w:link w:val="HeaderChar"/>
    <w:uiPriority w:val="99"/>
    <w:unhideWhenUsed/>
    <w:rsid w:val="003E2F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2F79"/>
  </w:style>
  <w:style w:type="paragraph" w:styleId="Footer">
    <w:name w:val="footer"/>
    <w:basedOn w:val="Normal"/>
    <w:link w:val="FooterChar"/>
    <w:uiPriority w:val="99"/>
    <w:unhideWhenUsed/>
    <w:rsid w:val="003E2F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2F79"/>
  </w:style>
  <w:style w:type="paragraph" w:styleId="BalloonText">
    <w:name w:val="Balloon Text"/>
    <w:basedOn w:val="Normal"/>
    <w:link w:val="BalloonTextChar"/>
    <w:uiPriority w:val="99"/>
    <w:semiHidden/>
    <w:unhideWhenUsed/>
    <w:rsid w:val="00276E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6EFD"/>
    <w:rPr>
      <w:rFonts w:ascii="Tahoma" w:hAnsi="Tahoma" w:cs="Tahoma"/>
      <w:sz w:val="16"/>
      <w:szCs w:val="16"/>
    </w:rPr>
  </w:style>
  <w:style w:type="character" w:styleId="CommentReference">
    <w:name w:val="annotation reference"/>
    <w:basedOn w:val="DefaultParagraphFont"/>
    <w:uiPriority w:val="99"/>
    <w:semiHidden/>
    <w:unhideWhenUsed/>
    <w:rsid w:val="00A94F06"/>
    <w:rPr>
      <w:sz w:val="16"/>
      <w:szCs w:val="16"/>
    </w:rPr>
  </w:style>
  <w:style w:type="paragraph" w:styleId="CommentText">
    <w:name w:val="annotation text"/>
    <w:basedOn w:val="Normal"/>
    <w:link w:val="CommentTextChar"/>
    <w:uiPriority w:val="99"/>
    <w:semiHidden/>
    <w:unhideWhenUsed/>
    <w:rsid w:val="00A94F06"/>
    <w:pPr>
      <w:spacing w:line="240" w:lineRule="auto"/>
    </w:pPr>
    <w:rPr>
      <w:sz w:val="20"/>
      <w:szCs w:val="20"/>
    </w:rPr>
  </w:style>
  <w:style w:type="character" w:customStyle="1" w:styleId="CommentTextChar">
    <w:name w:val="Comment Text Char"/>
    <w:basedOn w:val="DefaultParagraphFont"/>
    <w:link w:val="CommentText"/>
    <w:uiPriority w:val="99"/>
    <w:semiHidden/>
    <w:rsid w:val="00A94F06"/>
    <w:rPr>
      <w:sz w:val="20"/>
      <w:szCs w:val="20"/>
    </w:rPr>
  </w:style>
  <w:style w:type="paragraph" w:styleId="CommentSubject">
    <w:name w:val="annotation subject"/>
    <w:basedOn w:val="CommentText"/>
    <w:next w:val="CommentText"/>
    <w:link w:val="CommentSubjectChar"/>
    <w:uiPriority w:val="99"/>
    <w:semiHidden/>
    <w:unhideWhenUsed/>
    <w:rsid w:val="00A94F06"/>
    <w:rPr>
      <w:b/>
      <w:bCs/>
    </w:rPr>
  </w:style>
  <w:style w:type="character" w:customStyle="1" w:styleId="CommentSubjectChar">
    <w:name w:val="Comment Subject Char"/>
    <w:basedOn w:val="CommentTextChar"/>
    <w:link w:val="CommentSubject"/>
    <w:uiPriority w:val="99"/>
    <w:semiHidden/>
    <w:rsid w:val="00A94F0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mhoward@vory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hpetricoff@vorys.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lexis.com/research/buttonTFLink?_m=f5a2181b74ec207521e7fc53724b1e91&amp;_xfercite=%3ccite%20cc%3d%22USA%22%3e%3c%21%5bCDATA%5b129%20Ohio%20St.%203d%20485%5d%5d%3e%3c%2fcite%3e&amp;_butType=3&amp;_butStat=2&amp;_butNum=30&amp;_butInline=1&amp;_butinfo=%3ccite%20cc%3d%22USA%22%3e%3c%21%5bCDATA%5b2003%20Ohio%205849%5d%5d%3e%3c%2fcite%3e&amp;_fmtstr=FULL&amp;docnum=1&amp;_startdoc=1&amp;wchp=dGLbVzk-zSkAA&amp;_md5=7f41bc5a4c1e62ce34550304cf25c0e3" TargetMode="External"/><Relationship Id="rId4" Type="http://schemas.microsoft.com/office/2007/relationships/stylesWithEffects" Target="stylesWithEffects.xml"/><Relationship Id="rId9" Type="http://schemas.openxmlformats.org/officeDocument/2006/relationships/hyperlink" Target="http://www.lexis.com/research/xlink?app=00075&amp;view=full&amp;searchtype=get&amp;search=82+Oh+Jur+Schools%2C+Universities%2C+and+Colleges+%A7+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122759-AAB8-44D6-8622-882A4D025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1434</Words>
  <Characters>8179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NiSource</Company>
  <LinksUpToDate>false</LinksUpToDate>
  <CharactersWithSpaces>9594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 Brooke \ E</dc:creator>
  <cp:keywords/>
  <dc:description/>
  <cp:lastModifiedBy>Leslie \ Brooke \ E</cp:lastModifiedBy>
  <cp:revision>2</cp:revision>
  <cp:lastPrinted>2012-01-05T18:59:00Z</cp:lastPrinted>
  <dcterms:created xsi:type="dcterms:W3CDTF">2012-01-05T20:14:00Z</dcterms:created>
  <dcterms:modified xsi:type="dcterms:W3CDTF">2012-01-05T20:14:00Z</dcterms:modified>
</cp:coreProperties>
</file>