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1D9B" w14:textId="77777777" w:rsidR="00905A5F" w:rsidRDefault="00E05C6A" w:rsidP="00E05C6A">
      <w:pPr>
        <w:jc w:val="center"/>
        <w:rPr>
          <w:rFonts w:ascii="Times New Roman" w:hAnsi="Times New Roman" w:cs="Times New Roman"/>
          <w:b/>
        </w:rPr>
      </w:pPr>
      <w:bookmarkStart w:id="0" w:name="_GoBack"/>
      <w:bookmarkEnd w:id="0"/>
      <w:r>
        <w:rPr>
          <w:rFonts w:ascii="Times New Roman" w:hAnsi="Times New Roman" w:cs="Times New Roman"/>
          <w:b/>
        </w:rPr>
        <w:t>BEFORE</w:t>
      </w:r>
      <w:r>
        <w:rPr>
          <w:rFonts w:ascii="Times New Roman" w:hAnsi="Times New Roman" w:cs="Times New Roman"/>
          <w:b/>
        </w:rPr>
        <w:br/>
        <w:t>THE PUBLIC UTILITIES COMMISSION OF OHIO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1F7C5C" w14:paraId="7D34EB88" w14:textId="77777777" w:rsidTr="00EC331A">
        <w:tc>
          <w:tcPr>
            <w:tcW w:w="4608" w:type="dxa"/>
          </w:tcPr>
          <w:p w14:paraId="5303A264" w14:textId="77777777" w:rsidR="001F7C5C" w:rsidRDefault="001F7C5C" w:rsidP="00EC331A">
            <w:pPr>
              <w:rPr>
                <w:rFonts w:cs="Times New Roman"/>
              </w:rPr>
            </w:pPr>
          </w:p>
        </w:tc>
        <w:tc>
          <w:tcPr>
            <w:tcW w:w="360" w:type="dxa"/>
          </w:tcPr>
          <w:p w14:paraId="4D79C36C" w14:textId="77777777" w:rsidR="001F7C5C" w:rsidRDefault="001F7C5C" w:rsidP="00EC331A">
            <w:pPr>
              <w:jc w:val="center"/>
              <w:rPr>
                <w:rFonts w:cs="Times New Roman"/>
              </w:rPr>
            </w:pPr>
          </w:p>
        </w:tc>
        <w:tc>
          <w:tcPr>
            <w:tcW w:w="4608" w:type="dxa"/>
          </w:tcPr>
          <w:p w14:paraId="534AF20E" w14:textId="77777777" w:rsidR="001F7C5C" w:rsidRDefault="001F7C5C" w:rsidP="00EC331A">
            <w:pPr>
              <w:ind w:firstLine="612"/>
              <w:rPr>
                <w:rFonts w:cs="Times New Roman"/>
              </w:rPr>
            </w:pPr>
          </w:p>
        </w:tc>
      </w:tr>
      <w:tr w:rsidR="001F7C5C" w:rsidRPr="001F7C5C" w14:paraId="3F9B1A2E" w14:textId="77777777" w:rsidTr="00EC331A">
        <w:tc>
          <w:tcPr>
            <w:tcW w:w="4608" w:type="dxa"/>
          </w:tcPr>
          <w:p w14:paraId="723CC88C" w14:textId="77777777" w:rsidR="001F7C5C" w:rsidRPr="001F7C5C" w:rsidRDefault="001F7C5C" w:rsidP="00EC331A">
            <w:pPr>
              <w:rPr>
                <w:rFonts w:ascii="Times New Roman" w:hAnsi="Times New Roman" w:cs="Times New Roman"/>
              </w:rPr>
            </w:pPr>
            <w:r w:rsidRPr="001F7C5C">
              <w:rPr>
                <w:rFonts w:ascii="Times New Roman" w:hAnsi="Times New Roman" w:cs="Times New Roman"/>
              </w:rPr>
              <w:t>In the Matter of the Application of The East Ohio Gas Company d/b/a Dominion East Ohio for Approval of Tariffs to Adjust its Automated Meter Reading Cost Recover</w:t>
            </w:r>
            <w:r w:rsidR="00E83CD7">
              <w:rPr>
                <w:rFonts w:ascii="Times New Roman" w:hAnsi="Times New Roman" w:cs="Times New Roman"/>
              </w:rPr>
              <w:t>y</w:t>
            </w:r>
            <w:r w:rsidRPr="001F7C5C">
              <w:rPr>
                <w:rFonts w:ascii="Times New Roman" w:hAnsi="Times New Roman" w:cs="Times New Roman"/>
              </w:rPr>
              <w:t xml:space="preserve"> Charge and Related Matters.</w:t>
            </w:r>
          </w:p>
        </w:tc>
        <w:tc>
          <w:tcPr>
            <w:tcW w:w="360" w:type="dxa"/>
          </w:tcPr>
          <w:p w14:paraId="20E6A4B6" w14:textId="77777777" w:rsidR="001F7C5C" w:rsidRPr="001F7C5C" w:rsidRDefault="001F7C5C" w:rsidP="00EC331A">
            <w:pPr>
              <w:jc w:val="center"/>
              <w:rPr>
                <w:rFonts w:ascii="Times New Roman" w:hAnsi="Times New Roman" w:cs="Times New Roman"/>
              </w:rPr>
            </w:pPr>
            <w:r w:rsidRPr="001F7C5C">
              <w:rPr>
                <w:rFonts w:ascii="Times New Roman" w:hAnsi="Times New Roman" w:cs="Times New Roman"/>
              </w:rPr>
              <w:t>)</w:t>
            </w:r>
          </w:p>
          <w:p w14:paraId="4B49ABB7" w14:textId="77777777" w:rsidR="001F7C5C" w:rsidRPr="001F7C5C" w:rsidRDefault="001F7C5C" w:rsidP="00EC331A">
            <w:pPr>
              <w:jc w:val="center"/>
              <w:rPr>
                <w:rFonts w:ascii="Times New Roman" w:hAnsi="Times New Roman" w:cs="Times New Roman"/>
              </w:rPr>
            </w:pPr>
            <w:r w:rsidRPr="001F7C5C">
              <w:rPr>
                <w:rFonts w:ascii="Times New Roman" w:hAnsi="Times New Roman" w:cs="Times New Roman"/>
              </w:rPr>
              <w:t>)</w:t>
            </w:r>
            <w:r w:rsidRPr="001F7C5C">
              <w:rPr>
                <w:rFonts w:ascii="Times New Roman" w:hAnsi="Times New Roman" w:cs="Times New Roman"/>
              </w:rPr>
              <w:br/>
              <w:t>)</w:t>
            </w:r>
          </w:p>
          <w:p w14:paraId="644D5DE6" w14:textId="77777777" w:rsidR="001F7C5C" w:rsidRPr="001F7C5C" w:rsidRDefault="001F7C5C" w:rsidP="00EC331A">
            <w:pPr>
              <w:jc w:val="center"/>
              <w:rPr>
                <w:rFonts w:ascii="Times New Roman" w:hAnsi="Times New Roman" w:cs="Times New Roman"/>
              </w:rPr>
            </w:pPr>
            <w:r w:rsidRPr="001F7C5C">
              <w:rPr>
                <w:rFonts w:ascii="Times New Roman" w:hAnsi="Times New Roman" w:cs="Times New Roman"/>
              </w:rPr>
              <w:t>)</w:t>
            </w:r>
          </w:p>
          <w:p w14:paraId="07183945" w14:textId="77777777" w:rsidR="001F7C5C" w:rsidRPr="001F7C5C" w:rsidRDefault="001F7C5C" w:rsidP="00EC331A">
            <w:pPr>
              <w:jc w:val="center"/>
              <w:rPr>
                <w:rFonts w:ascii="Times New Roman" w:hAnsi="Times New Roman" w:cs="Times New Roman"/>
              </w:rPr>
            </w:pPr>
            <w:r w:rsidRPr="001F7C5C">
              <w:rPr>
                <w:rFonts w:ascii="Times New Roman" w:hAnsi="Times New Roman" w:cs="Times New Roman"/>
              </w:rPr>
              <w:t>)</w:t>
            </w:r>
          </w:p>
        </w:tc>
        <w:tc>
          <w:tcPr>
            <w:tcW w:w="4608" w:type="dxa"/>
          </w:tcPr>
          <w:p w14:paraId="4759B115" w14:textId="77777777" w:rsidR="001F7C5C" w:rsidRPr="001F7C5C" w:rsidRDefault="001F7C5C" w:rsidP="00EC331A">
            <w:pPr>
              <w:rPr>
                <w:rFonts w:ascii="Times New Roman" w:hAnsi="Times New Roman" w:cs="Times New Roman"/>
              </w:rPr>
            </w:pPr>
          </w:p>
          <w:p w14:paraId="56EB4220" w14:textId="77777777" w:rsidR="001F7C5C" w:rsidRPr="001F7C5C" w:rsidRDefault="001F7C5C" w:rsidP="00EC331A">
            <w:pPr>
              <w:ind w:firstLine="612"/>
              <w:rPr>
                <w:rFonts w:ascii="Times New Roman" w:hAnsi="Times New Roman" w:cs="Times New Roman"/>
              </w:rPr>
            </w:pPr>
          </w:p>
          <w:p w14:paraId="1A54BB1D" w14:textId="77777777" w:rsidR="001F7C5C" w:rsidRPr="001F7C5C" w:rsidRDefault="001F7C5C" w:rsidP="00EC331A">
            <w:pPr>
              <w:ind w:firstLine="612"/>
              <w:rPr>
                <w:rFonts w:ascii="Times New Roman" w:hAnsi="Times New Roman" w:cs="Times New Roman"/>
              </w:rPr>
            </w:pPr>
            <w:r w:rsidRPr="001F7C5C">
              <w:rPr>
                <w:rFonts w:ascii="Times New Roman" w:hAnsi="Times New Roman" w:cs="Times New Roman"/>
              </w:rPr>
              <w:t>Case No. 11-5843-GA-RDR</w:t>
            </w:r>
          </w:p>
        </w:tc>
      </w:tr>
    </w:tbl>
    <w:p w14:paraId="3C483DF6" w14:textId="77777777" w:rsidR="002643CD" w:rsidRDefault="002643CD" w:rsidP="001F7C5C">
      <w:pPr>
        <w:jc w:val="center"/>
        <w:rPr>
          <w:rFonts w:cs="Times New Roman"/>
        </w:rPr>
      </w:pPr>
    </w:p>
    <w:p w14:paraId="3A7DEBBF" w14:textId="77777777" w:rsidR="002643CD" w:rsidRDefault="002643CD" w:rsidP="001F7C5C">
      <w:pPr>
        <w:jc w:val="center"/>
        <w:rPr>
          <w:rFonts w:cs="Times New Roman"/>
        </w:rPr>
      </w:pPr>
    </w:p>
    <w:p w14:paraId="0BC9CF03" w14:textId="77777777" w:rsidR="001F7C5C" w:rsidRDefault="00BE6F3D" w:rsidP="00E05C6A">
      <w:pPr>
        <w:jc w:val="center"/>
        <w:rPr>
          <w:rFonts w:ascii="Times New Roman" w:hAnsi="Times New Roman" w:cs="Times New Roman"/>
          <w:b/>
          <w:u w:val="single"/>
        </w:rPr>
      </w:pPr>
      <w:r>
        <w:rPr>
          <w:rFonts w:ascii="Times New Roman" w:hAnsi="Times New Roman" w:cs="Times New Roman"/>
          <w:b/>
        </w:rPr>
        <w:t xml:space="preserve">MEMORANDUM CONTRA </w:t>
      </w:r>
      <w:r>
        <w:rPr>
          <w:rFonts w:ascii="Times New Roman" w:hAnsi="Times New Roman" w:cs="Times New Roman"/>
          <w:b/>
        </w:rPr>
        <w:br/>
        <w:t>MOTIONS FOR LEAVE TO FILE SURREPLY AND MOTION TO STRIKE</w:t>
      </w:r>
      <w:r>
        <w:rPr>
          <w:rFonts w:ascii="Times New Roman" w:hAnsi="Times New Roman" w:cs="Times New Roman"/>
          <w:b/>
        </w:rPr>
        <w:br/>
      </w:r>
      <w:r w:rsidRPr="00BE6F3D">
        <w:rPr>
          <w:rFonts w:ascii="Times New Roman" w:hAnsi="Times New Roman" w:cs="Times New Roman"/>
          <w:b/>
          <w:u w:val="single"/>
        </w:rPr>
        <w:t xml:space="preserve">OF </w:t>
      </w:r>
      <w:r w:rsidR="002643CD" w:rsidRPr="002643CD">
        <w:rPr>
          <w:rFonts w:ascii="Times New Roman" w:hAnsi="Times New Roman" w:cs="Times New Roman"/>
          <w:b/>
          <w:u w:val="single"/>
        </w:rPr>
        <w:t xml:space="preserve">THE EAST OHIO GAS COMPANY D/B/A DOMINION EAST </w:t>
      </w:r>
      <w:r w:rsidR="001F7C5C" w:rsidRPr="002643CD">
        <w:rPr>
          <w:rFonts w:ascii="Times New Roman" w:hAnsi="Times New Roman" w:cs="Times New Roman"/>
          <w:b/>
          <w:u w:val="single"/>
        </w:rPr>
        <w:t>OHIO</w:t>
      </w:r>
    </w:p>
    <w:p w14:paraId="58176AA6" w14:textId="77777777" w:rsidR="00BE6F3D" w:rsidRDefault="00BE6F3D" w:rsidP="00E05C6A">
      <w:pPr>
        <w:jc w:val="center"/>
        <w:rPr>
          <w:rFonts w:ascii="Times New Roman" w:hAnsi="Times New Roman" w:cs="Times New Roman"/>
          <w:b/>
          <w:u w:val="single"/>
        </w:rPr>
      </w:pPr>
    </w:p>
    <w:p w14:paraId="156343DD" w14:textId="77777777" w:rsidR="00BE6F3D" w:rsidRDefault="00BE6F3D" w:rsidP="00BE6F3D">
      <w:pPr>
        <w:pStyle w:val="MemoHeading1"/>
      </w:pPr>
      <w:r>
        <w:t>introduction</w:t>
      </w:r>
    </w:p>
    <w:p w14:paraId="1C2F3BCC" w14:textId="77777777" w:rsidR="00BE6F3D" w:rsidRDefault="00F759AF" w:rsidP="00BE6F3D">
      <w:pPr>
        <w:pStyle w:val="MemoBodyText"/>
      </w:pPr>
      <w:r>
        <w:t>On June 26, 2012, Staff filed a</w:t>
      </w:r>
      <w:r w:rsidR="004664B2">
        <w:t>n unauthorized</w:t>
      </w:r>
      <w:r>
        <w:t xml:space="preserve"> surreply to DEO’s reply brief.  </w:t>
      </w:r>
      <w:r w:rsidR="004664B2">
        <w:t>Wafting</w:t>
      </w:r>
      <w:r>
        <w:t xml:space="preserve"> in </w:t>
      </w:r>
      <w:r w:rsidR="002A79F1">
        <w:t>just ahead of</w:t>
      </w:r>
      <w:r>
        <w:t xml:space="preserve"> the surreply </w:t>
      </w:r>
      <w:r w:rsidR="002A79F1">
        <w:t>was</w:t>
      </w:r>
      <w:r>
        <w:t xml:space="preserve"> an insubstantial one-and-a-quarter page memorandum</w:t>
      </w:r>
      <w:r w:rsidR="004664B2">
        <w:t xml:space="preserve"> in support</w:t>
      </w:r>
      <w:r>
        <w:t xml:space="preserve">, containing as its only legal authority a citation to DEO’s reply brief.  </w:t>
      </w:r>
      <w:r w:rsidR="004664B2">
        <w:t xml:space="preserve">Is this a </w:t>
      </w:r>
      <w:r w:rsidR="004664B2" w:rsidRPr="004664B2">
        <w:rPr>
          <w:i/>
        </w:rPr>
        <w:t xml:space="preserve">bona fide </w:t>
      </w:r>
      <w:r w:rsidR="004664B2">
        <w:t xml:space="preserve">motion premised on </w:t>
      </w:r>
      <w:r w:rsidR="002A79F1">
        <w:t>some</w:t>
      </w:r>
      <w:r w:rsidR="004664B2">
        <w:t xml:space="preserve"> procedural abuse by DEO and supported by careful </w:t>
      </w:r>
      <w:r w:rsidR="00376A4C">
        <w:t>argument</w:t>
      </w:r>
      <w:r w:rsidR="004664B2">
        <w:t xml:space="preserve"> and appropriate research?  Or is it a transparent effort to get in an extra round of briefing with a throwaway “motion for le</w:t>
      </w:r>
      <w:r w:rsidR="002A79F1">
        <w:t xml:space="preserve">ave” label stuck on page one?  </w:t>
      </w:r>
      <w:r w:rsidR="00376A4C">
        <w:t xml:space="preserve">That </w:t>
      </w:r>
      <w:r w:rsidR="004664B2">
        <w:t xml:space="preserve">label, it bears noting, gives DEO only three days to </w:t>
      </w:r>
      <w:r w:rsidR="002A79F1">
        <w:t xml:space="preserve">muster a response to the new briefing.  </w:t>
      </w:r>
      <w:r w:rsidR="002A79F1">
        <w:rPr>
          <w:i/>
        </w:rPr>
        <w:t xml:space="preserve">See </w:t>
      </w:r>
      <w:r w:rsidR="002A79F1">
        <w:t>Entry 3 (March 5, 2012).</w:t>
      </w:r>
      <w:r w:rsidR="004664B2">
        <w:t xml:space="preserve">  </w:t>
      </w:r>
    </w:p>
    <w:p w14:paraId="5B15B1A9" w14:textId="77777777" w:rsidR="004664B2" w:rsidRPr="00BE6F3D" w:rsidRDefault="004664B2" w:rsidP="00BE6F3D">
      <w:pPr>
        <w:pStyle w:val="MemoBodyText"/>
      </w:pPr>
      <w:r>
        <w:t xml:space="preserve">Staff is trying to steal a march on DEO, but while all may be fair in love and war, this is neither.  It is a proceeding subject to duly enacted rules, constitutional guarantees of fairness, and the fundamental dictates of reason.  Staff has been ignoring all three in this case, and it has done so again here.  The only thing that should be struck is Staff’s </w:t>
      </w:r>
      <w:r w:rsidR="00977965">
        <w:t xml:space="preserve">unauthorized </w:t>
      </w:r>
      <w:r>
        <w:t>surreply.</w:t>
      </w:r>
    </w:p>
    <w:p w14:paraId="6A4D9535" w14:textId="77777777" w:rsidR="00BE6F3D" w:rsidRDefault="00BE6F3D" w:rsidP="00BE6F3D">
      <w:pPr>
        <w:pStyle w:val="MemoHeading1"/>
      </w:pPr>
      <w:r>
        <w:t>DISCUSSION</w:t>
      </w:r>
    </w:p>
    <w:p w14:paraId="3D61F2E9" w14:textId="77777777" w:rsidR="00BE6F3D" w:rsidRDefault="00BE6F3D" w:rsidP="00BE6F3D">
      <w:pPr>
        <w:pStyle w:val="MemoHeading2"/>
      </w:pPr>
      <w:r>
        <w:t>Staff’s has articulated no meritorious basis for filing a surreply</w:t>
      </w:r>
      <w:r w:rsidR="00277AB5">
        <w:t xml:space="preserve"> or for striking any portion of DEO’s initial brief.</w:t>
      </w:r>
    </w:p>
    <w:p w14:paraId="71B0BA9F" w14:textId="77777777" w:rsidR="0084053E" w:rsidRDefault="00277AB5" w:rsidP="00F718E2">
      <w:pPr>
        <w:pStyle w:val="MemoBodyText"/>
      </w:pPr>
      <w:r>
        <w:t xml:space="preserve">Staff asks the Commission either to strike DEO’s estoppel arguments or to allow Staff to file a surreply.  The </w:t>
      </w:r>
      <w:r w:rsidR="00BE6F3D">
        <w:t xml:space="preserve">only basis for </w:t>
      </w:r>
      <w:r>
        <w:t>its request</w:t>
      </w:r>
      <w:r w:rsidR="00876660">
        <w:t>ed</w:t>
      </w:r>
      <w:r>
        <w:t xml:space="preserve"> relief </w:t>
      </w:r>
      <w:r w:rsidR="00BE6F3D">
        <w:t xml:space="preserve">is that “DEO could have raised these </w:t>
      </w:r>
      <w:r w:rsidR="00BE6F3D">
        <w:lastRenderedPageBreak/>
        <w:t xml:space="preserve">arguments in its initial brief but simply chose to wait until [sic] reply brief.”  (Staff Memo. in Support at 3.)  </w:t>
      </w:r>
    </w:p>
    <w:p w14:paraId="23F447C5" w14:textId="77777777" w:rsidR="001B5BCE" w:rsidRDefault="001B5BCE" w:rsidP="001B5BCE">
      <w:pPr>
        <w:pStyle w:val="MemoHeading3"/>
      </w:pPr>
      <w:r>
        <w:t>The point of a reply brief is to make responsive arguments.</w:t>
      </w:r>
    </w:p>
    <w:p w14:paraId="6D721A85" w14:textId="28C9FF41" w:rsidR="00C5203A" w:rsidRDefault="00C5203A" w:rsidP="00BC74D1">
      <w:pPr>
        <w:pStyle w:val="MemoBodyText"/>
      </w:pPr>
      <w:r>
        <w:t>Contrary to Staff assertions, t</w:t>
      </w:r>
      <w:r w:rsidR="00BE6F3D">
        <w:t xml:space="preserve">he test </w:t>
      </w:r>
      <w:r>
        <w:t xml:space="preserve">here </w:t>
      </w:r>
      <w:r w:rsidR="00BE6F3D">
        <w:t xml:space="preserve">is not simply whether the arguments in the reply brief </w:t>
      </w:r>
      <w:r w:rsidR="002A79F1">
        <w:t>“could have [been] raised in its initial brief</w:t>
      </w:r>
      <w:r w:rsidR="00BE6F3D">
        <w:t>.</w:t>
      </w:r>
      <w:r w:rsidR="002A79F1">
        <w:t>”</w:t>
      </w:r>
      <w:r w:rsidR="00BE6F3D">
        <w:t xml:space="preserve">  </w:t>
      </w:r>
      <w:r w:rsidR="002A79F1">
        <w:t>(</w:t>
      </w:r>
      <w:r w:rsidR="002A79F1">
        <w:rPr>
          <w:i/>
        </w:rPr>
        <w:t>Id</w:t>
      </w:r>
      <w:r w:rsidR="002A79F1">
        <w:t>.)  That is overbroad; i</w:t>
      </w:r>
      <w:r w:rsidR="00BE6F3D">
        <w:t>f that were</w:t>
      </w:r>
      <w:r>
        <w:t xml:space="preserve"> </w:t>
      </w:r>
      <w:r w:rsidR="002A79F1">
        <w:t>the test</w:t>
      </w:r>
      <w:r w:rsidR="00BE6F3D">
        <w:t xml:space="preserve">, the Commission should strike </w:t>
      </w:r>
      <w:r w:rsidR="001B5BCE">
        <w:t xml:space="preserve">every </w:t>
      </w:r>
      <w:r w:rsidR="00BE6F3D">
        <w:t>reply br</w:t>
      </w:r>
      <w:r w:rsidR="001B5BCE">
        <w:t>ief</w:t>
      </w:r>
      <w:r w:rsidR="00BE6F3D">
        <w:t xml:space="preserve"> filed in this case</w:t>
      </w:r>
      <w:r w:rsidR="002A79F1">
        <w:t xml:space="preserve"> in its entirety</w:t>
      </w:r>
      <w:r w:rsidR="00BE6F3D">
        <w:t>.</w:t>
      </w:r>
      <w:r w:rsidR="001B5BCE">
        <w:t xml:space="preserve"> </w:t>
      </w:r>
    </w:p>
    <w:p w14:paraId="4D7044DF" w14:textId="77777777" w:rsidR="00BC74D1" w:rsidRDefault="00876660" w:rsidP="00BC74D1">
      <w:pPr>
        <w:pStyle w:val="MemoBodyText"/>
      </w:pPr>
      <w:r>
        <w:t xml:space="preserve">A </w:t>
      </w:r>
      <w:r w:rsidR="00BE6F3D">
        <w:t xml:space="preserve">reply brief </w:t>
      </w:r>
      <w:r>
        <w:t>has</w:t>
      </w:r>
      <w:r w:rsidR="00BE6F3D">
        <w:t xml:space="preserve"> </w:t>
      </w:r>
      <w:r w:rsidR="002A79F1">
        <w:t xml:space="preserve">its </w:t>
      </w:r>
      <w:r>
        <w:t xml:space="preserve">name for a reason.  </w:t>
      </w:r>
      <w:r>
        <w:rPr>
          <w:i/>
        </w:rPr>
        <w:t>R</w:t>
      </w:r>
      <w:r w:rsidR="00BE6F3D">
        <w:rPr>
          <w:i/>
        </w:rPr>
        <w:t>eply</w:t>
      </w:r>
      <w:r>
        <w:t xml:space="preserve"> means </w:t>
      </w:r>
      <w:r w:rsidR="00BE6F3D">
        <w:t>“to respond in words or writing</w:t>
      </w:r>
      <w:r>
        <w:t>,</w:t>
      </w:r>
      <w:r w:rsidR="00376A4C">
        <w:t>”</w:t>
      </w:r>
      <w:r>
        <w:t xml:space="preserve"> and a</w:t>
      </w:r>
      <w:r w:rsidR="00C5203A">
        <w:t>ccordingly, “[</w:t>
      </w:r>
      <w:proofErr w:type="gramStart"/>
      <w:r w:rsidR="00C5203A">
        <w:t>t]</w:t>
      </w:r>
      <w:r w:rsidR="00C5203A" w:rsidRPr="00C5203A">
        <w:t>he</w:t>
      </w:r>
      <w:proofErr w:type="gramEnd"/>
      <w:r w:rsidR="00C5203A" w:rsidRPr="00C5203A">
        <w:t xml:space="preserve"> purpose of a reply brief is to respond to matters</w:t>
      </w:r>
      <w:r w:rsidR="00C5203A">
        <w:t xml:space="preserve"> raised by an opponent’s brief.”  </w:t>
      </w:r>
      <w:r w:rsidR="00C5203A" w:rsidRPr="00C5203A">
        <w:rPr>
          <w:i/>
        </w:rPr>
        <w:t>Cincinnati Ins. Co. v. Colelli &amp; Assocs</w:t>
      </w:r>
      <w:proofErr w:type="gramStart"/>
      <w:r w:rsidR="00C5203A" w:rsidRPr="00C5203A">
        <w:rPr>
          <w:i/>
        </w:rPr>
        <w:t>.</w:t>
      </w:r>
      <w:r w:rsidR="00C5203A" w:rsidRPr="00C5203A">
        <w:t>,</w:t>
      </w:r>
      <w:proofErr w:type="gramEnd"/>
      <w:r w:rsidR="00C5203A" w:rsidRPr="00C5203A">
        <w:t xml:space="preserve"> No. 97CA0042, 1998 Ohio App. LEXIS 2708, at *10 (Wayne Cty.</w:t>
      </w:r>
      <w:r w:rsidR="00C5203A">
        <w:t xml:space="preserve"> June 17, 1998),</w:t>
      </w:r>
      <w:r w:rsidR="00C5203A" w:rsidRPr="00C5203A">
        <w:t xml:space="preserve"> </w:t>
      </w:r>
      <w:r w:rsidR="00C5203A" w:rsidRPr="00C5203A">
        <w:rPr>
          <w:i/>
        </w:rPr>
        <w:t>rev’d on other grounds by Cincinnati Ins. Co. v. Colelli &amp; Assocs</w:t>
      </w:r>
      <w:proofErr w:type="gramStart"/>
      <w:r w:rsidR="00C5203A" w:rsidRPr="00C5203A">
        <w:rPr>
          <w:i/>
        </w:rPr>
        <w:t>.</w:t>
      </w:r>
      <w:r w:rsidR="00C5203A" w:rsidRPr="00C5203A">
        <w:t>,</w:t>
      </w:r>
      <w:proofErr w:type="gramEnd"/>
      <w:r w:rsidR="00C5203A" w:rsidRPr="00C5203A">
        <w:t xml:space="preserve"> 95 Ohio St.3d 325, 2002-Ohio-2214, ¶ 1</w:t>
      </w:r>
      <w:r w:rsidR="00C5203A">
        <w:t xml:space="preserve">; </w:t>
      </w:r>
      <w:r w:rsidR="00DA3982">
        <w:rPr>
          <w:i/>
        </w:rPr>
        <w:t>see</w:t>
      </w:r>
      <w:r w:rsidR="00C5203A">
        <w:rPr>
          <w:i/>
        </w:rPr>
        <w:t xml:space="preserve"> also</w:t>
      </w:r>
      <w:r w:rsidR="00DA3982">
        <w:rPr>
          <w:i/>
        </w:rPr>
        <w:t>, e.g.</w:t>
      </w:r>
      <w:r w:rsidR="00DA3982">
        <w:t xml:space="preserve">, </w:t>
      </w:r>
      <w:r w:rsidR="00DA3982" w:rsidRPr="00DA3982">
        <w:rPr>
          <w:i/>
        </w:rPr>
        <w:t>State v. Mitchell</w:t>
      </w:r>
      <w:r w:rsidR="00DA3982" w:rsidRPr="00DA3982">
        <w:t xml:space="preserve">, 10th Dist. No. 10AP-756, 2011 Ohio 3818, ¶ 47.  </w:t>
      </w:r>
      <w:r w:rsidR="00DA3982">
        <w:t>(“</w:t>
      </w:r>
      <w:r w:rsidR="00DA3982" w:rsidRPr="00DA3982">
        <w:t>A reply brief affords an appellant an opport</w:t>
      </w:r>
      <w:r w:rsidR="00DA3982">
        <w:t>unity to respond to an appellee’s brief</w:t>
      </w:r>
      <w:r w:rsidR="00C5203A">
        <w:t>”)</w:t>
      </w:r>
      <w:r w:rsidR="001B5BCE">
        <w:t xml:space="preserve">; </w:t>
      </w:r>
      <w:r w:rsidR="00DA3982" w:rsidRPr="00DA3982">
        <w:rPr>
          <w:i/>
        </w:rPr>
        <w:t>Netword, LLC v. Centraal Corp.</w:t>
      </w:r>
      <w:r w:rsidR="00DA3982" w:rsidRPr="00DA3982">
        <w:t>, 242 F.3d 1347, 1356 (Fed. Cir. 2001) (</w:t>
      </w:r>
      <w:proofErr w:type="gramStart"/>
      <w:r w:rsidR="00C5203A">
        <w:t>the</w:t>
      </w:r>
      <w:proofErr w:type="gramEnd"/>
      <w:r w:rsidR="00C5203A">
        <w:t xml:space="preserve"> </w:t>
      </w:r>
      <w:r w:rsidR="00DA3982" w:rsidRPr="00DA3982">
        <w:t xml:space="preserve">“purpose of </w:t>
      </w:r>
      <w:r w:rsidR="00C5203A">
        <w:t xml:space="preserve">[a] </w:t>
      </w:r>
      <w:r w:rsidR="00DA3982" w:rsidRPr="00DA3982">
        <w:t>reply brief is to respond to arguments presented by appellee”)</w:t>
      </w:r>
      <w:r w:rsidR="00DA3982">
        <w:t xml:space="preserve">.  </w:t>
      </w:r>
    </w:p>
    <w:p w14:paraId="670EEFDB" w14:textId="77777777" w:rsidR="00DA3982" w:rsidRDefault="00BE6F3D" w:rsidP="00BC74D1">
      <w:pPr>
        <w:pStyle w:val="MemoBodyText"/>
      </w:pPr>
      <w:r>
        <w:t xml:space="preserve">So the proper standard is whether the </w:t>
      </w:r>
      <w:r w:rsidR="00C5203A">
        <w:t xml:space="preserve">challenged </w:t>
      </w:r>
      <w:r>
        <w:t xml:space="preserve">argument is both </w:t>
      </w:r>
      <w:r w:rsidR="00DA3982">
        <w:t>(</w:t>
      </w:r>
      <w:r w:rsidR="00DA3982" w:rsidRPr="00DA3982">
        <w:rPr>
          <w:i/>
        </w:rPr>
        <w:t>1</w:t>
      </w:r>
      <w:r w:rsidR="00DA3982">
        <w:t xml:space="preserve">) </w:t>
      </w:r>
      <w:r w:rsidRPr="00DA3982">
        <w:t xml:space="preserve">new </w:t>
      </w:r>
      <w:r>
        <w:t xml:space="preserve">and </w:t>
      </w:r>
      <w:r w:rsidR="00DA3982">
        <w:t>(</w:t>
      </w:r>
      <w:r w:rsidR="00DA3982" w:rsidRPr="00DA3982">
        <w:rPr>
          <w:i/>
        </w:rPr>
        <w:t>2</w:t>
      </w:r>
      <w:r w:rsidR="00DA3982">
        <w:t xml:space="preserve">) </w:t>
      </w:r>
      <w:r w:rsidRPr="001B5BCE">
        <w:rPr>
          <w:i/>
        </w:rPr>
        <w:t xml:space="preserve">non-responsive </w:t>
      </w:r>
      <w:r w:rsidRPr="00DA3982">
        <w:t xml:space="preserve">to arguments raised in the opposing party’s brief.  </w:t>
      </w:r>
      <w:r w:rsidR="00DA3982">
        <w:rPr>
          <w:i/>
        </w:rPr>
        <w:t>See, e.g.</w:t>
      </w:r>
      <w:r w:rsidR="00DA3982">
        <w:t xml:space="preserve">, </w:t>
      </w:r>
      <w:r w:rsidR="00DA3982" w:rsidRPr="00DA3982">
        <w:rPr>
          <w:i/>
        </w:rPr>
        <w:t>Schmitz v. Xenia Bd. of Educ.</w:t>
      </w:r>
      <w:r w:rsidR="00DA3982">
        <w:t xml:space="preserve">, </w:t>
      </w:r>
      <w:r w:rsidR="00BC74D1" w:rsidRPr="00BC74D1">
        <w:t>Case No. 2002-CA-69</w:t>
      </w:r>
      <w:r w:rsidR="00DA3982">
        <w:t xml:space="preserve">, 2003-Ohio-213, ¶ 22 (Greene </w:t>
      </w:r>
      <w:r w:rsidR="00BC74D1">
        <w:t xml:space="preserve">Cty. </w:t>
      </w:r>
      <w:r w:rsidR="00DA3982">
        <w:t>Jan. 17, 2003)</w:t>
      </w:r>
      <w:r w:rsidR="00DA3982">
        <w:rPr>
          <w:i/>
        </w:rPr>
        <w:t xml:space="preserve"> </w:t>
      </w:r>
      <w:r w:rsidR="006A21E9">
        <w:t xml:space="preserve">(“we decline to consider” “a completely new argument [in a reply brief] </w:t>
      </w:r>
      <w:r w:rsidR="00DA3982">
        <w:t>which is not responsive to any argument made by the B</w:t>
      </w:r>
      <w:r w:rsidR="006A21E9">
        <w:t xml:space="preserve">oard of Education in its brief”); </w:t>
      </w:r>
      <w:r w:rsidR="00BC74D1" w:rsidRPr="00BC74D1">
        <w:rPr>
          <w:i/>
        </w:rPr>
        <w:t>Cincinnati Ins. Co.</w:t>
      </w:r>
      <w:r w:rsidR="00BC74D1">
        <w:t>, 1998 Ohio App. LEXIS 2708, at *10 (affirming trial court’s grant of motion to strike arguments in a reply brief that “were not raised in response to any arguments made by appellees</w:t>
      </w:r>
      <w:r w:rsidR="002A79F1">
        <w:t>”</w:t>
      </w:r>
      <w:r w:rsidR="00BC74D1">
        <w:t xml:space="preserve">); </w:t>
      </w:r>
      <w:r w:rsidR="00DA3982">
        <w:rPr>
          <w:i/>
        </w:rPr>
        <w:t>c</w:t>
      </w:r>
      <w:r w:rsidR="00261DFB">
        <w:rPr>
          <w:i/>
        </w:rPr>
        <w:t>f., e.g.</w:t>
      </w:r>
      <w:r w:rsidR="00261DFB">
        <w:t xml:space="preserve">, </w:t>
      </w:r>
      <w:r w:rsidR="00261DFB" w:rsidRPr="00261DFB">
        <w:rPr>
          <w:i/>
        </w:rPr>
        <w:t>ACLU of Nev. v. City of Las Vegas</w:t>
      </w:r>
      <w:r w:rsidR="00261DFB" w:rsidRPr="00261DFB">
        <w:t>, 333 F.3d 1092, 1106 (9th Cir. 2003)</w:t>
      </w:r>
      <w:r w:rsidR="00261DFB">
        <w:t xml:space="preserve"> (denying motion to strike noting that “[t]he ‘new’ arguments raised in the . . . reply brief were a reasonable response to points made in the . . . answering brief”); </w:t>
      </w:r>
      <w:r w:rsidR="00261DFB" w:rsidRPr="00261DFB">
        <w:rPr>
          <w:i/>
        </w:rPr>
        <w:t>El Pollo Loco, Inc. v. Hashim</w:t>
      </w:r>
      <w:r w:rsidR="00261DFB">
        <w:t xml:space="preserve">, 316 F.3d 1032, 1040 (9th Cir. 2003) (noting </w:t>
      </w:r>
      <w:r w:rsidR="00261DFB">
        <w:lastRenderedPageBreak/>
        <w:t>that a certain “argument was ‘raised for the first time in the reply brief,’ because [the party] was responding to [a certain] argument”);</w:t>
      </w:r>
      <w:r w:rsidR="00DA3982">
        <w:t xml:space="preserve"> </w:t>
      </w:r>
      <w:r w:rsidR="00DA3982" w:rsidRPr="00DA3982">
        <w:rPr>
          <w:i/>
        </w:rPr>
        <w:t>Baker v. GMC</w:t>
      </w:r>
      <w:r w:rsidR="00DA3982" w:rsidRPr="00DA3982">
        <w:t xml:space="preserve">, 209 F.3d 1051, 1054 (8th Cir. 2000) </w:t>
      </w:r>
      <w:r w:rsidR="00DA3982">
        <w:t xml:space="preserve">(“We deny this motion [to strike] because we find the arguments are a fair response to arguments advanced in the Bakers’s brief”).  </w:t>
      </w:r>
    </w:p>
    <w:p w14:paraId="4314A463" w14:textId="77777777" w:rsidR="00C5203A" w:rsidRDefault="00C5203A" w:rsidP="00C5203A">
      <w:pPr>
        <w:pStyle w:val="MemoBodyText"/>
      </w:pPr>
      <w:r>
        <w:t xml:space="preserve">If it were otherwise, parties would face an unworkable, impossible rule.  </w:t>
      </w:r>
      <w:r w:rsidR="00465621">
        <w:t>They</w:t>
      </w:r>
      <w:r>
        <w:t xml:space="preserve"> would be required to make all </w:t>
      </w:r>
      <w:r w:rsidR="00876660">
        <w:t xml:space="preserve">possible </w:t>
      </w:r>
      <w:r w:rsidRPr="00876660">
        <w:t xml:space="preserve">responsive </w:t>
      </w:r>
      <w:r>
        <w:t>arguments in their initial brief, lest they be waived.  Indeed, Staff recognizes that requiring a party to make its responsive arguments in an initial brief “is essentially asking [it] to guess what issues [its adversary] may raise and preemptively argue about a potential non-issue in its initial brief.”  (Memo. in Support at 2.)  But this po</w:t>
      </w:r>
      <w:r w:rsidR="00876660">
        <w:t>int cuts against Staff, not DEO—</w:t>
      </w:r>
      <w:r>
        <w:t xml:space="preserve">DEO is not the party asking the Commission to strike responsive arguments from a reply brief.  </w:t>
      </w:r>
    </w:p>
    <w:p w14:paraId="09F33F29" w14:textId="77777777" w:rsidR="001B5BCE" w:rsidRDefault="001B5BCE" w:rsidP="001B5BCE">
      <w:pPr>
        <w:pStyle w:val="MemoHeading3"/>
      </w:pPr>
      <w:r>
        <w:t>The arguments that Staff seeks to strike or for which it seeks a surreply are responsive arguments.</w:t>
      </w:r>
    </w:p>
    <w:p w14:paraId="53CACF86" w14:textId="77777777" w:rsidR="00876660" w:rsidRDefault="00C5203A" w:rsidP="00F718E2">
      <w:pPr>
        <w:pStyle w:val="MemoBodyText"/>
      </w:pPr>
      <w:r>
        <w:t xml:space="preserve">The only arguments Staff seeks to strike are </w:t>
      </w:r>
      <w:r w:rsidR="00BE6F3D">
        <w:t xml:space="preserve">DEO’s </w:t>
      </w:r>
      <w:r>
        <w:t xml:space="preserve">collateral and judicial </w:t>
      </w:r>
      <w:r w:rsidR="00BE6F3D">
        <w:t>estoppel arguments</w:t>
      </w:r>
      <w:r>
        <w:t xml:space="preserve">.  </w:t>
      </w:r>
      <w:r w:rsidR="00876660">
        <w:t>T</w:t>
      </w:r>
      <w:r>
        <w:t>hese arguments</w:t>
      </w:r>
      <w:r w:rsidR="00BE6F3D">
        <w:t xml:space="preserve"> are </w:t>
      </w:r>
      <w:r w:rsidR="001B5BCE">
        <w:t xml:space="preserve">plainly </w:t>
      </w:r>
      <w:r w:rsidR="00BE6F3D">
        <w:t>responsive.</w:t>
      </w:r>
      <w:r w:rsidR="00876660">
        <w:t xml:space="preserve">  </w:t>
      </w:r>
    </w:p>
    <w:p w14:paraId="26883A66" w14:textId="77777777" w:rsidR="0062508C" w:rsidRPr="0062508C" w:rsidRDefault="00876660" w:rsidP="00F718E2">
      <w:pPr>
        <w:pStyle w:val="MemoBodyText"/>
        <w:rPr>
          <w:i/>
        </w:rPr>
      </w:pPr>
      <w:r>
        <w:t xml:space="preserve">Indeed, could any argument be </w:t>
      </w:r>
      <w:r>
        <w:rPr>
          <w:i/>
        </w:rPr>
        <w:t>more</w:t>
      </w:r>
      <w:r>
        <w:t xml:space="preserve"> responsive than an estoppel argument?</w:t>
      </w:r>
      <w:r w:rsidR="00BE6F3D">
        <w:t xml:space="preserve">  </w:t>
      </w:r>
      <w:r w:rsidR="00465621">
        <w:t>B</w:t>
      </w:r>
      <w:r w:rsidR="0062508C">
        <w:t xml:space="preserve">y their very nature, judicial and collateral </w:t>
      </w:r>
      <w:proofErr w:type="gramStart"/>
      <w:r w:rsidR="0062508C">
        <w:t>e</w:t>
      </w:r>
      <w:r w:rsidR="00DA3982">
        <w:t>stoppel</w:t>
      </w:r>
      <w:r w:rsidR="0062508C">
        <w:t xml:space="preserve"> are</w:t>
      </w:r>
      <w:proofErr w:type="gramEnd"/>
      <w:r w:rsidR="0062508C">
        <w:t xml:space="preserve"> </w:t>
      </w:r>
      <w:r w:rsidR="00DA3982">
        <w:t>responsive</w:t>
      </w:r>
      <w:r w:rsidR="00465621">
        <w:t>, defensive</w:t>
      </w:r>
      <w:r w:rsidR="00DA3982">
        <w:t xml:space="preserve"> argument</w:t>
      </w:r>
      <w:r w:rsidR="0062508C">
        <w:t xml:space="preserve">s. </w:t>
      </w:r>
      <w:r>
        <w:t xml:space="preserve"> E</w:t>
      </w:r>
      <w:r w:rsidR="00465621" w:rsidRPr="00465621">
        <w:t xml:space="preserve">stoppel </w:t>
      </w:r>
      <w:r>
        <w:t xml:space="preserve">in general </w:t>
      </w:r>
      <w:r w:rsidR="00465621" w:rsidRPr="00465621">
        <w:t>is recognized as an affirmative defense that belongs in responsive pleadings.</w:t>
      </w:r>
      <w:r w:rsidR="00465621" w:rsidRPr="00465621">
        <w:rPr>
          <w:i/>
        </w:rPr>
        <w:t xml:space="preserve"> </w:t>
      </w:r>
      <w:r w:rsidR="00465621" w:rsidRPr="00465621">
        <w:t xml:space="preserve"> </w:t>
      </w:r>
      <w:r w:rsidR="00465621" w:rsidRPr="00465621">
        <w:rPr>
          <w:i/>
        </w:rPr>
        <w:t>See, e.g.</w:t>
      </w:r>
      <w:r w:rsidR="00465621" w:rsidRPr="00465621">
        <w:t xml:space="preserve">, </w:t>
      </w:r>
      <w:r w:rsidR="00465621" w:rsidRPr="00465621">
        <w:rPr>
          <w:i/>
        </w:rPr>
        <w:t>Greene v. Am. Bankers Ins. Co.</w:t>
      </w:r>
      <w:r w:rsidR="00465621" w:rsidRPr="00465621">
        <w:t>, No. 66091, 1994 Ohio App. LEXIS 4617, at *28 (Cuyahoga County Oct. 13, 1994) (Sweeney, J.) (</w:t>
      </w:r>
      <w:proofErr w:type="gramStart"/>
      <w:r w:rsidR="00465621" w:rsidRPr="00465621">
        <w:t>noting</w:t>
      </w:r>
      <w:proofErr w:type="gramEnd"/>
      <w:r w:rsidR="00465621" w:rsidRPr="00465621">
        <w:t xml:space="preserve"> under the Civil Rules that “estoppel [is] an affirmative defense which must be raised in a responsive pleading”). </w:t>
      </w:r>
      <w:r w:rsidR="00465621">
        <w:t xml:space="preserve"> And judicial and collateral </w:t>
      </w:r>
      <w:proofErr w:type="gramStart"/>
      <w:r w:rsidR="00465621">
        <w:t xml:space="preserve">estoppel, </w:t>
      </w:r>
      <w:r w:rsidR="0062508C">
        <w:t xml:space="preserve">if applicable, </w:t>
      </w:r>
      <w:r>
        <w:t>do</w:t>
      </w:r>
      <w:proofErr w:type="gramEnd"/>
      <w:r>
        <w:t xml:space="preserve"> not </w:t>
      </w:r>
      <w:r w:rsidRPr="00876660">
        <w:rPr>
          <w:i/>
        </w:rPr>
        <w:t xml:space="preserve">support </w:t>
      </w:r>
      <w:r>
        <w:t xml:space="preserve">a proponent’s legal position but </w:t>
      </w:r>
      <w:r w:rsidR="00465621">
        <w:rPr>
          <w:i/>
        </w:rPr>
        <w:t>bar</w:t>
      </w:r>
      <w:r w:rsidR="0062508C" w:rsidRPr="0062508C">
        <w:rPr>
          <w:i/>
        </w:rPr>
        <w:t xml:space="preserve"> </w:t>
      </w:r>
      <w:r>
        <w:t>an opponent’s</w:t>
      </w:r>
      <w:r w:rsidR="00DA3982">
        <w:t>.</w:t>
      </w:r>
      <w:r>
        <w:t xml:space="preserve"> </w:t>
      </w:r>
      <w:r w:rsidR="00DA3982">
        <w:t xml:space="preserve"> </w:t>
      </w:r>
      <w:r w:rsidR="0062508C">
        <w:t xml:space="preserve">It </w:t>
      </w:r>
      <w:r w:rsidR="00465621">
        <w:t>is a purely defensive tool, used to parry opposing arguments</w:t>
      </w:r>
      <w:r w:rsidR="0062508C">
        <w:t xml:space="preserve">.  </w:t>
      </w:r>
    </w:p>
    <w:p w14:paraId="5335120D" w14:textId="77777777" w:rsidR="00465621" w:rsidRDefault="00876660" w:rsidP="00465621">
      <w:pPr>
        <w:pStyle w:val="MemoBodyText"/>
      </w:pPr>
      <w:r>
        <w:lastRenderedPageBreak/>
        <w:t xml:space="preserve">Of course, one cannot contend that an argument is estopped until it has been made.  </w:t>
      </w:r>
      <w:r w:rsidR="0062508C">
        <w:t xml:space="preserve">Here, </w:t>
      </w:r>
      <w:r w:rsidR="00BE6F3D">
        <w:t xml:space="preserve">Staff argued several </w:t>
      </w:r>
      <w:r w:rsidR="00277AB5">
        <w:t xml:space="preserve">positions in its </w:t>
      </w:r>
      <w:r w:rsidR="0062508C">
        <w:t xml:space="preserve">brief.  </w:t>
      </w:r>
      <w:r w:rsidR="00BE6F3D">
        <w:t xml:space="preserve">DEO </w:t>
      </w:r>
      <w:r w:rsidR="0062508C">
        <w:t xml:space="preserve">reviewed those </w:t>
      </w:r>
      <w:r w:rsidR="00465621">
        <w:t xml:space="preserve">arguments </w:t>
      </w:r>
      <w:r w:rsidR="0062508C">
        <w:t xml:space="preserve">and then </w:t>
      </w:r>
      <w:r w:rsidR="00277AB5">
        <w:t xml:space="preserve">pointed out that </w:t>
      </w:r>
      <w:r w:rsidR="0062508C">
        <w:t xml:space="preserve">they </w:t>
      </w:r>
      <w:r w:rsidR="00295AB5">
        <w:t xml:space="preserve">both </w:t>
      </w:r>
      <w:r w:rsidR="00277AB5">
        <w:t xml:space="preserve">contradicted past positions </w:t>
      </w:r>
      <w:r w:rsidR="008F6DA0">
        <w:t xml:space="preserve">taken </w:t>
      </w:r>
      <w:r w:rsidR="0062508C">
        <w:t xml:space="preserve">by Staff </w:t>
      </w:r>
      <w:r w:rsidR="008F6DA0">
        <w:t xml:space="preserve">and </w:t>
      </w:r>
      <w:r w:rsidR="00295AB5">
        <w:t xml:space="preserve">pertained to issues that were resolved (or could </w:t>
      </w:r>
      <w:r w:rsidR="00277AB5">
        <w:t xml:space="preserve">have been </w:t>
      </w:r>
      <w:r w:rsidR="00295AB5">
        <w:t xml:space="preserve">resolved) </w:t>
      </w:r>
      <w:r w:rsidR="00277AB5">
        <w:t xml:space="preserve">in prior cases. </w:t>
      </w:r>
      <w:r w:rsidR="00465621">
        <w:t xml:space="preserve"> </w:t>
      </w:r>
      <w:r w:rsidR="008F6DA0">
        <w:t>Both estoppel arguments depend critically</w:t>
      </w:r>
      <w:r w:rsidR="00277AB5">
        <w:t xml:space="preserve"> on a comparison of the </w:t>
      </w:r>
      <w:r w:rsidR="00277AB5" w:rsidRPr="00277AB5">
        <w:rPr>
          <w:i/>
        </w:rPr>
        <w:t xml:space="preserve">presently taken </w:t>
      </w:r>
      <w:r w:rsidR="00277AB5">
        <w:t xml:space="preserve">position with the </w:t>
      </w:r>
      <w:r w:rsidR="00277AB5" w:rsidRPr="00277AB5">
        <w:rPr>
          <w:i/>
        </w:rPr>
        <w:t xml:space="preserve">past </w:t>
      </w:r>
      <w:r w:rsidR="00277AB5">
        <w:t>position</w:t>
      </w:r>
      <w:r w:rsidR="008F6DA0">
        <w:t xml:space="preserve"> or case</w:t>
      </w:r>
      <w:r w:rsidR="00277AB5">
        <w:t xml:space="preserve">.  </w:t>
      </w:r>
      <w:r w:rsidR="00465621">
        <w:t>(</w:t>
      </w:r>
      <w:r w:rsidR="00465621">
        <w:rPr>
          <w:i/>
        </w:rPr>
        <w:t xml:space="preserve">See </w:t>
      </w:r>
      <w:r w:rsidR="00465621">
        <w:t xml:space="preserve">DEO Init. Br. at 24–27.)  But </w:t>
      </w:r>
      <w:r w:rsidR="00277AB5">
        <w:t xml:space="preserve">until DEO knew precisely what Staff was arguing, it could not make these arguments.  </w:t>
      </w:r>
      <w:r w:rsidR="00465621">
        <w:t>It could not compare the present positions with the past.</w:t>
      </w:r>
      <w:r w:rsidR="00931C04">
        <w:t xml:space="preserve">  </w:t>
      </w:r>
    </w:p>
    <w:p w14:paraId="36026300" w14:textId="77777777" w:rsidR="00931C04" w:rsidRDefault="00876660" w:rsidP="00465621">
      <w:pPr>
        <w:pStyle w:val="MemoBodyText"/>
      </w:pPr>
      <w:r>
        <w:t xml:space="preserve">DEO’s estoppel arguments belong in the reply brief; they </w:t>
      </w:r>
      <w:r w:rsidR="00931C04">
        <w:t>should not be struck</w:t>
      </w:r>
      <w:r w:rsidR="002A79F1">
        <w:t xml:space="preserve">, and a </w:t>
      </w:r>
      <w:r>
        <w:t xml:space="preserve">surreply </w:t>
      </w:r>
      <w:r w:rsidR="002A79F1">
        <w:t>is inappropriate</w:t>
      </w:r>
      <w:r w:rsidR="00931C04">
        <w:t xml:space="preserve">.  </w:t>
      </w:r>
    </w:p>
    <w:p w14:paraId="149CCE85" w14:textId="77777777" w:rsidR="00AF49C2" w:rsidRDefault="00AF49C2" w:rsidP="00AF49C2">
      <w:pPr>
        <w:pStyle w:val="MemoHeading3"/>
      </w:pPr>
      <w:r>
        <w:t xml:space="preserve">Staff’s conduct only underscores the rule that responsive arguments belong in reply briefs.  </w:t>
      </w:r>
    </w:p>
    <w:p w14:paraId="5EAB7DC9" w14:textId="77777777" w:rsidR="00AF49C2" w:rsidRDefault="00AF49C2" w:rsidP="00AF49C2">
      <w:pPr>
        <w:pStyle w:val="MemoBodyText"/>
      </w:pPr>
      <w:r>
        <w:t xml:space="preserve">This rule that responsive arguments are permissible in reply briefs is true regardless of Staff’s conduct in this case.  But its conduct only adds force to the rule.  Every time Staff had an opportunity to articulate its position in this case, its position changed.  </w:t>
      </w:r>
      <w:r w:rsidR="00876660">
        <w:t xml:space="preserve">As DEO pointed out in its motion to strike, Staff </w:t>
      </w:r>
      <w:r>
        <w:t xml:space="preserve">considerably revised its theory between the filing of </w:t>
      </w:r>
      <w:r w:rsidR="002A79F1">
        <w:t xml:space="preserve">its </w:t>
      </w:r>
      <w:r>
        <w:t>comments and the filing of direct testimony</w:t>
      </w:r>
      <w:r w:rsidR="00295AB5">
        <w:t xml:space="preserve">.  It then </w:t>
      </w:r>
      <w:r w:rsidR="002A79F1">
        <w:t xml:space="preserve">ratcheted up </w:t>
      </w:r>
      <w:r w:rsidR="00876660">
        <w:t>its</w:t>
      </w:r>
      <w:r>
        <w:t xml:space="preserve"> recommendation </w:t>
      </w:r>
      <w:r w:rsidR="002A79F1">
        <w:t xml:space="preserve">again </w:t>
      </w:r>
      <w:r w:rsidR="00876660">
        <w:t xml:space="preserve">at </w:t>
      </w:r>
      <w:r w:rsidR="00A56C89">
        <w:t>“ten till 6”</w:t>
      </w:r>
      <w:r w:rsidR="00876660">
        <w:t xml:space="preserve"> </w:t>
      </w:r>
      <w:r>
        <w:t>on the evening of the hearing</w:t>
      </w:r>
      <w:r w:rsidR="00295AB5">
        <w:t>.</w:t>
      </w:r>
      <w:r w:rsidR="00876660">
        <w:t xml:space="preserve"> </w:t>
      </w:r>
      <w:r w:rsidR="00295AB5">
        <w:t xml:space="preserve"> </w:t>
      </w:r>
      <w:r w:rsidR="00876660">
        <w:t>(</w:t>
      </w:r>
      <w:r w:rsidR="00A56C89">
        <w:t>Tr. 244</w:t>
      </w:r>
      <w:r w:rsidR="00295AB5">
        <w:t>.</w:t>
      </w:r>
      <w:r w:rsidR="00876660">
        <w:t>)</w:t>
      </w:r>
      <w:r>
        <w:t xml:space="preserve"> </w:t>
      </w:r>
      <w:r w:rsidR="00295AB5">
        <w:t xml:space="preserve"> And </w:t>
      </w:r>
      <w:r>
        <w:t xml:space="preserve">it dropped one of its recommendations altogether (the proposed reduction for AMRs held in inventory at the end of 2011) between the conclusion of the hearing and the filing of its brief.  </w:t>
      </w:r>
    </w:p>
    <w:p w14:paraId="74056E12" w14:textId="77777777" w:rsidR="008D0B73" w:rsidRDefault="00AF49C2" w:rsidP="00465621">
      <w:pPr>
        <w:pStyle w:val="MemoBodyText"/>
      </w:pPr>
      <w:r>
        <w:t xml:space="preserve">Indeed, while </w:t>
      </w:r>
      <w:r w:rsidR="002A79F1">
        <w:t>DEO was certainly amenable to this</w:t>
      </w:r>
      <w:r>
        <w:t xml:space="preserve"> </w:t>
      </w:r>
      <w:r w:rsidR="002A79F1">
        <w:t xml:space="preserve">last </w:t>
      </w:r>
      <w:r>
        <w:t xml:space="preserve">change, it confirms that there was no guarantee Staff </w:t>
      </w:r>
      <w:r w:rsidR="00295AB5">
        <w:t xml:space="preserve">would </w:t>
      </w:r>
      <w:r>
        <w:t xml:space="preserve">see through every issue on which it presented a witness. </w:t>
      </w:r>
      <w:r w:rsidR="00931C04">
        <w:t xml:space="preserve"> </w:t>
      </w:r>
      <w:r>
        <w:t xml:space="preserve">It would </w:t>
      </w:r>
      <w:r w:rsidR="002A79F1">
        <w:t xml:space="preserve">have </w:t>
      </w:r>
      <w:r w:rsidR="00931C04">
        <w:t xml:space="preserve">wasted both DEO’s time and the Commission’s had </w:t>
      </w:r>
      <w:r w:rsidR="002A79F1">
        <w:t xml:space="preserve">DEO </w:t>
      </w:r>
      <w:r>
        <w:t xml:space="preserve">brainstormed every </w:t>
      </w:r>
      <w:r w:rsidR="00931C04">
        <w:t xml:space="preserve">possible </w:t>
      </w:r>
      <w:r>
        <w:t xml:space="preserve">argument that Staff could have made </w:t>
      </w:r>
      <w:r w:rsidR="00931C04">
        <w:t>in favor its recommendation</w:t>
      </w:r>
      <w:r w:rsidR="002A79F1">
        <w:t xml:space="preserve"> and then raised every possible argument </w:t>
      </w:r>
      <w:r w:rsidR="002A79F1">
        <w:lastRenderedPageBreak/>
        <w:t>in response</w:t>
      </w:r>
      <w:r w:rsidR="00931C04">
        <w:t xml:space="preserve">.  </w:t>
      </w:r>
      <w:r w:rsidR="002A79F1">
        <w:t>G</w:t>
      </w:r>
      <w:r w:rsidR="00A56C89">
        <w:t xml:space="preserve">iven the fact </w:t>
      </w:r>
      <w:r w:rsidR="002A79F1">
        <w:t xml:space="preserve">that </w:t>
      </w:r>
      <w:r w:rsidR="00496B6A">
        <w:t xml:space="preserve">the </w:t>
      </w:r>
      <w:r w:rsidR="002A79F1">
        <w:t xml:space="preserve">Commission had provided for </w:t>
      </w:r>
      <w:r w:rsidR="00A56C89">
        <w:t xml:space="preserve">a reply brief, </w:t>
      </w:r>
      <w:r w:rsidR="002A79F1">
        <w:t xml:space="preserve">DEO had </w:t>
      </w:r>
      <w:r w:rsidR="00A56C89">
        <w:t>no reason to include every possible responsive argument up front.</w:t>
      </w:r>
    </w:p>
    <w:p w14:paraId="0F5C9184" w14:textId="77777777" w:rsidR="008D0B73" w:rsidRDefault="008D0B73" w:rsidP="008D0B73">
      <w:pPr>
        <w:pStyle w:val="MemoHeading3"/>
      </w:pPr>
      <w:r>
        <w:t>DEO could have omitted all responsive arguments from its initial brief</w:t>
      </w:r>
      <w:r w:rsidR="00BA46B1">
        <w:t>; that it did not only benefited Staff</w:t>
      </w:r>
      <w:r>
        <w:t>.</w:t>
      </w:r>
    </w:p>
    <w:p w14:paraId="6D473ADC" w14:textId="77777777" w:rsidR="00A56C89" w:rsidRDefault="008D0B73" w:rsidP="00465621">
      <w:pPr>
        <w:pStyle w:val="MemoBodyText"/>
      </w:pPr>
      <w:r>
        <w:t xml:space="preserve">For that reason, DEO could have fairly omitted </w:t>
      </w:r>
      <w:r w:rsidRPr="008D0B73">
        <w:rPr>
          <w:i/>
        </w:rPr>
        <w:t xml:space="preserve">any </w:t>
      </w:r>
      <w:r>
        <w:t xml:space="preserve">responsive arguments from its </w:t>
      </w:r>
      <w:proofErr w:type="gramStart"/>
      <w:r>
        <w:t>initial  brief</w:t>
      </w:r>
      <w:proofErr w:type="gramEnd"/>
      <w:r>
        <w:t xml:space="preserve">.  </w:t>
      </w:r>
      <w:r w:rsidR="00931C04">
        <w:t>DEO devoted the bulk of its initial brief to laying out the procedural</w:t>
      </w:r>
      <w:r>
        <w:t xml:space="preserve"> history</w:t>
      </w:r>
      <w:r w:rsidR="00931C04">
        <w:t xml:space="preserve">, pointing out that its application was unchallenged on most points, and showing that it had complied with the 09-1875 Order.  </w:t>
      </w:r>
      <w:r>
        <w:t>(</w:t>
      </w:r>
      <w:r>
        <w:rPr>
          <w:i/>
        </w:rPr>
        <w:t xml:space="preserve">See </w:t>
      </w:r>
      <w:r>
        <w:t xml:space="preserve">pp. 1–17.)  </w:t>
      </w:r>
      <w:r w:rsidR="00A50740">
        <w:t>DEO could have stopped there, but i</w:t>
      </w:r>
      <w:r>
        <w:t xml:space="preserve">t </w:t>
      </w:r>
      <w:r w:rsidR="00931C04">
        <w:t xml:space="preserve">chose to </w:t>
      </w:r>
      <w:r w:rsidR="00A50740">
        <w:t>highlight</w:t>
      </w:r>
      <w:r w:rsidR="00931C04">
        <w:t xml:space="preserve"> a few problems with Mr. Adkins’ recommendation</w:t>
      </w:r>
      <w:r>
        <w:t>.</w:t>
      </w:r>
      <w:r w:rsidR="00931C04">
        <w:t xml:space="preserve"> </w:t>
      </w:r>
      <w:r>
        <w:t xml:space="preserve"> </w:t>
      </w:r>
      <w:r w:rsidR="00931C04">
        <w:t>(</w:t>
      </w:r>
      <w:r>
        <w:rPr>
          <w:i/>
        </w:rPr>
        <w:t>S</w:t>
      </w:r>
      <w:r w:rsidR="00931C04">
        <w:rPr>
          <w:i/>
        </w:rPr>
        <w:t xml:space="preserve">ee </w:t>
      </w:r>
      <w:r w:rsidR="00931C04">
        <w:t>pp. 17–22</w:t>
      </w:r>
      <w:r>
        <w:t>.</w:t>
      </w:r>
      <w:r w:rsidR="00931C04">
        <w:t>)</w:t>
      </w:r>
      <w:r>
        <w:t xml:space="preserve"> </w:t>
      </w:r>
      <w:r w:rsidR="00A50740">
        <w:t xml:space="preserve"> </w:t>
      </w:r>
      <w:r>
        <w:t xml:space="preserve">This placed DEO under no obligation to include </w:t>
      </w:r>
      <w:r w:rsidRPr="008D0B73">
        <w:t xml:space="preserve">every possible argument against </w:t>
      </w:r>
      <w:r w:rsidR="00A50740">
        <w:t xml:space="preserve">whatever position Staff would ultimately take.  </w:t>
      </w:r>
    </w:p>
    <w:p w14:paraId="60A9F5D1" w14:textId="77777777" w:rsidR="00AF49C2" w:rsidRDefault="00A56C89" w:rsidP="00465621">
      <w:pPr>
        <w:pStyle w:val="MemoBodyText"/>
      </w:pPr>
      <w:r>
        <w:t xml:space="preserve">Whatever else this did, </w:t>
      </w:r>
      <w:r w:rsidR="00FE76AE">
        <w:t xml:space="preserve">DEO’s action </w:t>
      </w:r>
      <w:r w:rsidR="008D0B73">
        <w:t>certainly did not hurt Staff</w:t>
      </w:r>
      <w:r w:rsidR="002A79F1">
        <w:t xml:space="preserve"> procedurally</w:t>
      </w:r>
      <w:r w:rsidR="008D0B73">
        <w:t xml:space="preserve">.  In fact, any responsive arguments that DEO raised in its initial brief gave Staff a procedural </w:t>
      </w:r>
      <w:r w:rsidR="008D0B73">
        <w:rPr>
          <w:i/>
        </w:rPr>
        <w:t>benefit</w:t>
      </w:r>
      <w:r w:rsidR="008D0B73">
        <w:t xml:space="preserve"> it would otherwise have lacked—</w:t>
      </w:r>
      <w:r w:rsidR="00FE76AE">
        <w:t>in effect</w:t>
      </w:r>
      <w:r w:rsidR="008D0B73">
        <w:t xml:space="preserve">, </w:t>
      </w:r>
      <w:r w:rsidR="00A50740">
        <w:t xml:space="preserve">a surreply </w:t>
      </w:r>
      <w:r w:rsidR="008D0B73">
        <w:t xml:space="preserve">to </w:t>
      </w:r>
      <w:r w:rsidR="00FE76AE">
        <w:t>responsive</w:t>
      </w:r>
      <w:r>
        <w:t xml:space="preserve"> </w:t>
      </w:r>
      <w:r w:rsidR="008D0B73">
        <w:t xml:space="preserve">arguments.  </w:t>
      </w:r>
    </w:p>
    <w:p w14:paraId="73484257" w14:textId="77777777" w:rsidR="00AF49C2" w:rsidRDefault="00AF49C2" w:rsidP="00AF49C2">
      <w:pPr>
        <w:pStyle w:val="MemoHeading3"/>
      </w:pPr>
      <w:r>
        <w:t xml:space="preserve">The fact that DEO moved to strike portions of Mr. Adkins’ testimony </w:t>
      </w:r>
      <w:r w:rsidR="005E097F">
        <w:t xml:space="preserve">after it was filed </w:t>
      </w:r>
      <w:r>
        <w:t>does not</w:t>
      </w:r>
      <w:r w:rsidR="00EB46C0">
        <w:t xml:space="preserve"> help Staff</w:t>
      </w:r>
      <w:r>
        <w:t>.</w:t>
      </w:r>
    </w:p>
    <w:p w14:paraId="362607A1" w14:textId="68523594" w:rsidR="00EB46C0" w:rsidRDefault="00BA46B1" w:rsidP="00EB46C0">
      <w:pPr>
        <w:pStyle w:val="MemoBodyText"/>
      </w:pPr>
      <w:r>
        <w:t>Staff points out that DEO raised the</w:t>
      </w:r>
      <w:r w:rsidR="005E097F">
        <w:t>se</w:t>
      </w:r>
      <w:r>
        <w:t xml:space="preserve"> estoppel arguments in its motion to strike portions of Mr. Adkins’ testimony.  </w:t>
      </w:r>
      <w:r w:rsidR="00A56C89">
        <w:t>H</w:t>
      </w:r>
      <w:r>
        <w:t xml:space="preserve">ow </w:t>
      </w:r>
      <w:r w:rsidR="00EB46C0">
        <w:t xml:space="preserve">does </w:t>
      </w:r>
      <w:r w:rsidR="005E097F">
        <w:t xml:space="preserve">the fact that </w:t>
      </w:r>
      <w:r>
        <w:t>Staff</w:t>
      </w:r>
      <w:r w:rsidR="005E097F">
        <w:t xml:space="preserve"> had</w:t>
      </w:r>
      <w:r>
        <w:t xml:space="preserve"> advance notice </w:t>
      </w:r>
      <w:r w:rsidR="00EB46C0">
        <w:t xml:space="preserve">of </w:t>
      </w:r>
      <w:r>
        <w:t xml:space="preserve">these arguments help </w:t>
      </w:r>
      <w:r w:rsidR="00EB46C0">
        <w:t xml:space="preserve">its </w:t>
      </w:r>
      <w:r>
        <w:t>position?  If</w:t>
      </w:r>
      <w:r w:rsidR="00EB46C0">
        <w:t>, as Staff asserts,</w:t>
      </w:r>
      <w:r>
        <w:t xml:space="preserve"> it was clear that DEO “planned on raising these arguments almost two months ago” (Staff Memo. in Support at 2), then Staff </w:t>
      </w:r>
      <w:r w:rsidR="00EB46C0">
        <w:t xml:space="preserve">has </w:t>
      </w:r>
      <w:r>
        <w:t xml:space="preserve">only itself to blame for </w:t>
      </w:r>
      <w:r w:rsidR="00EB46C0">
        <w:t xml:space="preserve">not </w:t>
      </w:r>
      <w:r w:rsidR="00F759AF">
        <w:t>anticipating these arguments, along with others it anticipated</w:t>
      </w:r>
      <w:r w:rsidR="00EB46C0">
        <w:t>.</w:t>
      </w:r>
      <w:r w:rsidR="00F759AF">
        <w:t xml:space="preserve">  </w:t>
      </w:r>
    </w:p>
    <w:p w14:paraId="6BFF876C" w14:textId="77777777" w:rsidR="00BA46B1" w:rsidRPr="00BA46B1" w:rsidRDefault="005E097F" w:rsidP="00EB46C0">
      <w:pPr>
        <w:pStyle w:val="MemoBodyText"/>
      </w:pPr>
      <w:r>
        <w:t xml:space="preserve">Moreover, the </w:t>
      </w:r>
      <w:r w:rsidR="00EB46C0">
        <w:t xml:space="preserve">timing of </w:t>
      </w:r>
      <w:r>
        <w:t xml:space="preserve">DEO’s </w:t>
      </w:r>
      <w:r w:rsidR="00EB46C0">
        <w:t xml:space="preserve">motion to strike is entirely consistent with </w:t>
      </w:r>
      <w:r>
        <w:t xml:space="preserve">the </w:t>
      </w:r>
      <w:r w:rsidR="00EB46C0">
        <w:t xml:space="preserve">timing </w:t>
      </w:r>
      <w:r>
        <w:t>of its reply brief.  O</w:t>
      </w:r>
      <w:r w:rsidR="00EB46C0">
        <w:t xml:space="preserve">nce Mr. Adkins’ testimony was made available, DEO reviewed it, identified the offending sections, and filed a defensive motion.  Here, once Staff’s legal arguments were available for </w:t>
      </w:r>
      <w:proofErr w:type="gramStart"/>
      <w:r w:rsidR="00EB46C0">
        <w:t>review,</w:t>
      </w:r>
      <w:proofErr w:type="gramEnd"/>
      <w:r w:rsidR="00EB46C0">
        <w:t xml:space="preserve"> DEO reviewed them, identified the offending sections, and filed its </w:t>
      </w:r>
      <w:r>
        <w:lastRenderedPageBreak/>
        <w:t>defenses.  That is proper timing</w:t>
      </w:r>
      <w:r w:rsidR="00F759AF">
        <w:t>—</w:t>
      </w:r>
      <w:r w:rsidR="00A56C89">
        <w:t>really, the only reasonable</w:t>
      </w:r>
      <w:r w:rsidR="00F759AF">
        <w:t xml:space="preserve"> timing—in both instances</w:t>
      </w:r>
      <w:r>
        <w:t xml:space="preserve">. </w:t>
      </w:r>
      <w:r w:rsidR="00A56C89">
        <w:t xml:space="preserve"> Any earlier and DEO is guessing.</w:t>
      </w:r>
    </w:p>
    <w:p w14:paraId="44FB3591" w14:textId="77777777" w:rsidR="00931C04" w:rsidRDefault="00931C04" w:rsidP="00931C04">
      <w:pPr>
        <w:pStyle w:val="MemoHeading3"/>
      </w:pPr>
      <w:r>
        <w:t xml:space="preserve">If the Commission strikes DEO’s defensive arguments, it would deny DEO due process of law.  </w:t>
      </w:r>
    </w:p>
    <w:p w14:paraId="7442D4EA" w14:textId="77777777" w:rsidR="00931C04" w:rsidRDefault="005E097F" w:rsidP="00954353">
      <w:pPr>
        <w:pStyle w:val="MemoBodyText"/>
      </w:pPr>
      <w:r>
        <w:t xml:space="preserve">In short, </w:t>
      </w:r>
      <w:r w:rsidR="00931C04">
        <w:t>Staff has provided no basis for s</w:t>
      </w:r>
      <w:r w:rsidR="00931C04" w:rsidRPr="00931C04">
        <w:t xml:space="preserve">triking </w:t>
      </w:r>
      <w:r w:rsidR="00931C04">
        <w:t xml:space="preserve">DEO’s estoppel </w:t>
      </w:r>
      <w:r w:rsidR="00931C04" w:rsidRPr="00931C04">
        <w:t>arguments</w:t>
      </w:r>
      <w:r>
        <w:t xml:space="preserve"> or for </w:t>
      </w:r>
      <w:r w:rsidR="00FE76AE">
        <w:t>allowing</w:t>
      </w:r>
      <w:r>
        <w:t xml:space="preserve"> a surreply</w:t>
      </w:r>
      <w:r w:rsidR="00931C04">
        <w:t xml:space="preserve">. </w:t>
      </w:r>
      <w:r>
        <w:t xml:space="preserve"> Granting its motion </w:t>
      </w:r>
      <w:r w:rsidR="00931C04" w:rsidRPr="00931C04">
        <w:t xml:space="preserve">would </w:t>
      </w:r>
      <w:r w:rsidR="00931C04">
        <w:t xml:space="preserve">not only </w:t>
      </w:r>
      <w:r w:rsidR="00931C04" w:rsidRPr="00931C04">
        <w:t xml:space="preserve">be </w:t>
      </w:r>
      <w:r>
        <w:t xml:space="preserve">baseless and </w:t>
      </w:r>
      <w:r w:rsidR="00931C04">
        <w:t xml:space="preserve">procedurally </w:t>
      </w:r>
      <w:r w:rsidR="00931C04" w:rsidRPr="00931C04">
        <w:t xml:space="preserve">improper, it </w:t>
      </w:r>
      <w:r>
        <w:t xml:space="preserve">could </w:t>
      </w:r>
      <w:r w:rsidR="00931C04" w:rsidRPr="00931C04">
        <w:t>deny DEO due process</w:t>
      </w:r>
      <w:r>
        <w:t xml:space="preserve"> and a </w:t>
      </w:r>
      <w:r w:rsidR="00A50740">
        <w:t xml:space="preserve">fair </w:t>
      </w:r>
      <w:r>
        <w:t xml:space="preserve">hearing.  DEO must have </w:t>
      </w:r>
      <w:r w:rsidR="00A50740">
        <w:t xml:space="preserve">notice of Staff’s arguments and an opportunity to </w:t>
      </w:r>
      <w:r w:rsidR="00954353">
        <w:t>respond</w:t>
      </w:r>
      <w:r w:rsidR="00A50740">
        <w:t xml:space="preserve">.  </w:t>
      </w:r>
      <w:r w:rsidR="00954353">
        <w:t>“</w:t>
      </w:r>
      <w:r w:rsidR="00954353" w:rsidRPr="00954353">
        <w:t>The principle is elemental that, upon any hearing, each side of the controversy must be given an opportunity to present its case.</w:t>
      </w:r>
      <w:r w:rsidR="00954353">
        <w:t xml:space="preserve">” </w:t>
      </w:r>
      <w:r w:rsidR="00954353">
        <w:rPr>
          <w:i/>
        </w:rPr>
        <w:t xml:space="preserve">Cent. </w:t>
      </w:r>
      <w:proofErr w:type="gramStart"/>
      <w:r w:rsidR="00954353" w:rsidRPr="00954353">
        <w:rPr>
          <w:i/>
        </w:rPr>
        <w:t xml:space="preserve">Ohio Lines v. </w:t>
      </w:r>
      <w:r w:rsidR="00954353">
        <w:rPr>
          <w:i/>
        </w:rPr>
        <w:t>Pub.</w:t>
      </w:r>
      <w:proofErr w:type="gramEnd"/>
      <w:r w:rsidR="00954353">
        <w:rPr>
          <w:i/>
        </w:rPr>
        <w:t xml:space="preserve"> </w:t>
      </w:r>
      <w:r w:rsidR="00954353" w:rsidRPr="00954353">
        <w:rPr>
          <w:i/>
        </w:rPr>
        <w:t>Util</w:t>
      </w:r>
      <w:r w:rsidR="00954353">
        <w:rPr>
          <w:i/>
        </w:rPr>
        <w:t>.</w:t>
      </w:r>
      <w:r w:rsidR="00954353" w:rsidRPr="00954353">
        <w:rPr>
          <w:i/>
        </w:rPr>
        <w:t xml:space="preserve"> Com</w:t>
      </w:r>
      <w:r w:rsidR="00954353">
        <w:rPr>
          <w:i/>
        </w:rPr>
        <w:t>m</w:t>
      </w:r>
      <w:r w:rsidR="00954353" w:rsidRPr="00954353">
        <w:rPr>
          <w:i/>
        </w:rPr>
        <w:t>.</w:t>
      </w:r>
      <w:r w:rsidR="00954353" w:rsidRPr="00954353">
        <w:t>, 123 Ohio St. 221, 227 (1931)</w:t>
      </w:r>
      <w:r w:rsidR="00954353">
        <w:t xml:space="preserve">; </w:t>
      </w:r>
      <w:r w:rsidR="00954353">
        <w:rPr>
          <w:i/>
        </w:rPr>
        <w:t>see, e.g.</w:t>
      </w:r>
      <w:r w:rsidR="00954353">
        <w:t xml:space="preserve">, </w:t>
      </w:r>
      <w:r w:rsidR="00954353" w:rsidRPr="00954353">
        <w:rPr>
          <w:i/>
        </w:rPr>
        <w:t xml:space="preserve">Forest Hills Utility Co. v. </w:t>
      </w:r>
      <w:r w:rsidR="00954353">
        <w:rPr>
          <w:i/>
        </w:rPr>
        <w:t xml:space="preserve">Pub. </w:t>
      </w:r>
      <w:r w:rsidR="00954353" w:rsidRPr="00954353">
        <w:rPr>
          <w:i/>
        </w:rPr>
        <w:t>Util</w:t>
      </w:r>
      <w:r w:rsidR="00954353">
        <w:rPr>
          <w:i/>
        </w:rPr>
        <w:t>.</w:t>
      </w:r>
      <w:r w:rsidR="00954353" w:rsidRPr="00954353">
        <w:rPr>
          <w:i/>
        </w:rPr>
        <w:t xml:space="preserve"> Com</w:t>
      </w:r>
      <w:r w:rsidR="00954353">
        <w:rPr>
          <w:i/>
        </w:rPr>
        <w:t>m</w:t>
      </w:r>
      <w:r w:rsidR="00954353" w:rsidRPr="00954353">
        <w:rPr>
          <w:i/>
        </w:rPr>
        <w:t>.</w:t>
      </w:r>
      <w:r w:rsidR="00954353">
        <w:t>, 39 Ohio St.</w:t>
      </w:r>
      <w:r w:rsidR="00954353" w:rsidRPr="00954353">
        <w:t>2d 1, 3 (1974)</w:t>
      </w:r>
      <w:r w:rsidR="00954353">
        <w:t xml:space="preserve"> (“prior to decision,” an agency conducting hearings must give “interested parties . . . an opp</w:t>
      </w:r>
      <w:r w:rsidR="00BA46B1">
        <w:t xml:space="preserve">ortunity to explain and rebut”); </w:t>
      </w:r>
      <w:r w:rsidR="00BA46B1">
        <w:rPr>
          <w:i/>
        </w:rPr>
        <w:t xml:space="preserve">cf. </w:t>
      </w:r>
      <w:r w:rsidR="00BA46B1" w:rsidRPr="00BA46B1">
        <w:rPr>
          <w:i/>
        </w:rPr>
        <w:t>New York C. R. Co. v</w:t>
      </w:r>
      <w:proofErr w:type="gramStart"/>
      <w:r w:rsidR="00BA46B1" w:rsidRPr="00BA46B1">
        <w:rPr>
          <w:i/>
        </w:rPr>
        <w:t xml:space="preserve">. </w:t>
      </w:r>
      <w:r w:rsidR="00BA46B1" w:rsidRPr="00954353">
        <w:rPr>
          <w:i/>
        </w:rPr>
        <w:t>.</w:t>
      </w:r>
      <w:proofErr w:type="gramEnd"/>
      <w:r w:rsidR="00BA46B1" w:rsidRPr="00954353">
        <w:rPr>
          <w:i/>
        </w:rPr>
        <w:t xml:space="preserve"> </w:t>
      </w:r>
      <w:r w:rsidR="00BA46B1">
        <w:rPr>
          <w:i/>
        </w:rPr>
        <w:t xml:space="preserve">Pub. </w:t>
      </w:r>
      <w:r w:rsidR="00BA46B1" w:rsidRPr="00954353">
        <w:rPr>
          <w:i/>
        </w:rPr>
        <w:t>Util</w:t>
      </w:r>
      <w:r w:rsidR="00BA46B1">
        <w:rPr>
          <w:i/>
        </w:rPr>
        <w:t>.</w:t>
      </w:r>
      <w:r w:rsidR="00BA46B1" w:rsidRPr="00954353">
        <w:rPr>
          <w:i/>
        </w:rPr>
        <w:t xml:space="preserve"> Com</w:t>
      </w:r>
      <w:r w:rsidR="00BA46B1">
        <w:rPr>
          <w:i/>
        </w:rPr>
        <w:t>m</w:t>
      </w:r>
      <w:r w:rsidR="00BA46B1" w:rsidRPr="00954353">
        <w:rPr>
          <w:i/>
        </w:rPr>
        <w:t>.</w:t>
      </w:r>
      <w:r w:rsidR="00BA46B1" w:rsidRPr="00BA46B1">
        <w:t>, 130 Ohio St. 548 (1936)</w:t>
      </w:r>
      <w:r w:rsidR="00BA46B1">
        <w:t xml:space="preserve">, syllabus para. </w:t>
      </w:r>
      <w:proofErr w:type="gramStart"/>
      <w:r w:rsidR="00BA46B1" w:rsidRPr="00BA46B1">
        <w:t xml:space="preserve">4 </w:t>
      </w:r>
      <w:r w:rsidR="00BA46B1">
        <w:t xml:space="preserve">(“When the . . . </w:t>
      </w:r>
      <w:r w:rsidR="00BA46B1" w:rsidRPr="00BA46B1">
        <w:t>company is accorded a reasonable opportunity to be heard in such matter, there is no denial of due process of law</w:t>
      </w:r>
      <w:r w:rsidR="00BA46B1">
        <w:t>”).</w:t>
      </w:r>
      <w:proofErr w:type="gramEnd"/>
      <w:r w:rsidR="00BA46B1">
        <w:t xml:space="preserve">  </w:t>
      </w:r>
      <w:r w:rsidR="00A50740">
        <w:t xml:space="preserve">Depriving DEO of </w:t>
      </w:r>
      <w:r w:rsidR="00BA46B1">
        <w:t xml:space="preserve">its </w:t>
      </w:r>
      <w:r w:rsidR="00A50740">
        <w:t xml:space="preserve">opportunity </w:t>
      </w:r>
      <w:r w:rsidR="00BA46B1">
        <w:t xml:space="preserve">to present defensive arguments </w:t>
      </w:r>
      <w:r w:rsidR="00A50740">
        <w:t xml:space="preserve">because it failed to respond to Staff’s arguments </w:t>
      </w:r>
      <w:r w:rsidR="00A50740">
        <w:rPr>
          <w:i/>
        </w:rPr>
        <w:t>before</w:t>
      </w:r>
      <w:r w:rsidR="00A50740">
        <w:t xml:space="preserve"> they were made would </w:t>
      </w:r>
      <w:r w:rsidR="00954353">
        <w:t>be anything but fair.</w:t>
      </w:r>
      <w:r>
        <w:t xml:space="preserve">  And giving Staff an extra opportunity to weigh in </w:t>
      </w:r>
      <w:r w:rsidR="00A56C89">
        <w:t xml:space="preserve">on issues </w:t>
      </w:r>
      <w:r>
        <w:t xml:space="preserve">unopposed would </w:t>
      </w:r>
      <w:r w:rsidR="00A56C89">
        <w:t xml:space="preserve">further </w:t>
      </w:r>
      <w:r>
        <w:t>call the fairness of these proceedings into question.</w:t>
      </w:r>
    </w:p>
    <w:p w14:paraId="42EEFBA9" w14:textId="77777777" w:rsidR="00954353" w:rsidRDefault="003A4891" w:rsidP="00A56C89">
      <w:pPr>
        <w:pStyle w:val="MemoHeading2"/>
      </w:pPr>
      <w:r>
        <w:t>If the Commission does not deny Staff’s motion</w:t>
      </w:r>
      <w:r w:rsidR="00A56C89">
        <w:t>, it should give DEO a full opportunity to file a responsive argument.</w:t>
      </w:r>
    </w:p>
    <w:p w14:paraId="65395689" w14:textId="77777777" w:rsidR="00B25F7E" w:rsidRDefault="00A56C89" w:rsidP="00A56C89">
      <w:pPr>
        <w:pStyle w:val="MemoBodyText"/>
      </w:pPr>
      <w:r>
        <w:t xml:space="preserve">Staff </w:t>
      </w:r>
      <w:r w:rsidR="00FE76AE">
        <w:t xml:space="preserve">was under no deadline in </w:t>
      </w:r>
      <w:r>
        <w:t>develop</w:t>
      </w:r>
      <w:r w:rsidR="00FE76AE">
        <w:t>ing</w:t>
      </w:r>
      <w:r>
        <w:t xml:space="preserve"> the arguments in its surreply.  While it could have avoided any “unringing </w:t>
      </w:r>
      <w:r w:rsidR="00B25F7E">
        <w:t xml:space="preserve">of </w:t>
      </w:r>
      <w:r>
        <w:t>the bell” problem by allowing the Commission to rule on its motion</w:t>
      </w:r>
      <w:r w:rsidR="00FE76AE">
        <w:t xml:space="preserve"> before filing the unauthorized brief</w:t>
      </w:r>
      <w:r>
        <w:t xml:space="preserve">, Staff went ahead and put it into the record.  </w:t>
      </w:r>
      <w:r w:rsidR="003A4891">
        <w:t>Now, u</w:t>
      </w:r>
      <w:r>
        <w:t xml:space="preserve">nder the accelerated response times applicable in this case, </w:t>
      </w:r>
      <w:r w:rsidR="00B25F7E">
        <w:t xml:space="preserve">DEO only has three days to respond—not just to the motion, but to the brief as well.  </w:t>
      </w:r>
    </w:p>
    <w:p w14:paraId="63B9C54C" w14:textId="77777777" w:rsidR="00A56C89" w:rsidRDefault="00B25F7E" w:rsidP="00A56C89">
      <w:pPr>
        <w:pStyle w:val="MemoBodyText"/>
      </w:pPr>
      <w:r>
        <w:lastRenderedPageBreak/>
        <w:t xml:space="preserve">Take this all together: </w:t>
      </w:r>
      <w:r w:rsidR="00A56C89">
        <w:t xml:space="preserve">Staff </w:t>
      </w:r>
      <w:r>
        <w:t xml:space="preserve">was able to </w:t>
      </w:r>
      <w:r w:rsidR="00FE76AE">
        <w:t xml:space="preserve">take whatever time it wanted to draft </w:t>
      </w:r>
      <w:r>
        <w:t xml:space="preserve">an additional </w:t>
      </w:r>
      <w:r w:rsidR="003A4891">
        <w:t xml:space="preserve">eight-part </w:t>
      </w:r>
      <w:r>
        <w:t>brief</w:t>
      </w:r>
      <w:r w:rsidR="003A4891">
        <w:t xml:space="preserve"> </w:t>
      </w:r>
      <w:r w:rsidR="00FE76AE">
        <w:t xml:space="preserve">and then </w:t>
      </w:r>
      <w:r w:rsidR="003A4891">
        <w:t xml:space="preserve">to file it on </w:t>
      </w:r>
      <w:r w:rsidR="00FE76AE">
        <w:t>whatever day it chose.  But b</w:t>
      </w:r>
      <w:r>
        <w:t>y slapping a “motion” label on top</w:t>
      </w:r>
      <w:r w:rsidR="00FE76AE">
        <w:t xml:space="preserve">, it could therefore force </w:t>
      </w:r>
      <w:r>
        <w:t xml:space="preserve">DEO to respond to </w:t>
      </w:r>
      <w:r w:rsidR="003A4891">
        <w:rPr>
          <w:i/>
        </w:rPr>
        <w:t xml:space="preserve">two </w:t>
      </w:r>
      <w:r w:rsidR="003A4891">
        <w:t>pleadings, the motion and the brief,</w:t>
      </w:r>
      <w:r w:rsidR="00FE76AE">
        <w:t xml:space="preserve"> under a very short </w:t>
      </w:r>
      <w:r w:rsidR="003A4891">
        <w:t xml:space="preserve">briefing schedule.  This is simply unfair.  If the Commission does not deny Staff’s motion, it should grant DEO one week to file a response to the unauthorized surreply.  </w:t>
      </w:r>
    </w:p>
    <w:p w14:paraId="68D2D44A" w14:textId="77777777" w:rsidR="003A4891" w:rsidRDefault="00FE76AE" w:rsidP="003A4891">
      <w:pPr>
        <w:pStyle w:val="MemoHeading2"/>
      </w:pPr>
      <w:r>
        <w:t xml:space="preserve">A cursory reading of </w:t>
      </w:r>
      <w:r w:rsidR="003A4891">
        <w:t>Staff’s surreply</w:t>
      </w:r>
      <w:r>
        <w:t xml:space="preserve"> shows that it misstates the law applicable to estoppel</w:t>
      </w:r>
      <w:r w:rsidR="003A4891">
        <w:t>.</w:t>
      </w:r>
    </w:p>
    <w:p w14:paraId="7B27195C" w14:textId="77777777" w:rsidR="003A4891" w:rsidRDefault="003A4891" w:rsidP="00F718E2">
      <w:pPr>
        <w:pStyle w:val="MemoBodyText"/>
      </w:pPr>
      <w:r>
        <w:t xml:space="preserve">Under the time constraints Staff has placed upon it, DEO </w:t>
      </w:r>
      <w:r w:rsidR="00376A4C">
        <w:t>will</w:t>
      </w:r>
      <w:r>
        <w:t xml:space="preserve"> offer only a couple brief comments </w:t>
      </w:r>
      <w:r w:rsidR="00FE76AE">
        <w:t xml:space="preserve">to the legal arguments contained in </w:t>
      </w:r>
      <w:r>
        <w:t xml:space="preserve">Staff’s surreply.  </w:t>
      </w:r>
    </w:p>
    <w:p w14:paraId="2604CFA4" w14:textId="77777777" w:rsidR="009E187F" w:rsidRDefault="00FE76AE" w:rsidP="009E187F">
      <w:pPr>
        <w:pStyle w:val="MemoHeading3"/>
        <w:numPr>
          <w:ilvl w:val="0"/>
          <w:numId w:val="45"/>
        </w:numPr>
        <w:ind w:hanging="720"/>
      </w:pPr>
      <w:r>
        <w:t xml:space="preserve">Estoppel applies </w:t>
      </w:r>
      <w:r w:rsidR="008001FE">
        <w:t xml:space="preserve">to </w:t>
      </w:r>
      <w:r w:rsidR="00133B86">
        <w:t xml:space="preserve">all </w:t>
      </w:r>
      <w:r w:rsidR="008001FE">
        <w:t xml:space="preserve">issues </w:t>
      </w:r>
      <w:r w:rsidR="00133B86">
        <w:t xml:space="preserve">that were or could have been </w:t>
      </w:r>
      <w:r w:rsidR="008001FE">
        <w:t xml:space="preserve">resolved by </w:t>
      </w:r>
      <w:r>
        <w:t xml:space="preserve">the </w:t>
      </w:r>
      <w:r w:rsidR="008001FE">
        <w:t>09-1875</w:t>
      </w:r>
      <w:r>
        <w:t xml:space="preserve"> Order</w:t>
      </w:r>
      <w:r w:rsidR="008001FE">
        <w:t xml:space="preserve"> (and to all issues that were or could have been </w:t>
      </w:r>
      <w:r w:rsidR="00133B86">
        <w:t xml:space="preserve">resolved </w:t>
      </w:r>
      <w:r w:rsidR="008001FE">
        <w:t>in any case)</w:t>
      </w:r>
      <w:r>
        <w:t>.</w:t>
      </w:r>
    </w:p>
    <w:p w14:paraId="219E8BBD" w14:textId="77777777" w:rsidR="00C951C6" w:rsidRDefault="003A4891" w:rsidP="00F718E2">
      <w:pPr>
        <w:pStyle w:val="MemoBodyText"/>
      </w:pPr>
      <w:r>
        <w:t xml:space="preserve">Staff says that estoppel does not apply because the “meaning of the 2009 Order” has “never been litigated.”  (Staff Sur. at 3.)  </w:t>
      </w:r>
      <w:r w:rsidR="00FE76AE">
        <w:t>There are two major problems with this argument.</w:t>
      </w:r>
    </w:p>
    <w:p w14:paraId="5A639E3C" w14:textId="77777777" w:rsidR="003A4891" w:rsidRDefault="00C951C6" w:rsidP="00B36A45">
      <w:pPr>
        <w:pStyle w:val="MemoBodyText"/>
      </w:pPr>
      <w:r>
        <w:t>First, t</w:t>
      </w:r>
      <w:r w:rsidR="003A4891">
        <w:t xml:space="preserve">his </w:t>
      </w:r>
      <w:r w:rsidR="009E187F">
        <w:t>defense</w:t>
      </w:r>
      <w:r w:rsidR="003A4891">
        <w:t xml:space="preserve"> would completely swallow the </w:t>
      </w:r>
      <w:r w:rsidR="00FE76AE">
        <w:t xml:space="preserve">estoppel </w:t>
      </w:r>
      <w:r w:rsidR="009E187F">
        <w:t>doctrine</w:t>
      </w:r>
      <w:r w:rsidR="003A4891">
        <w:t xml:space="preserve">.  Any time </w:t>
      </w:r>
      <w:r w:rsidR="00635D0F">
        <w:t>one</w:t>
      </w:r>
      <w:r w:rsidR="003A4891">
        <w:t xml:space="preserve"> party claimed an issue had been previously settled by an order</w:t>
      </w:r>
      <w:r w:rsidR="00FE76AE">
        <w:t>, and was thus res judicata</w:t>
      </w:r>
      <w:r w:rsidR="003A4891">
        <w:t xml:space="preserve">, the </w:t>
      </w:r>
      <w:r w:rsidR="00635D0F">
        <w:t xml:space="preserve">other </w:t>
      </w:r>
      <w:r w:rsidR="003A4891">
        <w:t xml:space="preserve">party could always say, “Ah, but we have not litigated what </w:t>
      </w:r>
      <w:r w:rsidR="003A4891" w:rsidRPr="003A4891">
        <w:rPr>
          <w:i/>
        </w:rPr>
        <w:t xml:space="preserve">that </w:t>
      </w:r>
      <w:r w:rsidR="003A4891">
        <w:t xml:space="preserve">order meant,” and so on, </w:t>
      </w:r>
      <w:r w:rsidR="003A4891" w:rsidRPr="003A4891">
        <w:rPr>
          <w:i/>
        </w:rPr>
        <w:t>ad infinitum</w:t>
      </w:r>
      <w:r w:rsidR="00635D0F">
        <w:t xml:space="preserve">.  </w:t>
      </w:r>
      <w:r w:rsidR="00B36A45">
        <w:t xml:space="preserve">The idea that the “meaning of the order” is a separate issue for litigation misses the point.  </w:t>
      </w:r>
      <w:r w:rsidR="00016649">
        <w:t>I</w:t>
      </w:r>
      <w:r w:rsidR="00635D0F">
        <w:t>s additional litigation really necessary to establish that a phrase like “end of 2011” does not mean “August 2011”?   (</w:t>
      </w:r>
      <w:r w:rsidR="00635D0F">
        <w:rPr>
          <w:i/>
        </w:rPr>
        <w:t xml:space="preserve">Compare </w:t>
      </w:r>
      <w:r w:rsidR="00635D0F">
        <w:t xml:space="preserve">09-1875 </w:t>
      </w:r>
      <w:proofErr w:type="gramStart"/>
      <w:r w:rsidR="00635D0F">
        <w:t>Order</w:t>
      </w:r>
      <w:proofErr w:type="gramEnd"/>
      <w:r w:rsidR="00635D0F">
        <w:t xml:space="preserve"> 7 </w:t>
      </w:r>
      <w:r w:rsidR="00635D0F">
        <w:rPr>
          <w:i/>
        </w:rPr>
        <w:t xml:space="preserve">with </w:t>
      </w:r>
      <w:r w:rsidR="00635D0F">
        <w:t>Staff Init. Br. at 15.)  Or that the phrase “by the end of 2011, rerouting will be possible for nearly all of DEO’s communities” does not mean “</w:t>
      </w:r>
      <w:r w:rsidR="00016649">
        <w:t xml:space="preserve">fully rerouted remote readings </w:t>
      </w:r>
      <w:r w:rsidR="00635D0F">
        <w:t>by October</w:t>
      </w:r>
      <w:r w:rsidR="00016649">
        <w:t xml:space="preserve"> [2011]</w:t>
      </w:r>
      <w:r w:rsidR="00635D0F">
        <w:t>”?  (</w:t>
      </w:r>
      <w:r w:rsidR="00635D0F">
        <w:rPr>
          <w:i/>
        </w:rPr>
        <w:t xml:space="preserve">Compare </w:t>
      </w:r>
      <w:r w:rsidR="00635D0F">
        <w:t xml:space="preserve">09-1875 </w:t>
      </w:r>
      <w:proofErr w:type="gramStart"/>
      <w:r w:rsidR="00635D0F">
        <w:t>Order</w:t>
      </w:r>
      <w:proofErr w:type="gramEnd"/>
      <w:r w:rsidR="00635D0F">
        <w:t xml:space="preserve"> 7 </w:t>
      </w:r>
      <w:r w:rsidR="00635D0F">
        <w:rPr>
          <w:i/>
        </w:rPr>
        <w:t xml:space="preserve">with </w:t>
      </w:r>
      <w:r w:rsidR="009E187F">
        <w:t xml:space="preserve">Staff Init. Br. at 15 </w:t>
      </w:r>
      <w:r w:rsidR="009E187F">
        <w:rPr>
          <w:i/>
        </w:rPr>
        <w:t xml:space="preserve">and </w:t>
      </w:r>
      <w:r w:rsidR="00635D0F">
        <w:t>Adkins Dir. at</w:t>
      </w:r>
      <w:r>
        <w:t xml:space="preserve"> 19.)  </w:t>
      </w:r>
      <w:r w:rsidR="008001FE">
        <w:t>Further litigation will not change those plainly established dates.</w:t>
      </w:r>
    </w:p>
    <w:p w14:paraId="3ABA5610" w14:textId="77777777" w:rsidR="009E187F" w:rsidRDefault="009E187F" w:rsidP="00C951C6">
      <w:pPr>
        <w:pStyle w:val="MemoBodyText"/>
      </w:pPr>
      <w:r>
        <w:lastRenderedPageBreak/>
        <w:t xml:space="preserve">Moreover, whether the meaning of this language was </w:t>
      </w:r>
      <w:r w:rsidRPr="009E187F">
        <w:rPr>
          <w:i/>
        </w:rPr>
        <w:t xml:space="preserve">actually </w:t>
      </w:r>
      <w:r>
        <w:t xml:space="preserve">litigated, collateral estoppel still applies if it </w:t>
      </w:r>
      <w:r w:rsidRPr="009E187F">
        <w:rPr>
          <w:i/>
        </w:rPr>
        <w:t xml:space="preserve">could have </w:t>
      </w:r>
      <w:r>
        <w:t xml:space="preserve">been.  </w:t>
      </w:r>
      <w:r>
        <w:rPr>
          <w:i/>
        </w:rPr>
        <w:t>See</w:t>
      </w:r>
      <w:r w:rsidR="00C951C6">
        <w:rPr>
          <w:i/>
        </w:rPr>
        <w:t>, e.g.</w:t>
      </w:r>
      <w:r w:rsidR="00C951C6">
        <w:t>,</w:t>
      </w:r>
      <w:r>
        <w:rPr>
          <w:i/>
        </w:rPr>
        <w:t xml:space="preserve"> </w:t>
      </w:r>
      <w:r w:rsidR="00C951C6" w:rsidRPr="00C951C6">
        <w:rPr>
          <w:i/>
        </w:rPr>
        <w:t>State ex rel. Ohio Water Service Co. v. Mahoning Valley Sanitary Dist.</w:t>
      </w:r>
      <w:r w:rsidR="00C951C6" w:rsidRPr="00C951C6">
        <w:t xml:space="preserve">, 169 Ohio St. 31, 36 (1959) </w:t>
      </w:r>
      <w:r w:rsidR="00C951C6">
        <w:t xml:space="preserve">(“res judicata . . . is conclusive as to all matters . . . </w:t>
      </w:r>
      <w:r w:rsidR="00C951C6" w:rsidRPr="00C951C6">
        <w:t>that were or could have been raised</w:t>
      </w:r>
      <w:r w:rsidR="00C951C6">
        <w:t>”).  So i</w:t>
      </w:r>
      <w:r>
        <w:t>f Staff wan</w:t>
      </w:r>
      <w:r w:rsidR="008001FE">
        <w:t>ted an o</w:t>
      </w:r>
      <w:r>
        <w:t xml:space="preserve">rder </w:t>
      </w:r>
      <w:r w:rsidR="008001FE">
        <w:t>that included</w:t>
      </w:r>
      <w:r w:rsidR="00C951C6">
        <w:t xml:space="preserve"> the </w:t>
      </w:r>
      <w:r w:rsidR="008001FE">
        <w:t xml:space="preserve">conspicuously absent phrase </w:t>
      </w:r>
      <w:r>
        <w:t>“the end of 2011 at the very latest</w:t>
      </w:r>
      <w:r w:rsidR="00C951C6">
        <w:t>” (</w:t>
      </w:r>
      <w:r w:rsidR="00C951C6">
        <w:rPr>
          <w:i/>
        </w:rPr>
        <w:t xml:space="preserve">see </w:t>
      </w:r>
      <w:r w:rsidR="00C951C6">
        <w:t xml:space="preserve">Staff Sur. at 5), it should have filed a motion for clarification or application for rehearing and perhaps an appeal. </w:t>
      </w:r>
      <w:r w:rsidR="008001FE">
        <w:t xml:space="preserve"> It did not then, so it is too late </w:t>
      </w:r>
      <w:r w:rsidR="00B74681">
        <w:t xml:space="preserve">the change the language of the order </w:t>
      </w:r>
      <w:r w:rsidR="008001FE">
        <w:t xml:space="preserve">now. </w:t>
      </w:r>
    </w:p>
    <w:p w14:paraId="19847DBB" w14:textId="77777777" w:rsidR="00C951C6" w:rsidRPr="00C951C6" w:rsidRDefault="00C951C6" w:rsidP="00C951C6">
      <w:pPr>
        <w:pStyle w:val="MemoHeading3"/>
      </w:pPr>
      <w:r>
        <w:t xml:space="preserve">The entire purpose of estoppel is to put an end to </w:t>
      </w:r>
      <w:r w:rsidR="00376A4C">
        <w:t>otherwise endless litigation—</w:t>
      </w:r>
      <w:r>
        <w:t>it does not dissolve with the passage of time.</w:t>
      </w:r>
    </w:p>
    <w:p w14:paraId="0AD82137" w14:textId="77777777" w:rsidR="00C951C6" w:rsidRDefault="00016649" w:rsidP="00946B84">
      <w:pPr>
        <w:pStyle w:val="MemoBodyText"/>
      </w:pPr>
      <w:r>
        <w:t>Staff states that “[</w:t>
      </w:r>
      <w:proofErr w:type="gramStart"/>
      <w:r>
        <w:t>t]he</w:t>
      </w:r>
      <w:proofErr w:type="gramEnd"/>
      <w:r>
        <w:t xml:space="preserve"> passage of time bars any estoppel claim.”  (Staff Sur. at 3.)  </w:t>
      </w:r>
      <w:r w:rsidR="00946B84">
        <w:t xml:space="preserve">This </w:t>
      </w:r>
      <w:r w:rsidR="008001FE">
        <w:t xml:space="preserve">statement is </w:t>
      </w:r>
      <w:r w:rsidR="00946B84">
        <w:t xml:space="preserve">exactly opposite the </w:t>
      </w:r>
      <w:r w:rsidR="00376A4C">
        <w:t>law</w:t>
      </w:r>
      <w:r w:rsidR="00946B84">
        <w:t xml:space="preserve">.  </w:t>
      </w:r>
    </w:p>
    <w:p w14:paraId="207EE9E3" w14:textId="77777777" w:rsidR="00946B84" w:rsidRDefault="00FC0D4D" w:rsidP="00946B84">
      <w:pPr>
        <w:pStyle w:val="MemoBodyText"/>
      </w:pPr>
      <w:r>
        <w:t xml:space="preserve">Under the doctrine of collateral </w:t>
      </w:r>
      <w:r w:rsidR="00946B84">
        <w:t>estoppel</w:t>
      </w:r>
      <w:r>
        <w:t>,</w:t>
      </w:r>
      <w:r w:rsidR="00946B84">
        <w:t xml:space="preserve"> if </w:t>
      </w:r>
      <w:r w:rsidR="00C951C6">
        <w:t xml:space="preserve">a party does not raise </w:t>
      </w:r>
      <w:r>
        <w:t>an issue</w:t>
      </w:r>
      <w:r w:rsidR="00946B84">
        <w:t xml:space="preserve"> </w:t>
      </w:r>
      <w:r w:rsidR="00946B84" w:rsidRPr="00C951C6">
        <w:t>at the proper time</w:t>
      </w:r>
      <w:r w:rsidR="00C951C6">
        <w:t xml:space="preserve">, it will “be </w:t>
      </w:r>
      <w:r w:rsidR="00C951C6" w:rsidRPr="00C951C6">
        <w:rPr>
          <w:i/>
        </w:rPr>
        <w:t xml:space="preserve">forever </w:t>
      </w:r>
      <w:r w:rsidR="00C951C6">
        <w:t xml:space="preserve">barred from asserting it.”  </w:t>
      </w:r>
      <w:r w:rsidR="00C951C6" w:rsidRPr="00C951C6">
        <w:rPr>
          <w:i/>
        </w:rPr>
        <w:t>National Amusements v. Springdale</w:t>
      </w:r>
      <w:r w:rsidR="00C951C6">
        <w:t>,</w:t>
      </w:r>
      <w:r>
        <w:t xml:space="preserve"> 53 Ohio St.3d 60, 62 (1990) (emphasis added). </w:t>
      </w:r>
      <w:r w:rsidR="00376A4C">
        <w:t xml:space="preserve"> T</w:t>
      </w:r>
      <w:r w:rsidR="00B74681">
        <w:t>h</w:t>
      </w:r>
      <w:r>
        <w:t xml:space="preserve">e </w:t>
      </w:r>
      <w:r w:rsidR="00B74681">
        <w:t xml:space="preserve">entire </w:t>
      </w:r>
      <w:r w:rsidR="00946B84">
        <w:t xml:space="preserve">point </w:t>
      </w:r>
      <w:r>
        <w:t xml:space="preserve">of the doctrine </w:t>
      </w:r>
      <w:r w:rsidR="00946B84">
        <w:t xml:space="preserve">is </w:t>
      </w:r>
      <w:r>
        <w:t xml:space="preserve">to </w:t>
      </w:r>
      <w:r w:rsidR="00946B84">
        <w:t>“</w:t>
      </w:r>
      <w:proofErr w:type="gramStart"/>
      <w:r>
        <w:t>ensur[</w:t>
      </w:r>
      <w:proofErr w:type="gramEnd"/>
      <w:r>
        <w:t>e]</w:t>
      </w:r>
      <w:r w:rsidR="00946B84" w:rsidRPr="00946B84">
        <w:t xml:space="preserve"> repose</w:t>
      </w:r>
      <w:r w:rsidR="00946B84">
        <w:t>,”</w:t>
      </w:r>
      <w:r w:rsidR="00946B84" w:rsidRPr="00946B84">
        <w:t xml:space="preserve"> </w:t>
      </w:r>
      <w:r w:rsidR="00946B84" w:rsidRPr="00946B84">
        <w:rPr>
          <w:i/>
        </w:rPr>
        <w:t>Ramallo Bros. Printing, Inc. v. El Dia, Inc.</w:t>
      </w:r>
      <w:r w:rsidR="00946B84" w:rsidRPr="00946B84">
        <w:t>, 490 F.3d 86, 92 (1st Cir. 2007)</w:t>
      </w:r>
      <w:r w:rsidR="00946B84">
        <w:t>, and prevent</w:t>
      </w:r>
      <w:r w:rsidR="00256C69">
        <w:t xml:space="preserve"> the</w:t>
      </w:r>
      <w:r w:rsidR="00946B84">
        <w:t xml:space="preserve"> “</w:t>
      </w:r>
      <w:r w:rsidR="00946B84" w:rsidRPr="00137531">
        <w:t xml:space="preserve">drain </w:t>
      </w:r>
      <w:r w:rsidR="00256C69">
        <w:t>[on</w:t>
      </w:r>
      <w:r w:rsidR="00946B84">
        <w:t xml:space="preserve">] </w:t>
      </w:r>
      <w:r w:rsidR="00946B84" w:rsidRPr="00137531">
        <w:t xml:space="preserve">the resources of an adjudicatory system </w:t>
      </w:r>
      <w:r w:rsidR="008001FE">
        <w:t>[caused by]</w:t>
      </w:r>
      <w:r>
        <w:t xml:space="preserve"> disputes resisting resolution,</w:t>
      </w:r>
      <w:r w:rsidR="00946B84">
        <w:t xml:space="preserve">” </w:t>
      </w:r>
      <w:r w:rsidR="00946B84">
        <w:rPr>
          <w:bCs/>
          <w:i/>
        </w:rPr>
        <w:t>Astoria Fed. Savings</w:t>
      </w:r>
      <w:r w:rsidR="00946B84" w:rsidRPr="00137531">
        <w:rPr>
          <w:bCs/>
          <w:i/>
        </w:rPr>
        <w:t xml:space="preserve"> &amp; Loan As</w:t>
      </w:r>
      <w:r w:rsidR="00946B84">
        <w:rPr>
          <w:bCs/>
          <w:i/>
        </w:rPr>
        <w:t>s</w:t>
      </w:r>
      <w:r w:rsidR="00946B84" w:rsidRPr="00137531">
        <w:rPr>
          <w:bCs/>
          <w:i/>
        </w:rPr>
        <w:t>n</w:t>
      </w:r>
      <w:r w:rsidR="00946B84">
        <w:rPr>
          <w:bCs/>
          <w:i/>
        </w:rPr>
        <w:t>.</w:t>
      </w:r>
      <w:r w:rsidR="00946B84" w:rsidRPr="00137531">
        <w:rPr>
          <w:bCs/>
          <w:i/>
        </w:rPr>
        <w:t xml:space="preserve"> v. Solimino</w:t>
      </w:r>
      <w:r w:rsidR="00946B84" w:rsidRPr="00137531">
        <w:rPr>
          <w:bCs/>
        </w:rPr>
        <w:t>, 501 U.S. 104, 107</w:t>
      </w:r>
      <w:r w:rsidR="00946B84">
        <w:rPr>
          <w:bCs/>
        </w:rPr>
        <w:t>–</w:t>
      </w:r>
      <w:r w:rsidR="00946B84" w:rsidRPr="00137531">
        <w:rPr>
          <w:bCs/>
        </w:rPr>
        <w:t>08 (1991)</w:t>
      </w:r>
      <w:r w:rsidR="00946B84">
        <w:t>.</w:t>
      </w:r>
      <w:r>
        <w:t xml:space="preserve"> </w:t>
      </w:r>
      <w:r w:rsidR="00BF5D7B">
        <w:t xml:space="preserve"> </w:t>
      </w:r>
      <w:r w:rsidR="00946B84">
        <w:t xml:space="preserve">Saying </w:t>
      </w:r>
      <w:r w:rsidR="00256C69">
        <w:t xml:space="preserve">the passage of time is a bar to estoppel </w:t>
      </w:r>
      <w:r w:rsidR="00946B84">
        <w:t xml:space="preserve">is nonsensical; </w:t>
      </w:r>
      <w:r w:rsidR="00256C69">
        <w:t>if an issue is estopped, no amount of time can change that</w:t>
      </w:r>
      <w:r w:rsidR="00946B84">
        <w:t>.</w:t>
      </w:r>
      <w:r w:rsidR="00016649">
        <w:t xml:space="preserve"> </w:t>
      </w:r>
    </w:p>
    <w:p w14:paraId="3FDF7811" w14:textId="77777777" w:rsidR="00476F53" w:rsidRDefault="008001FE" w:rsidP="00476F53">
      <w:pPr>
        <w:pStyle w:val="MemoBodyText"/>
      </w:pPr>
      <w:r>
        <w:t xml:space="preserve">This black-letter law is very problematic for Staff because its </w:t>
      </w:r>
      <w:r w:rsidR="00BF5D7B">
        <w:t xml:space="preserve">position </w:t>
      </w:r>
      <w:r>
        <w:t xml:space="preserve">amounts to a denial </w:t>
      </w:r>
      <w:proofErr w:type="gramStart"/>
      <w:r w:rsidRPr="008001FE">
        <w:t xml:space="preserve">that </w:t>
      </w:r>
      <w:r>
        <w:t xml:space="preserve">previous </w:t>
      </w:r>
      <w:r w:rsidR="007C5614">
        <w:t>cases</w:t>
      </w:r>
      <w:proofErr w:type="gramEnd"/>
      <w:r w:rsidR="007C5614">
        <w:t xml:space="preserve"> </w:t>
      </w:r>
      <w:r>
        <w:t xml:space="preserve">settle </w:t>
      </w:r>
      <w:r>
        <w:rPr>
          <w:i/>
        </w:rPr>
        <w:t>anything</w:t>
      </w:r>
      <w:r w:rsidR="00256C69">
        <w:t xml:space="preserve">.  Staff </w:t>
      </w:r>
      <w:r w:rsidR="00016649">
        <w:t>recognizes that “there is an AMR filing every year” (</w:t>
      </w:r>
      <w:r w:rsidR="00016649">
        <w:rPr>
          <w:i/>
        </w:rPr>
        <w:t>id</w:t>
      </w:r>
      <w:r w:rsidR="00016649">
        <w:t xml:space="preserve">.), </w:t>
      </w:r>
      <w:r w:rsidR="00B74681">
        <w:t xml:space="preserve">but </w:t>
      </w:r>
      <w:r>
        <w:t xml:space="preserve">it </w:t>
      </w:r>
      <w:r w:rsidR="00BB382B">
        <w:t xml:space="preserve">apparently </w:t>
      </w:r>
      <w:r w:rsidR="00946B84">
        <w:t>believe</w:t>
      </w:r>
      <w:r w:rsidR="00BB382B">
        <w:t>s</w:t>
      </w:r>
      <w:r w:rsidR="00946B84">
        <w:t xml:space="preserve"> </w:t>
      </w:r>
      <w:r w:rsidR="00B74681">
        <w:t xml:space="preserve">that </w:t>
      </w:r>
      <w:r w:rsidR="00946B84">
        <w:t xml:space="preserve">it </w:t>
      </w:r>
      <w:r w:rsidR="00016649">
        <w:t xml:space="preserve">can simply </w:t>
      </w:r>
      <w:r w:rsidR="00946B84">
        <w:t xml:space="preserve">sign stipulations </w:t>
      </w:r>
      <w:r w:rsidR="00B74681">
        <w:t xml:space="preserve">resolving </w:t>
      </w:r>
      <w:r w:rsidR="00946B84">
        <w:t xml:space="preserve">each </w:t>
      </w:r>
      <w:r w:rsidR="00B74681">
        <w:t xml:space="preserve">filing </w:t>
      </w:r>
      <w:r>
        <w:t xml:space="preserve">without losing </w:t>
      </w:r>
      <w:r w:rsidRPr="007C5614">
        <w:rPr>
          <w:i/>
        </w:rPr>
        <w:t>any</w:t>
      </w:r>
      <w:r>
        <w:t xml:space="preserve"> right to </w:t>
      </w:r>
      <w:r w:rsidR="00256C69">
        <w:t>raise issues</w:t>
      </w:r>
      <w:r>
        <w:t xml:space="preserve"> later.  DEO is not exaggerating Staff</w:t>
      </w:r>
      <w:r w:rsidR="00853CB1">
        <w:t>’s</w:t>
      </w:r>
      <w:r>
        <w:t xml:space="preserve"> position—in its own words, “s</w:t>
      </w:r>
      <w:r w:rsidR="00016649">
        <w:t xml:space="preserve">imply because Staff </w:t>
      </w:r>
      <w:r w:rsidR="00016649" w:rsidRPr="00016649">
        <w:rPr>
          <w:i/>
        </w:rPr>
        <w:t xml:space="preserve">did not scrutinize and criticize </w:t>
      </w:r>
      <w:r w:rsidR="00016649">
        <w:t xml:space="preserve">every aspect of DEO’s pace of </w:t>
      </w:r>
      <w:r w:rsidR="00016649">
        <w:lastRenderedPageBreak/>
        <w:t>deployment in previous years does not mean Staff is forever barred from pointing out DEO’s failure to timely complete the program.”  (</w:t>
      </w:r>
      <w:r w:rsidR="00016649">
        <w:rPr>
          <w:i/>
        </w:rPr>
        <w:t>Id</w:t>
      </w:r>
      <w:r w:rsidR="00016649">
        <w:t xml:space="preserve">. (emphasis added).) </w:t>
      </w:r>
      <w:r w:rsidR="00BB382B">
        <w:t xml:space="preserve"> </w:t>
      </w:r>
      <w:r w:rsidR="00016649">
        <w:t>What was the point of those proceedings then</w:t>
      </w:r>
      <w:r w:rsidR="00256C69">
        <w:t>, or the stipulations or orders they produced</w:t>
      </w:r>
      <w:r w:rsidR="00BB382B">
        <w:t xml:space="preserve">? </w:t>
      </w:r>
      <w:r w:rsidR="00FC0D4D">
        <w:t xml:space="preserve"> </w:t>
      </w:r>
      <w:r w:rsidR="00066C40">
        <w:t>Which</w:t>
      </w:r>
      <w:r>
        <w:t xml:space="preserve"> “aspects” </w:t>
      </w:r>
      <w:r w:rsidR="00B74681">
        <w:t xml:space="preserve">of those cases from “previous years” </w:t>
      </w:r>
      <w:r>
        <w:t xml:space="preserve">was </w:t>
      </w:r>
      <w:r w:rsidR="007C5614">
        <w:t>Staff barred from relitigating, and which remained open?</w:t>
      </w:r>
      <w:r w:rsidR="00476F53">
        <w:t xml:space="preserve">  </w:t>
      </w:r>
      <w:r w:rsidR="001B0CB0">
        <w:t>DEO should not be penalized for Staff’s failure to scrutinize and timely raise issues with its AMR program.</w:t>
      </w:r>
    </w:p>
    <w:p w14:paraId="7B0DEC67" w14:textId="77777777" w:rsidR="00BF5D7B" w:rsidRDefault="00BF5D7B" w:rsidP="00F718E2">
      <w:pPr>
        <w:pStyle w:val="MemoBodyText"/>
      </w:pPr>
      <w:r>
        <w:t xml:space="preserve">Staff asserts that allowing DEO to rely on issues settled in prior </w:t>
      </w:r>
      <w:proofErr w:type="gramStart"/>
      <w:r>
        <w:t>orders</w:t>
      </w:r>
      <w:proofErr w:type="gramEnd"/>
      <w:r>
        <w:t xml:space="preserve"> “would defeat the purpose of Staff’s yearly investigation.”  (</w:t>
      </w:r>
      <w:r>
        <w:rPr>
          <w:i/>
        </w:rPr>
        <w:t>Id</w:t>
      </w:r>
      <w:r>
        <w:t xml:space="preserve">.)  DEO is not sure what “purpose” Staff means to imply.  </w:t>
      </w:r>
      <w:r w:rsidR="007C5614">
        <w:t xml:space="preserve">One would think the purpose of </w:t>
      </w:r>
      <w:r w:rsidR="000B34C9">
        <w:t xml:space="preserve">a “yearly investigation” </w:t>
      </w:r>
      <w:r w:rsidR="007C5614">
        <w:t xml:space="preserve">in this context would be to identify </w:t>
      </w:r>
      <w:r>
        <w:t>issues per</w:t>
      </w:r>
      <w:r w:rsidR="000B34C9">
        <w:t xml:space="preserve">taining to the </w:t>
      </w:r>
      <w:r w:rsidR="007C5614">
        <w:t xml:space="preserve">program </w:t>
      </w:r>
      <w:r w:rsidR="000B34C9">
        <w:t>year under review (</w:t>
      </w:r>
      <w:r w:rsidR="000B34C9" w:rsidRPr="000B34C9">
        <w:rPr>
          <w:i/>
        </w:rPr>
        <w:t>e.g.</w:t>
      </w:r>
      <w:r w:rsidR="000B34C9">
        <w:t xml:space="preserve">, </w:t>
      </w:r>
      <w:r w:rsidR="007C5614">
        <w:t>if DEO filed an AMR plan in 2010, scrutinize</w:t>
      </w:r>
      <w:r w:rsidR="000B34C9">
        <w:t xml:space="preserve"> </w:t>
      </w:r>
      <w:r w:rsidR="007C5614">
        <w:t>that plan; if DEO “slowed down” deployment in violation of an order in 2010, raise that issue</w:t>
      </w:r>
      <w:r w:rsidR="000B34C9">
        <w:t>)</w:t>
      </w:r>
      <w:r>
        <w:t xml:space="preserve">.  But apparently there </w:t>
      </w:r>
      <w:r w:rsidR="007C5614">
        <w:t xml:space="preserve">was </w:t>
      </w:r>
      <w:r>
        <w:t>another purpose</w:t>
      </w:r>
      <w:r w:rsidR="007C5614">
        <w:t>—ambushing DEO</w:t>
      </w:r>
      <w:proofErr w:type="gramStart"/>
      <w:r w:rsidR="007C5614">
        <w:t>?—</w:t>
      </w:r>
      <w:proofErr w:type="gramEnd"/>
      <w:r w:rsidR="007C5614">
        <w:t xml:space="preserve">and </w:t>
      </w:r>
      <w:r w:rsidR="000B34C9">
        <w:t xml:space="preserve">one </w:t>
      </w:r>
      <w:r w:rsidR="007C5614">
        <w:t xml:space="preserve">that would be </w:t>
      </w:r>
      <w:r w:rsidR="000B34C9">
        <w:t xml:space="preserve">foiled </w:t>
      </w:r>
      <w:r w:rsidR="008B4135">
        <w:t xml:space="preserve">if </w:t>
      </w:r>
      <w:r w:rsidR="007C5614">
        <w:t xml:space="preserve">DEO’s </w:t>
      </w:r>
      <w:r w:rsidR="000B34C9">
        <w:t>reliance interests</w:t>
      </w:r>
      <w:r w:rsidR="008B4135">
        <w:t xml:space="preserve"> are respected</w:t>
      </w:r>
      <w:r w:rsidR="000B34C9">
        <w:t xml:space="preserve">.  </w:t>
      </w:r>
    </w:p>
    <w:p w14:paraId="60332F84" w14:textId="77777777" w:rsidR="00016649" w:rsidRDefault="007C5614" w:rsidP="00F718E2">
      <w:pPr>
        <w:pStyle w:val="MemoBodyText"/>
      </w:pPr>
      <w:r>
        <w:t xml:space="preserve">The fact that Staff must openly contend </w:t>
      </w:r>
      <w:r w:rsidR="00B91DF8">
        <w:t>a legal implausibility—</w:t>
      </w:r>
      <w:r>
        <w:t xml:space="preserve">that Commission orders </w:t>
      </w:r>
      <w:r w:rsidR="00B91DF8">
        <w:t xml:space="preserve">do not settle anything—is telling.  </w:t>
      </w:r>
      <w:r w:rsidR="008B4135">
        <w:t xml:space="preserve">Staff might have a point were </w:t>
      </w:r>
      <w:r w:rsidR="00256C69">
        <w:t xml:space="preserve">DEO </w:t>
      </w:r>
      <w:r w:rsidR="008B4135">
        <w:t xml:space="preserve">suggesting </w:t>
      </w:r>
      <w:r w:rsidR="00B91DF8">
        <w:t xml:space="preserve">that Staff </w:t>
      </w:r>
      <w:r w:rsidR="00256C69">
        <w:t>should have raised 2011 issues in a</w:t>
      </w:r>
      <w:r w:rsidR="009E187F">
        <w:t xml:space="preserve">n </w:t>
      </w:r>
      <w:r w:rsidR="009E187F" w:rsidRPr="008B4135">
        <w:rPr>
          <w:i/>
        </w:rPr>
        <w:t xml:space="preserve">earlier </w:t>
      </w:r>
      <w:r w:rsidR="00256C69">
        <w:t>proceeding—that would have been impossible</w:t>
      </w:r>
      <w:r w:rsidR="008B4135">
        <w:t xml:space="preserve"> and unfair to expect</w:t>
      </w:r>
      <w:r w:rsidR="00256C69">
        <w:t xml:space="preserve">.  But Staff cannot do the inverse, either: </w:t>
      </w:r>
      <w:proofErr w:type="gramStart"/>
      <w:r w:rsidR="00256C69">
        <w:t>raising</w:t>
      </w:r>
      <w:proofErr w:type="gramEnd"/>
      <w:r w:rsidR="00256C69">
        <w:t xml:space="preserve"> issues </w:t>
      </w:r>
      <w:r w:rsidR="00B91DF8">
        <w:t>in this case that it settled in prior cases</w:t>
      </w:r>
      <w:r w:rsidR="008B4135">
        <w:t>.  That is equally unfair.  DEO has already explained this in detail in its previous briefing.  Despite one more, ill-gotten bite at the apple, Staff has provided no legal basis for adopting its patently unfair recommendation.</w:t>
      </w:r>
    </w:p>
    <w:p w14:paraId="26B2BDC9" w14:textId="77777777" w:rsidR="00B91DF8" w:rsidRDefault="00B91DF8" w:rsidP="00B91DF8">
      <w:pPr>
        <w:pStyle w:val="MemoHeading1"/>
      </w:pPr>
      <w:r>
        <w:t>Conclusion</w:t>
      </w:r>
    </w:p>
    <w:p w14:paraId="322791E6" w14:textId="77777777" w:rsidR="008B4135" w:rsidRDefault="00B91DF8" w:rsidP="00B91DF8">
      <w:pPr>
        <w:pStyle w:val="MemoBodyText"/>
      </w:pPr>
      <w:r>
        <w:t xml:space="preserve">Staff has offered no basis for striking responsive arguments from DEO’s reply brief </w:t>
      </w:r>
      <w:proofErr w:type="gramStart"/>
      <w:r>
        <w:t>nor</w:t>
      </w:r>
      <w:proofErr w:type="gramEnd"/>
      <w:r>
        <w:t xml:space="preserve"> for allowing a surreply to those arguments. </w:t>
      </w:r>
      <w:r w:rsidR="00B74681">
        <w:t xml:space="preserve"> Its motion should be denied.</w:t>
      </w:r>
    </w:p>
    <w:p w14:paraId="33150224" w14:textId="77777777" w:rsidR="005302F6" w:rsidRPr="0032154A" w:rsidRDefault="005302F6" w:rsidP="005302F6">
      <w:pPr>
        <w:tabs>
          <w:tab w:val="left" w:pos="5040"/>
        </w:tabs>
        <w:rPr>
          <w:rFonts w:ascii="Times New Roman" w:hAnsi="Times New Roman" w:cs="Times New Roman"/>
        </w:rPr>
      </w:pPr>
      <w:r>
        <w:rPr>
          <w:rFonts w:ascii="Times New Roman" w:hAnsi="Times New Roman" w:cs="Times New Roman"/>
        </w:rPr>
        <w:lastRenderedPageBreak/>
        <w:t xml:space="preserve">Dated:  June </w:t>
      </w:r>
      <w:r w:rsidR="00B91DF8">
        <w:rPr>
          <w:rFonts w:ascii="Times New Roman" w:hAnsi="Times New Roman" w:cs="Times New Roman"/>
        </w:rPr>
        <w:t>29</w:t>
      </w:r>
      <w:r>
        <w:rPr>
          <w:rFonts w:ascii="Times New Roman" w:hAnsi="Times New Roman" w:cs="Times New Roman"/>
        </w:rPr>
        <w:t>,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47FFF3E6" w14:textId="77777777" w:rsidR="005302F6" w:rsidRPr="0032154A" w:rsidRDefault="005302F6" w:rsidP="005302F6">
      <w:pPr>
        <w:ind w:left="5040"/>
        <w:rPr>
          <w:rFonts w:ascii="Times New Roman" w:hAnsi="Times New Roman" w:cs="Times New Roman"/>
        </w:rPr>
      </w:pPr>
    </w:p>
    <w:p w14:paraId="413C89B5" w14:textId="77777777" w:rsidR="005302F6" w:rsidRPr="0032154A" w:rsidRDefault="005302F6" w:rsidP="005302F6">
      <w:pPr>
        <w:ind w:left="5040"/>
        <w:rPr>
          <w:rFonts w:ascii="Times New Roman" w:hAnsi="Times New Roman" w:cs="Times New Roman"/>
        </w:rPr>
      </w:pPr>
      <w:r>
        <w:rPr>
          <w:rFonts w:ascii="Times New Roman" w:hAnsi="Times New Roman" w:cs="Times New Roman"/>
          <w:u w:val="single"/>
        </w:rPr>
        <w:t>/s/ Mark A. Whitt</w:t>
      </w:r>
      <w:r>
        <w:rPr>
          <w:rFonts w:ascii="Times New Roman" w:hAnsi="Times New Roman" w:cs="Times New Roman"/>
          <w:u w:val="single"/>
        </w:rPr>
        <w:tab/>
      </w:r>
      <w:r w:rsidRPr="0032154A">
        <w:rPr>
          <w:rFonts w:ascii="Times New Roman" w:hAnsi="Times New Roman" w:cs="Times New Roman"/>
          <w:u w:val="single"/>
        </w:rPr>
        <w:tab/>
      </w:r>
      <w:r w:rsidRPr="0032154A">
        <w:rPr>
          <w:rFonts w:ascii="Times New Roman" w:hAnsi="Times New Roman" w:cs="Times New Roman"/>
          <w:u w:val="single"/>
        </w:rPr>
        <w:tab/>
      </w:r>
      <w:r w:rsidRPr="0032154A">
        <w:rPr>
          <w:rFonts w:ascii="Times New Roman" w:hAnsi="Times New Roman" w:cs="Times New Roman"/>
          <w:u w:val="single"/>
        </w:rPr>
        <w:tab/>
      </w:r>
    </w:p>
    <w:p w14:paraId="4A7BC5B6" w14:textId="77777777" w:rsidR="005302F6" w:rsidRDefault="005302F6" w:rsidP="005302F6">
      <w:pPr>
        <w:ind w:left="5040"/>
        <w:rPr>
          <w:rFonts w:ascii="Times New Roman" w:hAnsi="Times New Roman" w:cs="Times New Roman"/>
        </w:rPr>
      </w:pPr>
      <w:r>
        <w:rPr>
          <w:rFonts w:ascii="Times New Roman" w:hAnsi="Times New Roman" w:cs="Times New Roman"/>
        </w:rPr>
        <w:t>Mark A. Whitt (Counsel of Record)</w:t>
      </w:r>
    </w:p>
    <w:p w14:paraId="095CB29C" w14:textId="77777777" w:rsidR="005302F6" w:rsidRDefault="005302F6" w:rsidP="005302F6">
      <w:pPr>
        <w:ind w:left="5040"/>
        <w:rPr>
          <w:rFonts w:ascii="Times New Roman" w:hAnsi="Times New Roman" w:cs="Times New Roman"/>
        </w:rPr>
      </w:pPr>
      <w:r>
        <w:rPr>
          <w:rFonts w:ascii="Times New Roman" w:hAnsi="Times New Roman" w:cs="Times New Roman"/>
        </w:rPr>
        <w:t>Andrew J. Campbell</w:t>
      </w:r>
    </w:p>
    <w:p w14:paraId="443CB5D5" w14:textId="77777777" w:rsidR="005302F6" w:rsidRDefault="005302F6" w:rsidP="005302F6">
      <w:pPr>
        <w:ind w:left="5040"/>
        <w:rPr>
          <w:rFonts w:ascii="Times New Roman" w:hAnsi="Times New Roman" w:cs="Times New Roman"/>
        </w:rPr>
      </w:pPr>
      <w:r>
        <w:rPr>
          <w:rFonts w:ascii="Times New Roman" w:hAnsi="Times New Roman" w:cs="Times New Roman"/>
        </w:rPr>
        <w:t>Melissa L. Thompson</w:t>
      </w:r>
    </w:p>
    <w:p w14:paraId="681877D4" w14:textId="77777777" w:rsidR="005302F6" w:rsidRDefault="005302F6" w:rsidP="005302F6">
      <w:pPr>
        <w:ind w:left="5040"/>
        <w:rPr>
          <w:rFonts w:ascii="Times New Roman" w:hAnsi="Times New Roman" w:cs="Times New Roman"/>
        </w:rPr>
      </w:pPr>
      <w:r>
        <w:rPr>
          <w:rFonts w:ascii="Times New Roman" w:hAnsi="Times New Roman" w:cs="Times New Roman"/>
        </w:rPr>
        <w:t>WHITT STURTEVANT LLP</w:t>
      </w:r>
    </w:p>
    <w:p w14:paraId="0DB9FCD9" w14:textId="77777777" w:rsidR="005302F6" w:rsidRDefault="005302F6" w:rsidP="005302F6">
      <w:pPr>
        <w:ind w:left="5040"/>
        <w:rPr>
          <w:rFonts w:ascii="Times New Roman" w:hAnsi="Times New Roman" w:cs="Times New Roman"/>
        </w:rPr>
      </w:pPr>
      <w:r>
        <w:rPr>
          <w:rFonts w:ascii="Times New Roman" w:hAnsi="Times New Roman" w:cs="Times New Roman"/>
        </w:rPr>
        <w:t>PNC Plaza, Suite 2020</w:t>
      </w:r>
    </w:p>
    <w:p w14:paraId="3325DBD6" w14:textId="77777777" w:rsidR="005302F6" w:rsidRDefault="005302F6" w:rsidP="005302F6">
      <w:pPr>
        <w:ind w:left="5040"/>
        <w:rPr>
          <w:rFonts w:ascii="Times New Roman" w:hAnsi="Times New Roman" w:cs="Times New Roman"/>
        </w:rPr>
      </w:pPr>
      <w:r>
        <w:rPr>
          <w:rFonts w:ascii="Times New Roman" w:hAnsi="Times New Roman" w:cs="Times New Roman"/>
        </w:rPr>
        <w:t>155 East Broad Street</w:t>
      </w:r>
    </w:p>
    <w:p w14:paraId="4E6F73C3" w14:textId="77777777" w:rsidR="005302F6" w:rsidRDefault="005302F6" w:rsidP="005302F6">
      <w:pPr>
        <w:ind w:left="5040"/>
        <w:rPr>
          <w:rFonts w:ascii="Times New Roman" w:hAnsi="Times New Roman" w:cs="Times New Roman"/>
        </w:rPr>
      </w:pPr>
      <w:r>
        <w:rPr>
          <w:rFonts w:ascii="Times New Roman" w:hAnsi="Times New Roman" w:cs="Times New Roman"/>
        </w:rPr>
        <w:t>Columbus, Ohio 43215</w:t>
      </w:r>
    </w:p>
    <w:p w14:paraId="24B8E392" w14:textId="77777777" w:rsidR="005302F6" w:rsidRDefault="005302F6" w:rsidP="005302F6">
      <w:pPr>
        <w:ind w:left="5040"/>
        <w:rPr>
          <w:rFonts w:ascii="Times New Roman" w:hAnsi="Times New Roman" w:cs="Times New Roman"/>
        </w:rPr>
      </w:pPr>
      <w:r>
        <w:rPr>
          <w:rFonts w:ascii="Times New Roman" w:hAnsi="Times New Roman" w:cs="Times New Roman"/>
        </w:rPr>
        <w:t>Telephone: (614) 224-3911</w:t>
      </w:r>
    </w:p>
    <w:p w14:paraId="63FF28CF" w14:textId="77777777" w:rsidR="005302F6" w:rsidRDefault="005302F6" w:rsidP="005302F6">
      <w:pPr>
        <w:ind w:left="5040"/>
        <w:rPr>
          <w:rFonts w:ascii="Times New Roman" w:hAnsi="Times New Roman" w:cs="Times New Roman"/>
        </w:rPr>
      </w:pPr>
      <w:r>
        <w:rPr>
          <w:rFonts w:ascii="Times New Roman" w:hAnsi="Times New Roman" w:cs="Times New Roman"/>
        </w:rPr>
        <w:t>Facsimile:  (614) 224-3960</w:t>
      </w:r>
    </w:p>
    <w:p w14:paraId="4ECD860F" w14:textId="77777777" w:rsidR="005302F6" w:rsidRDefault="005302F6" w:rsidP="005302F6">
      <w:pPr>
        <w:ind w:left="5040"/>
        <w:rPr>
          <w:rFonts w:ascii="Times New Roman" w:hAnsi="Times New Roman" w:cs="Times New Roman"/>
        </w:rPr>
      </w:pPr>
      <w:r>
        <w:rPr>
          <w:rFonts w:ascii="Times New Roman" w:hAnsi="Times New Roman" w:cs="Times New Roman"/>
        </w:rPr>
        <w:t>whitt@whitt-sturtevant.com</w:t>
      </w:r>
    </w:p>
    <w:p w14:paraId="3D9CC6C4" w14:textId="77777777" w:rsidR="005302F6" w:rsidRDefault="005302F6" w:rsidP="005302F6">
      <w:pPr>
        <w:ind w:left="5040"/>
        <w:rPr>
          <w:rFonts w:ascii="Times New Roman" w:hAnsi="Times New Roman" w:cs="Times New Roman"/>
        </w:rPr>
      </w:pPr>
      <w:r>
        <w:rPr>
          <w:rFonts w:ascii="Times New Roman" w:hAnsi="Times New Roman" w:cs="Times New Roman"/>
        </w:rPr>
        <w:t>campbell@whitt-sturtevant.com</w:t>
      </w:r>
    </w:p>
    <w:p w14:paraId="42821476" w14:textId="77777777" w:rsidR="005302F6" w:rsidRDefault="005302F6" w:rsidP="005302F6">
      <w:pPr>
        <w:ind w:left="5040"/>
        <w:rPr>
          <w:rFonts w:ascii="Times New Roman" w:hAnsi="Times New Roman" w:cs="Times New Roman"/>
        </w:rPr>
      </w:pPr>
      <w:r w:rsidRPr="003B3320">
        <w:rPr>
          <w:rFonts w:ascii="Times New Roman" w:hAnsi="Times New Roman" w:cs="Times New Roman"/>
        </w:rPr>
        <w:t>thompson@whitt-sturtevant.com</w:t>
      </w:r>
    </w:p>
    <w:p w14:paraId="1357C2BE" w14:textId="77777777" w:rsidR="005302F6" w:rsidRDefault="005302F6" w:rsidP="005302F6">
      <w:pPr>
        <w:ind w:left="5040"/>
        <w:rPr>
          <w:rFonts w:ascii="Times New Roman" w:hAnsi="Times New Roman" w:cs="Times New Roman"/>
        </w:rPr>
      </w:pPr>
    </w:p>
    <w:p w14:paraId="28D6BEA1" w14:textId="77777777" w:rsidR="005302F6" w:rsidRDefault="005302F6" w:rsidP="005302F6">
      <w:pPr>
        <w:ind w:left="5040"/>
        <w:rPr>
          <w:rFonts w:ascii="Times New Roman" w:hAnsi="Times New Roman" w:cs="Times New Roman"/>
        </w:rPr>
      </w:pPr>
      <w:r>
        <w:rPr>
          <w:rFonts w:ascii="Times New Roman" w:hAnsi="Times New Roman" w:cs="Times New Roman"/>
        </w:rPr>
        <w:t>ATTORNEYS FOR THE EAST OHIO GAS COMPANY D/B/A DOMINION EAST OHIO</w:t>
      </w:r>
    </w:p>
    <w:p w14:paraId="515BE487" w14:textId="77777777" w:rsidR="005302F6" w:rsidRDefault="005302F6" w:rsidP="005302F6">
      <w:pPr>
        <w:pStyle w:val="MemoBodyText"/>
        <w:sectPr w:rsidR="005302F6" w:rsidSect="00867C3B">
          <w:footerReference w:type="default" r:id="rId9"/>
          <w:footerReference w:type="first" r:id="rId10"/>
          <w:pgSz w:w="12240" w:h="15840"/>
          <w:pgMar w:top="1440" w:right="1440" w:bottom="1440" w:left="1440" w:header="720" w:footer="720" w:gutter="0"/>
          <w:pgNumType w:start="1"/>
          <w:cols w:space="720"/>
          <w:docGrid w:linePitch="360"/>
        </w:sectPr>
      </w:pPr>
    </w:p>
    <w:p w14:paraId="4D5AF82B" w14:textId="77777777" w:rsidR="005302F6" w:rsidRPr="001F7C5C" w:rsidRDefault="005302F6" w:rsidP="005302F6">
      <w:pPr>
        <w:spacing w:line="480" w:lineRule="auto"/>
        <w:ind w:left="720" w:hanging="720"/>
        <w:jc w:val="center"/>
        <w:rPr>
          <w:rFonts w:ascii="Times New Roman" w:hAnsi="Times New Roman" w:cs="Times New Roman"/>
        </w:rPr>
      </w:pPr>
      <w:r w:rsidRPr="001F7C5C">
        <w:rPr>
          <w:rFonts w:ascii="Times New Roman" w:hAnsi="Times New Roman" w:cs="Times New Roman"/>
          <w:b/>
          <w:u w:val="single"/>
        </w:rPr>
        <w:lastRenderedPageBreak/>
        <w:t>CERTIFICATE OF SERVICE</w:t>
      </w:r>
    </w:p>
    <w:p w14:paraId="35EF5D64" w14:textId="77777777" w:rsidR="005302F6" w:rsidRPr="001F7C5C" w:rsidRDefault="005302F6" w:rsidP="005302F6">
      <w:pPr>
        <w:spacing w:line="480" w:lineRule="auto"/>
        <w:rPr>
          <w:rFonts w:ascii="Times New Roman" w:hAnsi="Times New Roman" w:cs="Times New Roman"/>
        </w:rPr>
      </w:pPr>
      <w:r w:rsidRPr="001F7C5C">
        <w:rPr>
          <w:rFonts w:ascii="Times New Roman" w:hAnsi="Times New Roman" w:cs="Times New Roman"/>
        </w:rPr>
        <w:tab/>
        <w:t xml:space="preserve">I hereby certify that a copy of </w:t>
      </w:r>
      <w:r>
        <w:rPr>
          <w:rFonts w:ascii="Times New Roman" w:hAnsi="Times New Roman" w:cs="Times New Roman"/>
        </w:rPr>
        <w:t xml:space="preserve">DEO’s </w:t>
      </w:r>
      <w:r w:rsidR="00BE6F3D">
        <w:rPr>
          <w:rFonts w:ascii="Times New Roman" w:hAnsi="Times New Roman" w:cs="Times New Roman"/>
        </w:rPr>
        <w:t>Memorandum Contra Motion for Leave to File Surreply</w:t>
      </w:r>
      <w:r>
        <w:rPr>
          <w:rFonts w:ascii="Times New Roman" w:hAnsi="Times New Roman" w:cs="Times New Roman"/>
        </w:rPr>
        <w:t xml:space="preserve"> </w:t>
      </w:r>
      <w:r w:rsidRPr="001F7C5C">
        <w:rPr>
          <w:rFonts w:ascii="Times New Roman" w:hAnsi="Times New Roman" w:cs="Times New Roman"/>
        </w:rPr>
        <w:t xml:space="preserve">was served by electronic mail to the following persons on this </w:t>
      </w:r>
      <w:r w:rsidR="00B91DF8">
        <w:rPr>
          <w:rFonts w:ascii="Times New Roman" w:hAnsi="Times New Roman" w:cs="Times New Roman"/>
        </w:rPr>
        <w:t>29th</w:t>
      </w:r>
      <w:r w:rsidR="00BE6F3D">
        <w:rPr>
          <w:rFonts w:ascii="Times New Roman" w:hAnsi="Times New Roman" w:cs="Times New Roman"/>
        </w:rPr>
        <w:t xml:space="preserve"> </w:t>
      </w:r>
      <w:r w:rsidRPr="001F7C5C">
        <w:rPr>
          <w:rFonts w:ascii="Times New Roman" w:hAnsi="Times New Roman" w:cs="Times New Roman"/>
        </w:rPr>
        <w:t xml:space="preserve">day of </w:t>
      </w:r>
      <w:proofErr w:type="gramStart"/>
      <w:r>
        <w:rPr>
          <w:rFonts w:ascii="Times New Roman" w:hAnsi="Times New Roman" w:cs="Times New Roman"/>
        </w:rPr>
        <w:t>June</w:t>
      </w:r>
      <w:r w:rsidRPr="001F7C5C">
        <w:rPr>
          <w:rFonts w:ascii="Times New Roman" w:hAnsi="Times New Roman" w:cs="Times New Roman"/>
        </w:rPr>
        <w:t>,</w:t>
      </w:r>
      <w:proofErr w:type="gramEnd"/>
      <w:r w:rsidRPr="001F7C5C">
        <w:rPr>
          <w:rFonts w:ascii="Times New Roman" w:hAnsi="Times New Roman" w:cs="Times New Roman"/>
        </w:rPr>
        <w:t xml:space="preserve"> 2012:</w:t>
      </w:r>
    </w:p>
    <w:p w14:paraId="3ADEA204"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Devin D. Parram</w:t>
      </w:r>
    </w:p>
    <w:p w14:paraId="09FA4162"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Assistant Attorney General</w:t>
      </w:r>
    </w:p>
    <w:p w14:paraId="60AAFC7B"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Public Utilities Section</w:t>
      </w:r>
    </w:p>
    <w:p w14:paraId="1AA4D726"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180 East Broad Street, 6th Floor</w:t>
      </w:r>
    </w:p>
    <w:p w14:paraId="40DE85D3"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Columbus, Ohio 43215</w:t>
      </w:r>
    </w:p>
    <w:p w14:paraId="33C0D242" w14:textId="77777777" w:rsidR="005302F6" w:rsidRPr="001F7C5C" w:rsidRDefault="005302F6" w:rsidP="005302F6">
      <w:pPr>
        <w:rPr>
          <w:rFonts w:ascii="Times New Roman" w:hAnsi="Times New Roman" w:cs="Times New Roman"/>
        </w:rPr>
      </w:pPr>
      <w:proofErr w:type="gramStart"/>
      <w:r w:rsidRPr="001F7C5C">
        <w:rPr>
          <w:rFonts w:ascii="Times New Roman" w:hAnsi="Times New Roman" w:cs="Times New Roman"/>
        </w:rPr>
        <w:t>devin.parram@puc.state.oh.us</w:t>
      </w:r>
      <w:proofErr w:type="gramEnd"/>
    </w:p>
    <w:p w14:paraId="074F0951" w14:textId="77777777" w:rsidR="005302F6" w:rsidRPr="001F7C5C" w:rsidRDefault="005302F6" w:rsidP="005302F6">
      <w:pPr>
        <w:rPr>
          <w:rFonts w:ascii="Times New Roman" w:hAnsi="Times New Roman" w:cs="Times New Roman"/>
        </w:rPr>
      </w:pPr>
    </w:p>
    <w:p w14:paraId="7E252C02"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Joseph P. Serio</w:t>
      </w:r>
    </w:p>
    <w:p w14:paraId="731642C8"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Larry S. Sauer</w:t>
      </w:r>
    </w:p>
    <w:p w14:paraId="380CEED0"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Office of the Ohio Consumers’ Counsel</w:t>
      </w:r>
    </w:p>
    <w:p w14:paraId="63327AA7"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10 West Broad Street, Suite 1800</w:t>
      </w:r>
    </w:p>
    <w:p w14:paraId="22983163"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Columbus, Ohio 43215</w:t>
      </w:r>
    </w:p>
    <w:p w14:paraId="43AB58D7"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serio@occ.state.oh.us</w:t>
      </w:r>
    </w:p>
    <w:p w14:paraId="1F7BFA96"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sauer@occ.state.oh.us</w:t>
      </w:r>
    </w:p>
    <w:p w14:paraId="72491518" w14:textId="77777777" w:rsidR="005302F6" w:rsidRPr="001F7C5C" w:rsidRDefault="005302F6" w:rsidP="005302F6">
      <w:pPr>
        <w:rPr>
          <w:rFonts w:ascii="Times New Roman" w:hAnsi="Times New Roman" w:cs="Times New Roman"/>
        </w:rPr>
      </w:pPr>
    </w:p>
    <w:p w14:paraId="78BB3A4B"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Colleen L. Mooney</w:t>
      </w:r>
    </w:p>
    <w:p w14:paraId="41B843C3"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Ohio Partners for Affordable Energy</w:t>
      </w:r>
    </w:p>
    <w:p w14:paraId="550C54B3"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231 West Lima Street</w:t>
      </w:r>
    </w:p>
    <w:p w14:paraId="551A2E18"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P.O. Box 1793</w:t>
      </w:r>
    </w:p>
    <w:p w14:paraId="68672B1A"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Findlay, Ohio 45839-1793</w:t>
      </w:r>
    </w:p>
    <w:p w14:paraId="58ED8339" w14:textId="77777777" w:rsidR="005302F6" w:rsidRPr="001F7C5C" w:rsidRDefault="005302F6" w:rsidP="005302F6">
      <w:pPr>
        <w:rPr>
          <w:rFonts w:ascii="Times New Roman" w:hAnsi="Times New Roman" w:cs="Times New Roman"/>
        </w:rPr>
      </w:pPr>
      <w:r w:rsidRPr="001F7C5C">
        <w:rPr>
          <w:rFonts w:ascii="Times New Roman" w:hAnsi="Times New Roman" w:cs="Times New Roman"/>
        </w:rPr>
        <w:t>Cmooney2@columbus.rr.com</w:t>
      </w:r>
    </w:p>
    <w:p w14:paraId="2AD0086F" w14:textId="77777777" w:rsidR="005302F6" w:rsidRPr="001F7C5C" w:rsidRDefault="005302F6" w:rsidP="005302F6">
      <w:pPr>
        <w:rPr>
          <w:rFonts w:ascii="Times New Roman" w:hAnsi="Times New Roman" w:cs="Times New Roman"/>
        </w:rPr>
      </w:pPr>
    </w:p>
    <w:p w14:paraId="09E0654A" w14:textId="77777777" w:rsidR="005302F6" w:rsidRPr="001F7C5C" w:rsidRDefault="005302F6" w:rsidP="005302F6">
      <w:pPr>
        <w:rPr>
          <w:rFonts w:ascii="Times New Roman" w:hAnsi="Times New Roman" w:cs="Times New Roman"/>
        </w:rPr>
      </w:pPr>
    </w:p>
    <w:p w14:paraId="009A8EFE" w14:textId="77777777" w:rsidR="005302F6" w:rsidRPr="001F7C5C" w:rsidRDefault="005302F6" w:rsidP="005302F6">
      <w:pPr>
        <w:ind w:left="5040"/>
        <w:rPr>
          <w:rFonts w:ascii="Times New Roman" w:hAnsi="Times New Roman" w:cs="Times New Roman"/>
        </w:rPr>
      </w:pPr>
      <w:r>
        <w:rPr>
          <w:rFonts w:ascii="Times New Roman" w:hAnsi="Times New Roman" w:cs="Times New Roman"/>
          <w:u w:val="single"/>
        </w:rPr>
        <w:t>/s/</w:t>
      </w:r>
      <w:r w:rsidR="0093151D">
        <w:rPr>
          <w:rFonts w:ascii="Times New Roman" w:hAnsi="Times New Roman" w:cs="Times New Roman"/>
          <w:u w:val="single"/>
        </w:rPr>
        <w:t xml:space="preserve"> Melissa L. Thompson</w:t>
      </w:r>
      <w:r w:rsidRPr="001F7C5C">
        <w:rPr>
          <w:rFonts w:ascii="Times New Roman" w:hAnsi="Times New Roman" w:cs="Times New Roman"/>
          <w:u w:val="single"/>
        </w:rPr>
        <w:tab/>
      </w:r>
      <w:r w:rsidRPr="001F7C5C">
        <w:rPr>
          <w:rFonts w:ascii="Times New Roman" w:hAnsi="Times New Roman" w:cs="Times New Roman"/>
          <w:u w:val="single"/>
        </w:rPr>
        <w:tab/>
      </w:r>
      <w:r w:rsidRPr="001F7C5C">
        <w:rPr>
          <w:rFonts w:ascii="Times New Roman" w:hAnsi="Times New Roman" w:cs="Times New Roman"/>
          <w:u w:val="single"/>
        </w:rPr>
        <w:tab/>
      </w:r>
    </w:p>
    <w:p w14:paraId="446C6836" w14:textId="77777777" w:rsidR="005302F6" w:rsidRPr="001F7C5C" w:rsidRDefault="005302F6" w:rsidP="005302F6">
      <w:pPr>
        <w:ind w:left="5040"/>
        <w:rPr>
          <w:rFonts w:ascii="Times New Roman" w:hAnsi="Times New Roman" w:cs="Times New Roman"/>
        </w:rPr>
      </w:pPr>
      <w:r w:rsidRPr="001F7C5C">
        <w:rPr>
          <w:rFonts w:ascii="Times New Roman" w:hAnsi="Times New Roman" w:cs="Times New Roman"/>
        </w:rPr>
        <w:t>One of the Attorneys of The East Ohio Gas Company d/b/a Dominion East Ohio</w:t>
      </w:r>
    </w:p>
    <w:p w14:paraId="0DE6B377" w14:textId="77777777" w:rsidR="005302F6" w:rsidRPr="001F7C5C" w:rsidRDefault="005302F6" w:rsidP="005302F6">
      <w:pPr>
        <w:jc w:val="center"/>
        <w:rPr>
          <w:rFonts w:ascii="Times New Roman" w:hAnsi="Times New Roman" w:cs="Times New Roman"/>
        </w:rPr>
      </w:pPr>
    </w:p>
    <w:p w14:paraId="667FA4FC" w14:textId="77777777" w:rsidR="005302F6" w:rsidRDefault="005302F6" w:rsidP="005302F6">
      <w:pPr>
        <w:pStyle w:val="MemoBodyText"/>
      </w:pPr>
    </w:p>
    <w:p w14:paraId="49E93FB2" w14:textId="77777777" w:rsidR="005302F6" w:rsidRDefault="005302F6" w:rsidP="00F718E2">
      <w:pPr>
        <w:pStyle w:val="MemoBodyText"/>
      </w:pPr>
    </w:p>
    <w:sectPr w:rsidR="005302F6" w:rsidSect="00AC04C8">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94CCA" w14:textId="77777777" w:rsidR="001B0CB0" w:rsidRDefault="001B0CB0" w:rsidP="0032154A">
      <w:r>
        <w:separator/>
      </w:r>
    </w:p>
  </w:endnote>
  <w:endnote w:type="continuationSeparator" w:id="0">
    <w:p w14:paraId="6D80CBD6" w14:textId="77777777" w:rsidR="001B0CB0" w:rsidRDefault="001B0CB0" w:rsidP="003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CC8F8" w14:textId="77777777" w:rsidR="001B0CB0" w:rsidRPr="009E2D10" w:rsidRDefault="001B0CB0" w:rsidP="000C42A9">
    <w:pPr>
      <w:pStyle w:val="Footer"/>
      <w:framePr w:wrap="around" w:vAnchor="text" w:hAnchor="margin" w:xAlign="center" w:y="1"/>
      <w:rPr>
        <w:rStyle w:val="PageNumber"/>
        <w:rFonts w:ascii="Times New Roman" w:hAnsi="Times New Roman"/>
      </w:rPr>
    </w:pPr>
    <w:r w:rsidRPr="009E2D10">
      <w:rPr>
        <w:rStyle w:val="PageNumber"/>
        <w:rFonts w:ascii="Times New Roman" w:hAnsi="Times New Roman"/>
      </w:rPr>
      <w:fldChar w:fldCharType="begin"/>
    </w:r>
    <w:r w:rsidRPr="009E2D10">
      <w:rPr>
        <w:rStyle w:val="PageNumber"/>
        <w:rFonts w:ascii="Times New Roman" w:hAnsi="Times New Roman"/>
      </w:rPr>
      <w:instrText xml:space="preserve">PAGE  </w:instrText>
    </w:r>
    <w:r w:rsidRPr="009E2D10">
      <w:rPr>
        <w:rStyle w:val="PageNumber"/>
        <w:rFonts w:ascii="Times New Roman" w:hAnsi="Times New Roman"/>
      </w:rPr>
      <w:fldChar w:fldCharType="separate"/>
    </w:r>
    <w:r w:rsidR="00192CD4">
      <w:rPr>
        <w:rStyle w:val="PageNumber"/>
        <w:rFonts w:ascii="Times New Roman" w:hAnsi="Times New Roman"/>
        <w:noProof/>
      </w:rPr>
      <w:t>10</w:t>
    </w:r>
    <w:r w:rsidRPr="009E2D10">
      <w:rPr>
        <w:rStyle w:val="PageNumber"/>
        <w:rFonts w:ascii="Times New Roman" w:hAnsi="Times New Roman"/>
      </w:rPr>
      <w:fldChar w:fldCharType="end"/>
    </w:r>
  </w:p>
  <w:p w14:paraId="5E46AD5B" w14:textId="77777777" w:rsidR="001B0CB0" w:rsidRPr="00867C3B" w:rsidRDefault="001B0CB0" w:rsidP="00867C3B">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6A3" w14:textId="77777777" w:rsidR="001B0CB0" w:rsidRDefault="001B0CB0" w:rsidP="000C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C23146" w14:textId="77777777" w:rsidR="001B0CB0" w:rsidRDefault="001B0CB0" w:rsidP="00867C3B">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E7BB" w14:textId="77777777" w:rsidR="001B0CB0" w:rsidRPr="00867C3B" w:rsidRDefault="001B0CB0" w:rsidP="00867C3B">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7BF0" w14:textId="77777777" w:rsidR="001B0CB0" w:rsidRDefault="001B0CB0" w:rsidP="0032154A">
      <w:r>
        <w:separator/>
      </w:r>
    </w:p>
  </w:footnote>
  <w:footnote w:type="continuationSeparator" w:id="0">
    <w:p w14:paraId="44D96143" w14:textId="77777777" w:rsidR="001B0CB0" w:rsidRDefault="001B0CB0" w:rsidP="003215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809CB"/>
    <w:multiLevelType w:val="hybridMultilevel"/>
    <w:tmpl w:val="C1B4B3DC"/>
    <w:lvl w:ilvl="0" w:tplc="E3BE93FE">
      <w:start w:val="1"/>
      <w:numFmt w:val="lowerLetter"/>
      <w:pStyle w:val="MemoHeading4"/>
      <w:lvlText w:val="%1."/>
      <w:lvlJc w:val="left"/>
      <w:pPr>
        <w:ind w:left="1890" w:hanging="360"/>
      </w:pPr>
      <w:rPr>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28CA0343"/>
    <w:multiLevelType w:val="hybridMultilevel"/>
    <w:tmpl w:val="9B708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843850"/>
    <w:multiLevelType w:val="hybridMultilevel"/>
    <w:tmpl w:val="0C3E061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E5D23B6"/>
    <w:multiLevelType w:val="hybridMultilevel"/>
    <w:tmpl w:val="7AEC53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479D279F"/>
    <w:multiLevelType w:val="hybridMultilevel"/>
    <w:tmpl w:val="B36EEEF8"/>
    <w:lvl w:ilvl="0" w:tplc="2EEC8CE6">
      <w:start w:val="1"/>
      <w:numFmt w:val="decimal"/>
      <w:pStyle w:val="MemoHeading3"/>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C47F2B"/>
    <w:multiLevelType w:val="hybridMultilevel"/>
    <w:tmpl w:val="C458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D7487"/>
    <w:multiLevelType w:val="hybridMultilevel"/>
    <w:tmpl w:val="85D008B2"/>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C1B04AB"/>
    <w:multiLevelType w:val="hybridMultilevel"/>
    <w:tmpl w:val="80141E10"/>
    <w:lvl w:ilvl="0" w:tplc="21B0D708">
      <w:start w:val="1"/>
      <w:numFmt w:val="upperRoman"/>
      <w:pStyle w:val="Memo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76329"/>
    <w:multiLevelType w:val="hybridMultilevel"/>
    <w:tmpl w:val="E6BE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4F1AB6"/>
    <w:multiLevelType w:val="hybridMultilevel"/>
    <w:tmpl w:val="90B4DA3A"/>
    <w:lvl w:ilvl="0" w:tplc="6EEA6180">
      <w:start w:val="1"/>
      <w:numFmt w:val="upperLetter"/>
      <w:pStyle w:val="MemoHeading2"/>
      <w:lvlText w:val="%1."/>
      <w:lvlJc w:val="left"/>
      <w:pPr>
        <w:ind w:left="1080" w:hanging="720"/>
      </w:pPr>
      <w:rPr>
        <w:rFonts w:hint="default"/>
      </w:rPr>
    </w:lvl>
    <w:lvl w:ilvl="1" w:tplc="1212C2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
  </w:num>
  <w:num w:numId="6">
    <w:abstractNumId w:val="9"/>
  </w:num>
  <w:num w:numId="7">
    <w:abstractNumId w:val="0"/>
  </w:num>
  <w:num w:numId="8">
    <w:abstractNumId w:val="4"/>
  </w:num>
  <w:num w:numId="9">
    <w:abstractNumId w:val="10"/>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7"/>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5"/>
    <w:lvlOverride w:ilvl="0">
      <w:startOverride w:val="1"/>
    </w:lvlOverride>
  </w:num>
  <w:num w:numId="28">
    <w:abstractNumId w:val="2"/>
  </w:num>
  <w:num w:numId="29">
    <w:abstractNumId w:val="5"/>
    <w:lvlOverride w:ilvl="0">
      <w:startOverride w:val="1"/>
    </w:lvlOverride>
  </w:num>
  <w:num w:numId="30">
    <w:abstractNumId w:val="1"/>
    <w:lvlOverride w:ilvl="0">
      <w:startOverride w:val="1"/>
    </w:lvlOverride>
  </w:num>
  <w:num w:numId="31">
    <w:abstractNumId w:val="5"/>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5"/>
    <w:lvlOverride w:ilvl="0">
      <w:startOverride w:val="1"/>
    </w:lvlOverride>
  </w:num>
  <w:num w:numId="39">
    <w:abstractNumId w:val="1"/>
    <w:lvlOverride w:ilvl="0">
      <w:startOverride w:val="1"/>
    </w:lvlOverride>
  </w:num>
  <w:num w:numId="40">
    <w:abstractNumId w:val="5"/>
    <w:lvlOverride w:ilvl="0">
      <w:startOverride w:val="1"/>
    </w:lvlOverride>
  </w:num>
  <w:num w:numId="41">
    <w:abstractNumId w:val="1"/>
    <w:lvlOverride w:ilvl="0">
      <w:startOverride w:val="1"/>
    </w:lvlOverride>
  </w:num>
  <w:num w:numId="42">
    <w:abstractNumId w:val="5"/>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E2"/>
    <w:rsid w:val="00001CC1"/>
    <w:rsid w:val="0000355D"/>
    <w:rsid w:val="00005476"/>
    <w:rsid w:val="0001134A"/>
    <w:rsid w:val="000127D6"/>
    <w:rsid w:val="00014304"/>
    <w:rsid w:val="000146D4"/>
    <w:rsid w:val="00014B13"/>
    <w:rsid w:val="00016649"/>
    <w:rsid w:val="00020DF7"/>
    <w:rsid w:val="000213CC"/>
    <w:rsid w:val="0002146F"/>
    <w:rsid w:val="00034462"/>
    <w:rsid w:val="00041285"/>
    <w:rsid w:val="0004664D"/>
    <w:rsid w:val="00051B11"/>
    <w:rsid w:val="000544C7"/>
    <w:rsid w:val="000624BA"/>
    <w:rsid w:val="00062790"/>
    <w:rsid w:val="00063DB7"/>
    <w:rsid w:val="00064682"/>
    <w:rsid w:val="00065DE9"/>
    <w:rsid w:val="000660AD"/>
    <w:rsid w:val="00066C40"/>
    <w:rsid w:val="00066ED1"/>
    <w:rsid w:val="00067D84"/>
    <w:rsid w:val="0007068D"/>
    <w:rsid w:val="00073360"/>
    <w:rsid w:val="000735A3"/>
    <w:rsid w:val="00073866"/>
    <w:rsid w:val="00077C76"/>
    <w:rsid w:val="00080384"/>
    <w:rsid w:val="00080A25"/>
    <w:rsid w:val="0008284E"/>
    <w:rsid w:val="00084B25"/>
    <w:rsid w:val="00086604"/>
    <w:rsid w:val="00095CF1"/>
    <w:rsid w:val="00097C17"/>
    <w:rsid w:val="000A288D"/>
    <w:rsid w:val="000B0AE0"/>
    <w:rsid w:val="000B34C9"/>
    <w:rsid w:val="000B3928"/>
    <w:rsid w:val="000C3DD5"/>
    <w:rsid w:val="000C42A9"/>
    <w:rsid w:val="000C463A"/>
    <w:rsid w:val="000C66B5"/>
    <w:rsid w:val="000D6365"/>
    <w:rsid w:val="000E56B6"/>
    <w:rsid w:val="000E56C8"/>
    <w:rsid w:val="000E6990"/>
    <w:rsid w:val="00105A1E"/>
    <w:rsid w:val="0010787D"/>
    <w:rsid w:val="00110121"/>
    <w:rsid w:val="00110B34"/>
    <w:rsid w:val="0011360C"/>
    <w:rsid w:val="0011370A"/>
    <w:rsid w:val="00115568"/>
    <w:rsid w:val="001174B9"/>
    <w:rsid w:val="00120DFA"/>
    <w:rsid w:val="00124087"/>
    <w:rsid w:val="00133037"/>
    <w:rsid w:val="00133B86"/>
    <w:rsid w:val="001344A5"/>
    <w:rsid w:val="00137531"/>
    <w:rsid w:val="001423E4"/>
    <w:rsid w:val="0014415D"/>
    <w:rsid w:val="00144FA7"/>
    <w:rsid w:val="00146243"/>
    <w:rsid w:val="00156058"/>
    <w:rsid w:val="00164F3B"/>
    <w:rsid w:val="0017044E"/>
    <w:rsid w:val="001779F2"/>
    <w:rsid w:val="00185310"/>
    <w:rsid w:val="0018719C"/>
    <w:rsid w:val="0019257D"/>
    <w:rsid w:val="00192CD4"/>
    <w:rsid w:val="001944F2"/>
    <w:rsid w:val="001965E5"/>
    <w:rsid w:val="001A09BB"/>
    <w:rsid w:val="001A24F4"/>
    <w:rsid w:val="001A38D4"/>
    <w:rsid w:val="001A515C"/>
    <w:rsid w:val="001A69A4"/>
    <w:rsid w:val="001B0CB0"/>
    <w:rsid w:val="001B1061"/>
    <w:rsid w:val="001B2A14"/>
    <w:rsid w:val="001B5BCE"/>
    <w:rsid w:val="001B64BA"/>
    <w:rsid w:val="001C04B0"/>
    <w:rsid w:val="001C217F"/>
    <w:rsid w:val="001C2978"/>
    <w:rsid w:val="001C2A8B"/>
    <w:rsid w:val="001C3D1D"/>
    <w:rsid w:val="001C5A8F"/>
    <w:rsid w:val="001C75E2"/>
    <w:rsid w:val="001E4699"/>
    <w:rsid w:val="001F0393"/>
    <w:rsid w:val="001F5062"/>
    <w:rsid w:val="001F7C5C"/>
    <w:rsid w:val="001F7F88"/>
    <w:rsid w:val="00200600"/>
    <w:rsid w:val="0020360B"/>
    <w:rsid w:val="0021275B"/>
    <w:rsid w:val="0021489B"/>
    <w:rsid w:val="0021510B"/>
    <w:rsid w:val="002178FA"/>
    <w:rsid w:val="002218EC"/>
    <w:rsid w:val="0022361A"/>
    <w:rsid w:val="00227D8C"/>
    <w:rsid w:val="00234C7F"/>
    <w:rsid w:val="00236EFA"/>
    <w:rsid w:val="002416F5"/>
    <w:rsid w:val="00242EA1"/>
    <w:rsid w:val="002451C9"/>
    <w:rsid w:val="002464BC"/>
    <w:rsid w:val="00246D49"/>
    <w:rsid w:val="002476D3"/>
    <w:rsid w:val="002548C1"/>
    <w:rsid w:val="00256557"/>
    <w:rsid w:val="00256C69"/>
    <w:rsid w:val="002604D0"/>
    <w:rsid w:val="00261DFB"/>
    <w:rsid w:val="002637E4"/>
    <w:rsid w:val="002643CD"/>
    <w:rsid w:val="0026492A"/>
    <w:rsid w:val="00267587"/>
    <w:rsid w:val="00277AB5"/>
    <w:rsid w:val="00295AB5"/>
    <w:rsid w:val="002A0762"/>
    <w:rsid w:val="002A09D9"/>
    <w:rsid w:val="002A5658"/>
    <w:rsid w:val="002A5ACF"/>
    <w:rsid w:val="002A79F1"/>
    <w:rsid w:val="002B7DA0"/>
    <w:rsid w:val="002C52DA"/>
    <w:rsid w:val="002D3E5C"/>
    <w:rsid w:val="002E7D40"/>
    <w:rsid w:val="002F0053"/>
    <w:rsid w:val="002F0D9B"/>
    <w:rsid w:val="002F78A9"/>
    <w:rsid w:val="003065AC"/>
    <w:rsid w:val="00306CE9"/>
    <w:rsid w:val="00310456"/>
    <w:rsid w:val="00314522"/>
    <w:rsid w:val="00314547"/>
    <w:rsid w:val="0032154A"/>
    <w:rsid w:val="00321A8D"/>
    <w:rsid w:val="00323959"/>
    <w:rsid w:val="00326992"/>
    <w:rsid w:val="00331E05"/>
    <w:rsid w:val="003355C7"/>
    <w:rsid w:val="00335C69"/>
    <w:rsid w:val="00346C48"/>
    <w:rsid w:val="003503A3"/>
    <w:rsid w:val="00350F83"/>
    <w:rsid w:val="00354415"/>
    <w:rsid w:val="00356691"/>
    <w:rsid w:val="00357D60"/>
    <w:rsid w:val="00361871"/>
    <w:rsid w:val="0037326E"/>
    <w:rsid w:val="00376A4C"/>
    <w:rsid w:val="00376CC7"/>
    <w:rsid w:val="00383C96"/>
    <w:rsid w:val="00390044"/>
    <w:rsid w:val="00391A25"/>
    <w:rsid w:val="00392FC2"/>
    <w:rsid w:val="003969B1"/>
    <w:rsid w:val="003A297F"/>
    <w:rsid w:val="003A44DD"/>
    <w:rsid w:val="003A4891"/>
    <w:rsid w:val="003B096D"/>
    <w:rsid w:val="003B1731"/>
    <w:rsid w:val="003B34D0"/>
    <w:rsid w:val="003B5E91"/>
    <w:rsid w:val="003C1DB8"/>
    <w:rsid w:val="003C41D3"/>
    <w:rsid w:val="003C7581"/>
    <w:rsid w:val="003D4F94"/>
    <w:rsid w:val="003D5DB2"/>
    <w:rsid w:val="003E0470"/>
    <w:rsid w:val="003F0BDD"/>
    <w:rsid w:val="003F0E74"/>
    <w:rsid w:val="00400C5D"/>
    <w:rsid w:val="00402BBD"/>
    <w:rsid w:val="00412818"/>
    <w:rsid w:val="00416ABF"/>
    <w:rsid w:val="00435322"/>
    <w:rsid w:val="0044167D"/>
    <w:rsid w:val="00442670"/>
    <w:rsid w:val="00446F01"/>
    <w:rsid w:val="00451A05"/>
    <w:rsid w:val="004526A8"/>
    <w:rsid w:val="0046201F"/>
    <w:rsid w:val="00462302"/>
    <w:rsid w:val="00465621"/>
    <w:rsid w:val="0046594B"/>
    <w:rsid w:val="004664B2"/>
    <w:rsid w:val="00467CC3"/>
    <w:rsid w:val="00471ECA"/>
    <w:rsid w:val="00472357"/>
    <w:rsid w:val="00473DBB"/>
    <w:rsid w:val="004741B2"/>
    <w:rsid w:val="00476F53"/>
    <w:rsid w:val="004773F5"/>
    <w:rsid w:val="00477E87"/>
    <w:rsid w:val="004800B2"/>
    <w:rsid w:val="00485D15"/>
    <w:rsid w:val="004877BC"/>
    <w:rsid w:val="0048799C"/>
    <w:rsid w:val="00487B3B"/>
    <w:rsid w:val="004919CB"/>
    <w:rsid w:val="00496B6A"/>
    <w:rsid w:val="004A0D8B"/>
    <w:rsid w:val="004A29ED"/>
    <w:rsid w:val="004A2C4C"/>
    <w:rsid w:val="004A5E30"/>
    <w:rsid w:val="004A6640"/>
    <w:rsid w:val="004B28B9"/>
    <w:rsid w:val="004B328A"/>
    <w:rsid w:val="004C641B"/>
    <w:rsid w:val="004D061D"/>
    <w:rsid w:val="004D0F8E"/>
    <w:rsid w:val="004D37FA"/>
    <w:rsid w:val="004D3DA4"/>
    <w:rsid w:val="004E1055"/>
    <w:rsid w:val="004E2C23"/>
    <w:rsid w:val="004E3073"/>
    <w:rsid w:val="004E53BD"/>
    <w:rsid w:val="004E74F3"/>
    <w:rsid w:val="004F4C2E"/>
    <w:rsid w:val="00503E96"/>
    <w:rsid w:val="00512F40"/>
    <w:rsid w:val="00514182"/>
    <w:rsid w:val="0052009F"/>
    <w:rsid w:val="00521141"/>
    <w:rsid w:val="00521758"/>
    <w:rsid w:val="00522DAA"/>
    <w:rsid w:val="0052569C"/>
    <w:rsid w:val="005302F6"/>
    <w:rsid w:val="005312B8"/>
    <w:rsid w:val="005353F0"/>
    <w:rsid w:val="005361EF"/>
    <w:rsid w:val="00547675"/>
    <w:rsid w:val="00547FE7"/>
    <w:rsid w:val="0055112A"/>
    <w:rsid w:val="00554664"/>
    <w:rsid w:val="00554D10"/>
    <w:rsid w:val="00555740"/>
    <w:rsid w:val="00555CEE"/>
    <w:rsid w:val="00555D06"/>
    <w:rsid w:val="00555D47"/>
    <w:rsid w:val="00561651"/>
    <w:rsid w:val="00563553"/>
    <w:rsid w:val="0057102C"/>
    <w:rsid w:val="00571458"/>
    <w:rsid w:val="00573882"/>
    <w:rsid w:val="0057402D"/>
    <w:rsid w:val="00574BB8"/>
    <w:rsid w:val="00575883"/>
    <w:rsid w:val="00575F07"/>
    <w:rsid w:val="00576B84"/>
    <w:rsid w:val="005853CC"/>
    <w:rsid w:val="0058607C"/>
    <w:rsid w:val="0059463B"/>
    <w:rsid w:val="005A0576"/>
    <w:rsid w:val="005A317E"/>
    <w:rsid w:val="005A3323"/>
    <w:rsid w:val="005A4751"/>
    <w:rsid w:val="005B0178"/>
    <w:rsid w:val="005B075C"/>
    <w:rsid w:val="005B111C"/>
    <w:rsid w:val="005B47C1"/>
    <w:rsid w:val="005B4CFA"/>
    <w:rsid w:val="005B4F98"/>
    <w:rsid w:val="005B6400"/>
    <w:rsid w:val="005C1D89"/>
    <w:rsid w:val="005C21A5"/>
    <w:rsid w:val="005C32EE"/>
    <w:rsid w:val="005D1298"/>
    <w:rsid w:val="005D368E"/>
    <w:rsid w:val="005E097F"/>
    <w:rsid w:val="005E0E13"/>
    <w:rsid w:val="005E476C"/>
    <w:rsid w:val="005F26C7"/>
    <w:rsid w:val="005F3339"/>
    <w:rsid w:val="005F35E1"/>
    <w:rsid w:val="005F68D9"/>
    <w:rsid w:val="00600B90"/>
    <w:rsid w:val="0060180D"/>
    <w:rsid w:val="00603BAA"/>
    <w:rsid w:val="00611893"/>
    <w:rsid w:val="006167E9"/>
    <w:rsid w:val="00616C98"/>
    <w:rsid w:val="0062508C"/>
    <w:rsid w:val="00627560"/>
    <w:rsid w:val="00631EC7"/>
    <w:rsid w:val="00635D0F"/>
    <w:rsid w:val="00635F3F"/>
    <w:rsid w:val="00641FAC"/>
    <w:rsid w:val="00642F98"/>
    <w:rsid w:val="0064408E"/>
    <w:rsid w:val="00644996"/>
    <w:rsid w:val="00644998"/>
    <w:rsid w:val="006456C7"/>
    <w:rsid w:val="00651464"/>
    <w:rsid w:val="006534D7"/>
    <w:rsid w:val="00653771"/>
    <w:rsid w:val="0065501E"/>
    <w:rsid w:val="006558AB"/>
    <w:rsid w:val="00657CEE"/>
    <w:rsid w:val="00661857"/>
    <w:rsid w:val="00662E93"/>
    <w:rsid w:val="006755BE"/>
    <w:rsid w:val="00676544"/>
    <w:rsid w:val="00692C39"/>
    <w:rsid w:val="00697433"/>
    <w:rsid w:val="006A21E9"/>
    <w:rsid w:val="006B5BC9"/>
    <w:rsid w:val="006B6126"/>
    <w:rsid w:val="006B68D9"/>
    <w:rsid w:val="006B7E7E"/>
    <w:rsid w:val="006C7383"/>
    <w:rsid w:val="006D0B91"/>
    <w:rsid w:val="006D28C1"/>
    <w:rsid w:val="006D34EB"/>
    <w:rsid w:val="006D6C5F"/>
    <w:rsid w:val="006E03F9"/>
    <w:rsid w:val="006E5D73"/>
    <w:rsid w:val="006F3D52"/>
    <w:rsid w:val="00700F11"/>
    <w:rsid w:val="0070139C"/>
    <w:rsid w:val="007066AD"/>
    <w:rsid w:val="00710C42"/>
    <w:rsid w:val="00711B08"/>
    <w:rsid w:val="007138BE"/>
    <w:rsid w:val="00714ED2"/>
    <w:rsid w:val="0071539B"/>
    <w:rsid w:val="007178FA"/>
    <w:rsid w:val="0072150D"/>
    <w:rsid w:val="00721C9A"/>
    <w:rsid w:val="0072651D"/>
    <w:rsid w:val="0072677D"/>
    <w:rsid w:val="0073113F"/>
    <w:rsid w:val="00731C28"/>
    <w:rsid w:val="00733949"/>
    <w:rsid w:val="007339E8"/>
    <w:rsid w:val="00733ECE"/>
    <w:rsid w:val="007346D4"/>
    <w:rsid w:val="00737195"/>
    <w:rsid w:val="007412EE"/>
    <w:rsid w:val="00741432"/>
    <w:rsid w:val="007416EF"/>
    <w:rsid w:val="00743436"/>
    <w:rsid w:val="00744CDC"/>
    <w:rsid w:val="00744F98"/>
    <w:rsid w:val="00745A59"/>
    <w:rsid w:val="00751B39"/>
    <w:rsid w:val="0075444A"/>
    <w:rsid w:val="0075600F"/>
    <w:rsid w:val="0076185F"/>
    <w:rsid w:val="00763A2A"/>
    <w:rsid w:val="00772255"/>
    <w:rsid w:val="00774EE6"/>
    <w:rsid w:val="0077668E"/>
    <w:rsid w:val="007839CB"/>
    <w:rsid w:val="00787689"/>
    <w:rsid w:val="007905A9"/>
    <w:rsid w:val="00795E12"/>
    <w:rsid w:val="00795EB6"/>
    <w:rsid w:val="00797C20"/>
    <w:rsid w:val="007A5644"/>
    <w:rsid w:val="007A564A"/>
    <w:rsid w:val="007B183C"/>
    <w:rsid w:val="007B417C"/>
    <w:rsid w:val="007B69E8"/>
    <w:rsid w:val="007C174A"/>
    <w:rsid w:val="007C5614"/>
    <w:rsid w:val="007E64EF"/>
    <w:rsid w:val="007E75CB"/>
    <w:rsid w:val="007F1911"/>
    <w:rsid w:val="007F2167"/>
    <w:rsid w:val="007F3219"/>
    <w:rsid w:val="007F3884"/>
    <w:rsid w:val="007F444E"/>
    <w:rsid w:val="007F4450"/>
    <w:rsid w:val="007F4B37"/>
    <w:rsid w:val="008001FE"/>
    <w:rsid w:val="00804023"/>
    <w:rsid w:val="00806936"/>
    <w:rsid w:val="00813683"/>
    <w:rsid w:val="008141E2"/>
    <w:rsid w:val="00814AD5"/>
    <w:rsid w:val="00820B06"/>
    <w:rsid w:val="0082374C"/>
    <w:rsid w:val="00834230"/>
    <w:rsid w:val="00834DF4"/>
    <w:rsid w:val="00835212"/>
    <w:rsid w:val="00836971"/>
    <w:rsid w:val="0084053E"/>
    <w:rsid w:val="008433DC"/>
    <w:rsid w:val="00853CB1"/>
    <w:rsid w:val="008554E9"/>
    <w:rsid w:val="00866C52"/>
    <w:rsid w:val="00867185"/>
    <w:rsid w:val="00867AE6"/>
    <w:rsid w:val="00867C3B"/>
    <w:rsid w:val="00873F93"/>
    <w:rsid w:val="00876660"/>
    <w:rsid w:val="00877A88"/>
    <w:rsid w:val="008817FB"/>
    <w:rsid w:val="00884B21"/>
    <w:rsid w:val="00890483"/>
    <w:rsid w:val="00891504"/>
    <w:rsid w:val="00894CBB"/>
    <w:rsid w:val="008A0F92"/>
    <w:rsid w:val="008A2152"/>
    <w:rsid w:val="008A23FF"/>
    <w:rsid w:val="008A5BCF"/>
    <w:rsid w:val="008A7499"/>
    <w:rsid w:val="008B0875"/>
    <w:rsid w:val="008B32AE"/>
    <w:rsid w:val="008B4135"/>
    <w:rsid w:val="008B5866"/>
    <w:rsid w:val="008C1D84"/>
    <w:rsid w:val="008C357A"/>
    <w:rsid w:val="008D0B73"/>
    <w:rsid w:val="008D4124"/>
    <w:rsid w:val="008D63BC"/>
    <w:rsid w:val="008E165A"/>
    <w:rsid w:val="008E5580"/>
    <w:rsid w:val="008E71CD"/>
    <w:rsid w:val="008E7532"/>
    <w:rsid w:val="008F2831"/>
    <w:rsid w:val="008F562F"/>
    <w:rsid w:val="008F6DA0"/>
    <w:rsid w:val="00901343"/>
    <w:rsid w:val="00902807"/>
    <w:rsid w:val="00902FC4"/>
    <w:rsid w:val="00905A5F"/>
    <w:rsid w:val="00911C86"/>
    <w:rsid w:val="009127D1"/>
    <w:rsid w:val="00914A5D"/>
    <w:rsid w:val="00914D4F"/>
    <w:rsid w:val="00915B10"/>
    <w:rsid w:val="00915D09"/>
    <w:rsid w:val="009160B4"/>
    <w:rsid w:val="00917755"/>
    <w:rsid w:val="009213C3"/>
    <w:rsid w:val="00925ED3"/>
    <w:rsid w:val="0093151D"/>
    <w:rsid w:val="00931C04"/>
    <w:rsid w:val="00933BE3"/>
    <w:rsid w:val="00937130"/>
    <w:rsid w:val="00940B11"/>
    <w:rsid w:val="0094353E"/>
    <w:rsid w:val="00944E64"/>
    <w:rsid w:val="00945E35"/>
    <w:rsid w:val="00946B84"/>
    <w:rsid w:val="00954353"/>
    <w:rsid w:val="009545A2"/>
    <w:rsid w:val="009601B6"/>
    <w:rsid w:val="00961567"/>
    <w:rsid w:val="0097354D"/>
    <w:rsid w:val="00975368"/>
    <w:rsid w:val="00975D57"/>
    <w:rsid w:val="00976E29"/>
    <w:rsid w:val="00977965"/>
    <w:rsid w:val="00984FE4"/>
    <w:rsid w:val="00987D2E"/>
    <w:rsid w:val="0099048C"/>
    <w:rsid w:val="009912BA"/>
    <w:rsid w:val="00992718"/>
    <w:rsid w:val="00996F91"/>
    <w:rsid w:val="009A409D"/>
    <w:rsid w:val="009B1541"/>
    <w:rsid w:val="009B2EDD"/>
    <w:rsid w:val="009B331A"/>
    <w:rsid w:val="009B3976"/>
    <w:rsid w:val="009B408C"/>
    <w:rsid w:val="009B44D1"/>
    <w:rsid w:val="009B4728"/>
    <w:rsid w:val="009C02F1"/>
    <w:rsid w:val="009C1929"/>
    <w:rsid w:val="009C1C77"/>
    <w:rsid w:val="009C37E8"/>
    <w:rsid w:val="009C386A"/>
    <w:rsid w:val="009C3876"/>
    <w:rsid w:val="009C5932"/>
    <w:rsid w:val="009D5AC9"/>
    <w:rsid w:val="009D5D2D"/>
    <w:rsid w:val="009E187F"/>
    <w:rsid w:val="009E2A83"/>
    <w:rsid w:val="009E2D10"/>
    <w:rsid w:val="009E3500"/>
    <w:rsid w:val="009E3BB4"/>
    <w:rsid w:val="009E44FD"/>
    <w:rsid w:val="009E6F3C"/>
    <w:rsid w:val="009F005A"/>
    <w:rsid w:val="009F0B2B"/>
    <w:rsid w:val="009F1FA0"/>
    <w:rsid w:val="009F3DA5"/>
    <w:rsid w:val="00A009AE"/>
    <w:rsid w:val="00A015D8"/>
    <w:rsid w:val="00A02326"/>
    <w:rsid w:val="00A059A4"/>
    <w:rsid w:val="00A11350"/>
    <w:rsid w:val="00A12F3C"/>
    <w:rsid w:val="00A201C3"/>
    <w:rsid w:val="00A22817"/>
    <w:rsid w:val="00A24B1B"/>
    <w:rsid w:val="00A32837"/>
    <w:rsid w:val="00A331F8"/>
    <w:rsid w:val="00A3469B"/>
    <w:rsid w:val="00A35B7B"/>
    <w:rsid w:val="00A35DD3"/>
    <w:rsid w:val="00A404A4"/>
    <w:rsid w:val="00A43028"/>
    <w:rsid w:val="00A43054"/>
    <w:rsid w:val="00A50740"/>
    <w:rsid w:val="00A51E80"/>
    <w:rsid w:val="00A53D5D"/>
    <w:rsid w:val="00A5467E"/>
    <w:rsid w:val="00A54C4E"/>
    <w:rsid w:val="00A562D9"/>
    <w:rsid w:val="00A56C89"/>
    <w:rsid w:val="00A573AD"/>
    <w:rsid w:val="00A57DAE"/>
    <w:rsid w:val="00A60317"/>
    <w:rsid w:val="00A65894"/>
    <w:rsid w:val="00A71536"/>
    <w:rsid w:val="00A715C8"/>
    <w:rsid w:val="00A730AF"/>
    <w:rsid w:val="00A77CD1"/>
    <w:rsid w:val="00A77EE5"/>
    <w:rsid w:val="00A8215C"/>
    <w:rsid w:val="00A82892"/>
    <w:rsid w:val="00A87B7A"/>
    <w:rsid w:val="00A915A2"/>
    <w:rsid w:val="00A92244"/>
    <w:rsid w:val="00A92EA5"/>
    <w:rsid w:val="00A95046"/>
    <w:rsid w:val="00A96D85"/>
    <w:rsid w:val="00A975C4"/>
    <w:rsid w:val="00AA0FBE"/>
    <w:rsid w:val="00AA1386"/>
    <w:rsid w:val="00AA3D1D"/>
    <w:rsid w:val="00AA7B74"/>
    <w:rsid w:val="00AA7F83"/>
    <w:rsid w:val="00AB1388"/>
    <w:rsid w:val="00AB33F7"/>
    <w:rsid w:val="00AB3846"/>
    <w:rsid w:val="00AB4411"/>
    <w:rsid w:val="00AC04C8"/>
    <w:rsid w:val="00AC0EF5"/>
    <w:rsid w:val="00AC3B64"/>
    <w:rsid w:val="00AC7765"/>
    <w:rsid w:val="00AD1445"/>
    <w:rsid w:val="00AD1BF5"/>
    <w:rsid w:val="00AD626D"/>
    <w:rsid w:val="00AE5DFA"/>
    <w:rsid w:val="00AE6467"/>
    <w:rsid w:val="00AF001A"/>
    <w:rsid w:val="00AF13CF"/>
    <w:rsid w:val="00AF4243"/>
    <w:rsid w:val="00AF49C2"/>
    <w:rsid w:val="00AF7125"/>
    <w:rsid w:val="00AF77A9"/>
    <w:rsid w:val="00B0093B"/>
    <w:rsid w:val="00B0188B"/>
    <w:rsid w:val="00B057A4"/>
    <w:rsid w:val="00B114F6"/>
    <w:rsid w:val="00B133A1"/>
    <w:rsid w:val="00B2003F"/>
    <w:rsid w:val="00B22994"/>
    <w:rsid w:val="00B253E4"/>
    <w:rsid w:val="00B25F7E"/>
    <w:rsid w:val="00B261AB"/>
    <w:rsid w:val="00B36A45"/>
    <w:rsid w:val="00B36AC2"/>
    <w:rsid w:val="00B378BA"/>
    <w:rsid w:val="00B566FB"/>
    <w:rsid w:val="00B601B5"/>
    <w:rsid w:val="00B6071F"/>
    <w:rsid w:val="00B6183A"/>
    <w:rsid w:val="00B63434"/>
    <w:rsid w:val="00B63A88"/>
    <w:rsid w:val="00B71B8D"/>
    <w:rsid w:val="00B71BE4"/>
    <w:rsid w:val="00B7212E"/>
    <w:rsid w:val="00B73089"/>
    <w:rsid w:val="00B74681"/>
    <w:rsid w:val="00B7555F"/>
    <w:rsid w:val="00B75C9D"/>
    <w:rsid w:val="00B7740A"/>
    <w:rsid w:val="00B80089"/>
    <w:rsid w:val="00B83CB3"/>
    <w:rsid w:val="00B85C90"/>
    <w:rsid w:val="00B906E3"/>
    <w:rsid w:val="00B91DF8"/>
    <w:rsid w:val="00B93B99"/>
    <w:rsid w:val="00B94230"/>
    <w:rsid w:val="00B948BC"/>
    <w:rsid w:val="00B94EF5"/>
    <w:rsid w:val="00B97443"/>
    <w:rsid w:val="00B97FCD"/>
    <w:rsid w:val="00BA2274"/>
    <w:rsid w:val="00BA3A34"/>
    <w:rsid w:val="00BA466A"/>
    <w:rsid w:val="00BA46B1"/>
    <w:rsid w:val="00BA7477"/>
    <w:rsid w:val="00BB286F"/>
    <w:rsid w:val="00BB382B"/>
    <w:rsid w:val="00BB5FBB"/>
    <w:rsid w:val="00BB693D"/>
    <w:rsid w:val="00BB7E9B"/>
    <w:rsid w:val="00BC068A"/>
    <w:rsid w:val="00BC2A1D"/>
    <w:rsid w:val="00BC74D1"/>
    <w:rsid w:val="00BE1D18"/>
    <w:rsid w:val="00BE3544"/>
    <w:rsid w:val="00BE5A06"/>
    <w:rsid w:val="00BE5C3F"/>
    <w:rsid w:val="00BE6588"/>
    <w:rsid w:val="00BE6F3D"/>
    <w:rsid w:val="00BF47B3"/>
    <w:rsid w:val="00BF51CB"/>
    <w:rsid w:val="00BF5D7B"/>
    <w:rsid w:val="00BF6064"/>
    <w:rsid w:val="00BF75F4"/>
    <w:rsid w:val="00C06098"/>
    <w:rsid w:val="00C07D65"/>
    <w:rsid w:val="00C165A2"/>
    <w:rsid w:val="00C17E6C"/>
    <w:rsid w:val="00C2126D"/>
    <w:rsid w:val="00C22DBE"/>
    <w:rsid w:val="00C237C6"/>
    <w:rsid w:val="00C244E9"/>
    <w:rsid w:val="00C246CC"/>
    <w:rsid w:val="00C326F2"/>
    <w:rsid w:val="00C40EDE"/>
    <w:rsid w:val="00C40FAE"/>
    <w:rsid w:val="00C44851"/>
    <w:rsid w:val="00C45729"/>
    <w:rsid w:val="00C46F19"/>
    <w:rsid w:val="00C5203A"/>
    <w:rsid w:val="00C53FCA"/>
    <w:rsid w:val="00C55724"/>
    <w:rsid w:val="00C56BDD"/>
    <w:rsid w:val="00C62791"/>
    <w:rsid w:val="00C643CF"/>
    <w:rsid w:val="00C67A12"/>
    <w:rsid w:val="00C67AF7"/>
    <w:rsid w:val="00C720DB"/>
    <w:rsid w:val="00C73796"/>
    <w:rsid w:val="00C748CE"/>
    <w:rsid w:val="00C8496A"/>
    <w:rsid w:val="00C855C9"/>
    <w:rsid w:val="00C85CF9"/>
    <w:rsid w:val="00C91AC6"/>
    <w:rsid w:val="00C9250E"/>
    <w:rsid w:val="00C94D73"/>
    <w:rsid w:val="00C951C6"/>
    <w:rsid w:val="00C9528B"/>
    <w:rsid w:val="00C96B44"/>
    <w:rsid w:val="00CA40C9"/>
    <w:rsid w:val="00CA5985"/>
    <w:rsid w:val="00CB2343"/>
    <w:rsid w:val="00CB3002"/>
    <w:rsid w:val="00CB6AD0"/>
    <w:rsid w:val="00CB6C2C"/>
    <w:rsid w:val="00CC082D"/>
    <w:rsid w:val="00CC1D5D"/>
    <w:rsid w:val="00CC2B5E"/>
    <w:rsid w:val="00CC3248"/>
    <w:rsid w:val="00CC45EE"/>
    <w:rsid w:val="00CC4F6D"/>
    <w:rsid w:val="00CD1ACC"/>
    <w:rsid w:val="00CD3524"/>
    <w:rsid w:val="00CD56B4"/>
    <w:rsid w:val="00CE56A7"/>
    <w:rsid w:val="00CF04C5"/>
    <w:rsid w:val="00CF2A2F"/>
    <w:rsid w:val="00CF4DB2"/>
    <w:rsid w:val="00D02712"/>
    <w:rsid w:val="00D11F57"/>
    <w:rsid w:val="00D15C25"/>
    <w:rsid w:val="00D21A21"/>
    <w:rsid w:val="00D22F28"/>
    <w:rsid w:val="00D263F1"/>
    <w:rsid w:val="00D27CC3"/>
    <w:rsid w:val="00D3534E"/>
    <w:rsid w:val="00D360C9"/>
    <w:rsid w:val="00D427FD"/>
    <w:rsid w:val="00D4316C"/>
    <w:rsid w:val="00D529EF"/>
    <w:rsid w:val="00D66AFB"/>
    <w:rsid w:val="00D76AF0"/>
    <w:rsid w:val="00D76BD9"/>
    <w:rsid w:val="00D77B8C"/>
    <w:rsid w:val="00D86C75"/>
    <w:rsid w:val="00D874A1"/>
    <w:rsid w:val="00D87E3A"/>
    <w:rsid w:val="00D91C78"/>
    <w:rsid w:val="00D93E59"/>
    <w:rsid w:val="00D96ADF"/>
    <w:rsid w:val="00DA1581"/>
    <w:rsid w:val="00DA3982"/>
    <w:rsid w:val="00DB1548"/>
    <w:rsid w:val="00DC240C"/>
    <w:rsid w:val="00DC4354"/>
    <w:rsid w:val="00DC4B75"/>
    <w:rsid w:val="00DC72F5"/>
    <w:rsid w:val="00DD0C3A"/>
    <w:rsid w:val="00DD346A"/>
    <w:rsid w:val="00DD7EB8"/>
    <w:rsid w:val="00DE038E"/>
    <w:rsid w:val="00DE0704"/>
    <w:rsid w:val="00DF4579"/>
    <w:rsid w:val="00DF5D1B"/>
    <w:rsid w:val="00DF71F8"/>
    <w:rsid w:val="00DF7BDE"/>
    <w:rsid w:val="00E007CE"/>
    <w:rsid w:val="00E03A06"/>
    <w:rsid w:val="00E03F5F"/>
    <w:rsid w:val="00E05C6A"/>
    <w:rsid w:val="00E0728D"/>
    <w:rsid w:val="00E105F8"/>
    <w:rsid w:val="00E115A1"/>
    <w:rsid w:val="00E146B0"/>
    <w:rsid w:val="00E14F27"/>
    <w:rsid w:val="00E15354"/>
    <w:rsid w:val="00E1610D"/>
    <w:rsid w:val="00E2076B"/>
    <w:rsid w:val="00E230CB"/>
    <w:rsid w:val="00E27139"/>
    <w:rsid w:val="00E32D8C"/>
    <w:rsid w:val="00E40A14"/>
    <w:rsid w:val="00E50179"/>
    <w:rsid w:val="00E62E7B"/>
    <w:rsid w:val="00E67126"/>
    <w:rsid w:val="00E70919"/>
    <w:rsid w:val="00E72BE2"/>
    <w:rsid w:val="00E74F82"/>
    <w:rsid w:val="00E774A8"/>
    <w:rsid w:val="00E81448"/>
    <w:rsid w:val="00E83CD7"/>
    <w:rsid w:val="00E86BD5"/>
    <w:rsid w:val="00E87875"/>
    <w:rsid w:val="00EA6A1E"/>
    <w:rsid w:val="00EA783F"/>
    <w:rsid w:val="00EA7E2F"/>
    <w:rsid w:val="00EB46C0"/>
    <w:rsid w:val="00EB51C0"/>
    <w:rsid w:val="00EC0A96"/>
    <w:rsid w:val="00EC331A"/>
    <w:rsid w:val="00EC7857"/>
    <w:rsid w:val="00ED0F0F"/>
    <w:rsid w:val="00ED2270"/>
    <w:rsid w:val="00ED2508"/>
    <w:rsid w:val="00EE000B"/>
    <w:rsid w:val="00EE1B64"/>
    <w:rsid w:val="00EE4CDB"/>
    <w:rsid w:val="00EF0A36"/>
    <w:rsid w:val="00EF2816"/>
    <w:rsid w:val="00EF46C4"/>
    <w:rsid w:val="00EF63DA"/>
    <w:rsid w:val="00F02727"/>
    <w:rsid w:val="00F02EF6"/>
    <w:rsid w:val="00F03E58"/>
    <w:rsid w:val="00F0537F"/>
    <w:rsid w:val="00F05957"/>
    <w:rsid w:val="00F0667A"/>
    <w:rsid w:val="00F06866"/>
    <w:rsid w:val="00F10461"/>
    <w:rsid w:val="00F14BC9"/>
    <w:rsid w:val="00F16639"/>
    <w:rsid w:val="00F24A15"/>
    <w:rsid w:val="00F3053B"/>
    <w:rsid w:val="00F343E6"/>
    <w:rsid w:val="00F35D5C"/>
    <w:rsid w:val="00F368FE"/>
    <w:rsid w:val="00F3757C"/>
    <w:rsid w:val="00F665FC"/>
    <w:rsid w:val="00F718E2"/>
    <w:rsid w:val="00F759AF"/>
    <w:rsid w:val="00F7622E"/>
    <w:rsid w:val="00F76342"/>
    <w:rsid w:val="00F82D76"/>
    <w:rsid w:val="00F85ABC"/>
    <w:rsid w:val="00F907CB"/>
    <w:rsid w:val="00F91A5B"/>
    <w:rsid w:val="00FA08F2"/>
    <w:rsid w:val="00FA20C6"/>
    <w:rsid w:val="00FA437D"/>
    <w:rsid w:val="00FB104E"/>
    <w:rsid w:val="00FB1692"/>
    <w:rsid w:val="00FB35AE"/>
    <w:rsid w:val="00FB7943"/>
    <w:rsid w:val="00FC049F"/>
    <w:rsid w:val="00FC0D4D"/>
    <w:rsid w:val="00FD4BD0"/>
    <w:rsid w:val="00FE1538"/>
    <w:rsid w:val="00FE61DF"/>
    <w:rsid w:val="00FE76AE"/>
    <w:rsid w:val="00FF305E"/>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04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EF"/>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uiPriority w:val="99"/>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uiPriority w:val="99"/>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065AC"/>
    <w:pPr>
      <w:keepNext/>
      <w:keepLines/>
      <w:numPr>
        <w:numId w:val="11"/>
      </w:numPr>
      <w:spacing w:after="240" w:line="240" w:lineRule="auto"/>
      <w:ind w:hanging="720"/>
    </w:pPr>
    <w:rPr>
      <w:b/>
    </w:rPr>
  </w:style>
  <w:style w:type="paragraph" w:customStyle="1" w:styleId="MemoHeading4">
    <w:name w:val="Memo Heading 4"/>
    <w:basedOn w:val="MemoBodyText"/>
    <w:next w:val="MemoBodyText"/>
    <w:qFormat/>
    <w:rsid w:val="003065AC"/>
    <w:pPr>
      <w:keepNext/>
      <w:keepLines/>
      <w:numPr>
        <w:numId w:val="5"/>
      </w:numPr>
      <w:spacing w:after="240" w:line="240" w:lineRule="auto"/>
    </w:pPr>
    <w:rPr>
      <w:b/>
    </w:rPr>
  </w:style>
  <w:style w:type="paragraph" w:styleId="TOC1">
    <w:name w:val="toc 1"/>
    <w:basedOn w:val="Normal"/>
    <w:next w:val="Normal"/>
    <w:autoRedefine/>
    <w:uiPriority w:val="39"/>
    <w:unhideWhenUsed/>
    <w:rsid w:val="00B93B99"/>
    <w:pPr>
      <w:tabs>
        <w:tab w:val="left" w:pos="450"/>
        <w:tab w:val="left" w:pos="580"/>
        <w:tab w:val="right" w:leader="dot" w:pos="9350"/>
      </w:tabs>
      <w:spacing w:after="120"/>
      <w:ind w:hanging="389"/>
    </w:pPr>
    <w:rPr>
      <w:rFonts w:ascii="Times New Roman" w:hAnsi="Times New Roman"/>
      <w:b/>
      <w:bCs/>
      <w:caps/>
      <w:noProof/>
    </w:rPr>
  </w:style>
  <w:style w:type="character" w:styleId="CommentReference">
    <w:name w:val="annotation reference"/>
    <w:basedOn w:val="DefaultParagraphFont"/>
    <w:uiPriority w:val="99"/>
    <w:semiHidden/>
    <w:unhideWhenUsed/>
    <w:rsid w:val="00F343E6"/>
    <w:rPr>
      <w:sz w:val="18"/>
      <w:szCs w:val="18"/>
    </w:rPr>
  </w:style>
  <w:style w:type="paragraph" w:styleId="CommentText">
    <w:name w:val="annotation text"/>
    <w:basedOn w:val="Normal"/>
    <w:link w:val="CommentTextChar"/>
    <w:uiPriority w:val="99"/>
    <w:semiHidden/>
    <w:unhideWhenUsed/>
    <w:rsid w:val="00F343E6"/>
  </w:style>
  <w:style w:type="character" w:customStyle="1" w:styleId="CommentTextChar">
    <w:name w:val="Comment Text Char"/>
    <w:basedOn w:val="DefaultParagraphFont"/>
    <w:link w:val="CommentText"/>
    <w:uiPriority w:val="99"/>
    <w:semiHidden/>
    <w:rsid w:val="00F343E6"/>
  </w:style>
  <w:style w:type="paragraph" w:styleId="CommentSubject">
    <w:name w:val="annotation subject"/>
    <w:basedOn w:val="CommentText"/>
    <w:next w:val="CommentText"/>
    <w:link w:val="CommentSubjectChar"/>
    <w:uiPriority w:val="99"/>
    <w:semiHidden/>
    <w:unhideWhenUsed/>
    <w:rsid w:val="00F343E6"/>
    <w:rPr>
      <w:b/>
      <w:bCs/>
      <w:sz w:val="20"/>
      <w:szCs w:val="20"/>
    </w:rPr>
  </w:style>
  <w:style w:type="character" w:customStyle="1" w:styleId="CommentSubjectChar">
    <w:name w:val="Comment Subject Char"/>
    <w:basedOn w:val="CommentTextChar"/>
    <w:link w:val="CommentSubject"/>
    <w:uiPriority w:val="99"/>
    <w:semiHidden/>
    <w:rsid w:val="00F343E6"/>
    <w:rPr>
      <w:b/>
      <w:bCs/>
      <w:sz w:val="20"/>
      <w:szCs w:val="20"/>
    </w:rPr>
  </w:style>
  <w:style w:type="paragraph" w:styleId="Revision">
    <w:name w:val="Revision"/>
    <w:hidden/>
    <w:uiPriority w:val="99"/>
    <w:semiHidden/>
    <w:rsid w:val="00C91AC6"/>
  </w:style>
  <w:style w:type="paragraph" w:styleId="TOC2">
    <w:name w:val="toc 2"/>
    <w:basedOn w:val="Normal"/>
    <w:next w:val="Normal"/>
    <w:autoRedefine/>
    <w:uiPriority w:val="39"/>
    <w:unhideWhenUsed/>
    <w:rsid w:val="00CC3248"/>
    <w:pPr>
      <w:tabs>
        <w:tab w:val="left" w:pos="679"/>
        <w:tab w:val="right" w:leader="dot" w:pos="9350"/>
      </w:tabs>
      <w:ind w:left="240"/>
    </w:pPr>
    <w:rPr>
      <w:rFonts w:ascii="Times New Roman" w:hAnsi="Times New Roman"/>
      <w:b/>
      <w:noProof/>
    </w:rPr>
  </w:style>
  <w:style w:type="paragraph" w:styleId="TOC3">
    <w:name w:val="toc 3"/>
    <w:basedOn w:val="Normal"/>
    <w:next w:val="Normal"/>
    <w:autoRedefine/>
    <w:uiPriority w:val="39"/>
    <w:unhideWhenUsed/>
    <w:rsid w:val="005B4CFA"/>
    <w:pPr>
      <w:tabs>
        <w:tab w:val="left" w:pos="902"/>
        <w:tab w:val="right" w:leader="dot" w:pos="9350"/>
      </w:tabs>
      <w:spacing w:after="120"/>
      <w:ind w:left="480"/>
    </w:pPr>
    <w:rPr>
      <w:rFonts w:ascii="Times New Roman" w:hAnsi="Times New Roman"/>
      <w:b/>
      <w:noProof/>
    </w:rPr>
  </w:style>
  <w:style w:type="paragraph" w:styleId="TOC4">
    <w:name w:val="toc 4"/>
    <w:basedOn w:val="Normal"/>
    <w:next w:val="Normal"/>
    <w:autoRedefine/>
    <w:uiPriority w:val="39"/>
    <w:unhideWhenUsed/>
    <w:rsid w:val="00CC3248"/>
    <w:pPr>
      <w:ind w:left="720"/>
    </w:pPr>
  </w:style>
  <w:style w:type="paragraph" w:styleId="TOC5">
    <w:name w:val="toc 5"/>
    <w:basedOn w:val="Normal"/>
    <w:next w:val="Normal"/>
    <w:autoRedefine/>
    <w:uiPriority w:val="39"/>
    <w:unhideWhenUsed/>
    <w:rsid w:val="00CC3248"/>
    <w:pPr>
      <w:ind w:left="960"/>
    </w:pPr>
  </w:style>
  <w:style w:type="paragraph" w:styleId="TOC6">
    <w:name w:val="toc 6"/>
    <w:basedOn w:val="Normal"/>
    <w:next w:val="Normal"/>
    <w:autoRedefine/>
    <w:uiPriority w:val="39"/>
    <w:unhideWhenUsed/>
    <w:rsid w:val="00CC3248"/>
    <w:pPr>
      <w:ind w:left="1200"/>
    </w:pPr>
  </w:style>
  <w:style w:type="paragraph" w:styleId="TOC7">
    <w:name w:val="toc 7"/>
    <w:basedOn w:val="Normal"/>
    <w:next w:val="Normal"/>
    <w:autoRedefine/>
    <w:uiPriority w:val="39"/>
    <w:unhideWhenUsed/>
    <w:rsid w:val="00CC3248"/>
    <w:pPr>
      <w:ind w:left="1440"/>
    </w:pPr>
  </w:style>
  <w:style w:type="paragraph" w:styleId="TOC8">
    <w:name w:val="toc 8"/>
    <w:basedOn w:val="Normal"/>
    <w:next w:val="Normal"/>
    <w:autoRedefine/>
    <w:uiPriority w:val="39"/>
    <w:unhideWhenUsed/>
    <w:rsid w:val="00CC3248"/>
    <w:pPr>
      <w:ind w:left="1680"/>
    </w:pPr>
  </w:style>
  <w:style w:type="paragraph" w:styleId="TOC9">
    <w:name w:val="toc 9"/>
    <w:basedOn w:val="Normal"/>
    <w:next w:val="Normal"/>
    <w:autoRedefine/>
    <w:uiPriority w:val="39"/>
    <w:unhideWhenUsed/>
    <w:rsid w:val="00CC3248"/>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EF"/>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uiPriority w:val="99"/>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uiPriority w:val="99"/>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065AC"/>
    <w:pPr>
      <w:keepNext/>
      <w:keepLines/>
      <w:numPr>
        <w:numId w:val="11"/>
      </w:numPr>
      <w:spacing w:after="240" w:line="240" w:lineRule="auto"/>
      <w:ind w:hanging="720"/>
    </w:pPr>
    <w:rPr>
      <w:b/>
    </w:rPr>
  </w:style>
  <w:style w:type="paragraph" w:customStyle="1" w:styleId="MemoHeading4">
    <w:name w:val="Memo Heading 4"/>
    <w:basedOn w:val="MemoBodyText"/>
    <w:next w:val="MemoBodyText"/>
    <w:qFormat/>
    <w:rsid w:val="003065AC"/>
    <w:pPr>
      <w:keepNext/>
      <w:keepLines/>
      <w:numPr>
        <w:numId w:val="5"/>
      </w:numPr>
      <w:spacing w:after="240" w:line="240" w:lineRule="auto"/>
    </w:pPr>
    <w:rPr>
      <w:b/>
    </w:rPr>
  </w:style>
  <w:style w:type="paragraph" w:styleId="TOC1">
    <w:name w:val="toc 1"/>
    <w:basedOn w:val="Normal"/>
    <w:next w:val="Normal"/>
    <w:autoRedefine/>
    <w:uiPriority w:val="39"/>
    <w:unhideWhenUsed/>
    <w:rsid w:val="00B93B99"/>
    <w:pPr>
      <w:tabs>
        <w:tab w:val="left" w:pos="450"/>
        <w:tab w:val="left" w:pos="580"/>
        <w:tab w:val="right" w:leader="dot" w:pos="9350"/>
      </w:tabs>
      <w:spacing w:after="120"/>
      <w:ind w:hanging="389"/>
    </w:pPr>
    <w:rPr>
      <w:rFonts w:ascii="Times New Roman" w:hAnsi="Times New Roman"/>
      <w:b/>
      <w:bCs/>
      <w:caps/>
      <w:noProof/>
    </w:rPr>
  </w:style>
  <w:style w:type="character" w:styleId="CommentReference">
    <w:name w:val="annotation reference"/>
    <w:basedOn w:val="DefaultParagraphFont"/>
    <w:uiPriority w:val="99"/>
    <w:semiHidden/>
    <w:unhideWhenUsed/>
    <w:rsid w:val="00F343E6"/>
    <w:rPr>
      <w:sz w:val="18"/>
      <w:szCs w:val="18"/>
    </w:rPr>
  </w:style>
  <w:style w:type="paragraph" w:styleId="CommentText">
    <w:name w:val="annotation text"/>
    <w:basedOn w:val="Normal"/>
    <w:link w:val="CommentTextChar"/>
    <w:uiPriority w:val="99"/>
    <w:semiHidden/>
    <w:unhideWhenUsed/>
    <w:rsid w:val="00F343E6"/>
  </w:style>
  <w:style w:type="character" w:customStyle="1" w:styleId="CommentTextChar">
    <w:name w:val="Comment Text Char"/>
    <w:basedOn w:val="DefaultParagraphFont"/>
    <w:link w:val="CommentText"/>
    <w:uiPriority w:val="99"/>
    <w:semiHidden/>
    <w:rsid w:val="00F343E6"/>
  </w:style>
  <w:style w:type="paragraph" w:styleId="CommentSubject">
    <w:name w:val="annotation subject"/>
    <w:basedOn w:val="CommentText"/>
    <w:next w:val="CommentText"/>
    <w:link w:val="CommentSubjectChar"/>
    <w:uiPriority w:val="99"/>
    <w:semiHidden/>
    <w:unhideWhenUsed/>
    <w:rsid w:val="00F343E6"/>
    <w:rPr>
      <w:b/>
      <w:bCs/>
      <w:sz w:val="20"/>
      <w:szCs w:val="20"/>
    </w:rPr>
  </w:style>
  <w:style w:type="character" w:customStyle="1" w:styleId="CommentSubjectChar">
    <w:name w:val="Comment Subject Char"/>
    <w:basedOn w:val="CommentTextChar"/>
    <w:link w:val="CommentSubject"/>
    <w:uiPriority w:val="99"/>
    <w:semiHidden/>
    <w:rsid w:val="00F343E6"/>
    <w:rPr>
      <w:b/>
      <w:bCs/>
      <w:sz w:val="20"/>
      <w:szCs w:val="20"/>
    </w:rPr>
  </w:style>
  <w:style w:type="paragraph" w:styleId="Revision">
    <w:name w:val="Revision"/>
    <w:hidden/>
    <w:uiPriority w:val="99"/>
    <w:semiHidden/>
    <w:rsid w:val="00C91AC6"/>
  </w:style>
  <w:style w:type="paragraph" w:styleId="TOC2">
    <w:name w:val="toc 2"/>
    <w:basedOn w:val="Normal"/>
    <w:next w:val="Normal"/>
    <w:autoRedefine/>
    <w:uiPriority w:val="39"/>
    <w:unhideWhenUsed/>
    <w:rsid w:val="00CC3248"/>
    <w:pPr>
      <w:tabs>
        <w:tab w:val="left" w:pos="679"/>
        <w:tab w:val="right" w:leader="dot" w:pos="9350"/>
      </w:tabs>
      <w:ind w:left="240"/>
    </w:pPr>
    <w:rPr>
      <w:rFonts w:ascii="Times New Roman" w:hAnsi="Times New Roman"/>
      <w:b/>
      <w:noProof/>
    </w:rPr>
  </w:style>
  <w:style w:type="paragraph" w:styleId="TOC3">
    <w:name w:val="toc 3"/>
    <w:basedOn w:val="Normal"/>
    <w:next w:val="Normal"/>
    <w:autoRedefine/>
    <w:uiPriority w:val="39"/>
    <w:unhideWhenUsed/>
    <w:rsid w:val="005B4CFA"/>
    <w:pPr>
      <w:tabs>
        <w:tab w:val="left" w:pos="902"/>
        <w:tab w:val="right" w:leader="dot" w:pos="9350"/>
      </w:tabs>
      <w:spacing w:after="120"/>
      <w:ind w:left="480"/>
    </w:pPr>
    <w:rPr>
      <w:rFonts w:ascii="Times New Roman" w:hAnsi="Times New Roman"/>
      <w:b/>
      <w:noProof/>
    </w:rPr>
  </w:style>
  <w:style w:type="paragraph" w:styleId="TOC4">
    <w:name w:val="toc 4"/>
    <w:basedOn w:val="Normal"/>
    <w:next w:val="Normal"/>
    <w:autoRedefine/>
    <w:uiPriority w:val="39"/>
    <w:unhideWhenUsed/>
    <w:rsid w:val="00CC3248"/>
    <w:pPr>
      <w:ind w:left="720"/>
    </w:pPr>
  </w:style>
  <w:style w:type="paragraph" w:styleId="TOC5">
    <w:name w:val="toc 5"/>
    <w:basedOn w:val="Normal"/>
    <w:next w:val="Normal"/>
    <w:autoRedefine/>
    <w:uiPriority w:val="39"/>
    <w:unhideWhenUsed/>
    <w:rsid w:val="00CC3248"/>
    <w:pPr>
      <w:ind w:left="960"/>
    </w:pPr>
  </w:style>
  <w:style w:type="paragraph" w:styleId="TOC6">
    <w:name w:val="toc 6"/>
    <w:basedOn w:val="Normal"/>
    <w:next w:val="Normal"/>
    <w:autoRedefine/>
    <w:uiPriority w:val="39"/>
    <w:unhideWhenUsed/>
    <w:rsid w:val="00CC3248"/>
    <w:pPr>
      <w:ind w:left="1200"/>
    </w:pPr>
  </w:style>
  <w:style w:type="paragraph" w:styleId="TOC7">
    <w:name w:val="toc 7"/>
    <w:basedOn w:val="Normal"/>
    <w:next w:val="Normal"/>
    <w:autoRedefine/>
    <w:uiPriority w:val="39"/>
    <w:unhideWhenUsed/>
    <w:rsid w:val="00CC3248"/>
    <w:pPr>
      <w:ind w:left="1440"/>
    </w:pPr>
  </w:style>
  <w:style w:type="paragraph" w:styleId="TOC8">
    <w:name w:val="toc 8"/>
    <w:basedOn w:val="Normal"/>
    <w:next w:val="Normal"/>
    <w:autoRedefine/>
    <w:uiPriority w:val="39"/>
    <w:unhideWhenUsed/>
    <w:rsid w:val="00CC3248"/>
    <w:pPr>
      <w:ind w:left="1680"/>
    </w:pPr>
  </w:style>
  <w:style w:type="paragraph" w:styleId="TOC9">
    <w:name w:val="toc 9"/>
    <w:basedOn w:val="Normal"/>
    <w:next w:val="Normal"/>
    <w:autoRedefine/>
    <w:uiPriority w:val="39"/>
    <w:unhideWhenUsed/>
    <w:rsid w:val="00CC3248"/>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9189">
      <w:bodyDiv w:val="1"/>
      <w:marLeft w:val="0"/>
      <w:marRight w:val="0"/>
      <w:marTop w:val="0"/>
      <w:marBottom w:val="0"/>
      <w:divBdr>
        <w:top w:val="none" w:sz="0" w:space="0" w:color="auto"/>
        <w:left w:val="none" w:sz="0" w:space="0" w:color="auto"/>
        <w:bottom w:val="none" w:sz="0" w:space="0" w:color="auto"/>
        <w:right w:val="none" w:sz="0" w:space="0" w:color="auto"/>
      </w:divBdr>
    </w:div>
    <w:div w:id="242640373">
      <w:bodyDiv w:val="1"/>
      <w:marLeft w:val="0"/>
      <w:marRight w:val="0"/>
      <w:marTop w:val="0"/>
      <w:marBottom w:val="0"/>
      <w:divBdr>
        <w:top w:val="none" w:sz="0" w:space="0" w:color="auto"/>
        <w:left w:val="none" w:sz="0" w:space="0" w:color="auto"/>
        <w:bottom w:val="none" w:sz="0" w:space="0" w:color="auto"/>
        <w:right w:val="none" w:sz="0" w:space="0" w:color="auto"/>
      </w:divBdr>
    </w:div>
    <w:div w:id="263611317">
      <w:bodyDiv w:val="1"/>
      <w:marLeft w:val="0"/>
      <w:marRight w:val="0"/>
      <w:marTop w:val="0"/>
      <w:marBottom w:val="0"/>
      <w:divBdr>
        <w:top w:val="none" w:sz="0" w:space="0" w:color="auto"/>
        <w:left w:val="none" w:sz="0" w:space="0" w:color="auto"/>
        <w:bottom w:val="none" w:sz="0" w:space="0" w:color="auto"/>
        <w:right w:val="none" w:sz="0" w:space="0" w:color="auto"/>
      </w:divBdr>
    </w:div>
    <w:div w:id="291398606">
      <w:bodyDiv w:val="1"/>
      <w:marLeft w:val="0"/>
      <w:marRight w:val="0"/>
      <w:marTop w:val="0"/>
      <w:marBottom w:val="0"/>
      <w:divBdr>
        <w:top w:val="none" w:sz="0" w:space="0" w:color="auto"/>
        <w:left w:val="none" w:sz="0" w:space="0" w:color="auto"/>
        <w:bottom w:val="none" w:sz="0" w:space="0" w:color="auto"/>
        <w:right w:val="none" w:sz="0" w:space="0" w:color="auto"/>
      </w:divBdr>
    </w:div>
    <w:div w:id="575939006">
      <w:bodyDiv w:val="1"/>
      <w:marLeft w:val="0"/>
      <w:marRight w:val="0"/>
      <w:marTop w:val="0"/>
      <w:marBottom w:val="0"/>
      <w:divBdr>
        <w:top w:val="none" w:sz="0" w:space="0" w:color="auto"/>
        <w:left w:val="none" w:sz="0" w:space="0" w:color="auto"/>
        <w:bottom w:val="none" w:sz="0" w:space="0" w:color="auto"/>
        <w:right w:val="none" w:sz="0" w:space="0" w:color="auto"/>
      </w:divBdr>
      <w:divsChild>
        <w:div w:id="2008361491">
          <w:marLeft w:val="0"/>
          <w:marRight w:val="0"/>
          <w:marTop w:val="0"/>
          <w:marBottom w:val="0"/>
          <w:divBdr>
            <w:top w:val="none" w:sz="0" w:space="0" w:color="auto"/>
            <w:left w:val="none" w:sz="0" w:space="0" w:color="auto"/>
            <w:bottom w:val="none" w:sz="0" w:space="0" w:color="auto"/>
            <w:right w:val="none" w:sz="0" w:space="0" w:color="auto"/>
          </w:divBdr>
        </w:div>
      </w:divsChild>
    </w:div>
    <w:div w:id="591544711">
      <w:bodyDiv w:val="1"/>
      <w:marLeft w:val="0"/>
      <w:marRight w:val="0"/>
      <w:marTop w:val="0"/>
      <w:marBottom w:val="0"/>
      <w:divBdr>
        <w:top w:val="none" w:sz="0" w:space="0" w:color="auto"/>
        <w:left w:val="none" w:sz="0" w:space="0" w:color="auto"/>
        <w:bottom w:val="none" w:sz="0" w:space="0" w:color="auto"/>
        <w:right w:val="none" w:sz="0" w:space="0" w:color="auto"/>
      </w:divBdr>
      <w:divsChild>
        <w:div w:id="1296523982">
          <w:marLeft w:val="0"/>
          <w:marRight w:val="0"/>
          <w:marTop w:val="0"/>
          <w:marBottom w:val="0"/>
          <w:divBdr>
            <w:top w:val="none" w:sz="0" w:space="0" w:color="auto"/>
            <w:left w:val="none" w:sz="0" w:space="0" w:color="auto"/>
            <w:bottom w:val="none" w:sz="0" w:space="0" w:color="auto"/>
            <w:right w:val="none" w:sz="0" w:space="0" w:color="auto"/>
          </w:divBdr>
        </w:div>
      </w:divsChild>
    </w:div>
    <w:div w:id="839852493">
      <w:bodyDiv w:val="1"/>
      <w:marLeft w:val="0"/>
      <w:marRight w:val="0"/>
      <w:marTop w:val="0"/>
      <w:marBottom w:val="0"/>
      <w:divBdr>
        <w:top w:val="none" w:sz="0" w:space="0" w:color="auto"/>
        <w:left w:val="none" w:sz="0" w:space="0" w:color="auto"/>
        <w:bottom w:val="none" w:sz="0" w:space="0" w:color="auto"/>
        <w:right w:val="none" w:sz="0" w:space="0" w:color="auto"/>
      </w:divBdr>
    </w:div>
    <w:div w:id="1250307101">
      <w:bodyDiv w:val="1"/>
      <w:marLeft w:val="0"/>
      <w:marRight w:val="0"/>
      <w:marTop w:val="0"/>
      <w:marBottom w:val="0"/>
      <w:divBdr>
        <w:top w:val="none" w:sz="0" w:space="0" w:color="auto"/>
        <w:left w:val="none" w:sz="0" w:space="0" w:color="auto"/>
        <w:bottom w:val="none" w:sz="0" w:space="0" w:color="auto"/>
        <w:right w:val="none" w:sz="0" w:space="0" w:color="auto"/>
      </w:divBdr>
      <w:divsChild>
        <w:div w:id="568806754">
          <w:marLeft w:val="0"/>
          <w:marRight w:val="0"/>
          <w:marTop w:val="0"/>
          <w:marBottom w:val="0"/>
          <w:divBdr>
            <w:top w:val="none" w:sz="0" w:space="0" w:color="auto"/>
            <w:left w:val="none" w:sz="0" w:space="0" w:color="auto"/>
            <w:bottom w:val="none" w:sz="0" w:space="0" w:color="auto"/>
            <w:right w:val="none" w:sz="0" w:space="0" w:color="auto"/>
          </w:divBdr>
        </w:div>
      </w:divsChild>
    </w:div>
    <w:div w:id="1471091568">
      <w:bodyDiv w:val="1"/>
      <w:marLeft w:val="0"/>
      <w:marRight w:val="0"/>
      <w:marTop w:val="0"/>
      <w:marBottom w:val="0"/>
      <w:divBdr>
        <w:top w:val="none" w:sz="0" w:space="0" w:color="auto"/>
        <w:left w:val="none" w:sz="0" w:space="0" w:color="auto"/>
        <w:bottom w:val="none" w:sz="0" w:space="0" w:color="auto"/>
        <w:right w:val="none" w:sz="0" w:space="0" w:color="auto"/>
      </w:divBdr>
    </w:div>
    <w:div w:id="1666518692">
      <w:bodyDiv w:val="1"/>
      <w:marLeft w:val="0"/>
      <w:marRight w:val="0"/>
      <w:marTop w:val="0"/>
      <w:marBottom w:val="0"/>
      <w:divBdr>
        <w:top w:val="none" w:sz="0" w:space="0" w:color="auto"/>
        <w:left w:val="none" w:sz="0" w:space="0" w:color="auto"/>
        <w:bottom w:val="none" w:sz="0" w:space="0" w:color="auto"/>
        <w:right w:val="none" w:sz="0" w:space="0" w:color="auto"/>
      </w:divBdr>
    </w:div>
    <w:div w:id="2102334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AC95-72DD-0D46-BB29-AD63DC5A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2810</Words>
  <Characters>16017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 Sturtevant</dc:creator>
  <cp:lastModifiedBy>Melissa Thompson</cp:lastModifiedBy>
  <cp:revision>2</cp:revision>
  <cp:lastPrinted>2012-06-20T18:26:00Z</cp:lastPrinted>
  <dcterms:created xsi:type="dcterms:W3CDTF">2012-06-29T21:02:00Z</dcterms:created>
  <dcterms:modified xsi:type="dcterms:W3CDTF">2012-06-29T21:02:00Z</dcterms:modified>
</cp:coreProperties>
</file>