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8B1879" w:rsidRPr="0062492A" w:rsidP="00DC517F" w14:paraId="2E187335" w14:textId="63CBCFD9">
      <w:pPr>
        <w:pStyle w:val="HTMLPreformatted"/>
        <w:jc w:val="center"/>
        <w:rPr>
          <w:rFonts w:ascii="Times New Roman" w:hAnsi="Times New Roman" w:cs="Times New Roman"/>
          <w:b/>
          <w:bCs/>
          <w:sz w:val="24"/>
          <w:szCs w:val="24"/>
        </w:rPr>
      </w:pPr>
      <w:r w:rsidRPr="0062492A">
        <w:rPr>
          <w:rFonts w:ascii="Times New Roman" w:hAnsi="Times New Roman" w:cs="Times New Roman"/>
          <w:b/>
          <w:bCs/>
          <w:sz w:val="24"/>
          <w:szCs w:val="24"/>
        </w:rPr>
        <w:t>BEFORE</w:t>
      </w:r>
    </w:p>
    <w:p w:rsidR="00A5637F" w:rsidRPr="0062492A" w14:paraId="46FC91B4" w14:textId="77777777">
      <w:pPr>
        <w:pStyle w:val="HTMLPreformatted"/>
        <w:jc w:val="center"/>
        <w:rPr>
          <w:rFonts w:ascii="Times New Roman" w:hAnsi="Times New Roman" w:cs="Times New Roman"/>
          <w:b/>
          <w:bCs/>
          <w:sz w:val="24"/>
          <w:szCs w:val="24"/>
        </w:rPr>
      </w:pPr>
      <w:r w:rsidRPr="0062492A">
        <w:rPr>
          <w:rFonts w:ascii="Times New Roman" w:hAnsi="Times New Roman" w:cs="Times New Roman"/>
          <w:b/>
          <w:bCs/>
          <w:sz w:val="24"/>
          <w:szCs w:val="24"/>
        </w:rPr>
        <w:t>THE PUBLIC UTILITIES COMMISSION OF OHIO</w:t>
      </w:r>
    </w:p>
    <w:p w:rsidR="00A5637F" w:rsidRPr="0062492A" w14:paraId="626E78F6" w14:textId="77777777">
      <w:pPr>
        <w:pStyle w:val="HTMLPreformatted"/>
        <w:jc w:val="center"/>
        <w:rPr>
          <w:rFonts w:ascii="Times New Roman" w:hAnsi="Times New Roman" w:cs="Times New Roman"/>
          <w:b/>
          <w:bCs/>
          <w:sz w:val="24"/>
          <w:szCs w:val="24"/>
        </w:rPr>
      </w:pPr>
    </w:p>
    <w:tbl>
      <w:tblPr>
        <w:tblW w:w="8640" w:type="dxa"/>
        <w:tblInd w:w="0" w:type="dxa"/>
        <w:tblCellMar>
          <w:top w:w="0" w:type="dxa"/>
          <w:left w:w="108" w:type="dxa"/>
          <w:bottom w:w="0" w:type="dxa"/>
          <w:right w:w="108" w:type="dxa"/>
        </w:tblCellMar>
        <w:tblLook w:val="01E0"/>
      </w:tblPr>
      <w:tblGrid>
        <w:gridCol w:w="4230"/>
        <w:gridCol w:w="630"/>
        <w:gridCol w:w="3780"/>
      </w:tblGrid>
      <w:tr w14:paraId="15B67F5F" w14:textId="77777777" w:rsidTr="0069241E">
        <w:tblPrEx>
          <w:tblW w:w="8640" w:type="dxa"/>
          <w:tblInd w:w="0" w:type="dxa"/>
          <w:tblCellMar>
            <w:top w:w="0" w:type="dxa"/>
            <w:left w:w="108" w:type="dxa"/>
            <w:bottom w:w="0" w:type="dxa"/>
            <w:right w:w="108" w:type="dxa"/>
          </w:tblCellMar>
          <w:tblLook w:val="01E0"/>
        </w:tblPrEx>
        <w:trPr>
          <w:trHeight w:val="807"/>
        </w:trPr>
        <w:tc>
          <w:tcPr>
            <w:tcW w:w="4230" w:type="dxa"/>
            <w:shd w:val="clear" w:color="auto" w:fill="auto"/>
          </w:tcPr>
          <w:p w:rsidR="002C7D60" w:rsidRPr="0062492A" w:rsidP="003F6E1A" w14:paraId="432355A6" w14:textId="625F442E">
            <w:pPr>
              <w:autoSpaceDE w:val="0"/>
              <w:autoSpaceDN w:val="0"/>
              <w:adjustRightInd w:val="0"/>
              <w:rPr>
                <w:sz w:val="24"/>
                <w:szCs w:val="24"/>
                <w:lang w:val="en-US" w:eastAsia="en-US" w:bidi="ar-SA"/>
              </w:rPr>
            </w:pPr>
            <w:r w:rsidRPr="0062492A">
              <w:rPr>
                <w:sz w:val="24"/>
                <w:szCs w:val="24"/>
                <w:lang w:val="en-US" w:eastAsia="en-US" w:bidi="ar-SA"/>
              </w:rPr>
              <w:t xml:space="preserve">In the Matter of the Application of </w:t>
            </w:r>
            <w:r w:rsidRPr="0062492A" w:rsidR="00760EC8">
              <w:rPr>
                <w:sz w:val="24"/>
                <w:szCs w:val="24"/>
                <w:lang w:val="en-US" w:eastAsia="en-US" w:bidi="ar-SA"/>
              </w:rPr>
              <w:t>Duke Energy Ohio, Inc.</w:t>
            </w:r>
            <w:r w:rsidRPr="0062492A">
              <w:rPr>
                <w:sz w:val="24"/>
                <w:szCs w:val="24"/>
                <w:lang w:val="en-US" w:eastAsia="en-US" w:bidi="ar-SA"/>
              </w:rPr>
              <w:t xml:space="preserve"> to </w:t>
            </w:r>
            <w:r w:rsidRPr="0062492A" w:rsidR="00760EC8">
              <w:rPr>
                <w:sz w:val="24"/>
                <w:szCs w:val="24"/>
                <w:lang w:val="en-US" w:eastAsia="en-US" w:bidi="ar-SA"/>
              </w:rPr>
              <w:t>Adjust and Set the Rate for Rider BTR</w:t>
            </w:r>
            <w:r w:rsidRPr="0062492A" w:rsidR="00B742C1">
              <w:rPr>
                <w:sz w:val="24"/>
                <w:szCs w:val="24"/>
                <w:lang w:val="en-US" w:eastAsia="en-US" w:bidi="ar-SA"/>
              </w:rPr>
              <w:t>.</w:t>
            </w:r>
          </w:p>
        </w:tc>
        <w:tc>
          <w:tcPr>
            <w:tcW w:w="630" w:type="dxa"/>
            <w:shd w:val="clear" w:color="auto" w:fill="auto"/>
          </w:tcPr>
          <w:p w:rsidR="002C7D60" w:rsidRPr="0062492A" w:rsidP="003F6E1A" w14:paraId="3D99AACE"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62492A">
              <w:rPr>
                <w:rFonts w:ascii="Times New Roman" w:eastAsia="Courier New" w:hAnsi="Times New Roman" w:cs="Times New Roman"/>
                <w:sz w:val="24"/>
                <w:szCs w:val="24"/>
                <w:lang w:val="en-US" w:eastAsia="en-US" w:bidi="ar-SA"/>
              </w:rPr>
              <w:t>)</w:t>
            </w:r>
          </w:p>
          <w:p w:rsidR="002C7D60" w:rsidRPr="0062492A" w:rsidP="003F6E1A" w14:paraId="4B3A7115"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62492A">
              <w:rPr>
                <w:rFonts w:ascii="Times New Roman" w:eastAsia="Courier New" w:hAnsi="Times New Roman" w:cs="Times New Roman"/>
                <w:sz w:val="24"/>
                <w:szCs w:val="24"/>
                <w:lang w:val="en-US" w:eastAsia="en-US" w:bidi="ar-SA"/>
              </w:rPr>
              <w:t>)</w:t>
            </w:r>
          </w:p>
          <w:p w:rsidR="002C7D60" w:rsidRPr="0062492A" w:rsidP="003F6E1A" w14:paraId="1C112113"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62492A">
              <w:rPr>
                <w:rFonts w:ascii="Times New Roman" w:eastAsia="Courier New" w:hAnsi="Times New Roman" w:cs="Times New Roman"/>
                <w:sz w:val="24"/>
                <w:szCs w:val="24"/>
                <w:lang w:val="en-US" w:eastAsia="en-US" w:bidi="ar-SA"/>
              </w:rPr>
              <w:t>)</w:t>
            </w:r>
          </w:p>
        </w:tc>
        <w:tc>
          <w:tcPr>
            <w:tcW w:w="3780" w:type="dxa"/>
            <w:shd w:val="clear" w:color="auto" w:fill="auto"/>
          </w:tcPr>
          <w:p w:rsidR="002C7D60" w:rsidRPr="0062492A" w:rsidP="003F6E1A" w14:paraId="582EA5B3"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2C7D60" w:rsidRPr="0062492A" w:rsidP="003F6E1A" w14:paraId="1097AF07" w14:textId="51F10AD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62492A">
              <w:rPr>
                <w:rFonts w:ascii="Times New Roman" w:eastAsia="Courier New" w:hAnsi="Times New Roman" w:cs="Times New Roman"/>
                <w:sz w:val="24"/>
                <w:szCs w:val="24"/>
                <w:lang w:val="en-US" w:eastAsia="en-US" w:bidi="ar-SA"/>
              </w:rPr>
              <w:t xml:space="preserve">Case No. </w:t>
            </w:r>
            <w:r w:rsidRPr="0062492A" w:rsidR="0065217E">
              <w:rPr>
                <w:rFonts w:ascii="Times New Roman" w:eastAsia="Courier New" w:hAnsi="Times New Roman" w:cs="Times New Roman"/>
                <w:sz w:val="24"/>
                <w:szCs w:val="24"/>
                <w:lang w:val="en-US" w:eastAsia="en-US" w:bidi="ar-SA"/>
              </w:rPr>
              <w:t>24-</w:t>
            </w:r>
            <w:r w:rsidRPr="0062492A" w:rsidR="00760EC8">
              <w:rPr>
                <w:rFonts w:ascii="Times New Roman" w:eastAsia="Courier New" w:hAnsi="Times New Roman" w:cs="Times New Roman"/>
                <w:sz w:val="24"/>
                <w:szCs w:val="24"/>
                <w:lang w:val="en-US" w:eastAsia="en-US" w:bidi="ar-SA"/>
              </w:rPr>
              <w:t>658</w:t>
            </w:r>
            <w:r w:rsidRPr="0062492A" w:rsidR="0065217E">
              <w:rPr>
                <w:rFonts w:ascii="Times New Roman" w:eastAsia="Courier New" w:hAnsi="Times New Roman" w:cs="Times New Roman"/>
                <w:sz w:val="24"/>
                <w:szCs w:val="24"/>
                <w:lang w:val="en-US" w:eastAsia="en-US" w:bidi="ar-SA"/>
              </w:rPr>
              <w:t>-EL-RDR</w:t>
            </w:r>
          </w:p>
          <w:p w:rsidR="002C7D60" w:rsidRPr="0062492A" w:rsidP="003F6E1A" w14:paraId="100B1F25"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tc>
      </w:tr>
    </w:tbl>
    <w:p w:rsidR="00A5637F" w:rsidRPr="0062492A" w14:paraId="15412A71" w14:textId="77777777">
      <w:pPr>
        <w:pStyle w:val="InsideAddress"/>
        <w:pBdr>
          <w:bottom w:val="single" w:sz="12" w:space="1" w:color="auto"/>
        </w:pBdr>
        <w:rPr>
          <w:rFonts w:ascii="Times New Roman" w:eastAsia="Times New Roman" w:hAnsi="Times New Roman"/>
          <w:szCs w:val="24"/>
        </w:rPr>
      </w:pPr>
    </w:p>
    <w:p w:rsidR="00A5637F" w:rsidRPr="0062492A" w14:paraId="0005FD1B" w14:textId="77777777">
      <w:pPr>
        <w:pStyle w:val="InsideAddress"/>
        <w:rPr>
          <w:rFonts w:ascii="Times New Roman" w:eastAsia="Times New Roman" w:hAnsi="Times New Roman"/>
          <w:szCs w:val="24"/>
        </w:rPr>
      </w:pPr>
    </w:p>
    <w:p w:rsidR="00E372F2" w:rsidRPr="0062492A" w14:paraId="4E9FFCD0" w14:textId="21A35047">
      <w:pPr>
        <w:pStyle w:val="Footer"/>
        <w:tabs>
          <w:tab w:val="clear" w:pos="4320"/>
          <w:tab w:val="clear" w:pos="8640"/>
        </w:tabs>
        <w:spacing w:line="240" w:lineRule="auto"/>
        <w:jc w:val="center"/>
        <w:rPr>
          <w:b/>
        </w:rPr>
      </w:pPr>
      <w:r w:rsidRPr="0062492A">
        <w:rPr>
          <w:b/>
        </w:rPr>
        <w:t>MOTION TO INTERVENE</w:t>
      </w:r>
    </w:p>
    <w:p w:rsidR="00A5637F" w:rsidRPr="0062492A" w14:paraId="221D5203" w14:textId="77777777">
      <w:pPr>
        <w:pStyle w:val="Footer"/>
        <w:tabs>
          <w:tab w:val="clear" w:pos="4320"/>
          <w:tab w:val="clear" w:pos="8640"/>
        </w:tabs>
        <w:spacing w:line="240" w:lineRule="auto"/>
        <w:jc w:val="center"/>
        <w:rPr>
          <w:b/>
        </w:rPr>
      </w:pPr>
      <w:r w:rsidRPr="0062492A">
        <w:rPr>
          <w:b/>
        </w:rPr>
        <w:t>BY</w:t>
      </w:r>
    </w:p>
    <w:p w:rsidR="002C7D60" w:rsidRPr="0062492A" w:rsidP="002C7D60" w14:paraId="59DFFA66" w14:textId="2DE7BF56">
      <w:pPr>
        <w:jc w:val="center"/>
        <w:rPr>
          <w:b/>
          <w:bCs/>
        </w:rPr>
      </w:pPr>
      <w:r w:rsidRPr="0062492A">
        <w:rPr>
          <w:b/>
          <w:bCs/>
        </w:rPr>
        <w:t>OFFICE OF THE OHIO CONSUMERS</w:t>
      </w:r>
      <w:r w:rsidR="0062492A">
        <w:rPr>
          <w:b/>
          <w:bCs/>
        </w:rPr>
        <w:t>’</w:t>
      </w:r>
      <w:r w:rsidRPr="0062492A">
        <w:rPr>
          <w:b/>
          <w:bCs/>
        </w:rPr>
        <w:t xml:space="preserve"> COUNSEL</w:t>
      </w:r>
    </w:p>
    <w:p w:rsidR="00A5637F" w:rsidRPr="0062492A" w14:paraId="0095FDA1" w14:textId="77777777">
      <w:pPr>
        <w:pStyle w:val="Footer"/>
        <w:pBdr>
          <w:bottom w:val="single" w:sz="12" w:space="1" w:color="auto"/>
        </w:pBdr>
        <w:tabs>
          <w:tab w:val="clear" w:pos="4320"/>
          <w:tab w:val="clear" w:pos="8640"/>
        </w:tabs>
        <w:spacing w:line="240" w:lineRule="auto"/>
        <w:rPr>
          <w:b/>
        </w:rPr>
      </w:pPr>
    </w:p>
    <w:p w:rsidR="00A5637F" w:rsidRPr="0062492A" w14:paraId="152FA7C3" w14:textId="77777777">
      <w:pPr>
        <w:pStyle w:val="Footer"/>
        <w:tabs>
          <w:tab w:val="clear" w:pos="4320"/>
          <w:tab w:val="clear" w:pos="8640"/>
        </w:tabs>
        <w:spacing w:line="240" w:lineRule="auto"/>
        <w:jc w:val="center"/>
        <w:rPr>
          <w:b/>
        </w:rPr>
      </w:pPr>
    </w:p>
    <w:p w:rsidR="000C0E4A" w:rsidRPr="0062492A" w:rsidP="000C0E4A" w14:paraId="649E7ED4" w14:textId="65002A62">
      <w:pPr>
        <w:pStyle w:val="BodyTextIndent3"/>
        <w:widowControl w:val="0"/>
        <w:spacing w:line="480" w:lineRule="auto"/>
        <w:rPr>
          <w:szCs w:val="24"/>
        </w:rPr>
      </w:pPr>
      <w:r w:rsidRPr="0062492A">
        <w:rPr>
          <w:szCs w:val="24"/>
        </w:rPr>
        <w:t>The Office of the Ohio Consumers</w:t>
      </w:r>
      <w:r w:rsidR="0062492A">
        <w:rPr>
          <w:szCs w:val="24"/>
        </w:rPr>
        <w:t>’</w:t>
      </w:r>
      <w:r w:rsidRPr="0062492A">
        <w:rPr>
          <w:szCs w:val="24"/>
        </w:rPr>
        <w:t xml:space="preserve"> Counsel (</w:t>
      </w:r>
      <w:r w:rsidR="0062492A">
        <w:rPr>
          <w:szCs w:val="24"/>
        </w:rPr>
        <w:t>“</w:t>
      </w:r>
      <w:r w:rsidRPr="0062492A">
        <w:rPr>
          <w:szCs w:val="24"/>
        </w:rPr>
        <w:t>OCC</w:t>
      </w:r>
      <w:r w:rsidR="0062492A">
        <w:rPr>
          <w:szCs w:val="24"/>
        </w:rPr>
        <w:t>”</w:t>
      </w:r>
      <w:r w:rsidRPr="0062492A">
        <w:rPr>
          <w:szCs w:val="24"/>
        </w:rPr>
        <w:t>) moves to intervene</w:t>
      </w:r>
      <w:r>
        <w:rPr>
          <w:szCs w:val="24"/>
          <w:vertAlign w:val="superscript"/>
        </w:rPr>
        <w:footnoteReference w:id="2"/>
      </w:r>
      <w:r w:rsidRPr="0062492A">
        <w:rPr>
          <w:szCs w:val="24"/>
        </w:rPr>
        <w:t xml:space="preserve"> </w:t>
      </w:r>
      <w:r w:rsidRPr="0062492A" w:rsidR="004A7782">
        <w:rPr>
          <w:szCs w:val="24"/>
        </w:rPr>
        <w:t xml:space="preserve">in this case </w:t>
      </w:r>
      <w:r w:rsidRPr="0062492A">
        <w:rPr>
          <w:szCs w:val="24"/>
        </w:rPr>
        <w:t xml:space="preserve">where </w:t>
      </w:r>
      <w:r w:rsidRPr="0062492A" w:rsidR="00560952">
        <w:rPr>
          <w:szCs w:val="24"/>
        </w:rPr>
        <w:t>Duke Energy Ohio, Inc.</w:t>
      </w:r>
      <w:r w:rsidRPr="0062492A">
        <w:rPr>
          <w:szCs w:val="24"/>
        </w:rPr>
        <w:t xml:space="preserve"> (</w:t>
      </w:r>
      <w:r w:rsidR="0062492A">
        <w:rPr>
          <w:szCs w:val="24"/>
        </w:rPr>
        <w:t>“</w:t>
      </w:r>
      <w:r w:rsidRPr="0062492A" w:rsidR="00560952">
        <w:rPr>
          <w:szCs w:val="24"/>
        </w:rPr>
        <w:t>Duke</w:t>
      </w:r>
      <w:r w:rsidR="0062492A">
        <w:rPr>
          <w:szCs w:val="24"/>
        </w:rPr>
        <w:t>”</w:t>
      </w:r>
      <w:r w:rsidRPr="0062492A">
        <w:rPr>
          <w:szCs w:val="24"/>
        </w:rPr>
        <w:t xml:space="preserve">) submitted </w:t>
      </w:r>
      <w:r w:rsidRPr="0062492A" w:rsidR="00282888">
        <w:rPr>
          <w:szCs w:val="24"/>
        </w:rPr>
        <w:t>an</w:t>
      </w:r>
      <w:r w:rsidRPr="0062492A" w:rsidR="00CF2632">
        <w:rPr>
          <w:szCs w:val="24"/>
        </w:rPr>
        <w:t xml:space="preserve"> </w:t>
      </w:r>
      <w:r w:rsidRPr="0062492A" w:rsidR="00560952">
        <w:rPr>
          <w:szCs w:val="24"/>
        </w:rPr>
        <w:t>A</w:t>
      </w:r>
      <w:r w:rsidRPr="0062492A" w:rsidR="00665EE2">
        <w:rPr>
          <w:szCs w:val="24"/>
        </w:rPr>
        <w:t xml:space="preserve">pplication to </w:t>
      </w:r>
      <w:r w:rsidRPr="0062492A" w:rsidR="00560952">
        <w:rPr>
          <w:szCs w:val="24"/>
        </w:rPr>
        <w:t>Adjust and Set the Rates for</w:t>
      </w:r>
      <w:r w:rsidRPr="0062492A" w:rsidR="00665EE2">
        <w:rPr>
          <w:szCs w:val="24"/>
        </w:rPr>
        <w:t xml:space="preserve"> its </w:t>
      </w:r>
      <w:r w:rsidRPr="0062492A" w:rsidR="003F5A87">
        <w:rPr>
          <w:szCs w:val="24"/>
        </w:rPr>
        <w:t>Base Transmission Rate Rider (</w:t>
      </w:r>
      <w:r w:rsidR="0062492A">
        <w:rPr>
          <w:szCs w:val="24"/>
        </w:rPr>
        <w:t>“</w:t>
      </w:r>
      <w:r w:rsidRPr="0062492A" w:rsidR="003F5A87">
        <w:rPr>
          <w:szCs w:val="24"/>
        </w:rPr>
        <w:t>BTR</w:t>
      </w:r>
      <w:r w:rsidR="0062492A">
        <w:rPr>
          <w:szCs w:val="24"/>
        </w:rPr>
        <w:t>”</w:t>
      </w:r>
      <w:r w:rsidRPr="0062492A" w:rsidR="003F5A87">
        <w:rPr>
          <w:szCs w:val="24"/>
        </w:rPr>
        <w:t>)</w:t>
      </w:r>
      <w:r w:rsidRPr="0062492A" w:rsidR="00E571C5">
        <w:rPr>
          <w:szCs w:val="24"/>
        </w:rPr>
        <w:t>.</w:t>
      </w:r>
      <w:r>
        <w:rPr>
          <w:rStyle w:val="FootnoteReference"/>
          <w:szCs w:val="24"/>
        </w:rPr>
        <w:footnoteReference w:id="3"/>
      </w:r>
      <w:r w:rsidRPr="0062492A">
        <w:rPr>
          <w:szCs w:val="24"/>
        </w:rPr>
        <w:t xml:space="preserve"> </w:t>
      </w:r>
      <w:r w:rsidRPr="0062492A" w:rsidR="00560952">
        <w:rPr>
          <w:szCs w:val="24"/>
        </w:rPr>
        <w:t>Duke</w:t>
      </w:r>
      <w:r w:rsidRPr="0062492A">
        <w:rPr>
          <w:szCs w:val="24"/>
        </w:rPr>
        <w:t xml:space="preserve"> charges consumers </w:t>
      </w:r>
      <w:r w:rsidRPr="0062492A" w:rsidR="00837FCB">
        <w:rPr>
          <w:szCs w:val="24"/>
        </w:rPr>
        <w:t>for</w:t>
      </w:r>
      <w:r w:rsidRPr="0062492A" w:rsidR="00DC517F">
        <w:rPr>
          <w:szCs w:val="24"/>
        </w:rPr>
        <w:t xml:space="preserve"> </w:t>
      </w:r>
      <w:r w:rsidRPr="0062492A" w:rsidR="00837FCB">
        <w:rPr>
          <w:szCs w:val="24"/>
        </w:rPr>
        <w:t>transmission</w:t>
      </w:r>
      <w:r w:rsidRPr="0062492A" w:rsidR="00F46148">
        <w:rPr>
          <w:szCs w:val="24"/>
        </w:rPr>
        <w:t>-related</w:t>
      </w:r>
      <w:r w:rsidRPr="0062492A" w:rsidR="00837FCB">
        <w:rPr>
          <w:szCs w:val="24"/>
        </w:rPr>
        <w:t xml:space="preserve"> </w:t>
      </w:r>
      <w:r w:rsidRPr="0062492A" w:rsidR="000E0D5C">
        <w:rPr>
          <w:szCs w:val="24"/>
        </w:rPr>
        <w:t>charges</w:t>
      </w:r>
      <w:r w:rsidRPr="0062492A" w:rsidR="003258C2">
        <w:rPr>
          <w:szCs w:val="24"/>
        </w:rPr>
        <w:t xml:space="preserve"> through </w:t>
      </w:r>
      <w:r w:rsidRPr="0062492A" w:rsidR="00D407F7">
        <w:rPr>
          <w:szCs w:val="24"/>
        </w:rPr>
        <w:t>Rider</w:t>
      </w:r>
      <w:r w:rsidRPr="0062492A" w:rsidR="00BC07E9">
        <w:rPr>
          <w:szCs w:val="24"/>
        </w:rPr>
        <w:t xml:space="preserve"> BTR</w:t>
      </w:r>
      <w:r w:rsidRPr="0062492A" w:rsidR="00705DD2">
        <w:rPr>
          <w:szCs w:val="24"/>
        </w:rPr>
        <w:t>.</w:t>
      </w:r>
      <w:r>
        <w:rPr>
          <w:rStyle w:val="FootnoteReference"/>
          <w:szCs w:val="24"/>
        </w:rPr>
        <w:footnoteReference w:id="4"/>
      </w:r>
      <w:r w:rsidRPr="0062492A" w:rsidR="00F06932">
        <w:rPr>
          <w:szCs w:val="24"/>
        </w:rPr>
        <w:t xml:space="preserve"> </w:t>
      </w:r>
      <w:r w:rsidRPr="0062492A" w:rsidR="0072721B">
        <w:rPr>
          <w:szCs w:val="24"/>
        </w:rPr>
        <w:t xml:space="preserve">In this filing, </w:t>
      </w:r>
      <w:r w:rsidRPr="0062492A" w:rsidR="00FF0C24">
        <w:rPr>
          <w:szCs w:val="24"/>
        </w:rPr>
        <w:t>Duke</w:t>
      </w:r>
      <w:r w:rsidRPr="0062492A" w:rsidR="00DC517F">
        <w:rPr>
          <w:szCs w:val="24"/>
        </w:rPr>
        <w:t xml:space="preserve"> </w:t>
      </w:r>
      <w:r w:rsidRPr="0062492A" w:rsidR="00A858A6">
        <w:rPr>
          <w:szCs w:val="24"/>
        </w:rPr>
        <w:t>represents</w:t>
      </w:r>
      <w:r w:rsidRPr="0062492A" w:rsidR="00845A5D">
        <w:rPr>
          <w:szCs w:val="24"/>
        </w:rPr>
        <w:t xml:space="preserve"> that</w:t>
      </w:r>
      <w:r w:rsidRPr="0062492A" w:rsidR="003258C2">
        <w:rPr>
          <w:szCs w:val="24"/>
        </w:rPr>
        <w:t xml:space="preserve"> </w:t>
      </w:r>
      <w:r w:rsidRPr="0062492A" w:rsidR="00F26D9D">
        <w:rPr>
          <w:szCs w:val="24"/>
        </w:rPr>
        <w:t>transmission</w:t>
      </w:r>
      <w:r w:rsidRPr="0062492A" w:rsidR="003258C2">
        <w:rPr>
          <w:szCs w:val="24"/>
        </w:rPr>
        <w:t xml:space="preserve"> charges to </w:t>
      </w:r>
      <w:r w:rsidRPr="0062492A" w:rsidR="00A51347">
        <w:rPr>
          <w:szCs w:val="24"/>
        </w:rPr>
        <w:t xml:space="preserve">residential </w:t>
      </w:r>
      <w:r w:rsidRPr="0062492A" w:rsidR="003258C2">
        <w:rPr>
          <w:szCs w:val="24"/>
        </w:rPr>
        <w:t>consumers</w:t>
      </w:r>
      <w:r w:rsidRPr="0062492A" w:rsidR="00845A5D">
        <w:rPr>
          <w:szCs w:val="24"/>
        </w:rPr>
        <w:t xml:space="preserve"> will increase</w:t>
      </w:r>
      <w:r w:rsidRPr="0062492A" w:rsidR="003258C2">
        <w:rPr>
          <w:szCs w:val="24"/>
        </w:rPr>
        <w:t xml:space="preserve"> by more </w:t>
      </w:r>
      <w:r w:rsidRPr="0062492A" w:rsidR="00E4538D">
        <w:rPr>
          <w:szCs w:val="24"/>
        </w:rPr>
        <w:t>than $</w:t>
      </w:r>
      <w:r w:rsidRPr="0062492A" w:rsidR="00323BE2">
        <w:rPr>
          <w:szCs w:val="24"/>
        </w:rPr>
        <w:t>27</w:t>
      </w:r>
      <w:r w:rsidRPr="0062492A" w:rsidR="00E4538D">
        <w:rPr>
          <w:szCs w:val="24"/>
        </w:rPr>
        <w:t xml:space="preserve"> </w:t>
      </w:r>
      <w:r w:rsidRPr="0062492A" w:rsidR="00493B5B">
        <w:rPr>
          <w:szCs w:val="24"/>
        </w:rPr>
        <w:t>million</w:t>
      </w:r>
      <w:r w:rsidRPr="0062492A" w:rsidR="00845A5D">
        <w:rPr>
          <w:szCs w:val="24"/>
        </w:rPr>
        <w:t xml:space="preserve"> beginning </w:t>
      </w:r>
      <w:r w:rsidRPr="0062492A" w:rsidR="00E537BD">
        <w:rPr>
          <w:szCs w:val="24"/>
        </w:rPr>
        <w:t>October</w:t>
      </w:r>
      <w:r w:rsidRPr="0062492A" w:rsidR="00845A5D">
        <w:rPr>
          <w:szCs w:val="24"/>
        </w:rPr>
        <w:t xml:space="preserve"> 1, 2024</w:t>
      </w:r>
      <w:r w:rsidRPr="0062492A" w:rsidR="00E4538D">
        <w:rPr>
          <w:szCs w:val="24"/>
        </w:rPr>
        <w:t>.</w:t>
      </w:r>
      <w:r>
        <w:rPr>
          <w:rStyle w:val="FootnoteReference"/>
          <w:szCs w:val="24"/>
        </w:rPr>
        <w:footnoteReference w:id="5"/>
      </w:r>
      <w:r w:rsidRPr="0062492A" w:rsidR="00845A5D">
        <w:rPr>
          <w:szCs w:val="24"/>
        </w:rPr>
        <w:t xml:space="preserve"> </w:t>
      </w:r>
      <w:r w:rsidRPr="0062492A" w:rsidR="003F5A87">
        <w:rPr>
          <w:szCs w:val="24"/>
        </w:rPr>
        <w:t xml:space="preserve">This represents a huge </w:t>
      </w:r>
      <w:r w:rsidRPr="0062492A" w:rsidR="00A51347">
        <w:rPr>
          <w:b/>
          <w:bCs/>
          <w:i/>
          <w:iCs/>
          <w:szCs w:val="24"/>
        </w:rPr>
        <w:t>3</w:t>
      </w:r>
      <w:r w:rsidRPr="0062492A" w:rsidR="00A440FD">
        <w:rPr>
          <w:b/>
          <w:bCs/>
          <w:i/>
          <w:iCs/>
          <w:szCs w:val="24"/>
        </w:rPr>
        <w:t>1</w:t>
      </w:r>
      <w:r w:rsidRPr="0062492A" w:rsidR="00A42BB9">
        <w:rPr>
          <w:b/>
          <w:bCs/>
          <w:i/>
          <w:iCs/>
          <w:szCs w:val="24"/>
        </w:rPr>
        <w:t>.</w:t>
      </w:r>
      <w:r w:rsidRPr="0062492A" w:rsidR="00323BE2">
        <w:rPr>
          <w:b/>
          <w:bCs/>
          <w:i/>
          <w:iCs/>
          <w:szCs w:val="24"/>
        </w:rPr>
        <w:t>2</w:t>
      </w:r>
      <w:r w:rsidRPr="0062492A" w:rsidR="00A42BB9">
        <w:rPr>
          <w:b/>
          <w:bCs/>
          <w:i/>
          <w:iCs/>
          <w:szCs w:val="24"/>
        </w:rPr>
        <w:t>5</w:t>
      </w:r>
      <w:r w:rsidRPr="0062492A">
        <w:rPr>
          <w:b/>
          <w:bCs/>
          <w:i/>
          <w:iCs/>
          <w:szCs w:val="24"/>
        </w:rPr>
        <w:t>%</w:t>
      </w:r>
      <w:r w:rsidRPr="0062492A" w:rsidR="003F5A87">
        <w:rPr>
          <w:b/>
          <w:bCs/>
          <w:i/>
          <w:iCs/>
          <w:szCs w:val="24"/>
        </w:rPr>
        <w:t xml:space="preserve"> increase</w:t>
      </w:r>
      <w:r w:rsidRPr="0062492A" w:rsidR="003F5A87">
        <w:rPr>
          <w:i/>
          <w:iCs/>
          <w:szCs w:val="24"/>
        </w:rPr>
        <w:t xml:space="preserve"> </w:t>
      </w:r>
      <w:r w:rsidRPr="0062492A" w:rsidR="003F5A87">
        <w:rPr>
          <w:szCs w:val="24"/>
        </w:rPr>
        <w:t xml:space="preserve">in </w:t>
      </w:r>
      <w:r w:rsidRPr="0062492A">
        <w:rPr>
          <w:szCs w:val="24"/>
        </w:rPr>
        <w:t xml:space="preserve">what </w:t>
      </w:r>
      <w:r w:rsidRPr="0062492A" w:rsidR="00A51347">
        <w:rPr>
          <w:szCs w:val="24"/>
        </w:rPr>
        <w:t xml:space="preserve">residential </w:t>
      </w:r>
      <w:r w:rsidRPr="0062492A">
        <w:rPr>
          <w:szCs w:val="24"/>
        </w:rPr>
        <w:t xml:space="preserve">consumers pay under current </w:t>
      </w:r>
      <w:r w:rsidRPr="0062492A" w:rsidR="00D407F7">
        <w:rPr>
          <w:szCs w:val="24"/>
        </w:rPr>
        <w:t>Rider</w:t>
      </w:r>
      <w:r w:rsidRPr="0062492A" w:rsidR="00BC07E9">
        <w:rPr>
          <w:szCs w:val="24"/>
        </w:rPr>
        <w:t xml:space="preserve"> BTR</w:t>
      </w:r>
      <w:r w:rsidRPr="0062492A">
        <w:rPr>
          <w:szCs w:val="24"/>
        </w:rPr>
        <w:t xml:space="preserve"> rates.</w:t>
      </w:r>
      <w:r>
        <w:rPr>
          <w:rStyle w:val="FootnoteReference"/>
          <w:szCs w:val="24"/>
        </w:rPr>
        <w:footnoteReference w:id="6"/>
      </w:r>
      <w:r w:rsidRPr="0062492A">
        <w:rPr>
          <w:szCs w:val="24"/>
        </w:rPr>
        <w:t xml:space="preserve"> </w:t>
      </w:r>
    </w:p>
    <w:p w:rsidR="00B00F18" w:rsidRPr="0062492A" w:rsidP="00A858A6" w14:paraId="47E3574B" w14:textId="7EB9204E">
      <w:pPr>
        <w:pStyle w:val="BodyTextIndent3"/>
        <w:widowControl w:val="0"/>
        <w:spacing w:line="480" w:lineRule="auto"/>
        <w:rPr>
          <w:szCs w:val="24"/>
        </w:rPr>
      </w:pPr>
      <w:r w:rsidRPr="0062492A">
        <w:rPr>
          <w:szCs w:val="24"/>
        </w:rPr>
        <w:t xml:space="preserve">The 31.25% jump in residential consumer Rider BTR charges </w:t>
      </w:r>
      <w:r w:rsidRPr="0062492A" w:rsidR="0033469B">
        <w:rPr>
          <w:szCs w:val="24"/>
        </w:rPr>
        <w:t xml:space="preserve">unfairly </w:t>
      </w:r>
      <w:r w:rsidRPr="0062492A">
        <w:rPr>
          <w:szCs w:val="24"/>
        </w:rPr>
        <w:t xml:space="preserve">hits already </w:t>
      </w:r>
      <w:r w:rsidRPr="0062492A" w:rsidR="0033469B">
        <w:rPr>
          <w:szCs w:val="24"/>
        </w:rPr>
        <w:t xml:space="preserve">burdened </w:t>
      </w:r>
      <w:r w:rsidRPr="0062492A">
        <w:rPr>
          <w:szCs w:val="24"/>
        </w:rPr>
        <w:t>residential consumers.</w:t>
      </w:r>
      <w:r w:rsidRPr="0062492A" w:rsidR="002D1CF9">
        <w:rPr>
          <w:szCs w:val="24"/>
        </w:rPr>
        <w:t xml:space="preserve"> </w:t>
      </w:r>
      <w:r w:rsidRPr="0062492A" w:rsidR="00207054">
        <w:rPr>
          <w:szCs w:val="24"/>
        </w:rPr>
        <w:t xml:space="preserve">A 1,000 kwh per month residential user is currently paying $12 per month for Rider BTR. That will jump to $15.75 per month </w:t>
      </w:r>
      <w:r w:rsidRPr="0062492A" w:rsidR="00207054">
        <w:rPr>
          <w:szCs w:val="24"/>
        </w:rPr>
        <w:t>under the proposed Rider BTR.</w:t>
      </w:r>
      <w:r>
        <w:rPr>
          <w:rStyle w:val="FootnoteReference"/>
          <w:szCs w:val="24"/>
        </w:rPr>
        <w:footnoteReference w:id="7"/>
      </w:r>
      <w:r w:rsidR="0062492A">
        <w:rPr>
          <w:szCs w:val="24"/>
        </w:rPr>
        <w:t xml:space="preserve"> </w:t>
      </w:r>
      <w:r w:rsidRPr="0062492A" w:rsidR="00207054">
        <w:rPr>
          <w:szCs w:val="24"/>
        </w:rPr>
        <w:t>In addition, residential consumers currently pay 48.5% of Rider BTR charges.</w:t>
      </w:r>
      <w:r>
        <w:rPr>
          <w:rStyle w:val="FootnoteReference"/>
          <w:szCs w:val="24"/>
        </w:rPr>
        <w:footnoteReference w:id="8"/>
      </w:r>
      <w:r w:rsidRPr="0062492A" w:rsidR="00207054">
        <w:rPr>
          <w:szCs w:val="24"/>
        </w:rPr>
        <w:t xml:space="preserve"> Duke</w:t>
      </w:r>
      <w:r w:rsidR="0062492A">
        <w:rPr>
          <w:szCs w:val="24"/>
        </w:rPr>
        <w:t>’</w:t>
      </w:r>
      <w:r w:rsidRPr="0062492A" w:rsidR="00207054">
        <w:rPr>
          <w:szCs w:val="24"/>
        </w:rPr>
        <w:t xml:space="preserve">s new proposal would collect an even larger percentage of the transmission costs from residential consumers -- 55.9%. </w:t>
      </w:r>
      <w:r w:rsidRPr="0062492A" w:rsidR="00306A4C">
        <w:rPr>
          <w:szCs w:val="24"/>
        </w:rPr>
        <w:t>T</w:t>
      </w:r>
      <w:r w:rsidRPr="0062492A" w:rsidR="002D1CF9">
        <w:rPr>
          <w:szCs w:val="24"/>
        </w:rPr>
        <w:t xml:space="preserve">he PUCO </w:t>
      </w:r>
      <w:r w:rsidRPr="0062492A" w:rsidR="00306A4C">
        <w:rPr>
          <w:szCs w:val="24"/>
        </w:rPr>
        <w:t xml:space="preserve">recently </w:t>
      </w:r>
      <w:r w:rsidRPr="0062492A" w:rsidR="002D1CF9">
        <w:rPr>
          <w:szCs w:val="24"/>
        </w:rPr>
        <w:t>approv</w:t>
      </w:r>
      <w:r w:rsidRPr="0062492A" w:rsidR="00306A4C">
        <w:rPr>
          <w:szCs w:val="24"/>
        </w:rPr>
        <w:t>ed</w:t>
      </w:r>
      <w:r w:rsidRPr="0062492A" w:rsidR="002D1CF9">
        <w:rPr>
          <w:szCs w:val="24"/>
        </w:rPr>
        <w:t xml:space="preserve"> a settlement which allow</w:t>
      </w:r>
      <w:r w:rsidRPr="0062492A" w:rsidR="007D3745">
        <w:rPr>
          <w:szCs w:val="24"/>
        </w:rPr>
        <w:t>ed</w:t>
      </w:r>
      <w:r w:rsidRPr="0062492A" w:rsidR="002D1CF9">
        <w:rPr>
          <w:szCs w:val="24"/>
        </w:rPr>
        <w:t xml:space="preserve"> Duke to increase its electric distribution rates by $23.1 million annually.</w:t>
      </w:r>
      <w:r>
        <w:rPr>
          <w:rStyle w:val="FootnoteReference"/>
          <w:szCs w:val="24"/>
        </w:rPr>
        <w:footnoteReference w:id="9"/>
      </w:r>
      <w:r w:rsidR="0062492A">
        <w:rPr>
          <w:szCs w:val="24"/>
        </w:rPr>
        <w:t xml:space="preserve"> </w:t>
      </w:r>
      <w:r w:rsidRPr="0062492A" w:rsidR="00207054">
        <w:rPr>
          <w:szCs w:val="24"/>
        </w:rPr>
        <w:t xml:space="preserve">In, addition, </w:t>
      </w:r>
      <w:r w:rsidRPr="0062492A" w:rsidR="007D3745">
        <w:rPr>
          <w:szCs w:val="24"/>
        </w:rPr>
        <w:t xml:space="preserve">Duke </w:t>
      </w:r>
      <w:r w:rsidRPr="0062492A" w:rsidR="00774336">
        <w:rPr>
          <w:szCs w:val="24"/>
        </w:rPr>
        <w:t>has</w:t>
      </w:r>
      <w:r w:rsidRPr="0062492A" w:rsidR="007D3745">
        <w:rPr>
          <w:szCs w:val="24"/>
        </w:rPr>
        <w:t xml:space="preserve"> also </w:t>
      </w:r>
      <w:r w:rsidRPr="0062492A" w:rsidR="00774336">
        <w:rPr>
          <w:szCs w:val="24"/>
        </w:rPr>
        <w:t xml:space="preserve">been </w:t>
      </w:r>
      <w:r w:rsidRPr="0062492A" w:rsidR="007D3745">
        <w:rPr>
          <w:szCs w:val="24"/>
        </w:rPr>
        <w:t xml:space="preserve">seeking to recover </w:t>
      </w:r>
      <w:r w:rsidRPr="0062492A" w:rsidR="00774336">
        <w:rPr>
          <w:szCs w:val="24"/>
        </w:rPr>
        <w:t xml:space="preserve">nearly </w:t>
      </w:r>
      <w:r w:rsidRPr="0062492A" w:rsidR="007D3745">
        <w:rPr>
          <w:szCs w:val="24"/>
        </w:rPr>
        <w:t xml:space="preserve">$14 million </w:t>
      </w:r>
      <w:r w:rsidRPr="0062492A" w:rsidR="00774336">
        <w:rPr>
          <w:szCs w:val="24"/>
        </w:rPr>
        <w:t xml:space="preserve">from consumers over the last year, </w:t>
      </w:r>
      <w:r w:rsidRPr="0062492A" w:rsidR="007D3745">
        <w:rPr>
          <w:szCs w:val="24"/>
        </w:rPr>
        <w:t>in</w:t>
      </w:r>
      <w:r w:rsidRPr="0062492A" w:rsidR="00774336">
        <w:rPr>
          <w:szCs w:val="24"/>
        </w:rPr>
        <w:t xml:space="preserve"> its Distribution Capital Investment Rider annual audit, based upon its own accounting mistake.</w:t>
      </w:r>
      <w:r w:rsidRPr="0062492A" w:rsidR="00207054">
        <w:rPr>
          <w:szCs w:val="24"/>
        </w:rPr>
        <w:t xml:space="preserve"> Finally, concurrent with this matter, Duke is seeking approval of a new Electric Security Plan which will ultimately increase consumers</w:t>
      </w:r>
      <w:r w:rsidR="0062492A">
        <w:rPr>
          <w:szCs w:val="24"/>
        </w:rPr>
        <w:t>’</w:t>
      </w:r>
      <w:r w:rsidRPr="0062492A" w:rsidR="00207054">
        <w:rPr>
          <w:szCs w:val="24"/>
        </w:rPr>
        <w:t xml:space="preserve"> distribution service charges by an additional $11.27 per month.</w:t>
      </w:r>
      <w:r>
        <w:rPr>
          <w:rStyle w:val="FootnoteReference"/>
          <w:szCs w:val="24"/>
        </w:rPr>
        <w:footnoteReference w:id="10"/>
      </w:r>
      <w:r w:rsidR="0062492A">
        <w:rPr>
          <w:szCs w:val="24"/>
        </w:rPr>
        <w:t xml:space="preserve"> </w:t>
      </w:r>
      <w:r w:rsidRPr="0062492A" w:rsidR="00207054">
        <w:rPr>
          <w:szCs w:val="24"/>
        </w:rPr>
        <w:t xml:space="preserve">The combined burdens of these increased expenses </w:t>
      </w:r>
      <w:r w:rsidRPr="0062492A" w:rsidR="00FA4E28">
        <w:rPr>
          <w:szCs w:val="24"/>
        </w:rPr>
        <w:t>are</w:t>
      </w:r>
      <w:r w:rsidRPr="0062492A" w:rsidR="00207054">
        <w:rPr>
          <w:szCs w:val="24"/>
        </w:rPr>
        <w:t xml:space="preserve"> far </w:t>
      </w:r>
      <w:r w:rsidRPr="0062492A" w:rsidR="00C17B13">
        <w:rPr>
          <w:szCs w:val="24"/>
        </w:rPr>
        <w:t>too</w:t>
      </w:r>
      <w:r w:rsidRPr="0062492A" w:rsidR="00207054">
        <w:rPr>
          <w:szCs w:val="24"/>
        </w:rPr>
        <w:t xml:space="preserve"> much to impose upon </w:t>
      </w:r>
      <w:r w:rsidRPr="0062492A" w:rsidR="00CB2960">
        <w:rPr>
          <w:szCs w:val="24"/>
        </w:rPr>
        <w:t>Ohio</w:t>
      </w:r>
      <w:r w:rsidR="0062492A">
        <w:rPr>
          <w:szCs w:val="24"/>
        </w:rPr>
        <w:t>’</w:t>
      </w:r>
      <w:r w:rsidRPr="0062492A" w:rsidR="00CB2960">
        <w:rPr>
          <w:szCs w:val="24"/>
        </w:rPr>
        <w:t>s consumers.</w:t>
      </w:r>
      <w:r w:rsidR="0062492A">
        <w:rPr>
          <w:szCs w:val="24"/>
        </w:rPr>
        <w:t xml:space="preserve"> </w:t>
      </w:r>
    </w:p>
    <w:p w:rsidR="004015F8" w:rsidRPr="0062492A" w:rsidP="00891076" w14:paraId="4F223F76" w14:textId="639F3420">
      <w:pPr>
        <w:pStyle w:val="BodyTextIndent3"/>
        <w:widowControl w:val="0"/>
        <w:spacing w:line="480" w:lineRule="auto"/>
        <w:rPr>
          <w:szCs w:val="24"/>
        </w:rPr>
      </w:pPr>
      <w:r w:rsidRPr="0062492A">
        <w:rPr>
          <w:szCs w:val="24"/>
        </w:rPr>
        <w:t xml:space="preserve">OCC </w:t>
      </w:r>
      <w:r w:rsidRPr="0062492A" w:rsidR="003258C2">
        <w:rPr>
          <w:szCs w:val="24"/>
        </w:rPr>
        <w:t xml:space="preserve">represents the interests of the </w:t>
      </w:r>
      <w:r w:rsidR="002F38DF">
        <w:rPr>
          <w:szCs w:val="24"/>
        </w:rPr>
        <w:t>770</w:t>
      </w:r>
      <w:r w:rsidRPr="0062492A" w:rsidR="00F25AC5">
        <w:rPr>
          <w:szCs w:val="24"/>
        </w:rPr>
        <w:t>,000</w:t>
      </w:r>
      <w:r w:rsidRPr="0062492A" w:rsidR="003258C2">
        <w:rPr>
          <w:szCs w:val="24"/>
        </w:rPr>
        <w:t xml:space="preserve"> Ohio residential consumers of </w:t>
      </w:r>
      <w:r w:rsidRPr="0062492A" w:rsidR="00FF0C24">
        <w:rPr>
          <w:szCs w:val="24"/>
        </w:rPr>
        <w:t>Duke</w:t>
      </w:r>
      <w:r w:rsidRPr="0062492A" w:rsidR="003258C2">
        <w:rPr>
          <w:szCs w:val="24"/>
        </w:rPr>
        <w:t xml:space="preserve"> who </w:t>
      </w:r>
      <w:r w:rsidRPr="0062492A" w:rsidR="008B1879">
        <w:rPr>
          <w:szCs w:val="24"/>
        </w:rPr>
        <w:t>must</w:t>
      </w:r>
      <w:r w:rsidRPr="0062492A" w:rsidR="003258C2">
        <w:rPr>
          <w:szCs w:val="24"/>
        </w:rPr>
        <w:t xml:space="preserve"> pay under Rider </w:t>
      </w:r>
      <w:r w:rsidRPr="0062492A" w:rsidR="00BC07E9">
        <w:rPr>
          <w:szCs w:val="24"/>
        </w:rPr>
        <w:t>BTR</w:t>
      </w:r>
      <w:r w:rsidRPr="0062492A" w:rsidR="00F26D9D">
        <w:rPr>
          <w:szCs w:val="24"/>
        </w:rPr>
        <w:t xml:space="preserve"> for transmission costs</w:t>
      </w:r>
      <w:r w:rsidRPr="0062492A" w:rsidR="003258C2">
        <w:rPr>
          <w:szCs w:val="24"/>
        </w:rPr>
        <w:t>.</w:t>
      </w:r>
      <w:r w:rsidRPr="0062492A" w:rsidR="00A46DBC">
        <w:rPr>
          <w:szCs w:val="24"/>
        </w:rPr>
        <w:t xml:space="preserve"> </w:t>
      </w:r>
      <w:r w:rsidRPr="0062492A">
        <w:rPr>
          <w:szCs w:val="24"/>
        </w:rPr>
        <w:t>The PUCO should grant OCC</w:t>
      </w:r>
      <w:r w:rsidR="0062492A">
        <w:rPr>
          <w:szCs w:val="24"/>
        </w:rPr>
        <w:t>’</w:t>
      </w:r>
      <w:r w:rsidRPr="0062492A">
        <w:rPr>
          <w:szCs w:val="24"/>
        </w:rPr>
        <w:t>s motion to intervene for the reasons set forth in the attached memorandum in support.</w:t>
      </w:r>
    </w:p>
    <w:p w:rsidR="00E45B8D" w:rsidRPr="0062492A" w14:paraId="3825842D" w14:textId="77777777">
      <w:r w:rsidRPr="0062492A">
        <w:br w:type="page"/>
      </w:r>
    </w:p>
    <w:p w:rsidR="004576C1" w:rsidRPr="0062492A" w:rsidP="004576C1" w14:paraId="252A87E9" w14:textId="77777777">
      <w:pPr>
        <w:ind w:left="4320"/>
      </w:pPr>
      <w:r w:rsidRPr="0062492A">
        <w:t>Respectfully submitted,</w:t>
      </w:r>
    </w:p>
    <w:p w:rsidR="004576C1" w:rsidRPr="0062492A" w:rsidP="004576C1" w14:paraId="6BACCAB0" w14:textId="77777777">
      <w:pPr>
        <w:ind w:left="4320"/>
      </w:pPr>
    </w:p>
    <w:p w:rsidR="004576C1" w:rsidRPr="0062492A" w:rsidP="004576C1" w14:paraId="5EE8A1FE" w14:textId="77777777">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r w:rsidRPr="0062492A">
        <w:rPr>
          <w:rFonts w:eastAsia="Courier New"/>
        </w:rPr>
        <w:t>Maureen R. Willis (0020847)</w:t>
      </w:r>
    </w:p>
    <w:p w:rsidR="004576C1" w:rsidRPr="0062492A" w:rsidP="004576C1" w14:paraId="1D9B8862" w14:textId="459137DB">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r w:rsidRPr="0062492A">
        <w:t>Ohio Consumers</w:t>
      </w:r>
      <w:r w:rsidR="0062492A">
        <w:t>’</w:t>
      </w:r>
      <w:r w:rsidRPr="0062492A">
        <w:t xml:space="preserve"> Counsel</w:t>
      </w:r>
    </w:p>
    <w:p w:rsidR="004576C1" w:rsidRPr="0062492A" w:rsidP="004576C1" w14:paraId="72CBDBC9" w14:textId="77777777">
      <w:pPr>
        <w:tabs>
          <w:tab w:val="left" w:pos="4320"/>
        </w:tabs>
        <w:ind w:left="4320"/>
      </w:pPr>
    </w:p>
    <w:p w:rsidR="004576C1" w:rsidRPr="0062492A" w:rsidP="004576C1" w14:paraId="11BB931A" w14:textId="77777777">
      <w:pPr>
        <w:tabs>
          <w:tab w:val="left" w:pos="4320"/>
        </w:tabs>
        <w:ind w:left="4320"/>
        <w:rPr>
          <w:i/>
          <w:iCs/>
          <w:u w:val="single"/>
        </w:rPr>
      </w:pPr>
      <w:r w:rsidRPr="0062492A">
        <w:rPr>
          <w:i/>
          <w:iCs/>
          <w:u w:val="single"/>
        </w:rPr>
        <w:t>/s/ Donald J. Kral</w:t>
      </w:r>
    </w:p>
    <w:p w:rsidR="004576C1" w:rsidRPr="0062492A" w:rsidP="004576C1" w14:paraId="64070145" w14:textId="77777777">
      <w:pPr>
        <w:tabs>
          <w:tab w:val="left" w:pos="4320"/>
        </w:tabs>
        <w:ind w:left="4320"/>
      </w:pPr>
      <w:r w:rsidRPr="0062492A">
        <w:t>Donald J. Kral (0042091)</w:t>
      </w:r>
    </w:p>
    <w:p w:rsidR="004576C1" w:rsidRPr="0062492A" w:rsidP="004576C1" w14:paraId="7BC89013" w14:textId="77777777">
      <w:pPr>
        <w:tabs>
          <w:tab w:val="left" w:pos="4320"/>
        </w:tabs>
        <w:ind w:left="4320"/>
      </w:pPr>
      <w:r w:rsidRPr="0062492A">
        <w:t>Counsel of Record</w:t>
      </w:r>
    </w:p>
    <w:p w:rsidR="004576C1" w:rsidRPr="0062492A" w:rsidP="004576C1" w14:paraId="584C2B34" w14:textId="77777777">
      <w:pPr>
        <w:tabs>
          <w:tab w:val="left" w:pos="4320"/>
        </w:tabs>
        <w:ind w:left="4320"/>
      </w:pPr>
      <w:r w:rsidRPr="0062492A">
        <w:t>John R. Varanese (0044176)</w:t>
      </w:r>
    </w:p>
    <w:p w:rsidR="004576C1" w:rsidRPr="0062492A" w:rsidP="004576C1" w14:paraId="7D223EEE" w14:textId="1F752B93">
      <w:pPr>
        <w:tabs>
          <w:tab w:val="left" w:pos="4320"/>
        </w:tabs>
        <w:ind w:left="4320"/>
      </w:pPr>
      <w:r w:rsidRPr="0062492A">
        <w:t>Assistant Consumers</w:t>
      </w:r>
      <w:r w:rsidR="0062492A">
        <w:t>’</w:t>
      </w:r>
      <w:r w:rsidRPr="0062492A">
        <w:t xml:space="preserve"> Counsel</w:t>
      </w:r>
    </w:p>
    <w:p w:rsidR="004576C1" w:rsidRPr="0062492A" w:rsidP="004576C1" w14:paraId="25D536E2" w14:textId="77777777">
      <w:pPr>
        <w:tabs>
          <w:tab w:val="left" w:pos="4320"/>
        </w:tabs>
        <w:ind w:left="4320"/>
      </w:pPr>
    </w:p>
    <w:p w:rsidR="004576C1" w:rsidRPr="0062492A" w:rsidP="004576C1" w14:paraId="7FA750D8" w14:textId="692B4721">
      <w:pPr>
        <w:keepNext/>
        <w:ind w:left="4320" w:right="-648"/>
        <w:outlineLvl w:val="0"/>
        <w:rPr>
          <w:b/>
        </w:rPr>
      </w:pPr>
      <w:r w:rsidRPr="0062492A">
        <w:rPr>
          <w:b/>
        </w:rPr>
        <w:t>Office of the Ohio Consumers</w:t>
      </w:r>
      <w:r w:rsidR="0062492A">
        <w:rPr>
          <w:b/>
        </w:rPr>
        <w:t>’</w:t>
      </w:r>
      <w:r w:rsidRPr="0062492A">
        <w:rPr>
          <w:b/>
        </w:rPr>
        <w:t xml:space="preserve"> Counsel</w:t>
      </w:r>
    </w:p>
    <w:p w:rsidR="004576C1" w:rsidRPr="0062492A" w:rsidP="004576C1" w14:paraId="50D55904" w14:textId="77777777">
      <w:pPr>
        <w:keepNext/>
        <w:ind w:left="4320" w:right="-648"/>
        <w:outlineLvl w:val="0"/>
      </w:pPr>
      <w:r w:rsidRPr="0062492A">
        <w:t>65 East State Street, Suite 700</w:t>
      </w:r>
    </w:p>
    <w:p w:rsidR="004576C1" w:rsidRPr="0062492A" w:rsidP="004576C1" w14:paraId="23C4D3AF" w14:textId="77777777">
      <w:pPr>
        <w:keepNext/>
        <w:ind w:left="4320" w:right="-648"/>
        <w:outlineLvl w:val="0"/>
      </w:pPr>
      <w:r w:rsidRPr="0062492A">
        <w:t>Columbus, Ohio 43215</w:t>
      </w:r>
    </w:p>
    <w:p w:rsidR="004576C1" w:rsidRPr="0062492A" w:rsidP="004576C1" w14:paraId="50F9A342" w14:textId="77777777">
      <w:pPr>
        <w:autoSpaceDE w:val="0"/>
        <w:autoSpaceDN w:val="0"/>
        <w:adjustRightInd w:val="0"/>
        <w:ind w:left="4320"/>
      </w:pPr>
      <w:r w:rsidRPr="0062492A">
        <w:t>Telephone [Kral]: (614) 466-9571</w:t>
      </w:r>
    </w:p>
    <w:p w:rsidR="004576C1" w:rsidRPr="0062492A" w:rsidP="004576C1" w14:paraId="13F90E25" w14:textId="77777777">
      <w:pPr>
        <w:autoSpaceDE w:val="0"/>
        <w:autoSpaceDN w:val="0"/>
        <w:adjustRightInd w:val="0"/>
        <w:ind w:left="4320"/>
      </w:pPr>
      <w:r w:rsidRPr="0062492A">
        <w:t>Telephone [Varanese]: (614) 387-2965</w:t>
      </w:r>
    </w:p>
    <w:p w:rsidR="004576C1" w:rsidRPr="0062492A" w:rsidP="004576C1" w14:paraId="54A05BE2" w14:textId="77777777">
      <w:pPr>
        <w:ind w:firstLine="4320"/>
      </w:pPr>
      <w:hyperlink r:id="rId6" w:history="1">
        <w:r w:rsidRPr="0062492A">
          <w:rPr>
            <w:color w:val="0000FF"/>
            <w:u w:val="single"/>
          </w:rPr>
          <w:t>donald.kral@occ.ohio.gov</w:t>
        </w:r>
      </w:hyperlink>
    </w:p>
    <w:p w:rsidR="004576C1" w:rsidRPr="0062492A" w:rsidP="004576C1" w14:paraId="26F1E104" w14:textId="77777777">
      <w:pPr>
        <w:autoSpaceDE w:val="0"/>
        <w:autoSpaceDN w:val="0"/>
        <w:adjustRightInd w:val="0"/>
        <w:ind w:left="4320"/>
      </w:pPr>
      <w:hyperlink r:id="rId7" w:history="1">
        <w:r w:rsidRPr="0062492A">
          <w:rPr>
            <w:rStyle w:val="Hyperlink"/>
            <w:rFonts w:eastAsia="Courier New"/>
          </w:rPr>
          <w:t>john.varanese@occ.ohio.gov</w:t>
        </w:r>
      </w:hyperlink>
    </w:p>
    <w:p w:rsidR="004576C1" w:rsidRPr="0062492A" w:rsidP="004576C1" w14:paraId="28523038" w14:textId="77777777">
      <w:pPr>
        <w:tabs>
          <w:tab w:val="left" w:pos="3870"/>
          <w:tab w:val="left" w:pos="4320"/>
        </w:tabs>
        <w:ind w:left="4320"/>
      </w:pPr>
      <w:r w:rsidRPr="0062492A">
        <w:t>(willing to accept service via email)</w:t>
      </w:r>
    </w:p>
    <w:p w:rsidR="00600468" w:rsidRPr="0062492A" w:rsidP="00784D8A" w14:paraId="4294F051" w14:textId="3373A130">
      <w:pPr>
        <w:pStyle w:val="BodyTextIndent3"/>
        <w:widowControl w:val="0"/>
        <w:spacing w:line="480" w:lineRule="auto"/>
        <w:rPr>
          <w:b/>
          <w:bCs/>
          <w:szCs w:val="24"/>
        </w:rPr>
        <w:sectPr w:rsidSect="00AC05F4">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NumType w:start="1"/>
          <w:cols w:space="720"/>
          <w:titlePg/>
          <w:docGrid w:linePitch="326"/>
        </w:sectPr>
      </w:pPr>
    </w:p>
    <w:p w:rsidR="00F243FC" w:rsidRPr="0062492A" w:rsidP="00F243FC" w14:paraId="66BB384C" w14:textId="77777777">
      <w:pPr>
        <w:pStyle w:val="HTMLPreformatted"/>
        <w:jc w:val="center"/>
        <w:rPr>
          <w:rFonts w:ascii="Times New Roman" w:hAnsi="Times New Roman" w:cs="Times New Roman"/>
          <w:b/>
          <w:bCs/>
          <w:sz w:val="24"/>
          <w:szCs w:val="24"/>
        </w:rPr>
      </w:pPr>
      <w:r w:rsidRPr="0062492A">
        <w:rPr>
          <w:rFonts w:ascii="Times New Roman" w:hAnsi="Times New Roman" w:cs="Times New Roman"/>
          <w:b/>
          <w:bCs/>
          <w:sz w:val="24"/>
          <w:szCs w:val="24"/>
        </w:rPr>
        <w:t>BEFORE</w:t>
      </w:r>
    </w:p>
    <w:p w:rsidR="00F243FC" w:rsidRPr="0062492A" w:rsidP="00F243FC" w14:paraId="376B9899" w14:textId="77777777">
      <w:pPr>
        <w:pStyle w:val="HTMLPreformatted"/>
        <w:jc w:val="center"/>
        <w:rPr>
          <w:rFonts w:ascii="Times New Roman" w:hAnsi="Times New Roman" w:cs="Times New Roman"/>
          <w:b/>
          <w:bCs/>
          <w:sz w:val="24"/>
          <w:szCs w:val="24"/>
        </w:rPr>
      </w:pPr>
      <w:r w:rsidRPr="0062492A">
        <w:rPr>
          <w:rFonts w:ascii="Times New Roman" w:hAnsi="Times New Roman" w:cs="Times New Roman"/>
          <w:b/>
          <w:bCs/>
          <w:sz w:val="24"/>
          <w:szCs w:val="24"/>
        </w:rPr>
        <w:t>THE PUBLIC UTILITIES COMMISSION OF OHIO</w:t>
      </w:r>
    </w:p>
    <w:p w:rsidR="00F243FC" w:rsidRPr="0062492A" w:rsidP="00F243FC" w14:paraId="35C9E905" w14:textId="77777777">
      <w:pPr>
        <w:pStyle w:val="HTMLPreformatted"/>
        <w:jc w:val="center"/>
        <w:rPr>
          <w:rFonts w:ascii="Times New Roman" w:hAnsi="Times New Roman" w:cs="Times New Roman"/>
          <w:b/>
          <w:bCs/>
          <w:sz w:val="24"/>
          <w:szCs w:val="24"/>
        </w:rPr>
      </w:pPr>
    </w:p>
    <w:tbl>
      <w:tblPr>
        <w:tblW w:w="8640" w:type="dxa"/>
        <w:tblInd w:w="0" w:type="dxa"/>
        <w:tblCellMar>
          <w:top w:w="0" w:type="dxa"/>
          <w:left w:w="108" w:type="dxa"/>
          <w:bottom w:w="0" w:type="dxa"/>
          <w:right w:w="108" w:type="dxa"/>
        </w:tblCellMar>
        <w:tblLook w:val="01E0"/>
      </w:tblPr>
      <w:tblGrid>
        <w:gridCol w:w="4230"/>
        <w:gridCol w:w="630"/>
        <w:gridCol w:w="3780"/>
      </w:tblGrid>
      <w:tr w14:paraId="1DA8E18A" w14:textId="77777777" w:rsidTr="00777A04">
        <w:tblPrEx>
          <w:tblW w:w="8640" w:type="dxa"/>
          <w:tblInd w:w="0" w:type="dxa"/>
          <w:tblCellMar>
            <w:top w:w="0" w:type="dxa"/>
            <w:left w:w="108" w:type="dxa"/>
            <w:bottom w:w="0" w:type="dxa"/>
            <w:right w:w="108" w:type="dxa"/>
          </w:tblCellMar>
          <w:tblLook w:val="01E0"/>
        </w:tblPrEx>
        <w:trPr>
          <w:trHeight w:val="807"/>
        </w:trPr>
        <w:tc>
          <w:tcPr>
            <w:tcW w:w="4230" w:type="dxa"/>
            <w:shd w:val="clear" w:color="auto" w:fill="auto"/>
          </w:tcPr>
          <w:p w:rsidR="00F243FC" w:rsidRPr="0062492A" w:rsidP="00777A04" w14:paraId="1DFD2A94" w14:textId="77777777">
            <w:pPr>
              <w:autoSpaceDE w:val="0"/>
              <w:autoSpaceDN w:val="0"/>
              <w:adjustRightInd w:val="0"/>
              <w:rPr>
                <w:sz w:val="24"/>
                <w:szCs w:val="24"/>
                <w:lang w:val="en-US" w:eastAsia="en-US" w:bidi="ar-SA"/>
              </w:rPr>
            </w:pPr>
            <w:r w:rsidRPr="0062492A">
              <w:rPr>
                <w:sz w:val="24"/>
                <w:szCs w:val="24"/>
                <w:lang w:val="en-US" w:eastAsia="en-US" w:bidi="ar-SA"/>
              </w:rPr>
              <w:t>In the Matter of the Application of Duke Energy Ohio, Inc. to Adjust and Set the Rate for Rider BTR.</w:t>
            </w:r>
          </w:p>
        </w:tc>
        <w:tc>
          <w:tcPr>
            <w:tcW w:w="630" w:type="dxa"/>
            <w:shd w:val="clear" w:color="auto" w:fill="auto"/>
          </w:tcPr>
          <w:p w:rsidR="00F243FC" w:rsidRPr="0062492A" w:rsidP="00777A04" w14:paraId="1457275E"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62492A">
              <w:rPr>
                <w:rFonts w:ascii="Times New Roman" w:eastAsia="Courier New" w:hAnsi="Times New Roman" w:cs="Times New Roman"/>
                <w:sz w:val="24"/>
                <w:szCs w:val="24"/>
                <w:lang w:val="en-US" w:eastAsia="en-US" w:bidi="ar-SA"/>
              </w:rPr>
              <w:t>)</w:t>
            </w:r>
          </w:p>
          <w:p w:rsidR="00F243FC" w:rsidRPr="0062492A" w:rsidP="00777A04" w14:paraId="6E8DEC14"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62492A">
              <w:rPr>
                <w:rFonts w:ascii="Times New Roman" w:eastAsia="Courier New" w:hAnsi="Times New Roman" w:cs="Times New Roman"/>
                <w:sz w:val="24"/>
                <w:szCs w:val="24"/>
                <w:lang w:val="en-US" w:eastAsia="en-US" w:bidi="ar-SA"/>
              </w:rPr>
              <w:t>)</w:t>
            </w:r>
          </w:p>
          <w:p w:rsidR="00F243FC" w:rsidRPr="0062492A" w:rsidP="00777A04" w14:paraId="55A6BE8A"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62492A">
              <w:rPr>
                <w:rFonts w:ascii="Times New Roman" w:eastAsia="Courier New" w:hAnsi="Times New Roman" w:cs="Times New Roman"/>
                <w:sz w:val="24"/>
                <w:szCs w:val="24"/>
                <w:lang w:val="en-US" w:eastAsia="en-US" w:bidi="ar-SA"/>
              </w:rPr>
              <w:t>)</w:t>
            </w:r>
          </w:p>
        </w:tc>
        <w:tc>
          <w:tcPr>
            <w:tcW w:w="3780" w:type="dxa"/>
            <w:shd w:val="clear" w:color="auto" w:fill="auto"/>
          </w:tcPr>
          <w:p w:rsidR="00F243FC" w:rsidRPr="0062492A" w:rsidP="00777A04" w14:paraId="78E896F6"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F243FC" w:rsidRPr="0062492A" w:rsidP="00777A04" w14:paraId="0DF44B9D"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62492A">
              <w:rPr>
                <w:rFonts w:ascii="Times New Roman" w:eastAsia="Courier New" w:hAnsi="Times New Roman" w:cs="Times New Roman"/>
                <w:sz w:val="24"/>
                <w:szCs w:val="24"/>
                <w:lang w:val="en-US" w:eastAsia="en-US" w:bidi="ar-SA"/>
              </w:rPr>
              <w:t>Case No. 24-658-EL-RDR</w:t>
            </w:r>
          </w:p>
          <w:p w:rsidR="00F243FC" w:rsidRPr="0062492A" w:rsidP="00777A04" w14:paraId="70057D68"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tc>
      </w:tr>
    </w:tbl>
    <w:p w:rsidR="00A5637F" w:rsidRPr="0062492A" w14:paraId="295E824B" w14:textId="77777777">
      <w:pPr>
        <w:pStyle w:val="HTMLPreformatted"/>
        <w:rPr>
          <w:rFonts w:ascii="Times New Roman" w:hAnsi="Times New Roman" w:cs="Times New Roman"/>
          <w:b/>
          <w:sz w:val="24"/>
          <w:szCs w:val="24"/>
        </w:rPr>
      </w:pPr>
    </w:p>
    <w:p w:rsidR="00A5637F" w:rsidRPr="0062492A" w14:paraId="29B94DF1" w14:textId="77777777">
      <w:pPr>
        <w:pStyle w:val="Footer"/>
        <w:pBdr>
          <w:top w:val="single" w:sz="12" w:space="1" w:color="auto"/>
        </w:pBdr>
        <w:tabs>
          <w:tab w:val="left" w:pos="4320"/>
          <w:tab w:val="clear" w:pos="8640"/>
        </w:tabs>
        <w:spacing w:line="240" w:lineRule="auto"/>
      </w:pPr>
    </w:p>
    <w:p w:rsidR="00A5637F" w:rsidRPr="0062492A" w14:paraId="44EFD019" w14:textId="77777777">
      <w:pPr>
        <w:pStyle w:val="Footer"/>
        <w:tabs>
          <w:tab w:val="left" w:pos="4320"/>
          <w:tab w:val="clear" w:pos="8640"/>
        </w:tabs>
        <w:spacing w:line="240" w:lineRule="auto"/>
        <w:jc w:val="center"/>
        <w:rPr>
          <w:b/>
        </w:rPr>
      </w:pPr>
      <w:r w:rsidRPr="0062492A">
        <w:rPr>
          <w:b/>
        </w:rPr>
        <w:t>MEMORANDUM IN SUPPORT</w:t>
      </w:r>
    </w:p>
    <w:p w:rsidR="00A5637F" w:rsidRPr="0062492A" w14:paraId="3F0F15BD" w14:textId="77777777">
      <w:pPr>
        <w:pStyle w:val="Footer"/>
        <w:pBdr>
          <w:bottom w:val="single" w:sz="12" w:space="1" w:color="auto"/>
        </w:pBdr>
        <w:tabs>
          <w:tab w:val="left" w:pos="4320"/>
          <w:tab w:val="clear" w:pos="8640"/>
        </w:tabs>
        <w:spacing w:line="240" w:lineRule="auto"/>
      </w:pPr>
    </w:p>
    <w:p w:rsidR="00891DF4" w:rsidRPr="0062492A" w:rsidP="00891DF4" w14:paraId="127EBE59" w14:textId="77777777">
      <w:pPr>
        <w:pStyle w:val="Footer"/>
        <w:tabs>
          <w:tab w:val="left" w:pos="4320"/>
          <w:tab w:val="clear" w:pos="8640"/>
        </w:tabs>
        <w:spacing w:line="240" w:lineRule="auto"/>
      </w:pPr>
      <w:r w:rsidRPr="0062492A">
        <w:tab/>
      </w:r>
    </w:p>
    <w:p w:rsidR="006C48CC" w:rsidRPr="0062492A" w:rsidP="000A1059" w14:paraId="4E6250AB" w14:textId="34BF17D6">
      <w:pPr>
        <w:pStyle w:val="BodyTextIndent3"/>
        <w:widowControl w:val="0"/>
        <w:spacing w:line="480" w:lineRule="auto"/>
        <w:ind w:right="-24"/>
        <w:rPr>
          <w:szCs w:val="24"/>
        </w:rPr>
      </w:pPr>
      <w:r w:rsidRPr="0062492A">
        <w:rPr>
          <w:szCs w:val="24"/>
        </w:rPr>
        <w:t>Duke</w:t>
      </w:r>
      <w:r w:rsidRPr="0062492A" w:rsidR="000A1059">
        <w:rPr>
          <w:szCs w:val="24"/>
        </w:rPr>
        <w:t xml:space="preserve"> </w:t>
      </w:r>
      <w:r w:rsidRPr="0062492A" w:rsidR="007E000E">
        <w:rPr>
          <w:szCs w:val="24"/>
        </w:rPr>
        <w:t>seeks t</w:t>
      </w:r>
      <w:r w:rsidRPr="0062492A" w:rsidR="000A1059">
        <w:rPr>
          <w:szCs w:val="24"/>
        </w:rPr>
        <w:t xml:space="preserve">o </w:t>
      </w:r>
      <w:r w:rsidRPr="0062492A" w:rsidR="00ED5113">
        <w:rPr>
          <w:szCs w:val="24"/>
        </w:rPr>
        <w:t>pass on</w:t>
      </w:r>
      <w:r w:rsidRPr="0062492A" w:rsidR="000A1059">
        <w:rPr>
          <w:szCs w:val="24"/>
        </w:rPr>
        <w:t xml:space="preserve"> enormous charges </w:t>
      </w:r>
      <w:r w:rsidRPr="0062492A" w:rsidR="00ED5113">
        <w:rPr>
          <w:szCs w:val="24"/>
        </w:rPr>
        <w:t xml:space="preserve">to financially </w:t>
      </w:r>
      <w:r w:rsidRPr="0062492A" w:rsidR="000A1059">
        <w:rPr>
          <w:szCs w:val="24"/>
        </w:rPr>
        <w:t xml:space="preserve">over-burdened </w:t>
      </w:r>
      <w:r w:rsidRPr="0062492A" w:rsidR="00ED5113">
        <w:rPr>
          <w:szCs w:val="24"/>
        </w:rPr>
        <w:t xml:space="preserve">Ohioans </w:t>
      </w:r>
      <w:r w:rsidRPr="0062492A" w:rsidR="000A1059">
        <w:rPr>
          <w:szCs w:val="24"/>
        </w:rPr>
        <w:t>by</w:t>
      </w:r>
      <w:r w:rsidRPr="0062492A" w:rsidR="007E000E">
        <w:rPr>
          <w:szCs w:val="24"/>
        </w:rPr>
        <w:t xml:space="preserve"> </w:t>
      </w:r>
      <w:r w:rsidRPr="0062492A" w:rsidR="005959CA">
        <w:rPr>
          <w:szCs w:val="24"/>
        </w:rPr>
        <w:t xml:space="preserve">forcing </w:t>
      </w:r>
      <w:r w:rsidRPr="0062492A" w:rsidR="00ED5113">
        <w:rPr>
          <w:szCs w:val="24"/>
        </w:rPr>
        <w:t>residential consumers</w:t>
      </w:r>
      <w:r w:rsidRPr="0062492A" w:rsidR="005959CA">
        <w:rPr>
          <w:szCs w:val="24"/>
        </w:rPr>
        <w:t xml:space="preserve"> to pay </w:t>
      </w:r>
      <w:r w:rsidRPr="0062492A" w:rsidR="00A440FD">
        <w:rPr>
          <w:szCs w:val="24"/>
        </w:rPr>
        <w:t>more than</w:t>
      </w:r>
      <w:r w:rsidRPr="0062492A" w:rsidR="005959CA">
        <w:rPr>
          <w:szCs w:val="24"/>
        </w:rPr>
        <w:t xml:space="preserve"> $</w:t>
      </w:r>
      <w:r w:rsidRPr="0062492A" w:rsidR="00A440FD">
        <w:rPr>
          <w:szCs w:val="24"/>
        </w:rPr>
        <w:t>27</w:t>
      </w:r>
      <w:r w:rsidRPr="0062492A" w:rsidR="005959CA">
        <w:rPr>
          <w:szCs w:val="24"/>
        </w:rPr>
        <w:t xml:space="preserve"> million </w:t>
      </w:r>
      <w:r w:rsidRPr="0062492A" w:rsidR="00A440FD">
        <w:rPr>
          <w:szCs w:val="24"/>
        </w:rPr>
        <w:t xml:space="preserve">in additional charges </w:t>
      </w:r>
      <w:r w:rsidRPr="0062492A" w:rsidR="005959CA">
        <w:rPr>
          <w:szCs w:val="24"/>
        </w:rPr>
        <w:t>for</w:t>
      </w:r>
      <w:r w:rsidRPr="0062492A" w:rsidR="00ED5113">
        <w:rPr>
          <w:szCs w:val="24"/>
        </w:rPr>
        <w:t xml:space="preserve"> </w:t>
      </w:r>
      <w:r w:rsidRPr="0062492A" w:rsidR="00F26D9D">
        <w:rPr>
          <w:szCs w:val="24"/>
        </w:rPr>
        <w:t>transmission charges, b</w:t>
      </w:r>
      <w:r w:rsidRPr="0062492A" w:rsidR="00ED5113">
        <w:rPr>
          <w:szCs w:val="24"/>
        </w:rPr>
        <w:t xml:space="preserve">eginning on </w:t>
      </w:r>
      <w:r w:rsidRPr="0062492A" w:rsidR="00E537BD">
        <w:rPr>
          <w:szCs w:val="24"/>
        </w:rPr>
        <w:t>October</w:t>
      </w:r>
      <w:r w:rsidRPr="0062492A" w:rsidR="00ED5113">
        <w:rPr>
          <w:szCs w:val="24"/>
        </w:rPr>
        <w:t xml:space="preserve"> 1, 2024</w:t>
      </w:r>
      <w:r w:rsidRPr="0062492A" w:rsidR="005959CA">
        <w:rPr>
          <w:szCs w:val="24"/>
        </w:rPr>
        <w:t>.</w:t>
      </w:r>
      <w:r>
        <w:rPr>
          <w:rStyle w:val="FootnoteReference"/>
          <w:szCs w:val="24"/>
        </w:rPr>
        <w:footnoteReference w:id="11"/>
      </w:r>
      <w:r w:rsidRPr="0062492A" w:rsidR="00ED5113">
        <w:rPr>
          <w:szCs w:val="24"/>
        </w:rPr>
        <w:t xml:space="preserve"> According to </w:t>
      </w:r>
      <w:r w:rsidRPr="0062492A">
        <w:rPr>
          <w:szCs w:val="24"/>
        </w:rPr>
        <w:t>Duke</w:t>
      </w:r>
      <w:r w:rsidRPr="0062492A" w:rsidR="00ED5113">
        <w:rPr>
          <w:szCs w:val="24"/>
        </w:rPr>
        <w:t xml:space="preserve">, this will be </w:t>
      </w:r>
      <w:r w:rsidRPr="0062492A" w:rsidR="00ED5113">
        <w:rPr>
          <w:b/>
          <w:bCs/>
          <w:i/>
          <w:iCs/>
          <w:szCs w:val="24"/>
        </w:rPr>
        <w:t>3</w:t>
      </w:r>
      <w:r w:rsidRPr="0062492A" w:rsidR="00A440FD">
        <w:rPr>
          <w:b/>
          <w:bCs/>
          <w:i/>
          <w:iCs/>
          <w:szCs w:val="24"/>
        </w:rPr>
        <w:t>1</w:t>
      </w:r>
      <w:r w:rsidRPr="0062492A" w:rsidR="003564C0">
        <w:rPr>
          <w:b/>
          <w:bCs/>
          <w:i/>
          <w:iCs/>
          <w:szCs w:val="24"/>
        </w:rPr>
        <w:t>.</w:t>
      </w:r>
      <w:r w:rsidRPr="0062492A" w:rsidR="00A440FD">
        <w:rPr>
          <w:b/>
          <w:bCs/>
          <w:i/>
          <w:iCs/>
          <w:szCs w:val="24"/>
        </w:rPr>
        <w:t>2</w:t>
      </w:r>
      <w:r w:rsidRPr="0062492A" w:rsidR="003564C0">
        <w:rPr>
          <w:b/>
          <w:bCs/>
          <w:i/>
          <w:iCs/>
          <w:szCs w:val="24"/>
        </w:rPr>
        <w:t>5</w:t>
      </w:r>
      <w:r w:rsidRPr="0062492A" w:rsidR="00ED5113">
        <w:rPr>
          <w:b/>
          <w:bCs/>
          <w:i/>
          <w:iCs/>
          <w:szCs w:val="24"/>
        </w:rPr>
        <w:t>% more</w:t>
      </w:r>
      <w:r w:rsidRPr="0062492A" w:rsidR="00ED5113">
        <w:rPr>
          <w:szCs w:val="24"/>
        </w:rPr>
        <w:t xml:space="preserve"> than what residential consumers pay under current </w:t>
      </w:r>
      <w:r w:rsidRPr="0062492A" w:rsidR="003564C0">
        <w:rPr>
          <w:szCs w:val="24"/>
        </w:rPr>
        <w:t xml:space="preserve">Rider </w:t>
      </w:r>
      <w:r w:rsidRPr="0062492A" w:rsidR="00BC07E9">
        <w:rPr>
          <w:szCs w:val="24"/>
        </w:rPr>
        <w:t>BTR</w:t>
      </w:r>
      <w:r w:rsidRPr="0062492A" w:rsidR="00ED5113">
        <w:rPr>
          <w:szCs w:val="24"/>
        </w:rPr>
        <w:t xml:space="preserve"> rates. </w:t>
      </w:r>
      <w:r w:rsidRPr="0062492A" w:rsidR="00BB77DD">
        <w:rPr>
          <w:szCs w:val="24"/>
        </w:rPr>
        <w:t>A residential consumer using 1,000 kwh per month currently pays $</w:t>
      </w:r>
      <w:r w:rsidRPr="0062492A" w:rsidR="003564C0">
        <w:rPr>
          <w:szCs w:val="24"/>
        </w:rPr>
        <w:t>12</w:t>
      </w:r>
      <w:r w:rsidRPr="0062492A" w:rsidR="00BB77DD">
        <w:rPr>
          <w:szCs w:val="24"/>
        </w:rPr>
        <w:t xml:space="preserve"> per month under </w:t>
      </w:r>
      <w:r w:rsidRPr="0062492A">
        <w:rPr>
          <w:szCs w:val="24"/>
        </w:rPr>
        <w:t>Duke</w:t>
      </w:r>
      <w:r w:rsidR="0062492A">
        <w:rPr>
          <w:szCs w:val="24"/>
        </w:rPr>
        <w:t>’</w:t>
      </w:r>
      <w:r w:rsidRPr="0062492A" w:rsidR="00BB77DD">
        <w:rPr>
          <w:szCs w:val="24"/>
        </w:rPr>
        <w:t xml:space="preserve">s </w:t>
      </w:r>
      <w:r w:rsidRPr="0062492A" w:rsidR="00BC07E9">
        <w:rPr>
          <w:szCs w:val="24"/>
        </w:rPr>
        <w:t>BTR</w:t>
      </w:r>
      <w:r w:rsidRPr="0062492A" w:rsidR="00BB77DD">
        <w:rPr>
          <w:szCs w:val="24"/>
        </w:rPr>
        <w:t>. That will jump to almost $</w:t>
      </w:r>
      <w:r w:rsidRPr="0062492A" w:rsidR="003564C0">
        <w:rPr>
          <w:szCs w:val="24"/>
        </w:rPr>
        <w:t>15.75</w:t>
      </w:r>
      <w:r w:rsidRPr="0062492A" w:rsidR="00BB77DD">
        <w:rPr>
          <w:szCs w:val="24"/>
        </w:rPr>
        <w:t xml:space="preserve"> per month under </w:t>
      </w:r>
      <w:r w:rsidRPr="0062492A">
        <w:rPr>
          <w:szCs w:val="24"/>
        </w:rPr>
        <w:t>Duke</w:t>
      </w:r>
      <w:r w:rsidR="0062492A">
        <w:rPr>
          <w:szCs w:val="24"/>
        </w:rPr>
        <w:t>’</w:t>
      </w:r>
      <w:r w:rsidRPr="0062492A" w:rsidR="00BB77DD">
        <w:rPr>
          <w:szCs w:val="24"/>
        </w:rPr>
        <w:t xml:space="preserve">s updated </w:t>
      </w:r>
      <w:r w:rsidRPr="0062492A" w:rsidR="003564C0">
        <w:rPr>
          <w:szCs w:val="24"/>
        </w:rPr>
        <w:t xml:space="preserve">Rider </w:t>
      </w:r>
      <w:r w:rsidRPr="0062492A">
        <w:rPr>
          <w:szCs w:val="24"/>
        </w:rPr>
        <w:t>BTR</w:t>
      </w:r>
      <w:r w:rsidRPr="0062492A" w:rsidR="00BB77DD">
        <w:rPr>
          <w:szCs w:val="24"/>
        </w:rPr>
        <w:t>.</w:t>
      </w:r>
      <w:r>
        <w:rPr>
          <w:rStyle w:val="FootnoteReference"/>
          <w:szCs w:val="24"/>
        </w:rPr>
        <w:footnoteReference w:id="12"/>
      </w:r>
    </w:p>
    <w:p w:rsidR="00C4744B" w:rsidRPr="0062492A" w:rsidP="000A1059" w14:paraId="7D7B5BD9" w14:textId="3B9239EE">
      <w:pPr>
        <w:pStyle w:val="BodyTextIndent3"/>
        <w:widowControl w:val="0"/>
        <w:spacing w:line="480" w:lineRule="auto"/>
        <w:ind w:right="-24"/>
        <w:rPr>
          <w:szCs w:val="24"/>
        </w:rPr>
      </w:pPr>
      <w:r w:rsidRPr="0062492A">
        <w:rPr>
          <w:szCs w:val="24"/>
        </w:rPr>
        <w:t>What</w:t>
      </w:r>
      <w:r w:rsidR="0062492A">
        <w:rPr>
          <w:szCs w:val="24"/>
        </w:rPr>
        <w:t>’</w:t>
      </w:r>
      <w:r w:rsidRPr="0062492A">
        <w:rPr>
          <w:szCs w:val="24"/>
        </w:rPr>
        <w:t>s worse is that Duke</w:t>
      </w:r>
      <w:r w:rsidR="0062492A">
        <w:rPr>
          <w:szCs w:val="24"/>
        </w:rPr>
        <w:t>’</w:t>
      </w:r>
      <w:r w:rsidRPr="0062492A">
        <w:rPr>
          <w:szCs w:val="24"/>
        </w:rPr>
        <w:t xml:space="preserve">s residential consumers have no choice but to pay the Rider BTR charges. </w:t>
      </w:r>
      <w:r w:rsidRPr="0062492A" w:rsidR="00E92753">
        <w:rPr>
          <w:szCs w:val="24"/>
        </w:rPr>
        <w:t xml:space="preserve">While substantially increasing what residential consumers will pay under Rider BTR, Duke also proposes to reduce Rider BTR charges to most business and industrial consumers. The large residential increase combined with decreased charges to business and industrial consumers results in an enormous cost shift between the classes of consumers, to the detriment of residential consumers. </w:t>
      </w:r>
      <w:r w:rsidRPr="0062492A">
        <w:rPr>
          <w:szCs w:val="24"/>
        </w:rPr>
        <w:t>Under current rates residential consumers pay 48.5% of Rider BTR charges.</w:t>
      </w:r>
      <w:r>
        <w:rPr>
          <w:rStyle w:val="FootnoteReference"/>
          <w:szCs w:val="24"/>
        </w:rPr>
        <w:footnoteReference w:id="13"/>
      </w:r>
      <w:r w:rsidRPr="0062492A">
        <w:rPr>
          <w:szCs w:val="24"/>
        </w:rPr>
        <w:t xml:space="preserve"> Duke</w:t>
      </w:r>
      <w:r w:rsidRPr="0062492A" w:rsidR="009162E1">
        <w:rPr>
          <w:szCs w:val="24"/>
        </w:rPr>
        <w:t xml:space="preserve"> now</w:t>
      </w:r>
      <w:r w:rsidRPr="0062492A">
        <w:rPr>
          <w:szCs w:val="24"/>
        </w:rPr>
        <w:t xml:space="preserve"> proposes to charge 55.9% of the transmission charges to residential consumers</w:t>
      </w:r>
      <w:r w:rsidRPr="0062492A" w:rsidR="00E92753">
        <w:rPr>
          <w:szCs w:val="24"/>
        </w:rPr>
        <w:t>,</w:t>
      </w:r>
      <w:r w:rsidRPr="0062492A" w:rsidR="009162E1">
        <w:rPr>
          <w:szCs w:val="24"/>
        </w:rPr>
        <w:t xml:space="preserve"> and reduce the amount </w:t>
      </w:r>
      <w:r w:rsidRPr="0062492A" w:rsidR="00E92753">
        <w:rPr>
          <w:szCs w:val="24"/>
        </w:rPr>
        <w:t>paid by</w:t>
      </w:r>
      <w:r w:rsidRPr="0062492A" w:rsidR="009162E1">
        <w:rPr>
          <w:szCs w:val="24"/>
        </w:rPr>
        <w:t xml:space="preserve"> non-residential consumers</w:t>
      </w:r>
      <w:r w:rsidRPr="0062492A" w:rsidR="00E92753">
        <w:rPr>
          <w:szCs w:val="24"/>
        </w:rPr>
        <w:t>, while providing no evidence to support shifting such an enormous increase in Rider BTR charges to residential consumers</w:t>
      </w:r>
      <w:r w:rsidRPr="0062492A">
        <w:rPr>
          <w:szCs w:val="24"/>
        </w:rPr>
        <w:t>.</w:t>
      </w:r>
      <w:r>
        <w:rPr>
          <w:rStyle w:val="FootnoteReference"/>
          <w:szCs w:val="24"/>
        </w:rPr>
        <w:footnoteReference w:id="14"/>
      </w:r>
      <w:r w:rsidR="0062492A">
        <w:rPr>
          <w:szCs w:val="24"/>
        </w:rPr>
        <w:t xml:space="preserve"> </w:t>
      </w:r>
    </w:p>
    <w:p w:rsidR="00BA5213" w:rsidRPr="0062492A" w:rsidP="00A955DC" w14:paraId="4844FA05" w14:textId="24627B86">
      <w:pPr>
        <w:pStyle w:val="BodyTextIndent3"/>
        <w:widowControl w:val="0"/>
        <w:spacing w:line="480" w:lineRule="auto"/>
        <w:ind w:right="-24"/>
        <w:rPr>
          <w:szCs w:val="24"/>
        </w:rPr>
      </w:pPr>
      <w:r w:rsidRPr="0062492A">
        <w:rPr>
          <w:szCs w:val="24"/>
        </w:rPr>
        <w:t>Rider BTR is a non</w:t>
      </w:r>
      <w:r w:rsidRPr="0062492A" w:rsidR="00404C85">
        <w:rPr>
          <w:szCs w:val="24"/>
        </w:rPr>
        <w:t>-</w:t>
      </w:r>
      <w:r w:rsidRPr="0062492A">
        <w:rPr>
          <w:szCs w:val="24"/>
        </w:rPr>
        <w:t xml:space="preserve">bypassable rider </w:t>
      </w:r>
      <w:r w:rsidRPr="0062492A" w:rsidR="00ED32B1">
        <w:rPr>
          <w:szCs w:val="24"/>
        </w:rPr>
        <w:t>used by Duke</w:t>
      </w:r>
      <w:r w:rsidR="0062492A">
        <w:rPr>
          <w:szCs w:val="24"/>
        </w:rPr>
        <w:t xml:space="preserve"> </w:t>
      </w:r>
      <w:r w:rsidRPr="0062492A" w:rsidR="000C0E4A">
        <w:rPr>
          <w:szCs w:val="24"/>
        </w:rPr>
        <w:t>to charge</w:t>
      </w:r>
      <w:r w:rsidRPr="0062492A" w:rsidR="00ED32B1">
        <w:rPr>
          <w:szCs w:val="24"/>
        </w:rPr>
        <w:t xml:space="preserve"> consumers for noncompetitive-based transmission charges, including charges approved by the </w:t>
      </w:r>
      <w:r w:rsidRPr="0062492A">
        <w:rPr>
          <w:szCs w:val="24"/>
        </w:rPr>
        <w:t>Federal Energy Regulatory Commission (FERC).</w:t>
      </w:r>
      <w:r>
        <w:rPr>
          <w:rStyle w:val="FootnoteReference"/>
          <w:szCs w:val="24"/>
        </w:rPr>
        <w:footnoteReference w:id="15"/>
      </w:r>
      <w:r w:rsidRPr="0062492A" w:rsidR="00F06932">
        <w:rPr>
          <w:szCs w:val="24"/>
        </w:rPr>
        <w:t xml:space="preserve"> </w:t>
      </w:r>
      <w:r w:rsidRPr="0062492A" w:rsidR="00A735A7">
        <w:rPr>
          <w:szCs w:val="24"/>
        </w:rPr>
        <w:t>Th</w:t>
      </w:r>
      <w:r w:rsidRPr="0062492A" w:rsidR="00C4744B">
        <w:rPr>
          <w:szCs w:val="24"/>
        </w:rPr>
        <w:t xml:space="preserve">ese charges </w:t>
      </w:r>
      <w:r w:rsidRPr="0062492A" w:rsidR="000A1059">
        <w:rPr>
          <w:szCs w:val="24"/>
        </w:rPr>
        <w:t>includ</w:t>
      </w:r>
      <w:r w:rsidRPr="0062492A" w:rsidR="00C4744B">
        <w:rPr>
          <w:szCs w:val="24"/>
        </w:rPr>
        <w:t xml:space="preserve">e millions of dollars for </w:t>
      </w:r>
      <w:r w:rsidRPr="0062492A" w:rsidR="00FF0C24">
        <w:rPr>
          <w:szCs w:val="24"/>
        </w:rPr>
        <w:t>Duke</w:t>
      </w:r>
      <w:r w:rsidR="0062492A">
        <w:rPr>
          <w:szCs w:val="24"/>
        </w:rPr>
        <w:t>’</w:t>
      </w:r>
      <w:r w:rsidRPr="0062492A" w:rsidR="00C4744B">
        <w:rPr>
          <w:szCs w:val="24"/>
        </w:rPr>
        <w:t>s investments in</w:t>
      </w:r>
      <w:r w:rsidRPr="0062492A" w:rsidR="000A1059">
        <w:rPr>
          <w:szCs w:val="24"/>
        </w:rPr>
        <w:t xml:space="preserve"> Supplemental Transmission Projects</w:t>
      </w:r>
      <w:r w:rsidRPr="0062492A" w:rsidR="00ED32B1">
        <w:rPr>
          <w:szCs w:val="24"/>
        </w:rPr>
        <w:t>.</w:t>
      </w:r>
      <w:r w:rsidRPr="0062492A" w:rsidR="00F06932">
        <w:rPr>
          <w:szCs w:val="24"/>
        </w:rPr>
        <w:t xml:space="preserve"> </w:t>
      </w:r>
      <w:r w:rsidRPr="0062492A" w:rsidR="00ED32B1">
        <w:rPr>
          <w:szCs w:val="24"/>
        </w:rPr>
        <w:t>There is little to no regulatory oversight of the costs, necessity, or prudence of supplemental transmission project costs by the PUCO, federal regulators, or any other entity.</w:t>
      </w:r>
      <w:r>
        <w:rPr>
          <w:rStyle w:val="FootnoteReference"/>
          <w:szCs w:val="24"/>
        </w:rPr>
        <w:footnoteReference w:id="16"/>
      </w:r>
    </w:p>
    <w:p w:rsidR="004A7782" w:rsidRPr="0062492A" w:rsidP="008B1879" w14:paraId="41AC2375" w14:textId="4076CBBA">
      <w:pPr>
        <w:pStyle w:val="Footer"/>
        <w:tabs>
          <w:tab w:val="left" w:pos="4320"/>
          <w:tab w:val="clear" w:pos="8640"/>
        </w:tabs>
      </w:pPr>
      <w:r w:rsidRPr="0062492A">
        <w:tab/>
      </w:r>
      <w:r w:rsidRPr="0062492A" w:rsidR="00C377D2">
        <w:t xml:space="preserve">OCC has </w:t>
      </w:r>
      <w:r w:rsidRPr="0062492A">
        <w:t xml:space="preserve">authority under law to represent the interests of all the </w:t>
      </w:r>
      <w:r w:rsidR="002235F6">
        <w:t>77</w:t>
      </w:r>
      <w:r w:rsidRPr="0062492A">
        <w:t xml:space="preserve">0,000 </w:t>
      </w:r>
      <w:r w:rsidRPr="0062492A" w:rsidR="00C377D2">
        <w:t xml:space="preserve">residential electric utility consumers of </w:t>
      </w:r>
      <w:r w:rsidRPr="0062492A" w:rsidR="00FF0C24">
        <w:t>Duke</w:t>
      </w:r>
      <w:r w:rsidRPr="0062492A">
        <w:t xml:space="preserve"> under R.C. Chapter 4911.</w:t>
      </w:r>
    </w:p>
    <w:p w:rsidR="00165484" w:rsidRPr="0062492A" w:rsidP="008B1879" w14:paraId="07B3685A" w14:textId="6C8C18D9">
      <w:pPr>
        <w:pStyle w:val="Footer"/>
        <w:tabs>
          <w:tab w:val="left" w:pos="4320"/>
          <w:tab w:val="clear" w:pos="8640"/>
        </w:tabs>
      </w:pPr>
      <w:r w:rsidRPr="0062492A">
        <w:tab/>
      </w:r>
      <w:r w:rsidRPr="0062492A" w:rsidR="006755BB">
        <w:t>R.C. 4903.221 provides</w:t>
      </w:r>
      <w:r w:rsidRPr="0062492A" w:rsidR="00F92877">
        <w:t xml:space="preserve"> the standard for permissive intervention – where the PUCO may exercise discretion in ruling upon a party</w:t>
      </w:r>
      <w:r w:rsidR="0062492A">
        <w:t>’</w:t>
      </w:r>
      <w:r w:rsidRPr="0062492A" w:rsidR="00F92877">
        <w:t>s motion to intervene.</w:t>
      </w:r>
      <w:r w:rsidRPr="0062492A" w:rsidR="00A46DBC">
        <w:t xml:space="preserve"> </w:t>
      </w:r>
      <w:r w:rsidRPr="0062492A" w:rsidR="00F92877">
        <w:t>That law provides</w:t>
      </w:r>
      <w:r w:rsidRPr="0062492A" w:rsidR="006755BB">
        <w:t xml:space="preserve">, in part, that any person </w:t>
      </w:r>
      <w:r w:rsidR="0062492A">
        <w:t>“</w:t>
      </w:r>
      <w:r w:rsidRPr="0062492A" w:rsidR="006755BB">
        <w:t>who may be adversely affected</w:t>
      </w:r>
      <w:r w:rsidR="0062492A">
        <w:t>”</w:t>
      </w:r>
      <w:r w:rsidRPr="0062492A" w:rsidR="006755BB">
        <w:t xml:space="preserve"> by a PUCO proceeding is entitled to seek intervention in that proceeding.</w:t>
      </w:r>
      <w:r>
        <w:rPr>
          <w:vertAlign w:val="superscript"/>
        </w:rPr>
        <w:footnoteReference w:id="17"/>
      </w:r>
    </w:p>
    <w:p w:rsidR="004D14D4" w:rsidRPr="0062492A" w:rsidP="004015F8" w14:paraId="7B31A4D2" w14:textId="4C42F1A2">
      <w:pPr>
        <w:pStyle w:val="Footer"/>
        <w:tabs>
          <w:tab w:val="left" w:pos="4320"/>
          <w:tab w:val="clear" w:pos="8640"/>
        </w:tabs>
      </w:pPr>
      <w:r w:rsidRPr="0062492A">
        <w:tab/>
      </w:r>
      <w:r w:rsidRPr="0062492A" w:rsidR="006755BB">
        <w:t xml:space="preserve">The interests of </w:t>
      </w:r>
      <w:r w:rsidRPr="0062492A" w:rsidR="00FF0C24">
        <w:t>Duke</w:t>
      </w:r>
      <w:r w:rsidR="0062492A">
        <w:t>’</w:t>
      </w:r>
      <w:r w:rsidRPr="0062492A" w:rsidR="006755BB">
        <w:t xml:space="preserve">s residential </w:t>
      </w:r>
      <w:r w:rsidRPr="0062492A" w:rsidR="00DA6AE4">
        <w:t>consumer</w:t>
      </w:r>
      <w:r w:rsidRPr="0062492A" w:rsidR="006755BB">
        <w:t xml:space="preserve">s may be </w:t>
      </w:r>
      <w:r w:rsidR="0062492A">
        <w:t>“</w:t>
      </w:r>
      <w:r w:rsidRPr="0062492A" w:rsidR="006755BB">
        <w:t>adversely affected</w:t>
      </w:r>
      <w:r w:rsidR="0062492A">
        <w:t>”</w:t>
      </w:r>
      <w:r w:rsidRPr="0062492A" w:rsidR="006755BB">
        <w:t xml:space="preserve"> by this case</w:t>
      </w:r>
      <w:r w:rsidRPr="0062492A" w:rsidR="00B95C59">
        <w:t xml:space="preserve">, </w:t>
      </w:r>
      <w:r w:rsidRPr="0062492A" w:rsidR="000330D3">
        <w:t xml:space="preserve">especially so </w:t>
      </w:r>
      <w:r w:rsidRPr="0062492A" w:rsidR="006755BB">
        <w:t xml:space="preserve">if </w:t>
      </w:r>
      <w:r w:rsidRPr="0062492A" w:rsidR="00B95C59">
        <w:t xml:space="preserve">the consumers were </w:t>
      </w:r>
      <w:r w:rsidRPr="0062492A" w:rsidR="006755BB">
        <w:t xml:space="preserve">unrepresented in a proceeding that </w:t>
      </w:r>
      <w:r w:rsidRPr="0062492A" w:rsidR="00D71790">
        <w:t>substantially increases</w:t>
      </w:r>
      <w:r w:rsidRPr="0062492A" w:rsidR="006C48CC">
        <w:t xml:space="preserve"> </w:t>
      </w:r>
      <w:r w:rsidRPr="0062492A" w:rsidR="009C40B1">
        <w:t xml:space="preserve">how much residential consumers must pay under </w:t>
      </w:r>
      <w:r w:rsidRPr="0062492A" w:rsidR="0010415D">
        <w:t>Rider</w:t>
      </w:r>
      <w:r w:rsidRPr="0062492A" w:rsidR="00D71790">
        <w:t xml:space="preserve"> </w:t>
      </w:r>
      <w:r w:rsidRPr="0062492A" w:rsidR="00FF0C24">
        <w:t>BTR</w:t>
      </w:r>
      <w:r w:rsidRPr="0062492A" w:rsidR="000330D3">
        <w:t>.</w:t>
      </w:r>
      <w:r w:rsidRPr="0062492A" w:rsidR="00A46DBC">
        <w:t xml:space="preserve"> </w:t>
      </w:r>
      <w:r w:rsidRPr="0062492A" w:rsidR="006755BB">
        <w:t>Thus, this element of the</w:t>
      </w:r>
      <w:r w:rsidRPr="0062492A">
        <w:t xml:space="preserve"> permissive</w:t>
      </w:r>
      <w:r w:rsidRPr="0062492A" w:rsidR="006755BB">
        <w:t xml:space="preserve"> intervention standard in R.C. 4903.221 is satisfied. </w:t>
      </w:r>
    </w:p>
    <w:p w:rsidR="004D14D4" w:rsidRPr="0062492A" w:rsidP="004D14D4" w14:paraId="3A8D0659" w14:textId="66A9608E">
      <w:pPr>
        <w:spacing w:line="480" w:lineRule="auto"/>
        <w:ind w:firstLine="720"/>
      </w:pPr>
      <w:r w:rsidRPr="0062492A">
        <w:t xml:space="preserve">R.C. 4903.221(B) requires the PUCO to consider the following criteria in ruling on </w:t>
      </w:r>
      <w:r w:rsidRPr="0062492A" w:rsidR="00F92877">
        <w:t xml:space="preserve">permissive </w:t>
      </w:r>
      <w:r w:rsidRPr="0062492A">
        <w:t>interven</w:t>
      </w:r>
      <w:r w:rsidRPr="0062492A" w:rsidR="00F92877">
        <w:t>tion</w:t>
      </w:r>
      <w:r w:rsidRPr="0062492A">
        <w:t>:</w:t>
      </w:r>
    </w:p>
    <w:p w:rsidR="004D14D4" w:rsidRPr="0062492A" w:rsidP="004D14D4" w14:paraId="4F395A20" w14:textId="17A93C6A">
      <w:pPr>
        <w:ind w:left="1440" w:hanging="720"/>
      </w:pPr>
      <w:r w:rsidRPr="0062492A">
        <w:t>(1)</w:t>
      </w:r>
      <w:r w:rsidRPr="0062492A">
        <w:tab/>
        <w:t>The nature and extent of the prospective intervenor</w:t>
      </w:r>
      <w:r w:rsidR="0062492A">
        <w:t>’</w:t>
      </w:r>
      <w:r w:rsidRPr="0062492A">
        <w:t>s interest;</w:t>
      </w:r>
    </w:p>
    <w:p w:rsidR="004D14D4" w:rsidRPr="0062492A" w:rsidP="004D14D4" w14:paraId="664356A3" w14:textId="77777777">
      <w:pPr>
        <w:spacing w:before="240"/>
        <w:ind w:left="1440" w:hanging="720"/>
      </w:pPr>
      <w:r w:rsidRPr="0062492A">
        <w:t>(2)</w:t>
      </w:r>
      <w:r w:rsidRPr="0062492A">
        <w:tab/>
        <w:t>The legal position advanced by the prospective intervenor and its probable relation to the merits of the case;</w:t>
      </w:r>
    </w:p>
    <w:p w:rsidR="00F620D7" w:rsidRPr="0062492A" w:rsidP="00F620D7" w14:paraId="2A4407A3" w14:textId="0DDF4573">
      <w:pPr>
        <w:spacing w:before="240"/>
        <w:ind w:left="1440" w:hanging="720"/>
      </w:pPr>
      <w:r w:rsidRPr="0062492A">
        <w:t>(3)</w:t>
      </w:r>
      <w:r w:rsidRPr="0062492A">
        <w:tab/>
        <w:t>Whether the intervention by the prospective intervenor will unduly prolong or delay the proceeding; and</w:t>
      </w:r>
    </w:p>
    <w:p w:rsidR="004D14D4" w:rsidRPr="0062492A" w:rsidP="00F620D7" w14:paraId="30098783" w14:textId="77777777">
      <w:pPr>
        <w:pStyle w:val="BodyTextIndent2"/>
        <w:spacing w:before="240"/>
        <w:ind w:left="1440"/>
        <w:rPr>
          <w:b w:val="0"/>
          <w:bCs w:val="0"/>
        </w:rPr>
      </w:pPr>
      <w:r w:rsidRPr="0062492A">
        <w:rPr>
          <w:b w:val="0"/>
          <w:bCs w:val="0"/>
        </w:rPr>
        <w:t>(4)</w:t>
      </w:r>
      <w:r w:rsidRPr="0062492A">
        <w:rPr>
          <w:b w:val="0"/>
          <w:bCs w:val="0"/>
        </w:rPr>
        <w:tab/>
        <w:t>Whether the prospective intervenor will significantly contribute to the full development and equitable resolution of the factual issues.</w:t>
      </w:r>
    </w:p>
    <w:p w:rsidR="000330D3" w:rsidRPr="0062492A" w:rsidP="000330D3" w14:paraId="3BED3F3E" w14:textId="6EE84C24">
      <w:pPr>
        <w:pStyle w:val="BodyTextIndent3"/>
        <w:spacing w:line="480" w:lineRule="auto"/>
        <w:rPr>
          <w:szCs w:val="24"/>
        </w:rPr>
      </w:pPr>
      <w:r w:rsidRPr="0062492A">
        <w:rPr>
          <w:szCs w:val="24"/>
        </w:rPr>
        <w:t>First, the nature and extent of OCC</w:t>
      </w:r>
      <w:r w:rsidR="0062492A">
        <w:rPr>
          <w:szCs w:val="24"/>
        </w:rPr>
        <w:t>’</w:t>
      </w:r>
      <w:r w:rsidRPr="0062492A">
        <w:rPr>
          <w:szCs w:val="24"/>
        </w:rPr>
        <w:t>s interest is representing</w:t>
      </w:r>
      <w:r w:rsidRPr="0062492A" w:rsidR="00B95C59">
        <w:rPr>
          <w:szCs w:val="24"/>
        </w:rPr>
        <w:t xml:space="preserve"> the </w:t>
      </w:r>
      <w:r w:rsidRPr="0062492A">
        <w:rPr>
          <w:szCs w:val="24"/>
        </w:rPr>
        <w:t xml:space="preserve">residential </w:t>
      </w:r>
      <w:r w:rsidRPr="0062492A" w:rsidR="00DA6AE4">
        <w:rPr>
          <w:szCs w:val="24"/>
        </w:rPr>
        <w:t>consumer</w:t>
      </w:r>
      <w:r w:rsidRPr="0062492A">
        <w:rPr>
          <w:szCs w:val="24"/>
        </w:rPr>
        <w:t>s</w:t>
      </w:r>
      <w:r w:rsidRPr="0062492A" w:rsidR="00B95C59">
        <w:rPr>
          <w:szCs w:val="24"/>
        </w:rPr>
        <w:t xml:space="preserve"> of Duke</w:t>
      </w:r>
      <w:r w:rsidRPr="0062492A">
        <w:rPr>
          <w:szCs w:val="24"/>
        </w:rPr>
        <w:t xml:space="preserve"> in this case</w:t>
      </w:r>
      <w:r w:rsidRPr="0062492A" w:rsidR="00B95C59">
        <w:rPr>
          <w:szCs w:val="24"/>
        </w:rPr>
        <w:t xml:space="preserve"> involving </w:t>
      </w:r>
      <w:r w:rsidRPr="0062492A" w:rsidR="004A7782">
        <w:rPr>
          <w:szCs w:val="24"/>
        </w:rPr>
        <w:t xml:space="preserve">substantial </w:t>
      </w:r>
      <w:r w:rsidRPr="0062492A" w:rsidR="001D6BA8">
        <w:rPr>
          <w:szCs w:val="24"/>
        </w:rPr>
        <w:t>increas</w:t>
      </w:r>
      <w:r w:rsidRPr="0062492A" w:rsidR="00B95C59">
        <w:rPr>
          <w:szCs w:val="24"/>
        </w:rPr>
        <w:t xml:space="preserve">es in </w:t>
      </w:r>
      <w:r w:rsidRPr="0062492A" w:rsidR="001D6BA8">
        <w:rPr>
          <w:szCs w:val="24"/>
        </w:rPr>
        <w:t xml:space="preserve">the amount consumers will pay </w:t>
      </w:r>
      <w:r w:rsidRPr="0062492A" w:rsidR="00F26D9D">
        <w:rPr>
          <w:szCs w:val="24"/>
        </w:rPr>
        <w:t>for transmission costs</w:t>
      </w:r>
      <w:r w:rsidRPr="0062492A">
        <w:rPr>
          <w:szCs w:val="24"/>
        </w:rPr>
        <w:t>.</w:t>
      </w:r>
      <w:r w:rsidRPr="0062492A" w:rsidR="00A46DBC">
        <w:rPr>
          <w:szCs w:val="24"/>
        </w:rPr>
        <w:t xml:space="preserve"> </w:t>
      </w:r>
      <w:r w:rsidRPr="0062492A">
        <w:rPr>
          <w:szCs w:val="24"/>
        </w:rPr>
        <w:t xml:space="preserve">This interest </w:t>
      </w:r>
      <w:r w:rsidRPr="0062492A" w:rsidR="00320F5D">
        <w:rPr>
          <w:szCs w:val="24"/>
        </w:rPr>
        <w:t xml:space="preserve">includes evaluating whether the </w:t>
      </w:r>
      <w:r w:rsidRPr="0062492A">
        <w:rPr>
          <w:szCs w:val="24"/>
        </w:rPr>
        <w:t>costs include</w:t>
      </w:r>
      <w:r w:rsidRPr="0062492A" w:rsidR="003B5A65">
        <w:rPr>
          <w:szCs w:val="24"/>
        </w:rPr>
        <w:t>d</w:t>
      </w:r>
      <w:r w:rsidRPr="0062492A">
        <w:rPr>
          <w:szCs w:val="24"/>
        </w:rPr>
        <w:t xml:space="preserve"> in the </w:t>
      </w:r>
      <w:r w:rsidRPr="0062492A" w:rsidR="0033469B">
        <w:rPr>
          <w:szCs w:val="24"/>
        </w:rPr>
        <w:t xml:space="preserve">transmission rider </w:t>
      </w:r>
      <w:r w:rsidRPr="0062492A">
        <w:rPr>
          <w:szCs w:val="24"/>
        </w:rPr>
        <w:t xml:space="preserve">are just and reasonable and fairly </w:t>
      </w:r>
      <w:r w:rsidRPr="0062492A" w:rsidR="00320F5D">
        <w:rPr>
          <w:szCs w:val="24"/>
        </w:rPr>
        <w:t>allocat</w:t>
      </w:r>
      <w:r w:rsidRPr="0062492A">
        <w:rPr>
          <w:szCs w:val="24"/>
        </w:rPr>
        <w:t>ed</w:t>
      </w:r>
      <w:r w:rsidRPr="0062492A" w:rsidR="00320F5D">
        <w:rPr>
          <w:szCs w:val="24"/>
        </w:rPr>
        <w:t xml:space="preserve"> to residential consumers.</w:t>
      </w:r>
      <w:r w:rsidRPr="0062492A" w:rsidR="00A46DBC">
        <w:rPr>
          <w:szCs w:val="24"/>
        </w:rPr>
        <w:t xml:space="preserve"> </w:t>
      </w:r>
      <w:r w:rsidRPr="0062492A" w:rsidR="004A330E">
        <w:rPr>
          <w:szCs w:val="24"/>
        </w:rPr>
        <w:t>OCC</w:t>
      </w:r>
      <w:r w:rsidR="0062492A">
        <w:rPr>
          <w:szCs w:val="24"/>
        </w:rPr>
        <w:t>’</w:t>
      </w:r>
      <w:r w:rsidRPr="0062492A" w:rsidR="004A330E">
        <w:rPr>
          <w:szCs w:val="24"/>
        </w:rPr>
        <w:t>s</w:t>
      </w:r>
      <w:r w:rsidRPr="0062492A" w:rsidR="00320F5D">
        <w:rPr>
          <w:szCs w:val="24"/>
        </w:rPr>
        <w:t xml:space="preserve"> interest </w:t>
      </w:r>
      <w:r w:rsidRPr="0062492A">
        <w:rPr>
          <w:szCs w:val="24"/>
        </w:rPr>
        <w:t xml:space="preserve">is different than that of any other party and especially different than that of </w:t>
      </w:r>
      <w:r w:rsidRPr="0062492A" w:rsidR="00B95C59">
        <w:rPr>
          <w:szCs w:val="24"/>
        </w:rPr>
        <w:t xml:space="preserve">the utility </w:t>
      </w:r>
      <w:r w:rsidRPr="0062492A">
        <w:rPr>
          <w:szCs w:val="24"/>
        </w:rPr>
        <w:t>whose advocacy includes the financial interest of stockholders.</w:t>
      </w:r>
      <w:r w:rsidRPr="0062492A" w:rsidR="00A46DBC">
        <w:rPr>
          <w:szCs w:val="24"/>
        </w:rPr>
        <w:t xml:space="preserve"> </w:t>
      </w:r>
    </w:p>
    <w:p w:rsidR="000330D3" w:rsidRPr="0062492A" w:rsidP="000330D3" w14:paraId="62436CA7" w14:textId="73B5B0E4">
      <w:pPr>
        <w:pStyle w:val="BodyTextIndent3"/>
        <w:spacing w:line="480" w:lineRule="auto"/>
        <w:rPr>
          <w:szCs w:val="24"/>
        </w:rPr>
      </w:pPr>
      <w:r w:rsidRPr="0062492A">
        <w:rPr>
          <w:szCs w:val="24"/>
        </w:rPr>
        <w:t>Second, OCC</w:t>
      </w:r>
      <w:r w:rsidR="0062492A">
        <w:rPr>
          <w:szCs w:val="24"/>
        </w:rPr>
        <w:t>’</w:t>
      </w:r>
      <w:r w:rsidRPr="0062492A">
        <w:rPr>
          <w:szCs w:val="24"/>
        </w:rPr>
        <w:t xml:space="preserve">s advocacy for residential </w:t>
      </w:r>
      <w:r w:rsidRPr="0062492A" w:rsidR="00DA6AE4">
        <w:rPr>
          <w:szCs w:val="24"/>
        </w:rPr>
        <w:t>consumer</w:t>
      </w:r>
      <w:r w:rsidRPr="0062492A">
        <w:rPr>
          <w:szCs w:val="24"/>
        </w:rPr>
        <w:t>s will include</w:t>
      </w:r>
      <w:r w:rsidRPr="0062492A" w:rsidR="00B95C59">
        <w:rPr>
          <w:szCs w:val="24"/>
        </w:rPr>
        <w:t>, among other things,</w:t>
      </w:r>
      <w:r w:rsidRPr="0062492A">
        <w:rPr>
          <w:szCs w:val="24"/>
        </w:rPr>
        <w:t xml:space="preserve"> advancing the position that </w:t>
      </w:r>
      <w:r w:rsidRPr="0062492A" w:rsidR="00FF0C24">
        <w:rPr>
          <w:szCs w:val="24"/>
        </w:rPr>
        <w:t>Duke</w:t>
      </w:r>
      <w:r w:rsidRPr="0062492A">
        <w:rPr>
          <w:szCs w:val="24"/>
        </w:rPr>
        <w:t xml:space="preserve"> should charge consumers no more than what is just and reasonable under Ohio law, for service that is necessary and prudent under Ohio law. OCC</w:t>
      </w:r>
      <w:r w:rsidR="0062492A">
        <w:rPr>
          <w:szCs w:val="24"/>
        </w:rPr>
        <w:t>’</w:t>
      </w:r>
      <w:r w:rsidRPr="0062492A">
        <w:rPr>
          <w:szCs w:val="24"/>
        </w:rPr>
        <w:t>s position is therefore directly related to the merits of this case</w:t>
      </w:r>
      <w:r w:rsidRPr="0062492A" w:rsidR="00B95C59">
        <w:rPr>
          <w:szCs w:val="24"/>
        </w:rPr>
        <w:t xml:space="preserve">, which </w:t>
      </w:r>
      <w:r w:rsidRPr="0062492A">
        <w:rPr>
          <w:szCs w:val="24"/>
        </w:rPr>
        <w:t>is pending before the PUCO, the authority with regulatory control of public utilities</w:t>
      </w:r>
      <w:r w:rsidR="0062492A">
        <w:rPr>
          <w:szCs w:val="24"/>
        </w:rPr>
        <w:t>’</w:t>
      </w:r>
      <w:r w:rsidRPr="0062492A" w:rsidR="0033469B">
        <w:rPr>
          <w:szCs w:val="24"/>
        </w:rPr>
        <w:t xml:space="preserve"> retail</w:t>
      </w:r>
      <w:r w:rsidR="0062492A">
        <w:rPr>
          <w:szCs w:val="24"/>
        </w:rPr>
        <w:t xml:space="preserve"> </w:t>
      </w:r>
      <w:r w:rsidRPr="0062492A">
        <w:rPr>
          <w:szCs w:val="24"/>
        </w:rPr>
        <w:t>rates</w:t>
      </w:r>
      <w:r w:rsidRPr="0062492A" w:rsidR="0033469B">
        <w:rPr>
          <w:szCs w:val="24"/>
        </w:rPr>
        <w:t xml:space="preserve"> (including transmission rates)</w:t>
      </w:r>
      <w:r w:rsidR="0062492A">
        <w:rPr>
          <w:szCs w:val="24"/>
        </w:rPr>
        <w:t xml:space="preserve"> </w:t>
      </w:r>
      <w:r w:rsidRPr="0062492A">
        <w:rPr>
          <w:szCs w:val="24"/>
        </w:rPr>
        <w:t xml:space="preserve">and service quality in Ohio. </w:t>
      </w:r>
    </w:p>
    <w:p w:rsidR="00320F5D" w:rsidRPr="0062492A" w:rsidP="00320F5D" w14:paraId="70AF9C00" w14:textId="6BAA557E">
      <w:pPr>
        <w:pStyle w:val="BodyTextIndent3"/>
        <w:spacing w:line="480" w:lineRule="auto"/>
        <w:rPr>
          <w:szCs w:val="24"/>
        </w:rPr>
      </w:pPr>
      <w:r w:rsidRPr="0062492A">
        <w:rPr>
          <w:szCs w:val="24"/>
        </w:rPr>
        <w:t>Third, OCC</w:t>
      </w:r>
      <w:r w:rsidR="0062492A">
        <w:rPr>
          <w:szCs w:val="24"/>
        </w:rPr>
        <w:t>’</w:t>
      </w:r>
      <w:r w:rsidRPr="0062492A">
        <w:rPr>
          <w:szCs w:val="24"/>
        </w:rPr>
        <w:t>s intervention will not unduly prolong or delay the proceedings.</w:t>
      </w:r>
      <w:r w:rsidRPr="0062492A" w:rsidR="00A46DBC">
        <w:rPr>
          <w:szCs w:val="24"/>
        </w:rPr>
        <w:t xml:space="preserve"> </w:t>
      </w:r>
      <w:r w:rsidRPr="0062492A">
        <w:rPr>
          <w:szCs w:val="24"/>
        </w:rPr>
        <w:t>Delay in and of itself does not mean that intervention should be denied.</w:t>
      </w:r>
      <w:r w:rsidRPr="0062492A" w:rsidR="00A46DBC">
        <w:rPr>
          <w:szCs w:val="24"/>
        </w:rPr>
        <w:t xml:space="preserve"> </w:t>
      </w:r>
      <w:r w:rsidRPr="0062492A">
        <w:rPr>
          <w:szCs w:val="24"/>
        </w:rPr>
        <w:t xml:space="preserve">The key consideration is whether the intervention will cause </w:t>
      </w:r>
      <w:r w:rsidR="0062492A">
        <w:rPr>
          <w:szCs w:val="24"/>
        </w:rPr>
        <w:t>“</w:t>
      </w:r>
      <w:r w:rsidRPr="0062492A">
        <w:rPr>
          <w:szCs w:val="24"/>
        </w:rPr>
        <w:t>undue delay.</w:t>
      </w:r>
      <w:r w:rsidR="0062492A">
        <w:rPr>
          <w:szCs w:val="24"/>
        </w:rPr>
        <w:t>”</w:t>
      </w:r>
      <w:r w:rsidRPr="0062492A">
        <w:rPr>
          <w:szCs w:val="24"/>
        </w:rPr>
        <w:t xml:space="preserve"> Here OCC</w:t>
      </w:r>
      <w:r w:rsidR="0062492A">
        <w:rPr>
          <w:szCs w:val="24"/>
        </w:rPr>
        <w:t>’</w:t>
      </w:r>
      <w:r w:rsidRPr="0062492A">
        <w:rPr>
          <w:szCs w:val="24"/>
        </w:rPr>
        <w:t xml:space="preserve">s intervention will not cause undue delay. </w:t>
      </w:r>
    </w:p>
    <w:p w:rsidR="00320F5D" w:rsidRPr="0062492A" w:rsidP="00320F5D" w14:paraId="1C00AA42" w14:textId="7B5FC98A">
      <w:pPr>
        <w:pStyle w:val="BodyTextIndent3"/>
        <w:suppressAutoHyphens/>
        <w:spacing w:line="480" w:lineRule="auto"/>
        <w:rPr>
          <w:szCs w:val="24"/>
        </w:rPr>
      </w:pPr>
      <w:r w:rsidRPr="0062492A">
        <w:rPr>
          <w:szCs w:val="24"/>
        </w:rPr>
        <w:t xml:space="preserve">OCC promptly </w:t>
      </w:r>
      <w:r w:rsidRPr="0062492A" w:rsidR="000330D3">
        <w:rPr>
          <w:szCs w:val="24"/>
        </w:rPr>
        <w:t>s</w:t>
      </w:r>
      <w:r w:rsidRPr="0062492A" w:rsidR="007C5DF4">
        <w:rPr>
          <w:szCs w:val="24"/>
        </w:rPr>
        <w:t>eeks</w:t>
      </w:r>
      <w:r w:rsidRPr="0062492A" w:rsidR="000330D3">
        <w:rPr>
          <w:szCs w:val="24"/>
        </w:rPr>
        <w:t xml:space="preserve"> </w:t>
      </w:r>
      <w:r w:rsidRPr="0062492A">
        <w:rPr>
          <w:szCs w:val="24"/>
        </w:rPr>
        <w:t xml:space="preserve">leave to intervene. The Application to add </w:t>
      </w:r>
      <w:r w:rsidRPr="0062492A" w:rsidR="00B108AE">
        <w:rPr>
          <w:szCs w:val="24"/>
        </w:rPr>
        <w:t xml:space="preserve">more than </w:t>
      </w:r>
      <w:r w:rsidRPr="0062492A">
        <w:rPr>
          <w:szCs w:val="24"/>
        </w:rPr>
        <w:t>$</w:t>
      </w:r>
      <w:r w:rsidRPr="0062492A" w:rsidR="00B108AE">
        <w:rPr>
          <w:szCs w:val="24"/>
        </w:rPr>
        <w:t>27</w:t>
      </w:r>
      <w:r w:rsidRPr="0062492A">
        <w:rPr>
          <w:szCs w:val="24"/>
        </w:rPr>
        <w:t xml:space="preserve"> million </w:t>
      </w:r>
      <w:r w:rsidRPr="0062492A" w:rsidR="0033469B">
        <w:rPr>
          <w:szCs w:val="24"/>
        </w:rPr>
        <w:t>in transmission</w:t>
      </w:r>
      <w:r w:rsidRPr="0062492A" w:rsidR="008663A9">
        <w:rPr>
          <w:szCs w:val="24"/>
        </w:rPr>
        <w:t xml:space="preserve"> charges to residential consumers </w:t>
      </w:r>
      <w:r w:rsidRPr="0062492A">
        <w:rPr>
          <w:szCs w:val="24"/>
        </w:rPr>
        <w:t xml:space="preserve">was filed on </w:t>
      </w:r>
      <w:r w:rsidRPr="0062492A" w:rsidR="00762CE4">
        <w:rPr>
          <w:szCs w:val="24"/>
        </w:rPr>
        <w:t>July</w:t>
      </w:r>
      <w:r w:rsidRPr="0062492A">
        <w:rPr>
          <w:szCs w:val="24"/>
        </w:rPr>
        <w:t xml:space="preserve"> 1</w:t>
      </w:r>
      <w:r w:rsidRPr="0062492A" w:rsidR="00762CE4">
        <w:rPr>
          <w:szCs w:val="24"/>
        </w:rPr>
        <w:t>5</w:t>
      </w:r>
      <w:r w:rsidRPr="0062492A">
        <w:rPr>
          <w:szCs w:val="24"/>
        </w:rPr>
        <w:t>, 2024.</w:t>
      </w:r>
      <w:r w:rsidRPr="0062492A" w:rsidR="007C5DF4">
        <w:rPr>
          <w:szCs w:val="24"/>
        </w:rPr>
        <w:t xml:space="preserve"> Under O.A.C. 4901:1-36-0</w:t>
      </w:r>
      <w:r w:rsidRPr="0062492A" w:rsidR="008663A9">
        <w:rPr>
          <w:szCs w:val="24"/>
        </w:rPr>
        <w:t>3</w:t>
      </w:r>
      <w:r w:rsidRPr="0062492A" w:rsidR="007C5DF4">
        <w:rPr>
          <w:szCs w:val="24"/>
        </w:rPr>
        <w:t>(</w:t>
      </w:r>
      <w:r w:rsidRPr="0062492A" w:rsidR="008663A9">
        <w:rPr>
          <w:szCs w:val="24"/>
        </w:rPr>
        <w:t>E</w:t>
      </w:r>
      <w:r w:rsidRPr="0062492A" w:rsidR="007C5DF4">
        <w:rPr>
          <w:szCs w:val="24"/>
        </w:rPr>
        <w:t xml:space="preserve">), </w:t>
      </w:r>
      <w:r w:rsidR="0062492A">
        <w:rPr>
          <w:szCs w:val="24"/>
        </w:rPr>
        <w:t>“</w:t>
      </w:r>
      <w:r w:rsidRPr="0062492A" w:rsidR="007C5DF4">
        <w:rPr>
          <w:szCs w:val="24"/>
        </w:rPr>
        <w:t>affected parties</w:t>
      </w:r>
      <w:r w:rsidR="0062492A">
        <w:rPr>
          <w:szCs w:val="24"/>
        </w:rPr>
        <w:t>”</w:t>
      </w:r>
      <w:r w:rsidRPr="0062492A" w:rsidR="007C5DF4">
        <w:rPr>
          <w:szCs w:val="24"/>
        </w:rPr>
        <w:t xml:space="preserve"> may file a motion to intervene and comments within 40 days </w:t>
      </w:r>
      <w:r w:rsidRPr="0062492A" w:rsidR="009C40B1">
        <w:rPr>
          <w:szCs w:val="24"/>
        </w:rPr>
        <w:t>of</w:t>
      </w:r>
      <w:r w:rsidRPr="0062492A" w:rsidR="007C5DF4">
        <w:rPr>
          <w:szCs w:val="24"/>
        </w:rPr>
        <w:t xml:space="preserve"> the Application</w:t>
      </w:r>
      <w:r w:rsidR="0062492A">
        <w:rPr>
          <w:szCs w:val="24"/>
        </w:rPr>
        <w:t>’</w:t>
      </w:r>
      <w:r w:rsidRPr="0062492A" w:rsidR="007C5DF4">
        <w:rPr>
          <w:szCs w:val="24"/>
        </w:rPr>
        <w:t>s filing.</w:t>
      </w:r>
      <w:r w:rsidRPr="0062492A" w:rsidR="00A46DBC">
        <w:rPr>
          <w:szCs w:val="24"/>
        </w:rPr>
        <w:t xml:space="preserve"> </w:t>
      </w:r>
      <w:r w:rsidRPr="0062492A">
        <w:rPr>
          <w:szCs w:val="24"/>
        </w:rPr>
        <w:t>The case has not progressed beyond the filing of the Application.</w:t>
      </w:r>
      <w:r w:rsidRPr="0062492A" w:rsidR="00A46DBC">
        <w:rPr>
          <w:szCs w:val="24"/>
        </w:rPr>
        <w:t xml:space="preserve"> </w:t>
      </w:r>
      <w:r w:rsidRPr="0062492A">
        <w:rPr>
          <w:szCs w:val="24"/>
        </w:rPr>
        <w:t xml:space="preserve">The PUCO </w:t>
      </w:r>
      <w:r w:rsidRPr="0062492A" w:rsidR="00FB5C69">
        <w:rPr>
          <w:szCs w:val="24"/>
        </w:rPr>
        <w:t xml:space="preserve">Staff has not filed its Review and Recommendation regarding this </w:t>
      </w:r>
      <w:r w:rsidRPr="0062492A" w:rsidR="00054998">
        <w:rPr>
          <w:szCs w:val="24"/>
        </w:rPr>
        <w:t xml:space="preserve">proposed </w:t>
      </w:r>
      <w:r w:rsidRPr="0062492A" w:rsidR="00FB5C69">
        <w:rPr>
          <w:szCs w:val="24"/>
        </w:rPr>
        <w:t xml:space="preserve">increase in </w:t>
      </w:r>
      <w:r w:rsidRPr="0062492A" w:rsidR="00FF0C24">
        <w:rPr>
          <w:szCs w:val="24"/>
        </w:rPr>
        <w:t>Duke</w:t>
      </w:r>
      <w:r w:rsidR="0062492A">
        <w:rPr>
          <w:szCs w:val="24"/>
        </w:rPr>
        <w:t>’</w:t>
      </w:r>
      <w:r w:rsidRPr="0062492A" w:rsidR="00FB5C69">
        <w:rPr>
          <w:szCs w:val="24"/>
        </w:rPr>
        <w:t xml:space="preserve">s </w:t>
      </w:r>
      <w:r w:rsidRPr="0062492A" w:rsidR="00762CE4">
        <w:rPr>
          <w:szCs w:val="24"/>
        </w:rPr>
        <w:t xml:space="preserve">Rider </w:t>
      </w:r>
      <w:r w:rsidRPr="0062492A" w:rsidR="00FF0C24">
        <w:rPr>
          <w:szCs w:val="24"/>
        </w:rPr>
        <w:t>BTR</w:t>
      </w:r>
      <w:r w:rsidRPr="0062492A" w:rsidR="00FB5C69">
        <w:rPr>
          <w:szCs w:val="24"/>
        </w:rPr>
        <w:t>.</w:t>
      </w:r>
      <w:r w:rsidRPr="0062492A" w:rsidR="00A46DBC">
        <w:rPr>
          <w:szCs w:val="24"/>
        </w:rPr>
        <w:t xml:space="preserve"> </w:t>
      </w:r>
      <w:r w:rsidRPr="0062492A" w:rsidR="00FB5C69">
        <w:rPr>
          <w:szCs w:val="24"/>
        </w:rPr>
        <w:t>No comments have yet been filed by any parties</w:t>
      </w:r>
      <w:r w:rsidRPr="0062492A" w:rsidR="00054998">
        <w:rPr>
          <w:szCs w:val="24"/>
        </w:rPr>
        <w:t xml:space="preserve"> and t</w:t>
      </w:r>
      <w:r w:rsidRPr="0062492A">
        <w:rPr>
          <w:szCs w:val="24"/>
        </w:rPr>
        <w:t xml:space="preserve">he PUCO has not issued any dispositive rulings. </w:t>
      </w:r>
    </w:p>
    <w:p w:rsidR="00054998" w:rsidRPr="0062492A" w:rsidP="007C5DF4" w14:paraId="3FF9A881" w14:textId="673E7F65">
      <w:pPr>
        <w:pStyle w:val="BodyTextIndent3"/>
        <w:suppressAutoHyphens/>
        <w:spacing w:line="480" w:lineRule="auto"/>
        <w:rPr>
          <w:szCs w:val="24"/>
        </w:rPr>
      </w:pPr>
      <w:r w:rsidRPr="0062492A">
        <w:rPr>
          <w:szCs w:val="24"/>
        </w:rPr>
        <w:t xml:space="preserve"> OCC will </w:t>
      </w:r>
      <w:r w:rsidRPr="0062492A" w:rsidR="004A330E">
        <w:rPr>
          <w:szCs w:val="24"/>
        </w:rPr>
        <w:t>attempt to avoid duplicative discovery in the proceeding.</w:t>
      </w:r>
      <w:r w:rsidRPr="0062492A" w:rsidR="00A46DBC">
        <w:rPr>
          <w:szCs w:val="24"/>
        </w:rPr>
        <w:t xml:space="preserve"> </w:t>
      </w:r>
      <w:r w:rsidRPr="0062492A" w:rsidR="004A330E">
        <w:rPr>
          <w:szCs w:val="24"/>
        </w:rPr>
        <w:t xml:space="preserve">The issues OCC will raise fall clearly within the scope of the proceeding </w:t>
      </w:r>
      <w:r w:rsidRPr="0062492A" w:rsidR="00B95C59">
        <w:rPr>
          <w:szCs w:val="24"/>
        </w:rPr>
        <w:t>–</w:t>
      </w:r>
      <w:r w:rsidRPr="0062492A" w:rsidR="00A46DBC">
        <w:rPr>
          <w:szCs w:val="24"/>
        </w:rPr>
        <w:t xml:space="preserve"> </w:t>
      </w:r>
      <w:r w:rsidRPr="0062492A" w:rsidR="00B95C59">
        <w:rPr>
          <w:szCs w:val="24"/>
        </w:rPr>
        <w:t xml:space="preserve">including </w:t>
      </w:r>
      <w:r w:rsidRPr="0062492A" w:rsidR="004A330E">
        <w:rPr>
          <w:szCs w:val="24"/>
        </w:rPr>
        <w:t xml:space="preserve">whether the proposed </w:t>
      </w:r>
      <w:r w:rsidRPr="0062492A" w:rsidR="0033469B">
        <w:rPr>
          <w:szCs w:val="24"/>
        </w:rPr>
        <w:t>transmission</w:t>
      </w:r>
      <w:r w:rsidRPr="0062492A" w:rsidR="004A330E">
        <w:rPr>
          <w:szCs w:val="24"/>
        </w:rPr>
        <w:t xml:space="preserve"> charges fairly represent those </w:t>
      </w:r>
      <w:r w:rsidR="0062492A">
        <w:rPr>
          <w:szCs w:val="24"/>
        </w:rPr>
        <w:t>“</w:t>
      </w:r>
      <w:r w:rsidRPr="0062492A" w:rsidR="004A330E">
        <w:rPr>
          <w:szCs w:val="24"/>
        </w:rPr>
        <w:t>imposed on or charged to the utility</w:t>
      </w:r>
      <w:r w:rsidR="0062492A">
        <w:rPr>
          <w:szCs w:val="24"/>
        </w:rPr>
        <w:t>”</w:t>
      </w:r>
      <w:r w:rsidRPr="0062492A" w:rsidR="004A330E">
        <w:rPr>
          <w:szCs w:val="24"/>
        </w:rPr>
        <w:t xml:space="preserve"> and whether they were </w:t>
      </w:r>
      <w:r w:rsidR="0062492A">
        <w:rPr>
          <w:szCs w:val="24"/>
        </w:rPr>
        <w:t>“</w:t>
      </w:r>
      <w:r w:rsidRPr="0062492A" w:rsidR="004A330E">
        <w:rPr>
          <w:szCs w:val="24"/>
        </w:rPr>
        <w:t>prudently</w:t>
      </w:r>
      <w:r w:rsidR="0062492A">
        <w:rPr>
          <w:szCs w:val="24"/>
        </w:rPr>
        <w:t>”</w:t>
      </w:r>
      <w:r w:rsidRPr="0062492A" w:rsidR="004A330E">
        <w:rPr>
          <w:szCs w:val="24"/>
        </w:rPr>
        <w:t xml:space="preserve"> incurred.</w:t>
      </w:r>
      <w:r>
        <w:rPr>
          <w:rStyle w:val="FootnoteReference"/>
          <w:szCs w:val="24"/>
        </w:rPr>
        <w:footnoteReference w:id="18"/>
      </w:r>
      <w:r w:rsidRPr="0062492A" w:rsidR="007C5DF4">
        <w:rPr>
          <w:szCs w:val="24"/>
        </w:rPr>
        <w:t xml:space="preserve"> In addition, </w:t>
      </w:r>
      <w:r w:rsidRPr="0062492A">
        <w:rPr>
          <w:szCs w:val="24"/>
        </w:rPr>
        <w:t>OCC will also use its best efforts to comply with any procedural schedule that the PUCO may adopt for this proceeding.</w:t>
      </w:r>
      <w:r w:rsidRPr="0062492A" w:rsidR="00A46DBC">
        <w:rPr>
          <w:szCs w:val="24"/>
        </w:rPr>
        <w:t xml:space="preserve"> </w:t>
      </w:r>
    </w:p>
    <w:p w:rsidR="004D14D4" w:rsidRPr="0062492A" w:rsidP="00FB5C69" w14:paraId="0B6C7235" w14:textId="6FC74100">
      <w:pPr>
        <w:pStyle w:val="BodyTextIndent3"/>
        <w:suppressAutoHyphens/>
        <w:spacing w:line="480" w:lineRule="auto"/>
        <w:rPr>
          <w:szCs w:val="24"/>
        </w:rPr>
      </w:pPr>
      <w:r w:rsidRPr="0062492A">
        <w:rPr>
          <w:szCs w:val="24"/>
        </w:rPr>
        <w:t xml:space="preserve">Further, </w:t>
      </w:r>
      <w:r w:rsidRPr="0062492A" w:rsidR="00FB5C69">
        <w:rPr>
          <w:szCs w:val="24"/>
        </w:rPr>
        <w:t>O</w:t>
      </w:r>
      <w:r w:rsidRPr="0062492A" w:rsidR="009A775D">
        <w:rPr>
          <w:szCs w:val="24"/>
        </w:rPr>
        <w:t>CC, with its longstanding expertise and experience in PUCO proceedings</w:t>
      </w:r>
      <w:r w:rsidRPr="0062492A" w:rsidR="008B0AFF">
        <w:rPr>
          <w:szCs w:val="24"/>
        </w:rPr>
        <w:t xml:space="preserve"> and consumer protection advocacy</w:t>
      </w:r>
      <w:r w:rsidRPr="0062492A" w:rsidR="009A775D">
        <w:rPr>
          <w:szCs w:val="24"/>
        </w:rPr>
        <w:t>, will duly allow for the efficient processing of the case with consideration of the public interest.</w:t>
      </w:r>
      <w:r w:rsidRPr="0062492A">
        <w:rPr>
          <w:szCs w:val="24"/>
        </w:rPr>
        <w:t xml:space="preserve"> OCC regularly intervenes and participates in cases regarding annual updates to the transmission riders of electric distribution utilities.</w:t>
      </w:r>
      <w:r>
        <w:rPr>
          <w:rStyle w:val="FootnoteReference"/>
          <w:szCs w:val="24"/>
        </w:rPr>
        <w:footnoteReference w:id="19"/>
      </w:r>
      <w:r w:rsidRPr="0062492A" w:rsidR="00DC517F">
        <w:rPr>
          <w:szCs w:val="24"/>
        </w:rPr>
        <w:t xml:space="preserve"> </w:t>
      </w:r>
      <w:r w:rsidRPr="0062492A" w:rsidR="008B0AFF">
        <w:rPr>
          <w:szCs w:val="24"/>
        </w:rPr>
        <w:t xml:space="preserve">There will be no prejudice to </w:t>
      </w:r>
      <w:r w:rsidRPr="0062492A" w:rsidR="009C40B1">
        <w:rPr>
          <w:szCs w:val="24"/>
        </w:rPr>
        <w:t xml:space="preserve">the </w:t>
      </w:r>
      <w:r w:rsidRPr="0062492A" w:rsidR="008B0AFF">
        <w:rPr>
          <w:szCs w:val="24"/>
        </w:rPr>
        <w:t xml:space="preserve">PUCO Staff </w:t>
      </w:r>
      <w:r w:rsidRPr="0062492A" w:rsidR="00B95C59">
        <w:rPr>
          <w:szCs w:val="24"/>
        </w:rPr>
        <w:t>and</w:t>
      </w:r>
      <w:r w:rsidRPr="0062492A" w:rsidR="008B0AFF">
        <w:rPr>
          <w:szCs w:val="24"/>
        </w:rPr>
        <w:t xml:space="preserve"> </w:t>
      </w:r>
      <w:r w:rsidRPr="0062492A" w:rsidR="00FF0C24">
        <w:rPr>
          <w:szCs w:val="24"/>
        </w:rPr>
        <w:t>Duke</w:t>
      </w:r>
      <w:r w:rsidRPr="0062492A" w:rsidR="008B0AFF">
        <w:rPr>
          <w:szCs w:val="24"/>
        </w:rPr>
        <w:t xml:space="preserve"> in granting OCC intervention.</w:t>
      </w:r>
    </w:p>
    <w:p w:rsidR="004D14D4" w:rsidRPr="0062492A" w:rsidP="00455377" w14:paraId="1647A504" w14:textId="15260B68">
      <w:pPr>
        <w:pStyle w:val="Footer"/>
        <w:tabs>
          <w:tab w:val="clear" w:pos="720"/>
          <w:tab w:val="clear" w:pos="4320"/>
          <w:tab w:val="clear" w:pos="8640"/>
        </w:tabs>
        <w:ind w:firstLine="720"/>
        <w:rPr>
          <w:lang w:eastAsia="ar-SA"/>
        </w:rPr>
      </w:pPr>
      <w:r w:rsidRPr="0062492A">
        <w:t>Fourth, OCC</w:t>
      </w:r>
      <w:r w:rsidR="0062492A">
        <w:t>’</w:t>
      </w:r>
      <w:r w:rsidRPr="0062492A">
        <w:t xml:space="preserve">s intervention </w:t>
      </w:r>
      <w:r w:rsidRPr="0062492A" w:rsidR="006C48CC">
        <w:t xml:space="preserve">and participation </w:t>
      </w:r>
      <w:r w:rsidRPr="0062492A">
        <w:t>will significantly contribute to full development and equitable resolution of the factual issues. OCC</w:t>
      </w:r>
      <w:r w:rsidR="0062492A">
        <w:t>’</w:t>
      </w:r>
      <w:r w:rsidRPr="0062492A" w:rsidR="00C37973">
        <w:t>s interest in protecting residential consumers will lead it to fully and carefully examine issues</w:t>
      </w:r>
      <w:r w:rsidRPr="0062492A" w:rsidR="006C48CC">
        <w:t xml:space="preserve"> and file comments</w:t>
      </w:r>
      <w:r w:rsidRPr="0062492A" w:rsidR="00C37973">
        <w:t xml:space="preserve"> regarding </w:t>
      </w:r>
      <w:r w:rsidRPr="0062492A" w:rsidR="006C48CC">
        <w:t>Duke</w:t>
      </w:r>
      <w:r w:rsidR="0062492A">
        <w:t>’</w:t>
      </w:r>
      <w:r w:rsidRPr="0062492A" w:rsidR="006C48CC">
        <w:t xml:space="preserve">s </w:t>
      </w:r>
      <w:r w:rsidRPr="0062492A" w:rsidR="00B95C59">
        <w:t xml:space="preserve">proposed </w:t>
      </w:r>
      <w:r w:rsidRPr="0062492A" w:rsidR="009C40B1">
        <w:t xml:space="preserve">increase in charges </w:t>
      </w:r>
      <w:r w:rsidRPr="0062492A" w:rsidR="004A7782">
        <w:t xml:space="preserve">as well as </w:t>
      </w:r>
      <w:r w:rsidRPr="0062492A" w:rsidR="00B95C59">
        <w:t xml:space="preserve">the burdensome </w:t>
      </w:r>
      <w:r w:rsidRPr="0062492A" w:rsidR="004A7782">
        <w:t>cost shifting</w:t>
      </w:r>
      <w:r w:rsidRPr="0062492A" w:rsidR="00C37973">
        <w:t xml:space="preserve"> to residential consumers.</w:t>
      </w:r>
      <w:r w:rsidRPr="0062492A" w:rsidR="00A46DBC">
        <w:t xml:space="preserve"> </w:t>
      </w:r>
      <w:r w:rsidRPr="0062492A" w:rsidR="00C37973">
        <w:t>No other party is solely focused on the needs of residential consumers and thus, there can be no equitable resolution of the factual issues in this case absent OCC</w:t>
      </w:r>
      <w:r w:rsidR="0062492A">
        <w:t>’</w:t>
      </w:r>
      <w:r w:rsidRPr="0062492A" w:rsidR="00C37973">
        <w:t>s participation.</w:t>
      </w:r>
      <w:r w:rsidRPr="0062492A" w:rsidR="00A46DBC">
        <w:t xml:space="preserve"> </w:t>
      </w:r>
      <w:r w:rsidRPr="0062492A" w:rsidR="00C37973">
        <w:t>OCC</w:t>
      </w:r>
      <w:r w:rsidRPr="0062492A">
        <w:t xml:space="preserve"> will obtain and develop information that the PUCO should consider for equitably and lawfully deciding the case in the public interest.</w:t>
      </w:r>
    </w:p>
    <w:p w:rsidR="003C1DCE" w:rsidRPr="0062492A" w:rsidP="004569A0" w14:paraId="78EEFF2B" w14:textId="114FCE30">
      <w:pPr>
        <w:pStyle w:val="WW-BodyTextIndent3"/>
        <w:widowControl w:val="0"/>
        <w:spacing w:line="480" w:lineRule="auto"/>
        <w:rPr>
          <w:szCs w:val="24"/>
        </w:rPr>
      </w:pPr>
      <w:r w:rsidRPr="0062492A">
        <w:rPr>
          <w:szCs w:val="24"/>
        </w:rPr>
        <w:t xml:space="preserve">OCC also satisfies the intervention criteria in Ohio Administrative Code </w:t>
      </w:r>
      <w:r w:rsidRPr="0062492A" w:rsidR="008B0AFF">
        <w:rPr>
          <w:szCs w:val="24"/>
        </w:rPr>
        <w:t xml:space="preserve">Rule 4901-1-11(A) which sets the standard for </w:t>
      </w:r>
      <w:r w:rsidRPr="0062492A" w:rsidR="008B0AFF">
        <w:rPr>
          <w:i/>
          <w:iCs/>
          <w:szCs w:val="24"/>
        </w:rPr>
        <w:t>intervention as of right</w:t>
      </w:r>
      <w:r w:rsidRPr="0062492A" w:rsidR="008B0AFF">
        <w:rPr>
          <w:szCs w:val="24"/>
        </w:rPr>
        <w:t>, mirroring Ohio Civil Rule 24(A).</w:t>
      </w:r>
      <w:r w:rsidRPr="0062492A" w:rsidR="00A46DBC">
        <w:rPr>
          <w:szCs w:val="24"/>
        </w:rPr>
        <w:t xml:space="preserve"> </w:t>
      </w:r>
      <w:r w:rsidRPr="0062492A" w:rsidR="008B0AFF">
        <w:rPr>
          <w:szCs w:val="24"/>
        </w:rPr>
        <w:t xml:space="preserve">Under 4901:1-11(A)(2) a person shall be granted intervention as of right if it has a real and substantial interest in a proceeding and is </w:t>
      </w:r>
      <w:r w:rsidR="0062492A">
        <w:rPr>
          <w:szCs w:val="24"/>
        </w:rPr>
        <w:t>“</w:t>
      </w:r>
      <w:r w:rsidRPr="0062492A" w:rsidR="008B0AFF">
        <w:rPr>
          <w:szCs w:val="24"/>
        </w:rPr>
        <w:t xml:space="preserve">so situated that disposition of </w:t>
      </w:r>
      <w:r w:rsidRPr="0062492A">
        <w:rPr>
          <w:szCs w:val="24"/>
        </w:rPr>
        <w:t>the proceeding may, as a practical matter, impair or impede his or her ability to protect that interest, unless the person</w:t>
      </w:r>
      <w:r w:rsidR="0062492A">
        <w:rPr>
          <w:szCs w:val="24"/>
        </w:rPr>
        <w:t>’</w:t>
      </w:r>
      <w:r w:rsidRPr="0062492A">
        <w:rPr>
          <w:szCs w:val="24"/>
        </w:rPr>
        <w:t>s interest is adequately represented by existing parties.</w:t>
      </w:r>
      <w:r w:rsidR="0062492A">
        <w:rPr>
          <w:szCs w:val="24"/>
        </w:rPr>
        <w:t>”</w:t>
      </w:r>
      <w:r w:rsidRPr="0062492A">
        <w:rPr>
          <w:szCs w:val="24"/>
        </w:rPr>
        <w:t xml:space="preserve"> </w:t>
      </w:r>
    </w:p>
    <w:p w:rsidR="004D14D4" w:rsidRPr="0062492A" w:rsidP="003C1DCE" w14:paraId="55924E7D" w14:textId="1D420F2D">
      <w:pPr>
        <w:pStyle w:val="WW-BodyTextIndent3"/>
        <w:widowControl w:val="0"/>
        <w:spacing w:line="480" w:lineRule="auto"/>
        <w:rPr>
          <w:szCs w:val="24"/>
        </w:rPr>
      </w:pPr>
      <w:r w:rsidRPr="0062492A">
        <w:rPr>
          <w:szCs w:val="24"/>
        </w:rPr>
        <w:t>A</w:t>
      </w:r>
      <w:r w:rsidRPr="0062492A" w:rsidR="009A775D">
        <w:rPr>
          <w:szCs w:val="24"/>
        </w:rPr>
        <w:t xml:space="preserve">s the </w:t>
      </w:r>
      <w:r w:rsidRPr="0062492A">
        <w:rPr>
          <w:szCs w:val="24"/>
        </w:rPr>
        <w:t xml:space="preserve">statutory </w:t>
      </w:r>
      <w:r w:rsidRPr="0062492A" w:rsidR="009A775D">
        <w:rPr>
          <w:szCs w:val="24"/>
        </w:rPr>
        <w:t xml:space="preserve">advocate for residential utility </w:t>
      </w:r>
      <w:r w:rsidRPr="0062492A" w:rsidR="00DA6AE4">
        <w:rPr>
          <w:szCs w:val="24"/>
        </w:rPr>
        <w:t>consumer</w:t>
      </w:r>
      <w:r w:rsidRPr="0062492A" w:rsidR="009A775D">
        <w:rPr>
          <w:szCs w:val="24"/>
        </w:rPr>
        <w:t xml:space="preserve">s, OCC has a very real and substantial interest in this case where </w:t>
      </w:r>
      <w:r w:rsidRPr="0062492A" w:rsidR="00FF0C24">
        <w:rPr>
          <w:szCs w:val="24"/>
        </w:rPr>
        <w:t>Duke</w:t>
      </w:r>
      <w:r w:rsidRPr="0062492A" w:rsidR="009A775D">
        <w:rPr>
          <w:szCs w:val="24"/>
        </w:rPr>
        <w:t xml:space="preserve"> has proposed to </w:t>
      </w:r>
      <w:r w:rsidRPr="0062492A">
        <w:rPr>
          <w:szCs w:val="24"/>
        </w:rPr>
        <w:t xml:space="preserve">substantially </w:t>
      </w:r>
      <w:r w:rsidRPr="0062492A" w:rsidR="009A775D">
        <w:rPr>
          <w:szCs w:val="24"/>
        </w:rPr>
        <w:t xml:space="preserve">increase charges to </w:t>
      </w:r>
      <w:r w:rsidRPr="0062492A" w:rsidR="00E44463">
        <w:rPr>
          <w:szCs w:val="24"/>
        </w:rPr>
        <w:t xml:space="preserve">residential </w:t>
      </w:r>
      <w:r w:rsidRPr="0062492A" w:rsidR="009A775D">
        <w:rPr>
          <w:szCs w:val="24"/>
        </w:rPr>
        <w:t xml:space="preserve">consumers through the </w:t>
      </w:r>
      <w:r w:rsidRPr="0062492A" w:rsidR="00D04F2C">
        <w:rPr>
          <w:szCs w:val="24"/>
        </w:rPr>
        <w:t xml:space="preserve">Rider </w:t>
      </w:r>
      <w:r w:rsidRPr="0062492A" w:rsidR="00FF0C24">
        <w:rPr>
          <w:szCs w:val="24"/>
        </w:rPr>
        <w:t>BTR</w:t>
      </w:r>
      <w:r w:rsidRPr="0062492A" w:rsidR="009A775D">
        <w:rPr>
          <w:szCs w:val="24"/>
        </w:rPr>
        <w:t xml:space="preserve"> </w:t>
      </w:r>
      <w:r w:rsidRPr="0062492A" w:rsidR="0084217B">
        <w:rPr>
          <w:szCs w:val="24"/>
        </w:rPr>
        <w:t>charge.</w:t>
      </w:r>
      <w:r w:rsidRPr="0062492A" w:rsidR="00A46DBC">
        <w:rPr>
          <w:szCs w:val="24"/>
        </w:rPr>
        <w:t xml:space="preserve"> </w:t>
      </w:r>
      <w:r w:rsidRPr="0062492A">
        <w:rPr>
          <w:szCs w:val="24"/>
        </w:rPr>
        <w:t>Disposition of this proceeding may, as a practical matter, impair or impede OCC</w:t>
      </w:r>
      <w:r w:rsidR="0062492A">
        <w:rPr>
          <w:szCs w:val="24"/>
        </w:rPr>
        <w:t>’</w:t>
      </w:r>
      <w:r w:rsidRPr="0062492A">
        <w:rPr>
          <w:szCs w:val="24"/>
        </w:rPr>
        <w:t>s ability to protect that interest where the interest is not adequately represented by existing parties - the PUCO Staff and the utility.</w:t>
      </w:r>
      <w:r w:rsidRPr="0062492A" w:rsidR="00A46DBC">
        <w:rPr>
          <w:szCs w:val="24"/>
        </w:rPr>
        <w:t xml:space="preserve"> </w:t>
      </w:r>
      <w:r w:rsidRPr="0062492A">
        <w:rPr>
          <w:szCs w:val="24"/>
        </w:rPr>
        <w:t>OCC should be granted intervention as of right under O.A.C. 4901-1-11(A)(2)</w:t>
      </w:r>
      <w:r w:rsidRPr="0062492A" w:rsidR="009C40B1">
        <w:rPr>
          <w:szCs w:val="24"/>
        </w:rPr>
        <w:t>.</w:t>
      </w:r>
    </w:p>
    <w:p w:rsidR="004D14D4" w:rsidRPr="0062492A" w:rsidP="004569A0" w14:paraId="68D9E88D" w14:textId="2CB89B2B">
      <w:pPr>
        <w:pStyle w:val="BodyTextIndent3"/>
        <w:widowControl w:val="0"/>
        <w:spacing w:line="480" w:lineRule="auto"/>
        <w:rPr>
          <w:szCs w:val="24"/>
        </w:rPr>
      </w:pPr>
      <w:r w:rsidRPr="0062492A">
        <w:rPr>
          <w:szCs w:val="24"/>
        </w:rPr>
        <w:t xml:space="preserve">In addition, OCC meets the </w:t>
      </w:r>
      <w:r w:rsidRPr="0062492A" w:rsidR="003C1DCE">
        <w:rPr>
          <w:szCs w:val="24"/>
        </w:rPr>
        <w:t xml:space="preserve">permissive intervention </w:t>
      </w:r>
      <w:r w:rsidRPr="0062492A">
        <w:rPr>
          <w:szCs w:val="24"/>
        </w:rPr>
        <w:t xml:space="preserve">criteria of </w:t>
      </w:r>
      <w:r w:rsidRPr="0062492A" w:rsidR="00CE38C7">
        <w:rPr>
          <w:szCs w:val="24"/>
        </w:rPr>
        <w:t>O.A.C.</w:t>
      </w:r>
      <w:r w:rsidRPr="0062492A">
        <w:rPr>
          <w:szCs w:val="24"/>
        </w:rPr>
        <w:t xml:space="preserve"> 4901-1-11(B)(1)-(4).</w:t>
      </w:r>
      <w:r w:rsidRPr="0062492A" w:rsidR="00692036">
        <w:rPr>
          <w:szCs w:val="24"/>
        </w:rPr>
        <w:t xml:space="preserve"> </w:t>
      </w:r>
      <w:r w:rsidRPr="0062492A">
        <w:rPr>
          <w:szCs w:val="24"/>
        </w:rPr>
        <w:t xml:space="preserve">These criteria mirror the </w:t>
      </w:r>
      <w:r w:rsidRPr="0062492A" w:rsidR="003C1DCE">
        <w:rPr>
          <w:szCs w:val="24"/>
        </w:rPr>
        <w:t xml:space="preserve">permissive intervention </w:t>
      </w:r>
      <w:r w:rsidRPr="0062492A">
        <w:rPr>
          <w:szCs w:val="24"/>
        </w:rPr>
        <w:t>criteria in R.C. 4903.221(B) that OCC already has addressed and that OCC satisfies.</w:t>
      </w:r>
    </w:p>
    <w:p w:rsidR="0084217B" w:rsidRPr="0062492A" w:rsidP="00B9127F" w14:paraId="5519FF6E" w14:textId="03F89C4E">
      <w:pPr>
        <w:pStyle w:val="BodyTextIndent3"/>
        <w:widowControl w:val="0"/>
        <w:spacing w:line="480" w:lineRule="auto"/>
        <w:rPr>
          <w:szCs w:val="24"/>
        </w:rPr>
      </w:pPr>
      <w:r w:rsidRPr="0062492A">
        <w:rPr>
          <w:szCs w:val="24"/>
        </w:rPr>
        <w:t xml:space="preserve">O.A.C. 4901-1-11(B)(5) states that the PUCO shall consider </w:t>
      </w:r>
      <w:r w:rsidR="0062492A">
        <w:rPr>
          <w:szCs w:val="24"/>
        </w:rPr>
        <w:t>“</w:t>
      </w:r>
      <w:r w:rsidRPr="0062492A" w:rsidR="002D29C3">
        <w:rPr>
          <w:szCs w:val="24"/>
        </w:rPr>
        <w:t>(t)</w:t>
      </w:r>
      <w:r w:rsidRPr="0062492A">
        <w:rPr>
          <w:szCs w:val="24"/>
        </w:rPr>
        <w:t>he extent to which the person</w:t>
      </w:r>
      <w:r w:rsidR="0062492A">
        <w:rPr>
          <w:szCs w:val="24"/>
        </w:rPr>
        <w:t>’</w:t>
      </w:r>
      <w:r w:rsidRPr="0062492A">
        <w:rPr>
          <w:szCs w:val="24"/>
        </w:rPr>
        <w:t>s interest is represented by existing parties.</w:t>
      </w:r>
      <w:r w:rsidR="0062492A">
        <w:rPr>
          <w:szCs w:val="24"/>
        </w:rPr>
        <w:t>”</w:t>
      </w:r>
      <w:r w:rsidRPr="0062492A">
        <w:rPr>
          <w:szCs w:val="24"/>
        </w:rPr>
        <w:t xml:space="preserve"> While OCC does not concede the lawfulness of this criterion, OCC satisfies this criterion in that it has been </w:t>
      </w:r>
      <w:r w:rsidRPr="0062492A" w:rsidR="003C1DCE">
        <w:rPr>
          <w:szCs w:val="24"/>
        </w:rPr>
        <w:t xml:space="preserve">uniquely </w:t>
      </w:r>
      <w:r w:rsidRPr="0062492A">
        <w:rPr>
          <w:szCs w:val="24"/>
        </w:rPr>
        <w:t>designated as the state representative of the interests of Ohio</w:t>
      </w:r>
      <w:r w:rsidR="0062492A">
        <w:rPr>
          <w:szCs w:val="24"/>
        </w:rPr>
        <w:t>’</w:t>
      </w:r>
      <w:r w:rsidRPr="0062492A">
        <w:rPr>
          <w:szCs w:val="24"/>
        </w:rPr>
        <w:t>s residential utility consumer</w:t>
      </w:r>
      <w:r w:rsidRPr="0062492A" w:rsidR="006755BB">
        <w:rPr>
          <w:szCs w:val="24"/>
        </w:rPr>
        <w:t xml:space="preserve">s. </w:t>
      </w:r>
      <w:r w:rsidRPr="0062492A" w:rsidR="003C1DCE">
        <w:rPr>
          <w:szCs w:val="24"/>
        </w:rPr>
        <w:t>OCC</w:t>
      </w:r>
      <w:r w:rsidR="0062492A">
        <w:rPr>
          <w:szCs w:val="24"/>
        </w:rPr>
        <w:t>’</w:t>
      </w:r>
      <w:r w:rsidRPr="0062492A" w:rsidR="003C1DCE">
        <w:rPr>
          <w:szCs w:val="24"/>
        </w:rPr>
        <w:t>s i</w:t>
      </w:r>
      <w:r w:rsidRPr="0062492A" w:rsidR="006755BB">
        <w:rPr>
          <w:szCs w:val="24"/>
        </w:rPr>
        <w:t>nterest is different from, and not represented by, any other entity in Ohio.</w:t>
      </w:r>
    </w:p>
    <w:p w:rsidR="00694A66" w:rsidRPr="0062492A" w:rsidP="00FC00C7" w14:paraId="2A51170D" w14:textId="79A650BA">
      <w:pPr>
        <w:pStyle w:val="BodyTextIndent3"/>
        <w:widowControl w:val="0"/>
        <w:spacing w:line="480" w:lineRule="auto"/>
        <w:rPr>
          <w:szCs w:val="24"/>
        </w:rPr>
      </w:pPr>
      <w:r w:rsidRPr="0062492A">
        <w:rPr>
          <w:szCs w:val="24"/>
        </w:rPr>
        <w:t>Moreover</w:t>
      </w:r>
      <w:r w:rsidRPr="0062492A" w:rsidR="00C37973">
        <w:rPr>
          <w:szCs w:val="24"/>
        </w:rPr>
        <w:t xml:space="preserve">, the </w:t>
      </w:r>
      <w:r w:rsidRPr="0062492A" w:rsidR="009A775D">
        <w:rPr>
          <w:szCs w:val="24"/>
        </w:rPr>
        <w:t>Supreme Court of Ohio confirmed OCC</w:t>
      </w:r>
      <w:r w:rsidR="0062492A">
        <w:rPr>
          <w:szCs w:val="24"/>
        </w:rPr>
        <w:t>’</w:t>
      </w:r>
      <w:r w:rsidRPr="0062492A" w:rsidR="009A775D">
        <w:rPr>
          <w:szCs w:val="24"/>
        </w:rPr>
        <w:t xml:space="preserve">s right to intervene in PUCO proceedings, in deciding two appeals in which OCC claimed the PUCO erred by denying its interventions. The Court found that the PUCO abused its discretion in </w:t>
      </w:r>
    </w:p>
    <w:p w:rsidR="00F523BB" w:rsidRPr="0062492A" w:rsidP="00694A66" w14:paraId="79A68205" w14:textId="3F52332E">
      <w:pPr>
        <w:pStyle w:val="BodyTextIndent3"/>
        <w:widowControl w:val="0"/>
        <w:spacing w:line="480" w:lineRule="auto"/>
        <w:ind w:firstLine="0"/>
        <w:rPr>
          <w:szCs w:val="24"/>
        </w:rPr>
      </w:pPr>
      <w:r w:rsidRPr="0062492A">
        <w:rPr>
          <w:szCs w:val="24"/>
        </w:rPr>
        <w:t>denying OCC</w:t>
      </w:r>
      <w:r w:rsidR="0062492A">
        <w:rPr>
          <w:szCs w:val="24"/>
        </w:rPr>
        <w:t>’</w:t>
      </w:r>
      <w:r w:rsidRPr="0062492A">
        <w:rPr>
          <w:szCs w:val="24"/>
        </w:rPr>
        <w:t>s interventions and that OCC should have been granted intervention in both proceedings.</w:t>
      </w:r>
      <w:r>
        <w:rPr>
          <w:rStyle w:val="FootnoteReference"/>
          <w:szCs w:val="24"/>
        </w:rPr>
        <w:footnoteReference w:id="20"/>
      </w:r>
      <w:r w:rsidRPr="0062492A" w:rsidR="00692036">
        <w:rPr>
          <w:szCs w:val="24"/>
        </w:rPr>
        <w:t xml:space="preserve"> </w:t>
      </w:r>
    </w:p>
    <w:p w:rsidR="003B2653" w:rsidRPr="0062492A" w:rsidP="004569A0" w14:paraId="4C1AD5C9" w14:textId="526B52A3">
      <w:pPr>
        <w:pStyle w:val="BodyTextIndent3"/>
        <w:widowControl w:val="0"/>
        <w:spacing w:line="480" w:lineRule="auto"/>
        <w:rPr>
          <w:szCs w:val="24"/>
        </w:rPr>
      </w:pPr>
      <w:r w:rsidRPr="0062492A">
        <w:rPr>
          <w:szCs w:val="24"/>
        </w:rPr>
        <w:t>OCC meets the criteria set forth in R.C. 4903.221, O.A.C. 4901-1-11,</w:t>
      </w:r>
      <w:r w:rsidRPr="0062492A" w:rsidR="003C1DCE">
        <w:rPr>
          <w:i/>
          <w:iCs/>
          <w:szCs w:val="24"/>
        </w:rPr>
        <w:t xml:space="preserve"> </w:t>
      </w:r>
      <w:r w:rsidRPr="0062492A" w:rsidR="003C1DCE">
        <w:rPr>
          <w:szCs w:val="24"/>
        </w:rPr>
        <w:t xml:space="preserve">O.A.C. 4901:1-36-03(E), </w:t>
      </w:r>
      <w:r w:rsidRPr="0062492A">
        <w:rPr>
          <w:szCs w:val="24"/>
        </w:rPr>
        <w:t>and the precedent established by the Supreme Court of Ohio for intervention. On behalf of Ohio residential consumers, the PUCO should grant OCC</w:t>
      </w:r>
      <w:r w:rsidR="0062492A">
        <w:rPr>
          <w:szCs w:val="24"/>
        </w:rPr>
        <w:t>’</w:t>
      </w:r>
      <w:r w:rsidRPr="0062492A">
        <w:rPr>
          <w:szCs w:val="24"/>
        </w:rPr>
        <w:t>s Motion to Intervene.</w:t>
      </w:r>
    </w:p>
    <w:p w:rsidR="00647A2A" w14:paraId="37F15070" w14:textId="77777777">
      <w:r>
        <w:br w:type="page"/>
      </w:r>
    </w:p>
    <w:p w:rsidR="000E6DEC" w:rsidRPr="0062492A" w:rsidP="000E6DEC" w14:paraId="58D18AD7" w14:textId="77C76818">
      <w:pPr>
        <w:ind w:left="4320"/>
      </w:pPr>
      <w:r w:rsidRPr="0062492A">
        <w:t>Respectfully submitted,</w:t>
      </w:r>
    </w:p>
    <w:p w:rsidR="000E6DEC" w:rsidRPr="0062492A" w:rsidP="000E6DEC" w14:paraId="79C84DB7" w14:textId="77777777">
      <w:pPr>
        <w:ind w:left="4320"/>
      </w:pPr>
    </w:p>
    <w:p w:rsidR="000E6DEC" w:rsidRPr="0062492A" w:rsidP="000E6DEC" w14:paraId="145A701A" w14:textId="77777777">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r w:rsidRPr="0062492A">
        <w:rPr>
          <w:rFonts w:eastAsia="Courier New"/>
        </w:rPr>
        <w:t>Maureen R. Willis (0020847)</w:t>
      </w:r>
    </w:p>
    <w:p w:rsidR="000E6DEC" w:rsidRPr="0062492A" w:rsidP="000E6DEC" w14:paraId="6C8B4A6B" w14:textId="214A083E">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r w:rsidRPr="0062492A">
        <w:t>Ohio Consumers</w:t>
      </w:r>
      <w:r w:rsidR="0062492A">
        <w:t>’</w:t>
      </w:r>
      <w:r w:rsidRPr="0062492A">
        <w:t xml:space="preserve"> Counsel</w:t>
      </w:r>
    </w:p>
    <w:p w:rsidR="000E6DEC" w:rsidRPr="0062492A" w:rsidP="000E6DEC" w14:paraId="36B2D4D2" w14:textId="77777777">
      <w:pPr>
        <w:tabs>
          <w:tab w:val="left" w:pos="4320"/>
        </w:tabs>
        <w:ind w:left="4320"/>
      </w:pPr>
    </w:p>
    <w:p w:rsidR="000E6DEC" w:rsidRPr="0062492A" w:rsidP="000E6DEC" w14:paraId="059B5023" w14:textId="77777777">
      <w:pPr>
        <w:tabs>
          <w:tab w:val="left" w:pos="4320"/>
        </w:tabs>
        <w:ind w:left="4320"/>
        <w:rPr>
          <w:i/>
          <w:iCs/>
          <w:u w:val="single"/>
        </w:rPr>
      </w:pPr>
      <w:r w:rsidRPr="0062492A">
        <w:rPr>
          <w:i/>
          <w:iCs/>
          <w:u w:val="single"/>
        </w:rPr>
        <w:t>/s/ Donald J. Kral</w:t>
      </w:r>
    </w:p>
    <w:p w:rsidR="000E6DEC" w:rsidRPr="0062492A" w:rsidP="000E6DEC" w14:paraId="325E0C02" w14:textId="77777777">
      <w:pPr>
        <w:tabs>
          <w:tab w:val="left" w:pos="4320"/>
        </w:tabs>
        <w:ind w:left="4320"/>
      </w:pPr>
      <w:r w:rsidRPr="0062492A">
        <w:t>Donald J. Kral (0042091)</w:t>
      </w:r>
    </w:p>
    <w:p w:rsidR="000E6DEC" w:rsidRPr="0062492A" w:rsidP="000E6DEC" w14:paraId="5CFF7288" w14:textId="77777777">
      <w:pPr>
        <w:tabs>
          <w:tab w:val="left" w:pos="4320"/>
        </w:tabs>
        <w:ind w:left="4320"/>
      </w:pPr>
      <w:r w:rsidRPr="0062492A">
        <w:t>Counsel of Record</w:t>
      </w:r>
    </w:p>
    <w:p w:rsidR="000E6DEC" w:rsidRPr="0062492A" w:rsidP="000E6DEC" w14:paraId="4ED9A206" w14:textId="77777777">
      <w:pPr>
        <w:tabs>
          <w:tab w:val="left" w:pos="4320"/>
        </w:tabs>
        <w:ind w:left="4320"/>
      </w:pPr>
      <w:r w:rsidRPr="0062492A">
        <w:t>John R. Varanese (0044176)</w:t>
      </w:r>
    </w:p>
    <w:p w:rsidR="000E6DEC" w:rsidRPr="0062492A" w:rsidP="000E6DEC" w14:paraId="0E29991F" w14:textId="795BD8F2">
      <w:pPr>
        <w:tabs>
          <w:tab w:val="left" w:pos="4320"/>
        </w:tabs>
        <w:ind w:left="4320"/>
      </w:pPr>
      <w:r w:rsidRPr="0062492A">
        <w:t>Assistant Consumers</w:t>
      </w:r>
      <w:r w:rsidR="0062492A">
        <w:t>’</w:t>
      </w:r>
      <w:r w:rsidRPr="0062492A">
        <w:t xml:space="preserve"> Counsel</w:t>
      </w:r>
    </w:p>
    <w:p w:rsidR="000E6DEC" w:rsidRPr="0062492A" w:rsidP="000E6DEC" w14:paraId="6CE4050A" w14:textId="77777777">
      <w:pPr>
        <w:tabs>
          <w:tab w:val="left" w:pos="4320"/>
        </w:tabs>
        <w:ind w:left="4320"/>
      </w:pPr>
    </w:p>
    <w:p w:rsidR="000E6DEC" w:rsidRPr="0062492A" w:rsidP="000E6DEC" w14:paraId="02A2351E" w14:textId="08340439">
      <w:pPr>
        <w:keepNext/>
        <w:ind w:left="4320" w:right="-648"/>
        <w:outlineLvl w:val="0"/>
        <w:rPr>
          <w:b/>
        </w:rPr>
      </w:pPr>
      <w:r w:rsidRPr="0062492A">
        <w:rPr>
          <w:b/>
        </w:rPr>
        <w:t>Office of the Ohio Consumers</w:t>
      </w:r>
      <w:r w:rsidR="0062492A">
        <w:rPr>
          <w:b/>
        </w:rPr>
        <w:t>’</w:t>
      </w:r>
      <w:r w:rsidRPr="0062492A">
        <w:rPr>
          <w:b/>
        </w:rPr>
        <w:t xml:space="preserve"> Counsel</w:t>
      </w:r>
    </w:p>
    <w:p w:rsidR="000E6DEC" w:rsidRPr="0062492A" w:rsidP="000E6DEC" w14:paraId="23DC6357" w14:textId="77777777">
      <w:pPr>
        <w:keepNext/>
        <w:ind w:left="4320" w:right="-648"/>
        <w:outlineLvl w:val="0"/>
      </w:pPr>
      <w:r w:rsidRPr="0062492A">
        <w:t>65 East State Street, Suite 700</w:t>
      </w:r>
    </w:p>
    <w:p w:rsidR="000E6DEC" w:rsidRPr="0062492A" w:rsidP="000E6DEC" w14:paraId="58DBD739" w14:textId="77777777">
      <w:pPr>
        <w:keepNext/>
        <w:ind w:left="4320" w:right="-648"/>
        <w:outlineLvl w:val="0"/>
      </w:pPr>
      <w:r w:rsidRPr="0062492A">
        <w:t>Columbus, Ohio 43215</w:t>
      </w:r>
    </w:p>
    <w:p w:rsidR="000E6DEC" w:rsidRPr="0062492A" w:rsidP="000E6DEC" w14:paraId="04DC95A7" w14:textId="77777777">
      <w:pPr>
        <w:autoSpaceDE w:val="0"/>
        <w:autoSpaceDN w:val="0"/>
        <w:adjustRightInd w:val="0"/>
        <w:ind w:left="4320"/>
      </w:pPr>
      <w:r w:rsidRPr="0062492A">
        <w:t>Telephone [Kral]: (614) 466-9571</w:t>
      </w:r>
    </w:p>
    <w:p w:rsidR="000E6DEC" w:rsidRPr="0062492A" w:rsidP="000E6DEC" w14:paraId="1D65E962" w14:textId="77777777">
      <w:pPr>
        <w:autoSpaceDE w:val="0"/>
        <w:autoSpaceDN w:val="0"/>
        <w:adjustRightInd w:val="0"/>
        <w:ind w:left="4320"/>
      </w:pPr>
      <w:r w:rsidRPr="0062492A">
        <w:t>Telephone [Varanese]: (614) 387-2965</w:t>
      </w:r>
    </w:p>
    <w:p w:rsidR="000E6DEC" w:rsidRPr="0062492A" w:rsidP="000E6DEC" w14:paraId="69B7138A" w14:textId="77777777">
      <w:pPr>
        <w:ind w:firstLine="4320"/>
      </w:pPr>
      <w:hyperlink r:id="rId6" w:history="1">
        <w:r w:rsidRPr="0062492A">
          <w:rPr>
            <w:color w:val="0000FF"/>
            <w:u w:val="single"/>
          </w:rPr>
          <w:t>donald.kral@occ.ohio.gov</w:t>
        </w:r>
      </w:hyperlink>
    </w:p>
    <w:p w:rsidR="000E6DEC" w:rsidRPr="0062492A" w:rsidP="000E6DEC" w14:paraId="2F758527" w14:textId="77777777">
      <w:pPr>
        <w:autoSpaceDE w:val="0"/>
        <w:autoSpaceDN w:val="0"/>
        <w:adjustRightInd w:val="0"/>
        <w:ind w:left="4320"/>
      </w:pPr>
      <w:hyperlink r:id="rId7" w:history="1">
        <w:r w:rsidRPr="0062492A">
          <w:rPr>
            <w:rStyle w:val="Hyperlink"/>
            <w:rFonts w:eastAsia="Courier New"/>
          </w:rPr>
          <w:t>john.varanese@occ.ohio.gov</w:t>
        </w:r>
      </w:hyperlink>
    </w:p>
    <w:p w:rsidR="000E6DEC" w:rsidRPr="0062492A" w:rsidP="000E6DEC" w14:paraId="4A81F1D9" w14:textId="77777777">
      <w:pPr>
        <w:tabs>
          <w:tab w:val="left" w:pos="3870"/>
          <w:tab w:val="left" w:pos="4320"/>
        </w:tabs>
        <w:ind w:left="4320"/>
      </w:pPr>
      <w:r w:rsidRPr="0062492A">
        <w:t>(willing to accept service via email)</w:t>
      </w:r>
    </w:p>
    <w:p w:rsidR="00983F12" w:rsidRPr="0062492A" w14:paraId="45BFE1A7" w14:textId="54DF8A0E">
      <w:pPr>
        <w:rPr>
          <w:b/>
          <w:u w:val="single"/>
        </w:rPr>
      </w:pPr>
      <w:r w:rsidRPr="0062492A">
        <w:rPr>
          <w:b/>
          <w:u w:val="single"/>
        </w:rPr>
        <w:br w:type="page"/>
      </w:r>
    </w:p>
    <w:p w:rsidR="00A5637F" w:rsidRPr="0062492A" w14:paraId="610DF17B" w14:textId="7C6B91A8">
      <w:pPr>
        <w:pStyle w:val="ANSWER"/>
        <w:ind w:left="720"/>
        <w:jc w:val="center"/>
        <w:rPr>
          <w:b/>
          <w:szCs w:val="24"/>
          <w:u w:val="single"/>
        </w:rPr>
      </w:pPr>
      <w:r w:rsidRPr="0062492A">
        <w:rPr>
          <w:b/>
          <w:szCs w:val="24"/>
          <w:u w:val="single"/>
        </w:rPr>
        <w:t>CERTIFICATE OF SERVICE</w:t>
      </w:r>
    </w:p>
    <w:p w:rsidR="00A5637F" w:rsidRPr="0062492A" w14:paraId="6EF5F2E4" w14:textId="4DDC6ECB">
      <w:pPr>
        <w:spacing w:line="480" w:lineRule="auto"/>
      </w:pPr>
      <w:r w:rsidRPr="0062492A">
        <w:tab/>
      </w:r>
      <w:r w:rsidRPr="0062492A" w:rsidR="00962E3C">
        <w:t xml:space="preserve">I hereby certify that a copy of the foregoing Motion to Intervene has been served electronically upon those persons listed below this </w:t>
      </w:r>
      <w:r w:rsidR="00A20E9A">
        <w:t>24</w:t>
      </w:r>
      <w:r w:rsidRPr="00A20E9A" w:rsidR="00A20E9A">
        <w:rPr>
          <w:vertAlign w:val="superscript"/>
        </w:rPr>
        <w:t>th</w:t>
      </w:r>
      <w:r w:rsidR="00A20E9A">
        <w:t xml:space="preserve"> </w:t>
      </w:r>
      <w:r w:rsidRPr="0062492A" w:rsidR="00962E3C">
        <w:t>day of July 2024.</w:t>
      </w:r>
    </w:p>
    <w:p w:rsidR="00CF2964" w:rsidRPr="0062492A" w:rsidP="00CF2964" w14:paraId="30CF4E86" w14:textId="77777777">
      <w:pPr>
        <w:tabs>
          <w:tab w:val="left" w:pos="4320"/>
        </w:tabs>
      </w:pPr>
      <w:r w:rsidRPr="0062492A">
        <w:tab/>
      </w:r>
      <w:r w:rsidRPr="0062492A">
        <w:rPr>
          <w:i/>
          <w:iCs/>
          <w:u w:val="single"/>
        </w:rPr>
        <w:t>/s/ Donald J. Kral</w:t>
      </w:r>
    </w:p>
    <w:p w:rsidR="00CF2964" w:rsidRPr="0062492A" w:rsidP="00CF2964" w14:paraId="1C0426B3" w14:textId="77777777">
      <w:pPr>
        <w:tabs>
          <w:tab w:val="left" w:pos="4320"/>
        </w:tabs>
      </w:pPr>
      <w:r w:rsidRPr="0062492A">
        <w:tab/>
        <w:t>Donald J. Kral</w:t>
      </w:r>
    </w:p>
    <w:p w:rsidR="00CF2964" w:rsidRPr="0062492A" w:rsidP="00CF2964" w14:paraId="664D6775" w14:textId="6D06E407">
      <w:pPr>
        <w:tabs>
          <w:tab w:val="left" w:pos="4320"/>
        </w:tabs>
      </w:pPr>
      <w:r w:rsidRPr="0062492A">
        <w:tab/>
        <w:t>Assistant Consumers</w:t>
      </w:r>
      <w:r w:rsidR="0062492A">
        <w:t>’</w:t>
      </w:r>
      <w:r w:rsidRPr="0062492A">
        <w:t xml:space="preserve"> Counsel</w:t>
      </w:r>
    </w:p>
    <w:p w:rsidR="002C7D60" w:rsidRPr="0062492A" w:rsidP="00CF2964" w14:paraId="268A0765" w14:textId="4286E9D1">
      <w:pPr>
        <w:tabs>
          <w:tab w:val="left" w:pos="4320"/>
        </w:tabs>
      </w:pPr>
    </w:p>
    <w:p w:rsidR="002C7D60" w:rsidRPr="0062492A" w:rsidP="002C7D60" w14:paraId="184A87AF" w14:textId="503F02ED">
      <w:pPr>
        <w:pStyle w:val="CommentText"/>
      </w:pPr>
      <w:r w:rsidRPr="0062492A">
        <w:t>The PUCO</w:t>
      </w:r>
      <w:r w:rsidR="0062492A">
        <w:t>’</w:t>
      </w:r>
      <w:r w:rsidRPr="0062492A">
        <w:t>s e-filing system will electronically serve notice of the filing of this document on the following parties:</w:t>
      </w:r>
    </w:p>
    <w:p w:rsidR="002C7D60" w:rsidRPr="0062492A" w:rsidP="002C7D60" w14:paraId="7E43FDD1" w14:textId="77777777">
      <w:pPr>
        <w:tabs>
          <w:tab w:val="left" w:pos="4320"/>
        </w:tabs>
      </w:pPr>
    </w:p>
    <w:p w:rsidR="002C7D60" w:rsidRPr="0062492A" w:rsidP="002C7D60" w14:paraId="116D3271" w14:textId="77777777">
      <w:pPr>
        <w:pStyle w:val="CommentText"/>
        <w:jc w:val="center"/>
        <w:rPr>
          <w:b/>
          <w:u w:val="single"/>
        </w:rPr>
      </w:pPr>
      <w:r w:rsidRPr="0062492A">
        <w:rPr>
          <w:b/>
          <w:u w:val="single"/>
        </w:rPr>
        <w:t>SERVICE LIST</w:t>
      </w:r>
    </w:p>
    <w:p w:rsidR="00A5637F" w:rsidRPr="0062492A" w:rsidP="002C7D60" w14:paraId="00A354A7" w14:textId="77777777">
      <w:pPr>
        <w:tabs>
          <w:tab w:val="left" w:pos="4320"/>
        </w:tabs>
      </w:pPr>
    </w:p>
    <w:tbl>
      <w:tblPr>
        <w:tblW w:w="9090" w:type="dxa"/>
        <w:tblInd w:w="0" w:type="dxa"/>
        <w:tblCellMar>
          <w:top w:w="0" w:type="dxa"/>
          <w:left w:w="108" w:type="dxa"/>
          <w:bottom w:w="0" w:type="dxa"/>
          <w:right w:w="108" w:type="dxa"/>
        </w:tblCellMar>
        <w:tblLook w:val="04A0"/>
      </w:tblPr>
      <w:tblGrid>
        <w:gridCol w:w="4770"/>
        <w:gridCol w:w="4320"/>
      </w:tblGrid>
      <w:tr w14:paraId="1A4CC81C" w14:textId="77777777" w:rsidTr="00BB05E4">
        <w:tblPrEx>
          <w:tblW w:w="9090" w:type="dxa"/>
          <w:tblInd w:w="0" w:type="dxa"/>
          <w:tblCellMar>
            <w:top w:w="0" w:type="dxa"/>
            <w:left w:w="108" w:type="dxa"/>
            <w:bottom w:w="0" w:type="dxa"/>
            <w:right w:w="108" w:type="dxa"/>
          </w:tblCellMar>
          <w:tblLook w:val="04A0"/>
        </w:tblPrEx>
        <w:tc>
          <w:tcPr>
            <w:tcW w:w="4770" w:type="dxa"/>
            <w:shd w:val="clear" w:color="auto" w:fill="auto"/>
          </w:tcPr>
          <w:p w:rsidR="00820042" w:rsidRPr="0062492A" w:rsidP="00BB05E4" w14:paraId="32A0F947" w14:textId="77777777">
            <w:pPr>
              <w:rPr>
                <w:bCs/>
                <w:color w:val="0000FF"/>
                <w:sz w:val="24"/>
                <w:szCs w:val="24"/>
                <w:u w:val="single"/>
                <w:lang w:val="en-US" w:eastAsia="en-US" w:bidi="ar-SA"/>
              </w:rPr>
            </w:pPr>
            <w:hyperlink r:id="rId14" w:history="1">
              <w:r w:rsidRPr="0062492A">
                <w:rPr>
                  <w:bCs/>
                  <w:color w:val="0000FF"/>
                  <w:sz w:val="24"/>
                  <w:szCs w:val="24"/>
                  <w:u w:val="single"/>
                  <w:lang w:val="en-US" w:eastAsia="en-US" w:bidi="ar-SA"/>
                </w:rPr>
                <w:t>john.jones@ohioago.gov</w:t>
              </w:r>
            </w:hyperlink>
          </w:p>
          <w:p w:rsidR="00820042" w:rsidRPr="0062492A" w:rsidP="00BB05E4" w14:paraId="6487EC43" w14:textId="77777777">
            <w:pPr>
              <w:rPr>
                <w:bCs/>
                <w:color w:val="0000FF"/>
                <w:sz w:val="24"/>
                <w:szCs w:val="24"/>
                <w:u w:val="single"/>
                <w:lang w:val="en-US" w:eastAsia="en-US" w:bidi="ar-SA"/>
              </w:rPr>
            </w:pPr>
          </w:p>
          <w:p w:rsidR="00820042" w:rsidRPr="0062492A" w:rsidP="00BB05E4" w14:paraId="4D7FAD84" w14:textId="77777777">
            <w:pPr>
              <w:rPr>
                <w:bCs/>
                <w:sz w:val="24"/>
                <w:szCs w:val="24"/>
                <w:lang w:val="en-US" w:eastAsia="en-US" w:bidi="ar-SA"/>
              </w:rPr>
            </w:pPr>
            <w:r w:rsidRPr="0062492A">
              <w:rPr>
                <w:bCs/>
                <w:sz w:val="24"/>
                <w:szCs w:val="24"/>
                <w:lang w:val="en-US" w:eastAsia="en-US" w:bidi="ar-SA"/>
              </w:rPr>
              <w:t>Administrative Law Judge:</w:t>
            </w:r>
          </w:p>
          <w:p w:rsidR="00820042" w:rsidRPr="0062492A" w:rsidP="00BB05E4" w14:paraId="36307F5D" w14:textId="77777777">
            <w:pPr>
              <w:rPr>
                <w:bCs/>
                <w:sz w:val="24"/>
                <w:szCs w:val="24"/>
                <w:lang w:val="en-US" w:eastAsia="en-US" w:bidi="ar-SA"/>
              </w:rPr>
            </w:pPr>
          </w:p>
        </w:tc>
        <w:tc>
          <w:tcPr>
            <w:tcW w:w="4320" w:type="dxa"/>
            <w:shd w:val="clear" w:color="auto" w:fill="auto"/>
          </w:tcPr>
          <w:p w:rsidR="00820042" w:rsidRPr="0062492A" w:rsidP="00BB05E4" w14:paraId="7D92E787" w14:textId="77777777">
            <w:pPr>
              <w:rPr>
                <w:sz w:val="24"/>
                <w:szCs w:val="24"/>
                <w:lang w:val="en-US" w:eastAsia="en-US" w:bidi="ar-SA"/>
              </w:rPr>
            </w:pPr>
            <w:hyperlink r:id="rId15" w:history="1">
              <w:r w:rsidRPr="0062492A">
                <w:rPr>
                  <w:rStyle w:val="Hyperlink"/>
                  <w:color w:val="0000FF"/>
                  <w:sz w:val="24"/>
                  <w:szCs w:val="24"/>
                  <w:u w:val="single"/>
                  <w:lang w:val="en-US" w:eastAsia="en-US" w:bidi="ar-SA"/>
                </w:rPr>
                <w:t>rocco.dascenzo@duke-energy.com</w:t>
              </w:r>
            </w:hyperlink>
          </w:p>
          <w:p w:rsidR="00820042" w:rsidRPr="0062492A" w:rsidP="00BB05E4" w14:paraId="07C91098" w14:textId="77777777">
            <w:pPr>
              <w:rPr>
                <w:sz w:val="24"/>
                <w:szCs w:val="24"/>
                <w:lang w:val="en-US" w:eastAsia="en-US" w:bidi="ar-SA"/>
              </w:rPr>
            </w:pPr>
            <w:hyperlink r:id="rId16" w:history="1">
              <w:r w:rsidRPr="0062492A">
                <w:rPr>
                  <w:rStyle w:val="Hyperlink"/>
                  <w:color w:val="0000FF"/>
                  <w:sz w:val="24"/>
                  <w:szCs w:val="24"/>
                  <w:u w:val="single"/>
                  <w:lang w:val="en-US" w:eastAsia="en-US" w:bidi="ar-SA"/>
                </w:rPr>
                <w:t>jeanne.kingery@duke-energy.com</w:t>
              </w:r>
            </w:hyperlink>
          </w:p>
          <w:p w:rsidR="00820042" w:rsidRPr="0062492A" w:rsidP="00BB05E4" w14:paraId="478E5615" w14:textId="77777777">
            <w:pPr>
              <w:rPr>
                <w:sz w:val="24"/>
                <w:szCs w:val="24"/>
                <w:lang w:val="en-US" w:eastAsia="en-US" w:bidi="ar-SA"/>
              </w:rPr>
            </w:pPr>
            <w:hyperlink r:id="rId17" w:history="1">
              <w:r w:rsidRPr="0062492A">
                <w:rPr>
                  <w:rStyle w:val="Hyperlink"/>
                  <w:color w:val="0000FF"/>
                  <w:sz w:val="24"/>
                  <w:szCs w:val="24"/>
                  <w:u w:val="single"/>
                  <w:lang w:val="en-US" w:eastAsia="en-US" w:bidi="ar-SA"/>
                </w:rPr>
                <w:t>larisa.vaysman@duke-energy.com</w:t>
              </w:r>
            </w:hyperlink>
          </w:p>
          <w:p w:rsidR="00820042" w:rsidRPr="0062492A" w:rsidP="00BB05E4" w14:paraId="3A894CAE" w14:textId="77777777">
            <w:pPr>
              <w:rPr>
                <w:sz w:val="24"/>
                <w:szCs w:val="24"/>
                <w:lang w:val="en-US" w:eastAsia="en-US" w:bidi="ar-SA"/>
              </w:rPr>
            </w:pPr>
            <w:hyperlink r:id="rId18" w:history="1">
              <w:r w:rsidRPr="0062492A">
                <w:rPr>
                  <w:rStyle w:val="Hyperlink"/>
                  <w:color w:val="0000FF"/>
                  <w:sz w:val="24"/>
                  <w:szCs w:val="24"/>
                  <w:u w:val="single"/>
                  <w:lang w:val="en-US" w:eastAsia="en-US" w:bidi="ar-SA"/>
                </w:rPr>
                <w:t>elyse.akhbari@duke-energy.com</w:t>
              </w:r>
            </w:hyperlink>
          </w:p>
          <w:p w:rsidR="00820042" w:rsidRPr="0062492A" w:rsidP="00BB05E4" w14:paraId="404F7C03" w14:textId="77777777">
            <w:pPr>
              <w:rPr>
                <w:bCs/>
                <w:sz w:val="24"/>
                <w:szCs w:val="24"/>
                <w:lang w:val="en-US" w:eastAsia="en-US" w:bidi="ar-SA"/>
              </w:rPr>
            </w:pPr>
          </w:p>
          <w:p w:rsidR="00820042" w:rsidRPr="0062492A" w:rsidP="00BB05E4" w14:paraId="44555FE6" w14:textId="77777777">
            <w:pPr>
              <w:rPr>
                <w:bCs/>
                <w:sz w:val="24"/>
                <w:szCs w:val="24"/>
                <w:lang w:val="en-US" w:eastAsia="en-US" w:bidi="ar-SA"/>
              </w:rPr>
            </w:pPr>
          </w:p>
        </w:tc>
      </w:tr>
    </w:tbl>
    <w:p w:rsidR="00820042" w:rsidRPr="0062492A" w:rsidP="002C7D60" w14:paraId="2D445C98" w14:textId="77777777">
      <w:pPr>
        <w:tabs>
          <w:tab w:val="left" w:pos="4320"/>
        </w:tabs>
      </w:pPr>
    </w:p>
    <w:p w:rsidR="00B336DC" w:rsidRPr="0062492A" w:rsidP="002C7D60" w14:paraId="2B151A50" w14:textId="77777777">
      <w:pPr>
        <w:tabs>
          <w:tab w:val="left" w:pos="4320"/>
        </w:tabs>
      </w:pPr>
    </w:p>
    <w:sectPr>
      <w:headerReference w:type="even" r:id="rId19"/>
      <w:headerReference w:type="default" r:id="rId20"/>
      <w:footerReference w:type="even" r:id="rId21"/>
      <w:footerReference w:type="default" r:id="rId22"/>
      <w:headerReference w:type="first" r:id="rId23"/>
      <w:footerReference w:type="first" r:id="rId24"/>
      <w:pgSz w:w="12240" w:h="15840"/>
      <w:pgMar w:top="1440" w:right="1800" w:bottom="1440" w:left="180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Lucida Grande">
    <w:altName w:val="Courier New"/>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69E0" w14:paraId="6E839B0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57190339"/>
      <w:docPartObj>
        <w:docPartGallery w:val="Page Numbers (Bottom of Page)"/>
        <w:docPartUnique/>
      </w:docPartObj>
    </w:sdtPr>
    <w:sdtEndPr>
      <w:rPr>
        <w:noProof/>
      </w:rPr>
    </w:sdtEndPr>
    <w:sdtContent>
      <w:p w:rsidR="008936C2" w:rsidP="008936C2" w14:paraId="515FFC7A" w14:textId="59E2F1B8">
        <w:pPr>
          <w:pStyle w:val="Footer"/>
          <w:spacing w:line="240" w:lineRule="auto"/>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587F" w:rsidP="00D417AA" w14:paraId="18E08110" w14:textId="3BB02CFC">
    <w:pPr>
      <w:pStyle w:val="Footer"/>
      <w:spacing w:line="240" w:lineRule="auto"/>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637F" w14:paraId="7DDC93FA"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69023565"/>
      <w:docPartObj>
        <w:docPartGallery w:val="Page Numbers (Bottom of Page)"/>
        <w:docPartUnique/>
      </w:docPartObj>
    </w:sdtPr>
    <w:sdtEndPr>
      <w:rPr>
        <w:noProof/>
      </w:rPr>
    </w:sdtEndPr>
    <w:sdtContent>
      <w:p w:rsidR="00983F12" w:rsidP="00AE2BF5" w14:paraId="6D62D1F4" w14:textId="19E2624A">
        <w:pPr>
          <w:pStyle w:val="Footer"/>
          <w:spacing w:line="240" w:lineRule="auto"/>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10248183"/>
      <w:docPartObj>
        <w:docPartGallery w:val="Page Numbers (Bottom of Page)"/>
        <w:docPartUnique/>
      </w:docPartObj>
    </w:sdtPr>
    <w:sdtEndPr>
      <w:rPr>
        <w:noProof/>
      </w:rPr>
    </w:sdtEndPr>
    <w:sdtContent>
      <w:p w:rsidR="00983F12" w:rsidP="00E336D8" w14:paraId="12F85826" w14:textId="10663417">
        <w:pPr>
          <w:pStyle w:val="Footer"/>
          <w:spacing w:line="240" w:lineRule="auto"/>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A26DC" w14:paraId="6D352BA3" w14:textId="77777777">
      <w:r>
        <w:separator/>
      </w:r>
    </w:p>
  </w:footnote>
  <w:footnote w:type="continuationSeparator" w:id="1">
    <w:p w:rsidR="009A26DC" w14:paraId="18926B84" w14:textId="77777777">
      <w:r>
        <w:continuationSeparator/>
      </w:r>
    </w:p>
  </w:footnote>
  <w:footnote w:id="2">
    <w:p w:rsidR="00E149D7" w:rsidP="00D46618" w14:paraId="2F6592E4" w14:textId="09562CB6">
      <w:pPr>
        <w:pStyle w:val="FootnoteText"/>
        <w:spacing w:before="0" w:after="120"/>
      </w:pPr>
      <w:r>
        <w:rPr>
          <w:rStyle w:val="FootnoteReference"/>
        </w:rPr>
        <w:footnoteRef/>
      </w:r>
      <w:r>
        <w:t xml:space="preserve"> </w:t>
      </w:r>
      <w:r w:rsidRPr="009B246C">
        <w:rPr>
          <w:i/>
        </w:rPr>
        <w:t>See</w:t>
      </w:r>
      <w:r>
        <w:t xml:space="preserve"> R.C. Chapter 4911, R.C. 4903.221 and O</w:t>
      </w:r>
      <w:r w:rsidR="00236255">
        <w:t>.A.C.</w:t>
      </w:r>
      <w:r>
        <w:t xml:space="preserve"> 4901-1-11.</w:t>
      </w:r>
    </w:p>
  </w:footnote>
  <w:footnote w:id="3">
    <w:p w:rsidR="004A7AF2" w:rsidP="00D46618" w14:paraId="1D013640" w14:textId="054BF95B">
      <w:pPr>
        <w:pStyle w:val="FootnoteText"/>
        <w:spacing w:before="0" w:after="120"/>
      </w:pPr>
      <w:r>
        <w:rPr>
          <w:rStyle w:val="FootnoteReference"/>
        </w:rPr>
        <w:footnoteRef/>
      </w:r>
      <w:r>
        <w:t xml:space="preserve"> </w:t>
      </w:r>
      <w:r w:rsidR="00E2762F">
        <w:rPr>
          <w:i/>
          <w:iCs/>
        </w:rPr>
        <w:t xml:space="preserve">In the Matter of the Application of Duke Energy Ohio, Inc., </w:t>
      </w:r>
      <w:r w:rsidR="00282888">
        <w:rPr>
          <w:i/>
          <w:iCs/>
        </w:rPr>
        <w:t>to Adjust and Set the Rate for</w:t>
      </w:r>
      <w:r w:rsidR="00E2762F">
        <w:rPr>
          <w:i/>
          <w:iCs/>
        </w:rPr>
        <w:t xml:space="preserve"> Rider BTR, </w:t>
      </w:r>
      <w:r>
        <w:t xml:space="preserve">Case No. </w:t>
      </w:r>
      <w:r w:rsidR="00282888">
        <w:t>24</w:t>
      </w:r>
      <w:r w:rsidR="00E2762F">
        <w:t>-</w:t>
      </w:r>
      <w:r w:rsidR="00282888">
        <w:t>658</w:t>
      </w:r>
      <w:r>
        <w:t>-EL-</w:t>
      </w:r>
      <w:r w:rsidR="00E2762F">
        <w:t>RDR</w:t>
      </w:r>
      <w:r>
        <w:t xml:space="preserve">, </w:t>
      </w:r>
      <w:r w:rsidR="00282888">
        <w:t>Application of Duke Energy Ohio, Inc. to Adjust and Set the Rates for Rider BTR</w:t>
      </w:r>
      <w:r>
        <w:t xml:space="preserve"> </w:t>
      </w:r>
      <w:r w:rsidR="00E2762F">
        <w:t>(</w:t>
      </w:r>
      <w:r w:rsidR="00282888">
        <w:t>July 1</w:t>
      </w:r>
      <w:r w:rsidR="00E2762F">
        <w:t>5, 20</w:t>
      </w:r>
      <w:r w:rsidR="00282888">
        <w:t>24</w:t>
      </w:r>
      <w:r w:rsidR="00E2762F">
        <w:t>)</w:t>
      </w:r>
      <w:r w:rsidR="00B55397">
        <w:t xml:space="preserve"> (</w:t>
      </w:r>
      <w:r w:rsidR="0062492A">
        <w:t>“</w:t>
      </w:r>
      <w:r w:rsidR="00B55397">
        <w:t>Application</w:t>
      </w:r>
      <w:r w:rsidR="0062492A">
        <w:t>”</w:t>
      </w:r>
      <w:r w:rsidR="00B55397">
        <w:t>)</w:t>
      </w:r>
      <w:r w:rsidRPr="00650CFA">
        <w:t>.</w:t>
      </w:r>
    </w:p>
  </w:footnote>
  <w:footnote w:id="4">
    <w:p w:rsidR="00705DD2" w:rsidRPr="00837FCB" w:rsidP="00D46618" w14:paraId="3202377A" w14:textId="72DDEE35">
      <w:pPr>
        <w:pStyle w:val="FootnoteText"/>
        <w:spacing w:before="0" w:after="120"/>
        <w:rPr>
          <w:i/>
          <w:iCs/>
        </w:rPr>
      </w:pPr>
      <w:r>
        <w:rPr>
          <w:rStyle w:val="FootnoteReference"/>
        </w:rPr>
        <w:footnoteRef/>
      </w:r>
      <w:r>
        <w:t xml:space="preserve"> </w:t>
      </w:r>
      <w:bookmarkStart w:id="0" w:name="_Hlk172565213"/>
      <w:r w:rsidR="00282888">
        <w:rPr>
          <w:i/>
          <w:iCs/>
        </w:rPr>
        <w:t xml:space="preserve">In the Matter of the Application of Duke Energy Ohio, Inc., for Approval of the Establishment of Rider BTR and Associated Tariff Approval, </w:t>
      </w:r>
      <w:r w:rsidR="00282888">
        <w:t>Case No. 11-2461-EL-RDR, Opinion and Order (May 25, 2011) at p. 7</w:t>
      </w:r>
      <w:bookmarkEnd w:id="0"/>
      <w:r w:rsidR="00282888">
        <w:t xml:space="preserve"> </w:t>
      </w:r>
      <w:r w:rsidRPr="00BE209C" w:rsidR="00282888">
        <w:t>(</w:t>
      </w:r>
      <w:r w:rsidRPr="00BC07E9" w:rsidR="00282888">
        <w:t>Rider BTR sha</w:t>
      </w:r>
      <w:r w:rsidR="00282888">
        <w:t>ll</w:t>
      </w:r>
      <w:r w:rsidRPr="00BC07E9" w:rsidR="00282888">
        <w:t xml:space="preserve"> be created as an unavoidable rider to </w:t>
      </w:r>
      <w:r w:rsidR="00282888">
        <w:t>all</w:t>
      </w:r>
      <w:r w:rsidRPr="00BC07E9" w:rsidR="00282888">
        <w:t>ow for recovery of MTEP and RTEP charges, NITS charges that w</w:t>
      </w:r>
      <w:r w:rsidR="00282888">
        <w:t>ill</w:t>
      </w:r>
      <w:r w:rsidRPr="00BC07E9" w:rsidR="00282888">
        <w:t xml:space="preserve"> be paid by </w:t>
      </w:r>
      <w:r w:rsidR="00282888">
        <w:t>Du</w:t>
      </w:r>
      <w:r w:rsidRPr="00BC07E9" w:rsidR="00282888">
        <w:t>ke for all shopping and non</w:t>
      </w:r>
      <w:r w:rsidR="004A06D5">
        <w:t>-</w:t>
      </w:r>
      <w:r w:rsidRPr="00BC07E9" w:rsidR="00282888">
        <w:t>shopping load, and other nonmarket-based charges, including but not limited to Commission audits</w:t>
      </w:r>
      <w:r w:rsidR="00282888">
        <w:t>)</w:t>
      </w:r>
      <w:r w:rsidRPr="00650CFA" w:rsidR="00282888">
        <w:t>.</w:t>
      </w:r>
    </w:p>
  </w:footnote>
  <w:footnote w:id="5">
    <w:p w:rsidR="00D73160" w:rsidRPr="00323BE2" w:rsidP="00D46618" w14:paraId="7C5FDCB9" w14:textId="369C0DDD">
      <w:pPr>
        <w:pStyle w:val="FootnoteText"/>
        <w:spacing w:before="0" w:after="120"/>
      </w:pPr>
      <w:r>
        <w:rPr>
          <w:rStyle w:val="FootnoteReference"/>
        </w:rPr>
        <w:footnoteRef/>
      </w:r>
      <w:r>
        <w:t xml:space="preserve"> </w:t>
      </w:r>
      <w:r w:rsidR="00323BE2">
        <w:t>Application at Schedule B-2.</w:t>
      </w:r>
    </w:p>
  </w:footnote>
  <w:footnote w:id="6">
    <w:p w:rsidR="00B00F18" w:rsidP="00D46618" w14:paraId="7C2CDE20" w14:textId="292AFE20">
      <w:pPr>
        <w:pStyle w:val="FootnoteText"/>
        <w:spacing w:before="0" w:after="120"/>
      </w:pPr>
      <w:r>
        <w:rPr>
          <w:rStyle w:val="FootnoteReference"/>
        </w:rPr>
        <w:footnoteRef/>
      </w:r>
      <w:r>
        <w:t xml:space="preserve"> </w:t>
      </w:r>
      <w:r w:rsidRPr="00323BE2" w:rsidR="00BA5213">
        <w:rPr>
          <w:i/>
          <w:iCs/>
        </w:rPr>
        <w:t>Id.</w:t>
      </w:r>
    </w:p>
  </w:footnote>
  <w:footnote w:id="7">
    <w:p w:rsidR="00207054" w:rsidRPr="00BA5213" w:rsidP="00D46618" w14:paraId="2457163E" w14:textId="77777777">
      <w:pPr>
        <w:pStyle w:val="FootnoteText"/>
        <w:spacing w:before="0" w:after="120"/>
      </w:pPr>
      <w:r>
        <w:rPr>
          <w:rStyle w:val="FootnoteReference"/>
        </w:rPr>
        <w:footnoteRef/>
      </w:r>
      <w:r>
        <w:t xml:space="preserve"> Application</w:t>
      </w:r>
      <w:r>
        <w:rPr>
          <w:i/>
          <w:iCs/>
        </w:rPr>
        <w:t xml:space="preserve">. </w:t>
      </w:r>
      <w:r>
        <w:t>at Schedule B-4.</w:t>
      </w:r>
    </w:p>
  </w:footnote>
  <w:footnote w:id="8">
    <w:p w:rsidR="00207054" w:rsidRPr="008B1879" w:rsidP="00D46618" w14:paraId="3BFD0D88" w14:textId="77777777">
      <w:pPr>
        <w:pStyle w:val="FootnoteText"/>
        <w:spacing w:before="0" w:after="120"/>
        <w:rPr>
          <w:i/>
          <w:iCs/>
        </w:rPr>
      </w:pPr>
      <w:r>
        <w:rPr>
          <w:rStyle w:val="FootnoteReference"/>
        </w:rPr>
        <w:footnoteRef/>
      </w:r>
      <w:r>
        <w:t xml:space="preserve"> </w:t>
      </w:r>
      <w:r>
        <w:rPr>
          <w:i/>
          <w:iCs/>
        </w:rPr>
        <w:t>Id.</w:t>
      </w:r>
    </w:p>
  </w:footnote>
  <w:footnote w:id="9">
    <w:p w:rsidR="002D1CF9" w:rsidP="00D46618" w14:paraId="146B1B3B" w14:textId="194FB6C7">
      <w:pPr>
        <w:pStyle w:val="FootnoteText"/>
        <w:spacing w:before="0" w:after="120"/>
      </w:pPr>
      <w:r>
        <w:rPr>
          <w:rStyle w:val="FootnoteReference"/>
        </w:rPr>
        <w:footnoteRef/>
      </w:r>
      <w:r>
        <w:t xml:space="preserve"> </w:t>
      </w:r>
      <w:r w:rsidRPr="00F357F0" w:rsidR="005F09EA">
        <w:rPr>
          <w:i/>
          <w:iCs/>
        </w:rPr>
        <w:t>In the Matter of the Application of Duke Energy Ohio, Inc., for an Increase in Electric Distribution Rates</w:t>
      </w:r>
      <w:r w:rsidR="005F09EA">
        <w:t xml:space="preserve">, Case No. 21-887-EL-AIR, </w:t>
      </w:r>
      <w:r w:rsidR="005532D3">
        <w:t xml:space="preserve">et al., </w:t>
      </w:r>
      <w:r w:rsidR="005F09EA">
        <w:t>Opinion and Order (Dec</w:t>
      </w:r>
      <w:r w:rsidR="00E54E1D">
        <w:t>.</w:t>
      </w:r>
      <w:r w:rsidR="005F09EA">
        <w:t xml:space="preserve"> 14, 2022)</w:t>
      </w:r>
      <w:r w:rsidR="00306A4C">
        <w:t>.</w:t>
      </w:r>
    </w:p>
  </w:footnote>
  <w:footnote w:id="10">
    <w:p w:rsidR="00CB2960" w:rsidRPr="00CB2960" w:rsidP="00D46618" w14:paraId="07C9560F" w14:textId="3071AA85">
      <w:pPr>
        <w:pStyle w:val="FootnoteText"/>
        <w:spacing w:before="0" w:after="120"/>
      </w:pPr>
      <w:r>
        <w:rPr>
          <w:rStyle w:val="FootnoteReference"/>
        </w:rPr>
        <w:footnoteRef/>
      </w:r>
      <w:r>
        <w:t xml:space="preserve"> </w:t>
      </w:r>
      <w:r>
        <w:rPr>
          <w:i/>
          <w:iCs/>
        </w:rPr>
        <w:t>In the Matter of the Application of Duke Energy Ohio, Inc., for Authority to Establish a Standard Service Offer Pursuant to Ohio Revised Code Section 4928.143 in the Form of an Electric Security Plan</w:t>
      </w:r>
      <w:r>
        <w:t xml:space="preserve">, Case No. 24-278-EL-SSO, Direct Testimony of James E. Ziolkowski </w:t>
      </w:r>
      <w:r w:rsidR="009456F5">
        <w:t>o</w:t>
      </w:r>
      <w:r>
        <w:t>n Behalf of Duke Energy Ohio, Inc. (April 1, 2024)</w:t>
      </w:r>
      <w:r w:rsidR="0062492A">
        <w:t>, Attachment</w:t>
      </w:r>
      <w:r>
        <w:t xml:space="preserve"> JEZ-2 at 2.</w:t>
      </w:r>
    </w:p>
  </w:footnote>
  <w:footnote w:id="11">
    <w:p w:rsidR="00674698" w:rsidP="00D46618" w14:paraId="6D094453" w14:textId="19BB3C47">
      <w:pPr>
        <w:pStyle w:val="FootnoteText"/>
        <w:spacing w:before="0" w:after="120"/>
      </w:pPr>
      <w:r>
        <w:rPr>
          <w:rStyle w:val="FootnoteReference"/>
        </w:rPr>
        <w:footnoteRef/>
      </w:r>
      <w:r>
        <w:t xml:space="preserve"> Application at Schedule B-2.</w:t>
      </w:r>
    </w:p>
  </w:footnote>
  <w:footnote w:id="12">
    <w:p w:rsidR="00BB77DD" w:rsidRPr="00BA5213" w:rsidP="00D46618" w14:paraId="27F795A0" w14:textId="417EE3A3">
      <w:pPr>
        <w:pStyle w:val="FootnoteText"/>
        <w:spacing w:before="0" w:after="120"/>
      </w:pPr>
      <w:r>
        <w:rPr>
          <w:rStyle w:val="FootnoteReference"/>
        </w:rPr>
        <w:footnoteRef/>
      </w:r>
      <w:r>
        <w:t xml:space="preserve"> </w:t>
      </w:r>
      <w:r w:rsidRPr="00674698">
        <w:rPr>
          <w:i/>
          <w:iCs/>
        </w:rPr>
        <w:t xml:space="preserve">Id. </w:t>
      </w:r>
      <w:r w:rsidRPr="00674698">
        <w:t xml:space="preserve">at Schedule </w:t>
      </w:r>
      <w:r w:rsidRPr="00674698" w:rsidR="00674698">
        <w:t>B</w:t>
      </w:r>
      <w:r w:rsidRPr="00674698">
        <w:t>-</w:t>
      </w:r>
      <w:r w:rsidRPr="00674698" w:rsidR="00674698">
        <w:t>4</w:t>
      </w:r>
      <w:r>
        <w:t>.</w:t>
      </w:r>
    </w:p>
  </w:footnote>
  <w:footnote w:id="13">
    <w:p w:rsidR="006C48CC" w:rsidRPr="00B108AE" w:rsidP="00D46618" w14:paraId="42A3357D" w14:textId="77777777">
      <w:pPr>
        <w:pStyle w:val="FootnoteText"/>
        <w:spacing w:before="0" w:after="120"/>
        <w:rPr>
          <w:highlight w:val="yellow"/>
        </w:rPr>
      </w:pPr>
      <w:r w:rsidRPr="00B108AE">
        <w:rPr>
          <w:rStyle w:val="FootnoteReference"/>
        </w:rPr>
        <w:footnoteRef/>
      </w:r>
      <w:r w:rsidRPr="00B108AE">
        <w:t xml:space="preserve"> Application at Schedule B-2.</w:t>
      </w:r>
    </w:p>
  </w:footnote>
  <w:footnote w:id="14">
    <w:p w:rsidR="006C48CC" w:rsidRPr="006E3B64" w:rsidP="00D46618" w14:paraId="0A47CFF5" w14:textId="77777777">
      <w:pPr>
        <w:pStyle w:val="FootnoteText"/>
        <w:spacing w:before="0" w:after="120"/>
        <w:rPr>
          <w:i/>
          <w:iCs/>
        </w:rPr>
      </w:pPr>
      <w:r w:rsidRPr="00B108AE">
        <w:rPr>
          <w:rStyle w:val="FootnoteReference"/>
        </w:rPr>
        <w:footnoteRef/>
      </w:r>
      <w:r w:rsidRPr="00B108AE">
        <w:t xml:space="preserve"> </w:t>
      </w:r>
      <w:r w:rsidRPr="00B108AE">
        <w:rPr>
          <w:i/>
          <w:iCs/>
        </w:rPr>
        <w:t>Id.</w:t>
      </w:r>
    </w:p>
  </w:footnote>
  <w:footnote w:id="15">
    <w:p w:rsidR="00B04489" w:rsidP="00D46618" w14:paraId="2D5DBFF7" w14:textId="120572C6">
      <w:pPr>
        <w:pStyle w:val="FootnoteText"/>
        <w:spacing w:before="0" w:after="120"/>
      </w:pPr>
      <w:r>
        <w:rPr>
          <w:rStyle w:val="FootnoteReference"/>
        </w:rPr>
        <w:footnoteRef/>
      </w:r>
      <w:r>
        <w:t xml:space="preserve"> </w:t>
      </w:r>
      <w:r w:rsidRPr="00B04489">
        <w:rPr>
          <w:i/>
          <w:iCs/>
        </w:rPr>
        <w:t xml:space="preserve">In the Matter of the Application of Duke Energy Ohio, Inc., for Approval of the Establishment of Rider BTR and Associated Tariff Approval, </w:t>
      </w:r>
      <w:r w:rsidRPr="00B04489">
        <w:t>Case No. 11-2</w:t>
      </w:r>
      <w:r w:rsidR="00404C85">
        <w:t>64</w:t>
      </w:r>
      <w:r w:rsidRPr="00B04489">
        <w:t>1-EL-RDR</w:t>
      </w:r>
      <w:r w:rsidRPr="00BE12FC">
        <w:t>,</w:t>
      </w:r>
      <w:r w:rsidRPr="00BE12FC" w:rsidR="00404C85">
        <w:t xml:space="preserve"> et al.,</w:t>
      </w:r>
      <w:r w:rsidRPr="00B04489">
        <w:t xml:space="preserve"> Opinion and Order (May 25, 2011) at 7</w:t>
      </w:r>
      <w:r w:rsidRPr="00ED32B1" w:rsidR="00ED32B1">
        <w:rPr>
          <w:i/>
          <w:iCs/>
        </w:rPr>
        <w:t xml:space="preserve"> </w:t>
      </w:r>
      <w:r w:rsidRPr="00ED32B1" w:rsidR="00ED32B1">
        <w:t>(</w:t>
      </w:r>
      <w:r w:rsidR="0062492A">
        <w:t>“</w:t>
      </w:r>
      <w:r w:rsidRPr="00ED32B1" w:rsidR="00ED32B1">
        <w:t>Rider BTR shall be created as an unavoidable rider to allow for recovery of MTEP [Midwest Transmission Expansion Planning] and RTEP [Regional Transmission Expansion Plan] charges, NITS [Network Integration Transmission Services] charges that will be paid by Duke for all shopping and nonshopping load, and other nonmarket-based charges, including but not limited to Commission audits.</w:t>
      </w:r>
      <w:r w:rsidR="0062492A">
        <w:t>”</w:t>
      </w:r>
      <w:r w:rsidRPr="00ED32B1" w:rsidR="00ED32B1">
        <w:t>)</w:t>
      </w:r>
    </w:p>
  </w:footnote>
  <w:footnote w:id="16">
    <w:p w:rsidR="00B97BED" w:rsidP="00D46618" w14:paraId="70BED4B2" w14:textId="4811DCDC">
      <w:pPr>
        <w:pStyle w:val="FootnoteText"/>
        <w:spacing w:before="0" w:after="120"/>
      </w:pPr>
      <w:r>
        <w:rPr>
          <w:rStyle w:val="FootnoteReference"/>
        </w:rPr>
        <w:footnoteRef/>
      </w:r>
      <w:r>
        <w:t xml:space="preserve"> </w:t>
      </w:r>
      <w:r w:rsidRPr="00D46618">
        <w:rPr>
          <w:i/>
          <w:iCs/>
        </w:rPr>
        <w:t>See, e.g</w:t>
      </w:r>
      <w:r>
        <w:t xml:space="preserve">., </w:t>
      </w:r>
      <w:r w:rsidRPr="00CA6D14">
        <w:rPr>
          <w:i/>
          <w:iCs/>
        </w:rPr>
        <w:t>The Office of the Ohio Consumers’ Counsel v. PJM Interconnection, L.L.C., et al</w:t>
      </w:r>
      <w:r w:rsidRPr="00B97BED">
        <w:t>., Docket No. EL23-105-000, Complaint (Sept. 28, 2023)</w:t>
      </w:r>
      <w:r w:rsidR="007C0DE1">
        <w:t>.</w:t>
      </w:r>
    </w:p>
  </w:footnote>
  <w:footnote w:id="17">
    <w:p w:rsidR="00165484" w:rsidP="00D46618" w14:paraId="6F587646" w14:textId="7DAAC091">
      <w:pPr>
        <w:pStyle w:val="FootnoteText"/>
        <w:spacing w:before="0" w:after="120"/>
      </w:pPr>
      <w:r>
        <w:rPr>
          <w:rStyle w:val="FootnoteReference"/>
        </w:rPr>
        <w:footnoteRef/>
      </w:r>
      <w:r>
        <w:t xml:space="preserve"> </w:t>
      </w:r>
      <w:r>
        <w:rPr>
          <w:i/>
          <w:iCs/>
        </w:rPr>
        <w:t>See also</w:t>
      </w:r>
      <w:bookmarkStart w:id="1" w:name="_Hlk156827547"/>
      <w:r>
        <w:rPr>
          <w:i/>
          <w:iCs/>
        </w:rPr>
        <w:t xml:space="preserve">, </w:t>
      </w:r>
      <w:r>
        <w:t xml:space="preserve">O.A.C. 4901:1-36-03(E) </w:t>
      </w:r>
      <w:bookmarkEnd w:id="1"/>
      <w:r>
        <w:t xml:space="preserve">governing applications for transmission cost recovery riders states: </w:t>
      </w:r>
      <w:r w:rsidR="0062492A">
        <w:t>“</w:t>
      </w:r>
      <w:r w:rsidR="003C1DCE">
        <w:t>(a)</w:t>
      </w:r>
      <w:r w:rsidRPr="00E511B4">
        <w:t>ffected parties may file a motion to intervene and detailed comments on any issues concerning any application filed under this rule within forty days of the date of the filing of the application.</w:t>
      </w:r>
      <w:r w:rsidR="0062492A">
        <w:t>”</w:t>
      </w:r>
    </w:p>
  </w:footnote>
  <w:footnote w:id="18">
    <w:p w:rsidR="004A330E" w:rsidRPr="004A330E" w:rsidP="00D46618" w14:paraId="60A4017F" w14:textId="27D442A1">
      <w:pPr>
        <w:pStyle w:val="FootnoteText"/>
        <w:spacing w:before="0" w:after="120"/>
      </w:pPr>
      <w:r>
        <w:rPr>
          <w:rStyle w:val="FootnoteReference"/>
        </w:rPr>
        <w:footnoteRef/>
      </w:r>
      <w:r>
        <w:t xml:space="preserve"> </w:t>
      </w:r>
      <w:r>
        <w:rPr>
          <w:i/>
          <w:iCs/>
        </w:rPr>
        <w:t xml:space="preserve">See </w:t>
      </w:r>
      <w:r>
        <w:t>O.A.C. 4901:1-36-02(A)</w:t>
      </w:r>
      <w:r w:rsidR="00EE0768">
        <w:t xml:space="preserve"> </w:t>
      </w:r>
      <w:r>
        <w:t>(stating that the ride</w:t>
      </w:r>
      <w:r w:rsidR="008B0AFF">
        <w:t xml:space="preserve">r </w:t>
      </w:r>
      <w:r w:rsidR="00EE0768">
        <w:t>is used</w:t>
      </w:r>
      <w:r w:rsidR="008B0AFF">
        <w:t xml:space="preserve"> to recover transmission and transmission-related costs </w:t>
      </w:r>
      <w:r w:rsidR="0062492A">
        <w:t>“</w:t>
      </w:r>
      <w:r w:rsidR="008B0AFF">
        <w:t>imposed on or charged to the utility</w:t>
      </w:r>
      <w:r w:rsidR="0062492A">
        <w:t>”</w:t>
      </w:r>
      <w:r w:rsidR="008B0AFF">
        <w:t>)</w:t>
      </w:r>
      <w:r w:rsidR="002C48DC">
        <w:t>;</w:t>
      </w:r>
      <w:r w:rsidR="008B0AFF">
        <w:t xml:space="preserve"> O.A.C. </w:t>
      </w:r>
      <w:r>
        <w:t>4901:1-36-03(B)</w:t>
      </w:r>
      <w:r w:rsidR="002C48DC">
        <w:t xml:space="preserve"> </w:t>
      </w:r>
      <w:r>
        <w:t xml:space="preserve">(stating that PUCO may conduct </w:t>
      </w:r>
      <w:r w:rsidR="0062492A">
        <w:t>“</w:t>
      </w:r>
      <w:r>
        <w:t>prudence and/or financial reviews of the costs incurred and recovered through the transmission cost recovery rider</w:t>
      </w:r>
      <w:r w:rsidR="00DB212E">
        <w:t>.</w:t>
      </w:r>
      <w:r w:rsidR="0062492A">
        <w:t>”</w:t>
      </w:r>
      <w:r>
        <w:t>)</w:t>
      </w:r>
    </w:p>
  </w:footnote>
  <w:footnote w:id="19">
    <w:p w:rsidR="007C5DF4" w:rsidRPr="008663A9" w:rsidP="00D46618" w14:paraId="149BEEE1" w14:textId="0059D868">
      <w:pPr>
        <w:pStyle w:val="FootnoteText"/>
        <w:spacing w:before="0" w:after="120"/>
      </w:pPr>
      <w:r>
        <w:rPr>
          <w:rStyle w:val="FootnoteReference"/>
        </w:rPr>
        <w:footnoteRef/>
      </w:r>
      <w:r>
        <w:t xml:space="preserve"> </w:t>
      </w:r>
      <w:r w:rsidR="008663A9">
        <w:rPr>
          <w:i/>
          <w:iCs/>
        </w:rPr>
        <w:t xml:space="preserve">See, e.g., In the Matter of the Application of the Ohio Power Company to Update Its Basic Transmission Cost Rider, </w:t>
      </w:r>
      <w:r w:rsidR="008663A9">
        <w:t>Case No. 23-57-EL-RDR, Motion to Intervene by Office of the Ohio Consumers</w:t>
      </w:r>
      <w:r w:rsidR="0062492A">
        <w:t>’</w:t>
      </w:r>
      <w:r w:rsidR="008663A9">
        <w:t xml:space="preserve"> Counsel (Feb</w:t>
      </w:r>
      <w:r w:rsidR="004306B9">
        <w:t>.</w:t>
      </w:r>
      <w:r w:rsidR="008663A9">
        <w:t xml:space="preserve"> 2, 2023), Consumer Protection Comments by Office of the Ohio Consumers</w:t>
      </w:r>
      <w:r w:rsidR="0062492A">
        <w:t>’</w:t>
      </w:r>
      <w:r w:rsidR="008663A9">
        <w:t xml:space="preserve"> Counsel (Feb</w:t>
      </w:r>
      <w:r w:rsidR="004306B9">
        <w:t>.</w:t>
      </w:r>
      <w:r w:rsidR="008663A9">
        <w:t xml:space="preserve"> 27, 2023).</w:t>
      </w:r>
    </w:p>
  </w:footnote>
  <w:footnote w:id="20">
    <w:p w:rsidR="004D14D4" w:rsidP="00D46618" w14:paraId="6EFC569F" w14:textId="699D7980">
      <w:pPr>
        <w:pStyle w:val="FootnoteText"/>
        <w:spacing w:before="0" w:after="120"/>
      </w:pPr>
      <w:r>
        <w:rPr>
          <w:rStyle w:val="FootnoteReference"/>
        </w:rPr>
        <w:footnoteRef/>
      </w:r>
      <w:r>
        <w:rPr>
          <w:i/>
        </w:rPr>
        <w:t xml:space="preserve"> See Ohio Consumers</w:t>
      </w:r>
      <w:r w:rsidR="0062492A">
        <w:rPr>
          <w:i/>
        </w:rPr>
        <w:t>’</w:t>
      </w:r>
      <w:r>
        <w:rPr>
          <w:i/>
        </w:rPr>
        <w:t xml:space="preserve"> Counsel v. Pub. Util. Comm</w:t>
      </w:r>
      <w:r>
        <w:t>., 111 Ohio St.3d 384, 2006-Ohio-5853, ¶¶</w:t>
      </w:r>
      <w:r w:rsidR="00B64BA9">
        <w:t xml:space="preserve"> </w:t>
      </w:r>
      <w:r>
        <w:t>13-20.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69E0" w14:paraId="5A0461E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69E0" w14:paraId="44ED3D9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69E0" w14:paraId="063D160B"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637F" w14:paraId="12BEB48A"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637F" w14:paraId="3832EFE4"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637F" w14:paraId="6504398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853B8"/>
    <w:multiLevelType w:val="hybridMultilevel"/>
    <w:tmpl w:val="CE24F0FC"/>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nsid w:val="0DA5265E"/>
    <w:multiLevelType w:val="hybridMultilevel"/>
    <w:tmpl w:val="F9D04498"/>
    <w:lvl w:ilvl="0">
      <w:start w:val="1"/>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F5304C4"/>
    <w:multiLevelType w:val="multilevel"/>
    <w:tmpl w:val="1D906BB4"/>
    <w:lvl w:ilvl="0">
      <w:start w:val="3"/>
      <w:numFmt w:val="upperLetter"/>
      <w:lvlText w:val="%1)"/>
      <w:lvlJc w:val="left"/>
      <w:pPr>
        <w:tabs>
          <w:tab w:val="num" w:pos="1080"/>
        </w:tabs>
        <w:ind w:left="1080" w:hanging="36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1B2178CF"/>
    <w:multiLevelType w:val="hybridMultilevel"/>
    <w:tmpl w:val="FF04E49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E5B4443"/>
    <w:multiLevelType w:val="hybridMultilevel"/>
    <w:tmpl w:val="EBA26562"/>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5">
    <w:nsid w:val="22F00834"/>
    <w:multiLevelType w:val="hybridMultilevel"/>
    <w:tmpl w:val="48CC0796"/>
    <w:lvl w:ilvl="0">
      <w:start w:val="4"/>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47C5BE3"/>
    <w:multiLevelType w:val="hybridMultilevel"/>
    <w:tmpl w:val="C3D2DADA"/>
    <w:lvl w:ilvl="0">
      <w:start w:val="1"/>
      <w:numFmt w:val="decimal"/>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2BDD7EEB"/>
    <w:multiLevelType w:val="hybridMultilevel"/>
    <w:tmpl w:val="8E5490F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Microsoft Sans Serif"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Microsoft Sans Serif"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Microsoft Sans Serif"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2C8055A1"/>
    <w:multiLevelType w:val="hybridMultilevel"/>
    <w:tmpl w:val="FB72E85E"/>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37B72D01"/>
    <w:multiLevelType w:val="hybridMultilevel"/>
    <w:tmpl w:val="69DA3EF2"/>
    <w:lvl w:ilvl="0">
      <w:start w:val="4"/>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88F51B5"/>
    <w:multiLevelType w:val="hybridMultilevel"/>
    <w:tmpl w:val="9892C3C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9B32278"/>
    <w:multiLevelType w:val="hybridMultilevel"/>
    <w:tmpl w:val="53CE7B0C"/>
    <w:lvl w:ilvl="0">
      <w:start w:val="4"/>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4B8616F9"/>
    <w:multiLevelType w:val="hybridMultilevel"/>
    <w:tmpl w:val="C598D7F6"/>
    <w:lvl w:ilvl="0">
      <w:start w:val="7"/>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4EEA2B4A"/>
    <w:multiLevelType w:val="hybridMultilevel"/>
    <w:tmpl w:val="0868E874"/>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61636F23"/>
    <w:multiLevelType w:val="hybridMultilevel"/>
    <w:tmpl w:val="C2F00220"/>
    <w:lvl w:ilvl="0">
      <w:start w:val="2"/>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65077CD2"/>
    <w:multiLevelType w:val="hybridMultilevel"/>
    <w:tmpl w:val="1DFA6CC2"/>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66547110"/>
    <w:multiLevelType w:val="hybridMultilevel"/>
    <w:tmpl w:val="872E8934"/>
    <w:lvl w:ilvl="0">
      <w:start w:val="1"/>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7035615A"/>
    <w:multiLevelType w:val="hybridMultilevel"/>
    <w:tmpl w:val="2B84AE2E"/>
    <w:lvl w:ilvl="0">
      <w:start w:val="1"/>
      <w:numFmt w:val="bullet"/>
      <w:lvlText w:val=""/>
      <w:lvlJc w:val="left"/>
      <w:pPr>
        <w:tabs>
          <w:tab w:val="num" w:pos="1560"/>
        </w:tabs>
        <w:ind w:left="1560" w:hanging="360"/>
      </w:pPr>
      <w:rPr>
        <w:rFonts w:ascii="Symbol" w:hAnsi="Symbol" w:hint="default"/>
      </w:rPr>
    </w:lvl>
    <w:lvl w:ilvl="1" w:tentative="1">
      <w:start w:val="1"/>
      <w:numFmt w:val="bullet"/>
      <w:lvlText w:val="o"/>
      <w:lvlJc w:val="left"/>
      <w:pPr>
        <w:tabs>
          <w:tab w:val="num" w:pos="2280"/>
        </w:tabs>
        <w:ind w:left="2280" w:hanging="360"/>
      </w:pPr>
      <w:rPr>
        <w:rFonts w:ascii="Courier New" w:hAnsi="Courier New" w:cs="Microsoft Sans Serif" w:hint="default"/>
      </w:rPr>
    </w:lvl>
    <w:lvl w:ilvl="2" w:tentative="1">
      <w:start w:val="1"/>
      <w:numFmt w:val="bullet"/>
      <w:lvlText w:val=""/>
      <w:lvlJc w:val="left"/>
      <w:pPr>
        <w:tabs>
          <w:tab w:val="num" w:pos="3000"/>
        </w:tabs>
        <w:ind w:left="3000" w:hanging="360"/>
      </w:pPr>
      <w:rPr>
        <w:rFonts w:ascii="Wingdings" w:hAnsi="Wingdings" w:hint="default"/>
      </w:rPr>
    </w:lvl>
    <w:lvl w:ilvl="3" w:tentative="1">
      <w:start w:val="1"/>
      <w:numFmt w:val="bullet"/>
      <w:lvlText w:val=""/>
      <w:lvlJc w:val="left"/>
      <w:pPr>
        <w:tabs>
          <w:tab w:val="num" w:pos="3720"/>
        </w:tabs>
        <w:ind w:left="3720" w:hanging="360"/>
      </w:pPr>
      <w:rPr>
        <w:rFonts w:ascii="Symbol" w:hAnsi="Symbol" w:hint="default"/>
      </w:rPr>
    </w:lvl>
    <w:lvl w:ilvl="4" w:tentative="1">
      <w:start w:val="1"/>
      <w:numFmt w:val="bullet"/>
      <w:lvlText w:val="o"/>
      <w:lvlJc w:val="left"/>
      <w:pPr>
        <w:tabs>
          <w:tab w:val="num" w:pos="4440"/>
        </w:tabs>
        <w:ind w:left="4440" w:hanging="360"/>
      </w:pPr>
      <w:rPr>
        <w:rFonts w:ascii="Courier New" w:hAnsi="Courier New" w:cs="Microsoft Sans Serif" w:hint="default"/>
      </w:rPr>
    </w:lvl>
    <w:lvl w:ilvl="5" w:tentative="1">
      <w:start w:val="1"/>
      <w:numFmt w:val="bullet"/>
      <w:lvlText w:val=""/>
      <w:lvlJc w:val="left"/>
      <w:pPr>
        <w:tabs>
          <w:tab w:val="num" w:pos="5160"/>
        </w:tabs>
        <w:ind w:left="5160" w:hanging="360"/>
      </w:pPr>
      <w:rPr>
        <w:rFonts w:ascii="Wingdings" w:hAnsi="Wingdings" w:hint="default"/>
      </w:rPr>
    </w:lvl>
    <w:lvl w:ilvl="6" w:tentative="1">
      <w:start w:val="1"/>
      <w:numFmt w:val="bullet"/>
      <w:lvlText w:val=""/>
      <w:lvlJc w:val="left"/>
      <w:pPr>
        <w:tabs>
          <w:tab w:val="num" w:pos="5880"/>
        </w:tabs>
        <w:ind w:left="5880" w:hanging="360"/>
      </w:pPr>
      <w:rPr>
        <w:rFonts w:ascii="Symbol" w:hAnsi="Symbol" w:hint="default"/>
      </w:rPr>
    </w:lvl>
    <w:lvl w:ilvl="7" w:tentative="1">
      <w:start w:val="1"/>
      <w:numFmt w:val="bullet"/>
      <w:lvlText w:val="o"/>
      <w:lvlJc w:val="left"/>
      <w:pPr>
        <w:tabs>
          <w:tab w:val="num" w:pos="6600"/>
        </w:tabs>
        <w:ind w:left="6600" w:hanging="360"/>
      </w:pPr>
      <w:rPr>
        <w:rFonts w:ascii="Courier New" w:hAnsi="Courier New" w:cs="Microsoft Sans Serif" w:hint="default"/>
      </w:rPr>
    </w:lvl>
    <w:lvl w:ilvl="8" w:tentative="1">
      <w:start w:val="1"/>
      <w:numFmt w:val="bullet"/>
      <w:lvlText w:val=""/>
      <w:lvlJc w:val="left"/>
      <w:pPr>
        <w:tabs>
          <w:tab w:val="num" w:pos="7320"/>
        </w:tabs>
        <w:ind w:left="7320" w:hanging="360"/>
      </w:pPr>
      <w:rPr>
        <w:rFonts w:ascii="Wingdings" w:hAnsi="Wingdings" w:hint="default"/>
      </w:rPr>
    </w:lvl>
  </w:abstractNum>
  <w:abstractNum w:abstractNumId="18">
    <w:nsid w:val="7A1307C2"/>
    <w:multiLevelType w:val="hybridMultilevel"/>
    <w:tmpl w:val="C0D2ADD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Microsoft Sans Serif"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Microsoft Sans Serif"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Microsoft Sans Serif"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9">
    <w:nsid w:val="7D394F2C"/>
    <w:multiLevelType w:val="hybridMultilevel"/>
    <w:tmpl w:val="7B82BC94"/>
    <w:lvl w:ilvl="0">
      <w:start w:val="3"/>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8"/>
  </w:num>
  <w:num w:numId="2">
    <w:abstractNumId w:val="13"/>
  </w:num>
  <w:num w:numId="3">
    <w:abstractNumId w:val="5"/>
  </w:num>
  <w:num w:numId="4">
    <w:abstractNumId w:val="1"/>
  </w:num>
  <w:num w:numId="5">
    <w:abstractNumId w:val="12"/>
  </w:num>
  <w:num w:numId="6">
    <w:abstractNumId w:val="11"/>
  </w:num>
  <w:num w:numId="7">
    <w:abstractNumId w:val="2"/>
  </w:num>
  <w:num w:numId="8">
    <w:abstractNumId w:val="6"/>
  </w:num>
  <w:num w:numId="9">
    <w:abstractNumId w:val="4"/>
  </w:num>
  <w:num w:numId="10">
    <w:abstractNumId w:val="16"/>
  </w:num>
  <w:num w:numId="11">
    <w:abstractNumId w:val="0"/>
  </w:num>
  <w:num w:numId="12">
    <w:abstractNumId w:val="14"/>
  </w:num>
  <w:num w:numId="13">
    <w:abstractNumId w:val="19"/>
  </w:num>
  <w:num w:numId="14">
    <w:abstractNumId w:val="9"/>
  </w:num>
  <w:num w:numId="15">
    <w:abstractNumId w:val="17"/>
  </w:num>
  <w:num w:numId="16">
    <w:abstractNumId w:val="18"/>
  </w:num>
  <w:num w:numId="17">
    <w:abstractNumId w:val="7"/>
  </w:num>
  <w:num w:numId="18">
    <w:abstractNumId w:val="10"/>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isplayBackgroundShap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doNotEmbedSmartTag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0DE"/>
    <w:rsid w:val="000004E7"/>
    <w:rsid w:val="0000380B"/>
    <w:rsid w:val="000138E7"/>
    <w:rsid w:val="000277A9"/>
    <w:rsid w:val="000330D3"/>
    <w:rsid w:val="000457B7"/>
    <w:rsid w:val="0005101E"/>
    <w:rsid w:val="000511D6"/>
    <w:rsid w:val="00054998"/>
    <w:rsid w:val="00067A34"/>
    <w:rsid w:val="000800F2"/>
    <w:rsid w:val="00087A0A"/>
    <w:rsid w:val="00090C9A"/>
    <w:rsid w:val="00091E63"/>
    <w:rsid w:val="00094959"/>
    <w:rsid w:val="000A1059"/>
    <w:rsid w:val="000A35C6"/>
    <w:rsid w:val="000C0E4A"/>
    <w:rsid w:val="000C20F7"/>
    <w:rsid w:val="000C4282"/>
    <w:rsid w:val="000D15A6"/>
    <w:rsid w:val="000D587F"/>
    <w:rsid w:val="000E0D5C"/>
    <w:rsid w:val="000E697A"/>
    <w:rsid w:val="000E6DEC"/>
    <w:rsid w:val="0010415D"/>
    <w:rsid w:val="001075A8"/>
    <w:rsid w:val="001107BE"/>
    <w:rsid w:val="0011134C"/>
    <w:rsid w:val="00112E29"/>
    <w:rsid w:val="00114B63"/>
    <w:rsid w:val="00133319"/>
    <w:rsid w:val="00135922"/>
    <w:rsid w:val="00136CD8"/>
    <w:rsid w:val="00136E3A"/>
    <w:rsid w:val="00146FC5"/>
    <w:rsid w:val="00151D3D"/>
    <w:rsid w:val="00164FB5"/>
    <w:rsid w:val="00165484"/>
    <w:rsid w:val="001762E5"/>
    <w:rsid w:val="00180197"/>
    <w:rsid w:val="001850AE"/>
    <w:rsid w:val="00191A32"/>
    <w:rsid w:val="0019554F"/>
    <w:rsid w:val="001B4F98"/>
    <w:rsid w:val="001C0912"/>
    <w:rsid w:val="001D40A0"/>
    <w:rsid w:val="001D6BA8"/>
    <w:rsid w:val="001F145E"/>
    <w:rsid w:val="001F46B8"/>
    <w:rsid w:val="001F5C86"/>
    <w:rsid w:val="00207054"/>
    <w:rsid w:val="00213525"/>
    <w:rsid w:val="002235F6"/>
    <w:rsid w:val="0023271E"/>
    <w:rsid w:val="00232FA0"/>
    <w:rsid w:val="00236255"/>
    <w:rsid w:val="00240F08"/>
    <w:rsid w:val="002423F2"/>
    <w:rsid w:val="0024284C"/>
    <w:rsid w:val="00251300"/>
    <w:rsid w:val="00255A79"/>
    <w:rsid w:val="0027171F"/>
    <w:rsid w:val="00273CEA"/>
    <w:rsid w:val="0027466D"/>
    <w:rsid w:val="00282888"/>
    <w:rsid w:val="00282DD0"/>
    <w:rsid w:val="0028384C"/>
    <w:rsid w:val="00284D14"/>
    <w:rsid w:val="00292131"/>
    <w:rsid w:val="00292B26"/>
    <w:rsid w:val="002B0270"/>
    <w:rsid w:val="002C20F3"/>
    <w:rsid w:val="002C48DC"/>
    <w:rsid w:val="002C7D60"/>
    <w:rsid w:val="002D1902"/>
    <w:rsid w:val="002D1CF9"/>
    <w:rsid w:val="002D29C3"/>
    <w:rsid w:val="002D3482"/>
    <w:rsid w:val="002E21B0"/>
    <w:rsid w:val="002E61B7"/>
    <w:rsid w:val="002F1B29"/>
    <w:rsid w:val="002F38DF"/>
    <w:rsid w:val="003026A8"/>
    <w:rsid w:val="00306A4C"/>
    <w:rsid w:val="00310C20"/>
    <w:rsid w:val="00311285"/>
    <w:rsid w:val="00315C60"/>
    <w:rsid w:val="00320F5D"/>
    <w:rsid w:val="00323BE2"/>
    <w:rsid w:val="003258C2"/>
    <w:rsid w:val="0033469B"/>
    <w:rsid w:val="003418A8"/>
    <w:rsid w:val="00343FD2"/>
    <w:rsid w:val="00350760"/>
    <w:rsid w:val="003558EF"/>
    <w:rsid w:val="003564C0"/>
    <w:rsid w:val="00372438"/>
    <w:rsid w:val="00372776"/>
    <w:rsid w:val="0037614B"/>
    <w:rsid w:val="003801D3"/>
    <w:rsid w:val="0038311C"/>
    <w:rsid w:val="00387C2C"/>
    <w:rsid w:val="00392196"/>
    <w:rsid w:val="003943B4"/>
    <w:rsid w:val="00395A3D"/>
    <w:rsid w:val="00397C34"/>
    <w:rsid w:val="003A2BCE"/>
    <w:rsid w:val="003A60E6"/>
    <w:rsid w:val="003B2653"/>
    <w:rsid w:val="003B3BA0"/>
    <w:rsid w:val="003B5A65"/>
    <w:rsid w:val="003C1DCE"/>
    <w:rsid w:val="003D1A04"/>
    <w:rsid w:val="003D23A5"/>
    <w:rsid w:val="003D4F9A"/>
    <w:rsid w:val="003D7A0C"/>
    <w:rsid w:val="003E1CE0"/>
    <w:rsid w:val="003E41D6"/>
    <w:rsid w:val="003E5720"/>
    <w:rsid w:val="003E6509"/>
    <w:rsid w:val="003E6D05"/>
    <w:rsid w:val="003F52E7"/>
    <w:rsid w:val="003F5A87"/>
    <w:rsid w:val="003F6E1A"/>
    <w:rsid w:val="004015F8"/>
    <w:rsid w:val="00404C85"/>
    <w:rsid w:val="00415A83"/>
    <w:rsid w:val="004202B2"/>
    <w:rsid w:val="00424A4E"/>
    <w:rsid w:val="00427EAF"/>
    <w:rsid w:val="004306B9"/>
    <w:rsid w:val="00437A5C"/>
    <w:rsid w:val="004417B3"/>
    <w:rsid w:val="00455377"/>
    <w:rsid w:val="004569A0"/>
    <w:rsid w:val="004576C1"/>
    <w:rsid w:val="00465278"/>
    <w:rsid w:val="00470067"/>
    <w:rsid w:val="0047251D"/>
    <w:rsid w:val="00492D19"/>
    <w:rsid w:val="00493B5B"/>
    <w:rsid w:val="00496E1F"/>
    <w:rsid w:val="00497B9F"/>
    <w:rsid w:val="004A06D5"/>
    <w:rsid w:val="004A330E"/>
    <w:rsid w:val="004A3C94"/>
    <w:rsid w:val="004A7782"/>
    <w:rsid w:val="004A7AF2"/>
    <w:rsid w:val="004B7158"/>
    <w:rsid w:val="004C5420"/>
    <w:rsid w:val="004C5A66"/>
    <w:rsid w:val="004D14D4"/>
    <w:rsid w:val="004D2087"/>
    <w:rsid w:val="004E40A2"/>
    <w:rsid w:val="004E78F9"/>
    <w:rsid w:val="004F20DA"/>
    <w:rsid w:val="004F2E70"/>
    <w:rsid w:val="00502946"/>
    <w:rsid w:val="00502B03"/>
    <w:rsid w:val="00504C2E"/>
    <w:rsid w:val="005075C1"/>
    <w:rsid w:val="005165FC"/>
    <w:rsid w:val="00522944"/>
    <w:rsid w:val="005234CD"/>
    <w:rsid w:val="005257E7"/>
    <w:rsid w:val="00526491"/>
    <w:rsid w:val="00526A48"/>
    <w:rsid w:val="00527999"/>
    <w:rsid w:val="00534756"/>
    <w:rsid w:val="00546956"/>
    <w:rsid w:val="0055143F"/>
    <w:rsid w:val="005532D3"/>
    <w:rsid w:val="00555315"/>
    <w:rsid w:val="00556156"/>
    <w:rsid w:val="00557F89"/>
    <w:rsid w:val="00560952"/>
    <w:rsid w:val="00561894"/>
    <w:rsid w:val="00576439"/>
    <w:rsid w:val="00580E1B"/>
    <w:rsid w:val="0059543B"/>
    <w:rsid w:val="005959CA"/>
    <w:rsid w:val="005A6D15"/>
    <w:rsid w:val="005B209C"/>
    <w:rsid w:val="005B4B0A"/>
    <w:rsid w:val="005C33FF"/>
    <w:rsid w:val="005F09EA"/>
    <w:rsid w:val="005F1D3B"/>
    <w:rsid w:val="005F7781"/>
    <w:rsid w:val="00600468"/>
    <w:rsid w:val="00601A67"/>
    <w:rsid w:val="00604F8E"/>
    <w:rsid w:val="0061481E"/>
    <w:rsid w:val="00624184"/>
    <w:rsid w:val="0062492A"/>
    <w:rsid w:val="0063027F"/>
    <w:rsid w:val="00631CC7"/>
    <w:rsid w:val="00633A6B"/>
    <w:rsid w:val="00637ED7"/>
    <w:rsid w:val="00641BAF"/>
    <w:rsid w:val="0064211D"/>
    <w:rsid w:val="00644835"/>
    <w:rsid w:val="00647A2A"/>
    <w:rsid w:val="00650CFA"/>
    <w:rsid w:val="0065217E"/>
    <w:rsid w:val="00662C09"/>
    <w:rsid w:val="0066433D"/>
    <w:rsid w:val="00665EE2"/>
    <w:rsid w:val="00674698"/>
    <w:rsid w:val="006755BB"/>
    <w:rsid w:val="0069009A"/>
    <w:rsid w:val="00692036"/>
    <w:rsid w:val="0069241E"/>
    <w:rsid w:val="00694A66"/>
    <w:rsid w:val="006B2F27"/>
    <w:rsid w:val="006B3D4D"/>
    <w:rsid w:val="006C48CC"/>
    <w:rsid w:val="006C522E"/>
    <w:rsid w:val="006C5A50"/>
    <w:rsid w:val="006D2D67"/>
    <w:rsid w:val="006D2F15"/>
    <w:rsid w:val="006D69E0"/>
    <w:rsid w:val="006E1293"/>
    <w:rsid w:val="006E3A5C"/>
    <w:rsid w:val="006E3B64"/>
    <w:rsid w:val="006E6967"/>
    <w:rsid w:val="006E7561"/>
    <w:rsid w:val="006F6268"/>
    <w:rsid w:val="00705DD2"/>
    <w:rsid w:val="00711444"/>
    <w:rsid w:val="00714F95"/>
    <w:rsid w:val="0072721B"/>
    <w:rsid w:val="00744284"/>
    <w:rsid w:val="00760EC8"/>
    <w:rsid w:val="00762CE4"/>
    <w:rsid w:val="00764DB5"/>
    <w:rsid w:val="0076652C"/>
    <w:rsid w:val="00774336"/>
    <w:rsid w:val="00777A04"/>
    <w:rsid w:val="00783CE2"/>
    <w:rsid w:val="00784859"/>
    <w:rsid w:val="00784D8A"/>
    <w:rsid w:val="0078718F"/>
    <w:rsid w:val="00794CBA"/>
    <w:rsid w:val="007A4886"/>
    <w:rsid w:val="007B6430"/>
    <w:rsid w:val="007C0DE1"/>
    <w:rsid w:val="007C5DF4"/>
    <w:rsid w:val="007D076D"/>
    <w:rsid w:val="007D15A5"/>
    <w:rsid w:val="007D3745"/>
    <w:rsid w:val="007E000E"/>
    <w:rsid w:val="007E0B3F"/>
    <w:rsid w:val="007F18AC"/>
    <w:rsid w:val="007F4FFC"/>
    <w:rsid w:val="00806351"/>
    <w:rsid w:val="00806B12"/>
    <w:rsid w:val="00820042"/>
    <w:rsid w:val="00827211"/>
    <w:rsid w:val="00830862"/>
    <w:rsid w:val="008318BD"/>
    <w:rsid w:val="0083578A"/>
    <w:rsid w:val="00837736"/>
    <w:rsid w:val="00837FCB"/>
    <w:rsid w:val="0084217B"/>
    <w:rsid w:val="00843D9A"/>
    <w:rsid w:val="00845A5D"/>
    <w:rsid w:val="008471F8"/>
    <w:rsid w:val="00852654"/>
    <w:rsid w:val="00857EE9"/>
    <w:rsid w:val="0086115F"/>
    <w:rsid w:val="00865E16"/>
    <w:rsid w:val="008663A9"/>
    <w:rsid w:val="00882FA6"/>
    <w:rsid w:val="00883415"/>
    <w:rsid w:val="00891076"/>
    <w:rsid w:val="00891DF4"/>
    <w:rsid w:val="008936C2"/>
    <w:rsid w:val="008A1894"/>
    <w:rsid w:val="008A7BF2"/>
    <w:rsid w:val="008B0351"/>
    <w:rsid w:val="008B0AFF"/>
    <w:rsid w:val="008B1879"/>
    <w:rsid w:val="008B1FAA"/>
    <w:rsid w:val="008B571A"/>
    <w:rsid w:val="008B5EEF"/>
    <w:rsid w:val="008C3DAE"/>
    <w:rsid w:val="008D33C8"/>
    <w:rsid w:val="008E5CF6"/>
    <w:rsid w:val="008F2320"/>
    <w:rsid w:val="008F2C24"/>
    <w:rsid w:val="009119FC"/>
    <w:rsid w:val="009162E1"/>
    <w:rsid w:val="00922007"/>
    <w:rsid w:val="00925488"/>
    <w:rsid w:val="00931325"/>
    <w:rsid w:val="00931F88"/>
    <w:rsid w:val="00933D87"/>
    <w:rsid w:val="00934A3F"/>
    <w:rsid w:val="00936A26"/>
    <w:rsid w:val="00943AF2"/>
    <w:rsid w:val="009456F5"/>
    <w:rsid w:val="00945F70"/>
    <w:rsid w:val="00956600"/>
    <w:rsid w:val="00961D96"/>
    <w:rsid w:val="00962E3C"/>
    <w:rsid w:val="00971D8D"/>
    <w:rsid w:val="00982990"/>
    <w:rsid w:val="00983F12"/>
    <w:rsid w:val="0099127C"/>
    <w:rsid w:val="00992355"/>
    <w:rsid w:val="009A26DC"/>
    <w:rsid w:val="009A775D"/>
    <w:rsid w:val="009B0893"/>
    <w:rsid w:val="009B246C"/>
    <w:rsid w:val="009B7381"/>
    <w:rsid w:val="009C02AB"/>
    <w:rsid w:val="009C3DA4"/>
    <w:rsid w:val="009C40B1"/>
    <w:rsid w:val="009D31FF"/>
    <w:rsid w:val="009D468C"/>
    <w:rsid w:val="009E706C"/>
    <w:rsid w:val="009F144B"/>
    <w:rsid w:val="009F481A"/>
    <w:rsid w:val="009F553E"/>
    <w:rsid w:val="009F7A3F"/>
    <w:rsid w:val="00A0729B"/>
    <w:rsid w:val="00A12ADC"/>
    <w:rsid w:val="00A13D5B"/>
    <w:rsid w:val="00A14281"/>
    <w:rsid w:val="00A20E9A"/>
    <w:rsid w:val="00A314F8"/>
    <w:rsid w:val="00A367E7"/>
    <w:rsid w:val="00A410DE"/>
    <w:rsid w:val="00A42BB9"/>
    <w:rsid w:val="00A440FD"/>
    <w:rsid w:val="00A46DBC"/>
    <w:rsid w:val="00A501F7"/>
    <w:rsid w:val="00A51347"/>
    <w:rsid w:val="00A5231A"/>
    <w:rsid w:val="00A555B5"/>
    <w:rsid w:val="00A5637F"/>
    <w:rsid w:val="00A62965"/>
    <w:rsid w:val="00A72885"/>
    <w:rsid w:val="00A735A7"/>
    <w:rsid w:val="00A858A6"/>
    <w:rsid w:val="00A92D24"/>
    <w:rsid w:val="00A955DC"/>
    <w:rsid w:val="00AA7682"/>
    <w:rsid w:val="00AB5851"/>
    <w:rsid w:val="00AB76EC"/>
    <w:rsid w:val="00AC05F4"/>
    <w:rsid w:val="00AC29E2"/>
    <w:rsid w:val="00AE0747"/>
    <w:rsid w:val="00AE2BF5"/>
    <w:rsid w:val="00AF34CF"/>
    <w:rsid w:val="00B00F18"/>
    <w:rsid w:val="00B02598"/>
    <w:rsid w:val="00B04489"/>
    <w:rsid w:val="00B108AE"/>
    <w:rsid w:val="00B1108C"/>
    <w:rsid w:val="00B128E0"/>
    <w:rsid w:val="00B178E3"/>
    <w:rsid w:val="00B2034E"/>
    <w:rsid w:val="00B336DC"/>
    <w:rsid w:val="00B3685E"/>
    <w:rsid w:val="00B41BAE"/>
    <w:rsid w:val="00B446B3"/>
    <w:rsid w:val="00B5044A"/>
    <w:rsid w:val="00B55397"/>
    <w:rsid w:val="00B560F2"/>
    <w:rsid w:val="00B56EF6"/>
    <w:rsid w:val="00B64BA9"/>
    <w:rsid w:val="00B659D4"/>
    <w:rsid w:val="00B7380A"/>
    <w:rsid w:val="00B742C1"/>
    <w:rsid w:val="00B75995"/>
    <w:rsid w:val="00B75F55"/>
    <w:rsid w:val="00B773D6"/>
    <w:rsid w:val="00B77B93"/>
    <w:rsid w:val="00B9127F"/>
    <w:rsid w:val="00B95C59"/>
    <w:rsid w:val="00B95F2D"/>
    <w:rsid w:val="00B96A88"/>
    <w:rsid w:val="00B97BED"/>
    <w:rsid w:val="00BA1D5A"/>
    <w:rsid w:val="00BA5213"/>
    <w:rsid w:val="00BB05E4"/>
    <w:rsid w:val="00BB208D"/>
    <w:rsid w:val="00BB4C86"/>
    <w:rsid w:val="00BB77DD"/>
    <w:rsid w:val="00BC07E9"/>
    <w:rsid w:val="00BC08B2"/>
    <w:rsid w:val="00BC0B1E"/>
    <w:rsid w:val="00BC7A39"/>
    <w:rsid w:val="00BD41FA"/>
    <w:rsid w:val="00BD6C32"/>
    <w:rsid w:val="00BE12FC"/>
    <w:rsid w:val="00BE209C"/>
    <w:rsid w:val="00BF0449"/>
    <w:rsid w:val="00BF3EF8"/>
    <w:rsid w:val="00C14D59"/>
    <w:rsid w:val="00C167C7"/>
    <w:rsid w:val="00C17B13"/>
    <w:rsid w:val="00C233E1"/>
    <w:rsid w:val="00C254B9"/>
    <w:rsid w:val="00C3282B"/>
    <w:rsid w:val="00C371CD"/>
    <w:rsid w:val="00C377D2"/>
    <w:rsid w:val="00C37973"/>
    <w:rsid w:val="00C4142F"/>
    <w:rsid w:val="00C417A5"/>
    <w:rsid w:val="00C4744B"/>
    <w:rsid w:val="00C52461"/>
    <w:rsid w:val="00C55795"/>
    <w:rsid w:val="00C575A9"/>
    <w:rsid w:val="00C7183B"/>
    <w:rsid w:val="00C80F09"/>
    <w:rsid w:val="00C85D4D"/>
    <w:rsid w:val="00C864EE"/>
    <w:rsid w:val="00C90305"/>
    <w:rsid w:val="00CA16E1"/>
    <w:rsid w:val="00CA6D14"/>
    <w:rsid w:val="00CB2960"/>
    <w:rsid w:val="00CB48FC"/>
    <w:rsid w:val="00CB5C31"/>
    <w:rsid w:val="00CB7047"/>
    <w:rsid w:val="00CD40A1"/>
    <w:rsid w:val="00CE04EA"/>
    <w:rsid w:val="00CE0EBD"/>
    <w:rsid w:val="00CE2C72"/>
    <w:rsid w:val="00CE3699"/>
    <w:rsid w:val="00CE38C7"/>
    <w:rsid w:val="00CE61A0"/>
    <w:rsid w:val="00CF2632"/>
    <w:rsid w:val="00CF2964"/>
    <w:rsid w:val="00CF4480"/>
    <w:rsid w:val="00CF7673"/>
    <w:rsid w:val="00D0222B"/>
    <w:rsid w:val="00D037AC"/>
    <w:rsid w:val="00D04F2C"/>
    <w:rsid w:val="00D1405D"/>
    <w:rsid w:val="00D14189"/>
    <w:rsid w:val="00D14B97"/>
    <w:rsid w:val="00D23A6B"/>
    <w:rsid w:val="00D264A9"/>
    <w:rsid w:val="00D407F7"/>
    <w:rsid w:val="00D412F3"/>
    <w:rsid w:val="00D417AA"/>
    <w:rsid w:val="00D42952"/>
    <w:rsid w:val="00D46618"/>
    <w:rsid w:val="00D558FD"/>
    <w:rsid w:val="00D6498F"/>
    <w:rsid w:val="00D65145"/>
    <w:rsid w:val="00D71790"/>
    <w:rsid w:val="00D71D52"/>
    <w:rsid w:val="00D73160"/>
    <w:rsid w:val="00D74838"/>
    <w:rsid w:val="00D761A4"/>
    <w:rsid w:val="00D8273B"/>
    <w:rsid w:val="00D867B4"/>
    <w:rsid w:val="00D92841"/>
    <w:rsid w:val="00D93D5B"/>
    <w:rsid w:val="00DA489A"/>
    <w:rsid w:val="00DA6684"/>
    <w:rsid w:val="00DA6AE4"/>
    <w:rsid w:val="00DB212E"/>
    <w:rsid w:val="00DC517F"/>
    <w:rsid w:val="00DD72A3"/>
    <w:rsid w:val="00DE2B27"/>
    <w:rsid w:val="00DF0F8F"/>
    <w:rsid w:val="00DF2D72"/>
    <w:rsid w:val="00E03228"/>
    <w:rsid w:val="00E149D7"/>
    <w:rsid w:val="00E2102F"/>
    <w:rsid w:val="00E236BD"/>
    <w:rsid w:val="00E2762F"/>
    <w:rsid w:val="00E33698"/>
    <w:rsid w:val="00E336D8"/>
    <w:rsid w:val="00E372F2"/>
    <w:rsid w:val="00E44463"/>
    <w:rsid w:val="00E4538D"/>
    <w:rsid w:val="00E45B8D"/>
    <w:rsid w:val="00E47615"/>
    <w:rsid w:val="00E50AD8"/>
    <w:rsid w:val="00E511B4"/>
    <w:rsid w:val="00E537BD"/>
    <w:rsid w:val="00E54E1D"/>
    <w:rsid w:val="00E5684F"/>
    <w:rsid w:val="00E571C5"/>
    <w:rsid w:val="00E668F3"/>
    <w:rsid w:val="00E71EB8"/>
    <w:rsid w:val="00E80601"/>
    <w:rsid w:val="00E87119"/>
    <w:rsid w:val="00E91E1E"/>
    <w:rsid w:val="00E92753"/>
    <w:rsid w:val="00E93A2E"/>
    <w:rsid w:val="00E94038"/>
    <w:rsid w:val="00EA7F2D"/>
    <w:rsid w:val="00EB5699"/>
    <w:rsid w:val="00EC368A"/>
    <w:rsid w:val="00EC4963"/>
    <w:rsid w:val="00ED32B1"/>
    <w:rsid w:val="00ED4464"/>
    <w:rsid w:val="00ED4A50"/>
    <w:rsid w:val="00ED5113"/>
    <w:rsid w:val="00ED606A"/>
    <w:rsid w:val="00EE0768"/>
    <w:rsid w:val="00EE4EA9"/>
    <w:rsid w:val="00EF0215"/>
    <w:rsid w:val="00EF53C1"/>
    <w:rsid w:val="00F02C6C"/>
    <w:rsid w:val="00F036E7"/>
    <w:rsid w:val="00F0404C"/>
    <w:rsid w:val="00F0417E"/>
    <w:rsid w:val="00F04FC3"/>
    <w:rsid w:val="00F06932"/>
    <w:rsid w:val="00F1450F"/>
    <w:rsid w:val="00F16812"/>
    <w:rsid w:val="00F21D4C"/>
    <w:rsid w:val="00F243FC"/>
    <w:rsid w:val="00F24D02"/>
    <w:rsid w:val="00F25AC5"/>
    <w:rsid w:val="00F26D9D"/>
    <w:rsid w:val="00F26FBB"/>
    <w:rsid w:val="00F330BC"/>
    <w:rsid w:val="00F348AA"/>
    <w:rsid w:val="00F357F0"/>
    <w:rsid w:val="00F421EB"/>
    <w:rsid w:val="00F46148"/>
    <w:rsid w:val="00F46D77"/>
    <w:rsid w:val="00F50627"/>
    <w:rsid w:val="00F523BB"/>
    <w:rsid w:val="00F56D26"/>
    <w:rsid w:val="00F620D7"/>
    <w:rsid w:val="00F83F48"/>
    <w:rsid w:val="00F8420C"/>
    <w:rsid w:val="00F92877"/>
    <w:rsid w:val="00F95917"/>
    <w:rsid w:val="00FA0B06"/>
    <w:rsid w:val="00FA4E28"/>
    <w:rsid w:val="00FA5B9C"/>
    <w:rsid w:val="00FB5C69"/>
    <w:rsid w:val="00FC00C7"/>
    <w:rsid w:val="00FC1A7D"/>
    <w:rsid w:val="00FF0C2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doNotAutoCompressPictures/>
  <w14:docId w14:val="08A84B82"/>
  <w15:chartTrackingRefBased/>
  <w15:docId w15:val="{BCE6CACF-2944-49AE-B66E-6F98B0EE5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113"/>
    <w:rPr>
      <w:sz w:val="24"/>
      <w:szCs w:val="24"/>
    </w:rPr>
  </w:style>
  <w:style w:type="paragraph" w:styleId="Heading1">
    <w:name w:val="heading 1"/>
    <w:basedOn w:val="Normal"/>
    <w:next w:val="Normal"/>
    <w:qFormat/>
    <w:rsid w:val="00830862"/>
    <w:pPr>
      <w:keepNext/>
      <w:spacing w:after="240"/>
      <w:outlineLvl w:val="0"/>
    </w:pPr>
    <w:rPr>
      <w:b/>
      <w:bCs/>
    </w:rPr>
  </w:style>
  <w:style w:type="paragraph" w:styleId="Heading2">
    <w:name w:val="heading 2"/>
    <w:basedOn w:val="Normal"/>
    <w:next w:val="Normal"/>
    <w:qFormat/>
    <w:rsid w:val="0024284C"/>
    <w:pPr>
      <w:keepNext/>
      <w:tabs>
        <w:tab w:val="left" w:pos="0"/>
        <w:tab w:val="left" w:pos="720"/>
      </w:tabs>
      <w:spacing w:after="240"/>
      <w:ind w:left="1440" w:hanging="720"/>
      <w:outlineLvl w:val="1"/>
    </w:pPr>
    <w:rPr>
      <w:b/>
      <w:bCs/>
    </w:rPr>
  </w:style>
  <w:style w:type="paragraph" w:styleId="Heading3">
    <w:name w:val="heading 3"/>
    <w:basedOn w:val="Normal"/>
    <w:next w:val="Normal"/>
    <w:qFormat/>
    <w:pPr>
      <w:keepNext/>
      <w:tabs>
        <w:tab w:val="left" w:pos="0"/>
        <w:tab w:val="left" w:pos="720"/>
      </w:tabs>
      <w:spacing w:line="480" w:lineRule="auto"/>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1"/>
    <w:basedOn w:val="Normal"/>
    <w:link w:val="FooterChar"/>
    <w:uiPriority w:val="99"/>
    <w:pPr>
      <w:tabs>
        <w:tab w:val="left" w:pos="0"/>
        <w:tab w:val="left" w:pos="720"/>
        <w:tab w:val="center" w:pos="4320"/>
        <w:tab w:val="right" w:pos="8640"/>
      </w:tabs>
      <w:spacing w:line="480" w:lineRule="auto"/>
    </w:pPr>
  </w:style>
  <w:style w:type="paragraph" w:styleId="BodyText">
    <w:name w:val="Body Text"/>
    <w:basedOn w:val="Normal"/>
    <w:pPr>
      <w:tabs>
        <w:tab w:val="left" w:pos="0"/>
        <w:tab w:val="left" w:pos="720"/>
      </w:tabs>
      <w:spacing w:line="480" w:lineRule="auto"/>
      <w:ind w:firstLine="720"/>
    </w:pPr>
    <w:rPr>
      <w:szCs w:val="20"/>
    </w:rPr>
  </w:style>
  <w:style w:type="paragraph" w:styleId="FootnoteText">
    <w:name w:val="footnote text"/>
    <w:basedOn w:val="Normal"/>
    <w:link w:val="FootnoteTextChar"/>
    <w:semiHidden/>
    <w:pPr>
      <w:spacing w:before="120"/>
    </w:pPr>
    <w:rPr>
      <w:sz w:val="20"/>
      <w:szCs w:val="20"/>
    </w:rPr>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line="480" w:lineRule="auto"/>
      <w:ind w:firstLine="720"/>
    </w:pPr>
    <w:rPr>
      <w:szCs w:val="20"/>
    </w:rPr>
  </w:style>
  <w:style w:type="paragraph" w:styleId="BodyTextIndent3">
    <w:name w:val="Body Text Indent 3"/>
    <w:basedOn w:val="Normal"/>
    <w:link w:val="BodyTextIndent3Char"/>
    <w:pPr>
      <w:spacing w:line="480" w:lineRule="atLeast"/>
      <w:ind w:firstLine="720"/>
    </w:pPr>
    <w:rPr>
      <w:szCs w:val="20"/>
    </w:rPr>
  </w:style>
  <w:style w:type="paragraph" w:customStyle="1" w:styleId="Quote1">
    <w:name w:val="Quote1"/>
    <w:basedOn w:val="Normal"/>
    <w:autoRedefine/>
    <w:pPr>
      <w:spacing w:after="240"/>
      <w:ind w:left="720" w:right="720"/>
    </w:pPr>
    <w:rPr>
      <w:bCs/>
    </w:r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style>
  <w:style w:type="paragraph" w:styleId="CommentSubject">
    <w:name w:val="annotation subject"/>
    <w:basedOn w:val="CommentText"/>
    <w:next w:val="CommentText"/>
    <w:semiHidden/>
  </w:style>
  <w:style w:type="paragraph" w:styleId="BodyTextIndent2">
    <w:name w:val="Body Text Indent 2"/>
    <w:basedOn w:val="Normal"/>
    <w:pPr>
      <w:spacing w:after="240"/>
      <w:ind w:left="2160" w:hanging="720"/>
    </w:pPr>
    <w:rPr>
      <w:b/>
      <w:bCs/>
    </w:rPr>
  </w:style>
  <w:style w:type="character" w:styleId="Hyperlink">
    <w:name w:val="Hyperlink"/>
    <w:uiPriority w:val="99"/>
    <w:rPr>
      <w:color w:val="0000FF"/>
      <w:u w:val="single"/>
    </w:rPr>
  </w:style>
  <w:style w:type="paragraph" w:styleId="PlainText">
    <w:name w:val="Plain Text"/>
    <w:basedOn w:val="Normal"/>
    <w:rPr>
      <w:rFonts w:ascii="Courier New" w:hAnsi="Courier New"/>
      <w:sz w:val="20"/>
      <w:szCs w:val="20"/>
    </w:rPr>
  </w:style>
  <w:style w:type="paragraph" w:styleId="Title">
    <w:name w:val="Title"/>
    <w:basedOn w:val="Normal"/>
    <w:qFormat/>
    <w:pPr>
      <w:jc w:val="center"/>
    </w:pPr>
    <w:rPr>
      <w:b/>
      <w:szCs w:val="20"/>
    </w:rPr>
  </w:style>
  <w:style w:type="paragraph" w:styleId="EndnoteText">
    <w:name w:val="endnote text"/>
    <w:basedOn w:val="Normal"/>
    <w:semiHidden/>
    <w:pPr>
      <w:widowControl w:val="0"/>
    </w:pPr>
    <w:rPr>
      <w:rFonts w:ascii="Courier New" w:hAnsi="Courier New"/>
      <w:snapToGrid w:val="0"/>
      <w:szCs w:val="20"/>
    </w:rPr>
  </w:style>
  <w:style w:type="paragraph" w:styleId="HTMLPreformatted">
    <w:name w:val="HTML Preformatted"/>
    <w:aliases w:val=" Char"/>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 Char1 Char"/>
    <w:link w:val="Footer"/>
    <w:uiPriority w:val="99"/>
    <w:locked/>
    <w:rPr>
      <w:sz w:val="24"/>
      <w:szCs w:val="24"/>
      <w:lang w:val="en-US" w:eastAsia="en-US" w:bidi="ar-SA"/>
    </w:rPr>
  </w:style>
  <w:style w:type="paragraph" w:customStyle="1" w:styleId="ANSWER">
    <w:name w:val="ANSWER"/>
    <w:basedOn w:val="Normal"/>
    <w:pPr>
      <w:spacing w:line="480" w:lineRule="auto"/>
      <w:ind w:left="1008" w:hanging="720"/>
    </w:pPr>
    <w:rPr>
      <w:szCs w:val="20"/>
    </w:rPr>
  </w:style>
  <w:style w:type="paragraph" w:customStyle="1" w:styleId="InsideAddress">
    <w:name w:val="Inside Address"/>
    <w:basedOn w:val="Normal"/>
    <w:rPr>
      <w:rFonts w:ascii="Times" w:eastAsia="Times" w:hAnsi="Times"/>
      <w:szCs w:val="20"/>
    </w:rPr>
  </w:style>
  <w:style w:type="character" w:customStyle="1" w:styleId="HTMLPreformattedChar">
    <w:name w:val="HTML Preformatted Char"/>
    <w:aliases w:val=" Char Char"/>
    <w:link w:val="HTMLPreformatted"/>
    <w:locked/>
    <w:rPr>
      <w:rFonts w:ascii="Courier New" w:eastAsia="Courier New" w:hAnsi="Courier New" w:cs="Courier New"/>
      <w:lang w:val="en-US" w:eastAsia="en-US" w:bidi="ar-SA"/>
    </w:rPr>
  </w:style>
  <w:style w:type="character" w:customStyle="1" w:styleId="CharChar0">
    <w:name w:val="Char Char"/>
    <w:semiHidden/>
    <w:locked/>
    <w:rPr>
      <w:rFonts w:ascii="Courier New" w:eastAsia="Courier New" w:hAnsi="Courier New" w:cs="Courier New"/>
      <w:lang w:val="en-US" w:eastAsia="en-US" w:bidi="ar-SA"/>
    </w:rPr>
  </w:style>
  <w:style w:type="character" w:customStyle="1" w:styleId="ssleftalign">
    <w:name w:val="ss_leftalign"/>
    <w:rsid w:val="00424902"/>
  </w:style>
  <w:style w:type="character" w:customStyle="1" w:styleId="sssh">
    <w:name w:val="ss_sh"/>
    <w:rsid w:val="00424902"/>
  </w:style>
  <w:style w:type="character" w:customStyle="1" w:styleId="ssit">
    <w:name w:val="ss_it"/>
    <w:rsid w:val="00424902"/>
  </w:style>
  <w:style w:type="character" w:customStyle="1" w:styleId="CommentTextChar">
    <w:name w:val="Comment Text Char"/>
    <w:link w:val="CommentText"/>
    <w:rsid w:val="002C7D60"/>
    <w:rPr>
      <w:sz w:val="24"/>
      <w:szCs w:val="24"/>
    </w:rPr>
  </w:style>
  <w:style w:type="character" w:customStyle="1" w:styleId="UnresolvedMention1">
    <w:name w:val="Unresolved Mention1"/>
    <w:uiPriority w:val="99"/>
    <w:semiHidden/>
    <w:unhideWhenUsed/>
    <w:rsid w:val="003026A8"/>
    <w:rPr>
      <w:color w:val="605E5C"/>
      <w:shd w:val="clear" w:color="auto" w:fill="E1DFDD"/>
    </w:rPr>
  </w:style>
  <w:style w:type="character" w:customStyle="1" w:styleId="BodyTextIndent3Char">
    <w:name w:val="Body Text Indent 3 Char"/>
    <w:basedOn w:val="DefaultParagraphFont"/>
    <w:link w:val="BodyTextIndent3"/>
    <w:rsid w:val="00600468"/>
    <w:rPr>
      <w:sz w:val="24"/>
    </w:rPr>
  </w:style>
  <w:style w:type="paragraph" w:styleId="ListParagraph">
    <w:name w:val="List Paragraph"/>
    <w:basedOn w:val="Normal"/>
    <w:uiPriority w:val="34"/>
    <w:qFormat/>
    <w:rsid w:val="00600468"/>
    <w:pPr>
      <w:ind w:left="720"/>
      <w:contextualSpacing/>
    </w:pPr>
    <w:rPr>
      <w:rFonts w:eastAsiaTheme="minorHAnsi"/>
      <w:bCs/>
      <w:color w:val="000000"/>
      <w:szCs w:val="19"/>
    </w:rPr>
  </w:style>
  <w:style w:type="character" w:customStyle="1" w:styleId="FootnoteTextChar">
    <w:name w:val="Footnote Text Char"/>
    <w:basedOn w:val="DefaultParagraphFont"/>
    <w:link w:val="FootnoteText"/>
    <w:semiHidden/>
    <w:rsid w:val="00BC7A39"/>
  </w:style>
  <w:style w:type="paragraph" w:customStyle="1" w:styleId="WW-BodyTextIndent3">
    <w:name w:val="WW-Body Text Indent 3"/>
    <w:basedOn w:val="Normal"/>
    <w:rsid w:val="004D14D4"/>
    <w:pPr>
      <w:suppressAutoHyphens/>
      <w:spacing w:line="480" w:lineRule="atLeast"/>
      <w:ind w:firstLine="720"/>
    </w:pPr>
    <w:rPr>
      <w:szCs w:val="20"/>
      <w:lang w:eastAsia="ar-SA"/>
    </w:rPr>
  </w:style>
  <w:style w:type="character" w:customStyle="1" w:styleId="UnresolvedMention2">
    <w:name w:val="Unresolved Mention2"/>
    <w:basedOn w:val="DefaultParagraphFont"/>
    <w:rsid w:val="002E21B0"/>
    <w:rPr>
      <w:color w:val="605E5C"/>
      <w:shd w:val="clear" w:color="auto" w:fill="E1DFDD"/>
    </w:rPr>
  </w:style>
  <w:style w:type="paragraph" w:styleId="Revision">
    <w:name w:val="Revision"/>
    <w:hidden/>
    <w:uiPriority w:val="71"/>
    <w:rsid w:val="006755BB"/>
    <w:rPr>
      <w:sz w:val="24"/>
      <w:szCs w:val="24"/>
    </w:rPr>
  </w:style>
  <w:style w:type="character" w:customStyle="1" w:styleId="UnresolvedMention3">
    <w:name w:val="Unresolved Mention3"/>
    <w:basedOn w:val="DefaultParagraphFont"/>
    <w:rsid w:val="009119FC"/>
    <w:rPr>
      <w:color w:val="605E5C"/>
      <w:shd w:val="clear" w:color="auto" w:fill="E1DFDD"/>
    </w:rPr>
  </w:style>
  <w:style w:type="character" w:customStyle="1" w:styleId="UnresolvedMention4">
    <w:name w:val="Unresolved Mention4"/>
    <w:basedOn w:val="DefaultParagraphFont"/>
    <w:rsid w:val="00B41BAE"/>
    <w:rPr>
      <w:color w:val="605E5C"/>
      <w:shd w:val="clear" w:color="auto" w:fill="E1DFDD"/>
    </w:rPr>
  </w:style>
  <w:style w:type="character" w:customStyle="1" w:styleId="UnresolvedMention">
    <w:name w:val="Unresolved Mention"/>
    <w:basedOn w:val="DefaultParagraphFont"/>
    <w:rsid w:val="004A0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yperlink" Target="mailto:john.jones@ohioago.gov" TargetMode="External" /><Relationship Id="rId15" Type="http://schemas.openxmlformats.org/officeDocument/2006/relationships/hyperlink" Target="mailto:rocco.dascenzo@duke-energy.com" TargetMode="External" /><Relationship Id="rId16" Type="http://schemas.openxmlformats.org/officeDocument/2006/relationships/hyperlink" Target="mailto:jeanne.kingery@duke-energy.com" TargetMode="External" /><Relationship Id="rId17" Type="http://schemas.openxmlformats.org/officeDocument/2006/relationships/hyperlink" Target="mailto:larisa.vaysman@duke-energy.com" TargetMode="External" /><Relationship Id="rId18" Type="http://schemas.openxmlformats.org/officeDocument/2006/relationships/hyperlink" Target="mailto:elyse.akhbari@duke-energy.com" TargetMode="External" /><Relationship Id="rId19" Type="http://schemas.openxmlformats.org/officeDocument/2006/relationships/header" Target="header4.xml" /><Relationship Id="rId2" Type="http://schemas.openxmlformats.org/officeDocument/2006/relationships/settings" Target="settings.xml" /><Relationship Id="rId20" Type="http://schemas.openxmlformats.org/officeDocument/2006/relationships/header" Target="header5.xml" /><Relationship Id="rId21" Type="http://schemas.openxmlformats.org/officeDocument/2006/relationships/footer" Target="footer4.xml" /><Relationship Id="rId22" Type="http://schemas.openxmlformats.org/officeDocument/2006/relationships/footer" Target="footer5.xml" /><Relationship Id="rId23" Type="http://schemas.openxmlformats.org/officeDocument/2006/relationships/header" Target="header6.xml" /><Relationship Id="rId24" Type="http://schemas.openxmlformats.org/officeDocument/2006/relationships/footer" Target="footer6.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donald.kral@occ.ohio.gov" TargetMode="External" /><Relationship Id="rId7" Type="http://schemas.openxmlformats.org/officeDocument/2006/relationships/hyperlink" Target="mailto:john.varanese@occ.ohio.gov"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75C40-AFBA-4F2A-A6DB-C8C7C71B9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1965</Words>
  <Characters>11202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2024-07-24T17:10:44Z</dcterms:created>
  <dcterms:modified xsi:type="dcterms:W3CDTF">2024-07-24T17:10:44Z</dcterms:modified>
</cp:coreProperties>
</file>