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769C4" w:rsidRPr="008B0382" w:rsidP="008D366F" w14:paraId="74FA2FD0" w14:textId="6F64B717">
      <w:pPr>
        <w:pStyle w:val="BodyA"/>
        <w:ind w:left="4320" w:firstLine="720"/>
        <w:jc w:val="right"/>
        <w:rPr>
          <w:rFonts w:hAnsi="Times New Roman" w:cs="Times New Roman"/>
          <w:b/>
          <w:bCs/>
          <w:i/>
          <w:iCs/>
        </w:rPr>
      </w:pPr>
      <w:r w:rsidRPr="008B0382">
        <w:rPr>
          <w:rFonts w:hAnsi="Times New Roman" w:cs="Times New Roman"/>
          <w:b/>
          <w:bCs/>
          <w:i/>
          <w:iCs/>
        </w:rPr>
        <w:t>OCC EXHIBIT NO. ______</w:t>
      </w:r>
    </w:p>
    <w:p w:rsidR="009769C4" w:rsidRPr="008B0382" w:rsidP="002E3D49" w14:paraId="2E534B26" w14:textId="77777777">
      <w:pPr>
        <w:pStyle w:val="BodyA"/>
        <w:spacing w:line="240" w:lineRule="auto"/>
        <w:jc w:val="center"/>
        <w:rPr>
          <w:rFonts w:hAnsi="Times New Roman" w:cs="Times New Roman"/>
          <w:b/>
          <w:bCs/>
        </w:rPr>
      </w:pPr>
      <w:r w:rsidRPr="008B0382">
        <w:rPr>
          <w:rFonts w:hAnsi="Times New Roman" w:cs="Times New Roman"/>
          <w:b/>
          <w:bCs/>
        </w:rPr>
        <w:t>BEFORE</w:t>
      </w:r>
    </w:p>
    <w:p w:rsidR="009769C4" w:rsidRPr="008B0382" w:rsidP="002E3D49" w14:paraId="4C76B836" w14:textId="07B0362C">
      <w:pPr>
        <w:pStyle w:val="BodyA"/>
        <w:spacing w:line="240" w:lineRule="auto"/>
        <w:jc w:val="center"/>
        <w:rPr>
          <w:rFonts w:hAnsi="Times New Roman" w:cs="Times New Roman"/>
          <w:b/>
          <w:bCs/>
        </w:rPr>
      </w:pPr>
      <w:r w:rsidRPr="008B0382">
        <w:rPr>
          <w:rFonts w:hAnsi="Times New Roman" w:cs="Times New Roman"/>
          <w:b/>
          <w:bCs/>
        </w:rPr>
        <w:t>THE PUBLIC UTILITIES COMMISSION OF OHIO</w:t>
      </w:r>
    </w:p>
    <w:p w:rsidR="00C74D94" w:rsidRPr="008B0382" w:rsidP="002E3D49" w14:paraId="0E1ADBAD" w14:textId="376A3D56">
      <w:pPr>
        <w:pStyle w:val="BodyA"/>
        <w:spacing w:line="240" w:lineRule="auto"/>
        <w:jc w:val="center"/>
        <w:rPr>
          <w:rFonts w:hAnsi="Times New Roman" w:cs="Times New Roman"/>
          <w:b/>
          <w:bCs/>
        </w:rPr>
      </w:pPr>
    </w:p>
    <w:p w:rsidR="00C74D94" w:rsidRPr="008B0382" w:rsidP="002E3D49" w14:paraId="01BFDCA5" w14:textId="77777777">
      <w:pPr>
        <w:pStyle w:val="BodyA"/>
        <w:spacing w:line="240" w:lineRule="auto"/>
        <w:jc w:val="center"/>
        <w:rPr>
          <w:rFonts w:hAnsi="Times New Roman" w:cs="Times New Roman"/>
          <w:b/>
          <w:bCs/>
        </w:rPr>
      </w:pPr>
    </w:p>
    <w:tbl>
      <w:tblPr>
        <w:tblW w:w="94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659"/>
        <w:gridCol w:w="369"/>
        <w:gridCol w:w="4470"/>
      </w:tblGrid>
      <w:tr w14:paraId="2B22F09C" w14:textId="77777777" w:rsidTr="009A4CDE">
        <w:tblPrEx>
          <w:tblW w:w="94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Ex>
        <w:trPr>
          <w:trHeight w:val="1234"/>
          <w:jc w:val="center"/>
        </w:trPr>
        <w:tc>
          <w:tcPr>
            <w:tcW w:w="4659" w:type="dxa"/>
            <w:tcBorders>
              <w:top w:val="nil"/>
              <w:left w:val="nil"/>
              <w:bottom w:val="nil"/>
              <w:right w:val="nil"/>
            </w:tcBorders>
            <w:shd w:val="clear" w:color="auto" w:fill="auto"/>
            <w:tcMar>
              <w:top w:w="80" w:type="dxa"/>
              <w:left w:w="80" w:type="dxa"/>
              <w:bottom w:w="80" w:type="dxa"/>
              <w:right w:w="80" w:type="dxa"/>
            </w:tcMar>
          </w:tcPr>
          <w:p w:rsidR="0093353B" w:rsidRPr="008B0382" w:rsidP="002E3D49" w14:paraId="744E2FCE" w14:textId="77777777">
            <w:pPr>
              <w:pStyle w:val="BodyA"/>
              <w:spacing w:line="240" w:lineRule="auto"/>
              <w:ind w:left="0" w:firstLine="0"/>
              <w:contextualSpacing/>
              <w:rPr>
                <w:rFonts w:hAnsi="Times New Roman" w:cs="Times New Roman"/>
              </w:rPr>
            </w:pPr>
            <w:r w:rsidRPr="008B0382">
              <w:rPr>
                <w:rFonts w:hAnsi="Times New Roman" w:cs="Times New Roman"/>
              </w:rPr>
              <w:t xml:space="preserve">In </w:t>
            </w:r>
            <w:r w:rsidRPr="008B0382" w:rsidR="00974199">
              <w:rPr>
                <w:rFonts w:hAnsi="Times New Roman" w:cs="Times New Roman"/>
              </w:rPr>
              <w:t>the</w:t>
            </w:r>
            <w:r w:rsidRPr="008B0382">
              <w:rPr>
                <w:rFonts w:hAnsi="Times New Roman" w:cs="Times New Roman"/>
              </w:rPr>
              <w:t xml:space="preserve"> Matter </w:t>
            </w:r>
            <w:r w:rsidRPr="008B0382" w:rsidR="00B5263F">
              <w:rPr>
                <w:rFonts w:hAnsi="Times New Roman" w:cs="Times New Roman"/>
              </w:rPr>
              <w:t>o</w:t>
            </w:r>
            <w:r w:rsidRPr="008B0382">
              <w:rPr>
                <w:rFonts w:hAnsi="Times New Roman" w:cs="Times New Roman"/>
              </w:rPr>
              <w:t xml:space="preserve">f the Application </w:t>
            </w:r>
            <w:r w:rsidRPr="008B0382" w:rsidR="00704562">
              <w:rPr>
                <w:rFonts w:hAnsi="Times New Roman" w:cs="Times New Roman"/>
              </w:rPr>
              <w:t xml:space="preserve">of </w:t>
            </w:r>
          </w:p>
          <w:p w:rsidR="009769C4" w:rsidRPr="008B0382" w:rsidP="002E3D49" w14:paraId="397A06F2" w14:textId="741C1493">
            <w:pPr>
              <w:pStyle w:val="BodyA"/>
              <w:spacing w:line="240" w:lineRule="auto"/>
              <w:ind w:left="0" w:firstLine="0"/>
              <w:contextualSpacing/>
              <w:rPr>
                <w:rFonts w:hAnsi="Times New Roman" w:cs="Times New Roman"/>
              </w:rPr>
            </w:pPr>
            <w:r w:rsidRPr="008B0382">
              <w:rPr>
                <w:rFonts w:hAnsi="Times New Roman" w:cs="Times New Roman"/>
              </w:rPr>
              <w:t>Campbell Soup Supply Company L.L.C. for the Approval of a Reasonable Arrangement for its Napoleon, Ohio Plant.</w:t>
            </w:r>
          </w:p>
        </w:tc>
        <w:tc>
          <w:tcPr>
            <w:tcW w:w="369" w:type="dxa"/>
            <w:tcBorders>
              <w:top w:val="nil"/>
              <w:left w:val="nil"/>
              <w:bottom w:val="nil"/>
              <w:right w:val="nil"/>
            </w:tcBorders>
            <w:shd w:val="clear" w:color="auto" w:fill="auto"/>
            <w:tcMar>
              <w:top w:w="80" w:type="dxa"/>
              <w:left w:w="80" w:type="dxa"/>
              <w:bottom w:w="80" w:type="dxa"/>
              <w:right w:w="80" w:type="dxa"/>
            </w:tcMar>
          </w:tcPr>
          <w:p w:rsidR="009769C4" w:rsidRPr="008B0382" w:rsidP="002E3D49" w14:paraId="19693922" w14:textId="77777777">
            <w:pPr>
              <w:pStyle w:val="BodyA"/>
              <w:spacing w:line="240" w:lineRule="auto"/>
              <w:jc w:val="center"/>
              <w:rPr>
                <w:rFonts w:hAnsi="Times New Roman" w:cs="Times New Roman"/>
              </w:rPr>
            </w:pPr>
            <w:r w:rsidRPr="008B0382">
              <w:rPr>
                <w:rFonts w:hAnsi="Times New Roman" w:cs="Times New Roman"/>
              </w:rPr>
              <w:t>)</w:t>
            </w:r>
          </w:p>
          <w:p w:rsidR="009769C4" w:rsidRPr="008B0382" w:rsidP="002E3D49" w14:paraId="74C17EF4" w14:textId="77777777">
            <w:pPr>
              <w:pStyle w:val="BodyA"/>
              <w:spacing w:line="240" w:lineRule="auto"/>
              <w:jc w:val="center"/>
              <w:rPr>
                <w:rFonts w:hAnsi="Times New Roman" w:cs="Times New Roman"/>
              </w:rPr>
            </w:pPr>
            <w:r w:rsidRPr="008B0382">
              <w:rPr>
                <w:rFonts w:hAnsi="Times New Roman" w:cs="Times New Roman"/>
              </w:rPr>
              <w:t>)</w:t>
            </w:r>
          </w:p>
          <w:p w:rsidR="009769C4" w:rsidRPr="008B0382" w:rsidP="002E3D49" w14:paraId="3E3039EC" w14:textId="77777777">
            <w:pPr>
              <w:pStyle w:val="BodyA"/>
              <w:spacing w:line="240" w:lineRule="auto"/>
              <w:jc w:val="center"/>
              <w:rPr>
                <w:rFonts w:hAnsi="Times New Roman" w:cs="Times New Roman"/>
              </w:rPr>
            </w:pPr>
            <w:r w:rsidRPr="008B0382">
              <w:rPr>
                <w:rFonts w:hAnsi="Times New Roman" w:cs="Times New Roman"/>
              </w:rPr>
              <w:t>)</w:t>
            </w:r>
          </w:p>
          <w:p w:rsidR="00973184" w:rsidRPr="008B0382" w:rsidP="002E3D49" w14:paraId="5B2AE022" w14:textId="768CDAF5">
            <w:pPr>
              <w:pStyle w:val="BodyA"/>
              <w:spacing w:line="240" w:lineRule="auto"/>
              <w:jc w:val="center"/>
              <w:rPr>
                <w:rFonts w:hAnsi="Times New Roman" w:cs="Times New Roman"/>
              </w:rPr>
            </w:pPr>
            <w:r w:rsidRPr="008B0382">
              <w:rPr>
                <w:rFonts w:hAnsi="Times New Roman" w:cs="Times New Roman"/>
              </w:rPr>
              <w:t>)</w:t>
            </w:r>
          </w:p>
        </w:tc>
        <w:tc>
          <w:tcPr>
            <w:tcW w:w="4470" w:type="dxa"/>
            <w:tcBorders>
              <w:top w:val="nil"/>
              <w:left w:val="nil"/>
              <w:bottom w:val="nil"/>
              <w:right w:val="nil"/>
            </w:tcBorders>
            <w:shd w:val="clear" w:color="auto" w:fill="auto"/>
            <w:tcMar>
              <w:top w:w="80" w:type="dxa"/>
              <w:left w:w="80" w:type="dxa"/>
              <w:bottom w:w="80" w:type="dxa"/>
              <w:right w:w="80" w:type="dxa"/>
            </w:tcMar>
          </w:tcPr>
          <w:p w:rsidR="009769C4" w:rsidRPr="008B0382" w:rsidP="002E3D49" w14:paraId="16E56A8C" w14:textId="77777777">
            <w:pPr>
              <w:pStyle w:val="BodyA"/>
              <w:spacing w:line="240" w:lineRule="auto"/>
              <w:jc w:val="center"/>
              <w:rPr>
                <w:rFonts w:hAnsi="Times New Roman" w:cs="Times New Roman"/>
              </w:rPr>
            </w:pPr>
          </w:p>
          <w:p w:rsidR="009769C4" w:rsidRPr="008B0382" w:rsidP="002E3D49" w14:paraId="7A352970" w14:textId="7935563F">
            <w:pPr>
              <w:pStyle w:val="BodyA"/>
              <w:spacing w:line="240" w:lineRule="auto"/>
              <w:rPr>
                <w:rFonts w:hAnsi="Times New Roman" w:cs="Times New Roman"/>
              </w:rPr>
            </w:pPr>
            <w:r w:rsidRPr="008B0382">
              <w:rPr>
                <w:rFonts w:hAnsi="Times New Roman" w:cs="Times New Roman"/>
              </w:rPr>
              <w:t xml:space="preserve">Case No. </w:t>
            </w:r>
            <w:r w:rsidRPr="008B0382" w:rsidR="0093353B">
              <w:rPr>
                <w:rFonts w:hAnsi="Times New Roman" w:cs="Times New Roman"/>
              </w:rPr>
              <w:t>21-1047-EL-AEC</w:t>
            </w:r>
          </w:p>
          <w:p w:rsidR="00973184" w:rsidRPr="008B0382" w:rsidP="002E3D49" w14:paraId="6483B0CF" w14:textId="77777777">
            <w:pPr>
              <w:pStyle w:val="BodyA"/>
              <w:spacing w:line="240" w:lineRule="auto"/>
              <w:rPr>
                <w:rFonts w:hAnsi="Times New Roman" w:cs="Times New Roman"/>
              </w:rPr>
            </w:pPr>
          </w:p>
        </w:tc>
      </w:tr>
    </w:tbl>
    <w:p w:rsidR="002E3D49" w:rsidRPr="008B0382" w14:paraId="1D7C399F" w14:textId="77777777">
      <w:pPr>
        <w:pStyle w:val="BodyA"/>
        <w:jc w:val="center"/>
        <w:rPr>
          <w:rFonts w:hAnsi="Times New Roman" w:cs="Times New Roman"/>
          <w:b/>
          <w:bCs/>
          <w:caps/>
        </w:rPr>
      </w:pPr>
    </w:p>
    <w:p w:rsidR="002E3D49" w:rsidRPr="008B0382" w14:paraId="4BA8CC4A" w14:textId="77777777">
      <w:pPr>
        <w:pStyle w:val="BodyA"/>
        <w:jc w:val="center"/>
        <w:rPr>
          <w:rFonts w:hAnsi="Times New Roman" w:cs="Times New Roman"/>
          <w:b/>
          <w:bCs/>
          <w:caps/>
        </w:rPr>
      </w:pPr>
    </w:p>
    <w:p w:rsidR="009769C4" w:rsidRPr="008B0382" w:rsidP="002E3D49" w14:paraId="2779B173" w14:textId="11CFD015">
      <w:pPr>
        <w:pStyle w:val="BodyA"/>
        <w:spacing w:line="240" w:lineRule="auto"/>
        <w:jc w:val="center"/>
        <w:rPr>
          <w:rFonts w:hAnsi="Times New Roman" w:cs="Times New Roman"/>
          <w:b/>
          <w:bCs/>
        </w:rPr>
      </w:pPr>
      <w:r w:rsidRPr="008B0382">
        <w:rPr>
          <w:rFonts w:hAnsi="Times New Roman" w:cs="Times New Roman"/>
          <w:b/>
          <w:bCs/>
          <w:caps/>
        </w:rPr>
        <w:t>Supplemental</w:t>
      </w:r>
      <w:r w:rsidRPr="008B0382" w:rsidR="00D73173">
        <w:rPr>
          <w:rFonts w:hAnsi="Times New Roman" w:cs="Times New Roman"/>
          <w:b/>
          <w:bCs/>
          <w:caps/>
        </w:rPr>
        <w:t xml:space="preserve"> </w:t>
      </w:r>
      <w:r w:rsidRPr="008B0382" w:rsidR="00D73173">
        <w:rPr>
          <w:rFonts w:hAnsi="Times New Roman" w:cs="Times New Roman"/>
          <w:b/>
          <w:bCs/>
        </w:rPr>
        <w:t>TESTIMONY</w:t>
      </w:r>
    </w:p>
    <w:p w:rsidR="009769C4" w:rsidRPr="008B0382" w:rsidP="002E3D49" w14:paraId="02994FBD" w14:textId="77777777">
      <w:pPr>
        <w:pStyle w:val="BodyA"/>
        <w:spacing w:line="240" w:lineRule="auto"/>
        <w:jc w:val="center"/>
        <w:rPr>
          <w:rFonts w:hAnsi="Times New Roman" w:cs="Times New Roman"/>
          <w:b/>
          <w:bCs/>
        </w:rPr>
      </w:pPr>
      <w:r w:rsidRPr="008B0382">
        <w:rPr>
          <w:rFonts w:hAnsi="Times New Roman" w:cs="Times New Roman"/>
          <w:b/>
          <w:bCs/>
        </w:rPr>
        <w:t>OF</w:t>
      </w:r>
    </w:p>
    <w:p w:rsidR="009769C4" w:rsidRPr="008B0382" w:rsidP="002E3D49" w14:paraId="4E94B9A9" w14:textId="5D9E311D">
      <w:pPr>
        <w:pStyle w:val="BodyA"/>
        <w:spacing w:line="240" w:lineRule="auto"/>
        <w:jc w:val="center"/>
        <w:rPr>
          <w:rFonts w:hAnsi="Times New Roman" w:cs="Times New Roman"/>
          <w:b/>
          <w:bCs/>
        </w:rPr>
      </w:pPr>
      <w:r w:rsidRPr="008B0382">
        <w:rPr>
          <w:rFonts w:hAnsi="Times New Roman" w:cs="Times New Roman"/>
          <w:b/>
          <w:bCs/>
        </w:rPr>
        <w:t>MICHAEL P. HAUGH</w:t>
      </w:r>
    </w:p>
    <w:p w:rsidR="007659A5" w:rsidRPr="008B0382" w:rsidP="002E3D49" w14:paraId="18CF0692" w14:textId="1C86C972">
      <w:pPr>
        <w:pStyle w:val="BodyA"/>
        <w:spacing w:line="240" w:lineRule="auto"/>
        <w:jc w:val="center"/>
        <w:rPr>
          <w:rFonts w:hAnsi="Times New Roman" w:cs="Times New Roman"/>
          <w:b/>
          <w:bCs/>
        </w:rPr>
      </w:pPr>
      <w:r w:rsidRPr="008B0382">
        <w:rPr>
          <w:rFonts w:hAnsi="Times New Roman" w:cs="Times New Roman"/>
          <w:b/>
          <w:bCs/>
        </w:rPr>
        <w:t xml:space="preserve">REGARDING THE </w:t>
      </w:r>
      <w:r w:rsidRPr="008B0382" w:rsidR="008B1115">
        <w:rPr>
          <w:rFonts w:hAnsi="Times New Roman" w:cs="Times New Roman"/>
          <w:b/>
          <w:bCs/>
        </w:rPr>
        <w:t xml:space="preserve">PUCO STAFF-APPLICANT </w:t>
      </w:r>
      <w:r w:rsidRPr="008B0382">
        <w:rPr>
          <w:rFonts w:hAnsi="Times New Roman" w:cs="Times New Roman"/>
          <w:b/>
          <w:bCs/>
        </w:rPr>
        <w:t>SETTLEMENT</w:t>
      </w:r>
    </w:p>
    <w:p w:rsidR="009769C4" w:rsidRPr="008B0382" w14:paraId="3AA3647C" w14:textId="77777777">
      <w:pPr>
        <w:pStyle w:val="BodyA"/>
        <w:jc w:val="center"/>
        <w:rPr>
          <w:rFonts w:hAnsi="Times New Roman" w:cs="Times New Roman"/>
          <w:b/>
          <w:bCs/>
        </w:rPr>
      </w:pPr>
    </w:p>
    <w:p w:rsidR="009769C4" w:rsidRPr="008B0382" w14:paraId="08F3694B" w14:textId="77777777">
      <w:pPr>
        <w:pStyle w:val="BodyA"/>
        <w:jc w:val="center"/>
        <w:rPr>
          <w:rFonts w:hAnsi="Times New Roman" w:cs="Times New Roman"/>
          <w:b/>
          <w:bCs/>
        </w:rPr>
      </w:pPr>
    </w:p>
    <w:p w:rsidR="009769C4" w:rsidRPr="008B0382" w:rsidP="002E3D49" w14:paraId="7D1B10FF" w14:textId="478B25AE">
      <w:pPr>
        <w:pStyle w:val="BodyA"/>
        <w:spacing w:line="240" w:lineRule="auto"/>
        <w:jc w:val="center"/>
        <w:rPr>
          <w:rFonts w:hAnsi="Times New Roman" w:cs="Times New Roman"/>
          <w:b/>
          <w:bCs/>
        </w:rPr>
      </w:pPr>
      <w:r w:rsidRPr="008B0382">
        <w:rPr>
          <w:rFonts w:hAnsi="Times New Roman" w:cs="Times New Roman"/>
          <w:b/>
          <w:bCs/>
        </w:rPr>
        <w:t xml:space="preserve">On Behalf of </w:t>
      </w:r>
    </w:p>
    <w:p w:rsidR="009769C4" w:rsidRPr="008B0382" w:rsidP="002E3D49" w14:paraId="12681408" w14:textId="14AB95DA">
      <w:pPr>
        <w:pStyle w:val="BodyA"/>
        <w:spacing w:line="240" w:lineRule="auto"/>
        <w:jc w:val="center"/>
        <w:rPr>
          <w:rFonts w:hAnsi="Times New Roman" w:cs="Times New Roman"/>
          <w:b/>
          <w:bCs/>
        </w:rPr>
      </w:pPr>
      <w:r w:rsidRPr="008B0382">
        <w:rPr>
          <w:rFonts w:hAnsi="Times New Roman" w:cs="Times New Roman"/>
          <w:b/>
          <w:bCs/>
        </w:rPr>
        <w:t>Office of the Ohio Consumers</w:t>
      </w:r>
      <w:r w:rsidRPr="008B0382" w:rsidR="00DC0BCF">
        <w:rPr>
          <w:rFonts w:hAnsi="Times New Roman" w:cs="Times New Roman"/>
          <w:b/>
          <w:bCs/>
          <w:lang w:val="fr-FR"/>
        </w:rPr>
        <w:t>’</w:t>
      </w:r>
      <w:r w:rsidRPr="008B0382">
        <w:rPr>
          <w:rFonts w:hAnsi="Times New Roman" w:cs="Times New Roman"/>
          <w:b/>
          <w:bCs/>
          <w:lang w:val="fr-FR"/>
        </w:rPr>
        <w:t xml:space="preserve"> </w:t>
      </w:r>
      <w:r w:rsidRPr="008B0382">
        <w:rPr>
          <w:rFonts w:hAnsi="Times New Roman" w:cs="Times New Roman"/>
          <w:b/>
          <w:bCs/>
        </w:rPr>
        <w:t>Counsel</w:t>
      </w:r>
    </w:p>
    <w:p w:rsidR="009769C4" w:rsidRPr="008B0382" w:rsidP="002E3D49" w14:paraId="3DD52117" w14:textId="25F5D662">
      <w:pPr>
        <w:pStyle w:val="BodyA"/>
        <w:spacing w:line="240" w:lineRule="auto"/>
        <w:jc w:val="center"/>
        <w:rPr>
          <w:rFonts w:hAnsi="Times New Roman" w:cs="Times New Roman"/>
          <w:i/>
          <w:iCs/>
        </w:rPr>
      </w:pPr>
      <w:r w:rsidRPr="008B0382">
        <w:rPr>
          <w:rFonts w:hAnsi="Times New Roman" w:cs="Times New Roman"/>
          <w:i/>
          <w:iCs/>
        </w:rPr>
        <w:t>65 East State Street</w:t>
      </w:r>
      <w:r w:rsidRPr="008B0382" w:rsidR="00545203">
        <w:rPr>
          <w:rFonts w:hAnsi="Times New Roman" w:cs="Times New Roman"/>
          <w:i/>
          <w:iCs/>
        </w:rPr>
        <w:t>, Suite 700</w:t>
      </w:r>
    </w:p>
    <w:p w:rsidR="009769C4" w:rsidRPr="008B0382" w:rsidP="002E3D49" w14:paraId="34635350" w14:textId="7B160948">
      <w:pPr>
        <w:pStyle w:val="BodyA"/>
        <w:spacing w:line="240" w:lineRule="auto"/>
        <w:jc w:val="center"/>
        <w:rPr>
          <w:rFonts w:hAnsi="Times New Roman" w:cs="Times New Roman"/>
          <w:i/>
          <w:iCs/>
        </w:rPr>
      </w:pPr>
      <w:r w:rsidRPr="008B0382">
        <w:rPr>
          <w:rFonts w:hAnsi="Times New Roman" w:cs="Times New Roman"/>
          <w:i/>
          <w:iCs/>
        </w:rPr>
        <w:t>Columbus, Ohio 43215</w:t>
      </w:r>
    </w:p>
    <w:p w:rsidR="009769C4" w:rsidRPr="008B0382" w14:paraId="56C104F3" w14:textId="77777777">
      <w:pPr>
        <w:pStyle w:val="BodyA"/>
        <w:jc w:val="center"/>
        <w:rPr>
          <w:rFonts w:hAnsi="Times New Roman" w:cs="Times New Roman"/>
          <w:b/>
          <w:bCs/>
        </w:rPr>
      </w:pPr>
    </w:p>
    <w:p w:rsidR="009769C4" w:rsidRPr="008B0382" w14:paraId="45E7C156" w14:textId="77777777">
      <w:pPr>
        <w:pStyle w:val="BodyA"/>
        <w:jc w:val="center"/>
        <w:rPr>
          <w:rFonts w:hAnsi="Times New Roman" w:cs="Times New Roman"/>
          <w:b/>
          <w:bCs/>
        </w:rPr>
      </w:pPr>
    </w:p>
    <w:p w:rsidR="006E4AE8" w:rsidRPr="008B0382" w14:paraId="20C13081" w14:textId="174A8B1E">
      <w:pPr>
        <w:pStyle w:val="BodyA"/>
        <w:jc w:val="center"/>
        <w:rPr>
          <w:rFonts w:hAnsi="Times New Roman" w:cs="Times New Roman"/>
          <w:b/>
          <w:bCs/>
          <w:caps/>
        </w:rPr>
        <w:sectPr w:rsidSect="002336BD">
          <w:footerReference w:type="default" r:id="rId6"/>
          <w:footerReference w:type="first" r:id="rId7"/>
          <w:pgSz w:w="12240" w:h="15840" w:code="1"/>
          <w:pgMar w:top="1440" w:right="1800" w:bottom="1440" w:left="1800" w:header="360" w:footer="720" w:gutter="0"/>
          <w:cols w:space="720"/>
          <w:titlePg/>
          <w:docGrid w:linePitch="326"/>
        </w:sectPr>
      </w:pPr>
      <w:r w:rsidRPr="008B0382">
        <w:rPr>
          <w:rFonts w:hAnsi="Times New Roman" w:cs="Times New Roman"/>
          <w:b/>
          <w:bCs/>
          <w:caps/>
        </w:rPr>
        <w:t xml:space="preserve">December </w:t>
      </w:r>
      <w:r w:rsidRPr="008B0382" w:rsidR="00825F1F">
        <w:rPr>
          <w:rFonts w:hAnsi="Times New Roman" w:cs="Times New Roman"/>
          <w:b/>
          <w:bCs/>
          <w:caps/>
        </w:rPr>
        <w:t>22</w:t>
      </w:r>
      <w:r w:rsidRPr="008B0382" w:rsidR="003500BF">
        <w:rPr>
          <w:rFonts w:hAnsi="Times New Roman" w:cs="Times New Roman"/>
          <w:b/>
          <w:bCs/>
          <w:caps/>
        </w:rPr>
        <w:t>, 2021</w:t>
      </w:r>
    </w:p>
    <w:p w:rsidR="009A4CDE" w:rsidRPr="008B0382" w14:paraId="0292D541" w14:textId="51F9DE82">
      <w:pPr>
        <w:pStyle w:val="BodyA"/>
        <w:jc w:val="center"/>
        <w:rPr>
          <w:rFonts w:hAnsi="Times New Roman" w:cs="Times New Roman"/>
          <w:b/>
          <w:bCs/>
          <w:caps/>
          <w:u w:val="single"/>
        </w:rPr>
      </w:pPr>
      <w:r w:rsidRPr="008B0382">
        <w:rPr>
          <w:rFonts w:hAnsi="Times New Roman" w:cs="Times New Roman"/>
          <w:b/>
          <w:bCs/>
          <w:caps/>
          <w:u w:val="single"/>
        </w:rPr>
        <w:t>TABLE OF CONTENTS</w:t>
      </w:r>
    </w:p>
    <w:p w:rsidR="006E4AE8" w:rsidRPr="008B0382" w:rsidP="006E4AE8" w14:paraId="6F47D172" w14:textId="183726DC">
      <w:pPr>
        <w:pStyle w:val="BodyA"/>
        <w:jc w:val="right"/>
        <w:rPr>
          <w:rFonts w:hAnsi="Times New Roman" w:cs="Times New Roman"/>
          <w:b/>
          <w:bCs/>
          <w:caps/>
        </w:rPr>
      </w:pPr>
      <w:r w:rsidRPr="008B0382">
        <w:rPr>
          <w:rFonts w:hAnsi="Times New Roman" w:cs="Times New Roman"/>
          <w:b/>
          <w:bCs/>
          <w:caps/>
        </w:rPr>
        <w:t>PAGE</w:t>
      </w:r>
    </w:p>
    <w:p w:rsidR="002232A8" w14:paraId="1C9A9E0E" w14:textId="0D408321">
      <w:pPr>
        <w:pStyle w:val="TOC1"/>
        <w:rPr>
          <w:rFonts w:asciiTheme="minorHAnsi" w:eastAsiaTheme="minorEastAsia" w:hAnsiTheme="minorHAnsi" w:cstheme="minorBidi"/>
          <w:caps w:val="0"/>
          <w:noProof/>
          <w:sz w:val="22"/>
          <w:szCs w:val="22"/>
          <w:bdr w:val="none" w:sz="0" w:space="0" w:color="auto"/>
        </w:rPr>
      </w:pPr>
      <w:r w:rsidRPr="008B0382">
        <w:rPr>
          <w:b/>
          <w:bCs/>
          <w:caps w:val="0"/>
        </w:rPr>
        <w:fldChar w:fldCharType="begin"/>
      </w:r>
      <w:r w:rsidRPr="008B0382">
        <w:rPr>
          <w:b/>
          <w:bCs/>
          <w:caps w:val="0"/>
        </w:rPr>
        <w:instrText xml:space="preserve"> TOC \o "1-2" \h \z \u </w:instrText>
      </w:r>
      <w:r w:rsidRPr="008B0382">
        <w:rPr>
          <w:b/>
          <w:bCs/>
          <w:caps w:val="0"/>
        </w:rPr>
        <w:fldChar w:fldCharType="separate"/>
      </w:r>
      <w:hyperlink w:anchor="_Toc91084153" w:history="1">
        <w:r w:rsidRPr="007160AA">
          <w:rPr>
            <w:rStyle w:val="Hyperlink"/>
            <w:rFonts w:eastAsia="Arial Unicode MS"/>
            <w:noProof/>
          </w:rPr>
          <w:t>I.</w:t>
        </w:r>
        <w:r>
          <w:rPr>
            <w:rFonts w:asciiTheme="minorHAnsi" w:eastAsiaTheme="minorEastAsia" w:hAnsiTheme="minorHAnsi" w:cstheme="minorBidi"/>
            <w:caps w:val="0"/>
            <w:noProof/>
            <w:sz w:val="22"/>
            <w:szCs w:val="22"/>
            <w:bdr w:val="none" w:sz="0" w:space="0" w:color="auto"/>
          </w:rPr>
          <w:tab/>
        </w:r>
        <w:r w:rsidRPr="007160AA">
          <w:rPr>
            <w:rStyle w:val="Hyperlink"/>
            <w:rFonts w:eastAsia="Arial Unicode MS"/>
            <w:noProof/>
          </w:rPr>
          <w:t>OVERVIEW</w:t>
        </w:r>
        <w:r>
          <w:rPr>
            <w:noProof/>
            <w:webHidden/>
          </w:rPr>
          <w:tab/>
        </w:r>
        <w:r>
          <w:rPr>
            <w:noProof/>
            <w:webHidden/>
          </w:rPr>
          <w:fldChar w:fldCharType="begin"/>
        </w:r>
        <w:r>
          <w:rPr>
            <w:noProof/>
            <w:webHidden/>
          </w:rPr>
          <w:instrText xml:space="preserve"> PAGEREF _Toc91084153 \h </w:instrText>
        </w:r>
        <w:r>
          <w:rPr>
            <w:noProof/>
            <w:webHidden/>
          </w:rPr>
          <w:fldChar w:fldCharType="separate"/>
        </w:r>
        <w:r>
          <w:rPr>
            <w:noProof/>
            <w:webHidden/>
          </w:rPr>
          <w:t>1</w:t>
        </w:r>
        <w:r>
          <w:rPr>
            <w:noProof/>
            <w:webHidden/>
          </w:rPr>
          <w:fldChar w:fldCharType="end"/>
        </w:r>
      </w:hyperlink>
    </w:p>
    <w:p w:rsidR="002232A8" w14:paraId="72AE3C60" w14:textId="4664D6A1">
      <w:pPr>
        <w:pStyle w:val="TOC1"/>
        <w:rPr>
          <w:rFonts w:asciiTheme="minorHAnsi" w:eastAsiaTheme="minorEastAsia" w:hAnsiTheme="minorHAnsi" w:cstheme="minorBidi"/>
          <w:caps w:val="0"/>
          <w:noProof/>
          <w:sz w:val="22"/>
          <w:szCs w:val="22"/>
          <w:bdr w:val="none" w:sz="0" w:space="0" w:color="auto"/>
        </w:rPr>
      </w:pPr>
      <w:hyperlink w:anchor="_Toc91084154" w:history="1">
        <w:r w:rsidRPr="007160AA" w:rsidR="004B4686">
          <w:rPr>
            <w:rStyle w:val="Hyperlink"/>
            <w:rFonts w:eastAsia="Arial Unicode MS"/>
            <w:noProof/>
          </w:rPr>
          <w:t>II.</w:t>
        </w:r>
        <w:r w:rsidR="004B4686">
          <w:rPr>
            <w:rFonts w:asciiTheme="minorHAnsi" w:eastAsiaTheme="minorEastAsia" w:hAnsiTheme="minorHAnsi" w:cstheme="minorBidi"/>
            <w:caps w:val="0"/>
            <w:noProof/>
            <w:sz w:val="22"/>
            <w:szCs w:val="22"/>
            <w:bdr w:val="none" w:sz="0" w:space="0" w:color="auto"/>
          </w:rPr>
          <w:tab/>
        </w:r>
        <w:r w:rsidRPr="007160AA" w:rsidR="004B4686">
          <w:rPr>
            <w:rStyle w:val="Hyperlink"/>
            <w:rFonts w:eastAsia="Arial Unicode MS"/>
            <w:noProof/>
          </w:rPr>
          <w:t>PURPOSE OF TESTIMONY</w:t>
        </w:r>
        <w:r w:rsidR="004B4686">
          <w:rPr>
            <w:noProof/>
            <w:webHidden/>
          </w:rPr>
          <w:tab/>
        </w:r>
        <w:r w:rsidR="004B4686">
          <w:rPr>
            <w:noProof/>
            <w:webHidden/>
          </w:rPr>
          <w:fldChar w:fldCharType="begin"/>
        </w:r>
        <w:r w:rsidR="004B4686">
          <w:rPr>
            <w:noProof/>
            <w:webHidden/>
          </w:rPr>
          <w:instrText xml:space="preserve"> PAGEREF _Toc91084154 \h </w:instrText>
        </w:r>
        <w:r w:rsidR="004B4686">
          <w:rPr>
            <w:noProof/>
            <w:webHidden/>
          </w:rPr>
          <w:fldChar w:fldCharType="separate"/>
        </w:r>
        <w:r w:rsidR="004B4686">
          <w:rPr>
            <w:noProof/>
            <w:webHidden/>
          </w:rPr>
          <w:t>2</w:t>
        </w:r>
        <w:r w:rsidR="004B4686">
          <w:rPr>
            <w:noProof/>
            <w:webHidden/>
          </w:rPr>
          <w:fldChar w:fldCharType="end"/>
        </w:r>
      </w:hyperlink>
    </w:p>
    <w:p w:rsidR="002232A8" w14:paraId="214F1F0B" w14:textId="393DE7CC">
      <w:pPr>
        <w:pStyle w:val="TOC1"/>
        <w:rPr>
          <w:rFonts w:asciiTheme="minorHAnsi" w:eastAsiaTheme="minorEastAsia" w:hAnsiTheme="minorHAnsi" w:cstheme="minorBidi"/>
          <w:caps w:val="0"/>
          <w:noProof/>
          <w:sz w:val="22"/>
          <w:szCs w:val="22"/>
          <w:bdr w:val="none" w:sz="0" w:space="0" w:color="auto"/>
        </w:rPr>
      </w:pPr>
      <w:hyperlink w:anchor="_Toc91084155" w:history="1">
        <w:r w:rsidRPr="007160AA" w:rsidR="004B4686">
          <w:rPr>
            <w:rStyle w:val="Hyperlink"/>
            <w:noProof/>
          </w:rPr>
          <w:t xml:space="preserve">III. </w:t>
        </w:r>
        <w:r w:rsidR="004B4686">
          <w:rPr>
            <w:rFonts w:asciiTheme="minorHAnsi" w:eastAsiaTheme="minorEastAsia" w:hAnsiTheme="minorHAnsi" w:cstheme="minorBidi"/>
            <w:caps w:val="0"/>
            <w:noProof/>
            <w:sz w:val="22"/>
            <w:szCs w:val="22"/>
            <w:bdr w:val="none" w:sz="0" w:space="0" w:color="auto"/>
          </w:rPr>
          <w:tab/>
        </w:r>
        <w:r w:rsidRPr="007160AA" w:rsidR="004B4686">
          <w:rPr>
            <w:rStyle w:val="Hyperlink"/>
            <w:noProof/>
          </w:rPr>
          <w:t>Conclusion</w:t>
        </w:r>
        <w:r w:rsidR="004B4686">
          <w:rPr>
            <w:noProof/>
            <w:webHidden/>
          </w:rPr>
          <w:tab/>
        </w:r>
        <w:r w:rsidR="004B4686">
          <w:rPr>
            <w:noProof/>
            <w:webHidden/>
          </w:rPr>
          <w:fldChar w:fldCharType="begin"/>
        </w:r>
        <w:r w:rsidR="004B4686">
          <w:rPr>
            <w:noProof/>
            <w:webHidden/>
          </w:rPr>
          <w:instrText xml:space="preserve"> PAGEREF _Toc91084155 \h </w:instrText>
        </w:r>
        <w:r w:rsidR="004B4686">
          <w:rPr>
            <w:noProof/>
            <w:webHidden/>
          </w:rPr>
          <w:fldChar w:fldCharType="separate"/>
        </w:r>
        <w:r w:rsidR="004B4686">
          <w:rPr>
            <w:noProof/>
            <w:webHidden/>
          </w:rPr>
          <w:t>11</w:t>
        </w:r>
        <w:r w:rsidR="004B4686">
          <w:rPr>
            <w:noProof/>
            <w:webHidden/>
          </w:rPr>
          <w:fldChar w:fldCharType="end"/>
        </w:r>
      </w:hyperlink>
    </w:p>
    <w:p w:rsidR="00F75032" w:rsidRPr="008B0382" w:rsidP="00F75032" w14:paraId="48DB1811" w14:textId="7366BFAF">
      <w:pPr>
        <w:pStyle w:val="BodyA"/>
        <w:ind w:left="0" w:firstLine="0"/>
        <w:rPr>
          <w:rFonts w:hAnsi="Times New Roman" w:cs="Times New Roman"/>
          <w:b/>
          <w:bCs/>
          <w:caps/>
        </w:rPr>
      </w:pPr>
      <w:r w:rsidRPr="008B0382">
        <w:rPr>
          <w:rFonts w:hAnsi="Times New Roman" w:cs="Times New Roman"/>
          <w:b/>
          <w:bCs/>
          <w:caps/>
        </w:rPr>
        <w:fldChar w:fldCharType="end"/>
      </w:r>
    </w:p>
    <w:p w:rsidR="006E4AE8" w:rsidRPr="008B0382" w14:paraId="04BE90F3" w14:textId="77777777">
      <w:pPr>
        <w:pStyle w:val="BodyA"/>
        <w:jc w:val="center"/>
        <w:rPr>
          <w:rFonts w:hAnsi="Times New Roman" w:cs="Times New Roman"/>
          <w:b/>
          <w:bCs/>
          <w:caps/>
        </w:rPr>
      </w:pPr>
    </w:p>
    <w:p w:rsidR="00C55EB5" w:rsidRPr="008B0382" w:rsidP="00C55EB5" w14:paraId="38227451" w14:textId="1CD519ED">
      <w:pPr>
        <w:pStyle w:val="BodyA"/>
        <w:jc w:val="center"/>
        <w:rPr>
          <w:rFonts w:hAnsi="Times New Roman" w:cs="Times New Roman"/>
          <w:caps/>
        </w:rPr>
      </w:pPr>
    </w:p>
    <w:p w:rsidR="00C55EB5" w:rsidRPr="008B0382" w14:paraId="45249751" w14:textId="77777777">
      <w:pPr>
        <w:pStyle w:val="BodyA"/>
        <w:jc w:val="center"/>
        <w:rPr>
          <w:rFonts w:hAnsi="Times New Roman" w:cs="Times New Roman"/>
          <w:caps/>
        </w:rPr>
      </w:pPr>
    </w:p>
    <w:p w:rsidR="009F7533" w:rsidRPr="008B0382" w14:paraId="02FC0C7C" w14:textId="77777777">
      <w:pPr>
        <w:pStyle w:val="BodyA"/>
        <w:jc w:val="center"/>
        <w:rPr>
          <w:rFonts w:hAnsi="Times New Roman" w:cs="Times New Roman"/>
          <w:caps/>
        </w:rPr>
        <w:sectPr w:rsidSect="00C61CB0">
          <w:footerReference w:type="first" r:id="rId8"/>
          <w:pgSz w:w="12240" w:h="15840" w:code="1"/>
          <w:pgMar w:top="1440" w:right="1800" w:bottom="1440" w:left="1800" w:header="360" w:footer="720" w:gutter="0"/>
          <w:pgNumType w:fmt="lowerRoman" w:start="1"/>
          <w:cols w:space="720"/>
          <w:titlePg/>
          <w:docGrid w:linePitch="326"/>
        </w:sectPr>
      </w:pPr>
    </w:p>
    <w:p w:rsidR="00973184" w:rsidRPr="008B0382" w:rsidP="00D54C56" w14:paraId="3F5B9B47" w14:textId="77777777">
      <w:pPr>
        <w:pStyle w:val="Heading1"/>
        <w:spacing w:after="0"/>
        <w:rPr>
          <w:rFonts w:ascii="Times New Roman" w:hAnsi="Times New Roman" w:cs="Times New Roman"/>
          <w:szCs w:val="24"/>
        </w:rPr>
      </w:pPr>
      <w:bookmarkStart w:id="0" w:name="_Toc430935282"/>
      <w:bookmarkStart w:id="1" w:name="_Toc85711742"/>
      <w:bookmarkStart w:id="2" w:name="_Toc91084153"/>
      <w:r w:rsidRPr="008B0382">
        <w:rPr>
          <w:rFonts w:ascii="Times New Roman" w:eastAsia="Arial Unicode MS" w:hAnsi="Times New Roman" w:cs="Times New Roman"/>
          <w:szCs w:val="24"/>
        </w:rPr>
        <w:t>I.</w:t>
      </w:r>
      <w:r w:rsidRPr="008B0382">
        <w:rPr>
          <w:rFonts w:ascii="Times New Roman" w:eastAsia="Arial Unicode MS" w:hAnsi="Times New Roman" w:cs="Times New Roman"/>
          <w:szCs w:val="24"/>
        </w:rPr>
        <w:tab/>
        <w:t>OVERVIEW</w:t>
      </w:r>
      <w:bookmarkEnd w:id="0"/>
      <w:bookmarkEnd w:id="1"/>
      <w:bookmarkEnd w:id="2"/>
    </w:p>
    <w:p w:rsidR="00973184" w:rsidRPr="008B0382" w:rsidP="00D54C56" w14:paraId="3860C990" w14:textId="77777777">
      <w:pPr>
        <w:pStyle w:val="BodyA"/>
        <w:rPr>
          <w:rFonts w:hAnsi="Times New Roman" w:cs="Times New Roman"/>
          <w:b/>
          <w:bCs/>
        </w:rPr>
      </w:pPr>
    </w:p>
    <w:p w:rsidR="009769C4" w:rsidRPr="008B0382" w:rsidP="00B445AF" w14:paraId="742159D3" w14:textId="77777777">
      <w:pPr>
        <w:pStyle w:val="DirectQuestion"/>
        <w:tabs>
          <w:tab w:val="clear" w:pos="1440"/>
        </w:tabs>
        <w:ind w:left="0" w:firstLine="0"/>
        <w:rPr>
          <w:rFonts w:hAnsi="Times New Roman" w:cs="Times New Roman"/>
        </w:rPr>
      </w:pPr>
      <w:r w:rsidRPr="008B0382">
        <w:rPr>
          <w:rFonts w:hAnsi="Times New Roman" w:cs="Times New Roman"/>
        </w:rPr>
        <w:t>Q1.</w:t>
      </w:r>
      <w:r w:rsidRPr="008B0382">
        <w:rPr>
          <w:rFonts w:hAnsi="Times New Roman" w:cs="Times New Roman"/>
        </w:rPr>
        <w:tab/>
      </w:r>
      <w:r w:rsidRPr="008B0382" w:rsidR="00275B98">
        <w:rPr>
          <w:rFonts w:hAnsi="Times New Roman" w:cs="Times New Roman"/>
        </w:rPr>
        <w:t>PLEASE STATE YOUR NAME, title, AND BUSINESS ADDRESS.</w:t>
      </w:r>
    </w:p>
    <w:p w:rsidR="009769C4" w:rsidRPr="008B0382" w:rsidP="00B445AF" w14:paraId="3E7FDC8D" w14:textId="14F59D77">
      <w:pPr>
        <w:pStyle w:val="BodyA"/>
        <w:rPr>
          <w:rFonts w:hAnsi="Times New Roman" w:cs="Times New Roman"/>
        </w:rPr>
      </w:pPr>
      <w:r w:rsidRPr="008B0382">
        <w:rPr>
          <w:rFonts w:hAnsi="Times New Roman" w:cs="Times New Roman"/>
          <w:b/>
          <w:bCs/>
          <w:i/>
          <w:iCs/>
        </w:rPr>
        <w:t>A1.</w:t>
      </w:r>
      <w:r w:rsidRPr="008B0382">
        <w:rPr>
          <w:rFonts w:hAnsi="Times New Roman" w:cs="Times New Roman"/>
          <w:b/>
          <w:bCs/>
          <w:i/>
          <w:iCs/>
        </w:rPr>
        <w:tab/>
      </w:r>
      <w:r w:rsidRPr="008B0382">
        <w:rPr>
          <w:rFonts w:hAnsi="Times New Roman" w:cs="Times New Roman"/>
        </w:rPr>
        <w:t>My name is Michael P. Haugh.</w:t>
      </w:r>
      <w:r w:rsidRPr="008B0382" w:rsidR="00DC0BCF">
        <w:rPr>
          <w:rFonts w:hAnsi="Times New Roman" w:cs="Times New Roman"/>
        </w:rPr>
        <w:t xml:space="preserve"> </w:t>
      </w:r>
      <w:r w:rsidRPr="008B0382">
        <w:rPr>
          <w:rFonts w:hAnsi="Times New Roman" w:cs="Times New Roman"/>
        </w:rPr>
        <w:t xml:space="preserve">I am </w:t>
      </w:r>
      <w:r w:rsidRPr="008B0382" w:rsidR="00704562">
        <w:rPr>
          <w:rFonts w:hAnsi="Times New Roman" w:cs="Times New Roman"/>
        </w:rPr>
        <w:t xml:space="preserve">the Director of Analytical Services for </w:t>
      </w:r>
      <w:r w:rsidRPr="008B0382" w:rsidR="00983127">
        <w:rPr>
          <w:rFonts w:hAnsi="Times New Roman" w:cs="Times New Roman"/>
        </w:rPr>
        <w:t xml:space="preserve">Markets and </w:t>
      </w:r>
      <w:r w:rsidRPr="008B0382" w:rsidR="00704562">
        <w:rPr>
          <w:rFonts w:hAnsi="Times New Roman" w:cs="Times New Roman"/>
        </w:rPr>
        <w:t xml:space="preserve">Competitive </w:t>
      </w:r>
      <w:r w:rsidRPr="008B0382" w:rsidR="00983127">
        <w:rPr>
          <w:rFonts w:hAnsi="Times New Roman" w:cs="Times New Roman"/>
        </w:rPr>
        <w:t>Services</w:t>
      </w:r>
      <w:r w:rsidRPr="008B0382" w:rsidR="00974199">
        <w:rPr>
          <w:rFonts w:hAnsi="Times New Roman" w:cs="Times New Roman"/>
        </w:rPr>
        <w:t xml:space="preserve"> </w:t>
      </w:r>
      <w:r w:rsidRPr="008B0382" w:rsidR="00E74864">
        <w:rPr>
          <w:rFonts w:hAnsi="Times New Roman" w:cs="Times New Roman"/>
        </w:rPr>
        <w:t>at</w:t>
      </w:r>
      <w:r w:rsidRPr="008B0382" w:rsidR="00974199">
        <w:rPr>
          <w:rFonts w:hAnsi="Times New Roman" w:cs="Times New Roman"/>
        </w:rPr>
        <w:t xml:space="preserve"> the Office of the Ohio Consumers</w:t>
      </w:r>
      <w:r w:rsidRPr="008B0382" w:rsidR="00DC0BCF">
        <w:rPr>
          <w:rFonts w:hAnsi="Times New Roman" w:cs="Times New Roman"/>
        </w:rPr>
        <w:t>’</w:t>
      </w:r>
      <w:r w:rsidRPr="008B0382" w:rsidR="00974199">
        <w:rPr>
          <w:rFonts w:hAnsi="Times New Roman" w:cs="Times New Roman"/>
        </w:rPr>
        <w:t xml:space="preserve"> Counsel</w:t>
      </w:r>
      <w:r w:rsidRPr="008B0382" w:rsidR="00DA75A2">
        <w:rPr>
          <w:rFonts w:hAnsi="Times New Roman" w:cs="Times New Roman"/>
        </w:rPr>
        <w:t xml:space="preserve"> (“OCC”)</w:t>
      </w:r>
      <w:r w:rsidRPr="008B0382" w:rsidR="00974199">
        <w:rPr>
          <w:rFonts w:hAnsi="Times New Roman" w:cs="Times New Roman"/>
        </w:rPr>
        <w:t>.</w:t>
      </w:r>
      <w:r w:rsidRPr="008B0382" w:rsidR="00DC0BCF">
        <w:rPr>
          <w:rFonts w:hAnsi="Times New Roman" w:cs="Times New Roman"/>
        </w:rPr>
        <w:t xml:space="preserve"> </w:t>
      </w:r>
      <w:r w:rsidRPr="008B0382" w:rsidR="00DA75A2">
        <w:rPr>
          <w:rFonts w:hAnsi="Times New Roman" w:cs="Times New Roman"/>
        </w:rPr>
        <w:t>My business address at OCC is 65 East State Stree</w:t>
      </w:r>
      <w:r w:rsidRPr="008B0382" w:rsidR="006E4982">
        <w:rPr>
          <w:rFonts w:hAnsi="Times New Roman" w:cs="Times New Roman"/>
        </w:rPr>
        <w:t>t</w:t>
      </w:r>
      <w:r w:rsidRPr="008B0382" w:rsidR="00DA75A2">
        <w:rPr>
          <w:rFonts w:hAnsi="Times New Roman" w:cs="Times New Roman"/>
        </w:rPr>
        <w:t xml:space="preserve">, </w:t>
      </w:r>
      <w:r w:rsidRPr="008B0382" w:rsidR="005450C7">
        <w:rPr>
          <w:rFonts w:hAnsi="Times New Roman" w:cs="Times New Roman"/>
        </w:rPr>
        <w:t xml:space="preserve">Suite </w:t>
      </w:r>
      <w:r w:rsidRPr="008B0382" w:rsidR="00DA75A2">
        <w:rPr>
          <w:rFonts w:hAnsi="Times New Roman" w:cs="Times New Roman"/>
        </w:rPr>
        <w:t>7</w:t>
      </w:r>
      <w:r w:rsidRPr="008B0382" w:rsidR="005450C7">
        <w:rPr>
          <w:rFonts w:hAnsi="Times New Roman" w:cs="Times New Roman"/>
        </w:rPr>
        <w:t>00</w:t>
      </w:r>
      <w:r w:rsidRPr="008B0382" w:rsidR="00DA75A2">
        <w:rPr>
          <w:rFonts w:hAnsi="Times New Roman" w:cs="Times New Roman"/>
        </w:rPr>
        <w:t>, Columbus, Ohio 43215.</w:t>
      </w:r>
    </w:p>
    <w:p w:rsidR="009769C4" w:rsidRPr="008B0382" w:rsidP="00B445AF" w14:paraId="4A3CF273" w14:textId="77777777">
      <w:pPr>
        <w:pStyle w:val="BodyA"/>
        <w:rPr>
          <w:rFonts w:hAnsi="Times New Roman" w:cs="Times New Roman"/>
        </w:rPr>
      </w:pPr>
    </w:p>
    <w:p w:rsidR="00973184" w:rsidRPr="008B0382" w:rsidP="00B445AF" w14:paraId="1F2E0ED4" w14:textId="7293C84D">
      <w:pPr>
        <w:pStyle w:val="BodyA"/>
        <w:rPr>
          <w:rFonts w:hAnsi="Times New Roman" w:cs="Times New Roman"/>
          <w:b/>
          <w:bCs/>
          <w:i/>
          <w:iCs/>
        </w:rPr>
      </w:pPr>
      <w:r w:rsidRPr="008B0382">
        <w:rPr>
          <w:rFonts w:hAnsi="Times New Roman" w:cs="Times New Roman"/>
          <w:b/>
          <w:bCs/>
          <w:i/>
          <w:iCs/>
        </w:rPr>
        <w:t>Q2.</w:t>
      </w:r>
      <w:r w:rsidRPr="008B0382">
        <w:rPr>
          <w:rFonts w:hAnsi="Times New Roman" w:cs="Times New Roman"/>
          <w:b/>
          <w:bCs/>
          <w:i/>
          <w:iCs/>
        </w:rPr>
        <w:tab/>
      </w:r>
      <w:r w:rsidRPr="008B0382" w:rsidR="001A6A27">
        <w:rPr>
          <w:rFonts w:hAnsi="Times New Roman" w:cs="Times New Roman"/>
          <w:b/>
          <w:bCs/>
          <w:i/>
          <w:iCs/>
          <w:caps/>
        </w:rPr>
        <w:t>have you previously submitted testimony in this case?</w:t>
      </w:r>
    </w:p>
    <w:p w:rsidR="001C5792" w:rsidRPr="008B0382" w:rsidP="001C5792" w14:paraId="3AA10298" w14:textId="0C43E132">
      <w:pPr>
        <w:pStyle w:val="BodyA"/>
        <w:rPr>
          <w:rFonts w:hAnsi="Times New Roman" w:cs="Times New Roman"/>
        </w:rPr>
      </w:pPr>
      <w:r w:rsidRPr="008B0382">
        <w:rPr>
          <w:rFonts w:hAnsi="Times New Roman" w:cs="Times New Roman"/>
          <w:b/>
          <w:bCs/>
          <w:i/>
          <w:iCs/>
        </w:rPr>
        <w:t xml:space="preserve">A2. </w:t>
      </w:r>
      <w:r w:rsidRPr="008B0382">
        <w:rPr>
          <w:rFonts w:hAnsi="Times New Roman" w:cs="Times New Roman"/>
          <w:b/>
          <w:bCs/>
          <w:i/>
          <w:iCs/>
        </w:rPr>
        <w:tab/>
      </w:r>
      <w:r w:rsidRPr="008B0382" w:rsidR="001A6A27">
        <w:rPr>
          <w:rFonts w:hAnsi="Times New Roman" w:cs="Times New Roman"/>
        </w:rPr>
        <w:t>Yes, on December 6, 2021</w:t>
      </w:r>
      <w:r w:rsidRPr="008B0382" w:rsidR="008B1115">
        <w:rPr>
          <w:rFonts w:hAnsi="Times New Roman" w:cs="Times New Roman"/>
        </w:rPr>
        <w:t>,</w:t>
      </w:r>
      <w:r w:rsidRPr="008B0382" w:rsidR="001A6A27">
        <w:rPr>
          <w:rFonts w:hAnsi="Times New Roman" w:cs="Times New Roman"/>
        </w:rPr>
        <w:t xml:space="preserve"> I submitted Direct Testimony</w:t>
      </w:r>
      <w:r w:rsidRPr="008B0382" w:rsidR="00EE647F">
        <w:rPr>
          <w:rFonts w:hAnsi="Times New Roman" w:cs="Times New Roman"/>
        </w:rPr>
        <w:t xml:space="preserve">. </w:t>
      </w:r>
      <w:r w:rsidRPr="008B0382" w:rsidR="001A6A27">
        <w:rPr>
          <w:rFonts w:hAnsi="Times New Roman" w:cs="Times New Roman"/>
        </w:rPr>
        <w:t xml:space="preserve"> </w:t>
      </w:r>
      <w:r w:rsidRPr="008B0382" w:rsidR="00EE647F">
        <w:rPr>
          <w:rFonts w:hAnsi="Times New Roman" w:cs="Times New Roman"/>
        </w:rPr>
        <w:t>There,</w:t>
      </w:r>
      <w:r w:rsidRPr="008B0382" w:rsidR="001A6A27">
        <w:rPr>
          <w:rFonts w:hAnsi="Times New Roman" w:cs="Times New Roman"/>
        </w:rPr>
        <w:t xml:space="preserve"> I recommended the Public Utilities Commission of Ohio (“PUCO”) deny the application of Campbell Soup Supply Company L.L.C. (“Campbell” or “Applicant”) for a </w:t>
      </w:r>
      <w:r w:rsidRPr="008B0382" w:rsidR="00BB76B0">
        <w:rPr>
          <w:rFonts w:hAnsi="Times New Roman" w:cs="Times New Roman"/>
        </w:rPr>
        <w:t>unique</w:t>
      </w:r>
      <w:r w:rsidRPr="008B0382" w:rsidR="001A6A27">
        <w:rPr>
          <w:rFonts w:hAnsi="Times New Roman" w:cs="Times New Roman"/>
        </w:rPr>
        <w:t xml:space="preserve"> arrangement</w:t>
      </w:r>
      <w:r w:rsidRPr="008B0382" w:rsidR="00EE647F">
        <w:rPr>
          <w:rFonts w:hAnsi="Times New Roman" w:cs="Times New Roman"/>
        </w:rPr>
        <w:t xml:space="preserve"> given</w:t>
      </w:r>
      <w:r w:rsidRPr="008B0382" w:rsidR="00F370EA">
        <w:rPr>
          <w:rFonts w:hAnsi="Times New Roman" w:cs="Times New Roman"/>
        </w:rPr>
        <w:t>,</w:t>
      </w:r>
      <w:r w:rsidRPr="008B0382" w:rsidR="00EE647F">
        <w:rPr>
          <w:rFonts w:hAnsi="Times New Roman" w:cs="Times New Roman"/>
        </w:rPr>
        <w:t xml:space="preserve"> among other things</w:t>
      </w:r>
      <w:r w:rsidRPr="008B0382" w:rsidR="00F370EA">
        <w:rPr>
          <w:rFonts w:hAnsi="Times New Roman" w:cs="Times New Roman"/>
        </w:rPr>
        <w:t>,</w:t>
      </w:r>
      <w:r w:rsidRPr="008B0382" w:rsidR="00EE647F">
        <w:rPr>
          <w:rFonts w:hAnsi="Times New Roman" w:cs="Times New Roman"/>
        </w:rPr>
        <w:t xml:space="preserve"> the lack of analysis of the pilot program by the PUCO.</w:t>
      </w:r>
      <w:r w:rsidRPr="008B0382" w:rsidR="001A6A27">
        <w:rPr>
          <w:rFonts w:hAnsi="Times New Roman" w:cs="Times New Roman"/>
        </w:rPr>
        <w:t xml:space="preserve"> </w:t>
      </w:r>
      <w:r w:rsidRPr="008B0382" w:rsidR="00EE647F">
        <w:rPr>
          <w:rFonts w:hAnsi="Times New Roman" w:cs="Times New Roman"/>
        </w:rPr>
        <w:t xml:space="preserve">I </w:t>
      </w:r>
      <w:r w:rsidRPr="008B0382" w:rsidR="001A6A27">
        <w:rPr>
          <w:rFonts w:hAnsi="Times New Roman" w:cs="Times New Roman"/>
        </w:rPr>
        <w:t xml:space="preserve"> </w:t>
      </w:r>
      <w:r w:rsidRPr="008B0382" w:rsidR="005B236E">
        <w:rPr>
          <w:rFonts w:hAnsi="Times New Roman" w:cs="Times New Roman"/>
        </w:rPr>
        <w:t xml:space="preserve">recommended </w:t>
      </w:r>
      <w:r w:rsidRPr="008B0382" w:rsidR="008B1115">
        <w:rPr>
          <w:rFonts w:hAnsi="Times New Roman" w:cs="Times New Roman"/>
        </w:rPr>
        <w:t>to</w:t>
      </w:r>
      <w:r w:rsidRPr="008B0382" w:rsidR="001A6A27">
        <w:rPr>
          <w:rFonts w:hAnsi="Times New Roman" w:cs="Times New Roman"/>
        </w:rPr>
        <w:t xml:space="preserve"> the PUCO</w:t>
      </w:r>
      <w:r w:rsidRPr="008B0382" w:rsidR="008B1115">
        <w:rPr>
          <w:rFonts w:hAnsi="Times New Roman" w:cs="Times New Roman"/>
        </w:rPr>
        <w:t xml:space="preserve"> that it</w:t>
      </w:r>
      <w:r w:rsidRPr="008B0382" w:rsidR="001A6A27">
        <w:rPr>
          <w:rFonts w:hAnsi="Times New Roman" w:cs="Times New Roman"/>
        </w:rPr>
        <w:t xml:space="preserve"> </w:t>
      </w:r>
      <w:r w:rsidRPr="008B0382" w:rsidR="005B236E">
        <w:rPr>
          <w:rFonts w:hAnsi="Times New Roman" w:cs="Times New Roman"/>
        </w:rPr>
        <w:t xml:space="preserve">should not </w:t>
      </w:r>
      <w:r w:rsidRPr="008B0382" w:rsidR="001A6469">
        <w:rPr>
          <w:rFonts w:hAnsi="Times New Roman" w:cs="Times New Roman"/>
        </w:rPr>
        <w:t xml:space="preserve">expand the </w:t>
      </w:r>
      <w:r w:rsidRPr="008B0382" w:rsidR="001A6A27">
        <w:rPr>
          <w:rFonts w:hAnsi="Times New Roman" w:cs="Times New Roman"/>
        </w:rPr>
        <w:t>FirstEnergy Non-Market Based Services Rider (“Rider NMB”) opt-out pilot program</w:t>
      </w:r>
      <w:r w:rsidRPr="008B0382" w:rsidR="001A6469">
        <w:rPr>
          <w:rFonts w:hAnsi="Times New Roman" w:cs="Times New Roman"/>
        </w:rPr>
        <w:t xml:space="preserve"> to allow more participants, </w:t>
      </w:r>
      <w:r w:rsidRPr="008B0382" w:rsidR="001A6A27">
        <w:rPr>
          <w:rFonts w:hAnsi="Times New Roman" w:cs="Times New Roman"/>
        </w:rPr>
        <w:t>prior to</w:t>
      </w:r>
      <w:r w:rsidRPr="008B0382" w:rsidR="00EE647F">
        <w:rPr>
          <w:rFonts w:hAnsi="Times New Roman" w:cs="Times New Roman"/>
        </w:rPr>
        <w:t xml:space="preserve"> the PUCO</w:t>
      </w:r>
      <w:r w:rsidRPr="008B0382" w:rsidR="001A6A27">
        <w:rPr>
          <w:rFonts w:hAnsi="Times New Roman" w:cs="Times New Roman"/>
        </w:rPr>
        <w:t xml:space="preserve"> </w:t>
      </w:r>
      <w:r w:rsidRPr="008B0382" w:rsidR="005B236E">
        <w:rPr>
          <w:rFonts w:hAnsi="Times New Roman" w:cs="Times New Roman"/>
        </w:rPr>
        <w:t>Staff conduc</w:t>
      </w:r>
      <w:r w:rsidRPr="008B0382" w:rsidR="008B1115">
        <w:rPr>
          <w:rFonts w:hAnsi="Times New Roman" w:cs="Times New Roman"/>
        </w:rPr>
        <w:t>t</w:t>
      </w:r>
      <w:r w:rsidRPr="008B0382" w:rsidR="001A6469">
        <w:rPr>
          <w:rFonts w:hAnsi="Times New Roman" w:cs="Times New Roman"/>
        </w:rPr>
        <w:t>ing</w:t>
      </w:r>
      <w:r w:rsidRPr="008B0382" w:rsidR="005B236E">
        <w:rPr>
          <w:rFonts w:hAnsi="Times New Roman" w:cs="Times New Roman"/>
        </w:rPr>
        <w:t xml:space="preserve"> </w:t>
      </w:r>
      <w:r w:rsidRPr="008B0382" w:rsidR="006821EA">
        <w:rPr>
          <w:rFonts w:hAnsi="Times New Roman" w:cs="Times New Roman"/>
        </w:rPr>
        <w:t>the</w:t>
      </w:r>
      <w:r w:rsidRPr="008B0382" w:rsidR="005B236E">
        <w:rPr>
          <w:rFonts w:hAnsi="Times New Roman" w:cs="Times New Roman"/>
        </w:rPr>
        <w:t xml:space="preserve"> full review</w:t>
      </w:r>
      <w:r w:rsidRPr="008B0382" w:rsidR="006821EA">
        <w:rPr>
          <w:rFonts w:hAnsi="Times New Roman" w:cs="Times New Roman"/>
        </w:rPr>
        <w:t xml:space="preserve"> that is supposed to occur </w:t>
      </w:r>
      <w:r w:rsidRPr="008B0382" w:rsidR="00A65440">
        <w:rPr>
          <w:rFonts w:hAnsi="Times New Roman" w:cs="Times New Roman"/>
        </w:rPr>
        <w:t>regarding</w:t>
      </w:r>
      <w:r w:rsidRPr="008B0382" w:rsidR="005B236E">
        <w:rPr>
          <w:rFonts w:hAnsi="Times New Roman" w:cs="Times New Roman"/>
        </w:rPr>
        <w:t xml:space="preserve"> the </w:t>
      </w:r>
      <w:r w:rsidRPr="008B0382" w:rsidR="001A6469">
        <w:rPr>
          <w:rFonts w:hAnsi="Times New Roman" w:cs="Times New Roman"/>
        </w:rPr>
        <w:t xml:space="preserve">pilot program. </w:t>
      </w:r>
      <w:r w:rsidRPr="008B0382" w:rsidR="001A6A27">
        <w:rPr>
          <w:rFonts w:hAnsi="Times New Roman" w:cs="Times New Roman"/>
        </w:rPr>
        <w:t xml:space="preserve"> </w:t>
      </w:r>
      <w:r w:rsidRPr="008B0382">
        <w:rPr>
          <w:rFonts w:hAnsi="Times New Roman" w:cs="Times New Roman"/>
        </w:rPr>
        <w:br w:type="page"/>
      </w:r>
    </w:p>
    <w:p w:rsidR="00973184" w:rsidRPr="008B0382" w:rsidP="00D54C56" w14:paraId="658BBE1A" w14:textId="28F0291C">
      <w:pPr>
        <w:pStyle w:val="Heading1"/>
        <w:spacing w:after="0"/>
        <w:rPr>
          <w:rFonts w:ascii="Times New Roman" w:hAnsi="Times New Roman" w:cs="Times New Roman"/>
          <w:szCs w:val="24"/>
        </w:rPr>
      </w:pPr>
      <w:bookmarkStart w:id="3" w:name="_Toc430935283"/>
      <w:bookmarkStart w:id="4" w:name="_Toc85711743"/>
      <w:bookmarkStart w:id="5" w:name="_Toc91084154"/>
      <w:r w:rsidRPr="008B0382">
        <w:rPr>
          <w:rFonts w:ascii="Times New Roman" w:eastAsia="Arial Unicode MS" w:hAnsi="Times New Roman" w:cs="Times New Roman"/>
          <w:szCs w:val="24"/>
        </w:rPr>
        <w:t>II.</w:t>
      </w:r>
      <w:r w:rsidRPr="008B0382">
        <w:rPr>
          <w:rFonts w:ascii="Times New Roman" w:eastAsia="Arial Unicode MS" w:hAnsi="Times New Roman" w:cs="Times New Roman"/>
          <w:szCs w:val="24"/>
        </w:rPr>
        <w:tab/>
        <w:t>PURPOSE OF TESTIMONY</w:t>
      </w:r>
      <w:bookmarkEnd w:id="3"/>
      <w:bookmarkEnd w:id="4"/>
      <w:bookmarkEnd w:id="5"/>
    </w:p>
    <w:p w:rsidR="00973184" w:rsidRPr="008B0382" w:rsidP="00D54C56" w14:paraId="3D08E6A1" w14:textId="77777777">
      <w:pPr>
        <w:pStyle w:val="BodyA"/>
        <w:rPr>
          <w:rFonts w:hAnsi="Times New Roman" w:cs="Times New Roman"/>
        </w:rPr>
      </w:pPr>
    </w:p>
    <w:p w:rsidR="009769C4" w:rsidRPr="008B0382" w:rsidP="00B445AF" w14:paraId="198479A5" w14:textId="0621AD0B">
      <w:pPr>
        <w:pStyle w:val="BodyA"/>
        <w:rPr>
          <w:rFonts w:hAnsi="Times New Roman" w:cs="Times New Roman"/>
          <w:b/>
          <w:bCs/>
          <w:i/>
          <w:iCs/>
        </w:rPr>
      </w:pPr>
      <w:r w:rsidRPr="008B0382">
        <w:rPr>
          <w:rFonts w:hAnsi="Times New Roman" w:cs="Times New Roman"/>
          <w:b/>
          <w:bCs/>
          <w:i/>
          <w:iCs/>
        </w:rPr>
        <w:t>Q</w:t>
      </w:r>
      <w:r w:rsidRPr="008B0382" w:rsidR="001A6A27">
        <w:rPr>
          <w:rFonts w:hAnsi="Times New Roman" w:cs="Times New Roman"/>
          <w:b/>
          <w:bCs/>
          <w:i/>
          <w:iCs/>
        </w:rPr>
        <w:t>3</w:t>
      </w:r>
      <w:r w:rsidRPr="008B0382">
        <w:rPr>
          <w:rFonts w:hAnsi="Times New Roman" w:cs="Times New Roman"/>
          <w:b/>
          <w:bCs/>
          <w:i/>
          <w:iCs/>
        </w:rPr>
        <w:t>.</w:t>
      </w:r>
      <w:r w:rsidRPr="008B0382">
        <w:rPr>
          <w:rFonts w:hAnsi="Times New Roman" w:cs="Times New Roman"/>
          <w:b/>
          <w:bCs/>
          <w:i/>
          <w:iCs/>
        </w:rPr>
        <w:tab/>
      </w:r>
      <w:r w:rsidRPr="008B0382">
        <w:rPr>
          <w:rFonts w:hAnsi="Times New Roman" w:cs="Times New Roman"/>
          <w:b/>
          <w:bCs/>
          <w:i/>
          <w:iCs/>
          <w:caps/>
        </w:rPr>
        <w:t xml:space="preserve">What is the purpose of your </w:t>
      </w:r>
      <w:r w:rsidRPr="008B0382" w:rsidR="001A6A27">
        <w:rPr>
          <w:rFonts w:hAnsi="Times New Roman" w:cs="Times New Roman"/>
          <w:b/>
          <w:bCs/>
          <w:i/>
          <w:iCs/>
          <w:caps/>
        </w:rPr>
        <w:t xml:space="preserve">supplemental </w:t>
      </w:r>
      <w:r w:rsidRPr="008B0382">
        <w:rPr>
          <w:rFonts w:hAnsi="Times New Roman" w:cs="Times New Roman"/>
          <w:b/>
          <w:bCs/>
          <w:i/>
          <w:iCs/>
          <w:caps/>
        </w:rPr>
        <w:t>testimony in this proceeding?</w:t>
      </w:r>
    </w:p>
    <w:p w:rsidR="001A6469" w:rsidRPr="008B0382" w:rsidP="00C179EA" w14:paraId="68CD90C8" w14:textId="6A194E29">
      <w:pPr>
        <w:pStyle w:val="BodyA"/>
        <w:rPr>
          <w:rFonts w:hAnsi="Times New Roman" w:cs="Times New Roman"/>
        </w:rPr>
      </w:pPr>
      <w:r w:rsidRPr="008B0382">
        <w:rPr>
          <w:rFonts w:hAnsi="Times New Roman" w:cs="Times New Roman"/>
          <w:b/>
          <w:bCs/>
          <w:i/>
          <w:iCs/>
        </w:rPr>
        <w:t>A</w:t>
      </w:r>
      <w:r w:rsidRPr="008B0382" w:rsidR="001A6A27">
        <w:rPr>
          <w:rFonts w:hAnsi="Times New Roman" w:cs="Times New Roman"/>
          <w:b/>
          <w:bCs/>
          <w:i/>
          <w:iCs/>
        </w:rPr>
        <w:t>3</w:t>
      </w:r>
      <w:r w:rsidRPr="008B0382">
        <w:rPr>
          <w:rFonts w:hAnsi="Times New Roman" w:cs="Times New Roman"/>
          <w:b/>
          <w:bCs/>
          <w:i/>
          <w:iCs/>
        </w:rPr>
        <w:t>.</w:t>
      </w:r>
      <w:r w:rsidRPr="008B0382" w:rsidR="00275B98">
        <w:rPr>
          <w:rFonts w:hAnsi="Times New Roman" w:cs="Times New Roman"/>
          <w:b/>
          <w:bCs/>
          <w:i/>
          <w:iCs/>
        </w:rPr>
        <w:tab/>
      </w:r>
      <w:r w:rsidRPr="008B0382" w:rsidR="001A6A27">
        <w:rPr>
          <w:rFonts w:hAnsi="Times New Roman" w:cs="Times New Roman"/>
        </w:rPr>
        <w:t xml:space="preserve">The purpose of my Supplemental Testimony is to express opinions regarding the </w:t>
      </w:r>
      <w:r w:rsidRPr="008B0382" w:rsidR="000754FC">
        <w:rPr>
          <w:rFonts w:hAnsi="Times New Roman" w:cs="Times New Roman"/>
        </w:rPr>
        <w:t xml:space="preserve">Settlement between </w:t>
      </w:r>
      <w:r w:rsidRPr="008B0382" w:rsidR="00937F0B">
        <w:rPr>
          <w:rFonts w:hAnsi="Times New Roman" w:cs="Times New Roman"/>
        </w:rPr>
        <w:t xml:space="preserve">the </w:t>
      </w:r>
      <w:r w:rsidRPr="008B0382" w:rsidR="000754FC">
        <w:rPr>
          <w:rFonts w:hAnsi="Times New Roman" w:cs="Times New Roman"/>
        </w:rPr>
        <w:t xml:space="preserve">PUCO Staff and </w:t>
      </w:r>
      <w:r w:rsidRPr="008B0382" w:rsidR="00E00196">
        <w:rPr>
          <w:rFonts w:hAnsi="Times New Roman" w:cs="Times New Roman"/>
        </w:rPr>
        <w:t>the Applicant</w:t>
      </w:r>
      <w:r w:rsidRPr="008B0382" w:rsidR="000754FC">
        <w:rPr>
          <w:rFonts w:hAnsi="Times New Roman" w:cs="Times New Roman"/>
        </w:rPr>
        <w:t xml:space="preserve">. </w:t>
      </w:r>
      <w:r w:rsidRPr="008B0382" w:rsidR="00C179EA">
        <w:rPr>
          <w:rFonts w:hAnsi="Times New Roman" w:cs="Times New Roman"/>
        </w:rPr>
        <w:t>On December 9, 2021</w:t>
      </w:r>
      <w:r w:rsidRPr="008B0382" w:rsidR="00937F0B">
        <w:rPr>
          <w:rFonts w:hAnsi="Times New Roman" w:cs="Times New Roman"/>
        </w:rPr>
        <w:t>,</w:t>
      </w:r>
      <w:r w:rsidRPr="008B0382" w:rsidR="00C179EA">
        <w:rPr>
          <w:rFonts w:hAnsi="Times New Roman" w:cs="Times New Roman"/>
        </w:rPr>
        <w:t xml:space="preserve"> the Applicant </w:t>
      </w:r>
      <w:r w:rsidRPr="008B0382" w:rsidR="000754FC">
        <w:rPr>
          <w:rFonts w:hAnsi="Times New Roman" w:cs="Times New Roman"/>
        </w:rPr>
        <w:t xml:space="preserve"> </w:t>
      </w:r>
      <w:r w:rsidRPr="008B0382" w:rsidR="00C179EA">
        <w:rPr>
          <w:rFonts w:hAnsi="Times New Roman" w:cs="Times New Roman"/>
        </w:rPr>
        <w:t>filed a Joint Stipulation and Recommendation (“Settlement”)</w:t>
      </w:r>
      <w:r w:rsidRPr="008B0382" w:rsidR="00BB76B0">
        <w:rPr>
          <w:rFonts w:hAnsi="Times New Roman" w:cs="Times New Roman"/>
        </w:rPr>
        <w:t xml:space="preserve"> </w:t>
      </w:r>
      <w:r w:rsidRPr="008B0382" w:rsidR="00C179EA">
        <w:rPr>
          <w:rFonts w:hAnsi="Times New Roman" w:cs="Times New Roman"/>
        </w:rPr>
        <w:t>which accepted the Application</w:t>
      </w:r>
      <w:r w:rsidRPr="008B0382" w:rsidR="00114DD5">
        <w:rPr>
          <w:rFonts w:hAnsi="Times New Roman" w:cs="Times New Roman"/>
        </w:rPr>
        <w:t xml:space="preserve"> as filed, with no modifications</w:t>
      </w:r>
      <w:r w:rsidRPr="008B0382" w:rsidR="00C179EA">
        <w:rPr>
          <w:rFonts w:hAnsi="Times New Roman" w:cs="Times New Roman"/>
        </w:rPr>
        <w:t xml:space="preserve">. </w:t>
      </w:r>
      <w:r w:rsidRPr="008B0382" w:rsidR="00937F0B">
        <w:rPr>
          <w:rFonts w:hAnsi="Times New Roman" w:cs="Times New Roman"/>
        </w:rPr>
        <w:t>T</w:t>
      </w:r>
      <w:r w:rsidRPr="008B0382" w:rsidR="00E00196">
        <w:rPr>
          <w:rFonts w:hAnsi="Times New Roman" w:cs="Times New Roman"/>
        </w:rPr>
        <w:t>he Applicant</w:t>
      </w:r>
      <w:r w:rsidRPr="008B0382" w:rsidR="00C179EA">
        <w:rPr>
          <w:rFonts w:hAnsi="Times New Roman" w:cs="Times New Roman"/>
        </w:rPr>
        <w:t xml:space="preserve"> and the PUCO Staff are the only signatory parties to the Settlement. </w:t>
      </w:r>
    </w:p>
    <w:p w:rsidR="001A6469" w:rsidRPr="008B0382" w:rsidP="00C179EA" w14:paraId="334B6ACE" w14:textId="77777777">
      <w:pPr>
        <w:pStyle w:val="BodyA"/>
        <w:rPr>
          <w:rFonts w:hAnsi="Times New Roman" w:cs="Times New Roman"/>
        </w:rPr>
      </w:pPr>
    </w:p>
    <w:p w:rsidR="00100112" w:rsidRPr="008B0382" w:rsidP="00C578D5" w14:paraId="4779A2A2" w14:textId="2F60FEF3">
      <w:pPr>
        <w:pStyle w:val="BodyA"/>
        <w:ind w:firstLine="0"/>
        <w:rPr>
          <w:rFonts w:hAnsi="Times New Roman" w:cs="Times New Roman"/>
          <w:bCs/>
          <w:iCs/>
        </w:rPr>
      </w:pPr>
      <w:r w:rsidRPr="008B0382">
        <w:rPr>
          <w:rFonts w:hAnsi="Times New Roman" w:cs="Times New Roman"/>
        </w:rPr>
        <w:t>This Supplemental Testimony contains my recommendations regarding the Settlement and whether it passes the three-pronged test of the PUCO for evaluating the reasonableness of a proposed settlement.</w:t>
      </w:r>
      <w:r w:rsidRPr="008B0382" w:rsidR="00F9304E">
        <w:rPr>
          <w:rFonts w:hAnsi="Times New Roman" w:cs="Times New Roman"/>
          <w:bCs/>
          <w:iCs/>
        </w:rPr>
        <w:t xml:space="preserve"> </w:t>
      </w:r>
      <w:r w:rsidRPr="008B0382" w:rsidR="00DE16C2">
        <w:rPr>
          <w:rFonts w:hAnsi="Times New Roman" w:cs="Times New Roman"/>
          <w:bCs/>
          <w:iCs/>
        </w:rPr>
        <w:t xml:space="preserve"> </w:t>
      </w:r>
      <w:r w:rsidRPr="008B0382" w:rsidR="00937F0B">
        <w:rPr>
          <w:rFonts w:hAnsi="Times New Roman" w:cs="Times New Roman"/>
          <w:bCs/>
          <w:iCs/>
        </w:rPr>
        <w:t xml:space="preserve">In addressing the PUCO’s settlement standards, I am not suggesting that the settlement standards </w:t>
      </w:r>
      <w:r w:rsidRPr="008B0382" w:rsidR="00E4758F">
        <w:rPr>
          <w:rFonts w:hAnsi="Times New Roman" w:cs="Times New Roman"/>
          <w:bCs/>
          <w:iCs/>
        </w:rPr>
        <w:t>themselves are fair</w:t>
      </w:r>
      <w:r w:rsidRPr="008B0382" w:rsidR="00937F0B">
        <w:rPr>
          <w:rFonts w:hAnsi="Times New Roman" w:cs="Times New Roman"/>
          <w:bCs/>
          <w:iCs/>
        </w:rPr>
        <w:t xml:space="preserve">. </w:t>
      </w:r>
      <w:r w:rsidRPr="008B0382" w:rsidR="00A65440">
        <w:rPr>
          <w:rFonts w:hAnsi="Times New Roman" w:cs="Times New Roman"/>
          <w:bCs/>
          <w:iCs/>
        </w:rPr>
        <w:t>The PUCO’s settlement standards should be reformed.</w:t>
      </w:r>
    </w:p>
    <w:p w:rsidR="002C6DB2" w:rsidRPr="008B0382" w:rsidP="00D54C56" w14:paraId="47DE7D51" w14:textId="77777777">
      <w:pPr>
        <w:pStyle w:val="BodyA"/>
        <w:rPr>
          <w:rFonts w:hAnsi="Times New Roman" w:cs="Times New Roman"/>
          <w:bCs/>
          <w:iCs/>
        </w:rPr>
      </w:pPr>
    </w:p>
    <w:p w:rsidR="00C179EA" w:rsidRPr="008B0382" w:rsidP="00C179EA" w14:paraId="33CF74ED" w14:textId="3F21989E">
      <w:pPr>
        <w:pStyle w:val="BodyA"/>
        <w:rPr>
          <w:rFonts w:hAnsi="Times New Roman" w:cs="Times New Roman"/>
        </w:rPr>
      </w:pPr>
      <w:r w:rsidRPr="008B0382">
        <w:rPr>
          <w:rFonts w:hAnsi="Times New Roman" w:cs="Times New Roman"/>
          <w:b/>
          <w:i/>
        </w:rPr>
        <w:t>Q4.</w:t>
      </w:r>
      <w:r w:rsidRPr="008B0382">
        <w:rPr>
          <w:rFonts w:hAnsi="Times New Roman" w:cs="Times New Roman"/>
          <w:b/>
          <w:i/>
        </w:rPr>
        <w:tab/>
        <w:t>PLEASE SUMMARIZE YOUR OPINIONS REGARDING THE SETTLEMENT.</w:t>
      </w:r>
    </w:p>
    <w:p w:rsidR="002C6DB2" w:rsidRPr="008B0382" w:rsidP="002C6DB2" w14:paraId="007E25B8" w14:textId="1C3DEAF5">
      <w:pPr>
        <w:pStyle w:val="BodyA"/>
        <w:rPr>
          <w:rFonts w:hAnsi="Times New Roman" w:cs="Times New Roman"/>
        </w:rPr>
      </w:pPr>
      <w:r w:rsidRPr="008B0382">
        <w:rPr>
          <w:rFonts w:hAnsi="Times New Roman" w:cs="Times New Roman"/>
          <w:b/>
          <w:i/>
        </w:rPr>
        <w:t>A</w:t>
      </w:r>
      <w:r w:rsidRPr="008B0382" w:rsidR="00C179EA">
        <w:rPr>
          <w:rFonts w:hAnsi="Times New Roman" w:cs="Times New Roman"/>
          <w:b/>
          <w:i/>
        </w:rPr>
        <w:t>4</w:t>
      </w:r>
      <w:r w:rsidRPr="008B0382">
        <w:rPr>
          <w:rFonts w:hAnsi="Times New Roman" w:cs="Times New Roman"/>
          <w:b/>
          <w:i/>
        </w:rPr>
        <w:t>.</w:t>
      </w:r>
      <w:r w:rsidRPr="008B0382">
        <w:rPr>
          <w:rFonts w:hAnsi="Times New Roman" w:cs="Times New Roman"/>
        </w:rPr>
        <w:tab/>
      </w:r>
      <w:r w:rsidRPr="008B0382" w:rsidR="00C179EA">
        <w:rPr>
          <w:rFonts w:hAnsi="Times New Roman" w:cs="Times New Roman"/>
        </w:rPr>
        <w:t xml:space="preserve">The Settlement does not meet the PUCO’s three-pronged test. </w:t>
      </w:r>
      <w:r w:rsidRPr="008B0382" w:rsidR="00914E83">
        <w:rPr>
          <w:rFonts w:hAnsi="Times New Roman" w:cs="Times New Roman"/>
        </w:rPr>
        <w:t>A</w:t>
      </w:r>
      <w:r w:rsidRPr="008B0382" w:rsidR="001F5AEC">
        <w:rPr>
          <w:rFonts w:hAnsi="Times New Roman" w:cs="Times New Roman"/>
        </w:rPr>
        <w:t xml:space="preserve"> </w:t>
      </w:r>
      <w:r w:rsidRPr="008B0382" w:rsidR="00914E83">
        <w:rPr>
          <w:rFonts w:hAnsi="Times New Roman" w:cs="Times New Roman"/>
        </w:rPr>
        <w:t xml:space="preserve">core problem with the Settlement is that giving a customer this favorable treatment of a lower charge will result in FirstEnergy charging other customers more (including residential consumers) to make up the difference. </w:t>
      </w:r>
      <w:r w:rsidRPr="008B0382" w:rsidR="00DB0E99">
        <w:rPr>
          <w:rFonts w:hAnsi="Times New Roman" w:cs="Times New Roman"/>
        </w:rPr>
        <w:t>Our consumer concern is not unique to the Applicant in this case</w:t>
      </w:r>
      <w:r w:rsidRPr="008B0382" w:rsidR="006B0358">
        <w:rPr>
          <w:rFonts w:hAnsi="Times New Roman" w:cs="Times New Roman"/>
        </w:rPr>
        <w:t xml:space="preserve">. Indeed, OCC did not sign the FirstEnergy electric security plan settlement in </w:t>
      </w:r>
      <w:r w:rsidRPr="008B0382" w:rsidR="00EE647F">
        <w:rPr>
          <w:rFonts w:hAnsi="Times New Roman" w:cs="Times New Roman"/>
        </w:rPr>
        <w:t>C</w:t>
      </w:r>
      <w:r w:rsidRPr="008B0382" w:rsidR="006B0358">
        <w:rPr>
          <w:rFonts w:hAnsi="Times New Roman" w:cs="Times New Roman"/>
        </w:rPr>
        <w:t>ase</w:t>
      </w:r>
      <w:r w:rsidRPr="008B0382" w:rsidR="00EE647F">
        <w:rPr>
          <w:rFonts w:hAnsi="Times New Roman" w:cs="Times New Roman"/>
        </w:rPr>
        <w:t xml:space="preserve"> No.</w:t>
      </w:r>
      <w:r w:rsidRPr="008B0382" w:rsidR="006B0358">
        <w:rPr>
          <w:rFonts w:hAnsi="Times New Roman" w:cs="Times New Roman"/>
        </w:rPr>
        <w:t xml:space="preserve"> </w:t>
      </w:r>
      <w:r w:rsidRPr="008B0382" w:rsidR="00EE647F">
        <w:rPr>
          <w:rFonts w:hAnsi="Times New Roman" w:cs="Times New Roman"/>
        </w:rPr>
        <w:t>14-129</w:t>
      </w:r>
      <w:r w:rsidRPr="008B0382" w:rsidR="00A27226">
        <w:rPr>
          <w:rFonts w:hAnsi="Times New Roman" w:cs="Times New Roman"/>
        </w:rPr>
        <w:t>7</w:t>
      </w:r>
      <w:r w:rsidRPr="008B0382" w:rsidR="00EE647F">
        <w:rPr>
          <w:rFonts w:hAnsi="Times New Roman" w:cs="Times New Roman"/>
        </w:rPr>
        <w:t>-EL-SSO</w:t>
      </w:r>
      <w:r w:rsidRPr="008B0382" w:rsidR="006B0358">
        <w:rPr>
          <w:rFonts w:hAnsi="Times New Roman" w:cs="Times New Roman"/>
        </w:rPr>
        <w:t xml:space="preserve"> that created this pilot program and our concern.</w:t>
      </w:r>
      <w:r w:rsidRPr="008B0382" w:rsidR="000754FC">
        <w:rPr>
          <w:rFonts w:hAnsi="Times New Roman" w:cs="Times New Roman"/>
        </w:rPr>
        <w:t xml:space="preserve"> </w:t>
      </w:r>
      <w:r w:rsidRPr="008B0382" w:rsidR="00C179EA">
        <w:rPr>
          <w:rFonts w:hAnsi="Times New Roman" w:cs="Times New Roman"/>
        </w:rPr>
        <w:t xml:space="preserve">However, if the </w:t>
      </w:r>
      <w:r w:rsidRPr="008B0382" w:rsidR="007659A5">
        <w:rPr>
          <w:rFonts w:hAnsi="Times New Roman" w:cs="Times New Roman"/>
        </w:rPr>
        <w:t>Settlement w</w:t>
      </w:r>
      <w:r w:rsidRPr="008B0382" w:rsidR="00F370EA">
        <w:rPr>
          <w:rFonts w:hAnsi="Times New Roman" w:cs="Times New Roman"/>
        </w:rPr>
        <w:t>ere</w:t>
      </w:r>
      <w:r w:rsidRPr="008B0382" w:rsidR="007659A5">
        <w:rPr>
          <w:rFonts w:hAnsi="Times New Roman" w:cs="Times New Roman"/>
        </w:rPr>
        <w:t xml:space="preserve"> modified to adopt the </w:t>
      </w:r>
      <w:r w:rsidRPr="008B0382" w:rsidR="00C179EA">
        <w:rPr>
          <w:rFonts w:hAnsi="Times New Roman" w:cs="Times New Roman"/>
        </w:rPr>
        <w:t xml:space="preserve">recommendations contained in </w:t>
      </w:r>
      <w:r w:rsidRPr="008B0382" w:rsidR="00CB04C0">
        <w:rPr>
          <w:rFonts w:hAnsi="Times New Roman" w:cs="Times New Roman"/>
        </w:rPr>
        <w:t xml:space="preserve">this testimony and </w:t>
      </w:r>
      <w:r w:rsidRPr="008B0382" w:rsidR="00C179EA">
        <w:rPr>
          <w:rFonts w:hAnsi="Times New Roman" w:cs="Times New Roman"/>
        </w:rPr>
        <w:t>my filed Direct Testimony, then the Settlement could meet the PUCO's three-pronged test.</w:t>
      </w:r>
      <w:r w:rsidRPr="008B0382" w:rsidR="00AC7CB3">
        <w:rPr>
          <w:rFonts w:hAnsi="Times New Roman" w:cs="Times New Roman"/>
        </w:rPr>
        <w:t xml:space="preserve"> </w:t>
      </w:r>
      <w:r w:rsidRPr="008B0382" w:rsidR="002435A9">
        <w:rPr>
          <w:rFonts w:hAnsi="Times New Roman" w:cs="Times New Roman"/>
        </w:rPr>
        <w:t xml:space="preserve"> </w:t>
      </w:r>
      <w:r w:rsidRPr="008B0382" w:rsidR="003617A9">
        <w:rPr>
          <w:rFonts w:hAnsi="Times New Roman" w:cs="Times New Roman"/>
        </w:rPr>
        <w:t xml:space="preserve"> </w:t>
      </w:r>
    </w:p>
    <w:p w:rsidR="0032322A" w:rsidRPr="008B0382" w:rsidP="0032322A" w14:paraId="14FAD780" w14:textId="5F04E734">
      <w:pPr>
        <w:pStyle w:val="BodyA"/>
        <w:rPr>
          <w:rFonts w:hAnsi="Times New Roman" w:cs="Times New Roman"/>
        </w:rPr>
      </w:pPr>
    </w:p>
    <w:p w:rsidR="0032322A" w:rsidRPr="008B0382" w:rsidP="0032322A" w14:paraId="534B7A7E" w14:textId="6A1677B5">
      <w:pPr>
        <w:pStyle w:val="BodyA"/>
        <w:rPr>
          <w:rFonts w:hAnsi="Times New Roman" w:cs="Times New Roman"/>
          <w:b/>
          <w:i/>
        </w:rPr>
      </w:pPr>
      <w:r w:rsidRPr="008B0382">
        <w:rPr>
          <w:rFonts w:hAnsi="Times New Roman" w:cs="Times New Roman"/>
          <w:b/>
          <w:i/>
        </w:rPr>
        <w:t>Q</w:t>
      </w:r>
      <w:r w:rsidRPr="008B0382" w:rsidR="006E78E2">
        <w:rPr>
          <w:rFonts w:hAnsi="Times New Roman" w:cs="Times New Roman"/>
          <w:b/>
          <w:i/>
        </w:rPr>
        <w:t>5</w:t>
      </w:r>
      <w:r w:rsidRPr="008B0382">
        <w:rPr>
          <w:rFonts w:hAnsi="Times New Roman" w:cs="Times New Roman"/>
          <w:b/>
          <w:i/>
        </w:rPr>
        <w:t>.</w:t>
      </w:r>
      <w:r w:rsidRPr="008B0382">
        <w:rPr>
          <w:rFonts w:hAnsi="Times New Roman" w:cs="Times New Roman"/>
          <w:b/>
          <w:i/>
        </w:rPr>
        <w:tab/>
      </w:r>
      <w:r w:rsidRPr="008B0382" w:rsidR="006E78E2">
        <w:rPr>
          <w:rFonts w:hAnsi="Times New Roman" w:cs="Times New Roman"/>
          <w:b/>
          <w:i/>
          <w:caps/>
        </w:rPr>
        <w:t xml:space="preserve">WHAT </w:t>
      </w:r>
      <w:r w:rsidRPr="008B0382" w:rsidR="00E00196">
        <w:rPr>
          <w:rFonts w:hAnsi="Times New Roman" w:cs="Times New Roman"/>
          <w:b/>
          <w:i/>
          <w:caps/>
        </w:rPr>
        <w:t>IS</w:t>
      </w:r>
      <w:r w:rsidRPr="008B0382" w:rsidR="006E78E2">
        <w:rPr>
          <w:rFonts w:hAnsi="Times New Roman" w:cs="Times New Roman"/>
          <w:b/>
          <w:i/>
          <w:caps/>
        </w:rPr>
        <w:t xml:space="preserve"> THE PUCO’S STANDARD OF REVIEW FOR EVALUATING PROPOSED SETTLEMENTS?</w:t>
      </w:r>
    </w:p>
    <w:p w:rsidR="006E78E2" w:rsidRPr="008B0382" w:rsidP="006E78E2" w14:paraId="4F183D90" w14:textId="77777777">
      <w:pPr>
        <w:pStyle w:val="DirectAnswer"/>
        <w:rPr>
          <w:rFonts w:hAnsi="Times New Roman" w:cs="Times New Roman"/>
        </w:rPr>
      </w:pPr>
      <w:r w:rsidRPr="008B0382">
        <w:rPr>
          <w:rFonts w:hAnsi="Times New Roman" w:cs="Times New Roman"/>
          <w:b/>
          <w:bCs/>
          <w:i/>
          <w:iCs/>
        </w:rPr>
        <w:t>A5</w:t>
      </w:r>
      <w:r w:rsidRPr="008B0382">
        <w:rPr>
          <w:rFonts w:hAnsi="Times New Roman" w:cs="Times New Roman"/>
        </w:rPr>
        <w:t>.</w:t>
      </w:r>
      <w:r w:rsidRPr="008B0382">
        <w:rPr>
          <w:rFonts w:hAnsi="Times New Roman" w:cs="Times New Roman"/>
        </w:rPr>
        <w:tab/>
        <w:t>The PUCO uses these criteria for evaluating the reasonableness of a proposed settlement:</w:t>
      </w:r>
    </w:p>
    <w:p w:rsidR="006E78E2" w:rsidRPr="008B0382" w:rsidP="006E78E2" w14:paraId="6FFEAA2E" w14:textId="6BC346D4">
      <w:pPr>
        <w:pStyle w:val="DirectNext"/>
        <w:numPr>
          <w:ilvl w:val="0"/>
          <w:numId w:val="19"/>
        </w:numPr>
        <w:tabs>
          <w:tab w:val="num" w:pos="2160"/>
        </w:tabs>
        <w:spacing w:line="480" w:lineRule="auto"/>
        <w:ind w:left="2160" w:right="720" w:hanging="720"/>
        <w:rPr>
          <w:rFonts w:hAnsi="Times New Roman" w:cs="Times New Roman"/>
        </w:rPr>
      </w:pPr>
      <w:r w:rsidRPr="008B0382">
        <w:rPr>
          <w:rFonts w:hAnsi="Times New Roman" w:cs="Times New Roman"/>
        </w:rPr>
        <w:t xml:space="preserve">Is the settlement a product of serious bargaining among capable, knowledgeable parties? </w:t>
      </w:r>
    </w:p>
    <w:p w:rsidR="006E78E2" w:rsidRPr="008B0382" w:rsidP="006E78E2" w14:paraId="544B84F4" w14:textId="68D38807">
      <w:pPr>
        <w:pStyle w:val="BodyA"/>
        <w:numPr>
          <w:ilvl w:val="0"/>
          <w:numId w:val="19"/>
        </w:numPr>
        <w:ind w:left="2070" w:hanging="630"/>
        <w:rPr>
          <w:rFonts w:hAnsi="Times New Roman" w:cs="Times New Roman"/>
        </w:rPr>
      </w:pPr>
      <w:r w:rsidRPr="008B0382">
        <w:rPr>
          <w:rFonts w:hAnsi="Times New Roman" w:cs="Times New Roman"/>
        </w:rPr>
        <w:t>Does the settlement, as a package, benefit customers and the public interest?</w:t>
      </w:r>
      <w:r>
        <w:rPr>
          <w:rFonts w:hAnsi="Times New Roman" w:cs="Times New Roman"/>
          <w:vertAlign w:val="superscript"/>
        </w:rPr>
        <w:footnoteReference w:id="3"/>
      </w:r>
      <w:r w:rsidRPr="008B0382">
        <w:rPr>
          <w:rFonts w:hAnsi="Times New Roman" w:cs="Times New Roman"/>
        </w:rPr>
        <w:t xml:space="preserve">  </w:t>
      </w:r>
    </w:p>
    <w:p w:rsidR="006E78E2" w:rsidRPr="008B0382" w:rsidP="006E78E2" w14:paraId="17D3A3FE" w14:textId="6B0903D0">
      <w:pPr>
        <w:pStyle w:val="DirectNext"/>
        <w:numPr>
          <w:ilvl w:val="0"/>
          <w:numId w:val="19"/>
        </w:numPr>
        <w:tabs>
          <w:tab w:val="num" w:pos="2160"/>
        </w:tabs>
        <w:spacing w:line="480" w:lineRule="auto"/>
        <w:ind w:left="2160" w:right="720" w:hanging="720"/>
        <w:rPr>
          <w:rFonts w:hAnsi="Times New Roman" w:cs="Times New Roman"/>
        </w:rPr>
      </w:pPr>
      <w:r w:rsidRPr="008B0382">
        <w:rPr>
          <w:rFonts w:hAnsi="Times New Roman" w:cs="Times New Roman"/>
        </w:rPr>
        <w:t>Does the settlement package violate any important regulatory principle or practice?</w:t>
      </w:r>
    </w:p>
    <w:p w:rsidR="009F7533" w:rsidRPr="008B0382" w:rsidP="009F7533" w14:paraId="53E4428A" w14:textId="77777777">
      <w:pPr>
        <w:pStyle w:val="DirectNext"/>
        <w:spacing w:line="480" w:lineRule="auto"/>
        <w:ind w:left="2160" w:right="720" w:firstLine="0"/>
        <w:rPr>
          <w:rFonts w:hAnsi="Times New Roman" w:cs="Times New Roman"/>
        </w:rPr>
      </w:pPr>
    </w:p>
    <w:p w:rsidR="001C5792" w:rsidRPr="008B0382" w:rsidP="007659A5" w14:paraId="05057CE7" w14:textId="77777777">
      <w:pPr>
        <w:pStyle w:val="BodyA"/>
        <w:ind w:firstLine="0"/>
        <w:rPr>
          <w:rFonts w:hAnsi="Times New Roman" w:cs="Times New Roman"/>
        </w:rPr>
        <w:sectPr w:rsidSect="009F7533">
          <w:headerReference w:type="default" r:id="rId9"/>
          <w:footerReference w:type="default" r:id="rId10"/>
          <w:pgSz w:w="12240" w:h="15840"/>
          <w:pgMar w:top="1440" w:right="1800" w:bottom="1440" w:left="1800" w:header="360" w:footer="720" w:gutter="0"/>
          <w:lnNumType w:countBy="1"/>
          <w:pgNumType w:start="1"/>
          <w:cols w:space="720"/>
          <w:docGrid w:linePitch="326"/>
        </w:sectPr>
      </w:pPr>
      <w:r w:rsidRPr="008B0382">
        <w:rPr>
          <w:rFonts w:hAnsi="Times New Roman" w:cs="Times New Roman"/>
        </w:rPr>
        <w:t>In assessing the first prong, the PUCO also has considered at times if there is diversity of interests among the stipulating parties.</w:t>
      </w:r>
    </w:p>
    <w:p w:rsidR="00AC7CB3" w:rsidRPr="008B0382" w:rsidP="00AC7CB3" w14:paraId="2119EE8D" w14:textId="7B89510E">
      <w:pPr>
        <w:pStyle w:val="BodyA"/>
        <w:rPr>
          <w:rFonts w:hAnsi="Times New Roman" w:cs="Times New Roman"/>
          <w:b/>
          <w:i/>
        </w:rPr>
      </w:pPr>
      <w:r w:rsidRPr="008B0382">
        <w:rPr>
          <w:rFonts w:hAnsi="Times New Roman" w:cs="Times New Roman"/>
          <w:b/>
          <w:i/>
        </w:rPr>
        <w:t>Q</w:t>
      </w:r>
      <w:r w:rsidRPr="008B0382" w:rsidR="007604CD">
        <w:rPr>
          <w:rFonts w:hAnsi="Times New Roman" w:cs="Times New Roman"/>
          <w:b/>
          <w:i/>
        </w:rPr>
        <w:t>6</w:t>
      </w:r>
      <w:r w:rsidRPr="008B0382">
        <w:rPr>
          <w:rFonts w:hAnsi="Times New Roman" w:cs="Times New Roman"/>
          <w:b/>
          <w:i/>
        </w:rPr>
        <w:t>.</w:t>
      </w:r>
      <w:r w:rsidRPr="008B0382">
        <w:rPr>
          <w:rFonts w:hAnsi="Times New Roman" w:cs="Times New Roman"/>
          <w:b/>
          <w:i/>
        </w:rPr>
        <w:tab/>
      </w:r>
      <w:r w:rsidRPr="008B0382" w:rsidR="006E78E2">
        <w:rPr>
          <w:rFonts w:hAnsi="Times New Roman" w:cs="Times New Roman"/>
          <w:b/>
          <w:bCs/>
          <w:i/>
          <w:iCs/>
          <w:caps/>
        </w:rPr>
        <w:t>Does the settlement meet the first prong of the standard?</w:t>
      </w:r>
    </w:p>
    <w:p w:rsidR="00114DD5" w:rsidRPr="008B0382" w:rsidP="006E78E2" w14:paraId="44031F55" w14:textId="5085FF86">
      <w:pPr>
        <w:pStyle w:val="BodyA"/>
        <w:rPr>
          <w:rFonts w:hAnsi="Times New Roman" w:cs="Times New Roman"/>
        </w:rPr>
      </w:pPr>
      <w:r w:rsidRPr="008B0382">
        <w:rPr>
          <w:rFonts w:hAnsi="Times New Roman" w:cs="Times New Roman"/>
          <w:b/>
          <w:i/>
        </w:rPr>
        <w:t>A</w:t>
      </w:r>
      <w:r w:rsidRPr="008B0382" w:rsidR="007604CD">
        <w:rPr>
          <w:rFonts w:hAnsi="Times New Roman" w:cs="Times New Roman"/>
          <w:b/>
          <w:i/>
        </w:rPr>
        <w:t>6</w:t>
      </w:r>
      <w:r w:rsidRPr="008B0382">
        <w:rPr>
          <w:rFonts w:hAnsi="Times New Roman" w:cs="Times New Roman"/>
          <w:b/>
          <w:i/>
        </w:rPr>
        <w:t>.</w:t>
      </w:r>
      <w:r w:rsidRPr="008B0382">
        <w:rPr>
          <w:rFonts w:hAnsi="Times New Roman" w:cs="Times New Roman"/>
        </w:rPr>
        <w:tab/>
      </w:r>
      <w:r w:rsidRPr="008B0382" w:rsidR="006E78E2">
        <w:rPr>
          <w:rFonts w:hAnsi="Times New Roman" w:cs="Times New Roman"/>
        </w:rPr>
        <w:t>No</w:t>
      </w:r>
      <w:r w:rsidRPr="008B0382" w:rsidR="000754FC">
        <w:rPr>
          <w:rFonts w:hAnsi="Times New Roman" w:cs="Times New Roman"/>
        </w:rPr>
        <w:t xml:space="preserve">.  The Settlement failed it </w:t>
      </w:r>
      <w:r w:rsidRPr="008B0382" w:rsidR="006E78E2">
        <w:rPr>
          <w:rFonts w:hAnsi="Times New Roman" w:cs="Times New Roman"/>
        </w:rPr>
        <w:t xml:space="preserve">in several areas. First, the </w:t>
      </w:r>
      <w:r w:rsidRPr="008B0382" w:rsidR="00CB04C0">
        <w:rPr>
          <w:rFonts w:hAnsi="Times New Roman" w:cs="Times New Roman"/>
        </w:rPr>
        <w:t>S</w:t>
      </w:r>
      <w:r w:rsidRPr="008B0382" w:rsidR="006E78E2">
        <w:rPr>
          <w:rFonts w:hAnsi="Times New Roman" w:cs="Times New Roman"/>
        </w:rPr>
        <w:t>ettlement lacks diversity. That means customers (including residential</w:t>
      </w:r>
      <w:r w:rsidRPr="008B0382" w:rsidR="007659A5">
        <w:rPr>
          <w:rFonts w:hAnsi="Times New Roman" w:cs="Times New Roman"/>
        </w:rPr>
        <w:t xml:space="preserve"> cons</w:t>
      </w:r>
      <w:r w:rsidRPr="008B0382" w:rsidR="00B15733">
        <w:rPr>
          <w:rFonts w:hAnsi="Times New Roman" w:cs="Times New Roman"/>
        </w:rPr>
        <w:t>u</w:t>
      </w:r>
      <w:r w:rsidRPr="008B0382" w:rsidR="007659A5">
        <w:rPr>
          <w:rFonts w:hAnsi="Times New Roman" w:cs="Times New Roman"/>
        </w:rPr>
        <w:t>mers</w:t>
      </w:r>
      <w:r w:rsidRPr="008B0382" w:rsidR="006E78E2">
        <w:rPr>
          <w:rFonts w:hAnsi="Times New Roman" w:cs="Times New Roman"/>
        </w:rPr>
        <w:t xml:space="preserve">) who could </w:t>
      </w:r>
      <w:r w:rsidRPr="008B0382" w:rsidR="00BB76B0">
        <w:rPr>
          <w:rFonts w:hAnsi="Times New Roman" w:cs="Times New Roman"/>
        </w:rPr>
        <w:t>have transmission costs shifted to them</w:t>
      </w:r>
      <w:r w:rsidRPr="008B0382" w:rsidR="006E78E2">
        <w:rPr>
          <w:rFonts w:hAnsi="Times New Roman" w:cs="Times New Roman"/>
        </w:rPr>
        <w:t xml:space="preserve"> as a result of </w:t>
      </w:r>
      <w:r w:rsidRPr="008B0382" w:rsidR="00E00196">
        <w:rPr>
          <w:rFonts w:hAnsi="Times New Roman" w:cs="Times New Roman"/>
        </w:rPr>
        <w:t>the Applicant</w:t>
      </w:r>
      <w:r w:rsidRPr="008B0382" w:rsidR="000754FC">
        <w:rPr>
          <w:rFonts w:hAnsi="Times New Roman" w:cs="Times New Roman"/>
        </w:rPr>
        <w:t xml:space="preserve">’s participation in </w:t>
      </w:r>
      <w:r w:rsidRPr="008B0382" w:rsidR="006E78E2">
        <w:rPr>
          <w:rFonts w:hAnsi="Times New Roman" w:cs="Times New Roman"/>
        </w:rPr>
        <w:t xml:space="preserve">the Rider NMB opt-out </w:t>
      </w:r>
      <w:r w:rsidRPr="008B0382" w:rsidR="000754FC">
        <w:rPr>
          <w:rFonts w:hAnsi="Times New Roman" w:cs="Times New Roman"/>
        </w:rPr>
        <w:t xml:space="preserve">pilot </w:t>
      </w:r>
      <w:r w:rsidRPr="008B0382" w:rsidR="006E78E2">
        <w:rPr>
          <w:rFonts w:hAnsi="Times New Roman" w:cs="Times New Roman"/>
        </w:rPr>
        <w:t xml:space="preserve">program are not </w:t>
      </w:r>
      <w:r w:rsidRPr="008B0382" w:rsidR="00CB04C0">
        <w:rPr>
          <w:rFonts w:hAnsi="Times New Roman" w:cs="Times New Roman"/>
        </w:rPr>
        <w:t>Settlement s</w:t>
      </w:r>
      <w:r w:rsidRPr="008B0382" w:rsidR="006E78E2">
        <w:rPr>
          <w:rFonts w:hAnsi="Times New Roman" w:cs="Times New Roman"/>
        </w:rPr>
        <w:t xml:space="preserve">ignatories. </w:t>
      </w:r>
    </w:p>
    <w:p w:rsidR="00BB76B0" w:rsidRPr="008B0382" w:rsidP="006E78E2" w14:paraId="1DA1AF74" w14:textId="77777777">
      <w:pPr>
        <w:pStyle w:val="BodyA"/>
        <w:rPr>
          <w:rFonts w:hAnsi="Times New Roman" w:cs="Times New Roman"/>
        </w:rPr>
      </w:pPr>
    </w:p>
    <w:p w:rsidR="008D1D32" w:rsidRPr="008B0382" w:rsidP="00114DD5" w14:paraId="7F119C79" w14:textId="7BFD5CAD">
      <w:pPr>
        <w:pStyle w:val="BodyA"/>
        <w:ind w:firstLine="0"/>
        <w:rPr>
          <w:rFonts w:hAnsi="Times New Roman" w:cs="Times New Roman"/>
        </w:rPr>
      </w:pPr>
      <w:r w:rsidRPr="008B0382">
        <w:rPr>
          <w:rFonts w:hAnsi="Times New Roman" w:cs="Times New Roman"/>
        </w:rPr>
        <w:t xml:space="preserve">Second, there </w:t>
      </w:r>
      <w:r w:rsidRPr="008B0382" w:rsidR="00BB76B0">
        <w:rPr>
          <w:rFonts w:hAnsi="Times New Roman" w:cs="Times New Roman"/>
        </w:rPr>
        <w:t xml:space="preserve">was not serious bargaining among the parties. </w:t>
      </w:r>
      <w:r w:rsidRPr="008B0382" w:rsidR="001A6469">
        <w:rPr>
          <w:rFonts w:hAnsi="Times New Roman" w:cs="Times New Roman"/>
        </w:rPr>
        <w:t xml:space="preserve">There were initial </w:t>
      </w:r>
      <w:r w:rsidRPr="008B0382">
        <w:rPr>
          <w:rFonts w:hAnsi="Times New Roman" w:cs="Times New Roman"/>
        </w:rPr>
        <w:t>settlement discussion</w:t>
      </w:r>
      <w:r w:rsidRPr="008B0382" w:rsidR="007659A5">
        <w:rPr>
          <w:rFonts w:hAnsi="Times New Roman" w:cs="Times New Roman"/>
        </w:rPr>
        <w:t xml:space="preserve">s between </w:t>
      </w:r>
      <w:r w:rsidRPr="008B0382" w:rsidR="00E00196">
        <w:rPr>
          <w:rFonts w:hAnsi="Times New Roman" w:cs="Times New Roman"/>
        </w:rPr>
        <w:t>the Applicant</w:t>
      </w:r>
      <w:r w:rsidRPr="008B0382" w:rsidR="007659A5">
        <w:rPr>
          <w:rFonts w:hAnsi="Times New Roman" w:cs="Times New Roman"/>
        </w:rPr>
        <w:t>, OCC, and the PUCO Staff</w:t>
      </w:r>
      <w:r w:rsidRPr="008B0382">
        <w:rPr>
          <w:rFonts w:hAnsi="Times New Roman" w:cs="Times New Roman"/>
        </w:rPr>
        <w:t xml:space="preserve"> regarding this Application where parties made </w:t>
      </w:r>
      <w:r w:rsidRPr="008B0382" w:rsidR="00114DD5">
        <w:rPr>
          <w:rFonts w:hAnsi="Times New Roman" w:cs="Times New Roman"/>
        </w:rPr>
        <w:t>recommendations,</w:t>
      </w:r>
      <w:r w:rsidRPr="008B0382">
        <w:rPr>
          <w:rFonts w:hAnsi="Times New Roman" w:cs="Times New Roman"/>
        </w:rPr>
        <w:t xml:space="preserve"> no consensus was reached</w:t>
      </w:r>
      <w:r w:rsidRPr="008B0382" w:rsidR="007659A5">
        <w:rPr>
          <w:rFonts w:hAnsi="Times New Roman" w:cs="Times New Roman"/>
        </w:rPr>
        <w:t>, and parties proceeded to file testimony for a litigated case</w:t>
      </w:r>
      <w:r w:rsidRPr="008B0382">
        <w:rPr>
          <w:rFonts w:hAnsi="Times New Roman" w:cs="Times New Roman"/>
        </w:rPr>
        <w:t xml:space="preserve">. </w:t>
      </w:r>
      <w:r w:rsidRPr="008B0382" w:rsidR="001A6469">
        <w:rPr>
          <w:rFonts w:hAnsi="Times New Roman" w:cs="Times New Roman"/>
        </w:rPr>
        <w:t>But t</w:t>
      </w:r>
      <w:r w:rsidRPr="008B0382" w:rsidR="007659A5">
        <w:rPr>
          <w:rFonts w:hAnsi="Times New Roman" w:cs="Times New Roman"/>
        </w:rPr>
        <w:t>hen, t</w:t>
      </w:r>
      <w:r w:rsidRPr="008B0382">
        <w:rPr>
          <w:rFonts w:hAnsi="Times New Roman" w:cs="Times New Roman"/>
        </w:rPr>
        <w:t>hree days after testimony was filed</w:t>
      </w:r>
      <w:r w:rsidRPr="008B0382" w:rsidR="007659A5">
        <w:rPr>
          <w:rFonts w:hAnsi="Times New Roman" w:cs="Times New Roman"/>
        </w:rPr>
        <w:t>,</w:t>
      </w:r>
      <w:r w:rsidRPr="008B0382">
        <w:rPr>
          <w:rFonts w:hAnsi="Times New Roman" w:cs="Times New Roman"/>
        </w:rPr>
        <w:t xml:space="preserve"> OCC received an email at 10:24</w:t>
      </w:r>
      <w:r w:rsidRPr="008B0382" w:rsidR="007659A5">
        <w:rPr>
          <w:rFonts w:hAnsi="Times New Roman" w:cs="Times New Roman"/>
        </w:rPr>
        <w:t xml:space="preserve"> </w:t>
      </w:r>
      <w:r w:rsidRPr="008B0382">
        <w:rPr>
          <w:rFonts w:hAnsi="Times New Roman" w:cs="Times New Roman"/>
        </w:rPr>
        <w:t xml:space="preserve">am </w:t>
      </w:r>
      <w:r w:rsidRPr="008B0382" w:rsidR="00114DD5">
        <w:rPr>
          <w:rFonts w:hAnsi="Times New Roman" w:cs="Times New Roman"/>
        </w:rPr>
        <w:t>stating a settlement was reached between the Applicant and PUCO Staff</w:t>
      </w:r>
      <w:r w:rsidRPr="008B0382" w:rsidR="002962EE">
        <w:rPr>
          <w:rFonts w:hAnsi="Times New Roman" w:cs="Times New Roman"/>
        </w:rPr>
        <w:t>.</w:t>
      </w:r>
      <w:r w:rsidRPr="008B0382" w:rsidR="00114DD5">
        <w:rPr>
          <w:rFonts w:hAnsi="Times New Roman" w:cs="Times New Roman"/>
        </w:rPr>
        <w:t xml:space="preserve"> </w:t>
      </w:r>
      <w:r w:rsidRPr="008B0382" w:rsidR="002962EE">
        <w:rPr>
          <w:rFonts w:hAnsi="Times New Roman" w:cs="Times New Roman"/>
        </w:rPr>
        <w:t>A</w:t>
      </w:r>
      <w:r w:rsidRPr="008B0382" w:rsidR="00114DD5">
        <w:rPr>
          <w:rFonts w:hAnsi="Times New Roman" w:cs="Times New Roman"/>
        </w:rPr>
        <w:t xml:space="preserve">nd OCC </w:t>
      </w:r>
      <w:r w:rsidRPr="008B0382" w:rsidR="00BB76B0">
        <w:rPr>
          <w:rFonts w:hAnsi="Times New Roman" w:cs="Times New Roman"/>
        </w:rPr>
        <w:t>was given</w:t>
      </w:r>
      <w:r w:rsidRPr="008B0382" w:rsidR="00114DD5">
        <w:rPr>
          <w:rFonts w:hAnsi="Times New Roman" w:cs="Times New Roman"/>
        </w:rPr>
        <w:t xml:space="preserve"> until 1:00</w:t>
      </w:r>
      <w:r w:rsidRPr="008B0382" w:rsidR="007659A5">
        <w:rPr>
          <w:rFonts w:hAnsi="Times New Roman" w:cs="Times New Roman"/>
        </w:rPr>
        <w:t xml:space="preserve"> </w:t>
      </w:r>
      <w:r w:rsidRPr="008B0382" w:rsidR="00114DD5">
        <w:rPr>
          <w:rFonts w:hAnsi="Times New Roman" w:cs="Times New Roman"/>
        </w:rPr>
        <w:t>pm that day to state if it would join the Settlement</w:t>
      </w:r>
      <w:r w:rsidRPr="008B0382" w:rsidR="002962EE">
        <w:rPr>
          <w:rFonts w:hAnsi="Times New Roman" w:cs="Times New Roman"/>
        </w:rPr>
        <w:t xml:space="preserve"> which accepted the Application without modifications</w:t>
      </w:r>
      <w:r w:rsidRPr="008B0382" w:rsidR="00114DD5">
        <w:rPr>
          <w:rFonts w:hAnsi="Times New Roman" w:cs="Times New Roman"/>
        </w:rPr>
        <w:t xml:space="preserve">. </w:t>
      </w:r>
      <w:r w:rsidRPr="008B0382">
        <w:rPr>
          <w:rFonts w:hAnsi="Times New Roman" w:cs="Times New Roman"/>
        </w:rPr>
        <w:t xml:space="preserve">That was how and when OCC learned of the </w:t>
      </w:r>
      <w:r w:rsidRPr="008B0382" w:rsidR="00CB04C0">
        <w:rPr>
          <w:rFonts w:hAnsi="Times New Roman" w:cs="Times New Roman"/>
        </w:rPr>
        <w:t>s</w:t>
      </w:r>
      <w:r w:rsidRPr="008B0382">
        <w:rPr>
          <w:rFonts w:hAnsi="Times New Roman" w:cs="Times New Roman"/>
        </w:rPr>
        <w:t xml:space="preserve">ettlement </w:t>
      </w:r>
      <w:r w:rsidRPr="008B0382" w:rsidR="00CB04C0">
        <w:rPr>
          <w:rFonts w:hAnsi="Times New Roman" w:cs="Times New Roman"/>
        </w:rPr>
        <w:t xml:space="preserve">proposal </w:t>
      </w:r>
      <w:r w:rsidRPr="008B0382">
        <w:rPr>
          <w:rFonts w:hAnsi="Times New Roman" w:cs="Times New Roman"/>
        </w:rPr>
        <w:t xml:space="preserve">that merely accepted all terms in the Application. </w:t>
      </w:r>
    </w:p>
    <w:p w:rsidR="008D1D32" w:rsidRPr="008B0382" w:rsidP="00114DD5" w14:paraId="1867D230" w14:textId="77777777">
      <w:pPr>
        <w:pStyle w:val="BodyA"/>
        <w:ind w:firstLine="0"/>
        <w:rPr>
          <w:rFonts w:hAnsi="Times New Roman" w:cs="Times New Roman"/>
        </w:rPr>
      </w:pPr>
    </w:p>
    <w:p w:rsidR="00BB0636" w:rsidRPr="008B0382" w:rsidP="00114DD5" w14:paraId="029E192C" w14:textId="5AC25128">
      <w:pPr>
        <w:pStyle w:val="BodyA"/>
        <w:ind w:firstLine="0"/>
        <w:rPr>
          <w:rFonts w:hAnsi="Times New Roman" w:cs="Times New Roman"/>
        </w:rPr>
      </w:pPr>
      <w:r w:rsidRPr="008B0382">
        <w:rPr>
          <w:rFonts w:hAnsi="Times New Roman" w:cs="Times New Roman"/>
        </w:rPr>
        <w:t>There really was no need for such a Settlement that added nothing beyond the Application</w:t>
      </w:r>
      <w:r w:rsidRPr="008B0382" w:rsidR="00CB04C0">
        <w:rPr>
          <w:rFonts w:hAnsi="Times New Roman" w:cs="Times New Roman"/>
        </w:rPr>
        <w:t>,</w:t>
      </w:r>
      <w:r w:rsidRPr="008B0382">
        <w:rPr>
          <w:rFonts w:hAnsi="Times New Roman" w:cs="Times New Roman"/>
        </w:rPr>
        <w:t xml:space="preserve"> given that the PUCO Staff could have simply taken the position at hearing that it supported the </w:t>
      </w:r>
      <w:r w:rsidRPr="008B0382" w:rsidR="00A27226">
        <w:rPr>
          <w:rFonts w:hAnsi="Times New Roman" w:cs="Times New Roman"/>
        </w:rPr>
        <w:t>Application</w:t>
      </w:r>
      <w:r w:rsidRPr="008B0382">
        <w:rPr>
          <w:rFonts w:hAnsi="Times New Roman" w:cs="Times New Roman"/>
        </w:rPr>
        <w:t xml:space="preserve"> without changes. But, under the PUCO’s settlement system, the creation of the Settlement gives the Applicant and the PUCO Staff an (unfair) advantage in how the PUCO will evaluate the issues.</w:t>
      </w:r>
      <w:r w:rsidRPr="008B0382" w:rsidR="00FA619F">
        <w:rPr>
          <w:rFonts w:hAnsi="Times New Roman" w:cs="Times New Roman"/>
        </w:rPr>
        <w:t xml:space="preserve"> This </w:t>
      </w:r>
      <w:r w:rsidRPr="008B0382" w:rsidR="009F5B6E">
        <w:rPr>
          <w:rFonts w:hAnsi="Times New Roman" w:cs="Times New Roman"/>
        </w:rPr>
        <w:t xml:space="preserve">settlement </w:t>
      </w:r>
      <w:r w:rsidRPr="008B0382" w:rsidR="00F370EA">
        <w:rPr>
          <w:rFonts w:hAnsi="Times New Roman" w:cs="Times New Roman"/>
        </w:rPr>
        <w:t xml:space="preserve">process </w:t>
      </w:r>
      <w:r w:rsidRPr="008B0382" w:rsidR="00FA619F">
        <w:rPr>
          <w:rFonts w:hAnsi="Times New Roman" w:cs="Times New Roman"/>
        </w:rPr>
        <w:t>issue is not unique to this Applicant or this case.</w:t>
      </w:r>
    </w:p>
    <w:p w:rsidR="00BB0636" w:rsidRPr="008B0382" w:rsidP="00114DD5" w14:paraId="6FB513AD" w14:textId="77777777">
      <w:pPr>
        <w:pStyle w:val="BodyA"/>
        <w:ind w:firstLine="0"/>
        <w:rPr>
          <w:rFonts w:hAnsi="Times New Roman" w:cs="Times New Roman"/>
        </w:rPr>
      </w:pPr>
    </w:p>
    <w:p w:rsidR="00282FA9" w:rsidRPr="008B0382" w:rsidP="00CB04C0" w14:paraId="17437819" w14:textId="6EE173F1">
      <w:pPr>
        <w:pStyle w:val="BodyA"/>
        <w:rPr>
          <w:rFonts w:hAnsi="Times New Roman" w:cs="Times New Roman"/>
          <w:b/>
          <w:bCs/>
          <w:i/>
          <w:iCs/>
        </w:rPr>
      </w:pPr>
      <w:r w:rsidRPr="008B0382">
        <w:rPr>
          <w:rFonts w:hAnsi="Times New Roman" w:cs="Times New Roman"/>
          <w:b/>
          <w:bCs/>
          <w:i/>
          <w:iCs/>
        </w:rPr>
        <w:t>Q</w:t>
      </w:r>
      <w:r w:rsidRPr="008B0382" w:rsidR="00120239">
        <w:rPr>
          <w:rFonts w:hAnsi="Times New Roman" w:cs="Times New Roman"/>
          <w:b/>
          <w:bCs/>
          <w:i/>
          <w:iCs/>
        </w:rPr>
        <w:t>7</w:t>
      </w:r>
      <w:r w:rsidRPr="008B0382">
        <w:rPr>
          <w:rFonts w:hAnsi="Times New Roman" w:cs="Times New Roman"/>
          <w:b/>
          <w:bCs/>
          <w:i/>
          <w:iCs/>
        </w:rPr>
        <w:t>.</w:t>
      </w:r>
      <w:r w:rsidRPr="008B0382">
        <w:rPr>
          <w:rFonts w:hAnsi="Times New Roman" w:cs="Times New Roman"/>
          <w:b/>
          <w:bCs/>
          <w:i/>
          <w:iCs/>
        </w:rPr>
        <w:tab/>
      </w:r>
      <w:r w:rsidRPr="008B0382" w:rsidR="007604CD">
        <w:rPr>
          <w:rFonts w:hAnsi="Times New Roman" w:cs="Times New Roman"/>
          <w:b/>
          <w:bCs/>
          <w:i/>
          <w:iCs/>
          <w:caps/>
        </w:rPr>
        <w:t>Does the settlement, as a package, benefit C</w:t>
      </w:r>
      <w:r w:rsidRPr="008B0382" w:rsidR="00120239">
        <w:rPr>
          <w:rFonts w:hAnsi="Times New Roman" w:cs="Times New Roman"/>
          <w:b/>
          <w:bCs/>
          <w:i/>
          <w:iCs/>
          <w:caps/>
        </w:rPr>
        <w:t>onsumers</w:t>
      </w:r>
      <w:r w:rsidRPr="008B0382" w:rsidR="007604CD">
        <w:rPr>
          <w:rFonts w:hAnsi="Times New Roman" w:cs="Times New Roman"/>
          <w:b/>
          <w:bCs/>
          <w:i/>
          <w:iCs/>
          <w:caps/>
        </w:rPr>
        <w:t xml:space="preserve"> and the public interest</w:t>
      </w:r>
      <w:r w:rsidRPr="008B0382">
        <w:rPr>
          <w:rFonts w:hAnsi="Times New Roman" w:cs="Times New Roman"/>
          <w:b/>
          <w:bCs/>
          <w:i/>
          <w:iCs/>
          <w:caps/>
        </w:rPr>
        <w:t>?</w:t>
      </w:r>
    </w:p>
    <w:p w:rsidR="00AF6A4F" w:rsidRPr="008B0382" w:rsidP="00CA35A4" w14:paraId="5751E108" w14:textId="5C3240E6">
      <w:pPr>
        <w:pStyle w:val="BodyA"/>
        <w:rPr>
          <w:rFonts w:hAnsi="Times New Roman" w:cs="Times New Roman"/>
        </w:rPr>
      </w:pPr>
      <w:r w:rsidRPr="008B0382">
        <w:rPr>
          <w:rFonts w:hAnsi="Times New Roman" w:cs="Times New Roman"/>
          <w:b/>
          <w:bCs/>
          <w:i/>
          <w:iCs/>
        </w:rPr>
        <w:t>A</w:t>
      </w:r>
      <w:r w:rsidRPr="008B0382" w:rsidR="00120239">
        <w:rPr>
          <w:rFonts w:hAnsi="Times New Roman" w:cs="Times New Roman"/>
          <w:b/>
          <w:bCs/>
          <w:i/>
          <w:iCs/>
        </w:rPr>
        <w:t>7</w:t>
      </w:r>
      <w:r w:rsidRPr="008B0382">
        <w:rPr>
          <w:rFonts w:hAnsi="Times New Roman" w:cs="Times New Roman"/>
          <w:b/>
          <w:bCs/>
          <w:i/>
          <w:iCs/>
        </w:rPr>
        <w:t>.</w:t>
      </w:r>
      <w:r w:rsidRPr="008B0382">
        <w:rPr>
          <w:rFonts w:hAnsi="Times New Roman" w:cs="Times New Roman"/>
          <w:b/>
          <w:bCs/>
          <w:i/>
          <w:iCs/>
        </w:rPr>
        <w:tab/>
      </w:r>
      <w:r w:rsidRPr="008B0382" w:rsidR="00BB0636">
        <w:rPr>
          <w:rFonts w:hAnsi="Times New Roman" w:cs="Times New Roman"/>
        </w:rPr>
        <w:t xml:space="preserve">No. The Settlement simply adopts </w:t>
      </w:r>
      <w:r w:rsidRPr="008B0382" w:rsidR="00E00196">
        <w:rPr>
          <w:rFonts w:hAnsi="Times New Roman" w:cs="Times New Roman"/>
        </w:rPr>
        <w:t>the Applicant</w:t>
      </w:r>
      <w:r w:rsidRPr="008B0382" w:rsidR="00BB0636">
        <w:rPr>
          <w:rFonts w:hAnsi="Times New Roman" w:cs="Times New Roman"/>
        </w:rPr>
        <w:t xml:space="preserve">’s </w:t>
      </w:r>
      <w:r w:rsidRPr="008B0382" w:rsidR="00E00196">
        <w:rPr>
          <w:rFonts w:hAnsi="Times New Roman" w:cs="Times New Roman"/>
        </w:rPr>
        <w:t xml:space="preserve">proposal contained in its </w:t>
      </w:r>
      <w:r w:rsidRPr="008B0382" w:rsidR="00DA116F">
        <w:rPr>
          <w:rFonts w:hAnsi="Times New Roman" w:cs="Times New Roman"/>
        </w:rPr>
        <w:t>A</w:t>
      </w:r>
      <w:r w:rsidRPr="008B0382" w:rsidR="00BB0636">
        <w:rPr>
          <w:rFonts w:hAnsi="Times New Roman" w:cs="Times New Roman"/>
        </w:rPr>
        <w:t>pplication, exactly as it was filed.</w:t>
      </w:r>
      <w:r w:rsidRPr="008B0382" w:rsidR="00FD1D39">
        <w:rPr>
          <w:rFonts w:hAnsi="Times New Roman" w:cs="Times New Roman"/>
        </w:rPr>
        <w:t xml:space="preserve"> The only </w:t>
      </w:r>
      <w:r w:rsidRPr="008B0382" w:rsidR="00377092">
        <w:rPr>
          <w:rFonts w:hAnsi="Times New Roman" w:cs="Times New Roman"/>
        </w:rPr>
        <w:t xml:space="preserve">added </w:t>
      </w:r>
      <w:r w:rsidRPr="008B0382" w:rsidR="00FD1D39">
        <w:rPr>
          <w:rFonts w:hAnsi="Times New Roman" w:cs="Times New Roman"/>
        </w:rPr>
        <w:t xml:space="preserve">benefit of the Settlement accrues to the PUCO Staff and the Applicant in the advantage they gain </w:t>
      </w:r>
      <w:r w:rsidRPr="008B0382" w:rsidR="00F370EA">
        <w:rPr>
          <w:rFonts w:hAnsi="Times New Roman" w:cs="Times New Roman"/>
        </w:rPr>
        <w:t>in the case process by</w:t>
      </w:r>
      <w:r w:rsidRPr="008B0382" w:rsidR="00377092">
        <w:rPr>
          <w:rFonts w:hAnsi="Times New Roman" w:cs="Times New Roman"/>
        </w:rPr>
        <w:t xml:space="preserve"> coming under the PUCO’s standards that favor the parties that settle. </w:t>
      </w:r>
      <w:r w:rsidRPr="008B0382" w:rsidR="00BB0636">
        <w:rPr>
          <w:rFonts w:hAnsi="Times New Roman" w:cs="Times New Roman"/>
        </w:rPr>
        <w:t xml:space="preserve">As I explained in my initial testimony, </w:t>
      </w:r>
      <w:r w:rsidRPr="008B0382" w:rsidR="00377092">
        <w:rPr>
          <w:rFonts w:hAnsi="Times New Roman" w:cs="Times New Roman"/>
        </w:rPr>
        <w:t>there are consumer</w:t>
      </w:r>
      <w:r w:rsidRPr="008B0382" w:rsidR="00BB76B0">
        <w:rPr>
          <w:rFonts w:hAnsi="Times New Roman" w:cs="Times New Roman"/>
        </w:rPr>
        <w:t xml:space="preserve"> concerns </w:t>
      </w:r>
      <w:r w:rsidRPr="008B0382" w:rsidR="00377092">
        <w:rPr>
          <w:rFonts w:hAnsi="Times New Roman" w:cs="Times New Roman"/>
        </w:rPr>
        <w:t xml:space="preserve">the PUCO is supposed to address (but </w:t>
      </w:r>
      <w:r w:rsidRPr="008B0382" w:rsidR="00DA116F">
        <w:rPr>
          <w:rFonts w:hAnsi="Times New Roman" w:cs="Times New Roman"/>
        </w:rPr>
        <w:t xml:space="preserve">the Settlement </w:t>
      </w:r>
      <w:r w:rsidRPr="008B0382" w:rsidR="00377092">
        <w:rPr>
          <w:rFonts w:hAnsi="Times New Roman" w:cs="Times New Roman"/>
        </w:rPr>
        <w:t xml:space="preserve">has failed to address) </w:t>
      </w:r>
      <w:r w:rsidRPr="008B0382" w:rsidR="00BB76B0">
        <w:rPr>
          <w:rFonts w:hAnsi="Times New Roman" w:cs="Times New Roman"/>
        </w:rPr>
        <w:t>about</w:t>
      </w:r>
      <w:r w:rsidRPr="008B0382" w:rsidR="00B15733">
        <w:rPr>
          <w:rFonts w:hAnsi="Times New Roman" w:cs="Times New Roman"/>
        </w:rPr>
        <w:t xml:space="preserve"> </w:t>
      </w:r>
      <w:r w:rsidRPr="008B0382" w:rsidR="00BB76B0">
        <w:rPr>
          <w:rFonts w:hAnsi="Times New Roman" w:cs="Times New Roman"/>
        </w:rPr>
        <w:t>shifting of costs to residential consumers</w:t>
      </w:r>
      <w:r w:rsidRPr="008B0382" w:rsidR="00BB0636">
        <w:rPr>
          <w:rFonts w:hAnsi="Times New Roman" w:cs="Times New Roman"/>
        </w:rPr>
        <w:t xml:space="preserve"> under </w:t>
      </w:r>
      <w:r w:rsidRPr="008B0382" w:rsidR="00377092">
        <w:rPr>
          <w:rFonts w:hAnsi="Times New Roman" w:cs="Times New Roman"/>
        </w:rPr>
        <w:t>the pilot program</w:t>
      </w:r>
      <w:r w:rsidRPr="008B0382" w:rsidR="007F668F">
        <w:rPr>
          <w:rFonts w:hAnsi="Times New Roman" w:cs="Times New Roman"/>
        </w:rPr>
        <w:t>.</w:t>
      </w:r>
      <w:r w:rsidRPr="008B0382" w:rsidR="00F96F0D">
        <w:rPr>
          <w:rFonts w:hAnsi="Times New Roman" w:cs="Times New Roman"/>
        </w:rPr>
        <w:t xml:space="preserve"> As noted, it is not a benefit to residential customers to pay FirstEnergy to make up for revenue foregone as a result of the Settlement. </w:t>
      </w:r>
      <w:r w:rsidRPr="008B0382" w:rsidR="007F668F">
        <w:rPr>
          <w:rFonts w:hAnsi="Times New Roman" w:cs="Times New Roman"/>
        </w:rPr>
        <w:t xml:space="preserve"> </w:t>
      </w:r>
      <w:r w:rsidRPr="008B0382" w:rsidR="00CE5925">
        <w:rPr>
          <w:rFonts w:hAnsi="Times New Roman" w:cs="Times New Roman"/>
        </w:rPr>
        <w:t xml:space="preserve">Again, </w:t>
      </w:r>
      <w:r w:rsidRPr="008B0382" w:rsidR="00F96F0D">
        <w:rPr>
          <w:rFonts w:hAnsi="Times New Roman" w:cs="Times New Roman"/>
        </w:rPr>
        <w:t>shifting of costs to residential consumers</w:t>
      </w:r>
      <w:r w:rsidRPr="008B0382" w:rsidR="00CE5925">
        <w:rPr>
          <w:rFonts w:hAnsi="Times New Roman" w:cs="Times New Roman"/>
        </w:rPr>
        <w:t xml:space="preserve"> is not unique to the Applicant though it now involves the Applicant.</w:t>
      </w:r>
    </w:p>
    <w:p w:rsidR="00AF6A4F" w:rsidRPr="008B0382" w:rsidP="00CA35A4" w14:paraId="4EC19503" w14:textId="77777777">
      <w:pPr>
        <w:pStyle w:val="BodyA"/>
        <w:rPr>
          <w:rFonts w:hAnsi="Times New Roman" w:cs="Times New Roman"/>
        </w:rPr>
      </w:pPr>
    </w:p>
    <w:p w:rsidR="00C32573" w:rsidRPr="008B0382" w14:paraId="0FD832F4" w14:textId="35C3255D">
      <w:pPr>
        <w:pStyle w:val="BodyA"/>
        <w:ind w:firstLine="0"/>
        <w:rPr>
          <w:rFonts w:hAnsi="Times New Roman" w:cs="Times New Roman"/>
        </w:rPr>
      </w:pPr>
      <w:r w:rsidRPr="008B0382">
        <w:rPr>
          <w:rFonts w:hAnsi="Times New Roman" w:cs="Times New Roman"/>
        </w:rPr>
        <w:t>Furthermore, w</w:t>
      </w:r>
      <w:r w:rsidRPr="008B0382" w:rsidR="007F668F">
        <w:rPr>
          <w:rFonts w:hAnsi="Times New Roman" w:cs="Times New Roman"/>
        </w:rPr>
        <w:t>ith any pilot program, an evaluation of the results should be conducted to learn the benefits and shortcomings</w:t>
      </w:r>
      <w:r w:rsidRPr="008B0382" w:rsidR="00120239">
        <w:rPr>
          <w:rFonts w:hAnsi="Times New Roman" w:cs="Times New Roman"/>
        </w:rPr>
        <w:t xml:space="preserve"> to consumers</w:t>
      </w:r>
      <w:r w:rsidRPr="008B0382" w:rsidR="007F668F">
        <w:rPr>
          <w:rFonts w:hAnsi="Times New Roman" w:cs="Times New Roman"/>
        </w:rPr>
        <w:t xml:space="preserve"> prior to expanding the program to other parties.</w:t>
      </w:r>
      <w:r w:rsidRPr="008B0382" w:rsidR="00E83913">
        <w:rPr>
          <w:rFonts w:hAnsi="Times New Roman" w:cs="Times New Roman"/>
        </w:rPr>
        <w:t xml:space="preserve"> In the Opinion and Order approving the opt-out pilot program the PUCO described the pilot program as “the opportunity to determine if industrial customers can obtain substantial savings by obtaining certain transmission services outside of Rider NMB without imposing significant costs on other customers.”</w:t>
      </w:r>
      <w:r>
        <w:rPr>
          <w:rStyle w:val="FootnoteReference"/>
          <w:rFonts w:hAnsi="Times New Roman" w:cs="Times New Roman"/>
        </w:rPr>
        <w:footnoteReference w:id="4"/>
      </w:r>
      <w:r w:rsidRPr="008B0382" w:rsidR="00E83913">
        <w:rPr>
          <w:rFonts w:hAnsi="Times New Roman" w:cs="Times New Roman"/>
        </w:rPr>
        <w:t xml:space="preserve"> </w:t>
      </w:r>
      <w:r w:rsidRPr="008B0382" w:rsidR="007F668F">
        <w:rPr>
          <w:rFonts w:hAnsi="Times New Roman" w:cs="Times New Roman"/>
        </w:rPr>
        <w:t xml:space="preserve"> Upon approving the Rider NMB opt-out pilot program</w:t>
      </w:r>
      <w:r w:rsidRPr="008B0382" w:rsidR="00BB0636">
        <w:rPr>
          <w:rFonts w:hAnsi="Times New Roman" w:cs="Times New Roman"/>
        </w:rPr>
        <w:t>,</w:t>
      </w:r>
      <w:r w:rsidRPr="008B0382" w:rsidR="007F668F">
        <w:rPr>
          <w:rFonts w:hAnsi="Times New Roman" w:cs="Times New Roman"/>
        </w:rPr>
        <w:t xml:space="preserve"> the PUCO</w:t>
      </w:r>
      <w:r w:rsidRPr="008B0382" w:rsidR="00120239">
        <w:rPr>
          <w:rFonts w:hAnsi="Times New Roman" w:cs="Times New Roman"/>
        </w:rPr>
        <w:t xml:space="preserve"> </w:t>
      </w:r>
      <w:r w:rsidRPr="008B0382" w:rsidR="007F668F">
        <w:rPr>
          <w:rFonts w:hAnsi="Times New Roman" w:cs="Times New Roman"/>
        </w:rPr>
        <w:t xml:space="preserve">stated </w:t>
      </w:r>
      <w:r w:rsidRPr="008B0382" w:rsidR="005F4E45">
        <w:rPr>
          <w:rFonts w:hAnsi="Times New Roman" w:cs="Times New Roman"/>
        </w:rPr>
        <w:t>“that Rider NMB pilot program is a pilot program which bears further study to determine if the actual results of the pilot program, rather than the projected results, are in the public interest.”</w:t>
      </w:r>
      <w:r>
        <w:rPr>
          <w:rStyle w:val="FootnoteReference"/>
          <w:rFonts w:hAnsi="Times New Roman" w:cs="Times New Roman"/>
        </w:rPr>
        <w:footnoteReference w:id="5"/>
      </w:r>
      <w:r w:rsidRPr="008B0382" w:rsidR="005F4E45">
        <w:rPr>
          <w:rFonts w:hAnsi="Times New Roman" w:cs="Times New Roman"/>
        </w:rPr>
        <w:t xml:space="preserve">  It went on to say the PUCO Staff should review the results of the program and “periodically report finding</w:t>
      </w:r>
      <w:r w:rsidRPr="008B0382" w:rsidR="009231CF">
        <w:rPr>
          <w:rFonts w:hAnsi="Times New Roman" w:cs="Times New Roman"/>
        </w:rPr>
        <w:t>s</w:t>
      </w:r>
      <w:r w:rsidRPr="008B0382" w:rsidR="005F4E45">
        <w:rPr>
          <w:rFonts w:hAnsi="Times New Roman" w:cs="Times New Roman"/>
        </w:rPr>
        <w:t xml:space="preserve"> to the PUCO</w:t>
      </w:r>
      <w:r w:rsidRPr="008B0382" w:rsidR="00E83913">
        <w:rPr>
          <w:rFonts w:hAnsi="Times New Roman" w:cs="Times New Roman"/>
        </w:rPr>
        <w:t>.</w:t>
      </w:r>
      <w:r w:rsidRPr="008B0382" w:rsidR="005F4E45">
        <w:rPr>
          <w:rFonts w:hAnsi="Times New Roman" w:cs="Times New Roman"/>
        </w:rPr>
        <w:t>”</w:t>
      </w:r>
      <w:r>
        <w:rPr>
          <w:rStyle w:val="FootnoteReference"/>
          <w:rFonts w:hAnsi="Times New Roman" w:cs="Times New Roman"/>
        </w:rPr>
        <w:footnoteReference w:id="6"/>
      </w:r>
      <w:r w:rsidRPr="008B0382" w:rsidR="005F4E45">
        <w:rPr>
          <w:rFonts w:hAnsi="Times New Roman" w:cs="Times New Roman"/>
        </w:rPr>
        <w:t xml:space="preserve"> </w:t>
      </w:r>
      <w:r w:rsidRPr="008B0382" w:rsidR="00120239">
        <w:rPr>
          <w:rFonts w:hAnsi="Times New Roman" w:cs="Times New Roman"/>
        </w:rPr>
        <w:t>As I stated in my direct testimony</w:t>
      </w:r>
      <w:r w:rsidRPr="008B0382" w:rsidR="00BB0636">
        <w:rPr>
          <w:rFonts w:hAnsi="Times New Roman" w:cs="Times New Roman"/>
        </w:rPr>
        <w:t>,</w:t>
      </w:r>
      <w:r w:rsidRPr="008B0382" w:rsidR="00120239">
        <w:rPr>
          <w:rFonts w:hAnsi="Times New Roman" w:cs="Times New Roman"/>
        </w:rPr>
        <w:t xml:space="preserve"> neither the PUCO Staff nor any of the FirstEnergy </w:t>
      </w:r>
      <w:r w:rsidRPr="008B0382">
        <w:rPr>
          <w:rFonts w:hAnsi="Times New Roman" w:cs="Times New Roman"/>
        </w:rPr>
        <w:t xml:space="preserve">Utilities </w:t>
      </w:r>
      <w:r w:rsidRPr="008B0382" w:rsidR="00120239">
        <w:rPr>
          <w:rFonts w:hAnsi="Times New Roman" w:cs="Times New Roman"/>
        </w:rPr>
        <w:t xml:space="preserve">publicly filed a report on the results of the past five years of the Rider NMB opt-out pilot program. </w:t>
      </w:r>
      <w:r w:rsidRPr="008B0382" w:rsidR="00BB0636">
        <w:rPr>
          <w:rFonts w:hAnsi="Times New Roman" w:cs="Times New Roman"/>
        </w:rPr>
        <w:t>T</w:t>
      </w:r>
      <w:r w:rsidRPr="008B0382" w:rsidR="00120239">
        <w:rPr>
          <w:rFonts w:hAnsi="Times New Roman" w:cs="Times New Roman"/>
        </w:rPr>
        <w:t>he PUCO Staff should publicly file a report (including dollar impact</w:t>
      </w:r>
      <w:r w:rsidRPr="008B0382">
        <w:rPr>
          <w:rFonts w:hAnsi="Times New Roman" w:cs="Times New Roman"/>
        </w:rPr>
        <w:t xml:space="preserve"> and cost to</w:t>
      </w:r>
      <w:r w:rsidRPr="008B0382" w:rsidR="00120239">
        <w:rPr>
          <w:rFonts w:hAnsi="Times New Roman" w:cs="Times New Roman"/>
        </w:rPr>
        <w:t xml:space="preserve"> other consumers) on the FirstEnergy Rider NMB opt-out pilot program</w:t>
      </w:r>
      <w:r w:rsidRPr="008B0382" w:rsidR="00E00196">
        <w:rPr>
          <w:rFonts w:hAnsi="Times New Roman" w:cs="Times New Roman"/>
        </w:rPr>
        <w:t xml:space="preserve"> before there is any consideration of expanding the existing program</w:t>
      </w:r>
      <w:r w:rsidRPr="008B0382" w:rsidR="00120239">
        <w:rPr>
          <w:rFonts w:hAnsi="Times New Roman" w:cs="Times New Roman"/>
        </w:rPr>
        <w:t xml:space="preserve">.  </w:t>
      </w:r>
    </w:p>
    <w:p w:rsidR="00C32573" w:rsidRPr="008B0382" w14:paraId="67EC53C5" w14:textId="77777777">
      <w:pPr>
        <w:pStyle w:val="BodyA"/>
        <w:ind w:firstLine="0"/>
        <w:rPr>
          <w:rFonts w:hAnsi="Times New Roman" w:cs="Times New Roman"/>
        </w:rPr>
      </w:pPr>
    </w:p>
    <w:p w:rsidR="007D55D8" w:rsidRPr="008B0382" w:rsidP="00C578D5" w14:paraId="15FC7C53" w14:textId="338CC7AB">
      <w:pPr>
        <w:pStyle w:val="BodyA"/>
        <w:ind w:firstLine="0"/>
        <w:rPr>
          <w:rFonts w:hAnsi="Times New Roman" w:cs="Times New Roman"/>
        </w:rPr>
      </w:pPr>
      <w:r w:rsidRPr="008B0382">
        <w:rPr>
          <w:rFonts w:hAnsi="Times New Roman" w:cs="Times New Roman"/>
        </w:rPr>
        <w:t>As noted, OCC opposed the FirstEnergy Settlement where the program was created</w:t>
      </w:r>
      <w:r w:rsidRPr="008B0382" w:rsidR="001A291D">
        <w:rPr>
          <w:rFonts w:hAnsi="Times New Roman" w:cs="Times New Roman"/>
        </w:rPr>
        <w:t xml:space="preserve"> to benefit certain customers</w:t>
      </w:r>
      <w:r w:rsidRPr="008B0382">
        <w:rPr>
          <w:rFonts w:hAnsi="Times New Roman" w:cs="Times New Roman"/>
        </w:rPr>
        <w:t xml:space="preserve">. </w:t>
      </w:r>
      <w:r w:rsidRPr="008B0382" w:rsidR="004C0810">
        <w:rPr>
          <w:rFonts w:hAnsi="Times New Roman" w:cs="Times New Roman"/>
        </w:rPr>
        <w:t>So we are addressing the concerns with a program that we did not seek. And our concerns now include this Application but are not limited to this Application.</w:t>
      </w:r>
      <w:r w:rsidRPr="008B0382" w:rsidR="00F96F0D">
        <w:rPr>
          <w:rFonts w:hAnsi="Times New Roman" w:cs="Times New Roman"/>
        </w:rPr>
        <w:t xml:space="preserve"> Interestingly, the PUCO recently </w:t>
      </w:r>
      <w:r w:rsidRPr="008B0382" w:rsidR="009231CF">
        <w:rPr>
          <w:rFonts w:hAnsi="Times New Roman" w:cs="Times New Roman"/>
        </w:rPr>
        <w:t>announced (</w:t>
      </w:r>
      <w:r w:rsidRPr="008B0382" w:rsidR="00F96F0D">
        <w:rPr>
          <w:rFonts w:hAnsi="Times New Roman" w:cs="Times New Roman"/>
        </w:rPr>
        <w:t xml:space="preserve">by Entry dated December 15, 2021 in Case 20-1629) that it will investigate whether FirstEnergy </w:t>
      </w:r>
      <w:r w:rsidRPr="008B0382" w:rsidR="009231CF">
        <w:rPr>
          <w:rFonts w:hAnsi="Times New Roman" w:cs="Times New Roman"/>
        </w:rPr>
        <w:t>“</w:t>
      </w:r>
      <w:r w:rsidRPr="008B0382" w:rsidR="00F96F0D">
        <w:rPr>
          <w:rFonts w:hAnsi="Times New Roman" w:cs="Times New Roman"/>
        </w:rPr>
        <w:t xml:space="preserve">violated R.C. 4928.145 by failing to disclose the amended </w:t>
      </w:r>
      <w:r w:rsidRPr="008B0382" w:rsidR="009231CF">
        <w:rPr>
          <w:rFonts w:hAnsi="Times New Roman" w:cs="Times New Roman"/>
        </w:rPr>
        <w:t xml:space="preserve">agreement during the proceedings in the ESP IV case.” Coincidentally, the opt-out pilot program at issue here was one of the terms in the Settlement the PUCO now has under investigation.  </w:t>
      </w:r>
      <w:r w:rsidRPr="008B0382" w:rsidR="00F96F0D">
        <w:rPr>
          <w:rFonts w:hAnsi="Times New Roman" w:cs="Times New Roman"/>
        </w:rPr>
        <w:t xml:space="preserve">  </w:t>
      </w:r>
    </w:p>
    <w:p w:rsidR="009F7533" w:rsidRPr="008B0382" w:rsidP="00CA35A4" w14:paraId="28433A70" w14:textId="2423B7B0">
      <w:pPr>
        <w:pStyle w:val="BodyA"/>
        <w:rPr>
          <w:rFonts w:hAnsi="Times New Roman" w:cs="Times New Roman"/>
        </w:rPr>
      </w:pPr>
    </w:p>
    <w:p w:rsidR="00763DB8" w:rsidRPr="008B0382" w:rsidP="00763DB8" w14:paraId="57E6810E" w14:textId="5945EEE0">
      <w:pPr>
        <w:pStyle w:val="BodyA"/>
        <w:rPr>
          <w:rFonts w:hAnsi="Times New Roman" w:cs="Times New Roman"/>
          <w:b/>
          <w:bCs/>
          <w:i/>
          <w:iCs/>
          <w:caps/>
        </w:rPr>
      </w:pPr>
      <w:r w:rsidRPr="008B0382">
        <w:rPr>
          <w:rFonts w:hAnsi="Times New Roman" w:cs="Times New Roman"/>
          <w:b/>
          <w:bCs/>
          <w:i/>
          <w:iCs/>
        </w:rPr>
        <w:t xml:space="preserve">Q8. </w:t>
      </w:r>
      <w:r w:rsidRPr="008B0382">
        <w:rPr>
          <w:rFonts w:hAnsi="Times New Roman" w:cs="Times New Roman"/>
          <w:b/>
          <w:bCs/>
          <w:i/>
          <w:iCs/>
        </w:rPr>
        <w:tab/>
      </w:r>
      <w:r w:rsidRPr="008B0382">
        <w:rPr>
          <w:rFonts w:hAnsi="Times New Roman" w:cs="Times New Roman"/>
          <w:b/>
          <w:bCs/>
          <w:i/>
          <w:iCs/>
          <w:caps/>
        </w:rPr>
        <w:t>DO you agree with Applicant’s witness SERYAK that there will not be any delta REVENUE?</w:t>
      </w:r>
      <w:r w:rsidRPr="008B0382">
        <w:rPr>
          <w:rFonts w:hAnsi="Times New Roman" w:cs="Times New Roman"/>
          <w:b/>
          <w:bCs/>
          <w:i/>
          <w:iCs/>
          <w:caps/>
        </w:rPr>
        <w:tab/>
      </w:r>
    </w:p>
    <w:p w:rsidR="00BF720E" w:rsidRPr="008B0382" w:rsidP="00763DB8" w14:paraId="63E3B2F1" w14:textId="7F9A12E2">
      <w:pPr>
        <w:pStyle w:val="BodyA"/>
        <w:rPr>
          <w:rFonts w:hAnsi="Times New Roman" w:cs="Times New Roman"/>
        </w:rPr>
      </w:pPr>
      <w:r w:rsidRPr="008B0382">
        <w:rPr>
          <w:rFonts w:hAnsi="Times New Roman" w:cs="Times New Roman"/>
          <w:b/>
          <w:bCs/>
          <w:i/>
          <w:iCs/>
          <w:caps/>
        </w:rPr>
        <w:t>A8</w:t>
      </w:r>
      <w:r w:rsidRPr="008B0382">
        <w:rPr>
          <w:rFonts w:hAnsi="Times New Roman" w:cs="Times New Roman"/>
        </w:rPr>
        <w:t xml:space="preserve">. </w:t>
      </w:r>
      <w:r w:rsidRPr="008B0382">
        <w:rPr>
          <w:rFonts w:hAnsi="Times New Roman" w:cs="Times New Roman"/>
        </w:rPr>
        <w:tab/>
        <w:t>No. Mr. Seryak states there will not be any delta revenue as a result of the unique arrangement.”</w:t>
      </w:r>
      <w:r>
        <w:rPr>
          <w:rStyle w:val="FootnoteReference"/>
          <w:rFonts w:hAnsi="Times New Roman" w:cs="Times New Roman"/>
        </w:rPr>
        <w:footnoteReference w:id="7"/>
      </w:r>
      <w:r w:rsidRPr="008B0382">
        <w:rPr>
          <w:rFonts w:hAnsi="Times New Roman" w:cs="Times New Roman"/>
        </w:rPr>
        <w:t xml:space="preserve"> This may be an issue of semantics because costs will be shifted once the Applicant enters the opt-out pilot program. In other words there will be a shortfall of revenue for FirstEnergy and this shortfall will need to be collected from other consumers.  </w:t>
      </w:r>
      <w:r w:rsidRPr="008B0382" w:rsidR="00C578D5">
        <w:rPr>
          <w:rFonts w:hAnsi="Times New Roman" w:cs="Times New Roman"/>
        </w:rPr>
        <w:t>Note that the Ohio Manufactur</w:t>
      </w:r>
      <w:r w:rsidRPr="008B0382" w:rsidR="00A27226">
        <w:rPr>
          <w:rFonts w:hAnsi="Times New Roman" w:cs="Times New Roman"/>
        </w:rPr>
        <w:t>ers’</w:t>
      </w:r>
      <w:r w:rsidRPr="008B0382" w:rsidR="00C578D5">
        <w:rPr>
          <w:rFonts w:hAnsi="Times New Roman" w:cs="Times New Roman"/>
        </w:rPr>
        <w:t xml:space="preserve"> Association Energy Group Application for </w:t>
      </w:r>
      <w:r w:rsidRPr="008B0382" w:rsidR="00A27226">
        <w:rPr>
          <w:rFonts w:hAnsi="Times New Roman" w:cs="Times New Roman"/>
        </w:rPr>
        <w:t>R</w:t>
      </w:r>
      <w:r w:rsidRPr="008B0382" w:rsidR="00C578D5">
        <w:rPr>
          <w:rFonts w:hAnsi="Times New Roman" w:cs="Times New Roman"/>
        </w:rPr>
        <w:t>ehearing in case 14-129</w:t>
      </w:r>
      <w:r w:rsidRPr="008B0382" w:rsidR="00A27226">
        <w:rPr>
          <w:rFonts w:hAnsi="Times New Roman" w:cs="Times New Roman"/>
        </w:rPr>
        <w:t>7</w:t>
      </w:r>
      <w:r w:rsidRPr="008B0382" w:rsidR="00C578D5">
        <w:rPr>
          <w:rFonts w:hAnsi="Times New Roman" w:cs="Times New Roman"/>
        </w:rPr>
        <w:t xml:space="preserve"> (p. 64) state</w:t>
      </w:r>
      <w:r w:rsidRPr="008B0382" w:rsidR="00A27226">
        <w:rPr>
          <w:rFonts w:hAnsi="Times New Roman" w:cs="Times New Roman"/>
        </w:rPr>
        <w:t>s</w:t>
      </w:r>
      <w:r w:rsidRPr="008B0382" w:rsidR="00C578D5">
        <w:rPr>
          <w:rFonts w:hAnsi="Times New Roman" w:cs="Times New Roman"/>
        </w:rPr>
        <w:t xml:space="preserve">, among other things, that “Under the expanded NMB pilot program, which includes up to five additional Rate GT customers, remaining ratepayers may face higher charges.”  </w:t>
      </w:r>
    </w:p>
    <w:p w:rsidR="00763DB8" w:rsidRPr="008B0382" w:rsidP="00CA35A4" w14:paraId="6DC974A3" w14:textId="77777777">
      <w:pPr>
        <w:pStyle w:val="BodyA"/>
        <w:rPr>
          <w:rFonts w:hAnsi="Times New Roman" w:cs="Times New Roman"/>
        </w:rPr>
      </w:pPr>
    </w:p>
    <w:p w:rsidR="008C027D" w:rsidRPr="008B0382" w:rsidP="00CA35A4" w14:paraId="780CDC81" w14:textId="4E845D39">
      <w:pPr>
        <w:pStyle w:val="BodyA"/>
        <w:rPr>
          <w:rFonts w:hAnsi="Times New Roman" w:cs="Times New Roman"/>
          <w:b/>
          <w:bCs/>
          <w:i/>
          <w:iCs/>
          <w:caps/>
        </w:rPr>
      </w:pPr>
      <w:r w:rsidRPr="008B0382">
        <w:rPr>
          <w:rFonts w:hAnsi="Times New Roman" w:cs="Times New Roman"/>
          <w:b/>
          <w:bCs/>
          <w:i/>
          <w:iCs/>
        </w:rPr>
        <w:t>Q</w:t>
      </w:r>
      <w:r w:rsidRPr="008B0382" w:rsidR="00BF720E">
        <w:rPr>
          <w:rFonts w:hAnsi="Times New Roman" w:cs="Times New Roman"/>
          <w:b/>
          <w:bCs/>
          <w:i/>
          <w:iCs/>
        </w:rPr>
        <w:t>9</w:t>
      </w:r>
      <w:r w:rsidRPr="008B0382">
        <w:rPr>
          <w:rFonts w:hAnsi="Times New Roman" w:cs="Times New Roman"/>
          <w:b/>
          <w:bCs/>
          <w:i/>
          <w:iCs/>
        </w:rPr>
        <w:t xml:space="preserve">. </w:t>
      </w:r>
      <w:r w:rsidRPr="008B0382">
        <w:rPr>
          <w:rFonts w:hAnsi="Times New Roman" w:cs="Times New Roman"/>
          <w:b/>
          <w:bCs/>
          <w:i/>
          <w:iCs/>
        </w:rPr>
        <w:tab/>
      </w:r>
      <w:r w:rsidRPr="008B0382">
        <w:rPr>
          <w:rFonts w:hAnsi="Times New Roman" w:cs="Times New Roman"/>
          <w:b/>
          <w:bCs/>
          <w:i/>
          <w:iCs/>
          <w:caps/>
        </w:rPr>
        <w:t xml:space="preserve">Will there be any cost shifting as a result of </w:t>
      </w:r>
      <w:r w:rsidRPr="008B0382" w:rsidR="00E00196">
        <w:rPr>
          <w:rFonts w:hAnsi="Times New Roman" w:cs="Times New Roman"/>
          <w:b/>
          <w:bCs/>
          <w:i/>
          <w:iCs/>
          <w:caps/>
        </w:rPr>
        <w:t>THE APPLICANT</w:t>
      </w:r>
      <w:r w:rsidRPr="008B0382">
        <w:rPr>
          <w:rFonts w:hAnsi="Times New Roman" w:cs="Times New Roman"/>
          <w:b/>
          <w:bCs/>
          <w:i/>
          <w:iCs/>
          <w:caps/>
        </w:rPr>
        <w:t xml:space="preserve"> joining the Rider NMB opt-out program?</w:t>
      </w:r>
      <w:r w:rsidRPr="008B0382">
        <w:rPr>
          <w:rFonts w:hAnsi="Times New Roman" w:cs="Times New Roman"/>
          <w:b/>
          <w:bCs/>
          <w:i/>
          <w:iCs/>
          <w:caps/>
        </w:rPr>
        <w:tab/>
      </w:r>
    </w:p>
    <w:p w:rsidR="008405D5" w:rsidRPr="008B0382" w:rsidP="008C027D" w14:paraId="1CCE728B" w14:textId="36F27DEA">
      <w:pPr>
        <w:pStyle w:val="BodyA"/>
        <w:rPr>
          <w:rFonts w:hAnsi="Times New Roman" w:cs="Times New Roman"/>
        </w:rPr>
      </w:pPr>
      <w:r w:rsidRPr="008B0382">
        <w:rPr>
          <w:rFonts w:hAnsi="Times New Roman" w:cs="Times New Roman"/>
          <w:b/>
          <w:bCs/>
          <w:i/>
          <w:iCs/>
          <w:caps/>
        </w:rPr>
        <w:t>A</w:t>
      </w:r>
      <w:r w:rsidRPr="008B0382" w:rsidR="00BF720E">
        <w:rPr>
          <w:rFonts w:hAnsi="Times New Roman" w:cs="Times New Roman"/>
          <w:b/>
          <w:bCs/>
          <w:i/>
          <w:iCs/>
          <w:caps/>
        </w:rPr>
        <w:t>9</w:t>
      </w:r>
      <w:r w:rsidRPr="008B0382">
        <w:rPr>
          <w:rFonts w:hAnsi="Times New Roman" w:cs="Times New Roman"/>
        </w:rPr>
        <w:t xml:space="preserve">. </w:t>
      </w:r>
      <w:r w:rsidRPr="008B0382">
        <w:rPr>
          <w:rFonts w:hAnsi="Times New Roman" w:cs="Times New Roman"/>
        </w:rPr>
        <w:tab/>
        <w:t>Yes</w:t>
      </w:r>
      <w:r w:rsidRPr="008B0382" w:rsidR="00BA7369">
        <w:rPr>
          <w:rFonts w:hAnsi="Times New Roman" w:cs="Times New Roman"/>
        </w:rPr>
        <w:t xml:space="preserve">. </w:t>
      </w:r>
      <w:r w:rsidRPr="008B0382">
        <w:rPr>
          <w:rFonts w:hAnsi="Times New Roman" w:cs="Times New Roman"/>
        </w:rPr>
        <w:t xml:space="preserve"> </w:t>
      </w:r>
      <w:r w:rsidRPr="008B0382" w:rsidR="00E83913">
        <w:rPr>
          <w:rFonts w:hAnsi="Times New Roman" w:cs="Times New Roman"/>
        </w:rPr>
        <w:t>T</w:t>
      </w:r>
      <w:r w:rsidRPr="008B0382" w:rsidR="00E00196">
        <w:rPr>
          <w:rFonts w:hAnsi="Times New Roman" w:cs="Times New Roman"/>
        </w:rPr>
        <w:t>he Applicant</w:t>
      </w:r>
      <w:r w:rsidRPr="008B0382" w:rsidR="007D55D8">
        <w:rPr>
          <w:rFonts w:hAnsi="Times New Roman" w:cs="Times New Roman"/>
        </w:rPr>
        <w:t xml:space="preserve">’s own witness, John Seryak, essentially stated that there will be shifting </w:t>
      </w:r>
      <w:r w:rsidRPr="008B0382" w:rsidR="00E83913">
        <w:rPr>
          <w:rFonts w:hAnsi="Times New Roman" w:cs="Times New Roman"/>
        </w:rPr>
        <w:t xml:space="preserve">of the revenue responsibility </w:t>
      </w:r>
      <w:r w:rsidRPr="008B0382" w:rsidR="007D55D8">
        <w:rPr>
          <w:rFonts w:hAnsi="Times New Roman" w:cs="Times New Roman"/>
        </w:rPr>
        <w:t xml:space="preserve">as a result of </w:t>
      </w:r>
      <w:r w:rsidRPr="008B0382" w:rsidR="00E00196">
        <w:rPr>
          <w:rFonts w:hAnsi="Times New Roman" w:cs="Times New Roman"/>
        </w:rPr>
        <w:t>the Applicant</w:t>
      </w:r>
      <w:r w:rsidRPr="008B0382" w:rsidR="007D55D8">
        <w:rPr>
          <w:rFonts w:hAnsi="Times New Roman" w:cs="Times New Roman"/>
        </w:rPr>
        <w:t xml:space="preserve"> joining the Rider NMB opt-out pilot program. </w:t>
      </w:r>
      <w:r w:rsidRPr="008B0382" w:rsidR="00BA7369">
        <w:rPr>
          <w:rFonts w:hAnsi="Times New Roman" w:cs="Times New Roman"/>
        </w:rPr>
        <w:t xml:space="preserve">In defending the Application, </w:t>
      </w:r>
      <w:r w:rsidRPr="008B0382" w:rsidR="007D55D8">
        <w:rPr>
          <w:rFonts w:hAnsi="Times New Roman" w:cs="Times New Roman"/>
        </w:rPr>
        <w:t xml:space="preserve">Mr. Seryak </w:t>
      </w:r>
      <w:r w:rsidRPr="008B0382" w:rsidR="00BA7369">
        <w:rPr>
          <w:rFonts w:hAnsi="Times New Roman" w:cs="Times New Roman"/>
        </w:rPr>
        <w:t>claims</w:t>
      </w:r>
      <w:r w:rsidRPr="008B0382" w:rsidR="004371C7">
        <w:rPr>
          <w:rFonts w:hAnsi="Times New Roman" w:cs="Times New Roman"/>
        </w:rPr>
        <w:t xml:space="preserve"> </w:t>
      </w:r>
      <w:r w:rsidRPr="008B0382" w:rsidR="007D55D8">
        <w:rPr>
          <w:rFonts w:hAnsi="Times New Roman" w:cs="Times New Roman"/>
        </w:rPr>
        <w:t xml:space="preserve">that </w:t>
      </w:r>
      <w:r w:rsidRPr="008B0382" w:rsidR="00E00196">
        <w:rPr>
          <w:rFonts w:hAnsi="Times New Roman" w:cs="Times New Roman"/>
        </w:rPr>
        <w:t>the Applicant</w:t>
      </w:r>
      <w:r w:rsidRPr="008B0382" w:rsidR="007D55D8">
        <w:rPr>
          <w:rFonts w:hAnsi="Times New Roman" w:cs="Times New Roman"/>
        </w:rPr>
        <w:t xml:space="preserve"> has been overpaying for its transmission service and “subsidizing other customers</w:t>
      </w:r>
      <w:r>
        <w:rPr>
          <w:rFonts w:hAnsi="Times New Roman" w:cs="Times New Roman"/>
        </w:rPr>
        <w:t>’</w:t>
      </w:r>
      <w:r w:rsidRPr="008B0382" w:rsidR="007D55D8">
        <w:rPr>
          <w:rFonts w:hAnsi="Times New Roman" w:cs="Times New Roman"/>
        </w:rPr>
        <w:t xml:space="preserve"> transmission costs.”</w:t>
      </w:r>
      <w:r>
        <w:rPr>
          <w:rStyle w:val="FootnoteReference"/>
          <w:rFonts w:hAnsi="Times New Roman" w:cs="Times New Roman"/>
        </w:rPr>
        <w:footnoteReference w:id="8"/>
      </w:r>
      <w:r w:rsidRPr="008B0382" w:rsidR="00120239">
        <w:rPr>
          <w:rFonts w:hAnsi="Times New Roman" w:cs="Times New Roman"/>
        </w:rPr>
        <w:t xml:space="preserve"> </w:t>
      </w:r>
      <w:r w:rsidRPr="008B0382" w:rsidR="001B7341">
        <w:rPr>
          <w:rFonts w:hAnsi="Times New Roman" w:cs="Times New Roman"/>
        </w:rPr>
        <w:t xml:space="preserve"> </w:t>
      </w:r>
      <w:r w:rsidRPr="008B0382">
        <w:rPr>
          <w:rFonts w:hAnsi="Times New Roman" w:cs="Times New Roman"/>
        </w:rPr>
        <w:t xml:space="preserve">    </w:t>
      </w:r>
    </w:p>
    <w:p w:rsidR="008405D5" w:rsidRPr="008B0382" w:rsidP="008C027D" w14:paraId="0CDACC8E" w14:textId="77777777">
      <w:pPr>
        <w:pStyle w:val="BodyA"/>
        <w:rPr>
          <w:rFonts w:hAnsi="Times New Roman" w:cs="Times New Roman"/>
        </w:rPr>
      </w:pPr>
    </w:p>
    <w:p w:rsidR="009F7533" w:rsidRPr="008B0382" w:rsidP="00F81DA3" w14:paraId="3957144C" w14:textId="0981A876">
      <w:pPr>
        <w:pStyle w:val="BodyA"/>
        <w:ind w:firstLine="0"/>
        <w:rPr>
          <w:rFonts w:hAnsi="Times New Roman" w:cs="Times New Roman"/>
        </w:rPr>
      </w:pPr>
      <w:r w:rsidRPr="008B0382">
        <w:rPr>
          <w:rFonts w:hAnsi="Times New Roman" w:cs="Times New Roman"/>
        </w:rPr>
        <w:t xml:space="preserve">If </w:t>
      </w:r>
      <w:r w:rsidRPr="008B0382" w:rsidR="00E00196">
        <w:rPr>
          <w:rFonts w:hAnsi="Times New Roman" w:cs="Times New Roman"/>
        </w:rPr>
        <w:t>the Applicant</w:t>
      </w:r>
      <w:r w:rsidRPr="008B0382">
        <w:rPr>
          <w:rFonts w:hAnsi="Times New Roman" w:cs="Times New Roman"/>
        </w:rPr>
        <w:t xml:space="preserve"> </w:t>
      </w:r>
      <w:r w:rsidRPr="008B0382" w:rsidR="00465740">
        <w:rPr>
          <w:rFonts w:hAnsi="Times New Roman" w:cs="Times New Roman"/>
        </w:rPr>
        <w:t>stops paying Rider NMB</w:t>
      </w:r>
      <w:r w:rsidRPr="008B0382" w:rsidR="00BB0636">
        <w:rPr>
          <w:rFonts w:hAnsi="Times New Roman" w:cs="Times New Roman"/>
        </w:rPr>
        <w:t>,</w:t>
      </w:r>
      <w:r w:rsidRPr="008B0382">
        <w:rPr>
          <w:rFonts w:hAnsi="Times New Roman" w:cs="Times New Roman"/>
        </w:rPr>
        <w:t xml:space="preserve"> </w:t>
      </w:r>
      <w:r w:rsidRPr="008B0382" w:rsidR="00465740">
        <w:rPr>
          <w:rFonts w:hAnsi="Times New Roman" w:cs="Times New Roman"/>
        </w:rPr>
        <w:t>it</w:t>
      </w:r>
      <w:r w:rsidRPr="008B0382">
        <w:rPr>
          <w:rFonts w:hAnsi="Times New Roman" w:cs="Times New Roman"/>
        </w:rPr>
        <w:t xml:space="preserve"> will definitely lead to a shifting of transmission costs from one consumer to </w:t>
      </w:r>
      <w:r w:rsidRPr="008B0382" w:rsidR="00465740">
        <w:rPr>
          <w:rFonts w:hAnsi="Times New Roman" w:cs="Times New Roman"/>
        </w:rPr>
        <w:t>others</w:t>
      </w:r>
      <w:r w:rsidRPr="008B0382">
        <w:rPr>
          <w:rFonts w:hAnsi="Times New Roman" w:cs="Times New Roman"/>
        </w:rPr>
        <w:t>.</w:t>
      </w:r>
      <w:r w:rsidRPr="008B0382" w:rsidR="00BA7369">
        <w:rPr>
          <w:rFonts w:hAnsi="Times New Roman" w:cs="Times New Roman"/>
        </w:rPr>
        <w:t xml:space="preserve"> </w:t>
      </w:r>
      <w:r w:rsidRPr="008B0382">
        <w:rPr>
          <w:rFonts w:hAnsi="Times New Roman" w:cs="Times New Roman"/>
        </w:rPr>
        <w:t xml:space="preserve"> Mr. Seryak states </w:t>
      </w:r>
      <w:r w:rsidRPr="008B0382" w:rsidR="00BB0636">
        <w:rPr>
          <w:rFonts w:hAnsi="Times New Roman" w:cs="Times New Roman"/>
        </w:rPr>
        <w:t xml:space="preserve">that </w:t>
      </w:r>
      <w:r w:rsidRPr="008B0382">
        <w:rPr>
          <w:rFonts w:hAnsi="Times New Roman" w:cs="Times New Roman"/>
        </w:rPr>
        <w:t xml:space="preserve">ATSI and </w:t>
      </w:r>
      <w:r w:rsidRPr="008B0382" w:rsidR="00AD45C7">
        <w:rPr>
          <w:rFonts w:hAnsi="Times New Roman" w:cs="Times New Roman"/>
        </w:rPr>
        <w:t>FirstEnergy</w:t>
      </w:r>
      <w:r w:rsidRPr="008B0382" w:rsidR="00BF720E">
        <w:rPr>
          <w:rFonts w:hAnsi="Times New Roman" w:cs="Times New Roman"/>
        </w:rPr>
        <w:t xml:space="preserve">  </w:t>
      </w:r>
      <w:r w:rsidRPr="008B0382">
        <w:rPr>
          <w:rFonts w:hAnsi="Times New Roman" w:cs="Times New Roman"/>
        </w:rPr>
        <w:t xml:space="preserve">are only passing through their </w:t>
      </w:r>
      <w:r w:rsidRPr="008B0382" w:rsidR="00465740">
        <w:rPr>
          <w:rFonts w:hAnsi="Times New Roman" w:cs="Times New Roman"/>
        </w:rPr>
        <w:t xml:space="preserve">transmission </w:t>
      </w:r>
      <w:r w:rsidRPr="008B0382">
        <w:rPr>
          <w:rFonts w:hAnsi="Times New Roman" w:cs="Times New Roman"/>
        </w:rPr>
        <w:t xml:space="preserve">costs, </w:t>
      </w:r>
      <w:r w:rsidRPr="008B0382" w:rsidR="00BB0636">
        <w:rPr>
          <w:rFonts w:hAnsi="Times New Roman" w:cs="Times New Roman"/>
        </w:rPr>
        <w:t xml:space="preserve">and </w:t>
      </w:r>
      <w:r w:rsidRPr="008B0382">
        <w:rPr>
          <w:rFonts w:hAnsi="Times New Roman" w:cs="Times New Roman"/>
        </w:rPr>
        <w:t>he also states that by switching to the Rider NMB opt-out program</w:t>
      </w:r>
      <w:r w:rsidRPr="008B0382" w:rsidR="00BB0636">
        <w:rPr>
          <w:rFonts w:hAnsi="Times New Roman" w:cs="Times New Roman"/>
        </w:rPr>
        <w:t>,</w:t>
      </w:r>
      <w:r w:rsidRPr="008B0382">
        <w:rPr>
          <w:rFonts w:hAnsi="Times New Roman" w:cs="Times New Roman"/>
        </w:rPr>
        <w:t xml:space="preserve"> </w:t>
      </w:r>
      <w:r w:rsidRPr="008B0382" w:rsidR="000A4D7B">
        <w:rPr>
          <w:rFonts w:hAnsi="Times New Roman" w:cs="Times New Roman"/>
        </w:rPr>
        <w:t>the Applicant</w:t>
      </w:r>
      <w:r w:rsidRPr="008B0382">
        <w:rPr>
          <w:rFonts w:hAnsi="Times New Roman" w:cs="Times New Roman"/>
        </w:rPr>
        <w:t xml:space="preserve"> </w:t>
      </w:r>
      <w:r w:rsidRPr="008B0382" w:rsidR="00465740">
        <w:rPr>
          <w:rFonts w:hAnsi="Times New Roman" w:cs="Times New Roman"/>
        </w:rPr>
        <w:t>will pay less</w:t>
      </w:r>
      <w:r w:rsidRPr="008B0382">
        <w:rPr>
          <w:rFonts w:hAnsi="Times New Roman" w:cs="Times New Roman"/>
        </w:rPr>
        <w:t xml:space="preserve"> for its transmission service</w:t>
      </w:r>
      <w:r w:rsidRPr="008B0382" w:rsidR="008C027D">
        <w:rPr>
          <w:rFonts w:hAnsi="Times New Roman" w:cs="Times New Roman"/>
        </w:rPr>
        <w:t>.</w:t>
      </w:r>
      <w:r>
        <w:rPr>
          <w:rStyle w:val="FootnoteReference"/>
          <w:rFonts w:hAnsi="Times New Roman" w:cs="Times New Roman"/>
        </w:rPr>
        <w:footnoteReference w:id="9"/>
      </w:r>
      <w:r w:rsidRPr="008B0382">
        <w:rPr>
          <w:rFonts w:hAnsi="Times New Roman" w:cs="Times New Roman"/>
        </w:rPr>
        <w:t xml:space="preserve"> </w:t>
      </w:r>
      <w:r w:rsidRPr="008B0382" w:rsidR="008C027D">
        <w:rPr>
          <w:rFonts w:hAnsi="Times New Roman" w:cs="Times New Roman"/>
        </w:rPr>
        <w:t xml:space="preserve">He goes on to state </w:t>
      </w:r>
      <w:r w:rsidRPr="008B0382" w:rsidR="000A4D7B">
        <w:rPr>
          <w:rFonts w:hAnsi="Times New Roman" w:cs="Times New Roman"/>
        </w:rPr>
        <w:t>the Applicant</w:t>
      </w:r>
      <w:r w:rsidRPr="008B0382" w:rsidR="008C027D">
        <w:rPr>
          <w:rFonts w:hAnsi="Times New Roman" w:cs="Times New Roman"/>
        </w:rPr>
        <w:t xml:space="preserve"> has already taken steps to reduce its transmission costs</w:t>
      </w:r>
      <w:r w:rsidRPr="008B0382" w:rsidR="00AD45C7">
        <w:rPr>
          <w:rFonts w:hAnsi="Times New Roman" w:cs="Times New Roman"/>
        </w:rPr>
        <w:t xml:space="preserve"> that should have reduced their overall transmission costs</w:t>
      </w:r>
      <w:r w:rsidRPr="008B0382" w:rsidR="008C027D">
        <w:rPr>
          <w:rFonts w:hAnsi="Times New Roman" w:cs="Times New Roman"/>
        </w:rPr>
        <w:t>.</w:t>
      </w:r>
      <w:r>
        <w:rPr>
          <w:rStyle w:val="FootnoteReference"/>
          <w:rFonts w:hAnsi="Times New Roman" w:cs="Times New Roman"/>
        </w:rPr>
        <w:footnoteReference w:id="10"/>
      </w:r>
      <w:r w:rsidRPr="008B0382" w:rsidR="008C027D">
        <w:rPr>
          <w:rFonts w:hAnsi="Times New Roman" w:cs="Times New Roman"/>
        </w:rPr>
        <w:t xml:space="preserve"> </w:t>
      </w:r>
      <w:r w:rsidRPr="008B0382" w:rsidR="00AD45C7">
        <w:rPr>
          <w:rFonts w:hAnsi="Times New Roman" w:cs="Times New Roman"/>
        </w:rPr>
        <w:t xml:space="preserve">In its Application the </w:t>
      </w:r>
      <w:r w:rsidRPr="008B0382" w:rsidR="000A4D7B">
        <w:rPr>
          <w:rFonts w:hAnsi="Times New Roman" w:cs="Times New Roman"/>
        </w:rPr>
        <w:t xml:space="preserve"> Applicant</w:t>
      </w:r>
      <w:r w:rsidRPr="008B0382" w:rsidR="008C027D">
        <w:rPr>
          <w:rFonts w:hAnsi="Times New Roman" w:cs="Times New Roman"/>
        </w:rPr>
        <w:t xml:space="preserve"> is not offering to add in any additional steps to reduce its transmission costs. If the</w:t>
      </w:r>
      <w:r w:rsidRPr="008B0382" w:rsidR="002B6182">
        <w:rPr>
          <w:rFonts w:hAnsi="Times New Roman" w:cs="Times New Roman"/>
        </w:rPr>
        <w:t xml:space="preserve"> Applicant</w:t>
      </w:r>
      <w:r w:rsidRPr="008B0382" w:rsidR="008C027D">
        <w:rPr>
          <w:rFonts w:hAnsi="Times New Roman" w:cs="Times New Roman"/>
        </w:rPr>
        <w:t xml:space="preserve"> </w:t>
      </w:r>
      <w:r w:rsidRPr="008B0382" w:rsidR="002B6182">
        <w:rPr>
          <w:rFonts w:hAnsi="Times New Roman" w:cs="Times New Roman"/>
        </w:rPr>
        <w:t>is</w:t>
      </w:r>
      <w:r w:rsidRPr="008B0382" w:rsidR="008C027D">
        <w:rPr>
          <w:rFonts w:hAnsi="Times New Roman" w:cs="Times New Roman"/>
        </w:rPr>
        <w:t xml:space="preserve"> not proposing to reduce transmission costs</w:t>
      </w:r>
      <w:r w:rsidRPr="008B0382" w:rsidR="00BB0636">
        <w:rPr>
          <w:rFonts w:hAnsi="Times New Roman" w:cs="Times New Roman"/>
        </w:rPr>
        <w:t>,</w:t>
      </w:r>
      <w:r w:rsidRPr="008B0382" w:rsidR="008C027D">
        <w:rPr>
          <w:rFonts w:hAnsi="Times New Roman" w:cs="Times New Roman"/>
        </w:rPr>
        <w:t xml:space="preserve"> that means the overall transmission costs </w:t>
      </w:r>
      <w:r w:rsidRPr="008B0382" w:rsidR="00AD45C7">
        <w:rPr>
          <w:rFonts w:hAnsi="Times New Roman" w:cs="Times New Roman"/>
        </w:rPr>
        <w:t>charged to</w:t>
      </w:r>
      <w:r w:rsidRPr="008B0382" w:rsidR="008C027D">
        <w:rPr>
          <w:rFonts w:hAnsi="Times New Roman" w:cs="Times New Roman"/>
        </w:rPr>
        <w:t xml:space="preserve"> FirstEnergy </w:t>
      </w:r>
      <w:r w:rsidRPr="008B0382" w:rsidR="00AD45C7">
        <w:rPr>
          <w:rFonts w:hAnsi="Times New Roman" w:cs="Times New Roman"/>
        </w:rPr>
        <w:t xml:space="preserve">by PJM </w:t>
      </w:r>
      <w:r w:rsidRPr="008B0382" w:rsidR="008C027D">
        <w:rPr>
          <w:rFonts w:hAnsi="Times New Roman" w:cs="Times New Roman"/>
        </w:rPr>
        <w:t xml:space="preserve">will not be reduced. </w:t>
      </w:r>
      <w:r w:rsidRPr="008B0382" w:rsidR="009E3F47">
        <w:rPr>
          <w:rFonts w:hAnsi="Times New Roman" w:cs="Times New Roman"/>
        </w:rPr>
        <w:t xml:space="preserve">If it is true that by joining the Rider NMB opt-out pilot program </w:t>
      </w:r>
      <w:r w:rsidRPr="008B0382" w:rsidR="000A4D7B">
        <w:rPr>
          <w:rFonts w:hAnsi="Times New Roman" w:cs="Times New Roman"/>
        </w:rPr>
        <w:t>the Applicant</w:t>
      </w:r>
      <w:r w:rsidRPr="008B0382" w:rsidR="009E3F47">
        <w:rPr>
          <w:rFonts w:hAnsi="Times New Roman" w:cs="Times New Roman"/>
        </w:rPr>
        <w:t xml:space="preserve">’s </w:t>
      </w:r>
      <w:r w:rsidRPr="008B0382" w:rsidR="00465740">
        <w:rPr>
          <w:rFonts w:hAnsi="Times New Roman" w:cs="Times New Roman"/>
        </w:rPr>
        <w:t xml:space="preserve">individual </w:t>
      </w:r>
      <w:r w:rsidRPr="008B0382" w:rsidR="009E3F47">
        <w:rPr>
          <w:rFonts w:hAnsi="Times New Roman" w:cs="Times New Roman"/>
        </w:rPr>
        <w:t xml:space="preserve">transmission costs </w:t>
      </w:r>
      <w:r w:rsidRPr="008B0382" w:rsidR="009E3F47">
        <w:rPr>
          <w:rFonts w:hAnsi="Times New Roman" w:cs="Times New Roman"/>
          <w:b/>
          <w:bCs/>
          <w:u w:val="single"/>
        </w:rPr>
        <w:t>will</w:t>
      </w:r>
      <w:r w:rsidRPr="008B0382" w:rsidR="009E3F47">
        <w:rPr>
          <w:rFonts w:hAnsi="Times New Roman" w:cs="Times New Roman"/>
        </w:rPr>
        <w:t xml:space="preserve"> be reduced and that FirstEnergy’s overall transmission cost </w:t>
      </w:r>
      <w:r w:rsidRPr="008B0382" w:rsidR="009E3F47">
        <w:rPr>
          <w:rFonts w:hAnsi="Times New Roman" w:cs="Times New Roman"/>
          <w:b/>
          <w:bCs/>
          <w:u w:val="single"/>
        </w:rPr>
        <w:t>will not</w:t>
      </w:r>
      <w:r w:rsidRPr="008B0382" w:rsidR="009E3F47">
        <w:rPr>
          <w:rFonts w:hAnsi="Times New Roman" w:cs="Times New Roman"/>
        </w:rPr>
        <w:t xml:space="preserve"> be reduced</w:t>
      </w:r>
      <w:r w:rsidRPr="008B0382" w:rsidR="00BB0636">
        <w:rPr>
          <w:rFonts w:hAnsi="Times New Roman" w:cs="Times New Roman"/>
        </w:rPr>
        <w:t>,</w:t>
      </w:r>
      <w:r w:rsidRPr="008B0382" w:rsidR="009E3F47">
        <w:rPr>
          <w:rFonts w:hAnsi="Times New Roman" w:cs="Times New Roman"/>
        </w:rPr>
        <w:t xml:space="preserve"> there will </w:t>
      </w:r>
      <w:r w:rsidRPr="008B0382" w:rsidR="000A4D7B">
        <w:rPr>
          <w:rFonts w:hAnsi="Times New Roman" w:cs="Times New Roman"/>
        </w:rPr>
        <w:t xml:space="preserve">in fact </w:t>
      </w:r>
      <w:r w:rsidRPr="008B0382" w:rsidR="009E3F47">
        <w:rPr>
          <w:rFonts w:hAnsi="Times New Roman" w:cs="Times New Roman"/>
        </w:rPr>
        <w:t>be a shifting of costs to other consumers</w:t>
      </w:r>
      <w:r w:rsidRPr="008B0382" w:rsidR="000A4D7B">
        <w:rPr>
          <w:rFonts w:hAnsi="Times New Roman" w:cs="Times New Roman"/>
        </w:rPr>
        <w:t xml:space="preserve"> unless FirstEnergy absorbs the delta revenue</w:t>
      </w:r>
      <w:r w:rsidRPr="008B0382" w:rsidR="009E3F47">
        <w:rPr>
          <w:rFonts w:hAnsi="Times New Roman" w:cs="Times New Roman"/>
        </w:rPr>
        <w:t xml:space="preserve">. </w:t>
      </w:r>
      <w:r w:rsidRPr="008B0382" w:rsidR="000A4D7B">
        <w:rPr>
          <w:rFonts w:hAnsi="Times New Roman" w:cs="Times New Roman"/>
        </w:rPr>
        <w:t>That would seem to be a highly unlikely outcome</w:t>
      </w:r>
      <w:r w:rsidRPr="008B0382" w:rsidR="002B6182">
        <w:rPr>
          <w:rFonts w:hAnsi="Times New Roman" w:cs="Times New Roman"/>
        </w:rPr>
        <w:t xml:space="preserve"> that FirstEnergy would absorb the delta revenue and not charge other customers for the foregone revenue. </w:t>
      </w:r>
    </w:p>
    <w:p w:rsidR="00DB131C" w:rsidRPr="008B0382" w:rsidP="00DB131C" w14:paraId="29F51569" w14:textId="368CC3B6">
      <w:pPr>
        <w:pStyle w:val="BodyA"/>
        <w:rPr>
          <w:rFonts w:hAnsi="Times New Roman" w:cs="Times New Roman"/>
          <w:b/>
          <w:bCs/>
          <w:i/>
          <w:iCs/>
        </w:rPr>
      </w:pPr>
      <w:r w:rsidRPr="008B0382">
        <w:rPr>
          <w:rFonts w:hAnsi="Times New Roman" w:cs="Times New Roman"/>
          <w:b/>
          <w:bCs/>
          <w:i/>
          <w:iCs/>
        </w:rPr>
        <w:t>Q</w:t>
      </w:r>
      <w:r w:rsidRPr="008B0382" w:rsidR="002B6182">
        <w:rPr>
          <w:rFonts w:hAnsi="Times New Roman" w:cs="Times New Roman"/>
          <w:b/>
          <w:bCs/>
          <w:i/>
          <w:iCs/>
        </w:rPr>
        <w:t>10</w:t>
      </w:r>
      <w:r w:rsidRPr="008B0382">
        <w:rPr>
          <w:rFonts w:hAnsi="Times New Roman" w:cs="Times New Roman"/>
          <w:b/>
          <w:bCs/>
          <w:i/>
          <w:iCs/>
        </w:rPr>
        <w:t>.</w:t>
      </w:r>
      <w:r w:rsidRPr="008B0382">
        <w:rPr>
          <w:rFonts w:hAnsi="Times New Roman" w:cs="Times New Roman"/>
          <w:b/>
          <w:bCs/>
          <w:i/>
          <w:iCs/>
        </w:rPr>
        <w:tab/>
      </w:r>
      <w:r w:rsidRPr="008B0382" w:rsidR="009E3F47">
        <w:rPr>
          <w:rFonts w:hAnsi="Times New Roman" w:cs="Times New Roman"/>
          <w:b/>
          <w:bCs/>
          <w:i/>
          <w:iCs/>
          <w:caps/>
        </w:rPr>
        <w:t>Does the settlement package violate any important regulatory principle or practice?</w:t>
      </w:r>
    </w:p>
    <w:p w:rsidR="005F4E45" w:rsidRPr="008B0382" w:rsidP="009E3F47" w14:paraId="1B33950B" w14:textId="513CE99E">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pPr>
      <w:r w:rsidRPr="008B0382">
        <w:rPr>
          <w:b/>
          <w:bCs/>
          <w:i/>
          <w:iCs/>
        </w:rPr>
        <w:t>A</w:t>
      </w:r>
      <w:r w:rsidRPr="008B0382" w:rsidR="002B6182">
        <w:rPr>
          <w:b/>
          <w:bCs/>
          <w:i/>
          <w:iCs/>
        </w:rPr>
        <w:t>10</w:t>
      </w:r>
      <w:r w:rsidRPr="008B0382">
        <w:rPr>
          <w:b/>
          <w:bCs/>
          <w:i/>
          <w:iCs/>
        </w:rPr>
        <w:t>.</w:t>
      </w:r>
      <w:r w:rsidRPr="008B0382">
        <w:rPr>
          <w:b/>
          <w:bCs/>
          <w:i/>
          <w:iCs/>
        </w:rPr>
        <w:tab/>
      </w:r>
      <w:r w:rsidRPr="008B0382" w:rsidR="009E3F47">
        <w:t>Yes</w:t>
      </w:r>
      <w:r w:rsidRPr="008B0382" w:rsidR="002A46E0">
        <w:t>.</w:t>
      </w:r>
      <w:r w:rsidRPr="008B0382" w:rsidR="009E3F47">
        <w:t xml:space="preserve"> </w:t>
      </w:r>
      <w:r w:rsidRPr="008B0382" w:rsidR="002A46E0">
        <w:t>T</w:t>
      </w:r>
      <w:r w:rsidRPr="008B0382" w:rsidR="008E504F">
        <w:t xml:space="preserve">he PUCO Staff has not abided by a PUCO Order </w:t>
      </w:r>
      <w:r w:rsidRPr="008B0382" w:rsidR="008B11DE">
        <w:t>in the case approving the Rider NMB opt-out pilot program (PUCO Case No. 14-1297-EL-SSO)</w:t>
      </w:r>
      <w:r w:rsidRPr="008B0382" w:rsidR="008E504F">
        <w:t>. In that case</w:t>
      </w:r>
      <w:r w:rsidRPr="008B0382" w:rsidR="008B11DE">
        <w:t xml:space="preserve"> </w:t>
      </w:r>
      <w:r w:rsidRPr="008B0382" w:rsidR="009E3F47">
        <w:t xml:space="preserve">the PUCO </w:t>
      </w:r>
      <w:r w:rsidRPr="008B0382">
        <w:t>requested periodic updates from the PUCO Staff that include, at the minimum:</w:t>
      </w:r>
    </w:p>
    <w:p w:rsidR="005F4E45" w:rsidRPr="008B0382" w:rsidP="009F7533" w14:paraId="193EF52D" w14:textId="7777777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2160" w:hanging="720"/>
        <w:rPr>
          <w:rFonts w:hAnsi="Times New Roman" w:cs="Times New Roman"/>
        </w:rPr>
      </w:pPr>
      <w:r w:rsidRPr="008B0382">
        <w:rPr>
          <w:rFonts w:hAnsi="Times New Roman" w:cs="Times New Roman"/>
        </w:rPr>
        <w:t>Whether there is an aggregate savings in transmission costs for all of the Companies' customers.</w:t>
      </w:r>
    </w:p>
    <w:p w:rsidR="005F4E45" w:rsidRPr="008B0382" w:rsidP="009F7533" w14:paraId="561FACEB" w14:textId="7777777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2160" w:hanging="720"/>
        <w:rPr>
          <w:rFonts w:hAnsi="Times New Roman" w:cs="Times New Roman"/>
        </w:rPr>
      </w:pPr>
      <w:r w:rsidRPr="008B0382">
        <w:rPr>
          <w:rFonts w:hAnsi="Times New Roman" w:cs="Times New Roman"/>
        </w:rPr>
        <w:t xml:space="preserve">Whether and how much in transmission costs are being shifted to customers not participating in the pilot program. </w:t>
      </w:r>
    </w:p>
    <w:p w:rsidR="005F4E45" w:rsidRPr="008B0382" w:rsidP="009F7533" w14:paraId="1A1B5D03" w14:textId="7777777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2160" w:hanging="720"/>
        <w:rPr>
          <w:rFonts w:hAnsi="Times New Roman" w:cs="Times New Roman"/>
        </w:rPr>
      </w:pPr>
      <w:r w:rsidRPr="008B0382">
        <w:rPr>
          <w:rFonts w:hAnsi="Times New Roman" w:cs="Times New Roman"/>
        </w:rPr>
        <w:t>Whether the benefits of the pilot program outweigh any costs.</w:t>
      </w:r>
    </w:p>
    <w:p w:rsidR="005F4E45" w:rsidRPr="008B0382" w:rsidP="009F7533" w14:paraId="5A8F66F4" w14:textId="563F09F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2160" w:hanging="720"/>
        <w:rPr>
          <w:rFonts w:hAnsi="Times New Roman" w:cs="Times New Roman"/>
        </w:rPr>
      </w:pPr>
      <w:r w:rsidRPr="008B0382">
        <w:rPr>
          <w:rFonts w:hAnsi="Times New Roman" w:cs="Times New Roman"/>
        </w:rPr>
        <w:t>Whether Rider NMB results in an overall cost savings to customers.</w:t>
      </w:r>
      <w:r>
        <w:rPr>
          <w:rStyle w:val="FootnoteReference"/>
          <w:rFonts w:hAnsi="Times New Roman" w:cs="Times New Roman"/>
        </w:rPr>
        <w:footnoteReference w:id="11"/>
      </w:r>
      <w:r w:rsidRPr="008B0382" w:rsidR="009E3F47">
        <w:rPr>
          <w:rFonts w:hAnsi="Times New Roman" w:cs="Times New Roman"/>
        </w:rPr>
        <w:t xml:space="preserve"> </w:t>
      </w:r>
    </w:p>
    <w:p w:rsidR="00F81DA3" w:rsidRPr="008B0382" w:rsidP="002B3C39" w14:paraId="01AF8DD1" w14:textId="3616EF99">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firstLine="0"/>
      </w:pPr>
      <w:r w:rsidRPr="008B0382">
        <w:t xml:space="preserve"> </w:t>
      </w:r>
      <w:r w:rsidRPr="008B0382" w:rsidR="008E504F">
        <w:t>To my knowledge</w:t>
      </w:r>
      <w:r w:rsidRPr="008B0382" w:rsidR="002A46E0">
        <w:t>,</w:t>
      </w:r>
      <w:r w:rsidRPr="008B0382" w:rsidR="008E504F">
        <w:t xml:space="preserve"> there has not been a report by the PUCO Staff referencing the above Order of the PUCO. The Settlement </w:t>
      </w:r>
      <w:r w:rsidRPr="008B0382" w:rsidR="009E614C">
        <w:t>lacks</w:t>
      </w:r>
      <w:r w:rsidRPr="008B0382" w:rsidR="008E504F">
        <w:t xml:space="preserve"> any requirement for the PUCO Staff to prepare such a report</w:t>
      </w:r>
      <w:r w:rsidRPr="008B0382" w:rsidR="009E614C">
        <w:t>. The report(s) should be prepared now. If they are prepared, the reports should be publicly filed. This</w:t>
      </w:r>
      <w:r w:rsidRPr="008B0382" w:rsidR="002A46E0">
        <w:t xml:space="preserve"> PUCO Order </w:t>
      </w:r>
      <w:r w:rsidRPr="008B0382" w:rsidR="009E614C">
        <w:t xml:space="preserve">sets forth regulatory principles and practices </w:t>
      </w:r>
      <w:r w:rsidRPr="008B0382" w:rsidR="00A72D14">
        <w:t xml:space="preserve">(being involved with regulatory reports regarding the opt-out pilot program) </w:t>
      </w:r>
      <w:r w:rsidRPr="008B0382" w:rsidR="009E614C">
        <w:t xml:space="preserve">that are not being followed but should be. </w:t>
      </w:r>
      <w:r w:rsidRPr="008B0382">
        <w:br w:type="page"/>
      </w:r>
    </w:p>
    <w:p w:rsidR="003F1FA3" w:rsidRPr="008B0382" w:rsidP="00983236" w14:paraId="37B14D60" w14:textId="05FCC18B">
      <w:pPr>
        <w:pStyle w:val="BodyA"/>
        <w:rPr>
          <w:rFonts w:hAnsi="Times New Roman" w:cs="Times New Roman"/>
          <w:b/>
          <w:bCs/>
          <w:i/>
          <w:caps/>
        </w:rPr>
      </w:pPr>
      <w:r w:rsidRPr="008B0382">
        <w:rPr>
          <w:rFonts w:hAnsi="Times New Roman" w:cs="Times New Roman"/>
          <w:b/>
          <w:bCs/>
          <w:i/>
          <w:caps/>
        </w:rPr>
        <w:t>Q</w:t>
      </w:r>
      <w:r w:rsidRPr="008B0382" w:rsidR="008406BC">
        <w:rPr>
          <w:rFonts w:hAnsi="Times New Roman" w:cs="Times New Roman"/>
          <w:b/>
          <w:bCs/>
          <w:i/>
          <w:caps/>
        </w:rPr>
        <w:t>1</w:t>
      </w:r>
      <w:r w:rsidRPr="008B0382" w:rsidR="002B6182">
        <w:rPr>
          <w:rFonts w:hAnsi="Times New Roman" w:cs="Times New Roman"/>
          <w:b/>
          <w:bCs/>
          <w:i/>
          <w:caps/>
        </w:rPr>
        <w:t>1</w:t>
      </w:r>
      <w:r w:rsidRPr="008B0382">
        <w:rPr>
          <w:rFonts w:hAnsi="Times New Roman" w:cs="Times New Roman"/>
          <w:b/>
          <w:bCs/>
          <w:i/>
          <w:caps/>
        </w:rPr>
        <w:t>.</w:t>
      </w:r>
      <w:r w:rsidRPr="008B0382">
        <w:rPr>
          <w:rFonts w:hAnsi="Times New Roman" w:cs="Times New Roman"/>
          <w:b/>
          <w:bCs/>
          <w:i/>
          <w:caps/>
        </w:rPr>
        <w:tab/>
        <w:t>WHAT ACTION</w:t>
      </w:r>
      <w:r w:rsidRPr="008B0382" w:rsidR="003305B2">
        <w:rPr>
          <w:rFonts w:hAnsi="Times New Roman" w:cs="Times New Roman"/>
          <w:b/>
          <w:bCs/>
          <w:i/>
          <w:caps/>
        </w:rPr>
        <w:t>S</w:t>
      </w:r>
      <w:r w:rsidRPr="008B0382">
        <w:rPr>
          <w:rFonts w:hAnsi="Times New Roman" w:cs="Times New Roman"/>
          <w:b/>
          <w:bCs/>
          <w:i/>
          <w:caps/>
        </w:rPr>
        <w:t xml:space="preserve"> </w:t>
      </w:r>
      <w:r w:rsidRPr="008B0382" w:rsidR="0037787A">
        <w:rPr>
          <w:rFonts w:hAnsi="Times New Roman" w:cs="Times New Roman"/>
          <w:b/>
          <w:bCs/>
          <w:i/>
          <w:caps/>
        </w:rPr>
        <w:t>BY</w:t>
      </w:r>
      <w:r w:rsidRPr="008B0382" w:rsidR="00172234">
        <w:rPr>
          <w:rFonts w:hAnsi="Times New Roman" w:cs="Times New Roman"/>
          <w:b/>
          <w:bCs/>
          <w:i/>
          <w:caps/>
        </w:rPr>
        <w:t xml:space="preserve"> THE</w:t>
      </w:r>
      <w:r w:rsidRPr="008B0382" w:rsidR="0037787A">
        <w:rPr>
          <w:rFonts w:hAnsi="Times New Roman" w:cs="Times New Roman"/>
          <w:b/>
          <w:bCs/>
          <w:i/>
          <w:caps/>
        </w:rPr>
        <w:t xml:space="preserve"> PUCO </w:t>
      </w:r>
      <w:r w:rsidRPr="008B0382">
        <w:rPr>
          <w:rFonts w:hAnsi="Times New Roman" w:cs="Times New Roman"/>
          <w:b/>
          <w:bCs/>
          <w:i/>
          <w:caps/>
        </w:rPr>
        <w:t>DO YOU RECOMMEND?</w:t>
      </w:r>
    </w:p>
    <w:p w:rsidR="004707FF" w:rsidRPr="008B0382" w:rsidP="003C6CFB" w14:paraId="2A262192" w14:textId="0AD38FFC">
      <w:pPr>
        <w:pStyle w:val="BodyA"/>
        <w:rPr>
          <w:rFonts w:hAnsi="Times New Roman" w:cs="Times New Roman"/>
          <w:iCs/>
        </w:rPr>
      </w:pPr>
      <w:r w:rsidRPr="008B0382">
        <w:rPr>
          <w:rFonts w:hAnsi="Times New Roman" w:cs="Times New Roman"/>
          <w:b/>
          <w:bCs/>
          <w:i/>
          <w:caps/>
        </w:rPr>
        <w:t>a</w:t>
      </w:r>
      <w:r w:rsidRPr="008B0382" w:rsidR="008406BC">
        <w:rPr>
          <w:rFonts w:hAnsi="Times New Roman" w:cs="Times New Roman"/>
          <w:b/>
          <w:bCs/>
          <w:i/>
          <w:caps/>
        </w:rPr>
        <w:t>1</w:t>
      </w:r>
      <w:r w:rsidRPr="008B0382" w:rsidR="002B6182">
        <w:rPr>
          <w:rFonts w:hAnsi="Times New Roman" w:cs="Times New Roman"/>
          <w:b/>
          <w:bCs/>
          <w:i/>
          <w:caps/>
        </w:rPr>
        <w:t>1</w:t>
      </w:r>
      <w:r w:rsidRPr="008B0382">
        <w:rPr>
          <w:rFonts w:hAnsi="Times New Roman" w:cs="Times New Roman"/>
          <w:i/>
          <w:caps/>
        </w:rPr>
        <w:t>.</w:t>
      </w:r>
      <w:r w:rsidRPr="008B0382">
        <w:rPr>
          <w:rFonts w:hAnsi="Times New Roman" w:cs="Times New Roman"/>
          <w:iCs/>
          <w:caps/>
        </w:rPr>
        <w:tab/>
      </w:r>
      <w:r w:rsidRPr="008B0382" w:rsidR="002C3C44">
        <w:rPr>
          <w:rFonts w:hAnsi="Times New Roman" w:cs="Times New Roman"/>
          <w:iCs/>
        </w:rPr>
        <w:t>T</w:t>
      </w:r>
      <w:r w:rsidRPr="008B0382" w:rsidR="00AC320F">
        <w:rPr>
          <w:rFonts w:hAnsi="Times New Roman" w:cs="Times New Roman"/>
          <w:iCs/>
        </w:rPr>
        <w:t xml:space="preserve">he PUCO </w:t>
      </w:r>
      <w:r w:rsidRPr="008B0382" w:rsidR="00CA35A4">
        <w:rPr>
          <w:rFonts w:hAnsi="Times New Roman" w:cs="Times New Roman"/>
          <w:iCs/>
        </w:rPr>
        <w:t>Staff should</w:t>
      </w:r>
      <w:r w:rsidRPr="008B0382" w:rsidR="002C3C44">
        <w:rPr>
          <w:rFonts w:hAnsi="Times New Roman" w:cs="Times New Roman"/>
          <w:iCs/>
        </w:rPr>
        <w:t xml:space="preserve"> be (again) directed to</w:t>
      </w:r>
      <w:r w:rsidRPr="008B0382" w:rsidR="00CA35A4">
        <w:rPr>
          <w:rFonts w:hAnsi="Times New Roman" w:cs="Times New Roman"/>
          <w:iCs/>
        </w:rPr>
        <w:t xml:space="preserve"> follow the </w:t>
      </w:r>
      <w:r w:rsidRPr="008B0382" w:rsidR="00FA37FC">
        <w:rPr>
          <w:rFonts w:hAnsi="Times New Roman" w:cs="Times New Roman"/>
          <w:iCs/>
        </w:rPr>
        <w:t>PUCO</w:t>
      </w:r>
      <w:r w:rsidRPr="008B0382" w:rsidR="00CA35A4">
        <w:rPr>
          <w:rFonts w:hAnsi="Times New Roman" w:cs="Times New Roman"/>
          <w:iCs/>
        </w:rPr>
        <w:t xml:space="preserve">’s </w:t>
      </w:r>
      <w:r w:rsidRPr="008B0382" w:rsidR="00A72D14">
        <w:rPr>
          <w:rFonts w:hAnsi="Times New Roman" w:cs="Times New Roman"/>
          <w:iCs/>
        </w:rPr>
        <w:t xml:space="preserve">rulings </w:t>
      </w:r>
      <w:r w:rsidRPr="008B0382" w:rsidR="00CA35A4">
        <w:rPr>
          <w:rFonts w:hAnsi="Times New Roman" w:cs="Times New Roman"/>
          <w:iCs/>
        </w:rPr>
        <w:t xml:space="preserve">in Case No. 14-1297-EL-SSO </w:t>
      </w:r>
      <w:r w:rsidRPr="008B0382" w:rsidR="002C3C44">
        <w:rPr>
          <w:rFonts w:hAnsi="Times New Roman" w:cs="Times New Roman"/>
          <w:iCs/>
        </w:rPr>
        <w:t xml:space="preserve">for review of the pilot program. The PUCO Staff should </w:t>
      </w:r>
      <w:r w:rsidRPr="008B0382" w:rsidR="00E12BC7">
        <w:rPr>
          <w:rFonts w:hAnsi="Times New Roman" w:cs="Times New Roman"/>
          <w:iCs/>
        </w:rPr>
        <w:t>publ</w:t>
      </w:r>
      <w:r w:rsidRPr="008B0382" w:rsidR="00C64609">
        <w:rPr>
          <w:rFonts w:hAnsi="Times New Roman" w:cs="Times New Roman"/>
          <w:iCs/>
        </w:rPr>
        <w:t xml:space="preserve">icly </w:t>
      </w:r>
      <w:r w:rsidRPr="008B0382" w:rsidR="00CA35A4">
        <w:rPr>
          <w:rFonts w:hAnsi="Times New Roman" w:cs="Times New Roman"/>
          <w:iCs/>
        </w:rPr>
        <w:t>file a report on the impact (including dollar impact</w:t>
      </w:r>
      <w:r w:rsidRPr="008B0382" w:rsidR="00172234">
        <w:rPr>
          <w:rFonts w:hAnsi="Times New Roman" w:cs="Times New Roman"/>
          <w:iCs/>
        </w:rPr>
        <w:t xml:space="preserve"> on other consumers</w:t>
      </w:r>
      <w:r w:rsidRPr="008B0382" w:rsidR="00CA35A4">
        <w:rPr>
          <w:rFonts w:hAnsi="Times New Roman" w:cs="Times New Roman"/>
          <w:iCs/>
        </w:rPr>
        <w:t xml:space="preserve">) of the </w:t>
      </w:r>
      <w:r w:rsidRPr="008B0382" w:rsidR="003305B2">
        <w:rPr>
          <w:rFonts w:hAnsi="Times New Roman" w:cs="Times New Roman"/>
          <w:iCs/>
        </w:rPr>
        <w:t xml:space="preserve">FirstEnergy </w:t>
      </w:r>
      <w:r w:rsidRPr="008B0382" w:rsidR="00CA35A4">
        <w:rPr>
          <w:rFonts w:hAnsi="Times New Roman" w:cs="Times New Roman"/>
          <w:iCs/>
        </w:rPr>
        <w:t xml:space="preserve">Rider NMB opt-out </w:t>
      </w:r>
      <w:r w:rsidRPr="008B0382" w:rsidR="00EB0EED">
        <w:rPr>
          <w:rFonts w:hAnsi="Times New Roman" w:cs="Times New Roman"/>
          <w:iCs/>
        </w:rPr>
        <w:t xml:space="preserve">pilot </w:t>
      </w:r>
      <w:r w:rsidRPr="008B0382" w:rsidR="00CA35A4">
        <w:rPr>
          <w:rFonts w:hAnsi="Times New Roman" w:cs="Times New Roman"/>
          <w:iCs/>
        </w:rPr>
        <w:t xml:space="preserve">program. </w:t>
      </w:r>
    </w:p>
    <w:p w:rsidR="004707FF" w:rsidRPr="008B0382" w:rsidP="003C6CFB" w14:paraId="17D7BDFA" w14:textId="77777777">
      <w:pPr>
        <w:pStyle w:val="BodyA"/>
        <w:rPr>
          <w:rFonts w:hAnsi="Times New Roman" w:cs="Times New Roman"/>
          <w:iCs/>
        </w:rPr>
      </w:pPr>
    </w:p>
    <w:p w:rsidR="00BC2427" w:rsidRPr="008B0382" w:rsidP="00C578D5" w14:paraId="3E69F728" w14:textId="5C040674">
      <w:pPr>
        <w:pStyle w:val="BodyA"/>
        <w:ind w:firstLine="0"/>
        <w:rPr>
          <w:rFonts w:hAnsi="Times New Roman" w:cs="Times New Roman"/>
          <w:iCs/>
        </w:rPr>
      </w:pPr>
      <w:r w:rsidRPr="008B0382">
        <w:rPr>
          <w:rFonts w:hAnsi="Times New Roman" w:cs="Times New Roman"/>
          <w:iCs/>
        </w:rPr>
        <w:t>The</w:t>
      </w:r>
      <w:r w:rsidRPr="008B0382" w:rsidR="009E614C">
        <w:rPr>
          <w:rFonts w:hAnsi="Times New Roman" w:cs="Times New Roman"/>
          <w:iCs/>
        </w:rPr>
        <w:t xml:space="preserve"> process of this case should await the </w:t>
      </w:r>
      <w:r w:rsidRPr="008B0382" w:rsidR="00BA3254">
        <w:rPr>
          <w:rFonts w:hAnsi="Times New Roman" w:cs="Times New Roman"/>
          <w:iCs/>
        </w:rPr>
        <w:t>PUCO</w:t>
      </w:r>
      <w:r w:rsidRPr="008B0382" w:rsidR="009E614C">
        <w:rPr>
          <w:rFonts w:hAnsi="Times New Roman" w:cs="Times New Roman"/>
          <w:iCs/>
        </w:rPr>
        <w:t xml:space="preserve">’s follow up on its expectations for a review in creating the pilot program. All of the program participants, </w:t>
      </w:r>
      <w:r w:rsidRPr="008B0382" w:rsidR="00A72D14">
        <w:rPr>
          <w:rFonts w:hAnsi="Times New Roman" w:cs="Times New Roman"/>
          <w:iCs/>
        </w:rPr>
        <w:t>and</w:t>
      </w:r>
      <w:r w:rsidRPr="008B0382" w:rsidR="009E614C">
        <w:rPr>
          <w:rFonts w:hAnsi="Times New Roman" w:cs="Times New Roman"/>
          <w:iCs/>
        </w:rPr>
        <w:t xml:space="preserve"> this Applicant, should be subject to the outcome of the intended PUCO review of the </w:t>
      </w:r>
      <w:r w:rsidRPr="008B0382" w:rsidR="00A27226">
        <w:rPr>
          <w:rFonts w:hAnsi="Times New Roman" w:cs="Times New Roman"/>
          <w:iCs/>
        </w:rPr>
        <w:t xml:space="preserve">opt-out </w:t>
      </w:r>
      <w:r w:rsidRPr="008B0382" w:rsidR="009E614C">
        <w:rPr>
          <w:rFonts w:hAnsi="Times New Roman" w:cs="Times New Roman"/>
          <w:iCs/>
        </w:rPr>
        <w:t>pilot program, after an opportunity for public partici</w:t>
      </w:r>
      <w:r w:rsidRPr="008B0382" w:rsidR="002C3C44">
        <w:rPr>
          <w:rFonts w:hAnsi="Times New Roman" w:cs="Times New Roman"/>
          <w:iCs/>
        </w:rPr>
        <w:t>pation.</w:t>
      </w:r>
      <w:r w:rsidRPr="008B0382" w:rsidR="00BA3254">
        <w:rPr>
          <w:rFonts w:hAnsi="Times New Roman" w:cs="Times New Roman"/>
          <w:iCs/>
        </w:rPr>
        <w:t xml:space="preserve"> </w:t>
      </w:r>
      <w:r w:rsidRPr="008B0382" w:rsidR="00A27226">
        <w:rPr>
          <w:rFonts w:hAnsi="Times New Roman" w:cs="Times New Roman"/>
          <w:iCs/>
        </w:rPr>
        <w:t xml:space="preserve">That outcome could include the PUCO modifying or termination the Rider NMB opt-out </w:t>
      </w:r>
      <w:r w:rsidRPr="008B0382" w:rsidR="00F370EA">
        <w:rPr>
          <w:rFonts w:hAnsi="Times New Roman" w:cs="Times New Roman"/>
          <w:iCs/>
        </w:rPr>
        <w:t xml:space="preserve">pilot </w:t>
      </w:r>
      <w:r w:rsidRPr="008B0382" w:rsidR="00A27226">
        <w:rPr>
          <w:rFonts w:hAnsi="Times New Roman" w:cs="Times New Roman"/>
          <w:iCs/>
        </w:rPr>
        <w:t xml:space="preserve">program as noted by the PUCO in the Order approving the pilot program. </w:t>
      </w:r>
    </w:p>
    <w:p w:rsidR="00BC2427" w:rsidRPr="008B0382" w:rsidP="003C6CFB" w14:paraId="32400F28" w14:textId="77777777">
      <w:pPr>
        <w:pStyle w:val="BodyA"/>
        <w:rPr>
          <w:rFonts w:hAnsi="Times New Roman" w:cs="Times New Roman"/>
          <w:iCs/>
        </w:rPr>
      </w:pPr>
    </w:p>
    <w:p w:rsidR="002B3C39" w:rsidRPr="008B0382" w:rsidP="002B3C39" w14:paraId="169F382E" w14:textId="64DDFFB8">
      <w:pPr>
        <w:pStyle w:val="BodyA"/>
        <w:ind w:firstLine="0"/>
        <w:rPr>
          <w:rFonts w:hAnsi="Times New Roman" w:cs="Times New Roman"/>
          <w:iCs/>
        </w:rPr>
      </w:pPr>
      <w:r w:rsidRPr="008B0382">
        <w:rPr>
          <w:rFonts w:hAnsi="Times New Roman" w:cs="Times New Roman"/>
          <w:iCs/>
        </w:rPr>
        <w:t>There is another way to resolve this Application. The PUCO could grant the Application and require that any potential delta revenue (or other shifted c</w:t>
      </w:r>
      <w:r w:rsidRPr="008B0382" w:rsidR="00A72D14">
        <w:rPr>
          <w:rFonts w:hAnsi="Times New Roman" w:cs="Times New Roman"/>
          <w:iCs/>
        </w:rPr>
        <w:t>harges</w:t>
      </w:r>
      <w:r w:rsidRPr="008B0382">
        <w:rPr>
          <w:rFonts w:hAnsi="Times New Roman" w:cs="Times New Roman"/>
          <w:iCs/>
        </w:rPr>
        <w:t>) created by this reasonable arrangement be paid to FirstEnergy by other customers in the Applicant’s own customer class (and not paid by residential consumers). That approach would avoid shifting</w:t>
      </w:r>
      <w:r w:rsidRPr="008B0382" w:rsidR="00A72D14">
        <w:rPr>
          <w:rFonts w:hAnsi="Times New Roman" w:cs="Times New Roman"/>
          <w:iCs/>
        </w:rPr>
        <w:t xml:space="preserve"> charges</w:t>
      </w:r>
      <w:r w:rsidRPr="008B0382">
        <w:rPr>
          <w:rFonts w:hAnsi="Times New Roman" w:cs="Times New Roman"/>
          <w:iCs/>
        </w:rPr>
        <w:t xml:space="preserve"> to residential and other consumer</w:t>
      </w:r>
      <w:r w:rsidRPr="008B0382" w:rsidR="00A72D14">
        <w:rPr>
          <w:rFonts w:hAnsi="Times New Roman" w:cs="Times New Roman"/>
          <w:iCs/>
        </w:rPr>
        <w:t xml:space="preserve"> classe</w:t>
      </w:r>
      <w:r w:rsidRPr="008B0382">
        <w:rPr>
          <w:rFonts w:hAnsi="Times New Roman" w:cs="Times New Roman"/>
          <w:iCs/>
        </w:rPr>
        <w:t xml:space="preserve">s. </w:t>
      </w:r>
      <w:r w:rsidRPr="008B0382" w:rsidR="00297CEB">
        <w:rPr>
          <w:rFonts w:hAnsi="Times New Roman" w:cs="Times New Roman"/>
          <w:iCs/>
        </w:rPr>
        <w:t xml:space="preserve"> </w:t>
      </w:r>
      <w:bookmarkStart w:id="7" w:name="_Toc85711746"/>
      <w:r w:rsidRPr="008B0382">
        <w:rPr>
          <w:rFonts w:hAnsi="Times New Roman" w:cs="Times New Roman"/>
          <w:iCs/>
        </w:rPr>
        <w:br w:type="page"/>
      </w:r>
    </w:p>
    <w:p w:rsidR="00A57B8D" w:rsidRPr="008B0382" w:rsidP="00760481" w14:paraId="498F027A" w14:textId="6E71C13F">
      <w:pPr>
        <w:pStyle w:val="Heading1"/>
        <w:spacing w:after="0"/>
        <w:rPr>
          <w:rFonts w:ascii="Times New Roman" w:hAnsi="Times New Roman" w:cs="Times New Roman"/>
          <w:szCs w:val="24"/>
        </w:rPr>
      </w:pPr>
      <w:bookmarkStart w:id="8" w:name="_Toc91084155"/>
      <w:r w:rsidRPr="008B0382">
        <w:rPr>
          <w:rFonts w:ascii="Times New Roman" w:hAnsi="Times New Roman" w:cs="Times New Roman"/>
          <w:szCs w:val="24"/>
        </w:rPr>
        <w:t>I</w:t>
      </w:r>
      <w:r w:rsidRPr="008B0382" w:rsidR="002F2BEE">
        <w:rPr>
          <w:rFonts w:ascii="Times New Roman" w:hAnsi="Times New Roman" w:cs="Times New Roman"/>
          <w:szCs w:val="24"/>
        </w:rPr>
        <w:t>II</w:t>
      </w:r>
      <w:r w:rsidRPr="008B0382">
        <w:rPr>
          <w:rFonts w:ascii="Times New Roman" w:hAnsi="Times New Roman" w:cs="Times New Roman"/>
          <w:szCs w:val="24"/>
        </w:rPr>
        <w:t xml:space="preserve">. </w:t>
      </w:r>
      <w:r w:rsidRPr="008B0382">
        <w:rPr>
          <w:rFonts w:ascii="Times New Roman" w:hAnsi="Times New Roman" w:cs="Times New Roman"/>
          <w:szCs w:val="24"/>
        </w:rPr>
        <w:tab/>
        <w:t>Conclusion</w:t>
      </w:r>
      <w:bookmarkEnd w:id="7"/>
      <w:bookmarkEnd w:id="8"/>
    </w:p>
    <w:p w:rsidR="0061129E" w:rsidRPr="008B0382" w:rsidP="00760481" w14:paraId="24B717F5" w14:textId="77777777">
      <w:pPr>
        <w:pStyle w:val="DirectQuestion"/>
        <w:ind w:left="720" w:hanging="720"/>
        <w:rPr>
          <w:rFonts w:hAnsi="Times New Roman" w:cs="Times New Roman"/>
        </w:rPr>
      </w:pPr>
    </w:p>
    <w:p w:rsidR="009769C4" w:rsidRPr="008B0382" w:rsidP="00760481" w14:paraId="1F1EE09B" w14:textId="17B883FE">
      <w:pPr>
        <w:pStyle w:val="DirectQuestion"/>
        <w:ind w:left="720" w:hanging="720"/>
        <w:rPr>
          <w:rFonts w:hAnsi="Times New Roman" w:cs="Times New Roman"/>
        </w:rPr>
      </w:pPr>
      <w:r w:rsidRPr="008B0382">
        <w:rPr>
          <w:rFonts w:hAnsi="Times New Roman" w:cs="Times New Roman"/>
        </w:rPr>
        <w:t>Q</w:t>
      </w:r>
      <w:r w:rsidRPr="008B0382" w:rsidR="008406BC">
        <w:rPr>
          <w:rFonts w:hAnsi="Times New Roman" w:cs="Times New Roman"/>
        </w:rPr>
        <w:t>1</w:t>
      </w:r>
      <w:r w:rsidRPr="008B0382" w:rsidR="002B6182">
        <w:rPr>
          <w:rFonts w:hAnsi="Times New Roman" w:cs="Times New Roman"/>
        </w:rPr>
        <w:t>2</w:t>
      </w:r>
      <w:r w:rsidRPr="008B0382">
        <w:rPr>
          <w:rFonts w:hAnsi="Times New Roman" w:cs="Times New Roman"/>
        </w:rPr>
        <w:t>.</w:t>
      </w:r>
      <w:r w:rsidRPr="008B0382">
        <w:rPr>
          <w:rFonts w:hAnsi="Times New Roman" w:cs="Times New Roman"/>
        </w:rPr>
        <w:tab/>
      </w:r>
      <w:r w:rsidRPr="008B0382" w:rsidR="007F1318">
        <w:rPr>
          <w:rFonts w:hAnsi="Times New Roman" w:cs="Times New Roman"/>
        </w:rPr>
        <w:t>Does this conclude your testimony?</w:t>
      </w:r>
    </w:p>
    <w:p w:rsidR="009F7533" w:rsidRPr="008B0382" w:rsidP="00983236" w14:paraId="47736257" w14:textId="1CAC579B">
      <w:pPr>
        <w:pStyle w:val="BodyA"/>
        <w:rPr>
          <w:rFonts w:hAnsi="Times New Roman" w:cs="Times New Roman"/>
        </w:rPr>
        <w:sectPr w:rsidSect="00F81DA3">
          <w:pgSz w:w="12240" w:h="15840"/>
          <w:pgMar w:top="1440" w:right="1800" w:bottom="1440" w:left="1800" w:header="360" w:footer="720" w:gutter="0"/>
          <w:lnNumType w:countBy="1"/>
          <w:cols w:space="720"/>
          <w:docGrid w:linePitch="326"/>
        </w:sectPr>
      </w:pPr>
      <w:r w:rsidRPr="008B0382">
        <w:rPr>
          <w:rFonts w:hAnsi="Times New Roman" w:cs="Times New Roman"/>
          <w:b/>
          <w:bCs/>
          <w:i/>
          <w:iCs/>
        </w:rPr>
        <w:t>A1</w:t>
      </w:r>
      <w:r w:rsidRPr="008B0382" w:rsidR="002B6182">
        <w:rPr>
          <w:rFonts w:hAnsi="Times New Roman" w:cs="Times New Roman"/>
          <w:b/>
          <w:bCs/>
          <w:i/>
          <w:iCs/>
        </w:rPr>
        <w:t>2</w:t>
      </w:r>
      <w:r w:rsidRPr="008B0382" w:rsidR="003500BF">
        <w:rPr>
          <w:rFonts w:hAnsi="Times New Roman" w:cs="Times New Roman"/>
          <w:b/>
          <w:bCs/>
          <w:i/>
          <w:iCs/>
        </w:rPr>
        <w:t>.</w:t>
      </w:r>
      <w:r w:rsidRPr="008B0382" w:rsidR="003500BF">
        <w:rPr>
          <w:rFonts w:hAnsi="Times New Roman" w:cs="Times New Roman"/>
          <w:b/>
          <w:bCs/>
          <w:i/>
          <w:iCs/>
        </w:rPr>
        <w:tab/>
      </w:r>
      <w:r w:rsidRPr="008B0382" w:rsidR="007F1318">
        <w:rPr>
          <w:rFonts w:hAnsi="Times New Roman" w:cs="Times New Roman"/>
        </w:rPr>
        <w:t>Yes, however I reserve the right to incorporate new information that may subsequently become available</w:t>
      </w:r>
      <w:r w:rsidRPr="008B0382" w:rsidR="00E44026">
        <w:rPr>
          <w:rFonts w:hAnsi="Times New Roman" w:cs="Times New Roman"/>
        </w:rPr>
        <w:t>.</w:t>
      </w:r>
      <w:r w:rsidRPr="008B0382" w:rsidR="007F1318">
        <w:rPr>
          <w:rFonts w:hAnsi="Times New Roman" w:cs="Times New Roman"/>
        </w:rPr>
        <w:t xml:space="preserve"> </w:t>
      </w:r>
    </w:p>
    <w:p w:rsidR="009769C4" w:rsidRPr="008B0382" w14:paraId="2E59987B" w14:textId="77777777">
      <w:pPr>
        <w:pStyle w:val="BodyA"/>
        <w:jc w:val="center"/>
        <w:rPr>
          <w:rFonts w:hAnsi="Times New Roman" w:cs="Times New Roman"/>
          <w:b/>
          <w:bCs/>
          <w:u w:val="single"/>
        </w:rPr>
      </w:pPr>
      <w:r w:rsidRPr="008B0382">
        <w:rPr>
          <w:rFonts w:hAnsi="Times New Roman" w:cs="Times New Roman"/>
          <w:b/>
          <w:bCs/>
          <w:u w:val="single"/>
        </w:rPr>
        <w:t>CERTIFICATE OF SERVICE</w:t>
      </w:r>
    </w:p>
    <w:p w:rsidR="009769C4" w:rsidRPr="008B0382" w:rsidP="00BC2738" w14:paraId="095A21E7" w14:textId="163A89D2">
      <w:pPr>
        <w:pStyle w:val="BodyA"/>
        <w:suppressAutoHyphens/>
        <w:ind w:left="0" w:firstLine="720"/>
        <w:rPr>
          <w:rFonts w:hAnsi="Times New Roman" w:cs="Times New Roman"/>
        </w:rPr>
      </w:pPr>
      <w:r w:rsidRPr="008B0382">
        <w:rPr>
          <w:rFonts w:hAnsi="Times New Roman" w:cs="Times New Roman"/>
        </w:rPr>
        <w:t xml:space="preserve">I hereby certify that a true copy of the foregoing </w:t>
      </w:r>
      <w:r w:rsidRPr="008B0382" w:rsidR="009F7533">
        <w:rPr>
          <w:rFonts w:hAnsi="Times New Roman" w:cs="Times New Roman"/>
          <w:i/>
          <w:iCs/>
        </w:rPr>
        <w:t>Supplemental</w:t>
      </w:r>
      <w:r w:rsidRPr="008B0382" w:rsidR="009F7533">
        <w:rPr>
          <w:rFonts w:hAnsi="Times New Roman" w:cs="Times New Roman"/>
        </w:rPr>
        <w:t xml:space="preserve"> </w:t>
      </w:r>
      <w:r w:rsidRPr="008B0382">
        <w:rPr>
          <w:rFonts w:hAnsi="Times New Roman" w:cs="Times New Roman"/>
          <w:i/>
          <w:iCs/>
        </w:rPr>
        <w:t>Testimony of Michael P. Haugh, on Behalf of the Office of the Ohio Consumers</w:t>
      </w:r>
      <w:r w:rsidRPr="008B0382" w:rsidR="00DC0BCF">
        <w:rPr>
          <w:rFonts w:hAnsi="Times New Roman" w:cs="Times New Roman"/>
          <w:i/>
          <w:iCs/>
          <w:lang w:val="fr-FR"/>
        </w:rPr>
        <w:t>’</w:t>
      </w:r>
      <w:r w:rsidRPr="008B0382">
        <w:rPr>
          <w:rFonts w:hAnsi="Times New Roman" w:cs="Times New Roman"/>
          <w:i/>
          <w:iCs/>
          <w:lang w:val="fr-FR"/>
        </w:rPr>
        <w:t xml:space="preserve"> </w:t>
      </w:r>
      <w:r w:rsidRPr="008B0382">
        <w:rPr>
          <w:rFonts w:hAnsi="Times New Roman" w:cs="Times New Roman"/>
          <w:i/>
          <w:iCs/>
        </w:rPr>
        <w:t>Counsel</w:t>
      </w:r>
      <w:r w:rsidRPr="008B0382">
        <w:rPr>
          <w:rFonts w:hAnsi="Times New Roman" w:cs="Times New Roman"/>
        </w:rPr>
        <w:t xml:space="preserve"> was served via electronic transmission </w:t>
      </w:r>
      <w:r w:rsidRPr="008B0382" w:rsidR="0090014E">
        <w:rPr>
          <w:rFonts w:hAnsi="Times New Roman" w:cs="Times New Roman"/>
        </w:rPr>
        <w:t xml:space="preserve">upon the parties below </w:t>
      </w:r>
      <w:r w:rsidRPr="008B0382">
        <w:rPr>
          <w:rFonts w:hAnsi="Times New Roman" w:cs="Times New Roman"/>
        </w:rPr>
        <w:t xml:space="preserve">this </w:t>
      </w:r>
      <w:r w:rsidRPr="008B0382" w:rsidR="00F26570">
        <w:rPr>
          <w:rFonts w:hAnsi="Times New Roman" w:cs="Times New Roman"/>
        </w:rPr>
        <w:t>22nd</w:t>
      </w:r>
      <w:r w:rsidRPr="008B0382" w:rsidR="00091FEF">
        <w:rPr>
          <w:rFonts w:hAnsi="Times New Roman" w:cs="Times New Roman"/>
        </w:rPr>
        <w:t xml:space="preserve"> day of </w:t>
      </w:r>
      <w:r w:rsidRPr="008B0382" w:rsidR="006C5551">
        <w:rPr>
          <w:rFonts w:hAnsi="Times New Roman" w:cs="Times New Roman"/>
        </w:rPr>
        <w:t>December</w:t>
      </w:r>
      <w:r w:rsidRPr="008B0382" w:rsidR="000A7CD4">
        <w:rPr>
          <w:rFonts w:hAnsi="Times New Roman" w:cs="Times New Roman"/>
        </w:rPr>
        <w:t xml:space="preserve"> 202</w:t>
      </w:r>
      <w:r w:rsidRPr="008B0382" w:rsidR="00596C66">
        <w:rPr>
          <w:rFonts w:hAnsi="Times New Roman" w:cs="Times New Roman"/>
        </w:rPr>
        <w:t>1</w:t>
      </w:r>
      <w:r w:rsidRPr="008B0382">
        <w:rPr>
          <w:rFonts w:hAnsi="Times New Roman" w:cs="Times New Roman"/>
        </w:rPr>
        <w:t>.</w:t>
      </w:r>
    </w:p>
    <w:p w:rsidR="009769C4" w:rsidRPr="008B0382" w:rsidP="00760481" w14:paraId="61D3495F" w14:textId="5C2CB801">
      <w:pPr>
        <w:pStyle w:val="EndnoteText"/>
        <w:tabs>
          <w:tab w:val="left" w:pos="5040"/>
          <w:tab w:val="left" w:pos="8280"/>
        </w:tabs>
        <w:suppressAutoHyphens/>
        <w:spacing w:line="240" w:lineRule="auto"/>
        <w:rPr>
          <w:rFonts w:ascii="Times New Roman" w:eastAsia="Times New Roman" w:hAnsi="Times New Roman" w:cs="Times New Roman"/>
          <w:i/>
          <w:iCs/>
          <w:u w:val="single"/>
        </w:rPr>
      </w:pPr>
      <w:r w:rsidRPr="008B0382">
        <w:rPr>
          <w:rFonts w:ascii="Times New Roman" w:eastAsia="Times New Roman" w:hAnsi="Times New Roman" w:cs="Times New Roman"/>
        </w:rPr>
        <w:tab/>
      </w:r>
      <w:r w:rsidRPr="008B0382" w:rsidR="00760481">
        <w:rPr>
          <w:rFonts w:ascii="Times New Roman" w:eastAsia="Times New Roman" w:hAnsi="Times New Roman" w:cs="Times New Roman"/>
        </w:rPr>
        <w:tab/>
      </w:r>
      <w:r w:rsidRPr="008B0382">
        <w:rPr>
          <w:rFonts w:ascii="Times New Roman" w:hAnsi="Times New Roman" w:cs="Times New Roman"/>
          <w:i/>
          <w:iCs/>
          <w:u w:val="single"/>
        </w:rPr>
        <w:t xml:space="preserve">/s/ </w:t>
      </w:r>
      <w:r w:rsidRPr="008B0382" w:rsidR="00BA2645">
        <w:rPr>
          <w:rFonts w:ascii="Times New Roman" w:hAnsi="Times New Roman" w:cs="Times New Roman"/>
          <w:i/>
          <w:iCs/>
          <w:u w:val="single"/>
        </w:rPr>
        <w:t>Amy Botschner-O’Brien</w:t>
      </w:r>
      <w:r w:rsidRPr="008B0382" w:rsidR="002C4360">
        <w:rPr>
          <w:rFonts w:ascii="Times New Roman" w:eastAsia="Times New Roman" w:hAnsi="Times New Roman" w:cs="Times New Roman"/>
          <w:i/>
          <w:iCs/>
          <w:u w:val="single"/>
        </w:rPr>
        <w:tab/>
      </w:r>
    </w:p>
    <w:p w:rsidR="009769C4" w:rsidRPr="008B0382" w:rsidP="00760481" w14:paraId="01B2B308" w14:textId="3B8034DF">
      <w:pPr>
        <w:pStyle w:val="EndnoteText"/>
        <w:tabs>
          <w:tab w:val="left" w:pos="5040"/>
        </w:tabs>
        <w:suppressAutoHyphens/>
        <w:spacing w:line="240" w:lineRule="auto"/>
        <w:rPr>
          <w:rFonts w:ascii="Times New Roman" w:eastAsia="Times New Roman" w:hAnsi="Times New Roman" w:cs="Times New Roman"/>
        </w:rPr>
      </w:pPr>
      <w:r w:rsidRPr="008B0382">
        <w:rPr>
          <w:rFonts w:ascii="Times New Roman" w:eastAsia="Times New Roman" w:hAnsi="Times New Roman" w:cs="Times New Roman"/>
        </w:rPr>
        <w:tab/>
      </w:r>
      <w:r w:rsidRPr="008B0382" w:rsidR="00760481">
        <w:rPr>
          <w:rFonts w:ascii="Times New Roman" w:eastAsia="Times New Roman" w:hAnsi="Times New Roman" w:cs="Times New Roman"/>
        </w:rPr>
        <w:tab/>
      </w:r>
      <w:r w:rsidRPr="008B0382" w:rsidR="00BA2645">
        <w:rPr>
          <w:rFonts w:ascii="Times New Roman" w:hAnsi="Times New Roman" w:cs="Times New Roman"/>
        </w:rPr>
        <w:t>Amy Botschner-O’Brien</w:t>
      </w:r>
      <w:r w:rsidRPr="008B0382" w:rsidR="007E1DF1">
        <w:rPr>
          <w:rFonts w:ascii="Times New Roman" w:hAnsi="Times New Roman" w:cs="Times New Roman"/>
        </w:rPr>
        <w:t xml:space="preserve"> </w:t>
      </w:r>
    </w:p>
    <w:p w:rsidR="009769C4" w:rsidRPr="008B0382" w:rsidP="00760481" w14:paraId="3F8AF480" w14:textId="7ACEAB4D">
      <w:pPr>
        <w:pStyle w:val="EndnoteText"/>
        <w:widowControl/>
        <w:tabs>
          <w:tab w:val="left" w:pos="5040"/>
        </w:tabs>
        <w:suppressAutoHyphens/>
        <w:spacing w:line="240" w:lineRule="auto"/>
        <w:rPr>
          <w:rFonts w:ascii="Times New Roman" w:hAnsi="Times New Roman" w:cs="Times New Roman"/>
        </w:rPr>
      </w:pPr>
      <w:r w:rsidRPr="008B0382">
        <w:rPr>
          <w:rFonts w:ascii="Times New Roman" w:eastAsia="Times New Roman" w:hAnsi="Times New Roman" w:cs="Times New Roman"/>
        </w:rPr>
        <w:tab/>
      </w:r>
      <w:r w:rsidRPr="008B0382" w:rsidR="00760481">
        <w:rPr>
          <w:rFonts w:ascii="Times New Roman" w:eastAsia="Times New Roman" w:hAnsi="Times New Roman" w:cs="Times New Roman"/>
        </w:rPr>
        <w:tab/>
      </w:r>
      <w:r w:rsidRPr="008B0382">
        <w:rPr>
          <w:rFonts w:ascii="Times New Roman" w:eastAsia="Times New Roman" w:hAnsi="Times New Roman" w:cs="Times New Roman"/>
        </w:rPr>
        <w:t>Assistant Consumers</w:t>
      </w:r>
      <w:r w:rsidRPr="008B0382" w:rsidR="00DC0BCF">
        <w:rPr>
          <w:rFonts w:ascii="Times New Roman" w:hAnsi="Times New Roman" w:cs="Times New Roman"/>
        </w:rPr>
        <w:t>’</w:t>
      </w:r>
      <w:r w:rsidRPr="008B0382">
        <w:rPr>
          <w:rFonts w:ascii="Times New Roman" w:hAnsi="Times New Roman" w:cs="Times New Roman"/>
        </w:rPr>
        <w:t xml:space="preserve"> Counsel</w:t>
      </w:r>
    </w:p>
    <w:p w:rsidR="00BC2738" w:rsidRPr="008B0382" w:rsidP="00760481" w14:paraId="658EB22A" w14:textId="77777777">
      <w:pPr>
        <w:pStyle w:val="EndnoteText"/>
        <w:widowControl/>
        <w:tabs>
          <w:tab w:val="left" w:pos="5040"/>
        </w:tabs>
        <w:suppressAutoHyphens/>
        <w:spacing w:line="240" w:lineRule="auto"/>
        <w:rPr>
          <w:rFonts w:ascii="Times New Roman" w:hAnsi="Times New Roman" w:cs="Times New Roman"/>
        </w:rPr>
      </w:pPr>
    </w:p>
    <w:p w:rsidR="00BC2738" w:rsidRPr="008B0382" w:rsidP="00BC2738" w14:paraId="4F4A97B8" w14:textId="77777777">
      <w:pPr>
        <w:spacing w:line="240" w:lineRule="auto"/>
        <w:ind w:left="0" w:firstLine="0"/>
        <w:rPr>
          <w:b/>
          <w:bCs/>
        </w:rPr>
      </w:pPr>
      <w:r w:rsidRPr="008B0382">
        <w:t>The PUCO’s e-filing system will electronically serve notice of the filing of this document on the following parties:</w:t>
      </w:r>
    </w:p>
    <w:p w:rsidR="00BC2738" w:rsidRPr="008B0382" w:rsidP="00760481" w14:paraId="731D8A2B" w14:textId="77777777">
      <w:pPr>
        <w:pStyle w:val="EndnoteText"/>
        <w:widowControl/>
        <w:tabs>
          <w:tab w:val="left" w:pos="5040"/>
        </w:tabs>
        <w:suppressAutoHyphens/>
        <w:spacing w:line="240" w:lineRule="auto"/>
        <w:rPr>
          <w:rFonts w:ascii="Times New Roman" w:hAnsi="Times New Roman" w:cs="Times New Roman"/>
        </w:rPr>
      </w:pPr>
    </w:p>
    <w:p w:rsidR="00760481" w:rsidRPr="008B0382" w:rsidP="00760481" w14:paraId="6697E38F" w14:textId="6C01D57D">
      <w:pPr>
        <w:pStyle w:val="EndnoteText"/>
        <w:widowControl/>
        <w:tabs>
          <w:tab w:val="left" w:pos="5040"/>
        </w:tabs>
        <w:suppressAutoHyphens/>
        <w:spacing w:line="240" w:lineRule="auto"/>
        <w:rPr>
          <w:rFonts w:ascii="Times New Roman" w:hAnsi="Times New Roman" w:cs="Times New Roman"/>
        </w:rPr>
      </w:pPr>
    </w:p>
    <w:p w:rsidR="00760481" w:rsidRPr="008B0382" w:rsidP="00BC2738" w14:paraId="1D6815DF" w14:textId="77777777">
      <w:pPr>
        <w:pStyle w:val="EndnoteText"/>
        <w:widowControl/>
        <w:tabs>
          <w:tab w:val="left" w:pos="5040"/>
        </w:tabs>
        <w:suppressAutoHyphens/>
        <w:spacing w:line="240" w:lineRule="auto"/>
        <w:ind w:left="0" w:firstLine="0"/>
        <w:rPr>
          <w:rFonts w:ascii="Times New Roman" w:eastAsia="Times New Roman" w:hAnsi="Times New Roman" w:cs="Times New Roman"/>
        </w:rPr>
      </w:pPr>
    </w:p>
    <w:p w:rsidR="009F7533" w:rsidRPr="008B0382" w:rsidP="009F7533" w14:paraId="3565AC28" w14:textId="77777777">
      <w:pPr>
        <w:pStyle w:val="CommentText"/>
        <w:spacing w:line="240" w:lineRule="auto"/>
        <w:jc w:val="center"/>
        <w:rPr>
          <w:rFonts w:hAnsi="Times New Roman" w:cs="Times New Roman"/>
          <w:b/>
          <w:u w:val="single"/>
        </w:rPr>
      </w:pPr>
      <w:r w:rsidRPr="008B0382">
        <w:rPr>
          <w:rFonts w:hAnsi="Times New Roman" w:cs="Times New Roman"/>
          <w:b/>
          <w:u w:val="single"/>
        </w:rPr>
        <w:t>SERVICE LIST</w:t>
      </w:r>
    </w:p>
    <w:p w:rsidR="009F7533" w:rsidRPr="008B0382" w:rsidP="009F7533" w14:paraId="188A519A" w14:textId="77777777">
      <w:pPr>
        <w:pStyle w:val="CommentText"/>
        <w:spacing w:line="240" w:lineRule="auto"/>
        <w:jc w:val="center"/>
        <w:rPr>
          <w:rFonts w:hAnsi="Times New Roman" w:cs="Times New Roman"/>
          <w:b/>
          <w:u w:val="single"/>
        </w:rPr>
      </w:pPr>
    </w:p>
    <w:tbl>
      <w:tblPr>
        <w:tblW w:w="0" w:type="auto"/>
        <w:tblLook w:val="04A0"/>
      </w:tblPr>
      <w:tblGrid>
        <w:gridCol w:w="4298"/>
        <w:gridCol w:w="4342"/>
      </w:tblGrid>
      <w:tr w14:paraId="76E6B7E6" w14:textId="77777777" w:rsidTr="00AF6A4F">
        <w:tblPrEx>
          <w:tblW w:w="0" w:type="auto"/>
          <w:tblLook w:val="04A0"/>
        </w:tblPrEx>
        <w:tc>
          <w:tcPr>
            <w:tcW w:w="4428" w:type="dxa"/>
            <w:shd w:val="clear" w:color="auto" w:fill="auto"/>
          </w:tcPr>
          <w:p w:rsidR="009F7533" w:rsidRPr="008B0382" w:rsidP="009F7533" w14:paraId="0D6936F9" w14:textId="77777777">
            <w:pPr>
              <w:pStyle w:val="CommentText"/>
              <w:spacing w:line="240" w:lineRule="auto"/>
              <w:rPr>
                <w:rFonts w:hAnsi="Times New Roman" w:cs="Times New Roman"/>
                <w:bCs/>
              </w:rPr>
            </w:pPr>
            <w:hyperlink r:id="rId11" w:history="1">
              <w:r w:rsidRPr="008B0382" w:rsidR="004B4686">
                <w:rPr>
                  <w:rStyle w:val="Hyperlink"/>
                  <w:rFonts w:hAnsi="Times New Roman" w:cs="Times New Roman"/>
                  <w:bCs/>
                  <w:color w:val="0000FF"/>
                </w:rPr>
                <w:t>thomas.lindgren@ohioAGO.gov</w:t>
              </w:r>
            </w:hyperlink>
          </w:p>
          <w:p w:rsidR="009F7533" w:rsidRPr="008B0382" w:rsidP="009F7533" w14:paraId="186EA083" w14:textId="77777777">
            <w:pPr>
              <w:pStyle w:val="CommentText"/>
              <w:spacing w:line="240" w:lineRule="auto"/>
              <w:rPr>
                <w:rFonts w:hAnsi="Times New Roman" w:cs="Times New Roman"/>
                <w:bCs/>
              </w:rPr>
            </w:pPr>
          </w:p>
          <w:p w:rsidR="009F7533" w:rsidRPr="008B0382" w:rsidP="009F7533" w14:paraId="671081F4" w14:textId="77777777">
            <w:pPr>
              <w:pStyle w:val="CommentText"/>
              <w:spacing w:line="240" w:lineRule="auto"/>
              <w:rPr>
                <w:rFonts w:hAnsi="Times New Roman" w:cs="Times New Roman"/>
                <w:bCs/>
              </w:rPr>
            </w:pPr>
            <w:r w:rsidRPr="008B0382">
              <w:rPr>
                <w:rFonts w:hAnsi="Times New Roman" w:cs="Times New Roman"/>
                <w:bCs/>
              </w:rPr>
              <w:t>Attorney Examiners:</w:t>
            </w:r>
          </w:p>
          <w:p w:rsidR="009F7533" w:rsidRPr="008B0382" w:rsidP="009F7533" w14:paraId="7F56489A" w14:textId="77777777">
            <w:pPr>
              <w:pStyle w:val="CommentText"/>
              <w:spacing w:line="240" w:lineRule="auto"/>
              <w:rPr>
                <w:rFonts w:hAnsi="Times New Roman" w:cs="Times New Roman"/>
                <w:bCs/>
              </w:rPr>
            </w:pPr>
            <w:hyperlink r:id="rId12" w:history="1">
              <w:r w:rsidRPr="008B0382" w:rsidR="004B4686">
                <w:rPr>
                  <w:rStyle w:val="Hyperlink"/>
                  <w:rFonts w:hAnsi="Times New Roman" w:cs="Times New Roman"/>
                  <w:bCs/>
                  <w:color w:val="0000FF"/>
                </w:rPr>
                <w:t>jacqueline.st.john@puco.ohio.gov</w:t>
              </w:r>
            </w:hyperlink>
          </w:p>
          <w:p w:rsidR="009F7533" w:rsidRPr="008B0382" w:rsidP="009F7533" w14:paraId="2C2C296B" w14:textId="77777777">
            <w:pPr>
              <w:adjustRightInd w:val="0"/>
              <w:spacing w:line="240" w:lineRule="auto"/>
              <w:rPr>
                <w:color w:val="0000FF"/>
                <w:u w:val="single"/>
              </w:rPr>
            </w:pPr>
            <w:hyperlink r:id="rId13" w:history="1">
              <w:r w:rsidRPr="008B0382" w:rsidR="004B4686">
                <w:rPr>
                  <w:color w:val="0000FF"/>
                  <w:u w:val="single"/>
                </w:rPr>
                <w:t>gregory.price@puco.ohio.gov</w:t>
              </w:r>
            </w:hyperlink>
          </w:p>
          <w:p w:rsidR="009F7533" w:rsidRPr="008B0382" w:rsidP="009F7533" w14:paraId="353DAFE2" w14:textId="77777777">
            <w:pPr>
              <w:pStyle w:val="CommentText"/>
              <w:spacing w:line="240" w:lineRule="auto"/>
              <w:rPr>
                <w:rFonts w:hAnsi="Times New Roman" w:cs="Times New Roman"/>
                <w:bCs/>
              </w:rPr>
            </w:pPr>
          </w:p>
        </w:tc>
        <w:tc>
          <w:tcPr>
            <w:tcW w:w="4428" w:type="dxa"/>
            <w:shd w:val="clear" w:color="auto" w:fill="auto"/>
          </w:tcPr>
          <w:p w:rsidR="009F7533" w:rsidRPr="008B0382" w:rsidP="009F7533" w14:paraId="1A914BEB" w14:textId="77777777">
            <w:pPr>
              <w:autoSpaceDE w:val="0"/>
              <w:autoSpaceDN w:val="0"/>
              <w:adjustRightInd w:val="0"/>
              <w:spacing w:line="240" w:lineRule="auto"/>
              <w:ind w:left="1332"/>
              <w:rPr>
                <w:color w:val="0000FF"/>
              </w:rPr>
            </w:pPr>
            <w:hyperlink r:id="rId14" w:history="1">
              <w:r w:rsidRPr="008B0382" w:rsidR="004B4686">
                <w:rPr>
                  <w:rStyle w:val="Hyperlink"/>
                  <w:color w:val="0000FF"/>
                </w:rPr>
                <w:t>bojko@carpenterlipps.com</w:t>
              </w:r>
            </w:hyperlink>
          </w:p>
          <w:p w:rsidR="009F7533" w:rsidRPr="008B0382" w:rsidP="009F7533" w14:paraId="531A2F8A" w14:textId="77777777">
            <w:pPr>
              <w:pStyle w:val="CommentText"/>
              <w:spacing w:line="240" w:lineRule="auto"/>
              <w:ind w:left="1332"/>
              <w:rPr>
                <w:rFonts w:hAnsi="Times New Roman" w:cs="Times New Roman"/>
                <w:color w:val="0000FF"/>
              </w:rPr>
            </w:pPr>
            <w:hyperlink r:id="rId15" w:history="1">
              <w:r w:rsidRPr="008B0382" w:rsidR="004B4686">
                <w:rPr>
                  <w:rStyle w:val="Hyperlink"/>
                  <w:rFonts w:hAnsi="Times New Roman" w:cs="Times New Roman"/>
                  <w:color w:val="0000FF"/>
                </w:rPr>
                <w:t>wygonski@carpenterlipps.com</w:t>
              </w:r>
            </w:hyperlink>
          </w:p>
          <w:p w:rsidR="009F7533" w:rsidRPr="008B0382" w:rsidP="009F7533" w14:paraId="2E9EB1AD" w14:textId="77777777">
            <w:pPr>
              <w:pStyle w:val="CommentText"/>
              <w:spacing w:line="240" w:lineRule="auto"/>
              <w:ind w:left="1332"/>
              <w:rPr>
                <w:rFonts w:hAnsi="Times New Roman" w:cs="Times New Roman"/>
                <w:color w:val="0563C2"/>
              </w:rPr>
            </w:pPr>
            <w:hyperlink r:id="rId16" w:history="1">
              <w:r w:rsidRPr="008B0382" w:rsidR="004B4686">
                <w:rPr>
                  <w:rStyle w:val="Hyperlink"/>
                  <w:rFonts w:hAnsi="Times New Roman" w:cs="Times New Roman"/>
                  <w:color w:val="0000FF"/>
                </w:rPr>
                <w:t>bknipe@firstenergycorp.com</w:t>
              </w:r>
            </w:hyperlink>
          </w:p>
          <w:p w:rsidR="009F7533" w:rsidRPr="008B0382" w:rsidP="009F7533" w14:paraId="19130CF2" w14:textId="77777777">
            <w:pPr>
              <w:pStyle w:val="CommentText"/>
              <w:spacing w:line="240" w:lineRule="auto"/>
              <w:rPr>
                <w:rFonts w:hAnsi="Times New Roman" w:cs="Times New Roman"/>
                <w:color w:val="0000FF"/>
              </w:rPr>
            </w:pPr>
          </w:p>
          <w:p w:rsidR="009F7533" w:rsidRPr="008B0382" w:rsidP="009F7533" w14:paraId="0AE46441" w14:textId="77777777">
            <w:pPr>
              <w:pStyle w:val="CommentText"/>
              <w:spacing w:line="240" w:lineRule="auto"/>
              <w:rPr>
                <w:rFonts w:hAnsi="Times New Roman" w:cs="Times New Roman"/>
                <w:b/>
                <w:u w:val="single"/>
              </w:rPr>
            </w:pPr>
          </w:p>
        </w:tc>
      </w:tr>
    </w:tbl>
    <w:p w:rsidR="006C5551" w:rsidRPr="008B0382" w14:paraId="445BF829" w14:textId="77777777">
      <w:pPr>
        <w:pStyle w:val="BodyA"/>
        <w:jc w:val="center"/>
        <w:rPr>
          <w:rFonts w:hAnsi="Times New Roman" w:cs="Times New Roman"/>
          <w:b/>
          <w:bCs/>
          <w:u w:val="single"/>
        </w:rPr>
      </w:pPr>
    </w:p>
    <w:p w:rsidR="005E4163" w:rsidRPr="008B0382" w:rsidP="00F26570" w14:paraId="1B6EA0B3" w14:textId="77777777">
      <w:pPr>
        <w:ind w:left="0" w:firstLine="0"/>
        <w:rPr>
          <w:b/>
        </w:rPr>
      </w:pPr>
    </w:p>
    <w:sectPr>
      <w:headerReference w:type="default" r:id="rId17"/>
      <w:footerReference w:type="default" r:id="rId18"/>
      <w:pgSz w:w="12240" w:h="15840"/>
      <w:pgMar w:top="1440" w:right="1800" w:bottom="1440" w:left="1800" w:header="36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31CF" w14:paraId="3EB6E883" w14:textId="77777777">
    <w:pPr>
      <w:pStyle w:val="Footer"/>
      <w:tabs>
        <w:tab w:val="right" w:pos="8620"/>
        <w:tab w:val="clear" w:pos="9360"/>
      </w:tabs>
      <w:jc w:val="cent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31CF" w14:paraId="771049BC" w14:textId="2723AFE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777949"/>
      <w:docPartObj>
        <w:docPartGallery w:val="Page Numbers (Bottom of Page)"/>
        <w:docPartUnique/>
      </w:docPartObj>
    </w:sdtPr>
    <w:sdtEndPr>
      <w:rPr>
        <w:noProof/>
      </w:rPr>
    </w:sdtEndPr>
    <w:sdtContent>
      <w:p w:rsidR="009231CF" w14:paraId="0FD2B949" w14:textId="7BF4F5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31CF" w14:paraId="2503E71D" w14:textId="77777777">
    <w:pPr>
      <w:pStyle w:val="Footer"/>
      <w:tabs>
        <w:tab w:val="right" w:pos="8620"/>
        <w:tab w:val="clear" w:pos="9360"/>
      </w:tabs>
      <w:jc w:val="center"/>
    </w:pPr>
    <w:r>
      <w:fldChar w:fldCharType="begin"/>
    </w:r>
    <w:r>
      <w:instrText xml:space="preserve"> PAGE </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91150069"/>
      <w:docPartObj>
        <w:docPartGallery w:val="Page Numbers (Bottom of Page)"/>
        <w:docPartUnique/>
      </w:docPartObj>
    </w:sdtPr>
    <w:sdtEndPr>
      <w:rPr>
        <w:noProof/>
      </w:rPr>
    </w:sdtEndPr>
    <w:sdtContent>
      <w:p w:rsidR="009231CF" w14:paraId="2025819A" w14:textId="74FF01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231CF" w14:paraId="009FDBA4" w14:textId="0FB9C486">
    <w:pPr>
      <w:pStyle w:val="Footer"/>
      <w:tabs>
        <w:tab w:val="right" w:pos="8620"/>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5438" w14:paraId="3919BE7B" w14:textId="77777777">
      <w:r>
        <w:separator/>
      </w:r>
    </w:p>
  </w:footnote>
  <w:footnote w:type="continuationSeparator" w:id="1">
    <w:p w:rsidR="000C5438" w14:paraId="2F5762A2" w14:textId="77777777">
      <w:r>
        <w:continuationSeparator/>
      </w:r>
    </w:p>
  </w:footnote>
  <w:footnote w:type="continuationNotice" w:id="2">
    <w:p w:rsidR="000C5438" w14:paraId="461DB833" w14:textId="77777777"/>
  </w:footnote>
  <w:footnote w:id="3">
    <w:p w:rsidR="009231CF" w:rsidRPr="001C5792" w:rsidP="001C5792" w14:paraId="3F7F6CBE" w14:textId="27DC3CAB">
      <w:pPr>
        <w:pStyle w:val="FootnoteText"/>
        <w:spacing w:after="120" w:line="240" w:lineRule="auto"/>
        <w:ind w:left="0" w:firstLine="0"/>
        <w:rPr>
          <w:sz w:val="20"/>
          <w:szCs w:val="20"/>
        </w:rPr>
      </w:pPr>
      <w:r w:rsidRPr="001C5792">
        <w:rPr>
          <w:sz w:val="20"/>
          <w:szCs w:val="20"/>
          <w:vertAlign w:val="superscript"/>
        </w:rPr>
        <w:footnoteRef/>
      </w:r>
      <w:r w:rsidRPr="001C5792">
        <w:rPr>
          <w:sz w:val="20"/>
          <w:szCs w:val="20"/>
        </w:rPr>
        <w:t xml:space="preserve"> </w:t>
      </w:r>
      <w:r w:rsidRPr="001C5792">
        <w:rPr>
          <w:i/>
          <w:iCs/>
          <w:sz w:val="20"/>
          <w:szCs w:val="20"/>
        </w:rPr>
        <w:t xml:space="preserve">Consumers’ Counsel v. Pub. Util. Comm., </w:t>
      </w:r>
      <w:r w:rsidRPr="001C5792">
        <w:rPr>
          <w:sz w:val="20"/>
          <w:szCs w:val="20"/>
        </w:rPr>
        <w:t xml:space="preserve">64 Ohio St 3d 123, 125(1992), citing </w:t>
      </w:r>
      <w:r w:rsidRPr="001C5792">
        <w:rPr>
          <w:i/>
          <w:iCs/>
          <w:sz w:val="20"/>
          <w:szCs w:val="20"/>
        </w:rPr>
        <w:t>Akron v</w:t>
      </w:r>
      <w:r w:rsidRPr="001C5792">
        <w:rPr>
          <w:sz w:val="20"/>
          <w:szCs w:val="20"/>
        </w:rPr>
        <w:t xml:space="preserve">. </w:t>
      </w:r>
      <w:r w:rsidRPr="001C5792">
        <w:rPr>
          <w:i/>
          <w:iCs/>
          <w:sz w:val="20"/>
          <w:szCs w:val="20"/>
        </w:rPr>
        <w:t xml:space="preserve">Pub. Util. Comm., </w:t>
      </w:r>
      <w:r w:rsidRPr="001C5792">
        <w:rPr>
          <w:sz w:val="20"/>
          <w:szCs w:val="20"/>
        </w:rPr>
        <w:t>55 Ohio St.2d 155, 157 (1978).</w:t>
      </w:r>
    </w:p>
  </w:footnote>
  <w:footnote w:id="4">
    <w:p w:rsidR="00E83913" w:rsidRPr="001C5792" w:rsidP="001C5792" w14:paraId="0B3AE30E" w14:textId="00820319">
      <w:pPr>
        <w:pStyle w:val="FootnoteText"/>
        <w:spacing w:after="120" w:line="240" w:lineRule="auto"/>
        <w:ind w:left="0" w:firstLine="0"/>
        <w:rPr>
          <w:sz w:val="20"/>
          <w:szCs w:val="20"/>
        </w:rPr>
      </w:pPr>
      <w:r w:rsidRPr="001C5792">
        <w:rPr>
          <w:rStyle w:val="FootnoteReference"/>
          <w:sz w:val="20"/>
          <w:szCs w:val="20"/>
        </w:rPr>
        <w:footnoteRef/>
      </w:r>
      <w:r w:rsidRPr="001C5792">
        <w:rPr>
          <w:sz w:val="20"/>
          <w:szCs w:val="20"/>
        </w:rPr>
        <w:t xml:space="preserve"> </w:t>
      </w:r>
      <w:r w:rsidRPr="001C5792">
        <w:rPr>
          <w:i/>
          <w:iCs/>
          <w:sz w:val="20"/>
          <w:szCs w:val="20"/>
        </w:rPr>
        <w:t>In re Application of [FirstEnergy] for Authority to Provide for a Standard Service Offer Pursuant to R.C. 4928.143 in the Form of an Elec. Sec. Plan</w:t>
      </w:r>
      <w:r w:rsidRPr="001C5792">
        <w:rPr>
          <w:sz w:val="20"/>
          <w:szCs w:val="20"/>
        </w:rPr>
        <w:t>, Case No. 14-1297-EL-SSO, Opinion and Order at 94 (March 31, 2016).</w:t>
      </w:r>
    </w:p>
  </w:footnote>
  <w:footnote w:id="5">
    <w:p w:rsidR="009231CF" w:rsidRPr="001C5792" w:rsidP="001C5792" w14:paraId="564C7614" w14:textId="07AAD638">
      <w:pPr>
        <w:pStyle w:val="FootnoteText"/>
        <w:spacing w:after="120" w:line="240" w:lineRule="auto"/>
        <w:ind w:left="0" w:firstLine="0"/>
        <w:rPr>
          <w:sz w:val="20"/>
          <w:szCs w:val="20"/>
        </w:rPr>
      </w:pPr>
      <w:r w:rsidRPr="001C5792">
        <w:rPr>
          <w:rStyle w:val="FootnoteReference"/>
          <w:sz w:val="20"/>
          <w:szCs w:val="20"/>
        </w:rPr>
        <w:footnoteRef/>
      </w:r>
      <w:r w:rsidRPr="001C5792">
        <w:rPr>
          <w:sz w:val="20"/>
          <w:szCs w:val="20"/>
        </w:rPr>
        <w:t xml:space="preserve"> </w:t>
      </w:r>
      <w:bookmarkStart w:id="6" w:name="_Hlk90382552"/>
      <w:r w:rsidRPr="001C5792">
        <w:rPr>
          <w:i/>
          <w:iCs/>
          <w:color w:val="auto"/>
          <w:sz w:val="20"/>
          <w:szCs w:val="20"/>
          <w:bdr w:val="none" w:sz="0" w:space="0" w:color="auto"/>
        </w:rPr>
        <w:t>In re Application of [FirstEnergy] for Authority to Provide for a Standard Service Offer Pursuant to R.C. 4928.143 in the Form of an Elec. Sec. Plan</w:t>
      </w:r>
      <w:r w:rsidRPr="001C5792">
        <w:rPr>
          <w:color w:val="auto"/>
          <w:sz w:val="20"/>
          <w:szCs w:val="20"/>
          <w:bdr w:val="none" w:sz="0" w:space="0" w:color="auto"/>
        </w:rPr>
        <w:t>, Case No. 14-1297-EL-SSO, Fifth Entry on Rehearing ¶ 310 (Oct. 12, 2016).</w:t>
      </w:r>
      <w:bookmarkEnd w:id="6"/>
    </w:p>
  </w:footnote>
  <w:footnote w:id="6">
    <w:p w:rsidR="009231CF" w:rsidRPr="001C5792" w:rsidP="001C5792" w14:paraId="170DBABE" w14:textId="4D841E11">
      <w:pPr>
        <w:pStyle w:val="FootnoteText"/>
        <w:spacing w:after="120" w:line="240" w:lineRule="auto"/>
        <w:rPr>
          <w:sz w:val="20"/>
          <w:szCs w:val="20"/>
        </w:rPr>
      </w:pPr>
      <w:r w:rsidRPr="001C5792">
        <w:rPr>
          <w:rStyle w:val="FootnoteReference"/>
          <w:sz w:val="20"/>
          <w:szCs w:val="20"/>
        </w:rPr>
        <w:footnoteRef/>
      </w:r>
      <w:r w:rsidRPr="001C5792">
        <w:rPr>
          <w:sz w:val="20"/>
          <w:szCs w:val="20"/>
        </w:rPr>
        <w:t xml:space="preserve"> </w:t>
      </w:r>
      <w:r w:rsidRPr="001C5792">
        <w:rPr>
          <w:i/>
          <w:iCs/>
          <w:sz w:val="20"/>
          <w:szCs w:val="20"/>
        </w:rPr>
        <w:t>Id.</w:t>
      </w:r>
    </w:p>
  </w:footnote>
  <w:footnote w:id="7">
    <w:p w:rsidR="009231CF" w:rsidRPr="001C5792" w:rsidP="001C5792" w14:paraId="66DCC6A9" w14:textId="6BC571E8">
      <w:pPr>
        <w:pStyle w:val="FootnoteText"/>
        <w:spacing w:after="120" w:line="240" w:lineRule="auto"/>
        <w:ind w:left="0" w:firstLine="0"/>
        <w:rPr>
          <w:sz w:val="20"/>
          <w:szCs w:val="20"/>
        </w:rPr>
      </w:pPr>
      <w:r w:rsidRPr="001C5792">
        <w:rPr>
          <w:rStyle w:val="FootnoteReference"/>
          <w:sz w:val="20"/>
          <w:szCs w:val="20"/>
        </w:rPr>
        <w:footnoteRef/>
      </w:r>
      <w:r w:rsidRPr="001C5792">
        <w:rPr>
          <w:sz w:val="20"/>
          <w:szCs w:val="20"/>
        </w:rPr>
        <w:t xml:space="preserve"> Seryak Testimony at page 4</w:t>
      </w:r>
      <w:r w:rsidR="00F81DA3">
        <w:rPr>
          <w:sz w:val="20"/>
          <w:szCs w:val="20"/>
        </w:rPr>
        <w:t>.</w:t>
      </w:r>
      <w:r w:rsidRPr="001C5792">
        <w:rPr>
          <w:sz w:val="20"/>
          <w:szCs w:val="20"/>
        </w:rPr>
        <w:t xml:space="preserve"> </w:t>
      </w:r>
    </w:p>
  </w:footnote>
  <w:footnote w:id="8">
    <w:p w:rsidR="009231CF" w:rsidRPr="001C5792" w:rsidP="001C5792" w14:paraId="0DC23222" w14:textId="5015C4E9">
      <w:pPr>
        <w:pStyle w:val="FootnoteText"/>
        <w:spacing w:after="120" w:line="240" w:lineRule="auto"/>
        <w:ind w:left="0" w:firstLine="0"/>
        <w:rPr>
          <w:sz w:val="20"/>
          <w:szCs w:val="20"/>
        </w:rPr>
      </w:pPr>
      <w:r w:rsidRPr="001C5792">
        <w:rPr>
          <w:rStyle w:val="FootnoteReference"/>
          <w:sz w:val="20"/>
          <w:szCs w:val="20"/>
        </w:rPr>
        <w:footnoteRef/>
      </w:r>
      <w:r w:rsidRPr="001C5792">
        <w:rPr>
          <w:sz w:val="20"/>
          <w:szCs w:val="20"/>
        </w:rPr>
        <w:t xml:space="preserve"> </w:t>
      </w:r>
      <w:r w:rsidRPr="001C5792">
        <w:rPr>
          <w:i/>
          <w:iCs/>
          <w:sz w:val="20"/>
          <w:szCs w:val="20"/>
        </w:rPr>
        <w:t xml:space="preserve">Testimony of John Seryak on Behalf of the Campbell Soup Supply Company LLC, </w:t>
      </w:r>
      <w:r w:rsidRPr="001C5792">
        <w:rPr>
          <w:sz w:val="20"/>
          <w:szCs w:val="20"/>
        </w:rPr>
        <w:t>PUCO Case N</w:t>
      </w:r>
      <w:r>
        <w:rPr>
          <w:sz w:val="20"/>
          <w:szCs w:val="20"/>
        </w:rPr>
        <w:t>o</w:t>
      </w:r>
      <w:r w:rsidRPr="001C5792">
        <w:rPr>
          <w:sz w:val="20"/>
          <w:szCs w:val="20"/>
        </w:rPr>
        <w:t xml:space="preserve">. 21-1047-EL-AEC at page </w:t>
      </w:r>
      <w:r w:rsidR="00630D42">
        <w:rPr>
          <w:sz w:val="20"/>
          <w:szCs w:val="20"/>
        </w:rPr>
        <w:t>9</w:t>
      </w:r>
      <w:r w:rsidRPr="001C5792">
        <w:rPr>
          <w:sz w:val="20"/>
          <w:szCs w:val="20"/>
        </w:rPr>
        <w:t>.</w:t>
      </w:r>
    </w:p>
  </w:footnote>
  <w:footnote w:id="9">
    <w:p w:rsidR="009231CF" w:rsidRPr="001C5792" w:rsidP="001C5792" w14:paraId="0753A791" w14:textId="7D8A676D">
      <w:pPr>
        <w:pStyle w:val="FootnoteText"/>
        <w:spacing w:after="120" w:line="240" w:lineRule="auto"/>
        <w:ind w:left="0" w:firstLine="0"/>
        <w:rPr>
          <w:sz w:val="20"/>
          <w:szCs w:val="20"/>
        </w:rPr>
      </w:pPr>
      <w:r w:rsidRPr="001C5792">
        <w:rPr>
          <w:rStyle w:val="FootnoteReference"/>
          <w:sz w:val="20"/>
          <w:szCs w:val="20"/>
        </w:rPr>
        <w:footnoteRef/>
      </w:r>
      <w:r w:rsidRPr="001C5792">
        <w:rPr>
          <w:sz w:val="20"/>
          <w:szCs w:val="20"/>
        </w:rPr>
        <w:t xml:space="preserve"> </w:t>
      </w:r>
      <w:r w:rsidRPr="001C5792">
        <w:rPr>
          <w:i/>
          <w:iCs/>
          <w:sz w:val="20"/>
          <w:szCs w:val="20"/>
        </w:rPr>
        <w:t xml:space="preserve">Id </w:t>
      </w:r>
      <w:r w:rsidRPr="001C5792">
        <w:rPr>
          <w:sz w:val="20"/>
          <w:szCs w:val="20"/>
        </w:rPr>
        <w:t>at 8.</w:t>
      </w:r>
    </w:p>
  </w:footnote>
  <w:footnote w:id="10">
    <w:p w:rsidR="009231CF" w:rsidRPr="001C5792" w:rsidP="001C5792" w14:paraId="3E1496B1" w14:textId="41AEB3C3">
      <w:pPr>
        <w:pStyle w:val="FootnoteText"/>
        <w:spacing w:after="120" w:line="240" w:lineRule="auto"/>
        <w:ind w:left="0" w:firstLine="0"/>
        <w:rPr>
          <w:sz w:val="20"/>
          <w:szCs w:val="20"/>
        </w:rPr>
      </w:pPr>
      <w:r w:rsidRPr="001C5792">
        <w:rPr>
          <w:rStyle w:val="FootnoteReference"/>
          <w:sz w:val="20"/>
          <w:szCs w:val="20"/>
        </w:rPr>
        <w:footnoteRef/>
      </w:r>
      <w:r w:rsidRPr="001C5792">
        <w:rPr>
          <w:sz w:val="20"/>
          <w:szCs w:val="20"/>
        </w:rPr>
        <w:t xml:space="preserve"> </w:t>
      </w:r>
      <w:r w:rsidRPr="001C5792">
        <w:rPr>
          <w:i/>
          <w:iCs/>
          <w:sz w:val="20"/>
          <w:szCs w:val="20"/>
        </w:rPr>
        <w:t xml:space="preserve">Id </w:t>
      </w:r>
      <w:r w:rsidRPr="001C5792">
        <w:rPr>
          <w:sz w:val="20"/>
          <w:szCs w:val="20"/>
        </w:rPr>
        <w:t>at 9-11.</w:t>
      </w:r>
    </w:p>
  </w:footnote>
  <w:footnote w:id="11">
    <w:p w:rsidR="009231CF" w:rsidRPr="001C5792" w:rsidP="001C5792" w14:paraId="156CF297" w14:textId="6E592011">
      <w:pPr>
        <w:pStyle w:val="FootnoteText"/>
        <w:spacing w:after="120" w:line="240" w:lineRule="auto"/>
        <w:ind w:left="0" w:firstLine="0"/>
        <w:rPr>
          <w:sz w:val="20"/>
          <w:szCs w:val="20"/>
        </w:rPr>
      </w:pPr>
      <w:r w:rsidRPr="001C5792">
        <w:rPr>
          <w:rStyle w:val="FootnoteReference"/>
          <w:sz w:val="20"/>
          <w:szCs w:val="20"/>
        </w:rPr>
        <w:footnoteRef/>
      </w:r>
      <w:r w:rsidRPr="001C5792">
        <w:rPr>
          <w:sz w:val="20"/>
          <w:szCs w:val="20"/>
        </w:rPr>
        <w:t xml:space="preserve"> </w:t>
      </w:r>
      <w:r w:rsidRPr="001C5792">
        <w:rPr>
          <w:i/>
          <w:iCs/>
          <w:color w:val="auto"/>
          <w:sz w:val="20"/>
          <w:szCs w:val="20"/>
          <w:bdr w:val="none" w:sz="0" w:space="0" w:color="auto"/>
        </w:rPr>
        <w:t>In re Application of [FirstEnergy] for Authority to Provide for a Standard Service Offer Pursuant to R.C. 4928.143 in the Form of an Elec. Sec. Plan</w:t>
      </w:r>
      <w:r w:rsidRPr="001C5792">
        <w:rPr>
          <w:color w:val="auto"/>
          <w:sz w:val="20"/>
          <w:szCs w:val="20"/>
          <w:bdr w:val="none" w:sz="0" w:space="0" w:color="auto"/>
        </w:rPr>
        <w:t>, Case No. 14-1297-EL-SSO, Fifth Entry on Rehearing ¶ 310 (Oct. 12,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31CF" w:rsidP="002E3D49" w14:paraId="5FB30F28" w14:textId="2ACDA46C">
    <w:pPr>
      <w:pStyle w:val="Header"/>
      <w:tabs>
        <w:tab w:val="right" w:pos="8620"/>
        <w:tab w:val="clear" w:pos="9360"/>
      </w:tabs>
      <w:spacing w:line="240" w:lineRule="auto"/>
      <w:jc w:val="center"/>
      <w:rPr>
        <w:i/>
        <w:iCs/>
      </w:rPr>
    </w:pPr>
    <w:r>
      <w:rPr>
        <w:i/>
        <w:iCs/>
      </w:rPr>
      <w:t xml:space="preserve">Supplemental Testimony of Michael P. Haugh </w:t>
    </w:r>
  </w:p>
  <w:p w:rsidR="009231CF" w:rsidP="002E3D49" w14:paraId="73595B2D" w14:textId="384C2C0F">
    <w:pPr>
      <w:pStyle w:val="Header"/>
      <w:tabs>
        <w:tab w:val="right" w:pos="8620"/>
        <w:tab w:val="clear" w:pos="9360"/>
      </w:tabs>
      <w:spacing w:line="240" w:lineRule="auto"/>
      <w:jc w:val="center"/>
    </w:pPr>
    <w:r>
      <w:rPr>
        <w:i/>
        <w:iCs/>
      </w:rPr>
      <w:t>On Behalf of the Office of the Ohio Consumers</w:t>
    </w:r>
    <w:r>
      <w:rPr>
        <w:rFonts w:hAnsi="Times New Roman"/>
        <w:i/>
        <w:iCs/>
      </w:rPr>
      <w:t xml:space="preserve">’ </w:t>
    </w:r>
    <w:r>
      <w:rPr>
        <w:i/>
        <w:iCs/>
      </w:rPr>
      <w:t>Counsel</w:t>
    </w:r>
    <w:r>
      <w:t xml:space="preserve"> </w:t>
    </w:r>
  </w:p>
  <w:p w:rsidR="009231CF" w:rsidP="002E3D49" w14:paraId="460BD1E5" w14:textId="43D3A9B7">
    <w:pPr>
      <w:pStyle w:val="Header"/>
      <w:tabs>
        <w:tab w:val="right" w:pos="8620"/>
        <w:tab w:val="clear" w:pos="9360"/>
      </w:tabs>
      <w:spacing w:line="240" w:lineRule="auto"/>
      <w:jc w:val="center"/>
    </w:pPr>
    <w:r>
      <w:rPr>
        <w:i/>
        <w:iCs/>
        <w:lang w:val="es-ES_tradnl"/>
      </w:rPr>
      <w:t>PUCO Case No. 21-1047-EL-AEC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31CF" w:rsidRPr="009F7533" w:rsidP="009F7533" w14:paraId="46FFB173" w14:textId="799AE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CA884B4"/>
    <w:lvl w:ilvl="0">
      <w:start w:val="1"/>
      <w:numFmt w:val="decimal"/>
      <w:lvlText w:val="%1."/>
      <w:lvlJc w:val="left"/>
      <w:pPr>
        <w:tabs>
          <w:tab w:val="num" w:pos="1800"/>
        </w:tabs>
        <w:ind w:left="1800" w:hanging="360"/>
      </w:pPr>
    </w:lvl>
  </w:abstractNum>
  <w:abstractNum w:abstractNumId="1">
    <w:nsid w:val="FFFFFF7D"/>
    <w:multiLevelType w:val="singleLevel"/>
    <w:tmpl w:val="86641A08"/>
    <w:lvl w:ilvl="0">
      <w:start w:val="1"/>
      <w:numFmt w:val="decimal"/>
      <w:lvlText w:val="%1."/>
      <w:lvlJc w:val="left"/>
      <w:pPr>
        <w:tabs>
          <w:tab w:val="num" w:pos="1440"/>
        </w:tabs>
        <w:ind w:left="1440" w:hanging="360"/>
      </w:pPr>
    </w:lvl>
  </w:abstractNum>
  <w:abstractNum w:abstractNumId="2">
    <w:nsid w:val="FFFFFF7E"/>
    <w:multiLevelType w:val="singleLevel"/>
    <w:tmpl w:val="73842F58"/>
    <w:lvl w:ilvl="0">
      <w:start w:val="1"/>
      <w:numFmt w:val="decimal"/>
      <w:lvlText w:val="%1."/>
      <w:lvlJc w:val="left"/>
      <w:pPr>
        <w:tabs>
          <w:tab w:val="num" w:pos="1080"/>
        </w:tabs>
        <w:ind w:left="1080" w:hanging="360"/>
      </w:pPr>
    </w:lvl>
  </w:abstractNum>
  <w:abstractNum w:abstractNumId="3">
    <w:nsid w:val="FFFFFF7F"/>
    <w:multiLevelType w:val="singleLevel"/>
    <w:tmpl w:val="ED1CF63A"/>
    <w:lvl w:ilvl="0">
      <w:start w:val="1"/>
      <w:numFmt w:val="decimal"/>
      <w:lvlText w:val="%1."/>
      <w:lvlJc w:val="left"/>
      <w:pPr>
        <w:tabs>
          <w:tab w:val="num" w:pos="720"/>
        </w:tabs>
        <w:ind w:left="720" w:hanging="360"/>
      </w:pPr>
    </w:lvl>
  </w:abstractNum>
  <w:abstractNum w:abstractNumId="4">
    <w:nsid w:val="FFFFFF80"/>
    <w:multiLevelType w:val="singleLevel"/>
    <w:tmpl w:val="58B0C1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960D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634EE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D9C7E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0021C4"/>
    <w:lvl w:ilvl="0">
      <w:start w:val="1"/>
      <w:numFmt w:val="decimal"/>
      <w:lvlText w:val="%1."/>
      <w:lvlJc w:val="left"/>
      <w:pPr>
        <w:tabs>
          <w:tab w:val="num" w:pos="360"/>
        </w:tabs>
        <w:ind w:left="360" w:hanging="360"/>
      </w:pPr>
    </w:lvl>
  </w:abstractNum>
  <w:abstractNum w:abstractNumId="9">
    <w:nsid w:val="FFFFFF89"/>
    <w:multiLevelType w:val="singleLevel"/>
    <w:tmpl w:val="855EF350"/>
    <w:lvl w:ilvl="0">
      <w:start w:val="1"/>
      <w:numFmt w:val="bullet"/>
      <w:lvlText w:val=""/>
      <w:lvlJc w:val="left"/>
      <w:pPr>
        <w:tabs>
          <w:tab w:val="num" w:pos="360"/>
        </w:tabs>
        <w:ind w:left="360" w:hanging="360"/>
      </w:pPr>
      <w:rPr>
        <w:rFonts w:ascii="Symbol" w:hAnsi="Symbol" w:hint="default"/>
      </w:rPr>
    </w:lvl>
  </w:abstractNum>
  <w:abstractNum w:abstractNumId="10">
    <w:nsid w:val="21D347A1"/>
    <w:multiLevelType w:val="hybridMultilevel"/>
    <w:tmpl w:val="D95E6CC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A500268"/>
    <w:multiLevelType w:val="multilevel"/>
    <w:tmpl w:val="EEBE744A"/>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12">
    <w:nsid w:val="3ABF77F3"/>
    <w:multiLevelType w:val="multilevel"/>
    <w:tmpl w:val="D1089E5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nsid w:val="4603267A"/>
    <w:multiLevelType w:val="multilevel"/>
    <w:tmpl w:val="7944B920"/>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4EA54329"/>
    <w:multiLevelType w:val="hybridMultilevel"/>
    <w:tmpl w:val="773A692E"/>
    <w:lvl w:ilvl="0">
      <w:start w:val="1"/>
      <w:numFmt w:val="upperLetter"/>
      <w:pStyle w:val="Heading2"/>
      <w:lvlText w:val="%1."/>
      <w:lvlJc w:val="left"/>
      <w:pPr>
        <w:ind w:left="1440" w:hanging="72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32669A8"/>
    <w:multiLevelType w:val="multilevel"/>
    <w:tmpl w:val="34888E8E"/>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6">
    <w:nsid w:val="641A1213"/>
    <w:multiLevelType w:val="multilevel"/>
    <w:tmpl w:val="3BA0FC60"/>
    <w:styleLink w:val="List0"/>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7">
    <w:nsid w:val="7BF35FE9"/>
    <w:multiLevelType w:val="multilevel"/>
    <w:tmpl w:val="59C0B50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5"/>
  </w:num>
  <w:num w:numId="2">
    <w:abstractNumId w:val="11"/>
  </w:num>
  <w:num w:numId="3">
    <w:abstractNumId w:val="16"/>
  </w:num>
  <w:num w:numId="4">
    <w:abstractNumId w:val="12"/>
  </w:num>
  <w:num w:numId="5">
    <w:abstractNumId w:val="17"/>
  </w:num>
  <w:num w:numId="6">
    <w:abstractNumId w:val="13"/>
    <w:lvlOverride w:ilvl="0">
      <w:lvl w:ilvl="0">
        <w:start w:val="1"/>
        <w:numFmt w:val="decimal"/>
        <w:lvlText w:val="%1."/>
        <w:lvlJc w:val="left"/>
        <w:rPr>
          <w:position w:val="0"/>
          <w:rtl w:val="0"/>
        </w:rPr>
      </w:lvl>
    </w:lvlOverride>
    <w:lvlOverride w:ilvl="1">
      <w:lvl w:ilvl="1">
        <w:start w:val="1"/>
        <w:numFmt w:val="lowerLetter"/>
        <w:lvlText w:val="%2."/>
        <w:lvlJc w:val="left"/>
        <w:rPr>
          <w:position w:val="0"/>
          <w:rtl w:val="0"/>
        </w:rPr>
      </w:lvl>
    </w:lvlOverride>
    <w:lvlOverride w:ilvl="2">
      <w:lvl w:ilvl="2">
        <w:start w:val="1"/>
        <w:numFmt w:val="lowerRoman"/>
        <w:lvlText w:val="%3."/>
        <w:lvlJc w:val="left"/>
        <w:rPr>
          <w:position w:val="0"/>
          <w:rtl w:val="0"/>
        </w:rPr>
      </w:lvl>
    </w:lvlOverride>
    <w:lvlOverride w:ilvl="3">
      <w:lvl w:ilvl="3">
        <w:start w:val="1"/>
        <w:numFmt w:val="decimal"/>
        <w:lvlText w:val="%4."/>
        <w:lvlJc w:val="left"/>
        <w:rPr>
          <w:position w:val="0"/>
          <w:rtl w:val="0"/>
        </w:rPr>
      </w:lvl>
    </w:lvlOverride>
    <w:lvlOverride w:ilvl="4">
      <w:lvl w:ilvl="4">
        <w:start w:val="1"/>
        <w:numFmt w:val="lowerLetter"/>
        <w:lvlText w:val="%5."/>
        <w:lvlJc w:val="left"/>
        <w:rPr>
          <w:position w:val="0"/>
          <w:rtl w:val="0"/>
        </w:rPr>
      </w:lvl>
    </w:lvlOverride>
    <w:lvlOverride w:ilvl="5">
      <w:lvl w:ilvl="5">
        <w:start w:val="1"/>
        <w:numFmt w:val="lowerRoman"/>
        <w:lvlText w:val="%6."/>
        <w:lvlJc w:val="left"/>
        <w:rPr>
          <w:position w:val="0"/>
          <w:rtl w:val="0"/>
        </w:rPr>
      </w:lvl>
    </w:lvlOverride>
    <w:lvlOverride w:ilvl="6">
      <w:lvl w:ilvl="6">
        <w:start w:val="1"/>
        <w:numFmt w:val="decimal"/>
        <w:lvlText w:val="%7."/>
        <w:lvlJc w:val="left"/>
        <w:rPr>
          <w:position w:val="0"/>
          <w:rtl w:val="0"/>
        </w:rPr>
      </w:lvl>
    </w:lvlOverride>
    <w:lvlOverride w:ilvl="7">
      <w:lvl w:ilvl="7">
        <w:start w:val="1"/>
        <w:numFmt w:val="lowerLetter"/>
        <w:lvlText w:val="%8."/>
        <w:lvlJc w:val="left"/>
        <w:rPr>
          <w:position w:val="0"/>
          <w:rtl w:val="0"/>
        </w:rPr>
      </w:lvl>
    </w:lvlOverride>
    <w:lvlOverride w:ilvl="8">
      <w:lvl w:ilvl="8">
        <w:start w:val="1"/>
        <w:numFmt w:val="lowerRoman"/>
        <w:lvlText w:val="%9."/>
        <w:lvlJc w:val="left"/>
        <w:rPr>
          <w:position w:val="0"/>
          <w:rtl w:val="0"/>
        </w:rPr>
      </w:lvl>
    </w:lvlOverride>
  </w:num>
  <w:num w:numId="7">
    <w:abstractNumId w:val="9"/>
  </w:num>
  <w:num w:numId="8">
    <w:abstractNumId w:val="7"/>
  </w:num>
  <w:num w:numId="9">
    <w:abstractNumId w:val="6"/>
  </w:num>
  <w:num w:numId="10">
    <w:abstractNumId w:val="5"/>
  </w:num>
  <w:num w:numId="11">
    <w:abstractNumId w:val="4"/>
  </w:num>
  <w:num w:numId="12">
    <w:abstractNumId w:val="13"/>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3"/>
    <w:lvlOverride w:ilvl="0">
      <w:lvl w:ilvl="0">
        <w:start w:val="1"/>
        <w:numFmt w:val="decimal"/>
        <w:lvlText w:val="%1."/>
        <w:lvlJc w:val="left"/>
        <w:pPr>
          <w:ind w:left="360" w:hanging="360"/>
        </w:pPr>
        <w:rPr>
          <w:rFonts w:hint="default"/>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C4"/>
    <w:rsid w:val="00007187"/>
    <w:rsid w:val="00015BB2"/>
    <w:rsid w:val="0001775C"/>
    <w:rsid w:val="00022F36"/>
    <w:rsid w:val="000237E3"/>
    <w:rsid w:val="00023C17"/>
    <w:rsid w:val="00024082"/>
    <w:rsid w:val="00026137"/>
    <w:rsid w:val="000266C9"/>
    <w:rsid w:val="00030520"/>
    <w:rsid w:val="00030896"/>
    <w:rsid w:val="000356B9"/>
    <w:rsid w:val="00051A45"/>
    <w:rsid w:val="00051D41"/>
    <w:rsid w:val="00053994"/>
    <w:rsid w:val="00061866"/>
    <w:rsid w:val="00062159"/>
    <w:rsid w:val="00063041"/>
    <w:rsid w:val="0006680F"/>
    <w:rsid w:val="00066B9F"/>
    <w:rsid w:val="00071BE6"/>
    <w:rsid w:val="000727A9"/>
    <w:rsid w:val="00072A6C"/>
    <w:rsid w:val="00075072"/>
    <w:rsid w:val="000754FC"/>
    <w:rsid w:val="00076967"/>
    <w:rsid w:val="00080267"/>
    <w:rsid w:val="0008422F"/>
    <w:rsid w:val="00090344"/>
    <w:rsid w:val="00090C81"/>
    <w:rsid w:val="00091FEF"/>
    <w:rsid w:val="00092E3F"/>
    <w:rsid w:val="000947CD"/>
    <w:rsid w:val="0009492A"/>
    <w:rsid w:val="0009661C"/>
    <w:rsid w:val="000979B9"/>
    <w:rsid w:val="000A1339"/>
    <w:rsid w:val="000A22D2"/>
    <w:rsid w:val="000A2CDA"/>
    <w:rsid w:val="000A2E35"/>
    <w:rsid w:val="000A2F2E"/>
    <w:rsid w:val="000A3E64"/>
    <w:rsid w:val="000A4157"/>
    <w:rsid w:val="000A4D7B"/>
    <w:rsid w:val="000A6FFC"/>
    <w:rsid w:val="000A7CD4"/>
    <w:rsid w:val="000B12EB"/>
    <w:rsid w:val="000B1ECE"/>
    <w:rsid w:val="000C069E"/>
    <w:rsid w:val="000C2889"/>
    <w:rsid w:val="000C5095"/>
    <w:rsid w:val="000C513A"/>
    <w:rsid w:val="000C5438"/>
    <w:rsid w:val="000C60B6"/>
    <w:rsid w:val="000C6B1E"/>
    <w:rsid w:val="000C6D3D"/>
    <w:rsid w:val="000D17EF"/>
    <w:rsid w:val="000D3812"/>
    <w:rsid w:val="000D48FB"/>
    <w:rsid w:val="000D6795"/>
    <w:rsid w:val="000E0F7B"/>
    <w:rsid w:val="000E243A"/>
    <w:rsid w:val="000E3A69"/>
    <w:rsid w:val="000E4AA8"/>
    <w:rsid w:val="000E771C"/>
    <w:rsid w:val="000F2258"/>
    <w:rsid w:val="000F227A"/>
    <w:rsid w:val="000F3C4D"/>
    <w:rsid w:val="000F48DA"/>
    <w:rsid w:val="00100112"/>
    <w:rsid w:val="00100910"/>
    <w:rsid w:val="00105430"/>
    <w:rsid w:val="0010543A"/>
    <w:rsid w:val="001102BB"/>
    <w:rsid w:val="00110827"/>
    <w:rsid w:val="00112117"/>
    <w:rsid w:val="00114DD5"/>
    <w:rsid w:val="00120239"/>
    <w:rsid w:val="001215A0"/>
    <w:rsid w:val="001222B2"/>
    <w:rsid w:val="0012671A"/>
    <w:rsid w:val="00132832"/>
    <w:rsid w:val="00135B95"/>
    <w:rsid w:val="00141969"/>
    <w:rsid w:val="00143C85"/>
    <w:rsid w:val="00151230"/>
    <w:rsid w:val="00151506"/>
    <w:rsid w:val="00151D0D"/>
    <w:rsid w:val="001522DC"/>
    <w:rsid w:val="001554D0"/>
    <w:rsid w:val="00155A6F"/>
    <w:rsid w:val="00155C9B"/>
    <w:rsid w:val="0015603E"/>
    <w:rsid w:val="00161E38"/>
    <w:rsid w:val="00162846"/>
    <w:rsid w:val="00162E5C"/>
    <w:rsid w:val="00166BC2"/>
    <w:rsid w:val="00170238"/>
    <w:rsid w:val="00172234"/>
    <w:rsid w:val="001747A1"/>
    <w:rsid w:val="00175434"/>
    <w:rsid w:val="00176636"/>
    <w:rsid w:val="00183ECF"/>
    <w:rsid w:val="00187359"/>
    <w:rsid w:val="0019142A"/>
    <w:rsid w:val="00193751"/>
    <w:rsid w:val="00194A1F"/>
    <w:rsid w:val="00195A8A"/>
    <w:rsid w:val="0019689A"/>
    <w:rsid w:val="001A291D"/>
    <w:rsid w:val="001A3ED5"/>
    <w:rsid w:val="001A4D87"/>
    <w:rsid w:val="001A6469"/>
    <w:rsid w:val="001A6A27"/>
    <w:rsid w:val="001B1B33"/>
    <w:rsid w:val="001B7341"/>
    <w:rsid w:val="001C027F"/>
    <w:rsid w:val="001C04CA"/>
    <w:rsid w:val="001C5792"/>
    <w:rsid w:val="001D164E"/>
    <w:rsid w:val="001D1E7E"/>
    <w:rsid w:val="001E2E38"/>
    <w:rsid w:val="001E3247"/>
    <w:rsid w:val="001E3F67"/>
    <w:rsid w:val="001E5BE2"/>
    <w:rsid w:val="001E64B0"/>
    <w:rsid w:val="001E65DB"/>
    <w:rsid w:val="001F466F"/>
    <w:rsid w:val="001F5AEC"/>
    <w:rsid w:val="00201829"/>
    <w:rsid w:val="002066B2"/>
    <w:rsid w:val="00207789"/>
    <w:rsid w:val="002107F4"/>
    <w:rsid w:val="00212BEF"/>
    <w:rsid w:val="0021378B"/>
    <w:rsid w:val="00220C54"/>
    <w:rsid w:val="0022272C"/>
    <w:rsid w:val="002232A8"/>
    <w:rsid w:val="00224FE0"/>
    <w:rsid w:val="00230C72"/>
    <w:rsid w:val="002336BD"/>
    <w:rsid w:val="002435A9"/>
    <w:rsid w:val="00243BD3"/>
    <w:rsid w:val="00245026"/>
    <w:rsid w:val="0024538B"/>
    <w:rsid w:val="00245435"/>
    <w:rsid w:val="00250636"/>
    <w:rsid w:val="00250AC0"/>
    <w:rsid w:val="00252ACD"/>
    <w:rsid w:val="00253364"/>
    <w:rsid w:val="00254269"/>
    <w:rsid w:val="0025682D"/>
    <w:rsid w:val="002622ED"/>
    <w:rsid w:val="0026312D"/>
    <w:rsid w:val="00263688"/>
    <w:rsid w:val="00263D3A"/>
    <w:rsid w:val="002658E0"/>
    <w:rsid w:val="002702EB"/>
    <w:rsid w:val="00274949"/>
    <w:rsid w:val="00275B98"/>
    <w:rsid w:val="002764C9"/>
    <w:rsid w:val="00280AEB"/>
    <w:rsid w:val="00282FA9"/>
    <w:rsid w:val="00286F3C"/>
    <w:rsid w:val="002877F7"/>
    <w:rsid w:val="00290EC5"/>
    <w:rsid w:val="00293E0E"/>
    <w:rsid w:val="002960EA"/>
    <w:rsid w:val="002962EE"/>
    <w:rsid w:val="00297562"/>
    <w:rsid w:val="002975C0"/>
    <w:rsid w:val="00297CEB"/>
    <w:rsid w:val="002A46E0"/>
    <w:rsid w:val="002B0052"/>
    <w:rsid w:val="002B253B"/>
    <w:rsid w:val="002B2A8D"/>
    <w:rsid w:val="002B3C39"/>
    <w:rsid w:val="002B6182"/>
    <w:rsid w:val="002B62CA"/>
    <w:rsid w:val="002B7BA9"/>
    <w:rsid w:val="002C3C44"/>
    <w:rsid w:val="002C408D"/>
    <w:rsid w:val="002C4360"/>
    <w:rsid w:val="002C651C"/>
    <w:rsid w:val="002C6DB2"/>
    <w:rsid w:val="002D24C6"/>
    <w:rsid w:val="002D2D78"/>
    <w:rsid w:val="002E0288"/>
    <w:rsid w:val="002E1493"/>
    <w:rsid w:val="002E2F3F"/>
    <w:rsid w:val="002E3D49"/>
    <w:rsid w:val="002E4C1B"/>
    <w:rsid w:val="002F0A20"/>
    <w:rsid w:val="002F2BEE"/>
    <w:rsid w:val="002F53E0"/>
    <w:rsid w:val="002F745C"/>
    <w:rsid w:val="003033DE"/>
    <w:rsid w:val="0030578F"/>
    <w:rsid w:val="00305B5A"/>
    <w:rsid w:val="0030746D"/>
    <w:rsid w:val="003075E1"/>
    <w:rsid w:val="00314198"/>
    <w:rsid w:val="0031554F"/>
    <w:rsid w:val="00320E16"/>
    <w:rsid w:val="0032322A"/>
    <w:rsid w:val="00323912"/>
    <w:rsid w:val="003245A2"/>
    <w:rsid w:val="00324C82"/>
    <w:rsid w:val="00326001"/>
    <w:rsid w:val="003305B2"/>
    <w:rsid w:val="003305DA"/>
    <w:rsid w:val="00330D61"/>
    <w:rsid w:val="00334114"/>
    <w:rsid w:val="00335F48"/>
    <w:rsid w:val="003372FD"/>
    <w:rsid w:val="00337740"/>
    <w:rsid w:val="0034059F"/>
    <w:rsid w:val="00342875"/>
    <w:rsid w:val="003500BF"/>
    <w:rsid w:val="0035236B"/>
    <w:rsid w:val="0035275B"/>
    <w:rsid w:val="00352CE2"/>
    <w:rsid w:val="00353476"/>
    <w:rsid w:val="003549BA"/>
    <w:rsid w:val="00355A45"/>
    <w:rsid w:val="00360AB7"/>
    <w:rsid w:val="003617A9"/>
    <w:rsid w:val="00362239"/>
    <w:rsid w:val="00362631"/>
    <w:rsid w:val="00365B79"/>
    <w:rsid w:val="00365C89"/>
    <w:rsid w:val="003673BC"/>
    <w:rsid w:val="00367A01"/>
    <w:rsid w:val="00377092"/>
    <w:rsid w:val="00377491"/>
    <w:rsid w:val="0037787A"/>
    <w:rsid w:val="00380458"/>
    <w:rsid w:val="00380A05"/>
    <w:rsid w:val="00380FB3"/>
    <w:rsid w:val="003817A5"/>
    <w:rsid w:val="003A7841"/>
    <w:rsid w:val="003B5E23"/>
    <w:rsid w:val="003B68FA"/>
    <w:rsid w:val="003C0355"/>
    <w:rsid w:val="003C23AB"/>
    <w:rsid w:val="003C23D1"/>
    <w:rsid w:val="003C348B"/>
    <w:rsid w:val="003C479A"/>
    <w:rsid w:val="003C5107"/>
    <w:rsid w:val="003C6CFB"/>
    <w:rsid w:val="003E4579"/>
    <w:rsid w:val="003E6A8B"/>
    <w:rsid w:val="003E700D"/>
    <w:rsid w:val="003F0321"/>
    <w:rsid w:val="003F1FA3"/>
    <w:rsid w:val="003F68F3"/>
    <w:rsid w:val="004002D5"/>
    <w:rsid w:val="004009DB"/>
    <w:rsid w:val="00400D6A"/>
    <w:rsid w:val="004024E2"/>
    <w:rsid w:val="00402EDD"/>
    <w:rsid w:val="00404F70"/>
    <w:rsid w:val="00406ABC"/>
    <w:rsid w:val="00407682"/>
    <w:rsid w:val="00407BDC"/>
    <w:rsid w:val="00411FFB"/>
    <w:rsid w:val="00421467"/>
    <w:rsid w:val="00425344"/>
    <w:rsid w:val="00426FD1"/>
    <w:rsid w:val="00431198"/>
    <w:rsid w:val="004329C0"/>
    <w:rsid w:val="00436D24"/>
    <w:rsid w:val="00436F4B"/>
    <w:rsid w:val="00437149"/>
    <w:rsid w:val="004371C7"/>
    <w:rsid w:val="00437CE8"/>
    <w:rsid w:val="00445573"/>
    <w:rsid w:val="004455C4"/>
    <w:rsid w:val="004468F1"/>
    <w:rsid w:val="0044786F"/>
    <w:rsid w:val="0045063E"/>
    <w:rsid w:val="00452BDF"/>
    <w:rsid w:val="00452C50"/>
    <w:rsid w:val="004607ED"/>
    <w:rsid w:val="004633A5"/>
    <w:rsid w:val="00465740"/>
    <w:rsid w:val="0046796C"/>
    <w:rsid w:val="0047016D"/>
    <w:rsid w:val="004707FF"/>
    <w:rsid w:val="00471A0C"/>
    <w:rsid w:val="00477674"/>
    <w:rsid w:val="00485FA2"/>
    <w:rsid w:val="0048620D"/>
    <w:rsid w:val="004901B2"/>
    <w:rsid w:val="00491BFF"/>
    <w:rsid w:val="00492C34"/>
    <w:rsid w:val="00493365"/>
    <w:rsid w:val="00495FEE"/>
    <w:rsid w:val="00497462"/>
    <w:rsid w:val="004A0884"/>
    <w:rsid w:val="004A265F"/>
    <w:rsid w:val="004A3113"/>
    <w:rsid w:val="004A61E0"/>
    <w:rsid w:val="004A6718"/>
    <w:rsid w:val="004A6AF7"/>
    <w:rsid w:val="004A78BB"/>
    <w:rsid w:val="004B3AF2"/>
    <w:rsid w:val="004B436A"/>
    <w:rsid w:val="004B4686"/>
    <w:rsid w:val="004B6400"/>
    <w:rsid w:val="004B676C"/>
    <w:rsid w:val="004B7BC9"/>
    <w:rsid w:val="004C0810"/>
    <w:rsid w:val="004C48B1"/>
    <w:rsid w:val="004C535A"/>
    <w:rsid w:val="004C772E"/>
    <w:rsid w:val="004D0959"/>
    <w:rsid w:val="004D18AC"/>
    <w:rsid w:val="004D1B5B"/>
    <w:rsid w:val="004D37BF"/>
    <w:rsid w:val="004D46E9"/>
    <w:rsid w:val="004D57A0"/>
    <w:rsid w:val="004D6E20"/>
    <w:rsid w:val="004E1EB5"/>
    <w:rsid w:val="004E330A"/>
    <w:rsid w:val="004E3370"/>
    <w:rsid w:val="004E67A2"/>
    <w:rsid w:val="004F1C1C"/>
    <w:rsid w:val="004F36EF"/>
    <w:rsid w:val="004F3DD1"/>
    <w:rsid w:val="004F3E53"/>
    <w:rsid w:val="004F3E9A"/>
    <w:rsid w:val="00506BFE"/>
    <w:rsid w:val="00507889"/>
    <w:rsid w:val="00512941"/>
    <w:rsid w:val="00521334"/>
    <w:rsid w:val="00521479"/>
    <w:rsid w:val="00524F83"/>
    <w:rsid w:val="00526642"/>
    <w:rsid w:val="00527DB2"/>
    <w:rsid w:val="00530F69"/>
    <w:rsid w:val="005327E2"/>
    <w:rsid w:val="00532D7F"/>
    <w:rsid w:val="0053331C"/>
    <w:rsid w:val="00533A7A"/>
    <w:rsid w:val="00535D07"/>
    <w:rsid w:val="0054212E"/>
    <w:rsid w:val="005450C7"/>
    <w:rsid w:val="00545203"/>
    <w:rsid w:val="00545A99"/>
    <w:rsid w:val="005467C3"/>
    <w:rsid w:val="00552B2D"/>
    <w:rsid w:val="00555937"/>
    <w:rsid w:val="005609C4"/>
    <w:rsid w:val="00561709"/>
    <w:rsid w:val="0056289C"/>
    <w:rsid w:val="005658FE"/>
    <w:rsid w:val="0057245F"/>
    <w:rsid w:val="00572AE5"/>
    <w:rsid w:val="00574D82"/>
    <w:rsid w:val="005760E7"/>
    <w:rsid w:val="005843EF"/>
    <w:rsid w:val="00585552"/>
    <w:rsid w:val="0059315D"/>
    <w:rsid w:val="0059674C"/>
    <w:rsid w:val="00596C66"/>
    <w:rsid w:val="00596F26"/>
    <w:rsid w:val="005A01DE"/>
    <w:rsid w:val="005A4A77"/>
    <w:rsid w:val="005B236E"/>
    <w:rsid w:val="005C276F"/>
    <w:rsid w:val="005C35C2"/>
    <w:rsid w:val="005C3D12"/>
    <w:rsid w:val="005D2ACA"/>
    <w:rsid w:val="005D4574"/>
    <w:rsid w:val="005E0889"/>
    <w:rsid w:val="005E3025"/>
    <w:rsid w:val="005E4163"/>
    <w:rsid w:val="005E6914"/>
    <w:rsid w:val="005E7E17"/>
    <w:rsid w:val="005F4E45"/>
    <w:rsid w:val="005F6384"/>
    <w:rsid w:val="006020E1"/>
    <w:rsid w:val="0061129E"/>
    <w:rsid w:val="00613B1B"/>
    <w:rsid w:val="00622918"/>
    <w:rsid w:val="006240FD"/>
    <w:rsid w:val="00624ABA"/>
    <w:rsid w:val="00626230"/>
    <w:rsid w:val="00627760"/>
    <w:rsid w:val="00630D42"/>
    <w:rsid w:val="00631345"/>
    <w:rsid w:val="006337AD"/>
    <w:rsid w:val="00633CB4"/>
    <w:rsid w:val="006364F9"/>
    <w:rsid w:val="006407AC"/>
    <w:rsid w:val="00651EC9"/>
    <w:rsid w:val="0065500F"/>
    <w:rsid w:val="006554E8"/>
    <w:rsid w:val="00661AFA"/>
    <w:rsid w:val="0066457D"/>
    <w:rsid w:val="00670750"/>
    <w:rsid w:val="006749C7"/>
    <w:rsid w:val="006751CF"/>
    <w:rsid w:val="006758C0"/>
    <w:rsid w:val="00680749"/>
    <w:rsid w:val="00681BF8"/>
    <w:rsid w:val="006821EA"/>
    <w:rsid w:val="00682987"/>
    <w:rsid w:val="00684AAE"/>
    <w:rsid w:val="006869DB"/>
    <w:rsid w:val="0068792B"/>
    <w:rsid w:val="006935EF"/>
    <w:rsid w:val="0069482C"/>
    <w:rsid w:val="006A2D02"/>
    <w:rsid w:val="006A3567"/>
    <w:rsid w:val="006A3655"/>
    <w:rsid w:val="006A3F71"/>
    <w:rsid w:val="006A7F21"/>
    <w:rsid w:val="006B0358"/>
    <w:rsid w:val="006B20B4"/>
    <w:rsid w:val="006C1ACF"/>
    <w:rsid w:val="006C5551"/>
    <w:rsid w:val="006C6D40"/>
    <w:rsid w:val="006D1ACC"/>
    <w:rsid w:val="006D60CC"/>
    <w:rsid w:val="006E215D"/>
    <w:rsid w:val="006E46E7"/>
    <w:rsid w:val="006E4982"/>
    <w:rsid w:val="006E4AE8"/>
    <w:rsid w:val="006E78E2"/>
    <w:rsid w:val="006F4270"/>
    <w:rsid w:val="006F7EAB"/>
    <w:rsid w:val="00704562"/>
    <w:rsid w:val="00704C02"/>
    <w:rsid w:val="00706F86"/>
    <w:rsid w:val="00707180"/>
    <w:rsid w:val="00711D71"/>
    <w:rsid w:val="00712B1A"/>
    <w:rsid w:val="00715BDD"/>
    <w:rsid w:val="007160AA"/>
    <w:rsid w:val="0072055D"/>
    <w:rsid w:val="00727693"/>
    <w:rsid w:val="00727DD8"/>
    <w:rsid w:val="00730260"/>
    <w:rsid w:val="00733EF3"/>
    <w:rsid w:val="00740866"/>
    <w:rsid w:val="0074183D"/>
    <w:rsid w:val="00744AB6"/>
    <w:rsid w:val="00745AF9"/>
    <w:rsid w:val="00746773"/>
    <w:rsid w:val="00750C71"/>
    <w:rsid w:val="00753821"/>
    <w:rsid w:val="00755B20"/>
    <w:rsid w:val="007569A9"/>
    <w:rsid w:val="00757C51"/>
    <w:rsid w:val="00757FA3"/>
    <w:rsid w:val="00760481"/>
    <w:rsid w:val="007604CD"/>
    <w:rsid w:val="00762CB6"/>
    <w:rsid w:val="00763DB8"/>
    <w:rsid w:val="00764BB4"/>
    <w:rsid w:val="007659A5"/>
    <w:rsid w:val="00765C49"/>
    <w:rsid w:val="00765FD6"/>
    <w:rsid w:val="00770231"/>
    <w:rsid w:val="00772052"/>
    <w:rsid w:val="007846E1"/>
    <w:rsid w:val="007869E1"/>
    <w:rsid w:val="00787CC2"/>
    <w:rsid w:val="007900CB"/>
    <w:rsid w:val="007910E1"/>
    <w:rsid w:val="00791B52"/>
    <w:rsid w:val="007947F2"/>
    <w:rsid w:val="0079482E"/>
    <w:rsid w:val="00794F06"/>
    <w:rsid w:val="00794FD2"/>
    <w:rsid w:val="007966CD"/>
    <w:rsid w:val="007A0D5D"/>
    <w:rsid w:val="007A4638"/>
    <w:rsid w:val="007A4C32"/>
    <w:rsid w:val="007C01D5"/>
    <w:rsid w:val="007C2E70"/>
    <w:rsid w:val="007C5C41"/>
    <w:rsid w:val="007D18BB"/>
    <w:rsid w:val="007D4829"/>
    <w:rsid w:val="007D4CC5"/>
    <w:rsid w:val="007D50A4"/>
    <w:rsid w:val="007D55D8"/>
    <w:rsid w:val="007D7F97"/>
    <w:rsid w:val="007E1785"/>
    <w:rsid w:val="007E1DF1"/>
    <w:rsid w:val="007E3788"/>
    <w:rsid w:val="007E391E"/>
    <w:rsid w:val="007E498A"/>
    <w:rsid w:val="007E5E39"/>
    <w:rsid w:val="007F1318"/>
    <w:rsid w:val="007F668F"/>
    <w:rsid w:val="008047A0"/>
    <w:rsid w:val="00805745"/>
    <w:rsid w:val="0080628B"/>
    <w:rsid w:val="00812252"/>
    <w:rsid w:val="0081374A"/>
    <w:rsid w:val="00813775"/>
    <w:rsid w:val="00822688"/>
    <w:rsid w:val="00822749"/>
    <w:rsid w:val="00825F1F"/>
    <w:rsid w:val="0083297D"/>
    <w:rsid w:val="00832AA7"/>
    <w:rsid w:val="008405D5"/>
    <w:rsid w:val="008406BC"/>
    <w:rsid w:val="00845480"/>
    <w:rsid w:val="0085124E"/>
    <w:rsid w:val="00851A43"/>
    <w:rsid w:val="0085368E"/>
    <w:rsid w:val="00855100"/>
    <w:rsid w:val="008553FA"/>
    <w:rsid w:val="0086099F"/>
    <w:rsid w:val="00863842"/>
    <w:rsid w:val="008721C5"/>
    <w:rsid w:val="00872882"/>
    <w:rsid w:val="008753D8"/>
    <w:rsid w:val="0087543B"/>
    <w:rsid w:val="0087662E"/>
    <w:rsid w:val="00882713"/>
    <w:rsid w:val="00884B0D"/>
    <w:rsid w:val="00887C5E"/>
    <w:rsid w:val="00891425"/>
    <w:rsid w:val="008914FD"/>
    <w:rsid w:val="00892C66"/>
    <w:rsid w:val="00893904"/>
    <w:rsid w:val="00894250"/>
    <w:rsid w:val="00895BA8"/>
    <w:rsid w:val="0089799C"/>
    <w:rsid w:val="00897B03"/>
    <w:rsid w:val="00897EA2"/>
    <w:rsid w:val="008A0C7C"/>
    <w:rsid w:val="008A24B4"/>
    <w:rsid w:val="008A36A0"/>
    <w:rsid w:val="008A3D41"/>
    <w:rsid w:val="008B0382"/>
    <w:rsid w:val="008B0389"/>
    <w:rsid w:val="008B0624"/>
    <w:rsid w:val="008B07FC"/>
    <w:rsid w:val="008B1115"/>
    <w:rsid w:val="008B11DE"/>
    <w:rsid w:val="008B6782"/>
    <w:rsid w:val="008C027D"/>
    <w:rsid w:val="008C144C"/>
    <w:rsid w:val="008C5FAA"/>
    <w:rsid w:val="008C6093"/>
    <w:rsid w:val="008C6199"/>
    <w:rsid w:val="008D1BBE"/>
    <w:rsid w:val="008D1D32"/>
    <w:rsid w:val="008D30D8"/>
    <w:rsid w:val="008D366F"/>
    <w:rsid w:val="008D6B0D"/>
    <w:rsid w:val="008E0F8E"/>
    <w:rsid w:val="008E1737"/>
    <w:rsid w:val="008E20EA"/>
    <w:rsid w:val="008E23CA"/>
    <w:rsid w:val="008E504F"/>
    <w:rsid w:val="008E69A4"/>
    <w:rsid w:val="008E774C"/>
    <w:rsid w:val="008E77E0"/>
    <w:rsid w:val="008F2669"/>
    <w:rsid w:val="008F5914"/>
    <w:rsid w:val="008F5A4F"/>
    <w:rsid w:val="008F5DFB"/>
    <w:rsid w:val="0090014E"/>
    <w:rsid w:val="00903089"/>
    <w:rsid w:val="00906074"/>
    <w:rsid w:val="00906D2E"/>
    <w:rsid w:val="009074DC"/>
    <w:rsid w:val="009079A2"/>
    <w:rsid w:val="009100C8"/>
    <w:rsid w:val="00911EAF"/>
    <w:rsid w:val="00913F63"/>
    <w:rsid w:val="00914E83"/>
    <w:rsid w:val="00915BDB"/>
    <w:rsid w:val="00915C2C"/>
    <w:rsid w:val="00916CB5"/>
    <w:rsid w:val="00917A69"/>
    <w:rsid w:val="009231CF"/>
    <w:rsid w:val="00926B84"/>
    <w:rsid w:val="0093353B"/>
    <w:rsid w:val="00936866"/>
    <w:rsid w:val="00937F0B"/>
    <w:rsid w:val="009404DC"/>
    <w:rsid w:val="00940EFC"/>
    <w:rsid w:val="00943435"/>
    <w:rsid w:val="0094468C"/>
    <w:rsid w:val="00944F10"/>
    <w:rsid w:val="00953EB3"/>
    <w:rsid w:val="009546A5"/>
    <w:rsid w:val="00954F12"/>
    <w:rsid w:val="0095702D"/>
    <w:rsid w:val="0096136C"/>
    <w:rsid w:val="00963A3A"/>
    <w:rsid w:val="0097049E"/>
    <w:rsid w:val="00971A9D"/>
    <w:rsid w:val="00973184"/>
    <w:rsid w:val="0097363A"/>
    <w:rsid w:val="00974199"/>
    <w:rsid w:val="0097536B"/>
    <w:rsid w:val="009769C4"/>
    <w:rsid w:val="00976FF3"/>
    <w:rsid w:val="00977737"/>
    <w:rsid w:val="00982468"/>
    <w:rsid w:val="00983127"/>
    <w:rsid w:val="00983236"/>
    <w:rsid w:val="00983AE5"/>
    <w:rsid w:val="00987CE4"/>
    <w:rsid w:val="009946BF"/>
    <w:rsid w:val="00995F68"/>
    <w:rsid w:val="00996A9F"/>
    <w:rsid w:val="00996F52"/>
    <w:rsid w:val="009A4CDE"/>
    <w:rsid w:val="009A55C8"/>
    <w:rsid w:val="009A5993"/>
    <w:rsid w:val="009B2403"/>
    <w:rsid w:val="009B3A1B"/>
    <w:rsid w:val="009B44B2"/>
    <w:rsid w:val="009B4DAB"/>
    <w:rsid w:val="009B5509"/>
    <w:rsid w:val="009B56F9"/>
    <w:rsid w:val="009C0B66"/>
    <w:rsid w:val="009C0D37"/>
    <w:rsid w:val="009C4F61"/>
    <w:rsid w:val="009E3F47"/>
    <w:rsid w:val="009E4270"/>
    <w:rsid w:val="009E614C"/>
    <w:rsid w:val="009E772B"/>
    <w:rsid w:val="009F2D5C"/>
    <w:rsid w:val="009F5B6E"/>
    <w:rsid w:val="009F7533"/>
    <w:rsid w:val="00A02415"/>
    <w:rsid w:val="00A02657"/>
    <w:rsid w:val="00A03064"/>
    <w:rsid w:val="00A031E2"/>
    <w:rsid w:val="00A03E40"/>
    <w:rsid w:val="00A06226"/>
    <w:rsid w:val="00A06452"/>
    <w:rsid w:val="00A06492"/>
    <w:rsid w:val="00A073B2"/>
    <w:rsid w:val="00A07D0D"/>
    <w:rsid w:val="00A1347D"/>
    <w:rsid w:val="00A13559"/>
    <w:rsid w:val="00A14592"/>
    <w:rsid w:val="00A1554A"/>
    <w:rsid w:val="00A20EDD"/>
    <w:rsid w:val="00A21DDA"/>
    <w:rsid w:val="00A27226"/>
    <w:rsid w:val="00A2757A"/>
    <w:rsid w:val="00A302E1"/>
    <w:rsid w:val="00A35A85"/>
    <w:rsid w:val="00A37995"/>
    <w:rsid w:val="00A37A28"/>
    <w:rsid w:val="00A416CB"/>
    <w:rsid w:val="00A4494F"/>
    <w:rsid w:val="00A51E91"/>
    <w:rsid w:val="00A5300B"/>
    <w:rsid w:val="00A5354F"/>
    <w:rsid w:val="00A57B8D"/>
    <w:rsid w:val="00A6069E"/>
    <w:rsid w:val="00A606C4"/>
    <w:rsid w:val="00A61F56"/>
    <w:rsid w:val="00A62171"/>
    <w:rsid w:val="00A64714"/>
    <w:rsid w:val="00A649DB"/>
    <w:rsid w:val="00A64F73"/>
    <w:rsid w:val="00A65440"/>
    <w:rsid w:val="00A66A06"/>
    <w:rsid w:val="00A72D14"/>
    <w:rsid w:val="00A73F2D"/>
    <w:rsid w:val="00A7760E"/>
    <w:rsid w:val="00A77C0E"/>
    <w:rsid w:val="00A8157B"/>
    <w:rsid w:val="00A82269"/>
    <w:rsid w:val="00A8257C"/>
    <w:rsid w:val="00A825F4"/>
    <w:rsid w:val="00A82B94"/>
    <w:rsid w:val="00A83815"/>
    <w:rsid w:val="00A864DF"/>
    <w:rsid w:val="00A865F5"/>
    <w:rsid w:val="00A87F91"/>
    <w:rsid w:val="00A9022C"/>
    <w:rsid w:val="00A90324"/>
    <w:rsid w:val="00A911EF"/>
    <w:rsid w:val="00A912C1"/>
    <w:rsid w:val="00A916BF"/>
    <w:rsid w:val="00A9266C"/>
    <w:rsid w:val="00A9422F"/>
    <w:rsid w:val="00AA1F4F"/>
    <w:rsid w:val="00AA5FDE"/>
    <w:rsid w:val="00AC0838"/>
    <w:rsid w:val="00AC1D0C"/>
    <w:rsid w:val="00AC320F"/>
    <w:rsid w:val="00AC4766"/>
    <w:rsid w:val="00AC48C5"/>
    <w:rsid w:val="00AC5A5A"/>
    <w:rsid w:val="00AC6A73"/>
    <w:rsid w:val="00AC7CB3"/>
    <w:rsid w:val="00AD006D"/>
    <w:rsid w:val="00AD073F"/>
    <w:rsid w:val="00AD3F04"/>
    <w:rsid w:val="00AD45C7"/>
    <w:rsid w:val="00AD6751"/>
    <w:rsid w:val="00AD6845"/>
    <w:rsid w:val="00AD77C9"/>
    <w:rsid w:val="00AE1D31"/>
    <w:rsid w:val="00AE510F"/>
    <w:rsid w:val="00AF1D29"/>
    <w:rsid w:val="00AF334E"/>
    <w:rsid w:val="00AF34D6"/>
    <w:rsid w:val="00AF49D8"/>
    <w:rsid w:val="00AF4AA1"/>
    <w:rsid w:val="00AF64B6"/>
    <w:rsid w:val="00AF6A4F"/>
    <w:rsid w:val="00B022E4"/>
    <w:rsid w:val="00B04B1C"/>
    <w:rsid w:val="00B10F7E"/>
    <w:rsid w:val="00B15733"/>
    <w:rsid w:val="00B15DB5"/>
    <w:rsid w:val="00B1782F"/>
    <w:rsid w:val="00B20246"/>
    <w:rsid w:val="00B27478"/>
    <w:rsid w:val="00B276AE"/>
    <w:rsid w:val="00B27F73"/>
    <w:rsid w:val="00B41982"/>
    <w:rsid w:val="00B41CA0"/>
    <w:rsid w:val="00B41EA0"/>
    <w:rsid w:val="00B423AF"/>
    <w:rsid w:val="00B445AF"/>
    <w:rsid w:val="00B45A6A"/>
    <w:rsid w:val="00B4681A"/>
    <w:rsid w:val="00B46DE9"/>
    <w:rsid w:val="00B46F96"/>
    <w:rsid w:val="00B47811"/>
    <w:rsid w:val="00B509B8"/>
    <w:rsid w:val="00B5263F"/>
    <w:rsid w:val="00B53376"/>
    <w:rsid w:val="00B55274"/>
    <w:rsid w:val="00B56793"/>
    <w:rsid w:val="00B632C2"/>
    <w:rsid w:val="00B71447"/>
    <w:rsid w:val="00B74396"/>
    <w:rsid w:val="00B77786"/>
    <w:rsid w:val="00B81311"/>
    <w:rsid w:val="00B921D7"/>
    <w:rsid w:val="00B93FE4"/>
    <w:rsid w:val="00B942D5"/>
    <w:rsid w:val="00B94442"/>
    <w:rsid w:val="00B95A63"/>
    <w:rsid w:val="00B97FC0"/>
    <w:rsid w:val="00BA13D5"/>
    <w:rsid w:val="00BA21DD"/>
    <w:rsid w:val="00BA2645"/>
    <w:rsid w:val="00BA2656"/>
    <w:rsid w:val="00BA3168"/>
    <w:rsid w:val="00BA3254"/>
    <w:rsid w:val="00BA7369"/>
    <w:rsid w:val="00BB0636"/>
    <w:rsid w:val="00BB160B"/>
    <w:rsid w:val="00BB76B0"/>
    <w:rsid w:val="00BB7BE8"/>
    <w:rsid w:val="00BC044E"/>
    <w:rsid w:val="00BC1D37"/>
    <w:rsid w:val="00BC2427"/>
    <w:rsid w:val="00BC2738"/>
    <w:rsid w:val="00BC4571"/>
    <w:rsid w:val="00BC7001"/>
    <w:rsid w:val="00BD3CB2"/>
    <w:rsid w:val="00BF1378"/>
    <w:rsid w:val="00BF6495"/>
    <w:rsid w:val="00BF6C61"/>
    <w:rsid w:val="00BF720E"/>
    <w:rsid w:val="00C057D2"/>
    <w:rsid w:val="00C06503"/>
    <w:rsid w:val="00C0697B"/>
    <w:rsid w:val="00C13EF1"/>
    <w:rsid w:val="00C179EA"/>
    <w:rsid w:val="00C201A8"/>
    <w:rsid w:val="00C22B99"/>
    <w:rsid w:val="00C22F3F"/>
    <w:rsid w:val="00C255AD"/>
    <w:rsid w:val="00C301C2"/>
    <w:rsid w:val="00C3238F"/>
    <w:rsid w:val="00C32573"/>
    <w:rsid w:val="00C328F8"/>
    <w:rsid w:val="00C3419D"/>
    <w:rsid w:val="00C367D0"/>
    <w:rsid w:val="00C406D1"/>
    <w:rsid w:val="00C46E3E"/>
    <w:rsid w:val="00C506C9"/>
    <w:rsid w:val="00C53A71"/>
    <w:rsid w:val="00C55EB5"/>
    <w:rsid w:val="00C562CF"/>
    <w:rsid w:val="00C578D5"/>
    <w:rsid w:val="00C60533"/>
    <w:rsid w:val="00C61CB0"/>
    <w:rsid w:val="00C64609"/>
    <w:rsid w:val="00C6546F"/>
    <w:rsid w:val="00C661A4"/>
    <w:rsid w:val="00C676DF"/>
    <w:rsid w:val="00C7152D"/>
    <w:rsid w:val="00C71857"/>
    <w:rsid w:val="00C74D94"/>
    <w:rsid w:val="00C75E2E"/>
    <w:rsid w:val="00C75F5C"/>
    <w:rsid w:val="00C77BB5"/>
    <w:rsid w:val="00C81DB2"/>
    <w:rsid w:val="00C85DBF"/>
    <w:rsid w:val="00C862FE"/>
    <w:rsid w:val="00C93697"/>
    <w:rsid w:val="00CA22F6"/>
    <w:rsid w:val="00CA35A4"/>
    <w:rsid w:val="00CA3F95"/>
    <w:rsid w:val="00CA4835"/>
    <w:rsid w:val="00CA49D6"/>
    <w:rsid w:val="00CA6EF5"/>
    <w:rsid w:val="00CB04C0"/>
    <w:rsid w:val="00CB0BC6"/>
    <w:rsid w:val="00CB3804"/>
    <w:rsid w:val="00CC3233"/>
    <w:rsid w:val="00CC4B52"/>
    <w:rsid w:val="00CC4DF8"/>
    <w:rsid w:val="00CC7587"/>
    <w:rsid w:val="00CD0667"/>
    <w:rsid w:val="00CD15E8"/>
    <w:rsid w:val="00CD302D"/>
    <w:rsid w:val="00CD356E"/>
    <w:rsid w:val="00CD39AC"/>
    <w:rsid w:val="00CD46C8"/>
    <w:rsid w:val="00CD5A50"/>
    <w:rsid w:val="00CE0735"/>
    <w:rsid w:val="00CE28A7"/>
    <w:rsid w:val="00CE5925"/>
    <w:rsid w:val="00CE66F1"/>
    <w:rsid w:val="00CF2310"/>
    <w:rsid w:val="00CF565D"/>
    <w:rsid w:val="00CF6373"/>
    <w:rsid w:val="00D00038"/>
    <w:rsid w:val="00D0427C"/>
    <w:rsid w:val="00D04B47"/>
    <w:rsid w:val="00D06D6A"/>
    <w:rsid w:val="00D0770C"/>
    <w:rsid w:val="00D07D9E"/>
    <w:rsid w:val="00D130EA"/>
    <w:rsid w:val="00D14983"/>
    <w:rsid w:val="00D203E9"/>
    <w:rsid w:val="00D20C9B"/>
    <w:rsid w:val="00D20DD0"/>
    <w:rsid w:val="00D26197"/>
    <w:rsid w:val="00D27570"/>
    <w:rsid w:val="00D323F5"/>
    <w:rsid w:val="00D349F8"/>
    <w:rsid w:val="00D352D9"/>
    <w:rsid w:val="00D35BE7"/>
    <w:rsid w:val="00D42B0F"/>
    <w:rsid w:val="00D449B8"/>
    <w:rsid w:val="00D51D17"/>
    <w:rsid w:val="00D549F2"/>
    <w:rsid w:val="00D54C56"/>
    <w:rsid w:val="00D62E56"/>
    <w:rsid w:val="00D6712B"/>
    <w:rsid w:val="00D7002F"/>
    <w:rsid w:val="00D70CEB"/>
    <w:rsid w:val="00D72CB2"/>
    <w:rsid w:val="00D73173"/>
    <w:rsid w:val="00D765F2"/>
    <w:rsid w:val="00D81F8F"/>
    <w:rsid w:val="00D8374A"/>
    <w:rsid w:val="00D83BD8"/>
    <w:rsid w:val="00D86D36"/>
    <w:rsid w:val="00D913EA"/>
    <w:rsid w:val="00D91403"/>
    <w:rsid w:val="00D92F8B"/>
    <w:rsid w:val="00D939F2"/>
    <w:rsid w:val="00D94227"/>
    <w:rsid w:val="00D948BE"/>
    <w:rsid w:val="00D950AA"/>
    <w:rsid w:val="00D95626"/>
    <w:rsid w:val="00D97ACA"/>
    <w:rsid w:val="00DA0033"/>
    <w:rsid w:val="00DA116F"/>
    <w:rsid w:val="00DA6513"/>
    <w:rsid w:val="00DA75A2"/>
    <w:rsid w:val="00DA7D25"/>
    <w:rsid w:val="00DB0E99"/>
    <w:rsid w:val="00DB131C"/>
    <w:rsid w:val="00DB1DDA"/>
    <w:rsid w:val="00DB2FD0"/>
    <w:rsid w:val="00DB34F7"/>
    <w:rsid w:val="00DB6CC7"/>
    <w:rsid w:val="00DC0BCF"/>
    <w:rsid w:val="00DC73DA"/>
    <w:rsid w:val="00DD0613"/>
    <w:rsid w:val="00DD127E"/>
    <w:rsid w:val="00DD53B0"/>
    <w:rsid w:val="00DD5792"/>
    <w:rsid w:val="00DD5C82"/>
    <w:rsid w:val="00DE16C2"/>
    <w:rsid w:val="00DE1905"/>
    <w:rsid w:val="00DE197D"/>
    <w:rsid w:val="00DE24CB"/>
    <w:rsid w:val="00DE2514"/>
    <w:rsid w:val="00DE3177"/>
    <w:rsid w:val="00DF0B38"/>
    <w:rsid w:val="00DF3EB8"/>
    <w:rsid w:val="00DF5530"/>
    <w:rsid w:val="00E00196"/>
    <w:rsid w:val="00E04186"/>
    <w:rsid w:val="00E045E8"/>
    <w:rsid w:val="00E10177"/>
    <w:rsid w:val="00E116A6"/>
    <w:rsid w:val="00E12BC7"/>
    <w:rsid w:val="00E14FCF"/>
    <w:rsid w:val="00E15E75"/>
    <w:rsid w:val="00E27B2A"/>
    <w:rsid w:val="00E319BC"/>
    <w:rsid w:val="00E333D9"/>
    <w:rsid w:val="00E33D16"/>
    <w:rsid w:val="00E4047E"/>
    <w:rsid w:val="00E44026"/>
    <w:rsid w:val="00E4525B"/>
    <w:rsid w:val="00E4569F"/>
    <w:rsid w:val="00E46A9A"/>
    <w:rsid w:val="00E4758F"/>
    <w:rsid w:val="00E47632"/>
    <w:rsid w:val="00E479E6"/>
    <w:rsid w:val="00E50C70"/>
    <w:rsid w:val="00E52122"/>
    <w:rsid w:val="00E528AA"/>
    <w:rsid w:val="00E530B8"/>
    <w:rsid w:val="00E53763"/>
    <w:rsid w:val="00E56ED7"/>
    <w:rsid w:val="00E60966"/>
    <w:rsid w:val="00E613E8"/>
    <w:rsid w:val="00E6225E"/>
    <w:rsid w:val="00E62358"/>
    <w:rsid w:val="00E637A0"/>
    <w:rsid w:val="00E70123"/>
    <w:rsid w:val="00E70FF4"/>
    <w:rsid w:val="00E71175"/>
    <w:rsid w:val="00E73370"/>
    <w:rsid w:val="00E74864"/>
    <w:rsid w:val="00E749A1"/>
    <w:rsid w:val="00E7663F"/>
    <w:rsid w:val="00E7798E"/>
    <w:rsid w:val="00E803E1"/>
    <w:rsid w:val="00E826D4"/>
    <w:rsid w:val="00E8282E"/>
    <w:rsid w:val="00E83913"/>
    <w:rsid w:val="00E97CC4"/>
    <w:rsid w:val="00EA150B"/>
    <w:rsid w:val="00EA39BF"/>
    <w:rsid w:val="00EA5E3D"/>
    <w:rsid w:val="00EB0EED"/>
    <w:rsid w:val="00EB2668"/>
    <w:rsid w:val="00EB3D2A"/>
    <w:rsid w:val="00EB69E3"/>
    <w:rsid w:val="00EC05D8"/>
    <w:rsid w:val="00EC37C0"/>
    <w:rsid w:val="00EC4DF2"/>
    <w:rsid w:val="00EC52B2"/>
    <w:rsid w:val="00ED2BA7"/>
    <w:rsid w:val="00ED3C3A"/>
    <w:rsid w:val="00EE0ED4"/>
    <w:rsid w:val="00EE2083"/>
    <w:rsid w:val="00EE4777"/>
    <w:rsid w:val="00EE647F"/>
    <w:rsid w:val="00EE6F78"/>
    <w:rsid w:val="00EF4424"/>
    <w:rsid w:val="00EF5856"/>
    <w:rsid w:val="00F00951"/>
    <w:rsid w:val="00F05CD9"/>
    <w:rsid w:val="00F13E18"/>
    <w:rsid w:val="00F22246"/>
    <w:rsid w:val="00F257F4"/>
    <w:rsid w:val="00F26570"/>
    <w:rsid w:val="00F27CC6"/>
    <w:rsid w:val="00F27D23"/>
    <w:rsid w:val="00F31A04"/>
    <w:rsid w:val="00F35241"/>
    <w:rsid w:val="00F370EA"/>
    <w:rsid w:val="00F37286"/>
    <w:rsid w:val="00F4446A"/>
    <w:rsid w:val="00F460CA"/>
    <w:rsid w:val="00F52CC9"/>
    <w:rsid w:val="00F54516"/>
    <w:rsid w:val="00F632BE"/>
    <w:rsid w:val="00F7196F"/>
    <w:rsid w:val="00F75032"/>
    <w:rsid w:val="00F75036"/>
    <w:rsid w:val="00F80021"/>
    <w:rsid w:val="00F81DA3"/>
    <w:rsid w:val="00F90FCB"/>
    <w:rsid w:val="00F9227A"/>
    <w:rsid w:val="00F9304E"/>
    <w:rsid w:val="00F95467"/>
    <w:rsid w:val="00F96684"/>
    <w:rsid w:val="00F96F0D"/>
    <w:rsid w:val="00FA37FC"/>
    <w:rsid w:val="00FA50BB"/>
    <w:rsid w:val="00FA619F"/>
    <w:rsid w:val="00FA7CC2"/>
    <w:rsid w:val="00FB0796"/>
    <w:rsid w:val="00FB122A"/>
    <w:rsid w:val="00FB4073"/>
    <w:rsid w:val="00FB56BE"/>
    <w:rsid w:val="00FB59D0"/>
    <w:rsid w:val="00FC176F"/>
    <w:rsid w:val="00FC2CA0"/>
    <w:rsid w:val="00FC7308"/>
    <w:rsid w:val="00FD11FA"/>
    <w:rsid w:val="00FD1D39"/>
    <w:rsid w:val="00FD3848"/>
    <w:rsid w:val="00FD4F86"/>
    <w:rsid w:val="00FE23B9"/>
    <w:rsid w:val="00FE70ED"/>
    <w:rsid w:val="00FE75DA"/>
    <w:rsid w:val="00FF1B24"/>
    <w:rsid w:val="00FF2137"/>
    <w:rsid w:val="00FF279C"/>
    <w:rsid w:val="00FF299C"/>
    <w:rsid w:val="00FF2F1A"/>
    <w:rsid w:val="00FF7C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20EA"/>
  </w:style>
  <w:style w:type="paragraph" w:styleId="Heading1">
    <w:name w:val="heading 1"/>
    <w:basedOn w:val="Normal"/>
    <w:next w:val="Normal"/>
    <w:link w:val="Heading1Char"/>
    <w:autoRedefine/>
    <w:uiPriority w:val="9"/>
    <w:qFormat/>
    <w:rsid w:val="00BA13D5"/>
    <w:pPr>
      <w:keepNext/>
      <w:keepLines/>
      <w:spacing w:after="240"/>
      <w:outlineLvl w:val="0"/>
    </w:pPr>
    <w:rPr>
      <w:rFonts w:ascii="Times New Roman Bold" w:hAnsi="Times New Roman Bold" w:eastAsiaTheme="majorEastAsia" w:cstheme="majorBidi"/>
      <w:b/>
      <w:bCs/>
      <w:caps/>
      <w:szCs w:val="28"/>
    </w:rPr>
  </w:style>
  <w:style w:type="paragraph" w:styleId="Heading2">
    <w:name w:val="heading 2"/>
    <w:basedOn w:val="Normal"/>
    <w:next w:val="Normal"/>
    <w:link w:val="Heading2Char"/>
    <w:autoRedefine/>
    <w:uiPriority w:val="9"/>
    <w:unhideWhenUsed/>
    <w:qFormat/>
    <w:rsid w:val="00C74D94"/>
    <w:pPr>
      <w:keepNext/>
      <w:keepLines/>
      <w:numPr>
        <w:numId w:val="18"/>
      </w:numPr>
      <w:outlineLvl w:val="1"/>
    </w:pPr>
    <w:rPr>
      <w:rFonts w:eastAsiaTheme="majorEastAsia"/>
      <w:b/>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styleId="Footer">
    <w:name w:val="footer"/>
    <w:link w:val="FooterChar"/>
    <w:uiPriority w:val="99"/>
    <w:pPr>
      <w:tabs>
        <w:tab w:val="center" w:pos="4680"/>
        <w:tab w:val="right" w:pos="9360"/>
      </w:tabs>
    </w:pPr>
    <w:rPr>
      <w:rFonts w:hAnsi="Arial Unicode MS" w:cs="Arial Unicode MS"/>
      <w:color w:val="000000"/>
      <w:u w:color="000000"/>
    </w:rPr>
  </w:style>
  <w:style w:type="paragraph" w:customStyle="1" w:styleId="BodyA">
    <w:name w:val="Body A"/>
    <w:rPr>
      <w:rFonts w:hAnsi="Arial Unicode MS" w:cs="Arial Unicode MS"/>
      <w:color w:val="000000"/>
      <w:u w:color="000000"/>
    </w:rPr>
  </w:style>
  <w:style w:type="paragraph" w:styleId="TOC1">
    <w:name w:val="toc 1"/>
    <w:autoRedefine/>
    <w:uiPriority w:val="39"/>
    <w:qFormat/>
    <w:rsid w:val="00F75032"/>
    <w:pPr>
      <w:tabs>
        <w:tab w:val="left" w:pos="720"/>
        <w:tab w:val="decimal" w:leader="dot" w:pos="8640"/>
      </w:tabs>
      <w:spacing w:after="240" w:line="240" w:lineRule="auto"/>
      <w:outlineLvl w:val="0"/>
    </w:pPr>
    <w:rPr>
      <w:rFonts w:eastAsia="Times New Roman"/>
      <w:caps/>
      <w:u w:color="000000"/>
    </w:rPr>
  </w:style>
  <w:style w:type="paragraph" w:customStyle="1" w:styleId="Heading">
    <w:name w:val="Heading"/>
    <w:next w:val="BodyA"/>
    <w:pPr>
      <w:keepNext/>
      <w:keepLines/>
      <w:outlineLvl w:val="0"/>
    </w:pPr>
    <w:rPr>
      <w:rFonts w:eastAsia="Times New Roman"/>
      <w:b/>
      <w:bCs/>
      <w:color w:val="000000"/>
      <w:u w:color="000000"/>
    </w:rPr>
  </w:style>
  <w:style w:type="paragraph" w:styleId="Header">
    <w:name w:val="header"/>
    <w:pPr>
      <w:tabs>
        <w:tab w:val="center" w:pos="4680"/>
        <w:tab w:val="right" w:pos="9360"/>
      </w:tabs>
    </w:pPr>
    <w:rPr>
      <w:rFonts w:hAnsi="Arial Unicode MS" w:cs="Arial Unicode MS"/>
      <w:color w:val="000000"/>
      <w:u w:color="000000"/>
    </w:rPr>
  </w:style>
  <w:style w:type="paragraph" w:customStyle="1" w:styleId="DirectQuestion">
    <w:name w:val="Direct Question"/>
    <w:next w:val="BodyA"/>
    <w:pPr>
      <w:tabs>
        <w:tab w:val="left" w:pos="1440"/>
      </w:tabs>
      <w:ind w:left="1440" w:hanging="1440"/>
    </w:pPr>
    <w:rPr>
      <w:rFonts w:hAnsi="Arial Unicode MS" w:cs="Arial Unicode MS"/>
      <w:b/>
      <w:bCs/>
      <w:i/>
      <w:iCs/>
      <w:caps/>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irectAnswer">
    <w:name w:val="Direct Answer"/>
    <w:next w:val="DirectNext"/>
    <w:rPr>
      <w:rFonts w:hAnsi="Arial Unicode MS" w:cs="Arial Unicode MS"/>
      <w:color w:val="000000"/>
      <w:u w:color="000000"/>
    </w:rPr>
  </w:style>
  <w:style w:type="paragraph" w:customStyle="1" w:styleId="DirectNext">
    <w:name w:val="Direct Next"/>
    <w:pPr>
      <w:spacing w:line="504" w:lineRule="exact"/>
    </w:pPr>
    <w:rPr>
      <w:rFonts w:hAnsi="Arial Unicode MS" w:cs="Arial Unicode MS"/>
      <w:color w:val="000000"/>
      <w:u w:color="000000"/>
    </w:rPr>
  </w:style>
  <w:style w:type="numbering" w:customStyle="1" w:styleId="List1">
    <w:name w:val="List 1"/>
    <w:basedOn w:val="ImportedStyle2"/>
    <w:pPr>
      <w:numPr>
        <w:numId w:val="12"/>
      </w:numPr>
    </w:pPr>
  </w:style>
  <w:style w:type="numbering" w:customStyle="1" w:styleId="ImportedStyle2">
    <w:name w:val="Imported Style 2"/>
  </w:style>
  <w:style w:type="paragraph" w:styleId="ListParagraph">
    <w:name w:val="List Paragraph"/>
    <w:rPr>
      <w:rFonts w:hAnsi="Arial Unicode MS" w:cs="Arial Unicode MS"/>
      <w:color w:val="000000"/>
      <w:u w:color="00000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link w:val="FootnoteTextChar"/>
    <w:rPr>
      <w:rFonts w:eastAsia="Times New Roman"/>
      <w:color w:val="000000"/>
      <w:u w:color="000000"/>
    </w:rPr>
  </w:style>
  <w:style w:type="paragraph" w:customStyle="1" w:styleId="Default">
    <w:name w:val="Default"/>
    <w:rPr>
      <w:rFonts w:ascii="Helvetica" w:eastAsia="Helvetica" w:hAnsi="Helvetica" w:cs="Helvetica"/>
      <w:color w:val="000000"/>
      <w:sz w:val="22"/>
      <w:szCs w:val="22"/>
    </w:rPr>
  </w:style>
  <w:style w:type="paragraph" w:styleId="EndnoteText">
    <w:name w:val="endnote text"/>
    <w:pPr>
      <w:widowControl w:val="0"/>
    </w:pPr>
    <w:rPr>
      <w:rFonts w:ascii="Courier New" w:eastAsia="Courier New" w:hAnsi="Courier New" w:cs="Courier New"/>
      <w:color w:val="000000"/>
      <w:u w:color="000000"/>
    </w:rPr>
  </w:style>
  <w:style w:type="paragraph" w:styleId="BodyText">
    <w:name w:val="Body Text"/>
    <w:link w:val="BodyTextChar"/>
    <w:pPr>
      <w:spacing w:after="120"/>
    </w:pPr>
    <w:rPr>
      <w:rFonts w:hAnsi="Arial Unicode MS" w:cs="Arial Unicode MS"/>
      <w:color w:val="000000"/>
      <w:u w:color="000000"/>
    </w:rPr>
  </w:style>
  <w:style w:type="paragraph" w:styleId="CommentText">
    <w:name w:val="annotation text"/>
    <w:link w:val="CommentTextChar"/>
    <w:rPr>
      <w:rFonts w:hAnsi="Arial Unicode M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689A"/>
    <w:rPr>
      <w:rFonts w:ascii="Tahoma" w:hAnsi="Tahoma" w:cs="Tahoma"/>
      <w:sz w:val="16"/>
      <w:szCs w:val="16"/>
    </w:rPr>
  </w:style>
  <w:style w:type="character" w:customStyle="1" w:styleId="BalloonTextChar">
    <w:name w:val="Balloon Text Char"/>
    <w:basedOn w:val="DefaultParagraphFont"/>
    <w:link w:val="BalloonText"/>
    <w:uiPriority w:val="99"/>
    <w:semiHidden/>
    <w:rsid w:val="0019689A"/>
    <w:rPr>
      <w:rFonts w:ascii="Tahoma" w:hAnsi="Tahoma" w:cs="Tahoma"/>
      <w:sz w:val="16"/>
      <w:szCs w:val="16"/>
    </w:rPr>
  </w:style>
  <w:style w:type="character" w:styleId="LineNumber">
    <w:name w:val="line number"/>
    <w:basedOn w:val="DefaultParagraphFont"/>
    <w:uiPriority w:val="99"/>
    <w:semiHidden/>
    <w:unhideWhenUsed/>
    <w:rsid w:val="009A4CDE"/>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nhideWhenUsed/>
    <w:rsid w:val="00521479"/>
    <w:rPr>
      <w:vertAlign w:val="superscript"/>
    </w:rPr>
  </w:style>
  <w:style w:type="paragraph" w:styleId="CommentSubject">
    <w:name w:val="annotation subject"/>
    <w:basedOn w:val="CommentText"/>
    <w:next w:val="CommentText"/>
    <w:link w:val="CommentSubjectChar"/>
    <w:uiPriority w:val="99"/>
    <w:semiHidden/>
    <w:unhideWhenUsed/>
    <w:rsid w:val="00661AFA"/>
    <w:rPr>
      <w:rFonts w:hAnsi="Times New Roman" w:cs="Times New Roman"/>
      <w:b/>
      <w:bCs/>
      <w:color w:val="auto"/>
    </w:rPr>
  </w:style>
  <w:style w:type="character" w:customStyle="1" w:styleId="CommentTextChar">
    <w:name w:val="Comment Text Char"/>
    <w:basedOn w:val="DefaultParagraphFont"/>
    <w:link w:val="CommentText"/>
    <w:rsid w:val="00661AFA"/>
    <w:rPr>
      <w:rFonts w:hAnsi="Arial Unicode MS" w:cs="Arial Unicode MS"/>
      <w:color w:val="000000"/>
      <w:u w:color="000000"/>
    </w:rPr>
  </w:style>
  <w:style w:type="character" w:customStyle="1" w:styleId="CommentSubjectChar">
    <w:name w:val="Comment Subject Char"/>
    <w:basedOn w:val="CommentTextChar"/>
    <w:link w:val="CommentSubject"/>
    <w:uiPriority w:val="99"/>
    <w:semiHidden/>
    <w:rsid w:val="00661AFA"/>
    <w:rPr>
      <w:rFonts w:hAnsi="Arial Unicode MS" w:cs="Arial Unicode MS"/>
      <w:b/>
      <w:bCs/>
      <w:color w:val="000000"/>
      <w:u w:color="000000"/>
    </w:rPr>
  </w:style>
  <w:style w:type="paragraph" w:styleId="NoSpacing">
    <w:name w:val="No Spacing"/>
    <w:uiPriority w:val="1"/>
    <w:qFormat/>
    <w:rsid w:val="00A416CB"/>
  </w:style>
  <w:style w:type="table" w:customStyle="1" w:styleId="TableGrid1">
    <w:name w:val="Table Grid1"/>
    <w:basedOn w:val="TableNormal"/>
    <w:next w:val="TableGrid"/>
    <w:uiPriority w:val="59"/>
    <w:rsid w:val="0090014E"/>
    <w:pPr>
      <w:pBdr>
        <w:top w:val="none" w:sz="0" w:space="0" w:color="auto"/>
        <w:left w:val="none" w:sz="0" w:space="0" w:color="auto"/>
        <w:bottom w:val="none" w:sz="0" w:space="0" w:color="auto"/>
        <w:right w:val="none" w:sz="0" w:space="0" w:color="auto"/>
        <w:between w:val="none" w:sz="0" w:space="0" w:color="auto"/>
        <w:bar w:val="none" w:sz="0" w:space="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0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13D5"/>
    <w:rPr>
      <w:rFonts w:ascii="Times New Roman Bold" w:hAnsi="Times New Roman Bold" w:eastAsiaTheme="majorEastAsia" w:cstheme="majorBidi"/>
      <w:b/>
      <w:bCs/>
      <w:caps/>
      <w:szCs w:val="28"/>
    </w:rPr>
  </w:style>
  <w:style w:type="character" w:customStyle="1" w:styleId="BodyTextChar">
    <w:name w:val="Body Text Char"/>
    <w:basedOn w:val="DefaultParagraphFont"/>
    <w:link w:val="BodyText"/>
    <w:rsid w:val="00263688"/>
    <w:rPr>
      <w:rFonts w:hAnsi="Arial Unicode MS" w:cs="Arial Unicode MS"/>
      <w:color w:val="000000"/>
      <w:u w:color="00000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CA22F6"/>
    <w:rPr>
      <w:rFonts w:eastAsia="Times New Roman"/>
      <w:color w:val="000000"/>
      <w:u w:color="000000"/>
    </w:rPr>
  </w:style>
  <w:style w:type="character" w:customStyle="1" w:styleId="FooterChar">
    <w:name w:val="Footer Char"/>
    <w:basedOn w:val="DefaultParagraphFont"/>
    <w:link w:val="Footer"/>
    <w:uiPriority w:val="99"/>
    <w:rsid w:val="00CA22F6"/>
    <w:rPr>
      <w:rFonts w:hAnsi="Arial Unicode MS" w:cs="Arial Unicode MS"/>
      <w:color w:val="000000"/>
      <w:sz w:val="24"/>
      <w:szCs w:val="24"/>
      <w:u w:color="000000"/>
    </w:rPr>
  </w:style>
  <w:style w:type="character" w:customStyle="1" w:styleId="UnresolvedMention1">
    <w:name w:val="Unresolved Mention1"/>
    <w:basedOn w:val="DefaultParagraphFont"/>
    <w:uiPriority w:val="99"/>
    <w:semiHidden/>
    <w:unhideWhenUsed/>
    <w:rsid w:val="0094468C"/>
    <w:rPr>
      <w:color w:val="605E5C"/>
      <w:shd w:val="clear" w:color="auto" w:fill="E1DFDD"/>
    </w:rPr>
  </w:style>
  <w:style w:type="character" w:customStyle="1" w:styleId="markedcontent">
    <w:name w:val="markedcontent"/>
    <w:basedOn w:val="DefaultParagraphFont"/>
    <w:rsid w:val="00FF299C"/>
  </w:style>
  <w:style w:type="paragraph" w:styleId="BodyTextIndent3">
    <w:name w:val="Body Text Indent 3"/>
    <w:basedOn w:val="Normal"/>
    <w:link w:val="BodyTextIndent3Char"/>
    <w:uiPriority w:val="99"/>
    <w:unhideWhenUsed/>
    <w:rsid w:val="001A3ED5"/>
    <w:pPr>
      <w:widowControl w:val="0"/>
      <w:pBdr>
        <w:top w:val="none" w:sz="0" w:space="0" w:color="auto"/>
        <w:left w:val="none" w:sz="0" w:space="0" w:color="auto"/>
        <w:bottom w:val="none" w:sz="0" w:space="0" w:color="auto"/>
        <w:right w:val="none" w:sz="0" w:space="0" w:color="auto"/>
        <w:between w:val="none" w:sz="0" w:space="0" w:color="auto"/>
        <w:bar w:val="none" w:sz="0" w:space="0" w:color="auto"/>
      </w:pBdr>
      <w:spacing w:after="120"/>
      <w:ind w:left="360"/>
    </w:pPr>
    <w:rPr>
      <w:rFonts w:asciiTheme="minorHAnsi" w:eastAsiaTheme="minorHAnsi" w:hAnsiTheme="minorHAnsi" w:cstheme="minorBidi"/>
      <w:sz w:val="16"/>
      <w:szCs w:val="16"/>
      <w:bdr w:val="none" w:sz="0" w:space="0" w:color="auto"/>
    </w:rPr>
  </w:style>
  <w:style w:type="character" w:customStyle="1" w:styleId="BodyTextIndent3Char">
    <w:name w:val="Body Text Indent 3 Char"/>
    <w:basedOn w:val="DefaultParagraphFont"/>
    <w:link w:val="BodyTextIndent3"/>
    <w:uiPriority w:val="99"/>
    <w:rsid w:val="001A3ED5"/>
    <w:rPr>
      <w:rFonts w:asciiTheme="minorHAnsi" w:eastAsiaTheme="minorHAnsi" w:hAnsiTheme="minorHAnsi" w:cstheme="minorBidi"/>
      <w:sz w:val="16"/>
      <w:szCs w:val="16"/>
      <w:bdr w:val="none" w:sz="0" w:space="0" w:color="auto"/>
    </w:rPr>
  </w:style>
  <w:style w:type="character" w:customStyle="1" w:styleId="Heading2Char">
    <w:name w:val="Heading 2 Char"/>
    <w:basedOn w:val="DefaultParagraphFont"/>
    <w:link w:val="Heading2"/>
    <w:uiPriority w:val="9"/>
    <w:rsid w:val="00C74D94"/>
    <w:rPr>
      <w:rFonts w:eastAsiaTheme="majorEastAsia"/>
      <w:b/>
      <w:caps/>
      <w:szCs w:val="26"/>
    </w:rPr>
  </w:style>
  <w:style w:type="paragraph" w:styleId="TOC2">
    <w:name w:val="toc 2"/>
    <w:basedOn w:val="Normal"/>
    <w:next w:val="Normal"/>
    <w:autoRedefine/>
    <w:uiPriority w:val="39"/>
    <w:unhideWhenUsed/>
    <w:qFormat/>
    <w:rsid w:val="00F75032"/>
    <w:pPr>
      <w:spacing w:after="240" w:line="240" w:lineRule="auto"/>
      <w:ind w:left="1440"/>
      <w:outlineLvl w:val="1"/>
    </w:pPr>
  </w:style>
  <w:style w:type="paragraph" w:styleId="Revision">
    <w:name w:val="Revision"/>
    <w:hidden/>
    <w:uiPriority w:val="99"/>
    <w:semiHidden/>
    <w:rsid w:val="00FB122A"/>
    <w:pPr>
      <w:pBdr>
        <w:top w:val="none" w:sz="0" w:space="0" w:color="auto"/>
        <w:left w:val="none" w:sz="0" w:space="0" w:color="auto"/>
        <w:bottom w:val="none" w:sz="0" w:space="0" w:color="auto"/>
        <w:right w:val="none" w:sz="0" w:space="0" w:color="auto"/>
        <w:between w:val="none" w:sz="0" w:space="0" w:color="auto"/>
        <w:bar w:val="none" w:sz="0" w:space="0" w:color="auto"/>
      </w:pBdr>
      <w:spacing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yperlink" Target="mailto:thomas.lindgren@ohioAGO.gov" TargetMode="External" /><Relationship Id="rId12" Type="http://schemas.openxmlformats.org/officeDocument/2006/relationships/hyperlink" Target="mailto:jacqueline.st.john@puco.ohio.gov" TargetMode="External" /><Relationship Id="rId13" Type="http://schemas.openxmlformats.org/officeDocument/2006/relationships/hyperlink" Target="mailto:gregory.price@puco.ohio.gov" TargetMode="External" /><Relationship Id="rId14" Type="http://schemas.openxmlformats.org/officeDocument/2006/relationships/hyperlink" Target="mailto:bojko@carpenterlipps.com" TargetMode="External" /><Relationship Id="rId15" Type="http://schemas.openxmlformats.org/officeDocument/2006/relationships/hyperlink" Target="mailto:wygonski@carpenterlipps.com" TargetMode="External" /><Relationship Id="rId16" Type="http://schemas.openxmlformats.org/officeDocument/2006/relationships/hyperlink" Target="mailto:bknipe@firstenergycorp.com" TargetMode="External" /><Relationship Id="rId17" Type="http://schemas.openxmlformats.org/officeDocument/2006/relationships/header" Target="header2.xml" /><Relationship Id="rId18" Type="http://schemas.openxmlformats.org/officeDocument/2006/relationships/footer" Target="footer5.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1.xml" /></Relationships>
</file>

<file path=word/theme/_rels/theme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C3E13-5958-47E2-84D1-DBCD6DAA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21-1047 - Haugh Supplemental Testimony Haugh almost final.docx</vt:lpstr>
    </vt:vector>
  </TitlesOfParts>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2021-12-22T22:00:54Z</dcterms:created>
  <dcterms:modified xsi:type="dcterms:W3CDTF">2021-12-22T22:00:54Z</dcterms:modified>
</cp:coreProperties>
</file>