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EDE2" w14:textId="77777777" w:rsidR="00476D48" w:rsidRDefault="00262966">
      <w:pPr>
        <w:ind w:right="576"/>
        <w:jc w:val="center"/>
        <w:rPr>
          <w:rFonts w:ascii="Arial" w:hAnsi="Arial" w:cs="Arial"/>
          <w:b/>
          <w:sz w:val="32"/>
          <w:szCs w:val="32"/>
        </w:rPr>
      </w:pPr>
      <w:r>
        <w:rPr>
          <w:rFonts w:ascii="Arial" w:hAnsi="Arial" w:cs="Arial"/>
          <w:b/>
          <w:sz w:val="32"/>
          <w:szCs w:val="32"/>
          <w:u w:val="thick"/>
        </w:rPr>
        <w:t>CAPITAL EXPENDITURE PROGRAM RIDER</w:t>
      </w:r>
    </w:p>
    <w:p w14:paraId="08C6CD46" w14:textId="77777777" w:rsidR="00476D48" w:rsidRDefault="00476D48">
      <w:pPr>
        <w:ind w:right="576"/>
        <w:jc w:val="both"/>
        <w:rPr>
          <w:rFonts w:ascii="Arial" w:hAnsi="Arial" w:cs="Arial"/>
          <w:sz w:val="20"/>
          <w:szCs w:val="20"/>
        </w:rPr>
      </w:pPr>
    </w:p>
    <w:p w14:paraId="4DBDA58F" w14:textId="77777777" w:rsidR="00476D48" w:rsidRDefault="00262966">
      <w:pPr>
        <w:ind w:right="576"/>
        <w:jc w:val="both"/>
        <w:rPr>
          <w:rFonts w:ascii="Arial" w:hAnsi="Arial" w:cs="Arial"/>
          <w:b/>
          <w:bCs/>
          <w:sz w:val="20"/>
          <w:szCs w:val="20"/>
        </w:rPr>
      </w:pPr>
      <w:r>
        <w:rPr>
          <w:rFonts w:ascii="Arial" w:hAnsi="Arial" w:cs="Arial"/>
          <w:b/>
          <w:bCs/>
          <w:sz w:val="20"/>
          <w:szCs w:val="20"/>
          <w:u w:val="thick"/>
        </w:rPr>
        <w:t>APPLICABILITY</w:t>
      </w:r>
    </w:p>
    <w:p w14:paraId="7F854273" w14:textId="77777777" w:rsidR="00476D48" w:rsidRDefault="00262966">
      <w:pPr>
        <w:ind w:left="720" w:right="576"/>
        <w:jc w:val="both"/>
        <w:rPr>
          <w:rFonts w:ascii="Arial" w:hAnsi="Arial" w:cs="Arial"/>
          <w:sz w:val="20"/>
          <w:szCs w:val="20"/>
        </w:rPr>
      </w:pPr>
      <w:r>
        <w:rPr>
          <w:rFonts w:ascii="Arial" w:hAnsi="Arial" w:cs="Arial"/>
          <w:sz w:val="20"/>
          <w:szCs w:val="20"/>
        </w:rPr>
        <w:t>The Capital Expenditure Program (“CEP”) Rider is applicable to any Customer served under the Rate Schedules identified below.</w:t>
      </w:r>
    </w:p>
    <w:p w14:paraId="36533E5F" w14:textId="77777777" w:rsidR="00476D48" w:rsidRDefault="00476D48">
      <w:pPr>
        <w:ind w:right="576"/>
        <w:jc w:val="both"/>
        <w:rPr>
          <w:rFonts w:ascii="Arial" w:hAnsi="Arial" w:cs="Arial"/>
          <w:sz w:val="20"/>
          <w:szCs w:val="20"/>
        </w:rPr>
      </w:pPr>
    </w:p>
    <w:p w14:paraId="328CA172"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310 - Residential Default Sales Service</w:t>
      </w:r>
    </w:p>
    <w:p w14:paraId="581A7192"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Rate 311 - </w:t>
      </w:r>
      <w:r>
        <w:rPr>
          <w:rFonts w:ascii="Arial" w:eastAsia="Arial" w:hAnsi="Arial" w:cs="Arial"/>
          <w:sz w:val="20"/>
          <w:szCs w:val="20"/>
        </w:rPr>
        <w:t>Residential Standard Choice Offer Service</w:t>
      </w:r>
    </w:p>
    <w:p w14:paraId="0983E21B"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315 - Residential Transportation Service</w:t>
      </w:r>
    </w:p>
    <w:p w14:paraId="2385E726"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320 - General Default Sales Service</w:t>
      </w:r>
    </w:p>
    <w:p w14:paraId="63015F44"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321 - General Standard Choice Offer Service</w:t>
      </w:r>
    </w:p>
    <w:p w14:paraId="46B091F6"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325 - General Transportation Service</w:t>
      </w:r>
    </w:p>
    <w:p w14:paraId="7EDC7789"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 xml:space="preserve">Rate 345 - Large General </w:t>
      </w:r>
      <w:r>
        <w:rPr>
          <w:rFonts w:ascii="Arial" w:eastAsia="Arial" w:hAnsi="Arial" w:cs="Arial"/>
          <w:sz w:val="20"/>
          <w:szCs w:val="20"/>
        </w:rPr>
        <w:t>Transportation Service</w:t>
      </w:r>
    </w:p>
    <w:p w14:paraId="6AE2B58F"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360 - Large Volume Transportation Service</w:t>
      </w:r>
    </w:p>
    <w:p w14:paraId="165C1348" w14:textId="77777777" w:rsidR="00476D48" w:rsidRDefault="00476D48">
      <w:pPr>
        <w:ind w:right="576"/>
        <w:jc w:val="both"/>
        <w:rPr>
          <w:rFonts w:ascii="Arial" w:hAnsi="Arial" w:cs="Arial"/>
          <w:sz w:val="20"/>
          <w:szCs w:val="20"/>
        </w:rPr>
      </w:pPr>
    </w:p>
    <w:p w14:paraId="655C6D06" w14:textId="77777777" w:rsidR="00476D48" w:rsidRDefault="00262966">
      <w:pPr>
        <w:ind w:right="576"/>
        <w:jc w:val="both"/>
        <w:rPr>
          <w:rFonts w:ascii="Arial" w:hAnsi="Arial" w:cs="Arial"/>
          <w:b/>
          <w:bCs/>
          <w:sz w:val="20"/>
          <w:szCs w:val="20"/>
        </w:rPr>
      </w:pPr>
      <w:r>
        <w:rPr>
          <w:rFonts w:ascii="Arial" w:hAnsi="Arial" w:cs="Arial"/>
          <w:b/>
          <w:bCs/>
          <w:sz w:val="20"/>
          <w:szCs w:val="20"/>
          <w:u w:val="thick"/>
        </w:rPr>
        <w:t>DESCRIPTION</w:t>
      </w:r>
    </w:p>
    <w:p w14:paraId="25CF5E0A" w14:textId="77777777" w:rsidR="00476D48" w:rsidRDefault="00262966">
      <w:pPr>
        <w:ind w:left="720" w:right="576"/>
        <w:jc w:val="both"/>
        <w:rPr>
          <w:rFonts w:ascii="Arial" w:hAnsi="Arial" w:cs="Arial"/>
          <w:sz w:val="20"/>
          <w:szCs w:val="20"/>
        </w:rPr>
      </w:pPr>
      <w:r>
        <w:rPr>
          <w:rFonts w:ascii="Arial" w:hAnsi="Arial" w:cs="Arial"/>
          <w:sz w:val="20"/>
          <w:szCs w:val="20"/>
        </w:rPr>
        <w:t>The CEP will recover deferred costs, including depreciation and property tax expense and accrued post-in-service carrying costs, associated with Company’s capital expenditur</w:t>
      </w:r>
      <w:r>
        <w:rPr>
          <w:rFonts w:ascii="Arial" w:hAnsi="Arial" w:cs="Arial"/>
          <w:sz w:val="20"/>
          <w:szCs w:val="20"/>
        </w:rPr>
        <w:t>e program under Ohio Revised Code 4929.111, approved by the Commission in Case No. 18-0049-GA-ALT.  All applicable Customers shall be assessed either (a) a monthly charge in addition to the Monthly Charge or Customer Charge component of their applicable Ra</w:t>
      </w:r>
      <w:r>
        <w:rPr>
          <w:rFonts w:ascii="Arial" w:hAnsi="Arial" w:cs="Arial"/>
          <w:sz w:val="20"/>
          <w:szCs w:val="20"/>
        </w:rPr>
        <w:t xml:space="preserve">te Schedule, or (b) a volumetric charge applicable to each Billing Ccf of metered gas usage each month. </w:t>
      </w:r>
    </w:p>
    <w:p w14:paraId="1F577DD3" w14:textId="77777777" w:rsidR="00476D48" w:rsidRDefault="00476D48">
      <w:pPr>
        <w:ind w:left="720" w:right="576"/>
        <w:jc w:val="both"/>
        <w:rPr>
          <w:rFonts w:ascii="Arial" w:hAnsi="Arial" w:cs="Arial"/>
          <w:sz w:val="20"/>
          <w:szCs w:val="20"/>
        </w:rPr>
      </w:pPr>
    </w:p>
    <w:p w14:paraId="7A82D979" w14:textId="77777777" w:rsidR="00476D48" w:rsidRDefault="00262966">
      <w:pPr>
        <w:ind w:left="720" w:right="576"/>
        <w:jc w:val="both"/>
        <w:rPr>
          <w:rFonts w:ascii="Arial" w:hAnsi="Arial" w:cs="Arial"/>
          <w:sz w:val="20"/>
          <w:szCs w:val="20"/>
        </w:rPr>
      </w:pPr>
      <w:r>
        <w:rPr>
          <w:rFonts w:ascii="Arial" w:hAnsi="Arial" w:cs="Arial"/>
          <w:sz w:val="20"/>
          <w:szCs w:val="20"/>
        </w:rPr>
        <w:t>Actual costs and actual recoveries are reconciled in each annual CEP update, with any under- or over-recovery being recovered or returned over the nex</w:t>
      </w:r>
      <w:r>
        <w:rPr>
          <w:rFonts w:ascii="Arial" w:hAnsi="Arial" w:cs="Arial"/>
          <w:sz w:val="20"/>
          <w:szCs w:val="20"/>
        </w:rPr>
        <w:t>t twelve (12) month period.</w:t>
      </w:r>
    </w:p>
    <w:p w14:paraId="08DDDE49" w14:textId="77777777" w:rsidR="00476D48" w:rsidRDefault="00476D48">
      <w:pPr>
        <w:ind w:right="576"/>
        <w:jc w:val="both"/>
        <w:rPr>
          <w:rFonts w:ascii="Arial" w:hAnsi="Arial" w:cs="Arial"/>
          <w:sz w:val="20"/>
          <w:szCs w:val="20"/>
        </w:rPr>
      </w:pPr>
    </w:p>
    <w:p w14:paraId="42A55C94" w14:textId="77777777" w:rsidR="00476D48" w:rsidRDefault="00262966">
      <w:pPr>
        <w:ind w:right="576"/>
        <w:jc w:val="both"/>
        <w:rPr>
          <w:rFonts w:ascii="Arial" w:eastAsia="Arial" w:hAnsi="Arial" w:cs="Arial"/>
          <w:b/>
          <w:bCs/>
          <w:sz w:val="20"/>
          <w:szCs w:val="20"/>
        </w:rPr>
      </w:pPr>
      <w:r>
        <w:rPr>
          <w:rFonts w:ascii="Arial" w:eastAsia="Arial" w:hAnsi="Arial" w:cs="Arial"/>
          <w:b/>
          <w:bCs/>
          <w:sz w:val="20"/>
          <w:szCs w:val="20"/>
          <w:u w:val="thick"/>
        </w:rPr>
        <w:t>RECONCILIATION</w:t>
      </w:r>
    </w:p>
    <w:p w14:paraId="5CDD6D3C" w14:textId="77777777" w:rsidR="00476D48" w:rsidRDefault="00262966">
      <w:pPr>
        <w:pStyle w:val="BodyText"/>
        <w:ind w:left="835" w:right="619"/>
        <w:jc w:val="both"/>
        <w:rPr>
          <w:spacing w:val="-2"/>
        </w:rPr>
      </w:pPr>
      <w:r>
        <w:rPr>
          <w:spacing w:val="-2"/>
        </w:rPr>
        <w:t xml:space="preserve">The CEP Rider is subject to reconciliation or adjustment annually, including but not limited to, increases or refunds. Such reconciliation or adjustment shall be limited to: (1) the twelve-month period of </w:t>
      </w:r>
      <w:r>
        <w:rPr>
          <w:spacing w:val="-2"/>
        </w:rPr>
        <w:t xml:space="preserve">expenditures upon which the rates were calculated, if determined to be unlawful, unreasonable, or imprudent by the Commission in the docket those rates were approved or the Supreme Court of Ohio; (2) the Commission’s orders in Case No. 18-47-AU-COI or any </w:t>
      </w:r>
      <w:r>
        <w:rPr>
          <w:spacing w:val="-2"/>
        </w:rPr>
        <w:t>case ordered by the Commission to address tax reform changes.</w:t>
      </w:r>
    </w:p>
    <w:p w14:paraId="35B47DF9" w14:textId="77777777" w:rsidR="00476D48" w:rsidRDefault="00476D48">
      <w:pPr>
        <w:ind w:right="576"/>
        <w:jc w:val="both"/>
        <w:rPr>
          <w:rFonts w:ascii="Arial" w:hAnsi="Arial" w:cs="Arial"/>
          <w:b/>
          <w:sz w:val="20"/>
          <w:szCs w:val="20"/>
          <w:u w:val="single"/>
        </w:rPr>
      </w:pPr>
    </w:p>
    <w:p w14:paraId="685197DD" w14:textId="77777777" w:rsidR="00476D48" w:rsidRDefault="00262966">
      <w:pPr>
        <w:ind w:right="576"/>
        <w:jc w:val="both"/>
        <w:rPr>
          <w:rFonts w:ascii="Arial" w:eastAsia="Arial" w:hAnsi="Arial" w:cs="Arial"/>
          <w:b/>
          <w:bCs/>
          <w:sz w:val="20"/>
          <w:szCs w:val="20"/>
          <w:u w:val="thick"/>
        </w:rPr>
      </w:pPr>
      <w:r>
        <w:rPr>
          <w:rFonts w:ascii="Arial" w:eastAsia="Arial" w:hAnsi="Arial" w:cs="Arial"/>
          <w:b/>
          <w:bCs/>
          <w:sz w:val="20"/>
          <w:szCs w:val="20"/>
          <w:u w:val="thick"/>
        </w:rPr>
        <w:t>CAPITAL EXPENDITURE PROGRAM RIDER CHARGE</w:t>
      </w:r>
    </w:p>
    <w:p w14:paraId="1D3BF465" w14:textId="77777777" w:rsidR="00476D48" w:rsidRDefault="00262966">
      <w:pPr>
        <w:ind w:left="720" w:right="576"/>
        <w:jc w:val="both"/>
        <w:rPr>
          <w:rFonts w:ascii="Arial" w:hAnsi="Arial" w:cs="Arial"/>
          <w:sz w:val="20"/>
          <w:szCs w:val="20"/>
        </w:rPr>
      </w:pPr>
      <w:r>
        <w:rPr>
          <w:rFonts w:ascii="ArialMT" w:hAnsi="ArialMT" w:cs="ArialMT"/>
          <w:sz w:val="20"/>
          <w:szCs w:val="20"/>
        </w:rPr>
        <w:t>The charges for the respective Rate Schedules are:</w:t>
      </w:r>
    </w:p>
    <w:tbl>
      <w:tblPr>
        <w:tblW w:w="0" w:type="auto"/>
        <w:jc w:val="center"/>
        <w:tblLayout w:type="fixed"/>
        <w:tblCellMar>
          <w:left w:w="0" w:type="dxa"/>
          <w:right w:w="0" w:type="dxa"/>
        </w:tblCellMar>
        <w:tblLook w:val="01E0" w:firstRow="1" w:lastRow="1" w:firstColumn="1" w:lastColumn="1" w:noHBand="0" w:noVBand="0"/>
      </w:tblPr>
      <w:tblGrid>
        <w:gridCol w:w="3712"/>
        <w:gridCol w:w="1832"/>
        <w:gridCol w:w="2221"/>
      </w:tblGrid>
      <w:tr w:rsidR="00476D48" w14:paraId="031313A9" w14:textId="77777777" w:rsidTr="00262966">
        <w:trPr>
          <w:trHeight w:val="567"/>
          <w:jc w:val="center"/>
        </w:trPr>
        <w:tc>
          <w:tcPr>
            <w:tcW w:w="3712" w:type="dxa"/>
            <w:vAlign w:val="bottom"/>
          </w:tcPr>
          <w:p w14:paraId="201B8AE1" w14:textId="77777777" w:rsidR="00476D48" w:rsidRDefault="00262966">
            <w:pPr>
              <w:ind w:right="576"/>
              <w:jc w:val="both"/>
              <w:rPr>
                <w:rFonts w:ascii="Arial" w:hAnsi="Arial" w:cs="Arial"/>
                <w:b/>
                <w:sz w:val="20"/>
                <w:szCs w:val="20"/>
              </w:rPr>
            </w:pPr>
            <w:r>
              <w:rPr>
                <w:rFonts w:ascii="Arial" w:hAnsi="Arial" w:cs="Arial"/>
                <w:b/>
                <w:sz w:val="20"/>
                <w:szCs w:val="20"/>
                <w:u w:val="single"/>
              </w:rPr>
              <w:t>Rate Schedule</w:t>
            </w:r>
          </w:p>
        </w:tc>
        <w:tc>
          <w:tcPr>
            <w:tcW w:w="1832" w:type="dxa"/>
            <w:vAlign w:val="bottom"/>
          </w:tcPr>
          <w:p w14:paraId="5BAB9874" w14:textId="77777777" w:rsidR="00476D48" w:rsidRDefault="00262966">
            <w:pPr>
              <w:ind w:right="576"/>
              <w:jc w:val="center"/>
              <w:rPr>
                <w:rFonts w:ascii="Arial" w:hAnsi="Arial" w:cs="Arial"/>
                <w:b/>
                <w:sz w:val="20"/>
                <w:szCs w:val="20"/>
              </w:rPr>
            </w:pPr>
            <w:r>
              <w:rPr>
                <w:rFonts w:ascii="Arial" w:hAnsi="Arial" w:cs="Arial"/>
                <w:b/>
                <w:sz w:val="20"/>
                <w:szCs w:val="20"/>
                <w:u w:val="single"/>
              </w:rPr>
              <w:t>$ Per Month</w:t>
            </w:r>
          </w:p>
        </w:tc>
        <w:tc>
          <w:tcPr>
            <w:tcW w:w="2221" w:type="dxa"/>
            <w:vAlign w:val="bottom"/>
          </w:tcPr>
          <w:p w14:paraId="61047540" w14:textId="77777777" w:rsidR="00476D48" w:rsidRDefault="00262966">
            <w:pPr>
              <w:ind w:right="576"/>
              <w:jc w:val="center"/>
              <w:rPr>
                <w:rFonts w:ascii="Arial" w:hAnsi="Arial" w:cs="Arial"/>
                <w:b/>
                <w:sz w:val="20"/>
                <w:szCs w:val="20"/>
              </w:rPr>
            </w:pPr>
            <w:r>
              <w:rPr>
                <w:rFonts w:ascii="Arial" w:hAnsi="Arial" w:cs="Arial"/>
                <w:b/>
                <w:sz w:val="20"/>
                <w:szCs w:val="20"/>
                <w:u w:val="single"/>
              </w:rPr>
              <w:t>$ Per Billing Ccf</w:t>
            </w:r>
          </w:p>
        </w:tc>
      </w:tr>
      <w:tr w:rsidR="00476D48" w14:paraId="557E9215" w14:textId="77777777">
        <w:trPr>
          <w:trHeight w:val="256"/>
          <w:jc w:val="center"/>
        </w:trPr>
        <w:tc>
          <w:tcPr>
            <w:tcW w:w="3712" w:type="dxa"/>
          </w:tcPr>
          <w:p w14:paraId="0DE5F418" w14:textId="77777777" w:rsidR="00476D48" w:rsidRDefault="00262966">
            <w:pPr>
              <w:ind w:right="576"/>
              <w:jc w:val="both"/>
              <w:rPr>
                <w:rFonts w:ascii="Arial" w:hAnsi="Arial" w:cs="Arial"/>
                <w:sz w:val="20"/>
                <w:szCs w:val="20"/>
              </w:rPr>
            </w:pPr>
            <w:r>
              <w:rPr>
                <w:rFonts w:ascii="Arial" w:hAnsi="Arial" w:cs="Arial"/>
                <w:sz w:val="20"/>
                <w:szCs w:val="20"/>
              </w:rPr>
              <w:t>310, 311 and 315</w:t>
            </w:r>
          </w:p>
        </w:tc>
        <w:tc>
          <w:tcPr>
            <w:tcW w:w="1832" w:type="dxa"/>
          </w:tcPr>
          <w:p w14:paraId="49D1EAF4" w14:textId="3B526EAC" w:rsidR="00476D48" w:rsidRDefault="00262966">
            <w:pPr>
              <w:ind w:right="576"/>
              <w:jc w:val="center"/>
              <w:rPr>
                <w:rFonts w:ascii="Arial" w:hAnsi="Arial" w:cs="Arial"/>
                <w:sz w:val="20"/>
                <w:szCs w:val="20"/>
              </w:rPr>
            </w:pPr>
            <w:r>
              <w:rPr>
                <w:rFonts w:ascii="Arial" w:hAnsi="Arial" w:cs="Arial"/>
                <w:sz w:val="20"/>
                <w:szCs w:val="20"/>
              </w:rPr>
              <w:t>$0.40</w:t>
            </w:r>
          </w:p>
        </w:tc>
        <w:tc>
          <w:tcPr>
            <w:tcW w:w="2221" w:type="dxa"/>
          </w:tcPr>
          <w:p w14:paraId="152F5FE5" w14:textId="77777777" w:rsidR="00476D48" w:rsidRDefault="00476D48">
            <w:pPr>
              <w:ind w:right="576"/>
              <w:jc w:val="center"/>
              <w:rPr>
                <w:rFonts w:ascii="Arial" w:hAnsi="Arial" w:cs="Arial"/>
                <w:sz w:val="20"/>
                <w:szCs w:val="20"/>
              </w:rPr>
            </w:pPr>
          </w:p>
        </w:tc>
      </w:tr>
      <w:tr w:rsidR="00476D48" w14:paraId="416BCE98" w14:textId="77777777">
        <w:trPr>
          <w:trHeight w:val="256"/>
          <w:jc w:val="center"/>
        </w:trPr>
        <w:tc>
          <w:tcPr>
            <w:tcW w:w="3712" w:type="dxa"/>
          </w:tcPr>
          <w:p w14:paraId="73B70AD0" w14:textId="77777777" w:rsidR="00476D48" w:rsidRDefault="00262966">
            <w:pPr>
              <w:ind w:right="576"/>
              <w:jc w:val="both"/>
              <w:rPr>
                <w:rFonts w:ascii="Arial" w:hAnsi="Arial" w:cs="Arial"/>
                <w:sz w:val="20"/>
                <w:szCs w:val="20"/>
              </w:rPr>
            </w:pPr>
            <w:r>
              <w:rPr>
                <w:rFonts w:ascii="Arial" w:hAnsi="Arial" w:cs="Arial"/>
                <w:sz w:val="20"/>
                <w:szCs w:val="20"/>
              </w:rPr>
              <w:t>320, 321 and 325 (Group 1)</w:t>
            </w:r>
          </w:p>
        </w:tc>
        <w:tc>
          <w:tcPr>
            <w:tcW w:w="1832" w:type="dxa"/>
          </w:tcPr>
          <w:p w14:paraId="5026CFF0" w14:textId="32B35823" w:rsidR="00476D48" w:rsidRDefault="00262966">
            <w:pPr>
              <w:ind w:right="576"/>
              <w:jc w:val="center"/>
              <w:rPr>
                <w:rFonts w:ascii="Arial" w:hAnsi="Arial" w:cs="Arial"/>
                <w:sz w:val="20"/>
                <w:szCs w:val="20"/>
              </w:rPr>
            </w:pPr>
            <w:r>
              <w:rPr>
                <w:rFonts w:ascii="Arial" w:hAnsi="Arial" w:cs="Arial"/>
                <w:sz w:val="20"/>
                <w:szCs w:val="20"/>
              </w:rPr>
              <w:t>$0.51</w:t>
            </w:r>
          </w:p>
        </w:tc>
        <w:tc>
          <w:tcPr>
            <w:tcW w:w="2221" w:type="dxa"/>
          </w:tcPr>
          <w:p w14:paraId="7C04061F" w14:textId="77777777" w:rsidR="00476D48" w:rsidRDefault="00476D48">
            <w:pPr>
              <w:ind w:right="576"/>
              <w:jc w:val="center"/>
              <w:rPr>
                <w:rFonts w:ascii="Arial" w:hAnsi="Arial" w:cs="Arial"/>
                <w:sz w:val="20"/>
                <w:szCs w:val="20"/>
              </w:rPr>
            </w:pPr>
          </w:p>
        </w:tc>
      </w:tr>
      <w:tr w:rsidR="00476D48" w14:paraId="1592C546" w14:textId="77777777">
        <w:trPr>
          <w:trHeight w:val="254"/>
          <w:jc w:val="center"/>
        </w:trPr>
        <w:tc>
          <w:tcPr>
            <w:tcW w:w="3712" w:type="dxa"/>
          </w:tcPr>
          <w:p w14:paraId="5FE17675" w14:textId="77777777" w:rsidR="00476D48" w:rsidRDefault="00262966">
            <w:pPr>
              <w:ind w:right="576"/>
              <w:jc w:val="both"/>
              <w:rPr>
                <w:rFonts w:ascii="Arial" w:hAnsi="Arial" w:cs="Arial"/>
                <w:sz w:val="20"/>
                <w:szCs w:val="20"/>
              </w:rPr>
            </w:pPr>
            <w:r>
              <w:rPr>
                <w:rFonts w:ascii="Arial" w:hAnsi="Arial" w:cs="Arial"/>
                <w:sz w:val="20"/>
                <w:szCs w:val="20"/>
              </w:rPr>
              <w:t>320, 321 and 325 (Group 2 and 3)</w:t>
            </w:r>
          </w:p>
        </w:tc>
        <w:tc>
          <w:tcPr>
            <w:tcW w:w="1832" w:type="dxa"/>
          </w:tcPr>
          <w:p w14:paraId="678A4D27" w14:textId="77777777" w:rsidR="00476D48" w:rsidRDefault="00476D48">
            <w:pPr>
              <w:ind w:right="576"/>
              <w:jc w:val="center"/>
              <w:rPr>
                <w:rFonts w:ascii="Arial" w:hAnsi="Arial" w:cs="Arial"/>
                <w:sz w:val="20"/>
                <w:szCs w:val="20"/>
              </w:rPr>
            </w:pPr>
          </w:p>
        </w:tc>
        <w:tc>
          <w:tcPr>
            <w:tcW w:w="2221" w:type="dxa"/>
          </w:tcPr>
          <w:p w14:paraId="3FBECB87" w14:textId="2898F170" w:rsidR="00476D48" w:rsidRDefault="00262966">
            <w:pPr>
              <w:ind w:right="576"/>
              <w:jc w:val="center"/>
              <w:rPr>
                <w:rFonts w:ascii="Arial" w:hAnsi="Arial" w:cs="Arial"/>
                <w:sz w:val="20"/>
                <w:szCs w:val="20"/>
              </w:rPr>
            </w:pPr>
            <w:r>
              <w:rPr>
                <w:rFonts w:ascii="Arial" w:hAnsi="Arial" w:cs="Arial"/>
                <w:sz w:val="20"/>
                <w:szCs w:val="20"/>
              </w:rPr>
              <w:t>$0.00277</w:t>
            </w:r>
          </w:p>
        </w:tc>
      </w:tr>
      <w:tr w:rsidR="00476D48" w14:paraId="612F2B40" w14:textId="77777777">
        <w:trPr>
          <w:trHeight w:val="254"/>
          <w:jc w:val="center"/>
        </w:trPr>
        <w:tc>
          <w:tcPr>
            <w:tcW w:w="3712" w:type="dxa"/>
          </w:tcPr>
          <w:p w14:paraId="3AA6CFFE" w14:textId="77777777" w:rsidR="00476D48" w:rsidRDefault="00262966">
            <w:pPr>
              <w:ind w:right="576"/>
              <w:jc w:val="both"/>
              <w:rPr>
                <w:rFonts w:ascii="Arial" w:hAnsi="Arial" w:cs="Arial"/>
                <w:sz w:val="20"/>
                <w:szCs w:val="20"/>
              </w:rPr>
            </w:pPr>
            <w:r>
              <w:rPr>
                <w:rFonts w:ascii="Arial" w:hAnsi="Arial" w:cs="Arial"/>
                <w:sz w:val="20"/>
                <w:szCs w:val="20"/>
              </w:rPr>
              <w:t>345</w:t>
            </w:r>
          </w:p>
        </w:tc>
        <w:tc>
          <w:tcPr>
            <w:tcW w:w="1832" w:type="dxa"/>
          </w:tcPr>
          <w:p w14:paraId="2C861AA4" w14:textId="77777777" w:rsidR="00476D48" w:rsidRDefault="00476D48">
            <w:pPr>
              <w:ind w:right="576"/>
              <w:jc w:val="center"/>
              <w:rPr>
                <w:rFonts w:ascii="Arial" w:hAnsi="Arial" w:cs="Arial"/>
                <w:sz w:val="20"/>
                <w:szCs w:val="20"/>
              </w:rPr>
            </w:pPr>
          </w:p>
        </w:tc>
        <w:tc>
          <w:tcPr>
            <w:tcW w:w="2221" w:type="dxa"/>
          </w:tcPr>
          <w:p w14:paraId="2FB8D77A" w14:textId="559CFFA3" w:rsidR="00476D48" w:rsidRDefault="00262966">
            <w:pPr>
              <w:ind w:right="576"/>
              <w:jc w:val="center"/>
              <w:rPr>
                <w:rFonts w:ascii="Arial" w:hAnsi="Arial" w:cs="Arial"/>
                <w:sz w:val="20"/>
                <w:szCs w:val="20"/>
              </w:rPr>
            </w:pPr>
            <w:r>
              <w:rPr>
                <w:rFonts w:ascii="Arial" w:hAnsi="Arial" w:cs="Arial"/>
                <w:sz w:val="20"/>
                <w:szCs w:val="20"/>
              </w:rPr>
              <w:t>$0.00118</w:t>
            </w:r>
          </w:p>
        </w:tc>
      </w:tr>
      <w:tr w:rsidR="00476D48" w14:paraId="5AF7AB0E" w14:textId="77777777">
        <w:trPr>
          <w:trHeight w:val="254"/>
          <w:jc w:val="center"/>
        </w:trPr>
        <w:tc>
          <w:tcPr>
            <w:tcW w:w="3712" w:type="dxa"/>
          </w:tcPr>
          <w:p w14:paraId="699B1E79" w14:textId="77777777" w:rsidR="00476D48" w:rsidRDefault="00262966">
            <w:pPr>
              <w:ind w:right="576"/>
              <w:jc w:val="both"/>
              <w:rPr>
                <w:rFonts w:ascii="Arial" w:hAnsi="Arial" w:cs="Arial"/>
                <w:sz w:val="20"/>
                <w:szCs w:val="20"/>
              </w:rPr>
            </w:pPr>
            <w:r>
              <w:rPr>
                <w:rFonts w:ascii="Arial" w:hAnsi="Arial" w:cs="Arial"/>
                <w:sz w:val="20"/>
                <w:szCs w:val="20"/>
              </w:rPr>
              <w:t>360</w:t>
            </w:r>
          </w:p>
        </w:tc>
        <w:tc>
          <w:tcPr>
            <w:tcW w:w="1832" w:type="dxa"/>
          </w:tcPr>
          <w:p w14:paraId="7EECFB31" w14:textId="77777777" w:rsidR="00476D48" w:rsidRDefault="00476D48">
            <w:pPr>
              <w:ind w:right="576"/>
              <w:jc w:val="center"/>
              <w:rPr>
                <w:rFonts w:ascii="Arial" w:hAnsi="Arial" w:cs="Arial"/>
                <w:sz w:val="20"/>
                <w:szCs w:val="20"/>
              </w:rPr>
            </w:pPr>
          </w:p>
        </w:tc>
        <w:tc>
          <w:tcPr>
            <w:tcW w:w="2221" w:type="dxa"/>
          </w:tcPr>
          <w:p w14:paraId="646D94F0" w14:textId="6514C571" w:rsidR="00476D48" w:rsidRDefault="00262966">
            <w:pPr>
              <w:ind w:right="576"/>
              <w:jc w:val="center"/>
              <w:rPr>
                <w:rFonts w:ascii="Arial" w:hAnsi="Arial" w:cs="Arial"/>
                <w:sz w:val="20"/>
                <w:szCs w:val="20"/>
              </w:rPr>
            </w:pPr>
            <w:r>
              <w:rPr>
                <w:rFonts w:ascii="Arial" w:hAnsi="Arial" w:cs="Arial"/>
                <w:sz w:val="20"/>
                <w:szCs w:val="20"/>
              </w:rPr>
              <w:t>$0.00052</w:t>
            </w:r>
          </w:p>
        </w:tc>
      </w:tr>
      <w:tr w:rsidR="00476D48" w14:paraId="6A8220E6" w14:textId="77777777">
        <w:trPr>
          <w:trHeight w:val="237"/>
          <w:jc w:val="center"/>
        </w:trPr>
        <w:tc>
          <w:tcPr>
            <w:tcW w:w="3712" w:type="dxa"/>
          </w:tcPr>
          <w:p w14:paraId="6A6A1931" w14:textId="77777777" w:rsidR="00476D48" w:rsidRDefault="00476D48">
            <w:pPr>
              <w:ind w:right="576"/>
              <w:jc w:val="both"/>
              <w:rPr>
                <w:rFonts w:ascii="Arial" w:hAnsi="Arial" w:cs="Arial"/>
                <w:sz w:val="20"/>
                <w:szCs w:val="20"/>
              </w:rPr>
            </w:pPr>
          </w:p>
        </w:tc>
        <w:tc>
          <w:tcPr>
            <w:tcW w:w="1832" w:type="dxa"/>
          </w:tcPr>
          <w:p w14:paraId="0355563B" w14:textId="77777777" w:rsidR="00476D48" w:rsidRDefault="00476D48">
            <w:pPr>
              <w:ind w:right="576"/>
              <w:jc w:val="center"/>
              <w:rPr>
                <w:rFonts w:ascii="Arial" w:hAnsi="Arial" w:cs="Arial"/>
                <w:sz w:val="20"/>
                <w:szCs w:val="20"/>
              </w:rPr>
            </w:pPr>
          </w:p>
        </w:tc>
        <w:tc>
          <w:tcPr>
            <w:tcW w:w="2221" w:type="dxa"/>
          </w:tcPr>
          <w:p w14:paraId="7BD9B859" w14:textId="77777777" w:rsidR="00476D48" w:rsidRDefault="00476D48">
            <w:pPr>
              <w:ind w:right="576"/>
              <w:jc w:val="center"/>
              <w:rPr>
                <w:rFonts w:ascii="Arial" w:hAnsi="Arial" w:cs="Arial"/>
                <w:sz w:val="20"/>
                <w:szCs w:val="20"/>
              </w:rPr>
            </w:pPr>
          </w:p>
        </w:tc>
      </w:tr>
    </w:tbl>
    <w:p w14:paraId="1D34FDFC" w14:textId="77777777" w:rsidR="00476D48" w:rsidRDefault="00476D48">
      <w:pPr>
        <w:ind w:right="576"/>
        <w:jc w:val="both"/>
        <w:rPr>
          <w:rFonts w:ascii="Arial" w:hAnsi="Arial" w:cs="Arial"/>
          <w:sz w:val="20"/>
          <w:szCs w:val="20"/>
        </w:rPr>
      </w:pPr>
    </w:p>
    <w:p w14:paraId="15006BA4" w14:textId="77777777" w:rsidR="00476D48" w:rsidRDefault="00476D48"/>
    <w:sectPr w:rsidR="00476D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7C535" w14:textId="77777777" w:rsidR="00476D48" w:rsidRDefault="00262966">
      <w:r>
        <w:separator/>
      </w:r>
    </w:p>
  </w:endnote>
  <w:endnote w:type="continuationSeparator" w:id="0">
    <w:p w14:paraId="78A46EC2" w14:textId="77777777" w:rsidR="00476D48" w:rsidRDefault="0026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B23A8" w14:textId="77777777" w:rsidR="00476D48" w:rsidRDefault="00476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6240" w14:textId="77777777" w:rsidR="00476D48" w:rsidRDefault="00476D48">
    <w:pPr>
      <w:pStyle w:val="Footer"/>
      <w:rPr>
        <w:sz w:val="20"/>
        <w:szCs w:val="20"/>
      </w:rPr>
    </w:pPr>
  </w:p>
  <w:p w14:paraId="47D1F2F6" w14:textId="77777777" w:rsidR="00476D48" w:rsidRDefault="00262966">
    <w:pPr>
      <w:pStyle w:val="Footer"/>
      <w:rPr>
        <w:sz w:val="20"/>
        <w:szCs w:val="20"/>
      </w:rPr>
    </w:pPr>
    <w:r>
      <w:rPr>
        <w:sz w:val="20"/>
        <w:szCs w:val="20"/>
      </w:rPr>
      <w:pict w14:anchorId="419AF16C">
        <v:rect id="_x0000_i1025" style="width:468pt;height:1.5pt" o:hralign="center" o:hrstd="t" o:hrnoshade="t" o:hr="t" fillcolor="black" stroked="f"/>
      </w:pict>
    </w:r>
  </w:p>
  <w:p w14:paraId="5C62ACAB" w14:textId="0FCAF4BC" w:rsidR="00476D48" w:rsidRDefault="00262966">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Finding </w:t>
    </w:r>
    <w:r>
      <w:rPr>
        <w:rFonts w:ascii="Arial" w:eastAsia="Arial" w:hAnsi="Arial" w:cs="Arial"/>
        <w:sz w:val="20"/>
        <w:szCs w:val="20"/>
      </w:rPr>
      <w:t xml:space="preserve">and Order dated August 25, 2021 </w:t>
    </w:r>
    <w:r>
      <w:rPr>
        <w:rFonts w:ascii="Arial" w:eastAsia="Arial" w:hAnsi="Arial" w:cs="Arial"/>
        <w:sz w:val="20"/>
        <w:szCs w:val="20"/>
      </w:rPr>
      <w:t>in Case No. 21-0620-GA-RDR of The Public Utilities Commission of Ohio</w:t>
    </w:r>
    <w:r>
      <w:rPr>
        <w:rFonts w:ascii="Arial" w:eastAsia="Arial" w:hAnsi="Arial" w:cs="Arial"/>
        <w:spacing w:val="-3"/>
        <w:sz w:val="20"/>
        <w:szCs w:val="20"/>
      </w:rPr>
      <w:t>.</w:t>
    </w:r>
  </w:p>
  <w:p w14:paraId="50870C23" w14:textId="77777777" w:rsidR="00476D48" w:rsidRDefault="00476D48">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36"/>
      <w:gridCol w:w="4032"/>
      <w:gridCol w:w="2592"/>
    </w:tblGrid>
    <w:tr w:rsidR="00476D48" w14:paraId="1F321BC2" w14:textId="77777777">
      <w:tc>
        <w:tcPr>
          <w:tcW w:w="2736" w:type="dxa"/>
        </w:tcPr>
        <w:p w14:paraId="67E989C2" w14:textId="47973D93" w:rsidR="00476D48" w:rsidRDefault="00262966">
          <w:pPr>
            <w:rPr>
              <w:rFonts w:ascii="Arial" w:eastAsia="Arial" w:hAnsi="Arial" w:cs="Arial"/>
              <w:sz w:val="19"/>
              <w:szCs w:val="19"/>
            </w:rPr>
          </w:pPr>
          <w:r>
            <w:rPr>
              <w:rFonts w:ascii="Arial" w:eastAsia="Arial" w:hAnsi="Arial" w:cs="Arial"/>
              <w:sz w:val="19"/>
              <w:szCs w:val="19"/>
            </w:rPr>
            <w:t>Issued August 25, 2021</w:t>
          </w:r>
        </w:p>
      </w:tc>
      <w:tc>
        <w:tcPr>
          <w:tcW w:w="4032" w:type="dxa"/>
        </w:tcPr>
        <w:p w14:paraId="0556B8AA" w14:textId="3DCEA364" w:rsidR="00476D48" w:rsidRDefault="00262966">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 xml:space="preserve">Katie J. </w:t>
          </w:r>
          <w:r>
            <w:rPr>
              <w:rFonts w:ascii="Arial" w:hAnsi="Arial" w:cs="Arial"/>
              <w:sz w:val="20"/>
              <w:szCs w:val="20"/>
            </w:rPr>
            <w:t>Tieken</w:t>
          </w:r>
          <w:r>
            <w:rPr>
              <w:rFonts w:ascii="Arial" w:hAnsi="Arial" w:cs="Arial"/>
              <w:sz w:val="20"/>
              <w:szCs w:val="20"/>
            </w:rPr>
            <w:t>, Director</w:t>
          </w:r>
        </w:p>
      </w:tc>
      <w:tc>
        <w:tcPr>
          <w:tcW w:w="2592" w:type="dxa"/>
        </w:tcPr>
        <w:p w14:paraId="6AF6F56C" w14:textId="2B331574" w:rsidR="00476D48" w:rsidRDefault="00262966">
          <w:pPr>
            <w:rPr>
              <w:rFonts w:ascii="Arial" w:eastAsia="Arial" w:hAnsi="Arial" w:cs="Arial"/>
              <w:sz w:val="19"/>
              <w:szCs w:val="19"/>
            </w:rPr>
          </w:pPr>
          <w:r>
            <w:rPr>
              <w:rFonts w:ascii="Arial" w:eastAsia="Arial" w:hAnsi="Arial" w:cs="Arial"/>
              <w:spacing w:val="-3"/>
              <w:sz w:val="19"/>
              <w:szCs w:val="19"/>
            </w:rPr>
            <w:t>Effective September 1, 2021</w:t>
          </w:r>
        </w:p>
      </w:tc>
    </w:tr>
  </w:tbl>
  <w:p w14:paraId="605FAE20" w14:textId="77777777" w:rsidR="00476D48" w:rsidRDefault="00476D48">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C1E2" w14:textId="77777777" w:rsidR="00476D48" w:rsidRDefault="0047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E23CE" w14:textId="77777777" w:rsidR="00476D48" w:rsidRDefault="00262966">
      <w:r>
        <w:separator/>
      </w:r>
    </w:p>
  </w:footnote>
  <w:footnote w:type="continuationSeparator" w:id="0">
    <w:p w14:paraId="765A5B25" w14:textId="77777777" w:rsidR="00476D48" w:rsidRDefault="0026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4408" w14:textId="77777777" w:rsidR="00476D48" w:rsidRDefault="00476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476D48" w14:paraId="104C2B73" w14:textId="77777777">
      <w:trPr>
        <w:trHeight w:val="90"/>
      </w:trPr>
      <w:tc>
        <w:tcPr>
          <w:tcW w:w="5760" w:type="dxa"/>
        </w:tcPr>
        <w:p w14:paraId="622542B4" w14:textId="77777777" w:rsidR="00476D48" w:rsidRDefault="00262966">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A7CCFC7" w14:textId="77777777" w:rsidR="00476D48" w:rsidRDefault="00262966">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13BDDB6" w14:textId="77777777" w:rsidR="00476D48" w:rsidRDefault="00262966">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0B54F7B" w14:textId="77777777" w:rsidR="00476D48" w:rsidRDefault="00262966">
          <w:pPr>
            <w:tabs>
              <w:tab w:val="left" w:pos="6480"/>
            </w:tabs>
            <w:rPr>
              <w:rFonts w:ascii="Arial" w:eastAsia="Arial" w:hAnsi="Arial" w:cs="Arial"/>
              <w:spacing w:val="-3"/>
              <w:sz w:val="20"/>
              <w:szCs w:val="20"/>
            </w:rPr>
          </w:pPr>
          <w:r>
            <w:rPr>
              <w:rFonts w:ascii="Arial" w:eastAsia="Arial" w:hAnsi="Arial" w:cs="Arial"/>
              <w:spacing w:val="-3"/>
              <w:sz w:val="20"/>
              <w:szCs w:val="20"/>
            </w:rPr>
            <w:t>Sheet No. 32</w:t>
          </w:r>
        </w:p>
        <w:p w14:paraId="26B6FCA6" w14:textId="77777777" w:rsidR="00476D48" w:rsidRDefault="00262966">
          <w:pPr>
            <w:tabs>
              <w:tab w:val="left" w:pos="6480"/>
            </w:tabs>
            <w:rPr>
              <w:rFonts w:ascii="ArialMT" w:hAnsi="ArialMT" w:cs="ArialMT"/>
              <w:sz w:val="20"/>
              <w:szCs w:val="20"/>
            </w:rPr>
          </w:pPr>
          <w:r>
            <w:rPr>
              <w:rFonts w:ascii="ArialMT" w:hAnsi="ArialMT" w:cs="ArialMT"/>
              <w:sz w:val="20"/>
              <w:szCs w:val="20"/>
            </w:rPr>
            <w:t>Second Revised Page 1 of 1</w:t>
          </w:r>
        </w:p>
        <w:p w14:paraId="55073369" w14:textId="77777777" w:rsidR="00476D48" w:rsidRDefault="00262966">
          <w:pPr>
            <w:tabs>
              <w:tab w:val="left" w:pos="6480"/>
            </w:tabs>
            <w:rPr>
              <w:rFonts w:ascii="Arial" w:eastAsia="Arial" w:hAnsi="Arial" w:cs="Arial"/>
              <w:spacing w:val="-3"/>
              <w:sz w:val="20"/>
              <w:szCs w:val="20"/>
            </w:rPr>
          </w:pPr>
          <w:r>
            <w:rPr>
              <w:rFonts w:ascii="ArialMT" w:hAnsi="ArialMT" w:cs="ArialMT"/>
              <w:sz w:val="20"/>
              <w:szCs w:val="20"/>
            </w:rPr>
            <w:t>Cancels First Revised Page 1 of 1</w:t>
          </w:r>
        </w:p>
      </w:tc>
    </w:tr>
  </w:tbl>
  <w:p w14:paraId="552B8842" w14:textId="77777777" w:rsidR="00476D48" w:rsidRDefault="00476D48">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F9FB7" w14:textId="77777777" w:rsidR="00476D48" w:rsidRDefault="00476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48"/>
    <w:rsid w:val="00262966"/>
    <w:rsid w:val="0047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7766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2021-08-25T21:51:00Z</dcterms:created>
  <dcterms:modified xsi:type="dcterms:W3CDTF">2021-08-25T21:51:00Z</dcterms:modified>
</cp:coreProperties>
</file>