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A6AA" w14:textId="77777777" w:rsidR="008C6D90" w:rsidRPr="006D21CC" w:rsidRDefault="00AF4AAB" w:rsidP="008C6D90">
      <w:pPr>
        <w:jc w:val="center"/>
        <w:rPr>
          <w:b/>
        </w:rPr>
      </w:pPr>
      <w:bookmarkStart w:id="0" w:name="_Hlk172289529"/>
      <w:r w:rsidRPr="006D21CC">
        <w:rPr>
          <w:b/>
        </w:rPr>
        <w:t xml:space="preserve">BEFORE </w:t>
      </w:r>
    </w:p>
    <w:p w14:paraId="73D68B0A" w14:textId="77777777" w:rsidR="008C6D90" w:rsidRPr="006D21CC" w:rsidRDefault="00AF4AAB" w:rsidP="008C6D90">
      <w:pPr>
        <w:jc w:val="center"/>
        <w:rPr>
          <w:b/>
        </w:rPr>
      </w:pPr>
      <w:r w:rsidRPr="006D21CC">
        <w:rPr>
          <w:b/>
        </w:rPr>
        <w:t>THE PUBLIC UTILITIES COMMISSION OF OHIO</w:t>
      </w:r>
    </w:p>
    <w:p w14:paraId="08A1032F" w14:textId="77777777" w:rsidR="008C6D90" w:rsidRPr="006D21CC" w:rsidRDefault="008C6D90" w:rsidP="008C6D90">
      <w:pPr>
        <w:jc w:val="center"/>
        <w:rPr>
          <w:b/>
        </w:rPr>
      </w:pPr>
    </w:p>
    <w:tbl>
      <w:tblPr>
        <w:tblW w:w="8640" w:type="dxa"/>
        <w:tblLook w:val="01E0" w:firstRow="1" w:lastRow="1" w:firstColumn="1" w:lastColumn="1" w:noHBand="0" w:noVBand="0"/>
      </w:tblPr>
      <w:tblGrid>
        <w:gridCol w:w="4332"/>
        <w:gridCol w:w="360"/>
        <w:gridCol w:w="3948"/>
      </w:tblGrid>
      <w:tr w:rsidR="009F531F" w14:paraId="25BB222D" w14:textId="77777777" w:rsidTr="008C6D90">
        <w:trPr>
          <w:trHeight w:val="807"/>
        </w:trPr>
        <w:tc>
          <w:tcPr>
            <w:tcW w:w="4332" w:type="dxa"/>
          </w:tcPr>
          <w:p w14:paraId="2403E1FD" w14:textId="4DA0A922"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 xml:space="preserve">In the Matter of the Application of the East Ohio Gas Company d/b/a </w:t>
            </w:r>
            <w:r w:rsidR="00CA6A0B" w:rsidRPr="006D21CC">
              <w:rPr>
                <w:rFonts w:ascii="Times New Roman" w:hAnsi="Times New Roman" w:cs="Times New Roman"/>
                <w:sz w:val="24"/>
                <w:szCs w:val="24"/>
              </w:rPr>
              <w:t xml:space="preserve">Enbridge Gas </w:t>
            </w:r>
            <w:r w:rsidRPr="006D21CC">
              <w:rPr>
                <w:rFonts w:ascii="Times New Roman" w:hAnsi="Times New Roman" w:cs="Times New Roman"/>
                <w:sz w:val="24"/>
                <w:szCs w:val="24"/>
              </w:rPr>
              <w:t>Ohio for Approval to Increase Natural Gas Rates</w:t>
            </w:r>
          </w:p>
          <w:p w14:paraId="44017E6D" w14:textId="77777777" w:rsidR="008C6D90" w:rsidRPr="006D21CC" w:rsidRDefault="008C6D90">
            <w:pPr>
              <w:pStyle w:val="HTMLPreformatted"/>
              <w:rPr>
                <w:rFonts w:ascii="Times New Roman" w:hAnsi="Times New Roman" w:cs="Times New Roman"/>
                <w:sz w:val="24"/>
                <w:szCs w:val="24"/>
              </w:rPr>
            </w:pPr>
          </w:p>
          <w:p w14:paraId="085BFB6F" w14:textId="1EE2A257"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 xml:space="preserve">In the Matter of the Application of the East Ohio Gas Company d/b/a </w:t>
            </w:r>
            <w:r w:rsidR="00CA6A0B" w:rsidRPr="006D21CC">
              <w:rPr>
                <w:rFonts w:ascii="Times New Roman" w:hAnsi="Times New Roman" w:cs="Times New Roman"/>
                <w:sz w:val="24"/>
                <w:szCs w:val="24"/>
              </w:rPr>
              <w:t xml:space="preserve">Enbridge Gas </w:t>
            </w:r>
            <w:r w:rsidRPr="006D21CC">
              <w:rPr>
                <w:rFonts w:ascii="Times New Roman" w:hAnsi="Times New Roman" w:cs="Times New Roman"/>
                <w:sz w:val="24"/>
                <w:szCs w:val="24"/>
              </w:rPr>
              <w:t>Ohio for Approval of Alternative Rate Plan</w:t>
            </w:r>
          </w:p>
          <w:p w14:paraId="4BC99103" w14:textId="77777777" w:rsidR="008C6D90" w:rsidRPr="006D21CC" w:rsidRDefault="008C6D90">
            <w:pPr>
              <w:pStyle w:val="HTMLPreformatted"/>
              <w:rPr>
                <w:rFonts w:ascii="Times New Roman" w:hAnsi="Times New Roman" w:cs="Times New Roman"/>
                <w:sz w:val="24"/>
                <w:szCs w:val="24"/>
              </w:rPr>
            </w:pPr>
          </w:p>
          <w:p w14:paraId="7C019509" w14:textId="4D2B2DBE"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 xml:space="preserve">In the Matter of the Application of the East Ohio Gas Company d/b/a </w:t>
            </w:r>
            <w:r w:rsidR="00CA6A0B" w:rsidRPr="006D21CC">
              <w:rPr>
                <w:rFonts w:ascii="Times New Roman" w:hAnsi="Times New Roman" w:cs="Times New Roman"/>
                <w:sz w:val="24"/>
                <w:szCs w:val="24"/>
              </w:rPr>
              <w:t>Enbridge Gas</w:t>
            </w:r>
            <w:r w:rsidRPr="006D21CC">
              <w:rPr>
                <w:rFonts w:ascii="Times New Roman" w:hAnsi="Times New Roman" w:cs="Times New Roman"/>
                <w:sz w:val="24"/>
                <w:szCs w:val="24"/>
              </w:rPr>
              <w:t xml:space="preserve"> Ohio for Approval to Change Accounting Methods</w:t>
            </w:r>
          </w:p>
          <w:p w14:paraId="44965C99" w14:textId="77777777" w:rsidR="008C6D90" w:rsidRPr="006D21CC" w:rsidRDefault="008C6D90">
            <w:pPr>
              <w:pStyle w:val="HTMLPreformatted"/>
              <w:rPr>
                <w:rFonts w:ascii="Times New Roman" w:hAnsi="Times New Roman" w:cs="Times New Roman"/>
                <w:sz w:val="24"/>
                <w:szCs w:val="24"/>
              </w:rPr>
            </w:pPr>
          </w:p>
          <w:p w14:paraId="0ECD0911" w14:textId="12E04399"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 xml:space="preserve">In the Matter of the Application of the East Ohio Gas Company d/b/a </w:t>
            </w:r>
            <w:r w:rsidR="00CA6A0B" w:rsidRPr="006D21CC">
              <w:rPr>
                <w:rFonts w:ascii="Times New Roman" w:hAnsi="Times New Roman" w:cs="Times New Roman"/>
                <w:sz w:val="24"/>
                <w:szCs w:val="24"/>
              </w:rPr>
              <w:t xml:space="preserve">Enbridge Gas </w:t>
            </w:r>
            <w:r w:rsidRPr="006D21CC">
              <w:rPr>
                <w:rFonts w:ascii="Times New Roman" w:hAnsi="Times New Roman" w:cs="Times New Roman"/>
                <w:sz w:val="24"/>
                <w:szCs w:val="24"/>
              </w:rPr>
              <w:t>Ohio for Approval of Tariff Revisions</w:t>
            </w:r>
          </w:p>
        </w:tc>
        <w:tc>
          <w:tcPr>
            <w:tcW w:w="360" w:type="dxa"/>
          </w:tcPr>
          <w:p w14:paraId="6AE19702" w14:textId="77777777"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6B6B0CA7" w14:textId="77777777"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04D15649" w14:textId="77777777"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6DE7EC7C" w14:textId="77777777" w:rsidR="008C6D90" w:rsidRPr="006D21CC" w:rsidRDefault="008C6D90">
            <w:pPr>
              <w:pStyle w:val="HTMLPreformatted"/>
              <w:rPr>
                <w:rFonts w:ascii="Times New Roman" w:hAnsi="Times New Roman" w:cs="Times New Roman"/>
                <w:sz w:val="24"/>
                <w:szCs w:val="24"/>
              </w:rPr>
            </w:pPr>
          </w:p>
          <w:p w14:paraId="75683333" w14:textId="76474F9B" w:rsidR="008C6D90" w:rsidRPr="006D21CC" w:rsidRDefault="008C6D90">
            <w:pPr>
              <w:pStyle w:val="HTMLPreformatted"/>
              <w:rPr>
                <w:rFonts w:ascii="Times New Roman" w:hAnsi="Times New Roman" w:cs="Times New Roman"/>
                <w:sz w:val="24"/>
                <w:szCs w:val="24"/>
              </w:rPr>
            </w:pPr>
          </w:p>
          <w:p w14:paraId="398129EF" w14:textId="77777777"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2B3279C9" w14:textId="3FD6E9F9"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4A76E431" w14:textId="77777777"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4E1D1347" w14:textId="0FB6E3A1" w:rsidR="008C6D90" w:rsidRPr="006D21CC" w:rsidRDefault="008C6D90">
            <w:pPr>
              <w:pStyle w:val="HTMLPreformatted"/>
              <w:rPr>
                <w:rFonts w:ascii="Times New Roman" w:hAnsi="Times New Roman" w:cs="Times New Roman"/>
                <w:sz w:val="24"/>
                <w:szCs w:val="24"/>
              </w:rPr>
            </w:pPr>
          </w:p>
          <w:p w14:paraId="4C7D6907" w14:textId="77777777" w:rsidR="008C6D90" w:rsidRPr="006D21CC" w:rsidRDefault="008C6D90">
            <w:pPr>
              <w:pStyle w:val="HTMLPreformatted"/>
              <w:rPr>
                <w:rFonts w:ascii="Times New Roman" w:hAnsi="Times New Roman" w:cs="Times New Roman"/>
                <w:sz w:val="24"/>
                <w:szCs w:val="24"/>
              </w:rPr>
            </w:pPr>
          </w:p>
          <w:p w14:paraId="6C0FF3DF" w14:textId="77777777"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043A3F6E" w14:textId="77777777"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16BA1647" w14:textId="77777777"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0D98AC75" w14:textId="77777777" w:rsidR="008C6D90" w:rsidRPr="006D21CC" w:rsidRDefault="008C6D90">
            <w:pPr>
              <w:pStyle w:val="HTMLPreformatted"/>
              <w:rPr>
                <w:rFonts w:ascii="Times New Roman" w:hAnsi="Times New Roman" w:cs="Times New Roman"/>
                <w:sz w:val="24"/>
                <w:szCs w:val="24"/>
              </w:rPr>
            </w:pPr>
          </w:p>
          <w:p w14:paraId="2B351990" w14:textId="77777777" w:rsidR="008C6D90" w:rsidRPr="006D21CC" w:rsidRDefault="008C6D90">
            <w:pPr>
              <w:pStyle w:val="HTMLPreformatted"/>
              <w:rPr>
                <w:rFonts w:ascii="Times New Roman" w:hAnsi="Times New Roman" w:cs="Times New Roman"/>
                <w:sz w:val="24"/>
                <w:szCs w:val="24"/>
              </w:rPr>
            </w:pPr>
          </w:p>
          <w:p w14:paraId="52D6801C" w14:textId="77777777"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3448D64F" w14:textId="77777777"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4C795EB6" w14:textId="69525BCE"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tc>
        <w:tc>
          <w:tcPr>
            <w:tcW w:w="3948" w:type="dxa"/>
          </w:tcPr>
          <w:p w14:paraId="673356BD" w14:textId="77777777" w:rsidR="008C6D90" w:rsidRPr="006D21CC" w:rsidRDefault="008C6D90">
            <w:pPr>
              <w:pStyle w:val="HTMLPreformatted"/>
              <w:rPr>
                <w:rFonts w:ascii="Times New Roman" w:hAnsi="Times New Roman" w:cs="Times New Roman"/>
                <w:sz w:val="24"/>
                <w:szCs w:val="24"/>
              </w:rPr>
            </w:pPr>
          </w:p>
          <w:p w14:paraId="37937CB5" w14:textId="41F94B8F"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Case No. 23-894-GA-AIR</w:t>
            </w:r>
          </w:p>
          <w:p w14:paraId="302402BF" w14:textId="77777777" w:rsidR="008C6D90" w:rsidRPr="006D21CC" w:rsidRDefault="008C6D90">
            <w:pPr>
              <w:pStyle w:val="HTMLPreformatted"/>
              <w:rPr>
                <w:rFonts w:ascii="Times New Roman" w:hAnsi="Times New Roman" w:cs="Times New Roman"/>
                <w:sz w:val="24"/>
                <w:szCs w:val="24"/>
              </w:rPr>
            </w:pPr>
          </w:p>
          <w:p w14:paraId="708A2ECD" w14:textId="77777777" w:rsidR="008C6D90" w:rsidRPr="006D21CC" w:rsidRDefault="008C6D90">
            <w:pPr>
              <w:pStyle w:val="HTMLPreformatted"/>
              <w:rPr>
                <w:rFonts w:ascii="Times New Roman" w:hAnsi="Times New Roman" w:cs="Times New Roman"/>
                <w:sz w:val="24"/>
                <w:szCs w:val="24"/>
              </w:rPr>
            </w:pPr>
          </w:p>
          <w:p w14:paraId="00327160" w14:textId="77777777" w:rsidR="008C6D90" w:rsidRPr="006D21CC" w:rsidRDefault="008C6D90">
            <w:pPr>
              <w:pStyle w:val="HTMLPreformatted"/>
              <w:rPr>
                <w:rFonts w:ascii="Times New Roman" w:hAnsi="Times New Roman" w:cs="Times New Roman"/>
                <w:sz w:val="24"/>
                <w:szCs w:val="24"/>
              </w:rPr>
            </w:pPr>
          </w:p>
          <w:p w14:paraId="41195FDC" w14:textId="77777777" w:rsidR="008C6D90" w:rsidRPr="006D21CC" w:rsidRDefault="008C6D90">
            <w:pPr>
              <w:pStyle w:val="HTMLPreformatted"/>
              <w:rPr>
                <w:rFonts w:ascii="Times New Roman" w:hAnsi="Times New Roman" w:cs="Times New Roman"/>
                <w:sz w:val="24"/>
                <w:szCs w:val="24"/>
              </w:rPr>
            </w:pPr>
          </w:p>
          <w:p w14:paraId="2A342FF1" w14:textId="763DEF7C"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Case No. 23-895-GA-ALT</w:t>
            </w:r>
          </w:p>
          <w:p w14:paraId="2F1FEFA5" w14:textId="77777777" w:rsidR="008C6D90" w:rsidRPr="006D21CC" w:rsidRDefault="008C6D90">
            <w:pPr>
              <w:pStyle w:val="HTMLPreformatted"/>
              <w:rPr>
                <w:rFonts w:ascii="Times New Roman" w:hAnsi="Times New Roman" w:cs="Times New Roman"/>
                <w:sz w:val="24"/>
                <w:szCs w:val="24"/>
              </w:rPr>
            </w:pPr>
          </w:p>
          <w:p w14:paraId="77394C8D" w14:textId="77777777" w:rsidR="008C6D90" w:rsidRPr="006D21CC" w:rsidRDefault="008C6D90">
            <w:pPr>
              <w:pStyle w:val="HTMLPreformatted"/>
              <w:rPr>
                <w:rFonts w:ascii="Times New Roman" w:hAnsi="Times New Roman" w:cs="Times New Roman"/>
                <w:sz w:val="24"/>
                <w:szCs w:val="24"/>
              </w:rPr>
            </w:pPr>
          </w:p>
          <w:p w14:paraId="7DB3333D" w14:textId="77777777" w:rsidR="008C6D90" w:rsidRPr="006D21CC" w:rsidRDefault="008C6D90">
            <w:pPr>
              <w:pStyle w:val="HTMLPreformatted"/>
              <w:rPr>
                <w:rFonts w:ascii="Times New Roman" w:hAnsi="Times New Roman" w:cs="Times New Roman"/>
                <w:sz w:val="24"/>
                <w:szCs w:val="24"/>
              </w:rPr>
            </w:pPr>
          </w:p>
          <w:p w14:paraId="43F241E6" w14:textId="77777777" w:rsidR="008C6D90" w:rsidRPr="006D21CC" w:rsidRDefault="008C6D90">
            <w:pPr>
              <w:pStyle w:val="HTMLPreformatted"/>
              <w:rPr>
                <w:rFonts w:ascii="Times New Roman" w:hAnsi="Times New Roman" w:cs="Times New Roman"/>
                <w:sz w:val="24"/>
                <w:szCs w:val="24"/>
              </w:rPr>
            </w:pPr>
          </w:p>
          <w:p w14:paraId="75AF0673" w14:textId="5EC19808"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Case No. 23-896-GA-AAM</w:t>
            </w:r>
          </w:p>
          <w:p w14:paraId="0A286F97" w14:textId="77777777" w:rsidR="008C6D90" w:rsidRPr="006D21CC" w:rsidRDefault="008C6D90">
            <w:pPr>
              <w:pStyle w:val="HTMLPreformatted"/>
              <w:rPr>
                <w:rFonts w:ascii="Times New Roman" w:hAnsi="Times New Roman" w:cs="Times New Roman"/>
                <w:sz w:val="24"/>
                <w:szCs w:val="24"/>
              </w:rPr>
            </w:pPr>
          </w:p>
          <w:p w14:paraId="5CA5BC31" w14:textId="77777777" w:rsidR="008C6D90" w:rsidRPr="006D21CC" w:rsidRDefault="008C6D90">
            <w:pPr>
              <w:pStyle w:val="HTMLPreformatted"/>
              <w:rPr>
                <w:rFonts w:ascii="Times New Roman" w:hAnsi="Times New Roman" w:cs="Times New Roman"/>
                <w:sz w:val="24"/>
                <w:szCs w:val="24"/>
              </w:rPr>
            </w:pPr>
          </w:p>
          <w:p w14:paraId="4BFEB0F0" w14:textId="77777777" w:rsidR="008C6D90" w:rsidRPr="006D21CC" w:rsidRDefault="008C6D90">
            <w:pPr>
              <w:pStyle w:val="HTMLPreformatted"/>
              <w:rPr>
                <w:rFonts w:ascii="Times New Roman" w:hAnsi="Times New Roman" w:cs="Times New Roman"/>
                <w:sz w:val="24"/>
                <w:szCs w:val="24"/>
              </w:rPr>
            </w:pPr>
          </w:p>
          <w:p w14:paraId="71E84221" w14:textId="77777777" w:rsidR="008C6D90" w:rsidRPr="006D21CC" w:rsidRDefault="008C6D90">
            <w:pPr>
              <w:pStyle w:val="HTMLPreformatted"/>
              <w:rPr>
                <w:rFonts w:ascii="Times New Roman" w:hAnsi="Times New Roman" w:cs="Times New Roman"/>
                <w:sz w:val="24"/>
                <w:szCs w:val="24"/>
              </w:rPr>
            </w:pPr>
          </w:p>
          <w:p w14:paraId="6C3AC597" w14:textId="07FF8D9C" w:rsidR="008C6D90" w:rsidRPr="006D21CC" w:rsidRDefault="00AF4AAB">
            <w:pPr>
              <w:pStyle w:val="HTMLPreformatted"/>
              <w:rPr>
                <w:rFonts w:ascii="Times New Roman" w:hAnsi="Times New Roman" w:cs="Times New Roman"/>
                <w:sz w:val="24"/>
                <w:szCs w:val="24"/>
              </w:rPr>
            </w:pPr>
            <w:r w:rsidRPr="006D21CC">
              <w:rPr>
                <w:rFonts w:ascii="Times New Roman" w:hAnsi="Times New Roman" w:cs="Times New Roman"/>
                <w:sz w:val="24"/>
                <w:szCs w:val="24"/>
              </w:rPr>
              <w:t xml:space="preserve">Case No. </w:t>
            </w:r>
            <w:r w:rsidRPr="006D21CC">
              <w:rPr>
                <w:rFonts w:ascii="Times New Roman" w:hAnsi="Times New Roman" w:cs="Times New Roman"/>
                <w:sz w:val="24"/>
                <w:szCs w:val="24"/>
              </w:rPr>
              <w:t>23-897-GA-ATA</w:t>
            </w:r>
          </w:p>
        </w:tc>
      </w:tr>
    </w:tbl>
    <w:p w14:paraId="171AD69E" w14:textId="77777777" w:rsidR="008C6D90" w:rsidRPr="006D21CC" w:rsidRDefault="008C6D90" w:rsidP="008C6D90">
      <w:pPr>
        <w:rPr>
          <w:b/>
        </w:rPr>
      </w:pPr>
    </w:p>
    <w:p w14:paraId="7BA81CB3" w14:textId="77777777" w:rsidR="008C6D90" w:rsidRPr="006D21CC" w:rsidRDefault="008C6D90" w:rsidP="008C6D90">
      <w:pPr>
        <w:pBdr>
          <w:top w:val="single" w:sz="12" w:space="0" w:color="auto"/>
        </w:pBdr>
        <w:tabs>
          <w:tab w:val="left" w:pos="-720"/>
        </w:tabs>
        <w:suppressAutoHyphens/>
        <w:jc w:val="center"/>
        <w:rPr>
          <w:b/>
          <w:bCs/>
          <w:spacing w:val="-3"/>
        </w:rPr>
      </w:pPr>
    </w:p>
    <w:p w14:paraId="7B61ECCB" w14:textId="7675C1DF" w:rsidR="008C6D90" w:rsidRPr="006D21CC" w:rsidRDefault="00AF4AAB" w:rsidP="008C6D90">
      <w:pPr>
        <w:tabs>
          <w:tab w:val="left" w:pos="4770"/>
          <w:tab w:val="left" w:pos="6480"/>
        </w:tabs>
        <w:jc w:val="center"/>
        <w:rPr>
          <w:b/>
        </w:rPr>
      </w:pPr>
      <w:r w:rsidRPr="006D21CC">
        <w:rPr>
          <w:b/>
        </w:rPr>
        <w:t>OBJECTIONS TO THE PUCO STAFF</w:t>
      </w:r>
      <w:r w:rsidR="006D21CC">
        <w:rPr>
          <w:b/>
        </w:rPr>
        <w:t>’</w:t>
      </w:r>
      <w:r w:rsidRPr="006D21CC">
        <w:rPr>
          <w:b/>
        </w:rPr>
        <w:t>S REPORT OF INVESTIGATION</w:t>
      </w:r>
    </w:p>
    <w:p w14:paraId="76C62BFE" w14:textId="77777777" w:rsidR="008C6D90" w:rsidRPr="006D21CC" w:rsidRDefault="00AF4AAB" w:rsidP="008C6D90">
      <w:pPr>
        <w:tabs>
          <w:tab w:val="left" w:pos="4770"/>
          <w:tab w:val="left" w:pos="6480"/>
        </w:tabs>
        <w:jc w:val="center"/>
        <w:rPr>
          <w:b/>
        </w:rPr>
      </w:pPr>
      <w:r w:rsidRPr="006D21CC">
        <w:rPr>
          <w:b/>
        </w:rPr>
        <w:t>BY</w:t>
      </w:r>
    </w:p>
    <w:p w14:paraId="5D5BD08F" w14:textId="1E9B80F3" w:rsidR="008C6D90" w:rsidRPr="006D21CC" w:rsidRDefault="00AF4AAB" w:rsidP="008C6D90">
      <w:pPr>
        <w:tabs>
          <w:tab w:val="left" w:pos="4770"/>
          <w:tab w:val="left" w:pos="6480"/>
        </w:tabs>
        <w:jc w:val="center"/>
        <w:rPr>
          <w:b/>
        </w:rPr>
      </w:pPr>
      <w:r w:rsidRPr="006D21CC">
        <w:rPr>
          <w:b/>
        </w:rPr>
        <w:t>OFFICE OF THE OHIO CONSUMERS</w:t>
      </w:r>
      <w:r w:rsidR="006D21CC">
        <w:rPr>
          <w:b/>
        </w:rPr>
        <w:t>’</w:t>
      </w:r>
      <w:r w:rsidRPr="006D21CC">
        <w:rPr>
          <w:b/>
        </w:rPr>
        <w:t xml:space="preserve"> COUNSEL</w:t>
      </w:r>
    </w:p>
    <w:p w14:paraId="331287B6" w14:textId="77777777" w:rsidR="008C6D90" w:rsidRPr="006D21CC" w:rsidRDefault="008C6D90" w:rsidP="008C6D90">
      <w:pPr>
        <w:pBdr>
          <w:bottom w:val="single" w:sz="12" w:space="1" w:color="auto"/>
        </w:pBdr>
        <w:tabs>
          <w:tab w:val="left" w:pos="-720"/>
        </w:tabs>
        <w:suppressAutoHyphens/>
        <w:jc w:val="center"/>
        <w:rPr>
          <w:b/>
          <w:bCs/>
          <w:spacing w:val="-3"/>
        </w:rPr>
      </w:pPr>
    </w:p>
    <w:p w14:paraId="75965770" w14:textId="77777777" w:rsidR="009E5D6D" w:rsidRPr="006D21CC" w:rsidRDefault="009E5D6D">
      <w:pPr>
        <w:spacing w:after="160" w:line="278" w:lineRule="auto"/>
        <w:sectPr w:rsidR="009E5D6D" w:rsidRPr="006D21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A6A8CC3" w14:textId="23A559ED" w:rsidR="00392495" w:rsidRPr="006D21CC" w:rsidRDefault="00392495">
      <w:pPr>
        <w:spacing w:after="160" w:line="278" w:lineRule="auto"/>
      </w:pPr>
    </w:p>
    <w:p w14:paraId="35C6A2A2" w14:textId="53F99F8B" w:rsidR="00392495" w:rsidRPr="006D21CC" w:rsidRDefault="00AF4AAB" w:rsidP="00392495">
      <w:pPr>
        <w:tabs>
          <w:tab w:val="left" w:pos="8730"/>
        </w:tabs>
        <w:ind w:left="4320"/>
      </w:pPr>
      <w:r w:rsidRPr="006D21CC">
        <w:t xml:space="preserve">Maureen R. Willis (0020847) </w:t>
      </w:r>
    </w:p>
    <w:p w14:paraId="2059EBC8" w14:textId="1CE3BB68" w:rsidR="00392495" w:rsidRPr="006D21CC" w:rsidRDefault="00AF4AAB" w:rsidP="00392495">
      <w:pPr>
        <w:tabs>
          <w:tab w:val="left" w:pos="8730"/>
        </w:tabs>
        <w:ind w:left="4320"/>
      </w:pPr>
      <w:r w:rsidRPr="006D21CC">
        <w:t>Ohio Consumers</w:t>
      </w:r>
      <w:r w:rsidR="006D21CC">
        <w:t>’</w:t>
      </w:r>
      <w:r w:rsidRPr="006D21CC">
        <w:t xml:space="preserve"> Counsel</w:t>
      </w:r>
    </w:p>
    <w:p w14:paraId="34B723B6" w14:textId="77777777" w:rsidR="00392495" w:rsidRPr="006D21CC" w:rsidRDefault="00392495" w:rsidP="00392495">
      <w:pPr>
        <w:tabs>
          <w:tab w:val="left" w:pos="8730"/>
        </w:tabs>
        <w:ind w:left="4320"/>
      </w:pPr>
    </w:p>
    <w:p w14:paraId="70E1BE9A" w14:textId="77777777" w:rsidR="00392495" w:rsidRPr="006D21CC" w:rsidRDefault="00AF4AAB" w:rsidP="00392495">
      <w:pPr>
        <w:autoSpaceDE w:val="0"/>
        <w:autoSpaceDN w:val="0"/>
        <w:adjustRightInd w:val="0"/>
        <w:ind w:left="3600" w:firstLine="720"/>
        <w:rPr>
          <w:i/>
          <w:iCs/>
          <w:u w:val="single"/>
        </w:rPr>
      </w:pPr>
      <w:r w:rsidRPr="006D21CC">
        <w:rPr>
          <w:i/>
          <w:iCs/>
          <w:u w:val="single"/>
        </w:rPr>
        <w:t>/s/ Robert Eubanks</w:t>
      </w:r>
    </w:p>
    <w:p w14:paraId="1F5A10B5" w14:textId="77777777" w:rsidR="00392495" w:rsidRPr="006D21CC" w:rsidRDefault="00AF4AAB" w:rsidP="00392495">
      <w:pPr>
        <w:autoSpaceDE w:val="0"/>
        <w:autoSpaceDN w:val="0"/>
        <w:adjustRightInd w:val="0"/>
        <w:ind w:left="3600" w:firstLine="720"/>
        <w:rPr>
          <w:i/>
          <w:iCs/>
          <w:u w:val="single"/>
        </w:rPr>
      </w:pPr>
      <w:r w:rsidRPr="006D21CC">
        <w:t>Robert Eubanks (0073386)</w:t>
      </w:r>
    </w:p>
    <w:p w14:paraId="5D3FC5D8" w14:textId="77777777" w:rsidR="00392495" w:rsidRPr="006D21CC" w:rsidRDefault="00AF4AAB" w:rsidP="00392495">
      <w:pPr>
        <w:tabs>
          <w:tab w:val="left" w:pos="4320"/>
        </w:tabs>
        <w:ind w:right="-180"/>
      </w:pPr>
      <w:r w:rsidRPr="006D21CC">
        <w:tab/>
      </w:r>
      <w:r w:rsidRPr="006D21CC">
        <w:t>Counsel of Record</w:t>
      </w:r>
    </w:p>
    <w:p w14:paraId="7295E45B" w14:textId="77777777" w:rsidR="00392495" w:rsidRPr="006D21CC" w:rsidRDefault="00AF4AAB" w:rsidP="00392495">
      <w:pPr>
        <w:tabs>
          <w:tab w:val="left" w:pos="4320"/>
        </w:tabs>
        <w:ind w:left="4320" w:right="-180"/>
      </w:pPr>
      <w:r w:rsidRPr="006D21CC">
        <w:t>Donald J. Kral (0042091)</w:t>
      </w:r>
    </w:p>
    <w:p w14:paraId="7B665EAE" w14:textId="77777777" w:rsidR="00392495" w:rsidRPr="006D21CC" w:rsidRDefault="00AF4AAB" w:rsidP="00392495">
      <w:pPr>
        <w:tabs>
          <w:tab w:val="left" w:pos="4320"/>
        </w:tabs>
        <w:ind w:left="4320" w:right="-180"/>
      </w:pPr>
      <w:r w:rsidRPr="006D21CC">
        <w:t>Thomas J. Brodbeck (0093920)</w:t>
      </w:r>
    </w:p>
    <w:p w14:paraId="214B4182" w14:textId="77777777" w:rsidR="00392495" w:rsidRPr="006D21CC" w:rsidRDefault="00AF4AAB" w:rsidP="00392495">
      <w:pPr>
        <w:tabs>
          <w:tab w:val="left" w:pos="4320"/>
        </w:tabs>
        <w:ind w:left="4320" w:right="-180"/>
      </w:pPr>
      <w:r w:rsidRPr="006D21CC">
        <w:t>John Finnigan (0018689)</w:t>
      </w:r>
    </w:p>
    <w:p w14:paraId="5F1CDB49" w14:textId="67994CC9" w:rsidR="00392495" w:rsidRPr="006D21CC" w:rsidRDefault="00AF4AAB" w:rsidP="00392495">
      <w:pPr>
        <w:tabs>
          <w:tab w:val="left" w:pos="4320"/>
        </w:tabs>
        <w:ind w:left="4320" w:right="-180"/>
      </w:pPr>
      <w:r w:rsidRPr="006D21CC">
        <w:t>Assistant Consumers</w:t>
      </w:r>
      <w:r w:rsidR="006D21CC">
        <w:t>’</w:t>
      </w:r>
      <w:r w:rsidRPr="006D21CC">
        <w:t xml:space="preserve"> Counsel </w:t>
      </w:r>
    </w:p>
    <w:p w14:paraId="71156F29" w14:textId="77777777" w:rsidR="00392495" w:rsidRPr="006D21CC" w:rsidRDefault="00392495" w:rsidP="00392495">
      <w:pPr>
        <w:ind w:left="3600" w:firstLine="720"/>
        <w:rPr>
          <w:b/>
          <w:bCs/>
        </w:rPr>
      </w:pPr>
    </w:p>
    <w:p w14:paraId="5E566A75" w14:textId="7F23AA36" w:rsidR="00392495" w:rsidRPr="006D21CC" w:rsidRDefault="00AF4AAB" w:rsidP="00392495">
      <w:pPr>
        <w:ind w:left="3600" w:firstLine="720"/>
        <w:rPr>
          <w:b/>
          <w:bCs/>
        </w:rPr>
      </w:pPr>
      <w:r w:rsidRPr="006D21CC">
        <w:rPr>
          <w:b/>
          <w:bCs/>
        </w:rPr>
        <w:t>Office of the Ohio Consumers</w:t>
      </w:r>
      <w:r w:rsidR="006D21CC">
        <w:rPr>
          <w:b/>
          <w:bCs/>
        </w:rPr>
        <w:t>’</w:t>
      </w:r>
      <w:r w:rsidRPr="006D21CC">
        <w:rPr>
          <w:b/>
          <w:bCs/>
        </w:rPr>
        <w:t xml:space="preserve"> Counsel</w:t>
      </w:r>
    </w:p>
    <w:p w14:paraId="343F005E" w14:textId="77777777" w:rsidR="00392495" w:rsidRPr="006D21CC" w:rsidRDefault="00AF4AAB" w:rsidP="00392495">
      <w:pPr>
        <w:pStyle w:val="PlainText"/>
        <w:ind w:left="3600" w:firstLine="720"/>
        <w:rPr>
          <w:rFonts w:ascii="Times New Roman" w:hAnsi="Times New Roman"/>
          <w:sz w:val="24"/>
          <w:szCs w:val="24"/>
        </w:rPr>
      </w:pPr>
      <w:r w:rsidRPr="006D21CC">
        <w:rPr>
          <w:rFonts w:ascii="Times New Roman" w:hAnsi="Times New Roman"/>
          <w:sz w:val="24"/>
          <w:szCs w:val="24"/>
        </w:rPr>
        <w:t>65 East State Street, Suite 700</w:t>
      </w:r>
    </w:p>
    <w:p w14:paraId="6FFDE545" w14:textId="77777777" w:rsidR="00392495" w:rsidRPr="006D21CC" w:rsidRDefault="00AF4AAB" w:rsidP="00392495">
      <w:pPr>
        <w:pStyle w:val="PlainText"/>
        <w:ind w:left="3600" w:firstLine="720"/>
        <w:rPr>
          <w:rFonts w:ascii="Times New Roman" w:hAnsi="Times New Roman"/>
          <w:sz w:val="24"/>
          <w:szCs w:val="24"/>
        </w:rPr>
      </w:pPr>
      <w:r w:rsidRPr="006D21CC">
        <w:rPr>
          <w:rFonts w:ascii="Times New Roman" w:hAnsi="Times New Roman"/>
          <w:sz w:val="24"/>
          <w:szCs w:val="24"/>
        </w:rPr>
        <w:t>Columbus, Ohio 43215</w:t>
      </w:r>
    </w:p>
    <w:p w14:paraId="7A518113" w14:textId="77777777" w:rsidR="00392495" w:rsidRPr="006D21CC" w:rsidRDefault="00AF4AAB" w:rsidP="00392495">
      <w:pPr>
        <w:suppressLineNumbers/>
        <w:ind w:left="4320"/>
      </w:pPr>
      <w:r w:rsidRPr="006D21CC">
        <w:t xml:space="preserve">Telephone: [Eubanks] (614) </w:t>
      </w:r>
      <w:r w:rsidRPr="006D21CC">
        <w:t>466-1292</w:t>
      </w:r>
    </w:p>
    <w:p w14:paraId="23D19D3B" w14:textId="77777777" w:rsidR="00392495" w:rsidRPr="006D21CC" w:rsidRDefault="00AF4AAB" w:rsidP="00392495">
      <w:pPr>
        <w:suppressLineNumbers/>
        <w:ind w:left="4320"/>
      </w:pPr>
      <w:r w:rsidRPr="006D21CC">
        <w:t>Telephone: [Kral] (614) 466-9571</w:t>
      </w:r>
    </w:p>
    <w:p w14:paraId="3B89A67E" w14:textId="77777777" w:rsidR="00392495" w:rsidRPr="006D21CC" w:rsidRDefault="00AF4AAB" w:rsidP="00392495">
      <w:pPr>
        <w:suppressLineNumbers/>
        <w:ind w:left="4320"/>
      </w:pPr>
      <w:r w:rsidRPr="006D21CC">
        <w:t>Telephone: [Brodbeck] (614) 466-9565</w:t>
      </w:r>
    </w:p>
    <w:p w14:paraId="2AC5033F" w14:textId="77777777" w:rsidR="00392495" w:rsidRPr="006D21CC" w:rsidRDefault="00AF4AAB" w:rsidP="00392495">
      <w:pPr>
        <w:suppressLineNumbers/>
        <w:ind w:left="4320"/>
      </w:pPr>
      <w:r w:rsidRPr="006D21CC">
        <w:t>Telephone: [Finnigan] (614) 477-9585</w:t>
      </w:r>
    </w:p>
    <w:p w14:paraId="631A48B3" w14:textId="77777777" w:rsidR="00392495" w:rsidRPr="006D21CC" w:rsidRDefault="00AF4AAB" w:rsidP="00392495">
      <w:pPr>
        <w:suppressLineNumbers/>
        <w:ind w:left="4320"/>
        <w:rPr>
          <w:rStyle w:val="Hyperlink"/>
          <w:rFonts w:eastAsia="Courier New"/>
        </w:rPr>
      </w:pPr>
      <w:r w:rsidRPr="006D21CC">
        <w:rPr>
          <w:rStyle w:val="Hyperlink"/>
          <w:rFonts w:eastAsia="Courier New"/>
        </w:rPr>
        <w:t>Robert.eubanks@occ.ohio.gov</w:t>
      </w:r>
    </w:p>
    <w:p w14:paraId="0263D971" w14:textId="77777777" w:rsidR="00392495" w:rsidRPr="006D21CC" w:rsidRDefault="00AF4AAB" w:rsidP="00392495">
      <w:pPr>
        <w:suppressLineNumbers/>
        <w:ind w:left="4320"/>
        <w:rPr>
          <w:rStyle w:val="Hyperlink"/>
          <w:rFonts w:eastAsia="Courier New"/>
        </w:rPr>
      </w:pPr>
      <w:hyperlink r:id="rId14" w:history="1">
        <w:r w:rsidR="00EB7219" w:rsidRPr="006D21CC">
          <w:rPr>
            <w:rStyle w:val="Hyperlink"/>
            <w:rFonts w:eastAsia="Courier New"/>
          </w:rPr>
          <w:t>donald.kral@occ.ohio.gov</w:t>
        </w:r>
      </w:hyperlink>
    </w:p>
    <w:p w14:paraId="4B99726E" w14:textId="77777777" w:rsidR="00392495" w:rsidRPr="006D21CC" w:rsidRDefault="00AF4AAB" w:rsidP="00392495">
      <w:pPr>
        <w:suppressLineNumbers/>
        <w:ind w:left="4320"/>
        <w:rPr>
          <w:rStyle w:val="Hyperlink"/>
          <w:rFonts w:eastAsia="Courier New"/>
        </w:rPr>
      </w:pPr>
      <w:hyperlink r:id="rId15" w:history="1">
        <w:r w:rsidR="00EB7219" w:rsidRPr="006D21CC">
          <w:rPr>
            <w:rStyle w:val="Hyperlink"/>
            <w:rFonts w:eastAsia="Courier New"/>
          </w:rPr>
          <w:t>thomas.brodbeck@occ.ohio.gov</w:t>
        </w:r>
      </w:hyperlink>
    </w:p>
    <w:p w14:paraId="58C7D083" w14:textId="77777777" w:rsidR="00392495" w:rsidRPr="006D21CC" w:rsidRDefault="00AF4AAB" w:rsidP="00392495">
      <w:pPr>
        <w:suppressLineNumbers/>
        <w:ind w:left="4320"/>
        <w:rPr>
          <w:rStyle w:val="Hyperlink"/>
          <w:rFonts w:eastAsia="Courier New"/>
        </w:rPr>
      </w:pPr>
      <w:r w:rsidRPr="006D21CC">
        <w:rPr>
          <w:rStyle w:val="Hyperlink"/>
          <w:rFonts w:eastAsia="Courier New"/>
        </w:rPr>
        <w:t>John.finnigan@occ.ohio.gov</w:t>
      </w:r>
    </w:p>
    <w:p w14:paraId="3C9BBAC8" w14:textId="77777777" w:rsidR="009E5D6D" w:rsidRPr="006D21CC" w:rsidRDefault="00AF4AAB" w:rsidP="009E5D6D">
      <w:pPr>
        <w:ind w:firstLine="4320"/>
      </w:pPr>
      <w:r w:rsidRPr="006D21CC">
        <w:t>(willing to accept service by e-mail)</w:t>
      </w:r>
    </w:p>
    <w:p w14:paraId="7260221E" w14:textId="77777777" w:rsidR="009E5D6D" w:rsidRPr="006D21CC" w:rsidRDefault="009E5D6D">
      <w:pPr>
        <w:spacing w:after="160" w:line="278" w:lineRule="auto"/>
        <w:sectPr w:rsidR="009E5D6D" w:rsidRPr="006D21CC" w:rsidSect="006E5471">
          <w:footerReference w:type="default" r:id="rId16"/>
          <w:pgSz w:w="12240" w:h="15840"/>
          <w:pgMar w:top="1440" w:right="1440" w:bottom="1440" w:left="1440" w:header="720" w:footer="720" w:gutter="0"/>
          <w:pgNumType w:fmt="lowerRoman" w:start="1"/>
          <w:cols w:space="720"/>
          <w:docGrid w:linePitch="360"/>
        </w:sectPr>
      </w:pPr>
    </w:p>
    <w:p w14:paraId="4DEAB2F2" w14:textId="3D5964A5" w:rsidR="00392495" w:rsidRPr="006D21CC" w:rsidRDefault="00AF4AAB" w:rsidP="009E5D6D">
      <w:pPr>
        <w:jc w:val="center"/>
        <w:rPr>
          <w:b/>
          <w:bCs/>
        </w:rPr>
      </w:pPr>
      <w:r w:rsidRPr="006D21CC">
        <w:rPr>
          <w:b/>
          <w:bCs/>
        </w:rPr>
        <w:lastRenderedPageBreak/>
        <w:t>TABLE OF CONTENTS</w:t>
      </w:r>
    </w:p>
    <w:p w14:paraId="087CECD0" w14:textId="5AA05F0F" w:rsidR="00392495" w:rsidRPr="006D21CC" w:rsidRDefault="00AF4AAB" w:rsidP="00392495">
      <w:pPr>
        <w:spacing w:after="160" w:line="278" w:lineRule="auto"/>
        <w:jc w:val="right"/>
        <w:rPr>
          <w:b/>
          <w:bCs/>
        </w:rPr>
      </w:pPr>
      <w:r w:rsidRPr="006D21CC">
        <w:rPr>
          <w:b/>
          <w:bCs/>
        </w:rPr>
        <w:t>PAGE</w:t>
      </w:r>
    </w:p>
    <w:sdt>
      <w:sdtPr>
        <w:rPr>
          <w:rFonts w:ascii="Times New Roman" w:eastAsia="Times New Roman" w:hAnsi="Times New Roman" w:cs="Times New Roman"/>
          <w:color w:val="auto"/>
          <w:sz w:val="24"/>
          <w:szCs w:val="24"/>
          <w:lang w:bidi="en-US"/>
        </w:rPr>
        <w:id w:val="1265880838"/>
        <w:docPartObj>
          <w:docPartGallery w:val="Table of Contents"/>
          <w:docPartUnique/>
        </w:docPartObj>
      </w:sdtPr>
      <w:sdtEndPr>
        <w:rPr>
          <w:b/>
          <w:bCs/>
          <w:noProof/>
        </w:rPr>
      </w:sdtEndPr>
      <w:sdtContent>
        <w:p w14:paraId="543A0C7B" w14:textId="70B56A61" w:rsidR="00392495" w:rsidRPr="006D21CC" w:rsidRDefault="00392495">
          <w:pPr>
            <w:pStyle w:val="TOCHeading"/>
            <w:rPr>
              <w:rFonts w:ascii="Times New Roman" w:hAnsi="Times New Roman" w:cs="Times New Roman"/>
              <w:sz w:val="24"/>
              <w:szCs w:val="24"/>
            </w:rPr>
          </w:pPr>
        </w:p>
        <w:p w14:paraId="54FCDE4D" w14:textId="00A1414F" w:rsidR="00E5007D" w:rsidRDefault="00AF4AAB">
          <w:pPr>
            <w:pStyle w:val="TOC1"/>
            <w:rPr>
              <w:rFonts w:asciiTheme="minorHAnsi" w:eastAsiaTheme="minorEastAsia" w:hAnsiTheme="minorHAnsi" w:cstheme="minorBidi"/>
              <w:noProof/>
              <w:kern w:val="2"/>
              <w:lang w:bidi="ar-SA"/>
              <w14:ligatures w14:val="standardContextual"/>
            </w:rPr>
          </w:pPr>
          <w:r w:rsidRPr="006D21CC">
            <w:fldChar w:fldCharType="begin"/>
          </w:r>
          <w:r w:rsidRPr="006D21CC">
            <w:instrText xml:space="preserve"> TOC \o "1-3" \h \z \u </w:instrText>
          </w:r>
          <w:r w:rsidRPr="006D21CC">
            <w:fldChar w:fldCharType="separate"/>
          </w:r>
          <w:hyperlink w:anchor="_Toc172895191" w:history="1">
            <w:r w:rsidRPr="00F92FCF">
              <w:rPr>
                <w:rStyle w:val="Hyperlink"/>
                <w:noProof/>
              </w:rPr>
              <w:t>I.</w:t>
            </w:r>
            <w:r>
              <w:rPr>
                <w:rFonts w:asciiTheme="minorHAnsi" w:eastAsiaTheme="minorEastAsia" w:hAnsiTheme="minorHAnsi" w:cstheme="minorBidi"/>
                <w:noProof/>
                <w:kern w:val="2"/>
                <w:lang w:bidi="ar-SA"/>
                <w14:ligatures w14:val="standardContextual"/>
              </w:rPr>
              <w:tab/>
            </w:r>
            <w:r w:rsidRPr="00F92FCF">
              <w:rPr>
                <w:rStyle w:val="Hyperlink"/>
                <w:noProof/>
              </w:rPr>
              <w:t>INTRODUCTION</w:t>
            </w:r>
            <w:r>
              <w:rPr>
                <w:noProof/>
                <w:webHidden/>
              </w:rPr>
              <w:tab/>
            </w:r>
            <w:r>
              <w:rPr>
                <w:noProof/>
                <w:webHidden/>
              </w:rPr>
              <w:fldChar w:fldCharType="begin"/>
            </w:r>
            <w:r>
              <w:rPr>
                <w:noProof/>
                <w:webHidden/>
              </w:rPr>
              <w:instrText xml:space="preserve"> PAGEREF _Toc172895191 \h </w:instrText>
            </w:r>
            <w:r>
              <w:rPr>
                <w:noProof/>
                <w:webHidden/>
              </w:rPr>
            </w:r>
            <w:r>
              <w:rPr>
                <w:noProof/>
                <w:webHidden/>
              </w:rPr>
              <w:fldChar w:fldCharType="separate"/>
            </w:r>
            <w:r>
              <w:rPr>
                <w:noProof/>
                <w:webHidden/>
              </w:rPr>
              <w:t>1</w:t>
            </w:r>
            <w:r>
              <w:rPr>
                <w:noProof/>
                <w:webHidden/>
              </w:rPr>
              <w:fldChar w:fldCharType="end"/>
            </w:r>
          </w:hyperlink>
        </w:p>
        <w:p w14:paraId="03E90A44" w14:textId="37798CA5" w:rsidR="00E5007D" w:rsidRDefault="00AF4AAB">
          <w:pPr>
            <w:pStyle w:val="TOC1"/>
            <w:rPr>
              <w:rFonts w:asciiTheme="minorHAnsi" w:eastAsiaTheme="minorEastAsia" w:hAnsiTheme="minorHAnsi" w:cstheme="minorBidi"/>
              <w:noProof/>
              <w:kern w:val="2"/>
              <w:lang w:bidi="ar-SA"/>
              <w14:ligatures w14:val="standardContextual"/>
            </w:rPr>
          </w:pPr>
          <w:hyperlink w:anchor="_Toc172895192" w:history="1">
            <w:r w:rsidR="00EB7219" w:rsidRPr="00F92FCF">
              <w:rPr>
                <w:rStyle w:val="Hyperlink"/>
                <w:noProof/>
              </w:rPr>
              <w:t xml:space="preserve">II. </w:t>
            </w:r>
            <w:r w:rsidR="00EB7219">
              <w:rPr>
                <w:rFonts w:asciiTheme="minorHAnsi" w:eastAsiaTheme="minorEastAsia" w:hAnsiTheme="minorHAnsi" w:cstheme="minorBidi"/>
                <w:noProof/>
                <w:kern w:val="2"/>
                <w:lang w:bidi="ar-SA"/>
                <w14:ligatures w14:val="standardContextual"/>
              </w:rPr>
              <w:tab/>
            </w:r>
            <w:r w:rsidR="00EB7219" w:rsidRPr="00F92FCF">
              <w:rPr>
                <w:rStyle w:val="Hyperlink"/>
                <w:noProof/>
              </w:rPr>
              <w:t>SUMMARY OF STAFF REPORT RECOMMENDATIONS SUPPORTED OR NOT OPPOSED BY OCC</w:t>
            </w:r>
            <w:r w:rsidR="00EB7219">
              <w:rPr>
                <w:noProof/>
                <w:webHidden/>
              </w:rPr>
              <w:tab/>
            </w:r>
            <w:r w:rsidR="00EB7219">
              <w:rPr>
                <w:noProof/>
                <w:webHidden/>
              </w:rPr>
              <w:fldChar w:fldCharType="begin"/>
            </w:r>
            <w:r w:rsidR="00EB7219">
              <w:rPr>
                <w:noProof/>
                <w:webHidden/>
              </w:rPr>
              <w:instrText xml:space="preserve"> PAGEREF _Toc172895192 \h </w:instrText>
            </w:r>
            <w:r w:rsidR="00EB7219">
              <w:rPr>
                <w:noProof/>
                <w:webHidden/>
              </w:rPr>
            </w:r>
            <w:r w:rsidR="00EB7219">
              <w:rPr>
                <w:noProof/>
                <w:webHidden/>
              </w:rPr>
              <w:fldChar w:fldCharType="separate"/>
            </w:r>
            <w:r w:rsidR="00EB7219">
              <w:rPr>
                <w:noProof/>
                <w:webHidden/>
              </w:rPr>
              <w:t>3</w:t>
            </w:r>
            <w:r w:rsidR="00EB7219">
              <w:rPr>
                <w:noProof/>
                <w:webHidden/>
              </w:rPr>
              <w:fldChar w:fldCharType="end"/>
            </w:r>
          </w:hyperlink>
        </w:p>
        <w:p w14:paraId="1E3B8176" w14:textId="57CFAE68" w:rsidR="00E5007D" w:rsidRDefault="00AF4AAB">
          <w:pPr>
            <w:pStyle w:val="TOC1"/>
            <w:rPr>
              <w:rFonts w:asciiTheme="minorHAnsi" w:eastAsiaTheme="minorEastAsia" w:hAnsiTheme="minorHAnsi" w:cstheme="minorBidi"/>
              <w:noProof/>
              <w:kern w:val="2"/>
              <w:lang w:bidi="ar-SA"/>
              <w14:ligatures w14:val="standardContextual"/>
            </w:rPr>
          </w:pPr>
          <w:hyperlink w:anchor="_Toc172895193" w:history="1">
            <w:r w:rsidR="00EB7219" w:rsidRPr="00F92FCF">
              <w:rPr>
                <w:rStyle w:val="Hyperlink"/>
                <w:noProof/>
              </w:rPr>
              <w:t>III.</w:t>
            </w:r>
            <w:r w:rsidR="00EB7219">
              <w:rPr>
                <w:rFonts w:asciiTheme="minorHAnsi" w:eastAsiaTheme="minorEastAsia" w:hAnsiTheme="minorHAnsi" w:cstheme="minorBidi"/>
                <w:noProof/>
                <w:kern w:val="2"/>
                <w:lang w:bidi="ar-SA"/>
                <w14:ligatures w14:val="standardContextual"/>
              </w:rPr>
              <w:tab/>
            </w:r>
            <w:r w:rsidR="00EB7219" w:rsidRPr="00F92FCF">
              <w:rPr>
                <w:rStyle w:val="Hyperlink"/>
                <w:noProof/>
              </w:rPr>
              <w:t>OCC OBJECTIONS TO THE STAFF REPORT</w:t>
            </w:r>
            <w:r w:rsidR="00EB7219">
              <w:rPr>
                <w:noProof/>
                <w:webHidden/>
              </w:rPr>
              <w:tab/>
            </w:r>
            <w:r w:rsidR="00EB7219">
              <w:rPr>
                <w:noProof/>
                <w:webHidden/>
              </w:rPr>
              <w:fldChar w:fldCharType="begin"/>
            </w:r>
            <w:r w:rsidR="00EB7219">
              <w:rPr>
                <w:noProof/>
                <w:webHidden/>
              </w:rPr>
              <w:instrText xml:space="preserve"> PAGEREF _Toc172895193 \h </w:instrText>
            </w:r>
            <w:r w:rsidR="00EB7219">
              <w:rPr>
                <w:noProof/>
                <w:webHidden/>
              </w:rPr>
            </w:r>
            <w:r w:rsidR="00EB7219">
              <w:rPr>
                <w:noProof/>
                <w:webHidden/>
              </w:rPr>
              <w:fldChar w:fldCharType="separate"/>
            </w:r>
            <w:r w:rsidR="00EB7219">
              <w:rPr>
                <w:noProof/>
                <w:webHidden/>
              </w:rPr>
              <w:t>12</w:t>
            </w:r>
            <w:r w:rsidR="00EB7219">
              <w:rPr>
                <w:noProof/>
                <w:webHidden/>
              </w:rPr>
              <w:fldChar w:fldCharType="end"/>
            </w:r>
          </w:hyperlink>
        </w:p>
        <w:p w14:paraId="6BE24C87" w14:textId="6094682D" w:rsidR="00E5007D" w:rsidRDefault="00AF4AAB">
          <w:pPr>
            <w:pStyle w:val="TOC2"/>
            <w:tabs>
              <w:tab w:val="left" w:pos="1440"/>
            </w:tabs>
            <w:rPr>
              <w:rFonts w:asciiTheme="minorHAnsi" w:eastAsiaTheme="minorEastAsia" w:hAnsiTheme="minorHAnsi" w:cstheme="minorBidi"/>
              <w:noProof/>
              <w:kern w:val="2"/>
              <w:lang w:bidi="ar-SA"/>
              <w14:ligatures w14:val="standardContextual"/>
            </w:rPr>
          </w:pPr>
          <w:hyperlink w:anchor="_Toc172895194" w:history="1">
            <w:r w:rsidR="00EB7219" w:rsidRPr="00F92FCF">
              <w:rPr>
                <w:rStyle w:val="Hyperlink"/>
                <w:noProof/>
              </w:rPr>
              <w:t>A.</w:t>
            </w:r>
            <w:r w:rsidR="00EB7219">
              <w:rPr>
                <w:rFonts w:asciiTheme="minorHAnsi" w:eastAsiaTheme="minorEastAsia" w:hAnsiTheme="minorHAnsi" w:cstheme="minorBidi"/>
                <w:noProof/>
                <w:kern w:val="2"/>
                <w:lang w:bidi="ar-SA"/>
                <w14:ligatures w14:val="standardContextual"/>
              </w:rPr>
              <w:tab/>
            </w:r>
            <w:r w:rsidR="00EB7219" w:rsidRPr="00F92FCF">
              <w:rPr>
                <w:rStyle w:val="Hyperlink"/>
                <w:noProof/>
              </w:rPr>
              <w:t>Revenue Requirements</w:t>
            </w:r>
            <w:r w:rsidR="00EB7219">
              <w:rPr>
                <w:noProof/>
                <w:webHidden/>
              </w:rPr>
              <w:tab/>
            </w:r>
            <w:r w:rsidR="00EB7219">
              <w:rPr>
                <w:noProof/>
                <w:webHidden/>
              </w:rPr>
              <w:fldChar w:fldCharType="begin"/>
            </w:r>
            <w:r w:rsidR="00EB7219">
              <w:rPr>
                <w:noProof/>
                <w:webHidden/>
              </w:rPr>
              <w:instrText xml:space="preserve"> PAGEREF _Toc172895194 \h </w:instrText>
            </w:r>
            <w:r w:rsidR="00EB7219">
              <w:rPr>
                <w:noProof/>
                <w:webHidden/>
              </w:rPr>
            </w:r>
            <w:r w:rsidR="00EB7219">
              <w:rPr>
                <w:noProof/>
                <w:webHidden/>
              </w:rPr>
              <w:fldChar w:fldCharType="separate"/>
            </w:r>
            <w:r w:rsidR="00EB7219">
              <w:rPr>
                <w:noProof/>
                <w:webHidden/>
              </w:rPr>
              <w:t>12</w:t>
            </w:r>
            <w:r w:rsidR="00EB7219">
              <w:rPr>
                <w:noProof/>
                <w:webHidden/>
              </w:rPr>
              <w:fldChar w:fldCharType="end"/>
            </w:r>
          </w:hyperlink>
        </w:p>
        <w:p w14:paraId="639ECDE1" w14:textId="3634FDCC" w:rsidR="00E5007D" w:rsidRDefault="00AF4AAB">
          <w:pPr>
            <w:pStyle w:val="TOC3"/>
            <w:rPr>
              <w:rFonts w:asciiTheme="minorHAnsi" w:eastAsiaTheme="minorEastAsia" w:hAnsiTheme="minorHAnsi" w:cstheme="minorBidi"/>
              <w:noProof/>
              <w:kern w:val="2"/>
              <w:lang w:bidi="ar-SA"/>
              <w14:ligatures w14:val="standardContextual"/>
            </w:rPr>
          </w:pPr>
          <w:hyperlink w:anchor="_Toc172895195" w:history="1">
            <w:r w:rsidR="00EB7219" w:rsidRPr="00F92FCF">
              <w:rPr>
                <w:rStyle w:val="Hyperlink"/>
                <w:noProof/>
              </w:rPr>
              <w:t>Objection No. 1: The Staff Report erred by proposing a revenue requirement for base rates and other charges to consumers more than what is just and reasonable under R.C. 4909.15, R.C. 4905.22, and other authority.</w:t>
            </w:r>
            <w:r w:rsidR="00EB7219">
              <w:rPr>
                <w:noProof/>
                <w:webHidden/>
              </w:rPr>
              <w:tab/>
            </w:r>
            <w:r w:rsidR="00EB7219">
              <w:rPr>
                <w:noProof/>
                <w:webHidden/>
              </w:rPr>
              <w:fldChar w:fldCharType="begin"/>
            </w:r>
            <w:r w:rsidR="00EB7219">
              <w:rPr>
                <w:noProof/>
                <w:webHidden/>
              </w:rPr>
              <w:instrText xml:space="preserve"> PAGEREF _Toc172895195 \h </w:instrText>
            </w:r>
            <w:r w:rsidR="00EB7219">
              <w:rPr>
                <w:noProof/>
                <w:webHidden/>
              </w:rPr>
            </w:r>
            <w:r w:rsidR="00EB7219">
              <w:rPr>
                <w:noProof/>
                <w:webHidden/>
              </w:rPr>
              <w:fldChar w:fldCharType="separate"/>
            </w:r>
            <w:r w:rsidR="00EB7219">
              <w:rPr>
                <w:noProof/>
                <w:webHidden/>
              </w:rPr>
              <w:t>12</w:t>
            </w:r>
            <w:r w:rsidR="00EB7219">
              <w:rPr>
                <w:noProof/>
                <w:webHidden/>
              </w:rPr>
              <w:fldChar w:fldCharType="end"/>
            </w:r>
          </w:hyperlink>
        </w:p>
        <w:p w14:paraId="5E4D0DDF" w14:textId="2009D1B8" w:rsidR="00E5007D" w:rsidRDefault="00AF4AAB">
          <w:pPr>
            <w:pStyle w:val="TOC2"/>
            <w:tabs>
              <w:tab w:val="left" w:pos="1440"/>
            </w:tabs>
            <w:rPr>
              <w:rFonts w:asciiTheme="minorHAnsi" w:eastAsiaTheme="minorEastAsia" w:hAnsiTheme="minorHAnsi" w:cstheme="minorBidi"/>
              <w:noProof/>
              <w:kern w:val="2"/>
              <w:lang w:bidi="ar-SA"/>
              <w14:ligatures w14:val="standardContextual"/>
            </w:rPr>
          </w:pPr>
          <w:hyperlink w:anchor="_Toc172895196" w:history="1">
            <w:r w:rsidR="00EB7219" w:rsidRPr="00F92FCF">
              <w:rPr>
                <w:rStyle w:val="Hyperlink"/>
                <w:noProof/>
              </w:rPr>
              <w:t>B.</w:t>
            </w:r>
            <w:r w:rsidR="00EB7219">
              <w:rPr>
                <w:rFonts w:asciiTheme="minorHAnsi" w:eastAsiaTheme="minorEastAsia" w:hAnsiTheme="minorHAnsi" w:cstheme="minorBidi"/>
                <w:noProof/>
                <w:kern w:val="2"/>
                <w:lang w:bidi="ar-SA"/>
                <w14:ligatures w14:val="standardContextual"/>
              </w:rPr>
              <w:tab/>
            </w:r>
            <w:r w:rsidR="00EB7219" w:rsidRPr="00F92FCF">
              <w:rPr>
                <w:rStyle w:val="Hyperlink"/>
                <w:noProof/>
              </w:rPr>
              <w:t>Rate Base</w:t>
            </w:r>
            <w:r w:rsidR="00EB7219">
              <w:rPr>
                <w:noProof/>
                <w:webHidden/>
              </w:rPr>
              <w:tab/>
            </w:r>
            <w:r w:rsidR="00EB7219">
              <w:rPr>
                <w:noProof/>
                <w:webHidden/>
              </w:rPr>
              <w:fldChar w:fldCharType="begin"/>
            </w:r>
            <w:r w:rsidR="00EB7219">
              <w:rPr>
                <w:noProof/>
                <w:webHidden/>
              </w:rPr>
              <w:instrText xml:space="preserve"> PAGEREF _Toc172895196 \h </w:instrText>
            </w:r>
            <w:r w:rsidR="00EB7219">
              <w:rPr>
                <w:noProof/>
                <w:webHidden/>
              </w:rPr>
            </w:r>
            <w:r w:rsidR="00EB7219">
              <w:rPr>
                <w:noProof/>
                <w:webHidden/>
              </w:rPr>
              <w:fldChar w:fldCharType="separate"/>
            </w:r>
            <w:r w:rsidR="00EB7219">
              <w:rPr>
                <w:noProof/>
                <w:webHidden/>
              </w:rPr>
              <w:t>13</w:t>
            </w:r>
            <w:r w:rsidR="00EB7219">
              <w:rPr>
                <w:noProof/>
                <w:webHidden/>
              </w:rPr>
              <w:fldChar w:fldCharType="end"/>
            </w:r>
          </w:hyperlink>
        </w:p>
        <w:p w14:paraId="4D1A1BBF" w14:textId="66851C71" w:rsidR="00E5007D" w:rsidRDefault="00AF4AAB">
          <w:pPr>
            <w:pStyle w:val="TOC3"/>
            <w:rPr>
              <w:rFonts w:asciiTheme="minorHAnsi" w:eastAsiaTheme="minorEastAsia" w:hAnsiTheme="minorHAnsi" w:cstheme="minorBidi"/>
              <w:noProof/>
              <w:kern w:val="2"/>
              <w:lang w:bidi="ar-SA"/>
              <w14:ligatures w14:val="standardContextual"/>
            </w:rPr>
          </w:pPr>
          <w:hyperlink w:anchor="_Toc172895197" w:history="1">
            <w:r w:rsidR="00EB7219" w:rsidRPr="00F92FCF">
              <w:rPr>
                <w:rStyle w:val="Hyperlink"/>
                <w:noProof/>
              </w:rPr>
              <w:t>Objection No. 2: The Staff Report erred by not reducing rate base after deducting capitalized incentive compensation, resulting in an overstated rate base and rates and charges to consumers more than what is just and reasonable under R.C. 4909.15, R.C. 4905.22, and other authority.</w:t>
            </w:r>
            <w:r w:rsidR="00EB7219">
              <w:rPr>
                <w:noProof/>
                <w:webHidden/>
              </w:rPr>
              <w:tab/>
            </w:r>
            <w:r w:rsidR="00EB7219">
              <w:rPr>
                <w:noProof/>
                <w:webHidden/>
              </w:rPr>
              <w:fldChar w:fldCharType="begin"/>
            </w:r>
            <w:r w:rsidR="00EB7219">
              <w:rPr>
                <w:noProof/>
                <w:webHidden/>
              </w:rPr>
              <w:instrText xml:space="preserve"> PAGEREF _Toc172895197 \h </w:instrText>
            </w:r>
            <w:r w:rsidR="00EB7219">
              <w:rPr>
                <w:noProof/>
                <w:webHidden/>
              </w:rPr>
            </w:r>
            <w:r w:rsidR="00EB7219">
              <w:rPr>
                <w:noProof/>
                <w:webHidden/>
              </w:rPr>
              <w:fldChar w:fldCharType="separate"/>
            </w:r>
            <w:r w:rsidR="00EB7219">
              <w:rPr>
                <w:noProof/>
                <w:webHidden/>
              </w:rPr>
              <w:t>13</w:t>
            </w:r>
            <w:r w:rsidR="00EB7219">
              <w:rPr>
                <w:noProof/>
                <w:webHidden/>
              </w:rPr>
              <w:fldChar w:fldCharType="end"/>
            </w:r>
          </w:hyperlink>
        </w:p>
        <w:p w14:paraId="7DA75243" w14:textId="3ACD75CA" w:rsidR="00E5007D" w:rsidRDefault="00AF4AAB">
          <w:pPr>
            <w:pStyle w:val="TOC2"/>
            <w:tabs>
              <w:tab w:val="left" w:pos="1440"/>
            </w:tabs>
            <w:rPr>
              <w:rFonts w:asciiTheme="minorHAnsi" w:eastAsiaTheme="minorEastAsia" w:hAnsiTheme="minorHAnsi" w:cstheme="minorBidi"/>
              <w:noProof/>
              <w:kern w:val="2"/>
              <w:lang w:bidi="ar-SA"/>
              <w14:ligatures w14:val="standardContextual"/>
            </w:rPr>
          </w:pPr>
          <w:hyperlink w:anchor="_Toc172895198" w:history="1">
            <w:r w:rsidR="00EB7219" w:rsidRPr="00F92FCF">
              <w:rPr>
                <w:rStyle w:val="Hyperlink"/>
                <w:noProof/>
              </w:rPr>
              <w:t>C.</w:t>
            </w:r>
            <w:r w:rsidR="00EB7219">
              <w:rPr>
                <w:rFonts w:asciiTheme="minorHAnsi" w:eastAsiaTheme="minorEastAsia" w:hAnsiTheme="minorHAnsi" w:cstheme="minorBidi"/>
                <w:noProof/>
                <w:kern w:val="2"/>
                <w:lang w:bidi="ar-SA"/>
                <w14:ligatures w14:val="standardContextual"/>
              </w:rPr>
              <w:tab/>
            </w:r>
            <w:r w:rsidR="00EB7219" w:rsidRPr="00F92FCF">
              <w:rPr>
                <w:rStyle w:val="Hyperlink"/>
                <w:noProof/>
              </w:rPr>
              <w:t>Depreciation</w:t>
            </w:r>
            <w:r w:rsidR="00EB7219">
              <w:rPr>
                <w:noProof/>
                <w:webHidden/>
              </w:rPr>
              <w:tab/>
            </w:r>
            <w:r w:rsidR="00EB7219">
              <w:rPr>
                <w:noProof/>
                <w:webHidden/>
              </w:rPr>
              <w:fldChar w:fldCharType="begin"/>
            </w:r>
            <w:r w:rsidR="00EB7219">
              <w:rPr>
                <w:noProof/>
                <w:webHidden/>
              </w:rPr>
              <w:instrText xml:space="preserve"> PAGEREF _Toc172895198 \h </w:instrText>
            </w:r>
            <w:r w:rsidR="00EB7219">
              <w:rPr>
                <w:noProof/>
                <w:webHidden/>
              </w:rPr>
            </w:r>
            <w:r w:rsidR="00EB7219">
              <w:rPr>
                <w:noProof/>
                <w:webHidden/>
              </w:rPr>
              <w:fldChar w:fldCharType="separate"/>
            </w:r>
            <w:r w:rsidR="00EB7219">
              <w:rPr>
                <w:noProof/>
                <w:webHidden/>
              </w:rPr>
              <w:t>14</w:t>
            </w:r>
            <w:r w:rsidR="00EB7219">
              <w:rPr>
                <w:noProof/>
                <w:webHidden/>
              </w:rPr>
              <w:fldChar w:fldCharType="end"/>
            </w:r>
          </w:hyperlink>
        </w:p>
        <w:p w14:paraId="170BD96A" w14:textId="2AD7470A" w:rsidR="00E5007D" w:rsidRDefault="00AF4AAB">
          <w:pPr>
            <w:pStyle w:val="TOC3"/>
            <w:rPr>
              <w:rFonts w:asciiTheme="minorHAnsi" w:eastAsiaTheme="minorEastAsia" w:hAnsiTheme="minorHAnsi" w:cstheme="minorBidi"/>
              <w:noProof/>
              <w:kern w:val="2"/>
              <w:lang w:bidi="ar-SA"/>
              <w14:ligatures w14:val="standardContextual"/>
            </w:rPr>
          </w:pPr>
          <w:hyperlink w:anchor="_Toc172895199" w:history="1">
            <w:r w:rsidR="00EB7219" w:rsidRPr="00F92FCF">
              <w:rPr>
                <w:rStyle w:val="Hyperlink"/>
                <w:noProof/>
              </w:rPr>
              <w:t>Objection No. 3: The Staff Report erred and harms consumers by accepting Enbridge’s depreciation rates and their underlying parameters, resulting in excessive depreciation rates.</w:t>
            </w:r>
            <w:r w:rsidR="00EB7219">
              <w:rPr>
                <w:noProof/>
                <w:webHidden/>
              </w:rPr>
              <w:tab/>
            </w:r>
            <w:r w:rsidR="00EB7219">
              <w:rPr>
                <w:noProof/>
                <w:webHidden/>
              </w:rPr>
              <w:fldChar w:fldCharType="begin"/>
            </w:r>
            <w:r w:rsidR="00EB7219">
              <w:rPr>
                <w:noProof/>
                <w:webHidden/>
              </w:rPr>
              <w:instrText xml:space="preserve"> PAGEREF _Toc172895199 \h </w:instrText>
            </w:r>
            <w:r w:rsidR="00EB7219">
              <w:rPr>
                <w:noProof/>
                <w:webHidden/>
              </w:rPr>
            </w:r>
            <w:r w:rsidR="00EB7219">
              <w:rPr>
                <w:noProof/>
                <w:webHidden/>
              </w:rPr>
              <w:fldChar w:fldCharType="separate"/>
            </w:r>
            <w:r w:rsidR="00EB7219">
              <w:rPr>
                <w:noProof/>
                <w:webHidden/>
              </w:rPr>
              <w:t>14</w:t>
            </w:r>
            <w:r w:rsidR="00EB7219">
              <w:rPr>
                <w:noProof/>
                <w:webHidden/>
              </w:rPr>
              <w:fldChar w:fldCharType="end"/>
            </w:r>
          </w:hyperlink>
        </w:p>
        <w:p w14:paraId="3CA081C3" w14:textId="516BD9DB" w:rsidR="00E5007D" w:rsidRDefault="00AF4AAB">
          <w:pPr>
            <w:pStyle w:val="TOC3"/>
            <w:rPr>
              <w:rFonts w:asciiTheme="minorHAnsi" w:eastAsiaTheme="minorEastAsia" w:hAnsiTheme="minorHAnsi" w:cstheme="minorBidi"/>
              <w:noProof/>
              <w:kern w:val="2"/>
              <w:lang w:bidi="ar-SA"/>
              <w14:ligatures w14:val="standardContextual"/>
            </w:rPr>
          </w:pPr>
          <w:hyperlink w:anchor="_Toc172895200" w:history="1">
            <w:r w:rsidR="00EB7219" w:rsidRPr="00F92FCF">
              <w:rPr>
                <w:rStyle w:val="Hyperlink"/>
                <w:noProof/>
              </w:rPr>
              <w:t>Objection No. 4: The Staff Report erred and harms consumers through its acceptance of Enbridge’s depreciation proposals, which overstate the magnitude of the theoretical depreciation reserve resulting from the application of Mr. Spanos’s depreciation rate parameters relative to the correct and more reasonable</w:t>
            </w:r>
            <w:r w:rsidR="00EB7219">
              <w:rPr>
                <w:noProof/>
                <w:webHidden/>
              </w:rPr>
              <w:tab/>
            </w:r>
            <w:r w:rsidR="00EB7219">
              <w:rPr>
                <w:noProof/>
                <w:webHidden/>
              </w:rPr>
              <w:fldChar w:fldCharType="begin"/>
            </w:r>
            <w:r w:rsidR="00EB7219">
              <w:rPr>
                <w:noProof/>
                <w:webHidden/>
              </w:rPr>
              <w:instrText xml:space="preserve"> PAGEREF _Toc172895200 \h </w:instrText>
            </w:r>
            <w:r w:rsidR="00EB7219">
              <w:rPr>
                <w:noProof/>
                <w:webHidden/>
              </w:rPr>
            </w:r>
            <w:r w:rsidR="00EB7219">
              <w:rPr>
                <w:noProof/>
                <w:webHidden/>
              </w:rPr>
              <w:fldChar w:fldCharType="separate"/>
            </w:r>
            <w:r w:rsidR="00EB7219">
              <w:rPr>
                <w:noProof/>
                <w:webHidden/>
              </w:rPr>
              <w:t>14</w:t>
            </w:r>
            <w:r w:rsidR="00EB7219">
              <w:rPr>
                <w:noProof/>
                <w:webHidden/>
              </w:rPr>
              <w:fldChar w:fldCharType="end"/>
            </w:r>
          </w:hyperlink>
        </w:p>
        <w:p w14:paraId="749EEFE7" w14:textId="3993C6D8" w:rsidR="00E5007D" w:rsidRDefault="00AF4AAB">
          <w:pPr>
            <w:pStyle w:val="TOC2"/>
            <w:tabs>
              <w:tab w:val="left" w:pos="1440"/>
            </w:tabs>
            <w:rPr>
              <w:rFonts w:asciiTheme="minorHAnsi" w:eastAsiaTheme="minorEastAsia" w:hAnsiTheme="minorHAnsi" w:cstheme="minorBidi"/>
              <w:noProof/>
              <w:kern w:val="2"/>
              <w:lang w:bidi="ar-SA"/>
              <w14:ligatures w14:val="standardContextual"/>
            </w:rPr>
          </w:pPr>
          <w:hyperlink w:anchor="_Toc172895201" w:history="1">
            <w:r w:rsidR="00EB7219" w:rsidRPr="00F92FCF">
              <w:rPr>
                <w:rStyle w:val="Hyperlink"/>
                <w:noProof/>
              </w:rPr>
              <w:t>D.</w:t>
            </w:r>
            <w:r w:rsidR="00EB7219">
              <w:rPr>
                <w:rFonts w:asciiTheme="minorHAnsi" w:eastAsiaTheme="minorEastAsia" w:hAnsiTheme="minorHAnsi" w:cstheme="minorBidi"/>
                <w:noProof/>
                <w:kern w:val="2"/>
                <w:lang w:bidi="ar-SA"/>
                <w14:ligatures w14:val="standardContextual"/>
              </w:rPr>
              <w:tab/>
            </w:r>
            <w:r w:rsidR="00EB7219" w:rsidRPr="00F92FCF">
              <w:rPr>
                <w:rStyle w:val="Hyperlink"/>
                <w:noProof/>
              </w:rPr>
              <w:t>Rate of Return</w:t>
            </w:r>
            <w:r w:rsidR="00EB7219">
              <w:rPr>
                <w:noProof/>
                <w:webHidden/>
              </w:rPr>
              <w:tab/>
            </w:r>
            <w:r w:rsidR="00EB7219">
              <w:rPr>
                <w:noProof/>
                <w:webHidden/>
              </w:rPr>
              <w:fldChar w:fldCharType="begin"/>
            </w:r>
            <w:r w:rsidR="00EB7219">
              <w:rPr>
                <w:noProof/>
                <w:webHidden/>
              </w:rPr>
              <w:instrText xml:space="preserve"> PAGEREF _Toc172895201 \h </w:instrText>
            </w:r>
            <w:r w:rsidR="00EB7219">
              <w:rPr>
                <w:noProof/>
                <w:webHidden/>
              </w:rPr>
            </w:r>
            <w:r w:rsidR="00EB7219">
              <w:rPr>
                <w:noProof/>
                <w:webHidden/>
              </w:rPr>
              <w:fldChar w:fldCharType="separate"/>
            </w:r>
            <w:r w:rsidR="00EB7219">
              <w:rPr>
                <w:noProof/>
                <w:webHidden/>
              </w:rPr>
              <w:t>15</w:t>
            </w:r>
            <w:r w:rsidR="00EB7219">
              <w:rPr>
                <w:noProof/>
                <w:webHidden/>
              </w:rPr>
              <w:fldChar w:fldCharType="end"/>
            </w:r>
          </w:hyperlink>
        </w:p>
        <w:p w14:paraId="1066577F" w14:textId="502ED24B" w:rsidR="00E5007D" w:rsidRDefault="00AF4AAB">
          <w:pPr>
            <w:pStyle w:val="TOC3"/>
            <w:rPr>
              <w:rFonts w:asciiTheme="minorHAnsi" w:eastAsiaTheme="minorEastAsia" w:hAnsiTheme="minorHAnsi" w:cstheme="minorBidi"/>
              <w:noProof/>
              <w:kern w:val="2"/>
              <w:lang w:bidi="ar-SA"/>
              <w14:ligatures w14:val="standardContextual"/>
            </w:rPr>
          </w:pPr>
          <w:hyperlink w:anchor="_Toc172895202" w:history="1">
            <w:r w:rsidR="00EB7219" w:rsidRPr="00F92FCF">
              <w:rPr>
                <w:rStyle w:val="Hyperlink"/>
                <w:noProof/>
              </w:rPr>
              <w:t xml:space="preserve">Objection No. 5: The Staff Report erred in the calculation of its proposed rate of return because it </w:t>
            </w:r>
            <w:r w:rsidR="00EB7219" w:rsidRPr="00F92FCF">
              <w:rPr>
                <w:rStyle w:val="Hyperlink"/>
                <w:bCs/>
                <w:noProof/>
              </w:rPr>
              <w:t xml:space="preserve">in </w:t>
            </w:r>
            <w:r w:rsidR="00EB7219" w:rsidRPr="00F92FCF">
              <w:rPr>
                <w:rStyle w:val="Hyperlink"/>
                <w:noProof/>
              </w:rPr>
              <w:t>a calculated rate of return higher than what is fair and reasonable, which will result in unjust and unreasonable rates and charges to consumers in violation of R.C. 4909.15, R.C. 4905.22, and other authority, used an inappropriate capital structure in its calculation. This resulted</w:t>
            </w:r>
            <w:r w:rsidR="00EB7219">
              <w:rPr>
                <w:noProof/>
                <w:webHidden/>
              </w:rPr>
              <w:tab/>
            </w:r>
            <w:r w:rsidR="00EB7219">
              <w:rPr>
                <w:noProof/>
                <w:webHidden/>
              </w:rPr>
              <w:fldChar w:fldCharType="begin"/>
            </w:r>
            <w:r w:rsidR="00EB7219">
              <w:rPr>
                <w:noProof/>
                <w:webHidden/>
              </w:rPr>
              <w:instrText xml:space="preserve"> PAGEREF _Toc172895202 \h </w:instrText>
            </w:r>
            <w:r w:rsidR="00EB7219">
              <w:rPr>
                <w:noProof/>
                <w:webHidden/>
              </w:rPr>
            </w:r>
            <w:r w:rsidR="00EB7219">
              <w:rPr>
                <w:noProof/>
                <w:webHidden/>
              </w:rPr>
              <w:fldChar w:fldCharType="separate"/>
            </w:r>
            <w:r w:rsidR="00EB7219">
              <w:rPr>
                <w:noProof/>
                <w:webHidden/>
              </w:rPr>
              <w:t>15</w:t>
            </w:r>
            <w:r w:rsidR="00EB7219">
              <w:rPr>
                <w:noProof/>
                <w:webHidden/>
              </w:rPr>
              <w:fldChar w:fldCharType="end"/>
            </w:r>
          </w:hyperlink>
        </w:p>
        <w:p w14:paraId="4137703D" w14:textId="626A0F93" w:rsidR="00E5007D" w:rsidRDefault="00AF4AAB">
          <w:pPr>
            <w:pStyle w:val="TOC3"/>
            <w:rPr>
              <w:rFonts w:asciiTheme="minorHAnsi" w:eastAsiaTheme="minorEastAsia" w:hAnsiTheme="minorHAnsi" w:cstheme="minorBidi"/>
              <w:noProof/>
              <w:kern w:val="2"/>
              <w:lang w:bidi="ar-SA"/>
              <w14:ligatures w14:val="standardContextual"/>
            </w:rPr>
          </w:pPr>
          <w:hyperlink w:anchor="_Toc172895203" w:history="1">
            <w:r w:rsidR="00EB7219" w:rsidRPr="00F92FCF">
              <w:rPr>
                <w:rStyle w:val="Hyperlink"/>
                <w:noProof/>
              </w:rPr>
              <w:t>Objection No. 6: The Staff Report erred by inappropriately increasing the rate of return and the cost of common equity by allowing an adjustment for equity issuance and other costs, resulting in a rate of return that is unjust and unreasonable in violation of R.C. 4909.15, R.C. 4905.22, and other authority.</w:t>
            </w:r>
            <w:r w:rsidR="00EB7219">
              <w:rPr>
                <w:noProof/>
                <w:webHidden/>
              </w:rPr>
              <w:tab/>
            </w:r>
            <w:r w:rsidR="00EB7219">
              <w:rPr>
                <w:noProof/>
                <w:webHidden/>
              </w:rPr>
              <w:fldChar w:fldCharType="begin"/>
            </w:r>
            <w:r w:rsidR="00EB7219">
              <w:rPr>
                <w:noProof/>
                <w:webHidden/>
              </w:rPr>
              <w:instrText xml:space="preserve"> PAGEREF _Toc172895203 \h </w:instrText>
            </w:r>
            <w:r w:rsidR="00EB7219">
              <w:rPr>
                <w:noProof/>
                <w:webHidden/>
              </w:rPr>
            </w:r>
            <w:r w:rsidR="00EB7219">
              <w:rPr>
                <w:noProof/>
                <w:webHidden/>
              </w:rPr>
              <w:fldChar w:fldCharType="separate"/>
            </w:r>
            <w:r w:rsidR="00EB7219">
              <w:rPr>
                <w:noProof/>
                <w:webHidden/>
              </w:rPr>
              <w:t>16</w:t>
            </w:r>
            <w:r w:rsidR="00EB7219">
              <w:rPr>
                <w:noProof/>
                <w:webHidden/>
              </w:rPr>
              <w:fldChar w:fldCharType="end"/>
            </w:r>
          </w:hyperlink>
        </w:p>
        <w:p w14:paraId="06D9AA7B" w14:textId="0344C6A1" w:rsidR="00E5007D" w:rsidRDefault="00AF4AAB">
          <w:pPr>
            <w:pStyle w:val="TOC2"/>
            <w:tabs>
              <w:tab w:val="left" w:pos="1440"/>
            </w:tabs>
            <w:rPr>
              <w:rFonts w:asciiTheme="minorHAnsi" w:eastAsiaTheme="minorEastAsia" w:hAnsiTheme="minorHAnsi" w:cstheme="minorBidi"/>
              <w:noProof/>
              <w:kern w:val="2"/>
              <w:lang w:bidi="ar-SA"/>
              <w14:ligatures w14:val="standardContextual"/>
            </w:rPr>
          </w:pPr>
          <w:hyperlink w:anchor="_Toc172895204" w:history="1">
            <w:r w:rsidR="00EB7219" w:rsidRPr="00F92FCF">
              <w:rPr>
                <w:rStyle w:val="Hyperlink"/>
                <w:noProof/>
              </w:rPr>
              <w:t>E.</w:t>
            </w:r>
            <w:r w:rsidR="00EB7219">
              <w:rPr>
                <w:rFonts w:asciiTheme="minorHAnsi" w:eastAsiaTheme="minorEastAsia" w:hAnsiTheme="minorHAnsi" w:cstheme="minorBidi"/>
                <w:noProof/>
                <w:kern w:val="2"/>
                <w:lang w:bidi="ar-SA"/>
                <w14:ligatures w14:val="standardContextual"/>
              </w:rPr>
              <w:tab/>
            </w:r>
            <w:r w:rsidR="00EB7219" w:rsidRPr="00F92FCF">
              <w:rPr>
                <w:rStyle w:val="Hyperlink"/>
                <w:noProof/>
              </w:rPr>
              <w:t>Rates and Tariffs</w:t>
            </w:r>
            <w:r w:rsidR="00EB7219">
              <w:rPr>
                <w:noProof/>
                <w:webHidden/>
              </w:rPr>
              <w:tab/>
            </w:r>
            <w:r w:rsidR="00EB7219">
              <w:rPr>
                <w:noProof/>
                <w:webHidden/>
              </w:rPr>
              <w:fldChar w:fldCharType="begin"/>
            </w:r>
            <w:r w:rsidR="00EB7219">
              <w:rPr>
                <w:noProof/>
                <w:webHidden/>
              </w:rPr>
              <w:instrText xml:space="preserve"> PAGEREF _Toc172895204 \h </w:instrText>
            </w:r>
            <w:r w:rsidR="00EB7219">
              <w:rPr>
                <w:noProof/>
                <w:webHidden/>
              </w:rPr>
            </w:r>
            <w:r w:rsidR="00EB7219">
              <w:rPr>
                <w:noProof/>
                <w:webHidden/>
              </w:rPr>
              <w:fldChar w:fldCharType="separate"/>
            </w:r>
            <w:r w:rsidR="00EB7219">
              <w:rPr>
                <w:noProof/>
                <w:webHidden/>
              </w:rPr>
              <w:t>17</w:t>
            </w:r>
            <w:r w:rsidR="00EB7219">
              <w:rPr>
                <w:noProof/>
                <w:webHidden/>
              </w:rPr>
              <w:fldChar w:fldCharType="end"/>
            </w:r>
          </w:hyperlink>
        </w:p>
        <w:p w14:paraId="676DEDC0" w14:textId="7ED32811" w:rsidR="00E5007D" w:rsidRDefault="00AF4AAB">
          <w:pPr>
            <w:pStyle w:val="TOC3"/>
            <w:rPr>
              <w:rFonts w:asciiTheme="minorHAnsi" w:eastAsiaTheme="minorEastAsia" w:hAnsiTheme="minorHAnsi" w:cstheme="minorBidi"/>
              <w:noProof/>
              <w:kern w:val="2"/>
              <w:lang w:bidi="ar-SA"/>
              <w14:ligatures w14:val="standardContextual"/>
            </w:rPr>
          </w:pPr>
          <w:hyperlink w:anchor="_Toc172895205" w:history="1">
            <w:r w:rsidR="00EB7219" w:rsidRPr="00F92FCF">
              <w:rPr>
                <w:rStyle w:val="Hyperlink"/>
                <w:noProof/>
              </w:rPr>
              <w:t xml:space="preserve">Objection No. 7: The Staff Report erred by being overly reliant on the use of internal labor cost allocators that are not representative of Enbridge’s cost of service study. Thus, the Staff Report results in rates and other charges to </w:t>
            </w:r>
            <w:r w:rsidR="00EB7219" w:rsidRPr="00F92FCF">
              <w:rPr>
                <w:rStyle w:val="Hyperlink"/>
                <w:noProof/>
              </w:rPr>
              <w:lastRenderedPageBreak/>
              <w:t>residential consumers more than what is just and reasonable under R.C. 4909.15, R.C. 4905.22, and other authority.</w:t>
            </w:r>
            <w:r w:rsidR="00EB7219">
              <w:rPr>
                <w:noProof/>
                <w:webHidden/>
              </w:rPr>
              <w:tab/>
            </w:r>
            <w:r w:rsidR="00EB7219">
              <w:rPr>
                <w:noProof/>
                <w:webHidden/>
              </w:rPr>
              <w:fldChar w:fldCharType="begin"/>
            </w:r>
            <w:r w:rsidR="00EB7219">
              <w:rPr>
                <w:noProof/>
                <w:webHidden/>
              </w:rPr>
              <w:instrText xml:space="preserve"> PAGEREF _Toc172895205 \h </w:instrText>
            </w:r>
            <w:r w:rsidR="00EB7219">
              <w:rPr>
                <w:noProof/>
                <w:webHidden/>
              </w:rPr>
            </w:r>
            <w:r w:rsidR="00EB7219">
              <w:rPr>
                <w:noProof/>
                <w:webHidden/>
              </w:rPr>
              <w:fldChar w:fldCharType="separate"/>
            </w:r>
            <w:r w:rsidR="00EB7219">
              <w:rPr>
                <w:noProof/>
                <w:webHidden/>
              </w:rPr>
              <w:t>17</w:t>
            </w:r>
            <w:r w:rsidR="00EB7219">
              <w:rPr>
                <w:noProof/>
                <w:webHidden/>
              </w:rPr>
              <w:fldChar w:fldCharType="end"/>
            </w:r>
          </w:hyperlink>
        </w:p>
        <w:p w14:paraId="7F46BA02" w14:textId="6B92854D" w:rsidR="00E5007D" w:rsidRDefault="00AF4AAB">
          <w:pPr>
            <w:pStyle w:val="TOC3"/>
            <w:rPr>
              <w:rFonts w:asciiTheme="minorHAnsi" w:eastAsiaTheme="minorEastAsia" w:hAnsiTheme="minorHAnsi" w:cstheme="minorBidi"/>
              <w:noProof/>
              <w:kern w:val="2"/>
              <w:lang w:bidi="ar-SA"/>
              <w14:ligatures w14:val="standardContextual"/>
            </w:rPr>
          </w:pPr>
          <w:hyperlink w:anchor="_Toc172895206" w:history="1">
            <w:r w:rsidR="00EB7219" w:rsidRPr="00F92FCF">
              <w:rPr>
                <w:rStyle w:val="Hyperlink"/>
                <w:noProof/>
              </w:rPr>
              <w:t>Objection No. 8: The Staff Report erred by utilizing a flawed minimum system methodology, resulting in rates and other charges to residential consumers that are more than what is just and reasonable under R.C. 4909.15, R.C. 4905.22, and other authority.</w:t>
            </w:r>
            <w:r w:rsidR="00EB7219">
              <w:rPr>
                <w:noProof/>
                <w:webHidden/>
              </w:rPr>
              <w:tab/>
            </w:r>
            <w:r w:rsidR="00EB7219">
              <w:rPr>
                <w:noProof/>
                <w:webHidden/>
              </w:rPr>
              <w:fldChar w:fldCharType="begin"/>
            </w:r>
            <w:r w:rsidR="00EB7219">
              <w:rPr>
                <w:noProof/>
                <w:webHidden/>
              </w:rPr>
              <w:instrText xml:space="preserve"> PAGEREF _Toc172895206 \h </w:instrText>
            </w:r>
            <w:r w:rsidR="00EB7219">
              <w:rPr>
                <w:noProof/>
                <w:webHidden/>
              </w:rPr>
            </w:r>
            <w:r w:rsidR="00EB7219">
              <w:rPr>
                <w:noProof/>
                <w:webHidden/>
              </w:rPr>
              <w:fldChar w:fldCharType="separate"/>
            </w:r>
            <w:r w:rsidR="00EB7219">
              <w:rPr>
                <w:noProof/>
                <w:webHidden/>
              </w:rPr>
              <w:t>17</w:t>
            </w:r>
            <w:r w:rsidR="00EB7219">
              <w:rPr>
                <w:noProof/>
                <w:webHidden/>
              </w:rPr>
              <w:fldChar w:fldCharType="end"/>
            </w:r>
          </w:hyperlink>
        </w:p>
        <w:p w14:paraId="575AE812" w14:textId="1D0CD825" w:rsidR="00E5007D" w:rsidRDefault="00AF4AAB">
          <w:pPr>
            <w:pStyle w:val="TOC3"/>
            <w:rPr>
              <w:rFonts w:asciiTheme="minorHAnsi" w:eastAsiaTheme="minorEastAsia" w:hAnsiTheme="minorHAnsi" w:cstheme="minorBidi"/>
              <w:noProof/>
              <w:kern w:val="2"/>
              <w:lang w:bidi="ar-SA"/>
              <w14:ligatures w14:val="standardContextual"/>
            </w:rPr>
          </w:pPr>
          <w:hyperlink w:anchor="_Toc172895207" w:history="1">
            <w:r w:rsidR="00EB7219" w:rsidRPr="00F92FCF">
              <w:rPr>
                <w:rStyle w:val="Hyperlink"/>
                <w:noProof/>
              </w:rPr>
              <w:t>Objection No. 9: The Staff Report erred and harms consumers by not recommending a review process for the updated cost of service study based on their recommendation to re-run the cost of service model.</w:t>
            </w:r>
            <w:r w:rsidR="00EB7219">
              <w:rPr>
                <w:noProof/>
                <w:webHidden/>
              </w:rPr>
              <w:tab/>
            </w:r>
            <w:r w:rsidR="00EB7219">
              <w:rPr>
                <w:noProof/>
                <w:webHidden/>
              </w:rPr>
              <w:fldChar w:fldCharType="begin"/>
            </w:r>
            <w:r w:rsidR="00EB7219">
              <w:rPr>
                <w:noProof/>
                <w:webHidden/>
              </w:rPr>
              <w:instrText xml:space="preserve"> PAGEREF _Toc172895207 \h </w:instrText>
            </w:r>
            <w:r w:rsidR="00EB7219">
              <w:rPr>
                <w:noProof/>
                <w:webHidden/>
              </w:rPr>
            </w:r>
            <w:r w:rsidR="00EB7219">
              <w:rPr>
                <w:noProof/>
                <w:webHidden/>
              </w:rPr>
              <w:fldChar w:fldCharType="separate"/>
            </w:r>
            <w:r w:rsidR="00EB7219">
              <w:rPr>
                <w:noProof/>
                <w:webHidden/>
              </w:rPr>
              <w:t>18</w:t>
            </w:r>
            <w:r w:rsidR="00EB7219">
              <w:rPr>
                <w:noProof/>
                <w:webHidden/>
              </w:rPr>
              <w:fldChar w:fldCharType="end"/>
            </w:r>
          </w:hyperlink>
        </w:p>
        <w:p w14:paraId="5585D26E" w14:textId="08729315" w:rsidR="00E5007D" w:rsidRDefault="00AF4AAB">
          <w:pPr>
            <w:pStyle w:val="TOC3"/>
            <w:rPr>
              <w:rFonts w:asciiTheme="minorHAnsi" w:eastAsiaTheme="minorEastAsia" w:hAnsiTheme="minorHAnsi" w:cstheme="minorBidi"/>
              <w:noProof/>
              <w:kern w:val="2"/>
              <w:lang w:bidi="ar-SA"/>
              <w14:ligatures w14:val="standardContextual"/>
            </w:rPr>
          </w:pPr>
          <w:hyperlink w:anchor="_Toc172895208" w:history="1">
            <w:r w:rsidR="00EB7219" w:rsidRPr="00F92FCF">
              <w:rPr>
                <w:rStyle w:val="Hyperlink"/>
                <w:noProof/>
              </w:rPr>
              <w:t>Objection No. 10: The Staff Report erred and harms consumers by failing to modify the Capital Expenditure Program (“CEP”) Rider and the Pipeline Infrastructure Replacement (“PIR”) Rider calculations to acknowledge Enbridge’s ability to take the Repair Deduction. The Staff Report results in rates and other charges to consumers more than what is just and reasonable under R.C. 4909.15, R.C. 4905.22, and other authority.</w:t>
            </w:r>
            <w:r w:rsidR="00EB7219">
              <w:rPr>
                <w:noProof/>
                <w:webHidden/>
              </w:rPr>
              <w:tab/>
            </w:r>
            <w:r w:rsidR="00EB7219">
              <w:rPr>
                <w:noProof/>
                <w:webHidden/>
              </w:rPr>
              <w:fldChar w:fldCharType="begin"/>
            </w:r>
            <w:r w:rsidR="00EB7219">
              <w:rPr>
                <w:noProof/>
                <w:webHidden/>
              </w:rPr>
              <w:instrText xml:space="preserve"> PAGEREF _Toc172895208 \h </w:instrText>
            </w:r>
            <w:r w:rsidR="00EB7219">
              <w:rPr>
                <w:noProof/>
                <w:webHidden/>
              </w:rPr>
            </w:r>
            <w:r w:rsidR="00EB7219">
              <w:rPr>
                <w:noProof/>
                <w:webHidden/>
              </w:rPr>
              <w:fldChar w:fldCharType="separate"/>
            </w:r>
            <w:r w:rsidR="00EB7219">
              <w:rPr>
                <w:noProof/>
                <w:webHidden/>
              </w:rPr>
              <w:t>19</w:t>
            </w:r>
            <w:r w:rsidR="00EB7219">
              <w:rPr>
                <w:noProof/>
                <w:webHidden/>
              </w:rPr>
              <w:fldChar w:fldCharType="end"/>
            </w:r>
          </w:hyperlink>
        </w:p>
        <w:p w14:paraId="09E6A247" w14:textId="57DC7777" w:rsidR="00E5007D" w:rsidRDefault="00AF4AAB">
          <w:pPr>
            <w:pStyle w:val="TOC3"/>
            <w:rPr>
              <w:rFonts w:asciiTheme="minorHAnsi" w:eastAsiaTheme="minorEastAsia" w:hAnsiTheme="minorHAnsi" w:cstheme="minorBidi"/>
              <w:noProof/>
              <w:kern w:val="2"/>
              <w:lang w:bidi="ar-SA"/>
              <w14:ligatures w14:val="standardContextual"/>
            </w:rPr>
          </w:pPr>
          <w:hyperlink w:anchor="_Toc172895209" w:history="1">
            <w:r w:rsidR="00EB7219" w:rsidRPr="00F92FCF">
              <w:rPr>
                <w:rStyle w:val="Hyperlink"/>
                <w:noProof/>
              </w:rPr>
              <w:t>Objection No. 11: The Staff Report erred by failing to require Enbridge to report how it intends to respond to Revenue Procedure 2023-15 in the future. The Staff Report results in rates and other charges to consumers more than what is just and reasonable under R.C. 4909.15, R.C. 4905.22, and other authority.</w:t>
            </w:r>
            <w:r w:rsidR="00EB7219">
              <w:rPr>
                <w:noProof/>
                <w:webHidden/>
              </w:rPr>
              <w:tab/>
            </w:r>
            <w:r w:rsidR="00EB7219">
              <w:rPr>
                <w:noProof/>
                <w:webHidden/>
              </w:rPr>
              <w:fldChar w:fldCharType="begin"/>
            </w:r>
            <w:r w:rsidR="00EB7219">
              <w:rPr>
                <w:noProof/>
                <w:webHidden/>
              </w:rPr>
              <w:instrText xml:space="preserve"> PAGEREF _Toc172895209 \h </w:instrText>
            </w:r>
            <w:r w:rsidR="00EB7219">
              <w:rPr>
                <w:noProof/>
                <w:webHidden/>
              </w:rPr>
            </w:r>
            <w:r w:rsidR="00EB7219">
              <w:rPr>
                <w:noProof/>
                <w:webHidden/>
              </w:rPr>
              <w:fldChar w:fldCharType="separate"/>
            </w:r>
            <w:r w:rsidR="00EB7219">
              <w:rPr>
                <w:noProof/>
                <w:webHidden/>
              </w:rPr>
              <w:t>20</w:t>
            </w:r>
            <w:r w:rsidR="00EB7219">
              <w:rPr>
                <w:noProof/>
                <w:webHidden/>
              </w:rPr>
              <w:fldChar w:fldCharType="end"/>
            </w:r>
          </w:hyperlink>
        </w:p>
        <w:p w14:paraId="6FEC28E0" w14:textId="18A0C1EA" w:rsidR="00E5007D" w:rsidRDefault="00AF4AAB">
          <w:pPr>
            <w:pStyle w:val="TOC3"/>
            <w:rPr>
              <w:rFonts w:asciiTheme="minorHAnsi" w:eastAsiaTheme="minorEastAsia" w:hAnsiTheme="minorHAnsi" w:cstheme="minorBidi"/>
              <w:noProof/>
              <w:kern w:val="2"/>
              <w:lang w:bidi="ar-SA"/>
              <w14:ligatures w14:val="standardContextual"/>
            </w:rPr>
          </w:pPr>
          <w:hyperlink w:anchor="_Toc172895210" w:history="1">
            <w:r w:rsidR="00EB7219" w:rsidRPr="00F92FCF">
              <w:rPr>
                <w:rStyle w:val="Hyperlink"/>
                <w:noProof/>
              </w:rPr>
              <w:t>Objection No. 12: The Staff Report erred by not modifying the CEP mechanism to reflect annual ADIT changes associated with the plant in-service balances adopted in this matter. The Staff Report results in rates and other charges to consumers more than what is just and reasonable under R.C. 4909.15, R.C. 4905.22, and other authority.</w:t>
            </w:r>
            <w:r w:rsidR="00EB7219">
              <w:rPr>
                <w:noProof/>
                <w:webHidden/>
              </w:rPr>
              <w:tab/>
            </w:r>
            <w:r w:rsidR="00EB7219">
              <w:rPr>
                <w:noProof/>
                <w:webHidden/>
              </w:rPr>
              <w:fldChar w:fldCharType="begin"/>
            </w:r>
            <w:r w:rsidR="00EB7219">
              <w:rPr>
                <w:noProof/>
                <w:webHidden/>
              </w:rPr>
              <w:instrText xml:space="preserve"> PAGEREF _Toc172895210 \h </w:instrText>
            </w:r>
            <w:r w:rsidR="00EB7219">
              <w:rPr>
                <w:noProof/>
                <w:webHidden/>
              </w:rPr>
            </w:r>
            <w:r w:rsidR="00EB7219">
              <w:rPr>
                <w:noProof/>
                <w:webHidden/>
              </w:rPr>
              <w:fldChar w:fldCharType="separate"/>
            </w:r>
            <w:r w:rsidR="00EB7219">
              <w:rPr>
                <w:noProof/>
                <w:webHidden/>
              </w:rPr>
              <w:t>21</w:t>
            </w:r>
            <w:r w:rsidR="00EB7219">
              <w:rPr>
                <w:noProof/>
                <w:webHidden/>
              </w:rPr>
              <w:fldChar w:fldCharType="end"/>
            </w:r>
          </w:hyperlink>
        </w:p>
        <w:p w14:paraId="51E90439" w14:textId="6DC77CBB" w:rsidR="00E5007D" w:rsidRDefault="00AF4AAB">
          <w:pPr>
            <w:pStyle w:val="TOC3"/>
            <w:rPr>
              <w:rFonts w:asciiTheme="minorHAnsi" w:eastAsiaTheme="minorEastAsia" w:hAnsiTheme="minorHAnsi" w:cstheme="minorBidi"/>
              <w:noProof/>
              <w:kern w:val="2"/>
              <w:lang w:bidi="ar-SA"/>
              <w14:ligatures w14:val="standardContextual"/>
            </w:rPr>
          </w:pPr>
          <w:hyperlink w:anchor="_Toc172895211" w:history="1">
            <w:r w:rsidR="00EB7219" w:rsidRPr="00F92FCF">
              <w:rPr>
                <w:rStyle w:val="Hyperlink"/>
                <w:noProof/>
              </w:rPr>
              <w:t>Objection No. 13: The Staff Report erred and harms consumers in not recommending Enbridge be ordered to provide proof of its assertation that negotiated contract customers are a net benefit to the system in its next base rate.</w:t>
            </w:r>
            <w:r w:rsidR="00EB7219">
              <w:rPr>
                <w:noProof/>
                <w:webHidden/>
              </w:rPr>
              <w:tab/>
            </w:r>
            <w:r w:rsidR="00EB7219">
              <w:rPr>
                <w:noProof/>
                <w:webHidden/>
              </w:rPr>
              <w:fldChar w:fldCharType="begin"/>
            </w:r>
            <w:r w:rsidR="00EB7219">
              <w:rPr>
                <w:noProof/>
                <w:webHidden/>
              </w:rPr>
              <w:instrText xml:space="preserve"> PAGEREF _Toc172895211 \h </w:instrText>
            </w:r>
            <w:r w:rsidR="00EB7219">
              <w:rPr>
                <w:noProof/>
                <w:webHidden/>
              </w:rPr>
            </w:r>
            <w:r w:rsidR="00EB7219">
              <w:rPr>
                <w:noProof/>
                <w:webHidden/>
              </w:rPr>
              <w:fldChar w:fldCharType="separate"/>
            </w:r>
            <w:r w:rsidR="00EB7219">
              <w:rPr>
                <w:noProof/>
                <w:webHidden/>
              </w:rPr>
              <w:t>22</w:t>
            </w:r>
            <w:r w:rsidR="00EB7219">
              <w:rPr>
                <w:noProof/>
                <w:webHidden/>
              </w:rPr>
              <w:fldChar w:fldCharType="end"/>
            </w:r>
          </w:hyperlink>
        </w:p>
        <w:p w14:paraId="7353D971" w14:textId="09420399" w:rsidR="00E5007D" w:rsidRDefault="00AF4AAB">
          <w:pPr>
            <w:pStyle w:val="TOC2"/>
            <w:tabs>
              <w:tab w:val="left" w:pos="1440"/>
            </w:tabs>
            <w:rPr>
              <w:rFonts w:asciiTheme="minorHAnsi" w:eastAsiaTheme="minorEastAsia" w:hAnsiTheme="minorHAnsi" w:cstheme="minorBidi"/>
              <w:noProof/>
              <w:kern w:val="2"/>
              <w:lang w:bidi="ar-SA"/>
              <w14:ligatures w14:val="standardContextual"/>
            </w:rPr>
          </w:pPr>
          <w:hyperlink w:anchor="_Toc172895212" w:history="1">
            <w:r w:rsidR="00EB7219" w:rsidRPr="00F92FCF">
              <w:rPr>
                <w:rStyle w:val="Hyperlink"/>
                <w:noProof/>
              </w:rPr>
              <w:t>F.</w:t>
            </w:r>
            <w:r w:rsidR="00EB7219">
              <w:rPr>
                <w:rFonts w:asciiTheme="minorHAnsi" w:eastAsiaTheme="minorEastAsia" w:hAnsiTheme="minorHAnsi" w:cstheme="minorBidi"/>
                <w:noProof/>
                <w:kern w:val="2"/>
                <w:lang w:bidi="ar-SA"/>
                <w14:ligatures w14:val="standardContextual"/>
              </w:rPr>
              <w:tab/>
            </w:r>
            <w:r w:rsidR="00EB7219" w:rsidRPr="00F92FCF">
              <w:rPr>
                <w:rStyle w:val="Hyperlink"/>
                <w:noProof/>
              </w:rPr>
              <w:t>Consumer Protections</w:t>
            </w:r>
            <w:r w:rsidR="00EB7219">
              <w:rPr>
                <w:noProof/>
                <w:webHidden/>
              </w:rPr>
              <w:tab/>
            </w:r>
            <w:r w:rsidR="00EB7219">
              <w:rPr>
                <w:noProof/>
                <w:webHidden/>
              </w:rPr>
              <w:fldChar w:fldCharType="begin"/>
            </w:r>
            <w:r w:rsidR="00EB7219">
              <w:rPr>
                <w:noProof/>
                <w:webHidden/>
              </w:rPr>
              <w:instrText xml:space="preserve"> PAGEREF _Toc172895212 \h </w:instrText>
            </w:r>
            <w:r w:rsidR="00EB7219">
              <w:rPr>
                <w:noProof/>
                <w:webHidden/>
              </w:rPr>
            </w:r>
            <w:r w:rsidR="00EB7219">
              <w:rPr>
                <w:noProof/>
                <w:webHidden/>
              </w:rPr>
              <w:fldChar w:fldCharType="separate"/>
            </w:r>
            <w:r w:rsidR="00EB7219">
              <w:rPr>
                <w:noProof/>
                <w:webHidden/>
              </w:rPr>
              <w:t>22</w:t>
            </w:r>
            <w:r w:rsidR="00EB7219">
              <w:rPr>
                <w:noProof/>
                <w:webHidden/>
              </w:rPr>
              <w:fldChar w:fldCharType="end"/>
            </w:r>
          </w:hyperlink>
        </w:p>
        <w:p w14:paraId="72C9C2FA" w14:textId="6E62627E" w:rsidR="00E5007D" w:rsidRDefault="00AF4AAB">
          <w:pPr>
            <w:pStyle w:val="TOC3"/>
            <w:rPr>
              <w:rFonts w:asciiTheme="minorHAnsi" w:eastAsiaTheme="minorEastAsia" w:hAnsiTheme="minorHAnsi" w:cstheme="minorBidi"/>
              <w:noProof/>
              <w:kern w:val="2"/>
              <w:lang w:bidi="ar-SA"/>
              <w14:ligatures w14:val="standardContextual"/>
            </w:rPr>
          </w:pPr>
          <w:hyperlink w:anchor="_Toc172895213" w:history="1">
            <w:r w:rsidR="00EB7219" w:rsidRPr="00F92FCF">
              <w:rPr>
                <w:rStyle w:val="Hyperlink"/>
                <w:noProof/>
              </w:rPr>
              <w:t>Objection No. 14: The Staff Report erred and harms consumers by failing to evaluate the impact of the rates and rider charges on consumers with respect to energy affordability or the energy burden of Enbridge’s proposed rates and rider charges.</w:t>
            </w:r>
            <w:r w:rsidR="00EB7219">
              <w:rPr>
                <w:noProof/>
                <w:webHidden/>
              </w:rPr>
              <w:tab/>
            </w:r>
            <w:r w:rsidR="00EB7219">
              <w:rPr>
                <w:noProof/>
                <w:webHidden/>
              </w:rPr>
              <w:fldChar w:fldCharType="begin"/>
            </w:r>
            <w:r w:rsidR="00EB7219">
              <w:rPr>
                <w:noProof/>
                <w:webHidden/>
              </w:rPr>
              <w:instrText xml:space="preserve"> PAGEREF _Toc172895213 \h </w:instrText>
            </w:r>
            <w:r w:rsidR="00EB7219">
              <w:rPr>
                <w:noProof/>
                <w:webHidden/>
              </w:rPr>
            </w:r>
            <w:r w:rsidR="00EB7219">
              <w:rPr>
                <w:noProof/>
                <w:webHidden/>
              </w:rPr>
              <w:fldChar w:fldCharType="separate"/>
            </w:r>
            <w:r w:rsidR="00EB7219">
              <w:rPr>
                <w:noProof/>
                <w:webHidden/>
              </w:rPr>
              <w:t>22</w:t>
            </w:r>
            <w:r w:rsidR="00EB7219">
              <w:rPr>
                <w:noProof/>
                <w:webHidden/>
              </w:rPr>
              <w:fldChar w:fldCharType="end"/>
            </w:r>
          </w:hyperlink>
        </w:p>
        <w:p w14:paraId="4149E5A2" w14:textId="1B99DD16" w:rsidR="00E5007D" w:rsidRDefault="00AF4AAB">
          <w:pPr>
            <w:pStyle w:val="TOC3"/>
            <w:rPr>
              <w:rFonts w:asciiTheme="minorHAnsi" w:eastAsiaTheme="minorEastAsia" w:hAnsiTheme="minorHAnsi" w:cstheme="minorBidi"/>
              <w:noProof/>
              <w:kern w:val="2"/>
              <w:lang w:bidi="ar-SA"/>
              <w14:ligatures w14:val="standardContextual"/>
            </w:rPr>
          </w:pPr>
          <w:hyperlink w:anchor="_Toc172895214" w:history="1">
            <w:r w:rsidR="00EB7219" w:rsidRPr="00F92FCF">
              <w:rPr>
                <w:rStyle w:val="Hyperlink"/>
                <w:noProof/>
              </w:rPr>
              <w:t>Objection No. 15: The Staff Report erred and harmed consumers in its failure to recommend an investigation into the root causes for the dramatic increase in disconnections from 2021 to 2023.</w:t>
            </w:r>
            <w:r w:rsidR="00EB7219">
              <w:rPr>
                <w:noProof/>
                <w:webHidden/>
              </w:rPr>
              <w:tab/>
            </w:r>
            <w:r w:rsidR="00EB7219">
              <w:rPr>
                <w:noProof/>
                <w:webHidden/>
              </w:rPr>
              <w:fldChar w:fldCharType="begin"/>
            </w:r>
            <w:r w:rsidR="00EB7219">
              <w:rPr>
                <w:noProof/>
                <w:webHidden/>
              </w:rPr>
              <w:instrText xml:space="preserve"> PAGEREF _Toc172895214 \h </w:instrText>
            </w:r>
            <w:r w:rsidR="00EB7219">
              <w:rPr>
                <w:noProof/>
                <w:webHidden/>
              </w:rPr>
            </w:r>
            <w:r w:rsidR="00EB7219">
              <w:rPr>
                <w:noProof/>
                <w:webHidden/>
              </w:rPr>
              <w:fldChar w:fldCharType="separate"/>
            </w:r>
            <w:r w:rsidR="00EB7219">
              <w:rPr>
                <w:noProof/>
                <w:webHidden/>
              </w:rPr>
              <w:t>23</w:t>
            </w:r>
            <w:r w:rsidR="00EB7219">
              <w:rPr>
                <w:noProof/>
                <w:webHidden/>
              </w:rPr>
              <w:fldChar w:fldCharType="end"/>
            </w:r>
          </w:hyperlink>
        </w:p>
        <w:p w14:paraId="4AFB5895" w14:textId="4C29F164" w:rsidR="00E5007D" w:rsidRDefault="00AF4AAB">
          <w:pPr>
            <w:pStyle w:val="TOC3"/>
            <w:rPr>
              <w:rFonts w:asciiTheme="minorHAnsi" w:eastAsiaTheme="minorEastAsia" w:hAnsiTheme="minorHAnsi" w:cstheme="minorBidi"/>
              <w:noProof/>
              <w:kern w:val="2"/>
              <w:lang w:bidi="ar-SA"/>
              <w14:ligatures w14:val="standardContextual"/>
            </w:rPr>
          </w:pPr>
          <w:hyperlink w:anchor="_Toc172895215" w:history="1">
            <w:r w:rsidR="00EB7219" w:rsidRPr="00F92FCF">
              <w:rPr>
                <w:rStyle w:val="Hyperlink"/>
                <w:noProof/>
              </w:rPr>
              <w:t>Objection No. 16: The Staff Report erred and harms consumers by failing to recommend continuing and increasing the “Energy Share” bill payment assistance program, along with adding a new bill payment assistance program during the summer months.</w:t>
            </w:r>
            <w:r w:rsidR="00EB7219">
              <w:rPr>
                <w:noProof/>
                <w:webHidden/>
              </w:rPr>
              <w:tab/>
            </w:r>
            <w:r w:rsidR="00EB7219">
              <w:rPr>
                <w:noProof/>
                <w:webHidden/>
              </w:rPr>
              <w:fldChar w:fldCharType="begin"/>
            </w:r>
            <w:r w:rsidR="00EB7219">
              <w:rPr>
                <w:noProof/>
                <w:webHidden/>
              </w:rPr>
              <w:instrText xml:space="preserve"> PAGEREF _Toc172895215 \h </w:instrText>
            </w:r>
            <w:r w:rsidR="00EB7219">
              <w:rPr>
                <w:noProof/>
                <w:webHidden/>
              </w:rPr>
            </w:r>
            <w:r w:rsidR="00EB7219">
              <w:rPr>
                <w:noProof/>
                <w:webHidden/>
              </w:rPr>
              <w:fldChar w:fldCharType="separate"/>
            </w:r>
            <w:r w:rsidR="00EB7219">
              <w:rPr>
                <w:noProof/>
                <w:webHidden/>
              </w:rPr>
              <w:t>24</w:t>
            </w:r>
            <w:r w:rsidR="00EB7219">
              <w:rPr>
                <w:noProof/>
                <w:webHidden/>
              </w:rPr>
              <w:fldChar w:fldCharType="end"/>
            </w:r>
          </w:hyperlink>
        </w:p>
        <w:p w14:paraId="27823914" w14:textId="722DD4E1" w:rsidR="00E5007D" w:rsidRDefault="00AF4AAB">
          <w:pPr>
            <w:pStyle w:val="TOC3"/>
            <w:rPr>
              <w:rFonts w:asciiTheme="minorHAnsi" w:eastAsiaTheme="minorEastAsia" w:hAnsiTheme="minorHAnsi" w:cstheme="minorBidi"/>
              <w:noProof/>
              <w:kern w:val="2"/>
              <w:lang w:bidi="ar-SA"/>
              <w14:ligatures w14:val="standardContextual"/>
            </w:rPr>
          </w:pPr>
          <w:hyperlink w:anchor="_Toc172895216" w:history="1">
            <w:r w:rsidR="00EB7219" w:rsidRPr="00F92FCF">
              <w:rPr>
                <w:rStyle w:val="Hyperlink"/>
                <w:noProof/>
              </w:rPr>
              <w:t>Objection No. 17: The Staff Report erred and harms consumers by failing to provide consumer protections in the rate case due to Enbridge’s recent acquisition of Dominion.</w:t>
            </w:r>
            <w:r w:rsidR="00EB7219">
              <w:rPr>
                <w:noProof/>
                <w:webHidden/>
              </w:rPr>
              <w:tab/>
            </w:r>
            <w:r w:rsidR="00EB7219">
              <w:rPr>
                <w:noProof/>
                <w:webHidden/>
              </w:rPr>
              <w:fldChar w:fldCharType="begin"/>
            </w:r>
            <w:r w:rsidR="00EB7219">
              <w:rPr>
                <w:noProof/>
                <w:webHidden/>
              </w:rPr>
              <w:instrText xml:space="preserve"> PAGEREF _Toc172895216 \h </w:instrText>
            </w:r>
            <w:r w:rsidR="00EB7219">
              <w:rPr>
                <w:noProof/>
                <w:webHidden/>
              </w:rPr>
            </w:r>
            <w:r w:rsidR="00EB7219">
              <w:rPr>
                <w:noProof/>
                <w:webHidden/>
              </w:rPr>
              <w:fldChar w:fldCharType="separate"/>
            </w:r>
            <w:r w:rsidR="00EB7219">
              <w:rPr>
                <w:noProof/>
                <w:webHidden/>
              </w:rPr>
              <w:t>25</w:t>
            </w:r>
            <w:r w:rsidR="00EB7219">
              <w:rPr>
                <w:noProof/>
                <w:webHidden/>
              </w:rPr>
              <w:fldChar w:fldCharType="end"/>
            </w:r>
          </w:hyperlink>
        </w:p>
        <w:p w14:paraId="49D46BCA" w14:textId="249D7D4D" w:rsidR="00E5007D" w:rsidRDefault="00AF4AAB">
          <w:pPr>
            <w:pStyle w:val="TOC3"/>
            <w:rPr>
              <w:rFonts w:asciiTheme="minorHAnsi" w:eastAsiaTheme="minorEastAsia" w:hAnsiTheme="minorHAnsi" w:cstheme="minorBidi"/>
              <w:noProof/>
              <w:kern w:val="2"/>
              <w:lang w:bidi="ar-SA"/>
              <w14:ligatures w14:val="standardContextual"/>
            </w:rPr>
          </w:pPr>
          <w:hyperlink w:anchor="_Toc172895217" w:history="1">
            <w:r w:rsidR="00EB7219" w:rsidRPr="00F92FCF">
              <w:rPr>
                <w:rStyle w:val="Hyperlink"/>
                <w:noProof/>
              </w:rPr>
              <w:t>Objection No. 18: The Staff Report erred and harms consumers by not going far enough to protect Enbridge customers from being assessed late payment fees.</w:t>
            </w:r>
            <w:r w:rsidR="00EB7219">
              <w:rPr>
                <w:noProof/>
                <w:webHidden/>
              </w:rPr>
              <w:tab/>
            </w:r>
            <w:r w:rsidR="00EB7219">
              <w:rPr>
                <w:noProof/>
                <w:webHidden/>
              </w:rPr>
              <w:fldChar w:fldCharType="begin"/>
            </w:r>
            <w:r w:rsidR="00EB7219">
              <w:rPr>
                <w:noProof/>
                <w:webHidden/>
              </w:rPr>
              <w:instrText xml:space="preserve"> PAGEREF _Toc172895217 \h </w:instrText>
            </w:r>
            <w:r w:rsidR="00EB7219">
              <w:rPr>
                <w:noProof/>
                <w:webHidden/>
              </w:rPr>
            </w:r>
            <w:r w:rsidR="00EB7219">
              <w:rPr>
                <w:noProof/>
                <w:webHidden/>
              </w:rPr>
              <w:fldChar w:fldCharType="separate"/>
            </w:r>
            <w:r w:rsidR="00EB7219">
              <w:rPr>
                <w:noProof/>
                <w:webHidden/>
              </w:rPr>
              <w:t>26</w:t>
            </w:r>
            <w:r w:rsidR="00EB7219">
              <w:rPr>
                <w:noProof/>
                <w:webHidden/>
              </w:rPr>
              <w:fldChar w:fldCharType="end"/>
            </w:r>
          </w:hyperlink>
        </w:p>
        <w:p w14:paraId="7537EEB5" w14:textId="77D40F25" w:rsidR="00E5007D" w:rsidRDefault="00AF4AAB">
          <w:pPr>
            <w:pStyle w:val="TOC3"/>
            <w:rPr>
              <w:rFonts w:asciiTheme="minorHAnsi" w:eastAsiaTheme="minorEastAsia" w:hAnsiTheme="minorHAnsi" w:cstheme="minorBidi"/>
              <w:noProof/>
              <w:kern w:val="2"/>
              <w:lang w:bidi="ar-SA"/>
              <w14:ligatures w14:val="standardContextual"/>
            </w:rPr>
          </w:pPr>
          <w:hyperlink w:anchor="_Toc172895218" w:history="1">
            <w:r w:rsidR="00EB7219" w:rsidRPr="00F92FCF">
              <w:rPr>
                <w:rStyle w:val="Hyperlink"/>
                <w:noProof/>
              </w:rPr>
              <w:t>Objection No. 19: The Staff Report erred and harms consumers in failing to recommend that Enbridge report critical disconnection and credit and collections data by zip code on an annual basis.</w:t>
            </w:r>
            <w:r w:rsidR="00EB7219">
              <w:rPr>
                <w:noProof/>
                <w:webHidden/>
              </w:rPr>
              <w:tab/>
            </w:r>
            <w:r w:rsidR="00EB7219">
              <w:rPr>
                <w:noProof/>
                <w:webHidden/>
              </w:rPr>
              <w:fldChar w:fldCharType="begin"/>
            </w:r>
            <w:r w:rsidR="00EB7219">
              <w:rPr>
                <w:noProof/>
                <w:webHidden/>
              </w:rPr>
              <w:instrText xml:space="preserve"> PAGEREF _Toc172895218 \h </w:instrText>
            </w:r>
            <w:r w:rsidR="00EB7219">
              <w:rPr>
                <w:noProof/>
                <w:webHidden/>
              </w:rPr>
            </w:r>
            <w:r w:rsidR="00EB7219">
              <w:rPr>
                <w:noProof/>
                <w:webHidden/>
              </w:rPr>
              <w:fldChar w:fldCharType="separate"/>
            </w:r>
            <w:r w:rsidR="00EB7219">
              <w:rPr>
                <w:noProof/>
                <w:webHidden/>
              </w:rPr>
              <w:t>27</w:t>
            </w:r>
            <w:r w:rsidR="00EB7219">
              <w:rPr>
                <w:noProof/>
                <w:webHidden/>
              </w:rPr>
              <w:fldChar w:fldCharType="end"/>
            </w:r>
          </w:hyperlink>
        </w:p>
        <w:p w14:paraId="7DCD9D25" w14:textId="19B12EF5" w:rsidR="00E5007D" w:rsidRDefault="00AF4AAB">
          <w:pPr>
            <w:pStyle w:val="TOC2"/>
            <w:tabs>
              <w:tab w:val="left" w:pos="1440"/>
            </w:tabs>
            <w:rPr>
              <w:rFonts w:asciiTheme="minorHAnsi" w:eastAsiaTheme="minorEastAsia" w:hAnsiTheme="minorHAnsi" w:cstheme="minorBidi"/>
              <w:noProof/>
              <w:kern w:val="2"/>
              <w:lang w:bidi="ar-SA"/>
              <w14:ligatures w14:val="standardContextual"/>
            </w:rPr>
          </w:pPr>
          <w:hyperlink w:anchor="_Toc172895219" w:history="1">
            <w:r w:rsidR="00EB7219" w:rsidRPr="00F92FCF">
              <w:rPr>
                <w:rStyle w:val="Hyperlink"/>
                <w:noProof/>
              </w:rPr>
              <w:t>G.</w:t>
            </w:r>
            <w:r w:rsidR="00EB7219">
              <w:rPr>
                <w:rFonts w:asciiTheme="minorHAnsi" w:eastAsiaTheme="minorEastAsia" w:hAnsiTheme="minorHAnsi" w:cstheme="minorBidi"/>
                <w:noProof/>
                <w:kern w:val="2"/>
                <w:lang w:bidi="ar-SA"/>
                <w14:ligatures w14:val="standardContextual"/>
              </w:rPr>
              <w:tab/>
            </w:r>
            <w:r w:rsidR="00EB7219" w:rsidRPr="00F92FCF">
              <w:rPr>
                <w:rStyle w:val="Hyperlink"/>
                <w:noProof/>
              </w:rPr>
              <w:t>Rejection of Enbridge’s Application</w:t>
            </w:r>
            <w:r w:rsidR="00EB7219">
              <w:rPr>
                <w:noProof/>
                <w:webHidden/>
              </w:rPr>
              <w:tab/>
            </w:r>
            <w:r w:rsidR="00EB7219">
              <w:rPr>
                <w:noProof/>
                <w:webHidden/>
              </w:rPr>
              <w:fldChar w:fldCharType="begin"/>
            </w:r>
            <w:r w:rsidR="00EB7219">
              <w:rPr>
                <w:noProof/>
                <w:webHidden/>
              </w:rPr>
              <w:instrText xml:space="preserve"> PAGEREF _Toc172895219 \h </w:instrText>
            </w:r>
            <w:r w:rsidR="00EB7219">
              <w:rPr>
                <w:noProof/>
                <w:webHidden/>
              </w:rPr>
            </w:r>
            <w:r w:rsidR="00EB7219">
              <w:rPr>
                <w:noProof/>
                <w:webHidden/>
              </w:rPr>
              <w:fldChar w:fldCharType="separate"/>
            </w:r>
            <w:r w:rsidR="00EB7219">
              <w:rPr>
                <w:noProof/>
                <w:webHidden/>
              </w:rPr>
              <w:t>28</w:t>
            </w:r>
            <w:r w:rsidR="00EB7219">
              <w:rPr>
                <w:noProof/>
                <w:webHidden/>
              </w:rPr>
              <w:fldChar w:fldCharType="end"/>
            </w:r>
          </w:hyperlink>
        </w:p>
        <w:p w14:paraId="54129D56" w14:textId="0314406F" w:rsidR="00E5007D" w:rsidRDefault="00AF4AAB">
          <w:pPr>
            <w:pStyle w:val="TOC3"/>
            <w:rPr>
              <w:rFonts w:asciiTheme="minorHAnsi" w:eastAsiaTheme="minorEastAsia" w:hAnsiTheme="minorHAnsi" w:cstheme="minorBidi"/>
              <w:noProof/>
              <w:kern w:val="2"/>
              <w:lang w:bidi="ar-SA"/>
              <w14:ligatures w14:val="standardContextual"/>
            </w:rPr>
          </w:pPr>
          <w:hyperlink w:anchor="_Toc172895220" w:history="1">
            <w:r w:rsidR="00EB7219" w:rsidRPr="00F92FCF">
              <w:rPr>
                <w:rStyle w:val="Hyperlink"/>
                <w:noProof/>
              </w:rPr>
              <w:t>Objection No. 20: The Staff Report is flawed because the PUCO Staff should have recommended an outright rejection of Enbridge’s unjust and unreasonable application. Among other things, the application does not address Enbridge’s acquisition of Dominion and the effect of the transaction on rates to consumers.</w:t>
            </w:r>
            <w:r w:rsidR="00EB7219">
              <w:rPr>
                <w:noProof/>
                <w:webHidden/>
              </w:rPr>
              <w:tab/>
            </w:r>
            <w:r w:rsidR="00EB7219">
              <w:rPr>
                <w:noProof/>
                <w:webHidden/>
              </w:rPr>
              <w:fldChar w:fldCharType="begin"/>
            </w:r>
            <w:r w:rsidR="00EB7219">
              <w:rPr>
                <w:noProof/>
                <w:webHidden/>
              </w:rPr>
              <w:instrText xml:space="preserve"> PAGEREF _Toc172895220 \h </w:instrText>
            </w:r>
            <w:r w:rsidR="00EB7219">
              <w:rPr>
                <w:noProof/>
                <w:webHidden/>
              </w:rPr>
            </w:r>
            <w:r w:rsidR="00EB7219">
              <w:rPr>
                <w:noProof/>
                <w:webHidden/>
              </w:rPr>
              <w:fldChar w:fldCharType="separate"/>
            </w:r>
            <w:r w:rsidR="00EB7219">
              <w:rPr>
                <w:noProof/>
                <w:webHidden/>
              </w:rPr>
              <w:t>28</w:t>
            </w:r>
            <w:r w:rsidR="00EB7219">
              <w:rPr>
                <w:noProof/>
                <w:webHidden/>
              </w:rPr>
              <w:fldChar w:fldCharType="end"/>
            </w:r>
          </w:hyperlink>
        </w:p>
        <w:p w14:paraId="692AC0AF" w14:textId="4EC919A3" w:rsidR="00E5007D" w:rsidRDefault="00AF4AAB">
          <w:pPr>
            <w:pStyle w:val="TOC1"/>
            <w:rPr>
              <w:rFonts w:asciiTheme="minorHAnsi" w:eastAsiaTheme="minorEastAsia" w:hAnsiTheme="minorHAnsi" w:cstheme="minorBidi"/>
              <w:noProof/>
              <w:kern w:val="2"/>
              <w:lang w:bidi="ar-SA"/>
              <w14:ligatures w14:val="standardContextual"/>
            </w:rPr>
          </w:pPr>
          <w:hyperlink w:anchor="_Toc172895221" w:history="1">
            <w:r w:rsidR="00EB7219" w:rsidRPr="00F92FCF">
              <w:rPr>
                <w:rStyle w:val="Hyperlink"/>
                <w:noProof/>
              </w:rPr>
              <w:t>IV.</w:t>
            </w:r>
            <w:r w:rsidR="00EB7219">
              <w:rPr>
                <w:rFonts w:asciiTheme="minorHAnsi" w:eastAsiaTheme="minorEastAsia" w:hAnsiTheme="minorHAnsi" w:cstheme="minorBidi"/>
                <w:noProof/>
                <w:kern w:val="2"/>
                <w:lang w:bidi="ar-SA"/>
                <w14:ligatures w14:val="standardContextual"/>
              </w:rPr>
              <w:tab/>
            </w:r>
            <w:r w:rsidR="00EB7219" w:rsidRPr="00F92FCF">
              <w:rPr>
                <w:rStyle w:val="Hyperlink"/>
                <w:noProof/>
              </w:rPr>
              <w:t>CONCLUSION</w:t>
            </w:r>
            <w:r w:rsidR="00EB7219">
              <w:rPr>
                <w:noProof/>
                <w:webHidden/>
              </w:rPr>
              <w:tab/>
            </w:r>
            <w:r w:rsidR="00EB7219">
              <w:rPr>
                <w:noProof/>
                <w:webHidden/>
              </w:rPr>
              <w:fldChar w:fldCharType="begin"/>
            </w:r>
            <w:r w:rsidR="00EB7219">
              <w:rPr>
                <w:noProof/>
                <w:webHidden/>
              </w:rPr>
              <w:instrText xml:space="preserve"> PAGEREF _Toc172895221 \h </w:instrText>
            </w:r>
            <w:r w:rsidR="00EB7219">
              <w:rPr>
                <w:noProof/>
                <w:webHidden/>
              </w:rPr>
            </w:r>
            <w:r w:rsidR="00EB7219">
              <w:rPr>
                <w:noProof/>
                <w:webHidden/>
              </w:rPr>
              <w:fldChar w:fldCharType="separate"/>
            </w:r>
            <w:r w:rsidR="00EB7219">
              <w:rPr>
                <w:noProof/>
                <w:webHidden/>
              </w:rPr>
              <w:t>28</w:t>
            </w:r>
            <w:r w:rsidR="00EB7219">
              <w:rPr>
                <w:noProof/>
                <w:webHidden/>
              </w:rPr>
              <w:fldChar w:fldCharType="end"/>
            </w:r>
          </w:hyperlink>
        </w:p>
        <w:p w14:paraId="51FDA2F3" w14:textId="2B84CC3C" w:rsidR="00392495" w:rsidRPr="006D21CC" w:rsidRDefault="00AF4AAB">
          <w:r w:rsidRPr="006D21CC">
            <w:rPr>
              <w:b/>
              <w:bCs/>
              <w:noProof/>
            </w:rPr>
            <w:fldChar w:fldCharType="end"/>
          </w:r>
        </w:p>
      </w:sdtContent>
    </w:sdt>
    <w:p w14:paraId="6B7B2ECC" w14:textId="77777777" w:rsidR="00B22558" w:rsidRPr="006D21CC" w:rsidRDefault="00B22558" w:rsidP="00392495">
      <w:pPr>
        <w:spacing w:after="160" w:line="278" w:lineRule="auto"/>
        <w:rPr>
          <w:b/>
          <w:bCs/>
        </w:rPr>
        <w:sectPr w:rsidR="00B22558" w:rsidRPr="006D21CC" w:rsidSect="006E5471">
          <w:footerReference w:type="default" r:id="rId17"/>
          <w:pgSz w:w="12240" w:h="15840"/>
          <w:pgMar w:top="1440" w:right="1440" w:bottom="1440" w:left="1440" w:header="720" w:footer="720" w:gutter="0"/>
          <w:pgNumType w:fmt="lowerRoman" w:start="1"/>
          <w:cols w:space="720"/>
          <w:docGrid w:linePitch="360"/>
        </w:sectPr>
      </w:pPr>
    </w:p>
    <w:bookmarkEnd w:id="0"/>
    <w:p w14:paraId="4D0B50EC" w14:textId="0281378A" w:rsidR="00392495" w:rsidRPr="006D21CC" w:rsidRDefault="00AF4AAB" w:rsidP="00392495">
      <w:pPr>
        <w:jc w:val="center"/>
        <w:rPr>
          <w:b/>
        </w:rPr>
      </w:pPr>
      <w:r w:rsidRPr="006D21CC">
        <w:rPr>
          <w:b/>
        </w:rPr>
        <w:lastRenderedPageBreak/>
        <w:t xml:space="preserve">BEFORE </w:t>
      </w:r>
    </w:p>
    <w:p w14:paraId="462C501D" w14:textId="77777777" w:rsidR="00392495" w:rsidRPr="006D21CC" w:rsidRDefault="00AF4AAB" w:rsidP="00392495">
      <w:pPr>
        <w:jc w:val="center"/>
        <w:rPr>
          <w:b/>
        </w:rPr>
      </w:pPr>
      <w:r w:rsidRPr="006D21CC">
        <w:rPr>
          <w:b/>
        </w:rPr>
        <w:t>THE PUBLIC UTILITIES COMMISSION OF OHIO</w:t>
      </w:r>
    </w:p>
    <w:p w14:paraId="2D0A5555" w14:textId="77777777" w:rsidR="00392495" w:rsidRPr="006D21CC" w:rsidRDefault="00392495" w:rsidP="00392495">
      <w:pPr>
        <w:jc w:val="center"/>
        <w:rPr>
          <w:b/>
        </w:rPr>
      </w:pPr>
    </w:p>
    <w:tbl>
      <w:tblPr>
        <w:tblW w:w="8640" w:type="dxa"/>
        <w:tblLook w:val="01E0" w:firstRow="1" w:lastRow="1" w:firstColumn="1" w:lastColumn="1" w:noHBand="0" w:noVBand="0"/>
      </w:tblPr>
      <w:tblGrid>
        <w:gridCol w:w="4332"/>
        <w:gridCol w:w="360"/>
        <w:gridCol w:w="3948"/>
      </w:tblGrid>
      <w:tr w:rsidR="009F531F" w14:paraId="695C7B19" w14:textId="77777777" w:rsidTr="00A221B9">
        <w:trPr>
          <w:trHeight w:val="807"/>
        </w:trPr>
        <w:tc>
          <w:tcPr>
            <w:tcW w:w="4332" w:type="dxa"/>
          </w:tcPr>
          <w:p w14:paraId="00786DD5"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 xml:space="preserve">In the Matter of the Application of the East Ohio </w:t>
            </w:r>
            <w:r w:rsidRPr="006D21CC">
              <w:rPr>
                <w:rFonts w:ascii="Times New Roman" w:hAnsi="Times New Roman" w:cs="Times New Roman"/>
                <w:sz w:val="24"/>
                <w:szCs w:val="24"/>
              </w:rPr>
              <w:t>Gas Company d/b/a Enbridge Gas Ohio for Approval to Increase Natural Gas Rates</w:t>
            </w:r>
          </w:p>
          <w:p w14:paraId="271A3097" w14:textId="77777777" w:rsidR="00392495" w:rsidRPr="006D21CC" w:rsidRDefault="00392495" w:rsidP="00A221B9">
            <w:pPr>
              <w:pStyle w:val="HTMLPreformatted"/>
              <w:rPr>
                <w:rFonts w:ascii="Times New Roman" w:hAnsi="Times New Roman" w:cs="Times New Roman"/>
                <w:sz w:val="24"/>
                <w:szCs w:val="24"/>
              </w:rPr>
            </w:pPr>
          </w:p>
          <w:p w14:paraId="32C6CAC7"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In the Matter of the Application of the East Ohio Gas Company d/b/a Enbridge Gas Ohio for Approval of Alternative Rate Plan</w:t>
            </w:r>
          </w:p>
          <w:p w14:paraId="0F5E02EF" w14:textId="77777777" w:rsidR="00392495" w:rsidRPr="006D21CC" w:rsidRDefault="00392495" w:rsidP="00A221B9">
            <w:pPr>
              <w:pStyle w:val="HTMLPreformatted"/>
              <w:rPr>
                <w:rFonts w:ascii="Times New Roman" w:hAnsi="Times New Roman" w:cs="Times New Roman"/>
                <w:sz w:val="24"/>
                <w:szCs w:val="24"/>
              </w:rPr>
            </w:pPr>
          </w:p>
          <w:p w14:paraId="24A3435C"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In the Matter of the Application of the East Ohio Gas Company d/b/a Enbridge Gas Ohio for Approval to Change Accounting Methods</w:t>
            </w:r>
          </w:p>
          <w:p w14:paraId="265BE8EB" w14:textId="77777777" w:rsidR="00392495" w:rsidRPr="006D21CC" w:rsidRDefault="00392495" w:rsidP="00A221B9">
            <w:pPr>
              <w:pStyle w:val="HTMLPreformatted"/>
              <w:rPr>
                <w:rFonts w:ascii="Times New Roman" w:hAnsi="Times New Roman" w:cs="Times New Roman"/>
                <w:sz w:val="24"/>
                <w:szCs w:val="24"/>
              </w:rPr>
            </w:pPr>
          </w:p>
          <w:p w14:paraId="2F033BF4"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In the Matter of the Application of the East Ohio Gas Company d/b/a Enbridge Gas Ohio for Approval of Tariff Revisions</w:t>
            </w:r>
          </w:p>
        </w:tc>
        <w:tc>
          <w:tcPr>
            <w:tcW w:w="360" w:type="dxa"/>
          </w:tcPr>
          <w:p w14:paraId="2A1FC0CB"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1F33EFF8"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2689D27A"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105C5832" w14:textId="77777777" w:rsidR="00392495" w:rsidRPr="006D21CC" w:rsidRDefault="00392495" w:rsidP="00A221B9">
            <w:pPr>
              <w:pStyle w:val="HTMLPreformatted"/>
              <w:rPr>
                <w:rFonts w:ascii="Times New Roman" w:hAnsi="Times New Roman" w:cs="Times New Roman"/>
                <w:sz w:val="24"/>
                <w:szCs w:val="24"/>
              </w:rPr>
            </w:pPr>
          </w:p>
          <w:p w14:paraId="41B02508" w14:textId="77777777" w:rsidR="00392495" w:rsidRPr="006D21CC" w:rsidRDefault="00392495" w:rsidP="00A221B9">
            <w:pPr>
              <w:pStyle w:val="HTMLPreformatted"/>
              <w:rPr>
                <w:rFonts w:ascii="Times New Roman" w:hAnsi="Times New Roman" w:cs="Times New Roman"/>
                <w:sz w:val="24"/>
                <w:szCs w:val="24"/>
              </w:rPr>
            </w:pPr>
          </w:p>
          <w:p w14:paraId="1D898235"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3F54E267"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367E5745"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27E6C158" w14:textId="77777777" w:rsidR="00392495" w:rsidRPr="006D21CC" w:rsidRDefault="00392495" w:rsidP="00A221B9">
            <w:pPr>
              <w:pStyle w:val="HTMLPreformatted"/>
              <w:rPr>
                <w:rFonts w:ascii="Times New Roman" w:hAnsi="Times New Roman" w:cs="Times New Roman"/>
                <w:sz w:val="24"/>
                <w:szCs w:val="24"/>
              </w:rPr>
            </w:pPr>
          </w:p>
          <w:p w14:paraId="5A940730" w14:textId="77777777" w:rsidR="00392495" w:rsidRPr="006D21CC" w:rsidRDefault="00392495" w:rsidP="00A221B9">
            <w:pPr>
              <w:pStyle w:val="HTMLPreformatted"/>
              <w:rPr>
                <w:rFonts w:ascii="Times New Roman" w:hAnsi="Times New Roman" w:cs="Times New Roman"/>
                <w:sz w:val="24"/>
                <w:szCs w:val="24"/>
              </w:rPr>
            </w:pPr>
          </w:p>
          <w:p w14:paraId="7BE49B71"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0C2C4A8B"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1A348027"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6B2520D9" w14:textId="77777777" w:rsidR="00392495" w:rsidRPr="006D21CC" w:rsidRDefault="00392495" w:rsidP="00A221B9">
            <w:pPr>
              <w:pStyle w:val="HTMLPreformatted"/>
              <w:rPr>
                <w:rFonts w:ascii="Times New Roman" w:hAnsi="Times New Roman" w:cs="Times New Roman"/>
                <w:sz w:val="24"/>
                <w:szCs w:val="24"/>
              </w:rPr>
            </w:pPr>
          </w:p>
          <w:p w14:paraId="0A6A0605" w14:textId="77777777" w:rsidR="00392495" w:rsidRPr="006D21CC" w:rsidRDefault="00392495" w:rsidP="00A221B9">
            <w:pPr>
              <w:pStyle w:val="HTMLPreformatted"/>
              <w:rPr>
                <w:rFonts w:ascii="Times New Roman" w:hAnsi="Times New Roman" w:cs="Times New Roman"/>
                <w:sz w:val="24"/>
                <w:szCs w:val="24"/>
              </w:rPr>
            </w:pPr>
          </w:p>
          <w:p w14:paraId="2075918F"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595DE713"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p w14:paraId="0276B2BA"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w:t>
            </w:r>
          </w:p>
        </w:tc>
        <w:tc>
          <w:tcPr>
            <w:tcW w:w="3948" w:type="dxa"/>
          </w:tcPr>
          <w:p w14:paraId="1EB32F7D" w14:textId="77777777" w:rsidR="00392495" w:rsidRPr="006D21CC" w:rsidRDefault="00392495" w:rsidP="00A221B9">
            <w:pPr>
              <w:pStyle w:val="HTMLPreformatted"/>
              <w:rPr>
                <w:rFonts w:ascii="Times New Roman" w:hAnsi="Times New Roman" w:cs="Times New Roman"/>
                <w:sz w:val="24"/>
                <w:szCs w:val="24"/>
              </w:rPr>
            </w:pPr>
          </w:p>
          <w:p w14:paraId="5B317E71"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 xml:space="preserve">Case No. </w:t>
            </w:r>
            <w:r w:rsidRPr="006D21CC">
              <w:rPr>
                <w:rFonts w:ascii="Times New Roman" w:hAnsi="Times New Roman" w:cs="Times New Roman"/>
                <w:sz w:val="24"/>
                <w:szCs w:val="24"/>
              </w:rPr>
              <w:t>23-894-GA-AIR</w:t>
            </w:r>
          </w:p>
          <w:p w14:paraId="14CC9017" w14:textId="77777777" w:rsidR="00392495" w:rsidRPr="006D21CC" w:rsidRDefault="00392495" w:rsidP="00A221B9">
            <w:pPr>
              <w:pStyle w:val="HTMLPreformatted"/>
              <w:rPr>
                <w:rFonts w:ascii="Times New Roman" w:hAnsi="Times New Roman" w:cs="Times New Roman"/>
                <w:sz w:val="24"/>
                <w:szCs w:val="24"/>
              </w:rPr>
            </w:pPr>
          </w:p>
          <w:p w14:paraId="06C0906F" w14:textId="77777777" w:rsidR="00392495" w:rsidRPr="006D21CC" w:rsidRDefault="00392495" w:rsidP="00A221B9">
            <w:pPr>
              <w:pStyle w:val="HTMLPreformatted"/>
              <w:rPr>
                <w:rFonts w:ascii="Times New Roman" w:hAnsi="Times New Roman" w:cs="Times New Roman"/>
                <w:sz w:val="24"/>
                <w:szCs w:val="24"/>
              </w:rPr>
            </w:pPr>
          </w:p>
          <w:p w14:paraId="2471B024" w14:textId="77777777" w:rsidR="00392495" w:rsidRPr="006D21CC" w:rsidRDefault="00392495" w:rsidP="00A221B9">
            <w:pPr>
              <w:pStyle w:val="HTMLPreformatted"/>
              <w:rPr>
                <w:rFonts w:ascii="Times New Roman" w:hAnsi="Times New Roman" w:cs="Times New Roman"/>
                <w:sz w:val="24"/>
                <w:szCs w:val="24"/>
              </w:rPr>
            </w:pPr>
          </w:p>
          <w:p w14:paraId="387F294C" w14:textId="77777777" w:rsidR="00392495" w:rsidRPr="006D21CC" w:rsidRDefault="00392495" w:rsidP="00A221B9">
            <w:pPr>
              <w:pStyle w:val="HTMLPreformatted"/>
              <w:rPr>
                <w:rFonts w:ascii="Times New Roman" w:hAnsi="Times New Roman" w:cs="Times New Roman"/>
                <w:sz w:val="24"/>
                <w:szCs w:val="24"/>
              </w:rPr>
            </w:pPr>
          </w:p>
          <w:p w14:paraId="016028BF"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Case No. 23-895-GA-ALT</w:t>
            </w:r>
          </w:p>
          <w:p w14:paraId="6107DC96" w14:textId="77777777" w:rsidR="00392495" w:rsidRPr="006D21CC" w:rsidRDefault="00392495" w:rsidP="00A221B9">
            <w:pPr>
              <w:pStyle w:val="HTMLPreformatted"/>
              <w:rPr>
                <w:rFonts w:ascii="Times New Roman" w:hAnsi="Times New Roman" w:cs="Times New Roman"/>
                <w:sz w:val="24"/>
                <w:szCs w:val="24"/>
              </w:rPr>
            </w:pPr>
          </w:p>
          <w:p w14:paraId="05A63EFD" w14:textId="77777777" w:rsidR="00392495" w:rsidRPr="006D21CC" w:rsidRDefault="00392495" w:rsidP="00A221B9">
            <w:pPr>
              <w:pStyle w:val="HTMLPreformatted"/>
              <w:rPr>
                <w:rFonts w:ascii="Times New Roman" w:hAnsi="Times New Roman" w:cs="Times New Roman"/>
                <w:sz w:val="24"/>
                <w:szCs w:val="24"/>
              </w:rPr>
            </w:pPr>
          </w:p>
          <w:p w14:paraId="55CB1C57" w14:textId="77777777" w:rsidR="00392495" w:rsidRPr="006D21CC" w:rsidRDefault="00392495" w:rsidP="00A221B9">
            <w:pPr>
              <w:pStyle w:val="HTMLPreformatted"/>
              <w:rPr>
                <w:rFonts w:ascii="Times New Roman" w:hAnsi="Times New Roman" w:cs="Times New Roman"/>
                <w:sz w:val="24"/>
                <w:szCs w:val="24"/>
              </w:rPr>
            </w:pPr>
          </w:p>
          <w:p w14:paraId="6C0B2ACA" w14:textId="77777777" w:rsidR="00392495" w:rsidRPr="006D21CC" w:rsidRDefault="00392495" w:rsidP="00A221B9">
            <w:pPr>
              <w:pStyle w:val="HTMLPreformatted"/>
              <w:rPr>
                <w:rFonts w:ascii="Times New Roman" w:hAnsi="Times New Roman" w:cs="Times New Roman"/>
                <w:sz w:val="24"/>
                <w:szCs w:val="24"/>
              </w:rPr>
            </w:pPr>
          </w:p>
          <w:p w14:paraId="03758AE3"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Case No. 23-896-GA-AAM</w:t>
            </w:r>
          </w:p>
          <w:p w14:paraId="4F5DD18C" w14:textId="77777777" w:rsidR="00392495" w:rsidRPr="006D21CC" w:rsidRDefault="00392495" w:rsidP="00A221B9">
            <w:pPr>
              <w:pStyle w:val="HTMLPreformatted"/>
              <w:rPr>
                <w:rFonts w:ascii="Times New Roman" w:hAnsi="Times New Roman" w:cs="Times New Roman"/>
                <w:sz w:val="24"/>
                <w:szCs w:val="24"/>
              </w:rPr>
            </w:pPr>
          </w:p>
          <w:p w14:paraId="5D3CD2B5" w14:textId="77777777" w:rsidR="00392495" w:rsidRPr="006D21CC" w:rsidRDefault="00392495" w:rsidP="00A221B9">
            <w:pPr>
              <w:pStyle w:val="HTMLPreformatted"/>
              <w:rPr>
                <w:rFonts w:ascii="Times New Roman" w:hAnsi="Times New Roman" w:cs="Times New Roman"/>
                <w:sz w:val="24"/>
                <w:szCs w:val="24"/>
              </w:rPr>
            </w:pPr>
          </w:p>
          <w:p w14:paraId="016C4459" w14:textId="77777777" w:rsidR="00392495" w:rsidRPr="006D21CC" w:rsidRDefault="00392495" w:rsidP="00A221B9">
            <w:pPr>
              <w:pStyle w:val="HTMLPreformatted"/>
              <w:rPr>
                <w:rFonts w:ascii="Times New Roman" w:hAnsi="Times New Roman" w:cs="Times New Roman"/>
                <w:sz w:val="24"/>
                <w:szCs w:val="24"/>
              </w:rPr>
            </w:pPr>
          </w:p>
          <w:p w14:paraId="3186AE99" w14:textId="77777777" w:rsidR="00392495" w:rsidRPr="006D21CC" w:rsidRDefault="00392495" w:rsidP="00A221B9">
            <w:pPr>
              <w:pStyle w:val="HTMLPreformatted"/>
              <w:rPr>
                <w:rFonts w:ascii="Times New Roman" w:hAnsi="Times New Roman" w:cs="Times New Roman"/>
                <w:sz w:val="24"/>
                <w:szCs w:val="24"/>
              </w:rPr>
            </w:pPr>
          </w:p>
          <w:p w14:paraId="16E4FA21" w14:textId="77777777" w:rsidR="00392495" w:rsidRPr="006D21CC" w:rsidRDefault="00AF4AAB" w:rsidP="00A221B9">
            <w:pPr>
              <w:pStyle w:val="HTMLPreformatted"/>
              <w:rPr>
                <w:rFonts w:ascii="Times New Roman" w:hAnsi="Times New Roman" w:cs="Times New Roman"/>
                <w:sz w:val="24"/>
                <w:szCs w:val="24"/>
              </w:rPr>
            </w:pPr>
            <w:r w:rsidRPr="006D21CC">
              <w:rPr>
                <w:rFonts w:ascii="Times New Roman" w:hAnsi="Times New Roman" w:cs="Times New Roman"/>
                <w:sz w:val="24"/>
                <w:szCs w:val="24"/>
              </w:rPr>
              <w:t>Case No. 23-897-GA-ATA</w:t>
            </w:r>
          </w:p>
        </w:tc>
      </w:tr>
    </w:tbl>
    <w:p w14:paraId="1BEB4BA2" w14:textId="77777777" w:rsidR="00392495" w:rsidRPr="006D21CC" w:rsidRDefault="00392495" w:rsidP="00392495">
      <w:pPr>
        <w:rPr>
          <w:b/>
        </w:rPr>
      </w:pPr>
    </w:p>
    <w:p w14:paraId="2CC1440B" w14:textId="77777777" w:rsidR="00392495" w:rsidRPr="006D21CC" w:rsidRDefault="00392495" w:rsidP="00392495">
      <w:pPr>
        <w:pBdr>
          <w:top w:val="single" w:sz="12" w:space="0" w:color="auto"/>
        </w:pBdr>
        <w:tabs>
          <w:tab w:val="left" w:pos="-720"/>
        </w:tabs>
        <w:suppressAutoHyphens/>
        <w:jc w:val="center"/>
        <w:rPr>
          <w:b/>
          <w:bCs/>
          <w:spacing w:val="-3"/>
        </w:rPr>
      </w:pPr>
    </w:p>
    <w:p w14:paraId="0D5C2AB3" w14:textId="22B0B004" w:rsidR="00392495" w:rsidRPr="006D21CC" w:rsidRDefault="00AF4AAB" w:rsidP="00392495">
      <w:pPr>
        <w:tabs>
          <w:tab w:val="left" w:pos="4770"/>
          <w:tab w:val="left" w:pos="6480"/>
        </w:tabs>
        <w:jc w:val="center"/>
        <w:rPr>
          <w:b/>
        </w:rPr>
      </w:pPr>
      <w:r w:rsidRPr="006D21CC">
        <w:rPr>
          <w:b/>
        </w:rPr>
        <w:t>OBJECTIONS TO THE PUCO STAFF</w:t>
      </w:r>
      <w:r w:rsidR="006D21CC">
        <w:rPr>
          <w:b/>
        </w:rPr>
        <w:t>’</w:t>
      </w:r>
      <w:r w:rsidRPr="006D21CC">
        <w:rPr>
          <w:b/>
        </w:rPr>
        <w:t>S REPORT OF INVESTIGATION</w:t>
      </w:r>
    </w:p>
    <w:p w14:paraId="23DEBA32" w14:textId="77777777" w:rsidR="00392495" w:rsidRPr="006D21CC" w:rsidRDefault="00AF4AAB" w:rsidP="00392495">
      <w:pPr>
        <w:tabs>
          <w:tab w:val="left" w:pos="4770"/>
          <w:tab w:val="left" w:pos="6480"/>
        </w:tabs>
        <w:jc w:val="center"/>
        <w:rPr>
          <w:b/>
        </w:rPr>
      </w:pPr>
      <w:r w:rsidRPr="006D21CC">
        <w:rPr>
          <w:b/>
        </w:rPr>
        <w:t>BY</w:t>
      </w:r>
    </w:p>
    <w:p w14:paraId="3299C73D" w14:textId="6F5D5E32" w:rsidR="00392495" w:rsidRPr="006D21CC" w:rsidRDefault="00AF4AAB" w:rsidP="00392495">
      <w:pPr>
        <w:tabs>
          <w:tab w:val="left" w:pos="4770"/>
          <w:tab w:val="left" w:pos="6480"/>
        </w:tabs>
        <w:jc w:val="center"/>
        <w:rPr>
          <w:b/>
        </w:rPr>
      </w:pPr>
      <w:r w:rsidRPr="006D21CC">
        <w:rPr>
          <w:b/>
        </w:rPr>
        <w:t>OFFICE OF THE OHIO CONSUMERS</w:t>
      </w:r>
      <w:r w:rsidR="006D21CC">
        <w:rPr>
          <w:b/>
        </w:rPr>
        <w:t>’</w:t>
      </w:r>
      <w:r w:rsidRPr="006D21CC">
        <w:rPr>
          <w:b/>
        </w:rPr>
        <w:t xml:space="preserve"> COUNSEL</w:t>
      </w:r>
    </w:p>
    <w:p w14:paraId="507D360B" w14:textId="77777777" w:rsidR="00392495" w:rsidRPr="006D21CC" w:rsidRDefault="00392495" w:rsidP="00392495">
      <w:pPr>
        <w:pBdr>
          <w:bottom w:val="single" w:sz="12" w:space="1" w:color="auto"/>
        </w:pBdr>
        <w:tabs>
          <w:tab w:val="left" w:pos="-720"/>
        </w:tabs>
        <w:suppressAutoHyphens/>
        <w:jc w:val="center"/>
        <w:rPr>
          <w:b/>
          <w:bCs/>
          <w:spacing w:val="-3"/>
        </w:rPr>
      </w:pPr>
    </w:p>
    <w:p w14:paraId="22EC414A" w14:textId="77777777" w:rsidR="007F1168" w:rsidRPr="006D21CC" w:rsidRDefault="007F1168" w:rsidP="008A0536">
      <w:pPr>
        <w:spacing w:after="160" w:line="278" w:lineRule="auto"/>
      </w:pPr>
    </w:p>
    <w:p w14:paraId="05F694B0" w14:textId="4984A7ED" w:rsidR="007F1168" w:rsidRPr="006D21CC" w:rsidRDefault="00AF4AAB" w:rsidP="00E031AC">
      <w:pPr>
        <w:pStyle w:val="Heading1"/>
        <w:numPr>
          <w:ilvl w:val="0"/>
          <w:numId w:val="16"/>
        </w:numPr>
        <w:ind w:left="720"/>
        <w:rPr>
          <w:rFonts w:cs="Times New Roman"/>
          <w:szCs w:val="24"/>
        </w:rPr>
      </w:pPr>
      <w:bookmarkStart w:id="1" w:name="_Toc172895191"/>
      <w:r w:rsidRPr="006D21CC">
        <w:rPr>
          <w:rFonts w:cs="Times New Roman"/>
          <w:szCs w:val="24"/>
        </w:rPr>
        <w:t>INTRODUCTION</w:t>
      </w:r>
      <w:bookmarkEnd w:id="1"/>
    </w:p>
    <w:p w14:paraId="2B6E822C" w14:textId="77777777" w:rsidR="00E031AC" w:rsidRPr="006D21CC" w:rsidRDefault="00E031AC" w:rsidP="00E031AC">
      <w:pPr>
        <w:rPr>
          <w:lang w:bidi="ar-SA"/>
        </w:rPr>
      </w:pPr>
    </w:p>
    <w:p w14:paraId="4CEB22FE" w14:textId="347A50AF" w:rsidR="00834C10" w:rsidRPr="006D21CC" w:rsidRDefault="00AF4AAB" w:rsidP="00BA1626">
      <w:pPr>
        <w:spacing w:line="480" w:lineRule="auto"/>
      </w:pPr>
      <w:r w:rsidRPr="006D21CC">
        <w:tab/>
      </w:r>
      <w:r w:rsidR="00D620DC" w:rsidRPr="006D21CC">
        <w:t>Enbridge</w:t>
      </w:r>
      <w:r w:rsidR="00D620DC" w:rsidRPr="005402F2">
        <w:t xml:space="preserve"> (</w:t>
      </w:r>
      <w:r w:rsidR="00D620DC" w:rsidRPr="006D21CC">
        <w:t>formerly known as Dominion) has proposed to increase its revenues by $212 million, which would increase what consumers pay for natural gas distribution service</w:t>
      </w:r>
      <w:r>
        <w:rPr>
          <w:rStyle w:val="FootnoteReference"/>
        </w:rPr>
        <w:footnoteReference w:id="1"/>
      </w:r>
      <w:r w:rsidR="00D620DC" w:rsidRPr="006D21CC">
        <w:t xml:space="preserve"> by </w:t>
      </w:r>
      <w:r w:rsidR="00D620DC" w:rsidRPr="006D21CC">
        <w:rPr>
          <w:i/>
          <w:iCs/>
        </w:rPr>
        <w:t>over 30%</w:t>
      </w:r>
      <w:r w:rsidR="00D620DC" w:rsidRPr="006D21CC">
        <w:t xml:space="preserve"> depending on usage.</w:t>
      </w:r>
      <w:r>
        <w:rPr>
          <w:rStyle w:val="FootnoteReference"/>
        </w:rPr>
        <w:footnoteReference w:id="2"/>
      </w:r>
      <w:r w:rsidR="00D620DC" w:rsidRPr="006D21CC">
        <w:t xml:space="preserve"> The Staff of the Public Utilities Commission of Ohio filed its report </w:t>
      </w:r>
      <w:r w:rsidR="00D620DC" w:rsidRPr="006D21CC">
        <w:lastRenderedPageBreak/>
        <w:t>of investigation on June 26, 2024</w:t>
      </w:r>
      <w:r w:rsidR="000C28DF" w:rsidRPr="006D21CC">
        <w:t>,</w:t>
      </w:r>
      <w:r>
        <w:rPr>
          <w:rStyle w:val="FootnoteReference"/>
        </w:rPr>
        <w:footnoteReference w:id="3"/>
      </w:r>
      <w:r w:rsidR="00D620DC" w:rsidRPr="006D21CC">
        <w:t xml:space="preserve"> recommending that Enbridge </w:t>
      </w:r>
      <w:r w:rsidR="00D620DC" w:rsidRPr="006D21CC">
        <w:rPr>
          <w:i/>
          <w:iCs/>
        </w:rPr>
        <w:t xml:space="preserve">decrease </w:t>
      </w:r>
      <w:r w:rsidR="00D620DC" w:rsidRPr="006D21CC">
        <w:t>its revenue by 24.61% to 27.46%.</w:t>
      </w:r>
      <w:r>
        <w:rPr>
          <w:rStyle w:val="FootnoteReference"/>
        </w:rPr>
        <w:footnoteReference w:id="4"/>
      </w:r>
      <w:r w:rsidR="00E5007D">
        <w:t xml:space="preserve"> </w:t>
      </w:r>
    </w:p>
    <w:p w14:paraId="64B4D42B" w14:textId="76A0E685" w:rsidR="009C656C" w:rsidRPr="006D21CC" w:rsidRDefault="00AF4AAB" w:rsidP="00D620DC">
      <w:pPr>
        <w:spacing w:line="480" w:lineRule="auto"/>
        <w:ind w:firstLine="720"/>
      </w:pPr>
      <w:r w:rsidRPr="006D21CC">
        <w:t>Moderating rates is especially important for consumers in this case. H</w:t>
      </w:r>
      <w:r w:rsidR="00DE6F6C" w:rsidRPr="006D21CC">
        <w:t>igh inflation</w:t>
      </w:r>
      <w:r w:rsidRPr="006D21CC">
        <w:t xml:space="preserve"> and high interest rates have led to higher prices for everyday necessities such as rent, groceries, gasoline and energy bills.</w:t>
      </w:r>
      <w:r w:rsidR="00E5007D">
        <w:t xml:space="preserve"> </w:t>
      </w:r>
      <w:r w:rsidR="00841BFB" w:rsidRPr="006D21CC">
        <w:t xml:space="preserve">Many </w:t>
      </w:r>
      <w:r w:rsidR="0015782A" w:rsidRPr="006D21CC">
        <w:t>Enbridge consumers</w:t>
      </w:r>
      <w:r w:rsidR="00FE0D9F" w:rsidRPr="006D21CC">
        <w:t xml:space="preserve"> have limited incomes. </w:t>
      </w:r>
      <w:r w:rsidR="008812F0">
        <w:t xml:space="preserve">The </w:t>
      </w:r>
      <w:r w:rsidR="00803D15">
        <w:t xml:space="preserve">PUCO is </w:t>
      </w:r>
      <w:r w:rsidR="00155675">
        <w:t>“</w:t>
      </w:r>
      <w:r w:rsidR="00803D15">
        <w:t>acutely mindful of the range of residential household budgets, particularly Dominion’s low-income customers and moderate-income customers whose income is above the eligibility requirements for various income assistance programs.”</w:t>
      </w:r>
      <w:r>
        <w:rPr>
          <w:rStyle w:val="FootnoteReference"/>
        </w:rPr>
        <w:footnoteReference w:id="5"/>
      </w:r>
      <w:r w:rsidR="00803D15">
        <w:t xml:space="preserve"> </w:t>
      </w:r>
      <w:r w:rsidR="00FE0D9F" w:rsidRPr="006D21CC">
        <w:t xml:space="preserve">Over </w:t>
      </w:r>
      <w:r w:rsidR="00F867A0" w:rsidRPr="006D21CC">
        <w:t>300,000</w:t>
      </w:r>
      <w:r w:rsidR="00FE0D9F" w:rsidRPr="006D21CC">
        <w:t xml:space="preserve"> households in Enbridge</w:t>
      </w:r>
      <w:r w:rsidR="006D21CC">
        <w:t>’</w:t>
      </w:r>
      <w:r w:rsidR="00FE0D9F" w:rsidRPr="006D21CC">
        <w:t>s service area have incomes be</w:t>
      </w:r>
      <w:r w:rsidR="00F867A0" w:rsidRPr="006D21CC">
        <w:t>tween 50 percent and 100 percent</w:t>
      </w:r>
      <w:r w:rsidR="00FE0D9F" w:rsidRPr="006D21CC">
        <w:t xml:space="preserve"> of the federal poverty level</w:t>
      </w:r>
      <w:r w:rsidR="00AB01E7" w:rsidRPr="006D21CC">
        <w:t xml:space="preserve"> as of 2022</w:t>
      </w:r>
      <w:r w:rsidR="00FE0D9F" w:rsidRPr="006D21CC">
        <w:t>.</w:t>
      </w:r>
      <w:r>
        <w:rPr>
          <w:rStyle w:val="FootnoteReference"/>
        </w:rPr>
        <w:footnoteReference w:id="6"/>
      </w:r>
      <w:r w:rsidR="00FE0D9F" w:rsidRPr="006D21CC">
        <w:t xml:space="preserve"> </w:t>
      </w:r>
      <w:r w:rsidR="00AB01E7" w:rsidRPr="006D21CC">
        <w:t>The Ohio Association of Community Action Agencies</w:t>
      </w:r>
      <w:r w:rsidR="006D21CC">
        <w:t>’</w:t>
      </w:r>
      <w:r w:rsidR="00AB01E7" w:rsidRPr="006D21CC">
        <w:t xml:space="preserve"> </w:t>
      </w:r>
      <w:r w:rsidR="00A833A9" w:rsidRPr="006D21CC">
        <w:t xml:space="preserve">2023 poverty report </w:t>
      </w:r>
      <w:r w:rsidR="00247C14" w:rsidRPr="006D21CC">
        <w:t>found that</w:t>
      </w:r>
      <w:r w:rsidR="00A833A9" w:rsidRPr="006D21CC">
        <w:t xml:space="preserve"> 30 percent of households</w:t>
      </w:r>
      <w:r w:rsidR="00247C14" w:rsidRPr="006D21CC">
        <w:t xml:space="preserve"> </w:t>
      </w:r>
      <w:r w:rsidR="00A833A9" w:rsidRPr="006D21CC">
        <w:t>in the counties</w:t>
      </w:r>
      <w:r w:rsidR="00247C14" w:rsidRPr="006D21CC">
        <w:t xml:space="preserve"> </w:t>
      </w:r>
      <w:r w:rsidR="00A833A9" w:rsidRPr="006D21CC">
        <w:t>in</w:t>
      </w:r>
      <w:r w:rsidR="00247C14" w:rsidRPr="006D21CC">
        <w:t xml:space="preserve"> Enbridge</w:t>
      </w:r>
      <w:r w:rsidR="006D21CC">
        <w:t>’</w:t>
      </w:r>
      <w:r w:rsidR="00247C14" w:rsidRPr="006D21CC">
        <w:t>s</w:t>
      </w:r>
      <w:r w:rsidR="00A833A9" w:rsidRPr="006D21CC">
        <w:t xml:space="preserve"> service area (Allen, Cuyahoga, Lake, Mahoning, Stark, Washington counties) are at or below 200 percent of the federal poverty level, all above the statewide average.</w:t>
      </w:r>
      <w:r>
        <w:rPr>
          <w:rStyle w:val="FootnoteReference"/>
        </w:rPr>
        <w:footnoteReference w:id="7"/>
      </w:r>
      <w:r w:rsidR="003362F6" w:rsidRPr="006D21CC">
        <w:t xml:space="preserve"> </w:t>
      </w:r>
      <w:r w:rsidR="00FE0D9F" w:rsidRPr="006D21CC">
        <w:t>For these families, the energy burden (</w:t>
      </w:r>
      <w:r w:rsidR="00FE0D9F" w:rsidRPr="006D21CC">
        <w:rPr>
          <w:i/>
          <w:iCs/>
        </w:rPr>
        <w:t xml:space="preserve">i.e., </w:t>
      </w:r>
      <w:r w:rsidR="00FE0D9F" w:rsidRPr="006D21CC">
        <w:t xml:space="preserve">the proportion of household income needed to pay energy bills) is a staggering </w:t>
      </w:r>
      <w:r w:rsidR="002D54CF" w:rsidRPr="006D21CC">
        <w:t>1</w:t>
      </w:r>
      <w:r w:rsidR="00F867A0" w:rsidRPr="006D21CC">
        <w:t>7</w:t>
      </w:r>
      <w:r w:rsidR="002D54CF" w:rsidRPr="006D21CC">
        <w:t>%.</w:t>
      </w:r>
      <w:r>
        <w:rPr>
          <w:rStyle w:val="FootnoteReference"/>
        </w:rPr>
        <w:footnoteReference w:id="8"/>
      </w:r>
    </w:p>
    <w:p w14:paraId="1E307B60" w14:textId="7C7068A8" w:rsidR="003235E7" w:rsidRPr="006D21CC" w:rsidRDefault="00AF4AAB" w:rsidP="00C62145">
      <w:pPr>
        <w:spacing w:line="480" w:lineRule="auto"/>
        <w:ind w:firstLine="720"/>
      </w:pPr>
      <w:r w:rsidRPr="006D21CC">
        <w:t>Under Enbridge</w:t>
      </w:r>
      <w:r w:rsidR="006D21CC">
        <w:t>’</w:t>
      </w:r>
      <w:r w:rsidRPr="006D21CC">
        <w:t>s Application, residential consumers</w:t>
      </w:r>
      <w:r w:rsidR="000C28DF" w:rsidRPr="006D21CC">
        <w:t xml:space="preserve"> could</w:t>
      </w:r>
      <w:r w:rsidRPr="006D21CC">
        <w:t xml:space="preserve"> each pay up to an additional $</w:t>
      </w:r>
      <w:r w:rsidR="0050187D" w:rsidRPr="006D21CC">
        <w:t>156</w:t>
      </w:r>
      <w:r w:rsidRPr="006D21CC">
        <w:t xml:space="preserve"> per year in base</w:t>
      </w:r>
      <w:r w:rsidR="00E16DEE">
        <w:t xml:space="preserve"> rates.</w:t>
      </w:r>
      <w:r>
        <w:rPr>
          <w:rStyle w:val="FootnoteReference"/>
        </w:rPr>
        <w:footnoteReference w:id="9"/>
      </w:r>
      <w:r w:rsidRPr="006D21CC">
        <w:t xml:space="preserve"> </w:t>
      </w:r>
      <w:r w:rsidR="00396F6E">
        <w:t>Further</w:t>
      </w:r>
      <w:r w:rsidR="002A471E" w:rsidRPr="006D21CC">
        <w:t xml:space="preserve">, Enbridge wants to impose additional charges on consumers </w:t>
      </w:r>
      <w:r w:rsidR="002A471E" w:rsidRPr="006D21CC">
        <w:lastRenderedPageBreak/>
        <w:t>through the Automated Meter Reading Rider (</w:t>
      </w:r>
      <w:r w:rsidR="006D21CC">
        <w:t>“</w:t>
      </w:r>
      <w:r w:rsidR="002A471E" w:rsidRPr="006D21CC">
        <w:t>AMR</w:t>
      </w:r>
      <w:r w:rsidR="006D21CC">
        <w:t>”</w:t>
      </w:r>
      <w:r w:rsidR="002A471E" w:rsidRPr="006D21CC">
        <w:t>), Capital Expenditure Program Rider (</w:t>
      </w:r>
      <w:r w:rsidR="006D21CC">
        <w:t>“</w:t>
      </w:r>
      <w:r w:rsidR="002A471E" w:rsidRPr="006D21CC">
        <w:t>CEP</w:t>
      </w:r>
      <w:r w:rsidR="006D21CC">
        <w:t>”</w:t>
      </w:r>
      <w:r w:rsidR="002A471E" w:rsidRPr="006D21CC">
        <w:t>), Pipeline Infrastructure Replacement Rider (</w:t>
      </w:r>
      <w:r w:rsidR="006D21CC">
        <w:t>“</w:t>
      </w:r>
      <w:r w:rsidR="002A471E" w:rsidRPr="006D21CC">
        <w:t>PIR</w:t>
      </w:r>
      <w:r w:rsidR="006D21CC">
        <w:t>”</w:t>
      </w:r>
      <w:r w:rsidR="002A471E" w:rsidRPr="006D21CC">
        <w:t>), Tax Savings Credit Rider (</w:t>
      </w:r>
      <w:r w:rsidR="006D21CC">
        <w:t>“</w:t>
      </w:r>
      <w:r w:rsidR="002A471E" w:rsidRPr="006D21CC">
        <w:t>TSCR</w:t>
      </w:r>
      <w:r w:rsidR="006D21CC">
        <w:t>”</w:t>
      </w:r>
      <w:r w:rsidR="002A471E" w:rsidRPr="006D21CC">
        <w:t>), and Transportation Migration Riders (</w:t>
      </w:r>
      <w:r w:rsidR="006D21CC">
        <w:t>“</w:t>
      </w:r>
      <w:r w:rsidR="002A471E" w:rsidRPr="006D21CC">
        <w:t>TMR</w:t>
      </w:r>
      <w:r w:rsidR="006D21CC">
        <w:t>”</w:t>
      </w:r>
      <w:r w:rsidR="002A471E" w:rsidRPr="006D21CC">
        <w:t>).</w:t>
      </w:r>
      <w:r>
        <w:rPr>
          <w:rStyle w:val="FootnoteReference"/>
        </w:rPr>
        <w:footnoteReference w:id="10"/>
      </w:r>
      <w:r w:rsidR="00E5007D">
        <w:t xml:space="preserve"> </w:t>
      </w:r>
      <w:r w:rsidR="002A471E" w:rsidRPr="006D21CC">
        <w:t>Enbridge proposes to continue these additional charges to consumers for up to five more years.</w:t>
      </w:r>
      <w:r>
        <w:rPr>
          <w:rStyle w:val="FootnoteReference"/>
        </w:rPr>
        <w:footnoteReference w:id="11"/>
      </w:r>
      <w:r w:rsidR="002A471E" w:rsidRPr="006D21CC">
        <w:t xml:space="preserve"> By 20</w:t>
      </w:r>
      <w:r w:rsidR="00431B16">
        <w:t>31</w:t>
      </w:r>
      <w:r w:rsidR="002A471E" w:rsidRPr="006D21CC">
        <w:t>, Enbridge seeks to charge residential consumers about $11.00 per month under Rider CEP and $18.00 per month under Rider PIR.</w:t>
      </w:r>
      <w:r>
        <w:rPr>
          <w:rStyle w:val="FootnoteReference"/>
        </w:rPr>
        <w:footnoteReference w:id="12"/>
      </w:r>
      <w:r w:rsidR="002A471E" w:rsidRPr="006D21CC">
        <w:t xml:space="preserve"> That means that by 2031, an average residential Enbridge consumer could pay </w:t>
      </w:r>
      <w:r w:rsidR="00431B16">
        <w:t>up to</w:t>
      </w:r>
      <w:r w:rsidR="002A471E" w:rsidRPr="006D21CC">
        <w:t xml:space="preserve"> $</w:t>
      </w:r>
      <w:r w:rsidR="00431B16">
        <w:t>348</w:t>
      </w:r>
      <w:r w:rsidR="002A471E" w:rsidRPr="006D21CC">
        <w:t xml:space="preserve"> more per year if the PUCO approves Enbridge</w:t>
      </w:r>
      <w:r w:rsidR="006D21CC">
        <w:t>’</w:t>
      </w:r>
      <w:r w:rsidR="002A471E" w:rsidRPr="006D21CC">
        <w:t>s Application.</w:t>
      </w:r>
      <w:r w:rsidR="00E5007D">
        <w:t xml:space="preserve"> </w:t>
      </w:r>
    </w:p>
    <w:p w14:paraId="5C8FBE0E" w14:textId="6B63F3D9" w:rsidR="00A44645" w:rsidRPr="006D21CC" w:rsidRDefault="00AF4AAB" w:rsidP="00BA1626">
      <w:pPr>
        <w:spacing w:line="480" w:lineRule="auto"/>
        <w:ind w:firstLine="720"/>
      </w:pPr>
      <w:r w:rsidRPr="006D21CC">
        <w:t>The Office of the Ohio Consumers</w:t>
      </w:r>
      <w:r w:rsidR="006D21CC">
        <w:t>’</w:t>
      </w:r>
      <w:r w:rsidRPr="006D21CC">
        <w:t xml:space="preserve"> Counsel (</w:t>
      </w:r>
      <w:r w:rsidR="006D21CC">
        <w:t>“</w:t>
      </w:r>
      <w:r w:rsidRPr="006D21CC">
        <w:t>OCC</w:t>
      </w:r>
      <w:r w:rsidR="006D21CC">
        <w:t>”</w:t>
      </w:r>
      <w:r w:rsidRPr="006D21CC">
        <w:t xml:space="preserve">) </w:t>
      </w:r>
      <w:r w:rsidR="000479FE" w:rsidRPr="006D21CC">
        <w:t xml:space="preserve">is </w:t>
      </w:r>
      <w:r w:rsidR="00CE08ED" w:rsidRPr="006D21CC">
        <w:t xml:space="preserve">the statutory representative of </w:t>
      </w:r>
      <w:r w:rsidR="000479FE" w:rsidRPr="006D21CC">
        <w:t>Enbridge</w:t>
      </w:r>
      <w:r w:rsidR="006D21CC">
        <w:t>’</w:t>
      </w:r>
      <w:r w:rsidR="000479FE" w:rsidRPr="006D21CC">
        <w:t xml:space="preserve">s </w:t>
      </w:r>
      <w:r w:rsidR="008C76B1" w:rsidRPr="006D21CC">
        <w:t xml:space="preserve">over 1.2 million </w:t>
      </w:r>
      <w:r w:rsidR="000479FE" w:rsidRPr="006D21CC">
        <w:t>consumers</w:t>
      </w:r>
      <w:r>
        <w:rPr>
          <w:rStyle w:val="FootnoteReference"/>
        </w:rPr>
        <w:footnoteReference w:id="13"/>
      </w:r>
      <w:r w:rsidR="000479FE" w:rsidRPr="006D21CC">
        <w:t xml:space="preserve"> </w:t>
      </w:r>
      <w:r w:rsidR="00CE08ED" w:rsidRPr="006D21CC">
        <w:t xml:space="preserve">who will </w:t>
      </w:r>
      <w:r w:rsidR="000479FE" w:rsidRPr="006D21CC">
        <w:t xml:space="preserve">pay the charges determined by the </w:t>
      </w:r>
      <w:r w:rsidR="00533F6D" w:rsidRPr="006D21CC">
        <w:t>Public Utilities Commission of Ohio (</w:t>
      </w:r>
      <w:r w:rsidR="006D21CC">
        <w:t>“</w:t>
      </w:r>
      <w:r w:rsidR="00533F6D" w:rsidRPr="006D21CC">
        <w:t>PUCO</w:t>
      </w:r>
      <w:r w:rsidR="006D21CC">
        <w:t>”</w:t>
      </w:r>
      <w:r w:rsidR="00533F6D" w:rsidRPr="006D21CC">
        <w:t>)</w:t>
      </w:r>
      <w:r w:rsidR="000479FE" w:rsidRPr="006D21CC">
        <w:t>.</w:t>
      </w:r>
      <w:r>
        <w:rPr>
          <w:rStyle w:val="FootnoteReference"/>
        </w:rPr>
        <w:footnoteReference w:id="14"/>
      </w:r>
      <w:r w:rsidR="00E5007D">
        <w:t xml:space="preserve"> </w:t>
      </w:r>
      <w:r w:rsidR="000479FE" w:rsidRPr="006D21CC">
        <w:t>OCC appreciates</w:t>
      </w:r>
      <w:r w:rsidR="00502703">
        <w:t xml:space="preserve"> the</w:t>
      </w:r>
      <w:r w:rsidR="000479FE" w:rsidRPr="006D21CC">
        <w:t xml:space="preserve"> PUCO Staff</w:t>
      </w:r>
      <w:r w:rsidR="006D21CC">
        <w:t>’</w:t>
      </w:r>
      <w:r w:rsidR="000479FE" w:rsidRPr="006D21CC">
        <w:t xml:space="preserve">s recommendations in the Staff Report that benefit consumers. However, the Staff Report falls short of fully protecting consumers in many ways, as explained in these Objections. </w:t>
      </w:r>
    </w:p>
    <w:p w14:paraId="11BB3320" w14:textId="5419AE7D" w:rsidR="00B065EA" w:rsidRPr="006D21CC" w:rsidRDefault="00AF4AAB" w:rsidP="00E712B0">
      <w:pPr>
        <w:spacing w:line="480" w:lineRule="auto"/>
      </w:pPr>
      <w:r w:rsidRPr="006D21CC">
        <w:tab/>
      </w:r>
      <w:r w:rsidR="005D3237" w:rsidRPr="006D21CC">
        <w:t>T</w:t>
      </w:r>
      <w:r w:rsidRPr="006D21CC">
        <w:t>he PUCO should adopt OCC</w:t>
      </w:r>
      <w:r w:rsidR="006D21CC">
        <w:t>’</w:t>
      </w:r>
      <w:r w:rsidRPr="006D21CC">
        <w:t>s consumer protection recommendations as set forth in the following objections</w:t>
      </w:r>
      <w:r w:rsidR="00862760" w:rsidRPr="006D21CC">
        <w:t xml:space="preserve">, </w:t>
      </w:r>
    </w:p>
    <w:p w14:paraId="5D6161EB" w14:textId="55A51995" w:rsidR="00BA4AC7" w:rsidRPr="006D21CC" w:rsidRDefault="00AF4AAB" w:rsidP="00E031AC">
      <w:pPr>
        <w:pStyle w:val="Heading1"/>
        <w:rPr>
          <w:rFonts w:cs="Times New Roman"/>
          <w:szCs w:val="24"/>
        </w:rPr>
      </w:pPr>
      <w:bookmarkStart w:id="3" w:name="_Toc172895192"/>
      <w:r w:rsidRPr="006D21CC">
        <w:rPr>
          <w:rFonts w:cs="Times New Roman"/>
          <w:szCs w:val="24"/>
        </w:rPr>
        <w:t xml:space="preserve">II. </w:t>
      </w:r>
      <w:r w:rsidRPr="006D21CC">
        <w:rPr>
          <w:rFonts w:cs="Times New Roman"/>
          <w:szCs w:val="24"/>
        </w:rPr>
        <w:tab/>
        <w:t>SUMMARY OF STAFF REPORT RECOMMENDATIONS SUPPORTED OR NOT OPPOSED BY OCC</w:t>
      </w:r>
      <w:bookmarkEnd w:id="3"/>
    </w:p>
    <w:p w14:paraId="78D114DB" w14:textId="77777777" w:rsidR="00B065EA" w:rsidRPr="006D21CC" w:rsidRDefault="00B065EA" w:rsidP="00B065EA">
      <w:pPr>
        <w:ind w:left="720" w:hanging="720"/>
        <w:rPr>
          <w:b/>
          <w:bCs/>
        </w:rPr>
      </w:pPr>
    </w:p>
    <w:p w14:paraId="1FAB900B" w14:textId="7408CD97" w:rsidR="00E723A2" w:rsidRPr="006D21CC" w:rsidRDefault="00AF4AAB" w:rsidP="00BA1626">
      <w:pPr>
        <w:spacing w:line="480" w:lineRule="auto"/>
      </w:pPr>
      <w:r w:rsidRPr="006D21CC">
        <w:rPr>
          <w:b/>
          <w:bCs/>
        </w:rPr>
        <w:tab/>
      </w:r>
      <w:r w:rsidRPr="006D21CC">
        <w:t xml:space="preserve">OCC </w:t>
      </w:r>
      <w:r w:rsidR="00BA4AC7" w:rsidRPr="006D21CC">
        <w:t>supports many</w:t>
      </w:r>
      <w:r w:rsidR="00EE37DA">
        <w:t xml:space="preserve"> of the</w:t>
      </w:r>
      <w:r w:rsidR="00BA4AC7" w:rsidRPr="006D21CC">
        <w:t xml:space="preserve"> findings, recommendations</w:t>
      </w:r>
      <w:r w:rsidR="00660840">
        <w:t>,</w:t>
      </w:r>
      <w:r w:rsidR="00BA4AC7" w:rsidRPr="006D21CC">
        <w:t xml:space="preserve"> and adjustments </w:t>
      </w:r>
      <w:r w:rsidR="00EE37DA">
        <w:t xml:space="preserve">found </w:t>
      </w:r>
      <w:r w:rsidR="00BA4AC7" w:rsidRPr="006D21CC">
        <w:t>in the Staff Report.</w:t>
      </w:r>
      <w:r w:rsidR="00E5007D">
        <w:t xml:space="preserve"> </w:t>
      </w:r>
      <w:r w:rsidRPr="006D21CC">
        <w:t xml:space="preserve">OCC reserves the right to amend and/or </w:t>
      </w:r>
      <w:r w:rsidRPr="006D21CC">
        <w:t>supplement these objections if the PUCO Staff changes, modifies, or withdraws its position</w:t>
      </w:r>
      <w:r w:rsidR="00834C10" w:rsidRPr="006D21CC">
        <w:t xml:space="preserve"> o</w:t>
      </w:r>
      <w:r w:rsidR="00660840">
        <w:t>r</w:t>
      </w:r>
      <w:r w:rsidR="00834C10" w:rsidRPr="006D21CC">
        <w:t xml:space="preserve"> any of its recommendations</w:t>
      </w:r>
      <w:r w:rsidRPr="006D21CC">
        <w:t xml:space="preserve"> at any time </w:t>
      </w:r>
      <w:r w:rsidRPr="006D21CC">
        <w:lastRenderedPageBreak/>
        <w:t>prior to the closing of the record in this matter.</w:t>
      </w:r>
      <w:r w:rsidR="00E5007D">
        <w:t xml:space="preserve"> </w:t>
      </w:r>
      <w:r w:rsidRPr="006D21CC">
        <w:t>Additionally, if</w:t>
      </w:r>
      <w:r w:rsidR="004F7310" w:rsidRPr="006D21CC">
        <w:t xml:space="preserve"> </w:t>
      </w:r>
      <w:r w:rsidR="00A252DE" w:rsidRPr="006D21CC">
        <w:t xml:space="preserve">the </w:t>
      </w:r>
      <w:r w:rsidR="004F7310" w:rsidRPr="006D21CC">
        <w:t>PUCO</w:t>
      </w:r>
      <w:r w:rsidRPr="006D21CC">
        <w:t xml:space="preserve"> Staff has indicated that its position on a particular issue is not known at the date of the Staff Report, OCC reserves the right to later supplement these objections once </w:t>
      </w:r>
      <w:r w:rsidR="00A252DE" w:rsidRPr="006D21CC">
        <w:t xml:space="preserve">the PUCO </w:t>
      </w:r>
      <w:r w:rsidRPr="006D21CC">
        <w:t>Staff</w:t>
      </w:r>
      <w:r w:rsidR="006D21CC">
        <w:t>’</w:t>
      </w:r>
      <w:r w:rsidRPr="006D21CC">
        <w:t>s position is made known. OCC also reserves the right to file additional expert testimony, produce fact witnesses, a</w:t>
      </w:r>
      <w:r w:rsidRPr="006D21CC">
        <w:t>nd introduce additional evidence.</w:t>
      </w:r>
    </w:p>
    <w:p w14:paraId="52306637" w14:textId="4C6DD71D" w:rsidR="00845BBD" w:rsidRPr="006D21CC" w:rsidRDefault="00AF4AAB" w:rsidP="00BA1626">
      <w:pPr>
        <w:spacing w:line="480" w:lineRule="auto"/>
      </w:pPr>
      <w:r w:rsidRPr="006D21CC">
        <w:tab/>
      </w:r>
      <w:r w:rsidR="00834C10" w:rsidRPr="006D21CC">
        <w:t>T</w:t>
      </w:r>
      <w:r w:rsidRPr="006D21CC">
        <w:t xml:space="preserve">he lack of an objection in this pleading to any aspect of the Staff Report does not preclude OCC from </w:t>
      </w:r>
      <w:r w:rsidR="00834C10" w:rsidRPr="006D21CC">
        <w:t>challenging i</w:t>
      </w:r>
      <w:r w:rsidRPr="006D21CC">
        <w:t xml:space="preserve">ssues on which </w:t>
      </w:r>
      <w:r w:rsidR="00502703">
        <w:t xml:space="preserve">the PUCO </w:t>
      </w:r>
      <w:r w:rsidRPr="006D21CC">
        <w:t xml:space="preserve">Staff changes, modifies, newly raises, or withdraws its </w:t>
      </w:r>
      <w:r w:rsidR="00834C10" w:rsidRPr="006D21CC">
        <w:t>position.</w:t>
      </w:r>
      <w:r w:rsidR="00E5007D">
        <w:t xml:space="preserve"> </w:t>
      </w:r>
      <w:r w:rsidRPr="006D21CC">
        <w:t>Further, OCC reserves the right to contest other aspects of Enbridge</w:t>
      </w:r>
      <w:r w:rsidR="006D21CC">
        <w:t>’</w:t>
      </w:r>
      <w:r w:rsidRPr="006D21CC">
        <w:t>s Application that are not specifically addressed by the Staff Report.</w:t>
      </w:r>
      <w:r w:rsidR="00682969" w:rsidRPr="006D21CC">
        <w:t xml:space="preserve"> </w:t>
      </w:r>
    </w:p>
    <w:p w14:paraId="4CC5A23E" w14:textId="49A8770F" w:rsidR="00C1324C" w:rsidRPr="006D21CC" w:rsidRDefault="00AF4AAB" w:rsidP="00C1324C">
      <w:pPr>
        <w:spacing w:line="480" w:lineRule="auto"/>
        <w:ind w:firstLine="720"/>
      </w:pPr>
      <w:r w:rsidRPr="006D21CC">
        <w:t>A summary of these findings and recommendations is included here</w:t>
      </w:r>
      <w:r w:rsidR="00834C10" w:rsidRPr="006D21CC">
        <w:t xml:space="preserve">: </w:t>
      </w:r>
    </w:p>
    <w:p w14:paraId="4A1D6380" w14:textId="7E5B1153" w:rsidR="00A7214E" w:rsidRPr="006D21CC" w:rsidRDefault="00AF4AAB" w:rsidP="00BA1626">
      <w:pPr>
        <w:spacing w:line="480" w:lineRule="auto"/>
        <w:rPr>
          <w:b/>
          <w:bCs/>
        </w:rPr>
      </w:pPr>
      <w:bookmarkStart w:id="4" w:name="_Hlk172198294"/>
      <w:r w:rsidRPr="006D21CC">
        <w:rPr>
          <w:b/>
          <w:bCs/>
        </w:rPr>
        <w:t>Revenue Requirement, Rate Base and Operating Income</w:t>
      </w:r>
      <w:bookmarkEnd w:id="4"/>
      <w:r w:rsidR="00E031AC" w:rsidRPr="006D21CC">
        <w:rPr>
          <w:b/>
          <w:bCs/>
        </w:rPr>
        <w:t>:</w:t>
      </w:r>
    </w:p>
    <w:p w14:paraId="52B5C246" w14:textId="7F18A08E" w:rsidR="006E464E" w:rsidRPr="00C62145" w:rsidRDefault="00AF4AAB" w:rsidP="00834C10">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052578">
        <w:rPr>
          <w:rFonts w:ascii="Times New Roman" w:hAnsi="Times New Roman" w:cs="Times New Roman"/>
        </w:rPr>
        <w:t>was correct to reduce</w:t>
      </w:r>
      <w:r w:rsidRPr="006D21CC">
        <w:rPr>
          <w:rFonts w:ascii="Times New Roman" w:hAnsi="Times New Roman" w:cs="Times New Roman"/>
        </w:rPr>
        <w:t xml:space="preserve"> Enbridge</w:t>
      </w:r>
      <w:r w:rsidR="006D21CC">
        <w:rPr>
          <w:rFonts w:ascii="Times New Roman" w:hAnsi="Times New Roman" w:cs="Times New Roman"/>
        </w:rPr>
        <w:t>’</w:t>
      </w:r>
      <w:r w:rsidRPr="006D21CC">
        <w:rPr>
          <w:rFonts w:ascii="Times New Roman" w:hAnsi="Times New Roman" w:cs="Times New Roman"/>
        </w:rPr>
        <w:t xml:space="preserve">s proposed distribution </w:t>
      </w:r>
      <w:r w:rsidR="00834C10" w:rsidRPr="006D21CC">
        <w:rPr>
          <w:rFonts w:ascii="Times New Roman" w:hAnsi="Times New Roman" w:cs="Times New Roman"/>
        </w:rPr>
        <w:t>revenue requirement</w:t>
      </w:r>
      <w:r w:rsidRPr="006D21CC">
        <w:rPr>
          <w:rFonts w:ascii="Times New Roman" w:hAnsi="Times New Roman" w:cs="Times New Roman"/>
        </w:rPr>
        <w:t>.</w:t>
      </w:r>
      <w:r>
        <w:rPr>
          <w:rStyle w:val="FootnoteReference"/>
          <w:rFonts w:ascii="Times New Roman" w:hAnsi="Times New Roman" w:cs="Times New Roman"/>
        </w:rPr>
        <w:footnoteReference w:id="15"/>
      </w:r>
      <w:r w:rsidRPr="006D21CC">
        <w:rPr>
          <w:rFonts w:ascii="Times New Roman" w:hAnsi="Times New Roman" w:cs="Times New Roman"/>
        </w:rPr>
        <w:t xml:space="preserve"> Key drivers for </w:t>
      </w:r>
      <w:r w:rsidR="00834C10" w:rsidRPr="006D21CC">
        <w:rPr>
          <w:rFonts w:ascii="Times New Roman" w:hAnsi="Times New Roman" w:cs="Times New Roman"/>
        </w:rPr>
        <w:t>the reductions included</w:t>
      </w:r>
      <w:r w:rsidRPr="006D21CC">
        <w:rPr>
          <w:rFonts w:ascii="Times New Roman" w:hAnsi="Times New Roman" w:cs="Times New Roman"/>
        </w:rPr>
        <w:t xml:space="preserve">: (1) adjustments to </w:t>
      </w:r>
      <w:r w:rsidR="00834C10" w:rsidRPr="006D21CC">
        <w:rPr>
          <w:rFonts w:ascii="Times New Roman" w:hAnsi="Times New Roman" w:cs="Times New Roman"/>
        </w:rPr>
        <w:t xml:space="preserve">remove </w:t>
      </w:r>
      <w:r w:rsidRPr="006D21CC">
        <w:rPr>
          <w:rFonts w:ascii="Times New Roman" w:hAnsi="Times New Roman" w:cs="Times New Roman"/>
        </w:rPr>
        <w:t xml:space="preserve">microwave towers </w:t>
      </w:r>
      <w:r w:rsidR="00834C10" w:rsidRPr="006D21CC">
        <w:rPr>
          <w:rFonts w:ascii="Times New Roman" w:hAnsi="Times New Roman" w:cs="Times New Roman"/>
        </w:rPr>
        <w:t>from rate base</w:t>
      </w:r>
      <w:r w:rsidR="00660840">
        <w:rPr>
          <w:rFonts w:ascii="Times New Roman" w:hAnsi="Times New Roman" w:cs="Times New Roman"/>
        </w:rPr>
        <w:t>;</w:t>
      </w:r>
      <w:r w:rsidR="00834C10" w:rsidRPr="006D21CC">
        <w:rPr>
          <w:rFonts w:ascii="Times New Roman" w:hAnsi="Times New Roman" w:cs="Times New Roman"/>
        </w:rPr>
        <w:t xml:space="preserve"> </w:t>
      </w:r>
      <w:r w:rsidRPr="006D21CC">
        <w:rPr>
          <w:rFonts w:ascii="Times New Roman" w:hAnsi="Times New Roman" w:cs="Times New Roman"/>
        </w:rPr>
        <w:t>(2) reduction</w:t>
      </w:r>
      <w:r w:rsidR="00834C10" w:rsidRPr="006D21CC">
        <w:rPr>
          <w:rFonts w:ascii="Times New Roman" w:hAnsi="Times New Roman" w:cs="Times New Roman"/>
        </w:rPr>
        <w:t xml:space="preserve"> or exclusion from rate base for</w:t>
      </w:r>
      <w:r w:rsidRPr="006D21CC">
        <w:rPr>
          <w:rFonts w:ascii="Times New Roman" w:hAnsi="Times New Roman" w:cs="Times New Roman"/>
        </w:rPr>
        <w:t xml:space="preserve"> capitalized incentive compensation</w:t>
      </w:r>
      <w:r w:rsidR="00660840">
        <w:rPr>
          <w:rFonts w:ascii="Times New Roman" w:hAnsi="Times New Roman" w:cs="Times New Roman"/>
        </w:rPr>
        <w:t xml:space="preserve">; </w:t>
      </w:r>
      <w:r w:rsidR="009D3F0E">
        <w:rPr>
          <w:rFonts w:ascii="Times New Roman" w:hAnsi="Times New Roman" w:cs="Times New Roman"/>
        </w:rPr>
        <w:t>and</w:t>
      </w:r>
      <w:r w:rsidRPr="006D21CC">
        <w:rPr>
          <w:rFonts w:ascii="Times New Roman" w:hAnsi="Times New Roman" w:cs="Times New Roman"/>
        </w:rPr>
        <w:t xml:space="preserve"> (3) reduction of </w:t>
      </w:r>
      <w:r w:rsidR="00834C10" w:rsidRPr="006D21CC">
        <w:rPr>
          <w:rFonts w:ascii="Times New Roman" w:hAnsi="Times New Roman" w:cs="Times New Roman"/>
        </w:rPr>
        <w:t>rate base for plant</w:t>
      </w:r>
      <w:r w:rsidRPr="006D21CC">
        <w:rPr>
          <w:rFonts w:ascii="Times New Roman" w:hAnsi="Times New Roman" w:cs="Times New Roman"/>
        </w:rPr>
        <w:t xml:space="preserve"> not used and useful.</w:t>
      </w:r>
      <w:r>
        <w:rPr>
          <w:rStyle w:val="FootnoteReference"/>
          <w:rFonts w:ascii="Times New Roman" w:hAnsi="Times New Roman" w:cs="Times New Roman"/>
        </w:rPr>
        <w:footnoteReference w:id="16"/>
      </w:r>
      <w:r w:rsidRPr="006D21CC">
        <w:rPr>
          <w:rFonts w:ascii="Times New Roman" w:hAnsi="Times New Roman" w:cs="Times New Roman"/>
        </w:rPr>
        <w:t xml:space="preserve"> These three adjustments accounted for $75.5 million of the $83 million Staff net plant adjustments.</w:t>
      </w:r>
      <w:r w:rsidR="00E5007D">
        <w:rPr>
          <w:rFonts w:ascii="Times New Roman" w:hAnsi="Times New Roman" w:cs="Times New Roman"/>
        </w:rPr>
        <w:t xml:space="preserve"> </w:t>
      </w:r>
      <w:r w:rsidRPr="006D21CC">
        <w:rPr>
          <w:rFonts w:ascii="Times New Roman" w:hAnsi="Times New Roman" w:cs="Times New Roman"/>
        </w:rPr>
        <w:t>Additionally,</w:t>
      </w:r>
      <w:r w:rsidR="00834C10" w:rsidRPr="006D21CC">
        <w:rPr>
          <w:rFonts w:ascii="Times New Roman" w:hAnsi="Times New Roman" w:cs="Times New Roman"/>
        </w:rPr>
        <w:t xml:space="preserve"> the Staff</w:t>
      </w:r>
      <w:r w:rsidR="001148E9" w:rsidRPr="006D21CC">
        <w:rPr>
          <w:rFonts w:ascii="Times New Roman" w:hAnsi="Times New Roman" w:cs="Times New Roman"/>
        </w:rPr>
        <w:t xml:space="preserve"> </w:t>
      </w:r>
      <w:r w:rsidRPr="00C62145">
        <w:rPr>
          <w:rFonts w:ascii="Times New Roman" w:hAnsi="Times New Roman" w:cs="Times New Roman"/>
        </w:rPr>
        <w:t xml:space="preserve">CEP excess deferred income tax adjustment made a significant reduction to rate base </w:t>
      </w:r>
      <w:r w:rsidR="00834C10" w:rsidRPr="00C62145">
        <w:rPr>
          <w:rFonts w:ascii="Times New Roman" w:hAnsi="Times New Roman" w:cs="Times New Roman"/>
        </w:rPr>
        <w:t>(</w:t>
      </w:r>
      <w:r w:rsidR="000F2577" w:rsidRPr="00C62145">
        <w:rPr>
          <w:rFonts w:ascii="Times New Roman" w:hAnsi="Times New Roman" w:cs="Times New Roman"/>
        </w:rPr>
        <w:t>$</w:t>
      </w:r>
      <w:r w:rsidRPr="00C62145">
        <w:rPr>
          <w:rFonts w:ascii="Times New Roman" w:hAnsi="Times New Roman" w:cs="Times New Roman"/>
        </w:rPr>
        <w:t>52 million</w:t>
      </w:r>
      <w:r w:rsidR="00834C10" w:rsidRPr="00C62145">
        <w:rPr>
          <w:rFonts w:ascii="Times New Roman" w:hAnsi="Times New Roman" w:cs="Times New Roman"/>
        </w:rPr>
        <w:t>)</w:t>
      </w:r>
      <w:r w:rsidR="00660840">
        <w:rPr>
          <w:rFonts w:ascii="Times New Roman" w:hAnsi="Times New Roman" w:cs="Times New Roman"/>
        </w:rPr>
        <w:t>.</w:t>
      </w:r>
      <w:r w:rsidRPr="00C62145">
        <w:rPr>
          <w:rFonts w:ascii="Times New Roman" w:hAnsi="Times New Roman" w:cs="Times New Roman"/>
        </w:rPr>
        <w:t xml:space="preserve"> </w:t>
      </w:r>
    </w:p>
    <w:p w14:paraId="7E1317B8" w14:textId="511F156C" w:rsidR="006E464E" w:rsidRPr="006D21CC" w:rsidRDefault="00AF4AAB" w:rsidP="00E031AC">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w:t>
      </w:r>
      <w:r w:rsidR="00B971D9" w:rsidRPr="006D21CC">
        <w:rPr>
          <w:rFonts w:ascii="Times New Roman" w:hAnsi="Times New Roman" w:cs="Times New Roman"/>
        </w:rPr>
        <w:t xml:space="preserve"> correctly recommended a reduction in Enbridge</w:t>
      </w:r>
      <w:r w:rsidR="006D21CC">
        <w:rPr>
          <w:rFonts w:ascii="Times New Roman" w:hAnsi="Times New Roman" w:cs="Times New Roman"/>
        </w:rPr>
        <w:t>’</w:t>
      </w:r>
      <w:r w:rsidR="00B971D9" w:rsidRPr="006D21CC">
        <w:rPr>
          <w:rFonts w:ascii="Times New Roman" w:hAnsi="Times New Roman" w:cs="Times New Roman"/>
        </w:rPr>
        <w:t xml:space="preserve">s rate of return reducing the required operating income </w:t>
      </w:r>
      <w:r w:rsidR="00834C10" w:rsidRPr="006D21CC">
        <w:rPr>
          <w:rFonts w:ascii="Times New Roman" w:hAnsi="Times New Roman" w:cs="Times New Roman"/>
        </w:rPr>
        <w:t xml:space="preserve">by $91.0 million based on the </w:t>
      </w:r>
      <w:r w:rsidR="00B971D9" w:rsidRPr="006D21CC">
        <w:rPr>
          <w:rFonts w:ascii="Times New Roman" w:hAnsi="Times New Roman" w:cs="Times New Roman"/>
        </w:rPr>
        <w:t>midpoint</w:t>
      </w:r>
      <w:r w:rsidR="00834C10" w:rsidRPr="006D21CC">
        <w:rPr>
          <w:rFonts w:ascii="Times New Roman" w:hAnsi="Times New Roman" w:cs="Times New Roman"/>
        </w:rPr>
        <w:t xml:space="preserve"> of </w:t>
      </w:r>
      <w:r w:rsidR="00612DFD">
        <w:rPr>
          <w:rFonts w:ascii="Times New Roman" w:hAnsi="Times New Roman" w:cs="Times New Roman"/>
        </w:rPr>
        <w:t xml:space="preserve">the PUCO </w:t>
      </w:r>
      <w:r w:rsidR="00834C10" w:rsidRPr="006D21CC">
        <w:rPr>
          <w:rFonts w:ascii="Times New Roman" w:hAnsi="Times New Roman" w:cs="Times New Roman"/>
        </w:rPr>
        <w:t>Staff</w:t>
      </w:r>
      <w:r w:rsidR="006D21CC">
        <w:rPr>
          <w:rFonts w:ascii="Times New Roman" w:hAnsi="Times New Roman" w:cs="Times New Roman"/>
        </w:rPr>
        <w:t>’</w:t>
      </w:r>
      <w:r w:rsidR="00834C10" w:rsidRPr="006D21CC">
        <w:rPr>
          <w:rFonts w:ascii="Times New Roman" w:hAnsi="Times New Roman" w:cs="Times New Roman"/>
        </w:rPr>
        <w:t>s range.</w:t>
      </w:r>
      <w:r>
        <w:rPr>
          <w:rStyle w:val="FootnoteReference"/>
          <w:rFonts w:ascii="Times New Roman" w:hAnsi="Times New Roman" w:cs="Times New Roman"/>
        </w:rPr>
        <w:footnoteReference w:id="17"/>
      </w:r>
      <w:r w:rsidR="00834C10" w:rsidRPr="006D21CC">
        <w:rPr>
          <w:rFonts w:ascii="Times New Roman" w:hAnsi="Times New Roman" w:cs="Times New Roman"/>
        </w:rPr>
        <w:t xml:space="preserve"> </w:t>
      </w:r>
    </w:p>
    <w:p w14:paraId="6F6168B5" w14:textId="23C43BDE" w:rsidR="00B971D9" w:rsidRPr="006D21CC" w:rsidRDefault="00AF4AAB" w:rsidP="00E031AC">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612DFD">
        <w:rPr>
          <w:rFonts w:ascii="Times New Roman" w:hAnsi="Times New Roman" w:cs="Times New Roman"/>
        </w:rPr>
        <w:t xml:space="preserve">correctly </w:t>
      </w:r>
      <w:r w:rsidRPr="006D21CC">
        <w:rPr>
          <w:rFonts w:ascii="Times New Roman" w:hAnsi="Times New Roman" w:cs="Times New Roman"/>
        </w:rPr>
        <w:t xml:space="preserve">adjusted operating income by including the pension recovery ($145.9 million reduction) and proposing </w:t>
      </w:r>
      <w:r w:rsidR="00834C10" w:rsidRPr="006D21CC">
        <w:rPr>
          <w:rFonts w:ascii="Times New Roman" w:hAnsi="Times New Roman" w:cs="Times New Roman"/>
        </w:rPr>
        <w:t>to reduce</w:t>
      </w:r>
      <w:r w:rsidRPr="006D21CC">
        <w:rPr>
          <w:rFonts w:ascii="Times New Roman" w:hAnsi="Times New Roman" w:cs="Times New Roman"/>
        </w:rPr>
        <w:t xml:space="preserve"> </w:t>
      </w:r>
      <w:r w:rsidR="00834C10" w:rsidRPr="006D21CC">
        <w:rPr>
          <w:rFonts w:ascii="Times New Roman" w:hAnsi="Times New Roman" w:cs="Times New Roman"/>
        </w:rPr>
        <w:t>l</w:t>
      </w:r>
      <w:r w:rsidR="00EE6C49" w:rsidRPr="006D21CC">
        <w:rPr>
          <w:rFonts w:ascii="Times New Roman" w:hAnsi="Times New Roman" w:cs="Times New Roman"/>
        </w:rPr>
        <w:t>abor</w:t>
      </w:r>
      <w:r w:rsidRPr="006D21CC">
        <w:rPr>
          <w:rFonts w:ascii="Times New Roman" w:hAnsi="Times New Roman" w:cs="Times New Roman"/>
        </w:rPr>
        <w:t xml:space="preserve"> and operating expenses to reflect actual experience</w:t>
      </w:r>
      <w:r w:rsidR="00834C10" w:rsidRPr="006D21CC">
        <w:rPr>
          <w:rFonts w:ascii="Times New Roman" w:hAnsi="Times New Roman" w:cs="Times New Roman"/>
        </w:rPr>
        <w:t>. Staff also removed</w:t>
      </w:r>
      <w:r w:rsidRPr="006D21CC">
        <w:rPr>
          <w:rFonts w:ascii="Times New Roman" w:hAnsi="Times New Roman" w:cs="Times New Roman"/>
        </w:rPr>
        <w:t xml:space="preserve"> other non</w:t>
      </w:r>
      <w:r w:rsidR="000F2577" w:rsidRPr="006D21CC">
        <w:rPr>
          <w:rFonts w:ascii="Times New Roman" w:hAnsi="Times New Roman" w:cs="Times New Roman"/>
        </w:rPr>
        <w:t>-</w:t>
      </w:r>
      <w:r w:rsidRPr="006D21CC">
        <w:rPr>
          <w:rFonts w:ascii="Times New Roman" w:hAnsi="Times New Roman" w:cs="Times New Roman"/>
        </w:rPr>
        <w:t xml:space="preserve">regulated </w:t>
      </w:r>
      <w:r w:rsidRPr="006D21CC">
        <w:rPr>
          <w:rFonts w:ascii="Times New Roman" w:hAnsi="Times New Roman" w:cs="Times New Roman"/>
        </w:rPr>
        <w:lastRenderedPageBreak/>
        <w:t>expenses with a net operating income impact after tax of approximately $11.8 million.</w:t>
      </w:r>
      <w:r>
        <w:rPr>
          <w:rStyle w:val="FootnoteReference"/>
          <w:rFonts w:ascii="Times New Roman" w:hAnsi="Times New Roman" w:cs="Times New Roman"/>
        </w:rPr>
        <w:footnoteReference w:id="18"/>
      </w:r>
    </w:p>
    <w:p w14:paraId="6FC6A103" w14:textId="4AB9BFD1" w:rsidR="009411BD" w:rsidRPr="006D21CC" w:rsidRDefault="00AF4AAB" w:rsidP="00E031AC">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511653" w:rsidRPr="006D21CC">
        <w:rPr>
          <w:rFonts w:ascii="Times New Roman" w:hAnsi="Times New Roman" w:cs="Times New Roman"/>
        </w:rPr>
        <w:t xml:space="preserve">correctly reduced plant-in-service by $3,649,271 because </w:t>
      </w:r>
      <w:r w:rsidR="00BA7439" w:rsidRPr="006D21CC">
        <w:rPr>
          <w:rFonts w:ascii="Times New Roman" w:hAnsi="Times New Roman" w:cs="Times New Roman"/>
        </w:rPr>
        <w:t>Enbridge</w:t>
      </w:r>
      <w:r w:rsidR="00511653" w:rsidRPr="006D21CC">
        <w:rPr>
          <w:rFonts w:ascii="Times New Roman" w:hAnsi="Times New Roman" w:cs="Times New Roman"/>
        </w:rPr>
        <w:t xml:space="preserve"> did not provide support or provided insufficient supporting documentation</w:t>
      </w:r>
      <w:r w:rsidR="00834C10" w:rsidRPr="006D21CC">
        <w:rPr>
          <w:rFonts w:ascii="Times New Roman" w:hAnsi="Times New Roman" w:cs="Times New Roman"/>
        </w:rPr>
        <w:t xml:space="preserve"> to show the plant was used and useful</w:t>
      </w:r>
      <w:r w:rsidR="00511653" w:rsidRPr="006D21CC">
        <w:rPr>
          <w:rFonts w:ascii="Times New Roman" w:hAnsi="Times New Roman" w:cs="Times New Roman"/>
        </w:rPr>
        <w:t>.</w:t>
      </w:r>
      <w:r>
        <w:rPr>
          <w:rStyle w:val="FootnoteReference"/>
          <w:rFonts w:ascii="Times New Roman" w:hAnsi="Times New Roman" w:cs="Times New Roman"/>
        </w:rPr>
        <w:footnoteReference w:id="19"/>
      </w:r>
    </w:p>
    <w:p w14:paraId="7329A0B0" w14:textId="53009CC7" w:rsidR="009411BD" w:rsidRPr="006D21CC" w:rsidRDefault="00AF4AAB" w:rsidP="00E031AC">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w:t>
      </w:r>
      <w:r w:rsidR="00511653" w:rsidRPr="006D21CC">
        <w:rPr>
          <w:rFonts w:ascii="Times New Roman" w:hAnsi="Times New Roman" w:cs="Times New Roman"/>
        </w:rPr>
        <w:t xml:space="preserve">Staff </w:t>
      </w:r>
      <w:r w:rsidRPr="006D21CC">
        <w:rPr>
          <w:rFonts w:ascii="Times New Roman" w:hAnsi="Times New Roman" w:cs="Times New Roman"/>
        </w:rPr>
        <w:t xml:space="preserve">Report </w:t>
      </w:r>
      <w:r w:rsidR="00511653" w:rsidRPr="006D21CC">
        <w:rPr>
          <w:rFonts w:ascii="Times New Roman" w:hAnsi="Times New Roman" w:cs="Times New Roman"/>
        </w:rPr>
        <w:t>correctly reduced plant-in-service by $6,591 to remove meals, refreshments, and party supplies that were determined to be inappropriate to include for ratemaking purposes.</w:t>
      </w:r>
      <w:r>
        <w:rPr>
          <w:rStyle w:val="FootnoteReference"/>
          <w:rFonts w:ascii="Times New Roman" w:hAnsi="Times New Roman" w:cs="Times New Roman"/>
        </w:rPr>
        <w:footnoteReference w:id="20"/>
      </w:r>
    </w:p>
    <w:p w14:paraId="18EE3004" w14:textId="598B4EB1" w:rsidR="009411BD" w:rsidRPr="006D21CC" w:rsidRDefault="00AF4AAB" w:rsidP="00E031AC">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511653" w:rsidRPr="006D21CC">
        <w:rPr>
          <w:rFonts w:ascii="Times New Roman" w:hAnsi="Times New Roman" w:cs="Times New Roman"/>
        </w:rPr>
        <w:t>correctly removed $1,060,203 from plant-in-service related to transactions recorded to capital projects that were sampled by</w:t>
      </w:r>
      <w:r w:rsidR="00723543" w:rsidRPr="006D21CC">
        <w:rPr>
          <w:rFonts w:ascii="Times New Roman" w:hAnsi="Times New Roman" w:cs="Times New Roman"/>
        </w:rPr>
        <w:t xml:space="preserve"> </w:t>
      </w:r>
      <w:r w:rsidR="000B63BD">
        <w:rPr>
          <w:rFonts w:ascii="Times New Roman" w:hAnsi="Times New Roman" w:cs="Times New Roman"/>
        </w:rPr>
        <w:t xml:space="preserve">the </w:t>
      </w:r>
      <w:r w:rsidR="00723543" w:rsidRPr="006D21CC">
        <w:rPr>
          <w:rFonts w:ascii="Times New Roman" w:hAnsi="Times New Roman" w:cs="Times New Roman"/>
        </w:rPr>
        <w:t>PUCO</w:t>
      </w:r>
      <w:r w:rsidR="00511653" w:rsidRPr="006D21CC">
        <w:rPr>
          <w:rFonts w:ascii="Times New Roman" w:hAnsi="Times New Roman" w:cs="Times New Roman"/>
        </w:rPr>
        <w:t xml:space="preserve"> Staff and withdrawn by </w:t>
      </w:r>
      <w:r w:rsidR="00723543" w:rsidRPr="006D21CC">
        <w:rPr>
          <w:rFonts w:ascii="Times New Roman" w:hAnsi="Times New Roman" w:cs="Times New Roman"/>
        </w:rPr>
        <w:t>Enbridge.</w:t>
      </w:r>
      <w:r>
        <w:rPr>
          <w:rStyle w:val="FootnoteReference"/>
          <w:rFonts w:ascii="Times New Roman" w:hAnsi="Times New Roman" w:cs="Times New Roman"/>
        </w:rPr>
        <w:footnoteReference w:id="21"/>
      </w:r>
    </w:p>
    <w:p w14:paraId="15A73723" w14:textId="5056B251" w:rsidR="00511653" w:rsidRPr="006D21CC" w:rsidRDefault="00AF4AAB" w:rsidP="00E031AC">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correctly reduced plant-in-service by $1,627,946 to remove a hydrogen blending project that </w:t>
      </w:r>
      <w:r w:rsidR="00723543" w:rsidRPr="006D21CC">
        <w:rPr>
          <w:rFonts w:ascii="Times New Roman" w:hAnsi="Times New Roman" w:cs="Times New Roman"/>
        </w:rPr>
        <w:t>Enbridge</w:t>
      </w:r>
      <w:r w:rsidRPr="006D21CC">
        <w:rPr>
          <w:rFonts w:ascii="Times New Roman" w:hAnsi="Times New Roman" w:cs="Times New Roman"/>
        </w:rPr>
        <w:t xml:space="preserve"> has been testing as a pilot program and that is used only in its training facility and is not directly benefiting customers.</w:t>
      </w:r>
      <w:r>
        <w:rPr>
          <w:rStyle w:val="FootnoteReference"/>
          <w:rFonts w:ascii="Times New Roman" w:hAnsi="Times New Roman" w:cs="Times New Roman"/>
        </w:rPr>
        <w:footnoteReference w:id="22"/>
      </w:r>
    </w:p>
    <w:p w14:paraId="28ACA70D" w14:textId="4DA2EFF6" w:rsidR="00511653" w:rsidRPr="006D21CC" w:rsidRDefault="00AF4AAB" w:rsidP="00E031AC">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correctly removed $960,971 from plant-in-service associated with fitness centers and equipment located at various Company offices which are </w:t>
      </w:r>
      <w:r w:rsidR="00834C10" w:rsidRPr="006D21CC">
        <w:rPr>
          <w:rFonts w:ascii="Times New Roman" w:hAnsi="Times New Roman" w:cs="Times New Roman"/>
        </w:rPr>
        <w:t xml:space="preserve">use and useful in providing utility service to consumers </w:t>
      </w:r>
      <w:r w:rsidRPr="006D21CC">
        <w:rPr>
          <w:rFonts w:ascii="Times New Roman" w:hAnsi="Times New Roman" w:cs="Times New Roman"/>
        </w:rPr>
        <w:t>and provide no direct benefit to consumers.</w:t>
      </w:r>
      <w:r>
        <w:rPr>
          <w:rStyle w:val="FootnoteReference"/>
          <w:rFonts w:ascii="Times New Roman" w:hAnsi="Times New Roman" w:cs="Times New Roman"/>
        </w:rPr>
        <w:footnoteReference w:id="23"/>
      </w:r>
    </w:p>
    <w:p w14:paraId="7240B832" w14:textId="608D3323" w:rsidR="009411BD" w:rsidRPr="006D21CC" w:rsidRDefault="00AF4AAB" w:rsidP="00E031AC">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511653" w:rsidRPr="006D21CC">
        <w:rPr>
          <w:rFonts w:ascii="Times New Roman" w:hAnsi="Times New Roman" w:cs="Times New Roman"/>
        </w:rPr>
        <w:t xml:space="preserve">correctly removed $55,797 in storage plant and $1,761 in general plant that was associated with the </w:t>
      </w:r>
      <w:r w:rsidR="00834C10" w:rsidRPr="006D21CC">
        <w:rPr>
          <w:rFonts w:ascii="Times New Roman" w:hAnsi="Times New Roman" w:cs="Times New Roman"/>
        </w:rPr>
        <w:t xml:space="preserve">utility incurring </w:t>
      </w:r>
      <w:r w:rsidR="00511653" w:rsidRPr="006D21CC">
        <w:rPr>
          <w:rFonts w:ascii="Times New Roman" w:hAnsi="Times New Roman" w:cs="Times New Roman"/>
        </w:rPr>
        <w:t xml:space="preserve">delayed or late payment fees, which are not a just and reasonable cost to pass on to </w:t>
      </w:r>
      <w:r w:rsidR="00834C10" w:rsidRPr="006D21CC">
        <w:rPr>
          <w:rFonts w:ascii="Times New Roman" w:hAnsi="Times New Roman" w:cs="Times New Roman"/>
        </w:rPr>
        <w:t>consumers</w:t>
      </w:r>
      <w:r w:rsidR="00511653" w:rsidRPr="006D21CC">
        <w:rPr>
          <w:rFonts w:ascii="Times New Roman" w:hAnsi="Times New Roman" w:cs="Times New Roman"/>
        </w:rPr>
        <w:t>.</w:t>
      </w:r>
      <w:r>
        <w:rPr>
          <w:rStyle w:val="FootnoteReference"/>
          <w:rFonts w:ascii="Times New Roman" w:hAnsi="Times New Roman" w:cs="Times New Roman"/>
        </w:rPr>
        <w:footnoteReference w:id="24"/>
      </w:r>
    </w:p>
    <w:p w14:paraId="625304F3" w14:textId="58AEF044" w:rsidR="009411BD" w:rsidRPr="006D21CC" w:rsidRDefault="00AF4AAB" w:rsidP="00E031AC">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511653" w:rsidRPr="006D21CC">
        <w:rPr>
          <w:rFonts w:ascii="Times New Roman" w:hAnsi="Times New Roman" w:cs="Times New Roman"/>
        </w:rPr>
        <w:t>correctly removed $47,880 of plant-in-service associated with general maintenance expenses that was capitalized when it should have been expensed to</w:t>
      </w:r>
      <w:r w:rsidR="005805EE" w:rsidRPr="006D21CC">
        <w:rPr>
          <w:rFonts w:ascii="Times New Roman" w:hAnsi="Times New Roman" w:cs="Times New Roman"/>
        </w:rPr>
        <w:t xml:space="preserve"> operations and management</w:t>
      </w:r>
      <w:r w:rsidR="00511653" w:rsidRPr="006D21CC">
        <w:rPr>
          <w:rFonts w:ascii="Times New Roman" w:hAnsi="Times New Roman" w:cs="Times New Roman"/>
        </w:rPr>
        <w:t xml:space="preserve"> </w:t>
      </w:r>
      <w:r w:rsidR="005805EE" w:rsidRPr="006D21CC">
        <w:rPr>
          <w:rFonts w:ascii="Times New Roman" w:hAnsi="Times New Roman" w:cs="Times New Roman"/>
        </w:rPr>
        <w:t>(</w:t>
      </w:r>
      <w:r w:rsidR="006D21CC">
        <w:rPr>
          <w:rFonts w:ascii="Times New Roman" w:hAnsi="Times New Roman" w:cs="Times New Roman"/>
        </w:rPr>
        <w:t>“</w:t>
      </w:r>
      <w:r w:rsidR="00511653" w:rsidRPr="006D21CC">
        <w:rPr>
          <w:rFonts w:ascii="Times New Roman" w:hAnsi="Times New Roman" w:cs="Times New Roman"/>
        </w:rPr>
        <w:t>O&amp;M</w:t>
      </w:r>
      <w:r w:rsidR="006D21CC">
        <w:rPr>
          <w:rFonts w:ascii="Times New Roman" w:hAnsi="Times New Roman" w:cs="Times New Roman"/>
        </w:rPr>
        <w:t>”</w:t>
      </w:r>
      <w:r w:rsidR="005805EE" w:rsidRPr="006D21CC">
        <w:rPr>
          <w:rFonts w:ascii="Times New Roman" w:hAnsi="Times New Roman" w:cs="Times New Roman"/>
        </w:rPr>
        <w:t>)</w:t>
      </w:r>
      <w:r w:rsidR="00834C10" w:rsidRPr="006D21CC">
        <w:rPr>
          <w:rFonts w:ascii="Times New Roman" w:hAnsi="Times New Roman" w:cs="Times New Roman"/>
        </w:rPr>
        <w:t xml:space="preserve">, </w:t>
      </w:r>
      <w:r w:rsidR="00511653" w:rsidRPr="006D21CC">
        <w:rPr>
          <w:rFonts w:ascii="Times New Roman" w:hAnsi="Times New Roman" w:cs="Times New Roman"/>
        </w:rPr>
        <w:t>consistent with generally accepted accounting standards.</w:t>
      </w:r>
      <w:r>
        <w:rPr>
          <w:rStyle w:val="FootnoteReference"/>
          <w:rFonts w:ascii="Times New Roman" w:hAnsi="Times New Roman" w:cs="Times New Roman"/>
        </w:rPr>
        <w:footnoteReference w:id="25"/>
      </w:r>
    </w:p>
    <w:p w14:paraId="4E130394" w14:textId="397D9607" w:rsidR="009411BD" w:rsidRPr="006D21CC" w:rsidRDefault="00AF4AAB" w:rsidP="00E031AC">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511653" w:rsidRPr="006D21CC">
        <w:rPr>
          <w:rFonts w:ascii="Times New Roman" w:hAnsi="Times New Roman" w:cs="Times New Roman"/>
        </w:rPr>
        <w:t>correctly identified and removed $5,243,686 of plant-in-service that was either removed from servic</w:t>
      </w:r>
      <w:r w:rsidR="002C30DB" w:rsidRPr="006D21CC">
        <w:rPr>
          <w:rFonts w:ascii="Times New Roman" w:hAnsi="Times New Roman" w:cs="Times New Roman"/>
        </w:rPr>
        <w:t>e</w:t>
      </w:r>
      <w:r w:rsidR="00511653" w:rsidRPr="006D21CC">
        <w:rPr>
          <w:rFonts w:ascii="Times New Roman" w:hAnsi="Times New Roman" w:cs="Times New Roman"/>
        </w:rPr>
        <w:t xml:space="preserve">, disabled, no longer in use, or not supported </w:t>
      </w:r>
      <w:r w:rsidR="00511653" w:rsidRPr="006D21CC">
        <w:rPr>
          <w:rFonts w:ascii="Times New Roman" w:hAnsi="Times New Roman" w:cs="Times New Roman"/>
        </w:rPr>
        <w:lastRenderedPageBreak/>
        <w:t xml:space="preserve">by proper source documentation, and thus not </w:t>
      </w:r>
      <w:r w:rsidR="00834C10" w:rsidRPr="006D21CC">
        <w:rPr>
          <w:rFonts w:ascii="Times New Roman" w:hAnsi="Times New Roman" w:cs="Times New Roman"/>
        </w:rPr>
        <w:t>used and useful in providing service to consumers</w:t>
      </w:r>
      <w:r w:rsidR="00511653" w:rsidRPr="006D21CC">
        <w:rPr>
          <w:rFonts w:ascii="Times New Roman" w:hAnsi="Times New Roman" w:cs="Times New Roman"/>
        </w:rPr>
        <w:t>.</w:t>
      </w:r>
      <w:r>
        <w:rPr>
          <w:rStyle w:val="FootnoteReference"/>
          <w:rFonts w:ascii="Times New Roman" w:hAnsi="Times New Roman" w:cs="Times New Roman"/>
        </w:rPr>
        <w:footnoteReference w:id="26"/>
      </w:r>
    </w:p>
    <w:p w14:paraId="0215BDB4" w14:textId="39EF0394" w:rsidR="009411BD" w:rsidRPr="006D21CC" w:rsidRDefault="00AF4AAB" w:rsidP="00E031AC">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511653" w:rsidRPr="006D21CC">
        <w:rPr>
          <w:rFonts w:ascii="Times New Roman" w:hAnsi="Times New Roman" w:cs="Times New Roman"/>
        </w:rPr>
        <w:t>correctly identified and removed $18,644,590 from plant-in-service associated with 30 microwave towers located across Pennsylvania, Ohio</w:t>
      </w:r>
      <w:r w:rsidR="00BA7439" w:rsidRPr="006D21CC">
        <w:rPr>
          <w:rFonts w:ascii="Times New Roman" w:hAnsi="Times New Roman" w:cs="Times New Roman"/>
        </w:rPr>
        <w:t>,</w:t>
      </w:r>
      <w:r w:rsidR="00511653" w:rsidRPr="006D21CC">
        <w:rPr>
          <w:rFonts w:ascii="Times New Roman" w:hAnsi="Times New Roman" w:cs="Times New Roman"/>
        </w:rPr>
        <w:t xml:space="preserve"> and West Virginia</w:t>
      </w:r>
      <w:r w:rsidR="00834C10" w:rsidRPr="006D21CC">
        <w:rPr>
          <w:rFonts w:ascii="Times New Roman" w:hAnsi="Times New Roman" w:cs="Times New Roman"/>
        </w:rPr>
        <w:t>. These towers</w:t>
      </w:r>
      <w:r w:rsidR="00511653" w:rsidRPr="006D21CC">
        <w:rPr>
          <w:rFonts w:ascii="Times New Roman" w:hAnsi="Times New Roman" w:cs="Times New Roman"/>
        </w:rPr>
        <w:t xml:space="preserve"> are recorded 100 percent on Enbridge</w:t>
      </w:r>
      <w:r w:rsidR="006D21CC">
        <w:rPr>
          <w:rFonts w:ascii="Times New Roman" w:hAnsi="Times New Roman" w:cs="Times New Roman"/>
        </w:rPr>
        <w:t>’</w:t>
      </w:r>
      <w:r w:rsidR="00511653" w:rsidRPr="006D21CC">
        <w:rPr>
          <w:rFonts w:ascii="Times New Roman" w:hAnsi="Times New Roman" w:cs="Times New Roman"/>
        </w:rPr>
        <w:t xml:space="preserve">s balance sheet </w:t>
      </w:r>
      <w:r w:rsidR="00834C10" w:rsidRPr="006D21CC">
        <w:rPr>
          <w:rFonts w:ascii="Times New Roman" w:hAnsi="Times New Roman" w:cs="Times New Roman"/>
        </w:rPr>
        <w:t xml:space="preserve">but are </w:t>
      </w:r>
      <w:r w:rsidR="00511653" w:rsidRPr="006D21CC">
        <w:rPr>
          <w:rFonts w:ascii="Times New Roman" w:hAnsi="Times New Roman" w:cs="Times New Roman"/>
        </w:rPr>
        <w:t xml:space="preserve">utilized by other companies without Enbridge receiving any revenue from use of the microwave towers. </w:t>
      </w:r>
      <w:r w:rsidR="00834C10" w:rsidRPr="006D21CC">
        <w:rPr>
          <w:rFonts w:ascii="Times New Roman" w:hAnsi="Times New Roman" w:cs="Times New Roman"/>
        </w:rPr>
        <w:t xml:space="preserve">Consumers </w:t>
      </w:r>
      <w:r w:rsidR="00511653" w:rsidRPr="006D21CC">
        <w:rPr>
          <w:rFonts w:ascii="Times New Roman" w:hAnsi="Times New Roman" w:cs="Times New Roman"/>
        </w:rPr>
        <w:t>should not bear the cost related to assets that are not in use</w:t>
      </w:r>
      <w:r w:rsidR="00834C10" w:rsidRPr="006D21CC">
        <w:rPr>
          <w:rFonts w:ascii="Times New Roman" w:hAnsi="Times New Roman" w:cs="Times New Roman"/>
        </w:rPr>
        <w:t>d and useful in providing utility service</w:t>
      </w:r>
      <w:r w:rsidR="007E43B2">
        <w:rPr>
          <w:rFonts w:ascii="Times New Roman" w:hAnsi="Times New Roman" w:cs="Times New Roman"/>
        </w:rPr>
        <w:t>.</w:t>
      </w:r>
      <w:r w:rsidR="00511653" w:rsidRPr="006D21CC">
        <w:rPr>
          <w:rFonts w:ascii="Times New Roman" w:hAnsi="Times New Roman" w:cs="Times New Roman"/>
        </w:rPr>
        <w:t xml:space="preserve"> This is particularly the case where third parties </w:t>
      </w:r>
      <w:r w:rsidR="00834C10" w:rsidRPr="006D21CC">
        <w:rPr>
          <w:rFonts w:ascii="Times New Roman" w:hAnsi="Times New Roman" w:cs="Times New Roman"/>
        </w:rPr>
        <w:t xml:space="preserve">are not paying the utility </w:t>
      </w:r>
      <w:r w:rsidR="00511653" w:rsidRPr="006D21CC">
        <w:rPr>
          <w:rFonts w:ascii="Times New Roman" w:hAnsi="Times New Roman" w:cs="Times New Roman"/>
        </w:rPr>
        <w:t>for those assets.</w:t>
      </w:r>
      <w:r>
        <w:rPr>
          <w:rStyle w:val="FootnoteReference"/>
          <w:rFonts w:ascii="Times New Roman" w:hAnsi="Times New Roman" w:cs="Times New Roman"/>
        </w:rPr>
        <w:footnoteReference w:id="27"/>
      </w:r>
    </w:p>
    <w:p w14:paraId="49851AAA" w14:textId="58BC54FD" w:rsidR="00511653" w:rsidRPr="006D21CC" w:rsidRDefault="00AF4AAB" w:rsidP="004C58FB">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 correctly recommended the removal from rate base the balance of its noncurrent gas stored underground valued at $29,869,479 as of December 31, 2023.</w:t>
      </w:r>
      <w:r>
        <w:rPr>
          <w:rStyle w:val="FootnoteReference"/>
          <w:rFonts w:ascii="Times New Roman" w:hAnsi="Times New Roman" w:cs="Times New Roman"/>
        </w:rPr>
        <w:footnoteReference w:id="28"/>
      </w:r>
    </w:p>
    <w:p w14:paraId="730140A1" w14:textId="6459B0D1" w:rsidR="00511653" w:rsidRPr="006D21CC" w:rsidRDefault="00AF4AAB" w:rsidP="004C58FB">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correctly considered the </w:t>
      </w:r>
      <w:r w:rsidR="00ED5614" w:rsidRPr="006D21CC">
        <w:rPr>
          <w:rFonts w:ascii="Times New Roman" w:hAnsi="Times New Roman" w:cs="Times New Roman"/>
        </w:rPr>
        <w:t xml:space="preserve">noncurrent gas stored underground </w:t>
      </w:r>
      <w:r w:rsidRPr="006D21CC">
        <w:rPr>
          <w:rFonts w:ascii="Times New Roman" w:hAnsi="Times New Roman" w:cs="Times New Roman"/>
        </w:rPr>
        <w:t xml:space="preserve">amounts to be more appropriately recoverable through a working capital </w:t>
      </w:r>
      <w:r w:rsidR="0072703E" w:rsidRPr="006D21CC">
        <w:rPr>
          <w:rFonts w:ascii="Times New Roman" w:hAnsi="Times New Roman" w:cs="Times New Roman"/>
        </w:rPr>
        <w:t>allowance</w:t>
      </w:r>
      <w:r w:rsidR="00834C10" w:rsidRPr="006D21CC">
        <w:rPr>
          <w:rFonts w:ascii="Times New Roman" w:hAnsi="Times New Roman" w:cs="Times New Roman"/>
        </w:rPr>
        <w:t>.</w:t>
      </w:r>
      <w:r w:rsidR="00E5007D">
        <w:rPr>
          <w:rFonts w:ascii="Times New Roman" w:hAnsi="Times New Roman" w:cs="Times New Roman"/>
        </w:rPr>
        <w:t xml:space="preserve"> </w:t>
      </w:r>
      <w:r w:rsidR="00834C10" w:rsidRPr="006D21CC">
        <w:rPr>
          <w:rFonts w:ascii="Times New Roman" w:hAnsi="Times New Roman" w:cs="Times New Roman"/>
        </w:rPr>
        <w:t>The</w:t>
      </w:r>
      <w:r w:rsidR="000B63BD">
        <w:rPr>
          <w:rFonts w:ascii="Times New Roman" w:hAnsi="Times New Roman" w:cs="Times New Roman"/>
        </w:rPr>
        <w:t xml:space="preserve"> PUCO</w:t>
      </w:r>
      <w:r w:rsidR="00834C10" w:rsidRPr="006D21CC">
        <w:rPr>
          <w:rFonts w:ascii="Times New Roman" w:hAnsi="Times New Roman" w:cs="Times New Roman"/>
        </w:rPr>
        <w:t xml:space="preserve"> Staff correctly </w:t>
      </w:r>
      <w:r w:rsidRPr="006D21CC">
        <w:rPr>
          <w:rFonts w:ascii="Times New Roman" w:hAnsi="Times New Roman" w:cs="Times New Roman"/>
        </w:rPr>
        <w:t xml:space="preserve">disallowed </w:t>
      </w:r>
      <w:r w:rsidR="00834C10" w:rsidRPr="006D21CC">
        <w:rPr>
          <w:rFonts w:ascii="Times New Roman" w:hAnsi="Times New Roman" w:cs="Times New Roman"/>
        </w:rPr>
        <w:t xml:space="preserve">a working capital allowance for the noncurrent gas because </w:t>
      </w:r>
      <w:r w:rsidR="00BA7439" w:rsidRPr="006D21CC">
        <w:rPr>
          <w:rFonts w:ascii="Times New Roman" w:hAnsi="Times New Roman" w:cs="Times New Roman"/>
        </w:rPr>
        <w:t>Enbridge</w:t>
      </w:r>
      <w:r w:rsidRPr="006D21CC">
        <w:rPr>
          <w:rFonts w:ascii="Times New Roman" w:hAnsi="Times New Roman" w:cs="Times New Roman"/>
        </w:rPr>
        <w:t xml:space="preserve"> </w:t>
      </w:r>
      <w:r w:rsidR="00834C10" w:rsidRPr="006D21CC">
        <w:rPr>
          <w:rFonts w:ascii="Times New Roman" w:hAnsi="Times New Roman" w:cs="Times New Roman"/>
        </w:rPr>
        <w:t xml:space="preserve">failed to support its working capital request </w:t>
      </w:r>
      <w:r w:rsidRPr="006D21CC">
        <w:rPr>
          <w:rFonts w:ascii="Times New Roman" w:hAnsi="Times New Roman" w:cs="Times New Roman"/>
        </w:rPr>
        <w:t>with a lead lag study.</w:t>
      </w:r>
      <w:r>
        <w:rPr>
          <w:rStyle w:val="FootnoteReference"/>
          <w:rFonts w:ascii="Times New Roman" w:hAnsi="Times New Roman" w:cs="Times New Roman"/>
        </w:rPr>
        <w:footnoteReference w:id="29"/>
      </w:r>
    </w:p>
    <w:p w14:paraId="7542E0CF" w14:textId="4A1C386E" w:rsidR="00511653" w:rsidRPr="006D21CC" w:rsidRDefault="00AF4AAB" w:rsidP="004C58FB">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correctly reversed </w:t>
      </w:r>
      <w:r w:rsidR="007E43B2">
        <w:rPr>
          <w:rFonts w:ascii="Times New Roman" w:hAnsi="Times New Roman" w:cs="Times New Roman"/>
        </w:rPr>
        <w:t>Enbridge’s</w:t>
      </w:r>
      <w:r w:rsidR="00834C10" w:rsidRPr="006D21CC">
        <w:rPr>
          <w:rFonts w:ascii="Times New Roman" w:hAnsi="Times New Roman" w:cs="Times New Roman"/>
        </w:rPr>
        <w:t xml:space="preserve"> </w:t>
      </w:r>
      <w:r w:rsidRPr="006D21CC">
        <w:rPr>
          <w:rFonts w:ascii="Times New Roman" w:hAnsi="Times New Roman" w:cs="Times New Roman"/>
        </w:rPr>
        <w:t xml:space="preserve">proposed elimination of off-system revenues from base rates and </w:t>
      </w:r>
      <w:r w:rsidR="00834C10" w:rsidRPr="006D21CC">
        <w:rPr>
          <w:rFonts w:ascii="Times New Roman" w:hAnsi="Times New Roman" w:cs="Times New Roman"/>
        </w:rPr>
        <w:t xml:space="preserve">instead allowed </w:t>
      </w:r>
      <w:r w:rsidRPr="006D21CC">
        <w:rPr>
          <w:rFonts w:ascii="Times New Roman" w:hAnsi="Times New Roman" w:cs="Times New Roman"/>
        </w:rPr>
        <w:t xml:space="preserve">a credit to the Operational Balancing Rider according to a proposed revenue-sharing of 60% credit to the </w:t>
      </w:r>
      <w:r w:rsidR="00834C10" w:rsidRPr="006D21CC">
        <w:rPr>
          <w:rFonts w:ascii="Times New Roman" w:hAnsi="Times New Roman" w:cs="Times New Roman"/>
        </w:rPr>
        <w:t xml:space="preserve">consumers </w:t>
      </w:r>
      <w:r w:rsidRPr="006D21CC">
        <w:rPr>
          <w:rFonts w:ascii="Times New Roman" w:hAnsi="Times New Roman" w:cs="Times New Roman"/>
        </w:rPr>
        <w:t xml:space="preserve">and 40% retained by </w:t>
      </w:r>
      <w:r w:rsidR="00174BB4" w:rsidRPr="006D21CC">
        <w:rPr>
          <w:rFonts w:ascii="Times New Roman" w:hAnsi="Times New Roman" w:cs="Times New Roman"/>
        </w:rPr>
        <w:t>Enbridge</w:t>
      </w:r>
      <w:r w:rsidRPr="006D21CC">
        <w:rPr>
          <w:rFonts w:ascii="Times New Roman" w:hAnsi="Times New Roman" w:cs="Times New Roman"/>
        </w:rPr>
        <w:t>.</w:t>
      </w:r>
      <w:r>
        <w:rPr>
          <w:rStyle w:val="FootnoteReference"/>
          <w:rFonts w:ascii="Times New Roman" w:hAnsi="Times New Roman" w:cs="Times New Roman"/>
        </w:rPr>
        <w:footnoteReference w:id="30"/>
      </w:r>
    </w:p>
    <w:p w14:paraId="3FD63B17" w14:textId="6AC00F99" w:rsidR="00511653" w:rsidRPr="006D21CC" w:rsidRDefault="00AF4AAB" w:rsidP="004C58FB">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 correctly recommended that the off-system revenues be included within base rates</w:t>
      </w:r>
      <w:r w:rsidR="00834C10" w:rsidRPr="006D21CC">
        <w:rPr>
          <w:rFonts w:ascii="Times New Roman" w:hAnsi="Times New Roman" w:cs="Times New Roman"/>
        </w:rPr>
        <w:t xml:space="preserve">, lessening the jurisdictional revenue requirement, </w:t>
      </w:r>
      <w:r w:rsidRPr="006D21CC">
        <w:rPr>
          <w:rFonts w:ascii="Times New Roman" w:hAnsi="Times New Roman" w:cs="Times New Roman"/>
        </w:rPr>
        <w:t xml:space="preserve">as </w:t>
      </w:r>
      <w:r w:rsidR="00834C10" w:rsidRPr="006D21CC">
        <w:rPr>
          <w:rFonts w:ascii="Times New Roman" w:hAnsi="Times New Roman" w:cs="Times New Roman"/>
        </w:rPr>
        <w:t>consumers pay for a return on and of the plant that allows revenues to be generated.</w:t>
      </w:r>
      <w:r>
        <w:rPr>
          <w:rStyle w:val="FootnoteReference"/>
          <w:rFonts w:ascii="Times New Roman" w:hAnsi="Times New Roman" w:cs="Times New Roman"/>
        </w:rPr>
        <w:footnoteReference w:id="31"/>
      </w:r>
    </w:p>
    <w:p w14:paraId="27C1454F" w14:textId="73AA5414" w:rsidR="00511653" w:rsidRPr="006D21CC" w:rsidRDefault="00AF4AAB" w:rsidP="004C58FB">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properly acknowledges the rolling in of used and useful plant-in-service and the recovery of ongoing prudently incurred O&amp;M costs associated with supporting these off-system sales, including a fair return on the investment </w:t>
      </w:r>
      <w:r w:rsidRPr="006D21CC">
        <w:rPr>
          <w:rFonts w:ascii="Times New Roman" w:hAnsi="Times New Roman" w:cs="Times New Roman"/>
        </w:rPr>
        <w:lastRenderedPageBreak/>
        <w:t xml:space="preserve">and depreciation of the assets, which fairly compensates the </w:t>
      </w:r>
      <w:r w:rsidR="00834C10" w:rsidRPr="006D21CC">
        <w:rPr>
          <w:rFonts w:ascii="Times New Roman" w:hAnsi="Times New Roman" w:cs="Times New Roman"/>
        </w:rPr>
        <w:t xml:space="preserve">utility </w:t>
      </w:r>
      <w:r w:rsidRPr="006D21CC">
        <w:rPr>
          <w:rFonts w:ascii="Times New Roman" w:hAnsi="Times New Roman" w:cs="Times New Roman"/>
        </w:rPr>
        <w:t>on a go</w:t>
      </w:r>
      <w:r w:rsidR="001C1390">
        <w:rPr>
          <w:rFonts w:ascii="Times New Roman" w:hAnsi="Times New Roman" w:cs="Times New Roman"/>
        </w:rPr>
        <w:t>ing</w:t>
      </w:r>
      <w:r w:rsidRPr="006D21CC">
        <w:rPr>
          <w:rFonts w:ascii="Times New Roman" w:hAnsi="Times New Roman" w:cs="Times New Roman"/>
        </w:rPr>
        <w:t xml:space="preserve"> forward basis.</w:t>
      </w:r>
      <w:r>
        <w:rPr>
          <w:rStyle w:val="FootnoteReference"/>
          <w:rFonts w:ascii="Times New Roman" w:hAnsi="Times New Roman" w:cs="Times New Roman"/>
        </w:rPr>
        <w:footnoteReference w:id="32"/>
      </w:r>
    </w:p>
    <w:p w14:paraId="7D42815C" w14:textId="2232318D" w:rsidR="00511653" w:rsidRPr="006D21CC" w:rsidRDefault="00AF4AAB" w:rsidP="004C58FB">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 correctly decreases test year revenue by $54,632,225</w:t>
      </w:r>
      <w:r w:rsidR="004310F6" w:rsidRPr="006D21CC">
        <w:rPr>
          <w:rFonts w:ascii="Times New Roman" w:hAnsi="Times New Roman" w:cs="Times New Roman"/>
        </w:rPr>
        <w:t xml:space="preserve"> to eliminate non-recoverable affiliate expenses</w:t>
      </w:r>
      <w:r w:rsidR="00834C10" w:rsidRPr="006D21CC">
        <w:rPr>
          <w:rFonts w:ascii="Times New Roman" w:hAnsi="Times New Roman" w:cs="Times New Roman"/>
        </w:rPr>
        <w:t xml:space="preserve"> that jurisdictional utility consumers should not be paying because the expense are not incurred to provide utility service to Ohio consumers</w:t>
      </w:r>
      <w:r w:rsidRPr="006D21CC">
        <w:rPr>
          <w:rFonts w:ascii="Times New Roman" w:hAnsi="Times New Roman" w:cs="Times New Roman"/>
        </w:rPr>
        <w:t>.</w:t>
      </w:r>
      <w:r>
        <w:rPr>
          <w:rStyle w:val="FootnoteReference"/>
          <w:rFonts w:ascii="Times New Roman" w:hAnsi="Times New Roman" w:cs="Times New Roman"/>
        </w:rPr>
        <w:footnoteReference w:id="33"/>
      </w:r>
    </w:p>
    <w:p w14:paraId="21E117BD" w14:textId="1BB75086" w:rsidR="00511653"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correctly </w:t>
      </w:r>
      <w:r w:rsidR="00834C10" w:rsidRPr="006D21CC">
        <w:rPr>
          <w:rFonts w:ascii="Times New Roman" w:hAnsi="Times New Roman" w:cs="Times New Roman"/>
        </w:rPr>
        <w:t>reduced t</w:t>
      </w:r>
      <w:r w:rsidRPr="006D21CC">
        <w:rPr>
          <w:rFonts w:ascii="Times New Roman" w:hAnsi="Times New Roman" w:cs="Times New Roman"/>
        </w:rPr>
        <w:t xml:space="preserve">est year operating income by $6,007,055 to annualize test </w:t>
      </w:r>
      <w:r w:rsidRPr="006D21CC">
        <w:rPr>
          <w:rFonts w:ascii="Times New Roman" w:hAnsi="Times New Roman" w:cs="Times New Roman"/>
        </w:rPr>
        <w:t>year wages, incentives, payroll tax, and benefits not including pension and other post-employment benefits (</w:t>
      </w:r>
      <w:r w:rsidR="006D21CC">
        <w:rPr>
          <w:rFonts w:ascii="Times New Roman" w:hAnsi="Times New Roman" w:cs="Times New Roman"/>
        </w:rPr>
        <w:t>“</w:t>
      </w:r>
      <w:r w:rsidRPr="006D21CC">
        <w:rPr>
          <w:rFonts w:ascii="Times New Roman" w:hAnsi="Times New Roman" w:cs="Times New Roman"/>
        </w:rPr>
        <w:t>OPEB</w:t>
      </w:r>
      <w:r w:rsidR="006D21CC">
        <w:rPr>
          <w:rFonts w:ascii="Times New Roman" w:hAnsi="Times New Roman" w:cs="Times New Roman"/>
        </w:rPr>
        <w:t>”</w:t>
      </w:r>
      <w:r w:rsidRPr="006D21CC">
        <w:rPr>
          <w:rFonts w:ascii="Times New Roman" w:hAnsi="Times New Roman" w:cs="Times New Roman"/>
        </w:rPr>
        <w:t>).</w:t>
      </w:r>
      <w:r>
        <w:rPr>
          <w:rStyle w:val="FootnoteReference"/>
          <w:rFonts w:ascii="Times New Roman" w:hAnsi="Times New Roman" w:cs="Times New Roman"/>
        </w:rPr>
        <w:footnoteReference w:id="34"/>
      </w:r>
    </w:p>
    <w:p w14:paraId="0B94EF34" w14:textId="1F83675B" w:rsidR="003658FF"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correctly </w:t>
      </w:r>
      <w:r w:rsidR="00834C10" w:rsidRPr="006D21CC">
        <w:rPr>
          <w:rFonts w:ascii="Times New Roman" w:hAnsi="Times New Roman" w:cs="Times New Roman"/>
        </w:rPr>
        <w:t xml:space="preserve">excluded from test year expenses </w:t>
      </w:r>
      <w:r w:rsidRPr="006D21CC">
        <w:rPr>
          <w:rFonts w:ascii="Times New Roman" w:hAnsi="Times New Roman" w:cs="Times New Roman"/>
        </w:rPr>
        <w:t xml:space="preserve">non-compliant advertising charges and advertising no longer expected to be </w:t>
      </w:r>
      <w:r w:rsidRPr="006D21CC">
        <w:rPr>
          <w:rFonts w:ascii="Times New Roman" w:hAnsi="Times New Roman" w:cs="Times New Roman"/>
        </w:rPr>
        <w:t>completed in the test year period in the amount of $206,886.</w:t>
      </w:r>
      <w:r>
        <w:rPr>
          <w:rStyle w:val="FootnoteReference"/>
          <w:rFonts w:ascii="Times New Roman" w:hAnsi="Times New Roman" w:cs="Times New Roman"/>
        </w:rPr>
        <w:footnoteReference w:id="35"/>
      </w:r>
    </w:p>
    <w:p w14:paraId="67B7E590" w14:textId="21691AC9" w:rsidR="003658FF"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correctly </w:t>
      </w:r>
      <w:r w:rsidR="00834C10" w:rsidRPr="006D21CC">
        <w:rPr>
          <w:rFonts w:ascii="Times New Roman" w:hAnsi="Times New Roman" w:cs="Times New Roman"/>
        </w:rPr>
        <w:t xml:space="preserve">excluded from test year expenses </w:t>
      </w:r>
      <w:r w:rsidRPr="006D21CC">
        <w:rPr>
          <w:rFonts w:ascii="Times New Roman" w:hAnsi="Times New Roman" w:cs="Times New Roman"/>
        </w:rPr>
        <w:t>entertainment expenses in the amount of $183,633.</w:t>
      </w:r>
      <w:r>
        <w:rPr>
          <w:rStyle w:val="FootnoteReference"/>
          <w:rFonts w:ascii="Times New Roman" w:hAnsi="Times New Roman" w:cs="Times New Roman"/>
        </w:rPr>
        <w:footnoteReference w:id="36"/>
      </w:r>
    </w:p>
    <w:p w14:paraId="3B03F6B9" w14:textId="7FA03D72" w:rsidR="003658FF"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correctly </w:t>
      </w:r>
      <w:r w:rsidR="00834C10" w:rsidRPr="006D21CC">
        <w:rPr>
          <w:rFonts w:ascii="Times New Roman" w:hAnsi="Times New Roman" w:cs="Times New Roman"/>
        </w:rPr>
        <w:t xml:space="preserve">excluded from test year expenses </w:t>
      </w:r>
      <w:r w:rsidRPr="006D21CC">
        <w:rPr>
          <w:rFonts w:ascii="Times New Roman" w:hAnsi="Times New Roman" w:cs="Times New Roman"/>
        </w:rPr>
        <w:t>$86,103 associated with social and club dues.</w:t>
      </w:r>
      <w:r>
        <w:rPr>
          <w:rStyle w:val="FootnoteReference"/>
          <w:rFonts w:ascii="Times New Roman" w:hAnsi="Times New Roman" w:cs="Times New Roman"/>
        </w:rPr>
        <w:footnoteReference w:id="37"/>
      </w:r>
    </w:p>
    <w:p w14:paraId="4FD60F76" w14:textId="5280098E" w:rsidR="003658FF"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 correctly</w:t>
      </w:r>
      <w:r w:rsidR="00834C10" w:rsidRPr="006D21CC">
        <w:rPr>
          <w:rFonts w:ascii="Times New Roman" w:hAnsi="Times New Roman" w:cs="Times New Roman"/>
        </w:rPr>
        <w:t xml:space="preserve"> excluded from test year expenses $</w:t>
      </w:r>
      <w:r w:rsidRPr="006D21CC">
        <w:rPr>
          <w:rFonts w:ascii="Times New Roman" w:hAnsi="Times New Roman" w:cs="Times New Roman"/>
        </w:rPr>
        <w:t xml:space="preserve">54,097 related to non-recoverable affiliate expenses allocated to </w:t>
      </w:r>
      <w:r w:rsidR="00174BB4" w:rsidRPr="006D21CC">
        <w:rPr>
          <w:rFonts w:ascii="Times New Roman" w:hAnsi="Times New Roman" w:cs="Times New Roman"/>
        </w:rPr>
        <w:t>Enbridge</w:t>
      </w:r>
      <w:r w:rsidRPr="006D21CC">
        <w:rPr>
          <w:rFonts w:ascii="Times New Roman" w:hAnsi="Times New Roman" w:cs="Times New Roman"/>
        </w:rPr>
        <w:t>.</w:t>
      </w:r>
      <w:r>
        <w:rPr>
          <w:rStyle w:val="FootnoteReference"/>
          <w:rFonts w:ascii="Times New Roman" w:hAnsi="Times New Roman" w:cs="Times New Roman"/>
        </w:rPr>
        <w:footnoteReference w:id="38"/>
      </w:r>
    </w:p>
    <w:p w14:paraId="53641F3C" w14:textId="3EA4842C" w:rsidR="003658FF"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834C10" w:rsidRPr="006D21CC">
        <w:rPr>
          <w:rFonts w:ascii="Times New Roman" w:hAnsi="Times New Roman" w:cs="Times New Roman"/>
        </w:rPr>
        <w:t xml:space="preserve">excluded from test year expenses </w:t>
      </w:r>
      <w:r w:rsidRPr="006D21CC">
        <w:rPr>
          <w:rFonts w:ascii="Times New Roman" w:hAnsi="Times New Roman" w:cs="Times New Roman"/>
        </w:rPr>
        <w:t>$167,626 associated with civic, political, and related activities, and properly considered them as a shareholder cost.</w:t>
      </w:r>
      <w:r>
        <w:rPr>
          <w:rStyle w:val="FootnoteReference"/>
          <w:rFonts w:ascii="Times New Roman" w:hAnsi="Times New Roman" w:cs="Times New Roman"/>
        </w:rPr>
        <w:footnoteReference w:id="39"/>
      </w:r>
    </w:p>
    <w:p w14:paraId="7C562021" w14:textId="58355893" w:rsidR="003658FF"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834C10" w:rsidRPr="006D21CC">
        <w:rPr>
          <w:rFonts w:ascii="Times New Roman" w:hAnsi="Times New Roman" w:cs="Times New Roman"/>
        </w:rPr>
        <w:t>excluded</w:t>
      </w:r>
      <w:r w:rsidRPr="006D21CC">
        <w:rPr>
          <w:rFonts w:ascii="Times New Roman" w:hAnsi="Times New Roman" w:cs="Times New Roman"/>
        </w:rPr>
        <w:t xml:space="preserve"> from </w:t>
      </w:r>
      <w:r w:rsidR="00834C10" w:rsidRPr="006D21CC">
        <w:rPr>
          <w:rFonts w:ascii="Times New Roman" w:hAnsi="Times New Roman" w:cs="Times New Roman"/>
        </w:rPr>
        <w:t xml:space="preserve">test year expenses </w:t>
      </w:r>
      <w:r w:rsidRPr="006D21CC">
        <w:rPr>
          <w:rFonts w:ascii="Times New Roman" w:hAnsi="Times New Roman" w:cs="Times New Roman"/>
        </w:rPr>
        <w:t>$114,455 related to gift cards, flower arrangements, various expenses for which no supporting documentation was provided, and O&amp;M expenses associated with the removal of a hydrogen blending capital project.</w:t>
      </w:r>
      <w:r>
        <w:rPr>
          <w:rStyle w:val="FootnoteReference"/>
          <w:rFonts w:ascii="Times New Roman" w:hAnsi="Times New Roman" w:cs="Times New Roman"/>
        </w:rPr>
        <w:footnoteReference w:id="40"/>
      </w:r>
    </w:p>
    <w:p w14:paraId="30E6031D" w14:textId="475C1F9F" w:rsidR="003658FF"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lastRenderedPageBreak/>
        <w:t xml:space="preserve">The Staff Report </w:t>
      </w:r>
      <w:r w:rsidR="00834C10" w:rsidRPr="006D21CC">
        <w:rPr>
          <w:rFonts w:ascii="Times New Roman" w:hAnsi="Times New Roman" w:cs="Times New Roman"/>
        </w:rPr>
        <w:t>excluded from test year expenses</w:t>
      </w:r>
      <w:r w:rsidRPr="006D21CC">
        <w:rPr>
          <w:rFonts w:ascii="Times New Roman" w:hAnsi="Times New Roman" w:cs="Times New Roman"/>
        </w:rPr>
        <w:t xml:space="preserve"> $84,683 relate</w:t>
      </w:r>
      <w:r w:rsidR="00834C10" w:rsidRPr="006D21CC">
        <w:rPr>
          <w:rFonts w:ascii="Times New Roman" w:hAnsi="Times New Roman" w:cs="Times New Roman"/>
        </w:rPr>
        <w:t>d</w:t>
      </w:r>
      <w:r w:rsidRPr="006D21CC">
        <w:rPr>
          <w:rFonts w:ascii="Times New Roman" w:hAnsi="Times New Roman" w:cs="Times New Roman"/>
        </w:rPr>
        <w:t xml:space="preserve"> to costs that were incurred outside of the test year period, and thus not reflective of valid costs in the test year.</w:t>
      </w:r>
      <w:r>
        <w:rPr>
          <w:rStyle w:val="FootnoteReference"/>
          <w:rFonts w:ascii="Times New Roman" w:hAnsi="Times New Roman" w:cs="Times New Roman"/>
        </w:rPr>
        <w:footnoteReference w:id="41"/>
      </w:r>
    </w:p>
    <w:p w14:paraId="36DA73BA" w14:textId="5FACB1AF" w:rsidR="003658FF"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834C10" w:rsidRPr="006D21CC">
        <w:rPr>
          <w:rFonts w:ascii="Times New Roman" w:hAnsi="Times New Roman" w:cs="Times New Roman"/>
        </w:rPr>
        <w:t xml:space="preserve">excluded from test year expenses </w:t>
      </w:r>
      <w:r w:rsidRPr="006D21CC">
        <w:rPr>
          <w:rFonts w:ascii="Times New Roman" w:hAnsi="Times New Roman" w:cs="Times New Roman"/>
        </w:rPr>
        <w:t xml:space="preserve">$275,819 related to meals and refreshments that are not </w:t>
      </w:r>
      <w:r w:rsidR="00834C10" w:rsidRPr="006D21CC">
        <w:rPr>
          <w:rFonts w:ascii="Times New Roman" w:hAnsi="Times New Roman" w:cs="Times New Roman"/>
        </w:rPr>
        <w:t>cost necessary to provide utility service consumers.</w:t>
      </w:r>
      <w:r>
        <w:rPr>
          <w:rStyle w:val="FootnoteReference"/>
          <w:rFonts w:ascii="Times New Roman" w:hAnsi="Times New Roman" w:cs="Times New Roman"/>
        </w:rPr>
        <w:footnoteReference w:id="42"/>
      </w:r>
    </w:p>
    <w:p w14:paraId="6995305A" w14:textId="745510EB" w:rsidR="00C1649B"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834C10" w:rsidRPr="006D21CC">
        <w:rPr>
          <w:rFonts w:ascii="Times New Roman" w:hAnsi="Times New Roman" w:cs="Times New Roman"/>
        </w:rPr>
        <w:t xml:space="preserve">excluded from test year </w:t>
      </w:r>
      <w:r w:rsidR="00B32D62" w:rsidRPr="006D21CC">
        <w:rPr>
          <w:rFonts w:ascii="Times New Roman" w:hAnsi="Times New Roman" w:cs="Times New Roman"/>
        </w:rPr>
        <w:t>expenses $</w:t>
      </w:r>
      <w:r w:rsidRPr="006D21CC">
        <w:rPr>
          <w:rFonts w:ascii="Times New Roman" w:hAnsi="Times New Roman" w:cs="Times New Roman"/>
        </w:rPr>
        <w:t xml:space="preserve">25,085 due to a property damage claim which </w:t>
      </w:r>
      <w:r w:rsidR="00834C10" w:rsidRPr="006D21CC">
        <w:rPr>
          <w:rFonts w:ascii="Times New Roman" w:hAnsi="Times New Roman" w:cs="Times New Roman"/>
        </w:rPr>
        <w:t xml:space="preserve">is not an ordinary and necessary cost of providing service to consumers and serves </w:t>
      </w:r>
      <w:r w:rsidRPr="006D21CC">
        <w:rPr>
          <w:rFonts w:ascii="Times New Roman" w:hAnsi="Times New Roman" w:cs="Times New Roman"/>
        </w:rPr>
        <w:t>no obvious regulatory purpose or customer benefit.</w:t>
      </w:r>
      <w:r>
        <w:rPr>
          <w:rStyle w:val="FootnoteReference"/>
          <w:rFonts w:ascii="Times New Roman" w:hAnsi="Times New Roman" w:cs="Times New Roman"/>
        </w:rPr>
        <w:footnoteReference w:id="43"/>
      </w:r>
    </w:p>
    <w:p w14:paraId="54417888" w14:textId="118FCEFD" w:rsidR="00C1649B"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834C10" w:rsidRPr="006D21CC">
        <w:rPr>
          <w:rFonts w:ascii="Times New Roman" w:hAnsi="Times New Roman" w:cs="Times New Roman"/>
        </w:rPr>
        <w:t>excluded from test year expenses</w:t>
      </w:r>
      <w:r w:rsidRPr="006D21CC">
        <w:rPr>
          <w:rFonts w:ascii="Times New Roman" w:hAnsi="Times New Roman" w:cs="Times New Roman"/>
        </w:rPr>
        <w:t xml:space="preserve"> $406,350 of </w:t>
      </w:r>
      <w:r w:rsidR="00834C10" w:rsidRPr="006D21CC">
        <w:rPr>
          <w:rFonts w:ascii="Times New Roman" w:hAnsi="Times New Roman" w:cs="Times New Roman"/>
        </w:rPr>
        <w:t xml:space="preserve">corporate non-labor service expenses charged to Enbridge but unrelated to the cost of providing utility service to consumers and also </w:t>
      </w:r>
      <w:r w:rsidR="00B32D62" w:rsidRPr="006D21CC">
        <w:rPr>
          <w:rFonts w:ascii="Times New Roman" w:hAnsi="Times New Roman" w:cs="Times New Roman"/>
        </w:rPr>
        <w:t>providing no</w:t>
      </w:r>
      <w:r w:rsidRPr="006D21CC">
        <w:rPr>
          <w:rFonts w:ascii="Times New Roman" w:hAnsi="Times New Roman" w:cs="Times New Roman"/>
        </w:rPr>
        <w:t xml:space="preserve"> benefit to customers.</w:t>
      </w:r>
      <w:r>
        <w:rPr>
          <w:rStyle w:val="FootnoteReference"/>
          <w:rFonts w:ascii="Times New Roman" w:hAnsi="Times New Roman" w:cs="Times New Roman"/>
        </w:rPr>
        <w:footnoteReference w:id="44"/>
      </w:r>
    </w:p>
    <w:p w14:paraId="5E65DDEC" w14:textId="3E002B27" w:rsidR="00C1649B"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bookmarkStart w:id="5" w:name="_Hlk172627356"/>
      <w:r w:rsidRPr="006D21CC">
        <w:rPr>
          <w:rFonts w:ascii="Times New Roman" w:hAnsi="Times New Roman" w:cs="Times New Roman"/>
        </w:rPr>
        <w:t xml:space="preserve">The Staff Report </w:t>
      </w:r>
      <w:bookmarkEnd w:id="5"/>
      <w:r w:rsidRPr="006D21CC">
        <w:rPr>
          <w:rFonts w:ascii="Times New Roman" w:hAnsi="Times New Roman" w:cs="Times New Roman"/>
        </w:rPr>
        <w:t xml:space="preserve">correctly </w:t>
      </w:r>
      <w:r w:rsidR="00834C10" w:rsidRPr="006D21CC">
        <w:rPr>
          <w:rFonts w:ascii="Times New Roman" w:hAnsi="Times New Roman" w:cs="Times New Roman"/>
        </w:rPr>
        <w:t>added test year revenues t</w:t>
      </w:r>
      <w:r w:rsidRPr="006D21CC">
        <w:rPr>
          <w:rFonts w:ascii="Times New Roman" w:hAnsi="Times New Roman" w:cs="Times New Roman"/>
        </w:rPr>
        <w:t xml:space="preserve">o reflect the historical three-year trend in accounts 487, 488, 489.4, 490, 492, and 495, as well as the inclusion of off-system sales revenues for a total </w:t>
      </w:r>
      <w:r w:rsidR="00834C10" w:rsidRPr="006D21CC">
        <w:rPr>
          <w:rFonts w:ascii="Times New Roman" w:hAnsi="Times New Roman" w:cs="Times New Roman"/>
        </w:rPr>
        <w:t xml:space="preserve">addition </w:t>
      </w:r>
      <w:r w:rsidR="00B32D62" w:rsidRPr="006D21CC">
        <w:rPr>
          <w:rFonts w:ascii="Times New Roman" w:hAnsi="Times New Roman" w:cs="Times New Roman"/>
        </w:rPr>
        <w:t>of $</w:t>
      </w:r>
      <w:r w:rsidRPr="006D21CC">
        <w:rPr>
          <w:rFonts w:ascii="Times New Roman" w:hAnsi="Times New Roman" w:cs="Times New Roman"/>
        </w:rPr>
        <w:t>63,025,239 to test year revenues.</w:t>
      </w:r>
      <w:r>
        <w:rPr>
          <w:rStyle w:val="FootnoteReference"/>
          <w:rFonts w:ascii="Times New Roman" w:hAnsi="Times New Roman" w:cs="Times New Roman"/>
        </w:rPr>
        <w:footnoteReference w:id="45"/>
      </w:r>
    </w:p>
    <w:p w14:paraId="1F0C9EDC" w14:textId="7D822D1F" w:rsidR="00511653"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w:t>
      </w:r>
      <w:r w:rsidR="00C1649B" w:rsidRPr="006D21CC">
        <w:rPr>
          <w:rFonts w:ascii="Times New Roman" w:hAnsi="Times New Roman" w:cs="Times New Roman"/>
        </w:rPr>
        <w:t xml:space="preserve">correctly </w:t>
      </w:r>
      <w:r w:rsidR="00B32D62" w:rsidRPr="006D21CC">
        <w:rPr>
          <w:rFonts w:ascii="Times New Roman" w:hAnsi="Times New Roman" w:cs="Times New Roman"/>
        </w:rPr>
        <w:t>reduced federal</w:t>
      </w:r>
      <w:r w:rsidR="00C1649B" w:rsidRPr="006D21CC">
        <w:rPr>
          <w:rFonts w:ascii="Times New Roman" w:hAnsi="Times New Roman" w:cs="Times New Roman"/>
        </w:rPr>
        <w:t xml:space="preserve"> income tax expense to reflect the flow-through effect of Staff</w:t>
      </w:r>
      <w:r w:rsidR="006D21CC">
        <w:rPr>
          <w:rFonts w:ascii="Times New Roman" w:hAnsi="Times New Roman" w:cs="Times New Roman"/>
        </w:rPr>
        <w:t>’</w:t>
      </w:r>
      <w:r w:rsidR="00C1649B" w:rsidRPr="006D21CC">
        <w:rPr>
          <w:rFonts w:ascii="Times New Roman" w:hAnsi="Times New Roman" w:cs="Times New Roman"/>
        </w:rPr>
        <w:t>s proposed adjustments to test year revenues and expenses in the amount of $35,699,995.</w:t>
      </w:r>
      <w:r>
        <w:rPr>
          <w:rStyle w:val="FootnoteReference"/>
          <w:rFonts w:ascii="Times New Roman" w:hAnsi="Times New Roman" w:cs="Times New Roman"/>
        </w:rPr>
        <w:footnoteReference w:id="46"/>
      </w:r>
    </w:p>
    <w:p w14:paraId="23B97B60" w14:textId="10C19566" w:rsidR="00612CC0" w:rsidRPr="006D21CC" w:rsidRDefault="00AF4AAB" w:rsidP="001657D2">
      <w:pPr>
        <w:pStyle w:val="ListParagraph"/>
        <w:numPr>
          <w:ilvl w:val="0"/>
          <w:numId w:val="10"/>
        </w:numPr>
        <w:spacing w:before="120"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 correctly used the minimum system calculation for the Cost of Service Study</w:t>
      </w:r>
      <w:r w:rsidR="00B11568" w:rsidRPr="006D21CC">
        <w:rPr>
          <w:rFonts w:ascii="Times New Roman" w:hAnsi="Times New Roman" w:cs="Times New Roman"/>
        </w:rPr>
        <w:t xml:space="preserve"> (</w:t>
      </w:r>
      <w:r w:rsidR="006D21CC">
        <w:rPr>
          <w:rFonts w:ascii="Times New Roman" w:hAnsi="Times New Roman" w:cs="Times New Roman"/>
        </w:rPr>
        <w:t>“</w:t>
      </w:r>
      <w:r w:rsidR="00B11568" w:rsidRPr="006D21CC">
        <w:rPr>
          <w:rFonts w:ascii="Times New Roman" w:hAnsi="Times New Roman" w:cs="Times New Roman"/>
        </w:rPr>
        <w:t>COSS</w:t>
      </w:r>
      <w:r w:rsidR="006D21CC">
        <w:rPr>
          <w:rFonts w:ascii="Times New Roman" w:hAnsi="Times New Roman" w:cs="Times New Roman"/>
        </w:rPr>
        <w:t>”</w:t>
      </w:r>
      <w:r w:rsidR="00B11568" w:rsidRPr="006D21CC">
        <w:rPr>
          <w:rFonts w:ascii="Times New Roman" w:hAnsi="Times New Roman" w:cs="Times New Roman"/>
        </w:rPr>
        <w:t>)</w:t>
      </w:r>
      <w:r w:rsidRPr="006D21CC">
        <w:rPr>
          <w:rFonts w:ascii="Times New Roman" w:hAnsi="Times New Roman" w:cs="Times New Roman"/>
        </w:rPr>
        <w:t>.</w:t>
      </w:r>
      <w:r>
        <w:rPr>
          <w:rStyle w:val="FootnoteReference"/>
          <w:rFonts w:ascii="Times New Roman" w:hAnsi="Times New Roman" w:cs="Times New Roman"/>
        </w:rPr>
        <w:footnoteReference w:id="47"/>
      </w:r>
      <w:r w:rsidRPr="006D21CC">
        <w:rPr>
          <w:rFonts w:ascii="Times New Roman" w:hAnsi="Times New Roman" w:cs="Times New Roman"/>
        </w:rPr>
        <w:t xml:space="preserve"> </w:t>
      </w:r>
    </w:p>
    <w:p w14:paraId="7D3D98A9" w14:textId="5D8951C5" w:rsidR="00612CC0" w:rsidRPr="006D21CC" w:rsidRDefault="00AF4AAB" w:rsidP="001657D2">
      <w:pPr>
        <w:pStyle w:val="ListParagraph"/>
        <w:numPr>
          <w:ilvl w:val="0"/>
          <w:numId w:val="5"/>
        </w:numPr>
        <w:spacing w:before="120" w:after="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correctly recommended that the </w:t>
      </w:r>
      <w:r w:rsidRPr="006D21CC">
        <w:rPr>
          <w:rFonts w:ascii="Times New Roman" w:hAnsi="Times New Roman" w:cs="Times New Roman"/>
        </w:rPr>
        <w:t>revenues and expenses from negotiated contracts be assigned to the General Transportation Service (</w:t>
      </w:r>
      <w:r w:rsidR="006D21CC">
        <w:rPr>
          <w:rFonts w:ascii="Times New Roman" w:hAnsi="Times New Roman" w:cs="Times New Roman"/>
        </w:rPr>
        <w:t>“</w:t>
      </w:r>
      <w:r w:rsidRPr="006D21CC">
        <w:rPr>
          <w:rFonts w:ascii="Times New Roman" w:hAnsi="Times New Roman" w:cs="Times New Roman"/>
        </w:rPr>
        <w:t>GTS</w:t>
      </w:r>
      <w:r w:rsidR="006D21CC">
        <w:rPr>
          <w:rFonts w:ascii="Times New Roman" w:hAnsi="Times New Roman" w:cs="Times New Roman"/>
        </w:rPr>
        <w:t>”</w:t>
      </w:r>
      <w:r w:rsidRPr="006D21CC">
        <w:rPr>
          <w:rFonts w:ascii="Times New Roman" w:hAnsi="Times New Roman" w:cs="Times New Roman"/>
        </w:rPr>
        <w:t>) and Daily Transportation Service (</w:t>
      </w:r>
      <w:r w:rsidR="006D21CC">
        <w:rPr>
          <w:rFonts w:ascii="Times New Roman" w:hAnsi="Times New Roman" w:cs="Times New Roman"/>
        </w:rPr>
        <w:t>“</w:t>
      </w:r>
      <w:r w:rsidRPr="006D21CC">
        <w:rPr>
          <w:rFonts w:ascii="Times New Roman" w:hAnsi="Times New Roman" w:cs="Times New Roman"/>
        </w:rPr>
        <w:t>DTS</w:t>
      </w:r>
      <w:r w:rsidR="006D21CC">
        <w:rPr>
          <w:rFonts w:ascii="Times New Roman" w:hAnsi="Times New Roman" w:cs="Times New Roman"/>
        </w:rPr>
        <w:t>”</w:t>
      </w:r>
      <w:r w:rsidRPr="006D21CC">
        <w:rPr>
          <w:rFonts w:ascii="Times New Roman" w:hAnsi="Times New Roman" w:cs="Times New Roman"/>
        </w:rPr>
        <w:t xml:space="preserve">) class rather than being </w:t>
      </w:r>
      <w:r w:rsidR="00834C10" w:rsidRPr="006D21CC">
        <w:rPr>
          <w:rFonts w:ascii="Times New Roman" w:hAnsi="Times New Roman" w:cs="Times New Roman"/>
        </w:rPr>
        <w:t xml:space="preserve">paid for by other </w:t>
      </w:r>
      <w:r w:rsidR="000F0BB3" w:rsidRPr="006D21CC">
        <w:rPr>
          <w:rFonts w:ascii="Times New Roman" w:hAnsi="Times New Roman" w:cs="Times New Roman"/>
        </w:rPr>
        <w:t>customer classes</w:t>
      </w:r>
      <w:r w:rsidRPr="006D21CC">
        <w:rPr>
          <w:rFonts w:ascii="Times New Roman" w:hAnsi="Times New Roman" w:cs="Times New Roman"/>
        </w:rPr>
        <w:t xml:space="preserve"> through universal charges.</w:t>
      </w:r>
      <w:r>
        <w:rPr>
          <w:rStyle w:val="FootnoteReference"/>
          <w:rFonts w:ascii="Times New Roman" w:hAnsi="Times New Roman" w:cs="Times New Roman"/>
        </w:rPr>
        <w:footnoteReference w:id="48"/>
      </w:r>
    </w:p>
    <w:p w14:paraId="2845654C" w14:textId="1193EB27" w:rsidR="00612CC0" w:rsidRPr="006D21CC" w:rsidRDefault="00AF4AAB" w:rsidP="001657D2">
      <w:pPr>
        <w:pStyle w:val="ListParagraph"/>
        <w:numPr>
          <w:ilvl w:val="0"/>
          <w:numId w:val="5"/>
        </w:numPr>
        <w:spacing w:before="120" w:after="0" w:line="264" w:lineRule="auto"/>
        <w:ind w:left="1440" w:hanging="720"/>
        <w:contextualSpacing w:val="0"/>
        <w:rPr>
          <w:rFonts w:ascii="Times New Roman" w:hAnsi="Times New Roman" w:cs="Times New Roman"/>
        </w:rPr>
      </w:pPr>
      <w:r w:rsidRPr="006D21CC">
        <w:rPr>
          <w:rFonts w:ascii="Times New Roman" w:hAnsi="Times New Roman" w:cs="Times New Roman"/>
        </w:rPr>
        <w:t xml:space="preserve">The Staff Report correctly recommended that </w:t>
      </w:r>
      <w:r w:rsidR="00834C10" w:rsidRPr="006D21CC">
        <w:rPr>
          <w:rFonts w:ascii="Times New Roman" w:hAnsi="Times New Roman" w:cs="Times New Roman"/>
        </w:rPr>
        <w:t xml:space="preserve">revenue </w:t>
      </w:r>
      <w:r w:rsidR="000F0BB3" w:rsidRPr="006D21CC">
        <w:rPr>
          <w:rFonts w:ascii="Times New Roman" w:hAnsi="Times New Roman" w:cs="Times New Roman"/>
        </w:rPr>
        <w:t>losses arising</w:t>
      </w:r>
      <w:r w:rsidRPr="006D21CC">
        <w:rPr>
          <w:rFonts w:ascii="Times New Roman" w:hAnsi="Times New Roman" w:cs="Times New Roman"/>
        </w:rPr>
        <w:t xml:space="preserve"> from negotiated contract customers should not be </w:t>
      </w:r>
      <w:r w:rsidR="00834C10" w:rsidRPr="006D21CC">
        <w:rPr>
          <w:rFonts w:ascii="Times New Roman" w:hAnsi="Times New Roman" w:cs="Times New Roman"/>
        </w:rPr>
        <w:t>borne by other consumers.</w:t>
      </w:r>
      <w:r>
        <w:rPr>
          <w:rStyle w:val="FootnoteReference"/>
          <w:rFonts w:ascii="Times New Roman" w:hAnsi="Times New Roman" w:cs="Times New Roman"/>
        </w:rPr>
        <w:footnoteReference w:id="49"/>
      </w:r>
      <w:r w:rsidRPr="006D21CC">
        <w:rPr>
          <w:rFonts w:ascii="Times New Roman" w:hAnsi="Times New Roman" w:cs="Times New Roman"/>
        </w:rPr>
        <w:t xml:space="preserve"> </w:t>
      </w:r>
    </w:p>
    <w:p w14:paraId="3D69ED18" w14:textId="77777777" w:rsidR="00612CC0" w:rsidRPr="006D21CC" w:rsidRDefault="00612CC0" w:rsidP="00BA1626">
      <w:pPr>
        <w:spacing w:line="480" w:lineRule="auto"/>
        <w:rPr>
          <w:highlight w:val="yellow"/>
        </w:rPr>
      </w:pPr>
    </w:p>
    <w:p w14:paraId="77769321" w14:textId="29F8CC69" w:rsidR="00C47EC6" w:rsidRPr="006D21CC" w:rsidRDefault="00AF4AAB" w:rsidP="00BA1626">
      <w:pPr>
        <w:spacing w:line="480" w:lineRule="auto"/>
        <w:rPr>
          <w:b/>
          <w:bCs/>
        </w:rPr>
      </w:pPr>
      <w:r w:rsidRPr="006D21CC">
        <w:rPr>
          <w:b/>
          <w:bCs/>
        </w:rPr>
        <w:t>Rate of Return</w:t>
      </w:r>
    </w:p>
    <w:p w14:paraId="4237CE79" w14:textId="68A0C9DE" w:rsidR="00682969" w:rsidRPr="006D21CC" w:rsidRDefault="00AF4AAB" w:rsidP="001657D2">
      <w:pPr>
        <w:pStyle w:val="ListParagraph"/>
        <w:numPr>
          <w:ilvl w:val="0"/>
          <w:numId w:val="4"/>
        </w:numPr>
        <w:spacing w:line="264" w:lineRule="auto"/>
        <w:ind w:left="1440" w:hanging="720"/>
        <w:contextualSpacing w:val="0"/>
        <w:rPr>
          <w:rFonts w:ascii="Times New Roman" w:eastAsia="Times New Roman" w:hAnsi="Times New Roman" w:cs="Times New Roman"/>
          <w:kern w:val="0"/>
          <w:lang w:bidi="en-US"/>
          <w14:ligatures w14:val="none"/>
        </w:rPr>
      </w:pPr>
      <w:r w:rsidRPr="006D21CC">
        <w:rPr>
          <w:rFonts w:ascii="Times New Roman" w:hAnsi="Times New Roman" w:cs="Times New Roman"/>
        </w:rPr>
        <w:t>The Staff Report</w:t>
      </w:r>
      <w:r w:rsidR="00C47EC6" w:rsidRPr="006D21CC">
        <w:rPr>
          <w:rFonts w:ascii="Times New Roman" w:eastAsia="Times New Roman" w:hAnsi="Times New Roman" w:cs="Times New Roman"/>
          <w:kern w:val="0"/>
          <w:lang w:bidi="en-US"/>
          <w14:ligatures w14:val="none"/>
        </w:rPr>
        <w:t xml:space="preserve"> correctly</w:t>
      </w:r>
      <w:r w:rsidRPr="006D21CC">
        <w:rPr>
          <w:rFonts w:ascii="Times New Roman" w:eastAsia="Times New Roman" w:hAnsi="Times New Roman" w:cs="Times New Roman"/>
          <w:kern w:val="0"/>
          <w:lang w:bidi="en-US"/>
          <w14:ligatures w14:val="none"/>
        </w:rPr>
        <w:t xml:space="preserve"> use</w:t>
      </w:r>
      <w:r w:rsidR="00C47EC6" w:rsidRPr="006D21CC">
        <w:rPr>
          <w:rFonts w:ascii="Times New Roman" w:eastAsia="Times New Roman" w:hAnsi="Times New Roman" w:cs="Times New Roman"/>
          <w:kern w:val="0"/>
          <w:lang w:bidi="en-US"/>
          <w14:ligatures w14:val="none"/>
        </w:rPr>
        <w:t>d Enbridge</w:t>
      </w:r>
      <w:r w:rsidR="006D21CC">
        <w:rPr>
          <w:rFonts w:ascii="Times New Roman" w:eastAsia="Times New Roman" w:hAnsi="Times New Roman" w:cs="Times New Roman"/>
          <w:kern w:val="0"/>
          <w:lang w:bidi="en-US"/>
          <w14:ligatures w14:val="none"/>
        </w:rPr>
        <w:t>’</w:t>
      </w:r>
      <w:r w:rsidR="00C47EC6" w:rsidRPr="006D21CC">
        <w:rPr>
          <w:rFonts w:ascii="Times New Roman" w:eastAsia="Times New Roman" w:hAnsi="Times New Roman" w:cs="Times New Roman"/>
          <w:kern w:val="0"/>
          <w:lang w:bidi="en-US"/>
          <w14:ligatures w14:val="none"/>
        </w:rPr>
        <w:t>s</w:t>
      </w:r>
      <w:r w:rsidRPr="006D21CC">
        <w:rPr>
          <w:rFonts w:ascii="Times New Roman" w:eastAsia="Times New Roman" w:hAnsi="Times New Roman" w:cs="Times New Roman"/>
          <w:kern w:val="0"/>
          <w:lang w:bidi="en-US"/>
          <w14:ligatures w14:val="none"/>
        </w:rPr>
        <w:t xml:space="preserve"> actual cost of debt of 3.16% to calculate Enbridge</w:t>
      </w:r>
      <w:r w:rsidR="006D21CC">
        <w:rPr>
          <w:rFonts w:ascii="Times New Roman" w:eastAsia="Times New Roman" w:hAnsi="Times New Roman" w:cs="Times New Roman"/>
          <w:kern w:val="0"/>
          <w:lang w:bidi="en-US"/>
          <w14:ligatures w14:val="none"/>
        </w:rPr>
        <w:t>’</w:t>
      </w:r>
      <w:r w:rsidRPr="006D21CC">
        <w:rPr>
          <w:rFonts w:ascii="Times New Roman" w:eastAsia="Times New Roman" w:hAnsi="Times New Roman" w:cs="Times New Roman"/>
          <w:kern w:val="0"/>
          <w:lang w:bidi="en-US"/>
          <w14:ligatures w14:val="none"/>
        </w:rPr>
        <w:t>s rate of return</w:t>
      </w:r>
      <w:r w:rsidR="003145DE" w:rsidRPr="006D21CC">
        <w:rPr>
          <w:rFonts w:ascii="Times New Roman" w:eastAsia="Times New Roman" w:hAnsi="Times New Roman" w:cs="Times New Roman"/>
          <w:kern w:val="0"/>
          <w:lang w:bidi="en-US"/>
          <w14:ligatures w14:val="none"/>
        </w:rPr>
        <w:t>.</w:t>
      </w:r>
      <w:r>
        <w:rPr>
          <w:rStyle w:val="FootnoteReference"/>
          <w:rFonts w:ascii="Times New Roman" w:eastAsia="Times New Roman" w:hAnsi="Times New Roman" w:cs="Times New Roman"/>
          <w:kern w:val="0"/>
          <w:lang w:bidi="en-US"/>
          <w14:ligatures w14:val="none"/>
        </w:rPr>
        <w:footnoteReference w:id="50"/>
      </w:r>
    </w:p>
    <w:p w14:paraId="6757269D" w14:textId="0F57EE84" w:rsidR="00A7214E" w:rsidRPr="006D21CC" w:rsidRDefault="00AF4AAB" w:rsidP="001657D2">
      <w:pPr>
        <w:pStyle w:val="ListParagraph"/>
        <w:numPr>
          <w:ilvl w:val="0"/>
          <w:numId w:val="4"/>
        </w:numPr>
        <w:spacing w:line="264" w:lineRule="auto"/>
        <w:ind w:left="1440" w:hanging="720"/>
        <w:contextualSpacing w:val="0"/>
        <w:rPr>
          <w:rFonts w:ascii="Times New Roman" w:eastAsia="Times New Roman" w:hAnsi="Times New Roman" w:cs="Times New Roman"/>
          <w:kern w:val="0"/>
          <w:lang w:bidi="en-US"/>
          <w14:ligatures w14:val="none"/>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00C47EC6" w:rsidRPr="006D21CC">
        <w:rPr>
          <w:rFonts w:ascii="Times New Roman" w:eastAsia="Times New Roman" w:hAnsi="Times New Roman" w:cs="Times New Roman"/>
          <w:kern w:val="0"/>
          <w:lang w:bidi="en-US"/>
          <w14:ligatures w14:val="none"/>
        </w:rPr>
        <w:t>correctly used</w:t>
      </w:r>
      <w:r w:rsidR="00682969" w:rsidRPr="006D21CC">
        <w:rPr>
          <w:rFonts w:ascii="Times New Roman" w:eastAsia="Times New Roman" w:hAnsi="Times New Roman" w:cs="Times New Roman"/>
          <w:kern w:val="0"/>
          <w:lang w:bidi="en-US"/>
          <w14:ligatures w14:val="none"/>
        </w:rPr>
        <w:t xml:space="preserve"> a </w:t>
      </w:r>
      <w:r w:rsidR="00C0759A" w:rsidRPr="006D21CC">
        <w:rPr>
          <w:rFonts w:ascii="Times New Roman" w:eastAsia="Times New Roman" w:hAnsi="Times New Roman" w:cs="Times New Roman"/>
          <w:kern w:val="0"/>
          <w:lang w:bidi="en-US"/>
          <w14:ligatures w14:val="none"/>
        </w:rPr>
        <w:t>Discounted Cash Flow- Capital Asset Pricing Model (</w:t>
      </w:r>
      <w:r w:rsidR="006D21CC">
        <w:rPr>
          <w:rFonts w:ascii="Times New Roman" w:eastAsia="Times New Roman" w:hAnsi="Times New Roman" w:cs="Times New Roman"/>
          <w:kern w:val="0"/>
          <w:lang w:bidi="en-US"/>
          <w14:ligatures w14:val="none"/>
        </w:rPr>
        <w:t>“</w:t>
      </w:r>
      <w:r w:rsidR="00682969" w:rsidRPr="006D21CC">
        <w:rPr>
          <w:rFonts w:ascii="Times New Roman" w:eastAsia="Times New Roman" w:hAnsi="Times New Roman" w:cs="Times New Roman"/>
          <w:kern w:val="0"/>
          <w:lang w:bidi="en-US"/>
          <w14:ligatures w14:val="none"/>
        </w:rPr>
        <w:t>DCF-CAPM</w:t>
      </w:r>
      <w:r w:rsidR="006D21CC">
        <w:rPr>
          <w:rFonts w:ascii="Times New Roman" w:eastAsia="Times New Roman" w:hAnsi="Times New Roman" w:cs="Times New Roman"/>
          <w:kern w:val="0"/>
          <w:lang w:bidi="en-US"/>
          <w14:ligatures w14:val="none"/>
        </w:rPr>
        <w:t>”</w:t>
      </w:r>
      <w:r w:rsidR="00C0759A" w:rsidRPr="006D21CC">
        <w:rPr>
          <w:rFonts w:ascii="Times New Roman" w:eastAsia="Times New Roman" w:hAnsi="Times New Roman" w:cs="Times New Roman"/>
          <w:kern w:val="0"/>
          <w:lang w:bidi="en-US"/>
          <w14:ligatures w14:val="none"/>
        </w:rPr>
        <w:t>)</w:t>
      </w:r>
      <w:r w:rsidR="00682969" w:rsidRPr="006D21CC">
        <w:rPr>
          <w:rFonts w:ascii="Times New Roman" w:eastAsia="Times New Roman" w:hAnsi="Times New Roman" w:cs="Times New Roman"/>
          <w:kern w:val="0"/>
          <w:lang w:bidi="en-US"/>
          <w14:ligatures w14:val="none"/>
        </w:rPr>
        <w:t xml:space="preserve"> average to calculate </w:t>
      </w:r>
      <w:r w:rsidR="00C47EC6" w:rsidRPr="006D21CC">
        <w:rPr>
          <w:rFonts w:ascii="Times New Roman" w:eastAsia="Times New Roman" w:hAnsi="Times New Roman" w:cs="Times New Roman"/>
          <w:kern w:val="0"/>
          <w:lang w:bidi="en-US"/>
          <w14:ligatures w14:val="none"/>
        </w:rPr>
        <w:t>Enbridge</w:t>
      </w:r>
      <w:r w:rsidR="006D21CC">
        <w:rPr>
          <w:rFonts w:ascii="Times New Roman" w:eastAsia="Times New Roman" w:hAnsi="Times New Roman" w:cs="Times New Roman"/>
          <w:kern w:val="0"/>
          <w:lang w:bidi="en-US"/>
          <w14:ligatures w14:val="none"/>
        </w:rPr>
        <w:t>’</w:t>
      </w:r>
      <w:r w:rsidR="00C47EC6" w:rsidRPr="006D21CC">
        <w:rPr>
          <w:rFonts w:ascii="Times New Roman" w:eastAsia="Times New Roman" w:hAnsi="Times New Roman" w:cs="Times New Roman"/>
          <w:kern w:val="0"/>
          <w:lang w:bidi="en-US"/>
          <w14:ligatures w14:val="none"/>
        </w:rPr>
        <w:t>s</w:t>
      </w:r>
      <w:r w:rsidR="00682969" w:rsidRPr="006D21CC">
        <w:rPr>
          <w:rFonts w:ascii="Times New Roman" w:eastAsia="Times New Roman" w:hAnsi="Times New Roman" w:cs="Times New Roman"/>
          <w:kern w:val="0"/>
          <w:lang w:bidi="en-US"/>
          <w14:ligatures w14:val="none"/>
        </w:rPr>
        <w:t xml:space="preserve"> Return on Equity</w:t>
      </w:r>
      <w:r w:rsidR="003145DE" w:rsidRPr="006D21CC">
        <w:rPr>
          <w:rFonts w:ascii="Times New Roman" w:eastAsia="Times New Roman" w:hAnsi="Times New Roman" w:cs="Times New Roman"/>
          <w:kern w:val="0"/>
          <w:lang w:bidi="en-US"/>
          <w14:ligatures w14:val="none"/>
        </w:rPr>
        <w:t>.</w:t>
      </w:r>
      <w:r>
        <w:rPr>
          <w:rStyle w:val="FootnoteReference"/>
          <w:rFonts w:ascii="Times New Roman" w:eastAsia="Times New Roman" w:hAnsi="Times New Roman" w:cs="Times New Roman"/>
          <w:kern w:val="0"/>
          <w:lang w:bidi="en-US"/>
          <w14:ligatures w14:val="none"/>
        </w:rPr>
        <w:footnoteReference w:id="51"/>
      </w:r>
    </w:p>
    <w:p w14:paraId="1998F951" w14:textId="52BA99D7" w:rsidR="00665441" w:rsidRPr="006D21CC" w:rsidRDefault="00AF4AAB" w:rsidP="00BA1626">
      <w:pPr>
        <w:spacing w:line="480" w:lineRule="auto"/>
        <w:rPr>
          <w:b/>
          <w:bCs/>
        </w:rPr>
      </w:pPr>
      <w:r w:rsidRPr="006D21CC">
        <w:rPr>
          <w:b/>
          <w:bCs/>
        </w:rPr>
        <w:t>Alternative Rate Plan and Riders</w:t>
      </w:r>
    </w:p>
    <w:p w14:paraId="0F10AA66" w14:textId="619E4B52" w:rsidR="00665441" w:rsidRPr="006D21CC" w:rsidRDefault="00AF4AAB" w:rsidP="001657D2">
      <w:pPr>
        <w:pStyle w:val="ListParagraph"/>
        <w:numPr>
          <w:ilvl w:val="0"/>
          <w:numId w:val="6"/>
        </w:numPr>
        <w:spacing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rPr>
        <w:t xml:space="preserve">correctly opposed the removal of </w:t>
      </w:r>
      <w:r w:rsidRPr="006D21CC">
        <w:rPr>
          <w:rFonts w:ascii="Times New Roman" w:hAnsi="Times New Roman" w:cs="Times New Roman"/>
        </w:rPr>
        <w:t>the depreciation offset to the Rider CEP formula.</w:t>
      </w:r>
      <w:r>
        <w:rPr>
          <w:rStyle w:val="FootnoteReference"/>
          <w:rFonts w:ascii="Times New Roman" w:hAnsi="Times New Roman" w:cs="Times New Roman"/>
        </w:rPr>
        <w:footnoteReference w:id="52"/>
      </w:r>
    </w:p>
    <w:p w14:paraId="0D65BEE9" w14:textId="10BC6375" w:rsidR="00665441" w:rsidRPr="006D21CC" w:rsidRDefault="00AF4AAB" w:rsidP="001657D2">
      <w:pPr>
        <w:pStyle w:val="ListParagraph"/>
        <w:numPr>
          <w:ilvl w:val="0"/>
          <w:numId w:val="6"/>
        </w:numPr>
        <w:spacing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rPr>
        <w:t xml:space="preserve">correctly proposed that the depreciation offset component be captured and calculated as it currently is in the CEP formula, with updated inputs reflective of the outcome of this case </w:t>
      </w:r>
      <w:r w:rsidRPr="006D21CC">
        <w:rPr>
          <w:rFonts w:ascii="Times New Roman" w:hAnsi="Times New Roman" w:cs="Times New Roman"/>
        </w:rPr>
        <w:t>proceeding.</w:t>
      </w:r>
      <w:r>
        <w:rPr>
          <w:rStyle w:val="FootnoteReference"/>
          <w:rFonts w:ascii="Times New Roman" w:hAnsi="Times New Roman" w:cs="Times New Roman"/>
        </w:rPr>
        <w:footnoteReference w:id="53"/>
      </w:r>
    </w:p>
    <w:p w14:paraId="6F399F1B" w14:textId="1B58DC33" w:rsidR="00665441" w:rsidRPr="006D21CC" w:rsidRDefault="00AF4AAB" w:rsidP="001657D2">
      <w:pPr>
        <w:pStyle w:val="ListParagraph"/>
        <w:numPr>
          <w:ilvl w:val="0"/>
          <w:numId w:val="6"/>
        </w:numPr>
        <w:spacing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rPr>
        <w:t>correctly rejected Enbridge</w:t>
      </w:r>
      <w:r w:rsidR="006D21CC">
        <w:rPr>
          <w:rFonts w:ascii="Times New Roman" w:hAnsi="Times New Roman" w:cs="Times New Roman"/>
        </w:rPr>
        <w:t>’</w:t>
      </w:r>
      <w:r w:rsidRPr="006D21CC">
        <w:rPr>
          <w:rFonts w:ascii="Times New Roman" w:hAnsi="Times New Roman" w:cs="Times New Roman"/>
        </w:rPr>
        <w:t>s proposal to eliminate the Cost of Removal (</w:t>
      </w:r>
      <w:r w:rsidR="006D21CC">
        <w:rPr>
          <w:rFonts w:ascii="Times New Roman" w:hAnsi="Times New Roman" w:cs="Times New Roman"/>
        </w:rPr>
        <w:t>“</w:t>
      </w:r>
      <w:r w:rsidRPr="006D21CC">
        <w:rPr>
          <w:rFonts w:ascii="Times New Roman" w:hAnsi="Times New Roman" w:cs="Times New Roman"/>
        </w:rPr>
        <w:t>COR</w:t>
      </w:r>
      <w:r w:rsidR="006D21CC">
        <w:rPr>
          <w:rFonts w:ascii="Times New Roman" w:hAnsi="Times New Roman" w:cs="Times New Roman"/>
        </w:rPr>
        <w:t>”</w:t>
      </w:r>
      <w:r w:rsidRPr="006D21CC">
        <w:rPr>
          <w:rFonts w:ascii="Times New Roman" w:hAnsi="Times New Roman" w:cs="Times New Roman"/>
        </w:rPr>
        <w:t>) line item within the CEP calculation.</w:t>
      </w:r>
      <w:r>
        <w:rPr>
          <w:rStyle w:val="FootnoteReference"/>
          <w:rFonts w:ascii="Times New Roman" w:hAnsi="Times New Roman" w:cs="Times New Roman"/>
        </w:rPr>
        <w:footnoteReference w:id="54"/>
      </w:r>
      <w:r w:rsidRPr="006D21CC">
        <w:rPr>
          <w:rFonts w:ascii="Times New Roman" w:hAnsi="Times New Roman" w:cs="Times New Roman"/>
        </w:rPr>
        <w:t xml:space="preserve"> </w:t>
      </w:r>
    </w:p>
    <w:p w14:paraId="7631C8A5" w14:textId="3B046007" w:rsidR="00665441" w:rsidRPr="006D21CC" w:rsidRDefault="00AF4AAB" w:rsidP="001657D2">
      <w:pPr>
        <w:pStyle w:val="ListParagraph"/>
        <w:numPr>
          <w:ilvl w:val="0"/>
          <w:numId w:val="6"/>
        </w:numPr>
        <w:spacing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rPr>
        <w:t>correctly recommended the exclusion of incentives that apply to operations and management costs within the rate case should also apply to capital costs in Rider CEP.</w:t>
      </w:r>
      <w:r>
        <w:rPr>
          <w:rStyle w:val="FootnoteReference"/>
          <w:rFonts w:ascii="Times New Roman" w:hAnsi="Times New Roman" w:cs="Times New Roman"/>
        </w:rPr>
        <w:footnoteReference w:id="55"/>
      </w:r>
      <w:r w:rsidRPr="006D21CC">
        <w:rPr>
          <w:rFonts w:ascii="Times New Roman" w:hAnsi="Times New Roman" w:cs="Times New Roman"/>
        </w:rPr>
        <w:t xml:space="preserve"> </w:t>
      </w:r>
    </w:p>
    <w:p w14:paraId="0A5B5602" w14:textId="5368FAC6" w:rsidR="00665441" w:rsidRPr="006D21CC" w:rsidRDefault="00AF4AAB" w:rsidP="00642FB1">
      <w:pPr>
        <w:pStyle w:val="ListParagraph"/>
        <w:numPr>
          <w:ilvl w:val="0"/>
          <w:numId w:val="6"/>
        </w:numPr>
        <w:spacing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rPr>
        <w:t xml:space="preserve">correctly recommended that Rider CEP be adjusted to remove the revenue requirement associated with all assets rolled into and recovered within base </w:t>
      </w:r>
      <w:r w:rsidRPr="006D21CC">
        <w:rPr>
          <w:rFonts w:ascii="Times New Roman" w:hAnsi="Times New Roman" w:cs="Times New Roman"/>
        </w:rPr>
        <w:t>rates.</w:t>
      </w:r>
      <w:r>
        <w:rPr>
          <w:rStyle w:val="FootnoteReference"/>
          <w:rFonts w:ascii="Times New Roman" w:hAnsi="Times New Roman" w:cs="Times New Roman"/>
        </w:rPr>
        <w:footnoteReference w:id="56"/>
      </w:r>
      <w:r w:rsidRPr="006D21CC">
        <w:rPr>
          <w:rFonts w:ascii="Times New Roman" w:hAnsi="Times New Roman" w:cs="Times New Roman"/>
        </w:rPr>
        <w:t xml:space="preserve"> </w:t>
      </w:r>
    </w:p>
    <w:p w14:paraId="6CFF4FE2" w14:textId="5B08D5BF" w:rsidR="00665441" w:rsidRPr="006D21CC" w:rsidRDefault="00AF4AAB" w:rsidP="00642FB1">
      <w:pPr>
        <w:pStyle w:val="ListParagraph"/>
        <w:numPr>
          <w:ilvl w:val="0"/>
          <w:numId w:val="6"/>
        </w:numPr>
        <w:spacing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rPr>
        <w:t xml:space="preserve">correctly opposed the modifications related to the PIR through investment period 2026, which were </w:t>
      </w:r>
      <w:r w:rsidR="00A7159D" w:rsidRPr="006D21CC">
        <w:rPr>
          <w:rFonts w:ascii="Times New Roman" w:hAnsi="Times New Roman" w:cs="Times New Roman"/>
        </w:rPr>
        <w:t>agreed</w:t>
      </w:r>
      <w:r w:rsidRPr="006D21CC">
        <w:rPr>
          <w:rFonts w:ascii="Times New Roman" w:hAnsi="Times New Roman" w:cs="Times New Roman"/>
        </w:rPr>
        <w:t xml:space="preserve"> to by parties and ordered by the Commission in the 2020 PIR Extension, Case No. 20-1634-GA-ALT.</w:t>
      </w:r>
    </w:p>
    <w:p w14:paraId="19A8840B" w14:textId="6007E02E" w:rsidR="00665441" w:rsidRPr="006D21CC" w:rsidRDefault="00AF4AAB" w:rsidP="00642FB1">
      <w:pPr>
        <w:pStyle w:val="ListParagraph"/>
        <w:numPr>
          <w:ilvl w:val="0"/>
          <w:numId w:val="6"/>
        </w:numPr>
        <w:spacing w:line="264" w:lineRule="auto"/>
        <w:ind w:left="1440" w:hanging="720"/>
        <w:contextualSpacing w:val="0"/>
        <w:rPr>
          <w:rFonts w:ascii="Times New Roman" w:hAnsi="Times New Roman" w:cs="Times New Roman"/>
        </w:rPr>
      </w:pPr>
      <w:r w:rsidRPr="006D21CC">
        <w:rPr>
          <w:rFonts w:ascii="Times New Roman" w:hAnsi="Times New Roman" w:cs="Times New Roman"/>
        </w:rPr>
        <w:lastRenderedPageBreak/>
        <w:t>The Staff Report</w:t>
      </w:r>
      <w:r w:rsidR="002B6A50" w:rsidRPr="006D21CC">
        <w:rPr>
          <w:rFonts w:ascii="Times New Roman" w:hAnsi="Times New Roman" w:cs="Times New Roman"/>
        </w:rPr>
        <w:t xml:space="preserve"> </w:t>
      </w:r>
      <w:r w:rsidRPr="006D21CC">
        <w:rPr>
          <w:rFonts w:ascii="Times New Roman" w:hAnsi="Times New Roman" w:cs="Times New Roman"/>
        </w:rPr>
        <w:t>correctly opposed increased investment for 2024 through 2026 above the levels set forth in the 2020 PIR Extension.</w:t>
      </w:r>
      <w:r>
        <w:rPr>
          <w:rStyle w:val="FootnoteReference"/>
          <w:rFonts w:ascii="Times New Roman" w:hAnsi="Times New Roman" w:cs="Times New Roman"/>
        </w:rPr>
        <w:footnoteReference w:id="57"/>
      </w:r>
    </w:p>
    <w:p w14:paraId="7792C936" w14:textId="26598BEB" w:rsidR="00665441" w:rsidRPr="006D21CC" w:rsidRDefault="00AF4AAB" w:rsidP="00642FB1">
      <w:pPr>
        <w:pStyle w:val="ListParagraph"/>
        <w:numPr>
          <w:ilvl w:val="0"/>
          <w:numId w:val="6"/>
        </w:numPr>
        <w:spacing w:line="264" w:lineRule="auto"/>
        <w:ind w:left="1440" w:hanging="720"/>
        <w:contextualSpacing w:val="0"/>
        <w:rPr>
          <w:rFonts w:ascii="Times New Roman" w:hAnsi="Times New Roman" w:cs="Times New Roman"/>
          <w:color w:val="000000"/>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color w:val="000000"/>
        </w:rPr>
        <w:t>correctly opposed the inclusion of financial incentives based upon the financial performance of Enbridge.</w:t>
      </w:r>
      <w:r>
        <w:rPr>
          <w:rStyle w:val="FootnoteReference"/>
          <w:rFonts w:ascii="Times New Roman" w:hAnsi="Times New Roman" w:cs="Times New Roman"/>
          <w:color w:val="000000"/>
        </w:rPr>
        <w:footnoteReference w:id="58"/>
      </w:r>
    </w:p>
    <w:p w14:paraId="3C32AA55" w14:textId="50A5D46A" w:rsidR="00665441" w:rsidRPr="006D21CC" w:rsidRDefault="00AF4AAB" w:rsidP="00642FB1">
      <w:pPr>
        <w:pStyle w:val="ListParagraph"/>
        <w:numPr>
          <w:ilvl w:val="0"/>
          <w:numId w:val="6"/>
        </w:numPr>
        <w:spacing w:line="264" w:lineRule="auto"/>
        <w:ind w:left="1440" w:hanging="720"/>
        <w:contextualSpacing w:val="0"/>
        <w:rPr>
          <w:rFonts w:ascii="Times New Roman" w:hAnsi="Times New Roman" w:cs="Times New Roman"/>
          <w:color w:val="000000"/>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color w:val="000000"/>
        </w:rPr>
        <w:t>correctly recommended that the</w:t>
      </w:r>
      <w:r w:rsidR="00047CE3" w:rsidRPr="006D21CC">
        <w:rPr>
          <w:rFonts w:ascii="Times New Roman" w:hAnsi="Times New Roman" w:cs="Times New Roman"/>
          <w:color w:val="000000"/>
        </w:rPr>
        <w:t xml:space="preserve"> operations and management</w:t>
      </w:r>
      <w:r w:rsidRPr="006D21CC">
        <w:rPr>
          <w:rFonts w:ascii="Times New Roman" w:hAnsi="Times New Roman" w:cs="Times New Roman"/>
          <w:color w:val="000000"/>
        </w:rPr>
        <w:t xml:space="preserve"> </w:t>
      </w:r>
      <w:r w:rsidR="00047CE3" w:rsidRPr="006D21CC">
        <w:rPr>
          <w:rFonts w:ascii="Times New Roman" w:hAnsi="Times New Roman" w:cs="Times New Roman"/>
          <w:color w:val="000000"/>
        </w:rPr>
        <w:t>(</w:t>
      </w:r>
      <w:r w:rsidR="006D21CC">
        <w:rPr>
          <w:rFonts w:ascii="Times New Roman" w:hAnsi="Times New Roman" w:cs="Times New Roman"/>
          <w:color w:val="000000"/>
        </w:rPr>
        <w:t>“</w:t>
      </w:r>
      <w:r w:rsidRPr="006D21CC">
        <w:rPr>
          <w:rFonts w:ascii="Times New Roman" w:hAnsi="Times New Roman" w:cs="Times New Roman"/>
          <w:color w:val="000000"/>
        </w:rPr>
        <w:t>O&amp;M</w:t>
      </w:r>
      <w:r w:rsidR="006D21CC">
        <w:rPr>
          <w:rFonts w:ascii="Times New Roman" w:hAnsi="Times New Roman" w:cs="Times New Roman"/>
          <w:color w:val="000000"/>
        </w:rPr>
        <w:t>”</w:t>
      </w:r>
      <w:r w:rsidR="00047CE3" w:rsidRPr="006D21CC">
        <w:rPr>
          <w:rFonts w:ascii="Times New Roman" w:hAnsi="Times New Roman" w:cs="Times New Roman"/>
          <w:color w:val="000000"/>
        </w:rPr>
        <w:t>)</w:t>
      </w:r>
      <w:r w:rsidRPr="006D21CC">
        <w:rPr>
          <w:rFonts w:ascii="Times New Roman" w:hAnsi="Times New Roman" w:cs="Times New Roman"/>
          <w:color w:val="000000"/>
        </w:rPr>
        <w:t xml:space="preserve"> savings baseline be updated beginning with investment year 2024 with the following baselines for each of the four categories:</w:t>
      </w:r>
    </w:p>
    <w:p w14:paraId="7EBD5DCF" w14:textId="77777777" w:rsidR="00665441" w:rsidRPr="006D21CC" w:rsidRDefault="00AF4AAB" w:rsidP="00642FB1">
      <w:pPr>
        <w:pStyle w:val="ListParagraph"/>
        <w:numPr>
          <w:ilvl w:val="1"/>
          <w:numId w:val="17"/>
        </w:numPr>
        <w:spacing w:line="264" w:lineRule="auto"/>
        <w:ind w:firstLine="0"/>
        <w:contextualSpacing w:val="0"/>
        <w:rPr>
          <w:rFonts w:ascii="Times New Roman" w:hAnsi="Times New Roman" w:cs="Times New Roman"/>
          <w:color w:val="000000"/>
        </w:rPr>
      </w:pPr>
      <w:r w:rsidRPr="006D21CC">
        <w:rPr>
          <w:rFonts w:ascii="Times New Roman" w:hAnsi="Times New Roman" w:cs="Times New Roman"/>
          <w:color w:val="000000"/>
        </w:rPr>
        <w:t>Corrosion Monitoring: $3,752,730</w:t>
      </w:r>
    </w:p>
    <w:p w14:paraId="41C4D3B9" w14:textId="77777777" w:rsidR="00665441" w:rsidRPr="006D21CC" w:rsidRDefault="00AF4AAB" w:rsidP="00642FB1">
      <w:pPr>
        <w:pStyle w:val="ListParagraph"/>
        <w:numPr>
          <w:ilvl w:val="1"/>
          <w:numId w:val="17"/>
        </w:numPr>
        <w:spacing w:line="264" w:lineRule="auto"/>
        <w:ind w:firstLine="0"/>
        <w:contextualSpacing w:val="0"/>
        <w:rPr>
          <w:rFonts w:ascii="Times New Roman" w:hAnsi="Times New Roman" w:cs="Times New Roman"/>
          <w:color w:val="000000"/>
        </w:rPr>
      </w:pPr>
      <w:r w:rsidRPr="006D21CC">
        <w:rPr>
          <w:rFonts w:ascii="Times New Roman" w:hAnsi="Times New Roman" w:cs="Times New Roman"/>
          <w:color w:val="000000"/>
        </w:rPr>
        <w:t>Corrosion Remediation: $6,905,079</w:t>
      </w:r>
    </w:p>
    <w:p w14:paraId="36FB2E0F" w14:textId="77777777" w:rsidR="00665441" w:rsidRPr="006D21CC" w:rsidRDefault="00AF4AAB" w:rsidP="00642FB1">
      <w:pPr>
        <w:pStyle w:val="ListParagraph"/>
        <w:numPr>
          <w:ilvl w:val="1"/>
          <w:numId w:val="17"/>
        </w:numPr>
        <w:spacing w:line="264" w:lineRule="auto"/>
        <w:ind w:firstLine="0"/>
        <w:contextualSpacing w:val="0"/>
        <w:rPr>
          <w:rFonts w:ascii="Times New Roman" w:hAnsi="Times New Roman" w:cs="Times New Roman"/>
          <w:color w:val="000000"/>
        </w:rPr>
      </w:pPr>
      <w:r w:rsidRPr="006D21CC">
        <w:rPr>
          <w:rFonts w:ascii="Times New Roman" w:hAnsi="Times New Roman" w:cs="Times New Roman"/>
          <w:color w:val="000000"/>
        </w:rPr>
        <w:t>Leak Repair: $11,387,591</w:t>
      </w:r>
    </w:p>
    <w:p w14:paraId="5D22C4B9" w14:textId="77777777" w:rsidR="00665441" w:rsidRPr="006D21CC" w:rsidRDefault="00AF4AAB" w:rsidP="00642FB1">
      <w:pPr>
        <w:pStyle w:val="ListParagraph"/>
        <w:numPr>
          <w:ilvl w:val="1"/>
          <w:numId w:val="17"/>
        </w:numPr>
        <w:spacing w:line="264" w:lineRule="auto"/>
        <w:ind w:firstLine="0"/>
        <w:contextualSpacing w:val="0"/>
        <w:rPr>
          <w:rFonts w:ascii="Times New Roman" w:hAnsi="Times New Roman" w:cs="Times New Roman"/>
          <w:color w:val="000000"/>
        </w:rPr>
      </w:pPr>
      <w:r w:rsidRPr="006D21CC">
        <w:rPr>
          <w:rFonts w:ascii="Times New Roman" w:hAnsi="Times New Roman" w:cs="Times New Roman"/>
          <w:color w:val="000000"/>
        </w:rPr>
        <w:t>Leak Survey: $4,476,285</w:t>
      </w:r>
      <w:r>
        <w:rPr>
          <w:rStyle w:val="FootnoteReference"/>
          <w:rFonts w:ascii="Times New Roman" w:hAnsi="Times New Roman" w:cs="Times New Roman"/>
          <w:color w:val="000000"/>
        </w:rPr>
        <w:footnoteReference w:id="59"/>
      </w:r>
    </w:p>
    <w:p w14:paraId="2E422DDB" w14:textId="6391A5F5" w:rsidR="006A544D" w:rsidRPr="00C62145" w:rsidRDefault="00AF4AAB" w:rsidP="00C62145">
      <w:pPr>
        <w:pStyle w:val="ListParagraph"/>
        <w:numPr>
          <w:ilvl w:val="0"/>
          <w:numId w:val="6"/>
        </w:numPr>
        <w:spacing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00665441" w:rsidRPr="006D21CC">
        <w:rPr>
          <w:rFonts w:ascii="Times New Roman" w:hAnsi="Times New Roman" w:cs="Times New Roman"/>
          <w:color w:val="000000"/>
        </w:rPr>
        <w:t>correctly recommended that Enbridge no longer capitalize and recover incremental O&amp;M expenses with the PIR program beginning with the 2027 investment period.</w:t>
      </w:r>
      <w:r>
        <w:rPr>
          <w:rStyle w:val="FootnoteReference"/>
          <w:rFonts w:ascii="Times New Roman" w:hAnsi="Times New Roman" w:cs="Times New Roman"/>
          <w:color w:val="000000"/>
        </w:rPr>
        <w:footnoteReference w:id="60"/>
      </w:r>
    </w:p>
    <w:p w14:paraId="564B3D0C" w14:textId="4D98EE9F" w:rsidR="00610633" w:rsidRPr="006D21CC" w:rsidRDefault="00AF4AAB" w:rsidP="00674B46">
      <w:pPr>
        <w:pStyle w:val="ListParagraph"/>
        <w:numPr>
          <w:ilvl w:val="0"/>
          <w:numId w:val="7"/>
        </w:numPr>
        <w:spacing w:line="264" w:lineRule="auto"/>
        <w:ind w:left="1440" w:hanging="720"/>
        <w:contextualSpacing w:val="0"/>
        <w:rPr>
          <w:rFonts w:ascii="Times New Roman" w:hAnsi="Times New Roman" w:cs="Times New Roman"/>
          <w:color w:val="000000"/>
        </w:rPr>
      </w:pPr>
      <w:r w:rsidRPr="006D21CC">
        <w:rPr>
          <w:rFonts w:ascii="Times New Roman" w:hAnsi="Times New Roman" w:cs="Times New Roman"/>
          <w:color w:val="000000"/>
        </w:rPr>
        <w:t xml:space="preserve">The Staff Report correctly recommends that the PUCO not allow Enbridge to add any costs </w:t>
      </w:r>
      <w:r w:rsidR="00834C10" w:rsidRPr="006D21CC">
        <w:rPr>
          <w:rFonts w:ascii="Times New Roman" w:hAnsi="Times New Roman" w:cs="Times New Roman"/>
          <w:color w:val="000000"/>
        </w:rPr>
        <w:t xml:space="preserve">incurred </w:t>
      </w:r>
      <w:r w:rsidRPr="006D21CC">
        <w:rPr>
          <w:rFonts w:ascii="Times New Roman" w:hAnsi="Times New Roman" w:cs="Times New Roman"/>
          <w:color w:val="000000"/>
        </w:rPr>
        <w:t xml:space="preserve">after December 31, 2028, to its DSM </w:t>
      </w:r>
      <w:r w:rsidR="00B80C84" w:rsidRPr="006D21CC">
        <w:rPr>
          <w:rFonts w:ascii="Times New Roman" w:hAnsi="Times New Roman" w:cs="Times New Roman"/>
          <w:color w:val="000000"/>
        </w:rPr>
        <w:t>R</w:t>
      </w:r>
      <w:r w:rsidRPr="006D21CC">
        <w:rPr>
          <w:rFonts w:ascii="Times New Roman" w:hAnsi="Times New Roman" w:cs="Times New Roman"/>
          <w:color w:val="000000"/>
        </w:rPr>
        <w:t>ider.</w:t>
      </w:r>
      <w:r>
        <w:rPr>
          <w:rStyle w:val="FootnoteReference"/>
          <w:rFonts w:ascii="Times New Roman" w:hAnsi="Times New Roman" w:cs="Times New Roman"/>
          <w:color w:val="000000"/>
        </w:rPr>
        <w:footnoteReference w:id="61"/>
      </w:r>
    </w:p>
    <w:p w14:paraId="1F71E35B" w14:textId="16823EC1" w:rsidR="00610633" w:rsidRPr="006D21CC" w:rsidRDefault="00AF4AAB" w:rsidP="00674B46">
      <w:pPr>
        <w:pStyle w:val="ListParagraph"/>
        <w:numPr>
          <w:ilvl w:val="0"/>
          <w:numId w:val="7"/>
        </w:numPr>
        <w:spacing w:line="264" w:lineRule="auto"/>
        <w:ind w:left="1440" w:hanging="720"/>
        <w:contextualSpacing w:val="0"/>
        <w:rPr>
          <w:rFonts w:ascii="Times New Roman" w:hAnsi="Times New Roman" w:cs="Times New Roman"/>
          <w:color w:val="000000"/>
        </w:rPr>
      </w:pPr>
      <w:r w:rsidRPr="006D21CC">
        <w:rPr>
          <w:rFonts w:ascii="Times New Roman" w:hAnsi="Times New Roman" w:cs="Times New Roman"/>
          <w:color w:val="000000"/>
        </w:rPr>
        <w:t>The Staff Rep</w:t>
      </w:r>
      <w:r w:rsidR="00834C10" w:rsidRPr="006D21CC">
        <w:rPr>
          <w:rFonts w:ascii="Times New Roman" w:hAnsi="Times New Roman" w:cs="Times New Roman"/>
          <w:color w:val="000000"/>
        </w:rPr>
        <w:t xml:space="preserve">ort </w:t>
      </w:r>
      <w:r w:rsidRPr="006D21CC">
        <w:rPr>
          <w:rFonts w:ascii="Times New Roman" w:hAnsi="Times New Roman" w:cs="Times New Roman"/>
          <w:color w:val="000000"/>
        </w:rPr>
        <w:t xml:space="preserve">correctly recommends that Enbridge be required to add a revenue true-up schedule to their DSM Rider annual filing </w:t>
      </w:r>
      <w:r w:rsidRPr="006D21CC">
        <w:rPr>
          <w:rFonts w:ascii="Times New Roman" w:hAnsi="Times New Roman" w:cs="Times New Roman"/>
          <w:color w:val="000000"/>
        </w:rPr>
        <w:t>which shows the annual true-up of the rider</w:t>
      </w:r>
      <w:r w:rsidR="006D21CC">
        <w:rPr>
          <w:rFonts w:ascii="Times New Roman" w:hAnsi="Times New Roman" w:cs="Times New Roman"/>
          <w:color w:val="000000"/>
        </w:rPr>
        <w:t>’</w:t>
      </w:r>
      <w:r w:rsidRPr="006D21CC">
        <w:rPr>
          <w:rFonts w:ascii="Times New Roman" w:hAnsi="Times New Roman" w:cs="Times New Roman"/>
          <w:color w:val="000000"/>
        </w:rPr>
        <w:t>s expenses and revenues, going back to the initial year of the rider.</w:t>
      </w:r>
      <w:r>
        <w:rPr>
          <w:rStyle w:val="FootnoteReference"/>
          <w:rFonts w:ascii="Times New Roman" w:hAnsi="Times New Roman" w:cs="Times New Roman"/>
          <w:color w:val="000000"/>
        </w:rPr>
        <w:footnoteReference w:id="62"/>
      </w:r>
    </w:p>
    <w:p w14:paraId="6F2BE668" w14:textId="43FF43FD" w:rsidR="009D3F0E" w:rsidRDefault="00AF4AAB" w:rsidP="00674B46">
      <w:pPr>
        <w:pStyle w:val="ListParagraph"/>
        <w:numPr>
          <w:ilvl w:val="0"/>
          <w:numId w:val="7"/>
        </w:numPr>
        <w:spacing w:line="264" w:lineRule="auto"/>
        <w:ind w:left="1440" w:hanging="720"/>
        <w:contextualSpacing w:val="0"/>
        <w:rPr>
          <w:rFonts w:ascii="Times New Roman" w:hAnsi="Times New Roman" w:cs="Times New Roman"/>
          <w:color w:val="000000"/>
        </w:rPr>
      </w:pPr>
      <w:r w:rsidRPr="006D21CC">
        <w:rPr>
          <w:rFonts w:ascii="Times New Roman" w:hAnsi="Times New Roman" w:cs="Times New Roman"/>
          <w:color w:val="000000"/>
        </w:rPr>
        <w:t>The Staff Report correctly</w:t>
      </w:r>
      <w:r w:rsidR="00610633" w:rsidRPr="006D21CC">
        <w:rPr>
          <w:rFonts w:ascii="Times New Roman" w:hAnsi="Times New Roman" w:cs="Times New Roman"/>
          <w:color w:val="000000"/>
        </w:rPr>
        <w:t xml:space="preserve"> recommends that there should be a cap on the amount of a rebate paid to any </w:t>
      </w:r>
      <w:r w:rsidRPr="006D21CC">
        <w:rPr>
          <w:rFonts w:ascii="Times New Roman" w:hAnsi="Times New Roman" w:cs="Times New Roman"/>
          <w:color w:val="000000"/>
        </w:rPr>
        <w:t>income-qualified</w:t>
      </w:r>
      <w:r w:rsidR="00610633" w:rsidRPr="006D21CC">
        <w:rPr>
          <w:rFonts w:ascii="Times New Roman" w:hAnsi="Times New Roman" w:cs="Times New Roman"/>
          <w:color w:val="000000"/>
        </w:rPr>
        <w:t xml:space="preserve"> residential household so that more customers benefit from the program.</w:t>
      </w:r>
      <w:r>
        <w:rPr>
          <w:rStyle w:val="FootnoteReference"/>
          <w:rFonts w:ascii="Times New Roman" w:hAnsi="Times New Roman" w:cs="Times New Roman"/>
          <w:color w:val="000000"/>
        </w:rPr>
        <w:footnoteReference w:id="63"/>
      </w:r>
    </w:p>
    <w:p w14:paraId="32E0216B" w14:textId="77777777" w:rsidR="009D3F0E" w:rsidRDefault="00AF4AAB">
      <w:pPr>
        <w:spacing w:after="160" w:line="278" w:lineRule="auto"/>
        <w:rPr>
          <w:rFonts w:eastAsiaTheme="minorHAnsi"/>
          <w:color w:val="000000"/>
          <w:kern w:val="2"/>
          <w:lang w:bidi="ar-SA"/>
          <w14:ligatures w14:val="standardContextual"/>
        </w:rPr>
      </w:pPr>
      <w:r>
        <w:rPr>
          <w:color w:val="000000"/>
        </w:rPr>
        <w:br w:type="page"/>
      </w:r>
    </w:p>
    <w:p w14:paraId="08B6753C" w14:textId="12845EFD" w:rsidR="00BB0714" w:rsidRPr="006D21CC" w:rsidRDefault="00AF4AAB" w:rsidP="00C62145">
      <w:pPr>
        <w:spacing w:after="160" w:line="278" w:lineRule="auto"/>
        <w:rPr>
          <w:rFonts w:eastAsiaTheme="minorHAnsi"/>
          <w:kern w:val="2"/>
          <w:lang w:bidi="ar-SA"/>
          <w14:ligatures w14:val="standardContextual"/>
        </w:rPr>
      </w:pPr>
      <w:r w:rsidRPr="006D21CC">
        <w:rPr>
          <w:b/>
          <w:bCs/>
        </w:rPr>
        <w:lastRenderedPageBreak/>
        <w:t>Deferrals and Other Matters</w:t>
      </w:r>
      <w:r w:rsidR="00834C10" w:rsidRPr="006D21CC">
        <w:rPr>
          <w:b/>
          <w:bCs/>
        </w:rPr>
        <w:t xml:space="preserve"> Raised in Enbridge</w:t>
      </w:r>
      <w:r w:rsidR="006D21CC">
        <w:rPr>
          <w:b/>
          <w:bCs/>
        </w:rPr>
        <w:t>’</w:t>
      </w:r>
      <w:r w:rsidR="00834C10" w:rsidRPr="006D21CC">
        <w:rPr>
          <w:b/>
          <w:bCs/>
        </w:rPr>
        <w:t xml:space="preserve">s Alternative Regulation </w:t>
      </w:r>
      <w:r w:rsidR="00AB6A73">
        <w:rPr>
          <w:b/>
          <w:bCs/>
        </w:rPr>
        <w:t>F</w:t>
      </w:r>
      <w:r w:rsidR="00834C10" w:rsidRPr="006D21CC">
        <w:rPr>
          <w:b/>
          <w:bCs/>
        </w:rPr>
        <w:t xml:space="preserve">iling </w:t>
      </w:r>
    </w:p>
    <w:p w14:paraId="5ABC3F3C" w14:textId="6914511D" w:rsidR="00BB0714" w:rsidRPr="006D21CC" w:rsidRDefault="00AF4AAB" w:rsidP="00674B46">
      <w:pPr>
        <w:numPr>
          <w:ilvl w:val="0"/>
          <w:numId w:val="6"/>
        </w:numPr>
        <w:spacing w:after="160" w:line="264" w:lineRule="auto"/>
        <w:ind w:left="1440" w:hanging="720"/>
        <w:rPr>
          <w:rFonts w:eastAsiaTheme="minorHAnsi"/>
          <w:kern w:val="2"/>
          <w:lang w:bidi="ar-SA"/>
          <w14:ligatures w14:val="standardContextual"/>
        </w:rPr>
      </w:pPr>
      <w:r w:rsidRPr="006D21CC">
        <w:rPr>
          <w:rFonts w:eastAsiaTheme="minorHAnsi"/>
          <w:kern w:val="2"/>
          <w:lang w:bidi="ar-SA"/>
          <w14:ligatures w14:val="standardContextual"/>
        </w:rPr>
        <w:t xml:space="preserve">The Staff Report correctly recommended the immediate implementation of annual CEP rider surcharges, subject to </w:t>
      </w:r>
      <w:r w:rsidRPr="006D21CC">
        <w:rPr>
          <w:rFonts w:eastAsiaTheme="minorHAnsi"/>
          <w:kern w:val="2"/>
          <w:lang w:bidi="ar-SA"/>
          <w14:ligatures w14:val="standardContextual"/>
        </w:rPr>
        <w:t>reconciliation, which will result in a reduction in deferred balances.</w:t>
      </w:r>
      <w:r>
        <w:rPr>
          <w:rStyle w:val="FootnoteReference"/>
        </w:rPr>
        <w:footnoteReference w:id="64"/>
      </w:r>
    </w:p>
    <w:p w14:paraId="02D2C2BB" w14:textId="4B78A644" w:rsidR="00BB0714" w:rsidRPr="006D21CC" w:rsidRDefault="00AF4AAB" w:rsidP="00674B46">
      <w:pPr>
        <w:numPr>
          <w:ilvl w:val="0"/>
          <w:numId w:val="6"/>
        </w:numPr>
        <w:spacing w:after="160" w:line="264" w:lineRule="auto"/>
        <w:ind w:left="1440" w:hanging="720"/>
        <w:rPr>
          <w:rFonts w:eastAsiaTheme="minorHAnsi"/>
          <w:kern w:val="2"/>
          <w:lang w:bidi="ar-SA"/>
          <w14:ligatures w14:val="standardContextual"/>
        </w:rPr>
      </w:pPr>
      <w:r w:rsidRPr="006D21CC">
        <w:rPr>
          <w:rFonts w:eastAsiaTheme="minorHAnsi"/>
          <w:kern w:val="2"/>
          <w:lang w:bidi="ar-SA"/>
          <w14:ligatures w14:val="standardContextual"/>
        </w:rPr>
        <w:t>The Staff Report</w:t>
      </w:r>
      <w:r w:rsidR="002B6A50" w:rsidRPr="006D21CC">
        <w:rPr>
          <w:rFonts w:eastAsiaTheme="minorHAnsi"/>
          <w:kern w:val="2"/>
          <w:lang w:bidi="ar-SA"/>
          <w14:ligatures w14:val="standardContextual"/>
        </w:rPr>
        <w:t xml:space="preserve"> </w:t>
      </w:r>
      <w:r w:rsidRPr="006D21CC">
        <w:rPr>
          <w:rFonts w:eastAsiaTheme="minorHAnsi"/>
          <w:kern w:val="2"/>
          <w:lang w:bidi="ar-SA"/>
          <w14:ligatures w14:val="standardContextual"/>
        </w:rPr>
        <w:t>correctly recommended modifying the calculation of ADIT within the CEP Rate Base to reflect the impact of depreciation deferrals.</w:t>
      </w:r>
      <w:r>
        <w:rPr>
          <w:rStyle w:val="FootnoteReference"/>
        </w:rPr>
        <w:footnoteReference w:id="65"/>
      </w:r>
    </w:p>
    <w:p w14:paraId="15651A0D" w14:textId="732C3E30" w:rsidR="00BB0714" w:rsidRPr="006D21CC" w:rsidRDefault="00AF4AAB" w:rsidP="00674B46">
      <w:pPr>
        <w:pStyle w:val="ListParagraph"/>
        <w:numPr>
          <w:ilvl w:val="0"/>
          <w:numId w:val="6"/>
        </w:numPr>
        <w:spacing w:line="264" w:lineRule="auto"/>
        <w:ind w:left="1440" w:hanging="720"/>
        <w:contextualSpacing w:val="0"/>
        <w:rPr>
          <w:rFonts w:ascii="Times New Roman" w:hAnsi="Times New Roman" w:cs="Times New Roman"/>
        </w:rPr>
      </w:pPr>
      <w:r w:rsidRPr="005833DC">
        <w:rPr>
          <w:rFonts w:ascii="Times New Roman" w:hAnsi="Times New Roman" w:cs="Times New Roman"/>
          <w:lang w:bidi="en-US"/>
        </w:rPr>
        <w:t xml:space="preserve">The Staff Report </w:t>
      </w:r>
      <w:r w:rsidRPr="005833DC">
        <w:rPr>
          <w:rFonts w:ascii="Times New Roman" w:hAnsi="Times New Roman" w:cs="Times New Roman"/>
          <w:lang w:bidi="en-US"/>
        </w:rPr>
        <w:t>correctly rejected the Company’s proposal to recover deferred CEP and PIR costs over a seven-year period. The OCC agrees with PUCO Staff that the deferrals and amortization related to cumulative CEP assets as of December 31, 2023, from the date certain of this case until the effective date of new base rates should continue to be amortized</w:t>
      </w:r>
      <w:r>
        <w:rPr>
          <w:rFonts w:ascii="Times New Roman" w:hAnsi="Times New Roman" w:cs="Times New Roman"/>
          <w:lang w:bidi="en-US"/>
        </w:rPr>
        <w:t xml:space="preserve"> </w:t>
      </w:r>
      <w:r w:rsidRPr="005833DC">
        <w:rPr>
          <w:rFonts w:ascii="Times New Roman" w:hAnsi="Times New Roman" w:cs="Times New Roman"/>
          <w:lang w:bidi="en-US"/>
        </w:rPr>
        <w:t>using a composite depreciation rate,</w:t>
      </w:r>
      <w:r>
        <w:rPr>
          <w:rFonts w:ascii="Times New Roman" w:hAnsi="Times New Roman" w:cs="Times New Roman"/>
          <w:lang w:bidi="en-US"/>
        </w:rPr>
        <w:t xml:space="preserve"> </w:t>
      </w:r>
      <w:r w:rsidRPr="005833DC">
        <w:rPr>
          <w:rFonts w:ascii="Times New Roman" w:hAnsi="Times New Roman" w:cs="Times New Roman"/>
          <w:lang w:bidi="en-US"/>
        </w:rPr>
        <w:t>notwithstanding the difference of opinion of the underlying rate</w:t>
      </w:r>
      <w:r w:rsidRPr="006D21CC">
        <w:rPr>
          <w:rFonts w:ascii="Times New Roman" w:hAnsi="Times New Roman" w:cs="Times New Roman"/>
        </w:rPr>
        <w:t>.</w:t>
      </w:r>
      <w:r>
        <w:rPr>
          <w:rStyle w:val="FootnoteReference"/>
          <w:rFonts w:ascii="Times New Roman" w:hAnsi="Times New Roman" w:cs="Times New Roman"/>
        </w:rPr>
        <w:footnoteReference w:id="66"/>
      </w:r>
      <w:r w:rsidRPr="006D21CC">
        <w:rPr>
          <w:rFonts w:ascii="Times New Roman" w:hAnsi="Times New Roman" w:cs="Times New Roman"/>
        </w:rPr>
        <w:t xml:space="preserve"> </w:t>
      </w:r>
    </w:p>
    <w:p w14:paraId="62A525AF" w14:textId="3D8E97D9" w:rsidR="00BB0714" w:rsidRPr="006D21CC" w:rsidRDefault="00AF4AAB" w:rsidP="00674B46">
      <w:pPr>
        <w:pStyle w:val="ListParagraph"/>
        <w:numPr>
          <w:ilvl w:val="0"/>
          <w:numId w:val="6"/>
        </w:numPr>
        <w:spacing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rPr>
        <w:t>correctly recommended that the $0.00 rate would take effect after collection of the 2028 assets by September 30, 2029, and all deferrals would cease for investments starting January 1, 2029, and beyond.</w:t>
      </w:r>
      <w:r>
        <w:rPr>
          <w:rStyle w:val="FootnoteReference"/>
          <w:rFonts w:ascii="Times New Roman" w:hAnsi="Times New Roman" w:cs="Times New Roman"/>
        </w:rPr>
        <w:footnoteReference w:id="67"/>
      </w:r>
    </w:p>
    <w:p w14:paraId="42E1A83C" w14:textId="01F7C505" w:rsidR="00BB0714" w:rsidRPr="00C62145" w:rsidRDefault="00AF4AAB" w:rsidP="00162FFA">
      <w:pPr>
        <w:pStyle w:val="ListParagraph"/>
        <w:numPr>
          <w:ilvl w:val="0"/>
          <w:numId w:val="6"/>
        </w:numPr>
        <w:spacing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rPr>
        <w:t>correctly recommended that the deferred tax asset (ADIT) in the CEP should be adjusted annually for the depreciation offset.</w:t>
      </w:r>
      <w:r>
        <w:rPr>
          <w:rStyle w:val="FootnoteReference"/>
          <w:rFonts w:ascii="Times New Roman" w:hAnsi="Times New Roman" w:cs="Times New Roman"/>
        </w:rPr>
        <w:footnoteReference w:id="68"/>
      </w:r>
    </w:p>
    <w:p w14:paraId="65FFF12B" w14:textId="194E0D70" w:rsidR="00BB0714" w:rsidRPr="006D21CC" w:rsidRDefault="00AF4AAB" w:rsidP="00674B46">
      <w:pPr>
        <w:pStyle w:val="ListParagraph"/>
        <w:numPr>
          <w:ilvl w:val="0"/>
          <w:numId w:val="6"/>
        </w:numPr>
        <w:spacing w:line="264" w:lineRule="auto"/>
        <w:ind w:left="1440" w:hanging="720"/>
        <w:contextualSpacing w:val="0"/>
        <w:rPr>
          <w:rFonts w:ascii="Times New Roman" w:hAnsi="Times New Roman" w:cs="Times New Roman"/>
        </w:rPr>
      </w:pPr>
      <w:r w:rsidRPr="006D21CC">
        <w:rPr>
          <w:rFonts w:ascii="Times New Roman" w:hAnsi="Times New Roman" w:cs="Times New Roman"/>
        </w:rPr>
        <w:t>The Staff Report correctly recommended that incremental revenue should be subtracted from deferral balances.</w:t>
      </w:r>
      <w:r>
        <w:rPr>
          <w:rStyle w:val="FootnoteReference"/>
          <w:rFonts w:ascii="Times New Roman" w:hAnsi="Times New Roman" w:cs="Times New Roman"/>
        </w:rPr>
        <w:footnoteReference w:id="69"/>
      </w:r>
      <w:r w:rsidRPr="006D21CC">
        <w:rPr>
          <w:rFonts w:ascii="Times New Roman" w:hAnsi="Times New Roman" w:cs="Times New Roman"/>
        </w:rPr>
        <w:t xml:space="preserve"> </w:t>
      </w:r>
    </w:p>
    <w:p w14:paraId="29D04545" w14:textId="21AB3CB3" w:rsidR="00BB0714" w:rsidRPr="006D21CC" w:rsidRDefault="00AF4AAB" w:rsidP="00674B46">
      <w:pPr>
        <w:numPr>
          <w:ilvl w:val="0"/>
          <w:numId w:val="6"/>
        </w:numPr>
        <w:spacing w:after="160" w:line="264" w:lineRule="auto"/>
        <w:ind w:left="1440" w:hanging="720"/>
        <w:rPr>
          <w:rFonts w:eastAsiaTheme="minorHAnsi"/>
          <w:kern w:val="2"/>
          <w:lang w:bidi="ar-SA"/>
          <w14:ligatures w14:val="standardContextual"/>
        </w:rPr>
      </w:pPr>
      <w:r w:rsidRPr="006D21CC">
        <w:rPr>
          <w:rFonts w:eastAsiaTheme="minorHAnsi"/>
          <w:kern w:val="2"/>
          <w:lang w:bidi="ar-SA"/>
          <w14:ligatures w14:val="standardContextual"/>
        </w:rPr>
        <w:t>The Staff Report</w:t>
      </w:r>
      <w:r w:rsidR="002B6A50" w:rsidRPr="006D21CC">
        <w:rPr>
          <w:rFonts w:eastAsiaTheme="minorHAnsi"/>
          <w:kern w:val="2"/>
          <w:lang w:bidi="ar-SA"/>
          <w14:ligatures w14:val="standardContextual"/>
        </w:rPr>
        <w:t xml:space="preserve"> </w:t>
      </w:r>
      <w:r w:rsidRPr="006D21CC">
        <w:rPr>
          <w:rFonts w:eastAsiaTheme="minorHAnsi"/>
          <w:kern w:val="2"/>
          <w:lang w:bidi="ar-SA"/>
          <w14:ligatures w14:val="standardContextual"/>
        </w:rPr>
        <w:t>correctly recommended that deferrals should be limited to those related to plant in service that does not exceed the cap.</w:t>
      </w:r>
      <w:r>
        <w:rPr>
          <w:rStyle w:val="FootnoteReference"/>
        </w:rPr>
        <w:footnoteReference w:id="70"/>
      </w:r>
    </w:p>
    <w:p w14:paraId="35FE413B" w14:textId="5CC75F49" w:rsidR="00BB0714" w:rsidRPr="006D21CC" w:rsidRDefault="00AF4AAB" w:rsidP="00674B46">
      <w:pPr>
        <w:pStyle w:val="ListParagraph"/>
        <w:numPr>
          <w:ilvl w:val="0"/>
          <w:numId w:val="6"/>
        </w:numPr>
        <w:spacing w:line="264" w:lineRule="auto"/>
        <w:ind w:left="1440" w:hanging="720"/>
        <w:contextualSpacing w:val="0"/>
        <w:rPr>
          <w:rFonts w:ascii="Times New Roman" w:hAnsi="Times New Roman" w:cs="Times New Roman"/>
          <w:color w:val="000000"/>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rPr>
        <w:t xml:space="preserve">correctly recommended against </w:t>
      </w:r>
      <w:r w:rsidRPr="006D21CC">
        <w:rPr>
          <w:rFonts w:ascii="Times New Roman" w:hAnsi="Times New Roman" w:cs="Times New Roman"/>
          <w:color w:val="000000"/>
        </w:rPr>
        <w:t>Enbridge</w:t>
      </w:r>
      <w:r w:rsidR="006D21CC">
        <w:rPr>
          <w:rFonts w:ascii="Times New Roman" w:hAnsi="Times New Roman" w:cs="Times New Roman"/>
          <w:color w:val="000000"/>
        </w:rPr>
        <w:t>’</w:t>
      </w:r>
      <w:r w:rsidRPr="006D21CC">
        <w:rPr>
          <w:rFonts w:ascii="Times New Roman" w:hAnsi="Times New Roman" w:cs="Times New Roman"/>
          <w:color w:val="000000"/>
        </w:rPr>
        <w:t>s proposal to include Rider PIR-related deferred depreciation, deferred property taxes, and</w:t>
      </w:r>
      <w:r w:rsidR="007438F0" w:rsidRPr="006D21CC">
        <w:rPr>
          <w:rFonts w:ascii="Times New Roman" w:hAnsi="Times New Roman" w:cs="Times New Roman"/>
          <w:color w:val="000000"/>
        </w:rPr>
        <w:t xml:space="preserve"> post-in-service carrying costs</w:t>
      </w:r>
      <w:r w:rsidRPr="006D21CC">
        <w:rPr>
          <w:rFonts w:ascii="Times New Roman" w:hAnsi="Times New Roman" w:cs="Times New Roman"/>
          <w:color w:val="000000"/>
        </w:rPr>
        <w:t xml:space="preserve"> </w:t>
      </w:r>
      <w:r w:rsidR="007438F0" w:rsidRPr="006D21CC">
        <w:rPr>
          <w:rFonts w:ascii="Times New Roman" w:hAnsi="Times New Roman" w:cs="Times New Roman"/>
          <w:color w:val="000000"/>
        </w:rPr>
        <w:t>(</w:t>
      </w:r>
      <w:r w:rsidR="006D21CC">
        <w:rPr>
          <w:rFonts w:ascii="Times New Roman" w:hAnsi="Times New Roman" w:cs="Times New Roman"/>
          <w:color w:val="000000"/>
        </w:rPr>
        <w:t>“</w:t>
      </w:r>
      <w:r w:rsidRPr="006D21CC">
        <w:rPr>
          <w:rFonts w:ascii="Times New Roman" w:hAnsi="Times New Roman" w:cs="Times New Roman"/>
          <w:color w:val="000000"/>
        </w:rPr>
        <w:t>PISCC</w:t>
      </w:r>
      <w:r w:rsidR="006D21CC">
        <w:rPr>
          <w:rFonts w:ascii="Times New Roman" w:hAnsi="Times New Roman" w:cs="Times New Roman"/>
          <w:color w:val="000000"/>
        </w:rPr>
        <w:t>”</w:t>
      </w:r>
      <w:r w:rsidR="007438F0" w:rsidRPr="006D21CC">
        <w:rPr>
          <w:rFonts w:ascii="Times New Roman" w:hAnsi="Times New Roman" w:cs="Times New Roman"/>
          <w:color w:val="000000"/>
        </w:rPr>
        <w:t>)</w:t>
      </w:r>
      <w:r w:rsidRPr="006D21CC">
        <w:rPr>
          <w:rFonts w:ascii="Times New Roman" w:hAnsi="Times New Roman" w:cs="Times New Roman"/>
          <w:color w:val="000000"/>
        </w:rPr>
        <w:t xml:space="preserve"> in rate base.</w:t>
      </w:r>
      <w:r>
        <w:rPr>
          <w:rStyle w:val="FootnoteReference"/>
          <w:rFonts w:ascii="Times New Roman" w:hAnsi="Times New Roman" w:cs="Times New Roman"/>
          <w:color w:val="000000"/>
        </w:rPr>
        <w:footnoteReference w:id="71"/>
      </w:r>
      <w:r w:rsidR="00E5007D">
        <w:rPr>
          <w:rFonts w:ascii="Times New Roman" w:hAnsi="Times New Roman" w:cs="Times New Roman"/>
          <w:color w:val="000000"/>
        </w:rPr>
        <w:t xml:space="preserve"> </w:t>
      </w:r>
    </w:p>
    <w:p w14:paraId="7619541D" w14:textId="69A138B5" w:rsidR="00BB0714" w:rsidRPr="006D21CC" w:rsidRDefault="00AF4AAB" w:rsidP="00674B46">
      <w:pPr>
        <w:pStyle w:val="ListParagraph"/>
        <w:numPr>
          <w:ilvl w:val="0"/>
          <w:numId w:val="6"/>
        </w:numPr>
        <w:spacing w:line="264" w:lineRule="auto"/>
        <w:ind w:left="1440" w:hanging="720"/>
        <w:contextualSpacing w:val="0"/>
        <w:rPr>
          <w:rFonts w:ascii="Times New Roman" w:hAnsi="Times New Roman" w:cs="Times New Roman"/>
          <w:color w:val="000000"/>
        </w:rPr>
      </w:pPr>
      <w:r w:rsidRPr="006D21CC">
        <w:rPr>
          <w:rFonts w:ascii="Times New Roman" w:hAnsi="Times New Roman" w:cs="Times New Roman"/>
        </w:rPr>
        <w:lastRenderedPageBreak/>
        <w:t>The Staff Report</w:t>
      </w:r>
      <w:r w:rsidR="002B6A50" w:rsidRPr="006D21CC">
        <w:rPr>
          <w:rFonts w:ascii="Times New Roman" w:hAnsi="Times New Roman" w:cs="Times New Roman"/>
        </w:rPr>
        <w:t xml:space="preserve"> </w:t>
      </w:r>
      <w:r w:rsidRPr="006D21CC">
        <w:rPr>
          <w:rFonts w:ascii="Times New Roman" w:hAnsi="Times New Roman" w:cs="Times New Roman"/>
          <w:color w:val="000000"/>
        </w:rPr>
        <w:t>correctly recommended that ADIT associated with the deferrals for Rider PIR be included as a reduction to PIR rate base regardless of whether the underlying assets or liabilities are included in rate base.</w:t>
      </w:r>
      <w:r>
        <w:rPr>
          <w:rStyle w:val="FootnoteReference"/>
          <w:rFonts w:ascii="Times New Roman" w:hAnsi="Times New Roman" w:cs="Times New Roman"/>
          <w:color w:val="000000"/>
        </w:rPr>
        <w:footnoteReference w:id="72"/>
      </w:r>
    </w:p>
    <w:p w14:paraId="44BCDB04" w14:textId="0966E006" w:rsidR="00BB0714" w:rsidRPr="006D21CC" w:rsidRDefault="00AF4AAB" w:rsidP="00674B46">
      <w:pPr>
        <w:pStyle w:val="ListParagraph"/>
        <w:numPr>
          <w:ilvl w:val="0"/>
          <w:numId w:val="6"/>
        </w:numPr>
        <w:spacing w:line="264" w:lineRule="auto"/>
        <w:ind w:left="1440" w:hanging="720"/>
        <w:contextualSpacing w:val="0"/>
        <w:rPr>
          <w:rFonts w:ascii="Times New Roman" w:hAnsi="Times New Roman" w:cs="Times New Roman"/>
          <w:color w:val="000000"/>
        </w:rPr>
      </w:pPr>
      <w:r w:rsidRPr="006D21CC">
        <w:rPr>
          <w:rFonts w:ascii="Times New Roman" w:hAnsi="Times New Roman" w:cs="Times New Roman"/>
        </w:rPr>
        <w:t xml:space="preserve">The </w:t>
      </w:r>
      <w:r w:rsidRPr="006D21CC">
        <w:rPr>
          <w:rFonts w:ascii="Times New Roman" w:hAnsi="Times New Roman" w:cs="Times New Roman"/>
        </w:rPr>
        <w:t>Staff Report</w:t>
      </w:r>
      <w:r w:rsidR="002B6A50" w:rsidRPr="006D21CC">
        <w:rPr>
          <w:rFonts w:ascii="Times New Roman" w:hAnsi="Times New Roman" w:cs="Times New Roman"/>
        </w:rPr>
        <w:t xml:space="preserve"> </w:t>
      </w:r>
      <w:r w:rsidRPr="006D21CC">
        <w:rPr>
          <w:rFonts w:ascii="Times New Roman" w:hAnsi="Times New Roman" w:cs="Times New Roman"/>
          <w:color w:val="000000"/>
        </w:rPr>
        <w:t>correctly recommended that the amortization period for the regulatory deferrals be set over the life of the assets</w:t>
      </w:r>
      <w:r w:rsidR="00036D2E">
        <w:rPr>
          <w:rFonts w:ascii="Times New Roman" w:hAnsi="Times New Roman" w:cs="Times New Roman"/>
          <w:color w:val="000000"/>
        </w:rPr>
        <w:t>, notwithstanding OCC’s Objection No. 3, below</w:t>
      </w:r>
      <w:r w:rsidRPr="006D21CC">
        <w:rPr>
          <w:rFonts w:ascii="Times New Roman" w:hAnsi="Times New Roman" w:cs="Times New Roman"/>
          <w:color w:val="000000"/>
        </w:rPr>
        <w:t>.</w:t>
      </w:r>
      <w:r>
        <w:rPr>
          <w:rStyle w:val="FootnoteReference"/>
          <w:rFonts w:ascii="Times New Roman" w:hAnsi="Times New Roman" w:cs="Times New Roman"/>
          <w:color w:val="000000"/>
        </w:rPr>
        <w:footnoteReference w:id="73"/>
      </w:r>
    </w:p>
    <w:p w14:paraId="1C2AF34F" w14:textId="2B31E4D7" w:rsidR="00BB0714" w:rsidRPr="006D21CC" w:rsidRDefault="00AF4AAB" w:rsidP="00674B46">
      <w:pPr>
        <w:pStyle w:val="ListParagraph"/>
        <w:numPr>
          <w:ilvl w:val="0"/>
          <w:numId w:val="6"/>
        </w:numPr>
        <w:spacing w:line="264" w:lineRule="auto"/>
        <w:ind w:left="1440" w:hanging="720"/>
        <w:contextualSpacing w:val="0"/>
        <w:rPr>
          <w:rFonts w:ascii="Times New Roman" w:hAnsi="Times New Roman" w:cs="Times New Roman"/>
          <w:color w:val="000000"/>
        </w:rPr>
      </w:pPr>
      <w:r w:rsidRPr="006D21CC">
        <w:rPr>
          <w:rFonts w:ascii="Times New Roman" w:hAnsi="Times New Roman" w:cs="Times New Roman"/>
        </w:rPr>
        <w:t>The Staff Report</w:t>
      </w:r>
      <w:r w:rsidR="002B6A50" w:rsidRPr="006D21CC">
        <w:rPr>
          <w:rFonts w:ascii="Times New Roman" w:hAnsi="Times New Roman" w:cs="Times New Roman"/>
        </w:rPr>
        <w:t xml:space="preserve"> </w:t>
      </w:r>
      <w:r w:rsidRPr="006D21CC">
        <w:rPr>
          <w:rFonts w:ascii="Times New Roman" w:hAnsi="Times New Roman" w:cs="Times New Roman"/>
          <w:color w:val="000000"/>
        </w:rPr>
        <w:t>correctly recommended that deferrals and amortization related to cumulative PIR assets as of December 31, 2023, from the date certain of this case until the effective date of new base rates continue to be amortized over the lives of the underlying assets.</w:t>
      </w:r>
      <w:r>
        <w:rPr>
          <w:rStyle w:val="FootnoteReference"/>
          <w:rFonts w:ascii="Times New Roman" w:hAnsi="Times New Roman" w:cs="Times New Roman"/>
          <w:color w:val="000000"/>
        </w:rPr>
        <w:footnoteReference w:id="74"/>
      </w:r>
    </w:p>
    <w:p w14:paraId="36C4E2C9" w14:textId="3424E439" w:rsidR="00BB0714" w:rsidRPr="006D21CC" w:rsidRDefault="00AF4AAB" w:rsidP="00674B46">
      <w:pPr>
        <w:numPr>
          <w:ilvl w:val="0"/>
          <w:numId w:val="6"/>
        </w:numPr>
        <w:spacing w:after="160" w:line="264" w:lineRule="auto"/>
        <w:ind w:left="1440" w:hanging="720"/>
        <w:rPr>
          <w:rFonts w:eastAsiaTheme="minorHAnsi"/>
          <w:kern w:val="2"/>
          <w:lang w:bidi="ar-SA"/>
          <w14:ligatures w14:val="standardContextual"/>
        </w:rPr>
      </w:pPr>
      <w:r w:rsidRPr="006D21CC">
        <w:rPr>
          <w:rFonts w:eastAsiaTheme="minorHAnsi"/>
          <w:kern w:val="2"/>
          <w:lang w:bidi="ar-SA"/>
          <w14:ligatures w14:val="standardContextual"/>
        </w:rPr>
        <w:t>The Staff Report</w:t>
      </w:r>
      <w:r w:rsidR="002B6A50" w:rsidRPr="006D21CC">
        <w:rPr>
          <w:rFonts w:eastAsiaTheme="minorHAnsi"/>
          <w:kern w:val="2"/>
          <w:lang w:bidi="ar-SA"/>
          <w14:ligatures w14:val="standardContextual"/>
        </w:rPr>
        <w:t xml:space="preserve"> </w:t>
      </w:r>
      <w:r w:rsidRPr="006D21CC">
        <w:rPr>
          <w:rFonts w:eastAsiaTheme="minorHAnsi"/>
          <w:kern w:val="2"/>
          <w:lang w:bidi="ar-SA"/>
          <w14:ligatures w14:val="standardContextual"/>
        </w:rPr>
        <w:t xml:space="preserve">correctly recommended that </w:t>
      </w:r>
      <w:r w:rsidRPr="006D21CC">
        <w:rPr>
          <w:rFonts w:eastAsiaTheme="minorHAnsi"/>
          <w:kern w:val="2"/>
          <w:lang w:bidi="ar-SA"/>
          <w14:ligatures w14:val="standardContextual"/>
        </w:rPr>
        <w:t>cumulative</w:t>
      </w:r>
      <w:r w:rsidR="005245F8">
        <w:rPr>
          <w:rFonts w:eastAsiaTheme="minorHAnsi"/>
          <w:kern w:val="2"/>
          <w:lang w:bidi="ar-SA"/>
          <w14:ligatures w14:val="standardContextual"/>
        </w:rPr>
        <w:t>,</w:t>
      </w:r>
      <w:r w:rsidRPr="006D21CC">
        <w:rPr>
          <w:rFonts w:eastAsiaTheme="minorHAnsi"/>
          <w:kern w:val="2"/>
          <w:lang w:bidi="ar-SA"/>
          <w14:ligatures w14:val="standardContextual"/>
        </w:rPr>
        <w:t xml:space="preserve"> rather than annual</w:t>
      </w:r>
      <w:r w:rsidR="005245F8">
        <w:rPr>
          <w:rFonts w:eastAsiaTheme="minorHAnsi"/>
          <w:kern w:val="2"/>
          <w:lang w:bidi="ar-SA"/>
          <w14:ligatures w14:val="standardContextual"/>
        </w:rPr>
        <w:t>,</w:t>
      </w:r>
      <w:r w:rsidRPr="006D21CC">
        <w:rPr>
          <w:rFonts w:eastAsiaTheme="minorHAnsi"/>
          <w:kern w:val="2"/>
          <w:lang w:bidi="ar-SA"/>
          <w14:ligatures w14:val="standardContextual"/>
        </w:rPr>
        <w:t xml:space="preserve"> rate caps are appropriate beginning with 2027 investments.</w:t>
      </w:r>
      <w:r>
        <w:rPr>
          <w:rStyle w:val="FootnoteReference"/>
        </w:rPr>
        <w:footnoteReference w:id="75"/>
      </w:r>
    </w:p>
    <w:p w14:paraId="3A3CFEA1" w14:textId="65CB3E65" w:rsidR="00BB0714" w:rsidRPr="006D21CC" w:rsidRDefault="00AF4AAB" w:rsidP="00674B46">
      <w:pPr>
        <w:pStyle w:val="ListParagraph"/>
        <w:numPr>
          <w:ilvl w:val="0"/>
          <w:numId w:val="6"/>
        </w:numPr>
        <w:spacing w:line="264" w:lineRule="auto"/>
        <w:ind w:left="1440" w:hanging="720"/>
        <w:contextualSpacing w:val="0"/>
        <w:rPr>
          <w:rFonts w:ascii="Times New Roman" w:hAnsi="Times New Roman" w:cs="Times New Roman"/>
          <w:color w:val="000000"/>
        </w:rPr>
      </w:pPr>
      <w:r w:rsidRPr="006D21CC">
        <w:rPr>
          <w:rFonts w:ascii="Times New Roman" w:hAnsi="Times New Roman" w:cs="Times New Roman"/>
        </w:rPr>
        <w:t>The Staff Report</w:t>
      </w:r>
      <w:r w:rsidR="00803359" w:rsidRPr="006D21CC">
        <w:rPr>
          <w:rFonts w:ascii="Times New Roman" w:hAnsi="Times New Roman" w:cs="Times New Roman"/>
        </w:rPr>
        <w:t xml:space="preserve"> </w:t>
      </w:r>
      <w:r w:rsidRPr="006D21CC">
        <w:rPr>
          <w:rFonts w:ascii="Times New Roman" w:hAnsi="Times New Roman" w:cs="Times New Roman"/>
          <w:color w:val="000000"/>
        </w:rPr>
        <w:t>correctly rejected Daymark</w:t>
      </w:r>
      <w:r w:rsidR="006D21CC">
        <w:rPr>
          <w:rFonts w:ascii="Times New Roman" w:hAnsi="Times New Roman" w:cs="Times New Roman"/>
          <w:color w:val="000000"/>
        </w:rPr>
        <w:t>’</w:t>
      </w:r>
      <w:r w:rsidRPr="006D21CC">
        <w:rPr>
          <w:rFonts w:ascii="Times New Roman" w:hAnsi="Times New Roman" w:cs="Times New Roman"/>
          <w:color w:val="000000"/>
        </w:rPr>
        <w:t>s suggestion regarding a deferred revenue account and further correctly opposed Enbridge deferring revenue requirement in excess of the annual rate caps as deferring this excess revenue requirement would defeat the purpose of annual rate caps.</w:t>
      </w:r>
      <w:r>
        <w:rPr>
          <w:rStyle w:val="FootnoteReference"/>
          <w:rFonts w:ascii="Times New Roman" w:hAnsi="Times New Roman" w:cs="Times New Roman"/>
          <w:color w:val="000000"/>
        </w:rPr>
        <w:footnoteReference w:id="76"/>
      </w:r>
    </w:p>
    <w:p w14:paraId="3C85488C" w14:textId="6DEADDBC" w:rsidR="00B2152D" w:rsidRPr="00C01723" w:rsidRDefault="00AF4AAB" w:rsidP="00C62145">
      <w:pPr>
        <w:numPr>
          <w:ilvl w:val="0"/>
          <w:numId w:val="12"/>
        </w:numPr>
        <w:spacing w:after="160" w:line="264" w:lineRule="auto"/>
        <w:ind w:left="1440" w:hanging="720"/>
        <w:rPr>
          <w:rFonts w:eastAsiaTheme="majorEastAsia"/>
          <w:b/>
          <w:kern w:val="2"/>
          <w:lang w:bidi="ar-SA"/>
          <w14:ligatures w14:val="standardContextual"/>
        </w:rPr>
      </w:pPr>
      <w:r w:rsidRPr="006D21CC">
        <w:rPr>
          <w:rFonts w:eastAsiaTheme="minorHAnsi"/>
          <w:kern w:val="2"/>
          <w:lang w:bidi="ar-SA"/>
          <w14:ligatures w14:val="standardContextual"/>
        </w:rPr>
        <w:t>The Staff Report</w:t>
      </w:r>
      <w:r w:rsidR="007D4AA6" w:rsidRPr="006D21CC">
        <w:rPr>
          <w:rFonts w:eastAsiaTheme="minorHAnsi"/>
          <w:kern w:val="2"/>
          <w:lang w:bidi="ar-SA"/>
          <w14:ligatures w14:val="standardContextual"/>
        </w:rPr>
        <w:t xml:space="preserve"> </w:t>
      </w:r>
      <w:r w:rsidR="00BB0714" w:rsidRPr="006D21CC">
        <w:rPr>
          <w:rFonts w:eastAsiaTheme="minorHAnsi"/>
          <w:kern w:val="2"/>
          <w:lang w:bidi="ar-SA"/>
          <w14:ligatures w14:val="standardContextual"/>
        </w:rPr>
        <w:t>correctly recommended that the Tax Savings Credit Rider should be adopted.</w:t>
      </w:r>
      <w:r>
        <w:rPr>
          <w:rStyle w:val="FootnoteReference"/>
        </w:rPr>
        <w:footnoteReference w:id="77"/>
      </w:r>
    </w:p>
    <w:p w14:paraId="054489A3" w14:textId="10597CB3" w:rsidR="00674B46" w:rsidRPr="006D21CC" w:rsidRDefault="00AF4AAB" w:rsidP="00E5007D">
      <w:pPr>
        <w:pStyle w:val="Heading1"/>
        <w:numPr>
          <w:ilvl w:val="0"/>
          <w:numId w:val="21"/>
        </w:numPr>
        <w:rPr>
          <w:rFonts w:cs="Times New Roman"/>
          <w:szCs w:val="24"/>
        </w:rPr>
      </w:pPr>
      <w:bookmarkStart w:id="6" w:name="_Toc172895193"/>
      <w:r w:rsidRPr="006D21CC">
        <w:rPr>
          <w:rFonts w:cs="Times New Roman"/>
          <w:szCs w:val="24"/>
        </w:rPr>
        <w:t xml:space="preserve">OCC </w:t>
      </w:r>
      <w:r w:rsidR="007F1168" w:rsidRPr="006D21CC">
        <w:rPr>
          <w:rFonts w:cs="Times New Roman"/>
          <w:szCs w:val="24"/>
        </w:rPr>
        <w:t>OBJECTIONS TO THE STAFF REPORT</w:t>
      </w:r>
      <w:bookmarkEnd w:id="6"/>
    </w:p>
    <w:p w14:paraId="43740910" w14:textId="77777777" w:rsidR="00EC23BA" w:rsidRPr="006D21CC" w:rsidRDefault="00EC23BA" w:rsidP="00EC23BA">
      <w:pPr>
        <w:rPr>
          <w:lang w:bidi="ar-SA"/>
        </w:rPr>
      </w:pPr>
    </w:p>
    <w:p w14:paraId="69458A51" w14:textId="17BA6E5D" w:rsidR="00454C84" w:rsidRPr="006D21CC" w:rsidRDefault="00AF4AAB" w:rsidP="00047D4F">
      <w:pPr>
        <w:pStyle w:val="Heading2"/>
        <w:numPr>
          <w:ilvl w:val="0"/>
          <w:numId w:val="20"/>
        </w:numPr>
        <w:ind w:left="1440" w:hanging="720"/>
        <w:rPr>
          <w:rFonts w:cs="Times New Roman"/>
          <w:szCs w:val="24"/>
        </w:rPr>
      </w:pPr>
      <w:bookmarkStart w:id="7" w:name="_Toc172895194"/>
      <w:r w:rsidRPr="006D21CC">
        <w:rPr>
          <w:rFonts w:cs="Times New Roman"/>
          <w:szCs w:val="24"/>
        </w:rPr>
        <w:t>Revenue Requirements</w:t>
      </w:r>
      <w:bookmarkEnd w:id="7"/>
    </w:p>
    <w:p w14:paraId="1D949AA2" w14:textId="77777777" w:rsidR="00EC23BA" w:rsidRPr="006D21CC" w:rsidRDefault="00EC23BA" w:rsidP="00EC23BA">
      <w:pPr>
        <w:rPr>
          <w:lang w:bidi="ar-SA"/>
        </w:rPr>
      </w:pPr>
    </w:p>
    <w:p w14:paraId="097216E2" w14:textId="4C7ACBB3" w:rsidR="008E5116" w:rsidRPr="006D21CC" w:rsidRDefault="00AF4AAB" w:rsidP="00454C84">
      <w:pPr>
        <w:pStyle w:val="Heading3"/>
        <w:rPr>
          <w:rFonts w:cs="Times New Roman"/>
          <w:b w:val="0"/>
          <w:szCs w:val="24"/>
        </w:rPr>
      </w:pPr>
      <w:bookmarkStart w:id="8" w:name="_Toc172895195"/>
      <w:r w:rsidRPr="006D21CC">
        <w:rPr>
          <w:rFonts w:cs="Times New Roman"/>
          <w:szCs w:val="24"/>
          <w:u w:val="single"/>
        </w:rPr>
        <w:t>Objection No. 1:</w:t>
      </w:r>
      <w:r w:rsidRPr="006D21CC">
        <w:rPr>
          <w:rFonts w:cs="Times New Roman"/>
          <w:szCs w:val="24"/>
        </w:rPr>
        <w:t xml:space="preserve"> The Staff Report erred by proposing a revenue requirement for base rates and other charges to consumers </w:t>
      </w:r>
      <w:r w:rsidR="009B0B11" w:rsidRPr="006D21CC">
        <w:rPr>
          <w:rFonts w:cs="Times New Roman"/>
          <w:szCs w:val="24"/>
        </w:rPr>
        <w:t xml:space="preserve">more </w:t>
      </w:r>
      <w:r w:rsidRPr="006D21CC">
        <w:rPr>
          <w:rFonts w:cs="Times New Roman"/>
          <w:szCs w:val="24"/>
        </w:rPr>
        <w:t xml:space="preserve">than </w:t>
      </w:r>
      <w:r w:rsidR="00B21C86" w:rsidRPr="006D21CC">
        <w:rPr>
          <w:rFonts w:cs="Times New Roman"/>
          <w:szCs w:val="24"/>
        </w:rPr>
        <w:t xml:space="preserve">what </w:t>
      </w:r>
      <w:r w:rsidR="009B0B11" w:rsidRPr="006D21CC">
        <w:rPr>
          <w:rFonts w:cs="Times New Roman"/>
          <w:szCs w:val="24"/>
        </w:rPr>
        <w:t>is</w:t>
      </w:r>
      <w:r w:rsidRPr="006D21CC">
        <w:rPr>
          <w:rFonts w:cs="Times New Roman"/>
          <w:szCs w:val="24"/>
        </w:rPr>
        <w:t xml:space="preserve"> just and reasonable under R.C. 4909.15</w:t>
      </w:r>
      <w:r w:rsidR="00146338" w:rsidRPr="006D21CC">
        <w:rPr>
          <w:rFonts w:cs="Times New Roman"/>
          <w:szCs w:val="24"/>
        </w:rPr>
        <w:t>, R.C. 490</w:t>
      </w:r>
      <w:r w:rsidR="00074CB0" w:rsidRPr="006D21CC">
        <w:rPr>
          <w:rFonts w:cs="Times New Roman"/>
          <w:szCs w:val="24"/>
        </w:rPr>
        <w:t>5</w:t>
      </w:r>
      <w:r w:rsidR="00146338" w:rsidRPr="006D21CC">
        <w:rPr>
          <w:rFonts w:cs="Times New Roman"/>
          <w:szCs w:val="24"/>
        </w:rPr>
        <w:t>.22</w:t>
      </w:r>
      <w:r w:rsidR="00457405">
        <w:rPr>
          <w:rFonts w:cs="Times New Roman"/>
          <w:szCs w:val="24"/>
        </w:rPr>
        <w:t>,</w:t>
      </w:r>
      <w:r w:rsidRPr="006D21CC">
        <w:rPr>
          <w:rFonts w:cs="Times New Roman"/>
          <w:szCs w:val="24"/>
        </w:rPr>
        <w:t xml:space="preserve"> and other authority.</w:t>
      </w:r>
      <w:bookmarkEnd w:id="8"/>
      <w:r w:rsidRPr="006D21CC">
        <w:rPr>
          <w:rFonts w:cs="Times New Roman"/>
          <w:szCs w:val="24"/>
        </w:rPr>
        <w:t> </w:t>
      </w:r>
    </w:p>
    <w:p w14:paraId="5D28B2F8" w14:textId="77777777" w:rsidR="008370D2" w:rsidRPr="006D21CC" w:rsidRDefault="008370D2" w:rsidP="009B0B11">
      <w:pPr>
        <w:spacing w:line="264" w:lineRule="auto"/>
        <w:rPr>
          <w:color w:val="000000"/>
          <w:lang w:bidi="ar-SA"/>
        </w:rPr>
      </w:pPr>
    </w:p>
    <w:p w14:paraId="0DCDD83B" w14:textId="64EED986" w:rsidR="00834C10" w:rsidRPr="006D21CC" w:rsidRDefault="00AF4AAB" w:rsidP="00BA1626">
      <w:pPr>
        <w:spacing w:line="480" w:lineRule="auto"/>
        <w:ind w:firstLine="720"/>
        <w:rPr>
          <w:color w:val="222222"/>
        </w:rPr>
      </w:pPr>
      <w:r w:rsidRPr="006D21CC">
        <w:rPr>
          <w:color w:val="222222"/>
        </w:rPr>
        <w:t>Although t</w:t>
      </w:r>
      <w:r w:rsidR="008E5116" w:rsidRPr="006D21CC">
        <w:rPr>
          <w:color w:val="222222"/>
        </w:rPr>
        <w:t>he Staff Report</w:t>
      </w:r>
      <w:r w:rsidRPr="006D21CC">
        <w:rPr>
          <w:color w:val="222222"/>
        </w:rPr>
        <w:t xml:space="preserve"> recommends a decrease to Enbridge</w:t>
      </w:r>
      <w:r w:rsidR="006D21CC">
        <w:rPr>
          <w:color w:val="222222"/>
        </w:rPr>
        <w:t>’</w:t>
      </w:r>
      <w:r w:rsidRPr="006D21CC">
        <w:rPr>
          <w:color w:val="222222"/>
        </w:rPr>
        <w:t>s revenue requirement, the PUCO Staff</w:t>
      </w:r>
      <w:r w:rsidR="008E5116" w:rsidRPr="006D21CC">
        <w:rPr>
          <w:color w:val="222222"/>
        </w:rPr>
        <w:t xml:space="preserve"> erred and harm</w:t>
      </w:r>
      <w:r w:rsidRPr="006D21CC">
        <w:rPr>
          <w:color w:val="222222"/>
        </w:rPr>
        <w:t>ed</w:t>
      </w:r>
      <w:r w:rsidR="008E5116" w:rsidRPr="006D21CC">
        <w:rPr>
          <w:color w:val="222222"/>
        </w:rPr>
        <w:t xml:space="preserve"> consumers through its failure to perform, recommend, or require an adjustment to the revenue requirement to reflect </w:t>
      </w:r>
      <w:r w:rsidRPr="006D21CC">
        <w:rPr>
          <w:color w:val="222222"/>
        </w:rPr>
        <w:t xml:space="preserve">reduction in revenues associated with </w:t>
      </w:r>
      <w:r w:rsidRPr="006D21CC">
        <w:rPr>
          <w:color w:val="222222"/>
        </w:rPr>
        <w:lastRenderedPageBreak/>
        <w:t>OCC</w:t>
      </w:r>
      <w:r w:rsidR="006D21CC">
        <w:rPr>
          <w:color w:val="222222"/>
        </w:rPr>
        <w:t>’</w:t>
      </w:r>
      <w:r w:rsidRPr="006D21CC">
        <w:rPr>
          <w:color w:val="222222"/>
        </w:rPr>
        <w:t>s objections detailed below.</w:t>
      </w:r>
      <w:r w:rsidR="00E5007D">
        <w:rPr>
          <w:color w:val="222222"/>
        </w:rPr>
        <w:t xml:space="preserve"> </w:t>
      </w:r>
      <w:r w:rsidRPr="006D21CC">
        <w:rPr>
          <w:color w:val="222222"/>
        </w:rPr>
        <w:t>The</w:t>
      </w:r>
      <w:r w:rsidR="00070FE7" w:rsidRPr="006D21CC">
        <w:rPr>
          <w:color w:val="222222"/>
        </w:rPr>
        <w:t xml:space="preserve"> revenue requirement included in the Staff Report reflects, among other things, </w:t>
      </w:r>
      <w:r w:rsidR="00F1273A" w:rsidRPr="006D21CC">
        <w:rPr>
          <w:color w:val="222222"/>
        </w:rPr>
        <w:t>errors in calculating depreciation expense, accepting inappropriate depreciation rates and service lives, overstating cost of removal, misapplying depreciation methods, failing to accurately reflect asset retirements, improperly accounting for the repair deduction, failure to return to customers excess depreciation collected by Enbridge through amortization, errors in the calculation of the rate of return,</w:t>
      </w:r>
      <w:r w:rsidR="00F1273A" w:rsidRPr="006D21CC">
        <w:t xml:space="preserve"> </w:t>
      </w:r>
      <w:r w:rsidR="00F1273A" w:rsidRPr="006D21CC">
        <w:rPr>
          <w:color w:val="222222"/>
        </w:rPr>
        <w:t xml:space="preserve">and errors in the cost of service study. </w:t>
      </w:r>
    </w:p>
    <w:p w14:paraId="75EBB556" w14:textId="3D59AD81" w:rsidR="008E5116" w:rsidRPr="006D21CC" w:rsidRDefault="00AF4AAB" w:rsidP="00BA1626">
      <w:pPr>
        <w:spacing w:line="480" w:lineRule="auto"/>
        <w:ind w:firstLine="720"/>
        <w:rPr>
          <w:color w:val="222222"/>
        </w:rPr>
      </w:pPr>
      <w:r w:rsidRPr="006D21CC">
        <w:rPr>
          <w:color w:val="222222"/>
        </w:rPr>
        <w:t xml:space="preserve">Given these errors, the Staff Report also erred and harms consumers by proposing a revenue deficiency of between ($251,252,625) and ($225,150,474) that does not fully reflect </w:t>
      </w:r>
      <w:r w:rsidR="00834C10" w:rsidRPr="006D21CC">
        <w:rPr>
          <w:color w:val="222222"/>
        </w:rPr>
        <w:t xml:space="preserve">the </w:t>
      </w:r>
      <w:r w:rsidR="000713CD" w:rsidRPr="006D21CC">
        <w:rPr>
          <w:color w:val="222222"/>
        </w:rPr>
        <w:t>reduced revenue</w:t>
      </w:r>
      <w:r w:rsidRPr="006D21CC">
        <w:rPr>
          <w:color w:val="222222"/>
        </w:rPr>
        <w:t xml:space="preserve"> requirement</w:t>
      </w:r>
      <w:r w:rsidR="00834C10" w:rsidRPr="006D21CC">
        <w:rPr>
          <w:color w:val="222222"/>
        </w:rPr>
        <w:t xml:space="preserve"> that </w:t>
      </w:r>
      <w:r w:rsidR="005F50F2">
        <w:rPr>
          <w:color w:val="222222"/>
        </w:rPr>
        <w:t xml:space="preserve">Enbridge </w:t>
      </w:r>
      <w:r w:rsidR="00834C10" w:rsidRPr="006D21CC">
        <w:rPr>
          <w:color w:val="222222"/>
        </w:rPr>
        <w:t>consumers should pay following OCC</w:t>
      </w:r>
      <w:r w:rsidR="006D21CC">
        <w:rPr>
          <w:color w:val="222222"/>
        </w:rPr>
        <w:t>’</w:t>
      </w:r>
      <w:r w:rsidR="00834C10" w:rsidRPr="006D21CC">
        <w:rPr>
          <w:color w:val="222222"/>
        </w:rPr>
        <w:t>s recommended adjustments</w:t>
      </w:r>
      <w:r w:rsidRPr="006D21CC">
        <w:rPr>
          <w:color w:val="222222"/>
        </w:rPr>
        <w:t>.</w:t>
      </w:r>
      <w:r>
        <w:rPr>
          <w:rStyle w:val="FootnoteReference"/>
          <w:color w:val="222222"/>
        </w:rPr>
        <w:footnoteReference w:id="78"/>
      </w:r>
      <w:r w:rsidRPr="006D21CC">
        <w:rPr>
          <w:color w:val="222222"/>
        </w:rPr>
        <w:t xml:space="preserve"> This </w:t>
      </w:r>
      <w:r w:rsidR="00834C10" w:rsidRPr="006D21CC">
        <w:rPr>
          <w:color w:val="222222"/>
        </w:rPr>
        <w:t>harms</w:t>
      </w:r>
      <w:r w:rsidRPr="006D21CC">
        <w:rPr>
          <w:color w:val="222222"/>
        </w:rPr>
        <w:t xml:space="preserve"> consumers by proposing </w:t>
      </w:r>
      <w:r w:rsidR="00834C10" w:rsidRPr="006D21CC">
        <w:rPr>
          <w:color w:val="222222"/>
        </w:rPr>
        <w:t xml:space="preserve">not enough of a rate decrease and sets rates that are higher than what is </w:t>
      </w:r>
      <w:r w:rsidR="00373988" w:rsidRPr="006D21CC">
        <w:rPr>
          <w:color w:val="222222"/>
        </w:rPr>
        <w:t>otherwise just</w:t>
      </w:r>
      <w:r w:rsidRPr="006D21CC">
        <w:rPr>
          <w:color w:val="222222"/>
        </w:rPr>
        <w:t xml:space="preserve"> and reasonable. OCC objects to the proposed higher revenue requirement than those that are just and reasonable under R.C. 4909.15</w:t>
      </w:r>
      <w:r w:rsidR="00070FE7" w:rsidRPr="006D21CC">
        <w:rPr>
          <w:color w:val="222222"/>
        </w:rPr>
        <w:t xml:space="preserve"> and R.C. 490</w:t>
      </w:r>
      <w:r w:rsidR="00074CB0" w:rsidRPr="006D21CC">
        <w:rPr>
          <w:color w:val="222222"/>
        </w:rPr>
        <w:t>5</w:t>
      </w:r>
      <w:r w:rsidR="00070FE7" w:rsidRPr="006D21CC">
        <w:rPr>
          <w:color w:val="222222"/>
        </w:rPr>
        <w:t>.22</w:t>
      </w:r>
      <w:r w:rsidRPr="006D21CC">
        <w:rPr>
          <w:color w:val="222222"/>
        </w:rPr>
        <w:t>.</w:t>
      </w:r>
    </w:p>
    <w:p w14:paraId="44B15E27" w14:textId="59638AEC" w:rsidR="0045143B" w:rsidRPr="006D21CC" w:rsidRDefault="00AF4AAB" w:rsidP="0045143B">
      <w:pPr>
        <w:pStyle w:val="Heading2"/>
        <w:numPr>
          <w:ilvl w:val="0"/>
          <w:numId w:val="20"/>
        </w:numPr>
        <w:ind w:left="1440" w:hanging="720"/>
        <w:rPr>
          <w:rFonts w:cs="Times New Roman"/>
          <w:szCs w:val="24"/>
        </w:rPr>
      </w:pPr>
      <w:bookmarkStart w:id="9" w:name="_Toc172895196"/>
      <w:bookmarkStart w:id="10" w:name="_Hlk172756040"/>
      <w:r w:rsidRPr="006D21CC">
        <w:rPr>
          <w:rFonts w:cs="Times New Roman"/>
          <w:szCs w:val="24"/>
        </w:rPr>
        <w:t>Rate Base</w:t>
      </w:r>
      <w:bookmarkEnd w:id="9"/>
    </w:p>
    <w:bookmarkEnd w:id="10"/>
    <w:p w14:paraId="0CEEE25A" w14:textId="77777777" w:rsidR="00265A42" w:rsidRPr="006D21CC" w:rsidRDefault="00265A42" w:rsidP="0079309E"/>
    <w:p w14:paraId="2F04F581" w14:textId="5BE80081" w:rsidR="00265A42" w:rsidRPr="006D21CC" w:rsidRDefault="00AF4AAB" w:rsidP="00265A42">
      <w:pPr>
        <w:pStyle w:val="Heading3"/>
        <w:rPr>
          <w:rFonts w:cs="Times New Roman"/>
          <w:szCs w:val="24"/>
        </w:rPr>
      </w:pPr>
      <w:bookmarkStart w:id="11" w:name="_Toc172895197"/>
      <w:r w:rsidRPr="006D21CC">
        <w:rPr>
          <w:rFonts w:cs="Times New Roman"/>
          <w:szCs w:val="24"/>
          <w:u w:val="single"/>
        </w:rPr>
        <w:t>Objection No. 2:</w:t>
      </w:r>
      <w:r w:rsidRPr="006D21CC">
        <w:rPr>
          <w:rFonts w:cs="Times New Roman"/>
          <w:szCs w:val="24"/>
        </w:rPr>
        <w:t xml:space="preserve"> The Staff Report erred </w:t>
      </w:r>
      <w:r w:rsidR="00834C10" w:rsidRPr="006D21CC">
        <w:rPr>
          <w:rFonts w:cs="Times New Roman"/>
          <w:szCs w:val="24"/>
        </w:rPr>
        <w:t xml:space="preserve">by not reducing rate base after </w:t>
      </w:r>
      <w:r w:rsidR="000713CD" w:rsidRPr="006D21CC">
        <w:rPr>
          <w:rFonts w:cs="Times New Roman"/>
          <w:szCs w:val="24"/>
        </w:rPr>
        <w:t>deducting capitalized</w:t>
      </w:r>
      <w:r w:rsidRPr="006D21CC">
        <w:rPr>
          <w:rFonts w:cs="Times New Roman"/>
          <w:szCs w:val="24"/>
        </w:rPr>
        <w:t xml:space="preserve"> incentive compensation</w:t>
      </w:r>
      <w:r w:rsidR="00227D3E">
        <w:rPr>
          <w:rFonts w:cs="Times New Roman"/>
          <w:szCs w:val="24"/>
        </w:rPr>
        <w:t>,</w:t>
      </w:r>
      <w:r w:rsidRPr="006D21CC">
        <w:rPr>
          <w:rFonts w:cs="Times New Roman"/>
          <w:szCs w:val="24"/>
        </w:rPr>
        <w:t xml:space="preserve"> </w:t>
      </w:r>
      <w:r w:rsidR="00036D2E" w:rsidRPr="006D21CC">
        <w:rPr>
          <w:rFonts w:cs="Times New Roman"/>
          <w:szCs w:val="24"/>
        </w:rPr>
        <w:t>resulting in</w:t>
      </w:r>
      <w:r w:rsidRPr="006D21CC">
        <w:rPr>
          <w:rFonts w:cs="Times New Roman"/>
          <w:szCs w:val="24"/>
        </w:rPr>
        <w:t xml:space="preserve"> </w:t>
      </w:r>
      <w:r w:rsidR="00834C10" w:rsidRPr="006D21CC">
        <w:rPr>
          <w:rFonts w:cs="Times New Roman"/>
          <w:szCs w:val="24"/>
        </w:rPr>
        <w:t xml:space="preserve">an overstated rate base and </w:t>
      </w:r>
      <w:r w:rsidRPr="006D21CC">
        <w:rPr>
          <w:rFonts w:cs="Times New Roman"/>
          <w:szCs w:val="24"/>
        </w:rPr>
        <w:t>rates and charges to consumers more than what is just and reasonable under R.C. 4909.15, R.C. 4905.22</w:t>
      </w:r>
      <w:r w:rsidR="00846C43">
        <w:rPr>
          <w:rFonts w:cs="Times New Roman"/>
          <w:szCs w:val="24"/>
        </w:rPr>
        <w:t>,</w:t>
      </w:r>
      <w:r w:rsidRPr="006D21CC">
        <w:rPr>
          <w:rFonts w:cs="Times New Roman"/>
          <w:szCs w:val="24"/>
        </w:rPr>
        <w:t xml:space="preserve"> and other authority.</w:t>
      </w:r>
      <w:bookmarkEnd w:id="11"/>
    </w:p>
    <w:p w14:paraId="6C4B2F53" w14:textId="77777777" w:rsidR="00265A42" w:rsidRPr="006D21CC" w:rsidRDefault="00265A42" w:rsidP="00265A42">
      <w:pPr>
        <w:rPr>
          <w:color w:val="222222"/>
        </w:rPr>
      </w:pPr>
    </w:p>
    <w:p w14:paraId="4B72C9FA" w14:textId="3462120B" w:rsidR="00FE0FC6" w:rsidRPr="006D21CC" w:rsidRDefault="00AF4AAB" w:rsidP="00C62145">
      <w:pPr>
        <w:spacing w:line="480" w:lineRule="auto"/>
        <w:ind w:firstLine="720"/>
      </w:pPr>
      <w:r w:rsidRPr="006D21CC">
        <w:rPr>
          <w:color w:val="222222"/>
        </w:rPr>
        <w:t>The Staff Report erred and harms consumers through its failure to perform, recommend, or require an adjustment to the depreciation expense to reflect the amortization of the PUCO Staff</w:t>
      </w:r>
      <w:r w:rsidR="006D21CC">
        <w:rPr>
          <w:color w:val="222222"/>
        </w:rPr>
        <w:t>’</w:t>
      </w:r>
      <w:r w:rsidRPr="006D21CC">
        <w:rPr>
          <w:color w:val="222222"/>
        </w:rPr>
        <w:t xml:space="preserve">s proposed adjustment to capitalized incentive compensation. The Staff Report recommends </w:t>
      </w:r>
      <w:r w:rsidR="00834C10" w:rsidRPr="006D21CC">
        <w:rPr>
          <w:color w:val="222222"/>
        </w:rPr>
        <w:t>a reduction in Enbridge</w:t>
      </w:r>
      <w:r w:rsidR="006D21CC">
        <w:rPr>
          <w:color w:val="222222"/>
        </w:rPr>
        <w:t>’</w:t>
      </w:r>
      <w:r w:rsidR="00834C10" w:rsidRPr="006D21CC">
        <w:rPr>
          <w:color w:val="222222"/>
        </w:rPr>
        <w:t>s</w:t>
      </w:r>
      <w:r w:rsidRPr="006D21CC">
        <w:rPr>
          <w:color w:val="222222"/>
        </w:rPr>
        <w:t xml:space="preserve"> previously capitalized incentive compensation amounts of $51,639,483, which OCC supports.</w:t>
      </w:r>
      <w:r>
        <w:rPr>
          <w:rStyle w:val="FootnoteReference"/>
          <w:color w:val="222222"/>
        </w:rPr>
        <w:footnoteReference w:id="79"/>
      </w:r>
      <w:r w:rsidRPr="006D21CC">
        <w:rPr>
          <w:color w:val="222222"/>
        </w:rPr>
        <w:t xml:space="preserve"> However, </w:t>
      </w:r>
      <w:r w:rsidR="00834C10" w:rsidRPr="006D21CC">
        <w:rPr>
          <w:color w:val="222222"/>
        </w:rPr>
        <w:t xml:space="preserve">the </w:t>
      </w:r>
      <w:r w:rsidR="0087388C">
        <w:rPr>
          <w:color w:val="222222"/>
        </w:rPr>
        <w:t xml:space="preserve">PUCO </w:t>
      </w:r>
      <w:r w:rsidR="00834C10" w:rsidRPr="006D21CC">
        <w:rPr>
          <w:color w:val="222222"/>
        </w:rPr>
        <w:t xml:space="preserve">Staff failed to make a corresponding </w:t>
      </w:r>
      <w:r w:rsidRPr="006D21CC">
        <w:rPr>
          <w:color w:val="222222"/>
        </w:rPr>
        <w:lastRenderedPageBreak/>
        <w:t xml:space="preserve">adjustment </w:t>
      </w:r>
      <w:r w:rsidR="00834C10" w:rsidRPr="006D21CC">
        <w:rPr>
          <w:color w:val="222222"/>
        </w:rPr>
        <w:t xml:space="preserve">to rate base to reduce </w:t>
      </w:r>
      <w:r w:rsidRPr="006D21CC">
        <w:rPr>
          <w:color w:val="222222"/>
        </w:rPr>
        <w:t>test year depreciation expense calculated in Schedule B-3.2.</w:t>
      </w:r>
      <w:r>
        <w:rPr>
          <w:rStyle w:val="FootnoteReference"/>
          <w:color w:val="222222"/>
        </w:rPr>
        <w:footnoteReference w:id="80"/>
      </w:r>
      <w:r w:rsidRPr="006D21CC">
        <w:rPr>
          <w:color w:val="222222"/>
        </w:rPr>
        <w:t xml:space="preserve"> OCC objects to the Staff Report due to its failure to adjust depreciation expense for this adjustment, which results in an overstatement </w:t>
      </w:r>
      <w:r w:rsidR="00834C10" w:rsidRPr="006D21CC">
        <w:rPr>
          <w:color w:val="222222"/>
        </w:rPr>
        <w:t xml:space="preserve">of </w:t>
      </w:r>
      <w:r w:rsidRPr="006D21CC">
        <w:rPr>
          <w:color w:val="222222"/>
        </w:rPr>
        <w:t>test year</w:t>
      </w:r>
      <w:r w:rsidR="00023626">
        <w:rPr>
          <w:color w:val="222222"/>
        </w:rPr>
        <w:t xml:space="preserve"> revenue requirement</w:t>
      </w:r>
      <w:r w:rsidR="00834C10" w:rsidRPr="006D21CC">
        <w:rPr>
          <w:color w:val="222222"/>
        </w:rPr>
        <w:t>.</w:t>
      </w:r>
    </w:p>
    <w:p w14:paraId="1C030366" w14:textId="67821F5A" w:rsidR="0045143B" w:rsidRDefault="00AF4AAB" w:rsidP="009D3F0E">
      <w:pPr>
        <w:pStyle w:val="Heading2"/>
        <w:numPr>
          <w:ilvl w:val="0"/>
          <w:numId w:val="20"/>
        </w:numPr>
        <w:ind w:left="1440" w:hanging="720"/>
        <w:rPr>
          <w:rFonts w:cs="Times New Roman"/>
          <w:szCs w:val="24"/>
        </w:rPr>
      </w:pPr>
      <w:bookmarkStart w:id="12" w:name="_Toc172895198"/>
      <w:r w:rsidRPr="006D21CC">
        <w:rPr>
          <w:rFonts w:cs="Times New Roman"/>
          <w:szCs w:val="24"/>
        </w:rPr>
        <w:t>Depreciation</w:t>
      </w:r>
      <w:bookmarkEnd w:id="12"/>
    </w:p>
    <w:p w14:paraId="5649EE7F" w14:textId="77777777" w:rsidR="00DE2666" w:rsidRPr="00DE2666" w:rsidRDefault="00DE2666" w:rsidP="00DE2666">
      <w:pPr>
        <w:rPr>
          <w:lang w:bidi="ar-SA"/>
        </w:rPr>
      </w:pPr>
    </w:p>
    <w:p w14:paraId="6C2D021A" w14:textId="15B69F5A" w:rsidR="001332D3" w:rsidRDefault="00AF4AAB" w:rsidP="009D3F0E">
      <w:pPr>
        <w:pStyle w:val="Heading3"/>
      </w:pPr>
      <w:bookmarkStart w:id="13" w:name="_Toc172895199"/>
      <w:r w:rsidRPr="00B31467">
        <w:rPr>
          <w:u w:val="single"/>
        </w:rPr>
        <w:t>Objection No. 3:</w:t>
      </w:r>
      <w:r w:rsidRPr="00B31467">
        <w:t xml:space="preserve"> The Staff Report erred and harms consumers by accepting Enbridge’s depreciation rates and their underlying parameters, resulting in excessive depreciation rates.</w:t>
      </w:r>
      <w:bookmarkEnd w:id="13"/>
    </w:p>
    <w:p w14:paraId="57D8AC84" w14:textId="77777777" w:rsidR="001332D3" w:rsidRPr="00B31467" w:rsidRDefault="001332D3" w:rsidP="001332D3">
      <w:pPr>
        <w:ind w:left="1440"/>
        <w:rPr>
          <w:b/>
        </w:rPr>
      </w:pPr>
    </w:p>
    <w:p w14:paraId="620DE498" w14:textId="2645B38C" w:rsidR="00B31467" w:rsidRDefault="00AF4AAB" w:rsidP="007D5F7A">
      <w:pPr>
        <w:spacing w:line="480" w:lineRule="auto"/>
        <w:ind w:firstLine="720"/>
        <w:rPr>
          <w:bCs/>
        </w:rPr>
      </w:pPr>
      <w:r w:rsidRPr="00B31467">
        <w:rPr>
          <w:bCs/>
        </w:rPr>
        <w:t xml:space="preserve">The Staff Report erred by accepting Enbridge’s depreciation rates and their underlying parameters, resulting in excessive depreciation expenses. The excessive depreciation rates are caused by accepting Enbridge witness Mr. Spanos’s underlying depreciation parameters because in many instances they are based upon understated average service life estimates and overstated negative net salvage estimates. OCC objects on the basis that the Staff Report’s accepting of Enbridge’s depreciation rates result in higher </w:t>
      </w:r>
      <w:r w:rsidRPr="00B31467">
        <w:rPr>
          <w:bCs/>
        </w:rPr>
        <w:t>than necessary costs being passed along to consumers, resulting in unjust and unreasonable rates under R.C. 4909.15 and R.C. 4905.22.</w:t>
      </w:r>
    </w:p>
    <w:p w14:paraId="1CDD49AC" w14:textId="72DB6761" w:rsidR="00B31467" w:rsidRDefault="00AF4AAB" w:rsidP="00B31467">
      <w:pPr>
        <w:ind w:left="1440"/>
        <w:rPr>
          <w:b/>
          <w:bCs/>
        </w:rPr>
      </w:pPr>
      <w:bookmarkStart w:id="14" w:name="_Toc172895200"/>
      <w:r w:rsidRPr="009809D7">
        <w:rPr>
          <w:rStyle w:val="Heading3Char"/>
          <w:u w:val="single"/>
        </w:rPr>
        <w:t>Objection No. 4:</w:t>
      </w:r>
      <w:r w:rsidRPr="009809D7">
        <w:rPr>
          <w:rStyle w:val="Heading3Char"/>
        </w:rPr>
        <w:t xml:space="preserve"> The Staff Report erred and harms consumers through its acceptance of Enbridge’s depreciation proposals, which overstate the magnitude of the theoretical depreciation reserve resulting from the application of Mr. Spanos’s depreciation rate parameters relative to the correct and more reasonable</w:t>
      </w:r>
      <w:bookmarkEnd w:id="14"/>
      <w:r w:rsidRPr="00B31467">
        <w:rPr>
          <w:b/>
          <w:bCs/>
        </w:rPr>
        <w:t xml:space="preserve"> parameters OCC’s witness will propose.</w:t>
      </w:r>
    </w:p>
    <w:p w14:paraId="153161F3" w14:textId="77777777" w:rsidR="001332D3" w:rsidRPr="00B31467" w:rsidRDefault="001332D3" w:rsidP="00B31467">
      <w:pPr>
        <w:ind w:left="1440"/>
        <w:rPr>
          <w:b/>
        </w:rPr>
      </w:pPr>
    </w:p>
    <w:p w14:paraId="07F6688A" w14:textId="590875E1" w:rsidR="000818DF" w:rsidRPr="006D21CC" w:rsidRDefault="00AF4AAB" w:rsidP="00706F17">
      <w:pPr>
        <w:spacing w:line="480" w:lineRule="auto"/>
        <w:ind w:firstLine="720"/>
      </w:pPr>
      <w:r w:rsidRPr="00B31467">
        <w:t xml:space="preserve">The Staff Report states “Staff compared the Applicant’s company-wide book reserve as of date certain, December 31, </w:t>
      </w:r>
      <w:r w:rsidRPr="00B31467">
        <w:t>2023, with a calculated theoretical reserve as a guide to determine if past accrual rate calculations have been appropriate. Staff determined the level of the overall booked reserve is not unreasonable as the difference between it and Staff’s calculated theoretical reserve is minimal.”</w:t>
      </w:r>
      <w:r>
        <w:rPr>
          <w:rStyle w:val="FootnoteReference"/>
        </w:rPr>
        <w:footnoteReference w:id="81"/>
      </w:r>
      <w:r w:rsidRPr="00B31467">
        <w:t xml:space="preserve"> The Staff Report erred and harms consumers through its acceptance of </w:t>
      </w:r>
      <w:r w:rsidRPr="00B31467">
        <w:lastRenderedPageBreak/>
        <w:t>Enbridge’s depreciation proposals, which overstate the magnitude of the theoretical depreciation reserve resulting from the application of Mr. Spanos’s depreciation rate parameters relative to the correct and more reasonable parameters OCC’s witness will propose.</w:t>
      </w:r>
      <w:r w:rsidR="00E5007D">
        <w:t xml:space="preserve"> </w:t>
      </w:r>
      <w:r w:rsidRPr="00B31467">
        <w:t>Staff’s overstatement of the theoretical reserve masks actual excess included in Enbridge’s actual book reserve, which will result in charges that are higher than what is just an</w:t>
      </w:r>
      <w:r w:rsidRPr="00B31467">
        <w:t>d reasonable under R.C. 4909.15, R.C. 4905.22, and other authority.</w:t>
      </w:r>
    </w:p>
    <w:p w14:paraId="550ACC5F" w14:textId="2D1AE2F3" w:rsidR="0047158C" w:rsidRDefault="00AF4AAB" w:rsidP="007153AF">
      <w:pPr>
        <w:pStyle w:val="Heading2"/>
        <w:numPr>
          <w:ilvl w:val="0"/>
          <w:numId w:val="20"/>
        </w:numPr>
        <w:spacing w:line="264" w:lineRule="auto"/>
        <w:ind w:left="1440" w:hanging="720"/>
        <w:rPr>
          <w:rFonts w:cs="Times New Roman"/>
          <w:szCs w:val="24"/>
        </w:rPr>
      </w:pPr>
      <w:bookmarkStart w:id="15" w:name="_Toc172895201"/>
      <w:r w:rsidRPr="006D21CC">
        <w:rPr>
          <w:rFonts w:cs="Times New Roman"/>
          <w:szCs w:val="24"/>
        </w:rPr>
        <w:t>Rate of Return</w:t>
      </w:r>
      <w:bookmarkEnd w:id="15"/>
    </w:p>
    <w:p w14:paraId="7B339AD0" w14:textId="77777777" w:rsidR="007153AF" w:rsidRPr="007153AF" w:rsidRDefault="007153AF" w:rsidP="007153AF">
      <w:pPr>
        <w:rPr>
          <w:lang w:bidi="ar-SA"/>
        </w:rPr>
      </w:pPr>
    </w:p>
    <w:p w14:paraId="3A6A3161" w14:textId="61E1F50D" w:rsidR="00882CE3" w:rsidRPr="007153AF" w:rsidRDefault="00AF4AAB" w:rsidP="007153AF">
      <w:pPr>
        <w:pStyle w:val="Heading3"/>
      </w:pPr>
      <w:bookmarkStart w:id="16" w:name="_Toc172895202"/>
      <w:r w:rsidRPr="007153AF">
        <w:rPr>
          <w:rStyle w:val="Strong"/>
          <w:b/>
          <w:bCs w:val="0"/>
          <w:u w:val="single"/>
        </w:rPr>
        <w:t xml:space="preserve">Objection No. </w:t>
      </w:r>
      <w:r w:rsidR="000713CD" w:rsidRPr="007153AF">
        <w:rPr>
          <w:rStyle w:val="Strong"/>
          <w:b/>
          <w:bCs w:val="0"/>
          <w:u w:val="single"/>
        </w:rPr>
        <w:t>5</w:t>
      </w:r>
      <w:r w:rsidRPr="007153AF">
        <w:rPr>
          <w:rStyle w:val="Strong"/>
          <w:b/>
          <w:bCs w:val="0"/>
          <w:u w:val="single"/>
        </w:rPr>
        <w:t>:</w:t>
      </w:r>
      <w:r w:rsidRPr="007153AF">
        <w:rPr>
          <w:rStyle w:val="Strong"/>
          <w:b/>
          <w:bCs w:val="0"/>
        </w:rPr>
        <w:t xml:space="preserve"> The Staff Report erred in the calculation of its proposed rate of return because it </w:t>
      </w:r>
      <w:r w:rsidR="007153AF" w:rsidRPr="007153AF">
        <w:rPr>
          <w:rStyle w:val="Strong"/>
        </w:rPr>
        <w:t xml:space="preserve">in </w:t>
      </w:r>
      <w:r w:rsidR="007153AF" w:rsidRPr="007153AF">
        <w:t>a calculated rate of return higher than what is fair and reasonable, which will result in unjust and unreasonable rates and charges to consumers in violation of R.C. 4909.15, R.C. 4905.22, and other authority</w:t>
      </w:r>
      <w:r w:rsidR="007153AF">
        <w:t xml:space="preserve">, </w:t>
      </w:r>
      <w:r w:rsidRPr="007153AF">
        <w:rPr>
          <w:rStyle w:val="Strong"/>
          <w:b/>
          <w:bCs w:val="0"/>
        </w:rPr>
        <w:t>used an inappropriate capital structure in its calculation. This resulted</w:t>
      </w:r>
      <w:bookmarkEnd w:id="16"/>
      <w:r w:rsidRPr="007153AF">
        <w:rPr>
          <w:rStyle w:val="Strong"/>
          <w:b/>
          <w:bCs w:val="0"/>
        </w:rPr>
        <w:t xml:space="preserve"> </w:t>
      </w:r>
    </w:p>
    <w:p w14:paraId="0D03487D" w14:textId="16F524B1" w:rsidR="00882CE3" w:rsidRPr="006D21CC" w:rsidRDefault="00AF4AAB" w:rsidP="0079309E">
      <w:pPr>
        <w:pStyle w:val="NormalWeb"/>
        <w:spacing w:after="0" w:afterAutospacing="0" w:line="480" w:lineRule="auto"/>
        <w:ind w:firstLine="720"/>
      </w:pPr>
      <w:r w:rsidRPr="006D21CC">
        <w:t>The Staff Report (on pages 28-30) erred and harmed consumers by proposing a rate of return higher than what is fair and reasonable under R.C. 4909.15(A)(2) and other authority, which will result in unjust and unreasonable rates and charges to consumers. The Staff Report recommends a rate of return in the 6.21 to 6.73 percent range.</w:t>
      </w:r>
    </w:p>
    <w:p w14:paraId="5694A50A" w14:textId="1472BD54" w:rsidR="002229C9" w:rsidRPr="006D21CC" w:rsidRDefault="00AF4AAB" w:rsidP="0079309E">
      <w:pPr>
        <w:pStyle w:val="NormalWeb"/>
        <w:spacing w:before="0" w:beforeAutospacing="0" w:after="0" w:afterAutospacing="0" w:line="480" w:lineRule="auto"/>
        <w:ind w:firstLine="720"/>
      </w:pPr>
      <w:r w:rsidRPr="006D21CC">
        <w:t>The OCC objects to the hypothetical capital structure utilized by the PUCO Staff to calculate the rate of return, as it does not accurately reflect current market conditions for similarly situated companies. The PUCO Staff</w:t>
      </w:r>
      <w:r w:rsidR="006D21CC">
        <w:t>’</w:t>
      </w:r>
      <w:r w:rsidRPr="006D21CC">
        <w:t>s proposed capital structure of 48.13 percent long-term debt and 51.87 percent equity is inappropriate for ratemaking purposes.</w:t>
      </w:r>
    </w:p>
    <w:p w14:paraId="0D57E749" w14:textId="6E589B34" w:rsidR="00370A3B" w:rsidRPr="006D21CC" w:rsidRDefault="00AF4AAB" w:rsidP="00C62145">
      <w:pPr>
        <w:pStyle w:val="NormalWeb"/>
        <w:spacing w:before="0" w:beforeAutospacing="0" w:after="0" w:afterAutospacing="0" w:line="480" w:lineRule="auto"/>
        <w:ind w:firstLine="720"/>
      </w:pPr>
      <w:r w:rsidRPr="006D21CC">
        <w:t xml:space="preserve">By employing a capital structure that deviates from market norms, the </w:t>
      </w:r>
      <w:r w:rsidR="007A484B">
        <w:t xml:space="preserve">PUCO </w:t>
      </w:r>
      <w:r w:rsidRPr="006D21CC">
        <w:t>Staff has inflated the cost of equity and, consequently, the overall rate of return. This inflated rate will impose an unnecessary financial burden on consumers.</w:t>
      </w:r>
      <w:r w:rsidR="00B17D52" w:rsidRPr="006D21CC">
        <w:t xml:space="preserve"> </w:t>
      </w:r>
    </w:p>
    <w:p w14:paraId="072D37D7" w14:textId="1D28AACE" w:rsidR="00370A3B" w:rsidRPr="006D21CC" w:rsidRDefault="00AF4AAB" w:rsidP="0079309E">
      <w:pPr>
        <w:spacing w:line="480" w:lineRule="auto"/>
        <w:ind w:firstLine="720"/>
      </w:pPr>
      <w:r w:rsidRPr="00431B16">
        <w:rPr>
          <w:bCs/>
        </w:rPr>
        <w:t>T</w:t>
      </w:r>
      <w:r w:rsidR="00882CE3" w:rsidRPr="00431B16">
        <w:rPr>
          <w:bCs/>
        </w:rPr>
        <w:t xml:space="preserve">he </w:t>
      </w:r>
      <w:r w:rsidRPr="00431B16">
        <w:rPr>
          <w:bCs/>
        </w:rPr>
        <w:t>PUCO should</w:t>
      </w:r>
      <w:r w:rsidR="00882CE3" w:rsidRPr="00431B16">
        <w:rPr>
          <w:bCs/>
        </w:rPr>
        <w:t xml:space="preserve"> </w:t>
      </w:r>
      <w:r w:rsidRPr="00431B16">
        <w:rPr>
          <w:bCs/>
        </w:rPr>
        <w:t xml:space="preserve">reject the </w:t>
      </w:r>
      <w:r w:rsidR="007A484B">
        <w:rPr>
          <w:bCs/>
        </w:rPr>
        <w:t xml:space="preserve">PUCO </w:t>
      </w:r>
      <w:r w:rsidRPr="00431B16">
        <w:rPr>
          <w:bCs/>
        </w:rPr>
        <w:t>Staff</w:t>
      </w:r>
      <w:r w:rsidR="006D21CC" w:rsidRPr="00431B16">
        <w:rPr>
          <w:bCs/>
        </w:rPr>
        <w:t>’</w:t>
      </w:r>
      <w:r w:rsidRPr="00431B16">
        <w:rPr>
          <w:bCs/>
        </w:rPr>
        <w:t xml:space="preserve">s proposed rate of return of 6.21 to 6.73% calculated based on an inappropriate capital structure of 48.13 percent long-term debt and 51.87 </w:t>
      </w:r>
      <w:r w:rsidRPr="00431B16">
        <w:rPr>
          <w:bCs/>
        </w:rPr>
        <w:lastRenderedPageBreak/>
        <w:t>percent equity and accept the OCC</w:t>
      </w:r>
      <w:r w:rsidR="006D21CC" w:rsidRPr="00431B16">
        <w:rPr>
          <w:bCs/>
        </w:rPr>
        <w:t>’</w:t>
      </w:r>
      <w:r w:rsidRPr="00431B16">
        <w:rPr>
          <w:bCs/>
        </w:rPr>
        <w:t>s proposed rate of return of 6.15% calculated based on an appropriate capital structure of 51.85% debt and 48.16% equity.</w:t>
      </w:r>
      <w:bookmarkStart w:id="17" w:name="_Hlk172667351"/>
    </w:p>
    <w:p w14:paraId="1CAAF2A6" w14:textId="7EA3A75E" w:rsidR="00DF6323" w:rsidRPr="00E5007D" w:rsidRDefault="00AF4AAB" w:rsidP="00E5007D">
      <w:pPr>
        <w:pStyle w:val="Heading3"/>
      </w:pPr>
      <w:bookmarkStart w:id="18" w:name="_Toc172895203"/>
      <w:bookmarkEnd w:id="17"/>
      <w:r w:rsidRPr="007D6E94">
        <w:rPr>
          <w:u w:val="single"/>
        </w:rPr>
        <w:t xml:space="preserve">Objection No. </w:t>
      </w:r>
      <w:r w:rsidR="000713CD" w:rsidRPr="007D6E94">
        <w:rPr>
          <w:u w:val="single"/>
        </w:rPr>
        <w:t>6</w:t>
      </w:r>
      <w:r w:rsidRPr="007D6E94">
        <w:rPr>
          <w:u w:val="single"/>
        </w:rPr>
        <w:t>:</w:t>
      </w:r>
      <w:r w:rsidRPr="00E5007D">
        <w:t xml:space="preserve"> The Staff Report erred by inappropriately increasing the rate of return and the cost of common equity by allowing an adjustment for equity issuance and other costs, resulting in a rate of return that is unjust and unreasonable</w:t>
      </w:r>
      <w:r w:rsidR="00F6211E" w:rsidRPr="00E5007D">
        <w:t xml:space="preserve"> in violation of R.C. 4909.15, R.C. </w:t>
      </w:r>
      <w:r w:rsidR="00265A42" w:rsidRPr="00E5007D">
        <w:t>4905.22</w:t>
      </w:r>
      <w:r w:rsidR="0014520E" w:rsidRPr="00E5007D">
        <w:t>,</w:t>
      </w:r>
      <w:r w:rsidR="00F6211E" w:rsidRPr="00E5007D">
        <w:t xml:space="preserve"> and other authority.</w:t>
      </w:r>
      <w:bookmarkEnd w:id="18"/>
    </w:p>
    <w:p w14:paraId="182E75C9" w14:textId="77777777" w:rsidR="00FE59E0" w:rsidRPr="006D21CC" w:rsidRDefault="00FE59E0" w:rsidP="00E82DB5">
      <w:pPr>
        <w:pStyle w:val="Heading3"/>
        <w:rPr>
          <w:bCs/>
        </w:rPr>
      </w:pPr>
    </w:p>
    <w:p w14:paraId="0A5B7EAC" w14:textId="04D64D8B" w:rsidR="00834C10" w:rsidRPr="006D21CC" w:rsidRDefault="00AF4AAB" w:rsidP="006E4CD8">
      <w:pPr>
        <w:spacing w:line="480" w:lineRule="auto"/>
      </w:pPr>
      <w:r w:rsidRPr="006D21CC">
        <w:tab/>
        <w:t xml:space="preserve">The Staff Report erred and harms consumers by inappropriately increasing the rate of return and the cost of common equity that consumers fund by allowing an adjustment for equity issuance and other costs. This results in a too-high rate of return that is neither just </w:t>
      </w:r>
      <w:r w:rsidR="00DE2666" w:rsidRPr="006D21CC">
        <w:t>nor reasonable</w:t>
      </w:r>
      <w:r w:rsidRPr="006D21CC">
        <w:t xml:space="preserve"> for consumers to fund. OCC objects to the PUCO Staff</w:t>
      </w:r>
      <w:r w:rsidR="006D21CC">
        <w:t>’</w:t>
      </w:r>
      <w:r w:rsidRPr="006D21CC">
        <w:t>s inclusion of an equity issuance and other costs to the PUCO Staff</w:t>
      </w:r>
      <w:r w:rsidR="006D21CC">
        <w:t>’</w:t>
      </w:r>
      <w:r w:rsidRPr="006D21CC">
        <w:t>s estimate of cost of common equity.</w:t>
      </w:r>
      <w:r w:rsidR="007E3AE8" w:rsidRPr="006D21CC">
        <w:t xml:space="preserve"> </w:t>
      </w:r>
      <w:r w:rsidR="00AB6A73">
        <w:t xml:space="preserve">The </w:t>
      </w:r>
      <w:r w:rsidR="007E3AE8" w:rsidRPr="006D21CC">
        <w:t>PUCO Staff estimates a return on equity (</w:t>
      </w:r>
      <w:r w:rsidR="006D21CC">
        <w:t>“</w:t>
      </w:r>
      <w:r w:rsidR="007E3AE8" w:rsidRPr="006D21CC">
        <w:t>ROE</w:t>
      </w:r>
      <w:r w:rsidR="006D21CC">
        <w:t>”</w:t>
      </w:r>
      <w:r w:rsidR="007E3AE8" w:rsidRPr="006D21CC">
        <w:t>) of 9.4 percent (adjusted to 9.54 percent after issuance costs)</w:t>
      </w:r>
      <w:r w:rsidR="00473016" w:rsidRPr="006D21CC">
        <w:t>.</w:t>
      </w:r>
      <w:r>
        <w:rPr>
          <w:rStyle w:val="FootnoteReference"/>
        </w:rPr>
        <w:footnoteReference w:id="82"/>
      </w:r>
      <w:r w:rsidR="00473016" w:rsidRPr="006D21CC">
        <w:t xml:space="preserve"> OCC concludes otherwise, with formulations resulting in an ROE of 9.37 percent.</w:t>
      </w:r>
      <w:r w:rsidRPr="006D21CC">
        <w:t xml:space="preserve"> </w:t>
      </w:r>
    </w:p>
    <w:p w14:paraId="338C7AC0" w14:textId="1BCF2D5D" w:rsidR="00E82DB5" w:rsidRDefault="00AF4AAB" w:rsidP="00C62145">
      <w:pPr>
        <w:spacing w:line="480" w:lineRule="auto"/>
        <w:ind w:firstLine="720"/>
      </w:pPr>
      <w:r w:rsidRPr="006D21CC">
        <w:t xml:space="preserve">The inclusion of these costs is not supported by sound regulatory principles. Even if an adjustment for equity issuance and other costs were allowed, the Staff Report inappropriately increased the cost of common equity by using a hypothetical and generic issuance cost factor of 3.5%. The Staff Report has not explained why this generic issuance cost factor is reasonable or why it should be applied in this proceeding. In addition, there is no demonstration in the Staff Report that </w:t>
      </w:r>
      <w:r w:rsidR="00F6211E" w:rsidRPr="006D21CC">
        <w:t xml:space="preserve">Enbridge </w:t>
      </w:r>
      <w:r w:rsidRPr="006D21CC">
        <w:t xml:space="preserve">is likely to incur these costs soon or the magnitude of these costs. The addition of arbitrary and unproven equity issuance and other costs will unfairly and unreasonably increase the cost of gas services to </w:t>
      </w:r>
      <w:r w:rsidR="00F6211E" w:rsidRPr="006D21CC">
        <w:t>Enbridge</w:t>
      </w:r>
      <w:r w:rsidR="006D21CC">
        <w:t>’</w:t>
      </w:r>
      <w:r w:rsidR="00F6211E" w:rsidRPr="006D21CC">
        <w:t xml:space="preserve">s </w:t>
      </w:r>
      <w:r w:rsidRPr="006D21CC">
        <w:t>customers, in contradiction of R.C. 4909.15.</w:t>
      </w:r>
    </w:p>
    <w:p w14:paraId="760C05B3" w14:textId="77777777" w:rsidR="00E82DB5" w:rsidRDefault="00AF4AAB">
      <w:pPr>
        <w:spacing w:after="160" w:line="278" w:lineRule="auto"/>
      </w:pPr>
      <w:r>
        <w:br w:type="page"/>
      </w:r>
    </w:p>
    <w:p w14:paraId="5DD74DEA" w14:textId="1FF3D9BB" w:rsidR="00A44645" w:rsidRPr="006D21CC" w:rsidRDefault="00AF4AAB" w:rsidP="00E82DB5">
      <w:pPr>
        <w:pStyle w:val="Heading2"/>
        <w:numPr>
          <w:ilvl w:val="0"/>
          <w:numId w:val="20"/>
        </w:numPr>
        <w:ind w:left="1440" w:hanging="720"/>
        <w:rPr>
          <w:rFonts w:cs="Times New Roman"/>
          <w:szCs w:val="24"/>
        </w:rPr>
      </w:pPr>
      <w:bookmarkStart w:id="19" w:name="_Toc172895204"/>
      <w:r w:rsidRPr="006D21CC">
        <w:rPr>
          <w:rFonts w:cs="Times New Roman"/>
          <w:szCs w:val="24"/>
        </w:rPr>
        <w:lastRenderedPageBreak/>
        <w:t>Rates and Tariffs</w:t>
      </w:r>
      <w:bookmarkEnd w:id="19"/>
    </w:p>
    <w:p w14:paraId="1E04245E" w14:textId="77777777" w:rsidR="0088534C" w:rsidRPr="006D21CC" w:rsidRDefault="0088534C" w:rsidP="0088534C">
      <w:pPr>
        <w:ind w:left="720"/>
      </w:pPr>
    </w:p>
    <w:p w14:paraId="04B60165" w14:textId="504C8A7B" w:rsidR="00DE08A2" w:rsidRPr="006D21CC" w:rsidRDefault="00AF4AAB" w:rsidP="00EC1AFB">
      <w:pPr>
        <w:pStyle w:val="Heading3"/>
        <w:rPr>
          <w:rFonts w:cs="Times New Roman"/>
          <w:szCs w:val="24"/>
        </w:rPr>
      </w:pPr>
      <w:bookmarkStart w:id="20" w:name="_Toc172895205"/>
      <w:r w:rsidRPr="006D21CC">
        <w:rPr>
          <w:rStyle w:val="Heading3Char"/>
          <w:rFonts w:cs="Times New Roman"/>
          <w:b/>
          <w:szCs w:val="24"/>
          <w:u w:val="single"/>
        </w:rPr>
        <w:t xml:space="preserve">Objection No. </w:t>
      </w:r>
      <w:r w:rsidR="000713CD">
        <w:rPr>
          <w:rStyle w:val="Heading3Char"/>
          <w:rFonts w:cs="Times New Roman"/>
          <w:b/>
          <w:szCs w:val="24"/>
          <w:u w:val="single"/>
        </w:rPr>
        <w:t>7</w:t>
      </w:r>
      <w:r w:rsidRPr="006D21CC">
        <w:rPr>
          <w:rStyle w:val="Heading3Char"/>
          <w:rFonts w:cs="Times New Roman"/>
          <w:b/>
          <w:szCs w:val="24"/>
          <w:u w:val="single"/>
        </w:rPr>
        <w:t>:</w:t>
      </w:r>
      <w:r w:rsidR="0078474B" w:rsidRPr="000713CD">
        <w:rPr>
          <w:rStyle w:val="Heading3Char"/>
          <w:rFonts w:cs="Times New Roman"/>
          <w:b/>
          <w:szCs w:val="24"/>
        </w:rPr>
        <w:t xml:space="preserve"> </w:t>
      </w:r>
      <w:r w:rsidR="0078474B" w:rsidRPr="006D21CC">
        <w:rPr>
          <w:rStyle w:val="Heading3Char"/>
          <w:rFonts w:cs="Times New Roman"/>
          <w:b/>
          <w:szCs w:val="24"/>
        </w:rPr>
        <w:t>The Staff Report erred by being overly reliant on the use of internal labor cost allocators</w:t>
      </w:r>
      <w:r w:rsidR="00E45F88" w:rsidRPr="006D21CC">
        <w:rPr>
          <w:rStyle w:val="Heading3Char"/>
          <w:rFonts w:cs="Times New Roman"/>
          <w:b/>
          <w:szCs w:val="24"/>
        </w:rPr>
        <w:t xml:space="preserve"> that are not representative of Enbridge</w:t>
      </w:r>
      <w:r w:rsidR="006D21CC">
        <w:rPr>
          <w:rStyle w:val="Heading3Char"/>
          <w:rFonts w:cs="Times New Roman"/>
          <w:b/>
          <w:szCs w:val="24"/>
        </w:rPr>
        <w:t>’</w:t>
      </w:r>
      <w:r w:rsidR="00E45F88" w:rsidRPr="006D21CC">
        <w:rPr>
          <w:rStyle w:val="Heading3Char"/>
          <w:rFonts w:cs="Times New Roman"/>
          <w:b/>
          <w:szCs w:val="24"/>
        </w:rPr>
        <w:t>s</w:t>
      </w:r>
      <w:r w:rsidR="00F74386" w:rsidRPr="006D21CC">
        <w:rPr>
          <w:rStyle w:val="Heading3Char"/>
          <w:rFonts w:cs="Times New Roman"/>
          <w:b/>
          <w:szCs w:val="24"/>
        </w:rPr>
        <w:t xml:space="preserve"> cost of service study</w:t>
      </w:r>
      <w:r w:rsidR="00E45F88" w:rsidRPr="006D21CC">
        <w:rPr>
          <w:rFonts w:cs="Times New Roman"/>
          <w:szCs w:val="24"/>
        </w:rPr>
        <w:t>.</w:t>
      </w:r>
      <w:r w:rsidR="00F74386" w:rsidRPr="006D21CC">
        <w:rPr>
          <w:rFonts w:cs="Times New Roman"/>
          <w:szCs w:val="24"/>
        </w:rPr>
        <w:t xml:space="preserve"> Thus, the Staff Report results in rates and other charges to </w:t>
      </w:r>
      <w:r w:rsidR="00834C10" w:rsidRPr="006D21CC">
        <w:rPr>
          <w:rFonts w:cs="Times New Roman"/>
          <w:szCs w:val="24"/>
        </w:rPr>
        <w:t xml:space="preserve">residential </w:t>
      </w:r>
      <w:r w:rsidR="00F74386" w:rsidRPr="006D21CC">
        <w:rPr>
          <w:rFonts w:cs="Times New Roman"/>
          <w:szCs w:val="24"/>
        </w:rPr>
        <w:t xml:space="preserve">consumers more than what is just and reasonable under R.C. 4909.15, R.C. </w:t>
      </w:r>
      <w:r w:rsidR="00265A42" w:rsidRPr="006D21CC">
        <w:rPr>
          <w:rFonts w:cs="Times New Roman"/>
          <w:szCs w:val="24"/>
        </w:rPr>
        <w:t>4905.22</w:t>
      </w:r>
      <w:r w:rsidR="0014520E">
        <w:rPr>
          <w:rFonts w:cs="Times New Roman"/>
          <w:szCs w:val="24"/>
        </w:rPr>
        <w:t>,</w:t>
      </w:r>
      <w:r w:rsidR="00F74386" w:rsidRPr="006D21CC">
        <w:rPr>
          <w:rFonts w:cs="Times New Roman"/>
          <w:szCs w:val="24"/>
        </w:rPr>
        <w:t xml:space="preserve"> and other authority.</w:t>
      </w:r>
      <w:bookmarkEnd w:id="20"/>
    </w:p>
    <w:p w14:paraId="27FA74C5" w14:textId="77777777" w:rsidR="00FE59E0" w:rsidRPr="006D21CC" w:rsidRDefault="00FE59E0" w:rsidP="00FE59E0">
      <w:pPr>
        <w:spacing w:line="264" w:lineRule="auto"/>
        <w:rPr>
          <w:b/>
          <w:bCs/>
          <w:color w:val="000000"/>
        </w:rPr>
      </w:pPr>
    </w:p>
    <w:p w14:paraId="1A510448" w14:textId="3AB91F5A" w:rsidR="00647C0A" w:rsidRPr="006D21CC" w:rsidRDefault="00AF4AAB" w:rsidP="006E4CD8">
      <w:pPr>
        <w:spacing w:line="480" w:lineRule="auto"/>
        <w:rPr>
          <w:color w:val="000000"/>
        </w:rPr>
      </w:pPr>
      <w:r w:rsidRPr="006D21CC">
        <w:rPr>
          <w:color w:val="000000"/>
        </w:rPr>
        <w:tab/>
        <w:t>T</w:t>
      </w:r>
      <w:r w:rsidRPr="006D21CC">
        <w:t xml:space="preserve">he Staff Report erred and harmed consumers by </w:t>
      </w:r>
      <w:r w:rsidRPr="006D21CC">
        <w:rPr>
          <w:color w:val="000000"/>
        </w:rPr>
        <w:t xml:space="preserve">being overly reliant on the use of internal labor cost allocators that are not representative of the underlying costs in </w:t>
      </w:r>
      <w:r w:rsidR="00F74386" w:rsidRPr="006D21CC">
        <w:rPr>
          <w:color w:val="000000"/>
        </w:rPr>
        <w:t>Enbridge</w:t>
      </w:r>
      <w:r w:rsidR="006D21CC">
        <w:rPr>
          <w:color w:val="000000"/>
        </w:rPr>
        <w:t>’</w:t>
      </w:r>
      <w:r w:rsidR="00F74386" w:rsidRPr="006D21CC">
        <w:rPr>
          <w:color w:val="000000"/>
        </w:rPr>
        <w:t xml:space="preserve">s </w:t>
      </w:r>
      <w:r w:rsidRPr="006D21CC">
        <w:rPr>
          <w:color w:val="000000"/>
        </w:rPr>
        <w:t>COSS. Internal labor costs are used to functionalize and classify most of the general plant and</w:t>
      </w:r>
      <w:r w:rsidR="001941E5" w:rsidRPr="006D21CC">
        <w:rPr>
          <w:color w:val="000000"/>
        </w:rPr>
        <w:t xml:space="preserve"> Administrative and General</w:t>
      </w:r>
      <w:r w:rsidRPr="006D21CC">
        <w:rPr>
          <w:color w:val="000000"/>
        </w:rPr>
        <w:t xml:space="preserve"> </w:t>
      </w:r>
      <w:r w:rsidR="001941E5" w:rsidRPr="006D21CC">
        <w:rPr>
          <w:color w:val="000000"/>
        </w:rPr>
        <w:t>(</w:t>
      </w:r>
      <w:r w:rsidR="006D21CC">
        <w:rPr>
          <w:color w:val="000000"/>
        </w:rPr>
        <w:t>“</w:t>
      </w:r>
      <w:r w:rsidRPr="006D21CC">
        <w:rPr>
          <w:color w:val="000000"/>
        </w:rPr>
        <w:t>A&amp;G</w:t>
      </w:r>
      <w:r w:rsidR="006D21CC">
        <w:rPr>
          <w:color w:val="000000"/>
        </w:rPr>
        <w:t>”</w:t>
      </w:r>
      <w:r w:rsidR="001941E5" w:rsidRPr="006D21CC">
        <w:rPr>
          <w:color w:val="000000"/>
        </w:rPr>
        <w:t>)</w:t>
      </w:r>
      <w:r w:rsidRPr="006D21CC">
        <w:rPr>
          <w:color w:val="000000"/>
        </w:rPr>
        <w:t xml:space="preserve"> expenses. Due to the large amount of labor expense related to mains </w:t>
      </w:r>
      <w:r w:rsidR="00F74386" w:rsidRPr="006D21CC">
        <w:rPr>
          <w:color w:val="000000"/>
        </w:rPr>
        <w:t>operation and maintenance (</w:t>
      </w:r>
      <w:r w:rsidR="006D21CC">
        <w:rPr>
          <w:color w:val="000000"/>
        </w:rPr>
        <w:t>“</w:t>
      </w:r>
      <w:r w:rsidR="00047CE3" w:rsidRPr="006D21CC">
        <w:rPr>
          <w:color w:val="000000"/>
        </w:rPr>
        <w:t>O&amp;M</w:t>
      </w:r>
      <w:r w:rsidR="006D21CC">
        <w:rPr>
          <w:color w:val="000000"/>
        </w:rPr>
        <w:t>”</w:t>
      </w:r>
      <w:r w:rsidR="00F74386" w:rsidRPr="006D21CC">
        <w:rPr>
          <w:color w:val="000000"/>
        </w:rPr>
        <w:t>)</w:t>
      </w:r>
      <w:r w:rsidRPr="006D21CC">
        <w:rPr>
          <w:color w:val="000000"/>
        </w:rPr>
        <w:t xml:space="preserve"> (which is classified 46.6</w:t>
      </w:r>
      <w:r w:rsidR="004310F6" w:rsidRPr="006D21CC">
        <w:rPr>
          <w:color w:val="000000"/>
        </w:rPr>
        <w:t>%</w:t>
      </w:r>
      <w:r w:rsidRPr="006D21CC">
        <w:rPr>
          <w:color w:val="000000"/>
        </w:rPr>
        <w:t xml:space="preserve"> customer by </w:t>
      </w:r>
      <w:r w:rsidR="003F6516" w:rsidRPr="006D21CC">
        <w:rPr>
          <w:color w:val="000000"/>
        </w:rPr>
        <w:t>Enbridge</w:t>
      </w:r>
      <w:r w:rsidRPr="006D21CC">
        <w:rPr>
          <w:color w:val="000000"/>
        </w:rPr>
        <w:t xml:space="preserve">) and in the customer service functions, 61% of labor </w:t>
      </w:r>
      <w:r w:rsidRPr="006D21CC">
        <w:rPr>
          <w:color w:val="000000"/>
        </w:rPr>
        <w:t>expense is customer-related.</w:t>
      </w:r>
      <w:r>
        <w:rPr>
          <w:rStyle w:val="FootnoteReference"/>
          <w:color w:val="000000"/>
        </w:rPr>
        <w:footnoteReference w:id="83"/>
      </w:r>
      <w:r w:rsidRPr="006D21CC">
        <w:rPr>
          <w:color w:val="000000"/>
        </w:rPr>
        <w:t xml:space="preserve"> Therefore, a large portion of this rate base and expense is classified as customer-related and then ultimately allocated on a per</w:t>
      </w:r>
      <w:r w:rsidR="0014520E">
        <w:rPr>
          <w:color w:val="000000"/>
        </w:rPr>
        <w:t>-</w:t>
      </w:r>
      <w:r w:rsidRPr="006D21CC">
        <w:rPr>
          <w:color w:val="000000"/>
        </w:rPr>
        <w:t>customer basis.</w:t>
      </w:r>
      <w:r>
        <w:rPr>
          <w:rStyle w:val="FootnoteReference"/>
          <w:color w:val="000000"/>
        </w:rPr>
        <w:footnoteReference w:id="84"/>
      </w:r>
      <w:r w:rsidRPr="006D21CC">
        <w:rPr>
          <w:color w:val="000000"/>
        </w:rPr>
        <w:t xml:space="preserve"> The majority of A&amp;G accounts (excepting healthcare, payroll taxes, etc.) should be functionalized and classified on overall O&amp;M rather than payroll as they support all functions of the company. The general plant should be allocated on the basis of plant in service excluding general plant following the same line of reasoning.</w:t>
      </w:r>
    </w:p>
    <w:p w14:paraId="3D8DC219" w14:textId="7DD46973" w:rsidR="00CE3400" w:rsidRPr="006D21CC" w:rsidRDefault="00AF4AAB" w:rsidP="00EC1AFB">
      <w:pPr>
        <w:pStyle w:val="Heading3"/>
        <w:rPr>
          <w:rFonts w:cs="Times New Roman"/>
          <w:szCs w:val="24"/>
        </w:rPr>
      </w:pPr>
      <w:bookmarkStart w:id="21" w:name="_Toc172895206"/>
      <w:r w:rsidRPr="006D21CC">
        <w:rPr>
          <w:rFonts w:cs="Times New Roman"/>
          <w:szCs w:val="24"/>
          <w:u w:val="single"/>
        </w:rPr>
        <w:t>O</w:t>
      </w:r>
      <w:r w:rsidR="005E5E31" w:rsidRPr="006D21CC">
        <w:rPr>
          <w:rFonts w:cs="Times New Roman"/>
          <w:szCs w:val="24"/>
          <w:u w:val="single"/>
        </w:rPr>
        <w:t xml:space="preserve">bjection </w:t>
      </w:r>
      <w:r w:rsidRPr="006D21CC">
        <w:rPr>
          <w:rFonts w:cs="Times New Roman"/>
          <w:szCs w:val="24"/>
          <w:u w:val="single"/>
        </w:rPr>
        <w:t xml:space="preserve">No. </w:t>
      </w:r>
      <w:r w:rsidR="000713CD">
        <w:rPr>
          <w:rFonts w:cs="Times New Roman"/>
          <w:szCs w:val="24"/>
          <w:u w:val="single"/>
        </w:rPr>
        <w:t>8</w:t>
      </w:r>
      <w:r w:rsidRPr="006D21CC">
        <w:rPr>
          <w:rFonts w:cs="Times New Roman"/>
          <w:szCs w:val="24"/>
          <w:u w:val="single"/>
        </w:rPr>
        <w:t>:</w:t>
      </w:r>
      <w:r w:rsidR="0078474B" w:rsidRPr="006D21CC">
        <w:rPr>
          <w:rFonts w:cs="Times New Roman"/>
          <w:szCs w:val="24"/>
        </w:rPr>
        <w:t xml:space="preserve"> The Staff Report erred by utilizing a flawed minimum system methodology</w:t>
      </w:r>
      <w:r w:rsidR="00F74386" w:rsidRPr="006D21CC">
        <w:rPr>
          <w:rFonts w:cs="Times New Roman"/>
          <w:szCs w:val="24"/>
        </w:rPr>
        <w:t xml:space="preserve">, resulting in rates and other charges to </w:t>
      </w:r>
      <w:r w:rsidR="00834C10" w:rsidRPr="006D21CC">
        <w:rPr>
          <w:rFonts w:cs="Times New Roman"/>
          <w:szCs w:val="24"/>
        </w:rPr>
        <w:t xml:space="preserve">residential </w:t>
      </w:r>
      <w:r w:rsidR="00F74386" w:rsidRPr="006D21CC">
        <w:rPr>
          <w:rFonts w:cs="Times New Roman"/>
          <w:szCs w:val="24"/>
        </w:rPr>
        <w:t>consumers</w:t>
      </w:r>
      <w:r w:rsidR="00834C10" w:rsidRPr="006D21CC">
        <w:rPr>
          <w:rFonts w:cs="Times New Roman"/>
          <w:szCs w:val="24"/>
        </w:rPr>
        <w:t xml:space="preserve"> that </w:t>
      </w:r>
      <w:r w:rsidR="00DE2666" w:rsidRPr="006D21CC">
        <w:rPr>
          <w:rFonts w:cs="Times New Roman"/>
          <w:szCs w:val="24"/>
        </w:rPr>
        <w:t>are more</w:t>
      </w:r>
      <w:r w:rsidR="00F74386" w:rsidRPr="006D21CC">
        <w:rPr>
          <w:rFonts w:cs="Times New Roman"/>
          <w:szCs w:val="24"/>
        </w:rPr>
        <w:t xml:space="preserve"> than what is just and reasonable under R.C. 4909.15, R.C. </w:t>
      </w:r>
      <w:r w:rsidR="00265A42" w:rsidRPr="006D21CC">
        <w:rPr>
          <w:rFonts w:cs="Times New Roman"/>
          <w:szCs w:val="24"/>
        </w:rPr>
        <w:t>4905.22</w:t>
      </w:r>
      <w:r w:rsidR="00976612">
        <w:rPr>
          <w:rFonts w:cs="Times New Roman"/>
          <w:szCs w:val="24"/>
        </w:rPr>
        <w:t>,</w:t>
      </w:r>
      <w:r w:rsidR="00F74386" w:rsidRPr="006D21CC">
        <w:rPr>
          <w:rFonts w:cs="Times New Roman"/>
          <w:szCs w:val="24"/>
        </w:rPr>
        <w:t xml:space="preserve"> and other authority.</w:t>
      </w:r>
      <w:bookmarkEnd w:id="21"/>
    </w:p>
    <w:p w14:paraId="1A539B2F" w14:textId="77777777" w:rsidR="00FE59E0" w:rsidRPr="006D21CC" w:rsidRDefault="00FE59E0" w:rsidP="00FE59E0">
      <w:pPr>
        <w:spacing w:line="264" w:lineRule="auto"/>
        <w:rPr>
          <w:b/>
          <w:bCs/>
          <w:color w:val="000000"/>
          <w:lang w:bidi="ar-SA"/>
        </w:rPr>
      </w:pPr>
    </w:p>
    <w:p w14:paraId="65781DC3" w14:textId="12AF8560" w:rsidR="00647C0A" w:rsidRPr="006D21CC" w:rsidRDefault="00AF4AAB" w:rsidP="006E4CD8">
      <w:pPr>
        <w:spacing w:line="480" w:lineRule="auto"/>
        <w:rPr>
          <w:color w:val="000000"/>
          <w:lang w:bidi="ar-SA"/>
        </w:rPr>
      </w:pPr>
      <w:r w:rsidRPr="006D21CC">
        <w:rPr>
          <w:color w:val="000000"/>
          <w:lang w:bidi="ar-SA"/>
        </w:rPr>
        <w:tab/>
        <w:t>The Staff Report erred and harmed consumers by utilizing a flawed minimum system methodology,</w:t>
      </w:r>
      <w:r w:rsidR="00F74386" w:rsidRPr="006D21CC">
        <w:rPr>
          <w:color w:val="000000"/>
          <w:lang w:bidi="ar-SA"/>
        </w:rPr>
        <w:t xml:space="preserve"> which </w:t>
      </w:r>
      <w:r w:rsidR="00366075" w:rsidRPr="006D21CC">
        <w:rPr>
          <w:color w:val="000000"/>
          <w:lang w:bidi="ar-SA"/>
        </w:rPr>
        <w:t xml:space="preserve">assigns some portion of the distribution system as customer-related and determines what level of distribution system costs and investments should be assigned to the </w:t>
      </w:r>
      <w:r w:rsidR="00366075" w:rsidRPr="006D21CC">
        <w:rPr>
          <w:color w:val="000000"/>
          <w:lang w:bidi="ar-SA"/>
        </w:rPr>
        <w:lastRenderedPageBreak/>
        <w:t>customer function.</w:t>
      </w:r>
      <w:r w:rsidR="00F74386" w:rsidRPr="006D21CC">
        <w:rPr>
          <w:color w:val="000000"/>
          <w:lang w:bidi="ar-SA"/>
        </w:rPr>
        <w:t xml:space="preserve"> T</w:t>
      </w:r>
      <w:r w:rsidRPr="006D21CC">
        <w:rPr>
          <w:color w:val="000000"/>
          <w:lang w:bidi="ar-SA"/>
        </w:rPr>
        <w:t>he methodology used by Enbridge and supported by</w:t>
      </w:r>
      <w:r w:rsidR="003E5D38">
        <w:rPr>
          <w:color w:val="000000"/>
          <w:lang w:bidi="ar-SA"/>
        </w:rPr>
        <w:t xml:space="preserve"> the PUCO</w:t>
      </w:r>
      <w:r w:rsidRPr="006D21CC">
        <w:rPr>
          <w:color w:val="000000"/>
          <w:lang w:bidi="ar-SA"/>
        </w:rPr>
        <w:t xml:space="preserve"> Staff should be rejected.</w:t>
      </w:r>
    </w:p>
    <w:p w14:paraId="7365A801" w14:textId="7BC3C67A" w:rsidR="00647C0A" w:rsidRPr="006D21CC" w:rsidRDefault="00AF4AAB" w:rsidP="0079309E">
      <w:pPr>
        <w:spacing w:line="480" w:lineRule="auto"/>
        <w:ind w:firstLine="720"/>
        <w:rPr>
          <w:color w:val="000000"/>
        </w:rPr>
      </w:pPr>
      <w:r w:rsidRPr="006D21CC">
        <w:rPr>
          <w:color w:val="000000"/>
        </w:rPr>
        <w:t xml:space="preserve">There are a number of issues with the calculation of the minimum system. Main plant makes up 47% of </w:t>
      </w:r>
      <w:r w:rsidR="003F6516" w:rsidRPr="006D21CC">
        <w:rPr>
          <w:color w:val="000000"/>
        </w:rPr>
        <w:t>Enbridge</w:t>
      </w:r>
      <w:r w:rsidR="006D21CC">
        <w:rPr>
          <w:color w:val="000000"/>
        </w:rPr>
        <w:t>’</w:t>
      </w:r>
      <w:r w:rsidRPr="006D21CC">
        <w:rPr>
          <w:color w:val="000000"/>
        </w:rPr>
        <w:t>s total Plant in Service and 62% of distribution plant.</w:t>
      </w:r>
      <w:r>
        <w:rPr>
          <w:rStyle w:val="FootnoteReference"/>
          <w:color w:val="000000"/>
        </w:rPr>
        <w:footnoteReference w:id="85"/>
      </w:r>
      <w:r w:rsidRPr="006D21CC">
        <w:rPr>
          <w:color w:val="000000"/>
        </w:rPr>
        <w:t xml:space="preserve"> The company has proposed that 46% of the mains investment be categorized as customer-related (and therefore ultimately allocated on the number of customers in each class and being the basis for the </w:t>
      </w:r>
      <w:r w:rsidR="006D21CC">
        <w:rPr>
          <w:color w:val="000000"/>
        </w:rPr>
        <w:t>“</w:t>
      </w:r>
      <w:r w:rsidRPr="006D21CC">
        <w:rPr>
          <w:color w:val="000000"/>
        </w:rPr>
        <w:t>cost-based</w:t>
      </w:r>
      <w:r w:rsidR="006D21CC">
        <w:rPr>
          <w:color w:val="000000"/>
        </w:rPr>
        <w:t>”</w:t>
      </w:r>
      <w:r w:rsidRPr="006D21CC">
        <w:rPr>
          <w:color w:val="000000"/>
        </w:rPr>
        <w:t xml:space="preserve"> fixed charge recommendations).</w:t>
      </w:r>
      <w:r>
        <w:rPr>
          <w:rStyle w:val="FootnoteReference"/>
          <w:color w:val="000000"/>
        </w:rPr>
        <w:footnoteReference w:id="86"/>
      </w:r>
      <w:r w:rsidRPr="006D21CC">
        <w:rPr>
          <w:color w:val="000000"/>
        </w:rPr>
        <w:t xml:space="preserve"> This 46% assignment then flows through various internal allocations used for O&amp;M and labor expenses, other distribution investments, and non-plant rate base items among other things, resulting in large percentages of these costs also being assigned to the customer function.</w:t>
      </w:r>
      <w:r>
        <w:rPr>
          <w:rStyle w:val="FootnoteReference"/>
          <w:color w:val="000000"/>
        </w:rPr>
        <w:footnoteReference w:id="87"/>
      </w:r>
    </w:p>
    <w:p w14:paraId="52A73F25" w14:textId="67CBECFF" w:rsidR="00807636" w:rsidRPr="006D21CC" w:rsidRDefault="00AF4AAB" w:rsidP="006E4CD8">
      <w:pPr>
        <w:spacing w:line="480" w:lineRule="auto"/>
        <w:rPr>
          <w:color w:val="000000"/>
          <w:lang w:bidi="ar-SA"/>
        </w:rPr>
      </w:pPr>
      <w:r w:rsidRPr="006D21CC">
        <w:rPr>
          <w:color w:val="000000"/>
        </w:rPr>
        <w:tab/>
      </w:r>
      <w:r w:rsidR="00C46198" w:rsidRPr="006D21CC">
        <w:rPr>
          <w:color w:val="000000"/>
        </w:rPr>
        <w:t xml:space="preserve"> Instead, </w:t>
      </w:r>
      <w:r w:rsidR="001D5519" w:rsidRPr="006D21CC">
        <w:rPr>
          <w:color w:val="000000"/>
        </w:rPr>
        <w:t xml:space="preserve">as OCC will explain in </w:t>
      </w:r>
      <w:r w:rsidR="00DE2666" w:rsidRPr="006D21CC">
        <w:rPr>
          <w:color w:val="000000"/>
        </w:rPr>
        <w:t>testimony, there</w:t>
      </w:r>
      <w:r w:rsidR="001D5519" w:rsidRPr="006D21CC">
        <w:rPr>
          <w:color w:val="000000"/>
        </w:rPr>
        <w:t xml:space="preserve"> should be </w:t>
      </w:r>
      <w:r w:rsidR="008D019B" w:rsidRPr="006D21CC">
        <w:rPr>
          <w:color w:val="000000"/>
        </w:rPr>
        <w:t>a 21% assignment of mains to minimum system, reducing both the amount of revenue requirement allocated on the number of customers and the cost-based fixed charge levels.</w:t>
      </w:r>
    </w:p>
    <w:p w14:paraId="3F57D639" w14:textId="714B27DE" w:rsidR="00427588" w:rsidRPr="006D21CC" w:rsidRDefault="00AF4AAB" w:rsidP="00EC1AFB">
      <w:pPr>
        <w:pStyle w:val="Heading3"/>
        <w:rPr>
          <w:rFonts w:cs="Times New Roman"/>
          <w:szCs w:val="24"/>
        </w:rPr>
      </w:pPr>
      <w:bookmarkStart w:id="22" w:name="_Toc172895207"/>
      <w:r w:rsidRPr="006D21CC">
        <w:rPr>
          <w:rFonts w:cs="Times New Roman"/>
          <w:szCs w:val="24"/>
          <w:u w:val="single"/>
        </w:rPr>
        <w:t xml:space="preserve">Objection No. </w:t>
      </w:r>
      <w:r w:rsidR="000713CD">
        <w:rPr>
          <w:rFonts w:cs="Times New Roman"/>
          <w:szCs w:val="24"/>
          <w:u w:val="single"/>
        </w:rPr>
        <w:t>9</w:t>
      </w:r>
      <w:r w:rsidRPr="006D21CC">
        <w:rPr>
          <w:rFonts w:cs="Times New Roman"/>
          <w:szCs w:val="24"/>
          <w:u w:val="single"/>
        </w:rPr>
        <w:t>:</w:t>
      </w:r>
      <w:r w:rsidRPr="006D21CC">
        <w:rPr>
          <w:rFonts w:cs="Times New Roman"/>
          <w:szCs w:val="24"/>
        </w:rPr>
        <w:t xml:space="preserve"> The Staff Report </w:t>
      </w:r>
      <w:r w:rsidR="006020C3" w:rsidRPr="006D21CC">
        <w:rPr>
          <w:rFonts w:cs="Times New Roman"/>
          <w:szCs w:val="24"/>
        </w:rPr>
        <w:t xml:space="preserve">erred </w:t>
      </w:r>
      <w:r w:rsidR="00BE6B7B">
        <w:rPr>
          <w:rFonts w:cs="Times New Roman"/>
          <w:szCs w:val="24"/>
        </w:rPr>
        <w:t xml:space="preserve">and harms consumers </w:t>
      </w:r>
      <w:r w:rsidR="006020C3" w:rsidRPr="006D21CC">
        <w:rPr>
          <w:rFonts w:cs="Times New Roman"/>
          <w:szCs w:val="24"/>
        </w:rPr>
        <w:t xml:space="preserve">by not </w:t>
      </w:r>
      <w:r w:rsidR="00661BB3" w:rsidRPr="006D21CC">
        <w:rPr>
          <w:rFonts w:cs="Times New Roman"/>
          <w:szCs w:val="24"/>
        </w:rPr>
        <w:t xml:space="preserve">recommending a review process </w:t>
      </w:r>
      <w:r w:rsidR="004D0AF8" w:rsidRPr="006D21CC">
        <w:rPr>
          <w:rFonts w:cs="Times New Roman"/>
          <w:szCs w:val="24"/>
        </w:rPr>
        <w:t>for the updated cost of service study based on their recommendation to re-run the cost of service model.</w:t>
      </w:r>
      <w:bookmarkEnd w:id="22"/>
    </w:p>
    <w:p w14:paraId="568C2A34" w14:textId="77777777" w:rsidR="00EC1AFB" w:rsidRPr="006D21CC" w:rsidRDefault="00EC1AFB" w:rsidP="00EC1AFB">
      <w:pPr>
        <w:rPr>
          <w:lang w:bidi="ar-SA"/>
        </w:rPr>
      </w:pPr>
    </w:p>
    <w:p w14:paraId="3426DA1C" w14:textId="416679FF" w:rsidR="00EC1AFB" w:rsidRPr="006D21CC" w:rsidRDefault="00AF4AAB" w:rsidP="00427588">
      <w:pPr>
        <w:spacing w:line="480" w:lineRule="auto"/>
      </w:pPr>
      <w:r w:rsidRPr="006D21CC">
        <w:tab/>
      </w:r>
      <w:r w:rsidR="004D0AF8" w:rsidRPr="006D21CC">
        <w:t xml:space="preserve">OCC objects to the rates provided by </w:t>
      </w:r>
      <w:r w:rsidR="00BE6B7B">
        <w:t>t</w:t>
      </w:r>
      <w:r w:rsidR="003E5D38">
        <w:t>he PUCO Staff</w:t>
      </w:r>
      <w:r w:rsidR="000A2192" w:rsidRPr="006D21CC">
        <w:t>. Accurate rates cannot be determined without the anticipated update to the cost of service study. As stated by</w:t>
      </w:r>
      <w:r w:rsidR="003E5D38">
        <w:t xml:space="preserve"> the PUCO</w:t>
      </w:r>
      <w:r w:rsidR="000A2192" w:rsidRPr="006D21CC">
        <w:t xml:space="preserve"> Staff</w:t>
      </w:r>
      <w:r w:rsidR="00BE6B7B">
        <w:t>,</w:t>
      </w:r>
      <w:r w:rsidR="004D0AF8" w:rsidRPr="006D21CC">
        <w:t xml:space="preserve"> </w:t>
      </w:r>
      <w:r w:rsidR="000A2192" w:rsidRPr="006D21CC">
        <w:t>the</w:t>
      </w:r>
      <w:r w:rsidR="000A2192" w:rsidRPr="006D21CC">
        <w:rPr>
          <w:b/>
          <w:bCs/>
        </w:rPr>
        <w:t xml:space="preserve"> </w:t>
      </w:r>
      <w:r w:rsidR="000A2192" w:rsidRPr="006D21CC">
        <w:t xml:space="preserve">bill impacts are </w:t>
      </w:r>
      <w:r w:rsidR="006D21CC">
        <w:t>“</w:t>
      </w:r>
      <w:r w:rsidR="000A2192" w:rsidRPr="006D21CC">
        <w:t>for illustrative purposes only and should not be taken as a recommendation by the</w:t>
      </w:r>
      <w:r w:rsidR="003E5D38">
        <w:t xml:space="preserve"> PUCO</w:t>
      </w:r>
      <w:r w:rsidR="000A2192" w:rsidRPr="006D21CC">
        <w:t xml:space="preserve"> Staff as to the overall revenue requirement recommended.</w:t>
      </w:r>
      <w:r w:rsidR="006D21CC">
        <w:t>”</w:t>
      </w:r>
      <w:r>
        <w:rPr>
          <w:rStyle w:val="FootnoteReference"/>
        </w:rPr>
        <w:footnoteReference w:id="88"/>
      </w:r>
      <w:r w:rsidR="000A2192" w:rsidRPr="006D21CC">
        <w:t xml:space="preserve"> </w:t>
      </w:r>
      <w:r w:rsidR="00216A50" w:rsidRPr="006D21CC">
        <w:t xml:space="preserve">The PUCO </w:t>
      </w:r>
      <w:r w:rsidRPr="006D21CC">
        <w:t>Staff</w:t>
      </w:r>
      <w:r w:rsidR="006D21CC">
        <w:t>’</w:t>
      </w:r>
      <w:r w:rsidRPr="006D21CC">
        <w:t xml:space="preserve">s calculated rates reflect an approximate midpoint of </w:t>
      </w:r>
      <w:r w:rsidR="003E5D38">
        <w:t xml:space="preserve">the </w:t>
      </w:r>
      <w:r w:rsidR="005D6603" w:rsidRPr="006D21CC">
        <w:t xml:space="preserve">PUCO </w:t>
      </w:r>
      <w:r w:rsidRPr="006D21CC">
        <w:t>Staff</w:t>
      </w:r>
      <w:r w:rsidR="006D21CC">
        <w:t>’</w:t>
      </w:r>
      <w:r w:rsidRPr="006D21CC">
        <w:t xml:space="preserve">s proposed </w:t>
      </w:r>
      <w:r w:rsidRPr="006D21CC">
        <w:lastRenderedPageBreak/>
        <w:t>base distribution revenue, $676,807,974, and excludes other revenues, and contract revenues.</w:t>
      </w:r>
      <w:r>
        <w:rPr>
          <w:rStyle w:val="FootnoteReference"/>
        </w:rPr>
        <w:footnoteReference w:id="89"/>
      </w:r>
      <w:r w:rsidRPr="006D21CC">
        <w:t xml:space="preserve"> </w:t>
      </w:r>
      <w:r w:rsidR="005D6603" w:rsidRPr="006D21CC">
        <w:t xml:space="preserve">While OCC agrees that the cost of service study should be updated, </w:t>
      </w:r>
      <w:r w:rsidR="003E5D38">
        <w:t xml:space="preserve">the </w:t>
      </w:r>
      <w:r w:rsidR="005D6603" w:rsidRPr="006D21CC">
        <w:t xml:space="preserve">PUCO Staff should have recommended </w:t>
      </w:r>
      <w:r w:rsidR="004D0AF8" w:rsidRPr="006D21CC">
        <w:t xml:space="preserve">a review process. Examples include </w:t>
      </w:r>
      <w:r w:rsidR="005D6603" w:rsidRPr="006D21CC">
        <w:t>a time frame for the update to be provided, how or when the OCC and other</w:t>
      </w:r>
      <w:r w:rsidR="004D0AF8" w:rsidRPr="006D21CC">
        <w:t>s</w:t>
      </w:r>
      <w:r w:rsidR="005D6603" w:rsidRPr="006D21CC">
        <w:t xml:space="preserve"> could respond to </w:t>
      </w:r>
      <w:r w:rsidR="004D0AF8" w:rsidRPr="006D21CC">
        <w:t xml:space="preserve">the </w:t>
      </w:r>
      <w:r w:rsidR="005D6603" w:rsidRPr="006D21CC">
        <w:t xml:space="preserve">PUCO Staff </w:t>
      </w:r>
      <w:r w:rsidR="006D21CC">
        <w:t>‘</w:t>
      </w:r>
      <w:r w:rsidR="004D0AF8" w:rsidRPr="006D21CC">
        <w:t xml:space="preserve">s </w:t>
      </w:r>
      <w:r w:rsidR="005D6603" w:rsidRPr="006D21CC">
        <w:t xml:space="preserve">recommendations based on the updated cost of service study, and an extension of the procedural schedule based on Enbridge providing such an updated cost of service study. </w:t>
      </w:r>
    </w:p>
    <w:p w14:paraId="37F615FD" w14:textId="276FBC66" w:rsidR="00EC1AFB" w:rsidRPr="00E5007D" w:rsidRDefault="00AF4AAB" w:rsidP="00E82DB5">
      <w:pPr>
        <w:spacing w:line="480" w:lineRule="auto"/>
        <w:ind w:left="1440" w:hanging="720"/>
        <w:rPr>
          <w:rStyle w:val="Heading2Char"/>
        </w:rPr>
      </w:pPr>
      <w:r>
        <w:rPr>
          <w:b/>
          <w:bCs/>
        </w:rPr>
        <w:t>F.</w:t>
      </w:r>
      <w:r w:rsidR="009D29C0">
        <w:rPr>
          <w:b/>
          <w:bCs/>
        </w:rPr>
        <w:t xml:space="preserve"> </w:t>
      </w:r>
      <w:r w:rsidR="00E82DB5">
        <w:rPr>
          <w:b/>
          <w:bCs/>
        </w:rPr>
        <w:tab/>
      </w:r>
      <w:r w:rsidR="00D53625" w:rsidRPr="00E5007D">
        <w:rPr>
          <w:rStyle w:val="Heading2Char"/>
        </w:rPr>
        <w:t xml:space="preserve">Alternative Rate Plan and </w:t>
      </w:r>
      <w:r w:rsidR="00421EAB" w:rsidRPr="00E5007D">
        <w:rPr>
          <w:rStyle w:val="Heading2Char"/>
        </w:rPr>
        <w:t>Riders</w:t>
      </w:r>
    </w:p>
    <w:p w14:paraId="087A887A" w14:textId="41988E13" w:rsidR="005550DE" w:rsidRPr="006D21CC" w:rsidRDefault="00AF4AAB" w:rsidP="00EC1AFB">
      <w:pPr>
        <w:pStyle w:val="Heading3"/>
        <w:rPr>
          <w:rFonts w:cs="Times New Roman"/>
          <w:szCs w:val="24"/>
        </w:rPr>
      </w:pPr>
      <w:bookmarkStart w:id="23" w:name="_Toc172895208"/>
      <w:bookmarkStart w:id="24" w:name="_Hlk172117136"/>
      <w:r w:rsidRPr="006D21CC">
        <w:rPr>
          <w:rFonts w:cs="Times New Roman"/>
          <w:szCs w:val="24"/>
          <w:u w:val="single"/>
        </w:rPr>
        <w:t xml:space="preserve">Objection No. </w:t>
      </w:r>
      <w:r w:rsidR="00914B7E" w:rsidRPr="006D21CC">
        <w:rPr>
          <w:rFonts w:cs="Times New Roman"/>
          <w:szCs w:val="24"/>
          <w:u w:val="single"/>
        </w:rPr>
        <w:t>1</w:t>
      </w:r>
      <w:r w:rsidR="000713CD">
        <w:rPr>
          <w:rFonts w:cs="Times New Roman"/>
          <w:szCs w:val="24"/>
          <w:u w:val="single"/>
        </w:rPr>
        <w:t>0</w:t>
      </w:r>
      <w:r w:rsidRPr="006D21CC">
        <w:rPr>
          <w:rFonts w:cs="Times New Roman"/>
          <w:szCs w:val="24"/>
          <w:u w:val="single"/>
        </w:rPr>
        <w:t>:</w:t>
      </w:r>
      <w:r w:rsidRPr="006D21CC">
        <w:rPr>
          <w:rFonts w:cs="Times New Roman"/>
          <w:szCs w:val="24"/>
        </w:rPr>
        <w:t xml:space="preserve"> </w:t>
      </w:r>
      <w:r w:rsidR="00337898" w:rsidRPr="006D21CC">
        <w:rPr>
          <w:rFonts w:cs="Times New Roman"/>
          <w:szCs w:val="24"/>
        </w:rPr>
        <w:t>The Staff Report erred</w:t>
      </w:r>
      <w:r w:rsidR="00A3555E">
        <w:rPr>
          <w:rFonts w:cs="Times New Roman"/>
          <w:szCs w:val="24"/>
        </w:rPr>
        <w:t xml:space="preserve"> and harms consumers</w:t>
      </w:r>
      <w:r w:rsidRPr="006D21CC">
        <w:rPr>
          <w:rFonts w:cs="Times New Roman"/>
          <w:szCs w:val="24"/>
        </w:rPr>
        <w:t xml:space="preserve"> by failing to modify </w:t>
      </w:r>
      <w:r w:rsidR="002E14E8" w:rsidRPr="006D21CC">
        <w:rPr>
          <w:rFonts w:cs="Times New Roman"/>
          <w:szCs w:val="24"/>
        </w:rPr>
        <w:t xml:space="preserve">the Capital Expenditure Program </w:t>
      </w:r>
      <w:r w:rsidR="00996E85">
        <w:rPr>
          <w:rFonts w:cs="Times New Roman"/>
          <w:szCs w:val="24"/>
        </w:rPr>
        <w:t xml:space="preserve">(“CEP”) </w:t>
      </w:r>
      <w:r w:rsidR="002E14E8" w:rsidRPr="006D21CC">
        <w:rPr>
          <w:rFonts w:cs="Times New Roman"/>
          <w:szCs w:val="24"/>
        </w:rPr>
        <w:t>Rider and the Pipeline Infrastructure Replacement</w:t>
      </w:r>
      <w:r w:rsidR="00996E85">
        <w:rPr>
          <w:rFonts w:cs="Times New Roman"/>
          <w:szCs w:val="24"/>
        </w:rPr>
        <w:t xml:space="preserve"> (“PIR”)</w:t>
      </w:r>
      <w:r w:rsidR="002E14E8" w:rsidRPr="006D21CC">
        <w:rPr>
          <w:rFonts w:cs="Times New Roman"/>
          <w:szCs w:val="24"/>
        </w:rPr>
        <w:t xml:space="preserve"> Rider </w:t>
      </w:r>
      <w:r w:rsidRPr="006D21CC">
        <w:rPr>
          <w:rFonts w:cs="Times New Roman"/>
          <w:szCs w:val="24"/>
        </w:rPr>
        <w:t>calculations to acknowledge Enbridge</w:t>
      </w:r>
      <w:r w:rsidR="006D21CC">
        <w:rPr>
          <w:rFonts w:cs="Times New Roman"/>
          <w:szCs w:val="24"/>
        </w:rPr>
        <w:t>’</w:t>
      </w:r>
      <w:r w:rsidRPr="006D21CC">
        <w:rPr>
          <w:rFonts w:cs="Times New Roman"/>
          <w:szCs w:val="24"/>
        </w:rPr>
        <w:t xml:space="preserve">s ability to </w:t>
      </w:r>
      <w:r w:rsidR="003F3116" w:rsidRPr="006D21CC">
        <w:rPr>
          <w:rFonts w:cs="Times New Roman"/>
          <w:szCs w:val="24"/>
        </w:rPr>
        <w:t>take the</w:t>
      </w:r>
      <w:r w:rsidR="004C36A2" w:rsidRPr="006D21CC">
        <w:rPr>
          <w:rFonts w:cs="Times New Roman"/>
          <w:szCs w:val="24"/>
        </w:rPr>
        <w:t xml:space="preserve"> </w:t>
      </w:r>
      <w:r w:rsidRPr="006D21CC">
        <w:rPr>
          <w:rFonts w:cs="Times New Roman"/>
          <w:szCs w:val="24"/>
        </w:rPr>
        <w:t>Repair Deduction.</w:t>
      </w:r>
      <w:r w:rsidR="007B097F" w:rsidRPr="006D21CC">
        <w:rPr>
          <w:rFonts w:cs="Times New Roman"/>
          <w:szCs w:val="24"/>
        </w:rPr>
        <w:t xml:space="preserve"> The Staff Report results in rates and other charges to consumers more than what is just and reasonable under R.C. 4909.15, R.C. </w:t>
      </w:r>
      <w:r w:rsidR="00265A42" w:rsidRPr="006D21CC">
        <w:rPr>
          <w:rFonts w:cs="Times New Roman"/>
          <w:szCs w:val="24"/>
        </w:rPr>
        <w:t>4905.22</w:t>
      </w:r>
      <w:r w:rsidR="00A3555E">
        <w:rPr>
          <w:rFonts w:cs="Times New Roman"/>
          <w:szCs w:val="24"/>
        </w:rPr>
        <w:t>,</w:t>
      </w:r>
      <w:r w:rsidR="007B097F" w:rsidRPr="006D21CC">
        <w:rPr>
          <w:rFonts w:cs="Times New Roman"/>
          <w:szCs w:val="24"/>
        </w:rPr>
        <w:t xml:space="preserve"> and other authority.</w:t>
      </w:r>
      <w:bookmarkEnd w:id="23"/>
    </w:p>
    <w:p w14:paraId="44C7186B" w14:textId="77777777" w:rsidR="009043DC" w:rsidRPr="006D21CC" w:rsidRDefault="009043DC" w:rsidP="009043DC">
      <w:pPr>
        <w:spacing w:line="264" w:lineRule="auto"/>
        <w:rPr>
          <w:b/>
          <w:bCs/>
        </w:rPr>
      </w:pPr>
    </w:p>
    <w:bookmarkEnd w:id="24"/>
    <w:p w14:paraId="7F79ABCD" w14:textId="6F5F2D3D" w:rsidR="00834C10" w:rsidRPr="006D21CC" w:rsidRDefault="00AF4AAB" w:rsidP="006E4CD8">
      <w:pPr>
        <w:spacing w:line="480" w:lineRule="auto"/>
      </w:pPr>
      <w:r w:rsidRPr="006D21CC">
        <w:tab/>
      </w:r>
      <w:r w:rsidR="00216A50" w:rsidRPr="006D21CC">
        <w:t xml:space="preserve">The </w:t>
      </w:r>
      <w:r w:rsidR="00344906" w:rsidRPr="006D21CC">
        <w:t xml:space="preserve">PUCO </w:t>
      </w:r>
      <w:r w:rsidRPr="006D21CC">
        <w:t xml:space="preserve">Staff erred in its report and harmed consumers by failing to modify the CEP and PIR calculation to acknowledge that Enbridge has (historically and prospectively) the opportunity to take a Repair Deduction on significant portions of its CEP and PIR </w:t>
      </w:r>
      <w:r w:rsidR="002E14E8" w:rsidRPr="006D21CC">
        <w:t xml:space="preserve">mechanisms. </w:t>
      </w:r>
      <w:r w:rsidRPr="006D21CC">
        <w:t>A repair reduction would reduce the costs of CEP and PIR which are charged to Enbridge</w:t>
      </w:r>
      <w:r w:rsidR="006D21CC">
        <w:t>’</w:t>
      </w:r>
      <w:r w:rsidRPr="006D21CC">
        <w:t>s consumers.</w:t>
      </w:r>
    </w:p>
    <w:p w14:paraId="6AC1928C" w14:textId="77777777" w:rsidR="00834C10" w:rsidRPr="006D21CC" w:rsidRDefault="00AF4AAB" w:rsidP="00834C10">
      <w:pPr>
        <w:spacing w:line="480" w:lineRule="auto"/>
        <w:ind w:firstLine="720"/>
      </w:pPr>
      <w:r w:rsidRPr="006D21CC">
        <w:t xml:space="preserve">The Staff Report and its conclusions </w:t>
      </w:r>
      <w:r w:rsidR="005550DE" w:rsidRPr="006D21CC">
        <w:t>should be modified to incorporate the implications of this tax deduction within its ADIT</w:t>
      </w:r>
      <w:r w:rsidR="00234E13" w:rsidRPr="006D21CC">
        <w:t xml:space="preserve"> </w:t>
      </w:r>
      <w:r w:rsidR="005550DE" w:rsidRPr="006D21CC">
        <w:t>components.</w:t>
      </w:r>
      <w:r w:rsidR="008F3B9B" w:rsidRPr="006D21CC">
        <w:t xml:space="preserve"> </w:t>
      </w:r>
      <w:r w:rsidR="005550DE" w:rsidRPr="006D21CC">
        <w:t>OCC objects to the format of the CEP and PIR calculations, which limit the calculation of ADIT to book/tax timing differences associated with depreciation related to CEP and PIR investment.</w:t>
      </w:r>
      <w:r w:rsidR="008F3B9B" w:rsidRPr="006D21CC">
        <w:t xml:space="preserve"> </w:t>
      </w:r>
      <w:r w:rsidR="005550DE" w:rsidRPr="006D21CC">
        <w:t>The calculations of ADIT within the C</w:t>
      </w:r>
      <w:r w:rsidR="00344906" w:rsidRPr="006D21CC">
        <w:t>EP</w:t>
      </w:r>
      <w:r w:rsidR="005550DE" w:rsidRPr="006D21CC">
        <w:t xml:space="preserve"> and PIR surcharge calculations should also be expanded to include the implications of the Repair Deduction. </w:t>
      </w:r>
    </w:p>
    <w:p w14:paraId="5FD2679E" w14:textId="1392332A" w:rsidR="005550DE" w:rsidRPr="006D21CC" w:rsidRDefault="00AF4AAB" w:rsidP="00C62145">
      <w:pPr>
        <w:spacing w:line="480" w:lineRule="auto"/>
        <w:ind w:firstLine="720"/>
      </w:pPr>
      <w:r w:rsidRPr="006D21CC">
        <w:lastRenderedPageBreak/>
        <w:t>The Repair Deduction under the tax code permits the immediate expensing of qualifying expenditures that are otherwise recognized as assets for financial and regulatory reporting purposes.</w:t>
      </w:r>
      <w:r>
        <w:rPr>
          <w:rStyle w:val="FootnoteReference"/>
        </w:rPr>
        <w:footnoteReference w:id="90"/>
      </w:r>
      <w:r w:rsidRPr="006D21CC">
        <w:t xml:space="preserve"> This expanded definition of ADIT is necessary to accommodate future elections by Enbridge to take advantage of the Repair Deduction, thereby reducing the CEP and PIR Rate Base and reducing costs to customers. Because Enbridge has not taken this deduction, the rate base request presented by Enbridge in these proceedings is excessive, as are the deferred CEP and PIR asset costs being sought to recovery.</w:t>
      </w:r>
    </w:p>
    <w:p w14:paraId="25DDF430" w14:textId="55F928CF" w:rsidR="005550DE" w:rsidRPr="006D21CC" w:rsidRDefault="00AF4AAB" w:rsidP="00EC1AFB">
      <w:pPr>
        <w:pStyle w:val="Heading3"/>
        <w:rPr>
          <w:rFonts w:cs="Times New Roman"/>
          <w:szCs w:val="24"/>
        </w:rPr>
      </w:pPr>
      <w:bookmarkStart w:id="25" w:name="_Toc172895209"/>
      <w:bookmarkStart w:id="26" w:name="_Hlk172117152"/>
      <w:r w:rsidRPr="006D21CC">
        <w:rPr>
          <w:rFonts w:cs="Times New Roman"/>
          <w:szCs w:val="24"/>
          <w:u w:val="single"/>
        </w:rPr>
        <w:t>Objection No.</w:t>
      </w:r>
      <w:r w:rsidR="00E82DB5">
        <w:rPr>
          <w:rFonts w:cs="Times New Roman"/>
          <w:szCs w:val="24"/>
          <w:u w:val="single"/>
        </w:rPr>
        <w:t xml:space="preserve"> </w:t>
      </w:r>
      <w:r w:rsidR="00914B7E" w:rsidRPr="006D21CC">
        <w:rPr>
          <w:rFonts w:cs="Times New Roman"/>
          <w:szCs w:val="24"/>
          <w:u w:val="single"/>
        </w:rPr>
        <w:t>1</w:t>
      </w:r>
      <w:r w:rsidR="000713CD">
        <w:rPr>
          <w:rFonts w:cs="Times New Roman"/>
          <w:szCs w:val="24"/>
          <w:u w:val="single"/>
        </w:rPr>
        <w:t>1</w:t>
      </w:r>
      <w:r w:rsidRPr="006D21CC">
        <w:rPr>
          <w:rFonts w:cs="Times New Roman"/>
          <w:szCs w:val="24"/>
          <w:u w:val="single"/>
        </w:rPr>
        <w:t>:</w:t>
      </w:r>
      <w:r w:rsidRPr="006D21CC">
        <w:rPr>
          <w:rFonts w:cs="Times New Roman"/>
          <w:szCs w:val="24"/>
        </w:rPr>
        <w:t xml:space="preserve"> The Staff Report erred by failing to require Enbridge to report how it intends to respond to Revenue Procedure 2023-15 in the future.</w:t>
      </w:r>
      <w:r w:rsidR="00B95C22" w:rsidRPr="006D21CC">
        <w:rPr>
          <w:rFonts w:cs="Times New Roman"/>
          <w:szCs w:val="24"/>
        </w:rPr>
        <w:t xml:space="preserve"> The Staff Report results in rates and other charges to consumers more than what is just and reasonable under R.C. 4909.15, R.C. </w:t>
      </w:r>
      <w:r w:rsidR="00265A42" w:rsidRPr="006D21CC">
        <w:rPr>
          <w:rFonts w:cs="Times New Roman"/>
          <w:szCs w:val="24"/>
        </w:rPr>
        <w:t>4905.22</w:t>
      </w:r>
      <w:r w:rsidR="00A3555E">
        <w:rPr>
          <w:rFonts w:cs="Times New Roman"/>
          <w:szCs w:val="24"/>
        </w:rPr>
        <w:t>,</w:t>
      </w:r>
      <w:r w:rsidR="00B95C22" w:rsidRPr="006D21CC">
        <w:rPr>
          <w:rFonts w:cs="Times New Roman"/>
          <w:szCs w:val="24"/>
        </w:rPr>
        <w:t xml:space="preserve"> and other authority.</w:t>
      </w:r>
      <w:bookmarkEnd w:id="25"/>
    </w:p>
    <w:p w14:paraId="25832711" w14:textId="77777777" w:rsidR="009043DC" w:rsidRPr="006D21CC" w:rsidRDefault="009043DC" w:rsidP="009043DC">
      <w:pPr>
        <w:spacing w:line="264" w:lineRule="auto"/>
        <w:rPr>
          <w:b/>
          <w:bCs/>
        </w:rPr>
      </w:pPr>
    </w:p>
    <w:bookmarkEnd w:id="26"/>
    <w:p w14:paraId="206C41E0" w14:textId="4D74348A" w:rsidR="00834C10" w:rsidRPr="006D21CC" w:rsidRDefault="00AF4AAB" w:rsidP="006E4CD8">
      <w:pPr>
        <w:spacing w:line="480" w:lineRule="auto"/>
      </w:pPr>
      <w:r w:rsidRPr="006D21CC">
        <w:tab/>
        <w:t>The Staff Report erred and harm</w:t>
      </w:r>
      <w:r w:rsidR="00B95C22" w:rsidRPr="006D21CC">
        <w:t>s</w:t>
      </w:r>
      <w:r w:rsidRPr="006D21CC">
        <w:t xml:space="preserve"> consumers by failing to require Enbridge to report with certainty how in the future it intends to respond to Revenue Procedure 2023-15</w:t>
      </w:r>
      <w:r w:rsidR="009E1F75" w:rsidRPr="006D21CC">
        <w:t>.</w:t>
      </w:r>
      <w:r w:rsidRPr="006D21CC">
        <w:t xml:space="preserve"> </w:t>
      </w:r>
      <w:r w:rsidR="009E1F75" w:rsidRPr="006D21CC">
        <w:t xml:space="preserve">Enbridge must be made to consider and report upon the implications of Revenue Procedure 2023-15 </w:t>
      </w:r>
      <w:r w:rsidRPr="006D21CC">
        <w:t xml:space="preserve">on its historic total company ADIT balances, including </w:t>
      </w:r>
      <w:r w:rsidR="009E1F75" w:rsidRPr="006D21CC">
        <w:t xml:space="preserve">both </w:t>
      </w:r>
      <w:r w:rsidRPr="006D21CC">
        <w:t xml:space="preserve">those applicable to Plant in Service as of December 31, 2023, as well as to future CEP and PIR qualifying capital expenditures. </w:t>
      </w:r>
    </w:p>
    <w:p w14:paraId="4EED9C78" w14:textId="1823A5D6" w:rsidR="005550DE" w:rsidRPr="006D21CC" w:rsidRDefault="00AF4AAB" w:rsidP="00C62145">
      <w:pPr>
        <w:spacing w:line="480" w:lineRule="auto"/>
        <w:ind w:firstLine="720"/>
      </w:pPr>
      <w:r w:rsidRPr="006D21CC">
        <w:t xml:space="preserve">Revenue Procedure 2023-15, the Natural Gas Safe </w:t>
      </w:r>
      <w:r w:rsidR="003F2CE6" w:rsidRPr="006D21CC">
        <w:t>H</w:t>
      </w:r>
      <w:r w:rsidRPr="006D21CC">
        <w:t xml:space="preserve">arbor </w:t>
      </w:r>
      <w:r w:rsidR="003F2CE6" w:rsidRPr="006D21CC">
        <w:t>P</w:t>
      </w:r>
      <w:r w:rsidRPr="006D21CC">
        <w:t>rovisions, guides natural gas utilities regarding the appropriate classification of expenditures between those eligible for the Repair Deduction and those required to be capitalized under the Internal Revenue Code.</w:t>
      </w:r>
      <w:r>
        <w:rPr>
          <w:rStyle w:val="FootnoteReference"/>
        </w:rPr>
        <w:footnoteReference w:id="91"/>
      </w:r>
      <w:r w:rsidRPr="006D21CC">
        <w:t xml:space="preserve"> </w:t>
      </w:r>
      <w:r w:rsidR="00B95C22" w:rsidRPr="006D21CC">
        <w:t xml:space="preserve">The </w:t>
      </w:r>
      <w:r w:rsidR="007438F0" w:rsidRPr="006D21CC">
        <w:t xml:space="preserve">PUCO </w:t>
      </w:r>
      <w:r w:rsidRPr="006D21CC">
        <w:t>Staff</w:t>
      </w:r>
      <w:r w:rsidR="006D21CC">
        <w:t>’</w:t>
      </w:r>
      <w:r w:rsidRPr="006D21CC">
        <w:t>s failure to require Enbridge to report to the PUCO how it intends to respond to Revenue Procedure 2023-15 puts customers at risk for excessive surcharges and excess PISCC deferrals.</w:t>
      </w:r>
    </w:p>
    <w:p w14:paraId="52C9C410" w14:textId="3276A44B" w:rsidR="005550DE" w:rsidRPr="006D21CC" w:rsidRDefault="00AF4AAB" w:rsidP="00EC1AFB">
      <w:pPr>
        <w:pStyle w:val="Heading3"/>
        <w:rPr>
          <w:rFonts w:cs="Times New Roman"/>
          <w:szCs w:val="24"/>
        </w:rPr>
      </w:pPr>
      <w:bookmarkStart w:id="27" w:name="_Toc172895210"/>
      <w:bookmarkStart w:id="28" w:name="_Hlk172117168"/>
      <w:r w:rsidRPr="006D21CC">
        <w:rPr>
          <w:rFonts w:cs="Times New Roman"/>
          <w:szCs w:val="24"/>
          <w:u w:val="single"/>
        </w:rPr>
        <w:lastRenderedPageBreak/>
        <w:t xml:space="preserve">Objection No. </w:t>
      </w:r>
      <w:r w:rsidR="00914B7E" w:rsidRPr="006D21CC">
        <w:rPr>
          <w:rFonts w:cs="Times New Roman"/>
          <w:szCs w:val="24"/>
          <w:u w:val="single"/>
        </w:rPr>
        <w:t>1</w:t>
      </w:r>
      <w:r w:rsidR="000713CD">
        <w:rPr>
          <w:rFonts w:cs="Times New Roman"/>
          <w:szCs w:val="24"/>
          <w:u w:val="single"/>
        </w:rPr>
        <w:t>2</w:t>
      </w:r>
      <w:r w:rsidRPr="006D21CC">
        <w:rPr>
          <w:rFonts w:cs="Times New Roman"/>
          <w:szCs w:val="24"/>
          <w:u w:val="single"/>
        </w:rPr>
        <w:t>:</w:t>
      </w:r>
      <w:r w:rsidRPr="006D21CC">
        <w:rPr>
          <w:rFonts w:cs="Times New Roman"/>
          <w:szCs w:val="24"/>
        </w:rPr>
        <w:t xml:space="preserve"> The Staff Report erred by not modifying the CEP mechanism to reflect annual ADIT changes associated with</w:t>
      </w:r>
      <w:r w:rsidR="00B21C86" w:rsidRPr="006D21CC">
        <w:rPr>
          <w:rFonts w:cs="Times New Roman"/>
          <w:szCs w:val="24"/>
        </w:rPr>
        <w:t xml:space="preserve"> the</w:t>
      </w:r>
      <w:r w:rsidRPr="006D21CC">
        <w:rPr>
          <w:rFonts w:cs="Times New Roman"/>
          <w:szCs w:val="24"/>
        </w:rPr>
        <w:t xml:space="preserve"> plant in-service balances adopted in this matter.</w:t>
      </w:r>
      <w:r w:rsidR="00B95C22" w:rsidRPr="006D21CC">
        <w:rPr>
          <w:rFonts w:cs="Times New Roman"/>
          <w:szCs w:val="24"/>
        </w:rPr>
        <w:t xml:space="preserve"> The Staff Report results in rates and other charges to consumers more than what is just and reasonable under R.C. 4909.15, R.C. 490</w:t>
      </w:r>
      <w:r w:rsidR="00265A42" w:rsidRPr="006D21CC">
        <w:rPr>
          <w:rFonts w:cs="Times New Roman"/>
          <w:szCs w:val="24"/>
        </w:rPr>
        <w:t>5</w:t>
      </w:r>
      <w:r w:rsidR="00B95C22" w:rsidRPr="006D21CC">
        <w:rPr>
          <w:rFonts w:cs="Times New Roman"/>
          <w:szCs w:val="24"/>
        </w:rPr>
        <w:t>.22</w:t>
      </w:r>
      <w:r w:rsidR="00514012">
        <w:rPr>
          <w:rFonts w:cs="Times New Roman"/>
          <w:szCs w:val="24"/>
        </w:rPr>
        <w:t>,</w:t>
      </w:r>
      <w:r w:rsidR="00B95C22" w:rsidRPr="006D21CC">
        <w:rPr>
          <w:rFonts w:cs="Times New Roman"/>
          <w:szCs w:val="24"/>
        </w:rPr>
        <w:t xml:space="preserve"> and other authority.</w:t>
      </w:r>
      <w:bookmarkEnd w:id="27"/>
    </w:p>
    <w:p w14:paraId="5F076E04" w14:textId="77777777" w:rsidR="007D6861" w:rsidRPr="006D21CC" w:rsidRDefault="007D6861" w:rsidP="00EC1AFB">
      <w:pPr>
        <w:pStyle w:val="Heading3"/>
        <w:rPr>
          <w:rFonts w:cs="Times New Roman"/>
          <w:szCs w:val="24"/>
        </w:rPr>
      </w:pPr>
    </w:p>
    <w:bookmarkEnd w:id="28"/>
    <w:p w14:paraId="4B2E3A32" w14:textId="1C4E8B2F" w:rsidR="00834C10" w:rsidRPr="006D21CC" w:rsidRDefault="00AF4AAB" w:rsidP="006E4CD8">
      <w:pPr>
        <w:spacing w:line="480" w:lineRule="auto"/>
      </w:pPr>
      <w:r w:rsidRPr="006D21CC">
        <w:tab/>
        <w:t>The Staff Report erred and harm</w:t>
      </w:r>
      <w:r w:rsidR="00B95C22" w:rsidRPr="006D21CC">
        <w:t>s</w:t>
      </w:r>
      <w:r w:rsidRPr="006D21CC">
        <w:t xml:space="preserve"> consumers by not modifying the CEP mechanism to reflect annual ADIT changes associated with plant in-service balances adopted in this proceeding. The Staff </w:t>
      </w:r>
      <w:r w:rsidR="00F27B0E" w:rsidRPr="006D21CC">
        <w:t>R</w:t>
      </w:r>
      <w:r w:rsidRPr="006D21CC">
        <w:t>eport recommends retaining the Depreciation Expense deduction to calculate the CEP Rate Base.</w:t>
      </w:r>
      <w:r>
        <w:rPr>
          <w:rStyle w:val="FootnoteReference"/>
        </w:rPr>
        <w:footnoteReference w:id="92"/>
      </w:r>
      <w:r w:rsidR="00E5007D">
        <w:t xml:space="preserve"> </w:t>
      </w:r>
      <w:r w:rsidRPr="006D21CC">
        <w:t>However, the CEP mechanism should also measure the change in the Company</w:t>
      </w:r>
      <w:r w:rsidR="006D21CC">
        <w:t>’</w:t>
      </w:r>
      <w:r w:rsidRPr="006D21CC">
        <w:t>s ADIT balance associated with Plant in Service adopted in this proceeding.</w:t>
      </w:r>
      <w:r w:rsidR="00E5007D">
        <w:t xml:space="preserve"> </w:t>
      </w:r>
    </w:p>
    <w:p w14:paraId="2E6241F2" w14:textId="4EBA2EA1" w:rsidR="00E82DB5" w:rsidRDefault="00AF4AAB" w:rsidP="003D08AF">
      <w:pPr>
        <w:spacing w:line="480" w:lineRule="auto"/>
        <w:ind w:firstLine="720"/>
      </w:pPr>
      <w:r w:rsidRPr="006D21CC">
        <w:t xml:space="preserve">This modification is necessary to match the Depreciation Expense offset that </w:t>
      </w:r>
      <w:r w:rsidR="003E5D38">
        <w:t xml:space="preserve">the PUCO </w:t>
      </w:r>
      <w:r w:rsidRPr="006D21CC">
        <w:t>Staff proposes to retain with the related ADIT balance changes in the measurement of the CEP Rate Base. A Depreciation Expense offset should be adopted along with the related change in ADIT balances associated with the base rate level of Plant in Service adopted in this proceeding.</w:t>
      </w:r>
      <w:r w:rsidR="00E5007D">
        <w:t xml:space="preserve"> </w:t>
      </w:r>
      <w:r w:rsidRPr="006D21CC">
        <w:t>The increased level of book depreciation is an appropriate reduction to the level of the CEP rate base—likewise, tax depreciation on legacy plant in service changes annually. The timing differences between book/tax depre</w:t>
      </w:r>
      <w:r w:rsidRPr="006D21CC">
        <w:t>ciation on the PUCO-adopted Plant in Service should be measured to ensure that all plant-related balances associated with the December 31, 2023 plant balances are recognized within the CEP mechanism. This remeasurement would include any changes to the unamortized balance of Excess Deferred Income Taxes.</w:t>
      </w:r>
    </w:p>
    <w:p w14:paraId="52E024C0" w14:textId="77777777" w:rsidR="00E82DB5" w:rsidRDefault="00AF4AAB">
      <w:pPr>
        <w:spacing w:after="160" w:line="278" w:lineRule="auto"/>
      </w:pPr>
      <w:r>
        <w:br w:type="page"/>
      </w:r>
    </w:p>
    <w:p w14:paraId="7C74EF2F" w14:textId="14FD04A1" w:rsidR="004B05B5" w:rsidRPr="006D21CC" w:rsidRDefault="00AF4AAB" w:rsidP="00E82DB5">
      <w:pPr>
        <w:pStyle w:val="Heading3"/>
      </w:pPr>
      <w:bookmarkStart w:id="29" w:name="_Toc172895211"/>
      <w:r w:rsidRPr="006D21CC">
        <w:rPr>
          <w:u w:val="single"/>
        </w:rPr>
        <w:lastRenderedPageBreak/>
        <w:t>Objection No. 1</w:t>
      </w:r>
      <w:r w:rsidR="000713CD">
        <w:rPr>
          <w:u w:val="single"/>
        </w:rPr>
        <w:t>3</w:t>
      </w:r>
      <w:r w:rsidRPr="00EA51B0">
        <w:rPr>
          <w:u w:val="single"/>
        </w:rPr>
        <w:t>:</w:t>
      </w:r>
      <w:r w:rsidRPr="006D21CC">
        <w:t xml:space="preserve"> </w:t>
      </w:r>
      <w:r w:rsidRPr="00C62145">
        <w:t>The Staff Report erred and harms consumers in not recommending Enbridge be ordered to provide proof of its assertation that negotiated contract customers are a net benefit to the system in its next base rate.</w:t>
      </w:r>
      <w:bookmarkEnd w:id="29"/>
    </w:p>
    <w:p w14:paraId="582ED5BE" w14:textId="77777777" w:rsidR="004B05B5" w:rsidRPr="006D21CC" w:rsidRDefault="004B05B5" w:rsidP="00C62145">
      <w:pPr>
        <w:ind w:left="1440"/>
      </w:pPr>
    </w:p>
    <w:p w14:paraId="55E59411" w14:textId="40FCA1F4" w:rsidR="00C341B7" w:rsidRPr="006D21CC" w:rsidRDefault="00AF4AAB" w:rsidP="00C62145">
      <w:pPr>
        <w:spacing w:line="480" w:lineRule="auto"/>
      </w:pPr>
      <w:r>
        <w:tab/>
      </w:r>
      <w:r w:rsidRPr="00C341B7">
        <w:t>While OCC agrees with</w:t>
      </w:r>
      <w:r w:rsidR="003E5D38">
        <w:t xml:space="preserve"> the</w:t>
      </w:r>
      <w:r w:rsidRPr="00C341B7">
        <w:t xml:space="preserve"> PUCO Staff that</w:t>
      </w:r>
      <w:r w:rsidR="00514012">
        <w:t>,</w:t>
      </w:r>
      <w:r w:rsidRPr="00C341B7">
        <w:t xml:space="preserve"> from a cost of service perspective</w:t>
      </w:r>
      <w:r w:rsidR="00514012">
        <w:t>,</w:t>
      </w:r>
      <w:r w:rsidRPr="00C341B7">
        <w:t xml:space="preserve"> allowing these customers to receive a revenue decrease is unjustifiable, the PUCO Staff should have recommended that in their next rate case Enbridge be ordered to show that negotiated contract customers are a net benefit to the system. If not a net benefit, full recovery of costs or disallowance of recovery on a portion of rate base may be justifiable.</w:t>
      </w:r>
    </w:p>
    <w:p w14:paraId="76101566" w14:textId="17039F55" w:rsidR="000D0E6C" w:rsidRPr="006D21CC" w:rsidRDefault="00AF4AAB" w:rsidP="00E82DB5">
      <w:pPr>
        <w:pStyle w:val="Heading2"/>
        <w:numPr>
          <w:ilvl w:val="0"/>
          <w:numId w:val="20"/>
        </w:numPr>
        <w:ind w:left="1440" w:hanging="720"/>
        <w:rPr>
          <w:rFonts w:cs="Times New Roman"/>
          <w:szCs w:val="24"/>
        </w:rPr>
      </w:pPr>
      <w:bookmarkStart w:id="30" w:name="_Toc172895212"/>
      <w:r w:rsidRPr="006D21CC">
        <w:rPr>
          <w:rFonts w:cs="Times New Roman"/>
          <w:szCs w:val="24"/>
        </w:rPr>
        <w:t>Consumer Protections</w:t>
      </w:r>
      <w:bookmarkEnd w:id="30"/>
      <w:r w:rsidRPr="006D21CC">
        <w:rPr>
          <w:rFonts w:cs="Times New Roman"/>
          <w:szCs w:val="24"/>
        </w:rPr>
        <w:t xml:space="preserve"> </w:t>
      </w:r>
    </w:p>
    <w:p w14:paraId="16DECFAD" w14:textId="77777777" w:rsidR="00EC1AFB" w:rsidRPr="006D21CC" w:rsidRDefault="00EC1AFB" w:rsidP="00EC1AFB">
      <w:pPr>
        <w:ind w:left="720"/>
      </w:pPr>
    </w:p>
    <w:p w14:paraId="0A85354A" w14:textId="06D3F5CC" w:rsidR="00CD0439" w:rsidRPr="006D21CC" w:rsidRDefault="00AF4AAB" w:rsidP="00EC1AFB">
      <w:pPr>
        <w:pStyle w:val="Heading3"/>
        <w:rPr>
          <w:rFonts w:cs="Times New Roman"/>
          <w:szCs w:val="24"/>
        </w:rPr>
      </w:pPr>
      <w:bookmarkStart w:id="31" w:name="_Toc172895213"/>
      <w:bookmarkStart w:id="32" w:name="_Toc102746343"/>
      <w:bookmarkStart w:id="33" w:name="_Hlk172117238"/>
      <w:bookmarkStart w:id="34" w:name="_Hlk167779787"/>
      <w:r w:rsidRPr="006D21CC">
        <w:rPr>
          <w:rFonts w:cs="Times New Roman"/>
          <w:szCs w:val="24"/>
          <w:u w:val="single"/>
        </w:rPr>
        <w:t xml:space="preserve">Objection No. </w:t>
      </w:r>
      <w:r w:rsidR="00914B7E" w:rsidRPr="006D21CC">
        <w:rPr>
          <w:rFonts w:cs="Times New Roman"/>
          <w:szCs w:val="24"/>
          <w:u w:val="single"/>
        </w:rPr>
        <w:t>1</w:t>
      </w:r>
      <w:r w:rsidR="000713CD">
        <w:rPr>
          <w:rFonts w:cs="Times New Roman"/>
          <w:szCs w:val="24"/>
          <w:u w:val="single"/>
        </w:rPr>
        <w:t>4</w:t>
      </w:r>
      <w:r w:rsidRPr="006D21CC">
        <w:rPr>
          <w:rFonts w:cs="Times New Roman"/>
          <w:szCs w:val="24"/>
          <w:u w:val="single"/>
        </w:rPr>
        <w:t>:</w:t>
      </w:r>
      <w:r w:rsidR="00E5007D">
        <w:rPr>
          <w:rFonts w:cs="Times New Roman"/>
          <w:szCs w:val="24"/>
        </w:rPr>
        <w:t xml:space="preserve"> </w:t>
      </w:r>
      <w:bookmarkStart w:id="35" w:name="_Hlk172119155"/>
      <w:r w:rsidRPr="006D21CC">
        <w:rPr>
          <w:rFonts w:cs="Times New Roman"/>
          <w:szCs w:val="24"/>
        </w:rPr>
        <w:t xml:space="preserve">The Staff Report erred and harms consumers by failing to evaluate the impact of the rates and rider charges on consumers with respect to energy affordability or the energy burden of </w:t>
      </w:r>
      <w:r w:rsidR="003F3116" w:rsidRPr="006D21CC">
        <w:rPr>
          <w:rFonts w:cs="Times New Roman"/>
          <w:szCs w:val="24"/>
        </w:rPr>
        <w:t>Enbridge</w:t>
      </w:r>
      <w:r w:rsidR="006D21CC">
        <w:rPr>
          <w:rFonts w:cs="Times New Roman"/>
          <w:szCs w:val="24"/>
        </w:rPr>
        <w:t>’</w:t>
      </w:r>
      <w:r w:rsidRPr="006D21CC">
        <w:rPr>
          <w:rFonts w:cs="Times New Roman"/>
          <w:szCs w:val="24"/>
        </w:rPr>
        <w:t>s proposed rates and rider charges.</w:t>
      </w:r>
      <w:bookmarkEnd w:id="31"/>
      <w:r w:rsidR="00E5007D">
        <w:rPr>
          <w:rFonts w:cs="Times New Roman"/>
          <w:szCs w:val="24"/>
        </w:rPr>
        <w:t xml:space="preserve"> </w:t>
      </w:r>
      <w:bookmarkEnd w:id="35"/>
    </w:p>
    <w:p w14:paraId="171FBED3" w14:textId="77777777" w:rsidR="009043DC" w:rsidRPr="006D21CC" w:rsidRDefault="009043DC" w:rsidP="009043DC">
      <w:pPr>
        <w:spacing w:line="264" w:lineRule="auto"/>
        <w:contextualSpacing/>
        <w:rPr>
          <w:kern w:val="2"/>
          <w14:ligatures w14:val="standardContextual"/>
        </w:rPr>
      </w:pPr>
    </w:p>
    <w:p w14:paraId="335A13FA" w14:textId="575EA8EB" w:rsidR="00CD0439" w:rsidRPr="006D21CC" w:rsidRDefault="00AF4AAB" w:rsidP="006E4CD8">
      <w:pPr>
        <w:spacing w:line="480" w:lineRule="auto"/>
        <w:ind w:firstLine="720"/>
        <w:contextualSpacing/>
        <w:rPr>
          <w:kern w:val="2"/>
          <w14:ligatures w14:val="standardContextual"/>
        </w:rPr>
      </w:pPr>
      <w:r w:rsidRPr="006D21CC">
        <w:rPr>
          <w:kern w:val="2"/>
          <w14:ligatures w14:val="standardContextual"/>
        </w:rPr>
        <w:t xml:space="preserve">The Staff Report </w:t>
      </w:r>
      <w:r w:rsidR="0071277C" w:rsidRPr="006D21CC">
        <w:rPr>
          <w:kern w:val="2"/>
          <w14:ligatures w14:val="standardContextual"/>
        </w:rPr>
        <w:t xml:space="preserve">unreasonably </w:t>
      </w:r>
      <w:r w:rsidRPr="006D21CC">
        <w:rPr>
          <w:kern w:val="2"/>
          <w14:ligatures w14:val="standardContextual"/>
        </w:rPr>
        <w:t>fails to address energy affordability and energy burden on Enbridge</w:t>
      </w:r>
      <w:r w:rsidR="006D21CC">
        <w:rPr>
          <w:kern w:val="2"/>
          <w14:ligatures w14:val="standardContextual"/>
        </w:rPr>
        <w:t>’</w:t>
      </w:r>
      <w:r w:rsidRPr="006D21CC">
        <w:rPr>
          <w:kern w:val="2"/>
          <w14:ligatures w14:val="standardContextual"/>
        </w:rPr>
        <w:t>s consumers.</w:t>
      </w:r>
      <w:r w:rsidR="00E5007D">
        <w:rPr>
          <w:kern w:val="2"/>
          <w14:ligatures w14:val="standardContextual"/>
        </w:rPr>
        <w:t xml:space="preserve"> </w:t>
      </w:r>
      <w:r w:rsidR="0071277C" w:rsidRPr="006D21CC">
        <w:rPr>
          <w:kern w:val="2"/>
          <w14:ligatures w14:val="standardContextual"/>
        </w:rPr>
        <w:t xml:space="preserve">As explained above, the Staff Report results in </w:t>
      </w:r>
      <w:r w:rsidRPr="006D21CC">
        <w:rPr>
          <w:kern w:val="2"/>
          <w14:ligatures w14:val="standardContextual"/>
        </w:rPr>
        <w:t xml:space="preserve">rates and rider charges are unjust and unreasonable in violation of R.C. 4909.15 and R.C. </w:t>
      </w:r>
      <w:r w:rsidR="00265A42" w:rsidRPr="006D21CC">
        <w:rPr>
          <w:kern w:val="2"/>
          <w14:ligatures w14:val="standardContextual"/>
        </w:rPr>
        <w:t>4905.22</w:t>
      </w:r>
      <w:r w:rsidRPr="006D21CC">
        <w:rPr>
          <w:kern w:val="2"/>
          <w14:ligatures w14:val="standardContextual"/>
        </w:rPr>
        <w:t xml:space="preserve">. </w:t>
      </w:r>
      <w:r w:rsidR="0071277C" w:rsidRPr="006D21CC">
        <w:rPr>
          <w:kern w:val="2"/>
          <w14:ligatures w14:val="standardContextual"/>
        </w:rPr>
        <w:t>The Staff Report should have considered the burden of these rates on Enbridge</w:t>
      </w:r>
      <w:r w:rsidR="006D21CC">
        <w:rPr>
          <w:kern w:val="2"/>
          <w14:ligatures w14:val="standardContextual"/>
        </w:rPr>
        <w:t>’</w:t>
      </w:r>
      <w:r w:rsidR="0071277C" w:rsidRPr="006D21CC">
        <w:rPr>
          <w:kern w:val="2"/>
          <w14:ligatures w14:val="standardContextual"/>
        </w:rPr>
        <w:t>s residential consumers.</w:t>
      </w:r>
      <w:r w:rsidRPr="006D21CC">
        <w:rPr>
          <w:kern w:val="2"/>
          <w14:ligatures w14:val="standardContextual"/>
        </w:rPr>
        <w:t xml:space="preserve"> The energy burden is exacerbated by the fact that such a high proportion of the overall rate and rider charges are fixed charges.</w:t>
      </w:r>
      <w:r w:rsidR="00E5007D">
        <w:rPr>
          <w:kern w:val="2"/>
          <w14:ligatures w14:val="standardContextual"/>
        </w:rPr>
        <w:t xml:space="preserve"> </w:t>
      </w:r>
    </w:p>
    <w:p w14:paraId="21BD2B39" w14:textId="70290CC5" w:rsidR="00CD0439" w:rsidRPr="006D21CC" w:rsidRDefault="00AF4AAB" w:rsidP="006E4CD8">
      <w:pPr>
        <w:spacing w:line="480" w:lineRule="auto"/>
        <w:ind w:firstLine="720"/>
        <w:contextualSpacing/>
        <w:rPr>
          <w:kern w:val="2"/>
          <w14:ligatures w14:val="standardContextual"/>
        </w:rPr>
      </w:pPr>
      <w:r w:rsidRPr="006D21CC">
        <w:rPr>
          <w:kern w:val="2"/>
          <w14:ligatures w14:val="standardContextual"/>
        </w:rPr>
        <w:t xml:space="preserve">The U.S. Department of Energy considers a household with six percent or greater energy burden as a </w:t>
      </w:r>
      <w:r w:rsidR="006D21CC">
        <w:rPr>
          <w:kern w:val="2"/>
          <w14:ligatures w14:val="standardContextual"/>
        </w:rPr>
        <w:t>“</w:t>
      </w:r>
      <w:r w:rsidRPr="006D21CC">
        <w:rPr>
          <w:kern w:val="2"/>
          <w14:ligatures w14:val="standardContextual"/>
        </w:rPr>
        <w:t>high energy burden household.</w:t>
      </w:r>
      <w:r w:rsidR="006D21CC">
        <w:rPr>
          <w:kern w:val="2"/>
          <w14:ligatures w14:val="standardContextual"/>
        </w:rPr>
        <w:t>”</w:t>
      </w:r>
      <w:r w:rsidRPr="006D21CC">
        <w:rPr>
          <w:kern w:val="2"/>
          <w14:ligatures w14:val="standardContextual"/>
        </w:rPr>
        <w:t xml:space="preserve"> Energy burden is important as energy costs are an essential household expenditure. After paying for energy, a household must pay for housing expenses, such as rent or a mortgage, various taxes, food, health care, clothing, childcare, or other essentials to the maintenance of life. With recent high inflation, those other essentials have often become more expensive, placing further stress on household budgets. An increase in energy </w:t>
      </w:r>
      <w:r w:rsidRPr="006D21CC">
        <w:rPr>
          <w:kern w:val="2"/>
          <w14:ligatures w14:val="standardContextual"/>
        </w:rPr>
        <w:lastRenderedPageBreak/>
        <w:t>costs not only impacts a household</w:t>
      </w:r>
      <w:r w:rsidR="006D21CC">
        <w:rPr>
          <w:kern w:val="2"/>
          <w14:ligatures w14:val="standardContextual"/>
        </w:rPr>
        <w:t>’</w:t>
      </w:r>
      <w:r w:rsidRPr="006D21CC">
        <w:rPr>
          <w:kern w:val="2"/>
          <w14:ligatures w14:val="standardContextual"/>
        </w:rPr>
        <w:t>s energy bu</w:t>
      </w:r>
      <w:r w:rsidRPr="006D21CC">
        <w:rPr>
          <w:kern w:val="2"/>
          <w14:ligatures w14:val="standardContextual"/>
        </w:rPr>
        <w:t>rden, but a household</w:t>
      </w:r>
      <w:r w:rsidR="006D21CC">
        <w:rPr>
          <w:kern w:val="2"/>
          <w14:ligatures w14:val="standardContextual"/>
        </w:rPr>
        <w:t>’</w:t>
      </w:r>
      <w:r w:rsidRPr="006D21CC">
        <w:rPr>
          <w:kern w:val="2"/>
          <w14:ligatures w14:val="standardContextual"/>
        </w:rPr>
        <w:t>s ability to maintain the other essentials of life.</w:t>
      </w:r>
      <w:r w:rsidR="00E5007D">
        <w:rPr>
          <w:kern w:val="2"/>
          <w14:ligatures w14:val="standardContextual"/>
        </w:rPr>
        <w:t xml:space="preserve"> </w:t>
      </w:r>
    </w:p>
    <w:p w14:paraId="712FF588" w14:textId="387DF83D" w:rsidR="00CD0439" w:rsidRPr="006D21CC" w:rsidRDefault="00AF4AAB" w:rsidP="006E4CD8">
      <w:pPr>
        <w:spacing w:line="480" w:lineRule="auto"/>
        <w:ind w:firstLine="720"/>
        <w:contextualSpacing/>
        <w:rPr>
          <w:kern w:val="2"/>
          <w14:ligatures w14:val="standardContextual"/>
        </w:rPr>
      </w:pPr>
      <w:r w:rsidRPr="006D21CC">
        <w:rPr>
          <w:kern w:val="2"/>
          <w14:ligatures w14:val="standardContextual"/>
        </w:rPr>
        <w:t xml:space="preserve">According to the </w:t>
      </w:r>
      <w:r w:rsidR="00EC4374" w:rsidRPr="006D21CC">
        <w:rPr>
          <w:kern w:val="2"/>
          <w14:ligatures w14:val="standardContextual"/>
        </w:rPr>
        <w:t xml:space="preserve">Ohio Association of </w:t>
      </w:r>
      <w:r w:rsidR="00162FFA" w:rsidRPr="006D21CC">
        <w:rPr>
          <w:kern w:val="2"/>
          <w14:ligatures w14:val="standardContextual"/>
        </w:rPr>
        <w:t>Community</w:t>
      </w:r>
      <w:r w:rsidR="00EC4374" w:rsidRPr="006D21CC">
        <w:rPr>
          <w:kern w:val="2"/>
          <w14:ligatures w14:val="standardContextual"/>
        </w:rPr>
        <w:t xml:space="preserve"> Action Agencies</w:t>
      </w:r>
      <w:r w:rsidR="006D21CC">
        <w:rPr>
          <w:kern w:val="2"/>
          <w14:ligatures w14:val="standardContextual"/>
        </w:rPr>
        <w:t>’</w:t>
      </w:r>
      <w:r w:rsidR="00EC4374" w:rsidRPr="006D21CC">
        <w:rPr>
          <w:kern w:val="2"/>
          <w14:ligatures w14:val="standardContextual"/>
        </w:rPr>
        <w:t xml:space="preserve"> </w:t>
      </w:r>
      <w:r w:rsidR="00162FFA" w:rsidRPr="006D21CC">
        <w:rPr>
          <w:kern w:val="2"/>
          <w14:ligatures w14:val="standardContextual"/>
        </w:rPr>
        <w:t>Report, The</w:t>
      </w:r>
      <w:r w:rsidR="00EC4374" w:rsidRPr="006D21CC">
        <w:rPr>
          <w:kern w:val="2"/>
          <w14:ligatures w14:val="standardContextual"/>
        </w:rPr>
        <w:t xml:space="preserve"> State of Poverty in Ohio (2023)</w:t>
      </w:r>
      <w:r w:rsidRPr="006D21CC">
        <w:rPr>
          <w:kern w:val="2"/>
          <w14:ligatures w14:val="standardContextual"/>
        </w:rPr>
        <w:t xml:space="preserve">, the poverty rate in </w:t>
      </w:r>
      <w:r w:rsidR="00561DAB" w:rsidRPr="006D21CC">
        <w:rPr>
          <w:kern w:val="2"/>
          <w14:ligatures w14:val="standardContextual"/>
        </w:rPr>
        <w:t>Enbridge</w:t>
      </w:r>
      <w:r w:rsidR="006D21CC">
        <w:rPr>
          <w:kern w:val="2"/>
          <w14:ligatures w14:val="standardContextual"/>
        </w:rPr>
        <w:t>’</w:t>
      </w:r>
      <w:r w:rsidRPr="006D21CC">
        <w:rPr>
          <w:kern w:val="2"/>
          <w14:ligatures w14:val="standardContextual"/>
        </w:rPr>
        <w:t>s service area is significantly higher than the overall poverty rate in Ohio.</w:t>
      </w:r>
      <w:r>
        <w:rPr>
          <w:rStyle w:val="FootnoteReference"/>
          <w:kern w:val="2"/>
          <w14:ligatures w14:val="standardContextual"/>
        </w:rPr>
        <w:footnoteReference w:id="93"/>
      </w:r>
      <w:r w:rsidR="00E5007D">
        <w:rPr>
          <w:kern w:val="2"/>
          <w14:ligatures w14:val="standardContextual"/>
        </w:rPr>
        <w:t xml:space="preserve"> </w:t>
      </w:r>
      <w:r w:rsidRPr="006D21CC">
        <w:rPr>
          <w:kern w:val="2"/>
          <w14:ligatures w14:val="standardContextual"/>
        </w:rPr>
        <w:t xml:space="preserve">The </w:t>
      </w:r>
      <w:r w:rsidR="00561DAB" w:rsidRPr="006D21CC">
        <w:rPr>
          <w:kern w:val="2"/>
          <w14:ligatures w14:val="standardContextual"/>
        </w:rPr>
        <w:t>Percentage of Income Payment Plan (</w:t>
      </w:r>
      <w:r w:rsidR="006D21CC">
        <w:rPr>
          <w:kern w:val="2"/>
          <w14:ligatures w14:val="standardContextual"/>
        </w:rPr>
        <w:t>“</w:t>
      </w:r>
      <w:r w:rsidRPr="006D21CC">
        <w:rPr>
          <w:kern w:val="2"/>
          <w14:ligatures w14:val="standardContextual"/>
        </w:rPr>
        <w:t>PIPP</w:t>
      </w:r>
      <w:r w:rsidR="006D21CC">
        <w:rPr>
          <w:kern w:val="2"/>
          <w14:ligatures w14:val="standardContextual"/>
        </w:rPr>
        <w:t>”</w:t>
      </w:r>
      <w:r w:rsidR="00561DAB" w:rsidRPr="006D21CC">
        <w:rPr>
          <w:kern w:val="2"/>
          <w14:ligatures w14:val="standardContextual"/>
        </w:rPr>
        <w:t>)</w:t>
      </w:r>
      <w:r w:rsidRPr="006D21CC">
        <w:rPr>
          <w:kern w:val="2"/>
          <w14:ligatures w14:val="standardContextual"/>
        </w:rPr>
        <w:t xml:space="preserve">, </w:t>
      </w:r>
      <w:r w:rsidR="00561DAB" w:rsidRPr="006D21CC">
        <w:rPr>
          <w:kern w:val="2"/>
          <w14:ligatures w14:val="standardContextual"/>
        </w:rPr>
        <w:t>Home Energy Assistance Plan (</w:t>
      </w:r>
      <w:r w:rsidR="006D21CC">
        <w:rPr>
          <w:kern w:val="2"/>
          <w14:ligatures w14:val="standardContextual"/>
        </w:rPr>
        <w:t>“</w:t>
      </w:r>
      <w:r w:rsidRPr="006D21CC">
        <w:rPr>
          <w:kern w:val="2"/>
          <w14:ligatures w14:val="standardContextual"/>
        </w:rPr>
        <w:t>HEAP</w:t>
      </w:r>
      <w:r w:rsidR="006D21CC">
        <w:rPr>
          <w:kern w:val="2"/>
          <w14:ligatures w14:val="standardContextual"/>
        </w:rPr>
        <w:t>”</w:t>
      </w:r>
      <w:r w:rsidR="00561DAB" w:rsidRPr="006D21CC">
        <w:rPr>
          <w:kern w:val="2"/>
          <w14:ligatures w14:val="standardContextual"/>
        </w:rPr>
        <w:t>)</w:t>
      </w:r>
      <w:r w:rsidRPr="006D21CC">
        <w:rPr>
          <w:kern w:val="2"/>
          <w14:ligatures w14:val="standardContextual"/>
        </w:rPr>
        <w:t xml:space="preserve"> and Energy Assistance programs provide some relief for the energy burden, but not enough.</w:t>
      </w:r>
      <w:r w:rsidR="00E5007D">
        <w:rPr>
          <w:kern w:val="2"/>
          <w14:ligatures w14:val="standardContextual"/>
        </w:rPr>
        <w:t xml:space="preserve"> </w:t>
      </w:r>
    </w:p>
    <w:p w14:paraId="228AF74A" w14:textId="0DF8BE49" w:rsidR="00CD0439" w:rsidRPr="006D21CC" w:rsidRDefault="00AF4AAB" w:rsidP="00EC1AFB">
      <w:pPr>
        <w:pStyle w:val="Heading3"/>
        <w:rPr>
          <w:rFonts w:cs="Times New Roman"/>
          <w:szCs w:val="24"/>
        </w:rPr>
      </w:pPr>
      <w:bookmarkStart w:id="36" w:name="_Toc172895214"/>
      <w:r w:rsidRPr="006D21CC">
        <w:rPr>
          <w:rFonts w:cs="Times New Roman"/>
          <w:szCs w:val="24"/>
          <w:u w:val="single"/>
        </w:rPr>
        <w:t xml:space="preserve">Objection No. </w:t>
      </w:r>
      <w:r w:rsidR="00914B7E" w:rsidRPr="006D21CC">
        <w:rPr>
          <w:rFonts w:cs="Times New Roman"/>
          <w:szCs w:val="24"/>
          <w:u w:val="single"/>
        </w:rPr>
        <w:t>1</w:t>
      </w:r>
      <w:r w:rsidR="000713CD">
        <w:rPr>
          <w:rFonts w:cs="Times New Roman"/>
          <w:szCs w:val="24"/>
          <w:u w:val="single"/>
        </w:rPr>
        <w:t>5</w:t>
      </w:r>
      <w:r w:rsidRPr="006D21CC">
        <w:rPr>
          <w:rFonts w:cs="Times New Roman"/>
          <w:szCs w:val="24"/>
          <w:u w:val="single"/>
        </w:rPr>
        <w:t>:</w:t>
      </w:r>
      <w:r w:rsidRPr="006D21CC">
        <w:rPr>
          <w:rFonts w:cs="Times New Roman"/>
          <w:szCs w:val="24"/>
        </w:rPr>
        <w:t xml:space="preserve"> </w:t>
      </w:r>
      <w:bookmarkStart w:id="37" w:name="_Hlk172119186"/>
      <w:r w:rsidR="003F3116" w:rsidRPr="006D21CC">
        <w:rPr>
          <w:rFonts w:cs="Times New Roman"/>
          <w:szCs w:val="24"/>
        </w:rPr>
        <w:t>The Staff Report erred</w:t>
      </w:r>
      <w:r w:rsidR="00774FB5">
        <w:rPr>
          <w:rFonts w:cs="Times New Roman"/>
          <w:szCs w:val="24"/>
        </w:rPr>
        <w:t xml:space="preserve"> and harmed consumers</w:t>
      </w:r>
      <w:r w:rsidR="003F3116" w:rsidRPr="006D21CC">
        <w:rPr>
          <w:rFonts w:cs="Times New Roman"/>
          <w:szCs w:val="24"/>
        </w:rPr>
        <w:t xml:space="preserve"> in its </w:t>
      </w:r>
      <w:r w:rsidRPr="006D21CC">
        <w:rPr>
          <w:rFonts w:cs="Times New Roman"/>
          <w:szCs w:val="24"/>
        </w:rPr>
        <w:t>failure to recommend an investigation into the root causes for the dramatic increase in disconnections from 2021 to 2023.</w:t>
      </w:r>
      <w:bookmarkEnd w:id="36"/>
    </w:p>
    <w:p w14:paraId="67085F60" w14:textId="77777777" w:rsidR="009043DC" w:rsidRPr="006D21CC" w:rsidRDefault="009043DC" w:rsidP="009043DC">
      <w:pPr>
        <w:spacing w:line="264" w:lineRule="auto"/>
        <w:rPr>
          <w:b/>
          <w:bCs/>
        </w:rPr>
      </w:pPr>
    </w:p>
    <w:bookmarkEnd w:id="37"/>
    <w:p w14:paraId="483DA008" w14:textId="2E4DEC44" w:rsidR="00CD0439" w:rsidRPr="006D21CC" w:rsidRDefault="00AF4AAB" w:rsidP="006E4CD8">
      <w:pPr>
        <w:spacing w:line="480" w:lineRule="auto"/>
        <w:ind w:firstLine="720"/>
      </w:pPr>
      <w:r w:rsidRPr="006D21CC">
        <w:t xml:space="preserve">The OCC </w:t>
      </w:r>
      <w:r w:rsidR="00315A13" w:rsidRPr="006D21CC">
        <w:t xml:space="preserve">commends </w:t>
      </w:r>
      <w:r w:rsidRPr="006D21CC">
        <w:t>the PUCO Staff</w:t>
      </w:r>
      <w:r w:rsidR="006D21CC">
        <w:t>’</w:t>
      </w:r>
      <w:r w:rsidRPr="006D21CC">
        <w:t>s detailed review of</w:t>
      </w:r>
      <w:r w:rsidR="00774342" w:rsidRPr="006D21CC">
        <w:t xml:space="preserve"> then-Dominion</w:t>
      </w:r>
      <w:r w:rsidR="006D21CC">
        <w:t>’</w:t>
      </w:r>
      <w:r w:rsidR="00774342" w:rsidRPr="006D21CC">
        <w:t>s (now Enbridge)</w:t>
      </w:r>
      <w:r w:rsidRPr="006D21CC">
        <w:t xml:space="preserve"> disconnections from 2021 through 2023.</w:t>
      </w:r>
      <w:r>
        <w:rPr>
          <w:rStyle w:val="FootnoteReference"/>
        </w:rPr>
        <w:footnoteReference w:id="94"/>
      </w:r>
      <w:r w:rsidRPr="006D21CC">
        <w:t xml:space="preserve"> However, OCC objects to the failure of the PUCO</w:t>
      </w:r>
      <w:r w:rsidR="003E5D38">
        <w:t xml:space="preserve"> Staff</w:t>
      </w:r>
      <w:r w:rsidRPr="006D21CC">
        <w:t xml:space="preserve"> to recommend an investigation </w:t>
      </w:r>
      <w:r w:rsidR="00774342" w:rsidRPr="006D21CC">
        <w:t>of</w:t>
      </w:r>
      <w:r w:rsidRPr="006D21CC">
        <w:t xml:space="preserve"> </w:t>
      </w:r>
      <w:r w:rsidR="003075B4" w:rsidRPr="006D21CC">
        <w:t xml:space="preserve">why the </w:t>
      </w:r>
      <w:r w:rsidRPr="006D21CC">
        <w:t>disconnections</w:t>
      </w:r>
      <w:r w:rsidR="003075B4" w:rsidRPr="006D21CC">
        <w:t xml:space="preserve"> occurred.</w:t>
      </w:r>
      <w:r w:rsidRPr="006D21CC">
        <w:t xml:space="preserve"> </w:t>
      </w:r>
    </w:p>
    <w:p w14:paraId="5355DBEC" w14:textId="77777777" w:rsidR="00024CFA" w:rsidRDefault="00AF4AAB" w:rsidP="006E4CD8">
      <w:pPr>
        <w:spacing w:line="480" w:lineRule="auto"/>
        <w:ind w:firstLine="720"/>
      </w:pPr>
      <w:r w:rsidRPr="006D21CC">
        <w:t>Analysis of the disconnection data by the PUCO Staff revealed a 20% increase in the number of disconnections, a 40% increase in uncollected final bill charge offs, and an increase in the 60-day arrearage average.</w:t>
      </w:r>
      <w:r>
        <w:rPr>
          <w:rStyle w:val="FootnoteReference"/>
        </w:rPr>
        <w:footnoteReference w:id="95"/>
      </w:r>
      <w:r w:rsidRPr="006D21CC">
        <w:t xml:space="preserve"> OCC also reviewed annual disconnection reports covering 2020-2021, 2021-2022, and 2022-2023, as required in R.C.4933.123. Outside of the disconnection analysis in the Staff Report, the OCC found an increase in disconnection notices and total dollar </w:t>
      </w:r>
    </w:p>
    <w:p w14:paraId="5CA347A6" w14:textId="77777777" w:rsidR="00024CFA" w:rsidRDefault="00AF4AAB">
      <w:pPr>
        <w:spacing w:after="160" w:line="278" w:lineRule="auto"/>
      </w:pPr>
      <w:r>
        <w:br w:type="page"/>
      </w:r>
    </w:p>
    <w:p w14:paraId="1F266F30" w14:textId="1FE2D8C9" w:rsidR="00CD0439" w:rsidRPr="006D21CC" w:rsidRDefault="00AF4AAB" w:rsidP="00024CFA">
      <w:pPr>
        <w:spacing w:line="480" w:lineRule="auto"/>
      </w:pPr>
      <w:r w:rsidRPr="006D21CC">
        <w:lastRenderedPageBreak/>
        <w:t>amount of unpaid bills represented by disconnection notices.</w:t>
      </w:r>
      <w:r>
        <w:rPr>
          <w:rStyle w:val="FootnoteReference"/>
        </w:rPr>
        <w:footnoteReference w:id="96"/>
      </w:r>
      <w:r w:rsidRPr="006D21CC">
        <w:t xml:space="preserve"> The increases in disconnection data by the PUCO Staff, along with OCC</w:t>
      </w:r>
      <w:r w:rsidR="006D21CC">
        <w:t>’</w:t>
      </w:r>
      <w:r w:rsidRPr="006D21CC">
        <w:t>s analysis, warrants an investigation.</w:t>
      </w:r>
    </w:p>
    <w:p w14:paraId="20843EA9" w14:textId="541B46F8" w:rsidR="00CD0439" w:rsidRPr="006D21CC" w:rsidRDefault="00AF4AAB" w:rsidP="00EC1AFB">
      <w:pPr>
        <w:pStyle w:val="Heading3"/>
        <w:rPr>
          <w:rFonts w:cs="Times New Roman"/>
          <w:szCs w:val="24"/>
        </w:rPr>
      </w:pPr>
      <w:bookmarkStart w:id="38" w:name="_Toc172895215"/>
      <w:r w:rsidRPr="006D21CC">
        <w:rPr>
          <w:rFonts w:cs="Times New Roman"/>
          <w:szCs w:val="24"/>
          <w:u w:val="single"/>
        </w:rPr>
        <w:t xml:space="preserve">Objection No. </w:t>
      </w:r>
      <w:r w:rsidR="00174845">
        <w:rPr>
          <w:rFonts w:cs="Times New Roman"/>
          <w:szCs w:val="24"/>
          <w:u w:val="single"/>
        </w:rPr>
        <w:t>1</w:t>
      </w:r>
      <w:r w:rsidR="000713CD">
        <w:rPr>
          <w:rFonts w:cs="Times New Roman"/>
          <w:szCs w:val="24"/>
          <w:u w:val="single"/>
        </w:rPr>
        <w:t>6</w:t>
      </w:r>
      <w:r w:rsidRPr="006D21CC">
        <w:rPr>
          <w:rFonts w:cs="Times New Roman"/>
          <w:szCs w:val="24"/>
          <w:u w:val="single"/>
        </w:rPr>
        <w:t>:</w:t>
      </w:r>
      <w:r w:rsidRPr="006D21CC">
        <w:rPr>
          <w:rFonts w:cs="Times New Roman"/>
          <w:szCs w:val="24"/>
        </w:rPr>
        <w:t xml:space="preserve"> </w:t>
      </w:r>
      <w:bookmarkStart w:id="39" w:name="_Hlk172119233"/>
      <w:bookmarkEnd w:id="32"/>
      <w:r w:rsidRPr="006D21CC">
        <w:rPr>
          <w:rFonts w:cs="Times New Roman"/>
          <w:szCs w:val="24"/>
        </w:rPr>
        <w:t xml:space="preserve">The Staff Report erred </w:t>
      </w:r>
      <w:r w:rsidR="00174845">
        <w:rPr>
          <w:rFonts w:cs="Times New Roman"/>
          <w:szCs w:val="24"/>
        </w:rPr>
        <w:t xml:space="preserve">and harms consumers </w:t>
      </w:r>
      <w:r w:rsidR="002C4ABF" w:rsidRPr="006D21CC">
        <w:rPr>
          <w:rFonts w:cs="Times New Roman"/>
          <w:szCs w:val="24"/>
        </w:rPr>
        <w:t>by failing to</w:t>
      </w:r>
      <w:r w:rsidRPr="006D21CC">
        <w:rPr>
          <w:rFonts w:cs="Times New Roman"/>
          <w:szCs w:val="24"/>
        </w:rPr>
        <w:t xml:space="preserve"> recommend continuing and increasing </w:t>
      </w:r>
      <w:r w:rsidR="00774342" w:rsidRPr="006D21CC">
        <w:rPr>
          <w:rFonts w:cs="Times New Roman"/>
          <w:szCs w:val="24"/>
        </w:rPr>
        <w:t>the</w:t>
      </w:r>
      <w:r w:rsidRPr="006D21CC">
        <w:rPr>
          <w:rFonts w:cs="Times New Roman"/>
          <w:szCs w:val="24"/>
        </w:rPr>
        <w:t xml:space="preserve"> </w:t>
      </w:r>
      <w:r w:rsidR="006D21CC">
        <w:rPr>
          <w:rFonts w:cs="Times New Roman"/>
          <w:szCs w:val="24"/>
        </w:rPr>
        <w:t>“</w:t>
      </w:r>
      <w:r w:rsidRPr="006D21CC">
        <w:rPr>
          <w:rFonts w:cs="Times New Roman"/>
          <w:szCs w:val="24"/>
        </w:rPr>
        <w:t>Energy Share</w:t>
      </w:r>
      <w:r w:rsidR="006D21CC">
        <w:rPr>
          <w:rFonts w:cs="Times New Roman"/>
          <w:szCs w:val="24"/>
        </w:rPr>
        <w:t>”</w:t>
      </w:r>
      <w:r w:rsidRPr="006D21CC">
        <w:rPr>
          <w:rFonts w:cs="Times New Roman"/>
          <w:szCs w:val="24"/>
        </w:rPr>
        <w:t xml:space="preserve"> bill payment assistance program, along with adding a new bill payment assistance program during the </w:t>
      </w:r>
      <w:r w:rsidR="009043DC" w:rsidRPr="006D21CC">
        <w:rPr>
          <w:rFonts w:cs="Times New Roman"/>
          <w:szCs w:val="24"/>
        </w:rPr>
        <w:t>s</w:t>
      </w:r>
      <w:r w:rsidRPr="006D21CC">
        <w:rPr>
          <w:rFonts w:cs="Times New Roman"/>
          <w:szCs w:val="24"/>
        </w:rPr>
        <w:t>ummer months.</w:t>
      </w:r>
      <w:bookmarkEnd w:id="38"/>
      <w:r w:rsidRPr="006D21CC">
        <w:rPr>
          <w:rFonts w:cs="Times New Roman"/>
          <w:szCs w:val="24"/>
        </w:rPr>
        <w:t xml:space="preserve"> </w:t>
      </w:r>
    </w:p>
    <w:p w14:paraId="3703025B" w14:textId="77777777" w:rsidR="009043DC" w:rsidRPr="006D21CC" w:rsidRDefault="009043DC" w:rsidP="009043DC">
      <w:pPr>
        <w:spacing w:line="264" w:lineRule="auto"/>
        <w:rPr>
          <w:b/>
          <w:bCs/>
        </w:rPr>
      </w:pPr>
    </w:p>
    <w:bookmarkEnd w:id="39"/>
    <w:p w14:paraId="0C64920B" w14:textId="18D08399" w:rsidR="00CD0439" w:rsidRPr="006D21CC" w:rsidRDefault="00AF4AAB" w:rsidP="006E4CD8">
      <w:pPr>
        <w:spacing w:line="480" w:lineRule="auto"/>
        <w:ind w:firstLine="720"/>
      </w:pPr>
      <w:r w:rsidRPr="006D21CC">
        <w:t xml:space="preserve">OCC objects to the failure of the Staff Report to recommend the continuance of </w:t>
      </w:r>
      <w:r w:rsidR="00376181" w:rsidRPr="006D21CC">
        <w:t>then</w:t>
      </w:r>
      <w:r w:rsidR="00774342" w:rsidRPr="006D21CC">
        <w:t>-</w:t>
      </w:r>
      <w:r w:rsidRPr="006D21CC">
        <w:t>Dominion</w:t>
      </w:r>
      <w:r w:rsidR="006D21CC">
        <w:t>’</w:t>
      </w:r>
      <w:r w:rsidRPr="006D21CC">
        <w:t xml:space="preserve">s </w:t>
      </w:r>
      <w:r w:rsidR="006D21CC">
        <w:t>“</w:t>
      </w:r>
      <w:r w:rsidRPr="006D21CC">
        <w:t>Energy Share</w:t>
      </w:r>
      <w:r w:rsidR="006D21CC">
        <w:t>”</w:t>
      </w:r>
      <w:r w:rsidRPr="006D21CC">
        <w:t xml:space="preserve"> bill payment assistance program</w:t>
      </w:r>
      <w:r w:rsidR="00376181" w:rsidRPr="006D21CC">
        <w:t xml:space="preserve"> by Enbridge</w:t>
      </w:r>
      <w:r w:rsidRPr="006D21CC">
        <w:t xml:space="preserve">. The continuance of the </w:t>
      </w:r>
      <w:r w:rsidR="006D21CC">
        <w:t>“</w:t>
      </w:r>
      <w:r w:rsidRPr="006D21CC">
        <w:t>Energy Share</w:t>
      </w:r>
      <w:r w:rsidR="006D21CC">
        <w:t>”</w:t>
      </w:r>
      <w:r w:rsidRPr="006D21CC">
        <w:t xml:space="preserve"> bill payment assistance program is needed due to a 20% increase in disconnections for non-payment over the last two years.</w:t>
      </w:r>
      <w:r>
        <w:rPr>
          <w:rStyle w:val="FootnoteReference"/>
        </w:rPr>
        <w:footnoteReference w:id="97"/>
      </w:r>
      <w:r w:rsidRPr="006D21CC">
        <w:t xml:space="preserve"> </w:t>
      </w:r>
      <w:r w:rsidR="00174845">
        <w:t>Then-Dominion (now Enbridge)</w:t>
      </w:r>
      <w:r w:rsidRPr="006D21CC">
        <w:t xml:space="preserve"> has also seen an increase in the number of disconnection notices from 1,283,448</w:t>
      </w:r>
      <w:r>
        <w:rPr>
          <w:rStyle w:val="FootnoteReference"/>
        </w:rPr>
        <w:footnoteReference w:id="98"/>
      </w:r>
      <w:r w:rsidRPr="006D21CC">
        <w:t xml:space="preserve"> in 2020-2021 to 1,575,014</w:t>
      </w:r>
      <w:r>
        <w:rPr>
          <w:rStyle w:val="FootnoteReference"/>
        </w:rPr>
        <w:footnoteReference w:id="99"/>
      </w:r>
      <w:r w:rsidRPr="006D21CC">
        <w:t xml:space="preserve"> in 2022-2023.</w:t>
      </w:r>
    </w:p>
    <w:p w14:paraId="09436FC4" w14:textId="603D5F7B" w:rsidR="00CD0439" w:rsidRPr="006D21CC" w:rsidRDefault="00AF4AAB" w:rsidP="006E4CD8">
      <w:pPr>
        <w:spacing w:line="480" w:lineRule="auto"/>
        <w:ind w:firstLine="720"/>
      </w:pPr>
      <w:r w:rsidRPr="006D21CC">
        <w:t xml:space="preserve">OCC objects to the failure of the Staff Report to recommend a new bill payment assistance program during the </w:t>
      </w:r>
      <w:r w:rsidR="00B2589E" w:rsidRPr="006D21CC">
        <w:t>summer</w:t>
      </w:r>
      <w:r w:rsidRPr="006D21CC">
        <w:t xml:space="preserve"> months. As part of the disconnection section of the Staff Report, the PUCO Staff did not review disconnections for non-payment or reconnections from June through September. From June 1, 2022 through September 31, 2022, 13</w:t>
      </w:r>
      <w:r w:rsidR="008F53F4" w:rsidRPr="006D21CC">
        <w:t>,</w:t>
      </w:r>
      <w:r w:rsidRPr="006D21CC">
        <w:t>016 consumers were disconnected for non-payment and 6</w:t>
      </w:r>
      <w:r w:rsidR="004C09D0" w:rsidRPr="006D21CC">
        <w:t>,</w:t>
      </w:r>
      <w:r w:rsidRPr="006D21CC">
        <w:t>595 were reconnected.</w:t>
      </w:r>
      <w:r>
        <w:rPr>
          <w:rStyle w:val="FootnoteReference"/>
        </w:rPr>
        <w:footnoteReference w:id="100"/>
      </w:r>
      <w:r w:rsidRPr="006D21CC">
        <w:t xml:space="preserve"> Only 51% of consumers who were disconnected were reconnected during the Summer months.</w:t>
      </w:r>
    </w:p>
    <w:p w14:paraId="64CC8F20" w14:textId="7E1068E5" w:rsidR="00CD0439" w:rsidRPr="006D21CC" w:rsidRDefault="00AF4AAB" w:rsidP="006E4CD8">
      <w:pPr>
        <w:spacing w:line="480" w:lineRule="auto"/>
      </w:pPr>
      <w:r w:rsidRPr="006D21CC">
        <w:lastRenderedPageBreak/>
        <w:tab/>
        <w:t xml:space="preserve">Now is the time to continue the current bill payment assistance program, along with </w:t>
      </w:r>
      <w:r w:rsidR="00A25BF7">
        <w:t>expanding the</w:t>
      </w:r>
      <w:r w:rsidRPr="006D21CC">
        <w:t xml:space="preserve"> bill payment assistance program. Especially</w:t>
      </w:r>
      <w:r w:rsidR="00174845">
        <w:t xml:space="preserve"> so</w:t>
      </w:r>
      <w:r w:rsidRPr="006D21CC">
        <w:t xml:space="preserve"> as the PUCO </w:t>
      </w:r>
      <w:r w:rsidR="003E5D38">
        <w:t xml:space="preserve">Staff </w:t>
      </w:r>
      <w:r w:rsidRPr="006D21CC">
        <w:t xml:space="preserve">acknowledges, </w:t>
      </w:r>
      <w:r w:rsidR="006D21CC">
        <w:t>“</w:t>
      </w:r>
      <w:r w:rsidR="00174845">
        <w:t>[t]</w:t>
      </w:r>
      <w:r w:rsidRPr="006D21CC">
        <w:t>he number of customers in disconnection stress and disconnected for non-payment is increasing.</w:t>
      </w:r>
      <w:r w:rsidR="006D21CC">
        <w:t>”</w:t>
      </w:r>
      <w:r>
        <w:rPr>
          <w:rStyle w:val="FootnoteReference"/>
        </w:rPr>
        <w:footnoteReference w:id="101"/>
      </w:r>
    </w:p>
    <w:p w14:paraId="641E6E3F" w14:textId="53101F84" w:rsidR="000A16BD" w:rsidRPr="006D21CC" w:rsidRDefault="00AF4AAB" w:rsidP="00EC1AFB">
      <w:pPr>
        <w:pStyle w:val="Heading3"/>
        <w:rPr>
          <w:rFonts w:cs="Times New Roman"/>
          <w:szCs w:val="24"/>
        </w:rPr>
      </w:pPr>
      <w:bookmarkStart w:id="41" w:name="_Toc172895216"/>
      <w:bookmarkStart w:id="42" w:name="_Hlk172119253"/>
      <w:r w:rsidRPr="006D21CC">
        <w:rPr>
          <w:rFonts w:cs="Times New Roman"/>
          <w:szCs w:val="24"/>
          <w:u w:val="single"/>
        </w:rPr>
        <w:t xml:space="preserve">Objection No. </w:t>
      </w:r>
      <w:r w:rsidR="00EA51B0">
        <w:rPr>
          <w:rFonts w:cs="Times New Roman"/>
          <w:szCs w:val="24"/>
          <w:u w:val="single"/>
        </w:rPr>
        <w:t>1</w:t>
      </w:r>
      <w:r w:rsidR="000713CD">
        <w:rPr>
          <w:rFonts w:cs="Times New Roman"/>
          <w:szCs w:val="24"/>
          <w:u w:val="single"/>
        </w:rPr>
        <w:t>7</w:t>
      </w:r>
      <w:r w:rsidRPr="006D21CC">
        <w:rPr>
          <w:rFonts w:cs="Times New Roman"/>
          <w:szCs w:val="24"/>
          <w:u w:val="single"/>
        </w:rPr>
        <w:t>:</w:t>
      </w:r>
      <w:r w:rsidRPr="006D21CC">
        <w:rPr>
          <w:rFonts w:cs="Times New Roman"/>
          <w:szCs w:val="24"/>
        </w:rPr>
        <w:t xml:space="preserve"> </w:t>
      </w:r>
      <w:r w:rsidR="00A00A4F" w:rsidRPr="006D21CC">
        <w:rPr>
          <w:rFonts w:cs="Times New Roman"/>
          <w:szCs w:val="24"/>
        </w:rPr>
        <w:t>T</w:t>
      </w:r>
      <w:r w:rsidRPr="006D21CC">
        <w:rPr>
          <w:rFonts w:cs="Times New Roman"/>
          <w:szCs w:val="24"/>
        </w:rPr>
        <w:t>he Staff Report erred</w:t>
      </w:r>
      <w:r w:rsidR="00174845">
        <w:rPr>
          <w:rFonts w:cs="Times New Roman"/>
          <w:szCs w:val="24"/>
        </w:rPr>
        <w:t xml:space="preserve"> and harms consumers</w:t>
      </w:r>
      <w:r w:rsidR="00604DCC" w:rsidRPr="006D21CC">
        <w:rPr>
          <w:rFonts w:cs="Times New Roman"/>
          <w:szCs w:val="24"/>
        </w:rPr>
        <w:t xml:space="preserve"> by failing</w:t>
      </w:r>
      <w:r w:rsidRPr="006D21CC">
        <w:rPr>
          <w:rFonts w:cs="Times New Roman"/>
          <w:szCs w:val="24"/>
        </w:rPr>
        <w:t xml:space="preserve"> to provide consumer </w:t>
      </w:r>
      <w:r w:rsidR="004C09D0" w:rsidRPr="006D21CC">
        <w:rPr>
          <w:rFonts w:cs="Times New Roman"/>
          <w:szCs w:val="24"/>
        </w:rPr>
        <w:t xml:space="preserve">protections </w:t>
      </w:r>
      <w:r w:rsidRPr="006D21CC">
        <w:rPr>
          <w:rFonts w:cs="Times New Roman"/>
          <w:szCs w:val="24"/>
        </w:rPr>
        <w:t xml:space="preserve">in the rate </w:t>
      </w:r>
      <w:r w:rsidRPr="006D21CC">
        <w:rPr>
          <w:rFonts w:cs="Times New Roman"/>
          <w:szCs w:val="24"/>
        </w:rPr>
        <w:t>case due to Enbridge</w:t>
      </w:r>
      <w:r w:rsidR="006D21CC">
        <w:rPr>
          <w:rFonts w:cs="Times New Roman"/>
          <w:szCs w:val="24"/>
        </w:rPr>
        <w:t>’</w:t>
      </w:r>
      <w:r w:rsidRPr="006D21CC">
        <w:rPr>
          <w:rFonts w:cs="Times New Roman"/>
          <w:szCs w:val="24"/>
        </w:rPr>
        <w:t xml:space="preserve">s </w:t>
      </w:r>
      <w:r w:rsidR="004C09D0" w:rsidRPr="006D21CC">
        <w:rPr>
          <w:rFonts w:cs="Times New Roman"/>
          <w:szCs w:val="24"/>
        </w:rPr>
        <w:t xml:space="preserve">recent </w:t>
      </w:r>
      <w:r w:rsidRPr="006D21CC">
        <w:rPr>
          <w:rFonts w:cs="Times New Roman"/>
          <w:szCs w:val="24"/>
        </w:rPr>
        <w:t>acquisition of Dominion.</w:t>
      </w:r>
      <w:bookmarkEnd w:id="41"/>
    </w:p>
    <w:p w14:paraId="178B2FBB" w14:textId="77777777" w:rsidR="009043DC" w:rsidRPr="006D21CC" w:rsidRDefault="009043DC" w:rsidP="009043DC">
      <w:pPr>
        <w:spacing w:line="264" w:lineRule="auto"/>
        <w:rPr>
          <w:b/>
          <w:bCs/>
        </w:rPr>
      </w:pPr>
    </w:p>
    <w:bookmarkEnd w:id="33"/>
    <w:bookmarkEnd w:id="42"/>
    <w:p w14:paraId="4A78732C" w14:textId="168A6906" w:rsidR="00834C10" w:rsidRPr="006D21CC" w:rsidRDefault="00AF4AAB" w:rsidP="006E4CD8">
      <w:pPr>
        <w:spacing w:line="480" w:lineRule="auto"/>
      </w:pPr>
      <w:r w:rsidRPr="006D21CC">
        <w:tab/>
        <w:t>The Staff Report erred and harms consumers through its failure</w:t>
      </w:r>
      <w:r w:rsidR="000A16BD" w:rsidRPr="006D21CC">
        <w:t xml:space="preserve"> to recommend consumer </w:t>
      </w:r>
      <w:r w:rsidR="004C09D0" w:rsidRPr="006D21CC">
        <w:t>protections</w:t>
      </w:r>
      <w:r w:rsidR="000A16BD" w:rsidRPr="006D21CC">
        <w:t xml:space="preserve"> in the rate case due to Enbridge</w:t>
      </w:r>
      <w:r w:rsidR="006D21CC">
        <w:t>’</w:t>
      </w:r>
      <w:r w:rsidR="000A16BD" w:rsidRPr="006D21CC">
        <w:t xml:space="preserve">s acquisition of Dominion. When a utility acquisition occurs, consumers should be provided benefits that </w:t>
      </w:r>
      <w:r w:rsidR="004C09D0" w:rsidRPr="006D21CC">
        <w:t xml:space="preserve">result from the transaction and be protected from paying for additional costs to complete the transaction. </w:t>
      </w:r>
      <w:r w:rsidR="00CD0439" w:rsidRPr="006D21CC">
        <w:t xml:space="preserve">The </w:t>
      </w:r>
      <w:r w:rsidR="004C09D0" w:rsidRPr="006D21CC">
        <w:t>acquisition of Dominion by Enbridge</w:t>
      </w:r>
      <w:r w:rsidR="00370A3B" w:rsidRPr="006D21CC">
        <w:t xml:space="preserve"> Inc.</w:t>
      </w:r>
      <w:r w:rsidR="004C09D0" w:rsidRPr="006D21CC">
        <w:t xml:space="preserve"> occurred after the rate case was filed.</w:t>
      </w:r>
      <w:r w:rsidR="00E5007D">
        <w:t xml:space="preserve"> </w:t>
      </w:r>
    </w:p>
    <w:p w14:paraId="41E0A450" w14:textId="633E61C9" w:rsidR="00627068" w:rsidRDefault="00AF4AAB">
      <w:pPr>
        <w:spacing w:line="480" w:lineRule="auto"/>
        <w:ind w:firstLine="720"/>
      </w:pPr>
      <w:r w:rsidRPr="006D21CC">
        <w:t xml:space="preserve">The Staff Report should have included an analysis of all </w:t>
      </w:r>
      <w:r w:rsidR="004C09D0" w:rsidRPr="006D21CC">
        <w:t>acquisition</w:t>
      </w:r>
      <w:r w:rsidRPr="006D21CC">
        <w:t xml:space="preserve"> savings that will flow to </w:t>
      </w:r>
      <w:r w:rsidR="004C09D0" w:rsidRPr="006D21CC">
        <w:t xml:space="preserve">Enbridge </w:t>
      </w:r>
      <w:r w:rsidRPr="006D21CC">
        <w:t xml:space="preserve">as a result of the merger. </w:t>
      </w:r>
      <w:r>
        <w:t>The PUCO</w:t>
      </w:r>
      <w:r w:rsidR="002E19D7">
        <w:t>, itself,</w:t>
      </w:r>
      <w:r>
        <w:t xml:space="preserve"> wrote in </w:t>
      </w:r>
      <w:r>
        <w:rPr>
          <w:i/>
          <w:iCs/>
        </w:rPr>
        <w:t xml:space="preserve">In The Matter of the </w:t>
      </w:r>
      <w:r w:rsidR="002E19D7">
        <w:rPr>
          <w:i/>
          <w:iCs/>
        </w:rPr>
        <w:t>Notice</w:t>
      </w:r>
      <w:r>
        <w:rPr>
          <w:i/>
          <w:iCs/>
        </w:rPr>
        <w:t xml:space="preserve"> Of the East Ohio Gas </w:t>
      </w:r>
      <w:r w:rsidR="00F83C5C">
        <w:rPr>
          <w:i/>
          <w:iCs/>
        </w:rPr>
        <w:t>Company</w:t>
      </w:r>
      <w:r>
        <w:rPr>
          <w:i/>
          <w:iCs/>
        </w:rPr>
        <w:t xml:space="preserve"> d/b/a Dominion Energy Ohio and Enbridge Elephant Holdings, LLC</w:t>
      </w:r>
      <w:r>
        <w:t xml:space="preserve">, Case No. 23-972-GA-UNC </w:t>
      </w:r>
      <w:r w:rsidR="002E19D7">
        <w:t>(</w:t>
      </w:r>
      <w:r>
        <w:t>wherein Enbridge was seeking PUCO approval to acquire Dominion</w:t>
      </w:r>
      <w:r w:rsidR="002E19D7">
        <w:t>)</w:t>
      </w:r>
      <w:r>
        <w:t xml:space="preserve"> that:</w:t>
      </w:r>
    </w:p>
    <w:p w14:paraId="7665047D" w14:textId="77777777" w:rsidR="002E19D7" w:rsidRDefault="00AF4AAB" w:rsidP="00A02983">
      <w:pPr>
        <w:ind w:left="720" w:right="720"/>
      </w:pPr>
      <w:r>
        <w:t>Whether the Transaction will result in efficiencies of operations or economies of scale that will influence customer rates, whether the cross-subsidization occurs that precludes recovery of certain costs, and what form liquidity support for EOG’s future capital expenditures program embodies – among others -- . . . are inherent to and better suited to investigation and litigation during EOG’s next base rate proceeding[.]</w:t>
      </w:r>
      <w:r>
        <w:rPr>
          <w:rStyle w:val="FootnoteReference"/>
        </w:rPr>
        <w:footnoteReference w:id="102"/>
      </w:r>
    </w:p>
    <w:p w14:paraId="042B716C" w14:textId="77777777" w:rsidR="00A02983" w:rsidRDefault="00A02983" w:rsidP="00C62145">
      <w:pPr>
        <w:ind w:left="720" w:right="720"/>
      </w:pPr>
    </w:p>
    <w:p w14:paraId="3AC76EAA" w14:textId="679032C0" w:rsidR="000A16BD" w:rsidRPr="006D21CC" w:rsidRDefault="00AF4AAB" w:rsidP="002E19D7">
      <w:pPr>
        <w:spacing w:line="480" w:lineRule="auto"/>
      </w:pPr>
      <w:r>
        <w:lastRenderedPageBreak/>
        <w:t>In other words</w:t>
      </w:r>
      <w:r w:rsidR="00AF4A48">
        <w:t>:</w:t>
      </w:r>
      <w:r>
        <w:t xml:space="preserve"> the time and place to consider the rate impact of Enbridge’s acquisition of Dominion upon consumers is here and now. </w:t>
      </w:r>
      <w:r w:rsidR="00F83C5C">
        <w:t>The PUCO noted, “the Commission will hold the Companies to their commitment to not seek recovery for any transaction costs from Ohio consumers.”</w:t>
      </w:r>
      <w:r>
        <w:rPr>
          <w:rStyle w:val="FootnoteReference"/>
        </w:rPr>
        <w:footnoteReference w:id="103"/>
      </w:r>
      <w:r w:rsidR="00F83C5C">
        <w:t xml:space="preserve"> </w:t>
      </w:r>
      <w:r w:rsidR="003E5D38">
        <w:t xml:space="preserve">The </w:t>
      </w:r>
      <w:r w:rsidR="00CD0439" w:rsidRPr="006D21CC">
        <w:t xml:space="preserve">PUCO Staff should have recommended that </w:t>
      </w:r>
      <w:r w:rsidR="004C09D0" w:rsidRPr="006D21CC">
        <w:t>acquisition</w:t>
      </w:r>
      <w:r w:rsidR="00CD0439" w:rsidRPr="006D21CC">
        <w:t xml:space="preserve"> savings be flowed through to residential consumers.</w:t>
      </w:r>
      <w:r w:rsidR="004C09D0" w:rsidRPr="006D21CC">
        <w:t xml:space="preserve"> The Staff Report </w:t>
      </w:r>
      <w:r>
        <w:t xml:space="preserve">should also </w:t>
      </w:r>
      <w:r w:rsidR="004C09D0" w:rsidRPr="006D21CC">
        <w:t>protect consumers from additional costs resulting from the acquisition, such as costs to educate consumers about the change in control.</w:t>
      </w:r>
      <w:r w:rsidR="00CD0439" w:rsidRPr="006D21CC">
        <w:t xml:space="preserve"> </w:t>
      </w:r>
      <w:r w:rsidR="004E13F1" w:rsidRPr="006D21CC">
        <w:t>OCC objects to the Staff Report</w:t>
      </w:r>
      <w:r w:rsidR="006D21CC">
        <w:t>’</w:t>
      </w:r>
      <w:r w:rsidR="004E13F1" w:rsidRPr="006D21CC">
        <w:t xml:space="preserve">s lack of consumer </w:t>
      </w:r>
      <w:r w:rsidR="004C09D0" w:rsidRPr="006D21CC">
        <w:t xml:space="preserve">protection </w:t>
      </w:r>
      <w:r w:rsidR="004E13F1" w:rsidRPr="006D21CC">
        <w:t xml:space="preserve">recommendations as a result of </w:t>
      </w:r>
      <w:r w:rsidR="004C09D0" w:rsidRPr="006D21CC">
        <w:t>Enbridge</w:t>
      </w:r>
      <w:r w:rsidR="006D21CC">
        <w:t>’</w:t>
      </w:r>
      <w:r w:rsidR="004C09D0" w:rsidRPr="006D21CC">
        <w:t xml:space="preserve">s </w:t>
      </w:r>
      <w:r w:rsidR="004E13F1" w:rsidRPr="006D21CC">
        <w:t>acquisition</w:t>
      </w:r>
      <w:r w:rsidR="004C09D0" w:rsidRPr="006D21CC">
        <w:t xml:space="preserve"> of Dominion</w:t>
      </w:r>
      <w:r w:rsidR="004E13F1" w:rsidRPr="006D21CC">
        <w:t>.</w:t>
      </w:r>
    </w:p>
    <w:p w14:paraId="3ADA2C02" w14:textId="0E3D687F" w:rsidR="00D62E15" w:rsidRPr="006D21CC" w:rsidRDefault="00AF4AAB" w:rsidP="00EC1AFB">
      <w:pPr>
        <w:pStyle w:val="Heading3"/>
        <w:rPr>
          <w:rFonts w:cs="Times New Roman"/>
          <w:szCs w:val="24"/>
        </w:rPr>
      </w:pPr>
      <w:bookmarkStart w:id="43" w:name="_Toc172895217"/>
      <w:bookmarkStart w:id="44" w:name="_Hlk172117251"/>
      <w:r w:rsidRPr="006D21CC">
        <w:rPr>
          <w:rFonts w:cs="Times New Roman"/>
          <w:szCs w:val="24"/>
          <w:u w:val="single"/>
        </w:rPr>
        <w:t xml:space="preserve">Objection </w:t>
      </w:r>
      <w:r w:rsidR="003F5AB2" w:rsidRPr="006D21CC">
        <w:rPr>
          <w:rFonts w:cs="Times New Roman"/>
          <w:szCs w:val="24"/>
          <w:u w:val="single"/>
        </w:rPr>
        <w:t xml:space="preserve">No. </w:t>
      </w:r>
      <w:r w:rsidR="00EA51B0">
        <w:rPr>
          <w:rFonts w:cs="Times New Roman"/>
          <w:szCs w:val="24"/>
          <w:u w:val="single"/>
        </w:rPr>
        <w:t>1</w:t>
      </w:r>
      <w:r w:rsidR="000713CD">
        <w:rPr>
          <w:rFonts w:cs="Times New Roman"/>
          <w:szCs w:val="24"/>
          <w:u w:val="single"/>
        </w:rPr>
        <w:t>8</w:t>
      </w:r>
      <w:r w:rsidRPr="006D21CC">
        <w:rPr>
          <w:rFonts w:cs="Times New Roman"/>
          <w:szCs w:val="24"/>
          <w:u w:val="single"/>
        </w:rPr>
        <w:t>:</w:t>
      </w:r>
      <w:r w:rsidRPr="006D21CC">
        <w:rPr>
          <w:rFonts w:cs="Times New Roman"/>
          <w:szCs w:val="24"/>
        </w:rPr>
        <w:t xml:space="preserve"> </w:t>
      </w:r>
      <w:r w:rsidR="00604DCC" w:rsidRPr="006D21CC">
        <w:rPr>
          <w:rFonts w:cs="Times New Roman"/>
          <w:szCs w:val="24"/>
        </w:rPr>
        <w:t>The Staff Report erred</w:t>
      </w:r>
      <w:r w:rsidR="00174845">
        <w:rPr>
          <w:rFonts w:cs="Times New Roman"/>
          <w:szCs w:val="24"/>
        </w:rPr>
        <w:t xml:space="preserve"> and harms consumers</w:t>
      </w:r>
      <w:r w:rsidR="00604DCC" w:rsidRPr="006D21CC">
        <w:rPr>
          <w:rFonts w:cs="Times New Roman"/>
          <w:szCs w:val="24"/>
        </w:rPr>
        <w:t xml:space="preserve"> by not going far enough to protect Enbridge customers from being assessed late payment fees.</w:t>
      </w:r>
      <w:bookmarkEnd w:id="43"/>
    </w:p>
    <w:p w14:paraId="33EFD502" w14:textId="77777777" w:rsidR="00EC1AFB" w:rsidRPr="006D21CC" w:rsidRDefault="00EC1AFB" w:rsidP="00EC1AFB">
      <w:pPr>
        <w:rPr>
          <w:lang w:bidi="ar-SA"/>
        </w:rPr>
      </w:pPr>
    </w:p>
    <w:p w14:paraId="2635AB88" w14:textId="11E91A38" w:rsidR="0047158C" w:rsidRPr="006D21CC" w:rsidRDefault="00AF4AAB" w:rsidP="00024CFA">
      <w:pPr>
        <w:spacing w:line="480" w:lineRule="auto"/>
      </w:pPr>
      <w:r w:rsidRPr="006D21CC">
        <w:tab/>
      </w:r>
      <w:r w:rsidR="001A51AD" w:rsidRPr="006D21CC">
        <w:t>T</w:t>
      </w:r>
      <w:r w:rsidR="004C09D0" w:rsidRPr="006D21CC">
        <w:t xml:space="preserve">he </w:t>
      </w:r>
      <w:r w:rsidR="00CD0439" w:rsidRPr="006D21CC">
        <w:t xml:space="preserve">PUCO Staff </w:t>
      </w:r>
      <w:r w:rsidR="001A51AD" w:rsidRPr="006D21CC">
        <w:t xml:space="preserve">determined </w:t>
      </w:r>
      <w:r w:rsidR="00CD0439" w:rsidRPr="006D21CC">
        <w:t xml:space="preserve">that late payment fees </w:t>
      </w:r>
      <w:r w:rsidR="001A51AD" w:rsidRPr="006D21CC">
        <w:t xml:space="preserve">made up </w:t>
      </w:r>
      <w:r w:rsidR="00CD0439" w:rsidRPr="006D21CC">
        <w:t>7.5 percent of a</w:t>
      </w:r>
      <w:r w:rsidR="003F6516" w:rsidRPr="006D21CC">
        <w:t>n Enbridge</w:t>
      </w:r>
      <w:r w:rsidR="00CD0439" w:rsidRPr="006D21CC">
        <w:t xml:space="preserve"> </w:t>
      </w:r>
      <w:r w:rsidR="001A51AD" w:rsidRPr="006D21CC">
        <w:t xml:space="preserve">disconnected </w:t>
      </w:r>
      <w:r w:rsidR="00CD0439" w:rsidRPr="006D21CC">
        <w:t>consumer</w:t>
      </w:r>
      <w:r w:rsidR="006D21CC">
        <w:t>’</w:t>
      </w:r>
      <w:r w:rsidR="00CD0439" w:rsidRPr="006D21CC">
        <w:t>s bill.</w:t>
      </w:r>
      <w:r>
        <w:rPr>
          <w:rStyle w:val="FootnoteReference"/>
        </w:rPr>
        <w:footnoteReference w:id="104"/>
      </w:r>
      <w:r w:rsidR="00CD0439" w:rsidRPr="006D21CC">
        <w:t xml:space="preserve"> </w:t>
      </w:r>
      <w:r w:rsidR="001A51AD" w:rsidRPr="006D21CC">
        <w:t>Accordingly, t</w:t>
      </w:r>
      <w:r w:rsidR="003F6516" w:rsidRPr="006D21CC">
        <w:t xml:space="preserve">he Staff Report </w:t>
      </w:r>
      <w:r w:rsidR="00CD0439" w:rsidRPr="006D21CC">
        <w:t xml:space="preserve">recommended </w:t>
      </w:r>
      <w:r w:rsidR="003F6516" w:rsidRPr="006D21CC">
        <w:t xml:space="preserve">Enbridge </w:t>
      </w:r>
      <w:r w:rsidR="00CD0439" w:rsidRPr="006D21CC">
        <w:t>end the practice of compounding late payment fees.</w:t>
      </w:r>
      <w:r>
        <w:rPr>
          <w:rStyle w:val="FootnoteReference"/>
        </w:rPr>
        <w:footnoteReference w:id="105"/>
      </w:r>
      <w:r w:rsidR="00CD0439" w:rsidRPr="006D21CC">
        <w:t xml:space="preserve"> </w:t>
      </w:r>
      <w:r w:rsidR="001A51AD" w:rsidRPr="006D21CC">
        <w:t>While OCC commends the PUCO</w:t>
      </w:r>
      <w:r w:rsidR="006D21CC">
        <w:t>’</w:t>
      </w:r>
      <w:r w:rsidR="001A51AD" w:rsidRPr="006D21CC">
        <w:t>s Staff</w:t>
      </w:r>
      <w:r w:rsidR="006D21CC">
        <w:t>’</w:t>
      </w:r>
      <w:r w:rsidR="001A51AD" w:rsidRPr="006D21CC">
        <w:t>s recommendation in this regard, the Staff Report should have recommended</w:t>
      </w:r>
      <w:r w:rsidR="006031EB" w:rsidRPr="006D21CC">
        <w:t xml:space="preserve"> </w:t>
      </w:r>
      <w:r w:rsidR="00834C10" w:rsidRPr="006D21CC">
        <w:t xml:space="preserve">a </w:t>
      </w:r>
      <w:r w:rsidR="00D95450" w:rsidRPr="006D21CC">
        <w:t>reduced late</w:t>
      </w:r>
      <w:r w:rsidR="006031EB" w:rsidRPr="006D21CC">
        <w:t xml:space="preserve"> payment fee.</w:t>
      </w:r>
      <w:r w:rsidR="001A51AD" w:rsidRPr="006D21CC">
        <w:t xml:space="preserve"> </w:t>
      </w:r>
      <w:r w:rsidR="000279EB" w:rsidRPr="006D21CC">
        <w:t>While the late fee is currently 1.5 percent of the past due amount,</w:t>
      </w:r>
      <w:r>
        <w:rPr>
          <w:rStyle w:val="FootnoteReference"/>
        </w:rPr>
        <w:footnoteReference w:id="106"/>
      </w:r>
      <w:r w:rsidR="000279EB" w:rsidRPr="006D21CC">
        <w:t xml:space="preserve"> OCC would recommend a decrease to .5 percent</w:t>
      </w:r>
    </w:p>
    <w:p w14:paraId="6433690F" w14:textId="34322F74" w:rsidR="00CD0439" w:rsidRPr="006D21CC" w:rsidRDefault="00AF4AAB" w:rsidP="00024CFA">
      <w:pPr>
        <w:spacing w:line="480" w:lineRule="auto"/>
        <w:ind w:firstLine="720"/>
      </w:pPr>
      <w:r w:rsidRPr="006D21CC">
        <w:t>When a consumer is billed a late payment charge, it just increases a bill that a consumer is unable to pay by the due date.</w:t>
      </w:r>
      <w:r w:rsidR="003E5D38">
        <w:t xml:space="preserve"> The</w:t>
      </w:r>
      <w:r w:rsidRPr="006D21CC">
        <w:t xml:space="preserve"> </w:t>
      </w:r>
      <w:r w:rsidR="00344906" w:rsidRPr="006D21CC">
        <w:t xml:space="preserve">PUCO </w:t>
      </w:r>
      <w:r w:rsidRPr="006D21CC">
        <w:t>Staff</w:t>
      </w:r>
      <w:r w:rsidR="006D21CC">
        <w:t>’</w:t>
      </w:r>
      <w:r w:rsidRPr="006D21CC">
        <w:t xml:space="preserve">s own analysis showed that a late payment charge does not result in a consumer paying their bill and will ultimately lead to the disconnection of service. </w:t>
      </w:r>
    </w:p>
    <w:p w14:paraId="23525C56" w14:textId="77777777" w:rsidR="00CD0439" w:rsidRPr="006D21CC" w:rsidRDefault="00AF4AAB" w:rsidP="009043DC">
      <w:pPr>
        <w:spacing w:line="480" w:lineRule="auto"/>
        <w:ind w:firstLine="720"/>
      </w:pPr>
      <w:r w:rsidRPr="006D21CC">
        <w:lastRenderedPageBreak/>
        <w:t xml:space="preserve">Consumers on a tight budget should not have to weigh the option to pay the utility bill on time to avoid a penalized a late payment fee or use the money to purchase food or medicine for their household. </w:t>
      </w:r>
    </w:p>
    <w:p w14:paraId="027159A5" w14:textId="67E35364" w:rsidR="000A16BD" w:rsidRPr="006D21CC" w:rsidRDefault="00AF4AAB" w:rsidP="00EC1AFB">
      <w:pPr>
        <w:pStyle w:val="Heading3"/>
        <w:rPr>
          <w:rFonts w:cs="Times New Roman"/>
          <w:szCs w:val="24"/>
        </w:rPr>
      </w:pPr>
      <w:bookmarkStart w:id="45" w:name="_Toc172895218"/>
      <w:r w:rsidRPr="006D21CC">
        <w:rPr>
          <w:rFonts w:cs="Times New Roman"/>
          <w:szCs w:val="24"/>
          <w:u w:val="single"/>
        </w:rPr>
        <w:t xml:space="preserve">Objection </w:t>
      </w:r>
      <w:r w:rsidR="0055481A" w:rsidRPr="006D21CC">
        <w:rPr>
          <w:rFonts w:cs="Times New Roman"/>
          <w:szCs w:val="24"/>
          <w:u w:val="single"/>
        </w:rPr>
        <w:t xml:space="preserve">No. </w:t>
      </w:r>
      <w:r w:rsidR="00D95450">
        <w:rPr>
          <w:rFonts w:cs="Times New Roman"/>
          <w:szCs w:val="24"/>
          <w:u w:val="single"/>
        </w:rPr>
        <w:t>19</w:t>
      </w:r>
      <w:r w:rsidRPr="006D21CC">
        <w:rPr>
          <w:rFonts w:cs="Times New Roman"/>
          <w:szCs w:val="24"/>
          <w:u w:val="single"/>
        </w:rPr>
        <w:t>:</w:t>
      </w:r>
      <w:r w:rsidRPr="006D21CC">
        <w:rPr>
          <w:rFonts w:cs="Times New Roman"/>
          <w:szCs w:val="24"/>
        </w:rPr>
        <w:t xml:space="preserve"> </w:t>
      </w:r>
      <w:bookmarkStart w:id="46" w:name="_Hlk172119326"/>
      <w:r w:rsidR="004E142D" w:rsidRPr="006D21CC">
        <w:rPr>
          <w:rFonts w:cs="Times New Roman"/>
          <w:szCs w:val="24"/>
        </w:rPr>
        <w:t>The</w:t>
      </w:r>
      <w:r w:rsidRPr="006D21CC">
        <w:rPr>
          <w:rFonts w:cs="Times New Roman"/>
          <w:szCs w:val="24"/>
        </w:rPr>
        <w:t xml:space="preserve"> </w:t>
      </w:r>
      <w:r w:rsidR="004E142D" w:rsidRPr="006D21CC">
        <w:rPr>
          <w:rFonts w:cs="Times New Roman"/>
          <w:szCs w:val="24"/>
        </w:rPr>
        <w:t>Staff Report</w:t>
      </w:r>
      <w:r w:rsidRPr="006D21CC">
        <w:rPr>
          <w:rFonts w:cs="Times New Roman"/>
          <w:szCs w:val="24"/>
        </w:rPr>
        <w:t xml:space="preserve"> erred </w:t>
      </w:r>
      <w:r w:rsidR="00174845">
        <w:rPr>
          <w:rFonts w:cs="Times New Roman"/>
          <w:szCs w:val="24"/>
        </w:rPr>
        <w:t xml:space="preserve">and harms consumers </w:t>
      </w:r>
      <w:r w:rsidR="004E142D" w:rsidRPr="006D21CC">
        <w:rPr>
          <w:rFonts w:cs="Times New Roman"/>
          <w:szCs w:val="24"/>
        </w:rPr>
        <w:t>in</w:t>
      </w:r>
      <w:r w:rsidR="002C4ABF" w:rsidRPr="006D21CC">
        <w:rPr>
          <w:rFonts w:cs="Times New Roman"/>
          <w:szCs w:val="24"/>
        </w:rPr>
        <w:t xml:space="preserve"> failing to</w:t>
      </w:r>
      <w:r w:rsidR="004E142D" w:rsidRPr="006D21CC">
        <w:rPr>
          <w:rFonts w:cs="Times New Roman"/>
          <w:szCs w:val="24"/>
        </w:rPr>
        <w:t xml:space="preserve"> recommend that Enbridge</w:t>
      </w:r>
      <w:r w:rsidRPr="006D21CC">
        <w:rPr>
          <w:rFonts w:cs="Times New Roman"/>
          <w:szCs w:val="24"/>
        </w:rPr>
        <w:t xml:space="preserve"> report critical disconnection and credit and collections data by zip code on an annual basis.</w:t>
      </w:r>
      <w:bookmarkEnd w:id="45"/>
      <w:r w:rsidRPr="006D21CC">
        <w:rPr>
          <w:rFonts w:cs="Times New Roman"/>
          <w:szCs w:val="24"/>
        </w:rPr>
        <w:t xml:space="preserve"> </w:t>
      </w:r>
      <w:bookmarkEnd w:id="44"/>
    </w:p>
    <w:p w14:paraId="7EA55E05" w14:textId="77777777" w:rsidR="009043DC" w:rsidRPr="006D21CC" w:rsidRDefault="009043DC" w:rsidP="009043DC">
      <w:pPr>
        <w:spacing w:line="264" w:lineRule="auto"/>
        <w:rPr>
          <w:b/>
          <w:bCs/>
        </w:rPr>
      </w:pPr>
    </w:p>
    <w:bookmarkEnd w:id="46"/>
    <w:p w14:paraId="600BBC3F" w14:textId="0FE16558" w:rsidR="00024CFA" w:rsidRDefault="00AF4AAB" w:rsidP="006E4CD8">
      <w:pPr>
        <w:spacing w:line="480" w:lineRule="auto"/>
      </w:pPr>
      <w:r w:rsidRPr="006D21CC">
        <w:tab/>
      </w:r>
      <w:r w:rsidR="00A3738D" w:rsidRPr="006D21CC">
        <w:t>The Staff Report erred and harms consumers through its</w:t>
      </w:r>
      <w:r w:rsidR="000A16BD" w:rsidRPr="006D21CC">
        <w:t xml:space="preserve"> failure to require </w:t>
      </w:r>
      <w:r w:rsidR="00A3738D" w:rsidRPr="006D21CC">
        <w:t xml:space="preserve">Enbridge </w:t>
      </w:r>
      <w:r w:rsidR="000A16BD" w:rsidRPr="006D21CC">
        <w:t xml:space="preserve">to publicly provide disconnection data </w:t>
      </w:r>
      <w:r w:rsidR="00A3738D" w:rsidRPr="006D21CC">
        <w:t xml:space="preserve">by zip code on an annual basis </w:t>
      </w:r>
      <w:r w:rsidR="000A16BD" w:rsidRPr="006D21CC">
        <w:t>as outlined in R.C. 4933.123.</w:t>
      </w:r>
      <w:r w:rsidR="00671E2F" w:rsidRPr="006D21CC">
        <w:t xml:space="preserve"> </w:t>
      </w:r>
      <w:r w:rsidR="000A16BD" w:rsidRPr="006D21CC">
        <w:t xml:space="preserve">Disconnection data by zip code can identify communities </w:t>
      </w:r>
      <w:r w:rsidR="00A3738D" w:rsidRPr="006D21CC">
        <w:t>which</w:t>
      </w:r>
      <w:r w:rsidR="000A16BD" w:rsidRPr="006D21CC">
        <w:t xml:space="preserve"> are experiencing a high</w:t>
      </w:r>
      <w:r w:rsidRPr="006D21CC">
        <w:t xml:space="preserve"> </w:t>
      </w:r>
      <w:r w:rsidR="000A16BD" w:rsidRPr="006D21CC">
        <w:t xml:space="preserve">rate of disconnections and disconnection notices. This type of data can be useful to social service organizations, along with state local agencies. Agencies and organizations can use the data to identify and target communities where financial assistance is needed towards the </w:t>
      </w:r>
      <w:r w:rsidR="00A3738D" w:rsidRPr="006D21CC">
        <w:t>Enbridge</w:t>
      </w:r>
      <w:r w:rsidR="000A16BD" w:rsidRPr="006D21CC">
        <w:t xml:space="preserve"> bill. The data reporting is needed, especially due to the increase in service disconnections since each year from the 2020-2021 disconnection report through the 2022-2023 disconnection report.</w:t>
      </w:r>
      <w:r>
        <w:rPr>
          <w:rStyle w:val="FootnoteReference"/>
        </w:rPr>
        <w:footnoteReference w:id="107"/>
      </w:r>
      <w:r w:rsidR="00A3738D" w:rsidRPr="006D21CC">
        <w:t xml:space="preserve"> OCC objects to the Staff Report on the basis that it lacks public disclosure of disconnection data by zip code on an annual basis as outlined in R.C. 4933.123.</w:t>
      </w:r>
      <w:bookmarkEnd w:id="34"/>
    </w:p>
    <w:p w14:paraId="54F9950B" w14:textId="77777777" w:rsidR="00024CFA" w:rsidRDefault="00AF4AAB">
      <w:pPr>
        <w:spacing w:after="160" w:line="278" w:lineRule="auto"/>
      </w:pPr>
      <w:r>
        <w:br w:type="page"/>
      </w:r>
    </w:p>
    <w:p w14:paraId="0F4FCC50" w14:textId="1B88289D" w:rsidR="006E131C" w:rsidRPr="006D21CC" w:rsidRDefault="00AF4AAB" w:rsidP="00024CFA">
      <w:pPr>
        <w:pStyle w:val="Heading2"/>
        <w:numPr>
          <w:ilvl w:val="0"/>
          <w:numId w:val="20"/>
        </w:numPr>
        <w:ind w:left="1440" w:hanging="720"/>
        <w:rPr>
          <w:rFonts w:cs="Times New Roman"/>
          <w:szCs w:val="24"/>
        </w:rPr>
      </w:pPr>
      <w:bookmarkStart w:id="47" w:name="_Toc172895219"/>
      <w:r w:rsidRPr="006D21CC">
        <w:rPr>
          <w:rFonts w:cs="Times New Roman"/>
          <w:szCs w:val="24"/>
        </w:rPr>
        <w:lastRenderedPageBreak/>
        <w:t>Rejection of Enbridge</w:t>
      </w:r>
      <w:r w:rsidR="006D21CC">
        <w:rPr>
          <w:rFonts w:cs="Times New Roman"/>
          <w:szCs w:val="24"/>
        </w:rPr>
        <w:t>’</w:t>
      </w:r>
      <w:r w:rsidRPr="006D21CC">
        <w:rPr>
          <w:rFonts w:cs="Times New Roman"/>
          <w:szCs w:val="24"/>
        </w:rPr>
        <w:t>s Application</w:t>
      </w:r>
      <w:bookmarkEnd w:id="47"/>
    </w:p>
    <w:p w14:paraId="32964B29" w14:textId="77777777" w:rsidR="00EC1AFB" w:rsidRPr="006D21CC" w:rsidRDefault="00EC1AFB" w:rsidP="00EC1AFB">
      <w:pPr>
        <w:ind w:left="720"/>
      </w:pPr>
    </w:p>
    <w:p w14:paraId="4C89B672" w14:textId="6C2F6454" w:rsidR="006E131C" w:rsidRPr="006D21CC" w:rsidRDefault="00AF4AAB" w:rsidP="00EC1AFB">
      <w:pPr>
        <w:pStyle w:val="Heading3"/>
        <w:rPr>
          <w:rFonts w:cs="Times New Roman"/>
          <w:szCs w:val="24"/>
        </w:rPr>
      </w:pPr>
      <w:bookmarkStart w:id="48" w:name="_Toc172895220"/>
      <w:r w:rsidRPr="006D21CC">
        <w:rPr>
          <w:rFonts w:cs="Times New Roman"/>
          <w:szCs w:val="24"/>
          <w:u w:val="single"/>
        </w:rPr>
        <w:t>Objection No. 2</w:t>
      </w:r>
      <w:r w:rsidR="00D95450">
        <w:rPr>
          <w:rFonts w:cs="Times New Roman"/>
          <w:szCs w:val="24"/>
          <w:u w:val="single"/>
        </w:rPr>
        <w:t>0</w:t>
      </w:r>
      <w:r w:rsidRPr="006D21CC">
        <w:rPr>
          <w:rFonts w:cs="Times New Roman"/>
          <w:szCs w:val="24"/>
          <w:u w:val="single"/>
        </w:rPr>
        <w:t>:</w:t>
      </w:r>
      <w:r w:rsidRPr="006D21CC">
        <w:rPr>
          <w:rFonts w:cs="Times New Roman"/>
          <w:szCs w:val="24"/>
        </w:rPr>
        <w:t xml:space="preserve"> </w:t>
      </w:r>
      <w:r w:rsidR="00E40420" w:rsidRPr="006D21CC">
        <w:rPr>
          <w:rFonts w:cs="Times New Roman"/>
          <w:szCs w:val="24"/>
        </w:rPr>
        <w:t>T</w:t>
      </w:r>
      <w:r w:rsidRPr="006D21CC">
        <w:rPr>
          <w:rFonts w:cs="Times New Roman"/>
          <w:szCs w:val="24"/>
        </w:rPr>
        <w:t>he Staff Report is flawed because the PUCO Staff should have recommended an outright rejection of Enbridge</w:t>
      </w:r>
      <w:r w:rsidR="006D21CC">
        <w:rPr>
          <w:rFonts w:cs="Times New Roman"/>
          <w:szCs w:val="24"/>
        </w:rPr>
        <w:t>’</w:t>
      </w:r>
      <w:r w:rsidRPr="006D21CC">
        <w:rPr>
          <w:rFonts w:cs="Times New Roman"/>
          <w:szCs w:val="24"/>
        </w:rPr>
        <w:t>s unjust and unreasonable application.</w:t>
      </w:r>
      <w:r w:rsidR="00E40420" w:rsidRPr="006D21CC">
        <w:rPr>
          <w:rFonts w:cs="Times New Roman"/>
          <w:szCs w:val="24"/>
        </w:rPr>
        <w:t xml:space="preserve"> Among other things, the application does not address Enbridge</w:t>
      </w:r>
      <w:r w:rsidR="006D21CC">
        <w:rPr>
          <w:rFonts w:cs="Times New Roman"/>
          <w:szCs w:val="24"/>
        </w:rPr>
        <w:t>’</w:t>
      </w:r>
      <w:r w:rsidR="00E40420" w:rsidRPr="006D21CC">
        <w:rPr>
          <w:rFonts w:cs="Times New Roman"/>
          <w:szCs w:val="24"/>
        </w:rPr>
        <w:t>s acquisition of Dominion and the effect of the transaction on rates to consumers.</w:t>
      </w:r>
      <w:bookmarkEnd w:id="48"/>
    </w:p>
    <w:p w14:paraId="17597CCA" w14:textId="77777777" w:rsidR="009043DC" w:rsidRPr="006D21CC" w:rsidRDefault="009043DC" w:rsidP="009043DC">
      <w:pPr>
        <w:spacing w:line="264" w:lineRule="auto"/>
      </w:pPr>
    </w:p>
    <w:p w14:paraId="398C7BB7" w14:textId="413184F0" w:rsidR="00834C10" w:rsidRPr="006D21CC" w:rsidRDefault="00AF4AAB" w:rsidP="00EC1AFB">
      <w:pPr>
        <w:spacing w:line="480" w:lineRule="auto"/>
        <w:ind w:firstLine="720"/>
      </w:pPr>
      <w:r>
        <w:t xml:space="preserve">The </w:t>
      </w:r>
      <w:r w:rsidR="006E131C" w:rsidRPr="006D21CC">
        <w:t>PUCO Staff recommends a decrease of Enbridge</w:t>
      </w:r>
      <w:r w:rsidR="006D21CC">
        <w:t>’</w:t>
      </w:r>
      <w:r w:rsidR="006E131C" w:rsidRPr="006D21CC">
        <w:t xml:space="preserve">s rates as opposed to the massive increase proposed by Enbridge in its application. Enbridge, as the applicant, has the burden of proof under R.C. 4909.18 and 4909.19 to show that its proposed rates and charges are just and reasonable. </w:t>
      </w:r>
      <w:r w:rsidR="00E40420" w:rsidRPr="006D21CC">
        <w:t>The Application was filed prior to Enbridge</w:t>
      </w:r>
      <w:r w:rsidR="006D21CC">
        <w:t>’</w:t>
      </w:r>
      <w:r w:rsidR="00E40420" w:rsidRPr="006D21CC">
        <w:t xml:space="preserve">s acquisition of Dominion. </w:t>
      </w:r>
    </w:p>
    <w:p w14:paraId="63CCA7A3" w14:textId="1888E82D" w:rsidR="007564AC" w:rsidRDefault="00AF4AAB" w:rsidP="00C62145">
      <w:pPr>
        <w:spacing w:line="480" w:lineRule="auto"/>
        <w:ind w:firstLine="720"/>
      </w:pPr>
      <w:r w:rsidRPr="006D21CC">
        <w:t>When considering the impact of Enbridge</w:t>
      </w:r>
      <w:r w:rsidR="006D21CC">
        <w:t>’</w:t>
      </w:r>
      <w:r w:rsidRPr="006D21CC">
        <w:t>s proposed application, including a massive rate hike, the continuation of ever-increasing riders, and other significant flaws in Enbridge</w:t>
      </w:r>
      <w:r w:rsidR="006D21CC">
        <w:t>’</w:t>
      </w:r>
      <w:r w:rsidRPr="006D21CC">
        <w:t xml:space="preserve">s proposal, the application is unjust and unreasonable as to residential customers. Accordingly, OCC objects </w:t>
      </w:r>
      <w:r w:rsidR="00B2589E" w:rsidRPr="006D21CC">
        <w:t>to the</w:t>
      </w:r>
      <w:r w:rsidRPr="006D21CC">
        <w:t xml:space="preserve"> Staff Report in that it does not outright reject Enbridge</w:t>
      </w:r>
      <w:r w:rsidR="006D21CC">
        <w:t>’</w:t>
      </w:r>
      <w:r w:rsidRPr="006D21CC">
        <w:t>s application as unjust and unreasonable. The PUCO Staff should have recommended a complete rejection of the application and should have recommended that Enbridge file a new rate case application.</w:t>
      </w:r>
    </w:p>
    <w:p w14:paraId="2AB5F038" w14:textId="77777777" w:rsidR="00024CFA" w:rsidRPr="006D21CC" w:rsidRDefault="00024CFA" w:rsidP="00C62145">
      <w:pPr>
        <w:spacing w:line="480" w:lineRule="auto"/>
        <w:ind w:firstLine="720"/>
      </w:pPr>
    </w:p>
    <w:p w14:paraId="5B17F302" w14:textId="4278412C" w:rsidR="007F1168" w:rsidRPr="006D21CC" w:rsidRDefault="00AF4AAB" w:rsidP="00E5007D">
      <w:pPr>
        <w:pStyle w:val="Heading1"/>
        <w:numPr>
          <w:ilvl w:val="0"/>
          <w:numId w:val="21"/>
        </w:numPr>
        <w:ind w:left="720"/>
        <w:rPr>
          <w:rFonts w:cs="Times New Roman"/>
          <w:szCs w:val="24"/>
        </w:rPr>
      </w:pPr>
      <w:bookmarkStart w:id="49" w:name="_Toc172895221"/>
      <w:r w:rsidRPr="006D21CC">
        <w:rPr>
          <w:rFonts w:cs="Times New Roman"/>
          <w:szCs w:val="24"/>
        </w:rPr>
        <w:t>CONCLUSION</w:t>
      </w:r>
      <w:bookmarkEnd w:id="49"/>
    </w:p>
    <w:p w14:paraId="26F28F82" w14:textId="77777777" w:rsidR="00EC1AFB" w:rsidRPr="006D21CC" w:rsidRDefault="00EC1AFB" w:rsidP="00EC1AFB">
      <w:pPr>
        <w:ind w:left="360"/>
      </w:pPr>
    </w:p>
    <w:p w14:paraId="54F56A48" w14:textId="7DA90AC3" w:rsidR="007F1168" w:rsidRPr="006D21CC" w:rsidRDefault="00AF4AAB" w:rsidP="006E4CD8">
      <w:pPr>
        <w:spacing w:line="480" w:lineRule="auto"/>
      </w:pPr>
      <w:r w:rsidRPr="006D21CC">
        <w:rPr>
          <w:b/>
          <w:bCs/>
        </w:rPr>
        <w:tab/>
      </w:r>
      <w:r w:rsidRPr="006D21CC">
        <w:t>In order to protect consumers from paying unjust, unreasonable and unlawful rates, OCC respectfully request</w:t>
      </w:r>
      <w:r w:rsidR="00E40420" w:rsidRPr="006D21CC">
        <w:t>s</w:t>
      </w:r>
      <w:r w:rsidRPr="006D21CC">
        <w:t xml:space="preserve"> that the PUCO adopt OCC</w:t>
      </w:r>
      <w:r w:rsidR="006D21CC">
        <w:t>’</w:t>
      </w:r>
      <w:r w:rsidRPr="006D21CC">
        <w:t>s recommendations as set forth in these objections and in the supporting testimony.</w:t>
      </w:r>
    </w:p>
    <w:p w14:paraId="5E2EB4D3" w14:textId="77777777" w:rsidR="00024CFA" w:rsidRDefault="00AF4AAB" w:rsidP="006E4CD8">
      <w:pPr>
        <w:spacing w:line="480" w:lineRule="auto"/>
      </w:pPr>
      <w:r w:rsidRPr="006D21CC">
        <w:tab/>
      </w:r>
      <w:r w:rsidRPr="006D21CC">
        <w:tab/>
      </w:r>
      <w:r w:rsidRPr="006D21CC">
        <w:tab/>
      </w:r>
      <w:r w:rsidRPr="006D21CC">
        <w:tab/>
      </w:r>
      <w:r w:rsidRPr="006D21CC">
        <w:tab/>
      </w:r>
      <w:r w:rsidRPr="006D21CC">
        <w:tab/>
      </w:r>
    </w:p>
    <w:p w14:paraId="4E5BB74C" w14:textId="77777777" w:rsidR="00024CFA" w:rsidRDefault="00AF4AAB">
      <w:pPr>
        <w:spacing w:after="160" w:line="278" w:lineRule="auto"/>
      </w:pPr>
      <w:r>
        <w:br w:type="page"/>
      </w:r>
    </w:p>
    <w:p w14:paraId="5F87B598" w14:textId="40DBE136" w:rsidR="00844653" w:rsidRPr="006D21CC" w:rsidRDefault="00AF4AAB" w:rsidP="00024CFA">
      <w:pPr>
        <w:spacing w:line="480" w:lineRule="auto"/>
        <w:ind w:left="3600" w:firstLine="720"/>
      </w:pPr>
      <w:r w:rsidRPr="006D21CC">
        <w:lastRenderedPageBreak/>
        <w:t>Respectfully submitted</w:t>
      </w:r>
    </w:p>
    <w:p w14:paraId="21072DBB" w14:textId="77777777" w:rsidR="00844653" w:rsidRPr="006D21CC" w:rsidRDefault="00AF4AAB" w:rsidP="00844653">
      <w:pPr>
        <w:tabs>
          <w:tab w:val="left" w:pos="8730"/>
        </w:tabs>
        <w:ind w:left="4320"/>
      </w:pPr>
      <w:r w:rsidRPr="006D21CC">
        <w:t xml:space="preserve">Maureen R. Willis (0020847) </w:t>
      </w:r>
    </w:p>
    <w:p w14:paraId="2B722AEA" w14:textId="590EC430" w:rsidR="00844653" w:rsidRPr="006D21CC" w:rsidRDefault="00AF4AAB" w:rsidP="00844653">
      <w:pPr>
        <w:tabs>
          <w:tab w:val="left" w:pos="8730"/>
        </w:tabs>
        <w:ind w:left="4320"/>
      </w:pPr>
      <w:r w:rsidRPr="006D21CC">
        <w:t>Ohio Consumers</w:t>
      </w:r>
      <w:r w:rsidR="006D21CC">
        <w:t>’</w:t>
      </w:r>
      <w:r w:rsidRPr="006D21CC">
        <w:t xml:space="preserve"> Counsel</w:t>
      </w:r>
    </w:p>
    <w:p w14:paraId="55E50D87" w14:textId="77777777" w:rsidR="00844653" w:rsidRPr="006D21CC" w:rsidRDefault="00844653" w:rsidP="00844653">
      <w:pPr>
        <w:tabs>
          <w:tab w:val="left" w:pos="8730"/>
        </w:tabs>
        <w:ind w:left="4320"/>
      </w:pPr>
    </w:p>
    <w:p w14:paraId="4F44C890" w14:textId="77777777" w:rsidR="00844653" w:rsidRPr="006D21CC" w:rsidRDefault="00AF4AAB" w:rsidP="00844653">
      <w:pPr>
        <w:autoSpaceDE w:val="0"/>
        <w:autoSpaceDN w:val="0"/>
        <w:adjustRightInd w:val="0"/>
        <w:ind w:left="3600" w:firstLine="720"/>
        <w:rPr>
          <w:i/>
          <w:iCs/>
          <w:u w:val="single"/>
        </w:rPr>
      </w:pPr>
      <w:r w:rsidRPr="006D21CC">
        <w:rPr>
          <w:i/>
          <w:iCs/>
          <w:u w:val="single"/>
        </w:rPr>
        <w:t>/s/ Robert Eubanks</w:t>
      </w:r>
    </w:p>
    <w:p w14:paraId="1CCF11F5" w14:textId="77777777" w:rsidR="00844653" w:rsidRPr="006D21CC" w:rsidRDefault="00AF4AAB" w:rsidP="00844653">
      <w:pPr>
        <w:autoSpaceDE w:val="0"/>
        <w:autoSpaceDN w:val="0"/>
        <w:adjustRightInd w:val="0"/>
        <w:ind w:left="3600" w:firstLine="720"/>
        <w:rPr>
          <w:i/>
          <w:iCs/>
          <w:u w:val="single"/>
        </w:rPr>
      </w:pPr>
      <w:r w:rsidRPr="006D21CC">
        <w:t>Robert Eubanks (0073386)</w:t>
      </w:r>
    </w:p>
    <w:p w14:paraId="4EF0AF15" w14:textId="77777777" w:rsidR="00844653" w:rsidRPr="006D21CC" w:rsidRDefault="00AF4AAB" w:rsidP="00844653">
      <w:pPr>
        <w:tabs>
          <w:tab w:val="left" w:pos="4320"/>
        </w:tabs>
        <w:ind w:right="-180"/>
      </w:pPr>
      <w:r w:rsidRPr="006D21CC">
        <w:tab/>
        <w:t>Counsel of Record</w:t>
      </w:r>
    </w:p>
    <w:p w14:paraId="0279929F" w14:textId="77777777" w:rsidR="00844653" w:rsidRPr="006D21CC" w:rsidRDefault="00AF4AAB" w:rsidP="00844653">
      <w:pPr>
        <w:tabs>
          <w:tab w:val="left" w:pos="4320"/>
        </w:tabs>
        <w:ind w:left="4320" w:right="-180"/>
      </w:pPr>
      <w:r w:rsidRPr="006D21CC">
        <w:t>Donald J. Kral (0042091)</w:t>
      </w:r>
    </w:p>
    <w:p w14:paraId="0CFA9703" w14:textId="77777777" w:rsidR="00844653" w:rsidRPr="006D21CC" w:rsidRDefault="00AF4AAB" w:rsidP="00844653">
      <w:pPr>
        <w:tabs>
          <w:tab w:val="left" w:pos="4320"/>
        </w:tabs>
        <w:ind w:left="4320" w:right="-180"/>
      </w:pPr>
      <w:r w:rsidRPr="006D21CC">
        <w:t>Thomas J. Brodbeck (0093920)</w:t>
      </w:r>
    </w:p>
    <w:p w14:paraId="047FF8E1" w14:textId="77777777" w:rsidR="00844653" w:rsidRPr="006D21CC" w:rsidRDefault="00AF4AAB" w:rsidP="00844653">
      <w:pPr>
        <w:tabs>
          <w:tab w:val="left" w:pos="4320"/>
        </w:tabs>
        <w:ind w:left="4320" w:right="-180"/>
      </w:pPr>
      <w:r w:rsidRPr="006D21CC">
        <w:t>John Finnigan (0018689)</w:t>
      </w:r>
    </w:p>
    <w:p w14:paraId="3C7B8F58" w14:textId="26894E44" w:rsidR="00844653" w:rsidRPr="006D21CC" w:rsidRDefault="00AF4AAB" w:rsidP="00844653">
      <w:pPr>
        <w:tabs>
          <w:tab w:val="left" w:pos="4320"/>
        </w:tabs>
        <w:ind w:left="4320" w:right="-180"/>
      </w:pPr>
      <w:r w:rsidRPr="006D21CC">
        <w:t xml:space="preserve">Assistant </w:t>
      </w:r>
      <w:r w:rsidRPr="006D21CC">
        <w:t>Consumers</w:t>
      </w:r>
      <w:r w:rsidR="006D21CC">
        <w:t>’</w:t>
      </w:r>
      <w:r w:rsidRPr="006D21CC">
        <w:t xml:space="preserve"> Counsel </w:t>
      </w:r>
    </w:p>
    <w:p w14:paraId="6B36F5B7" w14:textId="77777777" w:rsidR="00844653" w:rsidRPr="006D21CC" w:rsidRDefault="00844653" w:rsidP="00844653">
      <w:pPr>
        <w:ind w:left="3600" w:firstLine="720"/>
        <w:rPr>
          <w:b/>
          <w:bCs/>
        </w:rPr>
      </w:pPr>
    </w:p>
    <w:p w14:paraId="367D631E" w14:textId="7C8C3E99" w:rsidR="00844653" w:rsidRPr="006D21CC" w:rsidRDefault="00AF4AAB" w:rsidP="00844653">
      <w:pPr>
        <w:ind w:left="3600" w:firstLine="720"/>
        <w:rPr>
          <w:b/>
          <w:bCs/>
        </w:rPr>
      </w:pPr>
      <w:r w:rsidRPr="006D21CC">
        <w:rPr>
          <w:b/>
          <w:bCs/>
        </w:rPr>
        <w:t>Office of the Ohio Consumers</w:t>
      </w:r>
      <w:r w:rsidR="006D21CC">
        <w:rPr>
          <w:b/>
          <w:bCs/>
        </w:rPr>
        <w:t>’</w:t>
      </w:r>
      <w:r w:rsidRPr="006D21CC">
        <w:rPr>
          <w:b/>
          <w:bCs/>
        </w:rPr>
        <w:t xml:space="preserve"> Counsel</w:t>
      </w:r>
    </w:p>
    <w:p w14:paraId="035056A3" w14:textId="77777777" w:rsidR="00844653" w:rsidRPr="006D21CC" w:rsidRDefault="00AF4AAB" w:rsidP="00844653">
      <w:pPr>
        <w:pStyle w:val="PlainText"/>
        <w:ind w:left="3600" w:firstLine="720"/>
        <w:rPr>
          <w:rFonts w:ascii="Times New Roman" w:hAnsi="Times New Roman"/>
          <w:sz w:val="24"/>
          <w:szCs w:val="24"/>
        </w:rPr>
      </w:pPr>
      <w:r w:rsidRPr="006D21CC">
        <w:rPr>
          <w:rFonts w:ascii="Times New Roman" w:hAnsi="Times New Roman"/>
          <w:sz w:val="24"/>
          <w:szCs w:val="24"/>
        </w:rPr>
        <w:t>65 East State Street, Suite 700</w:t>
      </w:r>
    </w:p>
    <w:p w14:paraId="3C184B6F" w14:textId="77777777" w:rsidR="00844653" w:rsidRPr="006D21CC" w:rsidRDefault="00AF4AAB" w:rsidP="00844653">
      <w:pPr>
        <w:pStyle w:val="PlainText"/>
        <w:ind w:left="3600" w:firstLine="720"/>
        <w:rPr>
          <w:rFonts w:ascii="Times New Roman" w:hAnsi="Times New Roman"/>
          <w:sz w:val="24"/>
          <w:szCs w:val="24"/>
        </w:rPr>
      </w:pPr>
      <w:r w:rsidRPr="006D21CC">
        <w:rPr>
          <w:rFonts w:ascii="Times New Roman" w:hAnsi="Times New Roman"/>
          <w:sz w:val="24"/>
          <w:szCs w:val="24"/>
        </w:rPr>
        <w:t>Columbus, Ohio 43215</w:t>
      </w:r>
    </w:p>
    <w:p w14:paraId="0B12BF37" w14:textId="77777777" w:rsidR="00844653" w:rsidRPr="006D21CC" w:rsidRDefault="00AF4AAB" w:rsidP="00844653">
      <w:pPr>
        <w:suppressLineNumbers/>
        <w:ind w:left="4320"/>
      </w:pPr>
      <w:r w:rsidRPr="006D21CC">
        <w:t>Telephone: [Eubanks] (614) 466-1292</w:t>
      </w:r>
    </w:p>
    <w:p w14:paraId="693E5BF2" w14:textId="77777777" w:rsidR="00844653" w:rsidRPr="006D21CC" w:rsidRDefault="00AF4AAB" w:rsidP="00844653">
      <w:pPr>
        <w:suppressLineNumbers/>
        <w:ind w:left="4320"/>
      </w:pPr>
      <w:r w:rsidRPr="006D21CC">
        <w:t>Telephone: [Kral] (614) 466-9571</w:t>
      </w:r>
    </w:p>
    <w:p w14:paraId="185A513F" w14:textId="77777777" w:rsidR="00844653" w:rsidRPr="006D21CC" w:rsidRDefault="00AF4AAB" w:rsidP="00844653">
      <w:pPr>
        <w:suppressLineNumbers/>
        <w:ind w:left="4320"/>
      </w:pPr>
      <w:r w:rsidRPr="006D21CC">
        <w:t>Telephone: [Brodbeck] (614) 466-9565</w:t>
      </w:r>
    </w:p>
    <w:p w14:paraId="5BEB9ACD" w14:textId="77777777" w:rsidR="00844653" w:rsidRPr="006D21CC" w:rsidRDefault="00AF4AAB" w:rsidP="00844653">
      <w:pPr>
        <w:suppressLineNumbers/>
        <w:ind w:left="4320"/>
      </w:pPr>
      <w:r w:rsidRPr="006D21CC">
        <w:t>Telephone: [Finnigan] (614) 477-9585</w:t>
      </w:r>
    </w:p>
    <w:p w14:paraId="789E9E29" w14:textId="77777777" w:rsidR="00844653" w:rsidRPr="006D21CC" w:rsidRDefault="00AF4AAB" w:rsidP="00844653">
      <w:pPr>
        <w:suppressLineNumbers/>
        <w:ind w:left="4320"/>
        <w:rPr>
          <w:rStyle w:val="Hyperlink"/>
          <w:rFonts w:eastAsia="Courier New"/>
        </w:rPr>
      </w:pPr>
      <w:r w:rsidRPr="006D21CC">
        <w:rPr>
          <w:rStyle w:val="Hyperlink"/>
          <w:rFonts w:eastAsia="Courier New"/>
        </w:rPr>
        <w:t>Robert.eubanks@occ.ohio.gov</w:t>
      </w:r>
    </w:p>
    <w:p w14:paraId="7826761D" w14:textId="77777777" w:rsidR="00844653" w:rsidRPr="006D21CC" w:rsidRDefault="00AF4AAB" w:rsidP="00844653">
      <w:pPr>
        <w:suppressLineNumbers/>
        <w:ind w:left="4320"/>
        <w:rPr>
          <w:rStyle w:val="Hyperlink"/>
          <w:rFonts w:eastAsia="Courier New"/>
        </w:rPr>
      </w:pPr>
      <w:hyperlink r:id="rId18" w:history="1">
        <w:r w:rsidR="00EB7219" w:rsidRPr="006D21CC">
          <w:rPr>
            <w:rStyle w:val="Hyperlink"/>
            <w:rFonts w:eastAsia="Courier New"/>
          </w:rPr>
          <w:t>donald.kral@occ.ohio.gov</w:t>
        </w:r>
      </w:hyperlink>
    </w:p>
    <w:p w14:paraId="768E3409" w14:textId="77777777" w:rsidR="00844653" w:rsidRPr="006D21CC" w:rsidRDefault="00AF4AAB" w:rsidP="00844653">
      <w:pPr>
        <w:suppressLineNumbers/>
        <w:ind w:left="4320"/>
        <w:rPr>
          <w:rStyle w:val="Hyperlink"/>
          <w:rFonts w:eastAsia="Courier New"/>
        </w:rPr>
      </w:pPr>
      <w:hyperlink r:id="rId19" w:history="1">
        <w:r w:rsidR="00EB7219" w:rsidRPr="006D21CC">
          <w:rPr>
            <w:rStyle w:val="Hyperlink"/>
            <w:rFonts w:eastAsia="Courier New"/>
          </w:rPr>
          <w:t>thomas.brodbeck@occ.ohio.gov</w:t>
        </w:r>
      </w:hyperlink>
    </w:p>
    <w:p w14:paraId="486F4710" w14:textId="77777777" w:rsidR="00844653" w:rsidRPr="006D21CC" w:rsidRDefault="00AF4AAB" w:rsidP="00844653">
      <w:pPr>
        <w:suppressLineNumbers/>
        <w:ind w:left="4320"/>
        <w:rPr>
          <w:rStyle w:val="Hyperlink"/>
          <w:rFonts w:eastAsia="Courier New"/>
        </w:rPr>
      </w:pPr>
      <w:r w:rsidRPr="006D21CC">
        <w:rPr>
          <w:rStyle w:val="Hyperlink"/>
          <w:rFonts w:eastAsia="Courier New"/>
        </w:rPr>
        <w:t>John.finnigan@occ.ohio.gov</w:t>
      </w:r>
    </w:p>
    <w:p w14:paraId="70060C26" w14:textId="77777777" w:rsidR="00844653" w:rsidRPr="006D21CC" w:rsidRDefault="00AF4AAB" w:rsidP="00844653">
      <w:pPr>
        <w:ind w:firstLine="4320"/>
      </w:pPr>
      <w:r w:rsidRPr="006D21CC">
        <w:t>(willing to accept service by e-mail)</w:t>
      </w:r>
    </w:p>
    <w:p w14:paraId="4791A443" w14:textId="395773C2" w:rsidR="00EC1AFB" w:rsidRPr="006D21CC" w:rsidRDefault="00AF4AAB">
      <w:pPr>
        <w:spacing w:after="160" w:line="278" w:lineRule="auto"/>
      </w:pPr>
      <w:r w:rsidRPr="006D21CC">
        <w:br w:type="page"/>
      </w:r>
    </w:p>
    <w:p w14:paraId="76C41587" w14:textId="77777777" w:rsidR="00EC1AFB" w:rsidRPr="006D21CC" w:rsidRDefault="00AF4AAB" w:rsidP="00EC1AFB">
      <w:pPr>
        <w:tabs>
          <w:tab w:val="left" w:pos="4320"/>
          <w:tab w:val="right" w:pos="8640"/>
        </w:tabs>
        <w:jc w:val="center"/>
      </w:pPr>
      <w:r w:rsidRPr="006D21CC">
        <w:rPr>
          <w:b/>
          <w:u w:val="single"/>
        </w:rPr>
        <w:lastRenderedPageBreak/>
        <w:t>CERTIFICATE OF SERVICE</w:t>
      </w:r>
    </w:p>
    <w:p w14:paraId="5B7AC5D7" w14:textId="77777777" w:rsidR="00EC1AFB" w:rsidRPr="006D21CC" w:rsidRDefault="00EC1AFB" w:rsidP="00EC1AFB">
      <w:pPr>
        <w:autoSpaceDE w:val="0"/>
        <w:autoSpaceDN w:val="0"/>
        <w:adjustRightInd w:val="0"/>
        <w:ind w:firstLine="4320"/>
        <w:jc w:val="center"/>
        <w:rPr>
          <w:u w:val="single"/>
        </w:rPr>
      </w:pPr>
    </w:p>
    <w:p w14:paraId="1004B53B" w14:textId="205965FB" w:rsidR="00EC1AFB" w:rsidRPr="006D21CC" w:rsidRDefault="00AF4AAB" w:rsidP="00EC1AFB">
      <w:pPr>
        <w:keepNext/>
        <w:spacing w:line="480" w:lineRule="auto"/>
        <w:ind w:firstLine="720"/>
        <w:outlineLvl w:val="2"/>
        <w:rPr>
          <w:bCs/>
        </w:rPr>
      </w:pPr>
      <w:bookmarkStart w:id="50" w:name="_Toc172289763"/>
      <w:bookmarkStart w:id="51" w:name="_Toc172290915"/>
      <w:bookmarkStart w:id="52" w:name="_Toc172894847"/>
      <w:bookmarkStart w:id="53" w:name="_Toc172895222"/>
      <w:r w:rsidRPr="006D21CC">
        <w:rPr>
          <w:bCs/>
        </w:rPr>
        <w:t xml:space="preserve">I hereby certify that a copy of the foregoing Objections to the Staff Report was served via electronic transmission upon the parties this </w:t>
      </w:r>
      <w:r w:rsidR="00B47F7A" w:rsidRPr="006D21CC">
        <w:rPr>
          <w:bCs/>
        </w:rPr>
        <w:t>26</w:t>
      </w:r>
      <w:r w:rsidR="00B47F7A" w:rsidRPr="006D21CC">
        <w:rPr>
          <w:bCs/>
          <w:vertAlign w:val="superscript"/>
        </w:rPr>
        <w:t>th</w:t>
      </w:r>
      <w:r w:rsidR="00B47F7A" w:rsidRPr="006D21CC">
        <w:rPr>
          <w:bCs/>
        </w:rPr>
        <w:t xml:space="preserve"> </w:t>
      </w:r>
      <w:r w:rsidRPr="006D21CC">
        <w:rPr>
          <w:bCs/>
        </w:rPr>
        <w:t xml:space="preserve">day of </w:t>
      </w:r>
      <w:r w:rsidR="001D2778" w:rsidRPr="006D21CC">
        <w:rPr>
          <w:bCs/>
        </w:rPr>
        <w:t>July</w:t>
      </w:r>
      <w:r w:rsidRPr="006D21CC">
        <w:rPr>
          <w:bCs/>
        </w:rPr>
        <w:t xml:space="preserve"> 2024.</w:t>
      </w:r>
      <w:bookmarkEnd w:id="50"/>
      <w:bookmarkEnd w:id="51"/>
      <w:bookmarkEnd w:id="52"/>
      <w:bookmarkEnd w:id="53"/>
      <w:r w:rsidRPr="006D21CC">
        <w:rPr>
          <w:bCs/>
        </w:rPr>
        <w:t xml:space="preserve"> </w:t>
      </w:r>
    </w:p>
    <w:p w14:paraId="1FA95008" w14:textId="4AEAC61A" w:rsidR="00EC1AFB" w:rsidRPr="006D21CC" w:rsidRDefault="00AF4AAB" w:rsidP="00EC1AFB">
      <w:pPr>
        <w:ind w:left="4320"/>
      </w:pPr>
      <w:r w:rsidRPr="006D21CC">
        <w:rPr>
          <w:i/>
          <w:u w:val="single"/>
        </w:rPr>
        <w:t>/s/ Robert Eubanks</w:t>
      </w:r>
      <w:r w:rsidR="001D2778" w:rsidRPr="006D21CC">
        <w:rPr>
          <w:i/>
          <w:u w:val="single"/>
        </w:rPr>
        <w:tab/>
      </w:r>
      <w:r w:rsidR="001D2778" w:rsidRPr="006D21CC">
        <w:rPr>
          <w:i/>
          <w:u w:val="single"/>
        </w:rPr>
        <w:tab/>
      </w:r>
    </w:p>
    <w:p w14:paraId="3D701434" w14:textId="77777777" w:rsidR="00EC1AFB" w:rsidRPr="006D21CC" w:rsidRDefault="00AF4AAB" w:rsidP="00EC1AFB">
      <w:pPr>
        <w:tabs>
          <w:tab w:val="left" w:pos="4320"/>
        </w:tabs>
      </w:pPr>
      <w:r w:rsidRPr="006D21CC">
        <w:tab/>
        <w:t>Robert Eubanks</w:t>
      </w:r>
    </w:p>
    <w:p w14:paraId="0FC3EBCE" w14:textId="2B4A60C1" w:rsidR="00EC1AFB" w:rsidRPr="006D21CC" w:rsidRDefault="00AF4AAB" w:rsidP="00EC1AFB">
      <w:pPr>
        <w:tabs>
          <w:tab w:val="left" w:pos="4320"/>
        </w:tabs>
      </w:pPr>
      <w:r w:rsidRPr="006D21CC">
        <w:tab/>
        <w:t>Assistant Consumers</w:t>
      </w:r>
      <w:r w:rsidR="006D21CC">
        <w:t>’</w:t>
      </w:r>
      <w:r w:rsidRPr="006D21CC">
        <w:t xml:space="preserve"> Counsel</w:t>
      </w:r>
    </w:p>
    <w:p w14:paraId="6A39FA4D" w14:textId="77777777" w:rsidR="00EC1AFB" w:rsidRPr="006D21CC" w:rsidRDefault="00EC1AFB" w:rsidP="00EC1AFB">
      <w:pPr>
        <w:tabs>
          <w:tab w:val="left" w:pos="4320"/>
        </w:tabs>
      </w:pPr>
    </w:p>
    <w:p w14:paraId="4D444C37" w14:textId="5F6E989D" w:rsidR="00EC1AFB" w:rsidRPr="006D21CC" w:rsidRDefault="00AF4AAB" w:rsidP="00EC1AFB">
      <w:r w:rsidRPr="006D21CC">
        <w:t>The PUCO</w:t>
      </w:r>
      <w:r w:rsidR="006D21CC">
        <w:t>’</w:t>
      </w:r>
      <w:r w:rsidRPr="006D21CC">
        <w:t>s e-filing system will electronically serve notice of the filing of this document on the following parties:</w:t>
      </w:r>
    </w:p>
    <w:p w14:paraId="502CB791" w14:textId="77777777" w:rsidR="00EC1AFB" w:rsidRPr="006D21CC" w:rsidRDefault="00EC1AFB" w:rsidP="00EC1AFB">
      <w:pPr>
        <w:pStyle w:val="CommentText"/>
        <w:rPr>
          <w:sz w:val="24"/>
          <w:szCs w:val="24"/>
        </w:rPr>
      </w:pPr>
    </w:p>
    <w:p w14:paraId="5E8B0A7E" w14:textId="77777777" w:rsidR="00EC1AFB" w:rsidRPr="006D21CC" w:rsidRDefault="00AF4AAB" w:rsidP="00EC1AFB">
      <w:pPr>
        <w:pStyle w:val="CommentText"/>
        <w:jc w:val="center"/>
        <w:rPr>
          <w:b/>
          <w:sz w:val="24"/>
          <w:szCs w:val="24"/>
          <w:u w:val="single"/>
        </w:rPr>
      </w:pPr>
      <w:r w:rsidRPr="006D21CC">
        <w:rPr>
          <w:b/>
          <w:sz w:val="24"/>
          <w:szCs w:val="24"/>
          <w:u w:val="single"/>
        </w:rPr>
        <w:t>SERVICE LIST</w:t>
      </w:r>
    </w:p>
    <w:p w14:paraId="171E754B" w14:textId="77777777" w:rsidR="00EC1AFB" w:rsidRPr="006D21CC" w:rsidRDefault="00EC1AFB" w:rsidP="00EC1AFB">
      <w:pPr>
        <w:pStyle w:val="CommentText"/>
        <w:jc w:val="center"/>
        <w:rPr>
          <w:b/>
          <w:sz w:val="24"/>
          <w:szCs w:val="24"/>
          <w:u w:val="single"/>
        </w:rPr>
      </w:pPr>
    </w:p>
    <w:tbl>
      <w:tblPr>
        <w:tblW w:w="9360" w:type="dxa"/>
        <w:tblLayout w:type="fixed"/>
        <w:tblLook w:val="04A0" w:firstRow="1" w:lastRow="0" w:firstColumn="1" w:lastColumn="0" w:noHBand="0" w:noVBand="1"/>
      </w:tblPr>
      <w:tblGrid>
        <w:gridCol w:w="4500"/>
        <w:gridCol w:w="4860"/>
      </w:tblGrid>
      <w:tr w:rsidR="009F531F" w14:paraId="15A2C8FF" w14:textId="77777777" w:rsidTr="00A221B9">
        <w:tc>
          <w:tcPr>
            <w:tcW w:w="4500" w:type="dxa"/>
            <w:shd w:val="clear" w:color="auto" w:fill="auto"/>
          </w:tcPr>
          <w:p w14:paraId="6D2881C9" w14:textId="77777777" w:rsidR="00EC1AFB" w:rsidRPr="006D21CC" w:rsidRDefault="00AF4AAB" w:rsidP="00A221B9">
            <w:pPr>
              <w:pStyle w:val="BodyText"/>
              <w:rPr>
                <w:szCs w:val="24"/>
              </w:rPr>
            </w:pPr>
            <w:hyperlink r:id="rId20" w:history="1">
              <w:r w:rsidR="00EB7219" w:rsidRPr="006D21CC">
                <w:rPr>
                  <w:rStyle w:val="Hyperlink"/>
                  <w:rFonts w:eastAsiaTheme="majorEastAsia"/>
                  <w:szCs w:val="24"/>
                </w:rPr>
                <w:t>TGallagher@fgplaborlaw.com</w:t>
              </w:r>
            </w:hyperlink>
          </w:p>
          <w:p w14:paraId="4607ED63" w14:textId="77777777" w:rsidR="00EC1AFB" w:rsidRPr="006D21CC" w:rsidRDefault="00AF4AAB" w:rsidP="00A221B9">
            <w:pPr>
              <w:pStyle w:val="BodyText"/>
              <w:rPr>
                <w:szCs w:val="24"/>
              </w:rPr>
            </w:pPr>
            <w:hyperlink r:id="rId21" w:history="1">
              <w:r w:rsidR="00EB7219" w:rsidRPr="006D21CC">
                <w:rPr>
                  <w:rStyle w:val="Hyperlink"/>
                  <w:rFonts w:eastAsiaTheme="majorEastAsia"/>
                  <w:szCs w:val="24"/>
                </w:rPr>
                <w:t>mkurtz@BKLlawfirm.com</w:t>
              </w:r>
            </w:hyperlink>
          </w:p>
          <w:p w14:paraId="392AC210" w14:textId="77777777" w:rsidR="00EC1AFB" w:rsidRPr="006D21CC" w:rsidRDefault="00AF4AAB" w:rsidP="00A221B9">
            <w:pPr>
              <w:pStyle w:val="BodyText"/>
              <w:rPr>
                <w:szCs w:val="24"/>
              </w:rPr>
            </w:pPr>
            <w:hyperlink r:id="rId22" w:history="1">
              <w:r w:rsidR="00EB7219" w:rsidRPr="006D21CC">
                <w:rPr>
                  <w:rStyle w:val="Hyperlink"/>
                  <w:rFonts w:eastAsiaTheme="majorEastAsia"/>
                  <w:szCs w:val="24"/>
                </w:rPr>
                <w:t>kboehm@BKLlawfirm.com</w:t>
              </w:r>
            </w:hyperlink>
          </w:p>
          <w:p w14:paraId="3863A426" w14:textId="77777777" w:rsidR="00EC1AFB" w:rsidRDefault="00AF4AAB" w:rsidP="00A221B9">
            <w:pPr>
              <w:pStyle w:val="BodyText"/>
              <w:rPr>
                <w:rStyle w:val="Hyperlink"/>
                <w:rFonts w:eastAsiaTheme="majorEastAsia"/>
                <w:szCs w:val="24"/>
              </w:rPr>
            </w:pPr>
            <w:hyperlink r:id="rId23" w:history="1">
              <w:r w:rsidR="00EB7219" w:rsidRPr="006D21CC">
                <w:rPr>
                  <w:rStyle w:val="Hyperlink"/>
                  <w:rFonts w:eastAsiaTheme="majorEastAsia"/>
                  <w:szCs w:val="24"/>
                </w:rPr>
                <w:t>jkylercohn@BKLlawfirm.com</w:t>
              </w:r>
            </w:hyperlink>
          </w:p>
          <w:p w14:paraId="46E21EFB" w14:textId="7721F4A0" w:rsidR="00404174" w:rsidRDefault="00AF4AAB" w:rsidP="00A221B9">
            <w:pPr>
              <w:pStyle w:val="BodyText"/>
              <w:rPr>
                <w:rStyle w:val="Hyperlink"/>
                <w:rFonts w:eastAsiaTheme="majorEastAsia"/>
              </w:rPr>
            </w:pPr>
            <w:hyperlink r:id="rId24" w:history="1">
              <w:r w:rsidR="00EB7219" w:rsidRPr="00AC27BA">
                <w:rPr>
                  <w:rStyle w:val="Hyperlink"/>
                  <w:rFonts w:eastAsiaTheme="majorEastAsia"/>
                </w:rPr>
                <w:t>Christopher.healey@puco.ohio.gov</w:t>
              </w:r>
            </w:hyperlink>
          </w:p>
          <w:p w14:paraId="615F3760" w14:textId="25D5B973" w:rsidR="00404174" w:rsidRPr="006D21CC" w:rsidRDefault="00AF4AAB" w:rsidP="00A221B9">
            <w:pPr>
              <w:pStyle w:val="BodyText"/>
              <w:rPr>
                <w:szCs w:val="24"/>
              </w:rPr>
            </w:pPr>
            <w:r>
              <w:rPr>
                <w:rStyle w:val="Hyperlink"/>
                <w:rFonts w:eastAsiaTheme="majorEastAsia"/>
              </w:rPr>
              <w:t>David.lipthratt@puco.ohio.gov</w:t>
            </w:r>
          </w:p>
          <w:p w14:paraId="619D1274" w14:textId="77777777" w:rsidR="00EC1AFB" w:rsidRPr="006D21CC" w:rsidRDefault="00EC1AFB" w:rsidP="00A221B9">
            <w:pPr>
              <w:pStyle w:val="BodyText"/>
              <w:rPr>
                <w:szCs w:val="24"/>
              </w:rPr>
            </w:pPr>
          </w:p>
          <w:p w14:paraId="61D9E55F" w14:textId="77777777" w:rsidR="00EC1AFB" w:rsidRPr="006D21CC" w:rsidRDefault="00AF4AAB" w:rsidP="00A221B9">
            <w:pPr>
              <w:pStyle w:val="BodyText"/>
              <w:rPr>
                <w:szCs w:val="24"/>
              </w:rPr>
            </w:pPr>
            <w:r w:rsidRPr="006D21CC">
              <w:rPr>
                <w:szCs w:val="24"/>
              </w:rPr>
              <w:t>Attorney Examiners:</w:t>
            </w:r>
          </w:p>
          <w:p w14:paraId="7F4169AA" w14:textId="77777777" w:rsidR="00EC1AFB" w:rsidRPr="006D21CC" w:rsidRDefault="00AF4AAB" w:rsidP="00A221B9">
            <w:pPr>
              <w:pStyle w:val="BodyText"/>
              <w:rPr>
                <w:szCs w:val="24"/>
              </w:rPr>
            </w:pPr>
            <w:hyperlink r:id="rId25" w:history="1">
              <w:r w:rsidR="00EB7219" w:rsidRPr="006D21CC">
                <w:rPr>
                  <w:rStyle w:val="Hyperlink"/>
                  <w:rFonts w:eastAsiaTheme="majorEastAsia"/>
                  <w:szCs w:val="24"/>
                </w:rPr>
                <w:t>greg.price@puco.ohio.gov</w:t>
              </w:r>
            </w:hyperlink>
          </w:p>
          <w:p w14:paraId="0B7F9E24" w14:textId="77777777" w:rsidR="00EC1AFB" w:rsidRDefault="00AF4AAB" w:rsidP="00A221B9">
            <w:pPr>
              <w:pStyle w:val="BodyText"/>
              <w:rPr>
                <w:rStyle w:val="Hyperlink"/>
                <w:rFonts w:eastAsiaTheme="majorEastAsia"/>
                <w:szCs w:val="24"/>
              </w:rPr>
            </w:pPr>
            <w:hyperlink r:id="rId26" w:history="1">
              <w:r w:rsidR="00EB7219" w:rsidRPr="006D21CC">
                <w:rPr>
                  <w:rStyle w:val="Hyperlink"/>
                  <w:rFonts w:eastAsiaTheme="majorEastAsia"/>
                  <w:szCs w:val="24"/>
                </w:rPr>
                <w:t>clint.white@puco.ohio.gov</w:t>
              </w:r>
            </w:hyperlink>
          </w:p>
          <w:p w14:paraId="7546BDD0" w14:textId="77777777" w:rsidR="000668D1" w:rsidRDefault="000668D1" w:rsidP="00A221B9">
            <w:pPr>
              <w:pStyle w:val="BodyText"/>
              <w:rPr>
                <w:rStyle w:val="Hyperlink"/>
                <w:rFonts w:eastAsiaTheme="majorEastAsia"/>
                <w:szCs w:val="24"/>
              </w:rPr>
            </w:pPr>
          </w:p>
          <w:p w14:paraId="56CB560E" w14:textId="6083918A" w:rsidR="000668D1" w:rsidRPr="000668D1" w:rsidRDefault="00AF4AAB" w:rsidP="00A221B9">
            <w:pPr>
              <w:pStyle w:val="BodyText"/>
              <w:rPr>
                <w:rStyle w:val="Hyperlink"/>
                <w:rFonts w:eastAsiaTheme="majorEastAsia"/>
                <w:color w:val="auto"/>
                <w:szCs w:val="24"/>
                <w:u w:val="none"/>
              </w:rPr>
            </w:pPr>
            <w:r w:rsidRPr="000668D1">
              <w:rPr>
                <w:rStyle w:val="Hyperlink"/>
                <w:rFonts w:eastAsiaTheme="majorEastAsia"/>
                <w:color w:val="auto"/>
                <w:szCs w:val="24"/>
                <w:u w:val="none"/>
              </w:rPr>
              <w:t>Attorney General Office:</w:t>
            </w:r>
          </w:p>
          <w:p w14:paraId="5CD1A229" w14:textId="77777777" w:rsidR="000668D1" w:rsidRPr="006D21CC" w:rsidRDefault="00AF4AAB" w:rsidP="000668D1">
            <w:pPr>
              <w:pStyle w:val="BodyText"/>
              <w:rPr>
                <w:szCs w:val="24"/>
              </w:rPr>
            </w:pPr>
            <w:hyperlink r:id="rId27" w:history="1">
              <w:r w:rsidR="00EB7219" w:rsidRPr="006D21CC">
                <w:rPr>
                  <w:rStyle w:val="Hyperlink"/>
                  <w:rFonts w:eastAsiaTheme="majorEastAsia"/>
                  <w:szCs w:val="24"/>
                </w:rPr>
                <w:t>ashley.wnek@ohioAGO.gov</w:t>
              </w:r>
            </w:hyperlink>
          </w:p>
          <w:p w14:paraId="7146EEFC" w14:textId="77777777" w:rsidR="000668D1" w:rsidRDefault="00AF4AAB" w:rsidP="000668D1">
            <w:pPr>
              <w:pStyle w:val="BodyText"/>
              <w:rPr>
                <w:rStyle w:val="Hyperlink"/>
                <w:rFonts w:eastAsiaTheme="majorEastAsia"/>
                <w:szCs w:val="24"/>
              </w:rPr>
            </w:pPr>
            <w:hyperlink r:id="rId28" w:history="1">
              <w:r w:rsidR="00EB7219" w:rsidRPr="006D21CC">
                <w:rPr>
                  <w:rStyle w:val="Hyperlink"/>
                  <w:rFonts w:eastAsiaTheme="majorEastAsia"/>
                  <w:szCs w:val="24"/>
                </w:rPr>
                <w:t>amy.botschnerobrien@ohioAGO.gov</w:t>
              </w:r>
            </w:hyperlink>
          </w:p>
          <w:p w14:paraId="494B2F8F" w14:textId="77777777" w:rsidR="000668D1" w:rsidRPr="006D21CC" w:rsidRDefault="00AF4AAB" w:rsidP="000668D1">
            <w:pPr>
              <w:pStyle w:val="BodyText"/>
              <w:rPr>
                <w:rStyle w:val="Hyperlink"/>
                <w:rFonts w:eastAsiaTheme="majorEastAsia"/>
                <w:szCs w:val="24"/>
              </w:rPr>
            </w:pPr>
            <w:r>
              <w:rPr>
                <w:rStyle w:val="Hyperlink"/>
                <w:rFonts w:eastAsiaTheme="majorEastAsia"/>
                <w:szCs w:val="24"/>
              </w:rPr>
              <w:t>julian.johnson@ohioAGO.gov</w:t>
            </w:r>
          </w:p>
          <w:p w14:paraId="0B5EE821" w14:textId="77777777" w:rsidR="000668D1" w:rsidRPr="006D21CC" w:rsidRDefault="000668D1" w:rsidP="00A221B9">
            <w:pPr>
              <w:pStyle w:val="BodyText"/>
              <w:rPr>
                <w:szCs w:val="24"/>
              </w:rPr>
            </w:pPr>
          </w:p>
          <w:p w14:paraId="39E27676" w14:textId="77777777" w:rsidR="00EC1AFB" w:rsidRPr="006D21CC" w:rsidRDefault="00EC1AFB" w:rsidP="00A221B9">
            <w:pPr>
              <w:pStyle w:val="BodyText"/>
              <w:rPr>
                <w:szCs w:val="24"/>
              </w:rPr>
            </w:pPr>
          </w:p>
          <w:p w14:paraId="3FE76D3A" w14:textId="77777777" w:rsidR="00EC1AFB" w:rsidRPr="006D21CC" w:rsidRDefault="00EC1AFB" w:rsidP="00A221B9">
            <w:pPr>
              <w:pStyle w:val="BodyText"/>
              <w:rPr>
                <w:szCs w:val="24"/>
              </w:rPr>
            </w:pPr>
          </w:p>
          <w:p w14:paraId="2C56142D" w14:textId="77777777" w:rsidR="00EC1AFB" w:rsidRPr="006D21CC" w:rsidRDefault="00EC1AFB" w:rsidP="00A221B9">
            <w:pPr>
              <w:pStyle w:val="BodyText"/>
              <w:rPr>
                <w:szCs w:val="24"/>
              </w:rPr>
            </w:pPr>
          </w:p>
        </w:tc>
        <w:tc>
          <w:tcPr>
            <w:tcW w:w="4860" w:type="dxa"/>
            <w:shd w:val="clear" w:color="auto" w:fill="auto"/>
          </w:tcPr>
          <w:p w14:paraId="7D50CE79" w14:textId="77777777" w:rsidR="00EC1AFB" w:rsidRPr="006D21CC" w:rsidRDefault="00AF4AAB" w:rsidP="00A221B9">
            <w:pPr>
              <w:autoSpaceDE w:val="0"/>
              <w:autoSpaceDN w:val="0"/>
              <w:adjustRightInd w:val="0"/>
              <w:ind w:left="-110"/>
            </w:pPr>
            <w:hyperlink r:id="rId29" w:history="1">
              <w:r w:rsidR="00EB7219" w:rsidRPr="006D21CC">
                <w:rPr>
                  <w:rStyle w:val="Hyperlink"/>
                  <w:rFonts w:eastAsiaTheme="majorEastAsia"/>
                </w:rPr>
                <w:t>kennedy@whitt-sturtevant.com</w:t>
              </w:r>
            </w:hyperlink>
          </w:p>
          <w:p w14:paraId="200DE6C7" w14:textId="77777777" w:rsidR="00EC1AFB" w:rsidRPr="006D21CC" w:rsidRDefault="00AF4AAB" w:rsidP="00A221B9">
            <w:pPr>
              <w:autoSpaceDE w:val="0"/>
              <w:autoSpaceDN w:val="0"/>
              <w:adjustRightInd w:val="0"/>
              <w:ind w:left="-110"/>
              <w:rPr>
                <w:rStyle w:val="Hyperlink"/>
                <w:rFonts w:eastAsiaTheme="majorEastAsia"/>
              </w:rPr>
            </w:pPr>
            <w:hyperlink r:id="rId30" w:history="1">
              <w:r w:rsidR="00EB7219" w:rsidRPr="006D21CC">
                <w:rPr>
                  <w:rStyle w:val="Hyperlink"/>
                  <w:rFonts w:eastAsiaTheme="majorEastAsia"/>
                </w:rPr>
                <w:t>Andrew.j.campbell@dominionenergy.com</w:t>
              </w:r>
            </w:hyperlink>
          </w:p>
          <w:p w14:paraId="505B2CA5" w14:textId="77777777" w:rsidR="00EC1AFB" w:rsidRPr="006D21CC" w:rsidRDefault="00AF4AAB" w:rsidP="00A221B9">
            <w:pPr>
              <w:autoSpaceDE w:val="0"/>
              <w:autoSpaceDN w:val="0"/>
              <w:adjustRightInd w:val="0"/>
              <w:ind w:left="-110"/>
              <w:rPr>
                <w:rStyle w:val="Hyperlink"/>
                <w:rFonts w:eastAsiaTheme="majorEastAsia"/>
              </w:rPr>
            </w:pPr>
            <w:hyperlink r:id="rId31" w:history="1">
              <w:r w:rsidR="00EB7219" w:rsidRPr="006D21CC">
                <w:rPr>
                  <w:rStyle w:val="Hyperlink"/>
                  <w:rFonts w:eastAsiaTheme="majorEastAsia"/>
                </w:rPr>
                <w:t>demonte@whitt-sturtevant.com</w:t>
              </w:r>
            </w:hyperlink>
          </w:p>
          <w:p w14:paraId="54CC934D" w14:textId="77777777" w:rsidR="00EC1AFB" w:rsidRPr="006D21CC" w:rsidRDefault="00AF4AAB" w:rsidP="00A221B9">
            <w:pPr>
              <w:autoSpaceDE w:val="0"/>
              <w:autoSpaceDN w:val="0"/>
              <w:adjustRightInd w:val="0"/>
              <w:ind w:left="-110"/>
              <w:rPr>
                <w:rStyle w:val="Hyperlink"/>
                <w:rFonts w:eastAsiaTheme="majorEastAsia"/>
              </w:rPr>
            </w:pPr>
            <w:r w:rsidRPr="006D21CC">
              <w:rPr>
                <w:rStyle w:val="Hyperlink"/>
                <w:rFonts w:eastAsiaTheme="majorEastAsia"/>
              </w:rPr>
              <w:t>sturtevant@whitt-sturtevant.com</w:t>
            </w:r>
          </w:p>
          <w:p w14:paraId="473BD740" w14:textId="77777777" w:rsidR="00EC1AFB" w:rsidRPr="006D21CC" w:rsidRDefault="00AF4AAB" w:rsidP="00A221B9">
            <w:pPr>
              <w:autoSpaceDE w:val="0"/>
              <w:autoSpaceDN w:val="0"/>
              <w:adjustRightInd w:val="0"/>
              <w:ind w:left="-110"/>
              <w:rPr>
                <w:rStyle w:val="Hyperlink"/>
                <w:rFonts w:eastAsiaTheme="majorEastAsia"/>
              </w:rPr>
            </w:pPr>
            <w:hyperlink r:id="rId32" w:history="1">
              <w:r w:rsidR="00EB7219" w:rsidRPr="006D21CC">
                <w:rPr>
                  <w:rStyle w:val="Hyperlink"/>
                  <w:rFonts w:eastAsiaTheme="majorEastAsia"/>
                </w:rPr>
                <w:t>mbarbara@calfee.com</w:t>
              </w:r>
            </w:hyperlink>
          </w:p>
          <w:p w14:paraId="5DBD89C4" w14:textId="77777777" w:rsidR="00EC1AFB" w:rsidRPr="006D21CC" w:rsidRDefault="00AF4AAB" w:rsidP="00A221B9">
            <w:pPr>
              <w:autoSpaceDE w:val="0"/>
              <w:autoSpaceDN w:val="0"/>
              <w:adjustRightInd w:val="0"/>
              <w:ind w:left="-110"/>
              <w:rPr>
                <w:rStyle w:val="Hyperlink"/>
                <w:rFonts w:eastAsiaTheme="majorEastAsia"/>
              </w:rPr>
            </w:pPr>
            <w:r w:rsidRPr="006D21CC">
              <w:rPr>
                <w:rStyle w:val="Hyperlink"/>
                <w:rFonts w:eastAsiaTheme="majorEastAsia"/>
              </w:rPr>
              <w:t>jlang@calfee.com</w:t>
            </w:r>
          </w:p>
          <w:p w14:paraId="4B5B0409" w14:textId="77777777" w:rsidR="00EC1AFB" w:rsidRPr="006D21CC" w:rsidRDefault="00AF4AAB" w:rsidP="00A221B9">
            <w:pPr>
              <w:autoSpaceDE w:val="0"/>
              <w:autoSpaceDN w:val="0"/>
              <w:adjustRightInd w:val="0"/>
              <w:ind w:left="-110"/>
              <w:rPr>
                <w:rStyle w:val="Hyperlink"/>
                <w:rFonts w:eastAsiaTheme="majorEastAsia"/>
              </w:rPr>
            </w:pPr>
            <w:hyperlink r:id="rId33" w:history="1">
              <w:r w:rsidR="00EB7219" w:rsidRPr="006D21CC">
                <w:rPr>
                  <w:rStyle w:val="Hyperlink"/>
                  <w:rFonts w:eastAsiaTheme="majorEastAsia"/>
                </w:rPr>
                <w:t>dproano@bakerlaw.com</w:t>
              </w:r>
            </w:hyperlink>
          </w:p>
          <w:p w14:paraId="7DB6B352" w14:textId="77777777" w:rsidR="00EC1AFB" w:rsidRPr="006D21CC" w:rsidRDefault="00AF4AAB" w:rsidP="00A221B9">
            <w:pPr>
              <w:autoSpaceDE w:val="0"/>
              <w:autoSpaceDN w:val="0"/>
              <w:adjustRightInd w:val="0"/>
              <w:ind w:left="-110"/>
              <w:rPr>
                <w:rStyle w:val="Hyperlink"/>
                <w:rFonts w:eastAsiaTheme="majorEastAsia"/>
              </w:rPr>
            </w:pPr>
            <w:hyperlink r:id="rId34" w:history="1">
              <w:r w:rsidR="00EB7219" w:rsidRPr="006D21CC">
                <w:rPr>
                  <w:rStyle w:val="Hyperlink"/>
                  <w:rFonts w:eastAsiaTheme="majorEastAsia"/>
                </w:rPr>
                <w:t>pwillison@bakerlaw.com</w:t>
              </w:r>
            </w:hyperlink>
          </w:p>
          <w:p w14:paraId="650A39C3" w14:textId="77777777" w:rsidR="00EC1AFB" w:rsidRPr="006D21CC" w:rsidRDefault="00AF4AAB" w:rsidP="00A221B9">
            <w:pPr>
              <w:autoSpaceDE w:val="0"/>
              <w:autoSpaceDN w:val="0"/>
              <w:adjustRightInd w:val="0"/>
              <w:ind w:left="-110"/>
              <w:rPr>
                <w:rStyle w:val="Hyperlink"/>
                <w:rFonts w:eastAsiaTheme="majorEastAsia"/>
              </w:rPr>
            </w:pPr>
            <w:hyperlink r:id="rId35" w:history="1">
              <w:r w:rsidR="00EB7219" w:rsidRPr="006D21CC">
                <w:rPr>
                  <w:rStyle w:val="Hyperlink"/>
                  <w:rFonts w:eastAsiaTheme="majorEastAsia"/>
                </w:rPr>
                <w:t>whitt@whitt-sturtevant.com</w:t>
              </w:r>
            </w:hyperlink>
          </w:p>
          <w:p w14:paraId="5456DA1C" w14:textId="77777777" w:rsidR="00EC1AFB" w:rsidRPr="006D21CC" w:rsidRDefault="00AF4AAB" w:rsidP="00A221B9">
            <w:pPr>
              <w:autoSpaceDE w:val="0"/>
              <w:autoSpaceDN w:val="0"/>
              <w:adjustRightInd w:val="0"/>
              <w:ind w:left="-110"/>
              <w:rPr>
                <w:rStyle w:val="Hyperlink"/>
                <w:rFonts w:eastAsiaTheme="majorEastAsia"/>
              </w:rPr>
            </w:pPr>
            <w:hyperlink r:id="rId36" w:history="1">
              <w:r w:rsidR="00EB7219" w:rsidRPr="006D21CC">
                <w:rPr>
                  <w:rStyle w:val="Hyperlink"/>
                  <w:rFonts w:eastAsiaTheme="majorEastAsia"/>
                </w:rPr>
                <w:t>michael.nugent@igs.com</w:t>
              </w:r>
            </w:hyperlink>
          </w:p>
          <w:p w14:paraId="22FA5012" w14:textId="77777777" w:rsidR="00EC1AFB" w:rsidRPr="006D21CC" w:rsidRDefault="00AF4AAB" w:rsidP="00A221B9">
            <w:pPr>
              <w:autoSpaceDE w:val="0"/>
              <w:autoSpaceDN w:val="0"/>
              <w:adjustRightInd w:val="0"/>
              <w:ind w:left="-110"/>
              <w:rPr>
                <w:rStyle w:val="Hyperlink"/>
                <w:rFonts w:eastAsiaTheme="majorEastAsia"/>
              </w:rPr>
            </w:pPr>
            <w:hyperlink r:id="rId37" w:history="1">
              <w:r w:rsidR="00EB7219" w:rsidRPr="006D21CC">
                <w:rPr>
                  <w:rStyle w:val="Hyperlink"/>
                  <w:rFonts w:eastAsiaTheme="majorEastAsia"/>
                </w:rPr>
                <w:t>stacie.cathcart@igs.com</w:t>
              </w:r>
            </w:hyperlink>
          </w:p>
          <w:p w14:paraId="77DE8B97" w14:textId="77777777" w:rsidR="00EC1AFB" w:rsidRPr="006D21CC" w:rsidRDefault="00AF4AAB" w:rsidP="00A221B9">
            <w:pPr>
              <w:autoSpaceDE w:val="0"/>
              <w:autoSpaceDN w:val="0"/>
              <w:adjustRightInd w:val="0"/>
              <w:ind w:left="-110"/>
              <w:rPr>
                <w:rStyle w:val="Hyperlink"/>
                <w:rFonts w:eastAsiaTheme="majorEastAsia"/>
              </w:rPr>
            </w:pPr>
            <w:hyperlink r:id="rId38" w:history="1">
              <w:r w:rsidR="00EB7219" w:rsidRPr="006D21CC">
                <w:rPr>
                  <w:rStyle w:val="Hyperlink"/>
                  <w:rFonts w:eastAsiaTheme="majorEastAsia"/>
                </w:rPr>
                <w:t>glpetrucci@vorys.com</w:t>
              </w:r>
            </w:hyperlink>
          </w:p>
          <w:p w14:paraId="2F9E23E1" w14:textId="77777777" w:rsidR="00EC1AFB" w:rsidRPr="006D21CC" w:rsidRDefault="00AF4AAB" w:rsidP="00A221B9">
            <w:pPr>
              <w:autoSpaceDE w:val="0"/>
              <w:autoSpaceDN w:val="0"/>
              <w:adjustRightInd w:val="0"/>
              <w:ind w:left="-110"/>
              <w:rPr>
                <w:rStyle w:val="Hyperlink"/>
                <w:rFonts w:eastAsiaTheme="majorEastAsia"/>
              </w:rPr>
            </w:pPr>
            <w:hyperlink r:id="rId39" w:history="1">
              <w:r w:rsidR="00EB7219" w:rsidRPr="006D21CC">
                <w:rPr>
                  <w:rStyle w:val="Hyperlink"/>
                  <w:rFonts w:eastAsiaTheme="majorEastAsia"/>
                </w:rPr>
                <w:t>mjsettineri@vorys.com</w:t>
              </w:r>
            </w:hyperlink>
          </w:p>
          <w:p w14:paraId="60D34AAC" w14:textId="77777777" w:rsidR="00EC1AFB" w:rsidRPr="006D21CC" w:rsidRDefault="00AF4AAB" w:rsidP="00A221B9">
            <w:pPr>
              <w:autoSpaceDE w:val="0"/>
              <w:autoSpaceDN w:val="0"/>
              <w:adjustRightInd w:val="0"/>
              <w:ind w:left="-110"/>
              <w:rPr>
                <w:rStyle w:val="Hyperlink"/>
                <w:rFonts w:eastAsiaTheme="majorEastAsia"/>
              </w:rPr>
            </w:pPr>
            <w:r w:rsidRPr="006D21CC">
              <w:rPr>
                <w:rStyle w:val="Hyperlink"/>
                <w:rFonts w:eastAsiaTheme="majorEastAsia"/>
              </w:rPr>
              <w:t>jreckert@vorys.com</w:t>
            </w:r>
          </w:p>
          <w:p w14:paraId="24E4A3D1" w14:textId="77777777" w:rsidR="00EC1AFB" w:rsidRPr="006D21CC" w:rsidRDefault="00AF4AAB" w:rsidP="00A221B9">
            <w:pPr>
              <w:autoSpaceDE w:val="0"/>
              <w:autoSpaceDN w:val="0"/>
              <w:adjustRightInd w:val="0"/>
              <w:ind w:left="-110"/>
            </w:pPr>
            <w:hyperlink r:id="rId40" w:history="1">
              <w:r w:rsidR="00EB7219" w:rsidRPr="006D21CC">
                <w:rPr>
                  <w:rStyle w:val="Hyperlink"/>
                  <w:rFonts w:eastAsiaTheme="majorEastAsia"/>
                </w:rPr>
                <w:t>Bojko@carpenterlipps.com</w:t>
              </w:r>
            </w:hyperlink>
          </w:p>
          <w:p w14:paraId="726D6203" w14:textId="77777777" w:rsidR="00EC1AFB" w:rsidRPr="006D21CC" w:rsidRDefault="00AF4AAB" w:rsidP="00A221B9">
            <w:pPr>
              <w:autoSpaceDE w:val="0"/>
              <w:autoSpaceDN w:val="0"/>
              <w:adjustRightInd w:val="0"/>
              <w:ind w:left="-110"/>
            </w:pPr>
            <w:hyperlink r:id="rId41" w:history="1">
              <w:r w:rsidR="00EB7219" w:rsidRPr="006D21CC">
                <w:rPr>
                  <w:rStyle w:val="Hyperlink"/>
                  <w:rFonts w:eastAsiaTheme="majorEastAsia"/>
                </w:rPr>
                <w:t>Easley@carpenterlipps.com</w:t>
              </w:r>
            </w:hyperlink>
          </w:p>
          <w:p w14:paraId="69560C2B" w14:textId="77777777" w:rsidR="00EC1AFB" w:rsidRPr="006D21CC" w:rsidRDefault="00AF4AAB" w:rsidP="00A221B9">
            <w:pPr>
              <w:autoSpaceDE w:val="0"/>
              <w:autoSpaceDN w:val="0"/>
              <w:adjustRightInd w:val="0"/>
              <w:ind w:left="-110"/>
            </w:pPr>
            <w:hyperlink r:id="rId42" w:history="1">
              <w:r w:rsidR="00EB7219" w:rsidRPr="006D21CC">
                <w:rPr>
                  <w:rStyle w:val="Hyperlink"/>
                  <w:rFonts w:eastAsiaTheme="majorEastAsia"/>
                </w:rPr>
                <w:t>sjagers@ohiopovertylaw.org</w:t>
              </w:r>
            </w:hyperlink>
          </w:p>
          <w:p w14:paraId="251DA9DC" w14:textId="77777777" w:rsidR="00EC1AFB" w:rsidRPr="006D21CC" w:rsidRDefault="00AF4AAB" w:rsidP="00A221B9">
            <w:pPr>
              <w:autoSpaceDE w:val="0"/>
              <w:autoSpaceDN w:val="0"/>
              <w:adjustRightInd w:val="0"/>
              <w:ind w:left="-110"/>
            </w:pPr>
            <w:hyperlink r:id="rId43" w:history="1">
              <w:r w:rsidR="00EB7219" w:rsidRPr="006D21CC">
                <w:rPr>
                  <w:rStyle w:val="Hyperlink"/>
                  <w:rFonts w:eastAsiaTheme="majorEastAsia"/>
                </w:rPr>
                <w:t>smoes@lascinti.org</w:t>
              </w:r>
            </w:hyperlink>
          </w:p>
          <w:p w14:paraId="7E0A2766" w14:textId="77777777" w:rsidR="00EC1AFB" w:rsidRPr="006D21CC" w:rsidRDefault="00AF4AAB" w:rsidP="00A221B9">
            <w:pPr>
              <w:autoSpaceDE w:val="0"/>
              <w:autoSpaceDN w:val="0"/>
              <w:adjustRightInd w:val="0"/>
              <w:ind w:left="-110"/>
              <w:rPr>
                <w:color w:val="0000FF"/>
                <w:u w:val="single"/>
              </w:rPr>
            </w:pPr>
            <w:hyperlink r:id="rId44" w:history="1">
              <w:r w:rsidR="00EB7219" w:rsidRPr="006D21CC">
                <w:rPr>
                  <w:rStyle w:val="Hyperlink"/>
                  <w:rFonts w:eastAsiaTheme="majorEastAsia"/>
                </w:rPr>
                <w:t>mcurrie@ablelaw.org</w:t>
              </w:r>
            </w:hyperlink>
          </w:p>
          <w:p w14:paraId="66966305" w14:textId="77777777" w:rsidR="00EC1AFB" w:rsidRPr="006D21CC" w:rsidRDefault="00EC1AFB" w:rsidP="00A221B9">
            <w:pPr>
              <w:autoSpaceDE w:val="0"/>
              <w:autoSpaceDN w:val="0"/>
              <w:adjustRightInd w:val="0"/>
              <w:ind w:left="-110"/>
              <w:rPr>
                <w:rStyle w:val="Hyperlink"/>
                <w:rFonts w:eastAsiaTheme="majorEastAsia"/>
              </w:rPr>
            </w:pPr>
          </w:p>
          <w:p w14:paraId="3261B778" w14:textId="77777777" w:rsidR="00EC1AFB" w:rsidRPr="006D21CC" w:rsidRDefault="00EC1AFB" w:rsidP="00A221B9">
            <w:pPr>
              <w:autoSpaceDE w:val="0"/>
              <w:autoSpaceDN w:val="0"/>
              <w:adjustRightInd w:val="0"/>
              <w:ind w:left="-110"/>
              <w:rPr>
                <w:rStyle w:val="Hyperlink"/>
                <w:rFonts w:eastAsiaTheme="majorEastAsia"/>
              </w:rPr>
            </w:pPr>
          </w:p>
          <w:p w14:paraId="69C84BB6" w14:textId="77777777" w:rsidR="00EC1AFB" w:rsidRPr="006D21CC" w:rsidRDefault="00EC1AFB" w:rsidP="00A221B9">
            <w:pPr>
              <w:autoSpaceDE w:val="0"/>
              <w:autoSpaceDN w:val="0"/>
              <w:adjustRightInd w:val="0"/>
              <w:ind w:left="-110"/>
              <w:rPr>
                <w:rStyle w:val="Hyperlink"/>
                <w:rFonts w:eastAsiaTheme="majorEastAsia"/>
              </w:rPr>
            </w:pPr>
          </w:p>
          <w:p w14:paraId="440D6C25" w14:textId="77777777" w:rsidR="00EC1AFB" w:rsidRPr="006D21CC" w:rsidRDefault="00EC1AFB" w:rsidP="00A221B9">
            <w:pPr>
              <w:autoSpaceDE w:val="0"/>
              <w:autoSpaceDN w:val="0"/>
              <w:adjustRightInd w:val="0"/>
              <w:ind w:left="-110"/>
            </w:pPr>
          </w:p>
          <w:p w14:paraId="51FA97EA" w14:textId="77777777" w:rsidR="00EC1AFB" w:rsidRPr="006D21CC" w:rsidRDefault="00EC1AFB" w:rsidP="00A221B9">
            <w:pPr>
              <w:pStyle w:val="BodyText"/>
              <w:ind w:left="553"/>
              <w:rPr>
                <w:szCs w:val="24"/>
              </w:rPr>
            </w:pPr>
          </w:p>
        </w:tc>
      </w:tr>
    </w:tbl>
    <w:p w14:paraId="2105A213" w14:textId="77777777" w:rsidR="00EC1AFB" w:rsidRPr="006D21CC" w:rsidRDefault="00EC1AFB" w:rsidP="00EC1AFB">
      <w:pPr>
        <w:pStyle w:val="CommentText"/>
        <w:jc w:val="center"/>
        <w:rPr>
          <w:b/>
          <w:bCs/>
          <w:sz w:val="24"/>
          <w:szCs w:val="24"/>
        </w:rPr>
      </w:pPr>
    </w:p>
    <w:p w14:paraId="6B00B603" w14:textId="77777777" w:rsidR="00EC1AFB" w:rsidRPr="006D21CC" w:rsidRDefault="00EC1AFB" w:rsidP="006E4CD8">
      <w:pPr>
        <w:spacing w:line="480" w:lineRule="auto"/>
      </w:pPr>
    </w:p>
    <w:sectPr w:rsidR="00EC1AFB" w:rsidRPr="006D21CC" w:rsidSect="006E54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5E3F9" w14:textId="77777777" w:rsidR="00AF4AAB" w:rsidRDefault="00AF4AAB">
      <w:r>
        <w:separator/>
      </w:r>
    </w:p>
  </w:endnote>
  <w:endnote w:type="continuationSeparator" w:id="0">
    <w:p w14:paraId="4BDAE75B" w14:textId="77777777" w:rsidR="00AF4AAB" w:rsidRDefault="00AF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FFEA" w14:textId="77777777" w:rsidR="000872BE" w:rsidRDefault="00087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A733" w14:textId="08E78B66" w:rsidR="009E5D6D" w:rsidRDefault="009E5D6D">
    <w:pPr>
      <w:pStyle w:val="Footer"/>
      <w:jc w:val="center"/>
    </w:pPr>
  </w:p>
  <w:p w14:paraId="3B02306B" w14:textId="77777777" w:rsidR="001C7804" w:rsidRDefault="001C7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373A5" w14:textId="77777777" w:rsidR="000872BE" w:rsidRDefault="000872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0E60" w14:textId="0F0539A8" w:rsidR="009E5D6D" w:rsidRDefault="009E5D6D">
    <w:pPr>
      <w:pStyle w:val="Footer"/>
      <w:jc w:val="center"/>
    </w:pPr>
  </w:p>
  <w:p w14:paraId="1B7754E4" w14:textId="77777777" w:rsidR="009E5D6D" w:rsidRDefault="009E5D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9992313"/>
      <w:docPartObj>
        <w:docPartGallery w:val="Page Numbers (Bottom of Page)"/>
        <w:docPartUnique/>
      </w:docPartObj>
    </w:sdtPr>
    <w:sdtEndPr>
      <w:rPr>
        <w:noProof/>
      </w:rPr>
    </w:sdtEndPr>
    <w:sdtContent>
      <w:p w14:paraId="5F62346F" w14:textId="77777777" w:rsidR="009E5D6D" w:rsidRDefault="00AF4A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828028" w14:textId="77777777" w:rsidR="009E5D6D" w:rsidRDefault="009E5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1927A" w14:textId="77777777" w:rsidR="008C22FF" w:rsidRDefault="00AF4AAB" w:rsidP="009C6E6C">
      <w:r>
        <w:separator/>
      </w:r>
    </w:p>
  </w:footnote>
  <w:footnote w:type="continuationSeparator" w:id="0">
    <w:p w14:paraId="6CCE38F9" w14:textId="77777777" w:rsidR="008C22FF" w:rsidRDefault="00AF4AAB" w:rsidP="009C6E6C">
      <w:r>
        <w:continuationSeparator/>
      </w:r>
    </w:p>
  </w:footnote>
  <w:footnote w:id="1">
    <w:p w14:paraId="1D3E5BA4" w14:textId="1BE33B04" w:rsidR="00BE0811" w:rsidRDefault="00AF4AAB" w:rsidP="00DB6A69">
      <w:pPr>
        <w:pStyle w:val="FootnoteText"/>
        <w:spacing w:after="120"/>
      </w:pPr>
      <w:r>
        <w:rPr>
          <w:rStyle w:val="FootnoteReference"/>
        </w:rPr>
        <w:footnoteRef/>
      </w:r>
      <w:r>
        <w:t xml:space="preserve"> </w:t>
      </w:r>
      <w:bookmarkStart w:id="2" w:name="_Hlk172750412"/>
      <w:r w:rsidR="00023D9F" w:rsidRPr="00023D9F">
        <w:rPr>
          <w:i/>
          <w:iCs/>
        </w:rPr>
        <w:t>See also</w:t>
      </w:r>
      <w:r w:rsidR="00023D9F" w:rsidRPr="00023D9F">
        <w:t xml:space="preserve">, Dominion Notice of Intent to File an Application (September 29, 2023) at Exhibit 4, </w:t>
      </w:r>
      <w:r w:rsidR="008812F0">
        <w:t>at</w:t>
      </w:r>
      <w:r w:rsidR="00023D9F" w:rsidRPr="00023D9F">
        <w:t xml:space="preserve"> 1</w:t>
      </w:r>
      <w:bookmarkEnd w:id="2"/>
      <w:r w:rsidR="008812F0">
        <w:t>.</w:t>
      </w:r>
      <w:r w:rsidR="00023D9F">
        <w:t xml:space="preserve"> </w:t>
      </w:r>
      <w:r>
        <w:t xml:space="preserve">Natural Gas Distribution service, as used here, means </w:t>
      </w:r>
      <w:r w:rsidR="00023D9F">
        <w:t xml:space="preserve">the basic service charge. </w:t>
      </w:r>
      <w:r w:rsidR="00023D9F" w:rsidRPr="00023D9F">
        <w:t>Dominion has proposed to increase the basic service charge for all residential customers by 30.11% from $43.30 to $56.342 for its residential customers. The proposed rate increases do not include monthly charges from the proposed Automated Meter Reading (AMR) Cost Recovery Charge, Capital Expenditure Program (CEP) Rider, Pipeline Infrastructure Replacement (PIR) Program and Cost Recovery Charge, and Transportation Migration Riders (TMR)</w:t>
      </w:r>
      <w:r w:rsidR="00023D9F">
        <w:t>, which are discussed below in this Introduction.</w:t>
      </w:r>
    </w:p>
  </w:footnote>
  <w:footnote w:id="2">
    <w:p w14:paraId="73DEC57C" w14:textId="77777777" w:rsidR="00D620DC" w:rsidRPr="00533F6D" w:rsidRDefault="00AF4AAB" w:rsidP="00DB6A69">
      <w:pPr>
        <w:pStyle w:val="FootnoteText"/>
        <w:spacing w:after="120"/>
      </w:pPr>
      <w:r>
        <w:rPr>
          <w:rStyle w:val="FootnoteReference"/>
        </w:rPr>
        <w:footnoteRef/>
      </w:r>
      <w:r>
        <w:t xml:space="preserve"> Application, Schedule E-5 (Oct. 31, 2023).</w:t>
      </w:r>
    </w:p>
  </w:footnote>
  <w:footnote w:id="3">
    <w:p w14:paraId="39BF1C0E" w14:textId="77777777" w:rsidR="00D620DC" w:rsidRDefault="00AF4AAB" w:rsidP="00DB6A69">
      <w:pPr>
        <w:pStyle w:val="FootnoteText"/>
        <w:spacing w:after="120"/>
      </w:pPr>
      <w:r>
        <w:rPr>
          <w:rStyle w:val="FootnoteReference"/>
        </w:rPr>
        <w:footnoteRef/>
      </w:r>
      <w:r>
        <w:t xml:space="preserve"> Staff Report (June 26, 2024).</w:t>
      </w:r>
    </w:p>
  </w:footnote>
  <w:footnote w:id="4">
    <w:p w14:paraId="73A40AB1" w14:textId="775BCFEF" w:rsidR="00D620DC" w:rsidRDefault="00AF4AAB" w:rsidP="00DB6A69">
      <w:pPr>
        <w:pStyle w:val="FootnoteText"/>
        <w:spacing w:after="120"/>
      </w:pPr>
      <w:r>
        <w:rPr>
          <w:rStyle w:val="FootnoteReference"/>
        </w:rPr>
        <w:footnoteRef/>
      </w:r>
      <w:r>
        <w:t xml:space="preserve"> </w:t>
      </w:r>
      <w:r>
        <w:rPr>
          <w:i/>
          <w:iCs/>
        </w:rPr>
        <w:t xml:space="preserve">Id., </w:t>
      </w:r>
      <w:r>
        <w:t>Schedule A-1</w:t>
      </w:r>
      <w:r w:rsidR="00EF0E39">
        <w:t>.</w:t>
      </w:r>
    </w:p>
  </w:footnote>
  <w:footnote w:id="5">
    <w:p w14:paraId="75D066C8" w14:textId="4FC81583" w:rsidR="00803D15" w:rsidRDefault="00AF4AAB" w:rsidP="00DB6A69">
      <w:pPr>
        <w:pStyle w:val="FootnoteText"/>
        <w:spacing w:after="120"/>
      </w:pPr>
      <w:r>
        <w:rPr>
          <w:rStyle w:val="FootnoteReference"/>
        </w:rPr>
        <w:footnoteRef/>
      </w:r>
      <w:r>
        <w:t xml:space="preserve"> </w:t>
      </w:r>
      <w:r>
        <w:rPr>
          <w:i/>
          <w:iCs/>
        </w:rPr>
        <w:t xml:space="preserve">In the Matter of the Application of The East Ohio Gas Company d/b/a Dominion Energy Ohio for Approval of an Alternative Form of Regulation to Continue and to Expand Its Demand-Side Management and Energy Efficiency </w:t>
      </w:r>
      <w:r w:rsidRPr="00803D15">
        <w:rPr>
          <w:i/>
          <w:iCs/>
        </w:rPr>
        <w:t>Programs</w:t>
      </w:r>
      <w:r>
        <w:t xml:space="preserve">, Case No. 21-1109-GA-ALT, Opinion and Order (Oct. 4, 2023) </w:t>
      </w:r>
      <w:r w:rsidR="00396F6E">
        <w:t>a</w:t>
      </w:r>
      <w:r w:rsidRPr="00803D15">
        <w:t>t</w:t>
      </w:r>
      <w:r>
        <w:t xml:space="preserve"> </w:t>
      </w:r>
      <w:r w:rsidRPr="00803D15">
        <w:t>¶ 49</w:t>
      </w:r>
      <w:r>
        <w:t>.</w:t>
      </w:r>
    </w:p>
  </w:footnote>
  <w:footnote w:id="6">
    <w:p w14:paraId="22890220" w14:textId="538E5D42" w:rsidR="00F867A0" w:rsidRDefault="00AF4AAB" w:rsidP="00DB6A69">
      <w:pPr>
        <w:pStyle w:val="FootnoteText"/>
        <w:spacing w:after="120"/>
      </w:pPr>
      <w:r>
        <w:rPr>
          <w:rStyle w:val="FootnoteReference"/>
        </w:rPr>
        <w:footnoteRef/>
      </w:r>
      <w:r>
        <w:t xml:space="preserve"> Analysis by GDS Associates, Inc., The Home Energy Affordability Gap 2022 2</w:t>
      </w:r>
      <w:r w:rsidRPr="00F867A0">
        <w:rPr>
          <w:vertAlign w:val="superscript"/>
        </w:rPr>
        <w:t>nd</w:t>
      </w:r>
      <w:r>
        <w:t xml:space="preserve"> Series (April 2023), </w:t>
      </w:r>
      <w:r w:rsidR="00502703" w:rsidRPr="00502703">
        <w:t>http://www.homeenergyaffordabilitygap.com/03a_affordabilityData.</w:t>
      </w:r>
      <w:r w:rsidR="00502703" w:rsidRPr="00F8765B">
        <w:t>html</w:t>
      </w:r>
      <w:r>
        <w:t xml:space="preserve">(last accessed July </w:t>
      </w:r>
      <w:r w:rsidR="00502703">
        <w:t>25</w:t>
      </w:r>
      <w:r>
        <w:t>, 2024).</w:t>
      </w:r>
    </w:p>
  </w:footnote>
  <w:footnote w:id="7">
    <w:p w14:paraId="23AB66E7" w14:textId="64923822" w:rsidR="00AB01E7" w:rsidRPr="007564AC" w:rsidRDefault="00AF4AAB" w:rsidP="00DB6A69">
      <w:pPr>
        <w:pStyle w:val="FootnoteText"/>
        <w:spacing w:after="120"/>
      </w:pPr>
      <w:r w:rsidRPr="007564AC">
        <w:rPr>
          <w:rStyle w:val="FootnoteReference"/>
        </w:rPr>
        <w:footnoteRef/>
      </w:r>
      <w:r w:rsidRPr="007564AC">
        <w:t xml:space="preserve"> The Ohio Association of Community Action Agencies, The State of Poverty in Ohio, Vulnerable to Disruption, 2023 Report (July 2023), </w:t>
      </w:r>
      <w:r w:rsidRPr="008E43E2">
        <w:rPr>
          <w:rFonts w:eastAsiaTheme="majorEastAsia"/>
        </w:rPr>
        <w:t>https://oacaa.org/wp-content/uploads/2023/07/State-of-Poverty-2023-web_FINAL-revision.pdf</w:t>
      </w:r>
      <w:r w:rsidR="008E43E2" w:rsidRPr="008E43E2">
        <w:rPr>
          <w:rStyle w:val="cf01"/>
          <w:rFonts w:ascii="Times New Roman" w:eastAsiaTheme="majorEastAsia" w:hAnsi="Times New Roman" w:cs="Times New Roman"/>
          <w:sz w:val="20"/>
          <w:szCs w:val="20"/>
        </w:rPr>
        <w:t xml:space="preserve"> (last accessed July 23, 2024).</w:t>
      </w:r>
    </w:p>
  </w:footnote>
  <w:footnote w:id="8">
    <w:p w14:paraId="0E0F0D9A" w14:textId="7C4F9B1D" w:rsidR="002D54CF" w:rsidRPr="00F867A0" w:rsidRDefault="00AF4AAB" w:rsidP="00DB6A69">
      <w:pPr>
        <w:pStyle w:val="FootnoteText"/>
        <w:spacing w:after="120"/>
      </w:pPr>
      <w:r>
        <w:rPr>
          <w:rStyle w:val="FootnoteReference"/>
        </w:rPr>
        <w:footnoteRef/>
      </w:r>
      <w:r>
        <w:t xml:space="preserve"> </w:t>
      </w:r>
      <w:r w:rsidR="00F867A0">
        <w:rPr>
          <w:i/>
          <w:iCs/>
        </w:rPr>
        <w:t>Id</w:t>
      </w:r>
      <w:r w:rsidR="00F867A0">
        <w:t>.</w:t>
      </w:r>
    </w:p>
  </w:footnote>
  <w:footnote w:id="9">
    <w:p w14:paraId="3424988B" w14:textId="1C0388FB" w:rsidR="00E712B0" w:rsidRPr="00E256AB" w:rsidRDefault="00AF4AAB" w:rsidP="00492681">
      <w:pPr>
        <w:pStyle w:val="FootnoteText"/>
        <w:spacing w:after="120"/>
        <w:rPr>
          <w:i/>
          <w:iCs/>
        </w:rPr>
      </w:pPr>
      <w:r>
        <w:rPr>
          <w:rStyle w:val="FootnoteReference"/>
        </w:rPr>
        <w:footnoteRef/>
      </w:r>
      <w:r>
        <w:t xml:space="preserve"> </w:t>
      </w:r>
      <w:r w:rsidR="003362F6" w:rsidRPr="003362F6">
        <w:t>Notice of Intent to File an Application (Sept</w:t>
      </w:r>
      <w:r w:rsidR="003E17D7">
        <w:t>.</w:t>
      </w:r>
      <w:r w:rsidR="003362F6" w:rsidRPr="003362F6">
        <w:t xml:space="preserve"> 29, 2023) at Exhibit 4, </w:t>
      </w:r>
      <w:r w:rsidR="00396F6E">
        <w:t>at</w:t>
      </w:r>
      <w:r w:rsidR="003362F6" w:rsidRPr="003362F6">
        <w:t xml:space="preserve"> 1</w:t>
      </w:r>
      <w:r w:rsidR="003362F6">
        <w:t xml:space="preserve"> </w:t>
      </w:r>
      <w:r w:rsidR="00396F6E">
        <w:t>(</w:t>
      </w:r>
      <w:r w:rsidR="003362F6" w:rsidRPr="003362F6">
        <w:t>$56.34</w:t>
      </w:r>
      <w:r w:rsidR="003362F6">
        <w:t xml:space="preserve"> </w:t>
      </w:r>
      <w:r w:rsidR="003362F6" w:rsidRPr="003362F6">
        <w:t>-</w:t>
      </w:r>
      <w:r w:rsidR="003362F6">
        <w:t xml:space="preserve"> </w:t>
      </w:r>
      <w:r w:rsidR="003362F6" w:rsidRPr="003362F6">
        <w:t>43.30 = $13.04/month *12 = $156.48</w:t>
      </w:r>
      <w:r w:rsidR="003362F6">
        <w:t>/year increase in the basic service charge.</w:t>
      </w:r>
      <w:r w:rsidR="00396F6E">
        <w:t>)</w:t>
      </w:r>
      <w:r w:rsidR="00AF3723">
        <w:t>.</w:t>
      </w:r>
    </w:p>
  </w:footnote>
  <w:footnote w:id="10">
    <w:p w14:paraId="7F2B59FD" w14:textId="348A0E1A" w:rsidR="00322385" w:rsidRDefault="00AF4AAB" w:rsidP="00492681">
      <w:pPr>
        <w:pStyle w:val="FootnoteText"/>
        <w:spacing w:after="120"/>
      </w:pPr>
      <w:r>
        <w:rPr>
          <w:rStyle w:val="FootnoteReference"/>
        </w:rPr>
        <w:footnoteRef/>
      </w:r>
      <w:r>
        <w:t xml:space="preserve"> </w:t>
      </w:r>
      <w:r w:rsidR="00323AC8" w:rsidRPr="00C62145">
        <w:rPr>
          <w:i/>
          <w:iCs/>
        </w:rPr>
        <w:t>See</w:t>
      </w:r>
      <w:r w:rsidR="00323AC8">
        <w:t xml:space="preserve"> Application (Oct</w:t>
      </w:r>
      <w:r w:rsidR="00C21BB3">
        <w:t>.</w:t>
      </w:r>
      <w:r w:rsidR="00323AC8">
        <w:t xml:space="preserve"> 31, 2023).</w:t>
      </w:r>
    </w:p>
  </w:footnote>
  <w:footnote w:id="11">
    <w:p w14:paraId="5AFEC6D8" w14:textId="14151AB9" w:rsidR="00322385" w:rsidRPr="00323AC8" w:rsidRDefault="00AF4AAB" w:rsidP="00492681">
      <w:pPr>
        <w:pStyle w:val="FootnoteText"/>
        <w:spacing w:after="120"/>
      </w:pPr>
      <w:r>
        <w:rPr>
          <w:rStyle w:val="FootnoteReference"/>
        </w:rPr>
        <w:footnoteRef/>
      </w:r>
      <w:r>
        <w:t xml:space="preserve"> </w:t>
      </w:r>
      <w:r w:rsidR="00323AC8">
        <w:rPr>
          <w:i/>
          <w:iCs/>
        </w:rPr>
        <w:t>Id.</w:t>
      </w:r>
      <w:r w:rsidR="00323AC8">
        <w:t xml:space="preserve"> at 9.</w:t>
      </w:r>
    </w:p>
  </w:footnote>
  <w:footnote w:id="12">
    <w:p w14:paraId="1A93BB67" w14:textId="3492FC17" w:rsidR="003362F6" w:rsidRDefault="00AF4AAB" w:rsidP="00492681">
      <w:pPr>
        <w:pStyle w:val="FootnoteText"/>
        <w:spacing w:after="120"/>
      </w:pPr>
      <w:r>
        <w:rPr>
          <w:rStyle w:val="FootnoteReference"/>
        </w:rPr>
        <w:footnoteRef/>
      </w:r>
      <w:r>
        <w:t xml:space="preserve"> </w:t>
      </w:r>
      <w:r w:rsidR="00A56F3E" w:rsidRPr="003362F6">
        <w:t>Notice of Intent to File an Application (Sept</w:t>
      </w:r>
      <w:r w:rsidR="0015782A">
        <w:t>.</w:t>
      </w:r>
      <w:r w:rsidR="00A56F3E" w:rsidRPr="003362F6">
        <w:t xml:space="preserve"> 29, 2023)</w:t>
      </w:r>
      <w:r w:rsidR="00A56F3E">
        <w:t xml:space="preserve"> at 165-166; Application Volume II, Schedule E-4 (Oct. 31, 2023).</w:t>
      </w:r>
    </w:p>
  </w:footnote>
  <w:footnote w:id="13">
    <w:p w14:paraId="33FBB32F" w14:textId="71061126" w:rsidR="00D11A2D" w:rsidRDefault="00AF4AAB" w:rsidP="00492681">
      <w:pPr>
        <w:pStyle w:val="FootnoteText"/>
        <w:spacing w:after="120"/>
      </w:pPr>
      <w:r>
        <w:rPr>
          <w:rStyle w:val="FootnoteReference"/>
        </w:rPr>
        <w:footnoteRef/>
      </w:r>
      <w:r>
        <w:t xml:space="preserve"> Application Volume II</w:t>
      </w:r>
      <w:r w:rsidR="00A56F3E">
        <w:t>,</w:t>
      </w:r>
      <w:r>
        <w:t xml:space="preserve"> Schedule E (Oct. </w:t>
      </w:r>
      <w:r w:rsidR="00A56F3E">
        <w:t>31</w:t>
      </w:r>
      <w:r>
        <w:t>, 2023).</w:t>
      </w:r>
    </w:p>
  </w:footnote>
  <w:footnote w:id="14">
    <w:p w14:paraId="08C60123" w14:textId="2A1F4D58" w:rsidR="000479FE" w:rsidRPr="000479FE" w:rsidRDefault="00AF4AAB" w:rsidP="00492681">
      <w:pPr>
        <w:pStyle w:val="FootnoteText"/>
        <w:spacing w:after="120"/>
      </w:pPr>
      <w:r>
        <w:rPr>
          <w:rStyle w:val="FootnoteReference"/>
        </w:rPr>
        <w:footnoteRef/>
      </w:r>
      <w:r>
        <w:t xml:space="preserve"> </w:t>
      </w:r>
      <w:r>
        <w:rPr>
          <w:i/>
          <w:iCs/>
        </w:rPr>
        <w:t xml:space="preserve">See </w:t>
      </w:r>
      <w:r>
        <w:t>R.C. Chapter 4911.</w:t>
      </w:r>
    </w:p>
  </w:footnote>
  <w:footnote w:id="15">
    <w:p w14:paraId="3A32A6D8" w14:textId="352BE2EC" w:rsidR="001332D3" w:rsidRDefault="00AF4AAB" w:rsidP="0090466E">
      <w:pPr>
        <w:pStyle w:val="FootnoteText"/>
        <w:spacing w:after="80"/>
      </w:pPr>
      <w:r>
        <w:rPr>
          <w:rStyle w:val="FootnoteReference"/>
        </w:rPr>
        <w:footnoteRef/>
      </w:r>
      <w:r>
        <w:t xml:space="preserve"> However, OCC Objection No. 1, below, explains how the revenue requirement should have been reduced even further.</w:t>
      </w:r>
    </w:p>
  </w:footnote>
  <w:footnote w:id="16">
    <w:p w14:paraId="2EC83F31" w14:textId="32C78C68" w:rsidR="006E464E" w:rsidRDefault="00AF4AAB" w:rsidP="0090466E">
      <w:pPr>
        <w:pStyle w:val="FootnoteText"/>
        <w:spacing w:after="80"/>
      </w:pPr>
      <w:r>
        <w:rPr>
          <w:rStyle w:val="FootnoteReference"/>
        </w:rPr>
        <w:footnoteRef/>
      </w:r>
      <w:r>
        <w:t xml:space="preserve"> Staff Report</w:t>
      </w:r>
      <w:r w:rsidR="00FC1F41">
        <w:t xml:space="preserve"> of Investigation (“Staff Report”) (June 26, 2024)</w:t>
      </w:r>
      <w:r>
        <w:t xml:space="preserve"> at 49.</w:t>
      </w:r>
    </w:p>
  </w:footnote>
  <w:footnote w:id="17">
    <w:p w14:paraId="544D4E87" w14:textId="5E7B57C9" w:rsidR="00612DFD" w:rsidRDefault="00AF4AAB" w:rsidP="0090466E">
      <w:pPr>
        <w:pStyle w:val="FootnoteText"/>
        <w:spacing w:after="80"/>
      </w:pPr>
      <w:r>
        <w:rPr>
          <w:rStyle w:val="FootnoteReference"/>
        </w:rPr>
        <w:footnoteRef/>
      </w:r>
      <w:r>
        <w:t xml:space="preserve"> </w:t>
      </w:r>
      <w:r w:rsidR="00FC1F41">
        <w:rPr>
          <w:i/>
          <w:iCs/>
        </w:rPr>
        <w:t>Id.</w:t>
      </w:r>
      <w:r w:rsidR="004869AA">
        <w:t xml:space="preserve"> at</w:t>
      </w:r>
      <w:r w:rsidR="008056D4">
        <w:t xml:space="preserve"> 76</w:t>
      </w:r>
      <w:r w:rsidR="004869AA">
        <w:t>.</w:t>
      </w:r>
    </w:p>
  </w:footnote>
  <w:footnote w:id="18">
    <w:p w14:paraId="587882E3" w14:textId="456321D4" w:rsidR="006E464E" w:rsidRDefault="00AF4AAB" w:rsidP="0090466E">
      <w:pPr>
        <w:pStyle w:val="FootnoteText"/>
        <w:spacing w:after="80"/>
      </w:pPr>
      <w:r>
        <w:rPr>
          <w:rStyle w:val="FootnoteReference"/>
        </w:rPr>
        <w:footnoteRef/>
      </w:r>
      <w:r>
        <w:t xml:space="preserve"> </w:t>
      </w:r>
      <w:r w:rsidR="00FC1F41">
        <w:rPr>
          <w:i/>
          <w:iCs/>
        </w:rPr>
        <w:t>Id.</w:t>
      </w:r>
      <w:r w:rsidR="00765892">
        <w:t>at 142.</w:t>
      </w:r>
    </w:p>
  </w:footnote>
  <w:footnote w:id="19">
    <w:p w14:paraId="6C186ED9" w14:textId="39E8A1CB" w:rsidR="00BA7439" w:rsidRDefault="00AF4AAB" w:rsidP="00E031AC">
      <w:pPr>
        <w:pStyle w:val="FootnoteText"/>
        <w:spacing w:after="120"/>
      </w:pPr>
      <w:r>
        <w:rPr>
          <w:rStyle w:val="FootnoteReference"/>
        </w:rPr>
        <w:footnoteRef/>
      </w:r>
      <w:r>
        <w:t xml:space="preserve"> </w:t>
      </w:r>
      <w:r w:rsidR="00FC1F41">
        <w:rPr>
          <w:i/>
          <w:iCs/>
        </w:rPr>
        <w:t xml:space="preserve">Id. </w:t>
      </w:r>
      <w:r w:rsidR="00723543">
        <w:t>at 10</w:t>
      </w:r>
      <w:r>
        <w:t>, Schedule B-2.2.</w:t>
      </w:r>
    </w:p>
  </w:footnote>
  <w:footnote w:id="20">
    <w:p w14:paraId="4C29DBC1" w14:textId="3C745C77" w:rsidR="00BA7439" w:rsidRDefault="00AF4AAB" w:rsidP="00E031AC">
      <w:pPr>
        <w:pStyle w:val="FootnoteText"/>
        <w:spacing w:after="120"/>
      </w:pPr>
      <w:r>
        <w:rPr>
          <w:rStyle w:val="FootnoteReference"/>
        </w:rPr>
        <w:footnoteRef/>
      </w:r>
      <w:r>
        <w:t xml:space="preserve"> </w:t>
      </w:r>
      <w:r w:rsidR="00FC1F41">
        <w:rPr>
          <w:i/>
          <w:iCs/>
        </w:rPr>
        <w:t>Id.</w:t>
      </w:r>
    </w:p>
  </w:footnote>
  <w:footnote w:id="21">
    <w:p w14:paraId="51EBE1C9" w14:textId="0612B7BE" w:rsidR="00BA7439" w:rsidRDefault="00AF4AAB" w:rsidP="00E031AC">
      <w:pPr>
        <w:pStyle w:val="FootnoteText"/>
        <w:spacing w:after="120"/>
      </w:pPr>
      <w:r>
        <w:rPr>
          <w:rStyle w:val="FootnoteReference"/>
        </w:rPr>
        <w:footnoteRef/>
      </w:r>
      <w:r>
        <w:t xml:space="preserve"> </w:t>
      </w:r>
      <w:r w:rsidR="00FC1F41">
        <w:rPr>
          <w:i/>
          <w:iCs/>
        </w:rPr>
        <w:t>Id.</w:t>
      </w:r>
    </w:p>
  </w:footnote>
  <w:footnote w:id="22">
    <w:p w14:paraId="00FADCBC" w14:textId="02B1F932" w:rsidR="00BA7439" w:rsidRDefault="00AF4AAB" w:rsidP="00E031AC">
      <w:pPr>
        <w:pStyle w:val="FootnoteText"/>
        <w:spacing w:after="120"/>
      </w:pPr>
      <w:r>
        <w:rPr>
          <w:rStyle w:val="FootnoteReference"/>
        </w:rPr>
        <w:footnoteRef/>
      </w:r>
      <w:r>
        <w:t xml:space="preserve"> </w:t>
      </w:r>
      <w:r w:rsidR="00723543">
        <w:t>Staff Report at 11, Schedule B-2.2.</w:t>
      </w:r>
    </w:p>
  </w:footnote>
  <w:footnote w:id="23">
    <w:p w14:paraId="2F7FB137" w14:textId="4227E06B" w:rsidR="00BA7439" w:rsidRDefault="00AF4AAB" w:rsidP="00E031AC">
      <w:pPr>
        <w:pStyle w:val="FootnoteText"/>
        <w:spacing w:after="120"/>
      </w:pPr>
      <w:r>
        <w:rPr>
          <w:rStyle w:val="FootnoteReference"/>
        </w:rPr>
        <w:footnoteRef/>
      </w:r>
      <w:r>
        <w:t xml:space="preserve"> </w:t>
      </w:r>
      <w:r w:rsidR="00FC1F41">
        <w:rPr>
          <w:i/>
          <w:iCs/>
        </w:rPr>
        <w:t>Id.</w:t>
      </w:r>
    </w:p>
  </w:footnote>
  <w:footnote w:id="24">
    <w:p w14:paraId="32AF3D78" w14:textId="41931E43" w:rsidR="00BA7439" w:rsidRDefault="00AF4AAB" w:rsidP="00E031AC">
      <w:pPr>
        <w:pStyle w:val="FootnoteText"/>
        <w:spacing w:after="120"/>
      </w:pPr>
      <w:r>
        <w:rPr>
          <w:rStyle w:val="FootnoteReference"/>
        </w:rPr>
        <w:footnoteRef/>
      </w:r>
      <w:r>
        <w:t xml:space="preserve"> </w:t>
      </w:r>
      <w:r w:rsidR="00FC1F41">
        <w:rPr>
          <w:i/>
          <w:iCs/>
        </w:rPr>
        <w:t>Id.</w:t>
      </w:r>
    </w:p>
  </w:footnote>
  <w:footnote w:id="25">
    <w:p w14:paraId="742ECA7E" w14:textId="528F07C6" w:rsidR="00BA7439" w:rsidRDefault="00AF4AAB" w:rsidP="00E031AC">
      <w:pPr>
        <w:pStyle w:val="FootnoteText"/>
        <w:spacing w:after="120"/>
      </w:pPr>
      <w:r>
        <w:rPr>
          <w:rStyle w:val="FootnoteReference"/>
        </w:rPr>
        <w:footnoteRef/>
      </w:r>
      <w:r>
        <w:t xml:space="preserve"> </w:t>
      </w:r>
      <w:r w:rsidR="00FC1F41">
        <w:rPr>
          <w:i/>
          <w:iCs/>
        </w:rPr>
        <w:t>Id.</w:t>
      </w:r>
    </w:p>
  </w:footnote>
  <w:footnote w:id="26">
    <w:p w14:paraId="46A12932" w14:textId="6B81D65E" w:rsidR="00BA7439" w:rsidRDefault="00AF4AAB" w:rsidP="00E031AC">
      <w:pPr>
        <w:pStyle w:val="FootnoteText"/>
        <w:spacing w:after="120"/>
      </w:pPr>
      <w:r>
        <w:rPr>
          <w:rStyle w:val="FootnoteReference"/>
        </w:rPr>
        <w:footnoteRef/>
      </w:r>
      <w:r>
        <w:t xml:space="preserve"> </w:t>
      </w:r>
      <w:r w:rsidR="00FC1F41">
        <w:rPr>
          <w:i/>
          <w:iCs/>
        </w:rPr>
        <w:t>Id.</w:t>
      </w:r>
    </w:p>
  </w:footnote>
  <w:footnote w:id="27">
    <w:p w14:paraId="2040F64D" w14:textId="2F08D46F" w:rsidR="00BA7439" w:rsidRDefault="00AF4AAB" w:rsidP="00E031AC">
      <w:pPr>
        <w:pStyle w:val="FootnoteText"/>
        <w:spacing w:after="120"/>
      </w:pPr>
      <w:r>
        <w:rPr>
          <w:rStyle w:val="FootnoteReference"/>
        </w:rPr>
        <w:footnoteRef/>
      </w:r>
      <w:r>
        <w:t xml:space="preserve"> </w:t>
      </w:r>
      <w:r w:rsidR="00FC1F41">
        <w:rPr>
          <w:i/>
          <w:iCs/>
        </w:rPr>
        <w:t xml:space="preserve">Id. </w:t>
      </w:r>
      <w:r w:rsidR="00244655">
        <w:t>at 12, Schedule B-2.2.</w:t>
      </w:r>
    </w:p>
  </w:footnote>
  <w:footnote w:id="28">
    <w:p w14:paraId="2CE74DFA" w14:textId="6132A0C4" w:rsidR="00BA7439" w:rsidRDefault="00AF4AAB" w:rsidP="004C58FB">
      <w:pPr>
        <w:pStyle w:val="FootnoteText"/>
        <w:spacing w:after="120"/>
      </w:pPr>
      <w:r>
        <w:rPr>
          <w:rStyle w:val="FootnoteReference"/>
        </w:rPr>
        <w:footnoteRef/>
      </w:r>
      <w:r>
        <w:t xml:space="preserve"> </w:t>
      </w:r>
      <w:r w:rsidR="00FC1F41">
        <w:rPr>
          <w:i/>
          <w:iCs/>
        </w:rPr>
        <w:t xml:space="preserve">Id. </w:t>
      </w:r>
      <w:r w:rsidR="00ED5614">
        <w:t>at 15, Schedule B-2.2.</w:t>
      </w:r>
    </w:p>
  </w:footnote>
  <w:footnote w:id="29">
    <w:p w14:paraId="2D5E503C" w14:textId="5080F83C" w:rsidR="00BA7439" w:rsidRDefault="00AF4AAB" w:rsidP="004C58FB">
      <w:pPr>
        <w:pStyle w:val="FootnoteText"/>
        <w:spacing w:after="120"/>
      </w:pPr>
      <w:r>
        <w:rPr>
          <w:rStyle w:val="FootnoteReference"/>
        </w:rPr>
        <w:footnoteRef/>
      </w:r>
      <w:r>
        <w:t xml:space="preserve"> </w:t>
      </w:r>
      <w:r w:rsidR="00FC1F41">
        <w:rPr>
          <w:i/>
          <w:iCs/>
        </w:rPr>
        <w:t>Id.</w:t>
      </w:r>
    </w:p>
  </w:footnote>
  <w:footnote w:id="30">
    <w:p w14:paraId="091011F5" w14:textId="7CAACD6C" w:rsidR="00511653" w:rsidRDefault="00AF4AAB" w:rsidP="004C58FB">
      <w:pPr>
        <w:pStyle w:val="FootnoteText"/>
        <w:spacing w:after="120"/>
      </w:pPr>
      <w:r>
        <w:rPr>
          <w:rStyle w:val="FootnoteReference"/>
        </w:rPr>
        <w:footnoteRef/>
      </w:r>
      <w:r>
        <w:t xml:space="preserve"> </w:t>
      </w:r>
      <w:r w:rsidR="00FC1F41">
        <w:rPr>
          <w:i/>
          <w:iCs/>
        </w:rPr>
        <w:t xml:space="preserve">Id. </w:t>
      </w:r>
      <w:r w:rsidR="004310F6">
        <w:t>at 18, Schedule C-3.2.</w:t>
      </w:r>
    </w:p>
  </w:footnote>
  <w:footnote w:id="31">
    <w:p w14:paraId="62C46AAF" w14:textId="38E639D8" w:rsidR="004310F6" w:rsidRDefault="00AF4AAB" w:rsidP="004C58FB">
      <w:pPr>
        <w:pStyle w:val="FootnoteText"/>
        <w:spacing w:after="120"/>
      </w:pPr>
      <w:r>
        <w:rPr>
          <w:rStyle w:val="FootnoteReference"/>
        </w:rPr>
        <w:footnoteRef/>
      </w:r>
      <w:r>
        <w:t xml:space="preserve"> </w:t>
      </w:r>
      <w:r w:rsidR="00FC1F41">
        <w:rPr>
          <w:i/>
          <w:iCs/>
        </w:rPr>
        <w:t>Id.</w:t>
      </w:r>
    </w:p>
  </w:footnote>
  <w:footnote w:id="32">
    <w:p w14:paraId="482D4868" w14:textId="5D90D727" w:rsidR="00511653" w:rsidRDefault="00AF4AAB" w:rsidP="004C58FB">
      <w:pPr>
        <w:pStyle w:val="FootnoteText"/>
        <w:spacing w:after="120"/>
      </w:pPr>
      <w:r>
        <w:rPr>
          <w:rStyle w:val="FootnoteReference"/>
        </w:rPr>
        <w:footnoteRef/>
      </w:r>
      <w:r>
        <w:t xml:space="preserve"> </w:t>
      </w:r>
      <w:r w:rsidR="00FC1F41">
        <w:rPr>
          <w:i/>
          <w:iCs/>
        </w:rPr>
        <w:t>Id.</w:t>
      </w:r>
    </w:p>
  </w:footnote>
  <w:footnote w:id="33">
    <w:p w14:paraId="2D5D26A5" w14:textId="122EB53D" w:rsidR="00511653" w:rsidRPr="00511653" w:rsidRDefault="00AF4AAB" w:rsidP="001657D2">
      <w:pPr>
        <w:pStyle w:val="FootnoteText"/>
        <w:spacing w:after="120"/>
      </w:pPr>
      <w:r>
        <w:rPr>
          <w:rStyle w:val="FootnoteReference"/>
        </w:rPr>
        <w:footnoteRef/>
      </w:r>
      <w:r>
        <w:t xml:space="preserve"> </w:t>
      </w:r>
      <w:r w:rsidR="00FC1F41">
        <w:rPr>
          <w:i/>
          <w:iCs/>
        </w:rPr>
        <w:t xml:space="preserve">Id. </w:t>
      </w:r>
      <w:r w:rsidR="004310F6">
        <w:t>at 18-19,</w:t>
      </w:r>
      <w:r>
        <w:t xml:space="preserve"> Schedule C-3.2.</w:t>
      </w:r>
    </w:p>
  </w:footnote>
  <w:footnote w:id="34">
    <w:p w14:paraId="2A0ED040" w14:textId="23A4A5B8" w:rsidR="00511653" w:rsidRDefault="00AF4AAB" w:rsidP="001657D2">
      <w:pPr>
        <w:pStyle w:val="FootnoteText"/>
        <w:spacing w:after="120"/>
      </w:pPr>
      <w:r>
        <w:rPr>
          <w:rStyle w:val="FootnoteReference"/>
        </w:rPr>
        <w:footnoteRef/>
      </w:r>
      <w:r>
        <w:t xml:space="preserve"> </w:t>
      </w:r>
      <w:r w:rsidR="00FC1F41">
        <w:rPr>
          <w:i/>
          <w:iCs/>
        </w:rPr>
        <w:t xml:space="preserve">Id. </w:t>
      </w:r>
      <w:r w:rsidR="004310F6">
        <w:t>at 19</w:t>
      </w:r>
      <w:r>
        <w:t>, Schedule C-3.3.</w:t>
      </w:r>
    </w:p>
  </w:footnote>
  <w:footnote w:id="35">
    <w:p w14:paraId="12B51CAC" w14:textId="15B0FAAD" w:rsidR="003658FF" w:rsidRDefault="00AF4AAB" w:rsidP="001657D2">
      <w:pPr>
        <w:pStyle w:val="FootnoteText"/>
        <w:spacing w:after="120"/>
      </w:pPr>
      <w:r>
        <w:rPr>
          <w:rStyle w:val="FootnoteReference"/>
        </w:rPr>
        <w:footnoteRef/>
      </w:r>
      <w:r>
        <w:t xml:space="preserve"> </w:t>
      </w:r>
      <w:r w:rsidR="00FC1F41">
        <w:rPr>
          <w:i/>
          <w:iCs/>
        </w:rPr>
        <w:t xml:space="preserve">Id. </w:t>
      </w:r>
      <w:r w:rsidR="004310F6">
        <w:t>at 19</w:t>
      </w:r>
      <w:r>
        <w:t>, Schedule C-3.4.</w:t>
      </w:r>
    </w:p>
  </w:footnote>
  <w:footnote w:id="36">
    <w:p w14:paraId="651DF56C" w14:textId="538A8EE6" w:rsidR="003658FF" w:rsidRDefault="00AF4AAB" w:rsidP="001657D2">
      <w:pPr>
        <w:pStyle w:val="FootnoteText"/>
        <w:spacing w:after="120"/>
      </w:pPr>
      <w:r>
        <w:rPr>
          <w:rStyle w:val="FootnoteReference"/>
        </w:rPr>
        <w:footnoteRef/>
      </w:r>
      <w:r>
        <w:t xml:space="preserve"> </w:t>
      </w:r>
      <w:r w:rsidR="00FC1F41">
        <w:rPr>
          <w:i/>
          <w:iCs/>
        </w:rPr>
        <w:t xml:space="preserve">Id. </w:t>
      </w:r>
      <w:r w:rsidR="004310F6">
        <w:t>at 19</w:t>
      </w:r>
      <w:r>
        <w:t>, Schedule C-3.5.</w:t>
      </w:r>
    </w:p>
  </w:footnote>
  <w:footnote w:id="37">
    <w:p w14:paraId="2B79EBB2" w14:textId="65E34E6F" w:rsidR="003658FF" w:rsidRDefault="00AF4AAB" w:rsidP="001657D2">
      <w:pPr>
        <w:pStyle w:val="FootnoteText"/>
        <w:spacing w:after="120"/>
      </w:pPr>
      <w:r>
        <w:rPr>
          <w:rStyle w:val="FootnoteReference"/>
        </w:rPr>
        <w:footnoteRef/>
      </w:r>
      <w:r>
        <w:t xml:space="preserve"> </w:t>
      </w:r>
      <w:r w:rsidR="00FC1F41">
        <w:rPr>
          <w:i/>
          <w:iCs/>
        </w:rPr>
        <w:t xml:space="preserve">Id. </w:t>
      </w:r>
      <w:r w:rsidR="004310F6">
        <w:t>at 19</w:t>
      </w:r>
      <w:r>
        <w:t>, Schedule C-3.6.</w:t>
      </w:r>
    </w:p>
  </w:footnote>
  <w:footnote w:id="38">
    <w:p w14:paraId="23927794" w14:textId="2E257010" w:rsidR="003658FF" w:rsidRDefault="00AF4AAB" w:rsidP="001657D2">
      <w:pPr>
        <w:pStyle w:val="FootnoteText"/>
        <w:spacing w:after="120"/>
      </w:pPr>
      <w:r>
        <w:rPr>
          <w:rStyle w:val="FootnoteReference"/>
        </w:rPr>
        <w:footnoteRef/>
      </w:r>
      <w:r>
        <w:t xml:space="preserve"> </w:t>
      </w:r>
      <w:r w:rsidR="00FC1F41">
        <w:rPr>
          <w:i/>
          <w:iCs/>
        </w:rPr>
        <w:t xml:space="preserve">Id. </w:t>
      </w:r>
      <w:r w:rsidR="004310F6">
        <w:t>at 24</w:t>
      </w:r>
      <w:r>
        <w:t>, Schedule C-3.22.</w:t>
      </w:r>
    </w:p>
  </w:footnote>
  <w:footnote w:id="39">
    <w:p w14:paraId="1663D0F5" w14:textId="0642ABF5" w:rsidR="003658FF" w:rsidRDefault="00AF4AAB" w:rsidP="001657D2">
      <w:pPr>
        <w:pStyle w:val="FootnoteText"/>
        <w:spacing w:after="120"/>
      </w:pPr>
      <w:r>
        <w:rPr>
          <w:rStyle w:val="FootnoteReference"/>
        </w:rPr>
        <w:footnoteRef/>
      </w:r>
      <w:r>
        <w:t xml:space="preserve"> </w:t>
      </w:r>
      <w:r w:rsidR="00FC1F41">
        <w:rPr>
          <w:i/>
          <w:iCs/>
        </w:rPr>
        <w:t xml:space="preserve">Id. </w:t>
      </w:r>
      <w:r w:rsidR="00550DBA">
        <w:t>at 24</w:t>
      </w:r>
      <w:r>
        <w:t>, Schedule C-3.23.</w:t>
      </w:r>
    </w:p>
  </w:footnote>
  <w:footnote w:id="40">
    <w:p w14:paraId="0823F7BC" w14:textId="66EEDA3E" w:rsidR="003658FF" w:rsidRDefault="00AF4AAB" w:rsidP="001657D2">
      <w:pPr>
        <w:pStyle w:val="FootnoteText"/>
        <w:spacing w:after="120"/>
      </w:pPr>
      <w:r>
        <w:rPr>
          <w:rStyle w:val="FootnoteReference"/>
        </w:rPr>
        <w:footnoteRef/>
      </w:r>
      <w:r>
        <w:t xml:space="preserve"> </w:t>
      </w:r>
      <w:r w:rsidR="00FC1F41">
        <w:rPr>
          <w:i/>
          <w:iCs/>
        </w:rPr>
        <w:t xml:space="preserve">Id. </w:t>
      </w:r>
      <w:r w:rsidR="00550DBA">
        <w:t>at 25</w:t>
      </w:r>
      <w:r>
        <w:t>, Schedule C-3.29.</w:t>
      </w:r>
    </w:p>
  </w:footnote>
  <w:footnote w:id="41">
    <w:p w14:paraId="7F91F0F6" w14:textId="29BF7000" w:rsidR="003658FF" w:rsidRDefault="00AF4AAB" w:rsidP="001657D2">
      <w:pPr>
        <w:pStyle w:val="FootnoteText"/>
        <w:spacing w:after="120"/>
      </w:pPr>
      <w:r>
        <w:rPr>
          <w:rStyle w:val="FootnoteReference"/>
        </w:rPr>
        <w:footnoteRef/>
      </w:r>
      <w:r>
        <w:t xml:space="preserve"> </w:t>
      </w:r>
      <w:r w:rsidR="00FC1F41">
        <w:rPr>
          <w:i/>
          <w:iCs/>
        </w:rPr>
        <w:t xml:space="preserve">Id. </w:t>
      </w:r>
      <w:r w:rsidR="00550DBA">
        <w:t>at 25</w:t>
      </w:r>
      <w:r>
        <w:t>, Schedule C-3.30.</w:t>
      </w:r>
    </w:p>
  </w:footnote>
  <w:footnote w:id="42">
    <w:p w14:paraId="4361F426" w14:textId="47CD60B2" w:rsidR="003658FF" w:rsidRDefault="00AF4AAB" w:rsidP="001657D2">
      <w:pPr>
        <w:pStyle w:val="FootnoteText"/>
        <w:spacing w:after="120"/>
      </w:pPr>
      <w:r>
        <w:rPr>
          <w:rStyle w:val="FootnoteReference"/>
        </w:rPr>
        <w:footnoteRef/>
      </w:r>
      <w:r>
        <w:t xml:space="preserve"> </w:t>
      </w:r>
      <w:r w:rsidR="00B32D62">
        <w:rPr>
          <w:i/>
          <w:iCs/>
        </w:rPr>
        <w:t xml:space="preserve">Id. </w:t>
      </w:r>
      <w:r w:rsidR="00850F37">
        <w:t>at 25</w:t>
      </w:r>
      <w:r>
        <w:t>, Schedule C-3.31.</w:t>
      </w:r>
    </w:p>
  </w:footnote>
  <w:footnote w:id="43">
    <w:p w14:paraId="6AF9FE32" w14:textId="32FBD313" w:rsidR="00C1649B" w:rsidRDefault="00AF4AAB" w:rsidP="001657D2">
      <w:pPr>
        <w:pStyle w:val="FootnoteText"/>
        <w:spacing w:after="120"/>
      </w:pPr>
      <w:r>
        <w:rPr>
          <w:rStyle w:val="FootnoteReference"/>
        </w:rPr>
        <w:footnoteRef/>
      </w:r>
      <w:r>
        <w:t xml:space="preserve"> </w:t>
      </w:r>
      <w:r w:rsidR="00B32D62">
        <w:rPr>
          <w:i/>
          <w:iCs/>
        </w:rPr>
        <w:t xml:space="preserve">Id. </w:t>
      </w:r>
      <w:r w:rsidR="00850F37">
        <w:t>at 25</w:t>
      </w:r>
      <w:r>
        <w:t>, Schedule C-3.32.</w:t>
      </w:r>
    </w:p>
  </w:footnote>
  <w:footnote w:id="44">
    <w:p w14:paraId="35C43BB5" w14:textId="046DCB6E" w:rsidR="00C1649B" w:rsidRDefault="00AF4AAB" w:rsidP="001657D2">
      <w:pPr>
        <w:pStyle w:val="FootnoteText"/>
        <w:spacing w:after="120"/>
      </w:pPr>
      <w:r>
        <w:rPr>
          <w:rStyle w:val="FootnoteReference"/>
        </w:rPr>
        <w:footnoteRef/>
      </w:r>
      <w:r>
        <w:t xml:space="preserve"> </w:t>
      </w:r>
      <w:r w:rsidR="00B32D62">
        <w:rPr>
          <w:i/>
          <w:iCs/>
        </w:rPr>
        <w:t xml:space="preserve">Id. </w:t>
      </w:r>
      <w:r w:rsidR="00850F37">
        <w:t>at 26</w:t>
      </w:r>
      <w:r>
        <w:t>, Schedule C-3.35.</w:t>
      </w:r>
    </w:p>
  </w:footnote>
  <w:footnote w:id="45">
    <w:p w14:paraId="4CB50D9B" w14:textId="1DA8A60F" w:rsidR="00C1649B" w:rsidRDefault="00AF4AAB" w:rsidP="001657D2">
      <w:pPr>
        <w:pStyle w:val="FootnoteText"/>
        <w:spacing w:after="120"/>
      </w:pPr>
      <w:r>
        <w:rPr>
          <w:rStyle w:val="FootnoteReference"/>
        </w:rPr>
        <w:footnoteRef/>
      </w:r>
      <w:r>
        <w:t xml:space="preserve"> </w:t>
      </w:r>
      <w:r w:rsidR="00B32D62">
        <w:rPr>
          <w:i/>
          <w:iCs/>
        </w:rPr>
        <w:t xml:space="preserve">Id. </w:t>
      </w:r>
      <w:r w:rsidR="00850F37">
        <w:t>at 26</w:t>
      </w:r>
      <w:r>
        <w:t>, Schedule C-3.36.</w:t>
      </w:r>
    </w:p>
  </w:footnote>
  <w:footnote w:id="46">
    <w:p w14:paraId="29C1993A" w14:textId="2722EF98" w:rsidR="00C1649B" w:rsidRDefault="00AF4AAB" w:rsidP="001657D2">
      <w:pPr>
        <w:pStyle w:val="FootnoteText"/>
        <w:spacing w:after="120"/>
      </w:pPr>
      <w:r>
        <w:rPr>
          <w:rStyle w:val="FootnoteReference"/>
        </w:rPr>
        <w:footnoteRef/>
      </w:r>
      <w:r>
        <w:t xml:space="preserve"> </w:t>
      </w:r>
      <w:r w:rsidR="00B32D62">
        <w:rPr>
          <w:i/>
          <w:iCs/>
        </w:rPr>
        <w:t xml:space="preserve">Id. </w:t>
      </w:r>
      <w:r w:rsidR="00850F37">
        <w:t>at 27</w:t>
      </w:r>
      <w:r>
        <w:t>, Schedule C-4.</w:t>
      </w:r>
    </w:p>
  </w:footnote>
  <w:footnote w:id="47">
    <w:p w14:paraId="13D13AB5" w14:textId="0F4478BA" w:rsidR="003145DE" w:rsidRDefault="00AF4AAB" w:rsidP="001657D2">
      <w:pPr>
        <w:pStyle w:val="FootnoteText"/>
        <w:spacing w:after="120"/>
      </w:pPr>
      <w:r>
        <w:rPr>
          <w:rStyle w:val="FootnoteReference"/>
        </w:rPr>
        <w:footnoteRef/>
      </w:r>
      <w:r>
        <w:t xml:space="preserve"> </w:t>
      </w:r>
      <w:r w:rsidR="00B32D62">
        <w:rPr>
          <w:i/>
          <w:iCs/>
        </w:rPr>
        <w:t xml:space="preserve">Id. </w:t>
      </w:r>
      <w:r w:rsidR="00F521E8">
        <w:t>at 36.</w:t>
      </w:r>
    </w:p>
  </w:footnote>
  <w:footnote w:id="48">
    <w:p w14:paraId="7BA00FBD" w14:textId="11540D63" w:rsidR="00612CC0" w:rsidRPr="00B11568" w:rsidRDefault="00AF4AAB" w:rsidP="001657D2">
      <w:pPr>
        <w:pStyle w:val="FootnoteText"/>
        <w:spacing w:after="120"/>
      </w:pPr>
      <w:r>
        <w:rPr>
          <w:rStyle w:val="FootnoteReference"/>
        </w:rPr>
        <w:footnoteRef/>
      </w:r>
      <w:r>
        <w:t xml:space="preserve"> </w:t>
      </w:r>
      <w:r w:rsidR="00B32D62">
        <w:rPr>
          <w:i/>
          <w:iCs/>
        </w:rPr>
        <w:t>Id.</w:t>
      </w:r>
    </w:p>
  </w:footnote>
  <w:footnote w:id="49">
    <w:p w14:paraId="4E432DDD" w14:textId="43A71325" w:rsidR="003145DE" w:rsidRDefault="00AF4AAB" w:rsidP="001657D2">
      <w:pPr>
        <w:pStyle w:val="FootnoteText"/>
        <w:spacing w:after="120"/>
      </w:pPr>
      <w:r>
        <w:rPr>
          <w:rStyle w:val="FootnoteReference"/>
        </w:rPr>
        <w:footnoteRef/>
      </w:r>
      <w:r>
        <w:t xml:space="preserve"> </w:t>
      </w:r>
      <w:r w:rsidR="00B32D62">
        <w:rPr>
          <w:i/>
          <w:iCs/>
        </w:rPr>
        <w:t xml:space="preserve">Id. </w:t>
      </w:r>
      <w:r w:rsidR="00FE05D3">
        <w:t xml:space="preserve">at </w:t>
      </w:r>
      <w:r w:rsidR="00F521E8">
        <w:t>42.</w:t>
      </w:r>
    </w:p>
  </w:footnote>
  <w:footnote w:id="50">
    <w:p w14:paraId="6A04E65A" w14:textId="1D5D253D" w:rsidR="003145DE" w:rsidRDefault="00AF4AAB" w:rsidP="0090466E">
      <w:pPr>
        <w:pStyle w:val="FootnoteText"/>
        <w:spacing w:afterLines="80" w:after="192"/>
      </w:pPr>
      <w:r>
        <w:rPr>
          <w:rStyle w:val="FootnoteReference"/>
        </w:rPr>
        <w:footnoteRef/>
      </w:r>
      <w:r>
        <w:t xml:space="preserve"> </w:t>
      </w:r>
      <w:r w:rsidR="00B32D62">
        <w:rPr>
          <w:i/>
          <w:iCs/>
        </w:rPr>
        <w:t xml:space="preserve">Id. </w:t>
      </w:r>
      <w:r w:rsidR="00FE05D3">
        <w:t>2</w:t>
      </w:r>
      <w:r w:rsidR="00F521E8">
        <w:t>8</w:t>
      </w:r>
      <w:r w:rsidR="00FE05D3">
        <w:t>.</w:t>
      </w:r>
    </w:p>
  </w:footnote>
  <w:footnote w:id="51">
    <w:p w14:paraId="793185A2" w14:textId="672708E8" w:rsidR="003145DE" w:rsidRDefault="00AF4AAB" w:rsidP="0090466E">
      <w:pPr>
        <w:pStyle w:val="FootnoteText"/>
        <w:spacing w:afterLines="80" w:after="192"/>
      </w:pPr>
      <w:r>
        <w:rPr>
          <w:rStyle w:val="FootnoteReference"/>
        </w:rPr>
        <w:footnoteRef/>
      </w:r>
      <w:r>
        <w:t xml:space="preserve"> </w:t>
      </w:r>
      <w:r w:rsidR="00B32D62">
        <w:rPr>
          <w:i/>
          <w:iCs/>
        </w:rPr>
        <w:t xml:space="preserve">Id. </w:t>
      </w:r>
      <w:r w:rsidR="00F521E8">
        <w:t>at 29.</w:t>
      </w:r>
    </w:p>
  </w:footnote>
  <w:footnote w:id="52">
    <w:p w14:paraId="7EDA58B5" w14:textId="09CD6A69" w:rsidR="00665441" w:rsidRDefault="00AF4AAB" w:rsidP="0090466E">
      <w:pPr>
        <w:pStyle w:val="FootnoteText"/>
        <w:spacing w:afterLines="80" w:after="192"/>
      </w:pPr>
      <w:r>
        <w:rPr>
          <w:rStyle w:val="FootnoteReference"/>
        </w:rPr>
        <w:footnoteRef/>
      </w:r>
      <w:r>
        <w:t xml:space="preserve"> </w:t>
      </w:r>
      <w:r w:rsidR="00B32D62">
        <w:rPr>
          <w:i/>
          <w:iCs/>
        </w:rPr>
        <w:t xml:space="preserve">Id. </w:t>
      </w:r>
      <w:r>
        <w:t>at 49.</w:t>
      </w:r>
    </w:p>
  </w:footnote>
  <w:footnote w:id="53">
    <w:p w14:paraId="198A22F9" w14:textId="55161D99" w:rsidR="00665441" w:rsidRDefault="00AF4AAB" w:rsidP="0090466E">
      <w:pPr>
        <w:pStyle w:val="FootnoteText"/>
        <w:spacing w:afterLines="80" w:after="192"/>
      </w:pPr>
      <w:r>
        <w:rPr>
          <w:rStyle w:val="FootnoteReference"/>
        </w:rPr>
        <w:footnoteRef/>
      </w:r>
      <w:r>
        <w:t xml:space="preserve"> </w:t>
      </w:r>
      <w:r w:rsidR="00B32D62">
        <w:rPr>
          <w:i/>
          <w:iCs/>
        </w:rPr>
        <w:t xml:space="preserve">Id. </w:t>
      </w:r>
      <w:r>
        <w:t>at 50.</w:t>
      </w:r>
    </w:p>
  </w:footnote>
  <w:footnote w:id="54">
    <w:p w14:paraId="5230CAE8" w14:textId="0E0CB2A6" w:rsidR="00665441" w:rsidRDefault="00AF4AAB" w:rsidP="0090466E">
      <w:pPr>
        <w:pStyle w:val="FootnoteText"/>
        <w:spacing w:afterLines="80" w:after="192"/>
      </w:pPr>
      <w:r>
        <w:rPr>
          <w:rStyle w:val="FootnoteReference"/>
        </w:rPr>
        <w:footnoteRef/>
      </w:r>
      <w:r>
        <w:t xml:space="preserve"> </w:t>
      </w:r>
      <w:r w:rsidR="00B32D62">
        <w:rPr>
          <w:i/>
          <w:iCs/>
        </w:rPr>
        <w:t>Id.</w:t>
      </w:r>
    </w:p>
  </w:footnote>
  <w:footnote w:id="55">
    <w:p w14:paraId="4FC9BC5D" w14:textId="402A7D28" w:rsidR="00665441" w:rsidRDefault="00AF4AAB" w:rsidP="0090466E">
      <w:pPr>
        <w:pStyle w:val="FootnoteText"/>
        <w:spacing w:afterLines="80" w:after="192"/>
      </w:pPr>
      <w:r>
        <w:rPr>
          <w:rStyle w:val="FootnoteReference"/>
        </w:rPr>
        <w:footnoteRef/>
      </w:r>
      <w:r>
        <w:t xml:space="preserve"> </w:t>
      </w:r>
      <w:r w:rsidR="00B32D62">
        <w:rPr>
          <w:i/>
          <w:iCs/>
        </w:rPr>
        <w:t>Id.</w:t>
      </w:r>
    </w:p>
  </w:footnote>
  <w:footnote w:id="56">
    <w:p w14:paraId="11B0622E" w14:textId="5E3046EF" w:rsidR="00665441" w:rsidRDefault="00AF4AAB" w:rsidP="0090466E">
      <w:pPr>
        <w:pStyle w:val="FootnoteText"/>
        <w:spacing w:afterLines="80" w:after="192"/>
      </w:pPr>
      <w:r>
        <w:rPr>
          <w:rStyle w:val="FootnoteReference"/>
        </w:rPr>
        <w:footnoteRef/>
      </w:r>
      <w:r>
        <w:t xml:space="preserve"> </w:t>
      </w:r>
      <w:r w:rsidR="00B32D62">
        <w:rPr>
          <w:i/>
          <w:iCs/>
        </w:rPr>
        <w:t xml:space="preserve">Id. </w:t>
      </w:r>
      <w:r>
        <w:t>at 52.</w:t>
      </w:r>
    </w:p>
  </w:footnote>
  <w:footnote w:id="57">
    <w:p w14:paraId="29303328" w14:textId="3E24A0BB" w:rsidR="00997BD2" w:rsidRDefault="00AF4AAB" w:rsidP="00C224A8">
      <w:pPr>
        <w:pStyle w:val="FootnoteText"/>
        <w:spacing w:after="120"/>
      </w:pPr>
      <w:r>
        <w:rPr>
          <w:rStyle w:val="FootnoteReference"/>
        </w:rPr>
        <w:footnoteRef/>
      </w:r>
      <w:r>
        <w:t xml:space="preserve"> </w:t>
      </w:r>
      <w:r w:rsidR="00B32D62">
        <w:rPr>
          <w:i/>
          <w:iCs/>
        </w:rPr>
        <w:t xml:space="preserve">Id. </w:t>
      </w:r>
      <w:r w:rsidRPr="00997BD2">
        <w:t>at 55-56.</w:t>
      </w:r>
    </w:p>
  </w:footnote>
  <w:footnote w:id="58">
    <w:p w14:paraId="54596F17" w14:textId="3FFEF518" w:rsidR="00997BD2" w:rsidRDefault="00AF4AAB" w:rsidP="00C224A8">
      <w:pPr>
        <w:pStyle w:val="FootnoteText"/>
        <w:spacing w:after="120"/>
      </w:pPr>
      <w:r>
        <w:rPr>
          <w:rStyle w:val="FootnoteReference"/>
        </w:rPr>
        <w:footnoteRef/>
      </w:r>
      <w:r>
        <w:t xml:space="preserve"> </w:t>
      </w:r>
      <w:r w:rsidR="00B32D62">
        <w:rPr>
          <w:i/>
          <w:iCs/>
        </w:rPr>
        <w:t>Id.</w:t>
      </w:r>
    </w:p>
  </w:footnote>
  <w:footnote w:id="59">
    <w:p w14:paraId="4984AD51" w14:textId="25CEA930" w:rsidR="00665441" w:rsidRDefault="00AF4AAB" w:rsidP="00C224A8">
      <w:pPr>
        <w:pStyle w:val="FootnoteText"/>
        <w:spacing w:after="120"/>
      </w:pPr>
      <w:r>
        <w:rPr>
          <w:rStyle w:val="FootnoteReference"/>
        </w:rPr>
        <w:footnoteRef/>
      </w:r>
      <w:r>
        <w:t xml:space="preserve"> </w:t>
      </w:r>
      <w:r w:rsidR="00B32D62">
        <w:rPr>
          <w:i/>
          <w:iCs/>
        </w:rPr>
        <w:t xml:space="preserve">Id. </w:t>
      </w:r>
      <w:r>
        <w:t>at 58.</w:t>
      </w:r>
    </w:p>
  </w:footnote>
  <w:footnote w:id="60">
    <w:p w14:paraId="3DA04B57" w14:textId="4317B054" w:rsidR="00665441" w:rsidRDefault="00AF4AAB" w:rsidP="00C224A8">
      <w:pPr>
        <w:pStyle w:val="FootnoteText"/>
        <w:spacing w:after="120"/>
      </w:pPr>
      <w:r>
        <w:rPr>
          <w:rStyle w:val="FootnoteReference"/>
        </w:rPr>
        <w:footnoteRef/>
      </w:r>
      <w:r>
        <w:t xml:space="preserve"> </w:t>
      </w:r>
      <w:r w:rsidR="00B32D62">
        <w:rPr>
          <w:i/>
          <w:iCs/>
        </w:rPr>
        <w:t>Id.</w:t>
      </w:r>
    </w:p>
  </w:footnote>
  <w:footnote w:id="61">
    <w:p w14:paraId="7F0735CE" w14:textId="7642DEAA" w:rsidR="00600334" w:rsidRDefault="00AF4AAB" w:rsidP="00C224A8">
      <w:pPr>
        <w:pStyle w:val="FootnoteText"/>
        <w:spacing w:after="120"/>
      </w:pPr>
      <w:r>
        <w:rPr>
          <w:rStyle w:val="FootnoteReference"/>
        </w:rPr>
        <w:footnoteRef/>
      </w:r>
      <w:r>
        <w:t xml:space="preserve"> </w:t>
      </w:r>
      <w:r w:rsidR="00B32D62">
        <w:rPr>
          <w:i/>
          <w:iCs/>
        </w:rPr>
        <w:t xml:space="preserve">Id. </w:t>
      </w:r>
      <w:r w:rsidRPr="009117C3">
        <w:t>at 13.</w:t>
      </w:r>
    </w:p>
  </w:footnote>
  <w:footnote w:id="62">
    <w:p w14:paraId="1DAE2DFC" w14:textId="0720A25C" w:rsidR="00600334" w:rsidRDefault="00AF4AAB" w:rsidP="00C224A8">
      <w:pPr>
        <w:pStyle w:val="FootnoteText"/>
        <w:spacing w:after="120"/>
      </w:pPr>
      <w:r>
        <w:rPr>
          <w:rStyle w:val="FootnoteReference"/>
        </w:rPr>
        <w:footnoteRef/>
      </w:r>
      <w:r>
        <w:t xml:space="preserve"> </w:t>
      </w:r>
      <w:r w:rsidR="00B32D62">
        <w:rPr>
          <w:i/>
          <w:iCs/>
        </w:rPr>
        <w:t>Id.</w:t>
      </w:r>
    </w:p>
  </w:footnote>
  <w:footnote w:id="63">
    <w:p w14:paraId="795EF94D" w14:textId="6F2D95B5" w:rsidR="00600334" w:rsidRDefault="00AF4AAB" w:rsidP="00C224A8">
      <w:pPr>
        <w:pStyle w:val="FootnoteText"/>
        <w:spacing w:after="120"/>
      </w:pPr>
      <w:r>
        <w:rPr>
          <w:rStyle w:val="FootnoteReference"/>
        </w:rPr>
        <w:footnoteRef/>
      </w:r>
      <w:r>
        <w:t xml:space="preserve"> </w:t>
      </w:r>
      <w:r w:rsidR="00B32D62">
        <w:rPr>
          <w:i/>
          <w:iCs/>
        </w:rPr>
        <w:t>Id.</w:t>
      </w:r>
    </w:p>
  </w:footnote>
  <w:footnote w:id="64">
    <w:p w14:paraId="10F1E327" w14:textId="0A468776" w:rsidR="00BB0714" w:rsidRDefault="00AF4AAB" w:rsidP="00C224A8">
      <w:pPr>
        <w:pStyle w:val="FootnoteText"/>
        <w:spacing w:after="120"/>
      </w:pPr>
      <w:r>
        <w:rPr>
          <w:rStyle w:val="FootnoteReference"/>
        </w:rPr>
        <w:footnoteRef/>
      </w:r>
      <w:r>
        <w:t xml:space="preserve"> </w:t>
      </w:r>
      <w:r w:rsidR="00B32D62">
        <w:rPr>
          <w:i/>
          <w:iCs/>
        </w:rPr>
        <w:t>Id.</w:t>
      </w:r>
    </w:p>
  </w:footnote>
  <w:footnote w:id="65">
    <w:p w14:paraId="2AA412AE" w14:textId="5445A39C" w:rsidR="00BB0714" w:rsidRDefault="00AF4AAB" w:rsidP="00C224A8">
      <w:pPr>
        <w:pStyle w:val="FootnoteText"/>
        <w:spacing w:after="120"/>
      </w:pPr>
      <w:r>
        <w:rPr>
          <w:rStyle w:val="FootnoteReference"/>
        </w:rPr>
        <w:footnoteRef/>
      </w:r>
      <w:r>
        <w:t xml:space="preserve"> </w:t>
      </w:r>
      <w:r w:rsidR="00B32D62">
        <w:rPr>
          <w:i/>
          <w:iCs/>
        </w:rPr>
        <w:t xml:space="preserve">Id. </w:t>
      </w:r>
      <w:r>
        <w:t>at 16.</w:t>
      </w:r>
    </w:p>
  </w:footnote>
  <w:footnote w:id="66">
    <w:p w14:paraId="4785F607" w14:textId="4E4DB53B" w:rsidR="00BB0714" w:rsidRDefault="00AF4AAB" w:rsidP="00C224A8">
      <w:pPr>
        <w:pStyle w:val="FootnoteText"/>
        <w:spacing w:after="120"/>
      </w:pPr>
      <w:r>
        <w:rPr>
          <w:rStyle w:val="FootnoteReference"/>
        </w:rPr>
        <w:footnoteRef/>
      </w:r>
      <w:r>
        <w:t xml:space="preserve"> </w:t>
      </w:r>
      <w:r w:rsidR="00B32D62">
        <w:rPr>
          <w:i/>
          <w:iCs/>
        </w:rPr>
        <w:t xml:space="preserve">Id. </w:t>
      </w:r>
      <w:r>
        <w:t>at 49.</w:t>
      </w:r>
    </w:p>
  </w:footnote>
  <w:footnote w:id="67">
    <w:p w14:paraId="793C3C49" w14:textId="0FFC6C6E" w:rsidR="00BB0714" w:rsidRDefault="00AF4AAB" w:rsidP="00C224A8">
      <w:pPr>
        <w:pStyle w:val="FootnoteText"/>
        <w:spacing w:after="120"/>
      </w:pPr>
      <w:r>
        <w:rPr>
          <w:rStyle w:val="FootnoteReference"/>
        </w:rPr>
        <w:footnoteRef/>
      </w:r>
      <w:r>
        <w:t xml:space="preserve"> </w:t>
      </w:r>
      <w:r w:rsidR="00B32D62">
        <w:rPr>
          <w:i/>
          <w:iCs/>
        </w:rPr>
        <w:t>Id.</w:t>
      </w:r>
    </w:p>
  </w:footnote>
  <w:footnote w:id="68">
    <w:p w14:paraId="16E1C33E" w14:textId="718C3601" w:rsidR="00BB0714" w:rsidRDefault="00AF4AAB" w:rsidP="00C224A8">
      <w:pPr>
        <w:pStyle w:val="FootnoteText"/>
        <w:spacing w:after="120"/>
      </w:pPr>
      <w:r>
        <w:rPr>
          <w:rStyle w:val="FootnoteReference"/>
        </w:rPr>
        <w:footnoteRef/>
      </w:r>
      <w:r>
        <w:t xml:space="preserve"> </w:t>
      </w:r>
      <w:r w:rsidR="00B32D62">
        <w:rPr>
          <w:i/>
          <w:iCs/>
        </w:rPr>
        <w:t xml:space="preserve">Id. </w:t>
      </w:r>
      <w:r>
        <w:t>at 50.</w:t>
      </w:r>
    </w:p>
  </w:footnote>
  <w:footnote w:id="69">
    <w:p w14:paraId="5A610B5B" w14:textId="5784A038" w:rsidR="00BB0714" w:rsidRDefault="00AF4AAB" w:rsidP="00C224A8">
      <w:pPr>
        <w:pStyle w:val="FootnoteText"/>
        <w:spacing w:after="120"/>
      </w:pPr>
      <w:r>
        <w:rPr>
          <w:rStyle w:val="FootnoteReference"/>
        </w:rPr>
        <w:footnoteRef/>
      </w:r>
      <w:r>
        <w:t xml:space="preserve"> </w:t>
      </w:r>
      <w:r w:rsidR="00B32D62">
        <w:rPr>
          <w:i/>
          <w:iCs/>
        </w:rPr>
        <w:t>Id.</w:t>
      </w:r>
    </w:p>
  </w:footnote>
  <w:footnote w:id="70">
    <w:p w14:paraId="347561FC" w14:textId="044BF773" w:rsidR="00BB0714" w:rsidRDefault="00AF4AAB" w:rsidP="00C224A8">
      <w:pPr>
        <w:pStyle w:val="FootnoteText"/>
        <w:spacing w:after="120"/>
      </w:pPr>
      <w:r>
        <w:rPr>
          <w:rStyle w:val="FootnoteReference"/>
        </w:rPr>
        <w:footnoteRef/>
      </w:r>
      <w:r>
        <w:t xml:space="preserve"> </w:t>
      </w:r>
      <w:r w:rsidR="00B32D62">
        <w:rPr>
          <w:i/>
          <w:iCs/>
        </w:rPr>
        <w:t xml:space="preserve">Id. </w:t>
      </w:r>
      <w:r>
        <w:t>at 52.</w:t>
      </w:r>
    </w:p>
  </w:footnote>
  <w:footnote w:id="71">
    <w:p w14:paraId="163CC7A8" w14:textId="6A38B95F" w:rsidR="00BB0714" w:rsidRDefault="00AF4AAB" w:rsidP="00C224A8">
      <w:pPr>
        <w:pStyle w:val="FootnoteText"/>
        <w:spacing w:after="120"/>
      </w:pPr>
      <w:r>
        <w:rPr>
          <w:rStyle w:val="FootnoteReference"/>
        </w:rPr>
        <w:footnoteRef/>
      </w:r>
      <w:r>
        <w:t xml:space="preserve"> </w:t>
      </w:r>
      <w:r w:rsidR="00B32D62">
        <w:rPr>
          <w:i/>
          <w:iCs/>
        </w:rPr>
        <w:t xml:space="preserve">Id. </w:t>
      </w:r>
      <w:r>
        <w:t>at 56.</w:t>
      </w:r>
    </w:p>
  </w:footnote>
  <w:footnote w:id="72">
    <w:p w14:paraId="34C439F8" w14:textId="705D4F31" w:rsidR="00BB0714" w:rsidRDefault="00AF4AAB" w:rsidP="00674B46">
      <w:pPr>
        <w:pStyle w:val="FootnoteText"/>
        <w:spacing w:after="120"/>
      </w:pPr>
      <w:r>
        <w:rPr>
          <w:rStyle w:val="FootnoteReference"/>
        </w:rPr>
        <w:footnoteRef/>
      </w:r>
      <w:r>
        <w:t xml:space="preserve"> </w:t>
      </w:r>
      <w:r w:rsidR="00B32D62">
        <w:rPr>
          <w:i/>
          <w:iCs/>
        </w:rPr>
        <w:t>Id.</w:t>
      </w:r>
    </w:p>
  </w:footnote>
  <w:footnote w:id="73">
    <w:p w14:paraId="66F0B2F0" w14:textId="54E3D98D" w:rsidR="00BB0714" w:rsidRDefault="00AF4AAB" w:rsidP="00674B46">
      <w:pPr>
        <w:pStyle w:val="FootnoteText"/>
        <w:spacing w:after="120"/>
      </w:pPr>
      <w:r>
        <w:rPr>
          <w:rStyle w:val="FootnoteReference"/>
        </w:rPr>
        <w:footnoteRef/>
      </w:r>
      <w:r>
        <w:t xml:space="preserve"> </w:t>
      </w:r>
      <w:r w:rsidR="00B32D62">
        <w:rPr>
          <w:i/>
          <w:iCs/>
        </w:rPr>
        <w:t xml:space="preserve">Id. </w:t>
      </w:r>
      <w:r>
        <w:t>at 57.</w:t>
      </w:r>
    </w:p>
  </w:footnote>
  <w:footnote w:id="74">
    <w:p w14:paraId="3B0D84D8" w14:textId="53A4B269" w:rsidR="00BB0714" w:rsidRDefault="00AF4AAB" w:rsidP="00674B46">
      <w:pPr>
        <w:pStyle w:val="FootnoteText"/>
        <w:spacing w:after="120"/>
      </w:pPr>
      <w:r>
        <w:rPr>
          <w:rStyle w:val="FootnoteReference"/>
        </w:rPr>
        <w:footnoteRef/>
      </w:r>
      <w:r>
        <w:t xml:space="preserve"> </w:t>
      </w:r>
      <w:r w:rsidR="00B32D62">
        <w:rPr>
          <w:i/>
          <w:iCs/>
        </w:rPr>
        <w:t xml:space="preserve">Id. </w:t>
      </w:r>
      <w:r>
        <w:t>at 58.</w:t>
      </w:r>
    </w:p>
  </w:footnote>
  <w:footnote w:id="75">
    <w:p w14:paraId="10AE1C47" w14:textId="61F59A43" w:rsidR="00BB0714" w:rsidRDefault="00AF4AAB" w:rsidP="00674B46">
      <w:pPr>
        <w:pStyle w:val="FootnoteText"/>
        <w:spacing w:after="120"/>
      </w:pPr>
      <w:r>
        <w:rPr>
          <w:rStyle w:val="FootnoteReference"/>
        </w:rPr>
        <w:footnoteRef/>
      </w:r>
      <w:r>
        <w:t xml:space="preserve"> </w:t>
      </w:r>
      <w:r w:rsidR="00706F17">
        <w:rPr>
          <w:i/>
          <w:iCs/>
        </w:rPr>
        <w:t xml:space="preserve">Id. </w:t>
      </w:r>
      <w:r>
        <w:t>at 54-59.</w:t>
      </w:r>
    </w:p>
  </w:footnote>
  <w:footnote w:id="76">
    <w:p w14:paraId="027F800D" w14:textId="0E7515A9" w:rsidR="00BB0714" w:rsidRDefault="00AF4AAB" w:rsidP="00674B46">
      <w:pPr>
        <w:pStyle w:val="FootnoteText"/>
        <w:spacing w:after="120"/>
      </w:pPr>
      <w:r>
        <w:rPr>
          <w:rStyle w:val="FootnoteReference"/>
        </w:rPr>
        <w:footnoteRef/>
      </w:r>
      <w:r>
        <w:t xml:space="preserve"> </w:t>
      </w:r>
      <w:r w:rsidR="00706F17">
        <w:rPr>
          <w:i/>
          <w:iCs/>
        </w:rPr>
        <w:t xml:space="preserve">Id. </w:t>
      </w:r>
      <w:r>
        <w:t>at 67.</w:t>
      </w:r>
    </w:p>
  </w:footnote>
  <w:footnote w:id="77">
    <w:p w14:paraId="7060254C" w14:textId="48A2C617" w:rsidR="00BB0714" w:rsidRDefault="00AF4AAB" w:rsidP="00674B46">
      <w:pPr>
        <w:pStyle w:val="FootnoteText"/>
        <w:spacing w:after="120"/>
      </w:pPr>
      <w:r>
        <w:rPr>
          <w:rStyle w:val="FootnoteReference"/>
        </w:rPr>
        <w:footnoteRef/>
      </w:r>
      <w:r>
        <w:t xml:space="preserve"> </w:t>
      </w:r>
      <w:r w:rsidR="00706F17">
        <w:rPr>
          <w:i/>
          <w:iCs/>
        </w:rPr>
        <w:t xml:space="preserve">Id. </w:t>
      </w:r>
      <w:r>
        <w:t>at 69.</w:t>
      </w:r>
    </w:p>
  </w:footnote>
  <w:footnote w:id="78">
    <w:p w14:paraId="3CB38FA3" w14:textId="100C211E" w:rsidR="008E5116" w:rsidRDefault="00AF4AAB" w:rsidP="00FE0FC6">
      <w:pPr>
        <w:pStyle w:val="FootnoteText"/>
        <w:spacing w:after="120"/>
      </w:pPr>
      <w:r>
        <w:rPr>
          <w:rStyle w:val="FootnoteReference"/>
        </w:rPr>
        <w:footnoteRef/>
      </w:r>
      <w:r>
        <w:t xml:space="preserve"> </w:t>
      </w:r>
      <w:r w:rsidR="00706F17">
        <w:rPr>
          <w:i/>
          <w:iCs/>
        </w:rPr>
        <w:t xml:space="preserve">Id. </w:t>
      </w:r>
      <w:r w:rsidR="00706F17">
        <w:t xml:space="preserve">at </w:t>
      </w:r>
      <w:r w:rsidR="007C7AA8">
        <w:t>Schedule A-1.</w:t>
      </w:r>
    </w:p>
  </w:footnote>
  <w:footnote w:id="79">
    <w:p w14:paraId="5300D3D3" w14:textId="6065926C" w:rsidR="00265A42" w:rsidRDefault="00AF4AAB" w:rsidP="00265A42">
      <w:pPr>
        <w:pStyle w:val="FootnoteText"/>
        <w:spacing w:after="120"/>
      </w:pPr>
      <w:r>
        <w:rPr>
          <w:rStyle w:val="FootnoteReference"/>
        </w:rPr>
        <w:footnoteRef/>
      </w:r>
      <w:r>
        <w:t xml:space="preserve"> </w:t>
      </w:r>
      <w:r w:rsidR="00706F17">
        <w:rPr>
          <w:i/>
          <w:iCs/>
        </w:rPr>
        <w:t xml:space="preserve">Id. </w:t>
      </w:r>
      <w:r>
        <w:t>at 13.</w:t>
      </w:r>
    </w:p>
  </w:footnote>
  <w:footnote w:id="80">
    <w:p w14:paraId="61CB18F9" w14:textId="77777777" w:rsidR="00265A42" w:rsidRDefault="00AF4AAB" w:rsidP="00265A42">
      <w:pPr>
        <w:pStyle w:val="FootnoteText"/>
        <w:spacing w:after="120"/>
      </w:pPr>
      <w:r>
        <w:rPr>
          <w:rStyle w:val="FootnoteReference"/>
        </w:rPr>
        <w:footnoteRef/>
      </w:r>
      <w:r>
        <w:t xml:space="preserve"> Application, Schedule B-3.2.</w:t>
      </w:r>
    </w:p>
  </w:footnote>
  <w:footnote w:id="81">
    <w:p w14:paraId="4EF7CDB5" w14:textId="1A4A3027" w:rsidR="00765042" w:rsidRDefault="00AF4AAB">
      <w:pPr>
        <w:pStyle w:val="FootnoteText"/>
      </w:pPr>
      <w:r>
        <w:rPr>
          <w:rStyle w:val="FootnoteReference"/>
        </w:rPr>
        <w:footnoteRef/>
      </w:r>
      <w:r>
        <w:t xml:space="preserve"> Staff Report at 14.</w:t>
      </w:r>
    </w:p>
  </w:footnote>
  <w:footnote w:id="82">
    <w:p w14:paraId="325BAD95" w14:textId="4FCC768D" w:rsidR="00473016" w:rsidRDefault="00AF4AAB">
      <w:pPr>
        <w:pStyle w:val="FootnoteText"/>
      </w:pPr>
      <w:r>
        <w:rPr>
          <w:rStyle w:val="FootnoteReference"/>
        </w:rPr>
        <w:footnoteRef/>
      </w:r>
      <w:r>
        <w:t xml:space="preserve"> </w:t>
      </w:r>
      <w:r w:rsidR="00B2589E">
        <w:rPr>
          <w:i/>
          <w:iCs/>
        </w:rPr>
        <w:t xml:space="preserve">Id. </w:t>
      </w:r>
      <w:r>
        <w:t>at 28-30.</w:t>
      </w:r>
    </w:p>
  </w:footnote>
  <w:footnote w:id="83">
    <w:p w14:paraId="4CB946A6" w14:textId="00F3997C" w:rsidR="00647C0A" w:rsidRPr="00A37F69" w:rsidRDefault="00AF4AAB" w:rsidP="00EC1AFB">
      <w:pPr>
        <w:pStyle w:val="FootnoteText"/>
        <w:spacing w:after="120"/>
      </w:pPr>
      <w:r w:rsidRPr="00A37F69">
        <w:rPr>
          <w:rStyle w:val="FootnoteReference"/>
        </w:rPr>
        <w:footnoteRef/>
      </w:r>
      <w:r w:rsidRPr="00A37F69">
        <w:t xml:space="preserve"> </w:t>
      </w:r>
      <w:r w:rsidR="00B2589E">
        <w:rPr>
          <w:i/>
          <w:iCs/>
        </w:rPr>
        <w:t xml:space="preserve">Id. </w:t>
      </w:r>
      <w:r w:rsidR="00A37F69" w:rsidRPr="00A37F69">
        <w:t>at 21.</w:t>
      </w:r>
    </w:p>
  </w:footnote>
  <w:footnote w:id="84">
    <w:p w14:paraId="7A753876" w14:textId="74ED0AB1" w:rsidR="00647C0A" w:rsidRPr="00A37F69" w:rsidRDefault="00AF4AAB" w:rsidP="00EC1AFB">
      <w:pPr>
        <w:pStyle w:val="FootnoteText"/>
        <w:spacing w:after="120"/>
      </w:pPr>
      <w:r w:rsidRPr="00A37F69">
        <w:rPr>
          <w:rStyle w:val="FootnoteReference"/>
        </w:rPr>
        <w:footnoteRef/>
      </w:r>
      <w:r w:rsidRPr="00A37F69">
        <w:t xml:space="preserve"> </w:t>
      </w:r>
      <w:r w:rsidR="00B2589E">
        <w:rPr>
          <w:i/>
          <w:iCs/>
        </w:rPr>
        <w:t xml:space="preserve">Id. </w:t>
      </w:r>
      <w:r w:rsidR="00A37F69" w:rsidRPr="00A37F69">
        <w:t>at 36.</w:t>
      </w:r>
    </w:p>
  </w:footnote>
  <w:footnote w:id="85">
    <w:p w14:paraId="0D509CE9" w14:textId="7F80D112" w:rsidR="00647C0A" w:rsidRPr="00D065E9" w:rsidRDefault="00AF4AAB" w:rsidP="00EC1AFB">
      <w:pPr>
        <w:pStyle w:val="FootnoteText"/>
        <w:spacing w:after="120"/>
        <w:rPr>
          <w:highlight w:val="yellow"/>
        </w:rPr>
      </w:pPr>
      <w:r w:rsidRPr="00A37F69">
        <w:rPr>
          <w:rStyle w:val="FootnoteReference"/>
        </w:rPr>
        <w:footnoteRef/>
      </w:r>
      <w:r w:rsidRPr="00A37F69">
        <w:t xml:space="preserve"> </w:t>
      </w:r>
      <w:r w:rsidR="00B2589E">
        <w:rPr>
          <w:i/>
          <w:iCs/>
        </w:rPr>
        <w:t xml:space="preserve">Id. </w:t>
      </w:r>
      <w:r w:rsidR="00A37F69">
        <w:t>at 21.</w:t>
      </w:r>
    </w:p>
  </w:footnote>
  <w:footnote w:id="86">
    <w:p w14:paraId="5B5DB0C9" w14:textId="5CEDE4C3" w:rsidR="00647C0A" w:rsidRPr="003F3F00" w:rsidRDefault="00AF4AAB" w:rsidP="00EC1AFB">
      <w:pPr>
        <w:pStyle w:val="FootnoteText"/>
        <w:spacing w:after="120"/>
      </w:pPr>
      <w:r w:rsidRPr="003F3F00">
        <w:rPr>
          <w:rStyle w:val="FootnoteReference"/>
        </w:rPr>
        <w:footnoteRef/>
      </w:r>
      <w:r w:rsidRPr="003F3F00">
        <w:t xml:space="preserve"> </w:t>
      </w:r>
      <w:r w:rsidR="00B2589E">
        <w:rPr>
          <w:i/>
          <w:iCs/>
        </w:rPr>
        <w:t xml:space="preserve">Id. </w:t>
      </w:r>
      <w:r w:rsidR="003F3F00" w:rsidRPr="003F3F00">
        <w:t>at 40, Schedule E-3.1.</w:t>
      </w:r>
    </w:p>
  </w:footnote>
  <w:footnote w:id="87">
    <w:p w14:paraId="7B5F0B76" w14:textId="4447B88A" w:rsidR="00647C0A" w:rsidRPr="003F3F00" w:rsidRDefault="00AF4AAB" w:rsidP="00EC1AFB">
      <w:pPr>
        <w:pStyle w:val="FootnoteText"/>
        <w:spacing w:after="120"/>
      </w:pPr>
      <w:r w:rsidRPr="003F3F00">
        <w:rPr>
          <w:rStyle w:val="FootnoteReference"/>
        </w:rPr>
        <w:footnoteRef/>
      </w:r>
      <w:r w:rsidRPr="003F3F00">
        <w:t xml:space="preserve"> </w:t>
      </w:r>
      <w:r w:rsidR="003F3F00" w:rsidRPr="003F3F00">
        <w:rPr>
          <w:i/>
          <w:iCs/>
        </w:rPr>
        <w:t>Id</w:t>
      </w:r>
      <w:r w:rsidR="003F3F00" w:rsidRPr="003F3F00">
        <w:t>.</w:t>
      </w:r>
    </w:p>
  </w:footnote>
  <w:footnote w:id="88">
    <w:p w14:paraId="2FEF924A" w14:textId="725DB1B1" w:rsidR="000A2192" w:rsidRDefault="00AF4AAB" w:rsidP="000A2192">
      <w:pPr>
        <w:pStyle w:val="FootnoteText"/>
        <w:spacing w:after="120"/>
      </w:pPr>
      <w:r>
        <w:rPr>
          <w:rStyle w:val="FootnoteReference"/>
        </w:rPr>
        <w:footnoteRef/>
      </w:r>
      <w:r>
        <w:t xml:space="preserve"> </w:t>
      </w:r>
      <w:r w:rsidR="00B2589E">
        <w:rPr>
          <w:i/>
          <w:iCs/>
        </w:rPr>
        <w:t xml:space="preserve">Id. </w:t>
      </w:r>
      <w:r>
        <w:t>at 43.</w:t>
      </w:r>
    </w:p>
  </w:footnote>
  <w:footnote w:id="89">
    <w:p w14:paraId="28A7EEBD" w14:textId="775AD355" w:rsidR="00ED0F3C" w:rsidRDefault="00AF4AAB" w:rsidP="00EC1AFB">
      <w:pPr>
        <w:pStyle w:val="FootnoteText"/>
        <w:spacing w:after="120"/>
      </w:pPr>
      <w:r>
        <w:rPr>
          <w:rStyle w:val="FootnoteReference"/>
        </w:rPr>
        <w:footnoteRef/>
      </w:r>
      <w:r>
        <w:t xml:space="preserve"> </w:t>
      </w:r>
      <w:r w:rsidR="00B2589E">
        <w:rPr>
          <w:i/>
          <w:iCs/>
        </w:rPr>
        <w:t xml:space="preserve">Id. </w:t>
      </w:r>
      <w:r w:rsidR="00E628DF">
        <w:t>at 41.</w:t>
      </w:r>
    </w:p>
  </w:footnote>
  <w:footnote w:id="90">
    <w:p w14:paraId="16A7EB89" w14:textId="30771D8A" w:rsidR="005550DE" w:rsidRDefault="00AF4AAB" w:rsidP="007564AC">
      <w:pPr>
        <w:pStyle w:val="FootnoteText"/>
        <w:spacing w:after="120"/>
      </w:pPr>
      <w:r w:rsidRPr="005948C9">
        <w:rPr>
          <w:rStyle w:val="FootnoteReference"/>
        </w:rPr>
        <w:footnoteRef/>
      </w:r>
      <w:r w:rsidRPr="005948C9">
        <w:t xml:space="preserve"> </w:t>
      </w:r>
      <w:r w:rsidR="00B2589E">
        <w:rPr>
          <w:i/>
          <w:iCs/>
        </w:rPr>
        <w:t xml:space="preserve">Id. </w:t>
      </w:r>
      <w:r w:rsidR="006A35B1">
        <w:t>at 58.</w:t>
      </w:r>
    </w:p>
  </w:footnote>
  <w:footnote w:id="91">
    <w:p w14:paraId="7C0D76E2" w14:textId="66980418" w:rsidR="005550DE" w:rsidRDefault="00AF4AAB" w:rsidP="007564AC">
      <w:pPr>
        <w:pStyle w:val="FootnoteText"/>
        <w:spacing w:after="120"/>
      </w:pPr>
      <w:r>
        <w:rPr>
          <w:rStyle w:val="FootnoteReference"/>
        </w:rPr>
        <w:footnoteRef/>
      </w:r>
      <w:r>
        <w:t xml:space="preserve"> Repair Deductions (immediate expensing) are made pursuant to Section 162 of the Internal Revenue Code, while the definition of </w:t>
      </w:r>
      <w:r w:rsidR="006D21CC">
        <w:t>“</w:t>
      </w:r>
      <w:r>
        <w:t>improvements</w:t>
      </w:r>
      <w:r w:rsidR="006D21CC">
        <w:t>”</w:t>
      </w:r>
      <w:r>
        <w:t xml:space="preserve"> (requiring tax capitalization) are set forth in Section 263(a).</w:t>
      </w:r>
    </w:p>
  </w:footnote>
  <w:footnote w:id="92">
    <w:p w14:paraId="2B96B94F" w14:textId="4BB591C3" w:rsidR="005550DE" w:rsidRDefault="00AF4AAB" w:rsidP="00EC1AFB">
      <w:pPr>
        <w:pStyle w:val="FootnoteText"/>
        <w:spacing w:after="120"/>
      </w:pPr>
      <w:r>
        <w:rPr>
          <w:rStyle w:val="FootnoteReference"/>
        </w:rPr>
        <w:footnoteRef/>
      </w:r>
      <w:r>
        <w:t xml:space="preserve"> </w:t>
      </w:r>
      <w:r w:rsidR="006A35B1">
        <w:t>Staff Report at 56.</w:t>
      </w:r>
    </w:p>
  </w:footnote>
  <w:footnote w:id="93">
    <w:p w14:paraId="2CBF545A" w14:textId="270E99D6" w:rsidR="00EC4374" w:rsidRDefault="00AF4AAB" w:rsidP="007564AC">
      <w:pPr>
        <w:pStyle w:val="FootnoteText"/>
        <w:spacing w:after="120"/>
      </w:pPr>
      <w:r>
        <w:rPr>
          <w:rStyle w:val="FootnoteReference"/>
        </w:rPr>
        <w:footnoteRef/>
      </w:r>
      <w:r>
        <w:t xml:space="preserve"> Ohio </w:t>
      </w:r>
      <w:r w:rsidR="005B2D9C">
        <w:t>Association</w:t>
      </w:r>
      <w:r>
        <w:t xml:space="preserve"> of Community Action </w:t>
      </w:r>
      <w:r w:rsidR="005B2D9C">
        <w:t>Agencies</w:t>
      </w:r>
      <w:r>
        <w:t xml:space="preserve">, The State of Poverty in Ohio, Vulnerable to Disruption, 2023 Report (July 2023), </w:t>
      </w:r>
      <w:r w:rsidR="00774FB5" w:rsidRPr="00C62145">
        <w:t>https://oacaa.org/wp-content/uploads/2023/07/State-of-Poverty-2023-web_FINAL-revision.pdf</w:t>
      </w:r>
      <w:r w:rsidR="00774FB5">
        <w:t xml:space="preserve"> </w:t>
      </w:r>
      <w:r>
        <w:t>(last accessed July 22, 2024).</w:t>
      </w:r>
    </w:p>
  </w:footnote>
  <w:footnote w:id="94">
    <w:p w14:paraId="79EE9C1A" w14:textId="326902BE" w:rsidR="005B2D9C" w:rsidRDefault="00AF4AAB" w:rsidP="007564AC">
      <w:pPr>
        <w:pStyle w:val="FootnoteText"/>
        <w:spacing w:after="120"/>
      </w:pPr>
      <w:r>
        <w:rPr>
          <w:rStyle w:val="FootnoteReference"/>
        </w:rPr>
        <w:footnoteRef/>
      </w:r>
      <w:r>
        <w:t xml:space="preserve"> </w:t>
      </w:r>
      <w:r w:rsidR="00A96B80">
        <w:t>Staff Report at 71-73.</w:t>
      </w:r>
    </w:p>
  </w:footnote>
  <w:footnote w:id="95">
    <w:p w14:paraId="1590D1F3" w14:textId="69E1A2DC" w:rsidR="00CD0439" w:rsidRDefault="00AF4AAB" w:rsidP="007564AC">
      <w:pPr>
        <w:pStyle w:val="FootnoteText"/>
        <w:spacing w:after="120"/>
      </w:pPr>
      <w:r>
        <w:rPr>
          <w:rStyle w:val="FootnoteReference"/>
        </w:rPr>
        <w:footnoteRef/>
      </w:r>
      <w:r>
        <w:t xml:space="preserve"> </w:t>
      </w:r>
      <w:r w:rsidR="00B2589E">
        <w:rPr>
          <w:i/>
          <w:iCs/>
        </w:rPr>
        <w:t xml:space="preserve">Id. </w:t>
      </w:r>
      <w:r>
        <w:t>at 71</w:t>
      </w:r>
      <w:r w:rsidR="008F53F4">
        <w:t>-</w:t>
      </w:r>
      <w:r>
        <w:t>72.</w:t>
      </w:r>
    </w:p>
  </w:footnote>
  <w:footnote w:id="96">
    <w:p w14:paraId="100B0BDF" w14:textId="3B32434A" w:rsidR="00CD0439" w:rsidRDefault="00AF4AAB" w:rsidP="00EC1AFB">
      <w:pPr>
        <w:pStyle w:val="FootnoteText"/>
        <w:spacing w:after="120"/>
      </w:pPr>
      <w:r>
        <w:rPr>
          <w:rStyle w:val="FootnoteReference"/>
        </w:rPr>
        <w:footnoteRef/>
      </w:r>
      <w:r>
        <w:t xml:space="preserve"> </w:t>
      </w:r>
      <w:r w:rsidRPr="009653A1">
        <w:rPr>
          <w:i/>
          <w:iCs/>
        </w:rPr>
        <w:t>In the Matter of the Annual Report Required by R.C. 4933.123 Regarding Service Disconnections for Non-Payment</w:t>
      </w:r>
      <w:r w:rsidRPr="009653A1">
        <w:t>, Case No. 21-548-GE-UNC, Report (</w:t>
      </w:r>
      <w:r w:rsidR="008F53F4">
        <w:t>June 25, 2021</w:t>
      </w:r>
      <w:r w:rsidRPr="009653A1">
        <w:t>)</w:t>
      </w:r>
      <w:r w:rsidR="00174845">
        <w:t xml:space="preserve">; </w:t>
      </w:r>
      <w:r w:rsidRPr="009653A1">
        <w:rPr>
          <w:i/>
          <w:iCs/>
        </w:rPr>
        <w:t>In the Matter of the Annual Report Required by R.C. 4933.123 Regarding Service Disconnections for Non-Payment</w:t>
      </w:r>
      <w:r w:rsidRPr="009653A1">
        <w:t>, Case No. 22-513-GE-UNC, Report (</w:t>
      </w:r>
      <w:r w:rsidR="008F53F4">
        <w:t>June 17, 2022</w:t>
      </w:r>
      <w:r w:rsidRPr="009653A1">
        <w:t>)</w:t>
      </w:r>
      <w:r w:rsidR="00174845">
        <w:t>;</w:t>
      </w:r>
      <w:r w:rsidRPr="009653A1">
        <w:t xml:space="preserve"> </w:t>
      </w:r>
      <w:r w:rsidRPr="009653A1">
        <w:rPr>
          <w:i/>
          <w:iCs/>
        </w:rPr>
        <w:t>In the Matter of the Annual Report Required by R.C. 4933.123 Regarding Service Disconnections for Non-Payment</w:t>
      </w:r>
      <w:r w:rsidRPr="009653A1">
        <w:t>, Case No. 23-532-GE-UNC, Report (</w:t>
      </w:r>
      <w:r w:rsidR="008F53F4">
        <w:t>June 16, 2023</w:t>
      </w:r>
      <w:r w:rsidRPr="009653A1">
        <w:t>).</w:t>
      </w:r>
    </w:p>
  </w:footnote>
  <w:footnote w:id="97">
    <w:p w14:paraId="12D32E93" w14:textId="77777777" w:rsidR="00CD0439" w:rsidRDefault="00AF4AAB" w:rsidP="00EC1AFB">
      <w:pPr>
        <w:pStyle w:val="FootnoteText"/>
        <w:spacing w:after="120"/>
      </w:pPr>
      <w:r>
        <w:rPr>
          <w:rStyle w:val="FootnoteReference"/>
        </w:rPr>
        <w:footnoteRef/>
      </w:r>
      <w:r>
        <w:t xml:space="preserve"> Staff Report at 71.</w:t>
      </w:r>
    </w:p>
  </w:footnote>
  <w:footnote w:id="98">
    <w:p w14:paraId="4AAE7898" w14:textId="7829B9ED" w:rsidR="00CD0439" w:rsidRDefault="00AF4AAB" w:rsidP="00EC1AFB">
      <w:pPr>
        <w:pStyle w:val="FootnoteText"/>
        <w:spacing w:after="120"/>
      </w:pPr>
      <w:r>
        <w:rPr>
          <w:rStyle w:val="FootnoteReference"/>
        </w:rPr>
        <w:footnoteRef/>
      </w:r>
      <w:r>
        <w:t xml:space="preserve"> </w:t>
      </w:r>
      <w:r w:rsidRPr="00D52568">
        <w:rPr>
          <w:i/>
          <w:iCs/>
        </w:rPr>
        <w:t>In the Matter of the Annual Report Required by R.C. 4933.123 Regarding Service Disconnections for Non-Payment</w:t>
      </w:r>
      <w:r>
        <w:t>, Case No. 21-548-GE-UNC, Report (</w:t>
      </w:r>
      <w:r w:rsidR="008F53F4">
        <w:t>June 25, 2021</w:t>
      </w:r>
      <w:r>
        <w:t>).</w:t>
      </w:r>
    </w:p>
  </w:footnote>
  <w:footnote w:id="99">
    <w:p w14:paraId="22554C17" w14:textId="0B05455F" w:rsidR="00CD0439" w:rsidRDefault="00AF4AAB" w:rsidP="00EC1AFB">
      <w:pPr>
        <w:pStyle w:val="FootnoteText"/>
        <w:spacing w:after="120"/>
      </w:pPr>
      <w:r>
        <w:rPr>
          <w:rStyle w:val="FootnoteReference"/>
        </w:rPr>
        <w:footnoteRef/>
      </w:r>
      <w:r>
        <w:t xml:space="preserve"> </w:t>
      </w:r>
      <w:bookmarkStart w:id="40" w:name="_Hlk170724699"/>
      <w:r w:rsidRPr="003806CB">
        <w:rPr>
          <w:i/>
          <w:iCs/>
        </w:rPr>
        <w:t xml:space="preserve">In the Matter of the Annual Report Required by R.C. 4933.123 </w:t>
      </w:r>
      <w:r w:rsidRPr="003806CB">
        <w:rPr>
          <w:i/>
          <w:iCs/>
        </w:rPr>
        <w:t>Regarding Service Disconnections for Non-Payment</w:t>
      </w:r>
      <w:r w:rsidRPr="003806CB">
        <w:t>, Case No. 2</w:t>
      </w:r>
      <w:r>
        <w:t>3</w:t>
      </w:r>
      <w:r w:rsidRPr="003806CB">
        <w:t>-5</w:t>
      </w:r>
      <w:r>
        <w:t>32</w:t>
      </w:r>
      <w:r w:rsidRPr="003806CB">
        <w:t>-GE-UNC, Report (</w:t>
      </w:r>
      <w:r w:rsidR="008F53F4">
        <w:t>June 16, 2023</w:t>
      </w:r>
      <w:r w:rsidRPr="003806CB">
        <w:t>).</w:t>
      </w:r>
    </w:p>
    <w:bookmarkEnd w:id="40"/>
  </w:footnote>
  <w:footnote w:id="100">
    <w:p w14:paraId="7CEC7CE0" w14:textId="5E4B370C" w:rsidR="00CD0439" w:rsidRDefault="00AF4AAB" w:rsidP="00EC1AFB">
      <w:pPr>
        <w:pStyle w:val="FootnoteText"/>
        <w:spacing w:after="120"/>
      </w:pPr>
      <w:r>
        <w:rPr>
          <w:rStyle w:val="FootnoteReference"/>
        </w:rPr>
        <w:footnoteRef/>
      </w:r>
      <w:r>
        <w:t xml:space="preserve"> </w:t>
      </w:r>
      <w:r w:rsidR="008F53F4" w:rsidRPr="008F53F4">
        <w:rPr>
          <w:i/>
          <w:iCs/>
        </w:rPr>
        <w:t>Id.</w:t>
      </w:r>
    </w:p>
  </w:footnote>
  <w:footnote w:id="101">
    <w:p w14:paraId="177FA466" w14:textId="77777777" w:rsidR="00CD0439" w:rsidRDefault="00AF4AAB" w:rsidP="00EC1AFB">
      <w:pPr>
        <w:pStyle w:val="FootnoteText"/>
        <w:spacing w:after="120"/>
      </w:pPr>
      <w:r>
        <w:rPr>
          <w:rStyle w:val="FootnoteReference"/>
        </w:rPr>
        <w:footnoteRef/>
      </w:r>
      <w:r>
        <w:t xml:space="preserve"> Staff Report at 72.</w:t>
      </w:r>
    </w:p>
  </w:footnote>
  <w:footnote w:id="102">
    <w:p w14:paraId="70419176" w14:textId="7B0F3C43" w:rsidR="00627068" w:rsidRDefault="00AF4AAB" w:rsidP="001332D3">
      <w:pPr>
        <w:pStyle w:val="FootnoteText"/>
        <w:spacing w:after="80"/>
      </w:pPr>
      <w:r>
        <w:rPr>
          <w:rStyle w:val="FootnoteReference"/>
        </w:rPr>
        <w:footnoteRef/>
      </w:r>
      <w:r>
        <w:t xml:space="preserve"> </w:t>
      </w:r>
      <w:r>
        <w:rPr>
          <w:i/>
          <w:iCs/>
        </w:rPr>
        <w:t xml:space="preserve">In The Matter of the Notice </w:t>
      </w:r>
      <w:r w:rsidR="00A176BF">
        <w:rPr>
          <w:i/>
          <w:iCs/>
        </w:rPr>
        <w:t>o</w:t>
      </w:r>
      <w:r>
        <w:rPr>
          <w:i/>
          <w:iCs/>
        </w:rPr>
        <w:t>f the East Ohio Gas Company d/b/a Dominion Energy Ohio and Enbridge Elephant Holdings, LLC</w:t>
      </w:r>
      <w:r>
        <w:t xml:space="preserve">, Case No. 23-972-GA-UNC, Opinion and Order (*March 6, 2024) at </w:t>
      </w:r>
      <w:r w:rsidRPr="00627068">
        <w:t>¶ 29</w:t>
      </w:r>
      <w:r>
        <w:t>.</w:t>
      </w:r>
    </w:p>
  </w:footnote>
  <w:footnote w:id="103">
    <w:p w14:paraId="7ED5F3FB" w14:textId="11D783A4" w:rsidR="00F83C5C" w:rsidRPr="00F83C5C" w:rsidRDefault="00AF4AAB" w:rsidP="001332D3">
      <w:pPr>
        <w:pStyle w:val="FootnoteText"/>
        <w:spacing w:after="80"/>
      </w:pPr>
      <w:r>
        <w:rPr>
          <w:rStyle w:val="FootnoteReference"/>
        </w:rPr>
        <w:footnoteRef/>
      </w:r>
      <w:r>
        <w:t xml:space="preserve"> </w:t>
      </w:r>
      <w:r>
        <w:rPr>
          <w:i/>
          <w:iCs/>
        </w:rPr>
        <w:t>Id.</w:t>
      </w:r>
    </w:p>
  </w:footnote>
  <w:footnote w:id="104">
    <w:p w14:paraId="29AD1AB2" w14:textId="71755A96" w:rsidR="00CD0439" w:rsidRDefault="00AF4AAB" w:rsidP="00EC1AFB">
      <w:pPr>
        <w:pStyle w:val="FootnoteText"/>
        <w:spacing w:after="120"/>
      </w:pPr>
      <w:r>
        <w:rPr>
          <w:rStyle w:val="FootnoteReference"/>
        </w:rPr>
        <w:footnoteRef/>
      </w:r>
      <w:r>
        <w:t xml:space="preserve"> </w:t>
      </w:r>
      <w:r w:rsidR="00B2589E" w:rsidRPr="00B2589E">
        <w:t xml:space="preserve">Staff Report </w:t>
      </w:r>
      <w:r>
        <w:t>at 72.</w:t>
      </w:r>
    </w:p>
  </w:footnote>
  <w:footnote w:id="105">
    <w:p w14:paraId="70E5F521" w14:textId="1A778AC0" w:rsidR="00CD0439" w:rsidRDefault="00AF4AAB" w:rsidP="00EC1AFB">
      <w:pPr>
        <w:pStyle w:val="FootnoteText"/>
        <w:spacing w:after="120"/>
      </w:pPr>
      <w:r>
        <w:rPr>
          <w:rStyle w:val="FootnoteReference"/>
        </w:rPr>
        <w:footnoteRef/>
      </w:r>
      <w:r>
        <w:t xml:space="preserve"> </w:t>
      </w:r>
      <w:r w:rsidR="00895D55">
        <w:rPr>
          <w:i/>
          <w:iCs/>
        </w:rPr>
        <w:t xml:space="preserve">Id. </w:t>
      </w:r>
      <w:r w:rsidR="00895D55">
        <w:t>at</w:t>
      </w:r>
      <w:r>
        <w:t xml:space="preserve"> 73.</w:t>
      </w:r>
    </w:p>
  </w:footnote>
  <w:footnote w:id="106">
    <w:p w14:paraId="298C37DD" w14:textId="73ADC209" w:rsidR="000279EB" w:rsidRDefault="00AF4AAB">
      <w:pPr>
        <w:pStyle w:val="FootnoteText"/>
      </w:pPr>
      <w:r>
        <w:rPr>
          <w:rStyle w:val="FootnoteReference"/>
        </w:rPr>
        <w:footnoteRef/>
      </w:r>
      <w:r>
        <w:t xml:space="preserve"> </w:t>
      </w:r>
      <w:r w:rsidR="00E255CD" w:rsidRPr="00E255CD">
        <w:t>East Ohio Gas Tariff at Sixth Revised Sheet No. K4</w:t>
      </w:r>
      <w:r w:rsidR="00E255CD">
        <w:t>.</w:t>
      </w:r>
    </w:p>
  </w:footnote>
  <w:footnote w:id="107">
    <w:p w14:paraId="3D68EF48" w14:textId="118A6EDA" w:rsidR="000A16BD" w:rsidRPr="00BC69D2" w:rsidRDefault="00AF4AAB" w:rsidP="000A16BD">
      <w:pPr>
        <w:pStyle w:val="FootnoteText"/>
      </w:pPr>
      <w:r>
        <w:rPr>
          <w:rStyle w:val="FootnoteReference"/>
        </w:rPr>
        <w:footnoteRef/>
      </w:r>
      <w:r>
        <w:t xml:space="preserve"> </w:t>
      </w:r>
      <w:r w:rsidRPr="00BC69D2">
        <w:rPr>
          <w:i/>
          <w:iCs/>
        </w:rPr>
        <w:t>In the Matter of the Annual Report Required by R.C. 4933.123 Regarding Service Disconnections for Non-</w:t>
      </w:r>
      <w:r>
        <w:rPr>
          <w:i/>
          <w:iCs/>
        </w:rPr>
        <w:t xml:space="preserve"> </w:t>
      </w:r>
      <w:r w:rsidRPr="00BC69D2">
        <w:rPr>
          <w:i/>
          <w:iCs/>
        </w:rPr>
        <w:t>Payment</w:t>
      </w:r>
      <w:r w:rsidRPr="00BC69D2">
        <w:t>, Case No. 21-548-GE-UNC, Report (</w:t>
      </w:r>
      <w:r w:rsidR="00895D55">
        <w:t>June 25, 2021</w:t>
      </w:r>
      <w:r w:rsidRPr="00BC69D2">
        <w:t>).</w:t>
      </w:r>
      <w:r>
        <w:t xml:space="preserve"> </w:t>
      </w:r>
      <w:r w:rsidRPr="00BC69D2">
        <w:rPr>
          <w:i/>
          <w:iCs/>
        </w:rPr>
        <w:t>In the Matter of the Annual Report Required by R.C. 4933.123 Regarding Service Disconnections for Non-Payment</w:t>
      </w:r>
      <w:r w:rsidRPr="00BC69D2">
        <w:t>, Case No. 22-513-GE-UNC, Report (</w:t>
      </w:r>
      <w:r w:rsidR="00895D55">
        <w:t>June 17, 2022</w:t>
      </w:r>
      <w:r w:rsidRPr="00BC69D2">
        <w:t>).</w:t>
      </w:r>
    </w:p>
    <w:p w14:paraId="74F77022" w14:textId="2DB580FE" w:rsidR="000A16BD" w:rsidRDefault="00AF4AAB" w:rsidP="000A16BD">
      <w:pPr>
        <w:pStyle w:val="FootnoteText"/>
      </w:pPr>
      <w:r w:rsidRPr="00BC69D2">
        <w:rPr>
          <w:i/>
          <w:iCs/>
        </w:rPr>
        <w:t>In the Matter of the Annual Report Required by R.C. 4933.123 Regarding Service Disconnections for Non-Payment</w:t>
      </w:r>
      <w:r w:rsidRPr="00BC69D2">
        <w:t>, Case No. 23-532-GE-UNC, Report (</w:t>
      </w:r>
      <w:r w:rsidR="00895D55">
        <w:t>June 16, 2023</w:t>
      </w:r>
      <w:r w:rsidRPr="00BC69D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B93F" w14:textId="77777777" w:rsidR="000872BE" w:rsidRDefault="00087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D95C" w14:textId="77777777" w:rsidR="000872BE" w:rsidRDefault="00087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1A41" w14:textId="77777777" w:rsidR="000872BE" w:rsidRDefault="00087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DC6"/>
    <w:multiLevelType w:val="hybridMultilevel"/>
    <w:tmpl w:val="34FC2566"/>
    <w:lvl w:ilvl="0" w:tplc="14DCBCB0">
      <w:start w:val="1"/>
      <w:numFmt w:val="bullet"/>
      <w:lvlText w:val=""/>
      <w:lvlJc w:val="left"/>
      <w:pPr>
        <w:ind w:left="720" w:hanging="360"/>
      </w:pPr>
      <w:rPr>
        <w:rFonts w:ascii="Symbol" w:hAnsi="Symbol" w:hint="default"/>
      </w:rPr>
    </w:lvl>
    <w:lvl w:ilvl="1" w:tplc="34680042" w:tentative="1">
      <w:start w:val="1"/>
      <w:numFmt w:val="bullet"/>
      <w:lvlText w:val="o"/>
      <w:lvlJc w:val="left"/>
      <w:pPr>
        <w:ind w:left="1440" w:hanging="360"/>
      </w:pPr>
      <w:rPr>
        <w:rFonts w:ascii="Courier New" w:hAnsi="Courier New" w:cs="Courier New" w:hint="default"/>
      </w:rPr>
    </w:lvl>
    <w:lvl w:ilvl="2" w:tplc="37B44018" w:tentative="1">
      <w:start w:val="1"/>
      <w:numFmt w:val="bullet"/>
      <w:lvlText w:val=""/>
      <w:lvlJc w:val="left"/>
      <w:pPr>
        <w:ind w:left="2160" w:hanging="360"/>
      </w:pPr>
      <w:rPr>
        <w:rFonts w:ascii="Wingdings" w:hAnsi="Wingdings" w:hint="default"/>
      </w:rPr>
    </w:lvl>
    <w:lvl w:ilvl="3" w:tplc="40E4B738" w:tentative="1">
      <w:start w:val="1"/>
      <w:numFmt w:val="bullet"/>
      <w:lvlText w:val=""/>
      <w:lvlJc w:val="left"/>
      <w:pPr>
        <w:ind w:left="2880" w:hanging="360"/>
      </w:pPr>
      <w:rPr>
        <w:rFonts w:ascii="Symbol" w:hAnsi="Symbol" w:hint="default"/>
      </w:rPr>
    </w:lvl>
    <w:lvl w:ilvl="4" w:tplc="854054AC" w:tentative="1">
      <w:start w:val="1"/>
      <w:numFmt w:val="bullet"/>
      <w:lvlText w:val="o"/>
      <w:lvlJc w:val="left"/>
      <w:pPr>
        <w:ind w:left="3600" w:hanging="360"/>
      </w:pPr>
      <w:rPr>
        <w:rFonts w:ascii="Courier New" w:hAnsi="Courier New" w:cs="Courier New" w:hint="default"/>
      </w:rPr>
    </w:lvl>
    <w:lvl w:ilvl="5" w:tplc="B420C450" w:tentative="1">
      <w:start w:val="1"/>
      <w:numFmt w:val="bullet"/>
      <w:lvlText w:val=""/>
      <w:lvlJc w:val="left"/>
      <w:pPr>
        <w:ind w:left="4320" w:hanging="360"/>
      </w:pPr>
      <w:rPr>
        <w:rFonts w:ascii="Wingdings" w:hAnsi="Wingdings" w:hint="default"/>
      </w:rPr>
    </w:lvl>
    <w:lvl w:ilvl="6" w:tplc="A7E8EAE4" w:tentative="1">
      <w:start w:val="1"/>
      <w:numFmt w:val="bullet"/>
      <w:lvlText w:val=""/>
      <w:lvlJc w:val="left"/>
      <w:pPr>
        <w:ind w:left="5040" w:hanging="360"/>
      </w:pPr>
      <w:rPr>
        <w:rFonts w:ascii="Symbol" w:hAnsi="Symbol" w:hint="default"/>
      </w:rPr>
    </w:lvl>
    <w:lvl w:ilvl="7" w:tplc="C0FADB86" w:tentative="1">
      <w:start w:val="1"/>
      <w:numFmt w:val="bullet"/>
      <w:lvlText w:val="o"/>
      <w:lvlJc w:val="left"/>
      <w:pPr>
        <w:ind w:left="5760" w:hanging="360"/>
      </w:pPr>
      <w:rPr>
        <w:rFonts w:ascii="Courier New" w:hAnsi="Courier New" w:cs="Courier New" w:hint="default"/>
      </w:rPr>
    </w:lvl>
    <w:lvl w:ilvl="8" w:tplc="67328062" w:tentative="1">
      <w:start w:val="1"/>
      <w:numFmt w:val="bullet"/>
      <w:lvlText w:val=""/>
      <w:lvlJc w:val="left"/>
      <w:pPr>
        <w:ind w:left="6480" w:hanging="360"/>
      </w:pPr>
      <w:rPr>
        <w:rFonts w:ascii="Wingdings" w:hAnsi="Wingdings" w:hint="default"/>
      </w:rPr>
    </w:lvl>
  </w:abstractNum>
  <w:abstractNum w:abstractNumId="1" w15:restartNumberingAfterBreak="0">
    <w:nsid w:val="041B1EC1"/>
    <w:multiLevelType w:val="hybridMultilevel"/>
    <w:tmpl w:val="720EE71E"/>
    <w:lvl w:ilvl="0" w:tplc="91EC90EC">
      <w:start w:val="1"/>
      <w:numFmt w:val="upperLetter"/>
      <w:lvlText w:val="%1."/>
      <w:lvlJc w:val="left"/>
      <w:pPr>
        <w:ind w:left="990" w:hanging="360"/>
      </w:pPr>
      <w:rPr>
        <w:rFonts w:hint="default"/>
      </w:rPr>
    </w:lvl>
    <w:lvl w:ilvl="1" w:tplc="1A523B7A">
      <w:start w:val="1"/>
      <w:numFmt w:val="lowerLetter"/>
      <w:lvlText w:val="%2."/>
      <w:lvlJc w:val="left"/>
      <w:pPr>
        <w:ind w:left="1710" w:hanging="360"/>
      </w:pPr>
    </w:lvl>
    <w:lvl w:ilvl="2" w:tplc="FFEA60C8" w:tentative="1">
      <w:start w:val="1"/>
      <w:numFmt w:val="lowerRoman"/>
      <w:lvlText w:val="%3."/>
      <w:lvlJc w:val="right"/>
      <w:pPr>
        <w:ind w:left="2430" w:hanging="180"/>
      </w:pPr>
    </w:lvl>
    <w:lvl w:ilvl="3" w:tplc="3FA63E06" w:tentative="1">
      <w:start w:val="1"/>
      <w:numFmt w:val="decimal"/>
      <w:lvlText w:val="%4."/>
      <w:lvlJc w:val="left"/>
      <w:pPr>
        <w:ind w:left="3150" w:hanging="360"/>
      </w:pPr>
    </w:lvl>
    <w:lvl w:ilvl="4" w:tplc="CBBEEBCC" w:tentative="1">
      <w:start w:val="1"/>
      <w:numFmt w:val="lowerLetter"/>
      <w:lvlText w:val="%5."/>
      <w:lvlJc w:val="left"/>
      <w:pPr>
        <w:ind w:left="3870" w:hanging="360"/>
      </w:pPr>
    </w:lvl>
    <w:lvl w:ilvl="5" w:tplc="94CE1EE2" w:tentative="1">
      <w:start w:val="1"/>
      <w:numFmt w:val="lowerRoman"/>
      <w:lvlText w:val="%6."/>
      <w:lvlJc w:val="right"/>
      <w:pPr>
        <w:ind w:left="4590" w:hanging="180"/>
      </w:pPr>
    </w:lvl>
    <w:lvl w:ilvl="6" w:tplc="49048E62" w:tentative="1">
      <w:start w:val="1"/>
      <w:numFmt w:val="decimal"/>
      <w:lvlText w:val="%7."/>
      <w:lvlJc w:val="left"/>
      <w:pPr>
        <w:ind w:left="5310" w:hanging="360"/>
      </w:pPr>
    </w:lvl>
    <w:lvl w:ilvl="7" w:tplc="BC9E6F92" w:tentative="1">
      <w:start w:val="1"/>
      <w:numFmt w:val="lowerLetter"/>
      <w:lvlText w:val="%8."/>
      <w:lvlJc w:val="left"/>
      <w:pPr>
        <w:ind w:left="6030" w:hanging="360"/>
      </w:pPr>
    </w:lvl>
    <w:lvl w:ilvl="8" w:tplc="B6F69124" w:tentative="1">
      <w:start w:val="1"/>
      <w:numFmt w:val="lowerRoman"/>
      <w:lvlText w:val="%9."/>
      <w:lvlJc w:val="right"/>
      <w:pPr>
        <w:ind w:left="6750" w:hanging="180"/>
      </w:pPr>
    </w:lvl>
  </w:abstractNum>
  <w:abstractNum w:abstractNumId="2" w15:restartNumberingAfterBreak="0">
    <w:nsid w:val="19E75683"/>
    <w:multiLevelType w:val="multilevel"/>
    <w:tmpl w:val="5078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87FE5"/>
    <w:multiLevelType w:val="hybridMultilevel"/>
    <w:tmpl w:val="97D2F534"/>
    <w:lvl w:ilvl="0" w:tplc="1FBCC554">
      <w:start w:val="1"/>
      <w:numFmt w:val="bullet"/>
      <w:lvlText w:val=""/>
      <w:lvlJc w:val="left"/>
      <w:pPr>
        <w:ind w:left="720" w:hanging="360"/>
      </w:pPr>
      <w:rPr>
        <w:rFonts w:ascii="Symbol" w:hAnsi="Symbol" w:hint="default"/>
      </w:rPr>
    </w:lvl>
    <w:lvl w:ilvl="1" w:tplc="C80E534A" w:tentative="1">
      <w:start w:val="1"/>
      <w:numFmt w:val="bullet"/>
      <w:lvlText w:val="o"/>
      <w:lvlJc w:val="left"/>
      <w:pPr>
        <w:ind w:left="1440" w:hanging="360"/>
      </w:pPr>
      <w:rPr>
        <w:rFonts w:ascii="Courier New" w:hAnsi="Courier New" w:cs="Courier New" w:hint="default"/>
      </w:rPr>
    </w:lvl>
    <w:lvl w:ilvl="2" w:tplc="B3B6E698" w:tentative="1">
      <w:start w:val="1"/>
      <w:numFmt w:val="bullet"/>
      <w:lvlText w:val=""/>
      <w:lvlJc w:val="left"/>
      <w:pPr>
        <w:ind w:left="2160" w:hanging="360"/>
      </w:pPr>
      <w:rPr>
        <w:rFonts w:ascii="Wingdings" w:hAnsi="Wingdings" w:hint="default"/>
      </w:rPr>
    </w:lvl>
    <w:lvl w:ilvl="3" w:tplc="F94A16A6" w:tentative="1">
      <w:start w:val="1"/>
      <w:numFmt w:val="bullet"/>
      <w:lvlText w:val=""/>
      <w:lvlJc w:val="left"/>
      <w:pPr>
        <w:ind w:left="2880" w:hanging="360"/>
      </w:pPr>
      <w:rPr>
        <w:rFonts w:ascii="Symbol" w:hAnsi="Symbol" w:hint="default"/>
      </w:rPr>
    </w:lvl>
    <w:lvl w:ilvl="4" w:tplc="2F24E014" w:tentative="1">
      <w:start w:val="1"/>
      <w:numFmt w:val="bullet"/>
      <w:lvlText w:val="o"/>
      <w:lvlJc w:val="left"/>
      <w:pPr>
        <w:ind w:left="3600" w:hanging="360"/>
      </w:pPr>
      <w:rPr>
        <w:rFonts w:ascii="Courier New" w:hAnsi="Courier New" w:cs="Courier New" w:hint="default"/>
      </w:rPr>
    </w:lvl>
    <w:lvl w:ilvl="5" w:tplc="D9344B58" w:tentative="1">
      <w:start w:val="1"/>
      <w:numFmt w:val="bullet"/>
      <w:lvlText w:val=""/>
      <w:lvlJc w:val="left"/>
      <w:pPr>
        <w:ind w:left="4320" w:hanging="360"/>
      </w:pPr>
      <w:rPr>
        <w:rFonts w:ascii="Wingdings" w:hAnsi="Wingdings" w:hint="default"/>
      </w:rPr>
    </w:lvl>
    <w:lvl w:ilvl="6" w:tplc="D76264DE" w:tentative="1">
      <w:start w:val="1"/>
      <w:numFmt w:val="bullet"/>
      <w:lvlText w:val=""/>
      <w:lvlJc w:val="left"/>
      <w:pPr>
        <w:ind w:left="5040" w:hanging="360"/>
      </w:pPr>
      <w:rPr>
        <w:rFonts w:ascii="Symbol" w:hAnsi="Symbol" w:hint="default"/>
      </w:rPr>
    </w:lvl>
    <w:lvl w:ilvl="7" w:tplc="F140A540" w:tentative="1">
      <w:start w:val="1"/>
      <w:numFmt w:val="bullet"/>
      <w:lvlText w:val="o"/>
      <w:lvlJc w:val="left"/>
      <w:pPr>
        <w:ind w:left="5760" w:hanging="360"/>
      </w:pPr>
      <w:rPr>
        <w:rFonts w:ascii="Courier New" w:hAnsi="Courier New" w:cs="Courier New" w:hint="default"/>
      </w:rPr>
    </w:lvl>
    <w:lvl w:ilvl="8" w:tplc="05E6A5EA" w:tentative="1">
      <w:start w:val="1"/>
      <w:numFmt w:val="bullet"/>
      <w:lvlText w:val=""/>
      <w:lvlJc w:val="left"/>
      <w:pPr>
        <w:ind w:left="6480" w:hanging="360"/>
      </w:pPr>
      <w:rPr>
        <w:rFonts w:ascii="Wingdings" w:hAnsi="Wingdings" w:hint="default"/>
      </w:rPr>
    </w:lvl>
  </w:abstractNum>
  <w:abstractNum w:abstractNumId="4" w15:restartNumberingAfterBreak="0">
    <w:nsid w:val="23B2207A"/>
    <w:multiLevelType w:val="hybridMultilevel"/>
    <w:tmpl w:val="049AE018"/>
    <w:lvl w:ilvl="0" w:tplc="B93CA876">
      <w:start w:val="1"/>
      <w:numFmt w:val="bullet"/>
      <w:lvlText w:val=""/>
      <w:lvlJc w:val="left"/>
      <w:pPr>
        <w:ind w:left="720" w:hanging="360"/>
      </w:pPr>
      <w:rPr>
        <w:rFonts w:ascii="Symbol" w:hAnsi="Symbol" w:hint="default"/>
      </w:rPr>
    </w:lvl>
    <w:lvl w:ilvl="1" w:tplc="6630D0AC">
      <w:start w:val="1"/>
      <w:numFmt w:val="bullet"/>
      <w:lvlText w:val=""/>
      <w:lvlJc w:val="left"/>
      <w:pPr>
        <w:ind w:left="1440" w:hanging="360"/>
      </w:pPr>
      <w:rPr>
        <w:rFonts w:ascii="Wingdings" w:hAnsi="Wingdings" w:hint="default"/>
      </w:rPr>
    </w:lvl>
    <w:lvl w:ilvl="2" w:tplc="0ABC40FA">
      <w:start w:val="1"/>
      <w:numFmt w:val="bullet"/>
      <w:lvlText w:val=""/>
      <w:lvlJc w:val="left"/>
      <w:pPr>
        <w:ind w:left="2160" w:hanging="360"/>
      </w:pPr>
      <w:rPr>
        <w:rFonts w:ascii="Wingdings" w:hAnsi="Wingdings" w:hint="default"/>
      </w:rPr>
    </w:lvl>
    <w:lvl w:ilvl="3" w:tplc="3800DF20" w:tentative="1">
      <w:start w:val="1"/>
      <w:numFmt w:val="bullet"/>
      <w:lvlText w:val=""/>
      <w:lvlJc w:val="left"/>
      <w:pPr>
        <w:ind w:left="2880" w:hanging="360"/>
      </w:pPr>
      <w:rPr>
        <w:rFonts w:ascii="Symbol" w:hAnsi="Symbol" w:hint="default"/>
      </w:rPr>
    </w:lvl>
    <w:lvl w:ilvl="4" w:tplc="592089E0" w:tentative="1">
      <w:start w:val="1"/>
      <w:numFmt w:val="bullet"/>
      <w:lvlText w:val="o"/>
      <w:lvlJc w:val="left"/>
      <w:pPr>
        <w:ind w:left="3600" w:hanging="360"/>
      </w:pPr>
      <w:rPr>
        <w:rFonts w:ascii="Courier New" w:hAnsi="Courier New" w:cs="Courier New" w:hint="default"/>
      </w:rPr>
    </w:lvl>
    <w:lvl w:ilvl="5" w:tplc="F8A09BBC" w:tentative="1">
      <w:start w:val="1"/>
      <w:numFmt w:val="bullet"/>
      <w:lvlText w:val=""/>
      <w:lvlJc w:val="left"/>
      <w:pPr>
        <w:ind w:left="4320" w:hanging="360"/>
      </w:pPr>
      <w:rPr>
        <w:rFonts w:ascii="Wingdings" w:hAnsi="Wingdings" w:hint="default"/>
      </w:rPr>
    </w:lvl>
    <w:lvl w:ilvl="6" w:tplc="1D442B14" w:tentative="1">
      <w:start w:val="1"/>
      <w:numFmt w:val="bullet"/>
      <w:lvlText w:val=""/>
      <w:lvlJc w:val="left"/>
      <w:pPr>
        <w:ind w:left="5040" w:hanging="360"/>
      </w:pPr>
      <w:rPr>
        <w:rFonts w:ascii="Symbol" w:hAnsi="Symbol" w:hint="default"/>
      </w:rPr>
    </w:lvl>
    <w:lvl w:ilvl="7" w:tplc="0B003F42" w:tentative="1">
      <w:start w:val="1"/>
      <w:numFmt w:val="bullet"/>
      <w:lvlText w:val="o"/>
      <w:lvlJc w:val="left"/>
      <w:pPr>
        <w:ind w:left="5760" w:hanging="360"/>
      </w:pPr>
      <w:rPr>
        <w:rFonts w:ascii="Courier New" w:hAnsi="Courier New" w:cs="Courier New" w:hint="default"/>
      </w:rPr>
    </w:lvl>
    <w:lvl w:ilvl="8" w:tplc="235E2FF2" w:tentative="1">
      <w:start w:val="1"/>
      <w:numFmt w:val="bullet"/>
      <w:lvlText w:val=""/>
      <w:lvlJc w:val="left"/>
      <w:pPr>
        <w:ind w:left="6480" w:hanging="360"/>
      </w:pPr>
      <w:rPr>
        <w:rFonts w:ascii="Wingdings" w:hAnsi="Wingdings" w:hint="default"/>
      </w:rPr>
    </w:lvl>
  </w:abstractNum>
  <w:abstractNum w:abstractNumId="5" w15:restartNumberingAfterBreak="0">
    <w:nsid w:val="26BC28DD"/>
    <w:multiLevelType w:val="hybridMultilevel"/>
    <w:tmpl w:val="AE48911A"/>
    <w:lvl w:ilvl="0" w:tplc="A46C3FC4">
      <w:start w:val="1"/>
      <w:numFmt w:val="bullet"/>
      <w:lvlText w:val=""/>
      <w:lvlJc w:val="left"/>
      <w:pPr>
        <w:ind w:left="720" w:hanging="360"/>
      </w:pPr>
      <w:rPr>
        <w:rFonts w:ascii="Symbol" w:hAnsi="Symbol" w:hint="default"/>
      </w:rPr>
    </w:lvl>
    <w:lvl w:ilvl="1" w:tplc="B8A636B8" w:tentative="1">
      <w:start w:val="1"/>
      <w:numFmt w:val="bullet"/>
      <w:lvlText w:val="o"/>
      <w:lvlJc w:val="left"/>
      <w:pPr>
        <w:ind w:left="1440" w:hanging="360"/>
      </w:pPr>
      <w:rPr>
        <w:rFonts w:ascii="Courier New" w:hAnsi="Courier New" w:cs="Courier New" w:hint="default"/>
      </w:rPr>
    </w:lvl>
    <w:lvl w:ilvl="2" w:tplc="8898D21C" w:tentative="1">
      <w:start w:val="1"/>
      <w:numFmt w:val="bullet"/>
      <w:lvlText w:val=""/>
      <w:lvlJc w:val="left"/>
      <w:pPr>
        <w:ind w:left="2160" w:hanging="360"/>
      </w:pPr>
      <w:rPr>
        <w:rFonts w:ascii="Wingdings" w:hAnsi="Wingdings" w:hint="default"/>
      </w:rPr>
    </w:lvl>
    <w:lvl w:ilvl="3" w:tplc="3CA4ED28" w:tentative="1">
      <w:start w:val="1"/>
      <w:numFmt w:val="bullet"/>
      <w:lvlText w:val=""/>
      <w:lvlJc w:val="left"/>
      <w:pPr>
        <w:ind w:left="2880" w:hanging="360"/>
      </w:pPr>
      <w:rPr>
        <w:rFonts w:ascii="Symbol" w:hAnsi="Symbol" w:hint="default"/>
      </w:rPr>
    </w:lvl>
    <w:lvl w:ilvl="4" w:tplc="D7185736" w:tentative="1">
      <w:start w:val="1"/>
      <w:numFmt w:val="bullet"/>
      <w:lvlText w:val="o"/>
      <w:lvlJc w:val="left"/>
      <w:pPr>
        <w:ind w:left="3600" w:hanging="360"/>
      </w:pPr>
      <w:rPr>
        <w:rFonts w:ascii="Courier New" w:hAnsi="Courier New" w:cs="Courier New" w:hint="default"/>
      </w:rPr>
    </w:lvl>
    <w:lvl w:ilvl="5" w:tplc="49BE5DDE" w:tentative="1">
      <w:start w:val="1"/>
      <w:numFmt w:val="bullet"/>
      <w:lvlText w:val=""/>
      <w:lvlJc w:val="left"/>
      <w:pPr>
        <w:ind w:left="4320" w:hanging="360"/>
      </w:pPr>
      <w:rPr>
        <w:rFonts w:ascii="Wingdings" w:hAnsi="Wingdings" w:hint="default"/>
      </w:rPr>
    </w:lvl>
    <w:lvl w:ilvl="6" w:tplc="6D04CD8C" w:tentative="1">
      <w:start w:val="1"/>
      <w:numFmt w:val="bullet"/>
      <w:lvlText w:val=""/>
      <w:lvlJc w:val="left"/>
      <w:pPr>
        <w:ind w:left="5040" w:hanging="360"/>
      </w:pPr>
      <w:rPr>
        <w:rFonts w:ascii="Symbol" w:hAnsi="Symbol" w:hint="default"/>
      </w:rPr>
    </w:lvl>
    <w:lvl w:ilvl="7" w:tplc="141CDECA" w:tentative="1">
      <w:start w:val="1"/>
      <w:numFmt w:val="bullet"/>
      <w:lvlText w:val="o"/>
      <w:lvlJc w:val="left"/>
      <w:pPr>
        <w:ind w:left="5760" w:hanging="360"/>
      </w:pPr>
      <w:rPr>
        <w:rFonts w:ascii="Courier New" w:hAnsi="Courier New" w:cs="Courier New" w:hint="default"/>
      </w:rPr>
    </w:lvl>
    <w:lvl w:ilvl="8" w:tplc="64D83070" w:tentative="1">
      <w:start w:val="1"/>
      <w:numFmt w:val="bullet"/>
      <w:lvlText w:val=""/>
      <w:lvlJc w:val="left"/>
      <w:pPr>
        <w:ind w:left="6480" w:hanging="360"/>
      </w:pPr>
      <w:rPr>
        <w:rFonts w:ascii="Wingdings" w:hAnsi="Wingdings" w:hint="default"/>
      </w:rPr>
    </w:lvl>
  </w:abstractNum>
  <w:abstractNum w:abstractNumId="6" w15:restartNumberingAfterBreak="0">
    <w:nsid w:val="2DE55EB6"/>
    <w:multiLevelType w:val="hybridMultilevel"/>
    <w:tmpl w:val="586CB052"/>
    <w:lvl w:ilvl="0" w:tplc="4782991E">
      <w:start w:val="1"/>
      <w:numFmt w:val="bullet"/>
      <w:lvlText w:val=""/>
      <w:lvlJc w:val="left"/>
      <w:pPr>
        <w:ind w:left="720" w:hanging="360"/>
      </w:pPr>
      <w:rPr>
        <w:rFonts w:ascii="Symbol" w:hAnsi="Symbol" w:hint="default"/>
      </w:rPr>
    </w:lvl>
    <w:lvl w:ilvl="1" w:tplc="9D22C6AE">
      <w:start w:val="1"/>
      <w:numFmt w:val="bullet"/>
      <w:lvlText w:val="o"/>
      <w:lvlJc w:val="left"/>
      <w:pPr>
        <w:ind w:left="1440" w:hanging="360"/>
      </w:pPr>
      <w:rPr>
        <w:rFonts w:ascii="Courier New" w:hAnsi="Courier New" w:cs="Courier New" w:hint="default"/>
      </w:rPr>
    </w:lvl>
    <w:lvl w:ilvl="2" w:tplc="A4362820" w:tentative="1">
      <w:start w:val="1"/>
      <w:numFmt w:val="bullet"/>
      <w:lvlText w:val=""/>
      <w:lvlJc w:val="left"/>
      <w:pPr>
        <w:ind w:left="2160" w:hanging="360"/>
      </w:pPr>
      <w:rPr>
        <w:rFonts w:ascii="Wingdings" w:hAnsi="Wingdings" w:hint="default"/>
      </w:rPr>
    </w:lvl>
    <w:lvl w:ilvl="3" w:tplc="C3AADE48" w:tentative="1">
      <w:start w:val="1"/>
      <w:numFmt w:val="bullet"/>
      <w:lvlText w:val=""/>
      <w:lvlJc w:val="left"/>
      <w:pPr>
        <w:ind w:left="2880" w:hanging="360"/>
      </w:pPr>
      <w:rPr>
        <w:rFonts w:ascii="Symbol" w:hAnsi="Symbol" w:hint="default"/>
      </w:rPr>
    </w:lvl>
    <w:lvl w:ilvl="4" w:tplc="2F926E22" w:tentative="1">
      <w:start w:val="1"/>
      <w:numFmt w:val="bullet"/>
      <w:lvlText w:val="o"/>
      <w:lvlJc w:val="left"/>
      <w:pPr>
        <w:ind w:left="3600" w:hanging="360"/>
      </w:pPr>
      <w:rPr>
        <w:rFonts w:ascii="Courier New" w:hAnsi="Courier New" w:cs="Courier New" w:hint="default"/>
      </w:rPr>
    </w:lvl>
    <w:lvl w:ilvl="5" w:tplc="86C818DE" w:tentative="1">
      <w:start w:val="1"/>
      <w:numFmt w:val="bullet"/>
      <w:lvlText w:val=""/>
      <w:lvlJc w:val="left"/>
      <w:pPr>
        <w:ind w:left="4320" w:hanging="360"/>
      </w:pPr>
      <w:rPr>
        <w:rFonts w:ascii="Wingdings" w:hAnsi="Wingdings" w:hint="default"/>
      </w:rPr>
    </w:lvl>
    <w:lvl w:ilvl="6" w:tplc="40F8FEEE" w:tentative="1">
      <w:start w:val="1"/>
      <w:numFmt w:val="bullet"/>
      <w:lvlText w:val=""/>
      <w:lvlJc w:val="left"/>
      <w:pPr>
        <w:ind w:left="5040" w:hanging="360"/>
      </w:pPr>
      <w:rPr>
        <w:rFonts w:ascii="Symbol" w:hAnsi="Symbol" w:hint="default"/>
      </w:rPr>
    </w:lvl>
    <w:lvl w:ilvl="7" w:tplc="9D1A7354" w:tentative="1">
      <w:start w:val="1"/>
      <w:numFmt w:val="bullet"/>
      <w:lvlText w:val="o"/>
      <w:lvlJc w:val="left"/>
      <w:pPr>
        <w:ind w:left="5760" w:hanging="360"/>
      </w:pPr>
      <w:rPr>
        <w:rFonts w:ascii="Courier New" w:hAnsi="Courier New" w:cs="Courier New" w:hint="default"/>
      </w:rPr>
    </w:lvl>
    <w:lvl w:ilvl="8" w:tplc="020831C2" w:tentative="1">
      <w:start w:val="1"/>
      <w:numFmt w:val="bullet"/>
      <w:lvlText w:val=""/>
      <w:lvlJc w:val="left"/>
      <w:pPr>
        <w:ind w:left="6480" w:hanging="360"/>
      </w:pPr>
      <w:rPr>
        <w:rFonts w:ascii="Wingdings" w:hAnsi="Wingdings" w:hint="default"/>
      </w:rPr>
    </w:lvl>
  </w:abstractNum>
  <w:abstractNum w:abstractNumId="7" w15:restartNumberingAfterBreak="0">
    <w:nsid w:val="330A44B6"/>
    <w:multiLevelType w:val="hybridMultilevel"/>
    <w:tmpl w:val="92565EAA"/>
    <w:lvl w:ilvl="0" w:tplc="EDA6B8BC">
      <w:start w:val="1"/>
      <w:numFmt w:val="bullet"/>
      <w:lvlText w:val=""/>
      <w:lvlJc w:val="left"/>
      <w:pPr>
        <w:ind w:left="720" w:hanging="360"/>
      </w:pPr>
      <w:rPr>
        <w:rFonts w:ascii="Symbol" w:hAnsi="Symbol" w:hint="default"/>
      </w:rPr>
    </w:lvl>
    <w:lvl w:ilvl="1" w:tplc="92A426B6" w:tentative="1">
      <w:start w:val="1"/>
      <w:numFmt w:val="bullet"/>
      <w:lvlText w:val="o"/>
      <w:lvlJc w:val="left"/>
      <w:pPr>
        <w:ind w:left="1440" w:hanging="360"/>
      </w:pPr>
      <w:rPr>
        <w:rFonts w:ascii="Courier New" w:hAnsi="Courier New" w:cs="Courier New" w:hint="default"/>
      </w:rPr>
    </w:lvl>
    <w:lvl w:ilvl="2" w:tplc="A0BE152E" w:tentative="1">
      <w:start w:val="1"/>
      <w:numFmt w:val="bullet"/>
      <w:lvlText w:val=""/>
      <w:lvlJc w:val="left"/>
      <w:pPr>
        <w:ind w:left="2160" w:hanging="360"/>
      </w:pPr>
      <w:rPr>
        <w:rFonts w:ascii="Wingdings" w:hAnsi="Wingdings" w:hint="default"/>
      </w:rPr>
    </w:lvl>
    <w:lvl w:ilvl="3" w:tplc="FFFC3292" w:tentative="1">
      <w:start w:val="1"/>
      <w:numFmt w:val="bullet"/>
      <w:lvlText w:val=""/>
      <w:lvlJc w:val="left"/>
      <w:pPr>
        <w:ind w:left="2880" w:hanging="360"/>
      </w:pPr>
      <w:rPr>
        <w:rFonts w:ascii="Symbol" w:hAnsi="Symbol" w:hint="default"/>
      </w:rPr>
    </w:lvl>
    <w:lvl w:ilvl="4" w:tplc="50E026D4" w:tentative="1">
      <w:start w:val="1"/>
      <w:numFmt w:val="bullet"/>
      <w:lvlText w:val="o"/>
      <w:lvlJc w:val="left"/>
      <w:pPr>
        <w:ind w:left="3600" w:hanging="360"/>
      </w:pPr>
      <w:rPr>
        <w:rFonts w:ascii="Courier New" w:hAnsi="Courier New" w:cs="Courier New" w:hint="default"/>
      </w:rPr>
    </w:lvl>
    <w:lvl w:ilvl="5" w:tplc="D666B094" w:tentative="1">
      <w:start w:val="1"/>
      <w:numFmt w:val="bullet"/>
      <w:lvlText w:val=""/>
      <w:lvlJc w:val="left"/>
      <w:pPr>
        <w:ind w:left="4320" w:hanging="360"/>
      </w:pPr>
      <w:rPr>
        <w:rFonts w:ascii="Wingdings" w:hAnsi="Wingdings" w:hint="default"/>
      </w:rPr>
    </w:lvl>
    <w:lvl w:ilvl="6" w:tplc="A6488A06" w:tentative="1">
      <w:start w:val="1"/>
      <w:numFmt w:val="bullet"/>
      <w:lvlText w:val=""/>
      <w:lvlJc w:val="left"/>
      <w:pPr>
        <w:ind w:left="5040" w:hanging="360"/>
      </w:pPr>
      <w:rPr>
        <w:rFonts w:ascii="Symbol" w:hAnsi="Symbol" w:hint="default"/>
      </w:rPr>
    </w:lvl>
    <w:lvl w:ilvl="7" w:tplc="7756A7F8" w:tentative="1">
      <w:start w:val="1"/>
      <w:numFmt w:val="bullet"/>
      <w:lvlText w:val="o"/>
      <w:lvlJc w:val="left"/>
      <w:pPr>
        <w:ind w:left="5760" w:hanging="360"/>
      </w:pPr>
      <w:rPr>
        <w:rFonts w:ascii="Courier New" w:hAnsi="Courier New" w:cs="Courier New" w:hint="default"/>
      </w:rPr>
    </w:lvl>
    <w:lvl w:ilvl="8" w:tplc="812AC090" w:tentative="1">
      <w:start w:val="1"/>
      <w:numFmt w:val="bullet"/>
      <w:lvlText w:val=""/>
      <w:lvlJc w:val="left"/>
      <w:pPr>
        <w:ind w:left="6480" w:hanging="360"/>
      </w:pPr>
      <w:rPr>
        <w:rFonts w:ascii="Wingdings" w:hAnsi="Wingdings" w:hint="default"/>
      </w:rPr>
    </w:lvl>
  </w:abstractNum>
  <w:abstractNum w:abstractNumId="8" w15:restartNumberingAfterBreak="0">
    <w:nsid w:val="333A7748"/>
    <w:multiLevelType w:val="hybridMultilevel"/>
    <w:tmpl w:val="BE821C5C"/>
    <w:lvl w:ilvl="0" w:tplc="08223B68">
      <w:start w:val="1"/>
      <w:numFmt w:val="bullet"/>
      <w:lvlText w:val=""/>
      <w:lvlJc w:val="left"/>
      <w:pPr>
        <w:ind w:left="720" w:hanging="360"/>
      </w:pPr>
      <w:rPr>
        <w:rFonts w:ascii="Symbol" w:hAnsi="Symbol" w:hint="default"/>
      </w:rPr>
    </w:lvl>
    <w:lvl w:ilvl="1" w:tplc="9498F626">
      <w:start w:val="1"/>
      <w:numFmt w:val="bullet"/>
      <w:lvlText w:val=""/>
      <w:lvlJc w:val="left"/>
      <w:pPr>
        <w:ind w:left="1440" w:hanging="360"/>
      </w:pPr>
      <w:rPr>
        <w:rFonts w:ascii="Wingdings" w:hAnsi="Wingdings" w:hint="default"/>
      </w:rPr>
    </w:lvl>
    <w:lvl w:ilvl="2" w:tplc="AB2E9BF2">
      <w:start w:val="1"/>
      <w:numFmt w:val="bullet"/>
      <w:lvlText w:val=""/>
      <w:lvlJc w:val="left"/>
      <w:pPr>
        <w:ind w:left="2160" w:hanging="360"/>
      </w:pPr>
      <w:rPr>
        <w:rFonts w:ascii="Wingdings" w:hAnsi="Wingdings" w:hint="default"/>
      </w:rPr>
    </w:lvl>
    <w:lvl w:ilvl="3" w:tplc="4218E86A" w:tentative="1">
      <w:start w:val="1"/>
      <w:numFmt w:val="bullet"/>
      <w:lvlText w:val=""/>
      <w:lvlJc w:val="left"/>
      <w:pPr>
        <w:ind w:left="2880" w:hanging="360"/>
      </w:pPr>
      <w:rPr>
        <w:rFonts w:ascii="Symbol" w:hAnsi="Symbol" w:hint="default"/>
      </w:rPr>
    </w:lvl>
    <w:lvl w:ilvl="4" w:tplc="EAD20324" w:tentative="1">
      <w:start w:val="1"/>
      <w:numFmt w:val="bullet"/>
      <w:lvlText w:val="o"/>
      <w:lvlJc w:val="left"/>
      <w:pPr>
        <w:ind w:left="3600" w:hanging="360"/>
      </w:pPr>
      <w:rPr>
        <w:rFonts w:ascii="Courier New" w:hAnsi="Courier New" w:cs="Courier New" w:hint="default"/>
      </w:rPr>
    </w:lvl>
    <w:lvl w:ilvl="5" w:tplc="C8B68CD8" w:tentative="1">
      <w:start w:val="1"/>
      <w:numFmt w:val="bullet"/>
      <w:lvlText w:val=""/>
      <w:lvlJc w:val="left"/>
      <w:pPr>
        <w:ind w:left="4320" w:hanging="360"/>
      </w:pPr>
      <w:rPr>
        <w:rFonts w:ascii="Wingdings" w:hAnsi="Wingdings" w:hint="default"/>
      </w:rPr>
    </w:lvl>
    <w:lvl w:ilvl="6" w:tplc="BC6ADB4C" w:tentative="1">
      <w:start w:val="1"/>
      <w:numFmt w:val="bullet"/>
      <w:lvlText w:val=""/>
      <w:lvlJc w:val="left"/>
      <w:pPr>
        <w:ind w:left="5040" w:hanging="360"/>
      </w:pPr>
      <w:rPr>
        <w:rFonts w:ascii="Symbol" w:hAnsi="Symbol" w:hint="default"/>
      </w:rPr>
    </w:lvl>
    <w:lvl w:ilvl="7" w:tplc="7D824B00" w:tentative="1">
      <w:start w:val="1"/>
      <w:numFmt w:val="bullet"/>
      <w:lvlText w:val="o"/>
      <w:lvlJc w:val="left"/>
      <w:pPr>
        <w:ind w:left="5760" w:hanging="360"/>
      </w:pPr>
      <w:rPr>
        <w:rFonts w:ascii="Courier New" w:hAnsi="Courier New" w:cs="Courier New" w:hint="default"/>
      </w:rPr>
    </w:lvl>
    <w:lvl w:ilvl="8" w:tplc="96D60B20" w:tentative="1">
      <w:start w:val="1"/>
      <w:numFmt w:val="bullet"/>
      <w:lvlText w:val=""/>
      <w:lvlJc w:val="left"/>
      <w:pPr>
        <w:ind w:left="6480" w:hanging="360"/>
      </w:pPr>
      <w:rPr>
        <w:rFonts w:ascii="Wingdings" w:hAnsi="Wingdings" w:hint="default"/>
      </w:rPr>
    </w:lvl>
  </w:abstractNum>
  <w:abstractNum w:abstractNumId="9" w15:restartNumberingAfterBreak="0">
    <w:nsid w:val="38583A21"/>
    <w:multiLevelType w:val="hybridMultilevel"/>
    <w:tmpl w:val="B75A72FE"/>
    <w:lvl w:ilvl="0" w:tplc="850A2FA0">
      <w:start w:val="1"/>
      <w:numFmt w:val="bullet"/>
      <w:lvlText w:val=""/>
      <w:lvlJc w:val="left"/>
      <w:pPr>
        <w:ind w:left="1080" w:hanging="360"/>
      </w:pPr>
      <w:rPr>
        <w:rFonts w:ascii="Symbol" w:hAnsi="Symbol" w:hint="default"/>
      </w:rPr>
    </w:lvl>
    <w:lvl w:ilvl="1" w:tplc="900807B0" w:tentative="1">
      <w:start w:val="1"/>
      <w:numFmt w:val="bullet"/>
      <w:lvlText w:val="o"/>
      <w:lvlJc w:val="left"/>
      <w:pPr>
        <w:ind w:left="1800" w:hanging="360"/>
      </w:pPr>
      <w:rPr>
        <w:rFonts w:ascii="Courier New" w:hAnsi="Courier New" w:cs="Courier New" w:hint="default"/>
      </w:rPr>
    </w:lvl>
    <w:lvl w:ilvl="2" w:tplc="30FEDD1E" w:tentative="1">
      <w:start w:val="1"/>
      <w:numFmt w:val="bullet"/>
      <w:lvlText w:val=""/>
      <w:lvlJc w:val="left"/>
      <w:pPr>
        <w:ind w:left="2520" w:hanging="360"/>
      </w:pPr>
      <w:rPr>
        <w:rFonts w:ascii="Wingdings" w:hAnsi="Wingdings" w:hint="default"/>
      </w:rPr>
    </w:lvl>
    <w:lvl w:ilvl="3" w:tplc="7B561B64" w:tentative="1">
      <w:start w:val="1"/>
      <w:numFmt w:val="bullet"/>
      <w:lvlText w:val=""/>
      <w:lvlJc w:val="left"/>
      <w:pPr>
        <w:ind w:left="3240" w:hanging="360"/>
      </w:pPr>
      <w:rPr>
        <w:rFonts w:ascii="Symbol" w:hAnsi="Symbol" w:hint="default"/>
      </w:rPr>
    </w:lvl>
    <w:lvl w:ilvl="4" w:tplc="393AEAFC" w:tentative="1">
      <w:start w:val="1"/>
      <w:numFmt w:val="bullet"/>
      <w:lvlText w:val="o"/>
      <w:lvlJc w:val="left"/>
      <w:pPr>
        <w:ind w:left="3960" w:hanging="360"/>
      </w:pPr>
      <w:rPr>
        <w:rFonts w:ascii="Courier New" w:hAnsi="Courier New" w:cs="Courier New" w:hint="default"/>
      </w:rPr>
    </w:lvl>
    <w:lvl w:ilvl="5" w:tplc="67885686" w:tentative="1">
      <w:start w:val="1"/>
      <w:numFmt w:val="bullet"/>
      <w:lvlText w:val=""/>
      <w:lvlJc w:val="left"/>
      <w:pPr>
        <w:ind w:left="4680" w:hanging="360"/>
      </w:pPr>
      <w:rPr>
        <w:rFonts w:ascii="Wingdings" w:hAnsi="Wingdings" w:hint="default"/>
      </w:rPr>
    </w:lvl>
    <w:lvl w:ilvl="6" w:tplc="C8562756" w:tentative="1">
      <w:start w:val="1"/>
      <w:numFmt w:val="bullet"/>
      <w:lvlText w:val=""/>
      <w:lvlJc w:val="left"/>
      <w:pPr>
        <w:ind w:left="5400" w:hanging="360"/>
      </w:pPr>
      <w:rPr>
        <w:rFonts w:ascii="Symbol" w:hAnsi="Symbol" w:hint="default"/>
      </w:rPr>
    </w:lvl>
    <w:lvl w:ilvl="7" w:tplc="68842098" w:tentative="1">
      <w:start w:val="1"/>
      <w:numFmt w:val="bullet"/>
      <w:lvlText w:val="o"/>
      <w:lvlJc w:val="left"/>
      <w:pPr>
        <w:ind w:left="6120" w:hanging="360"/>
      </w:pPr>
      <w:rPr>
        <w:rFonts w:ascii="Courier New" w:hAnsi="Courier New" w:cs="Courier New" w:hint="default"/>
      </w:rPr>
    </w:lvl>
    <w:lvl w:ilvl="8" w:tplc="F126CE74" w:tentative="1">
      <w:start w:val="1"/>
      <w:numFmt w:val="bullet"/>
      <w:lvlText w:val=""/>
      <w:lvlJc w:val="left"/>
      <w:pPr>
        <w:ind w:left="6840" w:hanging="360"/>
      </w:pPr>
      <w:rPr>
        <w:rFonts w:ascii="Wingdings" w:hAnsi="Wingdings" w:hint="default"/>
      </w:rPr>
    </w:lvl>
  </w:abstractNum>
  <w:abstractNum w:abstractNumId="10" w15:restartNumberingAfterBreak="0">
    <w:nsid w:val="3D7F7691"/>
    <w:multiLevelType w:val="hybridMultilevel"/>
    <w:tmpl w:val="F89AB382"/>
    <w:lvl w:ilvl="0" w:tplc="A294AFC0">
      <w:start w:val="1"/>
      <w:numFmt w:val="bullet"/>
      <w:lvlText w:val=""/>
      <w:lvlJc w:val="left"/>
      <w:pPr>
        <w:ind w:left="1080" w:hanging="360"/>
      </w:pPr>
      <w:rPr>
        <w:rFonts w:ascii="Symbol" w:hAnsi="Symbol" w:hint="default"/>
      </w:rPr>
    </w:lvl>
    <w:lvl w:ilvl="1" w:tplc="CA188302" w:tentative="1">
      <w:start w:val="1"/>
      <w:numFmt w:val="bullet"/>
      <w:lvlText w:val="o"/>
      <w:lvlJc w:val="left"/>
      <w:pPr>
        <w:ind w:left="1800" w:hanging="360"/>
      </w:pPr>
      <w:rPr>
        <w:rFonts w:ascii="Courier New" w:hAnsi="Courier New" w:cs="Courier New" w:hint="default"/>
      </w:rPr>
    </w:lvl>
    <w:lvl w:ilvl="2" w:tplc="7CE61C80" w:tentative="1">
      <w:start w:val="1"/>
      <w:numFmt w:val="bullet"/>
      <w:lvlText w:val=""/>
      <w:lvlJc w:val="left"/>
      <w:pPr>
        <w:ind w:left="2520" w:hanging="360"/>
      </w:pPr>
      <w:rPr>
        <w:rFonts w:ascii="Wingdings" w:hAnsi="Wingdings" w:hint="default"/>
      </w:rPr>
    </w:lvl>
    <w:lvl w:ilvl="3" w:tplc="BA3AECE8" w:tentative="1">
      <w:start w:val="1"/>
      <w:numFmt w:val="bullet"/>
      <w:lvlText w:val=""/>
      <w:lvlJc w:val="left"/>
      <w:pPr>
        <w:ind w:left="3240" w:hanging="360"/>
      </w:pPr>
      <w:rPr>
        <w:rFonts w:ascii="Symbol" w:hAnsi="Symbol" w:hint="default"/>
      </w:rPr>
    </w:lvl>
    <w:lvl w:ilvl="4" w:tplc="0F1622F4" w:tentative="1">
      <w:start w:val="1"/>
      <w:numFmt w:val="bullet"/>
      <w:lvlText w:val="o"/>
      <w:lvlJc w:val="left"/>
      <w:pPr>
        <w:ind w:left="3960" w:hanging="360"/>
      </w:pPr>
      <w:rPr>
        <w:rFonts w:ascii="Courier New" w:hAnsi="Courier New" w:cs="Courier New" w:hint="default"/>
      </w:rPr>
    </w:lvl>
    <w:lvl w:ilvl="5" w:tplc="51208FDC" w:tentative="1">
      <w:start w:val="1"/>
      <w:numFmt w:val="bullet"/>
      <w:lvlText w:val=""/>
      <w:lvlJc w:val="left"/>
      <w:pPr>
        <w:ind w:left="4680" w:hanging="360"/>
      </w:pPr>
      <w:rPr>
        <w:rFonts w:ascii="Wingdings" w:hAnsi="Wingdings" w:hint="default"/>
      </w:rPr>
    </w:lvl>
    <w:lvl w:ilvl="6" w:tplc="665442C4" w:tentative="1">
      <w:start w:val="1"/>
      <w:numFmt w:val="bullet"/>
      <w:lvlText w:val=""/>
      <w:lvlJc w:val="left"/>
      <w:pPr>
        <w:ind w:left="5400" w:hanging="360"/>
      </w:pPr>
      <w:rPr>
        <w:rFonts w:ascii="Symbol" w:hAnsi="Symbol" w:hint="default"/>
      </w:rPr>
    </w:lvl>
    <w:lvl w:ilvl="7" w:tplc="CFC8A83E" w:tentative="1">
      <w:start w:val="1"/>
      <w:numFmt w:val="bullet"/>
      <w:lvlText w:val="o"/>
      <w:lvlJc w:val="left"/>
      <w:pPr>
        <w:ind w:left="6120" w:hanging="360"/>
      </w:pPr>
      <w:rPr>
        <w:rFonts w:ascii="Courier New" w:hAnsi="Courier New" w:cs="Courier New" w:hint="default"/>
      </w:rPr>
    </w:lvl>
    <w:lvl w:ilvl="8" w:tplc="D652BF2C" w:tentative="1">
      <w:start w:val="1"/>
      <w:numFmt w:val="bullet"/>
      <w:lvlText w:val=""/>
      <w:lvlJc w:val="left"/>
      <w:pPr>
        <w:ind w:left="6840" w:hanging="360"/>
      </w:pPr>
      <w:rPr>
        <w:rFonts w:ascii="Wingdings" w:hAnsi="Wingdings" w:hint="default"/>
      </w:rPr>
    </w:lvl>
  </w:abstractNum>
  <w:abstractNum w:abstractNumId="11" w15:restartNumberingAfterBreak="0">
    <w:nsid w:val="3F92043F"/>
    <w:multiLevelType w:val="hybridMultilevel"/>
    <w:tmpl w:val="4992F8BE"/>
    <w:lvl w:ilvl="0" w:tplc="6CF2011C">
      <w:start w:val="1"/>
      <w:numFmt w:val="bullet"/>
      <w:lvlText w:val=""/>
      <w:lvlJc w:val="left"/>
      <w:pPr>
        <w:ind w:left="720" w:hanging="360"/>
      </w:pPr>
      <w:rPr>
        <w:rFonts w:ascii="Symbol" w:hAnsi="Symbol" w:hint="default"/>
      </w:rPr>
    </w:lvl>
    <w:lvl w:ilvl="1" w:tplc="07408746" w:tentative="1">
      <w:start w:val="1"/>
      <w:numFmt w:val="bullet"/>
      <w:lvlText w:val="o"/>
      <w:lvlJc w:val="left"/>
      <w:pPr>
        <w:ind w:left="1440" w:hanging="360"/>
      </w:pPr>
      <w:rPr>
        <w:rFonts w:ascii="Courier New" w:hAnsi="Courier New" w:cs="Courier New" w:hint="default"/>
      </w:rPr>
    </w:lvl>
    <w:lvl w:ilvl="2" w:tplc="03B8F4EC" w:tentative="1">
      <w:start w:val="1"/>
      <w:numFmt w:val="bullet"/>
      <w:lvlText w:val=""/>
      <w:lvlJc w:val="left"/>
      <w:pPr>
        <w:ind w:left="2160" w:hanging="360"/>
      </w:pPr>
      <w:rPr>
        <w:rFonts w:ascii="Wingdings" w:hAnsi="Wingdings" w:hint="default"/>
      </w:rPr>
    </w:lvl>
    <w:lvl w:ilvl="3" w:tplc="835852BE" w:tentative="1">
      <w:start w:val="1"/>
      <w:numFmt w:val="bullet"/>
      <w:lvlText w:val=""/>
      <w:lvlJc w:val="left"/>
      <w:pPr>
        <w:ind w:left="2880" w:hanging="360"/>
      </w:pPr>
      <w:rPr>
        <w:rFonts w:ascii="Symbol" w:hAnsi="Symbol" w:hint="default"/>
      </w:rPr>
    </w:lvl>
    <w:lvl w:ilvl="4" w:tplc="D1CE5692" w:tentative="1">
      <w:start w:val="1"/>
      <w:numFmt w:val="bullet"/>
      <w:lvlText w:val="o"/>
      <w:lvlJc w:val="left"/>
      <w:pPr>
        <w:ind w:left="3600" w:hanging="360"/>
      </w:pPr>
      <w:rPr>
        <w:rFonts w:ascii="Courier New" w:hAnsi="Courier New" w:cs="Courier New" w:hint="default"/>
      </w:rPr>
    </w:lvl>
    <w:lvl w:ilvl="5" w:tplc="B9B855A0" w:tentative="1">
      <w:start w:val="1"/>
      <w:numFmt w:val="bullet"/>
      <w:lvlText w:val=""/>
      <w:lvlJc w:val="left"/>
      <w:pPr>
        <w:ind w:left="4320" w:hanging="360"/>
      </w:pPr>
      <w:rPr>
        <w:rFonts w:ascii="Wingdings" w:hAnsi="Wingdings" w:hint="default"/>
      </w:rPr>
    </w:lvl>
    <w:lvl w:ilvl="6" w:tplc="75163E3E" w:tentative="1">
      <w:start w:val="1"/>
      <w:numFmt w:val="bullet"/>
      <w:lvlText w:val=""/>
      <w:lvlJc w:val="left"/>
      <w:pPr>
        <w:ind w:left="5040" w:hanging="360"/>
      </w:pPr>
      <w:rPr>
        <w:rFonts w:ascii="Symbol" w:hAnsi="Symbol" w:hint="default"/>
      </w:rPr>
    </w:lvl>
    <w:lvl w:ilvl="7" w:tplc="2BD847E6" w:tentative="1">
      <w:start w:val="1"/>
      <w:numFmt w:val="bullet"/>
      <w:lvlText w:val="o"/>
      <w:lvlJc w:val="left"/>
      <w:pPr>
        <w:ind w:left="5760" w:hanging="360"/>
      </w:pPr>
      <w:rPr>
        <w:rFonts w:ascii="Courier New" w:hAnsi="Courier New" w:cs="Courier New" w:hint="default"/>
      </w:rPr>
    </w:lvl>
    <w:lvl w:ilvl="8" w:tplc="D004C7B6" w:tentative="1">
      <w:start w:val="1"/>
      <w:numFmt w:val="bullet"/>
      <w:lvlText w:val=""/>
      <w:lvlJc w:val="left"/>
      <w:pPr>
        <w:ind w:left="6480" w:hanging="360"/>
      </w:pPr>
      <w:rPr>
        <w:rFonts w:ascii="Wingdings" w:hAnsi="Wingdings" w:hint="default"/>
      </w:rPr>
    </w:lvl>
  </w:abstractNum>
  <w:abstractNum w:abstractNumId="12" w15:restartNumberingAfterBreak="0">
    <w:nsid w:val="47816510"/>
    <w:multiLevelType w:val="hybridMultilevel"/>
    <w:tmpl w:val="0F00DCD0"/>
    <w:lvl w:ilvl="0" w:tplc="778258C0">
      <w:start w:val="1"/>
      <w:numFmt w:val="bullet"/>
      <w:lvlText w:val=""/>
      <w:lvlJc w:val="left"/>
      <w:pPr>
        <w:ind w:left="720" w:hanging="360"/>
      </w:pPr>
      <w:rPr>
        <w:rFonts w:ascii="Symbol" w:hAnsi="Symbol" w:hint="default"/>
      </w:rPr>
    </w:lvl>
    <w:lvl w:ilvl="1" w:tplc="482C3786" w:tentative="1">
      <w:start w:val="1"/>
      <w:numFmt w:val="bullet"/>
      <w:lvlText w:val="o"/>
      <w:lvlJc w:val="left"/>
      <w:pPr>
        <w:ind w:left="1440" w:hanging="360"/>
      </w:pPr>
      <w:rPr>
        <w:rFonts w:ascii="Courier New" w:hAnsi="Courier New" w:cs="Courier New" w:hint="default"/>
      </w:rPr>
    </w:lvl>
    <w:lvl w:ilvl="2" w:tplc="73AE54DC" w:tentative="1">
      <w:start w:val="1"/>
      <w:numFmt w:val="bullet"/>
      <w:lvlText w:val=""/>
      <w:lvlJc w:val="left"/>
      <w:pPr>
        <w:ind w:left="2160" w:hanging="360"/>
      </w:pPr>
      <w:rPr>
        <w:rFonts w:ascii="Wingdings" w:hAnsi="Wingdings" w:hint="default"/>
      </w:rPr>
    </w:lvl>
    <w:lvl w:ilvl="3" w:tplc="E982C7FE" w:tentative="1">
      <w:start w:val="1"/>
      <w:numFmt w:val="bullet"/>
      <w:lvlText w:val=""/>
      <w:lvlJc w:val="left"/>
      <w:pPr>
        <w:ind w:left="2880" w:hanging="360"/>
      </w:pPr>
      <w:rPr>
        <w:rFonts w:ascii="Symbol" w:hAnsi="Symbol" w:hint="default"/>
      </w:rPr>
    </w:lvl>
    <w:lvl w:ilvl="4" w:tplc="10E23010" w:tentative="1">
      <w:start w:val="1"/>
      <w:numFmt w:val="bullet"/>
      <w:lvlText w:val="o"/>
      <w:lvlJc w:val="left"/>
      <w:pPr>
        <w:ind w:left="3600" w:hanging="360"/>
      </w:pPr>
      <w:rPr>
        <w:rFonts w:ascii="Courier New" w:hAnsi="Courier New" w:cs="Courier New" w:hint="default"/>
      </w:rPr>
    </w:lvl>
    <w:lvl w:ilvl="5" w:tplc="66F42366" w:tentative="1">
      <w:start w:val="1"/>
      <w:numFmt w:val="bullet"/>
      <w:lvlText w:val=""/>
      <w:lvlJc w:val="left"/>
      <w:pPr>
        <w:ind w:left="4320" w:hanging="360"/>
      </w:pPr>
      <w:rPr>
        <w:rFonts w:ascii="Wingdings" w:hAnsi="Wingdings" w:hint="default"/>
      </w:rPr>
    </w:lvl>
    <w:lvl w:ilvl="6" w:tplc="7510436A" w:tentative="1">
      <w:start w:val="1"/>
      <w:numFmt w:val="bullet"/>
      <w:lvlText w:val=""/>
      <w:lvlJc w:val="left"/>
      <w:pPr>
        <w:ind w:left="5040" w:hanging="360"/>
      </w:pPr>
      <w:rPr>
        <w:rFonts w:ascii="Symbol" w:hAnsi="Symbol" w:hint="default"/>
      </w:rPr>
    </w:lvl>
    <w:lvl w:ilvl="7" w:tplc="ABA2E37E" w:tentative="1">
      <w:start w:val="1"/>
      <w:numFmt w:val="bullet"/>
      <w:lvlText w:val="o"/>
      <w:lvlJc w:val="left"/>
      <w:pPr>
        <w:ind w:left="5760" w:hanging="360"/>
      </w:pPr>
      <w:rPr>
        <w:rFonts w:ascii="Courier New" w:hAnsi="Courier New" w:cs="Courier New" w:hint="default"/>
      </w:rPr>
    </w:lvl>
    <w:lvl w:ilvl="8" w:tplc="0FDE3290" w:tentative="1">
      <w:start w:val="1"/>
      <w:numFmt w:val="bullet"/>
      <w:lvlText w:val=""/>
      <w:lvlJc w:val="left"/>
      <w:pPr>
        <w:ind w:left="6480" w:hanging="360"/>
      </w:pPr>
      <w:rPr>
        <w:rFonts w:ascii="Wingdings" w:hAnsi="Wingdings" w:hint="default"/>
      </w:rPr>
    </w:lvl>
  </w:abstractNum>
  <w:abstractNum w:abstractNumId="13" w15:restartNumberingAfterBreak="0">
    <w:nsid w:val="4CD966E0"/>
    <w:multiLevelType w:val="multilevel"/>
    <w:tmpl w:val="C480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61A10"/>
    <w:multiLevelType w:val="hybridMultilevel"/>
    <w:tmpl w:val="FCF26ABC"/>
    <w:lvl w:ilvl="0" w:tplc="0164D1E2">
      <w:start w:val="1"/>
      <w:numFmt w:val="upperLetter"/>
      <w:lvlText w:val="%1."/>
      <w:lvlJc w:val="left"/>
      <w:pPr>
        <w:ind w:left="720" w:hanging="360"/>
      </w:pPr>
      <w:rPr>
        <w:rFonts w:hint="default"/>
      </w:rPr>
    </w:lvl>
    <w:lvl w:ilvl="1" w:tplc="86F4B12E">
      <w:start w:val="1"/>
      <w:numFmt w:val="lowerLetter"/>
      <w:lvlText w:val="%2."/>
      <w:lvlJc w:val="left"/>
      <w:pPr>
        <w:ind w:left="1440" w:hanging="360"/>
      </w:pPr>
    </w:lvl>
    <w:lvl w:ilvl="2" w:tplc="D1ECD176" w:tentative="1">
      <w:start w:val="1"/>
      <w:numFmt w:val="lowerRoman"/>
      <w:lvlText w:val="%3."/>
      <w:lvlJc w:val="right"/>
      <w:pPr>
        <w:ind w:left="2160" w:hanging="180"/>
      </w:pPr>
    </w:lvl>
    <w:lvl w:ilvl="3" w:tplc="4B3C985A" w:tentative="1">
      <w:start w:val="1"/>
      <w:numFmt w:val="decimal"/>
      <w:lvlText w:val="%4."/>
      <w:lvlJc w:val="left"/>
      <w:pPr>
        <w:ind w:left="2880" w:hanging="360"/>
      </w:pPr>
    </w:lvl>
    <w:lvl w:ilvl="4" w:tplc="2D9E5486" w:tentative="1">
      <w:start w:val="1"/>
      <w:numFmt w:val="lowerLetter"/>
      <w:lvlText w:val="%5."/>
      <w:lvlJc w:val="left"/>
      <w:pPr>
        <w:ind w:left="3600" w:hanging="360"/>
      </w:pPr>
    </w:lvl>
    <w:lvl w:ilvl="5" w:tplc="EC44B3B6" w:tentative="1">
      <w:start w:val="1"/>
      <w:numFmt w:val="lowerRoman"/>
      <w:lvlText w:val="%6."/>
      <w:lvlJc w:val="right"/>
      <w:pPr>
        <w:ind w:left="4320" w:hanging="180"/>
      </w:pPr>
    </w:lvl>
    <w:lvl w:ilvl="6" w:tplc="CBD8BAA2" w:tentative="1">
      <w:start w:val="1"/>
      <w:numFmt w:val="decimal"/>
      <w:lvlText w:val="%7."/>
      <w:lvlJc w:val="left"/>
      <w:pPr>
        <w:ind w:left="5040" w:hanging="360"/>
      </w:pPr>
    </w:lvl>
    <w:lvl w:ilvl="7" w:tplc="7D90A04C" w:tentative="1">
      <w:start w:val="1"/>
      <w:numFmt w:val="lowerLetter"/>
      <w:lvlText w:val="%8."/>
      <w:lvlJc w:val="left"/>
      <w:pPr>
        <w:ind w:left="5760" w:hanging="360"/>
      </w:pPr>
    </w:lvl>
    <w:lvl w:ilvl="8" w:tplc="1B46B048" w:tentative="1">
      <w:start w:val="1"/>
      <w:numFmt w:val="lowerRoman"/>
      <w:lvlText w:val="%9."/>
      <w:lvlJc w:val="right"/>
      <w:pPr>
        <w:ind w:left="6480" w:hanging="180"/>
      </w:pPr>
    </w:lvl>
  </w:abstractNum>
  <w:abstractNum w:abstractNumId="15" w15:restartNumberingAfterBreak="0">
    <w:nsid w:val="53011336"/>
    <w:multiLevelType w:val="hybridMultilevel"/>
    <w:tmpl w:val="A1CEFF60"/>
    <w:lvl w:ilvl="0" w:tplc="CC404BAE">
      <w:start w:val="3"/>
      <w:numFmt w:val="upperRoman"/>
      <w:lvlText w:val="%1."/>
      <w:lvlJc w:val="left"/>
      <w:pPr>
        <w:ind w:left="1080" w:hanging="720"/>
      </w:pPr>
      <w:rPr>
        <w:rFonts w:hint="default"/>
      </w:rPr>
    </w:lvl>
    <w:lvl w:ilvl="1" w:tplc="B7525EDE" w:tentative="1">
      <w:start w:val="1"/>
      <w:numFmt w:val="lowerLetter"/>
      <w:lvlText w:val="%2."/>
      <w:lvlJc w:val="left"/>
      <w:pPr>
        <w:ind w:left="1440" w:hanging="360"/>
      </w:pPr>
    </w:lvl>
    <w:lvl w:ilvl="2" w:tplc="047A26C4" w:tentative="1">
      <w:start w:val="1"/>
      <w:numFmt w:val="lowerRoman"/>
      <w:lvlText w:val="%3."/>
      <w:lvlJc w:val="right"/>
      <w:pPr>
        <w:ind w:left="2160" w:hanging="180"/>
      </w:pPr>
    </w:lvl>
    <w:lvl w:ilvl="3" w:tplc="B8146686" w:tentative="1">
      <w:start w:val="1"/>
      <w:numFmt w:val="decimal"/>
      <w:lvlText w:val="%4."/>
      <w:lvlJc w:val="left"/>
      <w:pPr>
        <w:ind w:left="2880" w:hanging="360"/>
      </w:pPr>
    </w:lvl>
    <w:lvl w:ilvl="4" w:tplc="8C52C6E4" w:tentative="1">
      <w:start w:val="1"/>
      <w:numFmt w:val="lowerLetter"/>
      <w:lvlText w:val="%5."/>
      <w:lvlJc w:val="left"/>
      <w:pPr>
        <w:ind w:left="3600" w:hanging="360"/>
      </w:pPr>
    </w:lvl>
    <w:lvl w:ilvl="5" w:tplc="BD5E7392" w:tentative="1">
      <w:start w:val="1"/>
      <w:numFmt w:val="lowerRoman"/>
      <w:lvlText w:val="%6."/>
      <w:lvlJc w:val="right"/>
      <w:pPr>
        <w:ind w:left="4320" w:hanging="180"/>
      </w:pPr>
    </w:lvl>
    <w:lvl w:ilvl="6" w:tplc="02B0839E" w:tentative="1">
      <w:start w:val="1"/>
      <w:numFmt w:val="decimal"/>
      <w:lvlText w:val="%7."/>
      <w:lvlJc w:val="left"/>
      <w:pPr>
        <w:ind w:left="5040" w:hanging="360"/>
      </w:pPr>
    </w:lvl>
    <w:lvl w:ilvl="7" w:tplc="E3B417A8" w:tentative="1">
      <w:start w:val="1"/>
      <w:numFmt w:val="lowerLetter"/>
      <w:lvlText w:val="%8."/>
      <w:lvlJc w:val="left"/>
      <w:pPr>
        <w:ind w:left="5760" w:hanging="360"/>
      </w:pPr>
    </w:lvl>
    <w:lvl w:ilvl="8" w:tplc="F670B73C" w:tentative="1">
      <w:start w:val="1"/>
      <w:numFmt w:val="lowerRoman"/>
      <w:lvlText w:val="%9."/>
      <w:lvlJc w:val="right"/>
      <w:pPr>
        <w:ind w:left="6480" w:hanging="180"/>
      </w:pPr>
    </w:lvl>
  </w:abstractNum>
  <w:abstractNum w:abstractNumId="16" w15:restartNumberingAfterBreak="0">
    <w:nsid w:val="561C2E8E"/>
    <w:multiLevelType w:val="hybridMultilevel"/>
    <w:tmpl w:val="384E5B20"/>
    <w:lvl w:ilvl="0" w:tplc="F4B6B33A">
      <w:start w:val="1"/>
      <w:numFmt w:val="bullet"/>
      <w:lvlText w:val=""/>
      <w:lvlJc w:val="left"/>
      <w:pPr>
        <w:ind w:left="720" w:hanging="360"/>
      </w:pPr>
      <w:rPr>
        <w:rFonts w:ascii="Symbol" w:hAnsi="Symbol" w:hint="default"/>
      </w:rPr>
    </w:lvl>
    <w:lvl w:ilvl="1" w:tplc="6B507B38">
      <w:start w:val="1"/>
      <w:numFmt w:val="bullet"/>
      <w:lvlText w:val=""/>
      <w:lvlJc w:val="left"/>
      <w:pPr>
        <w:ind w:left="1440" w:hanging="360"/>
      </w:pPr>
      <w:rPr>
        <w:rFonts w:ascii="Wingdings" w:hAnsi="Wingdings" w:hint="default"/>
      </w:rPr>
    </w:lvl>
    <w:lvl w:ilvl="2" w:tplc="837CACCE">
      <w:start w:val="1"/>
      <w:numFmt w:val="bullet"/>
      <w:lvlText w:val=""/>
      <w:lvlJc w:val="left"/>
      <w:pPr>
        <w:ind w:left="2160" w:hanging="360"/>
      </w:pPr>
      <w:rPr>
        <w:rFonts w:ascii="Wingdings" w:hAnsi="Wingdings" w:hint="default"/>
      </w:rPr>
    </w:lvl>
    <w:lvl w:ilvl="3" w:tplc="CB8EB434" w:tentative="1">
      <w:start w:val="1"/>
      <w:numFmt w:val="bullet"/>
      <w:lvlText w:val=""/>
      <w:lvlJc w:val="left"/>
      <w:pPr>
        <w:ind w:left="2880" w:hanging="360"/>
      </w:pPr>
      <w:rPr>
        <w:rFonts w:ascii="Symbol" w:hAnsi="Symbol" w:hint="default"/>
      </w:rPr>
    </w:lvl>
    <w:lvl w:ilvl="4" w:tplc="A0EE7C50" w:tentative="1">
      <w:start w:val="1"/>
      <w:numFmt w:val="bullet"/>
      <w:lvlText w:val="o"/>
      <w:lvlJc w:val="left"/>
      <w:pPr>
        <w:ind w:left="3600" w:hanging="360"/>
      </w:pPr>
      <w:rPr>
        <w:rFonts w:ascii="Courier New" w:hAnsi="Courier New" w:cs="Courier New" w:hint="default"/>
      </w:rPr>
    </w:lvl>
    <w:lvl w:ilvl="5" w:tplc="782814BE" w:tentative="1">
      <w:start w:val="1"/>
      <w:numFmt w:val="bullet"/>
      <w:lvlText w:val=""/>
      <w:lvlJc w:val="left"/>
      <w:pPr>
        <w:ind w:left="4320" w:hanging="360"/>
      </w:pPr>
      <w:rPr>
        <w:rFonts w:ascii="Wingdings" w:hAnsi="Wingdings" w:hint="default"/>
      </w:rPr>
    </w:lvl>
    <w:lvl w:ilvl="6" w:tplc="0E5AD742" w:tentative="1">
      <w:start w:val="1"/>
      <w:numFmt w:val="bullet"/>
      <w:lvlText w:val=""/>
      <w:lvlJc w:val="left"/>
      <w:pPr>
        <w:ind w:left="5040" w:hanging="360"/>
      </w:pPr>
      <w:rPr>
        <w:rFonts w:ascii="Symbol" w:hAnsi="Symbol" w:hint="default"/>
      </w:rPr>
    </w:lvl>
    <w:lvl w:ilvl="7" w:tplc="A3D6D948" w:tentative="1">
      <w:start w:val="1"/>
      <w:numFmt w:val="bullet"/>
      <w:lvlText w:val="o"/>
      <w:lvlJc w:val="left"/>
      <w:pPr>
        <w:ind w:left="5760" w:hanging="360"/>
      </w:pPr>
      <w:rPr>
        <w:rFonts w:ascii="Courier New" w:hAnsi="Courier New" w:cs="Courier New" w:hint="default"/>
      </w:rPr>
    </w:lvl>
    <w:lvl w:ilvl="8" w:tplc="2CF2C424" w:tentative="1">
      <w:start w:val="1"/>
      <w:numFmt w:val="bullet"/>
      <w:lvlText w:val=""/>
      <w:lvlJc w:val="left"/>
      <w:pPr>
        <w:ind w:left="6480" w:hanging="360"/>
      </w:pPr>
      <w:rPr>
        <w:rFonts w:ascii="Wingdings" w:hAnsi="Wingdings" w:hint="default"/>
      </w:rPr>
    </w:lvl>
  </w:abstractNum>
  <w:abstractNum w:abstractNumId="17" w15:restartNumberingAfterBreak="0">
    <w:nsid w:val="610D7629"/>
    <w:multiLevelType w:val="hybridMultilevel"/>
    <w:tmpl w:val="CEAC543A"/>
    <w:lvl w:ilvl="0" w:tplc="D324A716">
      <w:start w:val="1"/>
      <w:numFmt w:val="upperLetter"/>
      <w:lvlText w:val="%1."/>
      <w:lvlJc w:val="left"/>
      <w:pPr>
        <w:ind w:left="1440" w:hanging="720"/>
      </w:pPr>
      <w:rPr>
        <w:rFonts w:hint="default"/>
      </w:rPr>
    </w:lvl>
    <w:lvl w:ilvl="1" w:tplc="88DCD6B0" w:tentative="1">
      <w:start w:val="1"/>
      <w:numFmt w:val="lowerLetter"/>
      <w:lvlText w:val="%2."/>
      <w:lvlJc w:val="left"/>
      <w:pPr>
        <w:ind w:left="1800" w:hanging="360"/>
      </w:pPr>
    </w:lvl>
    <w:lvl w:ilvl="2" w:tplc="C682EA16" w:tentative="1">
      <w:start w:val="1"/>
      <w:numFmt w:val="lowerRoman"/>
      <w:lvlText w:val="%3."/>
      <w:lvlJc w:val="right"/>
      <w:pPr>
        <w:ind w:left="2520" w:hanging="180"/>
      </w:pPr>
    </w:lvl>
    <w:lvl w:ilvl="3" w:tplc="E5C4557C" w:tentative="1">
      <w:start w:val="1"/>
      <w:numFmt w:val="decimal"/>
      <w:lvlText w:val="%4."/>
      <w:lvlJc w:val="left"/>
      <w:pPr>
        <w:ind w:left="3240" w:hanging="360"/>
      </w:pPr>
    </w:lvl>
    <w:lvl w:ilvl="4" w:tplc="0262BB18" w:tentative="1">
      <w:start w:val="1"/>
      <w:numFmt w:val="lowerLetter"/>
      <w:lvlText w:val="%5."/>
      <w:lvlJc w:val="left"/>
      <w:pPr>
        <w:ind w:left="3960" w:hanging="360"/>
      </w:pPr>
    </w:lvl>
    <w:lvl w:ilvl="5" w:tplc="077EDBB6" w:tentative="1">
      <w:start w:val="1"/>
      <w:numFmt w:val="lowerRoman"/>
      <w:lvlText w:val="%6."/>
      <w:lvlJc w:val="right"/>
      <w:pPr>
        <w:ind w:left="4680" w:hanging="180"/>
      </w:pPr>
    </w:lvl>
    <w:lvl w:ilvl="6" w:tplc="7DC45812" w:tentative="1">
      <w:start w:val="1"/>
      <w:numFmt w:val="decimal"/>
      <w:lvlText w:val="%7."/>
      <w:lvlJc w:val="left"/>
      <w:pPr>
        <w:ind w:left="5400" w:hanging="360"/>
      </w:pPr>
    </w:lvl>
    <w:lvl w:ilvl="7" w:tplc="0142AC3A" w:tentative="1">
      <w:start w:val="1"/>
      <w:numFmt w:val="lowerLetter"/>
      <w:lvlText w:val="%8."/>
      <w:lvlJc w:val="left"/>
      <w:pPr>
        <w:ind w:left="6120" w:hanging="360"/>
      </w:pPr>
    </w:lvl>
    <w:lvl w:ilvl="8" w:tplc="D7241A84" w:tentative="1">
      <w:start w:val="1"/>
      <w:numFmt w:val="lowerRoman"/>
      <w:lvlText w:val="%9."/>
      <w:lvlJc w:val="right"/>
      <w:pPr>
        <w:ind w:left="6840" w:hanging="180"/>
      </w:pPr>
    </w:lvl>
  </w:abstractNum>
  <w:abstractNum w:abstractNumId="18" w15:restartNumberingAfterBreak="0">
    <w:nsid w:val="6B3941DE"/>
    <w:multiLevelType w:val="hybridMultilevel"/>
    <w:tmpl w:val="9C2830B4"/>
    <w:lvl w:ilvl="0" w:tplc="C616C79C">
      <w:start w:val="1"/>
      <w:numFmt w:val="bullet"/>
      <w:lvlText w:val=""/>
      <w:lvlJc w:val="left"/>
      <w:pPr>
        <w:ind w:left="720" w:hanging="360"/>
      </w:pPr>
      <w:rPr>
        <w:rFonts w:ascii="Symbol" w:hAnsi="Symbol" w:hint="default"/>
      </w:rPr>
    </w:lvl>
    <w:lvl w:ilvl="1" w:tplc="2208EE90" w:tentative="1">
      <w:start w:val="1"/>
      <w:numFmt w:val="bullet"/>
      <w:lvlText w:val="o"/>
      <w:lvlJc w:val="left"/>
      <w:pPr>
        <w:ind w:left="1440" w:hanging="360"/>
      </w:pPr>
      <w:rPr>
        <w:rFonts w:ascii="Courier New" w:hAnsi="Courier New" w:cs="Courier New" w:hint="default"/>
      </w:rPr>
    </w:lvl>
    <w:lvl w:ilvl="2" w:tplc="89064570" w:tentative="1">
      <w:start w:val="1"/>
      <w:numFmt w:val="bullet"/>
      <w:lvlText w:val=""/>
      <w:lvlJc w:val="left"/>
      <w:pPr>
        <w:ind w:left="2160" w:hanging="360"/>
      </w:pPr>
      <w:rPr>
        <w:rFonts w:ascii="Wingdings" w:hAnsi="Wingdings" w:hint="default"/>
      </w:rPr>
    </w:lvl>
    <w:lvl w:ilvl="3" w:tplc="2970F8F2" w:tentative="1">
      <w:start w:val="1"/>
      <w:numFmt w:val="bullet"/>
      <w:lvlText w:val=""/>
      <w:lvlJc w:val="left"/>
      <w:pPr>
        <w:ind w:left="2880" w:hanging="360"/>
      </w:pPr>
      <w:rPr>
        <w:rFonts w:ascii="Symbol" w:hAnsi="Symbol" w:hint="default"/>
      </w:rPr>
    </w:lvl>
    <w:lvl w:ilvl="4" w:tplc="1D9424B6" w:tentative="1">
      <w:start w:val="1"/>
      <w:numFmt w:val="bullet"/>
      <w:lvlText w:val="o"/>
      <w:lvlJc w:val="left"/>
      <w:pPr>
        <w:ind w:left="3600" w:hanging="360"/>
      </w:pPr>
      <w:rPr>
        <w:rFonts w:ascii="Courier New" w:hAnsi="Courier New" w:cs="Courier New" w:hint="default"/>
      </w:rPr>
    </w:lvl>
    <w:lvl w:ilvl="5" w:tplc="E0DCF836" w:tentative="1">
      <w:start w:val="1"/>
      <w:numFmt w:val="bullet"/>
      <w:lvlText w:val=""/>
      <w:lvlJc w:val="left"/>
      <w:pPr>
        <w:ind w:left="4320" w:hanging="360"/>
      </w:pPr>
      <w:rPr>
        <w:rFonts w:ascii="Wingdings" w:hAnsi="Wingdings" w:hint="default"/>
      </w:rPr>
    </w:lvl>
    <w:lvl w:ilvl="6" w:tplc="BC0CD050" w:tentative="1">
      <w:start w:val="1"/>
      <w:numFmt w:val="bullet"/>
      <w:lvlText w:val=""/>
      <w:lvlJc w:val="left"/>
      <w:pPr>
        <w:ind w:left="5040" w:hanging="360"/>
      </w:pPr>
      <w:rPr>
        <w:rFonts w:ascii="Symbol" w:hAnsi="Symbol" w:hint="default"/>
      </w:rPr>
    </w:lvl>
    <w:lvl w:ilvl="7" w:tplc="451A6012" w:tentative="1">
      <w:start w:val="1"/>
      <w:numFmt w:val="bullet"/>
      <w:lvlText w:val="o"/>
      <w:lvlJc w:val="left"/>
      <w:pPr>
        <w:ind w:left="5760" w:hanging="360"/>
      </w:pPr>
      <w:rPr>
        <w:rFonts w:ascii="Courier New" w:hAnsi="Courier New" w:cs="Courier New" w:hint="default"/>
      </w:rPr>
    </w:lvl>
    <w:lvl w:ilvl="8" w:tplc="1B166992" w:tentative="1">
      <w:start w:val="1"/>
      <w:numFmt w:val="bullet"/>
      <w:lvlText w:val=""/>
      <w:lvlJc w:val="left"/>
      <w:pPr>
        <w:ind w:left="6480" w:hanging="360"/>
      </w:pPr>
      <w:rPr>
        <w:rFonts w:ascii="Wingdings" w:hAnsi="Wingdings" w:hint="default"/>
      </w:rPr>
    </w:lvl>
  </w:abstractNum>
  <w:abstractNum w:abstractNumId="19" w15:restartNumberingAfterBreak="0">
    <w:nsid w:val="79824395"/>
    <w:multiLevelType w:val="hybridMultilevel"/>
    <w:tmpl w:val="BA028EC8"/>
    <w:lvl w:ilvl="0" w:tplc="6DF4B826">
      <w:start w:val="1"/>
      <w:numFmt w:val="bullet"/>
      <w:lvlText w:val=""/>
      <w:lvlJc w:val="left"/>
      <w:pPr>
        <w:ind w:left="720" w:hanging="360"/>
      </w:pPr>
      <w:rPr>
        <w:rFonts w:ascii="Symbol" w:hAnsi="Symbol" w:hint="default"/>
      </w:rPr>
    </w:lvl>
    <w:lvl w:ilvl="1" w:tplc="F7B45D26" w:tentative="1">
      <w:start w:val="1"/>
      <w:numFmt w:val="bullet"/>
      <w:lvlText w:val="o"/>
      <w:lvlJc w:val="left"/>
      <w:pPr>
        <w:ind w:left="1440" w:hanging="360"/>
      </w:pPr>
      <w:rPr>
        <w:rFonts w:ascii="Courier New" w:hAnsi="Courier New" w:cs="Courier New" w:hint="default"/>
      </w:rPr>
    </w:lvl>
    <w:lvl w:ilvl="2" w:tplc="054C7E76" w:tentative="1">
      <w:start w:val="1"/>
      <w:numFmt w:val="bullet"/>
      <w:lvlText w:val=""/>
      <w:lvlJc w:val="left"/>
      <w:pPr>
        <w:ind w:left="2160" w:hanging="360"/>
      </w:pPr>
      <w:rPr>
        <w:rFonts w:ascii="Wingdings" w:hAnsi="Wingdings" w:hint="default"/>
      </w:rPr>
    </w:lvl>
    <w:lvl w:ilvl="3" w:tplc="E1FAD7F2" w:tentative="1">
      <w:start w:val="1"/>
      <w:numFmt w:val="bullet"/>
      <w:lvlText w:val=""/>
      <w:lvlJc w:val="left"/>
      <w:pPr>
        <w:ind w:left="2880" w:hanging="360"/>
      </w:pPr>
      <w:rPr>
        <w:rFonts w:ascii="Symbol" w:hAnsi="Symbol" w:hint="default"/>
      </w:rPr>
    </w:lvl>
    <w:lvl w:ilvl="4" w:tplc="E1505FC2" w:tentative="1">
      <w:start w:val="1"/>
      <w:numFmt w:val="bullet"/>
      <w:lvlText w:val="o"/>
      <w:lvlJc w:val="left"/>
      <w:pPr>
        <w:ind w:left="3600" w:hanging="360"/>
      </w:pPr>
      <w:rPr>
        <w:rFonts w:ascii="Courier New" w:hAnsi="Courier New" w:cs="Courier New" w:hint="default"/>
      </w:rPr>
    </w:lvl>
    <w:lvl w:ilvl="5" w:tplc="2DF6BBB2" w:tentative="1">
      <w:start w:val="1"/>
      <w:numFmt w:val="bullet"/>
      <w:lvlText w:val=""/>
      <w:lvlJc w:val="left"/>
      <w:pPr>
        <w:ind w:left="4320" w:hanging="360"/>
      </w:pPr>
      <w:rPr>
        <w:rFonts w:ascii="Wingdings" w:hAnsi="Wingdings" w:hint="default"/>
      </w:rPr>
    </w:lvl>
    <w:lvl w:ilvl="6" w:tplc="4E2AF3CE" w:tentative="1">
      <w:start w:val="1"/>
      <w:numFmt w:val="bullet"/>
      <w:lvlText w:val=""/>
      <w:lvlJc w:val="left"/>
      <w:pPr>
        <w:ind w:left="5040" w:hanging="360"/>
      </w:pPr>
      <w:rPr>
        <w:rFonts w:ascii="Symbol" w:hAnsi="Symbol" w:hint="default"/>
      </w:rPr>
    </w:lvl>
    <w:lvl w:ilvl="7" w:tplc="F17CCD1C" w:tentative="1">
      <w:start w:val="1"/>
      <w:numFmt w:val="bullet"/>
      <w:lvlText w:val="o"/>
      <w:lvlJc w:val="left"/>
      <w:pPr>
        <w:ind w:left="5760" w:hanging="360"/>
      </w:pPr>
      <w:rPr>
        <w:rFonts w:ascii="Courier New" w:hAnsi="Courier New" w:cs="Courier New" w:hint="default"/>
      </w:rPr>
    </w:lvl>
    <w:lvl w:ilvl="8" w:tplc="65F6115E" w:tentative="1">
      <w:start w:val="1"/>
      <w:numFmt w:val="bullet"/>
      <w:lvlText w:val=""/>
      <w:lvlJc w:val="left"/>
      <w:pPr>
        <w:ind w:left="6480" w:hanging="360"/>
      </w:pPr>
      <w:rPr>
        <w:rFonts w:ascii="Wingdings" w:hAnsi="Wingdings" w:hint="default"/>
      </w:rPr>
    </w:lvl>
  </w:abstractNum>
  <w:abstractNum w:abstractNumId="20" w15:restartNumberingAfterBreak="0">
    <w:nsid w:val="7BA83B46"/>
    <w:multiLevelType w:val="hybridMultilevel"/>
    <w:tmpl w:val="B06EE7D2"/>
    <w:lvl w:ilvl="0" w:tplc="6E5C28C2">
      <w:start w:val="1"/>
      <w:numFmt w:val="upperRoman"/>
      <w:lvlText w:val="%1."/>
      <w:lvlJc w:val="left"/>
      <w:pPr>
        <w:ind w:left="1080" w:hanging="720"/>
      </w:pPr>
      <w:rPr>
        <w:rFonts w:hint="default"/>
      </w:rPr>
    </w:lvl>
    <w:lvl w:ilvl="1" w:tplc="23524DD8">
      <w:start w:val="1"/>
      <w:numFmt w:val="lowerLetter"/>
      <w:lvlText w:val="%2."/>
      <w:lvlJc w:val="left"/>
      <w:pPr>
        <w:ind w:left="1440" w:hanging="360"/>
      </w:pPr>
    </w:lvl>
    <w:lvl w:ilvl="2" w:tplc="CD3E72EE" w:tentative="1">
      <w:start w:val="1"/>
      <w:numFmt w:val="lowerRoman"/>
      <w:lvlText w:val="%3."/>
      <w:lvlJc w:val="right"/>
      <w:pPr>
        <w:ind w:left="2160" w:hanging="180"/>
      </w:pPr>
    </w:lvl>
    <w:lvl w:ilvl="3" w:tplc="729EB1CC" w:tentative="1">
      <w:start w:val="1"/>
      <w:numFmt w:val="decimal"/>
      <w:lvlText w:val="%4."/>
      <w:lvlJc w:val="left"/>
      <w:pPr>
        <w:ind w:left="2880" w:hanging="360"/>
      </w:pPr>
    </w:lvl>
    <w:lvl w:ilvl="4" w:tplc="82CE8438" w:tentative="1">
      <w:start w:val="1"/>
      <w:numFmt w:val="lowerLetter"/>
      <w:lvlText w:val="%5."/>
      <w:lvlJc w:val="left"/>
      <w:pPr>
        <w:ind w:left="3600" w:hanging="360"/>
      </w:pPr>
    </w:lvl>
    <w:lvl w:ilvl="5" w:tplc="E6D03974" w:tentative="1">
      <w:start w:val="1"/>
      <w:numFmt w:val="lowerRoman"/>
      <w:lvlText w:val="%6."/>
      <w:lvlJc w:val="right"/>
      <w:pPr>
        <w:ind w:left="4320" w:hanging="180"/>
      </w:pPr>
    </w:lvl>
    <w:lvl w:ilvl="6" w:tplc="97A40786" w:tentative="1">
      <w:start w:val="1"/>
      <w:numFmt w:val="decimal"/>
      <w:lvlText w:val="%7."/>
      <w:lvlJc w:val="left"/>
      <w:pPr>
        <w:ind w:left="5040" w:hanging="360"/>
      </w:pPr>
    </w:lvl>
    <w:lvl w:ilvl="7" w:tplc="E7E0021C" w:tentative="1">
      <w:start w:val="1"/>
      <w:numFmt w:val="lowerLetter"/>
      <w:lvlText w:val="%8."/>
      <w:lvlJc w:val="left"/>
      <w:pPr>
        <w:ind w:left="5760" w:hanging="360"/>
      </w:pPr>
    </w:lvl>
    <w:lvl w:ilvl="8" w:tplc="556227F6" w:tentative="1">
      <w:start w:val="1"/>
      <w:numFmt w:val="lowerRoman"/>
      <w:lvlText w:val="%9."/>
      <w:lvlJc w:val="right"/>
      <w:pPr>
        <w:ind w:left="6480" w:hanging="180"/>
      </w:pPr>
    </w:lvl>
  </w:abstractNum>
  <w:num w:numId="1" w16cid:durableId="397019160">
    <w:abstractNumId w:val="13"/>
  </w:num>
  <w:num w:numId="2" w16cid:durableId="1134520543">
    <w:abstractNumId w:val="2"/>
  </w:num>
  <w:num w:numId="3" w16cid:durableId="692728848">
    <w:abstractNumId w:val="19"/>
  </w:num>
  <w:num w:numId="4" w16cid:durableId="487981966">
    <w:abstractNumId w:val="0"/>
  </w:num>
  <w:num w:numId="5" w16cid:durableId="337661314">
    <w:abstractNumId w:val="12"/>
  </w:num>
  <w:num w:numId="6" w16cid:durableId="1598564375">
    <w:abstractNumId w:val="4"/>
  </w:num>
  <w:num w:numId="7" w16cid:durableId="1985549683">
    <w:abstractNumId w:val="7"/>
  </w:num>
  <w:num w:numId="8" w16cid:durableId="1905211994">
    <w:abstractNumId w:val="6"/>
  </w:num>
  <w:num w:numId="9" w16cid:durableId="1530293802">
    <w:abstractNumId w:val="5"/>
  </w:num>
  <w:num w:numId="10" w16cid:durableId="1739093881">
    <w:abstractNumId w:val="11"/>
  </w:num>
  <w:num w:numId="11" w16cid:durableId="1488863072">
    <w:abstractNumId w:val="14"/>
  </w:num>
  <w:num w:numId="12" w16cid:durableId="1877083702">
    <w:abstractNumId w:val="18"/>
  </w:num>
  <w:num w:numId="13" w16cid:durableId="2068452452">
    <w:abstractNumId w:val="10"/>
  </w:num>
  <w:num w:numId="14" w16cid:durableId="1619526333">
    <w:abstractNumId w:val="9"/>
  </w:num>
  <w:num w:numId="15" w16cid:durableId="1331637994">
    <w:abstractNumId w:val="3"/>
  </w:num>
  <w:num w:numId="16" w16cid:durableId="1790127543">
    <w:abstractNumId w:val="20"/>
  </w:num>
  <w:num w:numId="17" w16cid:durableId="1441030489">
    <w:abstractNumId w:val="16"/>
  </w:num>
  <w:num w:numId="18" w16cid:durableId="1517042894">
    <w:abstractNumId w:val="8"/>
  </w:num>
  <w:num w:numId="19" w16cid:durableId="938172405">
    <w:abstractNumId w:val="17"/>
  </w:num>
  <w:num w:numId="20" w16cid:durableId="417748966">
    <w:abstractNumId w:val="1"/>
  </w:num>
  <w:num w:numId="21" w16cid:durableId="1239055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27"/>
    <w:rsid w:val="000006AA"/>
    <w:rsid w:val="000009C6"/>
    <w:rsid w:val="00001D70"/>
    <w:rsid w:val="0000229A"/>
    <w:rsid w:val="000105C3"/>
    <w:rsid w:val="000211D9"/>
    <w:rsid w:val="00023626"/>
    <w:rsid w:val="00023D9F"/>
    <w:rsid w:val="00024CFA"/>
    <w:rsid w:val="000279EB"/>
    <w:rsid w:val="000305A4"/>
    <w:rsid w:val="00033627"/>
    <w:rsid w:val="00036D2E"/>
    <w:rsid w:val="00047390"/>
    <w:rsid w:val="000479FE"/>
    <w:rsid w:val="00047C71"/>
    <w:rsid w:val="00047CE3"/>
    <w:rsid w:val="00047D4F"/>
    <w:rsid w:val="00050C61"/>
    <w:rsid w:val="00052578"/>
    <w:rsid w:val="00052F9B"/>
    <w:rsid w:val="0005723B"/>
    <w:rsid w:val="0006149E"/>
    <w:rsid w:val="0006352C"/>
    <w:rsid w:val="000668D1"/>
    <w:rsid w:val="00066A3C"/>
    <w:rsid w:val="00066D9E"/>
    <w:rsid w:val="00070FE7"/>
    <w:rsid w:val="000713CD"/>
    <w:rsid w:val="00074CB0"/>
    <w:rsid w:val="000818DF"/>
    <w:rsid w:val="0008662E"/>
    <w:rsid w:val="00086ACD"/>
    <w:rsid w:val="000871B6"/>
    <w:rsid w:val="000872BE"/>
    <w:rsid w:val="00090E45"/>
    <w:rsid w:val="00094ADA"/>
    <w:rsid w:val="000A16BD"/>
    <w:rsid w:val="000A1E19"/>
    <w:rsid w:val="000A2192"/>
    <w:rsid w:val="000B63BD"/>
    <w:rsid w:val="000C0924"/>
    <w:rsid w:val="000C28DF"/>
    <w:rsid w:val="000C3946"/>
    <w:rsid w:val="000C454B"/>
    <w:rsid w:val="000C7CF0"/>
    <w:rsid w:val="000D0E6C"/>
    <w:rsid w:val="000D3CEE"/>
    <w:rsid w:val="000D7B1C"/>
    <w:rsid w:val="000E3C54"/>
    <w:rsid w:val="000F0578"/>
    <w:rsid w:val="000F0BB3"/>
    <w:rsid w:val="000F1EED"/>
    <w:rsid w:val="000F2577"/>
    <w:rsid w:val="000F2FEF"/>
    <w:rsid w:val="000F76CE"/>
    <w:rsid w:val="00102F9D"/>
    <w:rsid w:val="00106997"/>
    <w:rsid w:val="001102F5"/>
    <w:rsid w:val="001148E9"/>
    <w:rsid w:val="0011681D"/>
    <w:rsid w:val="00116B58"/>
    <w:rsid w:val="00117E04"/>
    <w:rsid w:val="00120130"/>
    <w:rsid w:val="00121BAD"/>
    <w:rsid w:val="001332D3"/>
    <w:rsid w:val="00134800"/>
    <w:rsid w:val="00140F77"/>
    <w:rsid w:val="00141689"/>
    <w:rsid w:val="0014520E"/>
    <w:rsid w:val="00146338"/>
    <w:rsid w:val="0015561A"/>
    <w:rsid w:val="00155675"/>
    <w:rsid w:val="001572D7"/>
    <w:rsid w:val="0015782A"/>
    <w:rsid w:val="00160CAA"/>
    <w:rsid w:val="00162FFA"/>
    <w:rsid w:val="001656A7"/>
    <w:rsid w:val="001657D2"/>
    <w:rsid w:val="00174845"/>
    <w:rsid w:val="00174BB4"/>
    <w:rsid w:val="001764CB"/>
    <w:rsid w:val="001801F9"/>
    <w:rsid w:val="00180EBF"/>
    <w:rsid w:val="00186B0C"/>
    <w:rsid w:val="00192EC6"/>
    <w:rsid w:val="001941E5"/>
    <w:rsid w:val="001948A3"/>
    <w:rsid w:val="00194E37"/>
    <w:rsid w:val="001A51AD"/>
    <w:rsid w:val="001B0B6B"/>
    <w:rsid w:val="001B200E"/>
    <w:rsid w:val="001B2C15"/>
    <w:rsid w:val="001C1390"/>
    <w:rsid w:val="001C7804"/>
    <w:rsid w:val="001D0BFA"/>
    <w:rsid w:val="001D1207"/>
    <w:rsid w:val="001D23C6"/>
    <w:rsid w:val="001D2778"/>
    <w:rsid w:val="001D5519"/>
    <w:rsid w:val="001E02A6"/>
    <w:rsid w:val="001E3F1F"/>
    <w:rsid w:val="001E42F7"/>
    <w:rsid w:val="001E5F8A"/>
    <w:rsid w:val="001E6812"/>
    <w:rsid w:val="001E7601"/>
    <w:rsid w:val="001F6A75"/>
    <w:rsid w:val="001F794A"/>
    <w:rsid w:val="002007C2"/>
    <w:rsid w:val="00216A50"/>
    <w:rsid w:val="00220AFC"/>
    <w:rsid w:val="002229C9"/>
    <w:rsid w:val="00227D3E"/>
    <w:rsid w:val="00230FDE"/>
    <w:rsid w:val="00232D5A"/>
    <w:rsid w:val="00234E13"/>
    <w:rsid w:val="00236356"/>
    <w:rsid w:val="00244655"/>
    <w:rsid w:val="00247C14"/>
    <w:rsid w:val="00252EB7"/>
    <w:rsid w:val="00264C7B"/>
    <w:rsid w:val="00265A42"/>
    <w:rsid w:val="002843C7"/>
    <w:rsid w:val="00292E81"/>
    <w:rsid w:val="002A10F1"/>
    <w:rsid w:val="002A2B82"/>
    <w:rsid w:val="002A3961"/>
    <w:rsid w:val="002A425C"/>
    <w:rsid w:val="002A471E"/>
    <w:rsid w:val="002B1926"/>
    <w:rsid w:val="002B6A50"/>
    <w:rsid w:val="002C0572"/>
    <w:rsid w:val="002C30DB"/>
    <w:rsid w:val="002C4ABF"/>
    <w:rsid w:val="002C5975"/>
    <w:rsid w:val="002C7225"/>
    <w:rsid w:val="002C7294"/>
    <w:rsid w:val="002C7614"/>
    <w:rsid w:val="002D0F30"/>
    <w:rsid w:val="002D1863"/>
    <w:rsid w:val="002D4E70"/>
    <w:rsid w:val="002D54CF"/>
    <w:rsid w:val="002E0124"/>
    <w:rsid w:val="002E14E8"/>
    <w:rsid w:val="002E19D7"/>
    <w:rsid w:val="002F0438"/>
    <w:rsid w:val="002F1414"/>
    <w:rsid w:val="002F40BD"/>
    <w:rsid w:val="002F756A"/>
    <w:rsid w:val="003037C2"/>
    <w:rsid w:val="003075B4"/>
    <w:rsid w:val="0031120C"/>
    <w:rsid w:val="003145DE"/>
    <w:rsid w:val="00315A13"/>
    <w:rsid w:val="00317B3F"/>
    <w:rsid w:val="003202B5"/>
    <w:rsid w:val="00322385"/>
    <w:rsid w:val="00322EEF"/>
    <w:rsid w:val="003235E7"/>
    <w:rsid w:val="00323AC8"/>
    <w:rsid w:val="003314EE"/>
    <w:rsid w:val="00331D5C"/>
    <w:rsid w:val="00334EEB"/>
    <w:rsid w:val="003362F6"/>
    <w:rsid w:val="00337898"/>
    <w:rsid w:val="00344906"/>
    <w:rsid w:val="00354F01"/>
    <w:rsid w:val="003570E6"/>
    <w:rsid w:val="00361463"/>
    <w:rsid w:val="0036485A"/>
    <w:rsid w:val="003658FF"/>
    <w:rsid w:val="00366075"/>
    <w:rsid w:val="0037026D"/>
    <w:rsid w:val="00370A3B"/>
    <w:rsid w:val="003719E1"/>
    <w:rsid w:val="00373988"/>
    <w:rsid w:val="00374656"/>
    <w:rsid w:val="00376181"/>
    <w:rsid w:val="003806CB"/>
    <w:rsid w:val="00392495"/>
    <w:rsid w:val="00396F6E"/>
    <w:rsid w:val="003A295A"/>
    <w:rsid w:val="003A2B1A"/>
    <w:rsid w:val="003B012C"/>
    <w:rsid w:val="003B06BD"/>
    <w:rsid w:val="003C2F57"/>
    <w:rsid w:val="003D08AF"/>
    <w:rsid w:val="003E17D7"/>
    <w:rsid w:val="003E5D38"/>
    <w:rsid w:val="003E6E50"/>
    <w:rsid w:val="003F0981"/>
    <w:rsid w:val="003F0B1D"/>
    <w:rsid w:val="003F2CE6"/>
    <w:rsid w:val="003F3116"/>
    <w:rsid w:val="003F3F00"/>
    <w:rsid w:val="003F5AB2"/>
    <w:rsid w:val="003F6516"/>
    <w:rsid w:val="00400217"/>
    <w:rsid w:val="00401597"/>
    <w:rsid w:val="004026F8"/>
    <w:rsid w:val="00404174"/>
    <w:rsid w:val="0040627E"/>
    <w:rsid w:val="00410F8E"/>
    <w:rsid w:val="0041173D"/>
    <w:rsid w:val="00415BC5"/>
    <w:rsid w:val="00421C77"/>
    <w:rsid w:val="00421EAB"/>
    <w:rsid w:val="00422083"/>
    <w:rsid w:val="00427588"/>
    <w:rsid w:val="004310F6"/>
    <w:rsid w:val="00431B16"/>
    <w:rsid w:val="0044227A"/>
    <w:rsid w:val="004505E4"/>
    <w:rsid w:val="0045143B"/>
    <w:rsid w:val="00454C84"/>
    <w:rsid w:val="00457405"/>
    <w:rsid w:val="00457F20"/>
    <w:rsid w:val="004650FA"/>
    <w:rsid w:val="00465715"/>
    <w:rsid w:val="00466A6F"/>
    <w:rsid w:val="0047104B"/>
    <w:rsid w:val="0047158C"/>
    <w:rsid w:val="00471A4F"/>
    <w:rsid w:val="00472062"/>
    <w:rsid w:val="004724D9"/>
    <w:rsid w:val="00473016"/>
    <w:rsid w:val="00476361"/>
    <w:rsid w:val="00481459"/>
    <w:rsid w:val="00482172"/>
    <w:rsid w:val="004869AA"/>
    <w:rsid w:val="00492681"/>
    <w:rsid w:val="004969F3"/>
    <w:rsid w:val="004B05B5"/>
    <w:rsid w:val="004B15D6"/>
    <w:rsid w:val="004C0090"/>
    <w:rsid w:val="004C09D0"/>
    <w:rsid w:val="004C0D80"/>
    <w:rsid w:val="004C0EAF"/>
    <w:rsid w:val="004C36A2"/>
    <w:rsid w:val="004C58FB"/>
    <w:rsid w:val="004D0AF8"/>
    <w:rsid w:val="004D2B98"/>
    <w:rsid w:val="004E13F1"/>
    <w:rsid w:val="004E142D"/>
    <w:rsid w:val="004E2230"/>
    <w:rsid w:val="004E7943"/>
    <w:rsid w:val="004F69E3"/>
    <w:rsid w:val="004F7310"/>
    <w:rsid w:val="004F7489"/>
    <w:rsid w:val="00500254"/>
    <w:rsid w:val="0050187D"/>
    <w:rsid w:val="00502703"/>
    <w:rsid w:val="00507541"/>
    <w:rsid w:val="00511653"/>
    <w:rsid w:val="00514012"/>
    <w:rsid w:val="005209D2"/>
    <w:rsid w:val="005245F8"/>
    <w:rsid w:val="00533F6D"/>
    <w:rsid w:val="005349C7"/>
    <w:rsid w:val="00536141"/>
    <w:rsid w:val="005365FB"/>
    <w:rsid w:val="005402F2"/>
    <w:rsid w:val="0054367B"/>
    <w:rsid w:val="005476E8"/>
    <w:rsid w:val="005477DD"/>
    <w:rsid w:val="00550DBA"/>
    <w:rsid w:val="0055481A"/>
    <w:rsid w:val="005550DE"/>
    <w:rsid w:val="00561C81"/>
    <w:rsid w:val="00561DAB"/>
    <w:rsid w:val="00570A80"/>
    <w:rsid w:val="00573A4C"/>
    <w:rsid w:val="00575B30"/>
    <w:rsid w:val="005805EE"/>
    <w:rsid w:val="005833DC"/>
    <w:rsid w:val="00583F3E"/>
    <w:rsid w:val="00584894"/>
    <w:rsid w:val="0059292F"/>
    <w:rsid w:val="005948C9"/>
    <w:rsid w:val="005B0034"/>
    <w:rsid w:val="005B2D9C"/>
    <w:rsid w:val="005C0EA4"/>
    <w:rsid w:val="005C53AA"/>
    <w:rsid w:val="005C6E40"/>
    <w:rsid w:val="005C756A"/>
    <w:rsid w:val="005D085D"/>
    <w:rsid w:val="005D3237"/>
    <w:rsid w:val="005D6386"/>
    <w:rsid w:val="005D6603"/>
    <w:rsid w:val="005E0071"/>
    <w:rsid w:val="005E5E31"/>
    <w:rsid w:val="005F03D1"/>
    <w:rsid w:val="005F50F2"/>
    <w:rsid w:val="00600334"/>
    <w:rsid w:val="006020C3"/>
    <w:rsid w:val="006031EB"/>
    <w:rsid w:val="00604DCC"/>
    <w:rsid w:val="00605A5B"/>
    <w:rsid w:val="00610633"/>
    <w:rsid w:val="00610741"/>
    <w:rsid w:val="00612CC0"/>
    <w:rsid w:val="00612DFD"/>
    <w:rsid w:val="00616777"/>
    <w:rsid w:val="006213E4"/>
    <w:rsid w:val="00621D0B"/>
    <w:rsid w:val="00624D22"/>
    <w:rsid w:val="00627068"/>
    <w:rsid w:val="00633B98"/>
    <w:rsid w:val="00640E70"/>
    <w:rsid w:val="006413EB"/>
    <w:rsid w:val="00642FB1"/>
    <w:rsid w:val="006460F5"/>
    <w:rsid w:val="006465B0"/>
    <w:rsid w:val="00647C0A"/>
    <w:rsid w:val="00653AF6"/>
    <w:rsid w:val="00660840"/>
    <w:rsid w:val="00661BB3"/>
    <w:rsid w:val="006640B5"/>
    <w:rsid w:val="00665441"/>
    <w:rsid w:val="0067025D"/>
    <w:rsid w:val="0067104B"/>
    <w:rsid w:val="0067123C"/>
    <w:rsid w:val="00671E2F"/>
    <w:rsid w:val="006721E0"/>
    <w:rsid w:val="00674B46"/>
    <w:rsid w:val="00675779"/>
    <w:rsid w:val="00682969"/>
    <w:rsid w:val="00694542"/>
    <w:rsid w:val="006A2DA6"/>
    <w:rsid w:val="006A35B1"/>
    <w:rsid w:val="006A544D"/>
    <w:rsid w:val="006B1F62"/>
    <w:rsid w:val="006B7D01"/>
    <w:rsid w:val="006C04BB"/>
    <w:rsid w:val="006C4000"/>
    <w:rsid w:val="006D21CC"/>
    <w:rsid w:val="006D2946"/>
    <w:rsid w:val="006D48B8"/>
    <w:rsid w:val="006E131C"/>
    <w:rsid w:val="006E1E2C"/>
    <w:rsid w:val="006E464E"/>
    <w:rsid w:val="006E4CD8"/>
    <w:rsid w:val="006E5471"/>
    <w:rsid w:val="006F4B7C"/>
    <w:rsid w:val="00702ACD"/>
    <w:rsid w:val="00706F17"/>
    <w:rsid w:val="0071277C"/>
    <w:rsid w:val="00713813"/>
    <w:rsid w:val="007153AF"/>
    <w:rsid w:val="0071584C"/>
    <w:rsid w:val="00717EFD"/>
    <w:rsid w:val="00723543"/>
    <w:rsid w:val="00724860"/>
    <w:rsid w:val="007255EC"/>
    <w:rsid w:val="0072703E"/>
    <w:rsid w:val="0073444D"/>
    <w:rsid w:val="007365F0"/>
    <w:rsid w:val="00740AB7"/>
    <w:rsid w:val="007438F0"/>
    <w:rsid w:val="007564AC"/>
    <w:rsid w:val="00760EA5"/>
    <w:rsid w:val="00761817"/>
    <w:rsid w:val="0076332F"/>
    <w:rsid w:val="00765042"/>
    <w:rsid w:val="00765892"/>
    <w:rsid w:val="00774342"/>
    <w:rsid w:val="00774FB5"/>
    <w:rsid w:val="00777963"/>
    <w:rsid w:val="0078474B"/>
    <w:rsid w:val="007854DD"/>
    <w:rsid w:val="00791D61"/>
    <w:rsid w:val="0079309E"/>
    <w:rsid w:val="00794FD6"/>
    <w:rsid w:val="007A1A49"/>
    <w:rsid w:val="007A3D98"/>
    <w:rsid w:val="007A484B"/>
    <w:rsid w:val="007A5868"/>
    <w:rsid w:val="007B097F"/>
    <w:rsid w:val="007C7AA8"/>
    <w:rsid w:val="007D3BBF"/>
    <w:rsid w:val="007D4AA6"/>
    <w:rsid w:val="007D5F7A"/>
    <w:rsid w:val="007D6861"/>
    <w:rsid w:val="007D6E94"/>
    <w:rsid w:val="007E3AE8"/>
    <w:rsid w:val="007E43B2"/>
    <w:rsid w:val="007F1168"/>
    <w:rsid w:val="00802F46"/>
    <w:rsid w:val="00803359"/>
    <w:rsid w:val="00803D15"/>
    <w:rsid w:val="008056D4"/>
    <w:rsid w:val="008058B6"/>
    <w:rsid w:val="008073C4"/>
    <w:rsid w:val="00807636"/>
    <w:rsid w:val="00830C79"/>
    <w:rsid w:val="00830CE7"/>
    <w:rsid w:val="00831916"/>
    <w:rsid w:val="00834C10"/>
    <w:rsid w:val="00834CC6"/>
    <w:rsid w:val="008370D2"/>
    <w:rsid w:val="00841BFB"/>
    <w:rsid w:val="00842EDB"/>
    <w:rsid w:val="00844653"/>
    <w:rsid w:val="00845BBD"/>
    <w:rsid w:val="00846601"/>
    <w:rsid w:val="00846C43"/>
    <w:rsid w:val="00850F37"/>
    <w:rsid w:val="00854C7E"/>
    <w:rsid w:val="008603EC"/>
    <w:rsid w:val="0086154B"/>
    <w:rsid w:val="00862760"/>
    <w:rsid w:val="00863B27"/>
    <w:rsid w:val="008645F2"/>
    <w:rsid w:val="008716C5"/>
    <w:rsid w:val="008718B2"/>
    <w:rsid w:val="0087207A"/>
    <w:rsid w:val="0087388C"/>
    <w:rsid w:val="008756D3"/>
    <w:rsid w:val="008812F0"/>
    <w:rsid w:val="008818AD"/>
    <w:rsid w:val="00882CE3"/>
    <w:rsid w:val="00882FE9"/>
    <w:rsid w:val="0088534C"/>
    <w:rsid w:val="00895D55"/>
    <w:rsid w:val="0089714F"/>
    <w:rsid w:val="008A0536"/>
    <w:rsid w:val="008A0E70"/>
    <w:rsid w:val="008A2DA3"/>
    <w:rsid w:val="008B446A"/>
    <w:rsid w:val="008B562B"/>
    <w:rsid w:val="008C22FF"/>
    <w:rsid w:val="008C2F17"/>
    <w:rsid w:val="008C5A78"/>
    <w:rsid w:val="008C6362"/>
    <w:rsid w:val="008C6D90"/>
    <w:rsid w:val="008C76B1"/>
    <w:rsid w:val="008D019B"/>
    <w:rsid w:val="008D2645"/>
    <w:rsid w:val="008D3CEE"/>
    <w:rsid w:val="008D771F"/>
    <w:rsid w:val="008E0E73"/>
    <w:rsid w:val="008E2DF5"/>
    <w:rsid w:val="008E43E2"/>
    <w:rsid w:val="008E5116"/>
    <w:rsid w:val="008F3B9B"/>
    <w:rsid w:val="008F53F4"/>
    <w:rsid w:val="008F5ED1"/>
    <w:rsid w:val="00903D64"/>
    <w:rsid w:val="009043DC"/>
    <w:rsid w:val="0090466E"/>
    <w:rsid w:val="009117C3"/>
    <w:rsid w:val="00914B7E"/>
    <w:rsid w:val="00914C24"/>
    <w:rsid w:val="00921BD5"/>
    <w:rsid w:val="00930D56"/>
    <w:rsid w:val="00931AD7"/>
    <w:rsid w:val="009376CD"/>
    <w:rsid w:val="009411BD"/>
    <w:rsid w:val="009476DF"/>
    <w:rsid w:val="00950FC4"/>
    <w:rsid w:val="00952C65"/>
    <w:rsid w:val="00957166"/>
    <w:rsid w:val="009653A1"/>
    <w:rsid w:val="00966EAE"/>
    <w:rsid w:val="00967BBD"/>
    <w:rsid w:val="00971AF2"/>
    <w:rsid w:val="00976612"/>
    <w:rsid w:val="00976A43"/>
    <w:rsid w:val="009809D7"/>
    <w:rsid w:val="00980D0C"/>
    <w:rsid w:val="00983ABB"/>
    <w:rsid w:val="0098581E"/>
    <w:rsid w:val="00986F24"/>
    <w:rsid w:val="00993748"/>
    <w:rsid w:val="00996E85"/>
    <w:rsid w:val="00997BD2"/>
    <w:rsid w:val="009A2D85"/>
    <w:rsid w:val="009A70C7"/>
    <w:rsid w:val="009B0B11"/>
    <w:rsid w:val="009B2BB0"/>
    <w:rsid w:val="009C0B5A"/>
    <w:rsid w:val="009C656C"/>
    <w:rsid w:val="009C6E6C"/>
    <w:rsid w:val="009D08F2"/>
    <w:rsid w:val="009D29C0"/>
    <w:rsid w:val="009D3F0E"/>
    <w:rsid w:val="009E1F75"/>
    <w:rsid w:val="009E308A"/>
    <w:rsid w:val="009E5D6D"/>
    <w:rsid w:val="009F13E5"/>
    <w:rsid w:val="009F531F"/>
    <w:rsid w:val="00A00A4F"/>
    <w:rsid w:val="00A02983"/>
    <w:rsid w:val="00A1125D"/>
    <w:rsid w:val="00A13C02"/>
    <w:rsid w:val="00A16402"/>
    <w:rsid w:val="00A176BF"/>
    <w:rsid w:val="00A221B9"/>
    <w:rsid w:val="00A252DE"/>
    <w:rsid w:val="00A25BF7"/>
    <w:rsid w:val="00A2600B"/>
    <w:rsid w:val="00A3555E"/>
    <w:rsid w:val="00A3738D"/>
    <w:rsid w:val="00A375F3"/>
    <w:rsid w:val="00A37F69"/>
    <w:rsid w:val="00A41C20"/>
    <w:rsid w:val="00A44645"/>
    <w:rsid w:val="00A50CFA"/>
    <w:rsid w:val="00A5381E"/>
    <w:rsid w:val="00A56F3E"/>
    <w:rsid w:val="00A64D00"/>
    <w:rsid w:val="00A7159D"/>
    <w:rsid w:val="00A7214E"/>
    <w:rsid w:val="00A7436D"/>
    <w:rsid w:val="00A74C78"/>
    <w:rsid w:val="00A750C2"/>
    <w:rsid w:val="00A833A9"/>
    <w:rsid w:val="00A91004"/>
    <w:rsid w:val="00A96B80"/>
    <w:rsid w:val="00AA5927"/>
    <w:rsid w:val="00AB01E7"/>
    <w:rsid w:val="00AB5AF0"/>
    <w:rsid w:val="00AB60ED"/>
    <w:rsid w:val="00AB6A73"/>
    <w:rsid w:val="00AC187A"/>
    <w:rsid w:val="00AC1BE3"/>
    <w:rsid w:val="00AC27BA"/>
    <w:rsid w:val="00AC377F"/>
    <w:rsid w:val="00AC5962"/>
    <w:rsid w:val="00AC6260"/>
    <w:rsid w:val="00AC6765"/>
    <w:rsid w:val="00AD11F0"/>
    <w:rsid w:val="00AD2C5F"/>
    <w:rsid w:val="00AD31B8"/>
    <w:rsid w:val="00AD39D1"/>
    <w:rsid w:val="00AE143D"/>
    <w:rsid w:val="00AE40CF"/>
    <w:rsid w:val="00AE54B2"/>
    <w:rsid w:val="00AE6E03"/>
    <w:rsid w:val="00AF027E"/>
    <w:rsid w:val="00AF1F3E"/>
    <w:rsid w:val="00AF3723"/>
    <w:rsid w:val="00AF4A48"/>
    <w:rsid w:val="00AF4AAB"/>
    <w:rsid w:val="00AF59B0"/>
    <w:rsid w:val="00B065EA"/>
    <w:rsid w:val="00B11568"/>
    <w:rsid w:val="00B17D52"/>
    <w:rsid w:val="00B17D8C"/>
    <w:rsid w:val="00B20078"/>
    <w:rsid w:val="00B2152D"/>
    <w:rsid w:val="00B21C86"/>
    <w:rsid w:val="00B22558"/>
    <w:rsid w:val="00B24CB2"/>
    <w:rsid w:val="00B2589E"/>
    <w:rsid w:val="00B31432"/>
    <w:rsid w:val="00B31467"/>
    <w:rsid w:val="00B32BBC"/>
    <w:rsid w:val="00B32D62"/>
    <w:rsid w:val="00B3654F"/>
    <w:rsid w:val="00B36952"/>
    <w:rsid w:val="00B47F7A"/>
    <w:rsid w:val="00B50260"/>
    <w:rsid w:val="00B5269A"/>
    <w:rsid w:val="00B55C2D"/>
    <w:rsid w:val="00B57E48"/>
    <w:rsid w:val="00B60679"/>
    <w:rsid w:val="00B639DC"/>
    <w:rsid w:val="00B7518A"/>
    <w:rsid w:val="00B77190"/>
    <w:rsid w:val="00B80C84"/>
    <w:rsid w:val="00B95C22"/>
    <w:rsid w:val="00B971D9"/>
    <w:rsid w:val="00BA1626"/>
    <w:rsid w:val="00BA3903"/>
    <w:rsid w:val="00BA4AC7"/>
    <w:rsid w:val="00BA7439"/>
    <w:rsid w:val="00BB0714"/>
    <w:rsid w:val="00BB4E4B"/>
    <w:rsid w:val="00BC055A"/>
    <w:rsid w:val="00BC52A7"/>
    <w:rsid w:val="00BC69D2"/>
    <w:rsid w:val="00BD23F6"/>
    <w:rsid w:val="00BE0811"/>
    <w:rsid w:val="00BE0ACA"/>
    <w:rsid w:val="00BE1380"/>
    <w:rsid w:val="00BE6B7B"/>
    <w:rsid w:val="00BF105C"/>
    <w:rsid w:val="00BF40CD"/>
    <w:rsid w:val="00BF530C"/>
    <w:rsid w:val="00C01723"/>
    <w:rsid w:val="00C01FE4"/>
    <w:rsid w:val="00C045C5"/>
    <w:rsid w:val="00C0759A"/>
    <w:rsid w:val="00C1324C"/>
    <w:rsid w:val="00C15246"/>
    <w:rsid w:val="00C1649B"/>
    <w:rsid w:val="00C21BB3"/>
    <w:rsid w:val="00C224A8"/>
    <w:rsid w:val="00C23362"/>
    <w:rsid w:val="00C341B7"/>
    <w:rsid w:val="00C36AFA"/>
    <w:rsid w:val="00C46198"/>
    <w:rsid w:val="00C47EC6"/>
    <w:rsid w:val="00C51B46"/>
    <w:rsid w:val="00C51F21"/>
    <w:rsid w:val="00C5446A"/>
    <w:rsid w:val="00C5631B"/>
    <w:rsid w:val="00C57D2B"/>
    <w:rsid w:val="00C62145"/>
    <w:rsid w:val="00C66DBB"/>
    <w:rsid w:val="00C678DB"/>
    <w:rsid w:val="00C725B2"/>
    <w:rsid w:val="00C759FD"/>
    <w:rsid w:val="00C77C1C"/>
    <w:rsid w:val="00C80470"/>
    <w:rsid w:val="00C90EC3"/>
    <w:rsid w:val="00C95A88"/>
    <w:rsid w:val="00CA221F"/>
    <w:rsid w:val="00CA24CF"/>
    <w:rsid w:val="00CA6A0B"/>
    <w:rsid w:val="00CB0DBE"/>
    <w:rsid w:val="00CB3DFF"/>
    <w:rsid w:val="00CB6DFE"/>
    <w:rsid w:val="00CB7570"/>
    <w:rsid w:val="00CC7032"/>
    <w:rsid w:val="00CC73C4"/>
    <w:rsid w:val="00CD0439"/>
    <w:rsid w:val="00CD0F19"/>
    <w:rsid w:val="00CD3F5A"/>
    <w:rsid w:val="00CE08ED"/>
    <w:rsid w:val="00CE3400"/>
    <w:rsid w:val="00CF009E"/>
    <w:rsid w:val="00CF1DEC"/>
    <w:rsid w:val="00D04FB8"/>
    <w:rsid w:val="00D065E9"/>
    <w:rsid w:val="00D11A2D"/>
    <w:rsid w:val="00D13910"/>
    <w:rsid w:val="00D1775F"/>
    <w:rsid w:val="00D22CFF"/>
    <w:rsid w:val="00D33987"/>
    <w:rsid w:val="00D37D35"/>
    <w:rsid w:val="00D414ED"/>
    <w:rsid w:val="00D51A1D"/>
    <w:rsid w:val="00D52568"/>
    <w:rsid w:val="00D53625"/>
    <w:rsid w:val="00D569D3"/>
    <w:rsid w:val="00D620DC"/>
    <w:rsid w:val="00D62E15"/>
    <w:rsid w:val="00D63E95"/>
    <w:rsid w:val="00D64F80"/>
    <w:rsid w:val="00D67F11"/>
    <w:rsid w:val="00D71366"/>
    <w:rsid w:val="00D83CB7"/>
    <w:rsid w:val="00D8732A"/>
    <w:rsid w:val="00D92355"/>
    <w:rsid w:val="00D92841"/>
    <w:rsid w:val="00D93CAD"/>
    <w:rsid w:val="00D94E5A"/>
    <w:rsid w:val="00D95450"/>
    <w:rsid w:val="00DA1625"/>
    <w:rsid w:val="00DB6522"/>
    <w:rsid w:val="00DB6A69"/>
    <w:rsid w:val="00DB7CE7"/>
    <w:rsid w:val="00DD2AE0"/>
    <w:rsid w:val="00DE08A2"/>
    <w:rsid w:val="00DE2597"/>
    <w:rsid w:val="00DE2666"/>
    <w:rsid w:val="00DE6F6C"/>
    <w:rsid w:val="00DF1685"/>
    <w:rsid w:val="00DF6323"/>
    <w:rsid w:val="00E031AC"/>
    <w:rsid w:val="00E03229"/>
    <w:rsid w:val="00E0485D"/>
    <w:rsid w:val="00E0576C"/>
    <w:rsid w:val="00E06AEA"/>
    <w:rsid w:val="00E10F1F"/>
    <w:rsid w:val="00E16DEE"/>
    <w:rsid w:val="00E223FF"/>
    <w:rsid w:val="00E248F4"/>
    <w:rsid w:val="00E255CD"/>
    <w:rsid w:val="00E256AB"/>
    <w:rsid w:val="00E34971"/>
    <w:rsid w:val="00E40420"/>
    <w:rsid w:val="00E433C7"/>
    <w:rsid w:val="00E45F88"/>
    <w:rsid w:val="00E46202"/>
    <w:rsid w:val="00E46838"/>
    <w:rsid w:val="00E5007D"/>
    <w:rsid w:val="00E50928"/>
    <w:rsid w:val="00E537E8"/>
    <w:rsid w:val="00E53819"/>
    <w:rsid w:val="00E61E11"/>
    <w:rsid w:val="00E628DF"/>
    <w:rsid w:val="00E6299F"/>
    <w:rsid w:val="00E712B0"/>
    <w:rsid w:val="00E723A2"/>
    <w:rsid w:val="00E7388E"/>
    <w:rsid w:val="00E73BCE"/>
    <w:rsid w:val="00E740F5"/>
    <w:rsid w:val="00E75224"/>
    <w:rsid w:val="00E756CD"/>
    <w:rsid w:val="00E810EF"/>
    <w:rsid w:val="00E829DD"/>
    <w:rsid w:val="00E82DB5"/>
    <w:rsid w:val="00E83771"/>
    <w:rsid w:val="00E87F6A"/>
    <w:rsid w:val="00E93A23"/>
    <w:rsid w:val="00EA297C"/>
    <w:rsid w:val="00EA51B0"/>
    <w:rsid w:val="00EA728D"/>
    <w:rsid w:val="00EB7219"/>
    <w:rsid w:val="00EB75CD"/>
    <w:rsid w:val="00EC03AE"/>
    <w:rsid w:val="00EC0F67"/>
    <w:rsid w:val="00EC0FF3"/>
    <w:rsid w:val="00EC1AFB"/>
    <w:rsid w:val="00EC23BA"/>
    <w:rsid w:val="00EC4140"/>
    <w:rsid w:val="00EC4374"/>
    <w:rsid w:val="00EC4434"/>
    <w:rsid w:val="00EC7635"/>
    <w:rsid w:val="00ED0B84"/>
    <w:rsid w:val="00ED0F3C"/>
    <w:rsid w:val="00ED2826"/>
    <w:rsid w:val="00ED35B9"/>
    <w:rsid w:val="00ED38C4"/>
    <w:rsid w:val="00ED48AB"/>
    <w:rsid w:val="00ED5614"/>
    <w:rsid w:val="00ED7338"/>
    <w:rsid w:val="00EE0FE9"/>
    <w:rsid w:val="00EE272A"/>
    <w:rsid w:val="00EE37DA"/>
    <w:rsid w:val="00EE6C49"/>
    <w:rsid w:val="00EF0E39"/>
    <w:rsid w:val="00EF6D53"/>
    <w:rsid w:val="00F00656"/>
    <w:rsid w:val="00F067E2"/>
    <w:rsid w:val="00F1273A"/>
    <w:rsid w:val="00F268F1"/>
    <w:rsid w:val="00F27B0E"/>
    <w:rsid w:val="00F31C63"/>
    <w:rsid w:val="00F3394D"/>
    <w:rsid w:val="00F41423"/>
    <w:rsid w:val="00F521E8"/>
    <w:rsid w:val="00F53D4B"/>
    <w:rsid w:val="00F6211E"/>
    <w:rsid w:val="00F65FD4"/>
    <w:rsid w:val="00F716FD"/>
    <w:rsid w:val="00F74386"/>
    <w:rsid w:val="00F76B3D"/>
    <w:rsid w:val="00F83C5C"/>
    <w:rsid w:val="00F867A0"/>
    <w:rsid w:val="00F8765B"/>
    <w:rsid w:val="00F917E7"/>
    <w:rsid w:val="00F92FCF"/>
    <w:rsid w:val="00F95F48"/>
    <w:rsid w:val="00FA2212"/>
    <w:rsid w:val="00FA3B96"/>
    <w:rsid w:val="00FA71D2"/>
    <w:rsid w:val="00FA7D20"/>
    <w:rsid w:val="00FB01C4"/>
    <w:rsid w:val="00FC1F41"/>
    <w:rsid w:val="00FC2DDE"/>
    <w:rsid w:val="00FD4BDD"/>
    <w:rsid w:val="00FD78FE"/>
    <w:rsid w:val="00FE05D3"/>
    <w:rsid w:val="00FE0D9F"/>
    <w:rsid w:val="00FE0FC6"/>
    <w:rsid w:val="00FE33E8"/>
    <w:rsid w:val="00FE36B4"/>
    <w:rsid w:val="00FE41F9"/>
    <w:rsid w:val="00FE59E0"/>
    <w:rsid w:val="00FF5C39"/>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7AD876-2B3B-4713-89C5-BD29137C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90"/>
    <w:pPr>
      <w:spacing w:after="0" w:line="240" w:lineRule="auto"/>
    </w:pPr>
    <w:rPr>
      <w:rFonts w:ascii="Times New Roman" w:eastAsia="Times New Roman" w:hAnsi="Times New Roman" w:cs="Times New Roman"/>
      <w:kern w:val="0"/>
      <w:lang w:bidi="en-US"/>
      <w14:ligatures w14:val="none"/>
    </w:rPr>
  </w:style>
  <w:style w:type="paragraph" w:styleId="Heading1">
    <w:name w:val="heading 1"/>
    <w:basedOn w:val="Normal"/>
    <w:next w:val="Normal"/>
    <w:link w:val="Heading1Char"/>
    <w:uiPriority w:val="9"/>
    <w:qFormat/>
    <w:rsid w:val="00047D4F"/>
    <w:pPr>
      <w:keepNext/>
      <w:keepLines/>
      <w:ind w:left="720" w:hanging="720"/>
      <w:outlineLvl w:val="0"/>
    </w:pPr>
    <w:rPr>
      <w:rFonts w:eastAsiaTheme="majorEastAsia" w:cstheme="majorBidi"/>
      <w:b/>
      <w:kern w:val="2"/>
      <w:szCs w:val="40"/>
      <w:lang w:bidi="ar-SA"/>
      <w14:ligatures w14:val="standardContextual"/>
    </w:rPr>
  </w:style>
  <w:style w:type="paragraph" w:styleId="Heading2">
    <w:name w:val="heading 2"/>
    <w:basedOn w:val="Normal"/>
    <w:next w:val="Normal"/>
    <w:link w:val="Heading2Char"/>
    <w:uiPriority w:val="9"/>
    <w:unhideWhenUsed/>
    <w:qFormat/>
    <w:rsid w:val="00674B46"/>
    <w:pPr>
      <w:keepNext/>
      <w:keepLines/>
      <w:ind w:left="1440" w:hanging="720"/>
      <w:outlineLvl w:val="1"/>
    </w:pPr>
    <w:rPr>
      <w:rFonts w:eastAsiaTheme="majorEastAsia" w:cstheme="majorBidi"/>
      <w:b/>
      <w:kern w:val="2"/>
      <w:szCs w:val="32"/>
      <w:lang w:bidi="ar-SA"/>
      <w14:ligatures w14:val="standardContextual"/>
    </w:rPr>
  </w:style>
  <w:style w:type="paragraph" w:styleId="Heading3">
    <w:name w:val="heading 3"/>
    <w:basedOn w:val="Normal"/>
    <w:next w:val="Normal"/>
    <w:link w:val="Heading3Char"/>
    <w:uiPriority w:val="9"/>
    <w:unhideWhenUsed/>
    <w:qFormat/>
    <w:rsid w:val="00454C84"/>
    <w:pPr>
      <w:keepNext/>
      <w:keepLines/>
      <w:ind w:left="1440"/>
      <w:outlineLvl w:val="2"/>
    </w:pPr>
    <w:rPr>
      <w:rFonts w:eastAsiaTheme="majorEastAsia" w:cstheme="majorBidi"/>
      <w:b/>
      <w:kern w:val="2"/>
      <w:szCs w:val="28"/>
      <w:lang w:bidi="ar-SA"/>
      <w14:ligatures w14:val="standardContextual"/>
    </w:rPr>
  </w:style>
  <w:style w:type="paragraph" w:styleId="Heading4">
    <w:name w:val="heading 4"/>
    <w:basedOn w:val="Normal"/>
    <w:next w:val="Normal"/>
    <w:link w:val="Heading4Char"/>
    <w:uiPriority w:val="9"/>
    <w:semiHidden/>
    <w:unhideWhenUsed/>
    <w:qFormat/>
    <w:rsid w:val="00863B2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863B27"/>
    <w:pPr>
      <w:keepNext/>
      <w:keepLines/>
      <w:spacing w:before="80" w:after="40" w:line="278"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863B27"/>
    <w:pPr>
      <w:keepNext/>
      <w:keepLines/>
      <w:spacing w:before="40" w:line="278"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863B27"/>
    <w:pPr>
      <w:keepNext/>
      <w:keepLines/>
      <w:spacing w:before="40" w:line="278"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863B27"/>
    <w:pPr>
      <w:keepNext/>
      <w:keepLines/>
      <w:spacing w:line="278"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863B27"/>
    <w:pPr>
      <w:keepNext/>
      <w:keepLines/>
      <w:spacing w:line="278"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4F"/>
    <w:rPr>
      <w:rFonts w:ascii="Times New Roman" w:eastAsiaTheme="majorEastAsia" w:hAnsi="Times New Roman" w:cstheme="majorBidi"/>
      <w:b/>
      <w:szCs w:val="40"/>
    </w:rPr>
  </w:style>
  <w:style w:type="character" w:customStyle="1" w:styleId="Heading2Char">
    <w:name w:val="Heading 2 Char"/>
    <w:basedOn w:val="DefaultParagraphFont"/>
    <w:link w:val="Heading2"/>
    <w:uiPriority w:val="9"/>
    <w:rsid w:val="00674B46"/>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rsid w:val="00454C84"/>
    <w:rPr>
      <w:rFonts w:ascii="Times New Roman" w:eastAsiaTheme="majorEastAsia" w:hAnsi="Times New Roman" w:cstheme="majorBidi"/>
      <w:b/>
      <w:szCs w:val="28"/>
    </w:rPr>
  </w:style>
  <w:style w:type="character" w:customStyle="1" w:styleId="Heading4Char">
    <w:name w:val="Heading 4 Char"/>
    <w:basedOn w:val="DefaultParagraphFont"/>
    <w:link w:val="Heading4"/>
    <w:uiPriority w:val="9"/>
    <w:semiHidden/>
    <w:rsid w:val="00863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B27"/>
    <w:rPr>
      <w:rFonts w:eastAsiaTheme="majorEastAsia" w:cstheme="majorBidi"/>
      <w:color w:val="272727" w:themeColor="text1" w:themeTint="D8"/>
    </w:rPr>
  </w:style>
  <w:style w:type="paragraph" w:styleId="Title">
    <w:name w:val="Title"/>
    <w:basedOn w:val="Normal"/>
    <w:next w:val="Normal"/>
    <w:link w:val="TitleChar"/>
    <w:uiPriority w:val="10"/>
    <w:qFormat/>
    <w:rsid w:val="00863B27"/>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863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B2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863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B27"/>
    <w:pPr>
      <w:spacing w:before="160" w:after="160" w:line="278"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863B27"/>
    <w:rPr>
      <w:i/>
      <w:iCs/>
      <w:color w:val="404040" w:themeColor="text1" w:themeTint="BF"/>
    </w:rPr>
  </w:style>
  <w:style w:type="paragraph" w:styleId="ListParagraph">
    <w:name w:val="List Paragraph"/>
    <w:basedOn w:val="Normal"/>
    <w:uiPriority w:val="34"/>
    <w:qFormat/>
    <w:rsid w:val="00863B27"/>
    <w:pPr>
      <w:spacing w:after="160" w:line="278"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863B27"/>
    <w:rPr>
      <w:i/>
      <w:iCs/>
      <w:color w:val="0F4761" w:themeColor="accent1" w:themeShade="BF"/>
    </w:rPr>
  </w:style>
  <w:style w:type="paragraph" w:styleId="IntenseQuote">
    <w:name w:val="Intense Quote"/>
    <w:basedOn w:val="Normal"/>
    <w:next w:val="Normal"/>
    <w:link w:val="IntenseQuoteChar"/>
    <w:uiPriority w:val="30"/>
    <w:qFormat/>
    <w:rsid w:val="00863B2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863B27"/>
    <w:rPr>
      <w:i/>
      <w:iCs/>
      <w:color w:val="0F4761" w:themeColor="accent1" w:themeShade="BF"/>
    </w:rPr>
  </w:style>
  <w:style w:type="character" w:styleId="IntenseReference">
    <w:name w:val="Intense Reference"/>
    <w:basedOn w:val="DefaultParagraphFont"/>
    <w:uiPriority w:val="32"/>
    <w:qFormat/>
    <w:rsid w:val="00863B27"/>
    <w:rPr>
      <w:b/>
      <w:bCs/>
      <w:smallCaps/>
      <w:color w:val="0F4761" w:themeColor="accent1" w:themeShade="BF"/>
      <w:spacing w:val="5"/>
    </w:rPr>
  </w:style>
  <w:style w:type="paragraph" w:styleId="HTMLPreformatted">
    <w:name w:val="HTML Preformatted"/>
    <w:basedOn w:val="Normal"/>
    <w:link w:val="HTMLPreformattedChar"/>
    <w:semiHidden/>
    <w:unhideWhenUsed/>
    <w:rsid w:val="008C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basedOn w:val="DefaultParagraphFont"/>
    <w:link w:val="HTMLPreformatted"/>
    <w:semiHidden/>
    <w:rsid w:val="008C6D90"/>
    <w:rPr>
      <w:rFonts w:ascii="Courier New" w:eastAsia="Courier New" w:hAnsi="Courier New" w:cs="Courier New"/>
      <w:kern w:val="0"/>
      <w:sz w:val="20"/>
      <w:szCs w:val="20"/>
      <w14:ligatures w14:val="none"/>
    </w:rPr>
  </w:style>
  <w:style w:type="paragraph" w:styleId="FootnoteText">
    <w:name w:val="footnote text"/>
    <w:basedOn w:val="Normal"/>
    <w:link w:val="FootnoteTextChar"/>
    <w:uiPriority w:val="99"/>
    <w:semiHidden/>
    <w:unhideWhenUsed/>
    <w:rsid w:val="009C6E6C"/>
    <w:rPr>
      <w:sz w:val="20"/>
      <w:szCs w:val="20"/>
    </w:rPr>
  </w:style>
  <w:style w:type="character" w:customStyle="1" w:styleId="FootnoteTextChar">
    <w:name w:val="Footnote Text Char"/>
    <w:basedOn w:val="DefaultParagraphFont"/>
    <w:link w:val="FootnoteText"/>
    <w:uiPriority w:val="99"/>
    <w:semiHidden/>
    <w:rsid w:val="009C6E6C"/>
    <w:rPr>
      <w:rFonts w:ascii="Times New Roman" w:eastAsia="Times New Roman" w:hAnsi="Times New Roman" w:cs="Times New Roman"/>
      <w:kern w:val="0"/>
      <w:sz w:val="20"/>
      <w:szCs w:val="20"/>
      <w:lang w:bidi="en-US"/>
      <w14:ligatures w14:val="none"/>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9C6E6C"/>
    <w:rPr>
      <w:vertAlign w:val="superscript"/>
    </w:rPr>
  </w:style>
  <w:style w:type="character" w:styleId="Hyperlink">
    <w:name w:val="Hyperlink"/>
    <w:basedOn w:val="DefaultParagraphFont"/>
    <w:uiPriority w:val="99"/>
    <w:unhideWhenUsed/>
    <w:rsid w:val="000A16BD"/>
    <w:rPr>
      <w:color w:val="467886" w:themeColor="hyperlink"/>
      <w:u w:val="single"/>
    </w:rPr>
  </w:style>
  <w:style w:type="paragraph" w:styleId="Header">
    <w:name w:val="header"/>
    <w:basedOn w:val="Normal"/>
    <w:link w:val="HeaderChar"/>
    <w:uiPriority w:val="99"/>
    <w:unhideWhenUsed/>
    <w:rsid w:val="001C7804"/>
    <w:pPr>
      <w:tabs>
        <w:tab w:val="center" w:pos="4680"/>
        <w:tab w:val="right" w:pos="9360"/>
      </w:tabs>
    </w:pPr>
  </w:style>
  <w:style w:type="character" w:customStyle="1" w:styleId="HeaderChar">
    <w:name w:val="Header Char"/>
    <w:basedOn w:val="DefaultParagraphFont"/>
    <w:link w:val="Header"/>
    <w:uiPriority w:val="99"/>
    <w:rsid w:val="001C7804"/>
    <w:rPr>
      <w:rFonts w:ascii="Times New Roman" w:eastAsia="Times New Roman" w:hAnsi="Times New Roman" w:cs="Times New Roman"/>
      <w:kern w:val="0"/>
      <w:lang w:bidi="en-US"/>
      <w14:ligatures w14:val="none"/>
    </w:rPr>
  </w:style>
  <w:style w:type="paragraph" w:styleId="Footer">
    <w:name w:val="footer"/>
    <w:basedOn w:val="Normal"/>
    <w:link w:val="FooterChar"/>
    <w:uiPriority w:val="99"/>
    <w:unhideWhenUsed/>
    <w:rsid w:val="001C7804"/>
    <w:pPr>
      <w:tabs>
        <w:tab w:val="center" w:pos="4680"/>
        <w:tab w:val="right" w:pos="9360"/>
      </w:tabs>
    </w:pPr>
  </w:style>
  <w:style w:type="character" w:customStyle="1" w:styleId="FooterChar">
    <w:name w:val="Footer Char"/>
    <w:basedOn w:val="DefaultParagraphFont"/>
    <w:link w:val="Footer"/>
    <w:uiPriority w:val="99"/>
    <w:rsid w:val="001C7804"/>
    <w:rPr>
      <w:rFonts w:ascii="Times New Roman" w:eastAsia="Times New Roman" w:hAnsi="Times New Roman" w:cs="Times New Roman"/>
      <w:kern w:val="0"/>
      <w:lang w:bidi="en-US"/>
      <w14:ligatures w14:val="none"/>
    </w:rPr>
  </w:style>
  <w:style w:type="character" w:customStyle="1" w:styleId="UnresolvedMention1">
    <w:name w:val="Unresolved Mention1"/>
    <w:basedOn w:val="DefaultParagraphFont"/>
    <w:uiPriority w:val="99"/>
    <w:semiHidden/>
    <w:unhideWhenUsed/>
    <w:rsid w:val="002D54CF"/>
    <w:rPr>
      <w:color w:val="605E5C"/>
      <w:shd w:val="clear" w:color="auto" w:fill="E1DFDD"/>
    </w:rPr>
  </w:style>
  <w:style w:type="character" w:styleId="CommentReference">
    <w:name w:val="annotation reference"/>
    <w:basedOn w:val="DefaultParagraphFont"/>
    <w:uiPriority w:val="99"/>
    <w:semiHidden/>
    <w:unhideWhenUsed/>
    <w:rsid w:val="00B065EA"/>
    <w:rPr>
      <w:sz w:val="16"/>
      <w:szCs w:val="16"/>
    </w:rPr>
  </w:style>
  <w:style w:type="paragraph" w:styleId="CommentText">
    <w:name w:val="annotation text"/>
    <w:basedOn w:val="Normal"/>
    <w:link w:val="CommentTextChar"/>
    <w:unhideWhenUsed/>
    <w:rsid w:val="00B065EA"/>
    <w:rPr>
      <w:sz w:val="20"/>
      <w:szCs w:val="20"/>
    </w:rPr>
  </w:style>
  <w:style w:type="character" w:customStyle="1" w:styleId="CommentTextChar">
    <w:name w:val="Comment Text Char"/>
    <w:basedOn w:val="DefaultParagraphFont"/>
    <w:link w:val="CommentText"/>
    <w:rsid w:val="00B065EA"/>
    <w:rPr>
      <w:rFonts w:ascii="Times New Roman" w:eastAsia="Times New Roman" w:hAnsi="Times New Roman"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B065EA"/>
    <w:rPr>
      <w:b/>
      <w:bCs/>
    </w:rPr>
  </w:style>
  <w:style w:type="character" w:customStyle="1" w:styleId="CommentSubjectChar">
    <w:name w:val="Comment Subject Char"/>
    <w:basedOn w:val="CommentTextChar"/>
    <w:link w:val="CommentSubject"/>
    <w:uiPriority w:val="99"/>
    <w:semiHidden/>
    <w:rsid w:val="00B065EA"/>
    <w:rPr>
      <w:rFonts w:ascii="Times New Roman" w:eastAsia="Times New Roman" w:hAnsi="Times New Roman" w:cs="Times New Roman"/>
      <w:b/>
      <w:bCs/>
      <w:kern w:val="0"/>
      <w:sz w:val="20"/>
      <w:szCs w:val="20"/>
      <w:lang w:bidi="en-US"/>
      <w14:ligatures w14:val="none"/>
    </w:rPr>
  </w:style>
  <w:style w:type="character" w:styleId="FollowedHyperlink">
    <w:name w:val="FollowedHyperlink"/>
    <w:basedOn w:val="DefaultParagraphFont"/>
    <w:uiPriority w:val="99"/>
    <w:semiHidden/>
    <w:unhideWhenUsed/>
    <w:rsid w:val="00174BB4"/>
    <w:rPr>
      <w:color w:val="96607D" w:themeColor="followedHyperlink"/>
      <w:u w:val="single"/>
    </w:rPr>
  </w:style>
  <w:style w:type="paragraph" w:styleId="BodyText">
    <w:name w:val="Body Text"/>
    <w:basedOn w:val="Normal"/>
    <w:link w:val="BodyTextChar"/>
    <w:rsid w:val="00EC1AFB"/>
    <w:pPr>
      <w:jc w:val="both"/>
    </w:pPr>
    <w:rPr>
      <w:szCs w:val="20"/>
      <w:lang w:bidi="ar-SA"/>
    </w:rPr>
  </w:style>
  <w:style w:type="character" w:customStyle="1" w:styleId="BodyTextChar">
    <w:name w:val="Body Text Char"/>
    <w:basedOn w:val="DefaultParagraphFont"/>
    <w:link w:val="BodyText"/>
    <w:rsid w:val="00EC1AFB"/>
    <w:rPr>
      <w:rFonts w:ascii="Times New Roman" w:eastAsia="Times New Roman" w:hAnsi="Times New Roman" w:cs="Times New Roman"/>
      <w:kern w:val="0"/>
      <w:szCs w:val="20"/>
      <w14:ligatures w14:val="none"/>
    </w:rPr>
  </w:style>
  <w:style w:type="paragraph" w:styleId="PlainText">
    <w:name w:val="Plain Text"/>
    <w:basedOn w:val="Normal"/>
    <w:link w:val="PlainTextChar"/>
    <w:uiPriority w:val="99"/>
    <w:rsid w:val="00392495"/>
    <w:rPr>
      <w:rFonts w:ascii="Courier New" w:hAnsi="Courier New"/>
      <w:sz w:val="20"/>
      <w:szCs w:val="20"/>
      <w:lang w:bidi="ar-SA"/>
    </w:rPr>
  </w:style>
  <w:style w:type="character" w:customStyle="1" w:styleId="PlainTextChar">
    <w:name w:val="Plain Text Char"/>
    <w:basedOn w:val="DefaultParagraphFont"/>
    <w:link w:val="PlainText"/>
    <w:uiPriority w:val="99"/>
    <w:rsid w:val="00392495"/>
    <w:rPr>
      <w:rFonts w:ascii="Courier New" w:eastAsia="Times New Roman" w:hAnsi="Courier New" w:cs="Times New Roman"/>
      <w:kern w:val="0"/>
      <w:sz w:val="20"/>
      <w:szCs w:val="20"/>
      <w14:ligatures w14:val="none"/>
    </w:rPr>
  </w:style>
  <w:style w:type="paragraph" w:styleId="TOCHeading">
    <w:name w:val="TOC Heading"/>
    <w:basedOn w:val="Heading1"/>
    <w:next w:val="Normal"/>
    <w:uiPriority w:val="39"/>
    <w:unhideWhenUsed/>
    <w:qFormat/>
    <w:rsid w:val="00392495"/>
    <w:pPr>
      <w:spacing w:before="24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D64F80"/>
    <w:pPr>
      <w:tabs>
        <w:tab w:val="right" w:leader="dot" w:pos="9350"/>
      </w:tabs>
      <w:spacing w:after="100"/>
      <w:ind w:left="720" w:hanging="720"/>
    </w:pPr>
  </w:style>
  <w:style w:type="paragraph" w:styleId="TOC2">
    <w:name w:val="toc 2"/>
    <w:basedOn w:val="Normal"/>
    <w:next w:val="Normal"/>
    <w:autoRedefine/>
    <w:uiPriority w:val="39"/>
    <w:unhideWhenUsed/>
    <w:rsid w:val="00D64F80"/>
    <w:pPr>
      <w:tabs>
        <w:tab w:val="right" w:leader="dot" w:pos="9350"/>
      </w:tabs>
      <w:spacing w:after="100"/>
      <w:ind w:left="1440" w:hanging="720"/>
    </w:pPr>
  </w:style>
  <w:style w:type="paragraph" w:styleId="TOC3">
    <w:name w:val="toc 3"/>
    <w:basedOn w:val="Normal"/>
    <w:next w:val="Normal"/>
    <w:autoRedefine/>
    <w:uiPriority w:val="39"/>
    <w:unhideWhenUsed/>
    <w:rsid w:val="00D64F80"/>
    <w:pPr>
      <w:tabs>
        <w:tab w:val="right" w:leader="dot" w:pos="9350"/>
      </w:tabs>
      <w:spacing w:after="100"/>
      <w:ind w:left="1440"/>
    </w:pPr>
  </w:style>
  <w:style w:type="paragraph" w:styleId="Revision">
    <w:name w:val="Revision"/>
    <w:hidden/>
    <w:uiPriority w:val="99"/>
    <w:semiHidden/>
    <w:rsid w:val="00D414ED"/>
    <w:pPr>
      <w:spacing w:after="0" w:line="240" w:lineRule="auto"/>
    </w:pPr>
    <w:rPr>
      <w:rFonts w:ascii="Times New Roman" w:eastAsia="Times New Roman" w:hAnsi="Times New Roman" w:cs="Times New Roman"/>
      <w:kern w:val="0"/>
      <w:lang w:bidi="en-US"/>
      <w14:ligatures w14:val="none"/>
    </w:rPr>
  </w:style>
  <w:style w:type="character" w:customStyle="1" w:styleId="cf01">
    <w:name w:val="cf01"/>
    <w:basedOn w:val="DefaultParagraphFont"/>
    <w:rsid w:val="00AB01E7"/>
    <w:rPr>
      <w:rFonts w:ascii="Segoe UI" w:hAnsi="Segoe UI" w:cs="Segoe UI" w:hint="default"/>
      <w:sz w:val="18"/>
      <w:szCs w:val="18"/>
    </w:rPr>
  </w:style>
  <w:style w:type="paragraph" w:styleId="NormalWeb">
    <w:name w:val="Normal (Web)"/>
    <w:basedOn w:val="Normal"/>
    <w:uiPriority w:val="99"/>
    <w:unhideWhenUsed/>
    <w:rsid w:val="00882CE3"/>
    <w:pPr>
      <w:spacing w:before="100" w:beforeAutospacing="1" w:after="100" w:afterAutospacing="1"/>
    </w:pPr>
    <w:rPr>
      <w:lang w:bidi="ar-SA"/>
    </w:rPr>
  </w:style>
  <w:style w:type="character" w:styleId="Strong">
    <w:name w:val="Strong"/>
    <w:basedOn w:val="DefaultParagraphFont"/>
    <w:uiPriority w:val="22"/>
    <w:qFormat/>
    <w:rsid w:val="00882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onald.kral@occ.ohio.gov" TargetMode="External"/><Relationship Id="rId26" Type="http://schemas.openxmlformats.org/officeDocument/2006/relationships/hyperlink" Target="mailto:clint.white@puco.ohio.gov" TargetMode="External"/><Relationship Id="rId39" Type="http://schemas.openxmlformats.org/officeDocument/2006/relationships/hyperlink" Target="mailto:mjsettineri@vorys.com" TargetMode="External"/><Relationship Id="rId3" Type="http://schemas.openxmlformats.org/officeDocument/2006/relationships/styles" Target="styles.xml"/><Relationship Id="rId21" Type="http://schemas.openxmlformats.org/officeDocument/2006/relationships/hyperlink" Target="mailto:mkurtz@BKLlawfirm.com" TargetMode="External"/><Relationship Id="rId34" Type="http://schemas.openxmlformats.org/officeDocument/2006/relationships/hyperlink" Target="mailto:pwillison@bakerlaw.com" TargetMode="External"/><Relationship Id="rId42" Type="http://schemas.openxmlformats.org/officeDocument/2006/relationships/hyperlink" Target="mailto:sjagers@ohiopovertylaw.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greg.price@puco.ohio.gov" TargetMode="External"/><Relationship Id="rId33" Type="http://schemas.openxmlformats.org/officeDocument/2006/relationships/hyperlink" Target="mailto:dproano@bakerlaw.com" TargetMode="External"/><Relationship Id="rId38" Type="http://schemas.openxmlformats.org/officeDocument/2006/relationships/hyperlink" Target="mailto:glpetrucci@vorys.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TGallagher@fgplaborlaw.com" TargetMode="External"/><Relationship Id="rId29" Type="http://schemas.openxmlformats.org/officeDocument/2006/relationships/hyperlink" Target="mailto:kennedy@whitt-sturtevant.com" TargetMode="External"/><Relationship Id="rId41" Type="http://schemas.openxmlformats.org/officeDocument/2006/relationships/hyperlink" Target="mailto:Easley@carpenterlip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hristopher.healey@puco.ohio.gov" TargetMode="External"/><Relationship Id="rId32" Type="http://schemas.openxmlformats.org/officeDocument/2006/relationships/hyperlink" Target="mailto:mbarbara@calfee.com" TargetMode="External"/><Relationship Id="rId37" Type="http://schemas.openxmlformats.org/officeDocument/2006/relationships/hyperlink" Target="mailto:stacie.cathcart@igs.com" TargetMode="External"/><Relationship Id="rId40" Type="http://schemas.openxmlformats.org/officeDocument/2006/relationships/hyperlink" Target="mailto:Bojko@carpenterlipps.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homas.brodbeck@occ.ohio.gov" TargetMode="External"/><Relationship Id="rId23" Type="http://schemas.openxmlformats.org/officeDocument/2006/relationships/hyperlink" Target="mailto:jkylercohn@BKLlawfirm.com" TargetMode="External"/><Relationship Id="rId28" Type="http://schemas.openxmlformats.org/officeDocument/2006/relationships/hyperlink" Target="mailto:amy.botschnerobrien@ohioAGO.gov" TargetMode="External"/><Relationship Id="rId36" Type="http://schemas.openxmlformats.org/officeDocument/2006/relationships/hyperlink" Target="mailto:michael.nugent@igs.com" TargetMode="External"/><Relationship Id="rId10" Type="http://schemas.openxmlformats.org/officeDocument/2006/relationships/footer" Target="footer1.xml"/><Relationship Id="rId19" Type="http://schemas.openxmlformats.org/officeDocument/2006/relationships/hyperlink" Target="mailto:thomas.brodbeck@occ.ohio.gov" TargetMode="External"/><Relationship Id="rId31" Type="http://schemas.openxmlformats.org/officeDocument/2006/relationships/hyperlink" Target="mailto:demonte@whitt-sturtevant.com" TargetMode="External"/><Relationship Id="rId44" Type="http://schemas.openxmlformats.org/officeDocument/2006/relationships/hyperlink" Target="mailto:mcurrie@ablelaw.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onald.kral@occ.ohio.gov" TargetMode="External"/><Relationship Id="rId22" Type="http://schemas.openxmlformats.org/officeDocument/2006/relationships/hyperlink" Target="mailto:kboehm@BKLlawfirm.com" TargetMode="External"/><Relationship Id="rId27" Type="http://schemas.openxmlformats.org/officeDocument/2006/relationships/hyperlink" Target="mailto:ashley.wnek@ohioAGO.gov" TargetMode="External"/><Relationship Id="rId30" Type="http://schemas.openxmlformats.org/officeDocument/2006/relationships/hyperlink" Target="mailto:Andrew.j.campbell@dominionenergy.com" TargetMode="External"/><Relationship Id="rId35" Type="http://schemas.openxmlformats.org/officeDocument/2006/relationships/hyperlink" Target="mailto:whitt@whitt-sturtevant.com" TargetMode="External"/><Relationship Id="rId43" Type="http://schemas.openxmlformats.org/officeDocument/2006/relationships/hyperlink" Target="mailto:smoes@lascin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0C97-0B42-4D15-BE40-44D6360E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8384</Words>
  <Characters>50301</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2024-07-26T18:52:00Z</dcterms:created>
  <dcterms:modified xsi:type="dcterms:W3CDTF">2024-07-26T18:53:00Z</dcterms:modified>
</cp:coreProperties>
</file>