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A044B5" w:rsidRPr="00382C4D">
      <w:pPr>
        <w:pStyle w:val="HTMLPreformatted"/>
        <w:jc w:val="center"/>
        <w:rPr>
          <w:rFonts w:ascii="Times New Roman" w:hAnsi="Times New Roman" w:cs="Times New Roman"/>
          <w:b/>
          <w:bCs/>
          <w:sz w:val="24"/>
          <w:szCs w:val="24"/>
        </w:rPr>
      </w:pPr>
      <w:bookmarkStart w:id="0" w:name="_GoBack"/>
      <w:bookmarkEnd w:id="0"/>
      <w:r w:rsidRPr="00382C4D">
        <w:rPr>
          <w:rFonts w:ascii="Times New Roman" w:hAnsi="Times New Roman" w:cs="Times New Roman"/>
          <w:b/>
          <w:bCs/>
          <w:sz w:val="24"/>
          <w:szCs w:val="24"/>
        </w:rPr>
        <w:t>BEFORE</w:t>
      </w:r>
    </w:p>
    <w:p w:rsidR="00A044B5" w:rsidRPr="00382C4D">
      <w:pPr>
        <w:pStyle w:val="HTMLPreformatted"/>
        <w:jc w:val="center"/>
        <w:rPr>
          <w:rFonts w:ascii="Times New Roman" w:hAnsi="Times New Roman" w:cs="Times New Roman"/>
          <w:b/>
          <w:bCs/>
          <w:sz w:val="24"/>
          <w:szCs w:val="24"/>
        </w:rPr>
      </w:pPr>
      <w:r w:rsidRPr="00382C4D">
        <w:rPr>
          <w:rFonts w:ascii="Times New Roman" w:hAnsi="Times New Roman" w:cs="Times New Roman"/>
          <w:b/>
          <w:bCs/>
          <w:sz w:val="24"/>
          <w:szCs w:val="24"/>
        </w:rPr>
        <w:t>THE PUBLIC UTILITIES COMMISSION OF OHIO</w:t>
      </w:r>
    </w:p>
    <w:p w:rsidR="00396BAE" w:rsidRPr="00382C4D">
      <w:pPr>
        <w:pStyle w:val="HTMLPreformatted"/>
        <w:jc w:val="center"/>
        <w:rPr>
          <w:rFonts w:ascii="Times New Roman" w:hAnsi="Times New Roman" w:cs="Times New Roman"/>
          <w:sz w:val="24"/>
          <w:szCs w:val="24"/>
        </w:rPr>
      </w:pPr>
    </w:p>
    <w:tbl>
      <w:tblPr>
        <w:tblW w:w="9800" w:type="dxa"/>
        <w:tblInd w:w="0" w:type="dxa"/>
        <w:tblCellMar>
          <w:top w:w="0" w:type="dxa"/>
          <w:left w:w="108" w:type="dxa"/>
          <w:bottom w:w="0" w:type="dxa"/>
          <w:right w:w="108" w:type="dxa"/>
        </w:tblCellMar>
        <w:tblLook w:val="01E0"/>
      </w:tblPr>
      <w:tblGrid>
        <w:gridCol w:w="4950"/>
        <w:gridCol w:w="450"/>
        <w:gridCol w:w="4400"/>
      </w:tblGrid>
      <w:tr w:rsidTr="00104D9A">
        <w:tblPrEx>
          <w:tblW w:w="9800" w:type="dxa"/>
          <w:tblInd w:w="0" w:type="dxa"/>
          <w:tblCellMar>
            <w:top w:w="0" w:type="dxa"/>
            <w:left w:w="108" w:type="dxa"/>
            <w:bottom w:w="0" w:type="dxa"/>
            <w:right w:w="108" w:type="dxa"/>
          </w:tblCellMar>
          <w:tblLook w:val="01E0"/>
        </w:tblPrEx>
        <w:trPr>
          <w:trHeight w:val="807"/>
        </w:trPr>
        <w:tc>
          <w:tcPr>
            <w:tcW w:w="4950" w:type="dxa"/>
            <w:shd w:val="clear" w:color="auto" w:fill="auto"/>
          </w:tcPr>
          <w:p w:rsidR="000F18EF" w:rsidRPr="00382C4D" w:rsidP="000F18EF">
            <w:pPr>
              <w:autoSpaceDE w:val="0"/>
              <w:autoSpaceDN w:val="0"/>
              <w:adjustRightInd w:val="0"/>
              <w:rPr>
                <w:rStyle w:val="DefaultParagraphFont"/>
                <w:sz w:val="24"/>
                <w:szCs w:val="24"/>
                <w:lang w:val="en-US" w:eastAsia="en-US" w:bidi="ar-SA"/>
              </w:rPr>
            </w:pPr>
            <w:r w:rsidRPr="00382C4D">
              <w:rPr>
                <w:sz w:val="24"/>
                <w:szCs w:val="24"/>
                <w:lang w:val="en-US" w:eastAsia="en-US" w:bidi="ar-SA"/>
              </w:rPr>
              <w:t xml:space="preserve">In the Matter of the Application of Duke Energy Ohio, Inc. to Adjust Rider AU for 2017 Grid Modernization Costs. </w:t>
            </w:r>
          </w:p>
        </w:tc>
        <w:tc>
          <w:tcPr>
            <w:tcW w:w="450" w:type="dxa"/>
            <w:shd w:val="clear" w:color="auto" w:fill="auto"/>
          </w:tcPr>
          <w:p w:rsidR="000F18EF" w:rsidRPr="00382C4D" w:rsidP="000F1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382C4D">
              <w:rPr>
                <w:rFonts w:eastAsia="Courier New"/>
                <w:sz w:val="24"/>
                <w:szCs w:val="24"/>
                <w:lang w:val="en-US" w:eastAsia="en-US" w:bidi="ar-SA"/>
              </w:rPr>
              <w:t>)</w:t>
            </w:r>
          </w:p>
          <w:p w:rsidR="000F18EF" w:rsidRPr="00382C4D" w:rsidP="000F1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382C4D">
              <w:rPr>
                <w:rFonts w:eastAsia="Courier New"/>
                <w:sz w:val="24"/>
                <w:szCs w:val="24"/>
                <w:lang w:val="en-US" w:eastAsia="en-US" w:bidi="ar-SA"/>
              </w:rPr>
              <w:t>)</w:t>
            </w:r>
          </w:p>
          <w:p w:rsidR="00C743BC" w:rsidRPr="00382C4D" w:rsidP="000F1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382C4D">
              <w:rPr>
                <w:rFonts w:eastAsia="Courier New"/>
                <w:sz w:val="24"/>
                <w:szCs w:val="24"/>
                <w:lang w:val="en-US" w:eastAsia="en-US" w:bidi="ar-SA"/>
              </w:rPr>
              <w:t>)</w:t>
            </w:r>
          </w:p>
        </w:tc>
        <w:tc>
          <w:tcPr>
            <w:tcW w:w="4400" w:type="dxa"/>
            <w:shd w:val="clear" w:color="auto" w:fill="auto"/>
          </w:tcPr>
          <w:p w:rsidR="000F18EF" w:rsidRPr="00382C4D" w:rsidP="000F1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p w:rsidR="000F18EF" w:rsidRPr="00382C4D" w:rsidP="000F1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382C4D">
              <w:rPr>
                <w:rFonts w:eastAsia="Courier New"/>
                <w:sz w:val="24"/>
                <w:szCs w:val="24"/>
                <w:lang w:val="en-US" w:eastAsia="en-US" w:bidi="ar-SA"/>
              </w:rPr>
              <w:t>Case No. 18-</w:t>
            </w:r>
            <w:r w:rsidR="00382C4D">
              <w:rPr>
                <w:rFonts w:eastAsia="Courier New"/>
                <w:sz w:val="24"/>
                <w:szCs w:val="24"/>
                <w:lang w:val="en-US" w:eastAsia="en-US" w:bidi="ar-SA"/>
              </w:rPr>
              <w:t>0</w:t>
            </w:r>
            <w:r w:rsidRPr="00382C4D">
              <w:rPr>
                <w:rFonts w:eastAsia="Courier New"/>
                <w:sz w:val="24"/>
                <w:szCs w:val="24"/>
                <w:lang w:val="en-US" w:eastAsia="en-US" w:bidi="ar-SA"/>
              </w:rPr>
              <w:t>837-GA-RDR</w:t>
            </w:r>
          </w:p>
        </w:tc>
      </w:tr>
    </w:tbl>
    <w:p w:rsidR="000F18EF" w:rsidRPr="00382C4D" w:rsidP="002242E0">
      <w:pPr>
        <w:pStyle w:val="HTMLPreformatted"/>
        <w:rPr>
          <w:rFonts w:ascii="Times New Roman" w:hAnsi="Times New Roman" w:cs="Times New Roman"/>
          <w:sz w:val="24"/>
          <w:szCs w:val="24"/>
        </w:rPr>
      </w:pPr>
    </w:p>
    <w:p w:rsidR="00A044B5" w:rsidRPr="00382C4D">
      <w:pPr>
        <w:pStyle w:val="HTMLPreformatted"/>
        <w:pBdr>
          <w:top w:val="single" w:sz="12" w:space="1" w:color="auto"/>
        </w:pBdr>
        <w:rPr>
          <w:rFonts w:ascii="Times New Roman" w:hAnsi="Times New Roman" w:cs="Times New Roman"/>
          <w:sz w:val="24"/>
          <w:szCs w:val="24"/>
        </w:rPr>
      </w:pPr>
    </w:p>
    <w:p w:rsidR="004C7C40" w:rsidRPr="00382C4D">
      <w:pPr>
        <w:jc w:val="center"/>
        <w:rPr>
          <w:b/>
          <w:bCs/>
          <w:caps/>
          <w:szCs w:val="24"/>
        </w:rPr>
      </w:pPr>
      <w:r w:rsidRPr="00382C4D">
        <w:rPr>
          <w:b/>
          <w:bCs/>
          <w:caps/>
          <w:szCs w:val="24"/>
        </w:rPr>
        <w:t>REPLY</w:t>
      </w:r>
      <w:r w:rsidRPr="00382C4D" w:rsidR="00584402">
        <w:rPr>
          <w:b/>
          <w:bCs/>
          <w:caps/>
          <w:szCs w:val="24"/>
        </w:rPr>
        <w:t xml:space="preserve"> BRIEF</w:t>
      </w:r>
    </w:p>
    <w:p w:rsidR="00A044B5" w:rsidRPr="00382C4D">
      <w:pPr>
        <w:jc w:val="center"/>
        <w:rPr>
          <w:b/>
          <w:bCs/>
          <w:caps/>
          <w:szCs w:val="24"/>
        </w:rPr>
      </w:pPr>
      <w:r w:rsidRPr="00382C4D">
        <w:rPr>
          <w:b/>
          <w:bCs/>
          <w:caps/>
          <w:szCs w:val="24"/>
        </w:rPr>
        <w:t>BY</w:t>
      </w:r>
    </w:p>
    <w:p w:rsidR="00A044B5" w:rsidRPr="00382C4D">
      <w:pPr>
        <w:jc w:val="center"/>
        <w:rPr>
          <w:b/>
          <w:bCs/>
          <w:caps/>
          <w:szCs w:val="24"/>
        </w:rPr>
      </w:pPr>
      <w:r w:rsidRPr="00382C4D">
        <w:rPr>
          <w:b/>
          <w:bCs/>
          <w:caps/>
          <w:szCs w:val="24"/>
        </w:rPr>
        <w:t xml:space="preserve">THE OFFICE OF THE OHIO CONSUMERS' COUNSEL </w:t>
      </w:r>
    </w:p>
    <w:p w:rsidR="00A044B5" w:rsidRPr="00382C4D">
      <w:pPr>
        <w:pBdr>
          <w:bottom w:val="single" w:sz="12" w:space="1" w:color="auto"/>
        </w:pBdr>
        <w:tabs>
          <w:tab w:val="left" w:pos="4320"/>
        </w:tabs>
        <w:rPr>
          <w:szCs w:val="24"/>
        </w:rPr>
      </w:pPr>
    </w:p>
    <w:p w:rsidR="00BA7911" w:rsidRPr="00382C4D" w:rsidP="00BA7911">
      <w:pPr>
        <w:rPr>
          <w:szCs w:val="24"/>
        </w:rPr>
      </w:pPr>
    </w:p>
    <w:p w:rsidR="006D5706" w:rsidRPr="00382C4D" w:rsidP="00863375">
      <w:pPr>
        <w:pStyle w:val="Heading1"/>
      </w:pPr>
      <w:r w:rsidRPr="00382C4D">
        <w:t>I.</w:t>
      </w:r>
      <w:r w:rsidRPr="00382C4D">
        <w:tab/>
        <w:t>Introduction</w:t>
      </w:r>
    </w:p>
    <w:p w:rsidR="000704A3" w:rsidRPr="00382C4D" w:rsidP="00104D9A">
      <w:pPr>
        <w:spacing w:line="480" w:lineRule="auto"/>
        <w:ind w:firstLine="720"/>
        <w:rPr>
          <w:szCs w:val="24"/>
        </w:rPr>
      </w:pPr>
      <w:r w:rsidRPr="00382C4D">
        <w:rPr>
          <w:szCs w:val="24"/>
        </w:rPr>
        <w:t xml:space="preserve">The charges to consumers for utility service should not be viewed in a vacuum.  </w:t>
      </w:r>
      <w:r w:rsidRPr="00382C4D" w:rsidR="00854441">
        <w:rPr>
          <w:szCs w:val="24"/>
        </w:rPr>
        <w:t xml:space="preserve">That is what single-issue ratemaking allows.  Utilities can “cherry pick” the costs that they propose to collect from consumers through riders. </w:t>
      </w:r>
      <w:r w:rsidRPr="00382C4D">
        <w:rPr>
          <w:szCs w:val="24"/>
        </w:rPr>
        <w:t>Utilities’ charges to consumers consist of base distribution rates plus a multitude of rider</w:t>
      </w:r>
      <w:r w:rsidRPr="00382C4D" w:rsidR="00B2749C">
        <w:rPr>
          <w:szCs w:val="24"/>
        </w:rPr>
        <w:t xml:space="preserve"> rate</w:t>
      </w:r>
      <w:r w:rsidRPr="00382C4D">
        <w:rPr>
          <w:szCs w:val="24"/>
        </w:rPr>
        <w:t xml:space="preserve">s for various purposes.  </w:t>
      </w:r>
      <w:r w:rsidRPr="00382C4D" w:rsidR="00B2749C">
        <w:rPr>
          <w:szCs w:val="24"/>
        </w:rPr>
        <w:t>Although base rates are set by examining both the expenses and revenues of a utility, rider rates are strictly based on the utility’s expenses.  Both base distribution rates an</w:t>
      </w:r>
      <w:r w:rsidRPr="00382C4D">
        <w:rPr>
          <w:szCs w:val="24"/>
        </w:rPr>
        <w:t>d the rider</w:t>
      </w:r>
      <w:r w:rsidRPr="00382C4D" w:rsidR="00B2749C">
        <w:rPr>
          <w:szCs w:val="24"/>
        </w:rPr>
        <w:t xml:space="preserve"> rate</w:t>
      </w:r>
      <w:r w:rsidRPr="00382C4D">
        <w:rPr>
          <w:szCs w:val="24"/>
        </w:rPr>
        <w:t xml:space="preserve">s should be periodically examined </w:t>
      </w:r>
      <w:r w:rsidRPr="00382C4D">
        <w:rPr>
          <w:i/>
          <w:szCs w:val="24"/>
        </w:rPr>
        <w:t>in their totality</w:t>
      </w:r>
      <w:r w:rsidRPr="00382C4D" w:rsidR="00920057">
        <w:rPr>
          <w:szCs w:val="24"/>
        </w:rPr>
        <w:t xml:space="preserve"> so that charges to </w:t>
      </w:r>
      <w:r w:rsidRPr="00382C4D">
        <w:rPr>
          <w:szCs w:val="24"/>
        </w:rPr>
        <w:t xml:space="preserve">consumers </w:t>
      </w:r>
      <w:r w:rsidRPr="00382C4D" w:rsidR="00920057">
        <w:rPr>
          <w:szCs w:val="24"/>
        </w:rPr>
        <w:t>are truly just and reasonable as required by Ohio law.</w:t>
      </w:r>
      <w:r>
        <w:rPr>
          <w:rStyle w:val="FootnoteReference"/>
          <w:szCs w:val="24"/>
        </w:rPr>
        <w:footnoteReference w:id="3"/>
      </w:r>
    </w:p>
    <w:p w:rsidR="00E65799" w:rsidRPr="00382C4D" w:rsidP="00E65799">
      <w:pPr>
        <w:spacing w:line="480" w:lineRule="auto"/>
        <w:ind w:firstLine="720"/>
        <w:rPr>
          <w:szCs w:val="24"/>
        </w:rPr>
      </w:pPr>
      <w:r w:rsidRPr="00382C4D">
        <w:rPr>
          <w:szCs w:val="24"/>
        </w:rPr>
        <w:t xml:space="preserve">The Office of the Ohio Consumers’ Counsel (“OCC”) recommends a base distribution rate case for </w:t>
      </w:r>
      <w:r w:rsidRPr="00382C4D" w:rsidR="00C53BD5">
        <w:rPr>
          <w:szCs w:val="24"/>
        </w:rPr>
        <w:t xml:space="preserve">the natural gas service of </w:t>
      </w:r>
      <w:r w:rsidRPr="00382C4D">
        <w:rPr>
          <w:szCs w:val="24"/>
        </w:rPr>
        <w:t>Duke Energy Ohio, Inc. (“Duke”)</w:t>
      </w:r>
      <w:r w:rsidRPr="00382C4D" w:rsidR="00C53BD5">
        <w:rPr>
          <w:szCs w:val="24"/>
        </w:rPr>
        <w:t xml:space="preserve">.  </w:t>
      </w:r>
      <w:r w:rsidRPr="00382C4D">
        <w:rPr>
          <w:szCs w:val="24"/>
        </w:rPr>
        <w:t xml:space="preserve">It has been </w:t>
      </w:r>
      <w:r w:rsidRPr="00382C4D" w:rsidR="0056526F">
        <w:rPr>
          <w:szCs w:val="24"/>
        </w:rPr>
        <w:t>more than</w:t>
      </w:r>
      <w:r w:rsidRPr="00382C4D" w:rsidR="00D95DB5">
        <w:rPr>
          <w:szCs w:val="24"/>
        </w:rPr>
        <w:t xml:space="preserve"> </w:t>
      </w:r>
      <w:r w:rsidRPr="00382C4D">
        <w:rPr>
          <w:szCs w:val="24"/>
        </w:rPr>
        <w:t>six years since Duke’s last natural gas rate case (Case No. 12-1685-GA-AIR) and at least four years since Duke’s natural gas smart grid was fully deployed.</w:t>
      </w:r>
      <w:r>
        <w:rPr>
          <w:rStyle w:val="FootnoteReference"/>
          <w:szCs w:val="24"/>
        </w:rPr>
        <w:footnoteReference w:id="4"/>
      </w:r>
      <w:r w:rsidRPr="00382C4D">
        <w:rPr>
          <w:szCs w:val="24"/>
        </w:rPr>
        <w:t xml:space="preserve">  Consumers should be receiving actual savings attributable to Duke’s natural gas smart </w:t>
      </w:r>
      <w:r w:rsidRPr="00382C4D">
        <w:rPr>
          <w:szCs w:val="24"/>
        </w:rPr>
        <w:t xml:space="preserve">grid, rather than the </w:t>
      </w:r>
      <w:r w:rsidRPr="00382C4D" w:rsidR="0056526F">
        <w:rPr>
          <w:szCs w:val="24"/>
        </w:rPr>
        <w:t>projected</w:t>
      </w:r>
      <w:r w:rsidRPr="00382C4D">
        <w:rPr>
          <w:szCs w:val="24"/>
        </w:rPr>
        <w:t xml:space="preserve"> savings they have received since 2012.</w:t>
      </w:r>
      <w:r>
        <w:rPr>
          <w:rStyle w:val="FootnoteReference"/>
          <w:szCs w:val="24"/>
        </w:rPr>
        <w:footnoteReference w:id="5"/>
      </w:r>
      <w:r w:rsidRPr="00382C4D">
        <w:rPr>
          <w:szCs w:val="24"/>
        </w:rPr>
        <w:t xml:space="preserve">  In addition, </w:t>
      </w:r>
      <w:r w:rsidRPr="00382C4D" w:rsidR="00E65379">
        <w:rPr>
          <w:szCs w:val="24"/>
        </w:rPr>
        <w:t xml:space="preserve">investment that Duke </w:t>
      </w:r>
      <w:r w:rsidRPr="00382C4D" w:rsidR="005A106C">
        <w:rPr>
          <w:szCs w:val="24"/>
        </w:rPr>
        <w:t xml:space="preserve">collects </w:t>
      </w:r>
      <w:r w:rsidRPr="00382C4D" w:rsidR="00E65379">
        <w:rPr>
          <w:szCs w:val="24"/>
        </w:rPr>
        <w:t>through some other riders charged to customers has been completed and should be incorporated into base rates.</w:t>
      </w:r>
      <w:r>
        <w:rPr>
          <w:rStyle w:val="FootnoteReference"/>
          <w:szCs w:val="24"/>
        </w:rPr>
        <w:footnoteReference w:id="6"/>
      </w:r>
      <w:r w:rsidRPr="00382C4D" w:rsidR="00130543">
        <w:rPr>
          <w:szCs w:val="24"/>
        </w:rPr>
        <w:t xml:space="preserve"> </w:t>
      </w:r>
      <w:r w:rsidRPr="00382C4D" w:rsidR="00E65379">
        <w:rPr>
          <w:szCs w:val="24"/>
        </w:rPr>
        <w:t xml:space="preserve">  </w:t>
      </w:r>
    </w:p>
    <w:p w:rsidR="00E65799" w:rsidRPr="00382C4D" w:rsidP="00E65799">
      <w:pPr>
        <w:spacing w:line="480" w:lineRule="auto"/>
        <w:ind w:firstLine="720"/>
        <w:rPr>
          <w:szCs w:val="24"/>
        </w:rPr>
      </w:pPr>
      <w:r w:rsidRPr="00382C4D">
        <w:rPr>
          <w:szCs w:val="24"/>
        </w:rPr>
        <w:t>Duke has vehemently argued against a base distribution rate case</w:t>
      </w:r>
      <w:r w:rsidRPr="00382C4D" w:rsidR="00E24C56">
        <w:rPr>
          <w:szCs w:val="24"/>
        </w:rPr>
        <w:t>, in its comments, in its motion for continuance, in its supplemental testimony</w:t>
      </w:r>
      <w:r w:rsidRPr="00382C4D" w:rsidR="00A20157">
        <w:rPr>
          <w:szCs w:val="24"/>
        </w:rPr>
        <w:t>, and in its brief</w:t>
      </w:r>
      <w:r w:rsidRPr="00382C4D">
        <w:rPr>
          <w:szCs w:val="24"/>
        </w:rPr>
        <w:t>.</w:t>
      </w:r>
      <w:r>
        <w:rPr>
          <w:rStyle w:val="FootnoteReference"/>
          <w:szCs w:val="24"/>
        </w:rPr>
        <w:footnoteReference w:id="7"/>
      </w:r>
      <w:r w:rsidRPr="00382C4D">
        <w:rPr>
          <w:szCs w:val="24"/>
        </w:rPr>
        <w:t xml:space="preserve">  But its </w:t>
      </w:r>
      <w:r w:rsidRPr="00382C4D" w:rsidR="003B0349">
        <w:rPr>
          <w:szCs w:val="24"/>
        </w:rPr>
        <w:t>arguments are</w:t>
      </w:r>
      <w:r w:rsidRPr="00382C4D">
        <w:rPr>
          <w:szCs w:val="24"/>
        </w:rPr>
        <w:t xml:space="preserve"> without merit.</w:t>
      </w:r>
      <w:r>
        <w:rPr>
          <w:rStyle w:val="FootnoteReference"/>
          <w:szCs w:val="24"/>
        </w:rPr>
        <w:footnoteReference w:id="8"/>
      </w:r>
      <w:r w:rsidRPr="00382C4D">
        <w:rPr>
          <w:szCs w:val="24"/>
        </w:rPr>
        <w:t xml:space="preserve">  </w:t>
      </w:r>
      <w:r w:rsidRPr="00382C4D" w:rsidR="005A106C">
        <w:rPr>
          <w:szCs w:val="24"/>
        </w:rPr>
        <w:t xml:space="preserve">To </w:t>
      </w:r>
      <w:r w:rsidRPr="00382C4D" w:rsidR="008801C4">
        <w:rPr>
          <w:szCs w:val="24"/>
        </w:rPr>
        <w:t>make sure</w:t>
      </w:r>
      <w:r w:rsidRPr="00382C4D" w:rsidR="005A106C">
        <w:rPr>
          <w:szCs w:val="24"/>
        </w:rPr>
        <w:t xml:space="preserve"> that customers are only charged just and reasonable rates, a</w:t>
      </w:r>
      <w:r w:rsidRPr="00382C4D">
        <w:rPr>
          <w:szCs w:val="24"/>
        </w:rPr>
        <w:t xml:space="preserve">s part of this case, the </w:t>
      </w:r>
      <w:r w:rsidRPr="00382C4D">
        <w:rPr>
          <w:szCs w:val="24"/>
        </w:rPr>
        <w:t xml:space="preserve">Public Utilities Commission of Ohio (“PUCO”) </w:t>
      </w:r>
      <w:r w:rsidRPr="00382C4D">
        <w:rPr>
          <w:szCs w:val="24"/>
        </w:rPr>
        <w:t>should order Duke to file a natural gas</w:t>
      </w:r>
      <w:r w:rsidRPr="00382C4D" w:rsidR="000A1456">
        <w:rPr>
          <w:szCs w:val="24"/>
        </w:rPr>
        <w:t xml:space="preserve"> distribution</w:t>
      </w:r>
      <w:r w:rsidRPr="00382C4D">
        <w:rPr>
          <w:szCs w:val="24"/>
        </w:rPr>
        <w:t xml:space="preserve"> rate case.</w:t>
      </w:r>
    </w:p>
    <w:p w:rsidR="00EB01AA" w:rsidRPr="00382C4D" w:rsidP="00E00846">
      <w:pPr>
        <w:spacing w:before="240" w:line="480" w:lineRule="auto"/>
        <w:rPr>
          <w:szCs w:val="24"/>
        </w:rPr>
      </w:pPr>
      <w:r w:rsidRPr="00382C4D">
        <w:rPr>
          <w:b/>
          <w:szCs w:val="24"/>
        </w:rPr>
        <w:t>II.</w:t>
      </w:r>
      <w:r w:rsidRPr="00382C4D">
        <w:rPr>
          <w:szCs w:val="24"/>
        </w:rPr>
        <w:tab/>
      </w:r>
      <w:r w:rsidRPr="00382C4D">
        <w:rPr>
          <w:b/>
          <w:szCs w:val="24"/>
        </w:rPr>
        <w:t>RECOMMENDATIONS</w:t>
      </w:r>
    </w:p>
    <w:p w:rsidR="00BA7911" w:rsidRPr="00382C4D" w:rsidP="00E8116C">
      <w:pPr>
        <w:spacing w:after="240"/>
        <w:ind w:left="1440" w:right="720" w:hanging="720"/>
        <w:rPr>
          <w:b/>
          <w:szCs w:val="24"/>
        </w:rPr>
      </w:pPr>
      <w:r w:rsidRPr="00382C4D">
        <w:rPr>
          <w:b/>
          <w:szCs w:val="24"/>
        </w:rPr>
        <w:t>A.</w:t>
      </w:r>
      <w:r w:rsidRPr="00382C4D">
        <w:rPr>
          <w:b/>
          <w:szCs w:val="24"/>
        </w:rPr>
        <w:tab/>
      </w:r>
      <w:r w:rsidRPr="00382C4D" w:rsidR="00921A42">
        <w:rPr>
          <w:b/>
          <w:szCs w:val="24"/>
        </w:rPr>
        <w:t xml:space="preserve">Contrary to </w:t>
      </w:r>
      <w:r w:rsidRPr="00382C4D" w:rsidR="00897D9B">
        <w:rPr>
          <w:b/>
          <w:szCs w:val="24"/>
        </w:rPr>
        <w:t xml:space="preserve">Duke’s </w:t>
      </w:r>
      <w:r w:rsidRPr="00382C4D" w:rsidR="00921A42">
        <w:rPr>
          <w:b/>
          <w:szCs w:val="24"/>
        </w:rPr>
        <w:t xml:space="preserve">assertions, </w:t>
      </w:r>
      <w:r w:rsidRPr="00382C4D" w:rsidR="00897D9B">
        <w:rPr>
          <w:b/>
          <w:szCs w:val="24"/>
        </w:rPr>
        <w:t>OCC</w:t>
      </w:r>
      <w:r w:rsidRPr="00382C4D" w:rsidR="00025FD2">
        <w:rPr>
          <w:b/>
          <w:szCs w:val="24"/>
        </w:rPr>
        <w:t xml:space="preserve"> does not oppose</w:t>
      </w:r>
      <w:r w:rsidRPr="00382C4D" w:rsidR="00897D9B">
        <w:rPr>
          <w:b/>
          <w:szCs w:val="24"/>
        </w:rPr>
        <w:t xml:space="preserve"> the rates proposed in the application and </w:t>
      </w:r>
      <w:r w:rsidRPr="00382C4D" w:rsidR="00025FD2">
        <w:rPr>
          <w:b/>
          <w:szCs w:val="24"/>
        </w:rPr>
        <w:t>the PUCO should implement them.</w:t>
      </w:r>
    </w:p>
    <w:p w:rsidR="00897D9B" w:rsidRPr="00382C4D" w:rsidP="000A1456">
      <w:pPr>
        <w:spacing w:line="480" w:lineRule="auto"/>
        <w:ind w:firstLine="720"/>
        <w:rPr>
          <w:szCs w:val="24"/>
        </w:rPr>
      </w:pPr>
      <w:r w:rsidRPr="00382C4D">
        <w:rPr>
          <w:szCs w:val="24"/>
        </w:rPr>
        <w:t>Duke asserts that OCC opposes the rates proposed in the application.</w:t>
      </w:r>
      <w:r>
        <w:rPr>
          <w:rStyle w:val="FootnoteReference"/>
          <w:szCs w:val="24"/>
        </w:rPr>
        <w:footnoteReference w:id="9"/>
      </w:r>
      <w:r w:rsidRPr="00382C4D">
        <w:rPr>
          <w:szCs w:val="24"/>
        </w:rPr>
        <w:t xml:space="preserve">  </w:t>
      </w:r>
      <w:r w:rsidRPr="00382C4D" w:rsidR="00025FD2">
        <w:rPr>
          <w:szCs w:val="24"/>
        </w:rPr>
        <w:t xml:space="preserve">This </w:t>
      </w:r>
      <w:r w:rsidRPr="00382C4D">
        <w:rPr>
          <w:szCs w:val="24"/>
        </w:rPr>
        <w:t xml:space="preserve">statement </w:t>
      </w:r>
      <w:r w:rsidRPr="00382C4D" w:rsidR="00025FD2">
        <w:rPr>
          <w:szCs w:val="24"/>
        </w:rPr>
        <w:t xml:space="preserve">is </w:t>
      </w:r>
      <w:r w:rsidRPr="00382C4D">
        <w:rPr>
          <w:szCs w:val="24"/>
        </w:rPr>
        <w:t>false.</w:t>
      </w:r>
    </w:p>
    <w:p w:rsidR="00E8116C" w:rsidRPr="00382C4D" w:rsidP="000A1456">
      <w:pPr>
        <w:spacing w:line="480" w:lineRule="auto"/>
        <w:ind w:firstLine="720"/>
        <w:rPr>
          <w:szCs w:val="24"/>
        </w:rPr>
      </w:pPr>
      <w:r w:rsidRPr="00382C4D">
        <w:rPr>
          <w:szCs w:val="24"/>
        </w:rPr>
        <w:t>Duke</w:t>
      </w:r>
      <w:r w:rsidRPr="00382C4D" w:rsidR="00965366">
        <w:rPr>
          <w:szCs w:val="24"/>
        </w:rPr>
        <w:t xml:space="preserve"> </w:t>
      </w:r>
      <w:r w:rsidRPr="00382C4D" w:rsidR="00897D9B">
        <w:rPr>
          <w:szCs w:val="24"/>
        </w:rPr>
        <w:t>mis</w:t>
      </w:r>
      <w:r w:rsidRPr="00382C4D" w:rsidR="00965366">
        <w:rPr>
          <w:szCs w:val="24"/>
        </w:rPr>
        <w:t>characterizes</w:t>
      </w:r>
      <w:r w:rsidRPr="00382C4D">
        <w:rPr>
          <w:szCs w:val="24"/>
        </w:rPr>
        <w:t xml:space="preserve"> OCC’s recommendation for the PUCO to order a natural gas distribution rate case </w:t>
      </w:r>
      <w:r w:rsidRPr="00382C4D" w:rsidR="00965366">
        <w:rPr>
          <w:szCs w:val="24"/>
        </w:rPr>
        <w:t>as</w:t>
      </w:r>
      <w:r w:rsidRPr="00382C4D">
        <w:rPr>
          <w:szCs w:val="24"/>
        </w:rPr>
        <w:t xml:space="preserve"> opposition to </w:t>
      </w:r>
      <w:r w:rsidRPr="00382C4D" w:rsidR="00025FD2">
        <w:rPr>
          <w:szCs w:val="24"/>
        </w:rPr>
        <w:t xml:space="preserve">the PUCO </w:t>
      </w:r>
      <w:r w:rsidRPr="00382C4D">
        <w:rPr>
          <w:szCs w:val="24"/>
        </w:rPr>
        <w:t>implementing the</w:t>
      </w:r>
      <w:r w:rsidRPr="00382C4D" w:rsidR="000023A7">
        <w:rPr>
          <w:szCs w:val="24"/>
        </w:rPr>
        <w:t xml:space="preserve"> rates proposed for the rider.  OCC do</w:t>
      </w:r>
      <w:r w:rsidRPr="00382C4D" w:rsidR="00965366">
        <w:rPr>
          <w:szCs w:val="24"/>
        </w:rPr>
        <w:t>es not dispute the calculation of the rates proposed in the application.</w:t>
      </w:r>
      <w:r>
        <w:rPr>
          <w:rStyle w:val="FootnoteReference"/>
          <w:szCs w:val="24"/>
        </w:rPr>
        <w:footnoteReference w:id="10"/>
      </w:r>
      <w:r w:rsidRPr="00382C4D" w:rsidR="00897D9B">
        <w:rPr>
          <w:szCs w:val="24"/>
        </w:rPr>
        <w:t xml:space="preserve">  </w:t>
      </w:r>
      <w:r w:rsidRPr="00382C4D" w:rsidR="00AC138F">
        <w:rPr>
          <w:szCs w:val="24"/>
        </w:rPr>
        <w:t xml:space="preserve">Instead, OCC’s recommendation is that the PUCO order Duke to file a gas distribution </w:t>
      </w:r>
      <w:r w:rsidRPr="00382C4D" w:rsidR="00AC138F">
        <w:rPr>
          <w:szCs w:val="24"/>
        </w:rPr>
        <w:t xml:space="preserve">rate case as part of the decision in this case.  </w:t>
      </w:r>
      <w:r w:rsidRPr="00382C4D" w:rsidR="00236966">
        <w:rPr>
          <w:szCs w:val="24"/>
        </w:rPr>
        <w:t xml:space="preserve">A PUCO order directing Duke to file a gas distribution rate case would not preclude the </w:t>
      </w:r>
      <w:r w:rsidRPr="00382C4D" w:rsidR="00E24C56">
        <w:rPr>
          <w:szCs w:val="24"/>
        </w:rPr>
        <w:t xml:space="preserve">rates proposed in this case from going into effect. </w:t>
      </w:r>
      <w:r w:rsidRPr="00382C4D" w:rsidR="00897D9B">
        <w:rPr>
          <w:szCs w:val="24"/>
        </w:rPr>
        <w:t xml:space="preserve">The </w:t>
      </w:r>
      <w:r w:rsidRPr="00382C4D" w:rsidR="00AC138F">
        <w:rPr>
          <w:szCs w:val="24"/>
        </w:rPr>
        <w:t xml:space="preserve">PUCO may implement the proposed rates </w:t>
      </w:r>
      <w:r w:rsidRPr="00382C4D" w:rsidR="00AC138F">
        <w:rPr>
          <w:i/>
          <w:szCs w:val="24"/>
        </w:rPr>
        <w:t>and</w:t>
      </w:r>
      <w:r w:rsidRPr="00382C4D" w:rsidR="00AC138F">
        <w:rPr>
          <w:szCs w:val="24"/>
        </w:rPr>
        <w:t xml:space="preserve"> order </w:t>
      </w:r>
      <w:r w:rsidRPr="00382C4D" w:rsidR="00E24C56">
        <w:rPr>
          <w:szCs w:val="24"/>
        </w:rPr>
        <w:t xml:space="preserve">Duke to file </w:t>
      </w:r>
      <w:r w:rsidRPr="00382C4D" w:rsidR="00AC138F">
        <w:rPr>
          <w:szCs w:val="24"/>
        </w:rPr>
        <w:t xml:space="preserve">a gas distribution rate case.  </w:t>
      </w:r>
    </w:p>
    <w:p w:rsidR="00E00846" w:rsidRPr="00382C4D" w:rsidP="00E8116C">
      <w:pPr>
        <w:spacing w:after="240"/>
        <w:ind w:left="1440" w:right="720" w:hanging="720"/>
        <w:rPr>
          <w:b/>
          <w:bCs/>
          <w:szCs w:val="24"/>
        </w:rPr>
      </w:pPr>
      <w:r w:rsidRPr="00382C4D">
        <w:rPr>
          <w:b/>
          <w:szCs w:val="24"/>
        </w:rPr>
        <w:t>B.</w:t>
      </w:r>
      <w:r w:rsidRPr="00382C4D">
        <w:rPr>
          <w:szCs w:val="24"/>
        </w:rPr>
        <w:tab/>
      </w:r>
      <w:r w:rsidRPr="00382C4D" w:rsidR="00854441">
        <w:rPr>
          <w:b/>
          <w:bCs/>
          <w:szCs w:val="24"/>
        </w:rPr>
        <w:t xml:space="preserve">Single-issue ratemaking harms consumers because the </w:t>
      </w:r>
      <w:r w:rsidRPr="00382C4D" w:rsidR="00921A42">
        <w:rPr>
          <w:b/>
          <w:bCs/>
          <w:szCs w:val="24"/>
        </w:rPr>
        <w:t>u</w:t>
      </w:r>
      <w:r w:rsidRPr="00382C4D" w:rsidR="00854441">
        <w:rPr>
          <w:b/>
          <w:bCs/>
          <w:szCs w:val="24"/>
        </w:rPr>
        <w:t>tility “cherry picks” the cost for collection from consumers through a rider, and</w:t>
      </w:r>
      <w:r w:rsidRPr="00382C4D" w:rsidR="00854441">
        <w:rPr>
          <w:szCs w:val="24"/>
        </w:rPr>
        <w:t xml:space="preserve"> </w:t>
      </w:r>
      <w:r w:rsidRPr="00382C4D" w:rsidR="00854441">
        <w:rPr>
          <w:b/>
          <w:bCs/>
          <w:szCs w:val="24"/>
        </w:rPr>
        <w:t>t</w:t>
      </w:r>
      <w:r w:rsidRPr="00382C4D" w:rsidR="00AC138F">
        <w:rPr>
          <w:b/>
          <w:bCs/>
          <w:szCs w:val="24"/>
        </w:rPr>
        <w:t xml:space="preserve">he PUCO </w:t>
      </w:r>
      <w:r w:rsidRPr="00382C4D" w:rsidR="00854441">
        <w:rPr>
          <w:b/>
          <w:bCs/>
          <w:szCs w:val="24"/>
        </w:rPr>
        <w:t xml:space="preserve">doesn’t </w:t>
      </w:r>
      <w:r w:rsidRPr="00382C4D" w:rsidR="00AC138F">
        <w:rPr>
          <w:b/>
          <w:bCs/>
          <w:szCs w:val="24"/>
        </w:rPr>
        <w:t>take a holistic view of rate</w:t>
      </w:r>
      <w:r w:rsidRPr="00382C4D" w:rsidR="006D2979">
        <w:rPr>
          <w:b/>
          <w:bCs/>
          <w:szCs w:val="24"/>
        </w:rPr>
        <w:t>making</w:t>
      </w:r>
      <w:r w:rsidRPr="00382C4D" w:rsidR="00854441">
        <w:rPr>
          <w:b/>
          <w:bCs/>
          <w:szCs w:val="24"/>
        </w:rPr>
        <w:t>.  In this case, Duke’s</w:t>
      </w:r>
      <w:r w:rsidRPr="00382C4D" w:rsidR="00AC138F">
        <w:rPr>
          <w:b/>
          <w:bCs/>
          <w:szCs w:val="24"/>
        </w:rPr>
        <w:t xml:space="preserve"> narrow view </w:t>
      </w:r>
      <w:r w:rsidRPr="00382C4D" w:rsidR="00854441">
        <w:rPr>
          <w:b/>
          <w:bCs/>
          <w:szCs w:val="24"/>
        </w:rPr>
        <w:t>should be rejected</w:t>
      </w:r>
      <w:r w:rsidRPr="00382C4D" w:rsidR="00AC138F">
        <w:rPr>
          <w:b/>
          <w:bCs/>
          <w:szCs w:val="24"/>
        </w:rPr>
        <w:t>.</w:t>
      </w:r>
      <w:r w:rsidRPr="00382C4D">
        <w:rPr>
          <w:b/>
          <w:bCs/>
          <w:szCs w:val="24"/>
        </w:rPr>
        <w:t xml:space="preserve">   </w:t>
      </w:r>
    </w:p>
    <w:p w:rsidR="00025FD2" w:rsidRPr="00382C4D" w:rsidP="00025FD2">
      <w:pPr>
        <w:spacing w:line="480" w:lineRule="auto"/>
        <w:ind w:firstLine="720"/>
        <w:rPr>
          <w:szCs w:val="24"/>
        </w:rPr>
      </w:pPr>
      <w:r w:rsidRPr="00382C4D">
        <w:rPr>
          <w:szCs w:val="24"/>
        </w:rPr>
        <w:t>Duke claims that OCC’s recommendation for a gas distribution rate case is “moot as having been previously decided or otherwise irrelevant.”</w:t>
      </w:r>
      <w:r>
        <w:rPr>
          <w:rStyle w:val="FootnoteReference"/>
          <w:szCs w:val="24"/>
        </w:rPr>
        <w:footnoteReference w:id="11"/>
      </w:r>
      <w:r w:rsidRPr="00382C4D">
        <w:rPr>
          <w:szCs w:val="24"/>
        </w:rPr>
        <w:t xml:space="preserve">  Duke is wrong.  OCC’s recommendation for a gas distribution rate case is neither moot nor irrelevant.  As discussed in OCC’s Initial Brief, the PUCO has already determined that this issue is relevant to this proceeding.</w:t>
      </w:r>
      <w:r>
        <w:rPr>
          <w:rStyle w:val="FootnoteReference"/>
          <w:szCs w:val="24"/>
        </w:rPr>
        <w:footnoteReference w:id="12"/>
      </w:r>
      <w:r w:rsidRPr="00382C4D">
        <w:rPr>
          <w:szCs w:val="24"/>
        </w:rPr>
        <w:t xml:space="preserve">  Duke has already lost that argument.  The PUCO should reject it.</w:t>
      </w:r>
    </w:p>
    <w:p w:rsidR="00943947" w:rsidRPr="00382C4D" w:rsidP="005D0F2D">
      <w:pPr>
        <w:spacing w:line="480" w:lineRule="auto"/>
        <w:ind w:firstLine="720"/>
        <w:rPr>
          <w:szCs w:val="24"/>
        </w:rPr>
      </w:pPr>
      <w:r w:rsidRPr="00382C4D">
        <w:rPr>
          <w:szCs w:val="24"/>
        </w:rPr>
        <w:t xml:space="preserve">Duke </w:t>
      </w:r>
      <w:r w:rsidRPr="00382C4D" w:rsidR="00025FD2">
        <w:rPr>
          <w:szCs w:val="24"/>
        </w:rPr>
        <w:t xml:space="preserve">also </w:t>
      </w:r>
      <w:r w:rsidRPr="00382C4D">
        <w:rPr>
          <w:szCs w:val="24"/>
        </w:rPr>
        <w:t xml:space="preserve">contends that a gas distribution rate case is unnecessary because the </w:t>
      </w:r>
      <w:r w:rsidRPr="00382C4D" w:rsidR="00130543">
        <w:rPr>
          <w:szCs w:val="24"/>
        </w:rPr>
        <w:t xml:space="preserve">smart grid </w:t>
      </w:r>
      <w:r w:rsidRPr="00382C4D" w:rsidR="005A106C">
        <w:rPr>
          <w:szCs w:val="24"/>
        </w:rPr>
        <w:t xml:space="preserve">investments and associated </w:t>
      </w:r>
      <w:r w:rsidRPr="00382C4D">
        <w:rPr>
          <w:szCs w:val="24"/>
        </w:rPr>
        <w:t xml:space="preserve">expenses </w:t>
      </w:r>
      <w:r w:rsidRPr="00382C4D" w:rsidR="00130543">
        <w:rPr>
          <w:szCs w:val="24"/>
        </w:rPr>
        <w:t xml:space="preserve">collected from customers </w:t>
      </w:r>
      <w:r w:rsidRPr="00382C4D" w:rsidR="00130543">
        <w:rPr>
          <w:i/>
          <w:iCs/>
          <w:szCs w:val="24"/>
        </w:rPr>
        <w:t>through</w:t>
      </w:r>
      <w:r w:rsidRPr="00382C4D" w:rsidR="00130543">
        <w:rPr>
          <w:szCs w:val="24"/>
        </w:rPr>
        <w:t xml:space="preserve"> </w:t>
      </w:r>
      <w:r w:rsidRPr="00382C4D">
        <w:rPr>
          <w:i/>
          <w:szCs w:val="24"/>
        </w:rPr>
        <w:t>Rider AU</w:t>
      </w:r>
      <w:r w:rsidRPr="00382C4D">
        <w:rPr>
          <w:szCs w:val="24"/>
        </w:rPr>
        <w:t xml:space="preserve"> are examined every year.</w:t>
      </w:r>
      <w:r>
        <w:rPr>
          <w:rStyle w:val="FootnoteReference"/>
          <w:szCs w:val="24"/>
        </w:rPr>
        <w:footnoteReference w:id="13"/>
      </w:r>
      <w:r w:rsidRPr="00382C4D">
        <w:rPr>
          <w:szCs w:val="24"/>
        </w:rPr>
        <w:t xml:space="preserve">  Duke’s approach to ratemaking is to just look at the </w:t>
      </w:r>
      <w:r w:rsidRPr="00382C4D" w:rsidR="005A106C">
        <w:rPr>
          <w:szCs w:val="24"/>
        </w:rPr>
        <w:t xml:space="preserve">capital expenditures and </w:t>
      </w:r>
      <w:r w:rsidRPr="00382C4D">
        <w:rPr>
          <w:szCs w:val="24"/>
        </w:rPr>
        <w:t>expenses it makes co</w:t>
      </w:r>
      <w:r w:rsidRPr="00382C4D" w:rsidR="001C1AFC">
        <w:rPr>
          <w:szCs w:val="24"/>
        </w:rPr>
        <w:t>ncerning its smart grid program</w:t>
      </w:r>
      <w:r w:rsidRPr="00382C4D">
        <w:rPr>
          <w:szCs w:val="24"/>
        </w:rPr>
        <w:t xml:space="preserve"> </w:t>
      </w:r>
      <w:r w:rsidRPr="00382C4D" w:rsidR="005A106C">
        <w:rPr>
          <w:szCs w:val="24"/>
        </w:rPr>
        <w:t xml:space="preserve">in isolation </w:t>
      </w:r>
      <w:r w:rsidRPr="00382C4D">
        <w:rPr>
          <w:szCs w:val="24"/>
        </w:rPr>
        <w:t>then collect thos</w:t>
      </w:r>
      <w:r w:rsidRPr="00382C4D" w:rsidR="001C1AFC">
        <w:rPr>
          <w:szCs w:val="24"/>
        </w:rPr>
        <w:t>e</w:t>
      </w:r>
      <w:r w:rsidRPr="00382C4D">
        <w:rPr>
          <w:szCs w:val="24"/>
        </w:rPr>
        <w:t xml:space="preserve"> </w:t>
      </w:r>
      <w:r w:rsidRPr="00382C4D" w:rsidR="005A106C">
        <w:rPr>
          <w:szCs w:val="24"/>
        </w:rPr>
        <w:t xml:space="preserve">expenditures and </w:t>
      </w:r>
      <w:r w:rsidRPr="00382C4D" w:rsidR="008A2B69">
        <w:rPr>
          <w:szCs w:val="24"/>
        </w:rPr>
        <w:t xml:space="preserve">related </w:t>
      </w:r>
      <w:r w:rsidRPr="00382C4D">
        <w:rPr>
          <w:szCs w:val="24"/>
        </w:rPr>
        <w:t>expenses from customers.  This is an extremely narrow view of ratemaking</w:t>
      </w:r>
      <w:r w:rsidRPr="00382C4D" w:rsidR="001C1AFC">
        <w:rPr>
          <w:szCs w:val="24"/>
        </w:rPr>
        <w:t xml:space="preserve"> that does not </w:t>
      </w:r>
      <w:r w:rsidRPr="00382C4D" w:rsidR="00A231E1">
        <w:rPr>
          <w:szCs w:val="24"/>
        </w:rPr>
        <w:t xml:space="preserve">consider other factors, such as the actual savings Duke realizes from smart grid and </w:t>
      </w:r>
      <w:r w:rsidRPr="00382C4D" w:rsidR="004453FA">
        <w:rPr>
          <w:szCs w:val="24"/>
        </w:rPr>
        <w:t xml:space="preserve">Duke’s overall </w:t>
      </w:r>
      <w:r w:rsidRPr="00382C4D" w:rsidR="00A231E1">
        <w:rPr>
          <w:szCs w:val="24"/>
        </w:rPr>
        <w:t xml:space="preserve">revenues.  </w:t>
      </w:r>
      <w:r w:rsidRPr="00382C4D" w:rsidR="00571264">
        <w:rPr>
          <w:szCs w:val="24"/>
        </w:rPr>
        <w:t xml:space="preserve">  </w:t>
      </w:r>
    </w:p>
    <w:p w:rsidR="006D2979" w:rsidRPr="00382C4D" w:rsidP="005D0F2D">
      <w:pPr>
        <w:spacing w:line="480" w:lineRule="auto"/>
        <w:ind w:firstLine="720"/>
        <w:rPr>
          <w:szCs w:val="24"/>
        </w:rPr>
      </w:pPr>
      <w:r w:rsidRPr="00382C4D">
        <w:rPr>
          <w:szCs w:val="24"/>
        </w:rPr>
        <w:t>Ohio law requires utility rates to be just and reasonable.  This means that the PUCO must take a more holistic approach to ratemaking and examine all the factors that go into base distribution rates.</w:t>
      </w:r>
      <w:r>
        <w:rPr>
          <w:rStyle w:val="FootnoteReference"/>
          <w:szCs w:val="24"/>
        </w:rPr>
        <w:footnoteReference w:id="14"/>
      </w:r>
      <w:r w:rsidRPr="00382C4D">
        <w:rPr>
          <w:szCs w:val="24"/>
        </w:rPr>
        <w:t xml:space="preserve">  This takes into account not only Rider AU, but also other Duke riders.  For example, as discussed at hearing investment Duke’s </w:t>
      </w:r>
      <w:r w:rsidRPr="00382C4D" w:rsidR="00E24C56">
        <w:rPr>
          <w:rStyle w:val="st"/>
          <w:szCs w:val="24"/>
        </w:rPr>
        <w:t xml:space="preserve">Accelerated Main Replacement Program </w:t>
      </w:r>
      <w:r w:rsidRPr="00382C4D">
        <w:rPr>
          <w:szCs w:val="24"/>
        </w:rPr>
        <w:t xml:space="preserve">rider has been completed and </w:t>
      </w:r>
      <w:r w:rsidRPr="00382C4D" w:rsidR="005A106C">
        <w:rPr>
          <w:szCs w:val="24"/>
        </w:rPr>
        <w:t xml:space="preserve">that investment </w:t>
      </w:r>
      <w:r w:rsidRPr="00382C4D" w:rsidR="008A2B69">
        <w:rPr>
          <w:szCs w:val="24"/>
        </w:rPr>
        <w:t xml:space="preserve">and related </w:t>
      </w:r>
      <w:r w:rsidRPr="00382C4D">
        <w:rPr>
          <w:szCs w:val="24"/>
        </w:rPr>
        <w:t>expenses should be moved to gas distribution base rates.</w:t>
      </w:r>
      <w:r>
        <w:rPr>
          <w:rStyle w:val="FootnoteReference"/>
          <w:szCs w:val="24"/>
        </w:rPr>
        <w:footnoteReference w:id="15"/>
      </w:r>
      <w:r w:rsidRPr="00382C4D">
        <w:rPr>
          <w:szCs w:val="24"/>
        </w:rPr>
        <w:t xml:space="preserve">  </w:t>
      </w:r>
    </w:p>
    <w:p w:rsidR="005B07AE" w:rsidRPr="00382C4D" w:rsidP="006D2979">
      <w:pPr>
        <w:spacing w:line="480" w:lineRule="auto"/>
        <w:ind w:firstLine="720"/>
        <w:rPr>
          <w:szCs w:val="24"/>
        </w:rPr>
      </w:pPr>
      <w:r w:rsidRPr="00382C4D">
        <w:rPr>
          <w:szCs w:val="24"/>
        </w:rPr>
        <w:t xml:space="preserve">The PUCO should take a broader view of ratemaking than Duke would like.  </w:t>
      </w:r>
      <w:r w:rsidRPr="00382C4D" w:rsidR="00F05FF8">
        <w:rPr>
          <w:szCs w:val="24"/>
        </w:rPr>
        <w:t>In approving a settlement in another smart grid rider proceeding, the PUCO ordered a base distribution rate case even though it wasn’t part of the settlement.</w:t>
      </w:r>
      <w:r>
        <w:rPr>
          <w:rStyle w:val="FootnoteReference"/>
          <w:szCs w:val="24"/>
        </w:rPr>
        <w:footnoteReference w:id="16"/>
      </w:r>
      <w:r w:rsidRPr="00382C4D" w:rsidR="00F05FF8">
        <w:rPr>
          <w:szCs w:val="24"/>
        </w:rPr>
        <w:t xml:space="preserve">  </w:t>
      </w:r>
      <w:r w:rsidRPr="00382C4D">
        <w:rPr>
          <w:szCs w:val="24"/>
        </w:rPr>
        <w:t>As part of its decision in this proceeding, the PUCO should order Duke to file a gas distribution rate case.</w:t>
      </w:r>
    </w:p>
    <w:p w:rsidR="000F18EF" w:rsidRPr="00382C4D" w:rsidP="00863375">
      <w:pPr>
        <w:pStyle w:val="Heading1"/>
      </w:pPr>
      <w:r w:rsidRPr="00382C4D">
        <w:t xml:space="preserve"> </w:t>
      </w:r>
      <w:bookmarkStart w:id="1" w:name="_Toc344714698"/>
      <w:bookmarkStart w:id="2" w:name="_Toc475094441"/>
      <w:r w:rsidRPr="00382C4D">
        <w:t>III.</w:t>
      </w:r>
      <w:r w:rsidRPr="00382C4D">
        <w:tab/>
        <w:t>CONCLUSION</w:t>
      </w:r>
      <w:bookmarkEnd w:id="1"/>
      <w:bookmarkEnd w:id="2"/>
    </w:p>
    <w:p w:rsidR="006541F1" w:rsidRPr="00382C4D" w:rsidP="00BA7911">
      <w:pPr>
        <w:spacing w:line="480" w:lineRule="auto"/>
        <w:ind w:firstLine="720"/>
        <w:rPr>
          <w:szCs w:val="24"/>
        </w:rPr>
      </w:pPr>
      <w:r w:rsidRPr="00382C4D">
        <w:rPr>
          <w:szCs w:val="24"/>
        </w:rPr>
        <w:t>Consumers are paying rates through Rider AU that are based on factors developed seven years ago.  And it has been six years since Duke’s last gas distribution rate case.  OCC is concerned that those rates are no longer just and reasonable.</w:t>
      </w:r>
      <w:r w:rsidRPr="00382C4D" w:rsidR="00584402">
        <w:rPr>
          <w:szCs w:val="24"/>
        </w:rPr>
        <w:t xml:space="preserve">  The PUCO should instruct Duke to file a base rate case within one year of the Order in this case. A gas distribution rate case is necessary to protect consumers.  </w:t>
      </w:r>
    </w:p>
    <w:p w:rsidR="00BA7911" w:rsidRPr="00382C4D" w:rsidP="005B07AE">
      <w:pPr>
        <w:ind w:left="4320"/>
        <w:rPr>
          <w:szCs w:val="24"/>
        </w:rPr>
      </w:pPr>
    </w:p>
    <w:p w:rsidR="00382C4D">
      <w:pPr>
        <w:rPr>
          <w:szCs w:val="24"/>
        </w:rPr>
      </w:pPr>
      <w:r>
        <w:rPr>
          <w:szCs w:val="24"/>
        </w:rPr>
        <w:br w:type="page"/>
      </w:r>
    </w:p>
    <w:p w:rsidR="00C743BC" w:rsidRPr="00382C4D" w:rsidP="00236966">
      <w:pPr>
        <w:ind w:left="3600"/>
        <w:rPr>
          <w:szCs w:val="24"/>
        </w:rPr>
      </w:pPr>
      <w:r w:rsidRPr="00382C4D">
        <w:rPr>
          <w:szCs w:val="24"/>
        </w:rPr>
        <w:t>Respectfully submitted,</w:t>
      </w:r>
    </w:p>
    <w:p w:rsidR="005B07AE" w:rsidRPr="00382C4D" w:rsidP="00236966">
      <w:pPr>
        <w:ind w:left="3600"/>
        <w:rPr>
          <w:szCs w:val="24"/>
        </w:rPr>
      </w:pPr>
    </w:p>
    <w:p w:rsidR="00C743BC" w:rsidRPr="00382C4D" w:rsidP="00236966">
      <w:pPr>
        <w:ind w:left="3600"/>
        <w:rPr>
          <w:szCs w:val="24"/>
        </w:rPr>
      </w:pPr>
      <w:r w:rsidRPr="00382C4D">
        <w:rPr>
          <w:szCs w:val="24"/>
        </w:rPr>
        <w:t>Bruce Weston (0016973)</w:t>
      </w:r>
    </w:p>
    <w:p w:rsidR="00C743BC" w:rsidRPr="00382C4D" w:rsidP="00236966">
      <w:pPr>
        <w:ind w:left="3600"/>
        <w:rPr>
          <w:szCs w:val="24"/>
        </w:rPr>
      </w:pPr>
      <w:r w:rsidRPr="00382C4D">
        <w:rPr>
          <w:szCs w:val="24"/>
        </w:rPr>
        <w:t>Ohio Consumers’ Counsel</w:t>
      </w:r>
    </w:p>
    <w:p w:rsidR="00C743BC" w:rsidRPr="00382C4D" w:rsidP="00236966">
      <w:pPr>
        <w:ind w:left="3600"/>
        <w:rPr>
          <w:szCs w:val="24"/>
        </w:rPr>
      </w:pPr>
      <w:r w:rsidRPr="00382C4D">
        <w:rPr>
          <w:szCs w:val="24"/>
        </w:rPr>
        <w:tab/>
      </w:r>
    </w:p>
    <w:p w:rsidR="007B6756" w:rsidRPr="00382C4D" w:rsidP="00236966">
      <w:pPr>
        <w:ind w:left="3600"/>
        <w:rPr>
          <w:szCs w:val="24"/>
        </w:rPr>
      </w:pPr>
      <w:r w:rsidRPr="00382C4D">
        <w:rPr>
          <w:i/>
          <w:szCs w:val="24"/>
          <w:u w:val="single"/>
        </w:rPr>
        <w:t>/s/ Terry L. Etter</w:t>
      </w:r>
      <w:r w:rsidRPr="00382C4D">
        <w:rPr>
          <w:i/>
          <w:szCs w:val="24"/>
          <w:u w:val="single"/>
        </w:rPr>
        <w:tab/>
      </w:r>
      <w:r w:rsidRPr="00382C4D">
        <w:rPr>
          <w:i/>
          <w:szCs w:val="24"/>
          <w:u w:val="single"/>
        </w:rPr>
        <w:tab/>
        <w:t xml:space="preserve"> </w:t>
      </w:r>
    </w:p>
    <w:p w:rsidR="00104D9A" w:rsidRPr="00382C4D" w:rsidP="00236966">
      <w:pPr>
        <w:ind w:left="3600"/>
        <w:rPr>
          <w:szCs w:val="24"/>
        </w:rPr>
      </w:pPr>
      <w:r w:rsidRPr="00382C4D">
        <w:rPr>
          <w:szCs w:val="24"/>
        </w:rPr>
        <w:t>Terry L. Etter (0067445), Counsel of Record</w:t>
      </w:r>
    </w:p>
    <w:p w:rsidR="00042E80" w:rsidRPr="00382C4D" w:rsidP="00236966">
      <w:pPr>
        <w:ind w:left="3600"/>
        <w:rPr>
          <w:szCs w:val="24"/>
        </w:rPr>
      </w:pPr>
      <w:r w:rsidRPr="00382C4D">
        <w:rPr>
          <w:szCs w:val="24"/>
        </w:rPr>
        <w:t>Amy Botschner O’Brien (0074423)</w:t>
      </w:r>
    </w:p>
    <w:p w:rsidR="00C743BC" w:rsidRPr="00382C4D" w:rsidP="00236966">
      <w:pPr>
        <w:ind w:left="3600"/>
        <w:rPr>
          <w:szCs w:val="24"/>
        </w:rPr>
      </w:pPr>
      <w:r w:rsidRPr="00382C4D">
        <w:rPr>
          <w:szCs w:val="24"/>
        </w:rPr>
        <w:t>Assistant Consumers’ Counsel</w:t>
      </w:r>
    </w:p>
    <w:p w:rsidR="00C743BC" w:rsidRPr="00382C4D" w:rsidP="00236966">
      <w:pPr>
        <w:spacing w:before="120"/>
        <w:ind w:left="3600"/>
        <w:rPr>
          <w:b/>
          <w:szCs w:val="24"/>
        </w:rPr>
      </w:pPr>
      <w:r w:rsidRPr="00382C4D">
        <w:rPr>
          <w:b/>
          <w:szCs w:val="24"/>
        </w:rPr>
        <w:t>Office of the Ohio Consumers’ Counsel</w:t>
      </w:r>
    </w:p>
    <w:p w:rsidR="005B07AE" w:rsidRPr="00382C4D" w:rsidP="00236966">
      <w:pPr>
        <w:ind w:left="3600"/>
        <w:rPr>
          <w:szCs w:val="24"/>
        </w:rPr>
      </w:pPr>
      <w:r w:rsidRPr="00382C4D">
        <w:rPr>
          <w:szCs w:val="24"/>
        </w:rPr>
        <w:t>65 East State Street, 7</w:t>
      </w:r>
      <w:r w:rsidRPr="00382C4D">
        <w:rPr>
          <w:szCs w:val="24"/>
          <w:vertAlign w:val="superscript"/>
        </w:rPr>
        <w:t>th</w:t>
      </w:r>
      <w:r w:rsidRPr="00382C4D">
        <w:rPr>
          <w:szCs w:val="24"/>
        </w:rPr>
        <w:t xml:space="preserve"> Floor</w:t>
      </w:r>
      <w:r w:rsidRPr="00382C4D">
        <w:rPr>
          <w:szCs w:val="24"/>
        </w:rPr>
        <w:tab/>
      </w:r>
    </w:p>
    <w:p w:rsidR="00C743BC" w:rsidRPr="00382C4D" w:rsidP="00236966">
      <w:pPr>
        <w:ind w:left="3600"/>
        <w:rPr>
          <w:szCs w:val="24"/>
        </w:rPr>
      </w:pPr>
      <w:r w:rsidRPr="00382C4D">
        <w:rPr>
          <w:szCs w:val="24"/>
        </w:rPr>
        <w:t>Columbus, Ohio 43215-4213</w:t>
      </w:r>
    </w:p>
    <w:p w:rsidR="00C743BC" w:rsidRPr="00382C4D" w:rsidP="00236966">
      <w:pPr>
        <w:ind w:left="3600"/>
        <w:rPr>
          <w:szCs w:val="24"/>
        </w:rPr>
      </w:pPr>
      <w:r w:rsidRPr="00382C4D">
        <w:rPr>
          <w:szCs w:val="24"/>
        </w:rPr>
        <w:t>Telephone [Etter]: (614) 466-7964</w:t>
      </w:r>
    </w:p>
    <w:p w:rsidR="00104D9A" w:rsidRPr="00382C4D" w:rsidP="00236966">
      <w:pPr>
        <w:ind w:left="3600"/>
        <w:rPr>
          <w:szCs w:val="24"/>
        </w:rPr>
      </w:pPr>
      <w:r w:rsidRPr="00382C4D">
        <w:rPr>
          <w:szCs w:val="24"/>
        </w:rPr>
        <w:t>Telephone [Botschner O’Brien]: (614) 466-9575</w:t>
      </w:r>
    </w:p>
    <w:p w:rsidR="00E8116C" w:rsidRPr="00382C4D" w:rsidP="00236966">
      <w:pPr>
        <w:ind w:left="3600"/>
        <w:rPr>
          <w:szCs w:val="24"/>
        </w:rPr>
      </w:pPr>
      <w:r>
        <w:fldChar w:fldCharType="begin"/>
      </w:r>
      <w:r>
        <w:instrText xml:space="preserve"> HYPERLINK "mailto:terry.etter@occ.ohio.gov" </w:instrText>
      </w:r>
      <w:r>
        <w:fldChar w:fldCharType="separate"/>
      </w:r>
      <w:r w:rsidRPr="00382C4D" w:rsidR="00584402">
        <w:rPr>
          <w:rStyle w:val="Hyperlink"/>
          <w:szCs w:val="24"/>
        </w:rPr>
        <w:t>terry.etter@occ.ohio.gov</w:t>
      </w:r>
      <w:r>
        <w:fldChar w:fldCharType="end"/>
      </w:r>
    </w:p>
    <w:p w:rsidR="005B07AE" w:rsidRPr="00382C4D" w:rsidP="00236966">
      <w:pPr>
        <w:ind w:left="3600"/>
        <w:rPr>
          <w:szCs w:val="24"/>
        </w:rPr>
      </w:pPr>
      <w:r>
        <w:fldChar w:fldCharType="begin"/>
      </w:r>
      <w:r>
        <w:instrText xml:space="preserve"> HYPERLINK "mailto:amy.botschner.obrien@occ.ohio.gov" </w:instrText>
      </w:r>
      <w:r>
        <w:fldChar w:fldCharType="separate"/>
      </w:r>
      <w:r w:rsidRPr="00382C4D" w:rsidR="00584402">
        <w:rPr>
          <w:rStyle w:val="Hyperlink"/>
          <w:szCs w:val="24"/>
        </w:rPr>
        <w:t>amy.botschner.obrien@occ.ohio.gov</w:t>
      </w:r>
      <w:r>
        <w:fldChar w:fldCharType="end"/>
      </w:r>
    </w:p>
    <w:p w:rsidR="00C743BC" w:rsidRPr="00382C4D" w:rsidP="00236966">
      <w:pPr>
        <w:ind w:left="3600"/>
        <w:rPr>
          <w:szCs w:val="24"/>
        </w:rPr>
      </w:pPr>
      <w:r w:rsidRPr="00382C4D">
        <w:rPr>
          <w:szCs w:val="24"/>
        </w:rPr>
        <w:t>(will accept service via email)</w:t>
      </w:r>
    </w:p>
    <w:p w:rsidR="00BA7911" w:rsidRPr="00382C4D" w:rsidP="00C743BC">
      <w:pPr>
        <w:ind w:left="1440" w:firstLine="720"/>
        <w:rPr>
          <w:b/>
          <w:bCs/>
          <w:szCs w:val="24"/>
          <w:u w:val="single"/>
        </w:rPr>
        <w:sectPr w:rsidSect="00BA7911">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titlePg/>
          <w:docGrid w:linePitch="65"/>
        </w:sectPr>
      </w:pPr>
    </w:p>
    <w:p w:rsidR="000F18EF" w:rsidRPr="00382C4D" w:rsidP="00C743BC">
      <w:pPr>
        <w:ind w:left="1440" w:firstLine="720"/>
        <w:rPr>
          <w:b/>
          <w:bCs/>
          <w:szCs w:val="24"/>
          <w:u w:val="single"/>
        </w:rPr>
      </w:pPr>
      <w:r w:rsidRPr="00382C4D">
        <w:rPr>
          <w:b/>
          <w:bCs/>
          <w:szCs w:val="24"/>
          <w:u w:val="single"/>
        </w:rPr>
        <w:t>CERTIFICATE OF SERVICE</w:t>
      </w:r>
    </w:p>
    <w:p w:rsidR="000F18EF" w:rsidRPr="00382C4D" w:rsidP="000F18EF">
      <w:pPr>
        <w:spacing w:line="480" w:lineRule="atLeast"/>
        <w:ind w:firstLine="720"/>
        <w:rPr>
          <w:szCs w:val="24"/>
        </w:rPr>
      </w:pPr>
      <w:r w:rsidRPr="00382C4D">
        <w:rPr>
          <w:szCs w:val="24"/>
        </w:rPr>
        <w:t xml:space="preserve">I hereby certify that a copy of this </w:t>
      </w:r>
      <w:r w:rsidRPr="00382C4D" w:rsidR="006D2979">
        <w:rPr>
          <w:szCs w:val="24"/>
        </w:rPr>
        <w:t>Reply</w:t>
      </w:r>
      <w:r w:rsidRPr="00382C4D">
        <w:rPr>
          <w:szCs w:val="24"/>
        </w:rPr>
        <w:t xml:space="preserve"> Brief was served on the persons stated below via electronic transmission, this </w:t>
      </w:r>
      <w:r w:rsidRPr="00382C4D" w:rsidR="006D2979">
        <w:rPr>
          <w:szCs w:val="24"/>
        </w:rPr>
        <w:t>6</w:t>
      </w:r>
      <w:r w:rsidRPr="00382C4D">
        <w:rPr>
          <w:szCs w:val="24"/>
          <w:vertAlign w:val="superscript"/>
        </w:rPr>
        <w:t>th</w:t>
      </w:r>
      <w:r w:rsidRPr="00382C4D">
        <w:rPr>
          <w:szCs w:val="24"/>
        </w:rPr>
        <w:t xml:space="preserve"> day of </w:t>
      </w:r>
      <w:r w:rsidRPr="00382C4D" w:rsidR="006D2979">
        <w:rPr>
          <w:szCs w:val="24"/>
        </w:rPr>
        <w:t>June</w:t>
      </w:r>
      <w:r w:rsidRPr="00382C4D">
        <w:rPr>
          <w:szCs w:val="24"/>
        </w:rPr>
        <w:t xml:space="preserve"> 2019.</w:t>
      </w:r>
    </w:p>
    <w:p w:rsidR="000F18EF" w:rsidRPr="00382C4D" w:rsidP="000F18EF">
      <w:pPr>
        <w:spacing w:line="480" w:lineRule="atLeast"/>
        <w:rPr>
          <w:szCs w:val="24"/>
        </w:rPr>
      </w:pPr>
    </w:p>
    <w:p w:rsidR="000F18EF" w:rsidRPr="00382C4D" w:rsidP="000F18EF">
      <w:pPr>
        <w:tabs>
          <w:tab w:val="left" w:pos="4320"/>
        </w:tabs>
        <w:rPr>
          <w:szCs w:val="24"/>
          <w:u w:val="single"/>
        </w:rPr>
      </w:pPr>
      <w:r w:rsidRPr="00382C4D">
        <w:rPr>
          <w:szCs w:val="24"/>
        </w:rPr>
        <w:tab/>
      </w:r>
      <w:r w:rsidRPr="00382C4D">
        <w:rPr>
          <w:i/>
          <w:szCs w:val="24"/>
          <w:u w:val="single"/>
        </w:rPr>
        <w:t>/s/</w:t>
      </w:r>
      <w:r w:rsidRPr="00382C4D">
        <w:rPr>
          <w:szCs w:val="24"/>
          <w:u w:val="single"/>
        </w:rPr>
        <w:t> </w:t>
      </w:r>
      <w:r w:rsidRPr="00382C4D">
        <w:rPr>
          <w:i/>
          <w:szCs w:val="24"/>
          <w:u w:val="single"/>
        </w:rPr>
        <w:t>Terry L. Etter</w:t>
      </w:r>
      <w:r w:rsidRPr="00382C4D">
        <w:rPr>
          <w:i/>
          <w:szCs w:val="24"/>
          <w:u w:val="single"/>
        </w:rPr>
        <w:tab/>
      </w:r>
      <w:r w:rsidRPr="00382C4D">
        <w:rPr>
          <w:szCs w:val="24"/>
          <w:u w:val="single"/>
        </w:rPr>
        <w:t>      </w:t>
      </w:r>
    </w:p>
    <w:p w:rsidR="00C743BC" w:rsidRPr="00382C4D" w:rsidP="000F18EF">
      <w:pPr>
        <w:tabs>
          <w:tab w:val="left" w:pos="4320"/>
        </w:tabs>
        <w:ind w:left="4320"/>
        <w:rPr>
          <w:szCs w:val="24"/>
        </w:rPr>
      </w:pPr>
      <w:r w:rsidRPr="00382C4D">
        <w:rPr>
          <w:szCs w:val="24"/>
        </w:rPr>
        <w:t>Terry L. Etter</w:t>
      </w:r>
    </w:p>
    <w:p w:rsidR="000F18EF" w:rsidRPr="00382C4D" w:rsidP="000F18EF">
      <w:pPr>
        <w:tabs>
          <w:tab w:val="left" w:pos="4320"/>
        </w:tabs>
        <w:ind w:left="4320"/>
        <w:rPr>
          <w:szCs w:val="24"/>
        </w:rPr>
      </w:pPr>
      <w:r w:rsidRPr="00382C4D">
        <w:rPr>
          <w:szCs w:val="24"/>
        </w:rPr>
        <w:t>Assistant Consumers’ Counsel</w:t>
      </w:r>
    </w:p>
    <w:p w:rsidR="000F18EF" w:rsidRPr="00382C4D" w:rsidP="000F18EF">
      <w:pPr>
        <w:rPr>
          <w:szCs w:val="24"/>
        </w:rPr>
      </w:pPr>
    </w:p>
    <w:p w:rsidR="000F18EF" w:rsidRPr="00382C4D" w:rsidP="000F18EF">
      <w:pPr>
        <w:rPr>
          <w:szCs w:val="24"/>
        </w:rPr>
      </w:pPr>
    </w:p>
    <w:p w:rsidR="000F18EF" w:rsidRPr="00382C4D" w:rsidP="000F18EF">
      <w:pPr>
        <w:jc w:val="center"/>
        <w:rPr>
          <w:b/>
          <w:szCs w:val="24"/>
          <w:u w:val="single"/>
        </w:rPr>
      </w:pPr>
      <w:r w:rsidRPr="00382C4D">
        <w:rPr>
          <w:b/>
          <w:szCs w:val="24"/>
          <w:u w:val="single"/>
        </w:rPr>
        <w:t>SERVICE LIST</w:t>
      </w:r>
    </w:p>
    <w:p w:rsidR="000F18EF" w:rsidRPr="00382C4D" w:rsidP="000F18EF">
      <w:pPr>
        <w:jc w:val="both"/>
        <w:rPr>
          <w:b/>
          <w:bCs/>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410"/>
        <w:gridCol w:w="4230"/>
      </w:tblGrid>
      <w:tr w:rsidTr="007B675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15" w:type="dxa"/>
          </w:tcPr>
          <w:p w:rsidR="007B6756" w:rsidP="007B6756">
            <w:pPr>
              <w:rPr>
                <w:rStyle w:val="DefaultParagraphFont"/>
                <w:sz w:val="24"/>
                <w:szCs w:val="24"/>
                <w:lang w:val="en-US" w:eastAsia="en-US" w:bidi="ar-SA"/>
              </w:rPr>
            </w:pPr>
            <w:r>
              <w:fldChar w:fldCharType="begin"/>
            </w:r>
            <w:r>
              <w:rPr>
                <w:sz w:val="24"/>
                <w:lang w:val="en-US" w:eastAsia="en-US" w:bidi="ar-SA"/>
              </w:rPr>
              <w:instrText xml:space="preserve"> HYPERLINK "mailto:Thomas.lindgren@ohioattorneygeneral.gov" </w:instrText>
            </w:r>
            <w:r>
              <w:fldChar w:fldCharType="separate"/>
            </w:r>
            <w:r w:rsidRPr="004405BA" w:rsidR="00382C4D">
              <w:rPr>
                <w:rStyle w:val="Hyperlink"/>
                <w:color w:val="0000FF"/>
                <w:sz w:val="24"/>
                <w:szCs w:val="24"/>
                <w:u w:val="single"/>
                <w:lang w:val="en-US" w:eastAsia="en-US" w:bidi="ar-SA"/>
              </w:rPr>
              <w:t>Thomas.lindgren@ohioattorneygeneral.gov</w:t>
            </w:r>
            <w:r>
              <w:fldChar w:fldCharType="end"/>
            </w:r>
          </w:p>
          <w:p w:rsidR="00382C4D" w:rsidRPr="00382C4D" w:rsidP="007B6756">
            <w:pPr>
              <w:rPr>
                <w:rStyle w:val="DefaultParagraphFont"/>
                <w:sz w:val="24"/>
                <w:szCs w:val="24"/>
                <w:lang w:val="en-US" w:eastAsia="en-US" w:bidi="ar-SA"/>
              </w:rPr>
            </w:pPr>
          </w:p>
          <w:p w:rsidR="007B6756" w:rsidRPr="00382C4D" w:rsidP="007B6756">
            <w:pPr>
              <w:rPr>
                <w:rStyle w:val="DefaultParagraphFont"/>
                <w:sz w:val="24"/>
                <w:szCs w:val="24"/>
                <w:lang w:val="en-US" w:eastAsia="en-US" w:bidi="ar-SA"/>
              </w:rPr>
            </w:pPr>
          </w:p>
          <w:p w:rsidR="007B6756" w:rsidRPr="00382C4D" w:rsidP="007B6756">
            <w:pPr>
              <w:rPr>
                <w:rStyle w:val="DefaultParagraphFont"/>
                <w:sz w:val="24"/>
                <w:szCs w:val="24"/>
                <w:lang w:val="en-US" w:eastAsia="en-US" w:bidi="ar-SA"/>
              </w:rPr>
            </w:pPr>
            <w:r w:rsidRPr="00382C4D">
              <w:rPr>
                <w:sz w:val="24"/>
                <w:szCs w:val="24"/>
                <w:lang w:val="en-US" w:eastAsia="en-US" w:bidi="ar-SA"/>
              </w:rPr>
              <w:t>Attorney Examiner:</w:t>
            </w:r>
          </w:p>
          <w:p w:rsidR="00E8116C" w:rsidRPr="00382C4D" w:rsidP="007B6756">
            <w:pPr>
              <w:rPr>
                <w:rStyle w:val="DefaultParagraphFont"/>
                <w:sz w:val="24"/>
                <w:szCs w:val="24"/>
                <w:lang w:val="en-US" w:eastAsia="en-US" w:bidi="ar-SA"/>
              </w:rPr>
            </w:pPr>
          </w:p>
          <w:p w:rsidR="00382C4D" w:rsidP="007B6756">
            <w:pPr>
              <w:rPr>
                <w:rStyle w:val="Hyperlink"/>
                <w:color w:val="0000FF"/>
                <w:sz w:val="24"/>
                <w:szCs w:val="24"/>
                <w:u w:val="single"/>
                <w:lang w:val="en-US" w:eastAsia="en-US" w:bidi="ar-SA"/>
              </w:rPr>
            </w:pPr>
            <w:r>
              <w:fldChar w:fldCharType="begin"/>
            </w:r>
            <w:r>
              <w:rPr>
                <w:sz w:val="24"/>
                <w:lang w:val="en-US" w:eastAsia="en-US" w:bidi="ar-SA"/>
              </w:rPr>
              <w:instrText xml:space="preserve"> HYPERLINK "mailto:sarah.parrot@puco.ohio.gov" </w:instrText>
            </w:r>
            <w:r>
              <w:fldChar w:fldCharType="separate"/>
            </w:r>
            <w:r w:rsidRPr="00382C4D" w:rsidR="00584402">
              <w:rPr>
                <w:rStyle w:val="Hyperlink"/>
                <w:color w:val="0000FF"/>
                <w:sz w:val="24"/>
                <w:szCs w:val="24"/>
                <w:u w:val="single"/>
                <w:lang w:val="en-US" w:eastAsia="en-US" w:bidi="ar-SA"/>
              </w:rPr>
              <w:t>sarah.parrot@puco.ohio.gov</w:t>
            </w:r>
            <w:r>
              <w:fldChar w:fldCharType="end"/>
            </w:r>
          </w:p>
          <w:p w:rsidR="00382C4D" w:rsidP="007B6756">
            <w:pPr>
              <w:rPr>
                <w:rStyle w:val="Hyperlink"/>
                <w:color w:val="0000FF"/>
                <w:sz w:val="24"/>
                <w:szCs w:val="24"/>
                <w:u w:val="single"/>
                <w:lang w:val="en-US" w:eastAsia="en-US" w:bidi="ar-SA"/>
              </w:rPr>
            </w:pPr>
            <w:r>
              <w:fldChar w:fldCharType="begin"/>
            </w:r>
            <w:r>
              <w:rPr>
                <w:sz w:val="24"/>
                <w:lang w:val="en-US" w:eastAsia="en-US" w:bidi="ar-SA"/>
              </w:rPr>
              <w:instrText xml:space="preserve"> HYPERLINK "mailto:Kerry.sheets@puco.ohio.gov" </w:instrText>
            </w:r>
            <w:r>
              <w:fldChar w:fldCharType="separate"/>
            </w:r>
            <w:r w:rsidRPr="004405BA">
              <w:rPr>
                <w:rStyle w:val="Hyperlink"/>
                <w:color w:val="0000FF"/>
                <w:sz w:val="24"/>
                <w:szCs w:val="24"/>
                <w:u w:val="single"/>
                <w:lang w:val="en-US" w:eastAsia="en-US" w:bidi="ar-SA"/>
              </w:rPr>
              <w:t>Kerry.sheets@puco.ohio.gov</w:t>
            </w:r>
            <w:r>
              <w:fldChar w:fldCharType="end"/>
            </w:r>
          </w:p>
          <w:p w:rsidR="007B6756" w:rsidRPr="00382C4D" w:rsidP="007B6756">
            <w:pPr>
              <w:rPr>
                <w:rStyle w:val="DefaultParagraphFont"/>
                <w:sz w:val="24"/>
                <w:szCs w:val="24"/>
                <w:lang w:val="en-US" w:eastAsia="en-US" w:bidi="ar-SA"/>
              </w:rPr>
            </w:pPr>
            <w:r w:rsidRPr="00382C4D">
              <w:rPr>
                <w:sz w:val="24"/>
                <w:szCs w:val="24"/>
                <w:lang w:val="en-US" w:eastAsia="en-US" w:bidi="ar-SA"/>
              </w:rPr>
              <w:t xml:space="preserve"> </w:t>
            </w:r>
          </w:p>
        </w:tc>
        <w:tc>
          <w:tcPr>
            <w:tcW w:w="4315" w:type="dxa"/>
          </w:tcPr>
          <w:p w:rsidR="007B6756" w:rsidRPr="00382C4D" w:rsidP="00382C4D">
            <w:pPr>
              <w:ind w:left="435"/>
              <w:rPr>
                <w:rStyle w:val="DefaultParagraphFont"/>
                <w:sz w:val="24"/>
                <w:szCs w:val="24"/>
                <w:lang w:val="en-US" w:eastAsia="en-US" w:bidi="ar-SA"/>
              </w:rPr>
            </w:pPr>
            <w:r>
              <w:fldChar w:fldCharType="begin"/>
            </w:r>
            <w:r>
              <w:rPr>
                <w:sz w:val="24"/>
                <w:lang w:val="en-US" w:eastAsia="en-US" w:bidi="ar-SA"/>
              </w:rPr>
              <w:instrText xml:space="preserve"> HYPERLINK "mailto:Rocco.dascenzo@duke-energy.com" </w:instrText>
            </w:r>
            <w:r>
              <w:fldChar w:fldCharType="separate"/>
            </w:r>
            <w:r w:rsidRPr="00382C4D" w:rsidR="00584402">
              <w:rPr>
                <w:rStyle w:val="Hyperlink"/>
                <w:color w:val="0000FF"/>
                <w:sz w:val="24"/>
                <w:szCs w:val="24"/>
                <w:u w:val="single"/>
                <w:lang w:val="en-US" w:eastAsia="en-US" w:bidi="ar-SA"/>
              </w:rPr>
              <w:t>Rocco.dascenzo@duke-energy.com</w:t>
            </w:r>
            <w:r>
              <w:fldChar w:fldCharType="end"/>
            </w:r>
            <w:r w:rsidRPr="00382C4D" w:rsidR="00584402">
              <w:rPr>
                <w:sz w:val="24"/>
                <w:szCs w:val="24"/>
                <w:lang w:val="en-US" w:eastAsia="en-US" w:bidi="ar-SA"/>
              </w:rPr>
              <w:t xml:space="preserve">  </w:t>
            </w:r>
          </w:p>
          <w:p w:rsidR="007B6756" w:rsidRPr="00382C4D" w:rsidP="00382C4D">
            <w:pPr>
              <w:ind w:left="435"/>
              <w:rPr>
                <w:rStyle w:val="DefaultParagraphFont"/>
                <w:sz w:val="24"/>
                <w:szCs w:val="24"/>
                <w:lang w:val="en-US" w:eastAsia="en-US" w:bidi="ar-SA"/>
              </w:rPr>
            </w:pPr>
            <w:r>
              <w:fldChar w:fldCharType="begin"/>
            </w:r>
            <w:r>
              <w:rPr>
                <w:sz w:val="24"/>
                <w:lang w:val="en-US" w:eastAsia="en-US" w:bidi="ar-SA"/>
              </w:rPr>
              <w:instrText xml:space="preserve"> HYPERLINK "mailto:Elizabeth.watts@duke-energy.com" </w:instrText>
            </w:r>
            <w:r>
              <w:fldChar w:fldCharType="separate"/>
            </w:r>
            <w:r w:rsidRPr="00382C4D" w:rsidR="00584402">
              <w:rPr>
                <w:rStyle w:val="Hyperlink"/>
                <w:color w:val="0000FF"/>
                <w:sz w:val="24"/>
                <w:szCs w:val="24"/>
                <w:u w:val="single"/>
                <w:lang w:val="en-US" w:eastAsia="en-US" w:bidi="ar-SA"/>
              </w:rPr>
              <w:t>Elizabeth.watts@duke-energy.com</w:t>
            </w:r>
            <w:r>
              <w:fldChar w:fldCharType="end"/>
            </w:r>
            <w:r w:rsidRPr="00382C4D" w:rsidR="00584402">
              <w:rPr>
                <w:sz w:val="24"/>
                <w:szCs w:val="24"/>
                <w:lang w:val="en-US" w:eastAsia="en-US" w:bidi="ar-SA"/>
              </w:rPr>
              <w:t xml:space="preserve">  </w:t>
            </w:r>
          </w:p>
        </w:tc>
      </w:tr>
    </w:tbl>
    <w:p w:rsidR="000F18EF" w:rsidRPr="00382C4D" w:rsidP="003547B0">
      <w:pPr>
        <w:spacing w:line="480" w:lineRule="auto"/>
        <w:rPr>
          <w:szCs w:val="24"/>
        </w:rPr>
      </w:pPr>
    </w:p>
    <w:sectPr>
      <w:headerReference w:type="even" r:id="rId11"/>
      <w:headerReference w:type="default" r:id="rId12"/>
      <w:headerReference w:type="first" r:id="rId13"/>
      <w:footerReference w:type="first" r:id="rId14"/>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04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35460447"/>
      <w:docPartObj>
        <w:docPartGallery w:val="Page Numbers (Bottom of Page)"/>
        <w:docPartUnique/>
      </w:docPartObj>
    </w:sdtPr>
    <w:sdtEndPr>
      <w:rPr>
        <w:noProof/>
        <w:sz w:val="24"/>
        <w:szCs w:val="24"/>
      </w:rPr>
    </w:sdtEndPr>
    <w:sdtContent>
      <w:p w:rsidR="001A60F2" w:rsidRPr="00382C4D">
        <w:pPr>
          <w:pStyle w:val="Footer"/>
          <w:jc w:val="center"/>
          <w:rPr>
            <w:sz w:val="24"/>
            <w:szCs w:val="24"/>
          </w:rPr>
        </w:pPr>
        <w:r w:rsidRPr="00382C4D">
          <w:rPr>
            <w:sz w:val="24"/>
            <w:szCs w:val="24"/>
          </w:rPr>
          <w:fldChar w:fldCharType="begin"/>
        </w:r>
        <w:r w:rsidRPr="00382C4D">
          <w:rPr>
            <w:sz w:val="24"/>
            <w:szCs w:val="24"/>
          </w:rPr>
          <w:instrText xml:space="preserve"> PAGE   \* MERGEFORMAT </w:instrText>
        </w:r>
        <w:r w:rsidRPr="00382C4D">
          <w:rPr>
            <w:sz w:val="24"/>
            <w:szCs w:val="24"/>
          </w:rPr>
          <w:fldChar w:fldCharType="separate"/>
        </w:r>
        <w:r w:rsidRPr="00382C4D" w:rsidR="008F05D0">
          <w:rPr>
            <w:noProof/>
            <w:sz w:val="24"/>
            <w:szCs w:val="24"/>
          </w:rPr>
          <w:t>2</w:t>
        </w:r>
        <w:r w:rsidRPr="00382C4D">
          <w:rPr>
            <w:noProof/>
            <w:sz w:val="24"/>
            <w:szCs w:val="24"/>
          </w:rPr>
          <w:fldChar w:fldCharType="end"/>
        </w:r>
      </w:p>
    </w:sdtContent>
  </w:sdt>
  <w:p w:rsidR="001A6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60F2">
    <w:pPr>
      <w:pStyle w:val="Footer"/>
      <w:jc w:val="center"/>
    </w:pPr>
  </w:p>
  <w:p w:rsidR="00E8116C" w:rsidRPr="00BA7911">
    <w:pPr>
      <w:pStyle w:val="Footer"/>
      <w:jc w:val="center"/>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7911" w:rsidRPr="00BA7911">
    <w:pPr>
      <w:pStyle w:val="Footer"/>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14BB0">
      <w:r>
        <w:separator/>
      </w:r>
    </w:p>
  </w:footnote>
  <w:footnote w:type="continuationSeparator" w:id="1">
    <w:p w:rsidR="00814BB0">
      <w:r>
        <w:continuationSeparator/>
      </w:r>
    </w:p>
  </w:footnote>
  <w:footnote w:type="continuationNotice" w:id="2">
    <w:p w:rsidR="00814BB0"/>
  </w:footnote>
  <w:footnote w:id="3">
    <w:p w:rsidR="00920057">
      <w:pPr>
        <w:pStyle w:val="FootnoteText"/>
      </w:pPr>
      <w:r>
        <w:rPr>
          <w:rStyle w:val="FootnoteReference"/>
        </w:rPr>
        <w:footnoteRef/>
      </w:r>
      <w:r>
        <w:t xml:space="preserve"> R.C. 4909.22.</w:t>
      </w:r>
    </w:p>
  </w:footnote>
  <w:footnote w:id="4">
    <w:p w:rsidR="00E65799" w:rsidRPr="00941A42" w:rsidP="00E65799">
      <w:pPr>
        <w:pStyle w:val="FootnoteText"/>
      </w:pPr>
      <w:r>
        <w:rPr>
          <w:rStyle w:val="FootnoteReference"/>
        </w:rPr>
        <w:footnoteRef/>
      </w:r>
      <w:r>
        <w:t xml:space="preserve"> </w:t>
      </w:r>
      <w:r>
        <w:rPr>
          <w:i/>
        </w:rPr>
        <w:t>See</w:t>
      </w:r>
      <w:r>
        <w:t xml:space="preserve"> Tr. at 56.</w:t>
      </w:r>
    </w:p>
  </w:footnote>
  <w:footnote w:id="5">
    <w:p w:rsidR="00E65799" w:rsidRPr="0056526F">
      <w:pPr>
        <w:pStyle w:val="FootnoteText"/>
      </w:pPr>
      <w:r>
        <w:rPr>
          <w:rStyle w:val="FootnoteReference"/>
        </w:rPr>
        <w:footnoteRef/>
      </w:r>
      <w:r>
        <w:t xml:space="preserve"> </w:t>
      </w:r>
      <w:r w:rsidR="00231D80">
        <w:t xml:space="preserve">Case No. 10-2326-GE-RDR, Opinion and Order (June 13, 2012) at 11.  </w:t>
      </w:r>
    </w:p>
  </w:footnote>
  <w:footnote w:id="6">
    <w:p w:rsidR="00130543" w:rsidP="00130543">
      <w:pPr>
        <w:pStyle w:val="FootnoteText"/>
      </w:pPr>
      <w:r>
        <w:rPr>
          <w:rStyle w:val="FootnoteReference"/>
        </w:rPr>
        <w:footnoteRef/>
      </w:r>
      <w:r>
        <w:t xml:space="preserve"> </w:t>
      </w:r>
      <w:r>
        <w:rPr>
          <w:i/>
          <w:iCs/>
        </w:rPr>
        <w:t xml:space="preserve">See </w:t>
      </w:r>
      <w:r>
        <w:t>Tr. at 63.</w:t>
      </w:r>
    </w:p>
  </w:footnote>
  <w:footnote w:id="7">
    <w:p w:rsidR="00E24C56">
      <w:pPr>
        <w:pStyle w:val="FootnoteText"/>
      </w:pPr>
      <w:r>
        <w:rPr>
          <w:rStyle w:val="FootnoteReference"/>
        </w:rPr>
        <w:footnoteRef/>
      </w:r>
      <w:r>
        <w:t xml:space="preserve"> Duke Comments (November 9, 2018); Duke Motion to Strike Testimony and Motion to Continue Date to File Testimony and Hearing (November 28, 2018) at 2-4</w:t>
      </w:r>
      <w:r w:rsidR="00A20157">
        <w:t>; Duke Ex. 4 (Lawler Supplemental Testimony) at 2-4, 5-6; Duke Initial Brief at 3-4.</w:t>
      </w:r>
    </w:p>
  </w:footnote>
  <w:footnote w:id="8">
    <w:p w:rsidR="004453FA">
      <w:pPr>
        <w:pStyle w:val="FootnoteText"/>
      </w:pPr>
      <w:r>
        <w:rPr>
          <w:rStyle w:val="FootnoteReference"/>
        </w:rPr>
        <w:footnoteRef/>
      </w:r>
      <w:r>
        <w:t xml:space="preserve"> If OCC does not address a particular argument made by Duke in its </w:t>
      </w:r>
      <w:r w:rsidR="006903F4">
        <w:t>initial brief, that fact should not be construed as OCC acquiescing to that argument.</w:t>
      </w:r>
    </w:p>
  </w:footnote>
  <w:footnote w:id="9">
    <w:p w:rsidR="00897D9B" w:rsidP="00897D9B">
      <w:pPr>
        <w:pStyle w:val="FootnoteText"/>
      </w:pPr>
      <w:r>
        <w:rPr>
          <w:rStyle w:val="FootnoteReference"/>
        </w:rPr>
        <w:footnoteRef/>
      </w:r>
      <w:r>
        <w:t xml:space="preserve"> Duke Initial Brief at 1.</w:t>
      </w:r>
    </w:p>
  </w:footnote>
  <w:footnote w:id="10">
    <w:p w:rsidR="00965366" w:rsidRPr="00965366">
      <w:pPr>
        <w:pStyle w:val="FootnoteText"/>
      </w:pPr>
      <w:r>
        <w:rPr>
          <w:rStyle w:val="FootnoteReference"/>
        </w:rPr>
        <w:footnoteRef/>
      </w:r>
      <w:r>
        <w:t xml:space="preserve"> </w:t>
      </w:r>
      <w:r>
        <w:rPr>
          <w:i/>
        </w:rPr>
        <w:t>See</w:t>
      </w:r>
      <w:r>
        <w:t xml:space="preserve"> Tr. </w:t>
      </w:r>
      <w:r w:rsidR="00236966">
        <w:t>a</w:t>
      </w:r>
      <w:r>
        <w:t>t 45-46, 65-66.</w:t>
      </w:r>
    </w:p>
  </w:footnote>
  <w:footnote w:id="11">
    <w:p w:rsidR="00025FD2" w:rsidRPr="00897D9B" w:rsidP="00025FD2">
      <w:pPr>
        <w:pStyle w:val="FootnoteText"/>
      </w:pPr>
      <w:r>
        <w:rPr>
          <w:rStyle w:val="FootnoteReference"/>
        </w:rPr>
        <w:footnoteRef/>
      </w:r>
      <w:r>
        <w:t xml:space="preserve"> </w:t>
      </w:r>
      <w:r w:rsidR="00260260">
        <w:rPr>
          <w:iCs/>
        </w:rPr>
        <w:t>Duke Initial Brief</w:t>
      </w:r>
      <w:r>
        <w:t xml:space="preserve"> at 2.</w:t>
      </w:r>
    </w:p>
  </w:footnote>
  <w:footnote w:id="12">
    <w:p w:rsidR="00025FD2" w:rsidP="00025FD2">
      <w:pPr>
        <w:pStyle w:val="FootnoteText"/>
      </w:pPr>
      <w:r>
        <w:rPr>
          <w:rStyle w:val="FootnoteReference"/>
        </w:rPr>
        <w:footnoteRef/>
      </w:r>
      <w:r>
        <w:t xml:space="preserve"> OCC Initial Brief at 3.</w:t>
      </w:r>
    </w:p>
  </w:footnote>
  <w:footnote w:id="13">
    <w:p w:rsidR="00943947">
      <w:pPr>
        <w:pStyle w:val="FootnoteText"/>
      </w:pPr>
      <w:r>
        <w:rPr>
          <w:rStyle w:val="FootnoteReference"/>
        </w:rPr>
        <w:footnoteRef/>
      </w:r>
      <w:r>
        <w:t xml:space="preserve"> Duke Initial Brief at 2-4.</w:t>
      </w:r>
    </w:p>
  </w:footnote>
  <w:footnote w:id="14">
    <w:p w:rsidR="00A231E1" w:rsidRPr="00A231E1">
      <w:pPr>
        <w:pStyle w:val="FootnoteText"/>
      </w:pPr>
      <w:r>
        <w:rPr>
          <w:rStyle w:val="FootnoteReference"/>
        </w:rPr>
        <w:footnoteRef/>
      </w:r>
      <w:r>
        <w:t xml:space="preserve"> </w:t>
      </w:r>
      <w:r>
        <w:rPr>
          <w:i/>
        </w:rPr>
        <w:t>See</w:t>
      </w:r>
      <w:r>
        <w:t xml:space="preserve"> OCC Ex</w:t>
      </w:r>
      <w:r w:rsidR="00E24C56">
        <w:t>.</w:t>
      </w:r>
      <w:r>
        <w:t xml:space="preserve"> 5 (Williams Direct Testimony) at 6-7.</w:t>
      </w:r>
    </w:p>
  </w:footnote>
  <w:footnote w:id="15">
    <w:p w:rsidR="00A231E1">
      <w:pPr>
        <w:pStyle w:val="FootnoteText"/>
      </w:pPr>
      <w:r>
        <w:rPr>
          <w:rStyle w:val="FootnoteReference"/>
        </w:rPr>
        <w:footnoteRef/>
      </w:r>
      <w:r>
        <w:t xml:space="preserve"> Tr. at 63.</w:t>
      </w:r>
    </w:p>
  </w:footnote>
  <w:footnote w:id="16">
    <w:p w:rsidR="00F05FF8" w:rsidRPr="00E35A4E">
      <w:pPr>
        <w:pStyle w:val="FootnoteText"/>
        <w:rPr>
          <w:i/>
          <w:iCs/>
        </w:rPr>
      </w:pPr>
      <w:r>
        <w:rPr>
          <w:rStyle w:val="FootnoteReference"/>
        </w:rPr>
        <w:footnoteRef/>
      </w:r>
      <w:r w:rsidRPr="00F05FF8">
        <w:t xml:space="preserve"> </w:t>
      </w:r>
      <w:r w:rsidRPr="0023255A">
        <w:rPr>
          <w:i/>
          <w:iCs/>
        </w:rPr>
        <w:t>In the Matter of the Application of Ohio Power Company to Initiate Phase 2 of Its gridSMART Project and to Establish the gridSMART Phase 2 Rider</w:t>
      </w:r>
      <w:r>
        <w:t xml:space="preserve">, Case No. 13-1939-EL-RDR, Opinion and Order (February 1, 2017), ¶67.  The PUCO noted that Ohio Power’s last distribution rate case was more than four years prior to the Order.  </w:t>
      </w:r>
      <w:r>
        <w:rPr>
          <w:i/>
          <w:iCs/>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04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04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04D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337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337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33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797268B6"/>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5D89C36"/>
    <w:lvl w:ilvl="0">
      <w:start w:val="1"/>
      <w:numFmt w:val="decimal"/>
      <w:lvlText w:val="%1."/>
      <w:lvlJc w:val="left"/>
      <w:pPr>
        <w:tabs>
          <w:tab w:val="num" w:pos="1800"/>
        </w:tabs>
        <w:ind w:left="1800" w:hanging="360"/>
      </w:pPr>
    </w:lvl>
  </w:abstractNum>
  <w:abstractNum w:abstractNumId="2">
    <w:nsid w:val="FFFFFF7D"/>
    <w:multiLevelType w:val="singleLevel"/>
    <w:tmpl w:val="DBCA5222"/>
    <w:lvl w:ilvl="0">
      <w:start w:val="1"/>
      <w:numFmt w:val="decimal"/>
      <w:lvlText w:val="%1."/>
      <w:lvlJc w:val="left"/>
      <w:pPr>
        <w:tabs>
          <w:tab w:val="num" w:pos="1440"/>
        </w:tabs>
        <w:ind w:left="1440" w:hanging="360"/>
      </w:pPr>
    </w:lvl>
  </w:abstractNum>
  <w:abstractNum w:abstractNumId="3">
    <w:nsid w:val="FFFFFF7E"/>
    <w:multiLevelType w:val="singleLevel"/>
    <w:tmpl w:val="647C444E"/>
    <w:lvl w:ilvl="0">
      <w:start w:val="1"/>
      <w:numFmt w:val="decimal"/>
      <w:lvlText w:val="%1."/>
      <w:lvlJc w:val="left"/>
      <w:pPr>
        <w:tabs>
          <w:tab w:val="num" w:pos="1080"/>
        </w:tabs>
        <w:ind w:left="1080" w:hanging="360"/>
      </w:pPr>
    </w:lvl>
  </w:abstractNum>
  <w:abstractNum w:abstractNumId="4">
    <w:nsid w:val="FFFFFF7F"/>
    <w:multiLevelType w:val="singleLevel"/>
    <w:tmpl w:val="9DF68950"/>
    <w:lvl w:ilvl="0">
      <w:start w:val="1"/>
      <w:numFmt w:val="decimal"/>
      <w:lvlText w:val="%1."/>
      <w:lvlJc w:val="left"/>
      <w:pPr>
        <w:tabs>
          <w:tab w:val="num" w:pos="720"/>
        </w:tabs>
        <w:ind w:left="720" w:hanging="360"/>
      </w:pPr>
    </w:lvl>
  </w:abstractNum>
  <w:abstractNum w:abstractNumId="5">
    <w:nsid w:val="FFFFFF80"/>
    <w:multiLevelType w:val="singleLevel"/>
    <w:tmpl w:val="34C03BA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08E6E9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D34C57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6875D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23861B4"/>
    <w:lvl w:ilvl="0">
      <w:start w:val="1"/>
      <w:numFmt w:val="decimal"/>
      <w:lvlText w:val="%1."/>
      <w:lvlJc w:val="left"/>
      <w:pPr>
        <w:tabs>
          <w:tab w:val="num" w:pos="360"/>
        </w:tabs>
        <w:ind w:left="360" w:hanging="360"/>
      </w:pPr>
    </w:lvl>
  </w:abstractNum>
  <w:abstractNum w:abstractNumId="10">
    <w:nsid w:val="FFFFFF89"/>
    <w:multiLevelType w:val="singleLevel"/>
    <w:tmpl w:val="9D66E41E"/>
    <w:lvl w:ilvl="0">
      <w:start w:val="1"/>
      <w:numFmt w:val="bullet"/>
      <w:lvlText w:val=""/>
      <w:lvlJc w:val="left"/>
      <w:pPr>
        <w:tabs>
          <w:tab w:val="num" w:pos="360"/>
        </w:tabs>
        <w:ind w:left="360" w:hanging="360"/>
      </w:pPr>
      <w:rPr>
        <w:rFonts w:ascii="Symbol" w:hAnsi="Symbol" w:hint="default"/>
      </w:rPr>
    </w:lvl>
  </w:abstractNum>
  <w:abstractNum w:abstractNumId="11">
    <w:nsid w:val="06B75C02"/>
    <w:multiLevelType w:val="hybridMultilevel"/>
    <w:tmpl w:val="68AC13C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08861E96"/>
    <w:multiLevelType w:val="hybridMultilevel"/>
    <w:tmpl w:val="1EB4570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7107C68"/>
    <w:multiLevelType w:val="hybridMultilevel"/>
    <w:tmpl w:val="32847FFE"/>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180A6962"/>
    <w:multiLevelType w:val="hybridMultilevel"/>
    <w:tmpl w:val="A9907A0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1D9F07D3"/>
    <w:multiLevelType w:val="hybridMultilevel"/>
    <w:tmpl w:val="EF483A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FDE36EB"/>
    <w:multiLevelType w:val="hybridMultilevel"/>
    <w:tmpl w:val="35FC76C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41905F4"/>
    <w:multiLevelType w:val="hybridMultilevel"/>
    <w:tmpl w:val="D5F49500"/>
    <w:lvl w:ilvl="0">
      <w:start w:val="1"/>
      <w:numFmt w:val="upperLetter"/>
      <w:pStyle w:val="Heading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97C2BDD"/>
    <w:multiLevelType w:val="hybridMultilevel"/>
    <w:tmpl w:val="5C1E82B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2DD74DD0"/>
    <w:multiLevelType w:val="hybridMultilevel"/>
    <w:tmpl w:val="7C30C3E8"/>
    <w:lvl w:ilvl="0">
      <w:start w:val="4"/>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2E593936"/>
    <w:multiLevelType w:val="hybridMultilevel"/>
    <w:tmpl w:val="0246734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DA58BD"/>
    <w:multiLevelType w:val="hybridMultilevel"/>
    <w:tmpl w:val="A91E72A4"/>
    <w:lvl w:ilvl="0">
      <w:start w:val="1"/>
      <w:numFmt w:val="upperRoman"/>
      <w:lvlText w:val="%1."/>
      <w:lvlJc w:val="left"/>
      <w:pPr>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51922FD"/>
    <w:multiLevelType w:val="hybridMultilevel"/>
    <w:tmpl w:val="0B287154"/>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520550B0"/>
    <w:multiLevelType w:val="hybridMultilevel"/>
    <w:tmpl w:val="89EA524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nsid w:val="5E2C7CE8"/>
    <w:multiLevelType w:val="hybridMultilevel"/>
    <w:tmpl w:val="A9907A0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0">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6"/>
  </w:num>
  <w:num w:numId="2">
    <w:abstractNumId w:val="25"/>
  </w:num>
  <w:num w:numId="3">
    <w:abstractNumId w:val="29"/>
  </w:num>
  <w:num w:numId="4">
    <w:abstractNumId w:val="28"/>
  </w:num>
  <w:num w:numId="5">
    <w:abstractNumId w:val="13"/>
  </w:num>
  <w:num w:numId="6">
    <w:abstractNumId w:val="30"/>
  </w:num>
  <w:num w:numId="7">
    <w:abstractNumId w:val="22"/>
  </w:num>
  <w:num w:numId="8">
    <w:abstractNumId w:val="12"/>
  </w:num>
  <w:num w:numId="9">
    <w:abstractNumId w:val="23"/>
  </w:num>
  <w:num w:numId="10">
    <w:abstractNumId w:val="14"/>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0"/>
  </w:num>
  <w:num w:numId="15">
    <w:abstractNumId w:val="11"/>
  </w:num>
  <w:num w:numId="16">
    <w:abstractNumId w:val="16"/>
  </w:num>
  <w:num w:numId="17">
    <w:abstractNumId w:val="19"/>
  </w:num>
  <w:num w:numId="18">
    <w:abstractNumId w:val="24"/>
  </w:num>
  <w:num w:numId="19">
    <w:abstractNumId w:val="17"/>
  </w:num>
  <w:num w:numId="20">
    <w:abstractNumId w:val="20"/>
  </w:num>
  <w:num w:numId="21">
    <w:abstractNumId w:val="18"/>
  </w:num>
  <w:num w:numId="22">
    <w:abstractNumId w:val="21"/>
  </w:num>
  <w:num w:numId="23">
    <w:abstractNumId w:val="10"/>
  </w:num>
  <w:num w:numId="24">
    <w:abstractNumId w:val="8"/>
  </w:num>
  <w:num w:numId="25">
    <w:abstractNumId w:val="7"/>
  </w:num>
  <w:num w:numId="26">
    <w:abstractNumId w:val="6"/>
  </w:num>
  <w:num w:numId="27">
    <w:abstractNumId w:val="5"/>
  </w:num>
  <w:num w:numId="28">
    <w:abstractNumId w:val="9"/>
  </w:num>
  <w:num w:numId="29">
    <w:abstractNumId w:val="4"/>
  </w:num>
  <w:num w:numId="30">
    <w:abstractNumId w:val="3"/>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displayBackgroundShape/>
  <w:embedSystemFonts/>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E72"/>
    <w:rPr>
      <w:sz w:val="24"/>
    </w:rPr>
  </w:style>
  <w:style w:type="paragraph" w:styleId="Heading1">
    <w:name w:val="heading 1"/>
    <w:basedOn w:val="Normal"/>
    <w:next w:val="Normal"/>
    <w:link w:val="Heading1Char"/>
    <w:autoRedefine/>
    <w:qFormat/>
    <w:rsid w:val="00863375"/>
    <w:pPr>
      <w:keepNext/>
      <w:spacing w:before="240" w:line="480" w:lineRule="auto"/>
      <w:outlineLvl w:val="0"/>
    </w:pPr>
    <w:rPr>
      <w:b/>
      <w:bCs/>
      <w:caps/>
      <w:szCs w:val="24"/>
    </w:rPr>
  </w:style>
  <w:style w:type="paragraph" w:styleId="Heading2">
    <w:name w:val="heading 2"/>
    <w:basedOn w:val="Normal"/>
    <w:next w:val="Normal"/>
    <w:autoRedefine/>
    <w:qFormat/>
    <w:rsid w:val="00383A45"/>
    <w:pPr>
      <w:keepNext/>
      <w:numPr>
        <w:numId w:val="21"/>
      </w:numPr>
      <w:spacing w:after="240"/>
      <w:ind w:left="1440" w:right="720" w:hanging="720"/>
      <w:outlineLvl w:val="1"/>
    </w:pPr>
    <w:rPr>
      <w:b/>
    </w:rPr>
  </w:style>
  <w:style w:type="paragraph" w:styleId="Heading3">
    <w:name w:val="heading 3"/>
    <w:basedOn w:val="Normal"/>
    <w:next w:val="Normal"/>
    <w:autoRedefine/>
    <w:qFormat/>
    <w:rsid w:val="00383A45"/>
    <w:pPr>
      <w:keepNext/>
      <w:spacing w:after="240"/>
      <w:ind w:left="2160" w:hanging="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aliases w:val="ALTS FOOTNOTE,Footnote Text Cha,Footnote Text Char Char,Footnote Text Char Char Char Char,Footnote Text Char1,Footnote Text Char1 Char Char1,Footnote Text Char1 Char Char1 Char Char Char,Footnote Text Char2 Char Char Char Char1,fn"/>
    <w:basedOn w:val="Normal"/>
    <w:link w:val="FootnoteTextChar"/>
    <w:uiPriority w:val="99"/>
    <w:rsid w:val="00C77E72"/>
    <w:pPr>
      <w:spacing w:after="120"/>
    </w:pPr>
    <w:rPr>
      <w:sz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uiPriority w:val="99"/>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link w:val="HeaderChar"/>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uiPriority w:val="99"/>
    <w:rPr>
      <w:sz w:val="18"/>
    </w:rPr>
  </w:style>
  <w:style w:type="paragraph" w:styleId="CommentText">
    <w:name w:val="annotation text"/>
    <w:basedOn w:val="Normal"/>
    <w:link w:val="CommentTextChar"/>
    <w:uiPriority w:val="99"/>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FootnoteTextChar">
    <w:name w:val="Footnote Text Char"/>
    <w:aliases w:val="ALTS FOOTNOTE Char,Footnote Text Cha Char,Footnote Text Char Char Char Char Char1,Footnote Text Char Char Char1,Footnote Text Char1 Char Char1 Char Char Char Char1,Footnote Text Char1 Char Char1 Char1,Footnote Text Char1 Char1"/>
    <w:link w:val="FootnoteText"/>
    <w:uiPriority w:val="99"/>
    <w:locked/>
    <w:rsid w:val="00C77E72"/>
  </w:style>
  <w:style w:type="character" w:customStyle="1" w:styleId="StyleFooter12ptChar">
    <w:name w:val="Style Footer + 12 pt Char"/>
    <w:link w:val="StyleFooter12pt"/>
    <w:locked/>
    <w:rsid w:val="00E31276"/>
    <w:rPr>
      <w:sz w:val="24"/>
    </w:rPr>
  </w:style>
  <w:style w:type="character" w:customStyle="1" w:styleId="BodyTextChar">
    <w:name w:val="Body Text Char"/>
    <w:link w:val="BodyText"/>
    <w:rsid w:val="00DA7746"/>
    <w:rPr>
      <w:sz w:val="24"/>
    </w:rPr>
  </w:style>
  <w:style w:type="character" w:customStyle="1" w:styleId="BodyTextIndentChar">
    <w:name w:val="Body Text Indent Char"/>
    <w:link w:val="BodyTextIndent"/>
    <w:rsid w:val="00DA7746"/>
    <w:rPr>
      <w:sz w:val="24"/>
    </w:rPr>
  </w:style>
  <w:style w:type="paragraph" w:customStyle="1" w:styleId="StyleFooter12pt">
    <w:name w:val="Style Footer + 12 pt"/>
    <w:basedOn w:val="Footer"/>
    <w:link w:val="StyleFooter12ptChar"/>
    <w:rsid w:val="00E31276"/>
    <w:pPr>
      <w:framePr w:wrap="around" w:vAnchor="text" w:hAnchor="text" w:y="1"/>
      <w:widowControl w:val="0"/>
    </w:pPr>
    <w:rPr>
      <w:sz w:val="24"/>
    </w:rPr>
  </w:style>
  <w:style w:type="character" w:customStyle="1" w:styleId="HeaderChar">
    <w:name w:val="Header Char"/>
    <w:link w:val="Header"/>
    <w:rsid w:val="00E37EE1"/>
    <w:rPr>
      <w:sz w:val="24"/>
    </w:rPr>
  </w:style>
  <w:style w:type="character" w:customStyle="1" w:styleId="Heading1Char">
    <w:name w:val="Heading 1 Char"/>
    <w:link w:val="Heading1"/>
    <w:rsid w:val="00863375"/>
    <w:rPr>
      <w:b/>
      <w:bCs/>
      <w:caps/>
      <w:sz w:val="24"/>
      <w:szCs w:val="24"/>
    </w:rPr>
  </w:style>
  <w:style w:type="character" w:customStyle="1" w:styleId="FooterChar">
    <w:name w:val="Footer Char"/>
    <w:link w:val="Footer"/>
    <w:uiPriority w:val="99"/>
    <w:rsid w:val="002242E0"/>
  </w:style>
  <w:style w:type="character" w:customStyle="1" w:styleId="BodyTextIndent3Char">
    <w:name w:val="Body Text Indent 3 Char"/>
    <w:link w:val="BodyTextIndent3"/>
    <w:rsid w:val="002242E0"/>
    <w:rPr>
      <w:sz w:val="24"/>
    </w:rPr>
  </w:style>
  <w:style w:type="paragraph" w:styleId="NormalWeb">
    <w:name w:val="Normal (Web)"/>
    <w:basedOn w:val="Normal"/>
    <w:uiPriority w:val="99"/>
    <w:unhideWhenUsed/>
    <w:rsid w:val="008F2600"/>
    <w:pPr>
      <w:spacing w:before="100" w:beforeAutospacing="1" w:after="100" w:afterAutospacing="1"/>
    </w:pPr>
    <w:rPr>
      <w:szCs w:val="24"/>
    </w:rPr>
  </w:style>
  <w:style w:type="paragraph" w:customStyle="1" w:styleId="ColorfulList-Accent11">
    <w:name w:val="Colorful List - Accent 11"/>
    <w:basedOn w:val="Normal"/>
    <w:uiPriority w:val="34"/>
    <w:qFormat/>
    <w:rsid w:val="008F2600"/>
    <w:pPr>
      <w:spacing w:after="200" w:line="276" w:lineRule="auto"/>
      <w:ind w:left="720"/>
      <w:contextualSpacing/>
    </w:pPr>
    <w:rPr>
      <w:rFonts w:ascii="Calibri" w:eastAsia="Calibri" w:hAnsi="Calibri"/>
      <w:sz w:val="22"/>
      <w:szCs w:val="22"/>
    </w:rPr>
  </w:style>
  <w:style w:type="character" w:customStyle="1" w:styleId="FootnoteTextChar2">
    <w:name w:val="Footnote Text Char2"/>
    <w:aliases w:val="Footnote Text Char Char Char,Footnote Text Char Char Char Char Char,Footnote Text Char1 Char,Footnote Text Char1 Char Char1 Char,Footnote Text Char1 Char Char1 Char Char Char Char,Footnote Text Char2 Char Char Char Char1 Char,fn Char"/>
    <w:uiPriority w:val="99"/>
    <w:locked/>
    <w:rsid w:val="00FE744A"/>
    <w:rPr>
      <w:lang w:val="en-US" w:eastAsia="en-US" w:bidi="ar-SA"/>
    </w:rPr>
  </w:style>
  <w:style w:type="character" w:customStyle="1" w:styleId="CommentTextChar">
    <w:name w:val="Comment Text Char"/>
    <w:link w:val="CommentText"/>
    <w:uiPriority w:val="99"/>
    <w:rsid w:val="00FE744A"/>
    <w:rPr>
      <w:sz w:val="24"/>
      <w:szCs w:val="24"/>
    </w:rPr>
  </w:style>
  <w:style w:type="paragraph" w:styleId="ListParagraph">
    <w:name w:val="List Paragraph"/>
    <w:basedOn w:val="Normal"/>
    <w:uiPriority w:val="34"/>
    <w:qFormat/>
    <w:rsid w:val="006D5706"/>
    <w:pPr>
      <w:spacing w:after="200" w:line="276" w:lineRule="auto"/>
      <w:ind w:left="720"/>
      <w:contextualSpacing/>
    </w:pPr>
    <w:rPr>
      <w:rFonts w:asciiTheme="minorHAnsi" w:eastAsiaTheme="minorHAnsi" w:hAnsiTheme="minorHAnsi" w:cstheme="minorBidi"/>
      <w:sz w:val="22"/>
      <w:szCs w:val="22"/>
    </w:rPr>
  </w:style>
  <w:style w:type="character" w:customStyle="1" w:styleId="HTMLPreformattedChar">
    <w:name w:val="HTML Preformatted Char"/>
    <w:basedOn w:val="DefaultParagraphFont"/>
    <w:link w:val="HTMLPreformatted"/>
    <w:rsid w:val="00D62B78"/>
    <w:rPr>
      <w:rFonts w:ascii="Courier New" w:eastAsia="Courier New" w:hAnsi="Courier New" w:cs="Courier New"/>
    </w:rPr>
  </w:style>
  <w:style w:type="character" w:customStyle="1" w:styleId="ssleftalign">
    <w:name w:val="ss_leftalign"/>
    <w:basedOn w:val="DefaultParagraphFont"/>
    <w:rsid w:val="000A7B09"/>
  </w:style>
  <w:style w:type="character" w:customStyle="1" w:styleId="sssh">
    <w:name w:val="ss_sh"/>
    <w:basedOn w:val="DefaultParagraphFont"/>
    <w:rsid w:val="000A7B09"/>
  </w:style>
  <w:style w:type="character" w:customStyle="1" w:styleId="Mention1">
    <w:name w:val="Mention1"/>
    <w:basedOn w:val="DefaultParagraphFont"/>
    <w:rsid w:val="00104D9A"/>
    <w:rPr>
      <w:color w:val="2B579A"/>
      <w:shd w:val="clear" w:color="auto" w:fill="E6E6E6"/>
    </w:rPr>
  </w:style>
  <w:style w:type="character" w:customStyle="1" w:styleId="UnresolvedMention1">
    <w:name w:val="Unresolved Mention1"/>
    <w:basedOn w:val="DefaultParagraphFont"/>
    <w:uiPriority w:val="99"/>
    <w:semiHidden/>
    <w:unhideWhenUsed/>
    <w:rsid w:val="005B07AE"/>
    <w:rPr>
      <w:color w:val="605E5C"/>
      <w:shd w:val="clear" w:color="auto" w:fill="E1DFDD"/>
    </w:rPr>
  </w:style>
  <w:style w:type="paragraph" w:styleId="Revision">
    <w:name w:val="Revision"/>
    <w:hidden/>
    <w:uiPriority w:val="99"/>
    <w:semiHidden/>
    <w:rsid w:val="00145A49"/>
    <w:rPr>
      <w:sz w:val="24"/>
    </w:rPr>
  </w:style>
  <w:style w:type="character" w:customStyle="1" w:styleId="UnresolvedMention2">
    <w:name w:val="Unresolved Mention2"/>
    <w:basedOn w:val="DefaultParagraphFont"/>
    <w:rsid w:val="004C17E5"/>
    <w:rPr>
      <w:color w:val="605E5C"/>
      <w:shd w:val="clear" w:color="auto" w:fill="E1DFDD"/>
    </w:rPr>
  </w:style>
  <w:style w:type="character" w:customStyle="1" w:styleId="st">
    <w:name w:val="st"/>
    <w:basedOn w:val="DefaultParagraphFont"/>
    <w:rsid w:val="00E24C56"/>
  </w:style>
  <w:style w:type="character" w:customStyle="1" w:styleId="UnresolvedMention">
    <w:name w:val="Unresolved Mention"/>
    <w:basedOn w:val="DefaultParagraphFont"/>
    <w:uiPriority w:val="99"/>
    <w:semiHidden/>
    <w:unhideWhenUsed/>
    <w:rsid w:val="00382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header" Target="header6.xml" /><Relationship Id="rId14" Type="http://schemas.openxmlformats.org/officeDocument/2006/relationships/footer" Target="foot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Reply Brief (18-837) w/ka.dfs.  (00135820.DOCX;1)</vt:lpstr>
    </vt:vector>
  </TitlesOfParts>
  <Company/>
  <LinksUpToDate>false</LinksUpToDate>
  <CharactersWithSpaces>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2019-06-06T20:21:06Z</dcterms:created>
  <dcterms:modified xsi:type="dcterms:W3CDTF">2019-06-06T20:21:06Z</dcterms:modified>
</cp:coreProperties>
</file>