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2297B" w:rsidRPr="00E666E3" w14:paraId="5347B085" w14:textId="77777777">
      <w:pPr>
        <w:jc w:val="center"/>
        <w:rPr>
          <w:b/>
        </w:rPr>
      </w:pPr>
      <w:r w:rsidRPr="00E666E3">
        <w:rPr>
          <w:b/>
        </w:rPr>
        <w:t>BEFORE</w:t>
      </w:r>
    </w:p>
    <w:p w:rsidR="0042297B" w:rsidRPr="00E666E3" w14:paraId="004BC918" w14:textId="77777777">
      <w:pPr>
        <w:jc w:val="center"/>
        <w:rPr>
          <w:b/>
          <w:bCs/>
        </w:rPr>
      </w:pPr>
      <w:r w:rsidRPr="00E666E3">
        <w:rPr>
          <w:b/>
          <w:bCs/>
        </w:rPr>
        <w:t>THE PUBLIC UTILITIES COMMISSION OF OHIO</w:t>
      </w:r>
    </w:p>
    <w:tbl>
      <w:tblPr>
        <w:tblW w:w="8838" w:type="dxa"/>
        <w:tblInd w:w="18" w:type="dxa"/>
        <w:tblLook w:val="01E0"/>
      </w:tblPr>
      <w:tblGrid>
        <w:gridCol w:w="8900"/>
        <w:gridCol w:w="221"/>
        <w:gridCol w:w="221"/>
      </w:tblGrid>
      <w:tr w14:paraId="4FDB8FA3" w14:textId="77777777">
        <w:tblPrEx>
          <w:tblW w:w="8838" w:type="dxa"/>
          <w:tblInd w:w="18" w:type="dxa"/>
          <w:tblLook w:val="01E0"/>
        </w:tblPrEx>
        <w:tc>
          <w:tcPr>
            <w:tcW w:w="8396" w:type="dxa"/>
          </w:tcPr>
          <w:p w:rsidR="0042297B" w:rsidRPr="00E666E3" w:rsidP="0042297B" w14:paraId="766E4A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85" w:type="dxa"/>
              <w:tblLook w:val="01E0"/>
            </w:tblPr>
            <w:tblGrid>
              <w:gridCol w:w="8242"/>
              <w:gridCol w:w="221"/>
              <w:gridCol w:w="221"/>
            </w:tblGrid>
            <w:tr w14:paraId="387197CB" w14:textId="77777777" w:rsidTr="00220CBE">
              <w:tblPrEx>
                <w:tblW w:w="9785" w:type="dxa"/>
                <w:tblLook w:val="01E0"/>
              </w:tblPrEx>
              <w:trPr>
                <w:trHeight w:val="1962"/>
              </w:trPr>
              <w:tc>
                <w:tcPr>
                  <w:tcW w:w="5025" w:type="dxa"/>
                  <w:shd w:val="clear" w:color="auto" w:fill="auto"/>
                </w:tcPr>
                <w:tbl>
                  <w:tblPr>
                    <w:tblW w:w="9576" w:type="dxa"/>
                    <w:tblLook w:val="01E0"/>
                  </w:tblPr>
                  <w:tblGrid>
                    <w:gridCol w:w="4590"/>
                    <w:gridCol w:w="360"/>
                    <w:gridCol w:w="4626"/>
                  </w:tblGrid>
                  <w:tr w14:paraId="7649BBC0" w14:textId="77777777" w:rsidTr="009544D0">
                    <w:tblPrEx>
                      <w:tblW w:w="9576" w:type="dxa"/>
                      <w:tblLook w:val="01E0"/>
                    </w:tblPrEx>
                    <w:trPr>
                      <w:trHeight w:val="807"/>
                    </w:trPr>
                    <w:tc>
                      <w:tcPr>
                        <w:tcW w:w="4590" w:type="dxa"/>
                        <w:shd w:val="clear" w:color="auto" w:fill="auto"/>
                      </w:tcPr>
                      <w:p w:rsidR="002C7376" w:rsidP="002C7376" w14:paraId="27CE7D6F" w14:textId="77777777">
                        <w:pPr>
                          <w:adjustRightInd w:val="0"/>
                        </w:pPr>
                        <w:r>
                          <w:t>In the Matter of the Application of the Dayton Power and Light Company for Approval of its Plan to Modernize its Distribution Grid.</w:t>
                        </w:r>
                      </w:p>
                      <w:p w:rsidR="002C7376" w:rsidP="002C7376" w14:paraId="37AEE1CB" w14:textId="77777777">
                        <w:pPr>
                          <w:adjustRightInd w:val="0"/>
                        </w:pPr>
                      </w:p>
                      <w:p w:rsidR="002C7376" w:rsidP="002C7376" w14:paraId="4B18F3C0" w14:textId="77777777">
                        <w:pPr>
                          <w:adjustRightInd w:val="0"/>
                        </w:pPr>
                        <w:r>
                          <w:t>In the Matter of the Application of the Dayton Power and Light Company for Approval of a Limited Waiver of Ohio Adm. Code 4901:1-18-06(A)(2).</w:t>
                        </w:r>
                      </w:p>
                      <w:p w:rsidR="002C7376" w:rsidP="002C7376" w14:paraId="174BDFC6" w14:textId="77777777">
                        <w:pPr>
                          <w:adjustRightInd w:val="0"/>
                        </w:pPr>
                      </w:p>
                      <w:p w:rsidR="002C7376" w:rsidP="002C7376" w14:paraId="54D46C4C" w14:textId="77777777">
                        <w:pPr>
                          <w:adjustRightInd w:val="0"/>
                        </w:pPr>
                        <w:r>
                          <w:t>In the Matter of the Application of the Dayton Power and Light Company for Approval of Certain Accounting Methods.</w:t>
                        </w:r>
                      </w:p>
                      <w:p w:rsidR="002C7376" w:rsidP="002C7376" w14:paraId="744B7061" w14:textId="77777777">
                        <w:pPr>
                          <w:adjustRightInd w:val="0"/>
                        </w:pPr>
                      </w:p>
                      <w:p w:rsidR="002C7376" w:rsidP="002C7376" w14:paraId="0D23321A" w14:textId="77777777">
                        <w:pPr>
                          <w:adjustRightInd w:val="0"/>
                        </w:pPr>
                        <w:r>
                          <w:t>In the Matter of the Application of the Dayton Power and Light Company for Administration of the Significantly Excessive Earnings Test Under R.C. 4928.143(F) and Ohio Adm. Code 4901:1-35-10 for 2018.</w:t>
                        </w:r>
                      </w:p>
                      <w:p w:rsidR="002C7376" w:rsidP="002C7376" w14:paraId="1A45C279" w14:textId="77777777">
                        <w:pPr>
                          <w:adjustRightInd w:val="0"/>
                        </w:pPr>
                      </w:p>
                      <w:p w:rsidR="002C7376" w:rsidP="002C7376" w14:paraId="01426A30" w14:textId="77777777">
                        <w:pPr>
                          <w:adjustRightInd w:val="0"/>
                        </w:pPr>
                        <w:r>
                          <w:t>In the Matter of the Application of the Dayton Power and Light Company for Administration of the Significantly Excessive Earnings Test Under R.C. 4928.143(F) and Ohio Adm. Code 4901:1-35-10 for 2019.</w:t>
                        </w:r>
                      </w:p>
                      <w:p w:rsidR="002C7376" w:rsidP="002C7376" w14:paraId="6BF058D3" w14:textId="77777777">
                        <w:pPr>
                          <w:adjustRightInd w:val="0"/>
                        </w:pPr>
                      </w:p>
                      <w:p w:rsidR="002C7376" w:rsidP="002C7376" w14:paraId="7E8C88FE" w14:textId="77777777">
                        <w:pPr>
                          <w:adjustRightInd w:val="0"/>
                        </w:pPr>
                        <w: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2C7376" w:rsidP="002C7376" w14:paraId="707064B1" w14:textId="77777777">
                        <w:pPr>
                          <w:pStyle w:val="HTMLPreformatted"/>
                          <w:rPr>
                            <w:rFonts w:ascii="Times New Roman" w:hAnsi="Times New Roman"/>
                            <w:sz w:val="24"/>
                          </w:rPr>
                        </w:pPr>
                        <w:r>
                          <w:rPr>
                            <w:rFonts w:ascii="Times New Roman" w:hAnsi="Times New Roman"/>
                            <w:sz w:val="24"/>
                          </w:rPr>
                          <w:t>)</w:t>
                        </w:r>
                      </w:p>
                      <w:p w:rsidR="002C7376" w:rsidP="002C7376" w14:paraId="22D3D436" w14:textId="77777777">
                        <w:pPr>
                          <w:pStyle w:val="HTMLPreformatted"/>
                          <w:rPr>
                            <w:rFonts w:ascii="Times New Roman" w:hAnsi="Times New Roman"/>
                            <w:sz w:val="24"/>
                          </w:rPr>
                        </w:pPr>
                        <w:r>
                          <w:rPr>
                            <w:rFonts w:ascii="Times New Roman" w:hAnsi="Times New Roman"/>
                            <w:sz w:val="24"/>
                          </w:rPr>
                          <w:t>)</w:t>
                        </w:r>
                      </w:p>
                      <w:p w:rsidR="002C7376" w:rsidP="002C7376" w14:paraId="3380E379" w14:textId="77777777">
                        <w:pPr>
                          <w:pStyle w:val="HTMLPreformatted"/>
                          <w:rPr>
                            <w:rFonts w:ascii="Times New Roman" w:hAnsi="Times New Roman"/>
                            <w:sz w:val="24"/>
                          </w:rPr>
                        </w:pPr>
                        <w:r>
                          <w:rPr>
                            <w:rFonts w:ascii="Times New Roman" w:hAnsi="Times New Roman"/>
                            <w:sz w:val="24"/>
                          </w:rPr>
                          <w:t>)</w:t>
                        </w:r>
                      </w:p>
                      <w:p w:rsidR="002C7376" w:rsidP="002C7376" w14:paraId="72A37A36" w14:textId="77777777">
                        <w:r>
                          <w:t>)</w:t>
                        </w:r>
                      </w:p>
                      <w:p w:rsidR="002C7376" w:rsidP="002C7376" w14:paraId="049460FB" w14:textId="77777777"/>
                      <w:p w:rsidR="002C7376" w:rsidP="002C7376" w14:paraId="4B593E4C" w14:textId="77777777">
                        <w:r>
                          <w:t>)</w:t>
                        </w:r>
                      </w:p>
                      <w:p w:rsidR="002C7376" w:rsidP="002C7376" w14:paraId="39B7BD88" w14:textId="77777777">
                        <w:r>
                          <w:t>)</w:t>
                        </w:r>
                      </w:p>
                      <w:p w:rsidR="002C7376" w:rsidP="002C7376" w14:paraId="58EECEAA" w14:textId="77777777">
                        <w:r>
                          <w:t>)</w:t>
                        </w:r>
                      </w:p>
                      <w:p w:rsidR="002C7376" w:rsidP="002C7376" w14:paraId="5C7B3BCE" w14:textId="77777777">
                        <w:r>
                          <w:t>)</w:t>
                        </w:r>
                      </w:p>
                      <w:p w:rsidR="002C7376" w:rsidP="002C7376" w14:paraId="7EB224D3" w14:textId="77777777"/>
                      <w:p w:rsidR="002C7376" w:rsidP="002C7376" w14:paraId="133BAE70" w14:textId="77777777">
                        <w:r>
                          <w:t>)</w:t>
                        </w:r>
                      </w:p>
                      <w:p w:rsidR="002C7376" w:rsidP="002C7376" w14:paraId="739FB4DC" w14:textId="77777777">
                        <w:r>
                          <w:t>)</w:t>
                        </w:r>
                      </w:p>
                      <w:p w:rsidR="002C7376" w:rsidP="002C7376" w14:paraId="50EA4246" w14:textId="77777777">
                        <w:r>
                          <w:t>)</w:t>
                        </w:r>
                      </w:p>
                      <w:p w:rsidR="002C7376" w:rsidP="002C7376" w14:paraId="45FD5610" w14:textId="77777777"/>
                      <w:p w:rsidR="002C7376" w:rsidP="002C7376" w14:paraId="22DB8D77" w14:textId="77777777">
                        <w:r>
                          <w:t>)</w:t>
                        </w:r>
                      </w:p>
                      <w:p w:rsidR="002C7376" w:rsidP="002C7376" w14:paraId="5BCEC60D" w14:textId="77777777">
                        <w:r>
                          <w:t>)</w:t>
                        </w:r>
                      </w:p>
                      <w:p w:rsidR="002C7376" w:rsidP="002C7376" w14:paraId="2690C6ED" w14:textId="77777777">
                        <w:r>
                          <w:t>)</w:t>
                        </w:r>
                      </w:p>
                      <w:p w:rsidR="002C7376" w:rsidP="002C7376" w14:paraId="1B2C42A6" w14:textId="77777777">
                        <w:r>
                          <w:t>)</w:t>
                        </w:r>
                      </w:p>
                      <w:p w:rsidR="002C7376" w:rsidP="002C7376" w14:paraId="0C0597E6" w14:textId="77777777">
                        <w:r>
                          <w:t>)</w:t>
                        </w:r>
                      </w:p>
                      <w:p w:rsidR="002C7376" w:rsidP="002C7376" w14:paraId="4DA111DE" w14:textId="77777777">
                        <w:r>
                          <w:t>)</w:t>
                        </w:r>
                      </w:p>
                      <w:p w:rsidR="002C7376" w:rsidP="002C7376" w14:paraId="37375E25" w14:textId="77777777"/>
                      <w:p w:rsidR="002C7376" w:rsidP="002C7376" w14:paraId="62238BE1" w14:textId="77777777">
                        <w:r>
                          <w:t>)</w:t>
                        </w:r>
                      </w:p>
                      <w:p w:rsidR="002C7376" w:rsidP="002C7376" w14:paraId="08BA19CC" w14:textId="77777777">
                        <w:r>
                          <w:t>)</w:t>
                        </w:r>
                      </w:p>
                      <w:p w:rsidR="002C7376" w:rsidP="002C7376" w14:paraId="667C5F87" w14:textId="77777777">
                        <w:r>
                          <w:t>)</w:t>
                        </w:r>
                      </w:p>
                      <w:p w:rsidR="002C7376" w:rsidP="002C7376" w14:paraId="4C69B5A1" w14:textId="77777777">
                        <w:r>
                          <w:t>)</w:t>
                        </w:r>
                      </w:p>
                      <w:p w:rsidR="002C7376" w:rsidP="002C7376" w14:paraId="0E69B76F" w14:textId="77777777">
                        <w:r>
                          <w:t>)</w:t>
                        </w:r>
                      </w:p>
                      <w:p w:rsidR="002C7376" w:rsidP="002C7376" w14:paraId="08AEDDEB" w14:textId="77777777">
                        <w:r>
                          <w:t>)</w:t>
                        </w:r>
                      </w:p>
                      <w:p w:rsidR="002C7376" w:rsidP="002C7376" w14:paraId="37842383" w14:textId="77777777"/>
                      <w:p w:rsidR="002C7376" w:rsidP="002C7376" w14:paraId="635339B2" w14:textId="77777777">
                        <w:r>
                          <w:t>)</w:t>
                        </w:r>
                      </w:p>
                      <w:p w:rsidR="002C7376" w:rsidP="002C7376" w14:paraId="0AD94B17" w14:textId="77777777">
                        <w:r>
                          <w:t>)</w:t>
                        </w:r>
                      </w:p>
                      <w:p w:rsidR="002C7376" w:rsidP="002C7376" w14:paraId="4D227AA3" w14:textId="77777777">
                        <w:r>
                          <w:t>)</w:t>
                        </w:r>
                      </w:p>
                      <w:p w:rsidR="002C7376" w:rsidP="002C7376" w14:paraId="3EC78B6B" w14:textId="77777777">
                        <w:r>
                          <w:t>)</w:t>
                        </w:r>
                      </w:p>
                      <w:p w:rsidR="002C7376" w:rsidP="002C7376" w14:paraId="083C574C" w14:textId="77777777">
                        <w:r>
                          <w:t>)</w:t>
                        </w:r>
                      </w:p>
                      <w:p w:rsidR="002C7376" w:rsidP="002C7376" w14:paraId="0DEDC6C5" w14:textId="77777777">
                        <w:r>
                          <w:t>)</w:t>
                        </w:r>
                      </w:p>
                    </w:tc>
                    <w:tc>
                      <w:tcPr>
                        <w:tcW w:w="4626" w:type="dxa"/>
                        <w:shd w:val="clear" w:color="auto" w:fill="auto"/>
                      </w:tcPr>
                      <w:p w:rsidR="002C7376" w:rsidP="002C7376" w14:paraId="75EF23F8" w14:textId="77777777">
                        <w:pPr>
                          <w:adjustRightInd w:val="0"/>
                        </w:pPr>
                      </w:p>
                      <w:p w:rsidR="002C7376" w:rsidP="002C7376" w14:paraId="7243C7F8" w14:textId="77777777">
                        <w:pPr>
                          <w:adjustRightInd w:val="0"/>
                        </w:pPr>
                        <w:r>
                          <w:t>Case No. 18-1875-EL-GRD</w:t>
                        </w:r>
                      </w:p>
                      <w:p w:rsidR="002C7376" w:rsidP="002C7376" w14:paraId="2D5B5E12" w14:textId="77777777">
                        <w:pPr>
                          <w:adjustRightInd w:val="0"/>
                        </w:pPr>
                      </w:p>
                      <w:p w:rsidR="002C7376" w:rsidP="002C7376" w14:paraId="25349E73" w14:textId="77777777">
                        <w:pPr>
                          <w:adjustRightInd w:val="0"/>
                        </w:pPr>
                      </w:p>
                      <w:p w:rsidR="002C7376" w:rsidP="002C7376" w14:paraId="6EAF674F" w14:textId="77777777">
                        <w:pPr>
                          <w:adjustRightInd w:val="0"/>
                        </w:pPr>
                      </w:p>
                      <w:p w:rsidR="002C7376" w:rsidP="002C7376" w14:paraId="5A1B311E" w14:textId="77777777">
                        <w:pPr>
                          <w:adjustRightInd w:val="0"/>
                        </w:pPr>
                        <w:r>
                          <w:t>Case No. 18-1876-EL-WVR</w:t>
                        </w:r>
                      </w:p>
                      <w:p w:rsidR="002C7376" w:rsidP="002C7376" w14:paraId="603829A2" w14:textId="77777777">
                        <w:pPr>
                          <w:adjustRightInd w:val="0"/>
                        </w:pPr>
                      </w:p>
                      <w:p w:rsidR="002C7376" w:rsidP="002C7376" w14:paraId="65A20E9B" w14:textId="77777777">
                        <w:pPr>
                          <w:adjustRightInd w:val="0"/>
                        </w:pPr>
                      </w:p>
                      <w:p w:rsidR="002C7376" w:rsidP="002C7376" w14:paraId="15173996" w14:textId="77777777">
                        <w:pPr>
                          <w:adjustRightInd w:val="0"/>
                        </w:pPr>
                      </w:p>
                      <w:p w:rsidR="002C7376" w:rsidP="002C7376" w14:paraId="3708EAD6" w14:textId="77777777">
                        <w:pPr>
                          <w:adjustRightInd w:val="0"/>
                        </w:pPr>
                      </w:p>
                      <w:p w:rsidR="002C7376" w:rsidP="002C7376" w14:paraId="6C25E82F" w14:textId="77777777">
                        <w:pPr>
                          <w:adjustRightInd w:val="0"/>
                        </w:pPr>
                        <w:r>
                          <w:t>Case No. 18-1877-EL-AAM</w:t>
                        </w:r>
                      </w:p>
                      <w:p w:rsidR="002C7376" w:rsidP="002C7376" w14:paraId="0549481E" w14:textId="77777777">
                        <w:pPr>
                          <w:adjustRightInd w:val="0"/>
                        </w:pPr>
                      </w:p>
                      <w:p w:rsidR="002C7376" w:rsidP="002C7376" w14:paraId="67604FE2" w14:textId="77777777">
                        <w:pPr>
                          <w:adjustRightInd w:val="0"/>
                        </w:pPr>
                      </w:p>
                      <w:p w:rsidR="002C7376" w:rsidP="002C7376" w14:paraId="74E578A6" w14:textId="77777777">
                        <w:pPr>
                          <w:adjustRightInd w:val="0"/>
                        </w:pPr>
                      </w:p>
                      <w:p w:rsidR="002C7376" w:rsidP="002C7376" w14:paraId="2252798F" w14:textId="77777777">
                        <w:pPr>
                          <w:adjustRightInd w:val="0"/>
                        </w:pPr>
                      </w:p>
                      <w:p w:rsidR="002C7376" w:rsidP="002C7376" w14:paraId="510E2329" w14:textId="77777777">
                        <w:pPr>
                          <w:adjustRightInd w:val="0"/>
                        </w:pPr>
                        <w:r>
                          <w:t>Case No. 19-1121-EL-UNC</w:t>
                        </w:r>
                      </w:p>
                      <w:p w:rsidR="002C7376" w:rsidP="002C7376" w14:paraId="2667CF49" w14:textId="77777777">
                        <w:pPr>
                          <w:adjustRightInd w:val="0"/>
                        </w:pPr>
                      </w:p>
                      <w:p w:rsidR="002C7376" w:rsidP="002C7376" w14:paraId="7787F2DE" w14:textId="77777777">
                        <w:pPr>
                          <w:adjustRightInd w:val="0"/>
                        </w:pPr>
                      </w:p>
                      <w:p w:rsidR="002C7376" w:rsidP="002C7376" w14:paraId="357D1633" w14:textId="77777777">
                        <w:pPr>
                          <w:adjustRightInd w:val="0"/>
                        </w:pPr>
                      </w:p>
                      <w:p w:rsidR="002C7376" w:rsidP="002C7376" w14:paraId="1AC97D91" w14:textId="77777777">
                        <w:pPr>
                          <w:adjustRightInd w:val="0"/>
                        </w:pPr>
                      </w:p>
                      <w:p w:rsidR="002C7376" w:rsidP="002C7376" w14:paraId="3EE2F1C0" w14:textId="77777777">
                        <w:pPr>
                          <w:adjustRightInd w:val="0"/>
                        </w:pPr>
                      </w:p>
                      <w:p w:rsidR="002C7376" w:rsidP="002C7376" w14:paraId="236136EE" w14:textId="77777777">
                        <w:pPr>
                          <w:adjustRightInd w:val="0"/>
                        </w:pPr>
                        <w:r>
                          <w:t>Case No. 20-1041-EL-UNC</w:t>
                        </w:r>
                      </w:p>
                      <w:p w:rsidR="002C7376" w:rsidP="002C7376" w14:paraId="63851CAE" w14:textId="77777777">
                        <w:pPr>
                          <w:adjustRightInd w:val="0"/>
                        </w:pPr>
                      </w:p>
                      <w:p w:rsidR="002C7376" w:rsidP="002C7376" w14:paraId="04AA1F59" w14:textId="77777777">
                        <w:pPr>
                          <w:adjustRightInd w:val="0"/>
                        </w:pPr>
                      </w:p>
                      <w:p w:rsidR="002C7376" w:rsidP="002C7376" w14:paraId="0D814E89" w14:textId="77777777">
                        <w:pPr>
                          <w:adjustRightInd w:val="0"/>
                        </w:pPr>
                      </w:p>
                      <w:p w:rsidR="002C7376" w:rsidP="002C7376" w14:paraId="34AE8FE6" w14:textId="77777777">
                        <w:pPr>
                          <w:adjustRightInd w:val="0"/>
                        </w:pPr>
                      </w:p>
                      <w:p w:rsidR="002C7376" w:rsidP="002C7376" w14:paraId="27D331E3" w14:textId="77777777">
                        <w:pPr>
                          <w:adjustRightInd w:val="0"/>
                        </w:pPr>
                      </w:p>
                      <w:p w:rsidR="002C7376" w:rsidP="002C7376" w14:paraId="6C2DA84E" w14:textId="77777777">
                        <w:pPr>
                          <w:adjustRightInd w:val="0"/>
                        </w:pPr>
                      </w:p>
                      <w:p w:rsidR="002C7376" w:rsidP="002C7376" w14:paraId="2E9EA62F" w14:textId="77777777">
                        <w:pPr>
                          <w:adjustRightInd w:val="0"/>
                        </w:pPr>
                        <w:r>
                          <w:t>Case No. 20-680-EL-UNC</w:t>
                        </w:r>
                      </w:p>
                      <w:p w:rsidR="002C7376" w:rsidP="002C7376" w14:paraId="175A17A4" w14:textId="77777777">
                        <w:pPr>
                          <w:adjustRightInd w:val="0"/>
                        </w:pPr>
                      </w:p>
                    </w:tc>
                  </w:tr>
                </w:tbl>
                <w:p w:rsidR="002C7376" w:rsidP="002C7376" w14:paraId="05B4B867" w14:textId="77777777">
                  <w:pPr>
                    <w:pStyle w:val="HTMLPreformatted"/>
                    <w:rPr>
                      <w:rFonts w:ascii="Times New Roman" w:hAnsi="Times New Roman"/>
                      <w:b/>
                      <w:sz w:val="24"/>
                    </w:rPr>
                  </w:pPr>
                </w:p>
                <w:p w:rsidR="00022702" w:rsidRPr="00BC164A" w:rsidP="00470BA2" w14:paraId="6CA1CD64" w14:textId="3AA00437">
                  <w:pPr>
                    <w:autoSpaceDE w:val="0"/>
                    <w:autoSpaceDN w:val="0"/>
                    <w:adjustRightInd w:val="0"/>
                    <w:rPr>
                      <w:rFonts w:eastAsiaTheme="minorEastAsia"/>
                    </w:rPr>
                  </w:pPr>
                </w:p>
              </w:tc>
              <w:tc>
                <w:tcPr>
                  <w:tcW w:w="360" w:type="dxa"/>
                  <w:shd w:val="clear" w:color="auto" w:fill="auto"/>
                </w:tcPr>
                <w:p w:rsidR="00022702" w:rsidRPr="006849DE" w:rsidP="00470BA2" w14:paraId="5DE1BAB9" w14:textId="74DF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p>
              </w:tc>
              <w:tc>
                <w:tcPr>
                  <w:tcW w:w="4400" w:type="dxa"/>
                  <w:shd w:val="clear" w:color="auto" w:fill="auto"/>
                </w:tcPr>
                <w:p w:rsidR="00022702" w:rsidRPr="006849DE" w:rsidP="00470BA2" w14:paraId="4EA2039E" w14:textId="3EDB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r>
          </w:tbl>
          <w:p w:rsidR="0042297B" w:rsidRPr="00E666E3" w:rsidP="0042297B" w14:paraId="78D926F3" w14:textId="77777777"/>
        </w:tc>
        <w:tc>
          <w:tcPr>
            <w:tcW w:w="221" w:type="dxa"/>
          </w:tcPr>
          <w:p w:rsidR="0042297B" w:rsidRPr="00E666E3" w:rsidP="0042297B" w14:paraId="3DB8412C" w14:textId="77777777"/>
        </w:tc>
        <w:tc>
          <w:tcPr>
            <w:tcW w:w="221" w:type="dxa"/>
          </w:tcPr>
          <w:p w:rsidR="0042297B" w:rsidRPr="00E666E3" w:rsidP="0042297B" w14:paraId="60A9096D" w14:textId="77777777"/>
        </w:tc>
      </w:tr>
    </w:tbl>
    <w:p w:rsidR="0042297B" w:rsidRPr="00E666E3" w:rsidP="0042297B" w14:paraId="35222F6A" w14:textId="77777777">
      <w:pPr>
        <w:pStyle w:val="HTMLPreformatted"/>
        <w:pBdr>
          <w:bottom w:val="single" w:sz="12" w:space="1" w:color="auto"/>
        </w:pBdr>
        <w:rPr>
          <w:rFonts w:ascii="Times New Roman" w:hAnsi="Times New Roman" w:cs="Times New Roman"/>
          <w:sz w:val="24"/>
        </w:rPr>
      </w:pPr>
    </w:p>
    <w:p w:rsidR="0042297B" w:rsidRPr="00E666E3" w:rsidP="0042297B" w14:paraId="7B81CF1E" w14:textId="77777777">
      <w:pPr>
        <w:jc w:val="center"/>
        <w:rPr>
          <w:b/>
        </w:rPr>
      </w:pPr>
    </w:p>
    <w:p w:rsidR="0042297B" w:rsidRPr="00E666E3" w14:paraId="3DF3BB64" w14:textId="306A3545">
      <w:pPr>
        <w:jc w:val="center"/>
        <w:rPr>
          <w:b/>
        </w:rPr>
      </w:pPr>
      <w:r>
        <w:rPr>
          <w:b/>
        </w:rPr>
        <w:t xml:space="preserve">THIRD </w:t>
      </w:r>
      <w:r w:rsidRPr="00E666E3" w:rsidR="00B75BDC">
        <w:rPr>
          <w:b/>
        </w:rPr>
        <w:t xml:space="preserve">APPLICATION FOR REHEARING </w:t>
      </w:r>
    </w:p>
    <w:p w:rsidR="0042297B" w:rsidRPr="00E666E3" w14:paraId="4A68D128" w14:textId="77777777">
      <w:pPr>
        <w:jc w:val="center"/>
        <w:rPr>
          <w:b/>
        </w:rPr>
      </w:pPr>
      <w:r w:rsidRPr="00E666E3">
        <w:rPr>
          <w:b/>
        </w:rPr>
        <w:t>BY</w:t>
      </w:r>
    </w:p>
    <w:p w:rsidR="0042297B" w:rsidRPr="00E666E3" w14:paraId="322CBF9A" w14:textId="05206385">
      <w:pPr>
        <w:jc w:val="center"/>
        <w:rPr>
          <w:b/>
        </w:rPr>
      </w:pPr>
      <w:r w:rsidRPr="00E666E3">
        <w:rPr>
          <w:b/>
        </w:rPr>
        <w:t xml:space="preserve">OFFICE OF THE OHIO CONSUMERS’ COUNSEL </w:t>
      </w:r>
    </w:p>
    <w:p w:rsidR="0042297B" w:rsidRPr="00E666E3" w:rsidP="0042297B" w14:paraId="79BF4923" w14:textId="77777777">
      <w:pPr>
        <w:pBdr>
          <w:bottom w:val="single" w:sz="12" w:space="1" w:color="auto"/>
        </w:pBdr>
        <w:jc w:val="center"/>
        <w:rPr>
          <w:b/>
        </w:rPr>
      </w:pPr>
    </w:p>
    <w:p w:rsidR="0042297B" w:rsidRPr="00E666E3" w:rsidP="0042297B" w14:paraId="3A65CDE2" w14:textId="77777777">
      <w:pPr>
        <w:tabs>
          <w:tab w:val="left" w:pos="4320"/>
        </w:tabs>
        <w:ind w:firstLine="48"/>
      </w:pPr>
    </w:p>
    <w:p w:rsidR="00317367" w:rsidP="00B43B07" w14:paraId="27E6E6DF" w14:textId="0C8C74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rPr>
      </w:pPr>
      <w:r>
        <w:rPr>
          <w:rFonts w:ascii="Times New Roman" w:hAnsi="Times New Roman" w:cs="Times New Roman"/>
          <w:sz w:val="24"/>
        </w:rPr>
        <w:t>In its June 16, 2021 Opinion and Order, the PUCO denied consumers’ $61</w:t>
      </w:r>
      <w:r w:rsidR="00E74EA7">
        <w:rPr>
          <w:rFonts w:ascii="Times New Roman" w:hAnsi="Times New Roman" w:cs="Times New Roman"/>
          <w:sz w:val="24"/>
        </w:rPr>
        <w:t>.1</w:t>
      </w:r>
      <w:r>
        <w:rPr>
          <w:rFonts w:ascii="Times New Roman" w:hAnsi="Times New Roman" w:cs="Times New Roman"/>
          <w:sz w:val="24"/>
        </w:rPr>
        <w:t xml:space="preserve"> million in refunds, despite a finding that DP&amp;L had $61 million in significantly excessive earnings (profits).</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r w:rsidR="00EA68DD">
        <w:rPr>
          <w:rFonts w:ascii="Times New Roman" w:hAnsi="Times New Roman" w:cs="Times New Roman"/>
          <w:sz w:val="24"/>
        </w:rPr>
        <w:t xml:space="preserve">For the benefit of DP&amp;L and at consumer expense, the PUCO is nullifying even the minimal consumer protection in Ohio’s 2008 energy law. </w:t>
      </w:r>
      <w:r>
        <w:rPr>
          <w:rFonts w:ascii="Times New Roman" w:hAnsi="Times New Roman" w:cs="Times New Roman"/>
          <w:sz w:val="24"/>
        </w:rPr>
        <w:t>OCC applied for rehearing, arguing, among other things, that this Order violated R.C. 4928.143(F) because it provided consumers with an “offset” to smart grid charges instead of a refund for significantly excessive profits.</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p>
    <w:p w:rsidR="00317367" w:rsidP="00B43B07" w14:paraId="121C5E32" w14:textId="6A30A4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rPr>
      </w:pPr>
      <w:r>
        <w:rPr>
          <w:rFonts w:ascii="Times New Roman" w:hAnsi="Times New Roman" w:cs="Times New Roman"/>
          <w:sz w:val="24"/>
        </w:rPr>
        <w:t>OCC noted in its application for rehearing that the PUCO’s ruling was vague because it was not clear what it meant in using the word “offset.”</w:t>
      </w:r>
      <w:r>
        <w:rPr>
          <w:rStyle w:val="FootnoteReference"/>
          <w:rFonts w:ascii="Times New Roman" w:hAnsi="Times New Roman" w:cs="Times New Roman"/>
          <w:sz w:val="24"/>
        </w:rPr>
        <w:footnoteReference w:id="4"/>
      </w:r>
      <w:r>
        <w:rPr>
          <w:rFonts w:ascii="Times New Roman" w:hAnsi="Times New Roman" w:cs="Times New Roman"/>
          <w:sz w:val="24"/>
        </w:rPr>
        <w:t xml:space="preserve"> For example, a</w:t>
      </w:r>
      <w:r w:rsidR="00952089">
        <w:rPr>
          <w:rFonts w:ascii="Times New Roman" w:hAnsi="Times New Roman" w:cs="Times New Roman"/>
          <w:sz w:val="24"/>
        </w:rPr>
        <w:t xml:space="preserve"> $61</w:t>
      </w:r>
      <w:r w:rsidR="00E74EA7">
        <w:rPr>
          <w:rFonts w:ascii="Times New Roman" w:hAnsi="Times New Roman" w:cs="Times New Roman"/>
          <w:sz w:val="24"/>
        </w:rPr>
        <w:t>.1</w:t>
      </w:r>
      <w:r w:rsidR="00952089">
        <w:rPr>
          <w:rFonts w:ascii="Times New Roman" w:hAnsi="Times New Roman" w:cs="Times New Roman"/>
          <w:sz w:val="24"/>
        </w:rPr>
        <w:t xml:space="preserve"> million</w:t>
      </w:r>
      <w:r>
        <w:rPr>
          <w:rFonts w:ascii="Times New Roman" w:hAnsi="Times New Roman" w:cs="Times New Roman"/>
          <w:sz w:val="24"/>
        </w:rPr>
        <w:t xml:space="preserve"> </w:t>
      </w:r>
      <w:r w:rsidR="00952089">
        <w:rPr>
          <w:rFonts w:ascii="Times New Roman" w:hAnsi="Times New Roman" w:cs="Times New Roman"/>
          <w:sz w:val="24"/>
        </w:rPr>
        <w:t>offset could mean that smart grid charges are reduced by $61</w:t>
      </w:r>
      <w:r w:rsidR="00E74EA7">
        <w:rPr>
          <w:rFonts w:ascii="Times New Roman" w:hAnsi="Times New Roman" w:cs="Times New Roman"/>
          <w:sz w:val="24"/>
        </w:rPr>
        <w:t>.1</w:t>
      </w:r>
      <w:r w:rsidR="00952089">
        <w:rPr>
          <w:rFonts w:ascii="Times New Roman" w:hAnsi="Times New Roman" w:cs="Times New Roman"/>
          <w:sz w:val="24"/>
        </w:rPr>
        <w:t xml:space="preserve"> million. A $61</w:t>
      </w:r>
      <w:r w:rsidR="00E74EA7">
        <w:rPr>
          <w:rFonts w:ascii="Times New Roman" w:hAnsi="Times New Roman" w:cs="Times New Roman"/>
          <w:sz w:val="24"/>
        </w:rPr>
        <w:t>.1</w:t>
      </w:r>
      <w:r w:rsidR="00952089">
        <w:rPr>
          <w:rFonts w:ascii="Times New Roman" w:hAnsi="Times New Roman" w:cs="Times New Roman"/>
          <w:sz w:val="24"/>
        </w:rPr>
        <w:t xml:space="preserve"> million offset could mean that the capital component of DP&amp;L’s smart grid charges is reduced by $61</w:t>
      </w:r>
      <w:r w:rsidR="00E74EA7">
        <w:rPr>
          <w:rFonts w:ascii="Times New Roman" w:hAnsi="Times New Roman" w:cs="Times New Roman"/>
          <w:sz w:val="24"/>
        </w:rPr>
        <w:t>.1</w:t>
      </w:r>
      <w:r w:rsidR="00952089">
        <w:rPr>
          <w:rFonts w:ascii="Times New Roman" w:hAnsi="Times New Roman" w:cs="Times New Roman"/>
          <w:sz w:val="24"/>
        </w:rPr>
        <w:t xml:space="preserve"> million. Or it could mean that because DP&amp;L’s capital investments are greater than $61</w:t>
      </w:r>
      <w:r w:rsidR="00E74EA7">
        <w:rPr>
          <w:rFonts w:ascii="Times New Roman" w:hAnsi="Times New Roman" w:cs="Times New Roman"/>
          <w:sz w:val="24"/>
        </w:rPr>
        <w:t>.1</w:t>
      </w:r>
      <w:r w:rsidR="00952089">
        <w:rPr>
          <w:rFonts w:ascii="Times New Roman" w:hAnsi="Times New Roman" w:cs="Times New Roman"/>
          <w:sz w:val="24"/>
        </w:rPr>
        <w:t xml:space="preserve"> million, the refund is eliminated.</w:t>
      </w:r>
      <w:r>
        <w:rPr>
          <w:rStyle w:val="FootnoteReference"/>
          <w:rFonts w:ascii="Times New Roman" w:hAnsi="Times New Roman" w:cs="Times New Roman"/>
          <w:sz w:val="24"/>
        </w:rPr>
        <w:footnoteReference w:id="5"/>
      </w:r>
    </w:p>
    <w:p w:rsidR="000E7445" w:rsidP="00B43B07" w14:paraId="192C051C" w14:textId="255231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rPr>
      </w:pPr>
      <w:r>
        <w:rPr>
          <w:rFonts w:ascii="Times New Roman" w:hAnsi="Times New Roman" w:cs="Times New Roman"/>
          <w:sz w:val="24"/>
        </w:rPr>
        <w:t xml:space="preserve">In its recent Second Entry on Rehearing, the PUCO granted OCC’s assignment of error, </w:t>
      </w:r>
      <w:r w:rsidR="00952089">
        <w:rPr>
          <w:rFonts w:ascii="Times New Roman" w:hAnsi="Times New Roman" w:cs="Times New Roman"/>
          <w:sz w:val="24"/>
        </w:rPr>
        <w:t>resolving the ambiguity regarding its use of the word “offset” in the original Order. The PUCO clarified that it meant the third option: that there would be no $61</w:t>
      </w:r>
      <w:r w:rsidR="00E74EA7">
        <w:rPr>
          <w:rFonts w:ascii="Times New Roman" w:hAnsi="Times New Roman" w:cs="Times New Roman"/>
          <w:sz w:val="24"/>
        </w:rPr>
        <w:t>.1</w:t>
      </w:r>
      <w:r w:rsidR="00952089">
        <w:rPr>
          <w:rFonts w:ascii="Times New Roman" w:hAnsi="Times New Roman" w:cs="Times New Roman"/>
          <w:sz w:val="24"/>
        </w:rPr>
        <w:t xml:space="preserve"> million refund to consumers, no $61</w:t>
      </w:r>
      <w:r w:rsidR="00E74EA7">
        <w:rPr>
          <w:rFonts w:ascii="Times New Roman" w:hAnsi="Times New Roman" w:cs="Times New Roman"/>
          <w:sz w:val="24"/>
        </w:rPr>
        <w:t>.1</w:t>
      </w:r>
      <w:r w:rsidR="00952089">
        <w:rPr>
          <w:rFonts w:ascii="Times New Roman" w:hAnsi="Times New Roman" w:cs="Times New Roman"/>
          <w:sz w:val="24"/>
        </w:rPr>
        <w:t xml:space="preserve"> million reduction in smart grid charges, and no $61</w:t>
      </w:r>
      <w:r w:rsidR="00E74EA7">
        <w:rPr>
          <w:rFonts w:ascii="Times New Roman" w:hAnsi="Times New Roman" w:cs="Times New Roman"/>
          <w:sz w:val="24"/>
        </w:rPr>
        <w:t>.1</w:t>
      </w:r>
      <w:r w:rsidR="00952089">
        <w:rPr>
          <w:rFonts w:ascii="Times New Roman" w:hAnsi="Times New Roman" w:cs="Times New Roman"/>
          <w:sz w:val="24"/>
        </w:rPr>
        <w:t xml:space="preserve"> million reduction in the smart grid rate base—the “offset” simply meant that the $61</w:t>
      </w:r>
      <w:r w:rsidR="00E74EA7">
        <w:rPr>
          <w:rFonts w:ascii="Times New Roman" w:hAnsi="Times New Roman" w:cs="Times New Roman"/>
          <w:sz w:val="24"/>
        </w:rPr>
        <w:t>.1</w:t>
      </w:r>
      <w:r w:rsidR="00952089">
        <w:rPr>
          <w:rFonts w:ascii="Times New Roman" w:hAnsi="Times New Roman" w:cs="Times New Roman"/>
          <w:sz w:val="24"/>
        </w:rPr>
        <w:t xml:space="preserve"> million refund would be wiped out completely and consumers would get nothing.</w:t>
      </w:r>
      <w:r>
        <w:rPr>
          <w:rStyle w:val="FootnoteReference"/>
          <w:rFonts w:ascii="Times New Roman" w:hAnsi="Times New Roman" w:cs="Times New Roman"/>
          <w:sz w:val="24"/>
        </w:rPr>
        <w:footnoteReference w:id="6"/>
      </w:r>
      <w:r w:rsidR="00952089">
        <w:rPr>
          <w:rFonts w:ascii="Times New Roman" w:hAnsi="Times New Roman" w:cs="Times New Roman"/>
          <w:sz w:val="24"/>
        </w:rPr>
        <w:t xml:space="preserve"> This was unlawful and unreasonable.</w:t>
      </w:r>
    </w:p>
    <w:p w:rsidR="00B91DD4" w:rsidRPr="006A6342" w:rsidP="00E970CF" w14:paraId="76252246" w14:textId="05809318">
      <w:pPr>
        <w:tabs>
          <w:tab w:val="left" w:pos="4320"/>
        </w:tabs>
        <w:ind w:left="720" w:hanging="720"/>
        <w:rPr>
          <w:b/>
          <w:bCs/>
        </w:rPr>
      </w:pPr>
      <w:r>
        <w:tab/>
      </w:r>
      <w:r w:rsidRPr="006A6342" w:rsidR="00B75BDC">
        <w:rPr>
          <w:b/>
          <w:bCs/>
          <w:u w:val="single"/>
        </w:rPr>
        <w:t>Assignment of Error 1:</w:t>
      </w:r>
      <w:r w:rsidRPr="006A6342" w:rsidR="00B75BDC">
        <w:rPr>
          <w:b/>
          <w:bCs/>
        </w:rPr>
        <w:t xml:space="preserve"> The PUCO </w:t>
      </w:r>
      <w:r w:rsidR="0073055E">
        <w:rPr>
          <w:b/>
          <w:bCs/>
        </w:rPr>
        <w:t xml:space="preserve">erred by </w:t>
      </w:r>
      <w:r w:rsidR="00947D8F">
        <w:rPr>
          <w:b/>
          <w:bCs/>
        </w:rPr>
        <w:t>deny</w:t>
      </w:r>
      <w:r w:rsidR="00F96B60">
        <w:rPr>
          <w:b/>
          <w:bCs/>
        </w:rPr>
        <w:t>ing</w:t>
      </w:r>
      <w:r w:rsidR="00947D8F">
        <w:rPr>
          <w:b/>
          <w:bCs/>
        </w:rPr>
        <w:t xml:space="preserve"> consumers</w:t>
      </w:r>
      <w:r w:rsidRPr="006A6342">
        <w:rPr>
          <w:b/>
          <w:bCs/>
        </w:rPr>
        <w:t xml:space="preserve"> $61</w:t>
      </w:r>
      <w:r w:rsidR="00E74EA7">
        <w:rPr>
          <w:b/>
          <w:bCs/>
        </w:rPr>
        <w:t>.1</w:t>
      </w:r>
      <w:r w:rsidRPr="006A6342">
        <w:rPr>
          <w:b/>
          <w:bCs/>
        </w:rPr>
        <w:t xml:space="preserve"> million in refunds </w:t>
      </w:r>
      <w:r w:rsidR="00F96B60">
        <w:rPr>
          <w:b/>
          <w:bCs/>
        </w:rPr>
        <w:t>of</w:t>
      </w:r>
      <w:r w:rsidRPr="006A6342" w:rsidR="00F96B60">
        <w:rPr>
          <w:b/>
          <w:bCs/>
        </w:rPr>
        <w:t xml:space="preserve"> </w:t>
      </w:r>
      <w:r w:rsidRPr="006A6342">
        <w:rPr>
          <w:b/>
          <w:bCs/>
        </w:rPr>
        <w:t>DP&amp;L’s significantly excessive profits</w:t>
      </w:r>
      <w:r w:rsidR="00F96B60">
        <w:rPr>
          <w:b/>
          <w:bCs/>
        </w:rPr>
        <w:t>,</w:t>
      </w:r>
      <w:r w:rsidRPr="00F96B60" w:rsidR="00F96B60">
        <w:rPr>
          <w:b/>
          <w:bCs/>
        </w:rPr>
        <w:t xml:space="preserve"> </w:t>
      </w:r>
      <w:r w:rsidR="00F96B60">
        <w:rPr>
          <w:b/>
          <w:bCs/>
        </w:rPr>
        <w:t xml:space="preserve">including by using </w:t>
      </w:r>
      <w:r w:rsidRPr="006A6342" w:rsidR="00F96B60">
        <w:rPr>
          <w:b/>
          <w:bCs/>
        </w:rPr>
        <w:t>a</w:t>
      </w:r>
      <w:r w:rsidR="00F24A1B">
        <w:rPr>
          <w:b/>
          <w:bCs/>
        </w:rPr>
        <w:t>n un</w:t>
      </w:r>
      <w:r w:rsidR="00424135">
        <w:rPr>
          <w:b/>
          <w:bCs/>
        </w:rPr>
        <w:t>lawful</w:t>
      </w:r>
      <w:r w:rsidR="00F24A1B">
        <w:rPr>
          <w:b/>
          <w:bCs/>
        </w:rPr>
        <w:t xml:space="preserve"> and unreasonable</w:t>
      </w:r>
      <w:r w:rsidRPr="006A6342" w:rsidR="00F96B60">
        <w:rPr>
          <w:b/>
          <w:bCs/>
        </w:rPr>
        <w:t xml:space="preserve"> “offset</w:t>
      </w:r>
      <w:r w:rsidR="00F96B60">
        <w:rPr>
          <w:b/>
          <w:bCs/>
        </w:rPr>
        <w:t>” of refunds, in</w:t>
      </w:r>
      <w:r w:rsidRPr="006A6342">
        <w:rPr>
          <w:b/>
          <w:bCs/>
        </w:rPr>
        <w:t xml:space="preserve"> </w:t>
      </w:r>
      <w:r w:rsidRPr="006A6342" w:rsidR="00F96B60">
        <w:rPr>
          <w:b/>
          <w:bCs/>
        </w:rPr>
        <w:t>violat</w:t>
      </w:r>
      <w:r w:rsidR="00F96B60">
        <w:rPr>
          <w:b/>
          <w:bCs/>
        </w:rPr>
        <w:t>ion of</w:t>
      </w:r>
      <w:r w:rsidRPr="006A6342" w:rsidR="00F96B60">
        <w:rPr>
          <w:b/>
          <w:bCs/>
        </w:rPr>
        <w:t xml:space="preserve"> R.C. 4928.143(F)</w:t>
      </w:r>
      <w:r w:rsidR="00F96B60">
        <w:rPr>
          <w:b/>
          <w:bCs/>
        </w:rPr>
        <w:t>.</w:t>
      </w:r>
      <w:r w:rsidRPr="006A6342" w:rsidR="00F96B60">
        <w:rPr>
          <w:b/>
          <w:bCs/>
        </w:rPr>
        <w:t xml:space="preserve"> </w:t>
      </w:r>
    </w:p>
    <w:p w:rsidR="00B91DD4" w:rsidP="00E970CF" w14:paraId="78834A5B" w14:textId="77777777">
      <w:pPr>
        <w:tabs>
          <w:tab w:val="left" w:pos="4320"/>
        </w:tabs>
        <w:ind w:left="720" w:hanging="720"/>
      </w:pPr>
    </w:p>
    <w:p w:rsidR="00022702" w:rsidP="00022702" w14:paraId="3090524F" w14:textId="332BE56D">
      <w:pPr>
        <w:spacing w:line="480" w:lineRule="auto"/>
        <w:ind w:firstLine="720"/>
      </w:pPr>
      <w:r>
        <w:t xml:space="preserve">The reasons in support of this application for rehearing are set forth in the accompanying memorandum in support. </w:t>
      </w:r>
      <w:r w:rsidR="00695754">
        <w:t>Under R.C. 4903.10 and O.A.C. 4901-1-35, t</w:t>
      </w:r>
      <w:r>
        <w:t xml:space="preserve">he PUCO should grant rehearing and abrogate </w:t>
      </w:r>
      <w:r w:rsidR="00014C61">
        <w:t xml:space="preserve">or modify </w:t>
      </w:r>
      <w:r>
        <w:t>its Entry as requested by OCC.</w:t>
      </w:r>
    </w:p>
    <w:p w:rsidR="00E74EA7" w:rsidP="008464AA" w14:paraId="7622E47E" w14:textId="77777777">
      <w:pPr>
        <w:ind w:left="4320"/>
      </w:pPr>
    </w:p>
    <w:p w:rsidR="00E74EA7" w:rsidP="008464AA" w14:paraId="4EC6C216" w14:textId="77777777">
      <w:pPr>
        <w:ind w:left="4320"/>
      </w:pPr>
    </w:p>
    <w:p w:rsidR="00E74EA7" w:rsidP="008464AA" w14:paraId="28D3B6F1" w14:textId="77777777">
      <w:pPr>
        <w:ind w:left="4320"/>
      </w:pPr>
    </w:p>
    <w:p w:rsidR="008464AA" w:rsidP="008464AA" w14:paraId="2AF74424" w14:textId="3A109292">
      <w:pPr>
        <w:ind w:left="4320"/>
      </w:pPr>
      <w:r>
        <w:t>Bruce Weston (0016973)</w:t>
      </w:r>
    </w:p>
    <w:p w:rsidR="008464AA" w:rsidP="008464AA" w14:paraId="6AFDF623" w14:textId="77777777">
      <w:pPr>
        <w:tabs>
          <w:tab w:val="left" w:pos="4320"/>
        </w:tabs>
        <w:ind w:left="4320"/>
      </w:pPr>
      <w:r>
        <w:t>Ohio Consumers’ Counsel</w:t>
      </w:r>
    </w:p>
    <w:p w:rsidR="008464AA" w:rsidP="008464AA" w14:paraId="2BD88D7C" w14:textId="77777777">
      <w:pPr>
        <w:tabs>
          <w:tab w:val="left" w:pos="4320"/>
        </w:tabs>
        <w:ind w:left="4320"/>
      </w:pPr>
    </w:p>
    <w:p w:rsidR="00E74EA7" w:rsidRPr="00E74EA7" w:rsidP="008464AA" w14:paraId="662A4EDE" w14:textId="67C3F1E7">
      <w:pPr>
        <w:tabs>
          <w:tab w:val="left" w:pos="3960"/>
        </w:tabs>
        <w:ind w:left="4320"/>
        <w:rPr>
          <w:i/>
          <w:iCs/>
        </w:rPr>
      </w:pPr>
      <w:r>
        <w:rPr>
          <w:i/>
          <w:iCs/>
          <w:u w:val="single"/>
        </w:rPr>
        <w:t>/s/ Christopher Healey</w:t>
      </w:r>
      <w:r>
        <w:rPr>
          <w:i/>
          <w:iCs/>
          <w:u w:val="single"/>
        </w:rPr>
        <w:tab/>
      </w:r>
      <w:r>
        <w:rPr>
          <w:i/>
          <w:iCs/>
          <w:u w:val="single"/>
        </w:rPr>
        <w:tab/>
      </w:r>
      <w:r>
        <w:rPr>
          <w:i/>
          <w:iCs/>
          <w:u w:val="single"/>
        </w:rPr>
        <w:tab/>
      </w:r>
    </w:p>
    <w:p w:rsidR="008464AA" w:rsidP="008464AA" w14:paraId="2DB88FC3" w14:textId="5D1E1577">
      <w:pPr>
        <w:tabs>
          <w:tab w:val="left" w:pos="3960"/>
        </w:tabs>
        <w:ind w:left="4320"/>
      </w:pPr>
      <w:r>
        <w:t>Christopher Healey (0086027)</w:t>
      </w:r>
    </w:p>
    <w:p w:rsidR="008464AA" w:rsidP="008464AA" w14:paraId="1C6FEAC8" w14:textId="77777777">
      <w:pPr>
        <w:tabs>
          <w:tab w:val="left" w:pos="4320"/>
        </w:tabs>
        <w:ind w:left="4320"/>
      </w:pPr>
      <w:r>
        <w:t>Counsel of Record (Case Nos. 20-680-EL-UNC and 19-1121-EL-UNC)</w:t>
      </w:r>
    </w:p>
    <w:p w:rsidR="008464AA" w:rsidP="008464AA" w14:paraId="0C8EC450" w14:textId="77777777">
      <w:pPr>
        <w:tabs>
          <w:tab w:val="left" w:pos="4320"/>
        </w:tabs>
        <w:ind w:left="4320"/>
      </w:pPr>
      <w:r>
        <w:t>Angela D. O’Brien (0097579)</w:t>
      </w:r>
    </w:p>
    <w:p w:rsidR="008464AA" w:rsidP="008464AA" w14:paraId="5C0DF9BE" w14:textId="77777777">
      <w:pPr>
        <w:tabs>
          <w:tab w:val="left" w:pos="4320"/>
        </w:tabs>
        <w:ind w:left="4320"/>
      </w:pPr>
      <w:r>
        <w:t>Counsel of Record (Case Nos. 18-1875-EL-GRD and 20-1041-EL-UNC)</w:t>
      </w:r>
    </w:p>
    <w:p w:rsidR="008464AA" w:rsidP="008464AA" w14:paraId="1F32CF35" w14:textId="77777777">
      <w:pPr>
        <w:tabs>
          <w:tab w:val="left" w:pos="4320"/>
        </w:tabs>
        <w:ind w:left="4320"/>
      </w:pPr>
      <w:r>
        <w:t>William J. Michael (0070921)</w:t>
      </w:r>
    </w:p>
    <w:p w:rsidR="008464AA" w:rsidP="008464AA" w14:paraId="7B43EE48" w14:textId="77777777">
      <w:pPr>
        <w:tabs>
          <w:tab w:val="left" w:pos="4320"/>
        </w:tabs>
        <w:ind w:left="4320"/>
      </w:pPr>
      <w:r>
        <w:t>Amy Botschner O’Brien (0074423)</w:t>
      </w:r>
    </w:p>
    <w:p w:rsidR="008464AA" w:rsidP="008464AA" w14:paraId="78192BAD" w14:textId="38831244">
      <w:pPr>
        <w:tabs>
          <w:tab w:val="left" w:pos="4320"/>
        </w:tabs>
        <w:ind w:left="4320"/>
      </w:pPr>
      <w:r>
        <w:t xml:space="preserve">Ambrosia </w:t>
      </w:r>
      <w:r w:rsidR="009B3740">
        <w:t xml:space="preserve">E. </w:t>
      </w:r>
      <w:r>
        <w:t>Wilson (0096598)</w:t>
      </w:r>
    </w:p>
    <w:p w:rsidR="008464AA" w:rsidP="008464AA" w14:paraId="78AD7EDC" w14:textId="77777777">
      <w:pPr>
        <w:tabs>
          <w:tab w:val="left" w:pos="4320"/>
        </w:tabs>
        <w:ind w:left="4320"/>
      </w:pPr>
      <w:r>
        <w:t>Assistant Consumers' Counsel</w:t>
      </w:r>
    </w:p>
    <w:p w:rsidR="008464AA" w:rsidP="008464AA" w14:paraId="32E8B73B" w14:textId="77777777">
      <w:pPr>
        <w:tabs>
          <w:tab w:val="left" w:pos="4320"/>
        </w:tabs>
        <w:ind w:left="4320"/>
      </w:pPr>
    </w:p>
    <w:p w:rsidR="008464AA" w:rsidP="008464AA" w14:paraId="24CA2F46" w14:textId="77777777">
      <w:pPr>
        <w:ind w:left="4320"/>
        <w:rPr>
          <w:b/>
          <w:bCs/>
        </w:rPr>
      </w:pPr>
      <w:r>
        <w:rPr>
          <w:b/>
          <w:bCs/>
        </w:rPr>
        <w:t>Office of the Ohio Consumers' Counsel</w:t>
      </w:r>
    </w:p>
    <w:p w:rsidR="008464AA" w:rsidP="008464AA" w14:paraId="7B8445ED" w14:textId="5E33939C">
      <w:pPr>
        <w:ind w:left="4320"/>
        <w:rPr>
          <w:b/>
        </w:rPr>
      </w:pPr>
      <w:r>
        <w:t xml:space="preserve">65 East State Street, </w:t>
      </w:r>
      <w:r w:rsidR="009B3740">
        <w:t>Suite 700</w:t>
      </w:r>
    </w:p>
    <w:p w:rsidR="008464AA" w:rsidP="008464AA" w14:paraId="1C7B8977" w14:textId="77777777">
      <w:pPr>
        <w:ind w:left="4320"/>
      </w:pPr>
      <w:r>
        <w:t>Columbus, Ohio 43215</w:t>
      </w:r>
    </w:p>
    <w:p w:rsidR="008464AA" w:rsidP="008464AA" w14:paraId="4A555127" w14:textId="77777777">
      <w:pPr>
        <w:tabs>
          <w:tab w:val="left" w:pos="3960"/>
        </w:tabs>
        <w:autoSpaceDE w:val="0"/>
        <w:autoSpaceDN w:val="0"/>
        <w:adjustRightInd w:val="0"/>
        <w:ind w:left="4320"/>
      </w:pPr>
      <w:r>
        <w:t>Telephone [Healey]: (614) 466-9571</w:t>
      </w:r>
    </w:p>
    <w:p w:rsidR="008464AA" w:rsidP="008464AA" w14:paraId="4617247A" w14:textId="77777777">
      <w:pPr>
        <w:tabs>
          <w:tab w:val="left" w:pos="3960"/>
        </w:tabs>
        <w:autoSpaceDE w:val="0"/>
        <w:autoSpaceDN w:val="0"/>
        <w:adjustRightInd w:val="0"/>
        <w:ind w:left="4320"/>
      </w:pPr>
      <w:r>
        <w:t>Telephone [O’Brien]: (614) 466-9575</w:t>
      </w:r>
    </w:p>
    <w:p w:rsidR="008464AA" w:rsidP="008464AA" w14:paraId="00DF37F6" w14:textId="77777777">
      <w:pPr>
        <w:autoSpaceDE w:val="0"/>
        <w:autoSpaceDN w:val="0"/>
        <w:adjustRightInd w:val="0"/>
        <w:ind w:left="4320"/>
      </w:pPr>
      <w:r>
        <w:t>Telephone [Michael]: (614) 466-1291</w:t>
      </w:r>
    </w:p>
    <w:p w:rsidR="008464AA" w:rsidP="008464AA" w14:paraId="0E729177" w14:textId="77777777">
      <w:pPr>
        <w:autoSpaceDE w:val="0"/>
        <w:autoSpaceDN w:val="0"/>
        <w:adjustRightInd w:val="0"/>
        <w:ind w:left="4320"/>
      </w:pPr>
      <w:r>
        <w:t>Telephone [Botschner O’Brien]: (614) 466-9575</w:t>
      </w:r>
    </w:p>
    <w:p w:rsidR="008464AA" w:rsidP="008464AA" w14:paraId="5C434571" w14:textId="77777777">
      <w:pPr>
        <w:autoSpaceDE w:val="0"/>
        <w:autoSpaceDN w:val="0"/>
        <w:adjustRightInd w:val="0"/>
        <w:ind w:left="4320"/>
      </w:pPr>
      <w:r>
        <w:t>Telephone [Wilson]: (614) 466-1292</w:t>
      </w:r>
    </w:p>
    <w:p w:rsidR="008464AA" w:rsidP="008464AA" w14:paraId="1BCBE2C5" w14:textId="77777777">
      <w:pPr>
        <w:ind w:left="4320"/>
        <w:rPr>
          <w:color w:val="0000FF"/>
          <w:u w:val="single"/>
        </w:rPr>
      </w:pPr>
      <w:hyperlink r:id="rId6" w:history="1">
        <w:r w:rsidR="003C3AA0">
          <w:rPr>
            <w:rStyle w:val="Hyperlink"/>
          </w:rPr>
          <w:t>christopher.healey@occ.ohio.gov</w:t>
        </w:r>
      </w:hyperlink>
    </w:p>
    <w:p w:rsidR="008464AA" w:rsidP="008464AA" w14:paraId="77C77222" w14:textId="77777777">
      <w:pPr>
        <w:ind w:left="4320"/>
        <w:rPr>
          <w:color w:val="0000FF"/>
          <w:u w:val="single"/>
        </w:rPr>
      </w:pPr>
      <w:r>
        <w:rPr>
          <w:color w:val="0000FF"/>
          <w:u w:val="single"/>
        </w:rPr>
        <w:t>angela.obrien@occ.ohio.gov</w:t>
      </w:r>
    </w:p>
    <w:p w:rsidR="008464AA" w:rsidP="008464AA" w14:paraId="39728900" w14:textId="77777777">
      <w:pPr>
        <w:ind w:left="4320"/>
        <w:rPr>
          <w:color w:val="0000FF"/>
          <w:u w:val="single"/>
        </w:rPr>
      </w:pPr>
      <w:r>
        <w:rPr>
          <w:color w:val="0000FF"/>
          <w:u w:val="single"/>
        </w:rPr>
        <w:t>william.michael@occ.ohio.gov</w:t>
      </w:r>
    </w:p>
    <w:p w:rsidR="008464AA" w:rsidP="008464AA" w14:paraId="79FE8835" w14:textId="77777777">
      <w:pPr>
        <w:ind w:left="4320"/>
        <w:rPr>
          <w:color w:val="0000FF"/>
          <w:u w:val="single"/>
        </w:rPr>
      </w:pPr>
      <w:hyperlink r:id="rId7" w:history="1">
        <w:r w:rsidR="003C3AA0">
          <w:rPr>
            <w:rStyle w:val="Hyperlink"/>
          </w:rPr>
          <w:t>amy.botschner.obrien@occ.ohio.gov</w:t>
        </w:r>
      </w:hyperlink>
    </w:p>
    <w:p w:rsidR="008464AA" w:rsidP="008464AA" w14:paraId="34BC56D6" w14:textId="77777777">
      <w:pPr>
        <w:ind w:left="4320"/>
        <w:rPr>
          <w:color w:val="0000FF"/>
          <w:u w:val="single"/>
        </w:rPr>
      </w:pPr>
      <w:hyperlink r:id="rId8" w:history="1">
        <w:r w:rsidR="003C3AA0">
          <w:rPr>
            <w:rStyle w:val="Hyperlink"/>
          </w:rPr>
          <w:t>ambrosia.wilson@occ.ohio.gov</w:t>
        </w:r>
      </w:hyperlink>
      <w:r w:rsidR="003C3AA0">
        <w:rPr>
          <w:color w:val="0000FF"/>
          <w:u w:val="single"/>
        </w:rPr>
        <w:t xml:space="preserve"> </w:t>
      </w:r>
    </w:p>
    <w:p w:rsidR="008464AA" w:rsidP="008464AA" w14:paraId="5A9F43C2" w14:textId="7E07038C">
      <w:pPr>
        <w:spacing w:line="480" w:lineRule="auto"/>
      </w:pPr>
      <w:r>
        <w:tab/>
      </w:r>
      <w:r>
        <w:tab/>
      </w:r>
      <w:r>
        <w:tab/>
      </w:r>
      <w:r>
        <w:tab/>
      </w:r>
      <w:r>
        <w:tab/>
      </w:r>
      <w:r>
        <w:tab/>
        <w:t>(willing to accept service by e-mail)</w:t>
      </w:r>
    </w:p>
    <w:p w:rsidR="009D3086" w:rsidP="0042297B" w14:paraId="0BA8B15D" w14:textId="77777777">
      <w:pPr>
        <w:ind w:left="3600" w:firstLine="720"/>
        <w:sectPr w:rsidSect="000E7445">
          <w:footerReference w:type="default" r:id="rId9"/>
          <w:pgSz w:w="12240" w:h="15840"/>
          <w:pgMar w:top="1440" w:right="1440" w:bottom="1440" w:left="1440" w:header="720" w:footer="720" w:gutter="0"/>
          <w:cols w:space="720"/>
          <w:docGrid w:linePitch="360"/>
        </w:sectPr>
      </w:pPr>
    </w:p>
    <w:p w:rsidR="0042297B" w:rsidRPr="00E666E3" w:rsidP="00220CBE" w14:paraId="19879B6B" w14:textId="45828932">
      <w:pPr>
        <w:jc w:val="center"/>
        <w:rPr>
          <w:b/>
        </w:rPr>
      </w:pPr>
      <w:r w:rsidRPr="00E666E3">
        <w:rPr>
          <w:b/>
        </w:rPr>
        <w:t>BEFORE</w:t>
      </w:r>
    </w:p>
    <w:p w:rsidR="0042297B" w:rsidRPr="00E666E3" w:rsidP="0042297B" w14:paraId="0262261A" w14:textId="77777777">
      <w:pPr>
        <w:jc w:val="center"/>
        <w:rPr>
          <w:b/>
          <w:bCs/>
        </w:rPr>
      </w:pPr>
      <w:r w:rsidRPr="00E666E3">
        <w:rPr>
          <w:b/>
          <w:bCs/>
        </w:rPr>
        <w:t>THE PUBLIC UTILITIES COMMISSION OF OHIO</w:t>
      </w:r>
    </w:p>
    <w:p w:rsidR="0042297B" w:rsidRPr="00E666E3" w:rsidP="0042297B" w14:paraId="0A5C58D7" w14:textId="77777777">
      <w:pPr>
        <w:jc w:val="center"/>
        <w:rPr>
          <w:b/>
          <w:bCs/>
        </w:rPr>
      </w:pPr>
    </w:p>
    <w:tbl>
      <w:tblPr>
        <w:tblW w:w="9785" w:type="dxa"/>
        <w:tblLook w:val="01E0"/>
      </w:tblPr>
      <w:tblGrid>
        <w:gridCol w:w="11130"/>
        <w:gridCol w:w="222"/>
        <w:gridCol w:w="222"/>
      </w:tblGrid>
      <w:tr w14:paraId="549B6749" w14:textId="77777777" w:rsidTr="00491698">
        <w:tblPrEx>
          <w:tblW w:w="9785" w:type="dxa"/>
          <w:tblLook w:val="01E0"/>
        </w:tblPrEx>
        <w:trPr>
          <w:trHeight w:val="1962"/>
        </w:trPr>
        <w:tc>
          <w:tcPr>
            <w:tcW w:w="5025" w:type="dxa"/>
            <w:shd w:val="clear" w:color="auto" w:fill="auto"/>
          </w:tcPr>
          <w:tbl>
            <w:tblPr>
              <w:tblW w:w="10896" w:type="dxa"/>
              <w:tblInd w:w="18" w:type="dxa"/>
              <w:tblLook w:val="01E0"/>
            </w:tblPr>
            <w:tblGrid>
              <w:gridCol w:w="10452"/>
              <w:gridCol w:w="222"/>
              <w:gridCol w:w="222"/>
            </w:tblGrid>
            <w:tr w14:paraId="60D1988A" w14:textId="77777777" w:rsidTr="00E970CF">
              <w:tblPrEx>
                <w:tblW w:w="10896" w:type="dxa"/>
                <w:tblInd w:w="18" w:type="dxa"/>
                <w:tblLook w:val="01E0"/>
              </w:tblPrEx>
              <w:tc>
                <w:tcPr>
                  <w:tcW w:w="10452" w:type="dxa"/>
                </w:tcPr>
                <w:tbl>
                  <w:tblPr>
                    <w:tblW w:w="10236" w:type="dxa"/>
                    <w:tblLook w:val="01E0"/>
                  </w:tblPr>
                  <w:tblGrid>
                    <w:gridCol w:w="9792"/>
                    <w:gridCol w:w="222"/>
                    <w:gridCol w:w="222"/>
                  </w:tblGrid>
                  <w:tr w14:paraId="4F7A4EEE" w14:textId="77777777" w:rsidTr="00E970CF">
                    <w:tblPrEx>
                      <w:tblW w:w="10236" w:type="dxa"/>
                      <w:tblLook w:val="01E0"/>
                    </w:tblPrEx>
                    <w:trPr>
                      <w:trHeight w:val="1962"/>
                    </w:trPr>
                    <w:tc>
                      <w:tcPr>
                        <w:tcW w:w="9792" w:type="dxa"/>
                        <w:shd w:val="clear" w:color="auto" w:fill="auto"/>
                      </w:tcPr>
                      <w:tbl>
                        <w:tblPr>
                          <w:tblW w:w="9576" w:type="dxa"/>
                          <w:tblLook w:val="01E0"/>
                        </w:tblPr>
                        <w:tblGrid>
                          <w:gridCol w:w="4590"/>
                          <w:gridCol w:w="360"/>
                          <w:gridCol w:w="4626"/>
                        </w:tblGrid>
                        <w:tr w14:paraId="30861CFE" w14:textId="77777777" w:rsidTr="009544D0">
                          <w:tblPrEx>
                            <w:tblW w:w="9576" w:type="dxa"/>
                            <w:tblLook w:val="01E0"/>
                          </w:tblPrEx>
                          <w:trPr>
                            <w:trHeight w:val="807"/>
                          </w:trPr>
                          <w:tc>
                            <w:tcPr>
                              <w:tcW w:w="4590" w:type="dxa"/>
                              <w:shd w:val="clear" w:color="auto" w:fill="auto"/>
                            </w:tcPr>
                            <w:p w:rsidR="00E970CF" w:rsidP="00E970CF" w14:paraId="7216591B" w14:textId="77777777">
                              <w:pPr>
                                <w:adjustRightInd w:val="0"/>
                              </w:pPr>
                              <w:r>
                                <w:t>In the Matter of the Application of the Dayton Power and Light Company for Approval of its Plan to Modernize its Distribution Grid.</w:t>
                              </w:r>
                            </w:p>
                            <w:p w:rsidR="00E970CF" w:rsidP="00E970CF" w14:paraId="5E65535F" w14:textId="77777777">
                              <w:pPr>
                                <w:adjustRightInd w:val="0"/>
                              </w:pPr>
                            </w:p>
                            <w:p w:rsidR="00E970CF" w:rsidP="00E970CF" w14:paraId="703C595F" w14:textId="77777777">
                              <w:pPr>
                                <w:adjustRightInd w:val="0"/>
                              </w:pPr>
                              <w:r>
                                <w:t>In the Matter of the Application of the Dayton Power and Light Company for Approval of a Limited Waiver of Ohio Adm. Code 4901:1-18-06(A)(2).</w:t>
                              </w:r>
                            </w:p>
                            <w:p w:rsidR="00E970CF" w:rsidP="00E970CF" w14:paraId="563D8700" w14:textId="77777777">
                              <w:pPr>
                                <w:adjustRightInd w:val="0"/>
                              </w:pPr>
                            </w:p>
                            <w:p w:rsidR="00E970CF" w:rsidP="00E970CF" w14:paraId="1170DDA6" w14:textId="77777777">
                              <w:pPr>
                                <w:adjustRightInd w:val="0"/>
                              </w:pPr>
                              <w:r>
                                <w:t>In the Matter of the Application of the Dayton Power and Light Company for Approval of Certain Accounting Methods.</w:t>
                              </w:r>
                            </w:p>
                            <w:p w:rsidR="00E970CF" w:rsidP="00E970CF" w14:paraId="31F3EA32" w14:textId="77777777">
                              <w:pPr>
                                <w:adjustRightInd w:val="0"/>
                              </w:pPr>
                            </w:p>
                            <w:p w:rsidR="00E970CF" w:rsidP="00E970CF" w14:paraId="756C3F2D" w14:textId="77777777">
                              <w:pPr>
                                <w:adjustRightInd w:val="0"/>
                              </w:pPr>
                              <w:r>
                                <w:t>In the Matter of the Application of the Dayton Power and Light Company for Administration of the Significantly Excessive Earnings Test Under R.C. 4928.143(F) and Ohio Adm. Code 4901:1-35-10 for 2018.</w:t>
                              </w:r>
                            </w:p>
                            <w:p w:rsidR="00E970CF" w:rsidP="00E970CF" w14:paraId="54C09855" w14:textId="77777777">
                              <w:pPr>
                                <w:adjustRightInd w:val="0"/>
                              </w:pPr>
                            </w:p>
                            <w:p w:rsidR="00E970CF" w:rsidP="00E970CF" w14:paraId="7BA0DFCC" w14:textId="77777777">
                              <w:pPr>
                                <w:adjustRightInd w:val="0"/>
                              </w:pPr>
                              <w:r>
                                <w:t>In the Matter of the Application of the Dayton Power and Light Company for Administration of the Significantly Excessive Earnings Test Under R.C. 4928.143(F) and Ohio Adm. Code 4901:1-35-10 for 2019.</w:t>
                              </w:r>
                            </w:p>
                            <w:p w:rsidR="00E970CF" w:rsidP="00E970CF" w14:paraId="65B69D07" w14:textId="77777777">
                              <w:pPr>
                                <w:adjustRightInd w:val="0"/>
                              </w:pPr>
                            </w:p>
                            <w:p w:rsidR="00E970CF" w:rsidP="00E970CF" w14:paraId="29B30291" w14:textId="77777777">
                              <w:pPr>
                                <w:adjustRightInd w:val="0"/>
                              </w:pPr>
                              <w: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E970CF" w:rsidP="00E970CF" w14:paraId="5376332A" w14:textId="77777777">
                              <w:pPr>
                                <w:pStyle w:val="HTMLPreformatted"/>
                                <w:rPr>
                                  <w:rFonts w:ascii="Times New Roman" w:hAnsi="Times New Roman"/>
                                  <w:sz w:val="24"/>
                                </w:rPr>
                              </w:pPr>
                              <w:r>
                                <w:rPr>
                                  <w:rFonts w:ascii="Times New Roman" w:hAnsi="Times New Roman"/>
                                  <w:sz w:val="24"/>
                                </w:rPr>
                                <w:t>)</w:t>
                              </w:r>
                            </w:p>
                            <w:p w:rsidR="00E970CF" w:rsidP="00E970CF" w14:paraId="7895BED3" w14:textId="77777777">
                              <w:pPr>
                                <w:pStyle w:val="HTMLPreformatted"/>
                                <w:rPr>
                                  <w:rFonts w:ascii="Times New Roman" w:hAnsi="Times New Roman"/>
                                  <w:sz w:val="24"/>
                                </w:rPr>
                              </w:pPr>
                              <w:r>
                                <w:rPr>
                                  <w:rFonts w:ascii="Times New Roman" w:hAnsi="Times New Roman"/>
                                  <w:sz w:val="24"/>
                                </w:rPr>
                                <w:t>)</w:t>
                              </w:r>
                            </w:p>
                            <w:p w:rsidR="00E970CF" w:rsidP="00E970CF" w14:paraId="23C6AC6D" w14:textId="77777777">
                              <w:pPr>
                                <w:pStyle w:val="HTMLPreformatted"/>
                                <w:rPr>
                                  <w:rFonts w:ascii="Times New Roman" w:hAnsi="Times New Roman"/>
                                  <w:sz w:val="24"/>
                                </w:rPr>
                              </w:pPr>
                              <w:r>
                                <w:rPr>
                                  <w:rFonts w:ascii="Times New Roman" w:hAnsi="Times New Roman"/>
                                  <w:sz w:val="24"/>
                                </w:rPr>
                                <w:t>)</w:t>
                              </w:r>
                            </w:p>
                            <w:p w:rsidR="00E970CF" w:rsidP="00E970CF" w14:paraId="17D18A2C" w14:textId="77777777">
                              <w:r>
                                <w:t>)</w:t>
                              </w:r>
                            </w:p>
                            <w:p w:rsidR="00E970CF" w:rsidP="00E970CF" w14:paraId="5CAE72C7" w14:textId="77777777"/>
                            <w:p w:rsidR="00E970CF" w:rsidP="00E970CF" w14:paraId="2B76305C" w14:textId="77777777">
                              <w:r>
                                <w:t>)</w:t>
                              </w:r>
                            </w:p>
                            <w:p w:rsidR="00E970CF" w:rsidP="00E970CF" w14:paraId="7029FAC2" w14:textId="77777777">
                              <w:r>
                                <w:t>)</w:t>
                              </w:r>
                            </w:p>
                            <w:p w:rsidR="00E970CF" w:rsidP="00E970CF" w14:paraId="1585CD4E" w14:textId="77777777">
                              <w:r>
                                <w:t>)</w:t>
                              </w:r>
                            </w:p>
                            <w:p w:rsidR="00E970CF" w:rsidP="00E970CF" w14:paraId="4921E14F" w14:textId="77777777">
                              <w:r>
                                <w:t>)</w:t>
                              </w:r>
                            </w:p>
                            <w:p w:rsidR="00E970CF" w:rsidP="00E970CF" w14:paraId="33CD617A" w14:textId="77777777"/>
                            <w:p w:rsidR="00E970CF" w:rsidP="00E970CF" w14:paraId="69214DA0" w14:textId="77777777">
                              <w:r>
                                <w:t>)</w:t>
                              </w:r>
                            </w:p>
                            <w:p w:rsidR="00E970CF" w:rsidP="00E970CF" w14:paraId="3DABD7D4" w14:textId="77777777">
                              <w:r>
                                <w:t>)</w:t>
                              </w:r>
                            </w:p>
                            <w:p w:rsidR="00E970CF" w:rsidP="00E970CF" w14:paraId="0483BEA7" w14:textId="77777777">
                              <w:r>
                                <w:t>)</w:t>
                              </w:r>
                            </w:p>
                            <w:p w:rsidR="00E970CF" w:rsidP="00E970CF" w14:paraId="4D35CFF4" w14:textId="77777777"/>
                            <w:p w:rsidR="00E970CF" w:rsidP="00E970CF" w14:paraId="2477A1D4" w14:textId="77777777">
                              <w:r>
                                <w:t>)</w:t>
                              </w:r>
                            </w:p>
                            <w:p w:rsidR="00E970CF" w:rsidP="00E970CF" w14:paraId="1C8801DB" w14:textId="77777777">
                              <w:r>
                                <w:t>)</w:t>
                              </w:r>
                            </w:p>
                            <w:p w:rsidR="00E970CF" w:rsidP="00E970CF" w14:paraId="28BBFF1C" w14:textId="77777777">
                              <w:r>
                                <w:t>)</w:t>
                              </w:r>
                            </w:p>
                            <w:p w:rsidR="00E970CF" w:rsidP="00E970CF" w14:paraId="4F3692C3" w14:textId="77777777">
                              <w:r>
                                <w:t>)</w:t>
                              </w:r>
                            </w:p>
                            <w:p w:rsidR="00E970CF" w:rsidP="00E970CF" w14:paraId="7BA92884" w14:textId="77777777">
                              <w:r>
                                <w:t>)</w:t>
                              </w:r>
                            </w:p>
                            <w:p w:rsidR="00E970CF" w:rsidP="00E970CF" w14:paraId="23843C74" w14:textId="77777777">
                              <w:r>
                                <w:t>)</w:t>
                              </w:r>
                            </w:p>
                            <w:p w:rsidR="00E970CF" w:rsidP="00E970CF" w14:paraId="230FE238" w14:textId="77777777"/>
                            <w:p w:rsidR="00E970CF" w:rsidP="00E970CF" w14:paraId="33663B09" w14:textId="77777777">
                              <w:r>
                                <w:t>)</w:t>
                              </w:r>
                            </w:p>
                            <w:p w:rsidR="00E970CF" w:rsidP="00E970CF" w14:paraId="73F3A70D" w14:textId="77777777">
                              <w:r>
                                <w:t>)</w:t>
                              </w:r>
                            </w:p>
                            <w:p w:rsidR="00E970CF" w:rsidP="00E970CF" w14:paraId="655C954E" w14:textId="77777777">
                              <w:r>
                                <w:t>)</w:t>
                              </w:r>
                            </w:p>
                            <w:p w:rsidR="00E970CF" w:rsidP="00E970CF" w14:paraId="2BD8CDA5" w14:textId="77777777">
                              <w:r>
                                <w:t>)</w:t>
                              </w:r>
                            </w:p>
                            <w:p w:rsidR="00E970CF" w:rsidP="00E970CF" w14:paraId="3755F388" w14:textId="77777777">
                              <w:r>
                                <w:t>)</w:t>
                              </w:r>
                            </w:p>
                            <w:p w:rsidR="00E970CF" w:rsidP="00E970CF" w14:paraId="776C71E8" w14:textId="77777777">
                              <w:r>
                                <w:t>)</w:t>
                              </w:r>
                            </w:p>
                            <w:p w:rsidR="00E970CF" w:rsidP="00E970CF" w14:paraId="165AD8C1" w14:textId="77777777"/>
                            <w:p w:rsidR="00E970CF" w:rsidP="00E970CF" w14:paraId="363A272D" w14:textId="77777777">
                              <w:r>
                                <w:t>)</w:t>
                              </w:r>
                            </w:p>
                            <w:p w:rsidR="00E970CF" w:rsidP="00E970CF" w14:paraId="6FFDB2A0" w14:textId="77777777">
                              <w:r>
                                <w:t>)</w:t>
                              </w:r>
                            </w:p>
                            <w:p w:rsidR="00E970CF" w:rsidP="00E970CF" w14:paraId="72BA96B0" w14:textId="77777777">
                              <w:r>
                                <w:t>)</w:t>
                              </w:r>
                            </w:p>
                            <w:p w:rsidR="00E970CF" w:rsidP="00E970CF" w14:paraId="7B33D3CC" w14:textId="77777777">
                              <w:r>
                                <w:t>)</w:t>
                              </w:r>
                            </w:p>
                            <w:p w:rsidR="00E970CF" w:rsidP="00E970CF" w14:paraId="0E512EAD" w14:textId="77777777">
                              <w:r>
                                <w:t>)</w:t>
                              </w:r>
                            </w:p>
                            <w:p w:rsidR="00E970CF" w:rsidP="00E970CF" w14:paraId="5B78562C" w14:textId="77777777">
                              <w:r>
                                <w:t>)</w:t>
                              </w:r>
                            </w:p>
                          </w:tc>
                          <w:tc>
                            <w:tcPr>
                              <w:tcW w:w="4626" w:type="dxa"/>
                              <w:shd w:val="clear" w:color="auto" w:fill="auto"/>
                            </w:tcPr>
                            <w:p w:rsidR="00E970CF" w:rsidP="00E970CF" w14:paraId="328EC015" w14:textId="77777777">
                              <w:pPr>
                                <w:adjustRightInd w:val="0"/>
                              </w:pPr>
                            </w:p>
                            <w:p w:rsidR="00E970CF" w:rsidP="00E970CF" w14:paraId="296BC743" w14:textId="77777777">
                              <w:pPr>
                                <w:adjustRightInd w:val="0"/>
                              </w:pPr>
                              <w:r>
                                <w:t>Case No. 18-1875-EL-GRD</w:t>
                              </w:r>
                            </w:p>
                            <w:p w:rsidR="00E970CF" w:rsidP="00E970CF" w14:paraId="26C822D1" w14:textId="77777777">
                              <w:pPr>
                                <w:adjustRightInd w:val="0"/>
                              </w:pPr>
                            </w:p>
                            <w:p w:rsidR="00E970CF" w:rsidP="00E970CF" w14:paraId="66EC7EB8" w14:textId="77777777">
                              <w:pPr>
                                <w:adjustRightInd w:val="0"/>
                              </w:pPr>
                            </w:p>
                            <w:p w:rsidR="00E970CF" w:rsidP="00E970CF" w14:paraId="19C64E09" w14:textId="77777777">
                              <w:pPr>
                                <w:adjustRightInd w:val="0"/>
                              </w:pPr>
                            </w:p>
                            <w:p w:rsidR="00E970CF" w:rsidP="00E970CF" w14:paraId="67AC660A" w14:textId="77777777">
                              <w:pPr>
                                <w:adjustRightInd w:val="0"/>
                              </w:pPr>
                              <w:r>
                                <w:t>Case No. 18-1876-EL-WVR</w:t>
                              </w:r>
                            </w:p>
                            <w:p w:rsidR="00E970CF" w:rsidP="00E970CF" w14:paraId="5BD3855E" w14:textId="77777777">
                              <w:pPr>
                                <w:adjustRightInd w:val="0"/>
                              </w:pPr>
                            </w:p>
                            <w:p w:rsidR="00E970CF" w:rsidP="00E970CF" w14:paraId="5CB04B07" w14:textId="77777777">
                              <w:pPr>
                                <w:adjustRightInd w:val="0"/>
                              </w:pPr>
                            </w:p>
                            <w:p w:rsidR="00E970CF" w:rsidP="00E970CF" w14:paraId="723B2A40" w14:textId="77777777">
                              <w:pPr>
                                <w:adjustRightInd w:val="0"/>
                              </w:pPr>
                            </w:p>
                            <w:p w:rsidR="00E970CF" w:rsidP="00E970CF" w14:paraId="62D0C9DE" w14:textId="77777777">
                              <w:pPr>
                                <w:adjustRightInd w:val="0"/>
                              </w:pPr>
                            </w:p>
                            <w:p w:rsidR="00E970CF" w:rsidP="00E970CF" w14:paraId="7EDD23C9" w14:textId="77777777">
                              <w:pPr>
                                <w:adjustRightInd w:val="0"/>
                              </w:pPr>
                              <w:r>
                                <w:t>Case No. 18-1877-EL-AAM</w:t>
                              </w:r>
                            </w:p>
                            <w:p w:rsidR="00E970CF" w:rsidP="00E970CF" w14:paraId="04B2C392" w14:textId="77777777">
                              <w:pPr>
                                <w:adjustRightInd w:val="0"/>
                              </w:pPr>
                            </w:p>
                            <w:p w:rsidR="00E970CF" w:rsidP="00E970CF" w14:paraId="59055ABB" w14:textId="77777777">
                              <w:pPr>
                                <w:adjustRightInd w:val="0"/>
                              </w:pPr>
                            </w:p>
                            <w:p w:rsidR="00E970CF" w:rsidP="00E970CF" w14:paraId="3D769598" w14:textId="77777777">
                              <w:pPr>
                                <w:adjustRightInd w:val="0"/>
                              </w:pPr>
                            </w:p>
                            <w:p w:rsidR="00E970CF" w:rsidP="00E970CF" w14:paraId="0955C402" w14:textId="77777777">
                              <w:pPr>
                                <w:adjustRightInd w:val="0"/>
                              </w:pPr>
                            </w:p>
                            <w:p w:rsidR="00E970CF" w:rsidP="00E970CF" w14:paraId="3A4D47C2" w14:textId="77777777">
                              <w:pPr>
                                <w:adjustRightInd w:val="0"/>
                              </w:pPr>
                              <w:r>
                                <w:t>Case No. 19-1121-EL-UNC</w:t>
                              </w:r>
                            </w:p>
                            <w:p w:rsidR="00E970CF" w:rsidP="00E970CF" w14:paraId="41C6BECF" w14:textId="77777777">
                              <w:pPr>
                                <w:adjustRightInd w:val="0"/>
                              </w:pPr>
                            </w:p>
                            <w:p w:rsidR="00E970CF" w:rsidP="00E970CF" w14:paraId="0092E32B" w14:textId="77777777">
                              <w:pPr>
                                <w:adjustRightInd w:val="0"/>
                              </w:pPr>
                            </w:p>
                            <w:p w:rsidR="00E970CF" w:rsidP="00E970CF" w14:paraId="1E21A58A" w14:textId="77777777">
                              <w:pPr>
                                <w:adjustRightInd w:val="0"/>
                              </w:pPr>
                            </w:p>
                            <w:p w:rsidR="00E970CF" w:rsidP="00E970CF" w14:paraId="0BD86C77" w14:textId="77777777">
                              <w:pPr>
                                <w:adjustRightInd w:val="0"/>
                              </w:pPr>
                            </w:p>
                            <w:p w:rsidR="00E970CF" w:rsidP="00E970CF" w14:paraId="08C5BB3B" w14:textId="77777777">
                              <w:pPr>
                                <w:adjustRightInd w:val="0"/>
                              </w:pPr>
                            </w:p>
                            <w:p w:rsidR="00E970CF" w:rsidP="00E970CF" w14:paraId="24AC85CA" w14:textId="77777777">
                              <w:pPr>
                                <w:adjustRightInd w:val="0"/>
                              </w:pPr>
                              <w:r>
                                <w:t>Case No. 20-1041-EL-UNC</w:t>
                              </w:r>
                            </w:p>
                            <w:p w:rsidR="00E970CF" w:rsidP="00E970CF" w14:paraId="09954CD2" w14:textId="77777777">
                              <w:pPr>
                                <w:adjustRightInd w:val="0"/>
                              </w:pPr>
                            </w:p>
                            <w:p w:rsidR="00E970CF" w:rsidP="00E970CF" w14:paraId="3FB0D97C" w14:textId="77777777">
                              <w:pPr>
                                <w:adjustRightInd w:val="0"/>
                              </w:pPr>
                            </w:p>
                            <w:p w:rsidR="00E970CF" w:rsidP="00E970CF" w14:paraId="7E944D49" w14:textId="77777777">
                              <w:pPr>
                                <w:adjustRightInd w:val="0"/>
                              </w:pPr>
                            </w:p>
                            <w:p w:rsidR="00E970CF" w:rsidP="00E970CF" w14:paraId="1A65ECF2" w14:textId="77777777">
                              <w:pPr>
                                <w:adjustRightInd w:val="0"/>
                              </w:pPr>
                            </w:p>
                            <w:p w:rsidR="00E970CF" w:rsidP="00E970CF" w14:paraId="533FCA78" w14:textId="77777777">
                              <w:pPr>
                                <w:adjustRightInd w:val="0"/>
                              </w:pPr>
                            </w:p>
                            <w:p w:rsidR="00E970CF" w:rsidP="00E970CF" w14:paraId="51472D2B" w14:textId="77777777">
                              <w:pPr>
                                <w:adjustRightInd w:val="0"/>
                              </w:pPr>
                            </w:p>
                            <w:p w:rsidR="00E970CF" w:rsidP="00E970CF" w14:paraId="329CA0B7" w14:textId="77777777">
                              <w:pPr>
                                <w:adjustRightInd w:val="0"/>
                              </w:pPr>
                              <w:r>
                                <w:t>Case No. 20-680-EL-UNC</w:t>
                              </w:r>
                            </w:p>
                            <w:p w:rsidR="00E970CF" w:rsidP="00E970CF" w14:paraId="3DCE5B01" w14:textId="77777777">
                              <w:pPr>
                                <w:adjustRightInd w:val="0"/>
                              </w:pPr>
                            </w:p>
                          </w:tc>
                        </w:tr>
                      </w:tbl>
                      <w:p w:rsidR="00E970CF" w:rsidP="00E970CF" w14:paraId="2412F7C5" w14:textId="77777777">
                        <w:pPr>
                          <w:pStyle w:val="HTMLPreformatted"/>
                          <w:rPr>
                            <w:rFonts w:ascii="Times New Roman" w:hAnsi="Times New Roman"/>
                            <w:b/>
                            <w:sz w:val="24"/>
                          </w:rPr>
                        </w:pPr>
                      </w:p>
                      <w:p w:rsidR="00E970CF" w:rsidRPr="00BC164A" w:rsidP="00E970CF" w14:paraId="06B7FC96" w14:textId="77777777">
                        <w:pPr>
                          <w:autoSpaceDE w:val="0"/>
                          <w:autoSpaceDN w:val="0"/>
                          <w:adjustRightInd w:val="0"/>
                          <w:rPr>
                            <w:rFonts w:eastAsiaTheme="minorEastAsia"/>
                          </w:rPr>
                        </w:pPr>
                      </w:p>
                    </w:tc>
                    <w:tc>
                      <w:tcPr>
                        <w:tcW w:w="222" w:type="dxa"/>
                        <w:shd w:val="clear" w:color="auto" w:fill="auto"/>
                      </w:tcPr>
                      <w:p w:rsidR="00E970CF" w:rsidRPr="006849DE" w:rsidP="00E970CF" w14:paraId="5B61CC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p>
                    </w:tc>
                    <w:tc>
                      <w:tcPr>
                        <w:tcW w:w="222" w:type="dxa"/>
                        <w:shd w:val="clear" w:color="auto" w:fill="auto"/>
                      </w:tcPr>
                      <w:p w:rsidR="00E970CF" w:rsidRPr="006849DE" w:rsidP="00E970CF" w14:paraId="51FF70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r>
                </w:tbl>
                <w:p w:rsidR="00E970CF" w:rsidRPr="00E666E3" w:rsidP="00E970CF" w14:paraId="2232E0BF" w14:textId="77777777"/>
              </w:tc>
              <w:tc>
                <w:tcPr>
                  <w:tcW w:w="222" w:type="dxa"/>
                </w:tcPr>
                <w:p w:rsidR="00E970CF" w:rsidRPr="00E666E3" w:rsidP="00E970CF" w14:paraId="14E4C287" w14:textId="77777777"/>
              </w:tc>
              <w:tc>
                <w:tcPr>
                  <w:tcW w:w="222" w:type="dxa"/>
                </w:tcPr>
                <w:p w:rsidR="00E970CF" w:rsidRPr="00E666E3" w:rsidP="00E970CF" w14:paraId="27075EEE" w14:textId="77777777"/>
              </w:tc>
            </w:tr>
          </w:tbl>
          <w:p w:rsidR="00A95E4A" w:rsidRPr="00BC164A" w:rsidP="00491698" w14:paraId="37AEDC94" w14:textId="4506083E">
            <w:pPr>
              <w:autoSpaceDE w:val="0"/>
              <w:autoSpaceDN w:val="0"/>
              <w:adjustRightInd w:val="0"/>
              <w:rPr>
                <w:rFonts w:eastAsiaTheme="minorEastAsia"/>
              </w:rPr>
            </w:pPr>
          </w:p>
        </w:tc>
        <w:tc>
          <w:tcPr>
            <w:tcW w:w="360" w:type="dxa"/>
            <w:shd w:val="clear" w:color="auto" w:fill="auto"/>
          </w:tcPr>
          <w:p w:rsidR="00A95E4A" w:rsidRPr="006849DE" w:rsidP="00491698" w14:paraId="33F856A0" w14:textId="06C8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p>
        </w:tc>
        <w:tc>
          <w:tcPr>
            <w:tcW w:w="4400" w:type="dxa"/>
            <w:shd w:val="clear" w:color="auto" w:fill="auto"/>
          </w:tcPr>
          <w:p w:rsidR="00A95E4A" w:rsidRPr="006849DE" w:rsidP="00491698" w14:paraId="16ABB715" w14:textId="1C9B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r>
    </w:tbl>
    <w:p w:rsidR="0042297B" w:rsidRPr="00E666E3" w:rsidP="0042297B" w14:paraId="68D6405F" w14:textId="77777777">
      <w:pPr>
        <w:pStyle w:val="HTMLPreformatted"/>
        <w:pBdr>
          <w:bottom w:val="single" w:sz="12" w:space="1" w:color="auto"/>
        </w:pBdr>
        <w:rPr>
          <w:rFonts w:ascii="Times New Roman" w:hAnsi="Times New Roman" w:cs="Times New Roman"/>
          <w:sz w:val="24"/>
        </w:rPr>
      </w:pPr>
    </w:p>
    <w:p w:rsidR="0042297B" w:rsidRPr="00E666E3" w:rsidP="0042297B" w14:paraId="7E706914" w14:textId="77777777">
      <w:pPr>
        <w:jc w:val="center"/>
        <w:rPr>
          <w:b/>
        </w:rPr>
      </w:pPr>
    </w:p>
    <w:p w:rsidR="0042297B" w:rsidRPr="00E666E3" w:rsidP="0042297B" w14:paraId="397C2C09" w14:textId="77777777">
      <w:pPr>
        <w:jc w:val="center"/>
        <w:rPr>
          <w:b/>
        </w:rPr>
      </w:pPr>
      <w:r w:rsidRPr="00E666E3">
        <w:rPr>
          <w:b/>
        </w:rPr>
        <w:t>MEMORANDUM IN SUPPORT</w:t>
      </w:r>
    </w:p>
    <w:p w:rsidR="0042297B" w:rsidRPr="00E666E3" w:rsidP="0042297B" w14:paraId="6BB23434" w14:textId="77777777">
      <w:pPr>
        <w:pBdr>
          <w:bottom w:val="single" w:sz="12" w:space="1" w:color="auto"/>
        </w:pBdr>
        <w:rPr>
          <w:b/>
        </w:rPr>
      </w:pPr>
    </w:p>
    <w:p w:rsidR="0042297B" w:rsidP="0042297B" w14:paraId="2E898E0D" w14:textId="6999B45A">
      <w:pPr>
        <w:tabs>
          <w:tab w:val="left" w:pos="-720"/>
        </w:tabs>
        <w:suppressAutoHyphens/>
      </w:pPr>
    </w:p>
    <w:p w:rsidR="00F2518D" w:rsidP="00F2518D" w14:paraId="1E2AEE5D" w14:textId="7073D7E6">
      <w:pPr>
        <w:tabs>
          <w:tab w:val="left" w:pos="-720"/>
        </w:tabs>
        <w:suppressAutoHyphens/>
        <w:spacing w:line="480" w:lineRule="auto"/>
        <w:ind w:firstLine="720"/>
      </w:pPr>
      <w:r>
        <w:t>The PUCO violated the law (R.C. 4928.143(F)) by denying consumers $61.1 million in refunds resulting from DP&amp;L’s significantly excessive earnings (profits). It lacked authority to deny refunds based on a so-called “offset” of DP&amp;L’s future capital investments. On rehearing, the PUCO should modify its prior ruling and provide consumers with a $61.1 million refund.</w:t>
      </w:r>
    </w:p>
    <w:p w:rsidR="00A57DA0" w:rsidP="00A57DA0" w14:paraId="272E7563" w14:textId="77777777">
      <w:pPr>
        <w:tabs>
          <w:tab w:val="left" w:pos="-720"/>
        </w:tabs>
        <w:suppressAutoHyphens/>
        <w:ind w:firstLine="720"/>
      </w:pPr>
    </w:p>
    <w:p w:rsidR="0042297B" w:rsidRPr="00E666E3" w:rsidP="009C0540" w14:paraId="20B912D3" w14:textId="2B4CE400">
      <w:pPr>
        <w:pStyle w:val="Heading1"/>
      </w:pPr>
      <w:bookmarkStart w:id="0" w:name="_Toc462673188"/>
      <w:bookmarkStart w:id="1" w:name="_Toc472579631"/>
      <w:r w:rsidRPr="00E666E3">
        <w:t>I.</w:t>
      </w:r>
      <w:r w:rsidRPr="00E666E3">
        <w:tab/>
      </w:r>
      <w:r w:rsidR="009C0540">
        <w:t xml:space="preserve">assignment of </w:t>
      </w:r>
      <w:r w:rsidRPr="00E666E3">
        <w:t>ERROR</w:t>
      </w:r>
      <w:bookmarkEnd w:id="0"/>
      <w:bookmarkEnd w:id="1"/>
    </w:p>
    <w:p w:rsidR="0042297B" w:rsidRPr="0038535B" w:rsidP="009D3086" w14:paraId="7713E232" w14:textId="554CEB30">
      <w:pPr>
        <w:pStyle w:val="Heading2"/>
      </w:pPr>
      <w:bookmarkStart w:id="2" w:name="_Toc472579633"/>
      <w:bookmarkStart w:id="3" w:name="_Toc462673193"/>
      <w:r w:rsidRPr="0038535B">
        <w:t xml:space="preserve">Assignment of Error 1: </w:t>
      </w:r>
      <w:bookmarkEnd w:id="2"/>
      <w:r w:rsidRPr="006A6342" w:rsidR="00F2518D">
        <w:t xml:space="preserve">The PUCO </w:t>
      </w:r>
      <w:r w:rsidR="00F2518D">
        <w:t>erred by denying consumers</w:t>
      </w:r>
      <w:r w:rsidRPr="006A6342" w:rsidR="00F2518D">
        <w:t xml:space="preserve"> $61</w:t>
      </w:r>
      <w:r w:rsidR="00F2518D">
        <w:t>.1</w:t>
      </w:r>
      <w:r w:rsidRPr="006A6342" w:rsidR="00F2518D">
        <w:t xml:space="preserve"> million in refunds </w:t>
      </w:r>
      <w:r w:rsidR="00F2518D">
        <w:t>of</w:t>
      </w:r>
      <w:r w:rsidRPr="006A6342" w:rsidR="00F2518D">
        <w:t xml:space="preserve"> DP&amp;L’s significantly excessive profits</w:t>
      </w:r>
      <w:r w:rsidR="00F2518D">
        <w:t>,</w:t>
      </w:r>
      <w:r w:rsidRPr="00F96B60" w:rsidR="00F2518D">
        <w:t xml:space="preserve"> </w:t>
      </w:r>
      <w:r w:rsidR="00F2518D">
        <w:t xml:space="preserve">including by using </w:t>
      </w:r>
      <w:r w:rsidRPr="006A6342" w:rsidR="00F2518D">
        <w:t>a</w:t>
      </w:r>
      <w:r w:rsidR="00F2518D">
        <w:t>n unlawful and unreasonable</w:t>
      </w:r>
      <w:r w:rsidRPr="006A6342" w:rsidR="00F2518D">
        <w:t xml:space="preserve"> “offset</w:t>
      </w:r>
      <w:r w:rsidR="00F2518D">
        <w:t>” of refunds, in</w:t>
      </w:r>
      <w:r w:rsidRPr="006A6342" w:rsidR="00F2518D">
        <w:t xml:space="preserve"> violat</w:t>
      </w:r>
      <w:r w:rsidR="00F2518D">
        <w:t>ion of</w:t>
      </w:r>
      <w:r w:rsidRPr="006A6342" w:rsidR="00F2518D">
        <w:t xml:space="preserve"> R.C. 4928.143(F)</w:t>
      </w:r>
      <w:r w:rsidR="00F2518D">
        <w:t>.</w:t>
      </w:r>
    </w:p>
    <w:p w:rsidR="00DE3CFF" w:rsidP="00DE3CFF" w14:paraId="57C97227" w14:textId="7B582FCC">
      <w:pPr>
        <w:spacing w:line="480" w:lineRule="auto"/>
        <w:ind w:firstLine="720"/>
      </w:pPr>
      <w:r>
        <w:t>The PUCO Staff’s witness testified that DP&amp;L had significantly excessive earnings (profits) in the amount of $61</w:t>
      </w:r>
      <w:r w:rsidR="00E74EA7">
        <w:t>.1</w:t>
      </w:r>
      <w:r>
        <w:t xml:space="preserve"> million.</w:t>
      </w:r>
      <w:r>
        <w:rPr>
          <w:rStyle w:val="FootnoteReference"/>
        </w:rPr>
        <w:footnoteReference w:id="7"/>
      </w:r>
      <w:r>
        <w:t xml:space="preserve"> Despite this, he recommended no refund to consumers.</w:t>
      </w:r>
      <w:r>
        <w:rPr>
          <w:rStyle w:val="FootnoteReference"/>
        </w:rPr>
        <w:footnoteReference w:id="8"/>
      </w:r>
      <w:r>
        <w:t xml:space="preserve"> The PUCO likewise ruled that consumers would get no refund. According to the PUCO:</w:t>
      </w:r>
    </w:p>
    <w:p w:rsidR="00DE3CFF" w:rsidP="003C3AA0" w14:paraId="6400FC11" w14:textId="62CEFF18">
      <w:pPr>
        <w:spacing w:after="240"/>
        <w:ind w:left="1440" w:right="1440"/>
        <w:jc w:val="both"/>
      </w:pPr>
      <w:r>
        <w:t>[W]e agree with Staff as to the conclusion that customer refunds are not necessary (or appropriate), notwithstanding the earnings amounts above the SEET threshold calculations, due to DP&amp;L’s commitment to make substantial capital expenditures as part of its $267.6 million SGP [smart grid plan] Phase 1 expenditures over the next four years.... Given the magnitude of the committed investment, the Commission finds that it is appropriate to offset, dollar-for-dollar, the excessive earnings against the future committed investment. Therefore, we will offset $3.7 million for 2018 and $57.4 million for 2019 for a total of $61.1 million of the capital expenditures included within the $267.6 million of SGP Phase 1 expenditures.</w:t>
      </w:r>
      <w:r>
        <w:rPr>
          <w:rStyle w:val="FootnoteReference"/>
        </w:rPr>
        <w:footnoteReference w:id="9"/>
      </w:r>
    </w:p>
    <w:p w:rsidR="006A6342" w:rsidP="0042297B" w14:paraId="24CBD7CE" w14:textId="35EB0CD1">
      <w:pPr>
        <w:spacing w:line="480" w:lineRule="auto"/>
        <w:ind w:firstLine="720"/>
      </w:pPr>
      <w:r>
        <w:t xml:space="preserve">The word “offset” is a transitive verb, meaning you must have two things for there to be an offset. That is, you “offset” one thing against another. For example, if your mortgage increases by $100 a month, you might try to </w:t>
      </w:r>
      <w:r w:rsidRPr="00E74EA7">
        <w:rPr>
          <w:i/>
          <w:iCs/>
        </w:rPr>
        <w:t>offset</w:t>
      </w:r>
      <w:r>
        <w:t xml:space="preserve"> that increase by lowering your spending on clothing by $100, thus breaking even.</w:t>
      </w:r>
    </w:p>
    <w:p w:rsidR="00E74EA7" w:rsidP="0042297B" w14:paraId="190FAD2E" w14:textId="4696A54E">
      <w:pPr>
        <w:spacing w:line="480" w:lineRule="auto"/>
        <w:ind w:firstLine="720"/>
      </w:pPr>
      <w:r>
        <w:t xml:space="preserve">So in its Order, when the PUCO said that it would “offset, dollar-for-dollar, the excessive earnings against the future committed investment,” one would think that the $61.1 million in excessive earnings would be used to </w:t>
      </w:r>
      <w:r w:rsidR="007B0379">
        <w:t xml:space="preserve">benefit consumers by </w:t>
      </w:r>
      <w:r>
        <w:rPr>
          <w:i/>
          <w:iCs/>
        </w:rPr>
        <w:t>reduc</w:t>
      </w:r>
      <w:r w:rsidR="007B0379">
        <w:rPr>
          <w:i/>
          <w:iCs/>
        </w:rPr>
        <w:t>ing</w:t>
      </w:r>
      <w:r>
        <w:t xml:space="preserve"> charges to consumers for the “future committed investment,” </w:t>
      </w:r>
      <w:r>
        <w:rPr>
          <w:i/>
          <w:iCs/>
        </w:rPr>
        <w:t>i.e.</w:t>
      </w:r>
      <w:r>
        <w:t>, charges to consumers under DP&amp;L’s smart grid rider.</w:t>
      </w:r>
    </w:p>
    <w:p w:rsidR="00E74EA7" w:rsidP="0042297B" w14:paraId="0CECC042" w14:textId="792F6BC6">
      <w:pPr>
        <w:spacing w:line="480" w:lineRule="auto"/>
        <w:ind w:firstLine="720"/>
      </w:pPr>
      <w:r>
        <w:t>In its Second Entry on Rehearing, however, the PUCO ruled that this is not the case. The PUCO is not ordering DP&amp;L to reduce its smart grid charges by $61.1 million or by any other amount. There is no “offset” to the charges</w:t>
      </w:r>
      <w:r w:rsidR="00947D8F">
        <w:t xml:space="preserve"> that would provide consumers a comparable benefit to a </w:t>
      </w:r>
      <w:r w:rsidR="007B0379">
        <w:t xml:space="preserve">$61.1 million </w:t>
      </w:r>
      <w:r w:rsidR="00947D8F">
        <w:t>refund</w:t>
      </w:r>
      <w:r>
        <w:t>. Rather, the PUCO has now clarified that when it used the word “offset,” it meant the following: because smart grid investments are greater than $61.1 million, the $61.1 million in refunds that consumers would otherwise get as a result of DP&amp;L’s significantly excessive profits are simply erased.</w:t>
      </w:r>
      <w:r w:rsidR="006456E4">
        <w:t xml:space="preserve"> </w:t>
      </w:r>
    </w:p>
    <w:p w:rsidR="00944F75" w:rsidP="00944F75" w14:paraId="79A5B04F" w14:textId="77777777">
      <w:pPr>
        <w:spacing w:line="480" w:lineRule="auto"/>
        <w:ind w:firstLine="720"/>
      </w:pPr>
      <w:r>
        <w:t>Denying consumers’ refunds in this manner is unlawful under R.C. 4928.143(F).</w:t>
      </w:r>
    </w:p>
    <w:p w:rsidR="00944F75" w:rsidP="00944F75" w14:paraId="684E68F8" w14:textId="23853567">
      <w:pPr>
        <w:spacing w:line="480" w:lineRule="auto"/>
        <w:ind w:firstLine="720"/>
      </w:pPr>
      <w:r>
        <w:t>Under R.C. 4928.143(F), the PUCO is required each year to determine whether an electric utility had “significantly excessive earnings.” In determine whether a utility’s profits were significantly excessive, the PUCO “shall consider” the utility’s earned return on common equity compared to the “return on common equity that was earned during the same period by publicly traded companies, including utilities, that face comparable business and financial risk, with such adjustments for capital structure as may be appropriate.”</w:t>
      </w:r>
      <w:r>
        <w:rPr>
          <w:rStyle w:val="FootnoteReference"/>
        </w:rPr>
        <w:footnoteReference w:id="10"/>
      </w:r>
      <w:r>
        <w:t xml:space="preserve"> In comparing the utility’s return on equity to that of other comparable companies, “[c]onsideration also shall be given to the capital requirements of future committed investments in this state.”</w:t>
      </w:r>
      <w:r>
        <w:rPr>
          <w:rStyle w:val="FootnoteReference"/>
        </w:rPr>
        <w:footnoteReference w:id="11"/>
      </w:r>
      <w:r>
        <w:t xml:space="preserve"> If the utility’s profits were significantly excessive, then the PUCO “</w:t>
      </w:r>
      <w:r>
        <w:rPr>
          <w:i/>
          <w:iCs/>
        </w:rPr>
        <w:t>shall</w:t>
      </w:r>
      <w:r>
        <w:t xml:space="preserve"> require the electric distribution utility to return to consumers the amount of the excess by prospective adjustments.”</w:t>
      </w:r>
      <w:r>
        <w:rPr>
          <w:rStyle w:val="FootnoteReference"/>
        </w:rPr>
        <w:footnoteReference w:id="12"/>
      </w:r>
    </w:p>
    <w:p w:rsidR="00944F75" w:rsidP="00944F75" w14:paraId="7F52CB42" w14:textId="77777777">
      <w:pPr>
        <w:spacing w:line="480" w:lineRule="auto"/>
        <w:ind w:firstLine="720"/>
      </w:pPr>
      <w:r>
        <w:t xml:space="preserve">Here, the PUCO found that the utility’s profits were </w:t>
      </w:r>
      <w:r>
        <w:rPr>
          <w:i/>
          <w:iCs/>
        </w:rPr>
        <w:t>above</w:t>
      </w:r>
      <w:r>
        <w:t xml:space="preserve"> the profits threshold by more than $60 million. Yet it still reached a utility-friendly result: no refunds for consumers. To accomplish this result, the PUCO relied on language in R.C. 4928.143(F) that “[c]onsideration also shall be given to the capital requirements of future committed investments in this state.”</w:t>
      </w:r>
      <w:r>
        <w:rPr>
          <w:rStyle w:val="FootnoteReference"/>
        </w:rPr>
        <w:footnoteReference w:id="13"/>
      </w:r>
    </w:p>
    <w:p w:rsidR="00944F75" w:rsidP="00944F75" w14:paraId="5E93F493" w14:textId="77777777">
      <w:pPr>
        <w:spacing w:line="480" w:lineRule="auto"/>
        <w:ind w:firstLine="720"/>
      </w:pPr>
      <w:r>
        <w:t>The PUCO has essentially interpreted this language to mean that the PUCO has absolute authority to wipe out consumer refunds whenever the utility commits to making future capital investments in Ohio. But the PUCO’s interpretation in this regard is unreasonable and unlawful.</w:t>
      </w:r>
    </w:p>
    <w:p w:rsidR="009D3086" w:rsidP="00944F75" w14:paraId="4B5EEA7D" w14:textId="77777777">
      <w:pPr>
        <w:spacing w:line="480" w:lineRule="auto"/>
        <w:ind w:firstLine="720"/>
      </w:pPr>
      <w:r>
        <w:t>First, if a utility’s commitment to future capital investments can erase refunds for consumers under the significantly excessive earnings test, then the PUCO would effectively be legislating the earnings test</w:t>
      </w:r>
      <w:r w:rsidR="0062228F">
        <w:t xml:space="preserve">, </w:t>
      </w:r>
      <w:r w:rsidR="00B912DC">
        <w:t>which</w:t>
      </w:r>
      <w:r w:rsidR="008B1E72">
        <w:t xml:space="preserve"> was </w:t>
      </w:r>
      <w:r w:rsidR="0062228F">
        <w:t>put into place by the General Assembly</w:t>
      </w:r>
      <w:r w:rsidR="008B1E72">
        <w:t xml:space="preserve"> in 2008</w:t>
      </w:r>
      <w:r w:rsidR="0062228F">
        <w:t>,</w:t>
      </w:r>
      <w:r>
        <w:t xml:space="preserve"> out of existence. </w:t>
      </w:r>
      <w:r w:rsidR="00B912DC">
        <w:t>The PUCO, as a creature of statute, is required to follow the letter of the law and cannot overrule the General Assembly.</w:t>
      </w:r>
      <w:r>
        <w:rPr>
          <w:rStyle w:val="FootnoteReference"/>
        </w:rPr>
        <w:footnoteReference w:id="14"/>
      </w:r>
      <w:r w:rsidR="00B912DC">
        <w:t xml:space="preserve"> </w:t>
      </w:r>
      <w:r>
        <w:t xml:space="preserve">Electric utilities are capital-intensive businesses; their very existence (and profitability) relies on large-scale, constant capital investments. It will </w:t>
      </w:r>
      <w:r>
        <w:rPr>
          <w:i/>
          <w:iCs/>
        </w:rPr>
        <w:t>always</w:t>
      </w:r>
      <w:r>
        <w:t xml:space="preserve"> be the case that an electric utility expects to make future capital investments in Ohio, so there will never be a situation where the PUCO would be unable to deny refunds to consumers </w:t>
      </w:r>
    </w:p>
    <w:p w:rsidR="009D3086" w14:paraId="7E2E6A50" w14:textId="77777777">
      <w:r>
        <w:br w:type="page"/>
      </w:r>
    </w:p>
    <w:p w:rsidR="00944F75" w:rsidP="009D3086" w14:paraId="4BC8D0EB" w14:textId="1356A617">
      <w:pPr>
        <w:spacing w:line="480" w:lineRule="auto"/>
      </w:pPr>
      <w:r>
        <w:t>under this justification.</w:t>
      </w:r>
      <w:r>
        <w:rPr>
          <w:rStyle w:val="FootnoteReference"/>
        </w:rPr>
        <w:footnoteReference w:id="15"/>
      </w:r>
      <w:r>
        <w:t xml:space="preserve"> The statement that “[c]onsideration also shall be given to the capital requirements of future committed investments in this state” cannot reasonably be interpreted as giving the PUCO such broad </w:t>
      </w:r>
      <w:r w:rsidR="00AE2438">
        <w:t xml:space="preserve">and possibly unlimited </w:t>
      </w:r>
      <w:r>
        <w:t>authority to undermine the entire intent of the significantly excessive earnings test.</w:t>
      </w:r>
    </w:p>
    <w:p w:rsidR="00944F75" w:rsidP="00944F75" w14:paraId="4A1E49F6" w14:textId="6EAC2276">
      <w:pPr>
        <w:spacing w:line="480" w:lineRule="auto"/>
        <w:ind w:firstLine="720"/>
      </w:pPr>
      <w:r>
        <w:t xml:space="preserve">Further, the PUCO’s statutory interpretation contradicts PUCO precedent. In </w:t>
      </w:r>
      <w:r>
        <w:rPr>
          <w:i/>
          <w:iCs/>
        </w:rPr>
        <w:t>In re Application of Columbus Southern Power Co. &amp; Ohio Power Co. for Administration of the Significantly Excessive Earnings Test</w:t>
      </w:r>
      <w:r>
        <w:t>,</w:t>
      </w:r>
      <w:r>
        <w:rPr>
          <w:rStyle w:val="FootnoteReference"/>
        </w:rPr>
        <w:footnoteReference w:id="16"/>
      </w:r>
      <w:r>
        <w:t xml:space="preserve"> the PUCO addressed the statutory language in R.C. 4928.143(F) that “[c]onsideration also shall be given to the capital requirements of future committed investments in this state.”</w:t>
      </w:r>
      <w:r>
        <w:rPr>
          <w:rStyle w:val="FootnoteReference"/>
        </w:rPr>
        <w:footnoteReference w:id="17"/>
      </w:r>
      <w:r>
        <w:t xml:space="preserve"> The PUCO took into account the utility’s future capital investments only for purposes of determining the proper SEET </w:t>
      </w:r>
      <w:r>
        <w:rPr>
          <w:i/>
          <w:iCs/>
        </w:rPr>
        <w:t>threshold</w:t>
      </w:r>
      <w:r>
        <w:t>.</w:t>
      </w:r>
      <w:r>
        <w:rPr>
          <w:rStyle w:val="FootnoteReference"/>
        </w:rPr>
        <w:footnoteReference w:id="18"/>
      </w:r>
      <w:r>
        <w:t xml:space="preserve"> The PUCO ruled that because the utility had committed to making future capital investments, it was appropriate to use a slightly higher SEET threshold.</w:t>
      </w:r>
      <w:r>
        <w:rPr>
          <w:rStyle w:val="FootnoteReference"/>
        </w:rPr>
        <w:footnoteReference w:id="19"/>
      </w:r>
      <w:r>
        <w:t xml:space="preserve"> This interpretation follows the words and placement of the “future committed investment” language. The future committed investment sentence immediately follows the comparable analysis language and links back to the analysis by reiterating that the PUCO must “also” consider future committed investment in its comparable analysis. The placement of the language was intentional. The language does not allow the PUCO to consider future committed investment </w:t>
      </w:r>
      <w:r w:rsidR="00B912DC">
        <w:t>by denying refunds after it has already found that the utility had significantly excessive earnings</w:t>
      </w:r>
      <w:r>
        <w:t xml:space="preserve">. </w:t>
      </w:r>
    </w:p>
    <w:p w:rsidR="00944F75" w:rsidP="00944F75" w14:paraId="4413B562" w14:textId="28CC4E2A">
      <w:pPr>
        <w:spacing w:line="480" w:lineRule="auto"/>
        <w:ind w:firstLine="720"/>
      </w:pPr>
      <w:r>
        <w:t>The PUCO abandoned that precedent in the current case. Had it followed that precedent, it could have slightly increased</w:t>
      </w:r>
      <w:r w:rsidR="00AE2438">
        <w:t>, within reason and based on the evidence in the record,</w:t>
      </w:r>
      <w:r>
        <w:t xml:space="preserve"> the SEET threshold to account for DP&amp;L’s future capital investments. But it did not do that. Instead, it ruled that all refunds would be wiped out simply because DP&amp;L has </w:t>
      </w:r>
      <w:r w:rsidR="00AE2438">
        <w:t>“</w:t>
      </w:r>
      <w:r>
        <w:t>committed</w:t>
      </w:r>
      <w:r w:rsidR="00AE2438">
        <w:t>”</w:t>
      </w:r>
      <w:r>
        <w:t xml:space="preserve"> to invest $249 million in capital expenditures for smart grid.</w:t>
      </w:r>
      <w:r>
        <w:rPr>
          <w:rStyle w:val="FootnoteReference"/>
        </w:rPr>
        <w:footnoteReference w:id="20"/>
      </w:r>
      <w:r>
        <w:t xml:space="preserve"> This result is particularly confusing, given that in </w:t>
      </w:r>
      <w:r>
        <w:rPr>
          <w:i/>
          <w:iCs/>
        </w:rPr>
        <w:t>Ohio Power</w:t>
      </w:r>
      <w:r>
        <w:t>, the utility’s commitment to capital investments was substantially larger: nearly $1.7 billion.</w:t>
      </w:r>
      <w:r>
        <w:rPr>
          <w:rStyle w:val="FootnoteReference"/>
        </w:rPr>
        <w:footnoteReference w:id="21"/>
      </w:r>
      <w:r>
        <w:t xml:space="preserve"> It is not clear how the PUCO could conclude that a $249 million investment by DP&amp;L warrants complete elimination of refunds, when a $1.7 billion investment by Ohio Power still resulted in refunds for consumers.</w:t>
      </w:r>
    </w:p>
    <w:p w:rsidR="006A6342" w:rsidP="00944F75" w14:paraId="41B50A4E" w14:textId="4E0675A5">
      <w:pPr>
        <w:spacing w:line="480" w:lineRule="auto"/>
        <w:ind w:firstLine="720"/>
      </w:pPr>
      <w:r>
        <w:t>On rehearing, the PUCO should modify the Order to provide refunds to consumers in the amount of $61.1 million—the amount that the PUCO Staff’s witness calculated as being significantly excessive.</w:t>
      </w:r>
      <w:r w:rsidR="00041F8E">
        <w:t xml:space="preserve"> Or at a minimum, it should rule that “offset” actually means “offset” such that consumers’ charges under DP&amp;L’s smart grid rider are reduced by $61.1 million.</w:t>
      </w:r>
      <w:r w:rsidR="006456E4">
        <w:t xml:space="preserve"> </w:t>
      </w:r>
      <w:r w:rsidR="008A3C08">
        <w:t>Either way, consumers are entitled to a $61.1 million benefit under R.C. 4928.143(F), but instead, the PUCO has unlawfully determined their benefit to be $0. The PUCO should abrogate or modify its order to restore this $61.1 million benefit for consumers.</w:t>
      </w:r>
    </w:p>
    <w:p w:rsidR="00A57DA0" w:rsidP="00A57DA0" w14:paraId="321FE452" w14:textId="77777777">
      <w:pPr>
        <w:ind w:firstLine="720"/>
      </w:pPr>
    </w:p>
    <w:p w:rsidR="0042297B" w:rsidRPr="00E666E3" w:rsidP="0042297B" w14:paraId="57EFF6AA" w14:textId="54FD7400">
      <w:pPr>
        <w:pStyle w:val="Heading1"/>
      </w:pPr>
      <w:bookmarkStart w:id="4" w:name="_Toc472579634"/>
      <w:r w:rsidRPr="00E666E3">
        <w:t>I</w:t>
      </w:r>
      <w:r w:rsidR="00041F8E">
        <w:t>II</w:t>
      </w:r>
      <w:r w:rsidRPr="00E666E3">
        <w:t xml:space="preserve">. </w:t>
      </w:r>
      <w:r w:rsidRPr="00E666E3">
        <w:tab/>
        <w:t>CONCLUSION</w:t>
      </w:r>
      <w:bookmarkEnd w:id="3"/>
      <w:bookmarkEnd w:id="4"/>
    </w:p>
    <w:p w:rsidR="0042297B" w:rsidRPr="00E666E3" w:rsidP="0042297B" w14:paraId="2BD6CE4C" w14:textId="2E5849C8">
      <w:pPr>
        <w:spacing w:line="480" w:lineRule="auto"/>
        <w:ind w:firstLine="720"/>
      </w:pPr>
      <w:r w:rsidRPr="00E666E3">
        <w:t xml:space="preserve">To protect </w:t>
      </w:r>
      <w:r w:rsidR="008A3C08">
        <w:t>consumers</w:t>
      </w:r>
      <w:r>
        <w:t xml:space="preserve"> from un</w:t>
      </w:r>
      <w:r w:rsidR="00721C79">
        <w:t xml:space="preserve">just and unreasonable </w:t>
      </w:r>
      <w:r>
        <w:t>charges</w:t>
      </w:r>
      <w:r w:rsidRPr="00E666E3">
        <w:t xml:space="preserve">, the PUCO should grant rehearing and abrogate or modify its </w:t>
      </w:r>
      <w:r w:rsidR="00041F8E">
        <w:t xml:space="preserve">October 5, 2021 Second </w:t>
      </w:r>
      <w:r>
        <w:t>Entry on Rehearing</w:t>
      </w:r>
      <w:r w:rsidR="00041F8E">
        <w:t>, consistent with this application for rehearing.</w:t>
      </w:r>
    </w:p>
    <w:p w:rsidR="00535FB3" w:rsidP="00272676" w14:paraId="6AB4FAB8" w14:textId="77777777">
      <w:pPr>
        <w:ind w:left="3600" w:firstLine="720"/>
      </w:pPr>
      <w:r w:rsidRPr="00E666E3">
        <w:tab/>
      </w:r>
      <w:r w:rsidRPr="00E666E3">
        <w:tab/>
      </w:r>
      <w:r w:rsidRPr="00E666E3">
        <w:tab/>
      </w:r>
      <w:r w:rsidRPr="00E666E3">
        <w:tab/>
      </w:r>
      <w:r w:rsidRPr="00E666E3">
        <w:tab/>
      </w:r>
      <w:r>
        <w:br w:type="page"/>
      </w:r>
    </w:p>
    <w:p w:rsidR="00A57DA0" w:rsidP="00022702" w14:paraId="67859B4D" w14:textId="3348C80F">
      <w:pPr>
        <w:ind w:left="3600" w:firstLine="720"/>
        <w:rPr>
          <w:rFonts w:eastAsiaTheme="minorEastAsia"/>
        </w:rPr>
      </w:pPr>
      <w:r>
        <w:rPr>
          <w:rFonts w:eastAsiaTheme="minorEastAsia"/>
        </w:rPr>
        <w:t>Respectfully submitted,</w:t>
      </w:r>
    </w:p>
    <w:p w:rsidR="00A57DA0" w:rsidP="00022702" w14:paraId="26D83025" w14:textId="77777777">
      <w:pPr>
        <w:ind w:left="3600" w:firstLine="720"/>
        <w:rPr>
          <w:rFonts w:eastAsiaTheme="minorEastAsia"/>
        </w:rPr>
      </w:pPr>
    </w:p>
    <w:p w:rsidR="00022702" w:rsidRPr="006849DE" w:rsidP="00022702" w14:paraId="3C035F21" w14:textId="0BA3D2BC">
      <w:pPr>
        <w:ind w:left="3600" w:firstLine="720"/>
        <w:rPr>
          <w:rFonts w:eastAsiaTheme="minorEastAsia"/>
        </w:rPr>
      </w:pPr>
      <w:r>
        <w:rPr>
          <w:rFonts w:eastAsiaTheme="minorEastAsia"/>
        </w:rPr>
        <w:t>Bruce Weston</w:t>
      </w:r>
      <w:r w:rsidRPr="006849DE" w:rsidR="00B75BDC">
        <w:rPr>
          <w:rFonts w:eastAsiaTheme="minorEastAsia"/>
        </w:rPr>
        <w:t xml:space="preserve"> (0016973)</w:t>
      </w:r>
    </w:p>
    <w:p w:rsidR="00022702" w:rsidRPr="006849DE" w:rsidP="00022702" w14:paraId="6865393F" w14:textId="4F2E1536">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00A57DA0">
        <w:rPr>
          <w:rFonts w:eastAsiaTheme="minorEastAsia"/>
        </w:rPr>
        <w:t>Ohio Consumers’ Counsel</w:t>
      </w:r>
    </w:p>
    <w:p w:rsidR="00022702" w:rsidP="00022702" w14:paraId="51E40D40" w14:textId="558DEC4D">
      <w:pPr>
        <w:rPr>
          <w:rFonts w:eastAsiaTheme="minorEastAsia"/>
        </w:rPr>
      </w:pPr>
    </w:p>
    <w:p w:rsidR="00504B5C" w:rsidRPr="00041F8E" w:rsidP="00504B5C" w14:paraId="450EE0FD" w14:textId="4803317C">
      <w:pPr>
        <w:tabs>
          <w:tab w:val="left" w:pos="3960"/>
        </w:tabs>
        <w:ind w:left="4320"/>
        <w:rPr>
          <w:rFonts w:eastAsiaTheme="minorEastAsia"/>
          <w:i/>
          <w:iCs/>
          <w:u w:val="single"/>
        </w:rPr>
      </w:pPr>
      <w:r>
        <w:rPr>
          <w:rFonts w:eastAsiaTheme="minorEastAsia"/>
          <w:i/>
          <w:iCs/>
          <w:u w:val="single"/>
        </w:rPr>
        <w:t>/s/ Christopher Healey</w:t>
      </w:r>
      <w:r>
        <w:rPr>
          <w:rFonts w:eastAsiaTheme="minorEastAsia"/>
          <w:i/>
          <w:iCs/>
          <w:u w:val="single"/>
        </w:rPr>
        <w:tab/>
      </w:r>
      <w:r>
        <w:rPr>
          <w:rFonts w:eastAsiaTheme="minorEastAsia"/>
          <w:i/>
          <w:iCs/>
          <w:u w:val="single"/>
        </w:rPr>
        <w:tab/>
      </w:r>
      <w:r>
        <w:rPr>
          <w:rFonts w:eastAsiaTheme="minorEastAsia"/>
          <w:i/>
          <w:iCs/>
          <w:u w:val="single"/>
        </w:rPr>
        <w:tab/>
      </w:r>
    </w:p>
    <w:p w:rsidR="00504B5C" w:rsidP="00504B5C" w14:paraId="03942610" w14:textId="331EF0F6">
      <w:pPr>
        <w:tabs>
          <w:tab w:val="left" w:pos="3960"/>
        </w:tabs>
        <w:ind w:left="4320"/>
      </w:pPr>
      <w:r>
        <w:t>Christopher Healey (0086027)</w:t>
      </w:r>
    </w:p>
    <w:p w:rsidR="00504B5C" w:rsidP="00504B5C" w14:paraId="6584E45D" w14:textId="77777777">
      <w:pPr>
        <w:tabs>
          <w:tab w:val="left" w:pos="4320"/>
        </w:tabs>
        <w:ind w:left="4320"/>
      </w:pPr>
      <w:r>
        <w:t>Counsel of Record (Case Nos. 20-680-EL-UNC and 19-1121-EL-UNC)</w:t>
      </w:r>
    </w:p>
    <w:p w:rsidR="00504B5C" w:rsidP="00504B5C" w14:paraId="3639B899" w14:textId="77777777">
      <w:pPr>
        <w:tabs>
          <w:tab w:val="left" w:pos="4320"/>
        </w:tabs>
        <w:ind w:left="4320"/>
      </w:pPr>
      <w:r>
        <w:t>Angela D. O’Brien (0097579)</w:t>
      </w:r>
    </w:p>
    <w:p w:rsidR="00504B5C" w:rsidP="00504B5C" w14:paraId="5F6BA63D" w14:textId="77777777">
      <w:pPr>
        <w:tabs>
          <w:tab w:val="left" w:pos="4320"/>
        </w:tabs>
        <w:ind w:left="4320"/>
      </w:pPr>
      <w:r>
        <w:t>Counsel of Record (Case Nos. 18-1875-EL-GRD and 20-1041-EL-UNC)</w:t>
      </w:r>
    </w:p>
    <w:p w:rsidR="00504B5C" w:rsidP="00504B5C" w14:paraId="3FD55823" w14:textId="77777777">
      <w:pPr>
        <w:tabs>
          <w:tab w:val="left" w:pos="4320"/>
        </w:tabs>
        <w:ind w:left="4320"/>
      </w:pPr>
      <w:r>
        <w:t>William J. Michael (0070921)</w:t>
      </w:r>
    </w:p>
    <w:p w:rsidR="00504B5C" w:rsidP="00504B5C" w14:paraId="76A318B8" w14:textId="77777777">
      <w:pPr>
        <w:tabs>
          <w:tab w:val="left" w:pos="4320"/>
        </w:tabs>
        <w:ind w:left="4320"/>
      </w:pPr>
      <w:r>
        <w:t>Amy Botschner O’Brien (0074423)</w:t>
      </w:r>
    </w:p>
    <w:p w:rsidR="00504B5C" w:rsidP="00504B5C" w14:paraId="69F83B29" w14:textId="3D560DE9">
      <w:pPr>
        <w:tabs>
          <w:tab w:val="left" w:pos="4320"/>
        </w:tabs>
        <w:ind w:left="4320"/>
      </w:pPr>
      <w:r>
        <w:t>Ambrosia</w:t>
      </w:r>
      <w:r w:rsidR="00A57DA0">
        <w:t xml:space="preserve"> E.</w:t>
      </w:r>
      <w:r>
        <w:t xml:space="preserve"> Wilson (0096598)</w:t>
      </w:r>
    </w:p>
    <w:p w:rsidR="00504B5C" w:rsidP="00504B5C" w14:paraId="73027885" w14:textId="77777777">
      <w:pPr>
        <w:tabs>
          <w:tab w:val="left" w:pos="4320"/>
        </w:tabs>
        <w:ind w:left="4320"/>
      </w:pPr>
      <w:r>
        <w:t>Assistant Consumers' Counsel</w:t>
      </w:r>
    </w:p>
    <w:p w:rsidR="00504B5C" w:rsidP="00504B5C" w14:paraId="40D68459" w14:textId="77777777">
      <w:pPr>
        <w:tabs>
          <w:tab w:val="left" w:pos="4320"/>
        </w:tabs>
        <w:ind w:left="4320"/>
      </w:pPr>
    </w:p>
    <w:p w:rsidR="00504B5C" w:rsidP="00504B5C" w14:paraId="00A011E5" w14:textId="77777777">
      <w:pPr>
        <w:ind w:left="4320"/>
        <w:rPr>
          <w:b/>
          <w:bCs/>
        </w:rPr>
      </w:pPr>
      <w:r>
        <w:rPr>
          <w:b/>
          <w:bCs/>
        </w:rPr>
        <w:t>Office of the Ohio Consumers' Counsel</w:t>
      </w:r>
    </w:p>
    <w:p w:rsidR="00504B5C" w:rsidP="00504B5C" w14:paraId="17DB1D37" w14:textId="0B331AAF">
      <w:pPr>
        <w:ind w:left="4320"/>
        <w:rPr>
          <w:b/>
        </w:rPr>
      </w:pPr>
      <w:r>
        <w:t xml:space="preserve">65 East State Street, </w:t>
      </w:r>
      <w:r w:rsidR="00A57DA0">
        <w:t>Suite 700</w:t>
      </w:r>
    </w:p>
    <w:p w:rsidR="00504B5C" w:rsidP="00504B5C" w14:paraId="4BFC821A" w14:textId="77777777">
      <w:pPr>
        <w:ind w:left="4320"/>
      </w:pPr>
      <w:r>
        <w:t>Columbus, Ohio 43215</w:t>
      </w:r>
    </w:p>
    <w:p w:rsidR="00504B5C" w:rsidP="00504B5C" w14:paraId="3117EA7D" w14:textId="77777777">
      <w:pPr>
        <w:tabs>
          <w:tab w:val="left" w:pos="3960"/>
        </w:tabs>
        <w:autoSpaceDE w:val="0"/>
        <w:autoSpaceDN w:val="0"/>
        <w:adjustRightInd w:val="0"/>
        <w:ind w:left="4320"/>
      </w:pPr>
      <w:r>
        <w:t>Telephone [Healey]: (614) 466-9571</w:t>
      </w:r>
    </w:p>
    <w:p w:rsidR="00504B5C" w:rsidP="00504B5C" w14:paraId="7D8B80B1" w14:textId="77777777">
      <w:pPr>
        <w:tabs>
          <w:tab w:val="left" w:pos="3960"/>
        </w:tabs>
        <w:autoSpaceDE w:val="0"/>
        <w:autoSpaceDN w:val="0"/>
        <w:adjustRightInd w:val="0"/>
        <w:ind w:left="4320"/>
      </w:pPr>
      <w:r>
        <w:t>Telephone [O’Brien]: (614) 466-9575</w:t>
      </w:r>
    </w:p>
    <w:p w:rsidR="00504B5C" w:rsidP="00504B5C" w14:paraId="6BD50AD9" w14:textId="77777777">
      <w:pPr>
        <w:autoSpaceDE w:val="0"/>
        <w:autoSpaceDN w:val="0"/>
        <w:adjustRightInd w:val="0"/>
        <w:ind w:left="4320"/>
      </w:pPr>
      <w:r>
        <w:t>Telephone [Michael]: (614) 466-1291</w:t>
      </w:r>
    </w:p>
    <w:p w:rsidR="00504B5C" w:rsidP="00504B5C" w14:paraId="670E0D1B" w14:textId="77777777">
      <w:pPr>
        <w:autoSpaceDE w:val="0"/>
        <w:autoSpaceDN w:val="0"/>
        <w:adjustRightInd w:val="0"/>
        <w:ind w:left="4320"/>
      </w:pPr>
      <w:r>
        <w:t>Telephone [Botschner O’Brien]: (614) 466-9575</w:t>
      </w:r>
    </w:p>
    <w:p w:rsidR="00504B5C" w:rsidP="00504B5C" w14:paraId="2119C2C4" w14:textId="77777777">
      <w:pPr>
        <w:autoSpaceDE w:val="0"/>
        <w:autoSpaceDN w:val="0"/>
        <w:adjustRightInd w:val="0"/>
        <w:ind w:left="4320"/>
      </w:pPr>
      <w:r>
        <w:t>Telephone [Wilson]: (614) 466-1292</w:t>
      </w:r>
    </w:p>
    <w:p w:rsidR="00504B5C" w:rsidP="00504B5C" w14:paraId="745199A3" w14:textId="77777777">
      <w:pPr>
        <w:ind w:left="4320"/>
        <w:rPr>
          <w:color w:val="0000FF"/>
          <w:u w:val="single"/>
        </w:rPr>
      </w:pPr>
      <w:hyperlink r:id="rId6" w:history="1">
        <w:r w:rsidR="003C3AA0">
          <w:rPr>
            <w:rStyle w:val="Hyperlink"/>
          </w:rPr>
          <w:t>christopher.healey@occ.ohio.gov</w:t>
        </w:r>
      </w:hyperlink>
    </w:p>
    <w:p w:rsidR="00504B5C" w:rsidP="00504B5C" w14:paraId="79800A82" w14:textId="77777777">
      <w:pPr>
        <w:ind w:left="4320"/>
        <w:rPr>
          <w:color w:val="0000FF"/>
          <w:u w:val="single"/>
        </w:rPr>
      </w:pPr>
      <w:r>
        <w:rPr>
          <w:color w:val="0000FF"/>
          <w:u w:val="single"/>
        </w:rPr>
        <w:t>angela.obrien@occ.ohio.gov</w:t>
      </w:r>
    </w:p>
    <w:p w:rsidR="00504B5C" w:rsidP="00504B5C" w14:paraId="402006A7" w14:textId="77777777">
      <w:pPr>
        <w:ind w:left="4320"/>
        <w:rPr>
          <w:color w:val="0000FF"/>
          <w:u w:val="single"/>
        </w:rPr>
      </w:pPr>
      <w:r>
        <w:rPr>
          <w:color w:val="0000FF"/>
          <w:u w:val="single"/>
        </w:rPr>
        <w:t>william.michael@occ.ohio.gov</w:t>
      </w:r>
    </w:p>
    <w:p w:rsidR="00504B5C" w:rsidP="00504B5C" w14:paraId="27ABFE06" w14:textId="77777777">
      <w:pPr>
        <w:ind w:left="4320"/>
        <w:rPr>
          <w:color w:val="0000FF"/>
          <w:u w:val="single"/>
        </w:rPr>
      </w:pPr>
      <w:hyperlink r:id="rId7" w:history="1">
        <w:r w:rsidR="003C3AA0">
          <w:rPr>
            <w:rStyle w:val="Hyperlink"/>
          </w:rPr>
          <w:t>amy.botschner.obrien@occ.ohio.gov</w:t>
        </w:r>
      </w:hyperlink>
    </w:p>
    <w:p w:rsidR="00504B5C" w:rsidP="00504B5C" w14:paraId="0C3CFF5B" w14:textId="77777777">
      <w:pPr>
        <w:ind w:left="4320"/>
        <w:rPr>
          <w:color w:val="0000FF"/>
          <w:u w:val="single"/>
        </w:rPr>
      </w:pPr>
      <w:hyperlink r:id="rId8" w:history="1">
        <w:r w:rsidR="003C3AA0">
          <w:rPr>
            <w:rStyle w:val="Hyperlink"/>
          </w:rPr>
          <w:t>ambrosia.wilson@occ.ohio.gov</w:t>
        </w:r>
      </w:hyperlink>
      <w:r w:rsidR="003C3AA0">
        <w:rPr>
          <w:color w:val="0000FF"/>
          <w:u w:val="single"/>
        </w:rPr>
        <w:t xml:space="preserve"> </w:t>
      </w:r>
    </w:p>
    <w:p w:rsidR="00A15114" w:rsidP="00022702" w14:paraId="00EA15B2" w14:textId="74BEE2E3">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(willing to accept service by e-mail)</w:t>
      </w:r>
    </w:p>
    <w:p w:rsidR="00A15114" w14:paraId="5A130770" w14:textId="77777777">
      <w:pPr>
        <w:rPr>
          <w:rFonts w:eastAsiaTheme="minorEastAsia"/>
        </w:rPr>
      </w:pPr>
      <w:r>
        <w:rPr>
          <w:rFonts w:eastAsiaTheme="minorEastAsia"/>
        </w:rPr>
        <w:br w:type="page"/>
      </w:r>
    </w:p>
    <w:p w:rsidR="0042297B" w14:paraId="034DA661" w14:textId="32027269">
      <w:pPr>
        <w:jc w:val="center"/>
        <w:rPr>
          <w:b/>
          <w:bCs/>
          <w:u w:val="single"/>
        </w:rPr>
      </w:pPr>
      <w:r>
        <w:rPr>
          <w:b/>
          <w:bCs/>
          <w:u w:val="single"/>
        </w:rPr>
        <w:t>C</w:t>
      </w:r>
      <w:r w:rsidRPr="00E666E3">
        <w:rPr>
          <w:b/>
          <w:bCs/>
          <w:u w:val="single"/>
        </w:rPr>
        <w:t>ERTIFICATE OF SERVICE</w:t>
      </w:r>
    </w:p>
    <w:p w:rsidR="005423D4" w:rsidRPr="00E666E3" w14:paraId="54F48162" w14:textId="77777777">
      <w:pPr>
        <w:jc w:val="center"/>
        <w:rPr>
          <w:b/>
          <w:bCs/>
          <w:u w:val="single"/>
        </w:rPr>
      </w:pPr>
    </w:p>
    <w:p w:rsidR="0042297B" w:rsidP="0042297B" w14:paraId="43148041" w14:textId="736908F1">
      <w:pPr>
        <w:spacing w:line="480" w:lineRule="atLeast"/>
        <w:ind w:firstLine="720"/>
      </w:pPr>
      <w:r w:rsidRPr="00E666E3">
        <w:t xml:space="preserve">I hereby certify that a copy of this Application for Rehearing was electronically served via electric transmission on the persons stated below this </w:t>
      </w:r>
      <w:r w:rsidR="00BB1584">
        <w:t>5th</w:t>
      </w:r>
      <w:r>
        <w:t xml:space="preserve"> day of </w:t>
      </w:r>
      <w:r w:rsidR="00BB1584">
        <w:t>November</w:t>
      </w:r>
      <w:r>
        <w:t xml:space="preserve"> 20</w:t>
      </w:r>
      <w:r w:rsidR="009C0540">
        <w:t>21</w:t>
      </w:r>
      <w:r w:rsidRPr="00E666E3">
        <w:t>.</w:t>
      </w:r>
    </w:p>
    <w:p w:rsidR="000625DC" w:rsidRPr="00E666E3" w:rsidP="0042297B" w14:paraId="04892924" w14:textId="77777777">
      <w:pPr>
        <w:spacing w:line="480" w:lineRule="atLeast"/>
        <w:ind w:firstLine="720"/>
      </w:pPr>
    </w:p>
    <w:p w:rsidR="00022702" w:rsidRPr="00BB1584" w:rsidP="00022702" w14:paraId="1CFBF04B" w14:textId="111F7AE7">
      <w:pPr>
        <w:ind w:firstLine="720"/>
        <w:rPr>
          <w:rFonts w:eastAsiaTheme="minorEastAsia"/>
          <w:i/>
          <w:iCs/>
          <w:u w:val="single"/>
        </w:rPr>
      </w:pPr>
      <w:r w:rsidRPr="00E666E3">
        <w:tab/>
      </w:r>
      <w:r>
        <w:tab/>
      </w:r>
      <w:r>
        <w:tab/>
      </w:r>
      <w:r>
        <w:tab/>
      </w:r>
      <w:r>
        <w:tab/>
      </w:r>
      <w:r>
        <w:tab/>
      </w:r>
      <w:r w:rsidR="00BB1584">
        <w:rPr>
          <w:rFonts w:eastAsiaTheme="minorEastAsia"/>
          <w:i/>
          <w:iCs/>
          <w:u w:val="single"/>
        </w:rPr>
        <w:t>/s/ Christopher Healey</w:t>
      </w:r>
      <w:r w:rsidR="00BB1584">
        <w:rPr>
          <w:rFonts w:eastAsiaTheme="minorEastAsia"/>
          <w:i/>
          <w:iCs/>
          <w:u w:val="single"/>
        </w:rPr>
        <w:tab/>
      </w:r>
      <w:r w:rsidR="00BB1584">
        <w:rPr>
          <w:rFonts w:eastAsiaTheme="minorEastAsia"/>
          <w:i/>
          <w:iCs/>
          <w:u w:val="single"/>
        </w:rPr>
        <w:tab/>
      </w:r>
    </w:p>
    <w:p w:rsidR="00022702" w:rsidP="00022702" w14:paraId="562340B8" w14:textId="2B7526A6">
      <w:pPr>
        <w:ind w:firstLine="720"/>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Assistant Consumers’ Counsel</w:t>
      </w:r>
    </w:p>
    <w:p w:rsidR="0042297B" w:rsidRPr="00E666E3" w:rsidP="00022702" w14:paraId="2176AB7C" w14:textId="77777777">
      <w:pPr>
        <w:ind w:left="2880" w:firstLine="720"/>
        <w:rPr>
          <w:b/>
          <w:u w:val="single"/>
        </w:rPr>
      </w:pPr>
    </w:p>
    <w:p w:rsidR="005F551C" w:rsidP="005F551C" w14:paraId="6B707277" w14:textId="77777777">
      <w:r>
        <w:t>The PUCO’s e-filing system will electronically serve notice of the filing of this document on the following parties:</w:t>
      </w:r>
    </w:p>
    <w:p w:rsidR="005423D4" w:rsidP="005F551C" w14:paraId="609D8950" w14:textId="77777777">
      <w:pPr>
        <w:pStyle w:val="CommentText"/>
        <w:rPr>
          <w:b/>
          <w:u w:val="single"/>
        </w:rPr>
      </w:pPr>
    </w:p>
    <w:p w:rsidR="0042297B" w14:paraId="16A9B707" w14:textId="293EAC48">
      <w:pPr>
        <w:pStyle w:val="CommentText"/>
        <w:jc w:val="center"/>
        <w:rPr>
          <w:b/>
          <w:u w:val="single"/>
        </w:rPr>
      </w:pPr>
      <w:r w:rsidRPr="00E666E3">
        <w:rPr>
          <w:b/>
          <w:u w:val="single"/>
        </w:rPr>
        <w:t>SERVICE LIST</w:t>
      </w:r>
    </w:p>
    <w:p w:rsidR="005F551C" w14:paraId="646410C8" w14:textId="77777777">
      <w:pPr>
        <w:pStyle w:val="CommentText"/>
        <w:jc w:val="center"/>
        <w:rPr>
          <w:b/>
          <w:u w:val="single"/>
        </w:rPr>
      </w:pPr>
    </w:p>
    <w:p w:rsidR="005F551C" w:rsidRPr="00E666E3" w14:paraId="76E57F70" w14:textId="77777777">
      <w:pPr>
        <w:pStyle w:val="CommentText"/>
        <w:jc w:val="center"/>
        <w:rPr>
          <w:b/>
          <w:u w:val="single"/>
        </w:rPr>
      </w:pPr>
    </w:p>
    <w:tbl>
      <w:tblPr>
        <w:tblW w:w="0" w:type="auto"/>
        <w:tblLook w:val="04A0"/>
      </w:tblPr>
      <w:tblGrid>
        <w:gridCol w:w="4428"/>
        <w:gridCol w:w="4428"/>
      </w:tblGrid>
      <w:tr w14:paraId="20F764A4" w14:textId="77777777" w:rsidTr="00E13D26">
        <w:tblPrEx>
          <w:tblW w:w="0" w:type="auto"/>
          <w:tblLook w:val="04A0"/>
        </w:tblPrEx>
        <w:tc>
          <w:tcPr>
            <w:tcW w:w="4428" w:type="dxa"/>
          </w:tcPr>
          <w:p w:rsidR="005F551C" w:rsidP="00E13D26" w14:paraId="061CAAE9" w14:textId="77777777">
            <w:pPr>
              <w:pStyle w:val="BodyText"/>
            </w:pPr>
            <w:r>
              <w:t>Case No. 18-1875-EL-GRD, et al.</w:t>
            </w:r>
          </w:p>
          <w:p w:rsidR="005F551C" w:rsidP="00E13D26" w14:paraId="14D56B23" w14:textId="77777777">
            <w:pPr>
              <w:pStyle w:val="BodyText"/>
            </w:pPr>
          </w:p>
          <w:p w:rsidR="005F551C" w:rsidP="00E13D26" w14:paraId="5A7BE3EC" w14:textId="0B41072F">
            <w:pPr>
              <w:pStyle w:val="BodyText"/>
            </w:pPr>
            <w:hyperlink r:id="rId10" w:history="1">
              <w:r w:rsidRPr="00000119" w:rsidR="003C3AA0">
                <w:rPr>
                  <w:rStyle w:val="Hyperlink"/>
                </w:rPr>
                <w:t>steven.beeler@ohioAGO.gov</w:t>
              </w:r>
            </w:hyperlink>
          </w:p>
          <w:p w:rsidR="005F551C" w:rsidP="00E13D26" w14:paraId="5DE3B624" w14:textId="4ACB9EB3">
            <w:pPr>
              <w:pStyle w:val="BodyText"/>
            </w:pPr>
            <w:hyperlink r:id="rId11" w:history="1">
              <w:r w:rsidRPr="00000119" w:rsidR="003C3AA0">
                <w:rPr>
                  <w:rStyle w:val="Hyperlink"/>
                </w:rPr>
                <w:t>Robert.eubanks@ohioAGO.gov</w:t>
              </w:r>
            </w:hyperlink>
          </w:p>
          <w:p w:rsidR="005F551C" w:rsidP="00E13D26" w14:paraId="03CF6204" w14:textId="77777777">
            <w:pPr>
              <w:pStyle w:val="BodyText"/>
            </w:pPr>
            <w:hyperlink r:id="rId12" w:history="1">
              <w:r w:rsidR="003C3AA0">
                <w:rPr>
                  <w:rStyle w:val="Hyperlink"/>
                </w:rPr>
                <w:t>Bethany.allen@igs.com</w:t>
              </w:r>
            </w:hyperlink>
          </w:p>
          <w:p w:rsidR="005F551C" w:rsidP="00E13D26" w14:paraId="45EFEC40" w14:textId="77777777">
            <w:pPr>
              <w:pStyle w:val="BodyText"/>
            </w:pPr>
            <w:hyperlink r:id="rId13" w:history="1">
              <w:r w:rsidR="003C3AA0">
                <w:rPr>
                  <w:rStyle w:val="Hyperlink"/>
                </w:rPr>
                <w:t>Joe.oliker@igs.com</w:t>
              </w:r>
            </w:hyperlink>
          </w:p>
          <w:p w:rsidR="005F551C" w:rsidP="00E13D26" w14:paraId="204720F4" w14:textId="77777777">
            <w:pPr>
              <w:pStyle w:val="BodyText"/>
            </w:pPr>
            <w:hyperlink r:id="rId14" w:history="1">
              <w:r w:rsidR="003C3AA0">
                <w:rPr>
                  <w:rStyle w:val="Hyperlink"/>
                </w:rPr>
                <w:t>Michael.nugent@igs.com</w:t>
              </w:r>
            </w:hyperlink>
          </w:p>
          <w:p w:rsidR="005F551C" w:rsidP="00E13D26" w14:paraId="63C7F1FA" w14:textId="77777777">
            <w:pPr>
              <w:pStyle w:val="BodyText"/>
            </w:pPr>
            <w:hyperlink r:id="rId15" w:history="1">
              <w:r w:rsidRPr="002E67FF" w:rsidR="003C3AA0">
                <w:rPr>
                  <w:rStyle w:val="Hyperlink"/>
                </w:rPr>
                <w:t>dstinson@bricker.com</w:t>
              </w:r>
            </w:hyperlink>
          </w:p>
          <w:p w:rsidR="005F551C" w:rsidP="00E13D26" w14:paraId="089AECA6" w14:textId="77777777">
            <w:pPr>
              <w:pStyle w:val="BodyText"/>
            </w:pPr>
            <w:hyperlink r:id="rId16" w:history="1">
              <w:r w:rsidR="003C3AA0">
                <w:rPr>
                  <w:rStyle w:val="Hyperlink"/>
                </w:rPr>
                <w:t>kherstein@bricker.com</w:t>
              </w:r>
            </w:hyperlink>
          </w:p>
          <w:p w:rsidR="005F551C" w:rsidP="00E13D26" w14:paraId="3A755434" w14:textId="77777777">
            <w:pPr>
              <w:pStyle w:val="BodyText"/>
            </w:pPr>
            <w:hyperlink r:id="rId17" w:history="1">
              <w:r w:rsidR="003C3AA0">
                <w:rPr>
                  <w:rStyle w:val="Hyperlink"/>
                </w:rPr>
                <w:t>jdunnlegal@gmail.com</w:t>
              </w:r>
            </w:hyperlink>
          </w:p>
          <w:p w:rsidR="005F551C" w:rsidP="00E13D26" w14:paraId="422C15B3" w14:textId="77777777">
            <w:pPr>
              <w:pStyle w:val="BodyText"/>
            </w:pPr>
            <w:hyperlink r:id="rId18" w:history="1">
              <w:r w:rsidR="003C3AA0">
                <w:rPr>
                  <w:rStyle w:val="Hyperlink"/>
                </w:rPr>
                <w:t>kevin.oles@thompsonhine.com</w:t>
              </w:r>
            </w:hyperlink>
          </w:p>
          <w:p w:rsidR="005F551C" w:rsidP="00E13D26" w14:paraId="30494075" w14:textId="77777777">
            <w:pPr>
              <w:pStyle w:val="BodyText"/>
            </w:pPr>
            <w:hyperlink r:id="rId19" w:history="1">
              <w:r w:rsidR="003C3AA0">
                <w:rPr>
                  <w:rStyle w:val="Hyperlink"/>
                </w:rPr>
                <w:t>stephanie.chmiel@thompsonhine.com</w:t>
              </w:r>
            </w:hyperlink>
          </w:p>
          <w:p w:rsidR="005F551C" w:rsidP="00E13D26" w14:paraId="053A8679" w14:textId="77777777">
            <w:pPr>
              <w:pStyle w:val="BodyText"/>
            </w:pPr>
            <w:hyperlink r:id="rId20" w:history="1">
              <w:r w:rsidR="003C3AA0">
                <w:rPr>
                  <w:rStyle w:val="Hyperlink"/>
                </w:rPr>
                <w:t>cmooney@opae.org</w:t>
              </w:r>
            </w:hyperlink>
          </w:p>
          <w:p w:rsidR="005F551C" w:rsidP="00E13D26" w14:paraId="31458BC0" w14:textId="77777777">
            <w:pPr>
              <w:pStyle w:val="BodyText"/>
            </w:pPr>
            <w:hyperlink r:id="rId21" w:history="1">
              <w:r w:rsidR="003C3AA0">
                <w:rPr>
                  <w:rStyle w:val="Hyperlink"/>
                </w:rPr>
                <w:t>whitt@whitt-sturtevant.com</w:t>
              </w:r>
            </w:hyperlink>
          </w:p>
          <w:p w:rsidR="005F551C" w:rsidP="00E13D26" w14:paraId="540F1CA4" w14:textId="77777777">
            <w:pPr>
              <w:pStyle w:val="BodyText"/>
            </w:pPr>
            <w:hyperlink r:id="rId22" w:history="1">
              <w:r w:rsidR="003C3AA0">
                <w:rPr>
                  <w:rStyle w:val="Hyperlink"/>
                </w:rPr>
                <w:t>glover@whitt-sturtevant.com</w:t>
              </w:r>
            </w:hyperlink>
          </w:p>
          <w:p w:rsidR="005F551C" w:rsidP="00E13D26" w14:paraId="11CB4B47" w14:textId="77777777">
            <w:pPr>
              <w:pStyle w:val="BodyText"/>
            </w:pPr>
            <w:hyperlink r:id="rId23" w:history="1">
              <w:r w:rsidR="003C3AA0">
                <w:rPr>
                  <w:rStyle w:val="Hyperlink"/>
                </w:rPr>
                <w:t>nvijaykar@elpc.org</w:t>
              </w:r>
            </w:hyperlink>
          </w:p>
          <w:p w:rsidR="005F551C" w:rsidP="00E13D26" w14:paraId="3F13A747" w14:textId="77777777">
            <w:pPr>
              <w:pStyle w:val="BodyText"/>
            </w:pPr>
            <w:hyperlink r:id="rId24" w:history="1">
              <w:r w:rsidR="003C3AA0">
                <w:rPr>
                  <w:rStyle w:val="Hyperlink"/>
                </w:rPr>
                <w:t>glpetrucci@vorys.com</w:t>
              </w:r>
            </w:hyperlink>
          </w:p>
          <w:p w:rsidR="005F551C" w:rsidP="00E13D26" w14:paraId="70052961" w14:textId="77777777">
            <w:pPr>
              <w:pStyle w:val="BodyText"/>
            </w:pPr>
            <w:hyperlink r:id="rId25" w:history="1">
              <w:r w:rsidR="003C3AA0">
                <w:rPr>
                  <w:rStyle w:val="Hyperlink"/>
                </w:rPr>
                <w:t>dparram@bricker.com</w:t>
              </w:r>
            </w:hyperlink>
          </w:p>
          <w:p w:rsidR="005F551C" w:rsidP="00E13D26" w14:paraId="11115F3C" w14:textId="77777777">
            <w:pPr>
              <w:pStyle w:val="BodyText"/>
            </w:pPr>
            <w:hyperlink r:id="rId15" w:history="1">
              <w:r w:rsidR="003C3AA0">
                <w:rPr>
                  <w:rStyle w:val="Hyperlink"/>
                </w:rPr>
                <w:t>dstinson@bricker.com</w:t>
              </w:r>
            </w:hyperlink>
          </w:p>
          <w:p w:rsidR="005F551C" w:rsidP="00E13D26" w14:paraId="627F30F9" w14:textId="77777777">
            <w:pPr>
              <w:pStyle w:val="BodyText"/>
            </w:pPr>
          </w:p>
          <w:p w:rsidR="005F551C" w:rsidP="00E13D26" w14:paraId="4486B8CB" w14:textId="77777777">
            <w:pPr>
              <w:pStyle w:val="BodyText"/>
            </w:pPr>
            <w:r>
              <w:t>Attorney Examiners:</w:t>
            </w:r>
          </w:p>
          <w:p w:rsidR="005F551C" w:rsidP="00E13D26" w14:paraId="7F6C12A4" w14:textId="77777777">
            <w:pPr>
              <w:pStyle w:val="BodyText"/>
            </w:pPr>
            <w:hyperlink r:id="rId26" w:history="1">
              <w:r w:rsidRPr="002E67FF" w:rsidR="003C3AA0">
                <w:rPr>
                  <w:rStyle w:val="Hyperlink"/>
                </w:rPr>
                <w:t>Patricia.schabo@puco.ohio.gov</w:t>
              </w:r>
            </w:hyperlink>
          </w:p>
          <w:p w:rsidR="005F551C" w:rsidRPr="000002F7" w:rsidP="00E13D26" w14:paraId="7014280B" w14:textId="77777777">
            <w:pPr>
              <w:adjustRightInd w:val="0"/>
              <w:ind w:left="-16"/>
              <w:rPr>
                <w:color w:val="0000FF"/>
                <w:u w:val="single"/>
              </w:rPr>
            </w:pPr>
            <w:hyperlink r:id="rId27" w:history="1">
              <w:r w:rsidRPr="000002F7" w:rsidR="003C3AA0">
                <w:rPr>
                  <w:color w:val="0000FF"/>
                  <w:u w:val="single"/>
                </w:rPr>
                <w:t>gregory.price@puco.ohio.gov</w:t>
              </w:r>
            </w:hyperlink>
          </w:p>
          <w:p w:rsidR="005F551C" w:rsidP="00E13D26" w14:paraId="5051219C" w14:textId="77777777">
            <w:pPr>
              <w:pStyle w:val="BodyText"/>
            </w:pPr>
          </w:p>
        </w:tc>
        <w:tc>
          <w:tcPr>
            <w:tcW w:w="4428" w:type="dxa"/>
          </w:tcPr>
          <w:p w:rsidR="005F551C" w:rsidP="00E13D26" w14:paraId="53834200" w14:textId="77777777">
            <w:pPr>
              <w:pStyle w:val="BodyText"/>
            </w:pPr>
          </w:p>
          <w:p w:rsidR="005F551C" w:rsidP="00E13D26" w14:paraId="6D87DC27" w14:textId="77777777">
            <w:pPr>
              <w:pStyle w:val="BodyText"/>
            </w:pPr>
          </w:p>
          <w:p w:rsidR="005F551C" w:rsidP="00E13D26" w14:paraId="1015C26D" w14:textId="77777777">
            <w:pPr>
              <w:pStyle w:val="BodyText"/>
            </w:pPr>
            <w:hyperlink r:id="rId28" w:history="1">
              <w:r w:rsidR="003C3AA0">
                <w:rPr>
                  <w:rStyle w:val="Hyperlink"/>
                </w:rPr>
                <w:t>ccox@elpc.org</w:t>
              </w:r>
            </w:hyperlink>
          </w:p>
          <w:p w:rsidR="005F551C" w:rsidP="00E13D26" w14:paraId="2DD0859F" w14:textId="77777777">
            <w:pPr>
              <w:pStyle w:val="BodyText"/>
              <w:rPr>
                <w:rStyle w:val="Hyperlink"/>
              </w:rPr>
            </w:pPr>
            <w:r>
              <w:rPr>
                <w:rStyle w:val="Hyperlink"/>
              </w:rPr>
              <w:t>Michael.schuler@aes.com</w:t>
            </w:r>
          </w:p>
          <w:p w:rsidR="005F551C" w:rsidP="00E13D26" w14:paraId="33A2FD2E" w14:textId="77777777">
            <w:pPr>
              <w:pStyle w:val="BodyText"/>
              <w:rPr>
                <w:rStyle w:val="Hyperlink"/>
              </w:rPr>
            </w:pPr>
            <w:r>
              <w:rPr>
                <w:rStyle w:val="Hyperlink"/>
              </w:rPr>
              <w:t>jsharkey@ficlaw.com</w:t>
            </w:r>
          </w:p>
          <w:p w:rsidR="005F551C" w:rsidP="00E13D26" w14:paraId="0ED78E14" w14:textId="77777777">
            <w:pPr>
              <w:pStyle w:val="BodyText"/>
              <w:rPr>
                <w:rStyle w:val="Hyperlink"/>
              </w:rPr>
            </w:pPr>
            <w:r>
              <w:rPr>
                <w:rStyle w:val="Hyperlink"/>
              </w:rPr>
              <w:t>djireland@ficlaw.com</w:t>
            </w:r>
          </w:p>
          <w:p w:rsidR="005F551C" w:rsidP="00E13D26" w14:paraId="7E7249DD" w14:textId="77777777">
            <w:pPr>
              <w:pStyle w:val="BodyText"/>
              <w:rPr>
                <w:rStyle w:val="Hyperlink"/>
              </w:rPr>
            </w:pPr>
            <w:r>
              <w:rPr>
                <w:rStyle w:val="Hyperlink"/>
              </w:rPr>
              <w:t>chollon@ficlaw.com</w:t>
            </w:r>
          </w:p>
          <w:p w:rsidR="005F551C" w:rsidP="00E13D26" w14:paraId="018890C2" w14:textId="77777777">
            <w:pPr>
              <w:pStyle w:val="BodyText"/>
              <w:rPr>
                <w:rStyle w:val="Hyperlink"/>
              </w:rPr>
            </w:pPr>
            <w:r>
              <w:rPr>
                <w:rStyle w:val="Hyperlink"/>
              </w:rPr>
              <w:t>fdarr@mwncmh.com</w:t>
            </w:r>
          </w:p>
          <w:p w:rsidR="005F551C" w:rsidP="00E13D26" w14:paraId="6F26247C" w14:textId="77777777">
            <w:pPr>
              <w:pStyle w:val="BodyText"/>
              <w:rPr>
                <w:rStyle w:val="Hyperlink"/>
              </w:rPr>
            </w:pPr>
            <w:r>
              <w:rPr>
                <w:rStyle w:val="Hyperlink"/>
              </w:rPr>
              <w:t>mpritchard@mwncmh.com</w:t>
            </w:r>
          </w:p>
          <w:p w:rsidR="005F551C" w:rsidP="00E13D26" w14:paraId="2552AA3A" w14:textId="77777777">
            <w:pPr>
              <w:pStyle w:val="BodyText"/>
              <w:rPr>
                <w:rStyle w:val="Hyperlink"/>
              </w:rPr>
            </w:pPr>
            <w:hyperlink r:id="rId29" w:history="1">
              <w:r w:rsidR="003C3AA0">
                <w:rPr>
                  <w:rStyle w:val="Hyperlink"/>
                </w:rPr>
                <w:t>mfleisher@dickinsonwright.com</w:t>
              </w:r>
            </w:hyperlink>
          </w:p>
          <w:p w:rsidR="005F551C" w:rsidP="00E13D26" w14:paraId="6F5937C7" w14:textId="77777777">
            <w:pPr>
              <w:pStyle w:val="BodyText"/>
              <w:rPr>
                <w:rStyle w:val="Hyperlink"/>
              </w:rPr>
            </w:pPr>
            <w:r>
              <w:rPr>
                <w:rStyle w:val="Hyperlink"/>
              </w:rPr>
              <w:t>cpirik@dickinsonwright.com</w:t>
            </w:r>
          </w:p>
          <w:p w:rsidR="005F551C" w:rsidP="00E13D26" w14:paraId="4CBDBCC9" w14:textId="77777777">
            <w:pPr>
              <w:pStyle w:val="BodyText"/>
              <w:rPr>
                <w:rStyle w:val="Hyperlink"/>
              </w:rPr>
            </w:pPr>
            <w:r>
              <w:rPr>
                <w:rStyle w:val="Hyperlink"/>
              </w:rPr>
              <w:t>mkurtz@bkllawfirm.com</w:t>
            </w:r>
          </w:p>
          <w:p w:rsidR="005F551C" w:rsidP="00E13D26" w14:paraId="26004FA6" w14:textId="77777777">
            <w:pPr>
              <w:pStyle w:val="BodyText"/>
              <w:rPr>
                <w:rStyle w:val="Hyperlink"/>
              </w:rPr>
            </w:pPr>
            <w:r>
              <w:rPr>
                <w:rStyle w:val="Hyperlink"/>
              </w:rPr>
              <w:t>kboehm@bklawfirm.com</w:t>
            </w:r>
          </w:p>
          <w:p w:rsidR="005F551C" w:rsidP="00E13D26" w14:paraId="74FC6AF8" w14:textId="77777777">
            <w:pPr>
              <w:pStyle w:val="BodyText"/>
              <w:rPr>
                <w:rStyle w:val="Hyperlink"/>
              </w:rPr>
            </w:pPr>
            <w:r>
              <w:rPr>
                <w:rStyle w:val="Hyperlink"/>
              </w:rPr>
              <w:t>jkylercohn@bkllawfirm.com</w:t>
            </w:r>
          </w:p>
          <w:p w:rsidR="005F551C" w:rsidP="00E13D26" w14:paraId="12A099DE" w14:textId="77777777">
            <w:pPr>
              <w:pStyle w:val="BodyText"/>
              <w:rPr>
                <w:rStyle w:val="Hyperlink"/>
              </w:rPr>
            </w:pPr>
            <w:r>
              <w:rPr>
                <w:rStyle w:val="Hyperlink"/>
              </w:rPr>
              <w:t>Bojko@carpenterlipps.com</w:t>
            </w:r>
          </w:p>
          <w:p w:rsidR="005F551C" w:rsidP="00E13D26" w14:paraId="363B912C" w14:textId="77777777">
            <w:pPr>
              <w:pStyle w:val="BodyText"/>
              <w:rPr>
                <w:rStyle w:val="Hyperlink"/>
              </w:rPr>
            </w:pPr>
            <w:r>
              <w:rPr>
                <w:rStyle w:val="Hyperlink"/>
              </w:rPr>
              <w:t>Dressel@carpenterlipps.com</w:t>
            </w:r>
          </w:p>
          <w:p w:rsidR="005F551C" w:rsidP="00E13D26" w14:paraId="263D0F51" w14:textId="77777777">
            <w:pPr>
              <w:pStyle w:val="BodyText"/>
              <w:rPr>
                <w:rStyle w:val="Hyperlink"/>
              </w:rPr>
            </w:pPr>
            <w:r>
              <w:rPr>
                <w:rStyle w:val="Hyperlink"/>
              </w:rPr>
              <w:t>Paul@carpenterlipps.com</w:t>
            </w:r>
          </w:p>
          <w:p w:rsidR="005F551C" w:rsidP="00E13D26" w14:paraId="0F815119" w14:textId="77777777">
            <w:pPr>
              <w:pStyle w:val="BodyText"/>
              <w:rPr>
                <w:rStyle w:val="Hyperlink"/>
              </w:rPr>
            </w:pPr>
            <w:r>
              <w:rPr>
                <w:rStyle w:val="Hyperlink"/>
              </w:rPr>
              <w:t>Dutton@carpenterlipps.com</w:t>
            </w:r>
          </w:p>
          <w:p w:rsidR="005F551C" w:rsidP="00E13D26" w14:paraId="6F10E82C" w14:textId="77777777">
            <w:pPr>
              <w:pStyle w:val="BodyText"/>
              <w:rPr>
                <w:rStyle w:val="Hyperlink"/>
              </w:rPr>
            </w:pPr>
            <w:r>
              <w:rPr>
                <w:rStyle w:val="Hyperlink"/>
              </w:rPr>
              <w:t>slesser@beneschlaw.com</w:t>
            </w:r>
          </w:p>
          <w:p w:rsidR="005F551C" w:rsidP="00E13D26" w14:paraId="76A7D3BF" w14:textId="77777777">
            <w:pPr>
              <w:pStyle w:val="BodyText"/>
              <w:rPr>
                <w:rStyle w:val="Hyperlink"/>
              </w:rPr>
            </w:pPr>
            <w:r>
              <w:rPr>
                <w:rStyle w:val="Hyperlink"/>
              </w:rPr>
              <w:t>talexander@beneschlaw.com</w:t>
            </w:r>
          </w:p>
          <w:p w:rsidR="005F551C" w:rsidP="00E13D26" w14:paraId="1F7338A8" w14:textId="77777777">
            <w:pPr>
              <w:pStyle w:val="BodyText"/>
              <w:rPr>
                <w:rStyle w:val="Hyperlink"/>
              </w:rPr>
            </w:pPr>
            <w:r>
              <w:rPr>
                <w:rStyle w:val="Hyperlink"/>
              </w:rPr>
              <w:t>mkeaney@beneschlaw.com</w:t>
            </w:r>
          </w:p>
          <w:p w:rsidR="005F551C" w:rsidP="00E13D26" w14:paraId="225138A9" w14:textId="77777777">
            <w:pPr>
              <w:pStyle w:val="BodyText"/>
            </w:pPr>
          </w:p>
        </w:tc>
      </w:tr>
      <w:tr w14:paraId="60E16D91" w14:textId="77777777" w:rsidTr="00E13D26">
        <w:tblPrEx>
          <w:tblW w:w="0" w:type="auto"/>
          <w:tblLook w:val="04A0"/>
        </w:tblPrEx>
        <w:tc>
          <w:tcPr>
            <w:tcW w:w="4428" w:type="dxa"/>
          </w:tcPr>
          <w:p w:rsidR="005F551C" w:rsidP="00E13D26" w14:paraId="4422ED81" w14:textId="77777777">
            <w:pPr>
              <w:pStyle w:val="BodyText"/>
            </w:pPr>
          </w:p>
          <w:p w:rsidR="005F551C" w:rsidP="00E13D26" w14:paraId="5A7E7A20" w14:textId="77777777">
            <w:pPr>
              <w:pStyle w:val="BodyText"/>
            </w:pPr>
          </w:p>
          <w:p w:rsidR="005F551C" w:rsidP="00E13D26" w14:paraId="06E8EDEB" w14:textId="380231FD">
            <w:pPr>
              <w:pStyle w:val="BodyText"/>
            </w:pPr>
          </w:p>
          <w:p w:rsidR="005F551C" w:rsidP="00E13D26" w14:paraId="47447B65" w14:textId="77777777">
            <w:pPr>
              <w:pStyle w:val="BodyText"/>
            </w:pPr>
          </w:p>
          <w:p w:rsidR="005F551C" w:rsidP="00E13D26" w14:paraId="4E0CFA70" w14:textId="77777777">
            <w:pPr>
              <w:pStyle w:val="BodyText"/>
            </w:pPr>
          </w:p>
          <w:p w:rsidR="005F551C" w:rsidP="00E13D26" w14:paraId="4DDCB8BA" w14:textId="30FBFC5B">
            <w:pPr>
              <w:pStyle w:val="BodyText"/>
            </w:pPr>
          </w:p>
        </w:tc>
        <w:tc>
          <w:tcPr>
            <w:tcW w:w="4428" w:type="dxa"/>
          </w:tcPr>
          <w:p w:rsidR="005F551C" w:rsidP="00E13D26" w14:paraId="27A7868C" w14:textId="77777777">
            <w:pPr>
              <w:pStyle w:val="BodyText"/>
            </w:pPr>
          </w:p>
        </w:tc>
      </w:tr>
      <w:tr w14:paraId="3120CE28" w14:textId="77777777" w:rsidTr="005F551C">
        <w:tblPrEx>
          <w:tblW w:w="0" w:type="auto"/>
          <w:tblLook w:val="04A0"/>
        </w:tblPrEx>
        <w:tc>
          <w:tcPr>
            <w:tcW w:w="4428" w:type="dxa"/>
          </w:tcPr>
          <w:p w:rsidR="005F551C" w:rsidP="005F551C" w14:paraId="614BC62A" w14:textId="77777777">
            <w:pPr>
              <w:pStyle w:val="BodyText"/>
            </w:pPr>
            <w:r>
              <w:t>Case No. 19-1121-EL-UNC</w:t>
            </w:r>
          </w:p>
          <w:p w:rsidR="005F551C" w:rsidP="005F551C" w14:paraId="32FE26BB" w14:textId="77777777">
            <w:pPr>
              <w:pStyle w:val="BodyText"/>
            </w:pPr>
          </w:p>
          <w:p w:rsidR="005F551C" w:rsidRPr="005F551C" w:rsidP="005F551C" w14:paraId="5B2095DF" w14:textId="53BA00BA">
            <w:pPr>
              <w:pStyle w:val="BodyText"/>
            </w:pPr>
            <w:hyperlink r:id="rId10" w:history="1">
              <w:r w:rsidRPr="00000119" w:rsidR="003C3AA0">
                <w:rPr>
                  <w:rStyle w:val="Hyperlink"/>
                </w:rPr>
                <w:t>steven.beeler@ohioAGO.gov</w:t>
              </w:r>
            </w:hyperlink>
          </w:p>
          <w:p w:rsidR="005F551C" w:rsidP="005F551C" w14:paraId="0C225FDC" w14:textId="77777777">
            <w:pPr>
              <w:pStyle w:val="BodyText"/>
            </w:pPr>
            <w:hyperlink r:id="rId30" w:history="1">
              <w:r w:rsidRPr="005F551C" w:rsidR="003C3AA0">
                <w:rPr>
                  <w:rStyle w:val="Hyperlink"/>
                </w:rPr>
                <w:t>Michael.schuler@aes.com</w:t>
              </w:r>
            </w:hyperlink>
          </w:p>
          <w:p w:rsidR="005F551C" w:rsidP="005F551C" w14:paraId="1DC43837" w14:textId="77777777">
            <w:pPr>
              <w:pStyle w:val="BodyText"/>
            </w:pPr>
            <w:hyperlink r:id="rId31" w:history="1">
              <w:r w:rsidRPr="005F551C" w:rsidR="003C3AA0">
                <w:rPr>
                  <w:rStyle w:val="Hyperlink"/>
                </w:rPr>
                <w:t>mkurtz@bkllawfirm.com</w:t>
              </w:r>
            </w:hyperlink>
          </w:p>
          <w:p w:rsidR="005F551C" w:rsidP="005F551C" w14:paraId="0BAD5FCA" w14:textId="77777777">
            <w:pPr>
              <w:pStyle w:val="BodyText"/>
            </w:pPr>
            <w:hyperlink r:id="rId32" w:history="1">
              <w:r w:rsidRPr="005F551C" w:rsidR="003C3AA0">
                <w:rPr>
                  <w:rStyle w:val="Hyperlink"/>
                </w:rPr>
                <w:t>kboehm@bkllawfirm.com</w:t>
              </w:r>
            </w:hyperlink>
          </w:p>
          <w:p w:rsidR="005F551C" w:rsidP="005F551C" w14:paraId="154078A4" w14:textId="77777777">
            <w:pPr>
              <w:pStyle w:val="BodyText"/>
            </w:pPr>
            <w:hyperlink r:id="rId33" w:history="1">
              <w:r w:rsidRPr="005F551C" w:rsidR="003C3AA0">
                <w:rPr>
                  <w:rStyle w:val="Hyperlink"/>
                </w:rPr>
                <w:t>talexander@beneschlaw.com</w:t>
              </w:r>
            </w:hyperlink>
          </w:p>
          <w:p w:rsidR="005F551C" w:rsidP="005F551C" w14:paraId="6560DE27" w14:textId="77777777">
            <w:pPr>
              <w:pStyle w:val="BodyText"/>
            </w:pPr>
          </w:p>
          <w:p w:rsidR="005F551C" w:rsidP="00E13D26" w14:paraId="50376F4F" w14:textId="77777777">
            <w:pPr>
              <w:pStyle w:val="BodyText"/>
            </w:pPr>
            <w:r>
              <w:t>Attorney Examiners:</w:t>
            </w:r>
          </w:p>
          <w:p w:rsidR="005F551C" w:rsidP="00E13D26" w14:paraId="79B60E2D" w14:textId="77777777">
            <w:pPr>
              <w:pStyle w:val="BodyText"/>
            </w:pPr>
            <w:hyperlink r:id="rId26" w:history="1">
              <w:r w:rsidRPr="005F551C" w:rsidR="003C3AA0">
                <w:rPr>
                  <w:rStyle w:val="Hyperlink"/>
                </w:rPr>
                <w:t>Patricia.schabo@puco.ohio.gov</w:t>
              </w:r>
            </w:hyperlink>
          </w:p>
          <w:p w:rsidR="005F551C" w:rsidRPr="005F551C" w:rsidP="005F551C" w14:paraId="584AC470" w14:textId="77777777">
            <w:pPr>
              <w:pStyle w:val="BodyText"/>
            </w:pPr>
            <w:hyperlink r:id="rId27" w:history="1">
              <w:r w:rsidRPr="005F551C" w:rsidR="003C3AA0">
                <w:rPr>
                  <w:rStyle w:val="Hyperlink"/>
                </w:rPr>
                <w:t>gregory.price@puco.ohio.gov</w:t>
              </w:r>
            </w:hyperlink>
          </w:p>
          <w:p w:rsidR="005F551C" w:rsidP="005F551C" w14:paraId="475EF2B3" w14:textId="77777777">
            <w:pPr>
              <w:pStyle w:val="BodyText"/>
            </w:pPr>
          </w:p>
          <w:p w:rsidR="005F551C" w:rsidRPr="005F551C" w:rsidP="005F551C" w14:paraId="20919A17" w14:textId="77777777">
            <w:pPr>
              <w:pStyle w:val="BodyText"/>
            </w:pPr>
          </w:p>
        </w:tc>
        <w:tc>
          <w:tcPr>
            <w:tcW w:w="4428" w:type="dxa"/>
          </w:tcPr>
          <w:p w:rsidR="005F551C" w:rsidRPr="005F551C" w:rsidP="005F551C" w14:paraId="0CD12EC3" w14:textId="77777777">
            <w:pPr>
              <w:pStyle w:val="BodyText"/>
            </w:pPr>
          </w:p>
          <w:p w:rsidR="005F551C" w:rsidRPr="005F551C" w:rsidP="005F551C" w14:paraId="4FFBB07A" w14:textId="77777777">
            <w:pPr>
              <w:pStyle w:val="BodyText"/>
            </w:pPr>
          </w:p>
          <w:p w:rsidR="005F551C" w:rsidRPr="005F551C" w:rsidP="005F551C" w14:paraId="05AE16A9" w14:textId="77777777">
            <w:pPr>
              <w:pStyle w:val="BodyText"/>
              <w:rPr>
                <w:color w:val="0000FF"/>
                <w:u w:val="single"/>
              </w:rPr>
            </w:pPr>
            <w:r w:rsidRPr="005F551C">
              <w:rPr>
                <w:color w:val="0000FF"/>
                <w:u w:val="single"/>
              </w:rPr>
              <w:t>jkylercohn@bkllawfirm.com</w:t>
            </w:r>
          </w:p>
          <w:p w:rsidR="005F551C" w:rsidRPr="005F551C" w:rsidP="005F551C" w14:paraId="02A7F8D0" w14:textId="77777777">
            <w:pPr>
              <w:pStyle w:val="BodyText"/>
            </w:pPr>
            <w:hyperlink r:id="rId34" w:history="1">
              <w:r w:rsidRPr="005F551C" w:rsidR="003C3AA0">
                <w:rPr>
                  <w:rStyle w:val="Hyperlink"/>
                </w:rPr>
                <w:t>bojko@carpenterlipps.com</w:t>
              </w:r>
            </w:hyperlink>
          </w:p>
          <w:p w:rsidR="005F551C" w:rsidRPr="005F551C" w:rsidP="005F551C" w14:paraId="0100E582" w14:textId="77777777">
            <w:pPr>
              <w:pStyle w:val="BodyText"/>
            </w:pPr>
            <w:hyperlink r:id="rId35" w:history="1">
              <w:r w:rsidRPr="005F551C" w:rsidR="003C3AA0">
                <w:rPr>
                  <w:rStyle w:val="Hyperlink"/>
                </w:rPr>
                <w:t>paul@carpenterlipps.com</w:t>
              </w:r>
            </w:hyperlink>
          </w:p>
          <w:p w:rsidR="005F551C" w:rsidRPr="005F551C" w:rsidP="005F551C" w14:paraId="1A716A92" w14:textId="77777777">
            <w:pPr>
              <w:pStyle w:val="BodyText"/>
            </w:pPr>
            <w:hyperlink r:id="rId36" w:history="1">
              <w:r w:rsidRPr="005F551C" w:rsidR="003C3AA0">
                <w:rPr>
                  <w:rStyle w:val="Hyperlink"/>
                </w:rPr>
                <w:t>mpritchard@mcneeslaw.com</w:t>
              </w:r>
            </w:hyperlink>
          </w:p>
          <w:p w:rsidR="005F551C" w:rsidRPr="005F551C" w:rsidP="005F551C" w14:paraId="0C123250" w14:textId="77777777">
            <w:pPr>
              <w:pStyle w:val="BodyText"/>
            </w:pPr>
            <w:hyperlink r:id="rId37" w:history="1">
              <w:r w:rsidRPr="005F551C" w:rsidR="003C3AA0">
                <w:rPr>
                  <w:rStyle w:val="Hyperlink"/>
                </w:rPr>
                <w:t>rglover@mcneeslaw.com</w:t>
              </w:r>
            </w:hyperlink>
          </w:p>
        </w:tc>
      </w:tr>
      <w:tr w14:paraId="2488FCCB" w14:textId="77777777" w:rsidTr="005F551C">
        <w:tblPrEx>
          <w:tblW w:w="0" w:type="auto"/>
          <w:tblLook w:val="04A0"/>
        </w:tblPrEx>
        <w:tc>
          <w:tcPr>
            <w:tcW w:w="4428" w:type="dxa"/>
          </w:tcPr>
          <w:p w:rsidR="005F551C" w:rsidP="005F551C" w14:paraId="5291AF2D" w14:textId="77777777">
            <w:pPr>
              <w:pStyle w:val="BodyText"/>
            </w:pPr>
            <w:r>
              <w:t>Case No. 20-1041-EL-UNC</w:t>
            </w:r>
          </w:p>
          <w:p w:rsidR="005F551C" w:rsidRPr="005F551C" w:rsidP="005F551C" w14:paraId="39FA2AD0" w14:textId="77777777">
            <w:pPr>
              <w:pStyle w:val="BodyText"/>
            </w:pPr>
          </w:p>
          <w:p w:rsidR="005F551C" w:rsidRPr="005F551C" w:rsidP="005F551C" w14:paraId="4D4942C1" w14:textId="1A43A90B">
            <w:pPr>
              <w:pStyle w:val="BodyText"/>
            </w:pPr>
            <w:hyperlink r:id="rId10" w:history="1">
              <w:r w:rsidRPr="00000119" w:rsidR="003C3AA0">
                <w:rPr>
                  <w:rStyle w:val="Hyperlink"/>
                </w:rPr>
                <w:t>steven.beeler@ohioAGO.gov</w:t>
              </w:r>
            </w:hyperlink>
          </w:p>
          <w:p w:rsidR="005F551C" w:rsidRPr="005F551C" w:rsidP="005F551C" w14:paraId="0E92D41D" w14:textId="77777777">
            <w:pPr>
              <w:pStyle w:val="BodyText"/>
              <w:rPr>
                <w:color w:val="0000FF"/>
                <w:u w:val="single"/>
              </w:rPr>
            </w:pPr>
            <w:r w:rsidRPr="005F551C">
              <w:rPr>
                <w:color w:val="0000FF"/>
                <w:u w:val="single"/>
              </w:rPr>
              <w:t>Michael.schuler@aes.com</w:t>
            </w:r>
          </w:p>
          <w:p w:rsidR="005F551C" w:rsidP="005F551C" w14:paraId="31E00286" w14:textId="77777777">
            <w:pPr>
              <w:pStyle w:val="BodyText"/>
            </w:pPr>
            <w:hyperlink r:id="rId34" w:history="1">
              <w:r w:rsidRPr="005F551C" w:rsidR="003C3AA0">
                <w:rPr>
                  <w:rStyle w:val="Hyperlink"/>
                </w:rPr>
                <w:t>Bojko@carpenterlipps.com</w:t>
              </w:r>
            </w:hyperlink>
          </w:p>
          <w:p w:rsidR="005F551C" w:rsidP="005F551C" w14:paraId="79CDAC0A" w14:textId="77777777">
            <w:pPr>
              <w:pStyle w:val="BodyText"/>
            </w:pPr>
            <w:hyperlink r:id="rId35" w:history="1">
              <w:r w:rsidRPr="005F551C" w:rsidR="003C3AA0">
                <w:rPr>
                  <w:rStyle w:val="Hyperlink"/>
                </w:rPr>
                <w:t>Paul@carpenterlipps.com</w:t>
              </w:r>
            </w:hyperlink>
          </w:p>
          <w:p w:rsidR="005F551C" w:rsidRPr="005F551C" w:rsidP="005F551C" w14:paraId="624DE1E8" w14:textId="77777777">
            <w:pPr>
              <w:pStyle w:val="BodyText"/>
            </w:pPr>
          </w:p>
          <w:p w:rsidR="005F551C" w:rsidP="00E13D26" w14:paraId="60E07F3C" w14:textId="77777777">
            <w:pPr>
              <w:pStyle w:val="BodyText"/>
            </w:pPr>
            <w:r>
              <w:t>Attorney Examiners:</w:t>
            </w:r>
          </w:p>
          <w:p w:rsidR="005F551C" w:rsidP="00E13D26" w14:paraId="1F7E079A" w14:textId="77777777">
            <w:pPr>
              <w:pStyle w:val="BodyText"/>
            </w:pPr>
            <w:hyperlink r:id="rId26" w:history="1">
              <w:r w:rsidRPr="005F551C" w:rsidR="003C3AA0">
                <w:rPr>
                  <w:rStyle w:val="Hyperlink"/>
                </w:rPr>
                <w:t>Patricia.schabo@puco.ohio.gov</w:t>
              </w:r>
            </w:hyperlink>
          </w:p>
          <w:p w:rsidR="005F551C" w:rsidRPr="005F551C" w:rsidP="005F551C" w14:paraId="40F65A83" w14:textId="77777777">
            <w:pPr>
              <w:pStyle w:val="BodyText"/>
              <w:rPr>
                <w:color w:val="0000FF"/>
                <w:u w:val="single"/>
              </w:rPr>
            </w:pPr>
            <w:r w:rsidRPr="005F551C">
              <w:rPr>
                <w:color w:val="0000FF"/>
                <w:u w:val="single"/>
              </w:rPr>
              <w:t>Michael.williams@puco.ohio.gov</w:t>
            </w:r>
          </w:p>
          <w:p w:rsidR="005F551C" w:rsidRPr="005F551C" w:rsidP="005F551C" w14:paraId="45FB3CF0" w14:textId="77777777">
            <w:pPr>
              <w:pStyle w:val="BodyText"/>
            </w:pPr>
          </w:p>
        </w:tc>
        <w:tc>
          <w:tcPr>
            <w:tcW w:w="4428" w:type="dxa"/>
          </w:tcPr>
          <w:p w:rsidR="005F551C" w:rsidRPr="005F551C" w:rsidP="005F551C" w14:paraId="525DABDD" w14:textId="77777777">
            <w:pPr>
              <w:pStyle w:val="BodyText"/>
            </w:pPr>
          </w:p>
          <w:p w:rsidR="005F551C" w:rsidRPr="005F551C" w:rsidP="005F551C" w14:paraId="6E970D9B" w14:textId="77777777">
            <w:pPr>
              <w:pStyle w:val="BodyText"/>
            </w:pPr>
          </w:p>
          <w:p w:rsidR="005F551C" w:rsidRPr="005F551C" w:rsidP="005F551C" w14:paraId="33F1E8B9" w14:textId="77777777">
            <w:pPr>
              <w:pStyle w:val="BodyText"/>
            </w:pPr>
            <w:hyperlink r:id="rId36" w:history="1">
              <w:r w:rsidRPr="005F551C" w:rsidR="003C3AA0">
                <w:rPr>
                  <w:rStyle w:val="Hyperlink"/>
                </w:rPr>
                <w:t>mpritchard@mcneeslaw.com</w:t>
              </w:r>
            </w:hyperlink>
          </w:p>
          <w:p w:rsidR="005F551C" w:rsidRPr="005F551C" w:rsidP="005F551C" w14:paraId="6279CCF5" w14:textId="77777777">
            <w:pPr>
              <w:pStyle w:val="BodyText"/>
            </w:pPr>
            <w:hyperlink r:id="rId37" w:history="1">
              <w:r w:rsidRPr="005F551C" w:rsidR="003C3AA0">
                <w:rPr>
                  <w:rStyle w:val="Hyperlink"/>
                </w:rPr>
                <w:t>rglover@mcneeslaw.com</w:t>
              </w:r>
            </w:hyperlink>
          </w:p>
          <w:p w:rsidR="005F551C" w:rsidP="005F551C" w14:paraId="75B8C557" w14:textId="77777777">
            <w:pPr>
              <w:pStyle w:val="BodyText"/>
            </w:pPr>
            <w:hyperlink r:id="rId33" w:history="1">
              <w:r w:rsidRPr="005F551C" w:rsidR="003C3AA0">
                <w:rPr>
                  <w:rStyle w:val="Hyperlink"/>
                </w:rPr>
                <w:t>talexander@beneschlaw.com</w:t>
              </w:r>
            </w:hyperlink>
          </w:p>
          <w:p w:rsidR="005F551C" w:rsidRPr="005F551C" w:rsidP="005F551C" w14:paraId="4C77A1DA" w14:textId="77777777">
            <w:pPr>
              <w:pStyle w:val="BodyText"/>
            </w:pPr>
          </w:p>
        </w:tc>
      </w:tr>
      <w:tr w14:paraId="75235730" w14:textId="77777777" w:rsidTr="005F551C">
        <w:tblPrEx>
          <w:tblW w:w="0" w:type="auto"/>
          <w:tblLook w:val="04A0"/>
        </w:tblPrEx>
        <w:tc>
          <w:tcPr>
            <w:tcW w:w="4428" w:type="dxa"/>
          </w:tcPr>
          <w:p w:rsidR="005F551C" w:rsidP="005F551C" w14:paraId="7ACAFCF1" w14:textId="77777777">
            <w:pPr>
              <w:pStyle w:val="BodyText"/>
            </w:pPr>
            <w:r>
              <w:t>Case No. 20-680-EL-UNC</w:t>
            </w:r>
          </w:p>
          <w:p w:rsidR="005F551C" w:rsidRPr="005F551C" w:rsidP="005F551C" w14:paraId="5856A615" w14:textId="77777777">
            <w:pPr>
              <w:pStyle w:val="BodyText"/>
            </w:pPr>
          </w:p>
          <w:p w:rsidR="005F551C" w:rsidP="005F551C" w14:paraId="223D8D8B" w14:textId="3C4A471D">
            <w:pPr>
              <w:pStyle w:val="BodyText"/>
            </w:pPr>
            <w:hyperlink r:id="rId38" w:history="1">
              <w:r w:rsidRPr="00000119" w:rsidR="003C3AA0">
                <w:rPr>
                  <w:rStyle w:val="Hyperlink"/>
                </w:rPr>
                <w:t>thomas.lindgren@ohioAGO.gov</w:t>
              </w:r>
            </w:hyperlink>
          </w:p>
          <w:p w:rsidR="005F551C" w:rsidRPr="005F551C" w:rsidP="005F551C" w14:paraId="7DBDCD81" w14:textId="77777777">
            <w:pPr>
              <w:pStyle w:val="BodyText"/>
            </w:pPr>
            <w:hyperlink r:id="rId25" w:history="1">
              <w:r w:rsidRPr="005F551C" w:rsidR="003C3AA0">
                <w:rPr>
                  <w:rStyle w:val="Hyperlink"/>
                </w:rPr>
                <w:t>dparram@bricker.com</w:t>
              </w:r>
            </w:hyperlink>
          </w:p>
          <w:p w:rsidR="005F551C" w:rsidRPr="005F551C" w:rsidP="005F551C" w14:paraId="7581CE36" w14:textId="77777777">
            <w:pPr>
              <w:pStyle w:val="BodyText"/>
            </w:pPr>
            <w:hyperlink r:id="rId15" w:history="1">
              <w:r w:rsidRPr="005F551C" w:rsidR="003C3AA0">
                <w:rPr>
                  <w:rStyle w:val="Hyperlink"/>
                </w:rPr>
                <w:t>dstinson@bricker.com</w:t>
              </w:r>
            </w:hyperlink>
          </w:p>
          <w:p w:rsidR="005F551C" w:rsidRPr="005F551C" w:rsidP="005F551C" w14:paraId="0FD0F3AB" w14:textId="77777777">
            <w:pPr>
              <w:pStyle w:val="BodyText"/>
            </w:pPr>
            <w:hyperlink r:id="rId34" w:history="1">
              <w:r w:rsidRPr="005F551C" w:rsidR="003C3AA0">
                <w:rPr>
                  <w:rStyle w:val="Hyperlink"/>
                </w:rPr>
                <w:t>bojko@carpenterlipps.com</w:t>
              </w:r>
            </w:hyperlink>
          </w:p>
          <w:p w:rsidR="005F551C" w:rsidRPr="005F551C" w:rsidP="005F551C" w14:paraId="5E2098F2" w14:textId="77777777">
            <w:pPr>
              <w:pStyle w:val="BodyText"/>
            </w:pPr>
            <w:hyperlink r:id="rId12" w:history="1">
              <w:r w:rsidRPr="005F551C" w:rsidR="003C3AA0">
                <w:rPr>
                  <w:rStyle w:val="Hyperlink"/>
                </w:rPr>
                <w:t>Bethany.allen@igs.com</w:t>
              </w:r>
            </w:hyperlink>
          </w:p>
          <w:p w:rsidR="005F551C" w:rsidRPr="005F551C" w:rsidP="005F551C" w14:paraId="2398741A" w14:textId="77777777">
            <w:pPr>
              <w:pStyle w:val="BodyText"/>
            </w:pPr>
            <w:hyperlink r:id="rId13" w:history="1">
              <w:r w:rsidRPr="005F551C" w:rsidR="003C3AA0">
                <w:rPr>
                  <w:rStyle w:val="Hyperlink"/>
                </w:rPr>
                <w:t>Joe.oliker@igs.com</w:t>
              </w:r>
            </w:hyperlink>
          </w:p>
          <w:p w:rsidR="005F551C" w:rsidRPr="005F551C" w:rsidP="005F551C" w14:paraId="2AAACA69" w14:textId="77777777">
            <w:pPr>
              <w:pStyle w:val="BodyText"/>
            </w:pPr>
            <w:hyperlink r:id="rId14" w:history="1">
              <w:r w:rsidRPr="005F551C" w:rsidR="003C3AA0">
                <w:rPr>
                  <w:rStyle w:val="Hyperlink"/>
                </w:rPr>
                <w:t>Michael.nugent@igs.com</w:t>
              </w:r>
            </w:hyperlink>
          </w:p>
          <w:p w:rsidR="005F551C" w:rsidRPr="005F551C" w:rsidP="005F551C" w14:paraId="7523E420" w14:textId="77777777">
            <w:pPr>
              <w:pStyle w:val="BodyText"/>
            </w:pPr>
            <w:hyperlink r:id="rId39" w:history="1">
              <w:r w:rsidRPr="005F551C" w:rsidR="003C3AA0">
                <w:rPr>
                  <w:rStyle w:val="Hyperlink"/>
                </w:rPr>
                <w:t>Fdarr2019@gmail.com</w:t>
              </w:r>
            </w:hyperlink>
          </w:p>
          <w:p w:rsidR="005F551C" w:rsidRPr="005F551C" w:rsidP="005F551C" w14:paraId="7CF3927D" w14:textId="77777777">
            <w:pPr>
              <w:pStyle w:val="BodyText"/>
            </w:pPr>
            <w:hyperlink r:id="rId40" w:history="1">
              <w:r w:rsidRPr="005F551C" w:rsidR="003C3AA0">
                <w:rPr>
                  <w:rStyle w:val="Hyperlink"/>
                </w:rPr>
                <w:t>paul@carptenterlipps.com</w:t>
              </w:r>
            </w:hyperlink>
          </w:p>
          <w:p w:rsidR="005F551C" w:rsidP="005F551C" w14:paraId="2747B0C9" w14:textId="77777777">
            <w:pPr>
              <w:pStyle w:val="BodyText"/>
            </w:pPr>
            <w:hyperlink r:id="rId18" w:history="1">
              <w:r w:rsidRPr="005F551C" w:rsidR="003C3AA0">
                <w:rPr>
                  <w:rStyle w:val="Hyperlink"/>
                </w:rPr>
                <w:t>kevin.oles@thompsonhine.com</w:t>
              </w:r>
            </w:hyperlink>
          </w:p>
          <w:p w:rsidR="005F551C" w:rsidP="005F551C" w14:paraId="0455CDBD" w14:textId="43DC8F17">
            <w:pPr>
              <w:pStyle w:val="BodyText"/>
              <w:rPr>
                <w:rStyle w:val="Hyperlink"/>
                <w:color w:val="auto"/>
                <w:u w:val="none"/>
              </w:rPr>
            </w:pPr>
            <w:hyperlink r:id="rId19" w:history="1">
              <w:r w:rsidRPr="005F551C" w:rsidR="003C3AA0">
                <w:rPr>
                  <w:rStyle w:val="Hyperlink"/>
                </w:rPr>
                <w:t>stephanie.chmiel@thompsonhine.com</w:t>
              </w:r>
            </w:hyperlink>
          </w:p>
          <w:p w:rsidR="005F551C" w:rsidP="005F551C" w14:paraId="7F6A4D47" w14:textId="77777777">
            <w:pPr>
              <w:pStyle w:val="BodyText"/>
            </w:pPr>
          </w:p>
          <w:p w:rsidR="005F551C" w:rsidP="00E13D26" w14:paraId="6AC28068" w14:textId="77777777">
            <w:pPr>
              <w:pStyle w:val="BodyText"/>
            </w:pPr>
            <w:r>
              <w:t>Attorney Examiners:</w:t>
            </w:r>
          </w:p>
          <w:p w:rsidR="005F551C" w:rsidP="00E13D26" w14:paraId="42C51130" w14:textId="77777777">
            <w:pPr>
              <w:pStyle w:val="BodyText"/>
            </w:pPr>
            <w:hyperlink r:id="rId26" w:history="1">
              <w:r w:rsidRPr="005F551C" w:rsidR="003C3AA0">
                <w:rPr>
                  <w:rStyle w:val="Hyperlink"/>
                </w:rPr>
                <w:t>Patricia.schabo@puco.ohio.gov</w:t>
              </w:r>
            </w:hyperlink>
          </w:p>
          <w:p w:rsidR="005F551C" w:rsidRPr="005F551C" w:rsidP="005F551C" w14:paraId="1D313E7F" w14:textId="77777777">
            <w:pPr>
              <w:pStyle w:val="BodyText"/>
              <w:rPr>
                <w:color w:val="0000FF"/>
                <w:u w:val="single"/>
              </w:rPr>
            </w:pPr>
            <w:r w:rsidRPr="005F551C">
              <w:rPr>
                <w:color w:val="0000FF"/>
                <w:u w:val="single"/>
              </w:rPr>
              <w:t>Michael.williams@puco.ohio.gov</w:t>
            </w:r>
          </w:p>
        </w:tc>
        <w:tc>
          <w:tcPr>
            <w:tcW w:w="4428" w:type="dxa"/>
          </w:tcPr>
          <w:p w:rsidR="005F551C" w:rsidP="005F551C" w14:paraId="053762BC" w14:textId="77777777">
            <w:pPr>
              <w:pStyle w:val="BodyText"/>
            </w:pPr>
          </w:p>
          <w:p w:rsidR="005F551C" w:rsidP="005F551C" w14:paraId="38D37C8C" w14:textId="77777777">
            <w:pPr>
              <w:pStyle w:val="BodyText"/>
            </w:pPr>
          </w:p>
          <w:p w:rsidR="005F551C" w:rsidP="005F551C" w14:paraId="245DCDD2" w14:textId="77777777">
            <w:pPr>
              <w:pStyle w:val="BodyText"/>
            </w:pPr>
            <w:hyperlink r:id="rId41" w:history="1">
              <w:r w:rsidRPr="005F551C" w:rsidR="003C3AA0">
                <w:rPr>
                  <w:rStyle w:val="Hyperlink"/>
                </w:rPr>
                <w:t>jsharkey@ficlaw.com</w:t>
              </w:r>
            </w:hyperlink>
          </w:p>
          <w:p w:rsidR="005F551C" w:rsidP="005F551C" w14:paraId="3DADA54A" w14:textId="77777777">
            <w:pPr>
              <w:pStyle w:val="BodyText"/>
            </w:pPr>
            <w:hyperlink r:id="rId42" w:history="1">
              <w:r w:rsidRPr="005F551C" w:rsidR="003C3AA0">
                <w:rPr>
                  <w:rStyle w:val="Hyperlink"/>
                </w:rPr>
                <w:t>djireland@ficlaw.com</w:t>
              </w:r>
            </w:hyperlink>
          </w:p>
          <w:p w:rsidR="005F551C" w:rsidP="005F551C" w14:paraId="49AAE3F8" w14:textId="77777777">
            <w:pPr>
              <w:pStyle w:val="BodyText"/>
            </w:pPr>
            <w:hyperlink r:id="rId43" w:history="1">
              <w:r w:rsidRPr="005F551C" w:rsidR="003C3AA0">
                <w:rPr>
                  <w:rStyle w:val="Hyperlink"/>
                </w:rPr>
                <w:t>chollon@ficlaw.com</w:t>
              </w:r>
            </w:hyperlink>
          </w:p>
          <w:p w:rsidR="005F551C" w:rsidP="005F551C" w14:paraId="3BF88400" w14:textId="77777777">
            <w:pPr>
              <w:pStyle w:val="BodyText"/>
            </w:pPr>
            <w:hyperlink r:id="rId30" w:history="1">
              <w:r w:rsidRPr="005F551C" w:rsidR="003C3AA0">
                <w:rPr>
                  <w:rStyle w:val="Hyperlink"/>
                </w:rPr>
                <w:t>michael.schuler@aes.com</w:t>
              </w:r>
            </w:hyperlink>
          </w:p>
          <w:p w:rsidR="005F551C" w:rsidP="005F551C" w14:paraId="47ECC4D9" w14:textId="77777777">
            <w:pPr>
              <w:pStyle w:val="BodyText"/>
            </w:pPr>
            <w:hyperlink r:id="rId31" w:history="1">
              <w:r w:rsidRPr="005F551C" w:rsidR="003C3AA0">
                <w:rPr>
                  <w:rStyle w:val="Hyperlink"/>
                </w:rPr>
                <w:t>mkurtz@bkllawfirm.com</w:t>
              </w:r>
            </w:hyperlink>
          </w:p>
          <w:p w:rsidR="005F551C" w:rsidP="005F551C" w14:paraId="6148924B" w14:textId="77777777">
            <w:pPr>
              <w:pStyle w:val="BodyText"/>
            </w:pPr>
            <w:hyperlink r:id="rId32" w:history="1">
              <w:r w:rsidRPr="005F551C" w:rsidR="003C3AA0">
                <w:rPr>
                  <w:rStyle w:val="Hyperlink"/>
                </w:rPr>
                <w:t>kboehm@bkllawfirm.com</w:t>
              </w:r>
            </w:hyperlink>
          </w:p>
          <w:p w:rsidR="005F551C" w:rsidP="005F551C" w14:paraId="382142CE" w14:textId="77777777">
            <w:pPr>
              <w:pStyle w:val="BodyText"/>
            </w:pPr>
            <w:hyperlink r:id="rId44" w:history="1">
              <w:r w:rsidRPr="005F551C" w:rsidR="003C3AA0">
                <w:rPr>
                  <w:rStyle w:val="Hyperlink"/>
                </w:rPr>
                <w:t>jkylercohn@bkllawfirm.com</w:t>
              </w:r>
            </w:hyperlink>
          </w:p>
          <w:p w:rsidR="005F551C" w:rsidP="005F551C" w14:paraId="6F0CA077" w14:textId="77777777">
            <w:pPr>
              <w:pStyle w:val="BodyText"/>
            </w:pPr>
            <w:hyperlink r:id="rId36" w:history="1">
              <w:r w:rsidRPr="005F551C" w:rsidR="003C3AA0">
                <w:rPr>
                  <w:rStyle w:val="Hyperlink"/>
                </w:rPr>
                <w:t>mpritchard@mcneeslaw.com</w:t>
              </w:r>
            </w:hyperlink>
          </w:p>
          <w:p w:rsidR="005F551C" w:rsidP="005F551C" w14:paraId="5274E7F2" w14:textId="77777777">
            <w:pPr>
              <w:pStyle w:val="BodyText"/>
            </w:pPr>
            <w:hyperlink r:id="rId37" w:history="1">
              <w:r w:rsidRPr="005F551C" w:rsidR="003C3AA0">
                <w:rPr>
                  <w:rStyle w:val="Hyperlink"/>
                </w:rPr>
                <w:t>rglover@mcneeslaw.com</w:t>
              </w:r>
            </w:hyperlink>
          </w:p>
          <w:p w:rsidR="005F551C" w:rsidP="005F551C" w14:paraId="69F30C59" w14:textId="77777777">
            <w:pPr>
              <w:pStyle w:val="BodyText"/>
            </w:pPr>
            <w:hyperlink r:id="rId45" w:history="1">
              <w:r w:rsidRPr="005F551C" w:rsidR="003C3AA0">
                <w:rPr>
                  <w:rStyle w:val="Hyperlink"/>
                </w:rPr>
                <w:t>slesser@beneschlaw.com</w:t>
              </w:r>
            </w:hyperlink>
          </w:p>
          <w:p w:rsidR="005F551C" w:rsidP="005F551C" w14:paraId="2C2D9F94" w14:textId="77777777">
            <w:pPr>
              <w:pStyle w:val="BodyText"/>
            </w:pPr>
            <w:hyperlink r:id="rId33" w:history="1">
              <w:r w:rsidRPr="005F551C" w:rsidR="003C3AA0">
                <w:rPr>
                  <w:rStyle w:val="Hyperlink"/>
                </w:rPr>
                <w:t>talexander@beneschlaw.com</w:t>
              </w:r>
            </w:hyperlink>
          </w:p>
          <w:p w:rsidR="005F551C" w:rsidP="005F551C" w14:paraId="6D4FC429" w14:textId="77777777">
            <w:pPr>
              <w:pStyle w:val="BodyText"/>
            </w:pPr>
            <w:hyperlink r:id="rId46" w:history="1">
              <w:r w:rsidRPr="005F551C" w:rsidR="003C3AA0">
                <w:rPr>
                  <w:rStyle w:val="Hyperlink"/>
                </w:rPr>
                <w:t>mkeaney@beneschlaw.com</w:t>
              </w:r>
            </w:hyperlink>
          </w:p>
          <w:p w:rsidR="005F551C" w:rsidP="005F551C" w14:paraId="2825391B" w14:textId="77777777">
            <w:pPr>
              <w:pStyle w:val="BodyText"/>
            </w:pPr>
            <w:hyperlink r:id="rId47" w:history="1">
              <w:r w:rsidRPr="005F551C" w:rsidR="003C3AA0">
                <w:rPr>
                  <w:rStyle w:val="Hyperlink"/>
                </w:rPr>
                <w:t>khehmeyer@beneschlaw.com</w:t>
              </w:r>
            </w:hyperlink>
          </w:p>
          <w:p w:rsidR="005F551C" w:rsidP="005F551C" w14:paraId="370C7CFA" w14:textId="77777777">
            <w:pPr>
              <w:pStyle w:val="BodyText"/>
            </w:pPr>
          </w:p>
        </w:tc>
      </w:tr>
    </w:tbl>
    <w:p w:rsidR="0042297B" w:rsidRPr="00E666E3" w:rsidP="0042297B" w14:paraId="07DF4FC7" w14:textId="77777777">
      <w:pPr>
        <w:pStyle w:val="BodyText"/>
        <w:rPr>
          <w:b/>
          <w:bCs/>
        </w:rPr>
      </w:pPr>
    </w:p>
    <w:sectPr w:rsidSect="000E7445">
      <w:headerReference w:type="even" r:id="rId48"/>
      <w:headerReference w:type="default" r:id="rId49"/>
      <w:headerReference w:type="first" r:id="rId50"/>
      <w:footerReference w:type="first" r:id="rId51"/>
      <w:pgSz w:w="12240" w:h="15840"/>
      <w:pgMar w:top="1440" w:right="1440" w:bottom="1440" w:left="144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7985947"/>
      <w:docPartObj>
        <w:docPartGallery w:val="Page Numbers (Bottom of Page)"/>
        <w:docPartUnique/>
      </w:docPartObj>
    </w:sdtPr>
    <w:sdtEndPr>
      <w:rPr>
        <w:noProof/>
        <w:sz w:val="24"/>
      </w:rPr>
    </w:sdtEndPr>
    <w:sdtContent>
      <w:p w:rsidR="005423D4" w:rsidRPr="005423D4" w14:paraId="2C6C9B5D" w14:textId="77777777">
        <w:pPr>
          <w:pStyle w:val="Footer"/>
          <w:jc w:val="center"/>
          <w:rPr>
            <w:sz w:val="24"/>
          </w:rPr>
        </w:pPr>
        <w:r w:rsidRPr="005423D4">
          <w:rPr>
            <w:sz w:val="24"/>
          </w:rPr>
          <w:fldChar w:fldCharType="begin"/>
        </w:r>
        <w:r w:rsidRPr="005423D4">
          <w:rPr>
            <w:sz w:val="24"/>
          </w:rPr>
          <w:instrText xml:space="preserve"> PAGE   \* MERGEFORMAT </w:instrText>
        </w:r>
        <w:r w:rsidRPr="005423D4">
          <w:rPr>
            <w:sz w:val="24"/>
          </w:rPr>
          <w:fldChar w:fldCharType="separate"/>
        </w:r>
        <w:r>
          <w:rPr>
            <w:noProof/>
            <w:sz w:val="24"/>
          </w:rPr>
          <w:t>8</w:t>
        </w:r>
        <w:r w:rsidRPr="005423D4">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rsidRPr="00AF168E" w14:paraId="5DE34B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3ADB" w14:paraId="1549A02D" w14:textId="77777777">
      <w:r>
        <w:separator/>
      </w:r>
    </w:p>
  </w:footnote>
  <w:footnote w:type="continuationSeparator" w:id="1">
    <w:p w:rsidR="009D3ADB" w14:paraId="4844228E" w14:textId="77777777">
      <w:r>
        <w:continuationSeparator/>
      </w:r>
    </w:p>
  </w:footnote>
  <w:footnote w:id="2">
    <w:p w:rsidR="00317367" w:rsidP="00F2518D" w14:paraId="6F5C6636" w14:textId="7310E039">
      <w:pPr>
        <w:pStyle w:val="FootnoteText"/>
        <w:spacing w:after="120"/>
      </w:pPr>
      <w:r>
        <w:rPr>
          <w:rStyle w:val="FootnoteReference"/>
        </w:rPr>
        <w:footnoteRef/>
      </w:r>
      <w:r>
        <w:t xml:space="preserve"> Opinion &amp; Order ¶ 68 (June 16, 2021) (the “Order”).</w:t>
      </w:r>
    </w:p>
  </w:footnote>
  <w:footnote w:id="3">
    <w:p w:rsidR="00317367" w:rsidP="00F2518D" w14:paraId="5DD7BD23" w14:textId="5B61E237">
      <w:pPr>
        <w:pStyle w:val="FootnoteText"/>
        <w:spacing w:after="120"/>
      </w:pPr>
      <w:r>
        <w:rPr>
          <w:rStyle w:val="FootnoteReference"/>
        </w:rPr>
        <w:footnoteRef/>
      </w:r>
      <w:r>
        <w:t xml:space="preserve"> Application for Rehearing by Office of the Ohio Consumers’ Counsel, Assignment of Error 6 (July 16, 2021).</w:t>
      </w:r>
    </w:p>
  </w:footnote>
  <w:footnote w:id="4">
    <w:p w:rsidR="00317367" w:rsidRPr="00317367" w:rsidP="00F2518D" w14:paraId="788F70A3" w14:textId="7C526BC9">
      <w:pPr>
        <w:pStyle w:val="FootnoteText"/>
        <w:spacing w:after="120"/>
      </w:pPr>
      <w:r>
        <w:rPr>
          <w:rStyle w:val="FootnoteReference"/>
        </w:rPr>
        <w:footnoteRef/>
      </w:r>
      <w:r>
        <w:t xml:space="preserve"> </w:t>
      </w:r>
      <w:r>
        <w:rPr>
          <w:i/>
          <w:iCs/>
        </w:rPr>
        <w:t>Id.</w:t>
      </w:r>
      <w:r>
        <w:t xml:space="preserve"> at 32.</w:t>
      </w:r>
    </w:p>
  </w:footnote>
  <w:footnote w:id="5">
    <w:p w:rsidR="00952089" w:rsidRPr="00952089" w:rsidP="00F2518D" w14:paraId="5235E1B7" w14:textId="29FEE785">
      <w:pPr>
        <w:pStyle w:val="FootnoteText"/>
        <w:spacing w:after="120"/>
      </w:pPr>
      <w:r>
        <w:rPr>
          <w:rStyle w:val="FootnoteReference"/>
        </w:rPr>
        <w:footnoteRef/>
      </w:r>
      <w:r>
        <w:t xml:space="preserve"> </w:t>
      </w:r>
      <w:r>
        <w:rPr>
          <w:i/>
          <w:iCs/>
        </w:rPr>
        <w:t>Id.</w:t>
      </w:r>
    </w:p>
  </w:footnote>
  <w:footnote w:id="6">
    <w:p w:rsidR="00952089" w:rsidP="00F2518D" w14:paraId="49501D27" w14:textId="1749C805">
      <w:pPr>
        <w:pStyle w:val="FootnoteText"/>
        <w:spacing w:after="120"/>
      </w:pPr>
      <w:r>
        <w:rPr>
          <w:rStyle w:val="FootnoteReference"/>
        </w:rPr>
        <w:footnoteRef/>
      </w:r>
      <w:r>
        <w:t xml:space="preserve"> Second Entry on Rehearing ¶ 40 (Oct. 6, 2021).</w:t>
      </w:r>
    </w:p>
  </w:footnote>
  <w:footnote w:id="7">
    <w:p w:rsidR="00DE3CFF" w:rsidP="00F2518D" w14:paraId="3B2342AE" w14:textId="5B136644">
      <w:pPr>
        <w:pStyle w:val="FootnoteText"/>
        <w:spacing w:after="120"/>
      </w:pPr>
      <w:r>
        <w:rPr>
          <w:rStyle w:val="FootnoteReference"/>
        </w:rPr>
        <w:footnoteRef/>
      </w:r>
      <w:r>
        <w:t xml:space="preserve"> Testimony in Support of the Stipulation of Joseph P. Buckley at 8 (Jan. 4, 2021) ($3.7 million in 2018 and $57.4 million in 2019).</w:t>
      </w:r>
    </w:p>
  </w:footnote>
  <w:footnote w:id="8">
    <w:p w:rsidR="00DE3CFF" w:rsidRPr="00DE3CFF" w:rsidP="00F2518D" w14:paraId="5901D466" w14:textId="011A649F">
      <w:pPr>
        <w:pStyle w:val="FootnoteText"/>
        <w:spacing w:after="120"/>
      </w:pPr>
      <w:r>
        <w:rPr>
          <w:rStyle w:val="FootnoteReference"/>
        </w:rPr>
        <w:footnoteRef/>
      </w:r>
      <w:r>
        <w:t xml:space="preserve"> </w:t>
      </w:r>
      <w:r>
        <w:rPr>
          <w:i/>
          <w:iCs/>
        </w:rPr>
        <w:t>Id.</w:t>
      </w:r>
      <w:r>
        <w:t xml:space="preserve"> at 11.</w:t>
      </w:r>
    </w:p>
  </w:footnote>
  <w:footnote w:id="9">
    <w:p w:rsidR="00DE3CFF" w:rsidP="00F2518D" w14:paraId="3A1D20F3" w14:textId="14588381">
      <w:pPr>
        <w:pStyle w:val="FootnoteText"/>
        <w:spacing w:after="120"/>
      </w:pPr>
      <w:r>
        <w:rPr>
          <w:rStyle w:val="FootnoteReference"/>
        </w:rPr>
        <w:footnoteRef/>
      </w:r>
      <w:r>
        <w:t xml:space="preserve"> Opinion &amp; Order ¶ 68.</w:t>
      </w:r>
    </w:p>
  </w:footnote>
  <w:footnote w:id="10">
    <w:p w:rsidR="00944F75" w:rsidP="00F2518D" w14:paraId="14B42C8E" w14:textId="77777777">
      <w:pPr>
        <w:pStyle w:val="FootnoteText"/>
        <w:spacing w:after="120"/>
      </w:pPr>
      <w:r>
        <w:rPr>
          <w:rStyle w:val="FootnoteReference"/>
        </w:rPr>
        <w:footnoteRef/>
      </w:r>
      <w:r>
        <w:t xml:space="preserve"> R.C. 4928.143(F).</w:t>
      </w:r>
    </w:p>
  </w:footnote>
  <w:footnote w:id="11">
    <w:p w:rsidR="00944F75" w:rsidP="00F2518D" w14:paraId="5F1DFCE8" w14:textId="77777777">
      <w:pPr>
        <w:pStyle w:val="FootnoteText"/>
        <w:spacing w:after="120"/>
      </w:pPr>
      <w:r>
        <w:rPr>
          <w:rStyle w:val="FootnoteReference"/>
        </w:rPr>
        <w:footnoteRef/>
      </w:r>
      <w:r>
        <w:t xml:space="preserve"> R.C. 4928.143(F).</w:t>
      </w:r>
    </w:p>
  </w:footnote>
  <w:footnote w:id="12">
    <w:p w:rsidR="00944F75" w:rsidP="00F2518D" w14:paraId="1C7C2866" w14:textId="77777777">
      <w:pPr>
        <w:pStyle w:val="FootnoteText"/>
        <w:spacing w:after="120"/>
      </w:pPr>
      <w:r>
        <w:rPr>
          <w:rStyle w:val="FootnoteReference"/>
        </w:rPr>
        <w:footnoteRef/>
      </w:r>
      <w:r>
        <w:t xml:space="preserve"> R.C. 4928.143(F) (emphasis added).</w:t>
      </w:r>
    </w:p>
  </w:footnote>
  <w:footnote w:id="13">
    <w:p w:rsidR="00944F75" w:rsidP="00F2518D" w14:paraId="4534118B" w14:textId="77777777">
      <w:pPr>
        <w:pStyle w:val="FootnoteText"/>
        <w:spacing w:after="120"/>
      </w:pPr>
      <w:r>
        <w:rPr>
          <w:rStyle w:val="FootnoteReference"/>
        </w:rPr>
        <w:footnoteRef/>
      </w:r>
      <w:r>
        <w:t xml:space="preserve"> R.C. 4928.143(F); Order ¶ 68 (citing R.C. 4928.143(F)).</w:t>
      </w:r>
    </w:p>
  </w:footnote>
  <w:footnote w:id="14">
    <w:p w:rsidR="00B912DC" w:rsidRPr="00B912DC" w:rsidP="00F2518D" w14:paraId="560C7056" w14:textId="5136E98D">
      <w:pPr>
        <w:pStyle w:val="FootnoteText"/>
        <w:spacing w:after="120"/>
      </w:pPr>
      <w:r>
        <w:rPr>
          <w:rStyle w:val="FootnoteReference"/>
        </w:rPr>
        <w:footnoteRef/>
      </w:r>
      <w:r>
        <w:t xml:space="preserve"> </w:t>
      </w:r>
      <w:r>
        <w:rPr>
          <w:i/>
          <w:iCs/>
        </w:rPr>
        <w:t>In re Ohio Edison Co.</w:t>
      </w:r>
      <w:r>
        <w:t>, 162 Ohio St.3d 651, 656 (2020).</w:t>
      </w:r>
    </w:p>
  </w:footnote>
  <w:footnote w:id="15">
    <w:p w:rsidR="00944F75" w:rsidP="00F2518D" w14:paraId="7991D197" w14:textId="77777777">
      <w:pPr>
        <w:pStyle w:val="FootnoteText"/>
        <w:spacing w:after="120"/>
      </w:pPr>
      <w:r>
        <w:rPr>
          <w:rStyle w:val="FootnoteReference"/>
        </w:rPr>
        <w:footnoteRef/>
      </w:r>
      <w:r>
        <w:t xml:space="preserve"> </w:t>
      </w:r>
      <w:r>
        <w:rPr>
          <w:i/>
          <w:iCs/>
        </w:rPr>
        <w:t>See</w:t>
      </w:r>
      <w:r>
        <w:t xml:space="preserve"> OCC Ex. 2 (Kahal Supplemental) at 12 (“If capital requirements of future committed investments in the state can be used to completely deny SEET refunds to customers, then the protection that the statute provides to customers would be undermined. Every utility could avoid ever paying a SEET refund to customers by simply declaring that they intend to make capital investments in the future.”).</w:t>
      </w:r>
    </w:p>
  </w:footnote>
  <w:footnote w:id="16">
    <w:p w:rsidR="00944F75" w:rsidP="00F2518D" w14:paraId="6A2294B9" w14:textId="77777777">
      <w:pPr>
        <w:pStyle w:val="FootnoteText"/>
        <w:spacing w:after="120"/>
      </w:pPr>
      <w:r>
        <w:rPr>
          <w:rStyle w:val="FootnoteReference"/>
        </w:rPr>
        <w:footnoteRef/>
      </w:r>
      <w:r>
        <w:t xml:space="preserve"> Case No. 10-1261-EL-UNC.</w:t>
      </w:r>
    </w:p>
  </w:footnote>
  <w:footnote w:id="17">
    <w:p w:rsidR="00944F75" w:rsidP="00F2518D" w14:paraId="4BB07B9C" w14:textId="77777777">
      <w:pPr>
        <w:pStyle w:val="FootnoteText"/>
        <w:spacing w:after="120"/>
      </w:pPr>
      <w:r>
        <w:rPr>
          <w:rStyle w:val="FootnoteReference"/>
        </w:rPr>
        <w:footnoteRef/>
      </w:r>
      <w:r>
        <w:t xml:space="preserve"> </w:t>
      </w:r>
      <w:r>
        <w:rPr>
          <w:i/>
          <w:iCs/>
        </w:rPr>
        <w:t>Id.</w:t>
      </w:r>
      <w:r>
        <w:t>, Opinion &amp; Order (Jan. 11, 2011).</w:t>
      </w:r>
    </w:p>
  </w:footnote>
  <w:footnote w:id="18">
    <w:p w:rsidR="00944F75" w:rsidP="00F2518D" w14:paraId="4C82F9EB" w14:textId="77777777">
      <w:pPr>
        <w:pStyle w:val="FootnoteText"/>
        <w:spacing w:after="120"/>
      </w:pPr>
      <w:r>
        <w:rPr>
          <w:rStyle w:val="FootnoteReference"/>
        </w:rPr>
        <w:footnoteRef/>
      </w:r>
      <w:r>
        <w:t xml:space="preserve"> </w:t>
      </w:r>
      <w:r>
        <w:rPr>
          <w:i/>
          <w:iCs/>
        </w:rPr>
        <w:t>Id.</w:t>
      </w:r>
      <w:r>
        <w:t xml:space="preserve"> at 25-27.</w:t>
      </w:r>
    </w:p>
  </w:footnote>
  <w:footnote w:id="19">
    <w:p w:rsidR="00944F75" w:rsidP="00F2518D" w14:paraId="57BA9BF0" w14:textId="77777777">
      <w:pPr>
        <w:pStyle w:val="FootnoteText"/>
        <w:spacing w:after="120"/>
      </w:pPr>
      <w:r>
        <w:rPr>
          <w:rStyle w:val="FootnoteReference"/>
        </w:rPr>
        <w:footnoteRef/>
      </w:r>
      <w:r>
        <w:t xml:space="preserve"> </w:t>
      </w:r>
      <w:r>
        <w:rPr>
          <w:i/>
          <w:iCs/>
        </w:rPr>
        <w:t>Id.</w:t>
      </w:r>
      <w:r>
        <w:t xml:space="preserve"> at 26-27.</w:t>
      </w:r>
    </w:p>
  </w:footnote>
  <w:footnote w:id="20">
    <w:p w:rsidR="00944F75" w:rsidP="00F2518D" w14:paraId="2CFD31C9" w14:textId="77777777">
      <w:pPr>
        <w:pStyle w:val="FootnoteText"/>
        <w:spacing w:after="120"/>
      </w:pPr>
      <w:r>
        <w:rPr>
          <w:rStyle w:val="FootnoteReference"/>
        </w:rPr>
        <w:footnoteRef/>
      </w:r>
      <w:r>
        <w:t xml:space="preserve"> Order ¶ 68.</w:t>
      </w:r>
    </w:p>
  </w:footnote>
  <w:footnote w:id="21">
    <w:p w:rsidR="00AE2438" w:rsidP="00F2518D" w14:paraId="40DF6FA2" w14:textId="200226ED">
      <w:pPr>
        <w:pStyle w:val="FootnoteText"/>
        <w:spacing w:after="120"/>
      </w:pPr>
      <w:r>
        <w:rPr>
          <w:rStyle w:val="FootnoteReference"/>
        </w:rPr>
        <w:footnoteRef/>
      </w:r>
      <w:r>
        <w:t xml:space="preserve"> </w:t>
      </w:r>
      <w:r w:rsidR="00B912DC">
        <w:t>Case No. 10-1261-EL-UNC, Opinion &amp; Order at 25-27.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14:paraId="2136F1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14:paraId="703A31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14:paraId="24C74A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D995B36"/>
    <w:multiLevelType w:val="hybridMultilevel"/>
    <w:tmpl w:val="0304EB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5E"/>
    <w:rsid w:val="00000119"/>
    <w:rsid w:val="000002F7"/>
    <w:rsid w:val="00014C61"/>
    <w:rsid w:val="00022702"/>
    <w:rsid w:val="00041F8E"/>
    <w:rsid w:val="00060A58"/>
    <w:rsid w:val="000625DC"/>
    <w:rsid w:val="000821DA"/>
    <w:rsid w:val="000940F5"/>
    <w:rsid w:val="000E7445"/>
    <w:rsid w:val="000F0E5F"/>
    <w:rsid w:val="00143F96"/>
    <w:rsid w:val="001A1F36"/>
    <w:rsid w:val="001F3CE0"/>
    <w:rsid w:val="001F4CC8"/>
    <w:rsid w:val="00204D00"/>
    <w:rsid w:val="00214912"/>
    <w:rsid w:val="00220CBE"/>
    <w:rsid w:val="00234D98"/>
    <w:rsid w:val="0024684B"/>
    <w:rsid w:val="002548D8"/>
    <w:rsid w:val="00257521"/>
    <w:rsid w:val="002641D3"/>
    <w:rsid w:val="00272676"/>
    <w:rsid w:val="00292CDE"/>
    <w:rsid w:val="002C7376"/>
    <w:rsid w:val="002E67FF"/>
    <w:rsid w:val="002E72FC"/>
    <w:rsid w:val="00305196"/>
    <w:rsid w:val="00317367"/>
    <w:rsid w:val="00342118"/>
    <w:rsid w:val="00352550"/>
    <w:rsid w:val="00362E42"/>
    <w:rsid w:val="0037347A"/>
    <w:rsid w:val="00382901"/>
    <w:rsid w:val="0038535B"/>
    <w:rsid w:val="003C3AA0"/>
    <w:rsid w:val="003D3A8A"/>
    <w:rsid w:val="003F29D2"/>
    <w:rsid w:val="0042297B"/>
    <w:rsid w:val="00424135"/>
    <w:rsid w:val="00464736"/>
    <w:rsid w:val="00466208"/>
    <w:rsid w:val="00470BA2"/>
    <w:rsid w:val="00491698"/>
    <w:rsid w:val="00495676"/>
    <w:rsid w:val="004A632E"/>
    <w:rsid w:val="004C2B21"/>
    <w:rsid w:val="004D7A86"/>
    <w:rsid w:val="00504B5C"/>
    <w:rsid w:val="00504E29"/>
    <w:rsid w:val="00535FB3"/>
    <w:rsid w:val="005423D4"/>
    <w:rsid w:val="00542FA3"/>
    <w:rsid w:val="005A0887"/>
    <w:rsid w:val="005F551C"/>
    <w:rsid w:val="0062228F"/>
    <w:rsid w:val="00633D31"/>
    <w:rsid w:val="006456E4"/>
    <w:rsid w:val="00647A52"/>
    <w:rsid w:val="006849DE"/>
    <w:rsid w:val="00695754"/>
    <w:rsid w:val="006A6342"/>
    <w:rsid w:val="006D08A8"/>
    <w:rsid w:val="006E6427"/>
    <w:rsid w:val="006E79F8"/>
    <w:rsid w:val="00712FA1"/>
    <w:rsid w:val="00721C79"/>
    <w:rsid w:val="00724B7B"/>
    <w:rsid w:val="0073055E"/>
    <w:rsid w:val="00733ED7"/>
    <w:rsid w:val="00734658"/>
    <w:rsid w:val="00780C7A"/>
    <w:rsid w:val="00794169"/>
    <w:rsid w:val="0079538D"/>
    <w:rsid w:val="007B0379"/>
    <w:rsid w:val="007C4B7D"/>
    <w:rsid w:val="007C59BD"/>
    <w:rsid w:val="007D0F2B"/>
    <w:rsid w:val="007F1631"/>
    <w:rsid w:val="007F7B7B"/>
    <w:rsid w:val="00837A21"/>
    <w:rsid w:val="008464AA"/>
    <w:rsid w:val="008A3C08"/>
    <w:rsid w:val="008B1E72"/>
    <w:rsid w:val="008B4A30"/>
    <w:rsid w:val="008D470D"/>
    <w:rsid w:val="00943EF0"/>
    <w:rsid w:val="00944F75"/>
    <w:rsid w:val="00947D8F"/>
    <w:rsid w:val="00952089"/>
    <w:rsid w:val="00994804"/>
    <w:rsid w:val="009B3740"/>
    <w:rsid w:val="009C0540"/>
    <w:rsid w:val="009D3086"/>
    <w:rsid w:val="009D3ADB"/>
    <w:rsid w:val="009E3C8B"/>
    <w:rsid w:val="009F01BB"/>
    <w:rsid w:val="00A15114"/>
    <w:rsid w:val="00A56587"/>
    <w:rsid w:val="00A57DA0"/>
    <w:rsid w:val="00A812FC"/>
    <w:rsid w:val="00A95E4A"/>
    <w:rsid w:val="00AE2438"/>
    <w:rsid w:val="00AF168E"/>
    <w:rsid w:val="00AF5BC4"/>
    <w:rsid w:val="00B24360"/>
    <w:rsid w:val="00B26EEE"/>
    <w:rsid w:val="00B35A5E"/>
    <w:rsid w:val="00B43B07"/>
    <w:rsid w:val="00B47E1B"/>
    <w:rsid w:val="00B57691"/>
    <w:rsid w:val="00B649E8"/>
    <w:rsid w:val="00B75BDC"/>
    <w:rsid w:val="00B912DC"/>
    <w:rsid w:val="00B91DD4"/>
    <w:rsid w:val="00BA4D49"/>
    <w:rsid w:val="00BB0F35"/>
    <w:rsid w:val="00BB1584"/>
    <w:rsid w:val="00BC1063"/>
    <w:rsid w:val="00BC164A"/>
    <w:rsid w:val="00C00100"/>
    <w:rsid w:val="00CA512C"/>
    <w:rsid w:val="00CF101C"/>
    <w:rsid w:val="00D12F7E"/>
    <w:rsid w:val="00D91587"/>
    <w:rsid w:val="00DE3CFF"/>
    <w:rsid w:val="00DF717F"/>
    <w:rsid w:val="00E13D26"/>
    <w:rsid w:val="00E33A85"/>
    <w:rsid w:val="00E51758"/>
    <w:rsid w:val="00E666E3"/>
    <w:rsid w:val="00E74EA7"/>
    <w:rsid w:val="00E970CF"/>
    <w:rsid w:val="00E975DE"/>
    <w:rsid w:val="00EA68DD"/>
    <w:rsid w:val="00EB13DF"/>
    <w:rsid w:val="00EB716F"/>
    <w:rsid w:val="00F24A1B"/>
    <w:rsid w:val="00F2518D"/>
    <w:rsid w:val="00F33E4A"/>
    <w:rsid w:val="00F91444"/>
    <w:rsid w:val="00F96B60"/>
    <w:rsid w:val="00FB6CF6"/>
    <w:rsid w:val="00FE0E35"/>
    <w:rsid w:val="00FE5270"/>
    <w:rsid w:val="00FE6B91"/>
    <w:rsid w:val="00FF5BB2"/>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A95E4A"/>
    <w:pPr>
      <w:keepNext/>
      <w:spacing w:after="240"/>
      <w:outlineLvl w:val="0"/>
    </w:pPr>
    <w:rPr>
      <w:b/>
      <w:caps/>
    </w:rPr>
  </w:style>
  <w:style w:type="paragraph" w:styleId="Heading2">
    <w:name w:val="heading 2"/>
    <w:basedOn w:val="Normal"/>
    <w:next w:val="Normal"/>
    <w:autoRedefine/>
    <w:qFormat/>
    <w:rsid w:val="009D3086"/>
    <w:pPr>
      <w:keepNext/>
      <w:spacing w:after="240"/>
      <w:ind w:left="72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A95E4A"/>
    <w:rPr>
      <w:b/>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152983"/>
    <w:pPr>
      <w:tabs>
        <w:tab w:val="decimal" w:leader="dot" w:pos="8640"/>
      </w:tabs>
      <w:spacing w:after="240"/>
    </w:pPr>
    <w:rPr>
      <w:caps/>
    </w:rPr>
  </w:style>
  <w:style w:type="paragraph" w:styleId="TOC2">
    <w:name w:val="toc 2"/>
    <w:basedOn w:val="Normal"/>
    <w:next w:val="Normal"/>
    <w:autoRedefine/>
    <w:uiPriority w:val="39"/>
    <w:qFormat/>
    <w:rsid w:val="00152983"/>
    <w:pPr>
      <w:tabs>
        <w:tab w:val="decimal" w:leader="dot" w:pos="8640"/>
      </w:tabs>
      <w:spacing w:after="240"/>
      <w:ind w:left="720"/>
    </w:p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aliases w:val=" Char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 w:type="character" w:customStyle="1" w:styleId="UnresolvedMention1">
    <w:name w:val="Unresolved Mention1"/>
    <w:basedOn w:val="DefaultParagraphFont"/>
    <w:rsid w:val="005F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even.beeler@ohioAGO.gov" TargetMode="External" /><Relationship Id="rId11" Type="http://schemas.openxmlformats.org/officeDocument/2006/relationships/hyperlink" Target="mailto:Robert.eubanks@ohioAGO.gov" TargetMode="External" /><Relationship Id="rId12" Type="http://schemas.openxmlformats.org/officeDocument/2006/relationships/hyperlink" Target="mailto:Bethany.allen@igs.com" TargetMode="External" /><Relationship Id="rId13" Type="http://schemas.openxmlformats.org/officeDocument/2006/relationships/hyperlink" Target="mailto:Joe.oliker@igs.com" TargetMode="External" /><Relationship Id="rId14" Type="http://schemas.openxmlformats.org/officeDocument/2006/relationships/hyperlink" Target="mailto:Michael.nugent@igs.com" TargetMode="External" /><Relationship Id="rId15" Type="http://schemas.openxmlformats.org/officeDocument/2006/relationships/hyperlink" Target="mailto:dstinson@bricker.com" TargetMode="External" /><Relationship Id="rId16" Type="http://schemas.openxmlformats.org/officeDocument/2006/relationships/hyperlink" Target="mailto:kherstein@bricker.com" TargetMode="External" /><Relationship Id="rId17" Type="http://schemas.openxmlformats.org/officeDocument/2006/relationships/hyperlink" Target="mailto:jdunnlegal@gmail.com" TargetMode="External" /><Relationship Id="rId18" Type="http://schemas.openxmlformats.org/officeDocument/2006/relationships/hyperlink" Target="mailto:kevin.oles@thompsonhine.com" TargetMode="External" /><Relationship Id="rId19" Type="http://schemas.openxmlformats.org/officeDocument/2006/relationships/hyperlink" Target="mailto:stephanie.chmiel@thompsonhine.com" TargetMode="External" /><Relationship Id="rId2" Type="http://schemas.openxmlformats.org/officeDocument/2006/relationships/settings" Target="settings.xml" /><Relationship Id="rId20" Type="http://schemas.openxmlformats.org/officeDocument/2006/relationships/hyperlink" Target="mailto:cmooney@opae.org" TargetMode="External" /><Relationship Id="rId21" Type="http://schemas.openxmlformats.org/officeDocument/2006/relationships/hyperlink" Target="mailto:whitt@whitt-sturtevant.com" TargetMode="External" /><Relationship Id="rId22" Type="http://schemas.openxmlformats.org/officeDocument/2006/relationships/hyperlink" Target="mailto:glover@whitt-sturtevant.com" TargetMode="External" /><Relationship Id="rId23" Type="http://schemas.openxmlformats.org/officeDocument/2006/relationships/hyperlink" Target="mailto:nvijaykar@elpc.org" TargetMode="External" /><Relationship Id="rId24" Type="http://schemas.openxmlformats.org/officeDocument/2006/relationships/hyperlink" Target="mailto:glpetrucci@vorys.com" TargetMode="External" /><Relationship Id="rId25" Type="http://schemas.openxmlformats.org/officeDocument/2006/relationships/hyperlink" Target="mailto:dparram@bricker.com" TargetMode="External" /><Relationship Id="rId26" Type="http://schemas.openxmlformats.org/officeDocument/2006/relationships/hyperlink" Target="mailto:Patricia.schabo@puco.ohio.gov" TargetMode="External" /><Relationship Id="rId27" Type="http://schemas.openxmlformats.org/officeDocument/2006/relationships/hyperlink" Target="mailto:gregory.price@puco.ohio.gov" TargetMode="External" /><Relationship Id="rId28" Type="http://schemas.openxmlformats.org/officeDocument/2006/relationships/hyperlink" Target="mailto:ccox@elpc.org" TargetMode="External" /><Relationship Id="rId29" Type="http://schemas.openxmlformats.org/officeDocument/2006/relationships/hyperlink" Target="mailto:mfleisher@dickinsonwright.com" TargetMode="External" /><Relationship Id="rId3" Type="http://schemas.openxmlformats.org/officeDocument/2006/relationships/webSettings" Target="webSettings.xml" /><Relationship Id="rId30" Type="http://schemas.openxmlformats.org/officeDocument/2006/relationships/hyperlink" Target="mailto:Michael.schuler@aes.com" TargetMode="External" /><Relationship Id="rId31" Type="http://schemas.openxmlformats.org/officeDocument/2006/relationships/hyperlink" Target="mailto:mkurtz@bkllawfirm.com" TargetMode="External" /><Relationship Id="rId32" Type="http://schemas.openxmlformats.org/officeDocument/2006/relationships/hyperlink" Target="mailto:kboehm@bkllawfirm.com" TargetMode="External" /><Relationship Id="rId33" Type="http://schemas.openxmlformats.org/officeDocument/2006/relationships/hyperlink" Target="mailto:talexander@beneschlaw.com" TargetMode="External" /><Relationship Id="rId34" Type="http://schemas.openxmlformats.org/officeDocument/2006/relationships/hyperlink" Target="mailto:bojko@carpenterlipps.com" TargetMode="External" /><Relationship Id="rId35" Type="http://schemas.openxmlformats.org/officeDocument/2006/relationships/hyperlink" Target="mailto:paul@carpenterlipps.com" TargetMode="External" /><Relationship Id="rId36" Type="http://schemas.openxmlformats.org/officeDocument/2006/relationships/hyperlink" Target="mailto:mpritchard@mcneeslaw.com" TargetMode="External" /><Relationship Id="rId37" Type="http://schemas.openxmlformats.org/officeDocument/2006/relationships/hyperlink" Target="mailto:rglover@mcneeslaw.com" TargetMode="External" /><Relationship Id="rId38" Type="http://schemas.openxmlformats.org/officeDocument/2006/relationships/hyperlink" Target="mailto:thomas.lindgren@ohioAGO.gov" TargetMode="External" /><Relationship Id="rId39" Type="http://schemas.openxmlformats.org/officeDocument/2006/relationships/hyperlink" Target="mailto:Fdarr2019@gmail.com" TargetMode="External" /><Relationship Id="rId4" Type="http://schemas.openxmlformats.org/officeDocument/2006/relationships/fontTable" Target="fontTable.xml" /><Relationship Id="rId40" Type="http://schemas.openxmlformats.org/officeDocument/2006/relationships/hyperlink" Target="mailto:paul@carptenterlipps.com" TargetMode="External" /><Relationship Id="rId41" Type="http://schemas.openxmlformats.org/officeDocument/2006/relationships/hyperlink" Target="mailto:jsharkey@ficlaw.com" TargetMode="External" /><Relationship Id="rId42" Type="http://schemas.openxmlformats.org/officeDocument/2006/relationships/hyperlink" Target="mailto:djireland@ficlaw.com" TargetMode="External" /><Relationship Id="rId43" Type="http://schemas.openxmlformats.org/officeDocument/2006/relationships/hyperlink" Target="mailto:chollon@ficlaw.com" TargetMode="External" /><Relationship Id="rId44" Type="http://schemas.openxmlformats.org/officeDocument/2006/relationships/hyperlink" Target="mailto:jkylercohn@bkllawfirm.com" TargetMode="External" /><Relationship Id="rId45" Type="http://schemas.openxmlformats.org/officeDocument/2006/relationships/hyperlink" Target="mailto:slesser@beneschlaw.com" TargetMode="External" /><Relationship Id="rId46" Type="http://schemas.openxmlformats.org/officeDocument/2006/relationships/hyperlink" Target="mailto:mkeaney@beneschlaw.com" TargetMode="External" /><Relationship Id="rId47" Type="http://schemas.openxmlformats.org/officeDocument/2006/relationships/hyperlink" Target="mailto:khehmeyer@beneschlaw.com" TargetMode="External" /><Relationship Id="rId48" Type="http://schemas.openxmlformats.org/officeDocument/2006/relationships/header" Target="header1.xml" /><Relationship Id="rId49" Type="http://schemas.openxmlformats.org/officeDocument/2006/relationships/header" Target="header2.xml" /><Relationship Id="rId5" Type="http://schemas.openxmlformats.org/officeDocument/2006/relationships/customXml" Target="../customXml/item1.xml" /><Relationship Id="rId50" Type="http://schemas.openxmlformats.org/officeDocument/2006/relationships/header" Target="header3.xml" /><Relationship Id="rId51" Type="http://schemas.openxmlformats.org/officeDocument/2006/relationships/footer" Target="footer2.xm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hyperlink" Target="mailto:christopher.healey@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69BC-32FB-42F7-A69B-6658CF2B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2021-11-05T19:27:42Z</dcterms:created>
  <dcterms:modified xsi:type="dcterms:W3CDTF">2021-11-05T19:27:42Z</dcterms:modified>
</cp:coreProperties>
</file>