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85965" w:rsidRPr="008E2256" w:rsidP="00985965" w14:paraId="25FC4E85" w14:textId="77777777">
      <w:pPr>
        <w:jc w:val="center"/>
        <w:rPr>
          <w:b/>
          <w:bCs/>
          <w:szCs w:val="24"/>
        </w:rPr>
      </w:pPr>
      <w:r w:rsidRPr="008E2256">
        <w:rPr>
          <w:b/>
          <w:bCs/>
          <w:szCs w:val="24"/>
        </w:rPr>
        <w:t>BEFORE</w:t>
      </w:r>
    </w:p>
    <w:p w:rsidR="00985965" w:rsidRPr="008E2256" w:rsidP="00985965" w14:paraId="5B5D0CC5" w14:textId="77777777">
      <w:pPr>
        <w:jc w:val="center"/>
        <w:rPr>
          <w:b/>
          <w:bCs/>
          <w:szCs w:val="24"/>
        </w:rPr>
      </w:pPr>
      <w:r w:rsidRPr="008E2256">
        <w:rPr>
          <w:b/>
          <w:bCs/>
          <w:szCs w:val="24"/>
        </w:rPr>
        <w:t>THE PUBLIC UTILITIES COMMISSION OF OHIO</w:t>
      </w:r>
    </w:p>
    <w:p w:rsidR="00985965" w:rsidRPr="008E2256" w:rsidP="00985965" w14:paraId="1BBFD436" w14:textId="77777777">
      <w:pPr>
        <w:rPr>
          <w:szCs w:val="24"/>
        </w:rPr>
      </w:pPr>
    </w:p>
    <w:tbl>
      <w:tblPr>
        <w:tblW w:w="8748" w:type="dxa"/>
        <w:tblLook w:val="01E0"/>
      </w:tblPr>
      <w:tblGrid>
        <w:gridCol w:w="4332"/>
        <w:gridCol w:w="360"/>
        <w:gridCol w:w="4056"/>
      </w:tblGrid>
      <w:tr w14:paraId="078625A1" w14:textId="77777777" w:rsidTr="00E25357">
        <w:tblPrEx>
          <w:tblW w:w="8748" w:type="dxa"/>
          <w:tblLook w:val="01E0"/>
        </w:tblPrEx>
        <w:trPr>
          <w:trHeight w:val="807"/>
        </w:trPr>
        <w:tc>
          <w:tcPr>
            <w:tcW w:w="4332" w:type="dxa"/>
            <w:shd w:val="clear" w:color="auto" w:fill="auto"/>
          </w:tcPr>
          <w:p w:rsidR="000B16DA" w:rsidRPr="008E2256" w:rsidP="00E25357" w14:paraId="17AED1F4"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In the Matter of the Application of The Dayton Power and Light Company d/b/a AES Ohio for Approval of Its Electric Security Plan.</w:t>
            </w:r>
          </w:p>
          <w:p w:rsidR="000B16DA" w:rsidRPr="008E2256" w:rsidP="00E25357" w14:paraId="28B92940" w14:textId="77777777">
            <w:pPr>
              <w:pStyle w:val="HTMLPreformatted"/>
              <w:rPr>
                <w:rFonts w:ascii="Times New Roman" w:hAnsi="Times New Roman" w:cs="Times New Roman"/>
                <w:sz w:val="24"/>
                <w:szCs w:val="24"/>
              </w:rPr>
            </w:pPr>
          </w:p>
          <w:p w:rsidR="000B16DA" w:rsidRPr="008E2256" w:rsidP="00E25357" w14:paraId="62704B26"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In the Matter of the Application of The Dayton Power and Light Company d/b/a</w:t>
            </w:r>
          </w:p>
          <w:p w:rsidR="000B16DA" w:rsidRPr="008E2256" w:rsidP="00E25357" w14:paraId="08FFD4EA"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AES Ohio for Approval of Revised Tariffs</w:t>
            </w:r>
          </w:p>
          <w:p w:rsidR="000B16DA" w:rsidRPr="008E2256" w:rsidP="00E25357" w14:paraId="5997BBE5" w14:textId="77777777">
            <w:pPr>
              <w:pStyle w:val="HTMLPreformatted"/>
              <w:rPr>
                <w:rFonts w:ascii="Times New Roman" w:hAnsi="Times New Roman" w:cs="Times New Roman"/>
                <w:sz w:val="24"/>
                <w:szCs w:val="24"/>
              </w:rPr>
            </w:pPr>
          </w:p>
          <w:p w:rsidR="000B16DA" w:rsidRPr="008E2256" w:rsidP="00E25357" w14:paraId="2D102472"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In the Matter of the Application of The Dayton Power and Light Company d/b/a</w:t>
            </w:r>
          </w:p>
          <w:p w:rsidR="000B16DA" w:rsidRPr="008E2256" w:rsidP="00E25357" w14:paraId="5F53049A"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AES Ohio for Approval of Accounting</w:t>
            </w:r>
          </w:p>
          <w:p w:rsidR="000B16DA" w:rsidRPr="008E2256" w:rsidP="00E25357" w14:paraId="0EE463F6"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Authority Pursuant to Ohio Rev. Code</w:t>
            </w:r>
          </w:p>
          <w:p w:rsidR="000B16DA" w:rsidRPr="008E2256" w:rsidP="00E25357" w14:paraId="6ADB89F0"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 4905.13</w:t>
            </w:r>
          </w:p>
        </w:tc>
        <w:tc>
          <w:tcPr>
            <w:tcW w:w="360" w:type="dxa"/>
            <w:shd w:val="clear" w:color="auto" w:fill="auto"/>
          </w:tcPr>
          <w:p w:rsidR="000B16DA" w:rsidRPr="008E2256" w:rsidP="00E25357" w14:paraId="0347B786"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7158428E"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61FE283D"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6E5A973B"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2468A1EE" w14:textId="77777777">
            <w:pPr>
              <w:pStyle w:val="HTMLPreformatted"/>
              <w:rPr>
                <w:rFonts w:ascii="Times New Roman" w:hAnsi="Times New Roman" w:cs="Times New Roman"/>
                <w:sz w:val="24"/>
                <w:szCs w:val="24"/>
              </w:rPr>
            </w:pPr>
          </w:p>
          <w:p w:rsidR="000B16DA" w:rsidRPr="008E2256" w:rsidP="00E25357" w14:paraId="5D18E5BA"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1F31E83D"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58A73391"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21721F7D" w14:textId="77777777">
            <w:pPr>
              <w:pStyle w:val="HTMLPreformatted"/>
              <w:rPr>
                <w:rFonts w:ascii="Times New Roman" w:hAnsi="Times New Roman" w:cs="Times New Roman"/>
                <w:sz w:val="24"/>
                <w:szCs w:val="24"/>
              </w:rPr>
            </w:pPr>
          </w:p>
          <w:p w:rsidR="000B16DA" w:rsidRPr="008E2256" w:rsidP="00E25357" w14:paraId="322EC1C6"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46CC87B8"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2F7F7FED"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495B7805"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p w:rsidR="000B16DA" w:rsidRPr="008E2256" w:rsidP="00E25357" w14:paraId="55183840"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w:t>
            </w:r>
          </w:p>
        </w:tc>
        <w:tc>
          <w:tcPr>
            <w:tcW w:w="4056" w:type="dxa"/>
            <w:shd w:val="clear" w:color="auto" w:fill="auto"/>
          </w:tcPr>
          <w:p w:rsidR="000B16DA" w:rsidRPr="008E2256" w:rsidP="00E25357" w14:paraId="1D32C053" w14:textId="77777777">
            <w:pPr>
              <w:pStyle w:val="HTMLPreformatted"/>
              <w:rPr>
                <w:rFonts w:ascii="Times New Roman" w:hAnsi="Times New Roman" w:cs="Times New Roman"/>
                <w:sz w:val="24"/>
                <w:szCs w:val="24"/>
              </w:rPr>
            </w:pPr>
          </w:p>
          <w:p w:rsidR="000B16DA" w:rsidRPr="008E2256" w:rsidP="00E25357" w14:paraId="3F08F829"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Case No. 22-900-EL-SSO</w:t>
            </w:r>
          </w:p>
          <w:p w:rsidR="000B16DA" w:rsidRPr="008E2256" w:rsidP="00E25357" w14:paraId="562505B9" w14:textId="77777777">
            <w:pPr>
              <w:pStyle w:val="HTMLPreformatted"/>
              <w:rPr>
                <w:rFonts w:ascii="Times New Roman" w:hAnsi="Times New Roman" w:cs="Times New Roman"/>
                <w:sz w:val="24"/>
                <w:szCs w:val="24"/>
              </w:rPr>
            </w:pPr>
          </w:p>
          <w:p w:rsidR="000B16DA" w:rsidRPr="008E2256" w:rsidP="00E25357" w14:paraId="65597953" w14:textId="77777777">
            <w:pPr>
              <w:pStyle w:val="HTMLPreformatted"/>
              <w:rPr>
                <w:rFonts w:ascii="Times New Roman" w:hAnsi="Times New Roman" w:cs="Times New Roman"/>
                <w:sz w:val="24"/>
                <w:szCs w:val="24"/>
              </w:rPr>
            </w:pPr>
          </w:p>
          <w:p w:rsidR="000B16DA" w:rsidRPr="008E2256" w:rsidP="00E25357" w14:paraId="34904D4E" w14:textId="77777777">
            <w:pPr>
              <w:pStyle w:val="HTMLPreformatted"/>
              <w:rPr>
                <w:rFonts w:ascii="Times New Roman" w:hAnsi="Times New Roman" w:cs="Times New Roman"/>
                <w:sz w:val="24"/>
                <w:szCs w:val="24"/>
              </w:rPr>
            </w:pPr>
          </w:p>
          <w:p w:rsidR="000B16DA" w:rsidRPr="008E2256" w:rsidP="00E25357" w14:paraId="1EF26F3F" w14:textId="77777777">
            <w:pPr>
              <w:pStyle w:val="HTMLPreformatted"/>
              <w:rPr>
                <w:rFonts w:ascii="Times New Roman" w:hAnsi="Times New Roman" w:cs="Times New Roman"/>
                <w:sz w:val="24"/>
                <w:szCs w:val="24"/>
              </w:rPr>
            </w:pPr>
          </w:p>
          <w:p w:rsidR="000B16DA" w:rsidRPr="008E2256" w:rsidP="00E25357" w14:paraId="55A2896B"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Case No. 22-901-EL-ATA</w:t>
            </w:r>
          </w:p>
          <w:p w:rsidR="000B16DA" w:rsidRPr="008E2256" w:rsidP="00E25357" w14:paraId="577EBD4A" w14:textId="77777777">
            <w:pPr>
              <w:pStyle w:val="HTMLPreformatted"/>
              <w:rPr>
                <w:rFonts w:ascii="Times New Roman" w:hAnsi="Times New Roman" w:cs="Times New Roman"/>
                <w:sz w:val="24"/>
                <w:szCs w:val="24"/>
              </w:rPr>
            </w:pPr>
          </w:p>
          <w:p w:rsidR="000B16DA" w:rsidRPr="008E2256" w:rsidP="00E25357" w14:paraId="34309D8B" w14:textId="77777777">
            <w:pPr>
              <w:pStyle w:val="HTMLPreformatted"/>
              <w:rPr>
                <w:rFonts w:ascii="Times New Roman" w:hAnsi="Times New Roman" w:cs="Times New Roman"/>
                <w:sz w:val="24"/>
                <w:szCs w:val="24"/>
              </w:rPr>
            </w:pPr>
          </w:p>
          <w:p w:rsidR="000B16DA" w:rsidRPr="008E2256" w:rsidP="00E25357" w14:paraId="4818B948" w14:textId="77777777">
            <w:pPr>
              <w:pStyle w:val="HTMLPreformatted"/>
              <w:rPr>
                <w:rFonts w:ascii="Times New Roman" w:hAnsi="Times New Roman" w:cs="Times New Roman"/>
                <w:sz w:val="24"/>
                <w:szCs w:val="24"/>
              </w:rPr>
            </w:pPr>
          </w:p>
          <w:p w:rsidR="000B16DA" w:rsidRPr="008E2256" w:rsidP="00E25357" w14:paraId="7788EC8C" w14:textId="77777777">
            <w:pPr>
              <w:pStyle w:val="HTMLPreformatted"/>
              <w:rPr>
                <w:rFonts w:ascii="Times New Roman" w:hAnsi="Times New Roman" w:cs="Times New Roman"/>
                <w:sz w:val="24"/>
                <w:szCs w:val="24"/>
              </w:rPr>
            </w:pPr>
          </w:p>
          <w:p w:rsidR="000B16DA" w:rsidRPr="008E2256" w:rsidP="00E25357" w14:paraId="5AE7BE8E" w14:textId="77777777">
            <w:pPr>
              <w:pStyle w:val="HTMLPreformatted"/>
              <w:rPr>
                <w:rFonts w:ascii="Times New Roman" w:hAnsi="Times New Roman" w:cs="Times New Roman"/>
                <w:sz w:val="24"/>
                <w:szCs w:val="24"/>
              </w:rPr>
            </w:pPr>
            <w:r w:rsidRPr="008E2256">
              <w:rPr>
                <w:rFonts w:ascii="Times New Roman" w:hAnsi="Times New Roman" w:cs="Times New Roman"/>
                <w:sz w:val="24"/>
                <w:szCs w:val="24"/>
              </w:rPr>
              <w:t>Case No. 22-902-EL-AAM</w:t>
            </w:r>
          </w:p>
        </w:tc>
      </w:tr>
    </w:tbl>
    <w:p w:rsidR="00985965" w:rsidRPr="008E2256" w:rsidP="00985965" w14:paraId="1B469560" w14:textId="77777777">
      <w:pPr>
        <w:pBdr>
          <w:bottom w:val="single" w:sz="12" w:space="1" w:color="auto"/>
        </w:pBdr>
        <w:rPr>
          <w:szCs w:val="24"/>
        </w:rPr>
      </w:pPr>
    </w:p>
    <w:p w:rsidR="00985965" w:rsidRPr="008E2256" w:rsidP="00985965" w14:paraId="7DDD4C67" w14:textId="77777777">
      <w:pPr>
        <w:rPr>
          <w:szCs w:val="24"/>
        </w:rPr>
      </w:pPr>
    </w:p>
    <w:p w:rsidR="00985965" w:rsidRPr="008E2256" w:rsidP="00985965" w14:paraId="1A35815F" w14:textId="7D2F66CF">
      <w:pPr>
        <w:jc w:val="center"/>
        <w:rPr>
          <w:b/>
          <w:bCs/>
          <w:szCs w:val="24"/>
        </w:rPr>
      </w:pPr>
      <w:bookmarkStart w:id="0" w:name="_Hlk140490547"/>
      <w:r w:rsidRPr="008E2256">
        <w:rPr>
          <w:b/>
          <w:bCs/>
          <w:szCs w:val="24"/>
        </w:rPr>
        <w:t xml:space="preserve">MEMORANDUM CONTRA </w:t>
      </w:r>
      <w:r w:rsidRPr="008E2256" w:rsidR="00D40B2B">
        <w:rPr>
          <w:b/>
          <w:bCs/>
          <w:szCs w:val="24"/>
        </w:rPr>
        <w:t>AES OHIO’S</w:t>
      </w:r>
      <w:r w:rsidRPr="008E2256">
        <w:rPr>
          <w:b/>
          <w:bCs/>
          <w:szCs w:val="24"/>
        </w:rPr>
        <w:t xml:space="preserve"> APPLICATION FOR REHEARING</w:t>
      </w:r>
    </w:p>
    <w:bookmarkEnd w:id="0"/>
    <w:p w:rsidR="005663C8" w:rsidRPr="008E2256" w:rsidP="00985965" w14:paraId="1D16F35E" w14:textId="058B9FFF">
      <w:pPr>
        <w:jc w:val="center"/>
        <w:rPr>
          <w:b/>
          <w:bCs/>
          <w:szCs w:val="24"/>
        </w:rPr>
      </w:pPr>
      <w:r w:rsidRPr="008E2256">
        <w:rPr>
          <w:b/>
          <w:bCs/>
          <w:szCs w:val="24"/>
        </w:rPr>
        <w:t>BY</w:t>
      </w:r>
    </w:p>
    <w:p w:rsidR="00C8145A" w:rsidRPr="008E2256" w:rsidP="00C8145A" w14:paraId="72F2FC8B" w14:textId="77777777">
      <w:pPr>
        <w:jc w:val="center"/>
        <w:rPr>
          <w:b/>
          <w:bCs/>
          <w:szCs w:val="24"/>
        </w:rPr>
      </w:pPr>
      <w:r w:rsidRPr="008E2256">
        <w:rPr>
          <w:b/>
          <w:bCs/>
          <w:szCs w:val="24"/>
        </w:rPr>
        <w:t>OFFICE OF THE OHIO CONSUMERS’ COUNSEL</w:t>
      </w:r>
    </w:p>
    <w:p w:rsidR="00985965" w:rsidRPr="008E2256" w:rsidP="00985965" w14:paraId="4B130546" w14:textId="77777777">
      <w:pPr>
        <w:pBdr>
          <w:bottom w:val="single" w:sz="12" w:space="1" w:color="auto"/>
        </w:pBdr>
        <w:jc w:val="center"/>
        <w:rPr>
          <w:b/>
          <w:szCs w:val="24"/>
        </w:rPr>
      </w:pPr>
    </w:p>
    <w:p w:rsidR="00755970" w:rsidRPr="008E2256" w:rsidP="00755970" w14:paraId="34A8DF11" w14:textId="77777777">
      <w:pPr>
        <w:pStyle w:val="Heading1"/>
        <w:spacing w:after="0"/>
      </w:pPr>
    </w:p>
    <w:p w:rsidR="00327F6E" w:rsidRPr="008E2256" w:rsidP="003718C3" w14:paraId="071B2808" w14:textId="4CF4FD0C">
      <w:pPr>
        <w:pStyle w:val="Heading1"/>
        <w:spacing w:after="0" w:line="480" w:lineRule="auto"/>
      </w:pPr>
      <w:r w:rsidRPr="008E2256">
        <w:t>I.</w:t>
      </w:r>
      <w:r w:rsidRPr="008E2256">
        <w:tab/>
        <w:t>INTRODUCTION</w:t>
      </w:r>
    </w:p>
    <w:p w:rsidR="003718C3" w:rsidRPr="008E2256" w:rsidP="004D6D24" w14:paraId="1E821844" w14:textId="2BBD8884">
      <w:pPr>
        <w:pStyle w:val="Footer"/>
        <w:tabs>
          <w:tab w:val="clear" w:pos="4320"/>
          <w:tab w:val="clear" w:pos="8640"/>
        </w:tabs>
        <w:spacing w:line="480" w:lineRule="auto"/>
        <w:ind w:firstLine="720"/>
        <w:rPr>
          <w:sz w:val="24"/>
          <w:szCs w:val="24"/>
        </w:rPr>
      </w:pPr>
      <w:r w:rsidRPr="008E2256">
        <w:rPr>
          <w:sz w:val="24"/>
          <w:szCs w:val="24"/>
        </w:rPr>
        <w:t xml:space="preserve">This case involves a Settlement that will cost consumers over $160 million </w:t>
      </w:r>
      <w:r w:rsidR="004D6D24">
        <w:rPr>
          <w:sz w:val="24"/>
          <w:szCs w:val="24"/>
        </w:rPr>
        <w:t xml:space="preserve">during </w:t>
      </w:r>
      <w:r w:rsidRPr="008E2256">
        <w:rPr>
          <w:sz w:val="24"/>
          <w:szCs w:val="24"/>
        </w:rPr>
        <w:t>the next three years.</w:t>
      </w:r>
      <w:r>
        <w:rPr>
          <w:rStyle w:val="FootnoteReference"/>
          <w:sz w:val="24"/>
          <w:szCs w:val="24"/>
        </w:rPr>
        <w:footnoteReference w:id="2"/>
      </w:r>
      <w:r w:rsidRPr="008E2256">
        <w:rPr>
          <w:sz w:val="24"/>
          <w:szCs w:val="24"/>
        </w:rPr>
        <w:t xml:space="preserve"> AES Ohio gets to collect </w:t>
      </w:r>
      <w:r w:rsidR="00B06CC3">
        <w:rPr>
          <w:sz w:val="24"/>
          <w:szCs w:val="24"/>
        </w:rPr>
        <w:t xml:space="preserve">from its consumers </w:t>
      </w:r>
      <w:r w:rsidRPr="008E2256">
        <w:rPr>
          <w:sz w:val="24"/>
          <w:szCs w:val="24"/>
        </w:rPr>
        <w:t>over $76 million in past costs, some dating back nearly ten years. These past costs include $28 million</w:t>
      </w:r>
      <w:r w:rsidR="00B13D23">
        <w:rPr>
          <w:sz w:val="24"/>
          <w:szCs w:val="24"/>
        </w:rPr>
        <w:t xml:space="preserve"> in charges to consumers</w:t>
      </w:r>
      <w:r w:rsidRPr="008E2256">
        <w:rPr>
          <w:sz w:val="24"/>
          <w:szCs w:val="24"/>
        </w:rPr>
        <w:t xml:space="preserve"> for </w:t>
      </w:r>
      <w:r w:rsidR="000F49E0">
        <w:rPr>
          <w:sz w:val="24"/>
          <w:szCs w:val="24"/>
        </w:rPr>
        <w:t>c</w:t>
      </w:r>
      <w:r w:rsidRPr="008E2256" w:rsidR="000F49E0">
        <w:rPr>
          <w:sz w:val="24"/>
          <w:szCs w:val="24"/>
        </w:rPr>
        <w:t>oal</w:t>
      </w:r>
      <w:r w:rsidR="000F49E0">
        <w:rPr>
          <w:sz w:val="24"/>
          <w:szCs w:val="24"/>
        </w:rPr>
        <w:t xml:space="preserve"> p</w:t>
      </w:r>
      <w:r w:rsidRPr="008E2256" w:rsidR="000F49E0">
        <w:rPr>
          <w:sz w:val="24"/>
          <w:szCs w:val="24"/>
        </w:rPr>
        <w:t>lant</w:t>
      </w:r>
      <w:r w:rsidR="004D6D24">
        <w:rPr>
          <w:sz w:val="24"/>
          <w:szCs w:val="24"/>
        </w:rPr>
        <w:t xml:space="preserve"> subsidies for</w:t>
      </w:r>
      <w:r w:rsidR="00DE0824">
        <w:rPr>
          <w:sz w:val="24"/>
          <w:szCs w:val="24"/>
        </w:rPr>
        <w:t xml:space="preserve"> </w:t>
      </w:r>
      <w:r w:rsidRPr="008E2256">
        <w:rPr>
          <w:sz w:val="24"/>
          <w:szCs w:val="24"/>
        </w:rPr>
        <w:t>two 1950’s era coal plants, one of which is located in Indiana.</w:t>
      </w:r>
      <w:r>
        <w:rPr>
          <w:rStyle w:val="FootnoteReference"/>
          <w:sz w:val="24"/>
          <w:szCs w:val="24"/>
        </w:rPr>
        <w:footnoteReference w:id="3"/>
      </w:r>
      <w:r w:rsidRPr="008E2256" w:rsidR="00E06737">
        <w:rPr>
          <w:sz w:val="24"/>
          <w:szCs w:val="24"/>
        </w:rPr>
        <w:t xml:space="preserve"> </w:t>
      </w:r>
      <w:r w:rsidRPr="008E2256">
        <w:rPr>
          <w:sz w:val="24"/>
          <w:szCs w:val="24"/>
        </w:rPr>
        <w:t>AES Ohio also gets to collect $6.3 million in transition costs</w:t>
      </w:r>
      <w:r w:rsidR="00B13D23">
        <w:rPr>
          <w:sz w:val="24"/>
          <w:szCs w:val="24"/>
        </w:rPr>
        <w:t xml:space="preserve"> from consumers</w:t>
      </w:r>
      <w:r w:rsidRPr="008E2256">
        <w:rPr>
          <w:sz w:val="24"/>
          <w:szCs w:val="24"/>
        </w:rPr>
        <w:t xml:space="preserve"> even though the time to collect those costs ended by law in 2010. </w:t>
      </w:r>
    </w:p>
    <w:p w:rsidR="003718C3" w:rsidRPr="008E2256" w:rsidP="003718C3" w14:paraId="7FE9BBF2" w14:textId="3DCFEEFB">
      <w:pPr>
        <w:pStyle w:val="Footer"/>
        <w:tabs>
          <w:tab w:val="clear" w:pos="4320"/>
          <w:tab w:val="clear" w:pos="8640"/>
        </w:tabs>
        <w:spacing w:line="480" w:lineRule="auto"/>
        <w:ind w:firstLine="720"/>
        <w:rPr>
          <w:sz w:val="24"/>
          <w:szCs w:val="24"/>
        </w:rPr>
      </w:pPr>
      <w:r w:rsidRPr="008E2256">
        <w:rPr>
          <w:sz w:val="24"/>
          <w:szCs w:val="24"/>
        </w:rPr>
        <w:t xml:space="preserve">The PUCO approved the </w:t>
      </w:r>
      <w:r w:rsidRPr="008E2256" w:rsidR="00CE65A2">
        <w:rPr>
          <w:sz w:val="24"/>
          <w:szCs w:val="24"/>
        </w:rPr>
        <w:t>Settlement.</w:t>
      </w:r>
      <w:r w:rsidRPr="008E2256" w:rsidR="003468DD">
        <w:rPr>
          <w:sz w:val="24"/>
          <w:szCs w:val="24"/>
        </w:rPr>
        <w:t xml:space="preserve"> </w:t>
      </w:r>
      <w:r w:rsidRPr="008E2256">
        <w:rPr>
          <w:sz w:val="24"/>
          <w:szCs w:val="24"/>
        </w:rPr>
        <w:t xml:space="preserve">Although the PUCO approved AES Ohio’s request to collect the $28 million for </w:t>
      </w:r>
      <w:r w:rsidR="004D6D24">
        <w:rPr>
          <w:sz w:val="24"/>
          <w:szCs w:val="24"/>
        </w:rPr>
        <w:t>past coal subsidies</w:t>
      </w:r>
      <w:r w:rsidRPr="008E2256">
        <w:rPr>
          <w:sz w:val="24"/>
          <w:szCs w:val="24"/>
        </w:rPr>
        <w:t xml:space="preserve">, AES Ohio nevertheless filed an </w:t>
      </w:r>
      <w:r w:rsidRPr="008E2256">
        <w:rPr>
          <w:sz w:val="24"/>
          <w:szCs w:val="24"/>
        </w:rPr>
        <w:t>Application for Rehearing</w:t>
      </w:r>
      <w:r w:rsidR="00164D95">
        <w:rPr>
          <w:sz w:val="24"/>
          <w:szCs w:val="24"/>
        </w:rPr>
        <w:t xml:space="preserve">.  In its pleading, AES Ohio </w:t>
      </w:r>
      <w:r w:rsidRPr="008E2256">
        <w:rPr>
          <w:sz w:val="24"/>
          <w:szCs w:val="24"/>
        </w:rPr>
        <w:t xml:space="preserve"> argu</w:t>
      </w:r>
      <w:r w:rsidR="00164D95">
        <w:rPr>
          <w:sz w:val="24"/>
          <w:szCs w:val="24"/>
        </w:rPr>
        <w:t>es</w:t>
      </w:r>
      <w:r w:rsidRPr="008E2256">
        <w:rPr>
          <w:sz w:val="24"/>
          <w:szCs w:val="24"/>
        </w:rPr>
        <w:t xml:space="preserve"> that the PUCO should have approved these costs for the added reason that the costs acted as a </w:t>
      </w:r>
      <w:r w:rsidR="008D6D0B">
        <w:rPr>
          <w:sz w:val="24"/>
          <w:szCs w:val="24"/>
        </w:rPr>
        <w:t>“</w:t>
      </w:r>
      <w:r w:rsidRPr="008E2256">
        <w:rPr>
          <w:sz w:val="24"/>
          <w:szCs w:val="24"/>
        </w:rPr>
        <w:t xml:space="preserve">limitation on </w:t>
      </w:r>
      <w:r w:rsidR="008D6D0B">
        <w:rPr>
          <w:sz w:val="24"/>
          <w:szCs w:val="24"/>
        </w:rPr>
        <w:t>shopping”</w:t>
      </w:r>
      <w:r w:rsidRPr="008E2256">
        <w:rPr>
          <w:sz w:val="24"/>
          <w:szCs w:val="24"/>
        </w:rPr>
        <w:t xml:space="preserve"> under R.C. 4928.143(B)(2)(d).</w:t>
      </w:r>
      <w:r>
        <w:rPr>
          <w:rStyle w:val="FootnoteReference"/>
          <w:sz w:val="24"/>
          <w:szCs w:val="24"/>
        </w:rPr>
        <w:footnoteReference w:id="4"/>
      </w:r>
      <w:r w:rsidR="008E2256">
        <w:rPr>
          <w:sz w:val="24"/>
          <w:szCs w:val="24"/>
        </w:rPr>
        <w:t xml:space="preserve"> </w:t>
      </w:r>
    </w:p>
    <w:p w:rsidR="00732AF9" w:rsidP="00732AF9" w14:paraId="4BE963A0" w14:textId="6D0FE1A2">
      <w:pPr>
        <w:pStyle w:val="Footer"/>
        <w:tabs>
          <w:tab w:val="clear" w:pos="4320"/>
          <w:tab w:val="clear" w:pos="8640"/>
        </w:tabs>
        <w:spacing w:line="480" w:lineRule="auto"/>
        <w:rPr>
          <w:sz w:val="24"/>
          <w:szCs w:val="24"/>
        </w:rPr>
      </w:pPr>
      <w:r w:rsidRPr="008E2256">
        <w:rPr>
          <w:sz w:val="24"/>
          <w:szCs w:val="24"/>
        </w:rPr>
        <w:tab/>
        <w:t xml:space="preserve">The PUCO, however, should not have approved the </w:t>
      </w:r>
      <w:r w:rsidR="004D6D24">
        <w:rPr>
          <w:sz w:val="24"/>
          <w:szCs w:val="24"/>
        </w:rPr>
        <w:t>past coal subsidies</w:t>
      </w:r>
      <w:r w:rsidR="000F49E0">
        <w:rPr>
          <w:sz w:val="24"/>
          <w:szCs w:val="24"/>
        </w:rPr>
        <w:t xml:space="preserve"> </w:t>
      </w:r>
      <w:r w:rsidR="004D6D24">
        <w:rPr>
          <w:sz w:val="24"/>
          <w:szCs w:val="24"/>
        </w:rPr>
        <w:t xml:space="preserve">for collection from consumers </w:t>
      </w:r>
      <w:r w:rsidRPr="008E2256">
        <w:rPr>
          <w:sz w:val="24"/>
          <w:szCs w:val="24"/>
        </w:rPr>
        <w:t>in its original Opinion and Order</w:t>
      </w:r>
      <w:r w:rsidRPr="008E2256" w:rsidR="003468DD">
        <w:rPr>
          <w:sz w:val="24"/>
          <w:szCs w:val="24"/>
        </w:rPr>
        <w:t>.</w:t>
      </w:r>
      <w:r w:rsidR="008E2256">
        <w:rPr>
          <w:sz w:val="24"/>
          <w:szCs w:val="24"/>
        </w:rPr>
        <w:t xml:space="preserve"> </w:t>
      </w:r>
      <w:r w:rsidRPr="008E2256" w:rsidR="003468DD">
        <w:rPr>
          <w:sz w:val="24"/>
          <w:szCs w:val="24"/>
        </w:rPr>
        <w:t>N</w:t>
      </w:r>
      <w:r w:rsidRPr="008E2256">
        <w:rPr>
          <w:sz w:val="24"/>
          <w:szCs w:val="24"/>
        </w:rPr>
        <w:t xml:space="preserve">or should it </w:t>
      </w:r>
      <w:r w:rsidR="004D6D24">
        <w:rPr>
          <w:sz w:val="24"/>
          <w:szCs w:val="24"/>
        </w:rPr>
        <w:t xml:space="preserve">now </w:t>
      </w:r>
      <w:r w:rsidRPr="008E2256">
        <w:rPr>
          <w:sz w:val="24"/>
          <w:szCs w:val="24"/>
        </w:rPr>
        <w:t>approve the c</w:t>
      </w:r>
      <w:r w:rsidR="00C167EF">
        <w:rPr>
          <w:sz w:val="24"/>
          <w:szCs w:val="24"/>
        </w:rPr>
        <w:t xml:space="preserve">harges to consumers </w:t>
      </w:r>
      <w:r w:rsidRPr="008E2256">
        <w:rPr>
          <w:sz w:val="24"/>
          <w:szCs w:val="24"/>
        </w:rPr>
        <w:t xml:space="preserve">as a limitation on customer </w:t>
      </w:r>
      <w:r w:rsidRPr="008E2256" w:rsidR="001110B4">
        <w:rPr>
          <w:sz w:val="24"/>
          <w:szCs w:val="24"/>
        </w:rPr>
        <w:t>shopping</w:t>
      </w:r>
      <w:r w:rsidRPr="008E2256">
        <w:rPr>
          <w:sz w:val="24"/>
          <w:szCs w:val="24"/>
        </w:rPr>
        <w:t>.</w:t>
      </w:r>
      <w:r w:rsidRPr="008E2256" w:rsidR="00E06737">
        <w:rPr>
          <w:sz w:val="24"/>
          <w:szCs w:val="24"/>
        </w:rPr>
        <w:t xml:space="preserve"> </w:t>
      </w:r>
      <w:r w:rsidRPr="008E2256">
        <w:rPr>
          <w:sz w:val="24"/>
          <w:szCs w:val="24"/>
        </w:rPr>
        <w:t xml:space="preserve">The </w:t>
      </w:r>
      <w:r w:rsidR="004D6D24">
        <w:rPr>
          <w:sz w:val="24"/>
          <w:szCs w:val="24"/>
        </w:rPr>
        <w:t>past coal subsidies</w:t>
      </w:r>
      <w:r w:rsidR="000F49E0">
        <w:rPr>
          <w:sz w:val="24"/>
          <w:szCs w:val="24"/>
        </w:rPr>
        <w:t xml:space="preserve"> </w:t>
      </w:r>
      <w:r w:rsidRPr="008E2256">
        <w:rPr>
          <w:sz w:val="24"/>
          <w:szCs w:val="24"/>
        </w:rPr>
        <w:t>were incurred to provide power under earlier electric security plans (“ESPs”) and will provide no benefit – nor act as any limitation on shopping – for current AES Ohio consumers.</w:t>
      </w:r>
      <w:r w:rsidRPr="008E2256" w:rsidR="00E06737">
        <w:rPr>
          <w:sz w:val="24"/>
          <w:szCs w:val="24"/>
        </w:rPr>
        <w:t xml:space="preserve"> </w:t>
      </w:r>
      <w:r w:rsidRPr="008E2256">
        <w:rPr>
          <w:sz w:val="24"/>
          <w:szCs w:val="24"/>
        </w:rPr>
        <w:t>The PUCO should therefore reject AES Ohio’s arguments and deny Assignment of Error No. 2 in AES Ohio’s Application for Rehearing.</w:t>
      </w:r>
    </w:p>
    <w:p w:rsidR="00247695" w:rsidRPr="008E2256" w:rsidP="00247695" w14:paraId="7663C534" w14:textId="77777777">
      <w:pPr>
        <w:pStyle w:val="Footer"/>
        <w:tabs>
          <w:tab w:val="clear" w:pos="4320"/>
          <w:tab w:val="clear" w:pos="8640"/>
        </w:tabs>
        <w:rPr>
          <w:sz w:val="24"/>
          <w:szCs w:val="24"/>
        </w:rPr>
      </w:pPr>
    </w:p>
    <w:p w:rsidR="003718C3" w:rsidRPr="008E2256" w:rsidP="001A2BE4" w14:paraId="4D7F84C8" w14:textId="503730FE">
      <w:pPr>
        <w:pStyle w:val="Heading1"/>
      </w:pPr>
      <w:r>
        <w:t>II.</w:t>
      </w:r>
      <w:r>
        <w:tab/>
      </w:r>
      <w:r w:rsidRPr="008E2256">
        <w:t>RECOMMENDATIONS</w:t>
      </w:r>
    </w:p>
    <w:p w:rsidR="00501FC2" w:rsidRPr="008E2256" w:rsidP="003468DD" w14:paraId="37428E10" w14:textId="154FE483">
      <w:pPr>
        <w:pStyle w:val="Heading2"/>
        <w:rPr>
          <w:rFonts w:ascii="Times New Roman" w:hAnsi="Times New Roman"/>
        </w:rPr>
      </w:pPr>
      <w:r w:rsidRPr="008E2256">
        <w:rPr>
          <w:rFonts w:ascii="Times New Roman" w:hAnsi="Times New Roman"/>
        </w:rPr>
        <w:t>A.</w:t>
      </w:r>
      <w:r w:rsidRPr="008E2256">
        <w:rPr>
          <w:rFonts w:ascii="Times New Roman" w:hAnsi="Times New Roman"/>
        </w:rPr>
        <w:tab/>
      </w:r>
      <w:r w:rsidRPr="008E2256" w:rsidR="003718C3">
        <w:rPr>
          <w:rFonts w:ascii="Times New Roman" w:hAnsi="Times New Roman"/>
        </w:rPr>
        <w:t>The PUCO should reject AES Ohio’s Second Assignment of Error</w:t>
      </w:r>
      <w:r w:rsidR="000F49E0">
        <w:rPr>
          <w:rFonts w:ascii="Times New Roman" w:hAnsi="Times New Roman"/>
        </w:rPr>
        <w:t>. There</w:t>
      </w:r>
      <w:r w:rsidRPr="008E2256">
        <w:rPr>
          <w:rFonts w:ascii="Times New Roman" w:hAnsi="Times New Roman"/>
        </w:rPr>
        <w:t xml:space="preserve"> is no evidence to support a finding that the past coal subsidies will act as limitation on customer shopping.</w:t>
      </w:r>
      <w:r w:rsidR="008E2256">
        <w:rPr>
          <w:rFonts w:ascii="Times New Roman" w:hAnsi="Times New Roman"/>
        </w:rPr>
        <w:t xml:space="preserve"> </w:t>
      </w:r>
      <w:r w:rsidRPr="008E2256">
        <w:rPr>
          <w:rFonts w:ascii="Times New Roman" w:hAnsi="Times New Roman"/>
        </w:rPr>
        <w:t xml:space="preserve">And it would be prejudicial to </w:t>
      </w:r>
      <w:r w:rsidR="004D6D24">
        <w:rPr>
          <w:rFonts w:ascii="Times New Roman" w:hAnsi="Times New Roman"/>
        </w:rPr>
        <w:t xml:space="preserve">OCC to </w:t>
      </w:r>
      <w:r w:rsidRPr="008E2256">
        <w:rPr>
          <w:rFonts w:ascii="Times New Roman" w:hAnsi="Times New Roman"/>
        </w:rPr>
        <w:t xml:space="preserve">accept this </w:t>
      </w:r>
      <w:r w:rsidR="004D6D24">
        <w:rPr>
          <w:rFonts w:ascii="Times New Roman" w:hAnsi="Times New Roman"/>
        </w:rPr>
        <w:t xml:space="preserve">new </w:t>
      </w:r>
      <w:r w:rsidRPr="008E2256">
        <w:rPr>
          <w:rFonts w:ascii="Times New Roman" w:hAnsi="Times New Roman"/>
        </w:rPr>
        <w:t>argument now</w:t>
      </w:r>
      <w:r w:rsidR="00924643">
        <w:rPr>
          <w:rFonts w:ascii="Times New Roman" w:hAnsi="Times New Roman"/>
        </w:rPr>
        <w:t xml:space="preserve"> without affording OCC the opportunity to prepare, explain or rebut the argument.</w:t>
      </w:r>
      <w:r w:rsidR="000F49E0">
        <w:rPr>
          <w:rFonts w:ascii="Times New Roman" w:hAnsi="Times New Roman"/>
        </w:rPr>
        <w:t xml:space="preserve"> </w:t>
      </w:r>
      <w:r w:rsidRPr="008E2256">
        <w:rPr>
          <w:rFonts w:ascii="Times New Roman" w:hAnsi="Times New Roman"/>
        </w:rPr>
        <w:t xml:space="preserve"> </w:t>
      </w:r>
    </w:p>
    <w:p w:rsidR="009071C6" w:rsidRPr="008E2256" w:rsidP="003718C3" w14:paraId="71A17733" w14:textId="54010C60">
      <w:pPr>
        <w:spacing w:line="480" w:lineRule="auto"/>
        <w:ind w:firstLine="720"/>
        <w:rPr>
          <w:szCs w:val="24"/>
        </w:rPr>
      </w:pPr>
      <w:r w:rsidRPr="008E2256">
        <w:rPr>
          <w:szCs w:val="24"/>
        </w:rPr>
        <w:t>AES seeks rehearing asking that the PUCO find that its RCR charge satisfies Ohio law because it relates to a limitation on customer shopping under R.C. 4928.143 (B)(2)(d).</w:t>
      </w:r>
      <w:r w:rsidR="008E2256">
        <w:rPr>
          <w:szCs w:val="24"/>
        </w:rPr>
        <w:t xml:space="preserve"> </w:t>
      </w:r>
      <w:r w:rsidRPr="008E2256">
        <w:rPr>
          <w:szCs w:val="24"/>
        </w:rPr>
        <w:t>Its rehearing request should be denied.</w:t>
      </w:r>
    </w:p>
    <w:p w:rsidR="00BC263F" w:rsidRPr="008E2256" w:rsidP="003718C3" w14:paraId="381F0BDA" w14:textId="4DEFCC22">
      <w:pPr>
        <w:spacing w:line="480" w:lineRule="auto"/>
        <w:ind w:firstLine="720"/>
        <w:rPr>
          <w:szCs w:val="24"/>
        </w:rPr>
      </w:pPr>
      <w:r w:rsidRPr="008E2256">
        <w:rPr>
          <w:szCs w:val="24"/>
        </w:rPr>
        <w:t xml:space="preserve">There </w:t>
      </w:r>
      <w:r w:rsidRPr="008E2256" w:rsidR="00B75957">
        <w:rPr>
          <w:szCs w:val="24"/>
        </w:rPr>
        <w:t>is no evidence in the record that the coal plant subsidy costs will serve as a limitation on shopping for AES consumers</w:t>
      </w:r>
      <w:r w:rsidR="000F49E0">
        <w:rPr>
          <w:szCs w:val="24"/>
        </w:rPr>
        <w:t>.</w:t>
      </w:r>
      <w:r w:rsidR="008E2256">
        <w:rPr>
          <w:szCs w:val="24"/>
        </w:rPr>
        <w:t xml:space="preserve"> </w:t>
      </w:r>
      <w:r w:rsidRPr="008E2256" w:rsidR="00B75957">
        <w:rPr>
          <w:szCs w:val="24"/>
        </w:rPr>
        <w:t xml:space="preserve">None. No witness testimony, no briefing. </w:t>
      </w:r>
      <w:r w:rsidRPr="008E2256" w:rsidR="005E02DC">
        <w:rPr>
          <w:szCs w:val="24"/>
        </w:rPr>
        <w:t xml:space="preserve">The first </w:t>
      </w:r>
      <w:r w:rsidRPr="008E2256">
        <w:rPr>
          <w:szCs w:val="24"/>
        </w:rPr>
        <w:t xml:space="preserve">time </w:t>
      </w:r>
      <w:r w:rsidRPr="008E2256" w:rsidR="005E02DC">
        <w:rPr>
          <w:szCs w:val="24"/>
        </w:rPr>
        <w:t>this issue has been raised is in the utility’s application for rehearing.</w:t>
      </w:r>
      <w:r w:rsidR="008E2256">
        <w:rPr>
          <w:szCs w:val="24"/>
        </w:rPr>
        <w:t xml:space="preserve"> </w:t>
      </w:r>
      <w:r w:rsidRPr="008E2256" w:rsidR="00B75957">
        <w:rPr>
          <w:szCs w:val="24"/>
        </w:rPr>
        <w:t xml:space="preserve">The PUCO cannot possibly determine </w:t>
      </w:r>
      <w:r w:rsidRPr="008E2256" w:rsidR="005E02DC">
        <w:rPr>
          <w:szCs w:val="24"/>
        </w:rPr>
        <w:t>that the past subsidy charges in this case will act as a limitation on shopping for consumers over the next three years of the ESP term.</w:t>
      </w:r>
      <w:r w:rsidRPr="008E2256">
        <w:rPr>
          <w:szCs w:val="24"/>
        </w:rPr>
        <w:t xml:space="preserve"> </w:t>
      </w:r>
      <w:r w:rsidRPr="008E2256" w:rsidR="005E02DC">
        <w:rPr>
          <w:szCs w:val="24"/>
        </w:rPr>
        <w:t xml:space="preserve">There is </w:t>
      </w:r>
      <w:r w:rsidRPr="008E2256" w:rsidR="00B75957">
        <w:rPr>
          <w:szCs w:val="24"/>
        </w:rPr>
        <w:t>no record on the issue.</w:t>
      </w:r>
      <w:r w:rsidR="008E2256">
        <w:rPr>
          <w:szCs w:val="24"/>
        </w:rPr>
        <w:t xml:space="preserve"> </w:t>
      </w:r>
      <w:r w:rsidRPr="008E2256">
        <w:rPr>
          <w:szCs w:val="24"/>
        </w:rPr>
        <w:t xml:space="preserve">The PUCO violates R.C. </w:t>
      </w:r>
      <w:r w:rsidRPr="008E2256" w:rsidR="00B75957">
        <w:rPr>
          <w:szCs w:val="24"/>
        </w:rPr>
        <w:t>4903.09</w:t>
      </w:r>
      <w:r w:rsidRPr="008E2256">
        <w:rPr>
          <w:szCs w:val="24"/>
        </w:rPr>
        <w:t xml:space="preserve"> when it issues a decision without record support.</w:t>
      </w:r>
      <w:r w:rsidR="008E2256">
        <w:rPr>
          <w:szCs w:val="24"/>
        </w:rPr>
        <w:t xml:space="preserve"> </w:t>
      </w:r>
      <w:r w:rsidRPr="008E2256">
        <w:rPr>
          <w:szCs w:val="24"/>
        </w:rPr>
        <w:t xml:space="preserve">The PUCO should </w:t>
      </w:r>
      <w:r w:rsidRPr="008E2256" w:rsidR="003468DD">
        <w:rPr>
          <w:szCs w:val="24"/>
        </w:rPr>
        <w:t>deny</w:t>
      </w:r>
      <w:r w:rsidRPr="008E2256">
        <w:rPr>
          <w:szCs w:val="24"/>
        </w:rPr>
        <w:t xml:space="preserve"> DP&amp;L’s request.</w:t>
      </w:r>
    </w:p>
    <w:p w:rsidR="00BC263F" w:rsidRPr="008E2256" w:rsidP="003718C3" w14:paraId="3EE75C78" w14:textId="337F2E4B">
      <w:pPr>
        <w:spacing w:line="480" w:lineRule="auto"/>
        <w:ind w:firstLine="720"/>
        <w:rPr>
          <w:szCs w:val="24"/>
        </w:rPr>
      </w:pPr>
      <w:r w:rsidRPr="008E2256">
        <w:rPr>
          <w:szCs w:val="24"/>
        </w:rPr>
        <w:t xml:space="preserve">Moreover, accepting DP&amp;L’s newly </w:t>
      </w:r>
      <w:r w:rsidR="00020C09">
        <w:rPr>
          <w:szCs w:val="24"/>
        </w:rPr>
        <w:t>advanced</w:t>
      </w:r>
      <w:r w:rsidR="00A53FAB">
        <w:rPr>
          <w:szCs w:val="24"/>
        </w:rPr>
        <w:t>l</w:t>
      </w:r>
      <w:r w:rsidRPr="008E2256">
        <w:rPr>
          <w:szCs w:val="24"/>
        </w:rPr>
        <w:t xml:space="preserve"> theory  would be prejudicial to OCC. OCC has not been permitted the full opportunity to prepare for, explain, or rebut this argument.</w:t>
      </w:r>
      <w:r w:rsidR="008E2256">
        <w:rPr>
          <w:szCs w:val="24"/>
        </w:rPr>
        <w:t xml:space="preserve"> </w:t>
      </w:r>
      <w:r w:rsidRPr="008E2256">
        <w:rPr>
          <w:szCs w:val="24"/>
        </w:rPr>
        <w:t>That violates OCC’s right to due process.</w:t>
      </w:r>
      <w:r w:rsidR="008E2256">
        <w:rPr>
          <w:szCs w:val="24"/>
        </w:rPr>
        <w:t xml:space="preserve"> </w:t>
      </w:r>
    </w:p>
    <w:p w:rsidR="009071C6" w:rsidRPr="002F7434" w:rsidP="002F7434" w14:paraId="5EB9914E" w14:textId="54612B56">
      <w:pPr>
        <w:pStyle w:val="Heading2"/>
      </w:pPr>
      <w:r w:rsidRPr="008E2256">
        <w:t>B.</w:t>
      </w:r>
      <w:r w:rsidRPr="008E2256" w:rsidR="003468DD">
        <w:tab/>
      </w:r>
      <w:r w:rsidRPr="008E2256">
        <w:t>Past charges to consumers for coal plant subsi</w:t>
      </w:r>
      <w:r w:rsidR="002F7434">
        <w:t xml:space="preserve">dies </w:t>
      </w:r>
      <w:r w:rsidRPr="008E2256">
        <w:t>are not a limitation on customer shopping during the next three years of the ESP term.</w:t>
      </w:r>
      <w:r w:rsidR="008E2256">
        <w:t xml:space="preserve"> </w:t>
      </w:r>
    </w:p>
    <w:p w:rsidR="003718C3" w:rsidRPr="006D057E" w:rsidP="00F525CD" w14:paraId="1C8EC454" w14:textId="1522F43D">
      <w:pPr>
        <w:spacing w:line="480" w:lineRule="auto"/>
        <w:ind w:firstLine="720"/>
        <w:rPr>
          <w:i/>
          <w:iCs/>
          <w:szCs w:val="24"/>
        </w:rPr>
      </w:pPr>
      <w:r w:rsidRPr="008E2256">
        <w:rPr>
          <w:szCs w:val="24"/>
        </w:rPr>
        <w:t xml:space="preserve">Generation costs can act as a “limitation on customer shopping” only if the costs were incurred </w:t>
      </w:r>
      <w:r w:rsidRPr="008E2256">
        <w:rPr>
          <w:i/>
          <w:iCs/>
          <w:szCs w:val="24"/>
        </w:rPr>
        <w:t xml:space="preserve">for generation which is actually </w:t>
      </w:r>
      <w:r w:rsidR="00F525CD">
        <w:rPr>
          <w:i/>
          <w:iCs/>
          <w:szCs w:val="24"/>
        </w:rPr>
        <w:t>produced</w:t>
      </w:r>
      <w:r w:rsidRPr="008E2256">
        <w:rPr>
          <w:i/>
          <w:iCs/>
          <w:szCs w:val="24"/>
        </w:rPr>
        <w:t xml:space="preserve"> during </w:t>
      </w:r>
      <w:r w:rsidRPr="008E2256">
        <w:rPr>
          <w:szCs w:val="24"/>
        </w:rPr>
        <w:t>the electric security plan</w:t>
      </w:r>
      <w:r w:rsidR="00F525CD">
        <w:rPr>
          <w:szCs w:val="24"/>
        </w:rPr>
        <w:t xml:space="preserve"> as part of the statutorily mandated standard service offe</w:t>
      </w:r>
      <w:r w:rsidR="002F623A">
        <w:rPr>
          <w:szCs w:val="24"/>
        </w:rPr>
        <w:t>r.</w:t>
      </w:r>
      <w:r w:rsidRPr="008E2256" w:rsidR="009071C6">
        <w:rPr>
          <w:szCs w:val="24"/>
        </w:rPr>
        <w:t xml:space="preserve">That’s because the </w:t>
      </w:r>
      <w:r w:rsidRPr="008E2256" w:rsidR="003468DD">
        <w:rPr>
          <w:szCs w:val="24"/>
        </w:rPr>
        <w:t>“</w:t>
      </w:r>
      <w:r w:rsidRPr="008E2256" w:rsidR="009071C6">
        <w:rPr>
          <w:szCs w:val="24"/>
        </w:rPr>
        <w:t>limitation on customer shopping</w:t>
      </w:r>
      <w:r w:rsidRPr="008E2256" w:rsidR="003468DD">
        <w:rPr>
          <w:szCs w:val="24"/>
        </w:rPr>
        <w:t>”</w:t>
      </w:r>
      <w:r w:rsidR="008E2256">
        <w:rPr>
          <w:szCs w:val="24"/>
        </w:rPr>
        <w:t xml:space="preserve"> </w:t>
      </w:r>
      <w:r w:rsidRPr="008E2256" w:rsidR="009071C6">
        <w:rPr>
          <w:szCs w:val="24"/>
        </w:rPr>
        <w:t>is founded on the notion that</w:t>
      </w:r>
      <w:r w:rsidR="008E2256">
        <w:rPr>
          <w:szCs w:val="24"/>
        </w:rPr>
        <w:t xml:space="preserve"> </w:t>
      </w:r>
      <w:r w:rsidRPr="008E2256" w:rsidR="003468DD">
        <w:rPr>
          <w:szCs w:val="24"/>
        </w:rPr>
        <w:t>generation charges act as a</w:t>
      </w:r>
      <w:r w:rsidR="008E2256">
        <w:rPr>
          <w:szCs w:val="24"/>
        </w:rPr>
        <w:t xml:space="preserve"> </w:t>
      </w:r>
      <w:r w:rsidRPr="008E2256">
        <w:rPr>
          <w:i/>
          <w:iCs/>
          <w:szCs w:val="24"/>
        </w:rPr>
        <w:t>counter-cyclical hedge to the volatility of the corresponding electric security plan prices in effect during the same period</w:t>
      </w:r>
      <w:r w:rsidRPr="008E2256">
        <w:rPr>
          <w:szCs w:val="24"/>
        </w:rPr>
        <w:t>.</w:t>
      </w:r>
      <w:r w:rsidRPr="008E2256" w:rsidR="00E06737">
        <w:rPr>
          <w:szCs w:val="24"/>
        </w:rPr>
        <w:t xml:space="preserve"> </w:t>
      </w:r>
      <w:r w:rsidRPr="008E2256">
        <w:rPr>
          <w:szCs w:val="24"/>
        </w:rPr>
        <w:t xml:space="preserve">AES Ohio’s </w:t>
      </w:r>
      <w:r w:rsidR="00924643">
        <w:rPr>
          <w:szCs w:val="24"/>
        </w:rPr>
        <w:t xml:space="preserve">past coal plant costs </w:t>
      </w:r>
      <w:r w:rsidRPr="008E2256">
        <w:rPr>
          <w:szCs w:val="24"/>
        </w:rPr>
        <w:t xml:space="preserve">were incurred years ago and therefore </w:t>
      </w:r>
      <w:r w:rsidR="00924643">
        <w:rPr>
          <w:szCs w:val="24"/>
        </w:rPr>
        <w:t>c</w:t>
      </w:r>
      <w:r w:rsidRPr="008E2256">
        <w:rPr>
          <w:szCs w:val="24"/>
        </w:rPr>
        <w:t xml:space="preserve">ould not </w:t>
      </w:r>
      <w:r w:rsidR="002F623A">
        <w:rPr>
          <w:szCs w:val="24"/>
        </w:rPr>
        <w:t xml:space="preserve">possibly </w:t>
      </w:r>
      <w:r w:rsidR="00924643">
        <w:rPr>
          <w:szCs w:val="24"/>
        </w:rPr>
        <w:t>function</w:t>
      </w:r>
      <w:r w:rsidRPr="008E2256">
        <w:rPr>
          <w:szCs w:val="24"/>
        </w:rPr>
        <w:t xml:space="preserve"> as a counter-cyclical hedge to current electric security plan prices.</w:t>
      </w:r>
      <w:r w:rsidRPr="008E2256" w:rsidR="003468DD">
        <w:rPr>
          <w:szCs w:val="24"/>
        </w:rPr>
        <w:t xml:space="preserve"> The past subsidy deferrals are merely charges added onto consumer bills. Nothing more.</w:t>
      </w:r>
      <w:r w:rsidR="008E2256">
        <w:rPr>
          <w:szCs w:val="24"/>
        </w:rPr>
        <w:t xml:space="preserve"> </w:t>
      </w:r>
    </w:p>
    <w:p w:rsidR="00231CC8" w:rsidRPr="008E2256" w:rsidP="003718C3" w14:paraId="46B7A345" w14:textId="07EFFC20">
      <w:pPr>
        <w:spacing w:line="480" w:lineRule="auto"/>
        <w:ind w:firstLine="720"/>
        <w:rPr>
          <w:szCs w:val="24"/>
        </w:rPr>
      </w:pPr>
      <w:r w:rsidRPr="008E2256">
        <w:rPr>
          <w:szCs w:val="24"/>
        </w:rPr>
        <w:t xml:space="preserve">AES Ohio argues that the </w:t>
      </w:r>
      <w:r w:rsidR="00924643">
        <w:rPr>
          <w:szCs w:val="24"/>
        </w:rPr>
        <w:t>coal plant subsidies</w:t>
      </w:r>
      <w:r w:rsidR="000F49E0">
        <w:rPr>
          <w:szCs w:val="24"/>
        </w:rPr>
        <w:t xml:space="preserve"> </w:t>
      </w:r>
      <w:r w:rsidRPr="008E2256">
        <w:rPr>
          <w:szCs w:val="24"/>
        </w:rPr>
        <w:t>relate to</w:t>
      </w:r>
      <w:r w:rsidR="008E2256">
        <w:rPr>
          <w:szCs w:val="24"/>
        </w:rPr>
        <w:t xml:space="preserve"> </w:t>
      </w:r>
      <w:r w:rsidRPr="008E2256">
        <w:rPr>
          <w:szCs w:val="24"/>
        </w:rPr>
        <w:t>a “limitation on customer shopping” under R.C. 4928.143(B)(2)(d).</w:t>
      </w:r>
      <w:r>
        <w:rPr>
          <w:rStyle w:val="FootnoteReference"/>
          <w:szCs w:val="24"/>
        </w:rPr>
        <w:footnoteReference w:id="5"/>
      </w:r>
      <w:r w:rsidRPr="008E2256" w:rsidR="00E06737">
        <w:rPr>
          <w:szCs w:val="24"/>
        </w:rPr>
        <w:t xml:space="preserve"> </w:t>
      </w:r>
      <w:r w:rsidRPr="008E2256">
        <w:rPr>
          <w:szCs w:val="24"/>
        </w:rPr>
        <w:t xml:space="preserve">In support, AES Ohio cites </w:t>
      </w:r>
      <w:r w:rsidRPr="008E2256">
        <w:rPr>
          <w:i/>
          <w:iCs/>
          <w:szCs w:val="24"/>
        </w:rPr>
        <w:t>In re AEP PPA Rider.</w:t>
      </w:r>
      <w:r>
        <w:rPr>
          <w:rStyle w:val="FootnoteReference"/>
          <w:i/>
          <w:iCs/>
          <w:szCs w:val="24"/>
        </w:rPr>
        <w:footnoteReference w:id="6"/>
      </w:r>
      <w:r w:rsidRPr="008E2256">
        <w:rPr>
          <w:i/>
          <w:iCs/>
          <w:szCs w:val="24"/>
        </w:rPr>
        <w:t xml:space="preserve"> </w:t>
      </w:r>
      <w:r w:rsidRPr="008E2256">
        <w:rPr>
          <w:szCs w:val="24"/>
        </w:rPr>
        <w:t>That case, however, is easily distinguishable.</w:t>
      </w:r>
      <w:r w:rsidRPr="008E2256" w:rsidR="00E06737">
        <w:rPr>
          <w:szCs w:val="24"/>
        </w:rPr>
        <w:t xml:space="preserve"> </w:t>
      </w:r>
    </w:p>
    <w:p w:rsidR="00BE6513" w:rsidRPr="008E2256" w:rsidP="003718C3" w14:paraId="31BFEDA8" w14:textId="25F526F6">
      <w:pPr>
        <w:spacing w:line="480" w:lineRule="auto"/>
        <w:ind w:firstLine="720"/>
        <w:rPr>
          <w:szCs w:val="24"/>
        </w:rPr>
      </w:pPr>
      <w:r w:rsidRPr="008E2256">
        <w:rPr>
          <w:szCs w:val="24"/>
        </w:rPr>
        <w:t xml:space="preserve">In </w:t>
      </w:r>
      <w:r w:rsidRPr="008E2256">
        <w:rPr>
          <w:i/>
          <w:iCs/>
          <w:szCs w:val="24"/>
        </w:rPr>
        <w:t xml:space="preserve">In re AEP PPA Rider, </w:t>
      </w:r>
      <w:r w:rsidRPr="008E2256">
        <w:rPr>
          <w:szCs w:val="24"/>
        </w:rPr>
        <w:t>the PUCO approved AEP’s electric security plan rider to collect coal plant subsidy costs through a power purchase agreement</w:t>
      </w:r>
      <w:r w:rsidR="00181D97">
        <w:rPr>
          <w:szCs w:val="24"/>
        </w:rPr>
        <w:t xml:space="preserve">.  Notably, </w:t>
      </w:r>
      <w:r w:rsidR="00B3232A">
        <w:rPr>
          <w:szCs w:val="24"/>
        </w:rPr>
        <w:t xml:space="preserve">the coal subsidies were created </w:t>
      </w:r>
      <w:r w:rsidRPr="008E2256">
        <w:rPr>
          <w:szCs w:val="24"/>
        </w:rPr>
        <w:t xml:space="preserve"> during the period when the electric security plan </w:t>
      </w:r>
      <w:r w:rsidR="00B3232A">
        <w:rPr>
          <w:szCs w:val="24"/>
        </w:rPr>
        <w:t>was in effect</w:t>
      </w:r>
      <w:r w:rsidRPr="008E2256" w:rsidR="004B06A1">
        <w:rPr>
          <w:szCs w:val="24"/>
        </w:rPr>
        <w:t xml:space="preserve"> and consumers</w:t>
      </w:r>
      <w:r w:rsidR="00E04F42">
        <w:rPr>
          <w:szCs w:val="24"/>
        </w:rPr>
        <w:t xml:space="preserve"> were being </w:t>
      </w:r>
      <w:r w:rsidRPr="008E2256" w:rsidR="004B06A1">
        <w:rPr>
          <w:szCs w:val="24"/>
        </w:rPr>
        <w:t xml:space="preserve"> charged for the standard service offer</w:t>
      </w:r>
      <w:r w:rsidRPr="008E2256">
        <w:rPr>
          <w:szCs w:val="24"/>
        </w:rPr>
        <w:t>.</w:t>
      </w:r>
      <w:r w:rsidRPr="008E2256" w:rsidR="00E06737">
        <w:rPr>
          <w:szCs w:val="24"/>
        </w:rPr>
        <w:t xml:space="preserve"> </w:t>
      </w:r>
      <w:r w:rsidRPr="008E2256" w:rsidR="004B06A1">
        <w:rPr>
          <w:szCs w:val="24"/>
        </w:rPr>
        <w:t>Under such a scenario</w:t>
      </w:r>
      <w:r w:rsidR="00E04F42">
        <w:rPr>
          <w:szCs w:val="24"/>
        </w:rPr>
        <w:t xml:space="preserve">, </w:t>
      </w:r>
      <w:r w:rsidRPr="008E2256" w:rsidR="004B06A1">
        <w:rPr>
          <w:szCs w:val="24"/>
        </w:rPr>
        <w:t xml:space="preserve"> the charges would satisfy </w:t>
      </w:r>
      <w:r w:rsidR="00924643">
        <w:rPr>
          <w:szCs w:val="24"/>
        </w:rPr>
        <w:t xml:space="preserve">the </w:t>
      </w:r>
      <w:r w:rsidRPr="008E2256" w:rsidR="004B06A1">
        <w:rPr>
          <w:szCs w:val="24"/>
        </w:rPr>
        <w:t xml:space="preserve">R.C. 4928.143(B)(2)(d) requirement that </w:t>
      </w:r>
      <w:r w:rsidRPr="008E2256">
        <w:rPr>
          <w:szCs w:val="24"/>
        </w:rPr>
        <w:t xml:space="preserve">the costs must “have the effect of </w:t>
      </w:r>
      <w:r w:rsidRPr="008E2256">
        <w:rPr>
          <w:i/>
          <w:iCs/>
          <w:szCs w:val="24"/>
        </w:rPr>
        <w:t>stabilizing or providing certainty</w:t>
      </w:r>
      <w:r w:rsidRPr="008E2256">
        <w:rPr>
          <w:szCs w:val="24"/>
        </w:rPr>
        <w:t xml:space="preserve"> regarding retail electric service.”</w:t>
      </w:r>
      <w:r>
        <w:rPr>
          <w:rStyle w:val="FootnoteReference"/>
          <w:szCs w:val="24"/>
        </w:rPr>
        <w:footnoteReference w:id="7"/>
      </w:r>
      <w:r w:rsidR="008E2256">
        <w:rPr>
          <w:szCs w:val="24"/>
        </w:rPr>
        <w:t xml:space="preserve"> </w:t>
      </w:r>
    </w:p>
    <w:p w:rsidR="00D62472" w:rsidP="004B06A1" w14:paraId="2B106009" w14:textId="7D7DF193">
      <w:pPr>
        <w:spacing w:line="480" w:lineRule="auto"/>
        <w:ind w:firstLine="720"/>
        <w:rPr>
          <w:szCs w:val="24"/>
        </w:rPr>
      </w:pPr>
      <w:r w:rsidRPr="008E2256">
        <w:rPr>
          <w:szCs w:val="24"/>
        </w:rPr>
        <w:t xml:space="preserve">The leading case for “limitation on customer shopping” charges is </w:t>
      </w:r>
      <w:r w:rsidRPr="008E2256">
        <w:rPr>
          <w:i/>
          <w:iCs/>
          <w:szCs w:val="24"/>
        </w:rPr>
        <w:t>In re AEP ESP 3</w:t>
      </w:r>
      <w:r w:rsidR="005C4FBF">
        <w:rPr>
          <w:i/>
          <w:iCs/>
          <w:szCs w:val="24"/>
        </w:rPr>
        <w:t>.</w:t>
      </w:r>
      <w:r>
        <w:rPr>
          <w:rStyle w:val="FootnoteReference"/>
          <w:szCs w:val="24"/>
        </w:rPr>
        <w:footnoteReference w:id="8"/>
      </w:r>
      <w:r w:rsidRPr="008E2256" w:rsidR="00E06737">
        <w:rPr>
          <w:szCs w:val="24"/>
        </w:rPr>
        <w:t xml:space="preserve"> </w:t>
      </w:r>
      <w:r w:rsidRPr="008E2256" w:rsidR="00231CC8">
        <w:rPr>
          <w:szCs w:val="24"/>
        </w:rPr>
        <w:t>There</w:t>
      </w:r>
      <w:r w:rsidR="008E2256">
        <w:rPr>
          <w:szCs w:val="24"/>
        </w:rPr>
        <w:t xml:space="preserve"> </w:t>
      </w:r>
      <w:r w:rsidRPr="008E2256">
        <w:rPr>
          <w:szCs w:val="24"/>
        </w:rPr>
        <w:t>the PUCO approved a rider allowing AEP to collect coal plant subsidy costs incurred through a power purchase agreement during the same period of time when AEP’s electric security plan would be in effect.</w:t>
      </w:r>
      <w:r w:rsidRPr="008E2256" w:rsidR="00E06737">
        <w:rPr>
          <w:szCs w:val="24"/>
        </w:rPr>
        <w:t xml:space="preserve"> </w:t>
      </w:r>
      <w:r w:rsidRPr="008E2256">
        <w:rPr>
          <w:szCs w:val="24"/>
        </w:rPr>
        <w:t>The fact that the coal plant subsidy</w:t>
      </w:r>
      <w:r w:rsidR="006D057E">
        <w:rPr>
          <w:szCs w:val="24"/>
        </w:rPr>
        <w:t xml:space="preserve"> </w:t>
      </w:r>
      <w:r w:rsidRPr="008E2256">
        <w:rPr>
          <w:szCs w:val="24"/>
        </w:rPr>
        <w:t>costs would be incurred while the electric security plan would be in effect was essential</w:t>
      </w:r>
      <w:r>
        <w:rPr>
          <w:szCs w:val="24"/>
        </w:rPr>
        <w:t xml:space="preserve">.  </w:t>
      </w:r>
      <w:r w:rsidRPr="008E2256">
        <w:rPr>
          <w:szCs w:val="24"/>
        </w:rPr>
        <w:t xml:space="preserve"> </w:t>
      </w:r>
    </w:p>
    <w:p w:rsidR="004B06A1" w:rsidRPr="008E2256" w:rsidP="006D057E" w14:paraId="3FC3B86E" w14:textId="4CED1A06">
      <w:pPr>
        <w:spacing w:line="480" w:lineRule="auto"/>
        <w:rPr>
          <w:szCs w:val="24"/>
        </w:rPr>
      </w:pPr>
      <w:r>
        <w:rPr>
          <w:szCs w:val="24"/>
        </w:rPr>
        <w:t xml:space="preserve">It </w:t>
      </w:r>
      <w:r w:rsidRPr="008E2256" w:rsidR="00085A99">
        <w:rPr>
          <w:szCs w:val="24"/>
        </w:rPr>
        <w:t xml:space="preserve"> is the only way the costs could satisfy R.C. 4928.143(B)(2)(d</w:t>
      </w:r>
      <w:r w:rsidR="00882C3C">
        <w:rPr>
          <w:szCs w:val="24"/>
        </w:rPr>
        <w:t xml:space="preserve">) </w:t>
      </w:r>
      <w:r w:rsidRPr="008E2256" w:rsidR="00231CC8">
        <w:rPr>
          <w:szCs w:val="24"/>
        </w:rPr>
        <w:t>and</w:t>
      </w:r>
      <w:r w:rsidR="008E2256">
        <w:rPr>
          <w:szCs w:val="24"/>
        </w:rPr>
        <w:t xml:space="preserve"> </w:t>
      </w:r>
      <w:r w:rsidRPr="008E2256" w:rsidR="00085A99">
        <w:rPr>
          <w:szCs w:val="24"/>
        </w:rPr>
        <w:t>“have the effect of stabilizing or providing certainty regarding</w:t>
      </w:r>
      <w:r w:rsidR="00B97901">
        <w:rPr>
          <w:szCs w:val="24"/>
        </w:rPr>
        <w:t xml:space="preserve"> retail electric service</w:t>
      </w:r>
      <w:r w:rsidRPr="008E2256" w:rsidR="00085A99">
        <w:rPr>
          <w:szCs w:val="24"/>
        </w:rPr>
        <w:t>.”</w:t>
      </w:r>
      <w:r>
        <w:rPr>
          <w:rStyle w:val="FootnoteReference"/>
          <w:szCs w:val="24"/>
        </w:rPr>
        <w:footnoteReference w:id="9"/>
      </w:r>
      <w:r w:rsidRPr="008E2256" w:rsidR="00085A99">
        <w:rPr>
          <w:szCs w:val="24"/>
        </w:rPr>
        <w:t xml:space="preserve"> </w:t>
      </w:r>
      <w:r w:rsidR="003023D5">
        <w:rPr>
          <w:szCs w:val="24"/>
        </w:rPr>
        <w:t>(</w:t>
      </w:r>
      <w:r w:rsidRPr="008E2256" w:rsidR="00085A99">
        <w:rPr>
          <w:szCs w:val="24"/>
        </w:rPr>
        <w:t>Note the statute is written in present tense, not past tense.</w:t>
      </w:r>
      <w:r w:rsidR="003023D5">
        <w:rPr>
          <w:szCs w:val="24"/>
        </w:rPr>
        <w:t>)</w:t>
      </w:r>
    </w:p>
    <w:p w:rsidR="003718C3" w:rsidRPr="008E2256" w:rsidP="003718C3" w14:paraId="31323C3A" w14:textId="761AB1FA">
      <w:pPr>
        <w:spacing w:line="480" w:lineRule="auto"/>
        <w:ind w:firstLine="720"/>
        <w:rPr>
          <w:szCs w:val="24"/>
        </w:rPr>
      </w:pPr>
      <w:r w:rsidRPr="008E2256">
        <w:rPr>
          <w:szCs w:val="24"/>
        </w:rPr>
        <w:t xml:space="preserve">In </w:t>
      </w:r>
      <w:r w:rsidRPr="008E2256">
        <w:rPr>
          <w:i/>
          <w:iCs/>
          <w:szCs w:val="24"/>
        </w:rPr>
        <w:t>In re AEP ESP 3,</w:t>
      </w:r>
      <w:r>
        <w:rPr>
          <w:rStyle w:val="FootnoteReference"/>
          <w:szCs w:val="24"/>
        </w:rPr>
        <w:footnoteReference w:id="10"/>
      </w:r>
      <w:r w:rsidRPr="008E2256">
        <w:rPr>
          <w:i/>
          <w:iCs/>
          <w:szCs w:val="24"/>
        </w:rPr>
        <w:t xml:space="preserve"> </w:t>
      </w:r>
      <w:r w:rsidRPr="008E2256">
        <w:rPr>
          <w:szCs w:val="24"/>
        </w:rPr>
        <w:t>the coal plant subsidy costs under the power purchase agreement</w:t>
      </w:r>
      <w:r w:rsidR="000F49E0">
        <w:rPr>
          <w:szCs w:val="24"/>
        </w:rPr>
        <w:t xml:space="preserve"> </w:t>
      </w:r>
      <w:r w:rsidR="003023D5">
        <w:rPr>
          <w:szCs w:val="24"/>
        </w:rPr>
        <w:t xml:space="preserve">purportedly </w:t>
      </w:r>
      <w:r w:rsidRPr="008E2256">
        <w:rPr>
          <w:szCs w:val="24"/>
        </w:rPr>
        <w:t xml:space="preserve">“provide certainty” because these costs moved in an opposite direction (“counter-cyclical”) from the costs for the </w:t>
      </w:r>
      <w:r w:rsidRPr="008E2256" w:rsidR="003C297D">
        <w:rPr>
          <w:szCs w:val="24"/>
        </w:rPr>
        <w:t>competitively bid</w:t>
      </w:r>
      <w:r w:rsidRPr="008E2256">
        <w:rPr>
          <w:szCs w:val="24"/>
        </w:rPr>
        <w:t xml:space="preserve"> standard service offer.</w:t>
      </w:r>
      <w:r>
        <w:rPr>
          <w:rStyle w:val="FootnoteReference"/>
          <w:szCs w:val="24"/>
        </w:rPr>
        <w:footnoteReference w:id="11"/>
      </w:r>
      <w:r w:rsidRPr="008E2256" w:rsidR="00E06737">
        <w:rPr>
          <w:szCs w:val="24"/>
        </w:rPr>
        <w:t xml:space="preserve"> </w:t>
      </w:r>
      <w:r w:rsidRPr="008E2256">
        <w:rPr>
          <w:szCs w:val="24"/>
        </w:rPr>
        <w:t xml:space="preserve">Hence the costs </w:t>
      </w:r>
      <w:r w:rsidR="003023D5">
        <w:rPr>
          <w:szCs w:val="24"/>
        </w:rPr>
        <w:t xml:space="preserve">purportedly </w:t>
      </w:r>
      <w:r w:rsidRPr="008E2256">
        <w:rPr>
          <w:szCs w:val="24"/>
        </w:rPr>
        <w:t xml:space="preserve">acted as a “financial hedging mechanism” which would mitigate volatility in the </w:t>
      </w:r>
      <w:r w:rsidRPr="008E2256" w:rsidR="003C297D">
        <w:rPr>
          <w:szCs w:val="24"/>
        </w:rPr>
        <w:t>competitively bid</w:t>
      </w:r>
      <w:r w:rsidRPr="008E2256">
        <w:rPr>
          <w:szCs w:val="24"/>
        </w:rPr>
        <w:t xml:space="preserve"> standard service offer auctions.</w:t>
      </w:r>
      <w:r>
        <w:rPr>
          <w:rStyle w:val="FootnoteReference"/>
          <w:szCs w:val="24"/>
        </w:rPr>
        <w:footnoteReference w:id="12"/>
      </w:r>
      <w:r w:rsidRPr="008E2256" w:rsidR="00E06737">
        <w:rPr>
          <w:szCs w:val="24"/>
        </w:rPr>
        <w:t xml:space="preserve"> </w:t>
      </w:r>
      <w:r w:rsidRPr="008E2256">
        <w:rPr>
          <w:szCs w:val="24"/>
        </w:rPr>
        <w:t>The PUCO explained as follows:</w:t>
      </w:r>
    </w:p>
    <w:p w:rsidR="003718C3" w:rsidRPr="008E2256" w:rsidP="003718C3" w14:paraId="6F3D5D47" w14:textId="77777777">
      <w:pPr>
        <w:ind w:left="1440" w:right="1440"/>
        <w:rPr>
          <w:szCs w:val="24"/>
        </w:rPr>
      </w:pPr>
      <w:r w:rsidRPr="008E2256">
        <w:rPr>
          <w:szCs w:val="24"/>
        </w:rPr>
        <w:t>Taking the requirements of R.C. 4928.143(B)(2)(d) somewhat out of turn, the Commission will next address the third criterion, which is whether the PPA charge would have the effect of stabilizing or providing certainty regarding retail electric service. We find that the PPA rider, as a financial hedging mechanism, is proposed to have the effect of stabilizing or providing certainty regarding retail electric service. AEP Ohio witness Vegas explained that the PPA rider would smooth out fluctuations in market prices, because the rider would rise or fall in a way that is opposite of the wholesale market. Specifically, because AEP Ohio claims that OVEC's mostly fixed costs are relatively stable in comparison to market based costs, the PPA rider would produce a credit when OVEC's costs are below wholesale market prices, while the rider would produce a charge when OVEC's costs are above wholesale market prices. The PPA rider, therefore, is intended to mitigate, by design, the effects of market volatility, providing customers with more stable pricing and a measure of protection against substantial increases in market prices.</w:t>
      </w:r>
      <w:r>
        <w:rPr>
          <w:rStyle w:val="FootnoteReference"/>
          <w:szCs w:val="24"/>
        </w:rPr>
        <w:footnoteReference w:id="13"/>
      </w:r>
    </w:p>
    <w:p w:rsidR="003718C3" w:rsidRPr="008E2256" w:rsidP="003718C3" w14:paraId="20304F53" w14:textId="77777777">
      <w:pPr>
        <w:ind w:left="1440" w:right="1440"/>
        <w:rPr>
          <w:szCs w:val="24"/>
        </w:rPr>
      </w:pPr>
    </w:p>
    <w:p w:rsidR="003718C3" w:rsidRPr="008E2256" w:rsidP="003718C3" w14:paraId="785FF798" w14:textId="3F0C30E5">
      <w:pPr>
        <w:spacing w:line="480" w:lineRule="auto"/>
        <w:ind w:firstLine="720"/>
        <w:rPr>
          <w:szCs w:val="24"/>
        </w:rPr>
      </w:pPr>
      <w:r w:rsidRPr="008E2256">
        <w:rPr>
          <w:szCs w:val="24"/>
        </w:rPr>
        <w:t xml:space="preserve">In the present case, AES Ohio’s </w:t>
      </w:r>
      <w:r w:rsidR="003023D5">
        <w:rPr>
          <w:szCs w:val="24"/>
        </w:rPr>
        <w:t>coal subsidy</w:t>
      </w:r>
      <w:r w:rsidRPr="008E2256">
        <w:rPr>
          <w:szCs w:val="24"/>
        </w:rPr>
        <w:t xml:space="preserve"> costs do not “stabilize or provide certainty regarding retail electric service” because the costs were incurred during a prior period.</w:t>
      </w:r>
      <w:r w:rsidRPr="008E2256" w:rsidR="00E06737">
        <w:rPr>
          <w:szCs w:val="24"/>
        </w:rPr>
        <w:t xml:space="preserve"> </w:t>
      </w:r>
      <w:r w:rsidRPr="008E2256">
        <w:rPr>
          <w:szCs w:val="24"/>
        </w:rPr>
        <w:t xml:space="preserve">There is simply no way that “the rider would rise or fall in a way that is opposite of the wholesale market” because the costs have already been incurred and </w:t>
      </w:r>
      <w:r w:rsidR="003023D5">
        <w:rPr>
          <w:szCs w:val="24"/>
        </w:rPr>
        <w:t xml:space="preserve">were part of </w:t>
      </w:r>
      <w:r w:rsidRPr="008E2256">
        <w:rPr>
          <w:szCs w:val="24"/>
        </w:rPr>
        <w:t>provid</w:t>
      </w:r>
      <w:r w:rsidR="003023D5">
        <w:rPr>
          <w:szCs w:val="24"/>
        </w:rPr>
        <w:t xml:space="preserve">ing </w:t>
      </w:r>
      <w:r w:rsidRPr="008E2256">
        <w:rPr>
          <w:szCs w:val="24"/>
        </w:rPr>
        <w:t>service to consumers under earlier electric security plans.</w:t>
      </w:r>
      <w:r w:rsidR="007435F8">
        <w:rPr>
          <w:szCs w:val="24"/>
        </w:rPr>
        <w:t xml:space="preserve">  At this point in time the coal sub</w:t>
      </w:r>
      <w:r w:rsidR="00AB173C">
        <w:rPr>
          <w:szCs w:val="24"/>
        </w:rPr>
        <w:t>sidies are only charges on customers ‘bills that do not have anything to do with customers</w:t>
      </w:r>
      <w:r w:rsidR="00092633">
        <w:rPr>
          <w:szCs w:val="24"/>
        </w:rPr>
        <w:t xml:space="preserve">’ shopping for power. </w:t>
      </w:r>
    </w:p>
    <w:p w:rsidR="003718C3" w:rsidRPr="008E2256" w:rsidP="003718C3" w14:paraId="2D9CCDB4" w14:textId="7619C9AB">
      <w:pPr>
        <w:spacing w:line="480" w:lineRule="auto"/>
        <w:ind w:firstLine="720"/>
        <w:rPr>
          <w:szCs w:val="24"/>
        </w:rPr>
      </w:pPr>
      <w:r w:rsidRPr="008E2256">
        <w:rPr>
          <w:szCs w:val="24"/>
        </w:rPr>
        <w:t xml:space="preserve">The </w:t>
      </w:r>
      <w:r w:rsidR="003023D5">
        <w:rPr>
          <w:szCs w:val="24"/>
        </w:rPr>
        <w:t>past coal subsidy</w:t>
      </w:r>
      <w:r w:rsidR="000F49E0">
        <w:rPr>
          <w:szCs w:val="24"/>
        </w:rPr>
        <w:t xml:space="preserve"> </w:t>
      </w:r>
      <w:r w:rsidRPr="008E2256">
        <w:rPr>
          <w:szCs w:val="24"/>
        </w:rPr>
        <w:t xml:space="preserve">costs (also referred to as “OVEC deferral”) consists of past fuel costs from AES Ohio’s share of two coal plants (one in Indiana) which were incurred but not collected </w:t>
      </w:r>
      <w:r w:rsidR="003023D5">
        <w:rPr>
          <w:szCs w:val="24"/>
        </w:rPr>
        <w:t xml:space="preserve">from customers </w:t>
      </w:r>
      <w:r w:rsidRPr="008E2256">
        <w:rPr>
          <w:szCs w:val="24"/>
        </w:rPr>
        <w:t>during prior electric security plans.</w:t>
      </w:r>
      <w:r>
        <w:rPr>
          <w:rStyle w:val="FootnoteReference"/>
          <w:szCs w:val="24"/>
        </w:rPr>
        <w:footnoteReference w:id="14"/>
      </w:r>
      <w:r w:rsidRPr="008E2256">
        <w:rPr>
          <w:szCs w:val="24"/>
        </w:rPr>
        <w:t xml:space="preserve"> The costs were incurred during two time periods: October 1, 2014 through October 31, 2017 and December 19, 2019 through December 31, 2019.</w:t>
      </w:r>
      <w:r>
        <w:rPr>
          <w:rStyle w:val="FootnoteReference"/>
          <w:szCs w:val="24"/>
        </w:rPr>
        <w:footnoteReference w:id="15"/>
      </w:r>
      <w:r w:rsidRPr="008E2256">
        <w:rPr>
          <w:szCs w:val="24"/>
        </w:rPr>
        <w:t xml:space="preserve"> </w:t>
      </w:r>
    </w:p>
    <w:p w:rsidR="003718C3" w:rsidRPr="008E2256" w:rsidP="003718C3" w14:paraId="738C4D47" w14:textId="77777777">
      <w:pPr>
        <w:spacing w:line="480" w:lineRule="auto"/>
        <w:ind w:firstLine="720"/>
        <w:rPr>
          <w:szCs w:val="24"/>
        </w:rPr>
      </w:pPr>
      <w:r w:rsidRPr="008E2256">
        <w:rPr>
          <w:szCs w:val="24"/>
        </w:rPr>
        <w:t>Throughout the October 1, 2014 through October 31, 2017 time period, either AES Ohio’s ESP I or AES Ohio’s ESP II was in effect. The PUCO approved AES Ohio’s ESP II on September 4, 2013.</w:t>
      </w:r>
      <w:r>
        <w:rPr>
          <w:rStyle w:val="FootnoteReference"/>
          <w:szCs w:val="24"/>
        </w:rPr>
        <w:footnoteReference w:id="16"/>
      </w:r>
      <w:r w:rsidRPr="008E2256">
        <w:rPr>
          <w:szCs w:val="24"/>
        </w:rPr>
        <w:t xml:space="preserve"> The Supreme Court of Ohio reversed the PUCO’s approval of AES Ohio’s ESP II on June 20, 2016.</w:t>
      </w:r>
      <w:r>
        <w:rPr>
          <w:rStyle w:val="FootnoteReference"/>
          <w:szCs w:val="24"/>
        </w:rPr>
        <w:footnoteReference w:id="17"/>
      </w:r>
      <w:r w:rsidRPr="008E2256">
        <w:rPr>
          <w:szCs w:val="24"/>
        </w:rPr>
        <w:t xml:space="preserve"> On remand, the PUCO issued an August 26, 2016 Order modifying AES Ohio’s ESP II per the Supreme Court’s ruling and then granted AES Ohio’s motion to withdraw from its ESP II, thus terminating it.</w:t>
      </w:r>
      <w:r>
        <w:rPr>
          <w:rStyle w:val="FootnoteReference"/>
          <w:szCs w:val="24"/>
        </w:rPr>
        <w:footnoteReference w:id="18"/>
      </w:r>
      <w:r w:rsidRPr="008E2256">
        <w:rPr>
          <w:szCs w:val="24"/>
        </w:rPr>
        <w:t xml:space="preserve"> After AES Ohio’s ESP II was terminated, the PUCO granted AES Ohio’s application to revert to ESP I.</w:t>
      </w:r>
      <w:r>
        <w:rPr>
          <w:rStyle w:val="FootnoteReference"/>
          <w:szCs w:val="24"/>
        </w:rPr>
        <w:footnoteReference w:id="19"/>
      </w:r>
      <w:r w:rsidRPr="008E2256">
        <w:rPr>
          <w:szCs w:val="24"/>
        </w:rPr>
        <w:t xml:space="preserve"> AES Ohio’s ESP I remained in effect until the PUCO approved AES Ohio’s third ESP, effective November 1, 2017.</w:t>
      </w:r>
      <w:r>
        <w:rPr>
          <w:rStyle w:val="FootnoteReference"/>
          <w:szCs w:val="24"/>
        </w:rPr>
        <w:footnoteReference w:id="20"/>
      </w:r>
    </w:p>
    <w:p w:rsidR="003718C3" w:rsidRPr="008E2256" w:rsidP="003718C3" w14:paraId="687D834B" w14:textId="6624D9D5">
      <w:pPr>
        <w:spacing w:line="480" w:lineRule="auto"/>
        <w:ind w:firstLine="720"/>
        <w:rPr>
          <w:szCs w:val="24"/>
        </w:rPr>
      </w:pPr>
      <w:r w:rsidRPr="008E2256">
        <w:rPr>
          <w:szCs w:val="24"/>
        </w:rPr>
        <w:t xml:space="preserve">The PUCO’s approval of AES Ohio’s ESP III included a Reconciliation Rider which allowed AES Ohio to collect </w:t>
      </w:r>
      <w:r w:rsidR="003023D5">
        <w:rPr>
          <w:szCs w:val="24"/>
        </w:rPr>
        <w:t xml:space="preserve">past coal plant </w:t>
      </w:r>
      <w:r w:rsidR="000F49E0">
        <w:rPr>
          <w:szCs w:val="24"/>
        </w:rPr>
        <w:t xml:space="preserve">subsidy </w:t>
      </w:r>
      <w:r w:rsidRPr="008E2256">
        <w:rPr>
          <w:szCs w:val="24"/>
        </w:rPr>
        <w:t>costs from consumers beginning on November 1, 2019.</w:t>
      </w:r>
      <w:r>
        <w:rPr>
          <w:rStyle w:val="FootnoteReference"/>
          <w:szCs w:val="24"/>
        </w:rPr>
        <w:footnoteReference w:id="21"/>
      </w:r>
      <w:r w:rsidRPr="008E2256">
        <w:rPr>
          <w:szCs w:val="24"/>
        </w:rPr>
        <w:t xml:space="preserve"> </w:t>
      </w:r>
      <w:r w:rsidR="00D558C6">
        <w:rPr>
          <w:szCs w:val="24"/>
        </w:rPr>
        <w:t xml:space="preserve"> </w:t>
      </w:r>
      <w:r w:rsidRPr="008E2256">
        <w:rPr>
          <w:szCs w:val="24"/>
        </w:rPr>
        <w:t>However, AES Ohio withdrew from ESP III on December 18, 2019.</w:t>
      </w:r>
      <w:r>
        <w:rPr>
          <w:rStyle w:val="FootnoteReference"/>
          <w:szCs w:val="24"/>
        </w:rPr>
        <w:footnoteReference w:id="22"/>
      </w:r>
      <w:r w:rsidRPr="008E2256">
        <w:rPr>
          <w:szCs w:val="24"/>
        </w:rPr>
        <w:t xml:space="preserve"> The </w:t>
      </w:r>
      <w:r w:rsidR="003023D5">
        <w:rPr>
          <w:szCs w:val="24"/>
        </w:rPr>
        <w:t>coal plant</w:t>
      </w:r>
      <w:r w:rsidRPr="008E2256">
        <w:rPr>
          <w:szCs w:val="24"/>
        </w:rPr>
        <w:t xml:space="preserve"> costs in the present case also include past fuel costs from December 19, 2019 through December 31, 2019. Effective January 1, 2020, AES Ohio has been collecting coal plant subsidy costs from consumers through the legacy generation rider.</w:t>
      </w:r>
      <w:r>
        <w:rPr>
          <w:rStyle w:val="FootnoteReference"/>
          <w:szCs w:val="24"/>
        </w:rPr>
        <w:footnoteReference w:id="23"/>
      </w:r>
    </w:p>
    <w:p w:rsidR="003718C3" w:rsidRPr="008E2256" w:rsidP="003718C3" w14:paraId="3222C0AB" w14:textId="54BDFB13">
      <w:pPr>
        <w:spacing w:line="480" w:lineRule="auto"/>
        <w:ind w:firstLine="720"/>
        <w:rPr>
          <w:szCs w:val="24"/>
        </w:rPr>
      </w:pPr>
      <w:r w:rsidRPr="008E2256">
        <w:rPr>
          <w:szCs w:val="24"/>
        </w:rPr>
        <w:t xml:space="preserve">AES Ohio did not fully collect its </w:t>
      </w:r>
      <w:r w:rsidR="003023D5">
        <w:rPr>
          <w:szCs w:val="24"/>
        </w:rPr>
        <w:t>coal plant subsidy</w:t>
      </w:r>
      <w:r w:rsidR="000F49E0">
        <w:rPr>
          <w:szCs w:val="24"/>
        </w:rPr>
        <w:t xml:space="preserve"> </w:t>
      </w:r>
      <w:r w:rsidRPr="008E2256">
        <w:rPr>
          <w:szCs w:val="24"/>
        </w:rPr>
        <w:t xml:space="preserve">costs under ESP I and ESP II because it reached a settlement agreement whereby it agreed to phase in a competitive bid process. That competitive bid process did not include a mechanism for AES Ohio to fully collect the </w:t>
      </w:r>
      <w:r w:rsidR="00E7367F">
        <w:rPr>
          <w:szCs w:val="24"/>
        </w:rPr>
        <w:t xml:space="preserve">past coal plant </w:t>
      </w:r>
      <w:r w:rsidR="000F49E0">
        <w:rPr>
          <w:szCs w:val="24"/>
        </w:rPr>
        <w:t>subsidies.</w:t>
      </w:r>
      <w:r>
        <w:rPr>
          <w:rStyle w:val="FootnoteReference"/>
          <w:szCs w:val="24"/>
        </w:rPr>
        <w:footnoteReference w:id="24"/>
      </w:r>
      <w:r w:rsidRPr="008E2256">
        <w:rPr>
          <w:szCs w:val="24"/>
        </w:rPr>
        <w:t xml:space="preserve"> AES Ohio explained this in an internal accounting memo:</w:t>
      </w:r>
    </w:p>
    <w:p w:rsidR="003718C3" w:rsidRPr="008E2256" w:rsidP="003718C3" w14:paraId="7A463397" w14:textId="77777777">
      <w:pPr>
        <w:ind w:left="1440" w:right="1440"/>
        <w:rPr>
          <w:szCs w:val="24"/>
        </w:rPr>
      </w:pPr>
      <w:r w:rsidRPr="008E2256">
        <w:rPr>
          <w:szCs w:val="24"/>
        </w:rPr>
        <w:t>Until 2014, all the energy bought was considered retail and both energy and demand charges were fully recovered through DP&amp;L's fuel rider. As part of our implementation of DP&amp;L's 2013 Electric Security Plan ("ESP") order, we began excluding a non-retail portion of the demand charge from DP&amp;L's fuel adjustment clause ("FAC") and expensing it.</w:t>
      </w:r>
      <w:r>
        <w:rPr>
          <w:rStyle w:val="FootnoteReference"/>
          <w:szCs w:val="24"/>
        </w:rPr>
        <w:footnoteReference w:id="25"/>
      </w:r>
    </w:p>
    <w:p w:rsidR="003718C3" w:rsidRPr="008E2256" w:rsidP="003718C3" w14:paraId="72360F07" w14:textId="77777777">
      <w:pPr>
        <w:ind w:left="1440" w:right="1440"/>
        <w:rPr>
          <w:szCs w:val="24"/>
        </w:rPr>
      </w:pPr>
    </w:p>
    <w:p w:rsidR="003718C3" w:rsidRPr="008E2256" w:rsidP="00C0796C" w14:paraId="32457E75" w14:textId="54A6026D">
      <w:pPr>
        <w:spacing w:line="480" w:lineRule="auto"/>
        <w:ind w:firstLine="720"/>
        <w:rPr>
          <w:szCs w:val="24"/>
        </w:rPr>
      </w:pPr>
      <w:r w:rsidRPr="008E2256">
        <w:rPr>
          <w:szCs w:val="24"/>
        </w:rPr>
        <w:t xml:space="preserve">To sum up this important point, the </w:t>
      </w:r>
      <w:r w:rsidR="00E7367F">
        <w:rPr>
          <w:szCs w:val="24"/>
        </w:rPr>
        <w:t>past coal plant</w:t>
      </w:r>
      <w:r w:rsidR="000F49E0">
        <w:rPr>
          <w:szCs w:val="24"/>
        </w:rPr>
        <w:t xml:space="preserve"> </w:t>
      </w:r>
      <w:r w:rsidRPr="008E2256">
        <w:rPr>
          <w:szCs w:val="24"/>
        </w:rPr>
        <w:t xml:space="preserve">costs in the present case covers AES Ohio’s share of past coal plant fuel costs which were </w:t>
      </w:r>
      <w:r w:rsidRPr="008E2256">
        <w:rPr>
          <w:i/>
          <w:iCs/>
          <w:szCs w:val="24"/>
        </w:rPr>
        <w:t>incurred</w:t>
      </w:r>
      <w:r w:rsidRPr="008E2256">
        <w:rPr>
          <w:szCs w:val="24"/>
        </w:rPr>
        <w:t xml:space="preserve"> but not collected from consumers during October 1, 2014 through October 31, 2017 and December 19, 2019 through December 31, 2019, when either ESP I or ESP II was in effect</w:t>
      </w:r>
      <w:r w:rsidRPr="008E2256" w:rsidR="00C0796C">
        <w:rPr>
          <w:szCs w:val="24"/>
        </w:rPr>
        <w:t>.</w:t>
      </w:r>
      <w:r w:rsidR="000874C5">
        <w:rPr>
          <w:szCs w:val="24"/>
        </w:rPr>
        <w:t xml:space="preserve"> They are not costs related to the current standard service offer.  They do not function as a limitation on shopping.  </w:t>
      </w:r>
    </w:p>
    <w:p w:rsidR="00C0796C" w:rsidRPr="008E2256" w:rsidP="003C297D" w14:paraId="0D1A06D1" w14:textId="77777777">
      <w:pPr>
        <w:ind w:firstLine="720"/>
        <w:rPr>
          <w:szCs w:val="24"/>
        </w:rPr>
      </w:pPr>
    </w:p>
    <w:p w:rsidR="00C0796C" w:rsidRPr="008E2256" w:rsidP="003C297D" w14:paraId="7B4D7841" w14:textId="626B3E32">
      <w:pPr>
        <w:pStyle w:val="Heading1"/>
      </w:pPr>
      <w:r w:rsidRPr="008E2256">
        <w:t>III.</w:t>
      </w:r>
      <w:r w:rsidR="003C297D">
        <w:tab/>
      </w:r>
      <w:r w:rsidRPr="008E2256">
        <w:t xml:space="preserve">CONCLUSION </w:t>
      </w:r>
    </w:p>
    <w:p w:rsidR="00C0796C" w:rsidRPr="008E2256" w:rsidP="00C0796C" w14:paraId="6F45BFC9" w14:textId="2042BC57">
      <w:pPr>
        <w:spacing w:line="480" w:lineRule="auto"/>
        <w:rPr>
          <w:szCs w:val="24"/>
        </w:rPr>
      </w:pPr>
      <w:r w:rsidRPr="008E2256">
        <w:rPr>
          <w:szCs w:val="24"/>
        </w:rPr>
        <w:tab/>
        <w:t xml:space="preserve">The </w:t>
      </w:r>
      <w:r w:rsidRPr="008E2256">
        <w:rPr>
          <w:caps/>
          <w:szCs w:val="24"/>
        </w:rPr>
        <w:t xml:space="preserve">puco </w:t>
      </w:r>
      <w:r w:rsidRPr="008E2256">
        <w:rPr>
          <w:szCs w:val="24"/>
        </w:rPr>
        <w:t>should reject AES’s Second Assignment of Erro</w:t>
      </w:r>
      <w:r w:rsidRPr="008E2256" w:rsidR="00BA60F9">
        <w:rPr>
          <w:szCs w:val="24"/>
        </w:rPr>
        <w:t>r</w:t>
      </w:r>
      <w:r w:rsidRPr="008E2256">
        <w:rPr>
          <w:szCs w:val="24"/>
        </w:rPr>
        <w:t>.</w:t>
      </w:r>
      <w:r w:rsidR="008E2256">
        <w:rPr>
          <w:szCs w:val="24"/>
        </w:rPr>
        <w:t xml:space="preserve"> </w:t>
      </w:r>
      <w:r w:rsidRPr="008E2256">
        <w:rPr>
          <w:szCs w:val="24"/>
        </w:rPr>
        <w:t xml:space="preserve">There is no </w:t>
      </w:r>
      <w:r w:rsidRPr="008E2256" w:rsidR="003C297D">
        <w:rPr>
          <w:szCs w:val="24"/>
        </w:rPr>
        <w:t>record</w:t>
      </w:r>
      <w:r w:rsidRPr="008E2256">
        <w:rPr>
          <w:szCs w:val="24"/>
        </w:rPr>
        <w:t xml:space="preserve"> evidence to support </w:t>
      </w:r>
      <w:r w:rsidRPr="008E2256" w:rsidR="00BA60F9">
        <w:rPr>
          <w:szCs w:val="24"/>
        </w:rPr>
        <w:t xml:space="preserve">the utility’s </w:t>
      </w:r>
      <w:r w:rsidRPr="008E2256">
        <w:rPr>
          <w:szCs w:val="24"/>
        </w:rPr>
        <w:t xml:space="preserve">claim that past coal subsidy costs </w:t>
      </w:r>
      <w:r w:rsidR="00835B83">
        <w:rPr>
          <w:szCs w:val="24"/>
        </w:rPr>
        <w:t xml:space="preserve">will </w:t>
      </w:r>
      <w:r w:rsidRPr="008E2256" w:rsidR="003C297D">
        <w:rPr>
          <w:szCs w:val="24"/>
        </w:rPr>
        <w:t>serve</w:t>
      </w:r>
      <w:r w:rsidRPr="008E2256">
        <w:rPr>
          <w:szCs w:val="24"/>
        </w:rPr>
        <w:t xml:space="preserve"> as a </w:t>
      </w:r>
      <w:r w:rsidRPr="008E2256" w:rsidR="00BA60F9">
        <w:rPr>
          <w:szCs w:val="24"/>
        </w:rPr>
        <w:t>limitation</w:t>
      </w:r>
      <w:r w:rsidRPr="008E2256">
        <w:rPr>
          <w:szCs w:val="24"/>
        </w:rPr>
        <w:t xml:space="preserve"> on customer shopping during the next three years of the electric security plan.</w:t>
      </w:r>
      <w:r w:rsidR="008E2256">
        <w:rPr>
          <w:szCs w:val="24"/>
        </w:rPr>
        <w:t xml:space="preserve"> </w:t>
      </w:r>
      <w:r w:rsidRPr="008E2256" w:rsidR="00BA60F9">
        <w:rPr>
          <w:szCs w:val="24"/>
        </w:rPr>
        <w:t>Accepting AES Ohio’s argument at this time would be prejudicial to OCC as it deprives OCC of the opportunity to prepare for, rebut, or explain the argument.</w:t>
      </w:r>
      <w:r w:rsidR="008E2256">
        <w:rPr>
          <w:szCs w:val="24"/>
        </w:rPr>
        <w:t xml:space="preserve"> </w:t>
      </w:r>
      <w:r w:rsidRPr="008E2256" w:rsidR="00BA60F9">
        <w:rPr>
          <w:szCs w:val="24"/>
        </w:rPr>
        <w:t>Rehearing should be denied.</w:t>
      </w:r>
      <w:r w:rsidR="008E2256">
        <w:rPr>
          <w:szCs w:val="24"/>
        </w:rPr>
        <w:t xml:space="preserve"> </w:t>
      </w:r>
    </w:p>
    <w:p w:rsidR="003718C3" w:rsidRPr="008E2256" w:rsidP="003718C3" w14:paraId="2F111A55" w14:textId="77777777">
      <w:pPr>
        <w:rPr>
          <w:szCs w:val="24"/>
        </w:rPr>
      </w:pPr>
    </w:p>
    <w:p w:rsidR="00E06737" w:rsidRPr="008E2256" w:rsidP="00E06737" w14:paraId="50F982AD" w14:textId="77777777">
      <w:pPr>
        <w:ind w:left="4320"/>
        <w:rPr>
          <w:szCs w:val="24"/>
        </w:rPr>
      </w:pPr>
      <w:r w:rsidRPr="008E2256">
        <w:rPr>
          <w:szCs w:val="24"/>
        </w:rPr>
        <w:t>Respectfully submitted,</w:t>
      </w:r>
    </w:p>
    <w:p w:rsidR="00E06737" w:rsidRPr="008E2256" w:rsidP="00E06737" w14:paraId="0F17002A" w14:textId="77777777">
      <w:pPr>
        <w:ind w:left="4320"/>
        <w:rPr>
          <w:szCs w:val="24"/>
        </w:rPr>
      </w:pPr>
    </w:p>
    <w:p w:rsidR="00E06737" w:rsidRPr="008E2256" w:rsidP="00E06737" w14:paraId="006E1285" w14:textId="77777777">
      <w:pPr>
        <w:ind w:left="4320"/>
        <w:rPr>
          <w:szCs w:val="24"/>
        </w:rPr>
      </w:pPr>
      <w:r w:rsidRPr="008E2256">
        <w:rPr>
          <w:szCs w:val="24"/>
        </w:rPr>
        <w:t>Bruce Weston (0016973)</w:t>
      </w:r>
    </w:p>
    <w:p w:rsidR="00E06737" w:rsidRPr="008E2256" w:rsidP="00E06737" w14:paraId="19C921D4" w14:textId="77777777">
      <w:pPr>
        <w:ind w:left="4320"/>
        <w:rPr>
          <w:szCs w:val="24"/>
        </w:rPr>
      </w:pPr>
      <w:r w:rsidRPr="008E2256">
        <w:rPr>
          <w:szCs w:val="24"/>
        </w:rPr>
        <w:t>Consumers’ Counsel</w:t>
      </w:r>
    </w:p>
    <w:p w:rsidR="00E06737" w:rsidRPr="008E2256" w:rsidP="00E06737" w14:paraId="54238D9E" w14:textId="77777777">
      <w:pPr>
        <w:ind w:left="4320"/>
        <w:rPr>
          <w:szCs w:val="24"/>
        </w:rPr>
      </w:pPr>
    </w:p>
    <w:p w:rsidR="00E06737" w:rsidRPr="008E2256" w:rsidP="00E06737" w14:paraId="72FCD64D" w14:textId="77777777">
      <w:pPr>
        <w:tabs>
          <w:tab w:val="left" w:pos="4320"/>
        </w:tabs>
        <w:ind w:left="4320" w:right="-180"/>
        <w:rPr>
          <w:i/>
          <w:iCs/>
          <w:szCs w:val="24"/>
          <w:u w:val="single"/>
        </w:rPr>
      </w:pPr>
      <w:r w:rsidRPr="008E2256">
        <w:rPr>
          <w:i/>
          <w:iCs/>
          <w:szCs w:val="24"/>
          <w:u w:val="single"/>
        </w:rPr>
        <w:t>/s/ Maureen R. Willis</w:t>
      </w:r>
    </w:p>
    <w:p w:rsidR="00E06737" w:rsidRPr="008E2256" w:rsidP="00E06737" w14:paraId="68B63FB5" w14:textId="77777777">
      <w:pPr>
        <w:tabs>
          <w:tab w:val="left" w:pos="4320"/>
        </w:tabs>
        <w:ind w:left="4320" w:right="-180"/>
        <w:rPr>
          <w:szCs w:val="24"/>
        </w:rPr>
      </w:pPr>
      <w:r w:rsidRPr="008E2256">
        <w:rPr>
          <w:szCs w:val="24"/>
        </w:rPr>
        <w:t>Maureen R. Willis (0020847)</w:t>
      </w:r>
    </w:p>
    <w:p w:rsidR="00E06737" w:rsidRPr="008E2256" w:rsidP="00E06737" w14:paraId="32B6E6C9" w14:textId="77777777">
      <w:pPr>
        <w:tabs>
          <w:tab w:val="left" w:pos="4320"/>
        </w:tabs>
        <w:ind w:left="4320" w:right="-180"/>
        <w:rPr>
          <w:szCs w:val="24"/>
        </w:rPr>
      </w:pPr>
      <w:r w:rsidRPr="008E2256">
        <w:rPr>
          <w:szCs w:val="24"/>
        </w:rPr>
        <w:t>Acting Legal Director</w:t>
      </w:r>
    </w:p>
    <w:p w:rsidR="00E06737" w:rsidRPr="008E2256" w:rsidP="00E06737" w14:paraId="2DC0734E" w14:textId="77777777">
      <w:pPr>
        <w:tabs>
          <w:tab w:val="left" w:pos="4320"/>
        </w:tabs>
        <w:ind w:left="4320" w:right="-180"/>
        <w:rPr>
          <w:szCs w:val="24"/>
        </w:rPr>
      </w:pPr>
      <w:r w:rsidRPr="008E2256">
        <w:rPr>
          <w:szCs w:val="24"/>
        </w:rPr>
        <w:t>Counsel of Record</w:t>
      </w:r>
    </w:p>
    <w:p w:rsidR="00E06737" w:rsidRPr="008E2256" w:rsidP="00E06737" w14:paraId="4B143959" w14:textId="77777777">
      <w:pPr>
        <w:tabs>
          <w:tab w:val="left" w:pos="4320"/>
        </w:tabs>
        <w:ind w:left="4320" w:right="-180"/>
        <w:rPr>
          <w:szCs w:val="24"/>
        </w:rPr>
      </w:pPr>
      <w:r w:rsidRPr="008E2256">
        <w:rPr>
          <w:szCs w:val="24"/>
        </w:rPr>
        <w:t>John Finnigan (0018689)</w:t>
      </w:r>
    </w:p>
    <w:p w:rsidR="00E06737" w:rsidRPr="008E2256" w:rsidP="00E06737" w14:paraId="61E8E625" w14:textId="77777777">
      <w:pPr>
        <w:tabs>
          <w:tab w:val="left" w:pos="4320"/>
        </w:tabs>
        <w:ind w:left="4320" w:right="-180"/>
        <w:rPr>
          <w:szCs w:val="24"/>
        </w:rPr>
      </w:pPr>
      <w:r w:rsidRPr="008E2256">
        <w:rPr>
          <w:szCs w:val="24"/>
        </w:rPr>
        <w:t>Connor D. Semple (0101102)</w:t>
      </w:r>
      <w:r w:rsidRPr="008E2256">
        <w:rPr>
          <w:szCs w:val="24"/>
        </w:rPr>
        <w:tab/>
      </w:r>
    </w:p>
    <w:p w:rsidR="00E06737" w:rsidRPr="008E2256" w:rsidP="00E06737" w14:paraId="3ED1F8FA" w14:textId="77777777">
      <w:pPr>
        <w:tabs>
          <w:tab w:val="left" w:pos="4320"/>
        </w:tabs>
        <w:ind w:left="4320" w:right="-180"/>
        <w:rPr>
          <w:szCs w:val="24"/>
        </w:rPr>
      </w:pPr>
      <w:r w:rsidRPr="008E2256">
        <w:rPr>
          <w:szCs w:val="24"/>
        </w:rPr>
        <w:t xml:space="preserve">Assistant Consumers’ Counsel </w:t>
      </w:r>
    </w:p>
    <w:p w:rsidR="00E06737" w:rsidRPr="008E2256" w:rsidP="00E06737" w14:paraId="18495901" w14:textId="77777777">
      <w:pPr>
        <w:ind w:left="3600" w:firstLine="720"/>
        <w:rPr>
          <w:szCs w:val="24"/>
        </w:rPr>
      </w:pPr>
    </w:p>
    <w:p w:rsidR="00E06737" w:rsidRPr="008E2256" w:rsidP="00E06737" w14:paraId="50E82818" w14:textId="77777777">
      <w:pPr>
        <w:ind w:left="3600" w:firstLine="720"/>
        <w:rPr>
          <w:b/>
          <w:bCs/>
          <w:szCs w:val="24"/>
        </w:rPr>
      </w:pPr>
      <w:r w:rsidRPr="008E2256">
        <w:rPr>
          <w:b/>
          <w:bCs/>
          <w:szCs w:val="24"/>
        </w:rPr>
        <w:t>Office of the Ohio Consumers’ Counsel</w:t>
      </w:r>
    </w:p>
    <w:p w:rsidR="00E06737" w:rsidRPr="008E2256" w:rsidP="00E06737" w14:paraId="75570B6A" w14:textId="77777777">
      <w:pPr>
        <w:pStyle w:val="PlainText"/>
        <w:ind w:left="3600" w:firstLine="720"/>
        <w:rPr>
          <w:rFonts w:ascii="Times New Roman" w:hAnsi="Times New Roman"/>
          <w:sz w:val="24"/>
          <w:szCs w:val="24"/>
        </w:rPr>
      </w:pPr>
      <w:r w:rsidRPr="008E2256">
        <w:rPr>
          <w:rFonts w:ascii="Times New Roman" w:hAnsi="Times New Roman"/>
          <w:sz w:val="24"/>
          <w:szCs w:val="24"/>
        </w:rPr>
        <w:t>65 East State Street, Suite 700</w:t>
      </w:r>
    </w:p>
    <w:p w:rsidR="00E06737" w:rsidRPr="008E2256" w:rsidP="00E06737" w14:paraId="275DD486" w14:textId="77777777">
      <w:pPr>
        <w:pStyle w:val="PlainText"/>
        <w:ind w:left="3600" w:firstLine="720"/>
        <w:rPr>
          <w:rFonts w:ascii="Times New Roman" w:hAnsi="Times New Roman"/>
          <w:sz w:val="24"/>
          <w:szCs w:val="24"/>
        </w:rPr>
      </w:pPr>
      <w:r w:rsidRPr="008E2256">
        <w:rPr>
          <w:rFonts w:ascii="Times New Roman" w:hAnsi="Times New Roman"/>
          <w:sz w:val="24"/>
          <w:szCs w:val="24"/>
        </w:rPr>
        <w:t>Columbus, Ohio 43215</w:t>
      </w:r>
    </w:p>
    <w:p w:rsidR="00E06737" w:rsidRPr="008E2256" w:rsidP="00E06737" w14:paraId="55AEEBA0" w14:textId="77777777">
      <w:pPr>
        <w:adjustRightInd w:val="0"/>
        <w:ind w:left="4320"/>
        <w:rPr>
          <w:szCs w:val="24"/>
        </w:rPr>
      </w:pPr>
      <w:r w:rsidRPr="008E2256">
        <w:rPr>
          <w:szCs w:val="24"/>
        </w:rPr>
        <w:t>Telephone: Willis (614) 466-9567</w:t>
      </w:r>
    </w:p>
    <w:p w:rsidR="00E06737" w:rsidRPr="008E2256" w:rsidP="00E06737" w14:paraId="329235E3" w14:textId="77777777">
      <w:pPr>
        <w:pStyle w:val="ListParagraph"/>
        <w:autoSpaceDE w:val="0"/>
        <w:autoSpaceDN w:val="0"/>
        <w:adjustRightInd w:val="0"/>
        <w:ind w:left="3600" w:firstLine="720"/>
        <w:rPr>
          <w:szCs w:val="24"/>
        </w:rPr>
      </w:pPr>
      <w:r w:rsidRPr="008E2256">
        <w:rPr>
          <w:szCs w:val="24"/>
        </w:rPr>
        <w:t>Telephone: Finnigan (614) 466-9585</w:t>
      </w:r>
    </w:p>
    <w:p w:rsidR="00E06737" w:rsidRPr="008E2256" w:rsidP="00E06737" w14:paraId="2E2A1A5C" w14:textId="77777777">
      <w:pPr>
        <w:suppressLineNumbers/>
        <w:ind w:left="4320"/>
        <w:rPr>
          <w:szCs w:val="24"/>
        </w:rPr>
      </w:pPr>
      <w:r w:rsidRPr="008E2256">
        <w:rPr>
          <w:szCs w:val="24"/>
        </w:rPr>
        <w:t>Telephone: Semple (614) 466-9565</w:t>
      </w:r>
    </w:p>
    <w:p w:rsidR="00E06737" w:rsidRPr="008E2256" w:rsidP="00E06737" w14:paraId="20420D8C" w14:textId="77777777">
      <w:pPr>
        <w:ind w:left="4320"/>
        <w:rPr>
          <w:szCs w:val="24"/>
        </w:rPr>
      </w:pPr>
      <w:hyperlink r:id="rId6" w:history="1">
        <w:r w:rsidRPr="008E2256" w:rsidR="00085A99">
          <w:rPr>
            <w:rStyle w:val="Hyperlink"/>
            <w:szCs w:val="24"/>
          </w:rPr>
          <w:t>maureen.willis@occ.ohio.gov</w:t>
        </w:r>
      </w:hyperlink>
      <w:r w:rsidRPr="008E2256" w:rsidR="00085A99">
        <w:rPr>
          <w:szCs w:val="24"/>
        </w:rPr>
        <w:t xml:space="preserve"> </w:t>
      </w:r>
    </w:p>
    <w:p w:rsidR="00E06737" w:rsidRPr="008E2256" w:rsidP="00E06737" w14:paraId="210E6A56" w14:textId="77777777">
      <w:pPr>
        <w:ind w:left="4320"/>
        <w:rPr>
          <w:szCs w:val="24"/>
        </w:rPr>
      </w:pPr>
      <w:hyperlink r:id="rId7" w:history="1">
        <w:r w:rsidRPr="008E2256" w:rsidR="00085A99">
          <w:rPr>
            <w:rStyle w:val="Hyperlink"/>
            <w:szCs w:val="24"/>
          </w:rPr>
          <w:t>john.finnigan@occ.ohio.gov</w:t>
        </w:r>
      </w:hyperlink>
    </w:p>
    <w:p w:rsidR="00E06737" w:rsidRPr="008E2256" w:rsidP="00E06737" w14:paraId="41121ABE" w14:textId="77777777">
      <w:pPr>
        <w:suppressLineNumbers/>
        <w:ind w:left="4320"/>
        <w:rPr>
          <w:szCs w:val="24"/>
        </w:rPr>
      </w:pPr>
      <w:hyperlink r:id="rId8" w:history="1">
        <w:r w:rsidRPr="008E2256" w:rsidR="00085A99">
          <w:rPr>
            <w:rStyle w:val="Hyperlink"/>
            <w:szCs w:val="24"/>
          </w:rPr>
          <w:t>connor.semple@occ.ohio.gov</w:t>
        </w:r>
      </w:hyperlink>
    </w:p>
    <w:p w:rsidR="00E06737" w:rsidRPr="008E2256" w:rsidP="00E06737" w14:paraId="6E98B905" w14:textId="77777777">
      <w:pPr>
        <w:ind w:firstLine="4320"/>
        <w:rPr>
          <w:szCs w:val="24"/>
        </w:rPr>
      </w:pPr>
      <w:r w:rsidRPr="008E2256">
        <w:rPr>
          <w:szCs w:val="24"/>
        </w:rPr>
        <w:t>(willing to accept service by e-mail)</w:t>
      </w:r>
    </w:p>
    <w:p w:rsidR="00E06737" w:rsidRPr="008E2256" w:rsidP="00E06737" w14:paraId="73FEF863" w14:textId="77777777">
      <w:pPr>
        <w:rPr>
          <w:bCs/>
          <w:szCs w:val="24"/>
        </w:rPr>
      </w:pPr>
      <w:r w:rsidRPr="008E2256">
        <w:rPr>
          <w:bCs/>
          <w:szCs w:val="24"/>
        </w:rPr>
        <w:br w:type="page"/>
      </w:r>
    </w:p>
    <w:p w:rsidR="00E06737" w:rsidRPr="008E2256" w:rsidP="00E06737" w14:paraId="178BECAC" w14:textId="77777777">
      <w:pPr>
        <w:autoSpaceDE w:val="0"/>
        <w:autoSpaceDN w:val="0"/>
        <w:adjustRightInd w:val="0"/>
        <w:jc w:val="center"/>
        <w:rPr>
          <w:b/>
          <w:szCs w:val="24"/>
          <w:u w:val="single"/>
        </w:rPr>
      </w:pPr>
      <w:r w:rsidRPr="008E2256">
        <w:rPr>
          <w:b/>
          <w:szCs w:val="24"/>
          <w:u w:val="single"/>
        </w:rPr>
        <w:t>CERTIFICATE OF SERVICE</w:t>
      </w:r>
    </w:p>
    <w:p w:rsidR="00E06737" w:rsidRPr="008E2256" w:rsidP="00E06737" w14:paraId="6E033BF4" w14:textId="77777777">
      <w:pPr>
        <w:autoSpaceDE w:val="0"/>
        <w:autoSpaceDN w:val="0"/>
        <w:adjustRightInd w:val="0"/>
        <w:jc w:val="center"/>
        <w:rPr>
          <w:b/>
          <w:szCs w:val="24"/>
        </w:rPr>
      </w:pPr>
    </w:p>
    <w:p w:rsidR="00E06737" w:rsidRPr="008E2256" w:rsidP="00E06737" w14:paraId="0D1FE5B2" w14:textId="40F23267">
      <w:pPr>
        <w:spacing w:line="480" w:lineRule="auto"/>
        <w:ind w:firstLine="720"/>
        <w:rPr>
          <w:szCs w:val="24"/>
        </w:rPr>
      </w:pPr>
      <w:r w:rsidRPr="008E2256">
        <w:rPr>
          <w:szCs w:val="24"/>
        </w:rPr>
        <w:t xml:space="preserve">I hereby certify that a copy of this </w:t>
      </w:r>
      <w:r w:rsidRPr="008E2256">
        <w:rPr>
          <w:bCs/>
          <w:szCs w:val="24"/>
        </w:rPr>
        <w:t xml:space="preserve">Memorandum Contra </w:t>
      </w:r>
      <w:r w:rsidR="00E310B7">
        <w:rPr>
          <w:bCs/>
          <w:szCs w:val="24"/>
        </w:rPr>
        <w:t>AES Ohio’s</w:t>
      </w:r>
      <w:r w:rsidRPr="008E2256">
        <w:rPr>
          <w:bCs/>
          <w:szCs w:val="24"/>
        </w:rPr>
        <w:t xml:space="preserve"> Application for Rehearing </w:t>
      </w:r>
      <w:r w:rsidRPr="008E2256">
        <w:rPr>
          <w:szCs w:val="24"/>
        </w:rPr>
        <w:t>was served on the persons stated below via electronic transmission, this 18</w:t>
      </w:r>
      <w:r w:rsidRPr="008E2256">
        <w:rPr>
          <w:szCs w:val="24"/>
          <w:vertAlign w:val="superscript"/>
        </w:rPr>
        <w:t>th</w:t>
      </w:r>
      <w:r w:rsidRPr="008E2256">
        <w:rPr>
          <w:szCs w:val="24"/>
        </w:rPr>
        <w:t xml:space="preserve"> day of September 2023.</w:t>
      </w:r>
    </w:p>
    <w:p w:rsidR="00E06737" w:rsidRPr="008E2256" w:rsidP="00E06737" w14:paraId="1BBBA06D" w14:textId="77777777">
      <w:pPr>
        <w:pStyle w:val="EndnoteText"/>
        <w:ind w:firstLine="5040"/>
        <w:rPr>
          <w:rFonts w:ascii="Times New Roman" w:hAnsi="Times New Roman"/>
          <w:i/>
          <w:iCs/>
          <w:snapToGrid/>
          <w:szCs w:val="24"/>
          <w:u w:val="single"/>
        </w:rPr>
      </w:pPr>
      <w:r w:rsidRPr="008E2256">
        <w:rPr>
          <w:rFonts w:ascii="Times New Roman" w:hAnsi="Times New Roman"/>
          <w:i/>
          <w:iCs/>
          <w:snapToGrid/>
          <w:szCs w:val="24"/>
          <w:u w:val="single"/>
        </w:rPr>
        <w:t>/s/ Maureen R. Willis</w:t>
      </w:r>
      <w:r w:rsidRPr="008E2256">
        <w:rPr>
          <w:rFonts w:ascii="Times New Roman" w:hAnsi="Times New Roman"/>
          <w:i/>
          <w:iCs/>
          <w:snapToGrid/>
          <w:szCs w:val="24"/>
          <w:u w:val="single"/>
        </w:rPr>
        <w:tab/>
      </w:r>
    </w:p>
    <w:p w:rsidR="00E06737" w:rsidRPr="008E2256" w:rsidP="00E06737" w14:paraId="0806495F" w14:textId="77777777">
      <w:pPr>
        <w:pStyle w:val="EndnoteText"/>
        <w:ind w:left="5040"/>
        <w:rPr>
          <w:rFonts w:ascii="Times New Roman" w:hAnsi="Times New Roman"/>
          <w:snapToGrid/>
          <w:szCs w:val="24"/>
        </w:rPr>
      </w:pPr>
      <w:r w:rsidRPr="008E2256">
        <w:rPr>
          <w:rFonts w:ascii="Times New Roman" w:hAnsi="Times New Roman"/>
          <w:snapToGrid/>
          <w:szCs w:val="24"/>
        </w:rPr>
        <w:t xml:space="preserve">Maureen R. Willis </w:t>
      </w:r>
    </w:p>
    <w:p w:rsidR="00E06737" w:rsidRPr="008E2256" w:rsidP="00E06737" w14:paraId="743977D5" w14:textId="77777777">
      <w:pPr>
        <w:pStyle w:val="EndnoteText"/>
        <w:widowControl/>
        <w:ind w:left="5040"/>
        <w:rPr>
          <w:rFonts w:ascii="Times New Roman" w:hAnsi="Times New Roman"/>
          <w:snapToGrid/>
          <w:szCs w:val="24"/>
        </w:rPr>
      </w:pPr>
      <w:r w:rsidRPr="008E2256">
        <w:rPr>
          <w:rFonts w:ascii="Times New Roman" w:hAnsi="Times New Roman"/>
          <w:snapToGrid/>
          <w:szCs w:val="24"/>
        </w:rPr>
        <w:t xml:space="preserve">Acting Legal Director </w:t>
      </w:r>
    </w:p>
    <w:p w:rsidR="00E06737" w:rsidRPr="008E2256" w:rsidP="00E06737" w14:paraId="5BB71AAB" w14:textId="77777777">
      <w:pPr>
        <w:ind w:left="4680"/>
        <w:rPr>
          <w:rFonts w:eastAsia="Times New Roman"/>
          <w:szCs w:val="24"/>
        </w:rPr>
      </w:pPr>
    </w:p>
    <w:p w:rsidR="00E06737" w:rsidRPr="008E2256" w:rsidP="00E06737" w14:paraId="1A86E85E" w14:textId="77777777">
      <w:pPr>
        <w:rPr>
          <w:szCs w:val="24"/>
        </w:rPr>
      </w:pPr>
      <w:r w:rsidRPr="008E2256">
        <w:rPr>
          <w:szCs w:val="24"/>
        </w:rPr>
        <w:t>The PUCO’s e-filing system will electronically serve notice of the filing of this document on the following parties:</w:t>
      </w:r>
    </w:p>
    <w:p w:rsidR="00E06737" w:rsidRPr="008E2256" w:rsidP="00E06737" w14:paraId="448D143F" w14:textId="77777777">
      <w:pPr>
        <w:tabs>
          <w:tab w:val="left" w:pos="4320"/>
        </w:tabs>
        <w:jc w:val="center"/>
        <w:rPr>
          <w:rFonts w:eastAsia="Times New Roman"/>
          <w:b/>
          <w:szCs w:val="24"/>
          <w:u w:val="single"/>
        </w:rPr>
      </w:pPr>
    </w:p>
    <w:p w:rsidR="00E06737" w:rsidRPr="008E2256" w:rsidP="00E06737" w14:paraId="734E9445" w14:textId="77777777">
      <w:pPr>
        <w:jc w:val="center"/>
        <w:rPr>
          <w:rFonts w:eastAsia="Times New Roman"/>
          <w:b/>
          <w:szCs w:val="24"/>
          <w:u w:val="single"/>
        </w:rPr>
      </w:pPr>
      <w:r w:rsidRPr="008E2256">
        <w:rPr>
          <w:rFonts w:eastAsia="Times New Roman"/>
          <w:b/>
          <w:szCs w:val="24"/>
          <w:u w:val="single"/>
        </w:rPr>
        <w:t>SERVICE LIST</w:t>
      </w:r>
    </w:p>
    <w:p w:rsidR="00E06737" w:rsidRPr="008E2256" w:rsidP="00E06737" w14:paraId="289AFDAC" w14:textId="77777777">
      <w:pPr>
        <w:jc w:val="center"/>
        <w:rPr>
          <w:rFonts w:eastAsia="Times New Roman"/>
          <w:b/>
          <w:szCs w:val="24"/>
          <w:u w:val="single"/>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6"/>
        <w:gridCol w:w="4374"/>
      </w:tblGrid>
      <w:tr w14:paraId="747DD5B7" w14:textId="77777777" w:rsidTr="002F624F">
        <w:tblPrEx>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6590"/>
        </w:trPr>
        <w:tc>
          <w:tcPr>
            <w:tcW w:w="4266" w:type="dxa"/>
            <w:tcBorders>
              <w:top w:val="nil"/>
              <w:left w:val="nil"/>
              <w:bottom w:val="nil"/>
              <w:right w:val="nil"/>
            </w:tcBorders>
            <w:shd w:val="clear" w:color="auto" w:fill="auto"/>
            <w:tcMar>
              <w:top w:w="80" w:type="dxa"/>
              <w:left w:w="80" w:type="dxa"/>
              <w:bottom w:w="80" w:type="dxa"/>
              <w:right w:w="80" w:type="dxa"/>
            </w:tcMar>
          </w:tcPr>
          <w:p w:rsidR="00E06737" w:rsidRPr="008E2256" w:rsidP="002F624F" w14:paraId="5D028AD2" w14:textId="77777777">
            <w:pPr>
              <w:pBdr>
                <w:top w:val="nil"/>
                <w:left w:val="nil"/>
                <w:bottom w:val="nil"/>
                <w:right w:val="nil"/>
                <w:between w:val="nil"/>
                <w:bar w:val="nil"/>
              </w:pBdr>
              <w:rPr>
                <w:rFonts w:eastAsia="Arial Unicode MS"/>
                <w:color w:val="0000FF"/>
                <w:szCs w:val="24"/>
                <w:u w:val="single" w:color="0000FF"/>
                <w:bdr w:val="nil"/>
              </w:rPr>
            </w:pPr>
            <w:hyperlink r:id="rId9" w:history="1">
              <w:r w:rsidRPr="008E2256" w:rsidR="00085A99">
                <w:rPr>
                  <w:rFonts w:eastAsia="Arial Unicode MS"/>
                  <w:color w:val="0000FF"/>
                  <w:szCs w:val="24"/>
                  <w:u w:val="single" w:color="0000FF"/>
                  <w:bdr w:val="nil"/>
                </w:rPr>
                <w:t>werner.margard@ohioAGO.gov</w:t>
              </w:r>
            </w:hyperlink>
          </w:p>
          <w:p w:rsidR="00E06737" w:rsidRPr="008E2256" w:rsidP="002F624F" w14:paraId="4594843D" w14:textId="77777777">
            <w:pPr>
              <w:pBdr>
                <w:top w:val="nil"/>
                <w:left w:val="nil"/>
                <w:bottom w:val="nil"/>
                <w:right w:val="nil"/>
                <w:between w:val="nil"/>
                <w:bar w:val="nil"/>
              </w:pBdr>
              <w:rPr>
                <w:rFonts w:eastAsia="Arial Unicode MS"/>
                <w:color w:val="0000FF"/>
                <w:szCs w:val="24"/>
                <w:u w:val="single" w:color="0000FF"/>
                <w:bdr w:val="nil"/>
              </w:rPr>
            </w:pPr>
            <w:hyperlink r:id="rId10" w:history="1">
              <w:r w:rsidRPr="008E2256" w:rsidR="00085A99">
                <w:rPr>
                  <w:rFonts w:eastAsia="Arial Unicode MS"/>
                  <w:color w:val="0000FF"/>
                  <w:szCs w:val="24"/>
                  <w:u w:val="single" w:color="000000"/>
                  <w:bdr w:val="nil"/>
                </w:rPr>
                <w:t>ambrosia.wilson@ohioAGO.gov</w:t>
              </w:r>
            </w:hyperlink>
          </w:p>
          <w:p w:rsidR="00E06737" w:rsidRPr="008E2256" w:rsidP="002F624F" w14:paraId="6DA1EBDA" w14:textId="77777777">
            <w:pPr>
              <w:pBdr>
                <w:top w:val="nil"/>
                <w:left w:val="nil"/>
                <w:bottom w:val="nil"/>
                <w:right w:val="nil"/>
                <w:between w:val="nil"/>
                <w:bar w:val="nil"/>
              </w:pBdr>
              <w:rPr>
                <w:rFonts w:eastAsia="Arial Unicode MS"/>
                <w:color w:val="0000FF"/>
                <w:szCs w:val="24"/>
                <w:u w:val="single" w:color="0000FF"/>
                <w:bdr w:val="nil"/>
              </w:rPr>
            </w:pPr>
            <w:hyperlink r:id="rId11" w:history="1">
              <w:r w:rsidRPr="008E2256" w:rsidR="00085A99">
                <w:rPr>
                  <w:rFonts w:eastAsia="Arial Unicode MS"/>
                  <w:color w:val="0000FF"/>
                  <w:szCs w:val="24"/>
                  <w:u w:val="single" w:color="0000FF"/>
                  <w:bdr w:val="nil"/>
                </w:rPr>
                <w:t>shaun.lyons@ohioAGO.gov</w:t>
              </w:r>
            </w:hyperlink>
          </w:p>
          <w:p w:rsidR="00E06737" w:rsidRPr="008E2256" w:rsidP="002F624F" w14:paraId="77E20646" w14:textId="77777777">
            <w:pPr>
              <w:pBdr>
                <w:top w:val="nil"/>
                <w:left w:val="nil"/>
                <w:bottom w:val="nil"/>
                <w:right w:val="nil"/>
                <w:between w:val="nil"/>
                <w:bar w:val="nil"/>
              </w:pBdr>
              <w:rPr>
                <w:rFonts w:eastAsia="Arial Unicode MS"/>
                <w:color w:val="0000FF"/>
                <w:szCs w:val="24"/>
                <w:u w:val="single" w:color="0000FF"/>
                <w:bdr w:val="nil"/>
              </w:rPr>
            </w:pPr>
            <w:hyperlink r:id="rId12" w:history="1">
              <w:r w:rsidRPr="008E2256" w:rsidR="00085A99">
                <w:rPr>
                  <w:rFonts w:eastAsia="Arial Unicode MS"/>
                  <w:color w:val="0000FF"/>
                  <w:szCs w:val="24"/>
                  <w:u w:val="single" w:color="0000FF"/>
                  <w:bdr w:val="nil"/>
                </w:rPr>
                <w:t>kherrnstein@bricker.com</w:t>
              </w:r>
            </w:hyperlink>
          </w:p>
          <w:p w:rsidR="00E06737" w:rsidRPr="008E2256" w:rsidP="002F624F" w14:paraId="3517A3D7" w14:textId="77777777">
            <w:pPr>
              <w:pBdr>
                <w:top w:val="nil"/>
                <w:left w:val="nil"/>
                <w:bottom w:val="nil"/>
                <w:right w:val="nil"/>
                <w:between w:val="nil"/>
                <w:bar w:val="nil"/>
              </w:pBdr>
              <w:rPr>
                <w:color w:val="0000FF"/>
                <w:szCs w:val="24"/>
                <w:u w:val="single" w:color="0000FF"/>
                <w:bdr w:val="nil"/>
              </w:rPr>
            </w:pPr>
            <w:r w:rsidRPr="008E2256">
              <w:rPr>
                <w:color w:val="0000FF"/>
                <w:szCs w:val="24"/>
                <w:u w:val="single" w:color="0000FF"/>
                <w:bdr w:val="nil"/>
              </w:rPr>
              <w:t>dparram@brickergraydon.com</w:t>
            </w:r>
          </w:p>
          <w:p w:rsidR="00E06737" w:rsidRPr="008E2256" w:rsidP="002F624F" w14:paraId="66F5450C" w14:textId="77777777">
            <w:pPr>
              <w:pBdr>
                <w:top w:val="nil"/>
                <w:left w:val="nil"/>
                <w:bottom w:val="nil"/>
                <w:right w:val="nil"/>
                <w:between w:val="nil"/>
                <w:bar w:val="nil"/>
              </w:pBdr>
              <w:rPr>
                <w:color w:val="0000FF"/>
                <w:szCs w:val="24"/>
                <w:u w:val="single" w:color="0000FF"/>
                <w:bdr w:val="nil"/>
              </w:rPr>
            </w:pPr>
            <w:r w:rsidRPr="008E2256">
              <w:rPr>
                <w:color w:val="0000FF"/>
                <w:szCs w:val="24"/>
                <w:u w:val="single" w:color="0000FF"/>
                <w:bdr w:val="nil"/>
              </w:rPr>
              <w:t>dborchers@brickergraydon.com</w:t>
            </w:r>
          </w:p>
          <w:p w:rsidR="00E06737" w:rsidRPr="008E2256" w:rsidP="002F624F" w14:paraId="6A66C44F" w14:textId="77777777">
            <w:pPr>
              <w:pBdr>
                <w:top w:val="nil"/>
                <w:left w:val="nil"/>
                <w:bottom w:val="nil"/>
                <w:right w:val="nil"/>
                <w:between w:val="nil"/>
                <w:bar w:val="nil"/>
              </w:pBdr>
              <w:rPr>
                <w:rFonts w:eastAsia="Arial Unicode MS"/>
                <w:color w:val="0000FF"/>
                <w:szCs w:val="24"/>
                <w:u w:val="single" w:color="0000FF"/>
              </w:rPr>
            </w:pPr>
            <w:r w:rsidRPr="008E2256">
              <w:rPr>
                <w:color w:val="0000FF"/>
                <w:szCs w:val="24"/>
                <w:u w:val="single" w:color="0000FF"/>
                <w:bdr w:val="nil"/>
              </w:rPr>
              <w:t>rmains@brickergraydon.com</w:t>
            </w:r>
            <w:r w:rsidRPr="008E2256">
              <w:rPr>
                <w:color w:val="0000FF"/>
                <w:szCs w:val="24"/>
                <w:u w:val="single" w:color="0000FF"/>
                <w:bdr w:val="nil"/>
              </w:rPr>
              <w:cr/>
            </w:r>
            <w:hyperlink r:id="rId13" w:history="1">
              <w:r w:rsidRPr="008E2256">
                <w:rPr>
                  <w:rFonts w:eastAsia="Arial Unicode MS"/>
                  <w:color w:val="0000FF"/>
                  <w:szCs w:val="24"/>
                  <w:u w:val="single" w:color="0000FF"/>
                </w:rPr>
                <w:t>dproano@bakerlaw.com</w:t>
              </w:r>
            </w:hyperlink>
          </w:p>
          <w:p w:rsidR="00E06737" w:rsidRPr="008E2256" w:rsidP="002F624F" w14:paraId="0385FA92" w14:textId="77777777">
            <w:pPr>
              <w:rPr>
                <w:rFonts w:eastAsia="Arial Unicode MS"/>
                <w:color w:val="0000FF"/>
                <w:szCs w:val="24"/>
                <w:u w:val="single" w:color="0000FF"/>
              </w:rPr>
            </w:pPr>
            <w:hyperlink r:id="rId14" w:history="1">
              <w:r w:rsidRPr="008E2256" w:rsidR="00085A99">
                <w:rPr>
                  <w:rFonts w:eastAsia="Arial Unicode MS"/>
                  <w:color w:val="0000FF"/>
                  <w:szCs w:val="24"/>
                  <w:u w:val="single" w:color="0000FF"/>
                </w:rPr>
                <w:t>ahaque@bakerlaw.com</w:t>
              </w:r>
            </w:hyperlink>
          </w:p>
          <w:p w:rsidR="00E06737" w:rsidRPr="008E2256" w:rsidP="002F624F" w14:paraId="45EA6DC8" w14:textId="77777777">
            <w:pPr>
              <w:pBdr>
                <w:top w:val="nil"/>
                <w:left w:val="nil"/>
                <w:bottom w:val="nil"/>
                <w:right w:val="nil"/>
                <w:between w:val="nil"/>
                <w:bar w:val="nil"/>
              </w:pBdr>
              <w:rPr>
                <w:rFonts w:eastAsia="Arial Unicode MS"/>
                <w:color w:val="0000FF"/>
                <w:szCs w:val="24"/>
                <w:u w:val="single" w:color="0000FF"/>
                <w:bdr w:val="nil"/>
              </w:rPr>
            </w:pPr>
            <w:hyperlink r:id="rId15" w:history="1">
              <w:r w:rsidRPr="008E2256" w:rsidR="00085A99">
                <w:rPr>
                  <w:rFonts w:eastAsia="Arial Unicode MS"/>
                  <w:color w:val="0000FF"/>
                  <w:szCs w:val="24"/>
                  <w:u w:val="single" w:color="0000FF"/>
                  <w:bdr w:val="nil"/>
                </w:rPr>
                <w:t>eprouty@bakerlaw.com</w:t>
              </w:r>
            </w:hyperlink>
          </w:p>
          <w:p w:rsidR="00E06737" w:rsidRPr="008E2256" w:rsidP="002F624F" w14:paraId="4D827B14" w14:textId="77777777">
            <w:pPr>
              <w:pBdr>
                <w:top w:val="nil"/>
                <w:left w:val="nil"/>
                <w:bottom w:val="nil"/>
                <w:right w:val="nil"/>
                <w:between w:val="nil"/>
                <w:bar w:val="nil"/>
              </w:pBdr>
              <w:rPr>
                <w:rFonts w:eastAsia="Arial Unicode MS"/>
                <w:color w:val="0000FF"/>
                <w:szCs w:val="24"/>
                <w:u w:val="single" w:color="0000FF"/>
                <w:bdr w:val="nil"/>
              </w:rPr>
            </w:pPr>
            <w:hyperlink r:id="rId16" w:history="1">
              <w:r w:rsidRPr="008E2256" w:rsidR="00085A99">
                <w:rPr>
                  <w:rFonts w:eastAsia="Arial Unicode MS"/>
                  <w:color w:val="0000FF"/>
                  <w:szCs w:val="24"/>
                  <w:u w:val="single" w:color="0000FF"/>
                  <w:bdr w:val="nil"/>
                </w:rPr>
                <w:t>knordstrom@theOEC.org</w:t>
              </w:r>
            </w:hyperlink>
          </w:p>
          <w:p w:rsidR="00E06737" w:rsidRPr="008E2256" w:rsidP="002F624F" w14:paraId="21B89DE9" w14:textId="77777777">
            <w:pPr>
              <w:pBdr>
                <w:top w:val="nil"/>
                <w:left w:val="nil"/>
                <w:bottom w:val="nil"/>
                <w:right w:val="nil"/>
                <w:between w:val="nil"/>
                <w:bar w:val="nil"/>
              </w:pBdr>
              <w:rPr>
                <w:rFonts w:eastAsia="Arial Unicode MS"/>
                <w:color w:val="0000FF"/>
                <w:szCs w:val="24"/>
                <w:u w:val="single" w:color="0000FF"/>
                <w:bdr w:val="nil"/>
              </w:rPr>
            </w:pPr>
            <w:hyperlink r:id="rId17" w:history="1">
              <w:r w:rsidRPr="008E2256" w:rsidR="00085A99">
                <w:rPr>
                  <w:rFonts w:eastAsia="Arial Unicode MS"/>
                  <w:color w:val="0000FF"/>
                  <w:szCs w:val="24"/>
                  <w:u w:val="single" w:color="0000FF"/>
                  <w:bdr w:val="nil"/>
                </w:rPr>
                <w:t>ctavenor@theOEC.org</w:t>
              </w:r>
            </w:hyperlink>
          </w:p>
          <w:p w:rsidR="00E06737" w:rsidRPr="008E2256" w:rsidP="002F624F" w14:paraId="428EBFD9" w14:textId="77777777">
            <w:pPr>
              <w:pBdr>
                <w:top w:val="nil"/>
                <w:left w:val="nil"/>
                <w:bottom w:val="nil"/>
                <w:right w:val="nil"/>
                <w:between w:val="nil"/>
                <w:bar w:val="nil"/>
              </w:pBdr>
              <w:rPr>
                <w:rFonts w:eastAsia="Arial Unicode MS"/>
                <w:color w:val="0000FF"/>
                <w:szCs w:val="24"/>
                <w:u w:val="single" w:color="0000FF"/>
                <w:bdr w:val="nil"/>
              </w:rPr>
            </w:pPr>
            <w:hyperlink r:id="rId18" w:history="1">
              <w:r w:rsidRPr="008E2256" w:rsidR="00085A99">
                <w:rPr>
                  <w:rFonts w:eastAsia="Arial Unicode MS"/>
                  <w:color w:val="0000FF"/>
                  <w:szCs w:val="24"/>
                  <w:u w:val="single" w:color="0000FF"/>
                  <w:bdr w:val="nil"/>
                </w:rPr>
                <w:t>leonard.bazelak@daytonohio.gov</w:t>
              </w:r>
            </w:hyperlink>
          </w:p>
          <w:p w:rsidR="00E06737" w:rsidRPr="008E2256" w:rsidP="002F624F" w14:paraId="7962B741" w14:textId="77777777">
            <w:pPr>
              <w:pBdr>
                <w:top w:val="nil"/>
                <w:left w:val="nil"/>
                <w:bottom w:val="nil"/>
                <w:right w:val="nil"/>
                <w:between w:val="nil"/>
                <w:bar w:val="nil"/>
              </w:pBdr>
              <w:rPr>
                <w:rFonts w:eastAsia="Arial Unicode MS"/>
                <w:color w:val="0000FF"/>
                <w:szCs w:val="24"/>
                <w:u w:val="single" w:color="0000FF"/>
                <w:bdr w:val="nil"/>
              </w:rPr>
            </w:pPr>
            <w:hyperlink r:id="rId19" w:history="1">
              <w:r w:rsidRPr="008E2256" w:rsidR="00085A99">
                <w:rPr>
                  <w:rFonts w:eastAsia="Arial Unicode MS"/>
                  <w:color w:val="0000FF"/>
                  <w:szCs w:val="24"/>
                  <w:u w:val="single" w:color="0000FF"/>
                  <w:bdr w:val="nil"/>
                </w:rPr>
                <w:t>bojko@carpenterlipps.com</w:t>
              </w:r>
            </w:hyperlink>
          </w:p>
          <w:p w:rsidR="00E06737" w:rsidRPr="008E2256" w:rsidP="002F624F" w14:paraId="5B1D2722" w14:textId="77777777">
            <w:pPr>
              <w:pBdr>
                <w:top w:val="nil"/>
                <w:left w:val="nil"/>
                <w:bottom w:val="nil"/>
                <w:right w:val="nil"/>
                <w:between w:val="nil"/>
                <w:bar w:val="nil"/>
              </w:pBdr>
              <w:rPr>
                <w:rFonts w:eastAsia="Arial Unicode MS"/>
                <w:color w:val="0000FF"/>
                <w:szCs w:val="24"/>
                <w:u w:val="single" w:color="0000FF"/>
                <w:bdr w:val="nil"/>
              </w:rPr>
            </w:pPr>
            <w:hyperlink r:id="rId20" w:history="1">
              <w:r w:rsidRPr="008E2256" w:rsidR="00085A99">
                <w:rPr>
                  <w:rFonts w:eastAsia="Arial Unicode MS"/>
                  <w:color w:val="0000FF"/>
                  <w:szCs w:val="24"/>
                  <w:u w:val="single" w:color="0000FF"/>
                  <w:bdr w:val="nil"/>
                </w:rPr>
                <w:t>easley@carpenterlipps.com</w:t>
              </w:r>
            </w:hyperlink>
          </w:p>
          <w:p w:rsidR="00E06737" w:rsidRPr="008E2256" w:rsidP="002F624F" w14:paraId="42C0B7A5" w14:textId="77777777">
            <w:pPr>
              <w:pBdr>
                <w:top w:val="nil"/>
                <w:left w:val="nil"/>
                <w:bottom w:val="nil"/>
                <w:right w:val="nil"/>
                <w:between w:val="nil"/>
                <w:bar w:val="nil"/>
              </w:pBdr>
              <w:rPr>
                <w:color w:val="0000FF"/>
                <w:szCs w:val="24"/>
                <w:u w:val="single" w:color="0000FF"/>
                <w:bdr w:val="nil"/>
              </w:rPr>
            </w:pPr>
          </w:p>
          <w:p w:rsidR="00E06737" w:rsidRPr="008E2256" w:rsidP="002F624F" w14:paraId="765219B8" w14:textId="77777777">
            <w:pPr>
              <w:pBdr>
                <w:top w:val="nil"/>
                <w:left w:val="nil"/>
                <w:bottom w:val="nil"/>
                <w:right w:val="nil"/>
                <w:between w:val="nil"/>
                <w:bar w:val="nil"/>
              </w:pBdr>
              <w:rPr>
                <w:color w:val="000000"/>
                <w:szCs w:val="24"/>
                <w:u w:color="000000"/>
                <w:bdr w:val="nil"/>
                <w14:textOutline w14:w="0">
                  <w14:noFill/>
                  <w14:prstDash w14:val="solid"/>
                  <w14:bevel/>
                </w14:textOutline>
              </w:rPr>
            </w:pPr>
            <w:r w:rsidRPr="008E2256">
              <w:rPr>
                <w:color w:val="000000"/>
                <w:szCs w:val="24"/>
                <w:u w:color="000000"/>
                <w:bdr w:val="nil"/>
                <w14:textOutline w14:w="0">
                  <w14:noFill/>
                  <w14:prstDash w14:val="solid"/>
                  <w14:bevel/>
                </w14:textOutline>
              </w:rPr>
              <w:t>Attorney Examiners:</w:t>
            </w:r>
          </w:p>
          <w:p w:rsidR="00E06737" w:rsidRPr="008E2256" w:rsidP="002F624F" w14:paraId="46B18D72" w14:textId="77777777">
            <w:pPr>
              <w:pBdr>
                <w:top w:val="nil"/>
                <w:left w:val="nil"/>
                <w:bottom w:val="nil"/>
                <w:right w:val="nil"/>
                <w:between w:val="nil"/>
                <w:bar w:val="nil"/>
              </w:pBdr>
              <w:rPr>
                <w:color w:val="000000"/>
                <w:szCs w:val="24"/>
                <w:u w:color="000000"/>
                <w:bdr w:val="nil"/>
                <w14:textOutline w14:w="0">
                  <w14:noFill/>
                  <w14:prstDash w14:val="solid"/>
                  <w14:bevel/>
                </w14:textOutline>
              </w:rPr>
            </w:pPr>
            <w:hyperlink r:id="rId21" w:history="1">
              <w:r w:rsidRPr="008E2256" w:rsidR="00085A99">
                <w:rPr>
                  <w:color w:val="0000FF"/>
                  <w:szCs w:val="24"/>
                  <w:u w:val="single" w:color="000000"/>
                  <w:bdr w:val="nil"/>
                  <w14:textOutline w14:w="0">
                    <w14:noFill/>
                    <w14:prstDash w14:val="solid"/>
                    <w14:bevel/>
                  </w14:textOutline>
                </w:rPr>
                <w:t>Gregory.price@puco.ohio.gov</w:t>
              </w:r>
            </w:hyperlink>
          </w:p>
          <w:p w:rsidR="00E06737" w:rsidRPr="008E2256" w:rsidP="002F624F" w14:paraId="248C33F2" w14:textId="77777777">
            <w:pPr>
              <w:pBdr>
                <w:top w:val="nil"/>
                <w:left w:val="nil"/>
                <w:bottom w:val="nil"/>
                <w:right w:val="nil"/>
                <w:between w:val="nil"/>
                <w:bar w:val="nil"/>
              </w:pBdr>
              <w:rPr>
                <w:color w:val="000000"/>
                <w:szCs w:val="24"/>
                <w:u w:color="000000"/>
                <w:bdr w:val="nil"/>
                <w14:textOutline w14:w="0">
                  <w14:noFill/>
                  <w14:prstDash w14:val="solid"/>
                  <w14:bevel/>
                </w14:textOutline>
              </w:rPr>
            </w:pPr>
            <w:hyperlink r:id="rId22" w:history="1">
              <w:r w:rsidRPr="008E2256" w:rsidR="00085A99">
                <w:rPr>
                  <w:color w:val="0000FF"/>
                  <w:szCs w:val="24"/>
                  <w:u w:val="single" w:color="000000"/>
                  <w:bdr w:val="nil"/>
                  <w14:textOutline w14:w="0">
                    <w14:noFill/>
                    <w14:prstDash w14:val="solid"/>
                    <w14:bevel/>
                  </w14:textOutline>
                </w:rPr>
                <w:t>Patricia.schabo@puco.ohio.gov</w:t>
              </w:r>
            </w:hyperlink>
          </w:p>
          <w:p w:rsidR="00E06737" w:rsidRPr="008E2256" w:rsidP="002F624F" w14:paraId="31B1831D" w14:textId="77777777">
            <w:pPr>
              <w:pBdr>
                <w:top w:val="nil"/>
                <w:left w:val="nil"/>
                <w:bottom w:val="nil"/>
                <w:right w:val="nil"/>
                <w:between w:val="nil"/>
                <w:bar w:val="nil"/>
              </w:pBdr>
              <w:rPr>
                <w:color w:val="000000"/>
                <w:szCs w:val="24"/>
                <w:u w:color="000000"/>
                <w:bdr w:val="nil"/>
                <w14:textOutline w14:w="0">
                  <w14:noFill/>
                  <w14:prstDash w14:val="solid"/>
                  <w14:bevel/>
                </w14:textOutline>
              </w:rPr>
            </w:pPr>
          </w:p>
        </w:tc>
        <w:tc>
          <w:tcPr>
            <w:tcW w:w="4374" w:type="dxa"/>
            <w:tcBorders>
              <w:top w:val="nil"/>
              <w:left w:val="nil"/>
              <w:bottom w:val="nil"/>
              <w:right w:val="nil"/>
            </w:tcBorders>
            <w:shd w:val="clear" w:color="auto" w:fill="auto"/>
            <w:tcMar>
              <w:top w:w="80" w:type="dxa"/>
              <w:left w:w="80" w:type="dxa"/>
              <w:bottom w:w="80" w:type="dxa"/>
              <w:right w:w="80" w:type="dxa"/>
            </w:tcMar>
          </w:tcPr>
          <w:p w:rsidR="00E06737" w:rsidRPr="008E2256" w:rsidP="002F624F" w14:paraId="01FFABDB" w14:textId="77777777">
            <w:pPr>
              <w:rPr>
                <w:rFonts w:eastAsia="PMingLiU"/>
                <w:szCs w:val="24"/>
              </w:rPr>
            </w:pPr>
            <w:hyperlink r:id="rId23" w:history="1">
              <w:r w:rsidRPr="008E2256" w:rsidR="00085A99">
                <w:rPr>
                  <w:rFonts w:eastAsia="Arial Unicode MS"/>
                  <w:color w:val="0000FF"/>
                  <w:szCs w:val="24"/>
                  <w:u w:val="single" w:color="0000FF"/>
                </w:rPr>
                <w:t>christopher.hollon@aes.com</w:t>
              </w:r>
            </w:hyperlink>
          </w:p>
          <w:p w:rsidR="00E06737" w:rsidRPr="008E2256" w:rsidP="002F624F" w14:paraId="4870AC80" w14:textId="77777777">
            <w:pPr>
              <w:rPr>
                <w:rFonts w:eastAsia="PMingLiU"/>
                <w:szCs w:val="24"/>
              </w:rPr>
            </w:pPr>
            <w:hyperlink r:id="rId24" w:history="1">
              <w:r w:rsidRPr="008E2256" w:rsidR="00085A99">
                <w:rPr>
                  <w:rFonts w:eastAsia="Arial Unicode MS"/>
                  <w:color w:val="0000FF"/>
                  <w:szCs w:val="24"/>
                  <w:u w:val="single" w:color="0000FF"/>
                </w:rPr>
                <w:t>jsharkey@ficlaw.com</w:t>
              </w:r>
            </w:hyperlink>
          </w:p>
          <w:p w:rsidR="00E06737" w:rsidRPr="008E2256" w:rsidP="002F624F" w14:paraId="25969055" w14:textId="77777777">
            <w:pPr>
              <w:rPr>
                <w:rFonts w:eastAsia="PMingLiU"/>
                <w:szCs w:val="24"/>
              </w:rPr>
            </w:pPr>
            <w:hyperlink r:id="rId25" w:history="1">
              <w:r w:rsidRPr="008E2256" w:rsidR="00085A99">
                <w:rPr>
                  <w:rFonts w:eastAsia="Arial Unicode MS"/>
                  <w:color w:val="0000FF"/>
                  <w:szCs w:val="24"/>
                  <w:u w:val="single" w:color="0000FF"/>
                </w:rPr>
                <w:t>djireland@ficlaw.com</w:t>
              </w:r>
            </w:hyperlink>
          </w:p>
          <w:p w:rsidR="00E06737" w:rsidRPr="008E2256" w:rsidP="002F624F" w14:paraId="1C2BD197" w14:textId="77777777">
            <w:pPr>
              <w:rPr>
                <w:rFonts w:eastAsia="PMingLiU"/>
                <w:szCs w:val="24"/>
              </w:rPr>
            </w:pPr>
            <w:hyperlink r:id="rId26" w:history="1">
              <w:r w:rsidRPr="008E2256" w:rsidR="00085A99">
                <w:rPr>
                  <w:rFonts w:eastAsia="Arial Unicode MS"/>
                  <w:color w:val="0000FF"/>
                  <w:szCs w:val="24"/>
                  <w:u w:val="single" w:color="0000FF"/>
                </w:rPr>
                <w:t>mwatt@ficlaw.com</w:t>
              </w:r>
            </w:hyperlink>
          </w:p>
          <w:p w:rsidR="00E06737" w:rsidRPr="008E2256" w:rsidP="002F624F" w14:paraId="581456FC" w14:textId="77777777">
            <w:pPr>
              <w:rPr>
                <w:rFonts w:eastAsia="PMingLiU"/>
                <w:szCs w:val="24"/>
              </w:rPr>
            </w:pPr>
            <w:hyperlink r:id="rId27" w:history="1">
              <w:r w:rsidRPr="008E2256" w:rsidR="00085A99">
                <w:rPr>
                  <w:rFonts w:eastAsia="Arial Unicode MS"/>
                  <w:color w:val="0000FF"/>
                  <w:szCs w:val="24"/>
                  <w:u w:val="single" w:color="0000FF"/>
                </w:rPr>
                <w:t>mkurtz@bkllawfirm.com</w:t>
              </w:r>
            </w:hyperlink>
          </w:p>
          <w:p w:rsidR="00E06737" w:rsidRPr="008E2256" w:rsidP="002F624F" w14:paraId="1F59E62E" w14:textId="77777777">
            <w:pPr>
              <w:rPr>
                <w:rFonts w:eastAsia="PMingLiU"/>
                <w:szCs w:val="24"/>
              </w:rPr>
            </w:pPr>
            <w:hyperlink r:id="rId28" w:history="1">
              <w:r w:rsidRPr="008E2256" w:rsidR="00085A99">
                <w:rPr>
                  <w:rFonts w:eastAsia="Arial Unicode MS"/>
                  <w:color w:val="0000FF"/>
                  <w:szCs w:val="24"/>
                  <w:u w:val="single" w:color="0000FF"/>
                </w:rPr>
                <w:t>kboehm@bkllawfirm.com</w:t>
              </w:r>
            </w:hyperlink>
          </w:p>
          <w:p w:rsidR="00E06737" w:rsidRPr="008E2256" w:rsidP="002F624F" w14:paraId="56E02403" w14:textId="77777777">
            <w:pPr>
              <w:rPr>
                <w:rFonts w:eastAsia="PMingLiU"/>
                <w:szCs w:val="24"/>
              </w:rPr>
            </w:pPr>
            <w:hyperlink r:id="rId29" w:history="1">
              <w:r w:rsidRPr="008E2256" w:rsidR="00085A99">
                <w:rPr>
                  <w:rFonts w:eastAsia="Arial Unicode MS"/>
                  <w:color w:val="0000FF"/>
                  <w:szCs w:val="24"/>
                  <w:u w:val="single" w:color="0000FF"/>
                </w:rPr>
                <w:t>jkylercohn@bkllawfirm.com</w:t>
              </w:r>
            </w:hyperlink>
          </w:p>
          <w:p w:rsidR="00E06737" w:rsidRPr="008E2256" w:rsidP="002F624F" w14:paraId="6FD274DB" w14:textId="77777777">
            <w:pPr>
              <w:rPr>
                <w:rFonts w:eastAsia="PMingLiU"/>
                <w:szCs w:val="24"/>
              </w:rPr>
            </w:pPr>
            <w:hyperlink r:id="rId30" w:history="1">
              <w:r w:rsidRPr="008E2256" w:rsidR="00085A99">
                <w:rPr>
                  <w:rFonts w:eastAsia="Arial Unicode MS"/>
                  <w:color w:val="0000FF"/>
                  <w:szCs w:val="24"/>
                  <w:u w:val="single" w:color="0000FF"/>
                </w:rPr>
                <w:t>stacie.cathcart@igs.com</w:t>
              </w:r>
            </w:hyperlink>
          </w:p>
          <w:p w:rsidR="00E06737" w:rsidRPr="008E2256" w:rsidP="002F624F" w14:paraId="77D9F9BB" w14:textId="77777777">
            <w:pPr>
              <w:rPr>
                <w:rFonts w:eastAsia="PMingLiU"/>
                <w:szCs w:val="24"/>
              </w:rPr>
            </w:pPr>
            <w:hyperlink r:id="rId31" w:history="1">
              <w:r w:rsidRPr="008E2256" w:rsidR="00085A99">
                <w:rPr>
                  <w:rFonts w:eastAsia="Arial Unicode MS"/>
                  <w:color w:val="0000FF"/>
                  <w:szCs w:val="24"/>
                  <w:u w:val="single" w:color="0000FF"/>
                </w:rPr>
                <w:t>evan.betterton@igs.com</w:t>
              </w:r>
            </w:hyperlink>
          </w:p>
          <w:p w:rsidR="00E06737" w:rsidRPr="008E2256" w:rsidP="002F624F" w14:paraId="004E64A9" w14:textId="77777777">
            <w:pPr>
              <w:rPr>
                <w:rFonts w:eastAsia="PMingLiU"/>
                <w:szCs w:val="24"/>
              </w:rPr>
            </w:pPr>
            <w:hyperlink r:id="rId32" w:history="1">
              <w:r w:rsidRPr="008E2256" w:rsidR="00085A99">
                <w:rPr>
                  <w:rFonts w:eastAsia="PMingLiU"/>
                  <w:color w:val="0000FF"/>
                  <w:szCs w:val="24"/>
                  <w:u w:val="single"/>
                </w:rPr>
                <w:t>michael.nugent@igs.com</w:t>
              </w:r>
            </w:hyperlink>
          </w:p>
          <w:p w:rsidR="00E06737" w:rsidRPr="008E2256" w:rsidP="002F624F" w14:paraId="5A786642" w14:textId="77777777">
            <w:pPr>
              <w:rPr>
                <w:rFonts w:eastAsia="PMingLiU"/>
                <w:szCs w:val="24"/>
              </w:rPr>
            </w:pPr>
            <w:hyperlink r:id="rId33" w:history="1">
              <w:r w:rsidRPr="008E2256" w:rsidR="00085A99">
                <w:rPr>
                  <w:rFonts w:eastAsia="PMingLiU"/>
                  <w:color w:val="0000FF"/>
                  <w:szCs w:val="24"/>
                  <w:u w:val="single"/>
                </w:rPr>
                <w:t>Joe.Oliker@igs.com</w:t>
              </w:r>
            </w:hyperlink>
          </w:p>
          <w:p w:rsidR="00E06737" w:rsidRPr="008E2256" w:rsidP="002F624F" w14:paraId="57F7DB07" w14:textId="77777777">
            <w:pPr>
              <w:rPr>
                <w:rFonts w:eastAsia="PMingLiU"/>
                <w:szCs w:val="24"/>
              </w:rPr>
            </w:pPr>
            <w:hyperlink r:id="rId34" w:history="1">
              <w:r w:rsidRPr="008E2256" w:rsidR="00085A99">
                <w:rPr>
                  <w:rFonts w:eastAsia="Arial Unicode MS"/>
                  <w:color w:val="0000FF"/>
                  <w:szCs w:val="24"/>
                  <w:u w:val="single" w:color="0000FF"/>
                </w:rPr>
                <w:t>stephanie.chmiel@thompsonhine.com</w:t>
              </w:r>
            </w:hyperlink>
          </w:p>
          <w:p w:rsidR="00E06737" w:rsidRPr="008E2256" w:rsidP="002F624F" w14:paraId="5A9A76BB" w14:textId="77777777">
            <w:pPr>
              <w:rPr>
                <w:rFonts w:eastAsia="Arial Unicode MS"/>
                <w:color w:val="0000FF"/>
                <w:szCs w:val="24"/>
                <w:u w:val="single" w:color="0000FF"/>
              </w:rPr>
            </w:pPr>
            <w:hyperlink r:id="rId35" w:history="1">
              <w:r w:rsidRPr="008E2256" w:rsidR="00085A99">
                <w:rPr>
                  <w:rFonts w:eastAsia="Arial Unicode MS"/>
                  <w:color w:val="0000FF"/>
                  <w:szCs w:val="24"/>
                  <w:u w:val="single" w:color="0000FF"/>
                </w:rPr>
                <w:t>mary.csarny@thompsonhine.com</w:t>
              </w:r>
            </w:hyperlink>
          </w:p>
          <w:p w:rsidR="00E06737" w:rsidRPr="00E94D1C" w:rsidP="002F624F" w14:paraId="40D582DA" w14:textId="75F315EC">
            <w:pPr>
              <w:rPr>
                <w:rFonts w:eastAsia="PMingLiU"/>
                <w:szCs w:val="24"/>
              </w:rPr>
            </w:pPr>
            <w:hyperlink r:id="rId36" w:history="1">
              <w:r w:rsidRPr="008E2256" w:rsidR="00085A99">
                <w:rPr>
                  <w:rFonts w:eastAsia="Arial Unicode MS"/>
                  <w:color w:val="0000FF"/>
                  <w:szCs w:val="24"/>
                  <w:u w:val="single" w:color="0000FF"/>
                </w:rPr>
                <w:t>mpritchard@mcneeslaw.com</w:t>
              </w:r>
            </w:hyperlink>
          </w:p>
          <w:p w:rsidR="00E06737" w:rsidRPr="008E2256" w:rsidP="002F624F" w14:paraId="5A09BA3D" w14:textId="77777777">
            <w:pPr>
              <w:rPr>
                <w:rFonts w:eastAsia="PMingLiU"/>
                <w:szCs w:val="24"/>
              </w:rPr>
            </w:pPr>
            <w:r w:rsidRPr="008E2256">
              <w:rPr>
                <w:rFonts w:eastAsia="Arial Unicode MS"/>
                <w:color w:val="0000FF"/>
                <w:szCs w:val="24"/>
                <w:u w:val="single" w:color="0000FF"/>
              </w:rPr>
              <w:t>awalke@mcneeslaw.com</w:t>
            </w:r>
          </w:p>
          <w:p w:rsidR="00E06737" w:rsidRPr="008E2256" w:rsidP="002F624F" w14:paraId="423A9638" w14:textId="77777777">
            <w:pPr>
              <w:rPr>
                <w:rFonts w:eastAsia="PMingLiU"/>
                <w:szCs w:val="24"/>
              </w:rPr>
            </w:pPr>
            <w:hyperlink r:id="rId37" w:history="1">
              <w:r w:rsidRPr="008E2256" w:rsidR="00085A99">
                <w:rPr>
                  <w:rFonts w:eastAsia="PMingLiU"/>
                  <w:color w:val="0000FF"/>
                  <w:szCs w:val="24"/>
                  <w:u w:val="single"/>
                </w:rPr>
                <w:t>dromig@armadapower.com</w:t>
              </w:r>
            </w:hyperlink>
          </w:p>
          <w:p w:rsidR="00E06737" w:rsidRPr="008E2256" w:rsidP="002F624F" w14:paraId="5CA1B6F0" w14:textId="77777777">
            <w:pPr>
              <w:rPr>
                <w:rFonts w:eastAsia="PMingLiU"/>
                <w:szCs w:val="24"/>
              </w:rPr>
            </w:pPr>
            <w:hyperlink r:id="rId38" w:history="1">
              <w:r w:rsidRPr="008E2256" w:rsidR="00085A99">
                <w:rPr>
                  <w:rFonts w:eastAsia="Arial Unicode MS"/>
                  <w:color w:val="0000FF"/>
                  <w:szCs w:val="24"/>
                  <w:u w:val="single" w:color="0000FF"/>
                </w:rPr>
                <w:t>mjsettineri@vorys.com</w:t>
              </w:r>
            </w:hyperlink>
          </w:p>
          <w:p w:rsidR="00E06737" w:rsidRPr="008E2256" w:rsidP="002F624F" w14:paraId="42F3F1CD" w14:textId="77777777">
            <w:pPr>
              <w:rPr>
                <w:rFonts w:eastAsia="PMingLiU"/>
                <w:szCs w:val="24"/>
              </w:rPr>
            </w:pPr>
            <w:hyperlink r:id="rId39" w:history="1">
              <w:r w:rsidRPr="008E2256" w:rsidR="00085A99">
                <w:rPr>
                  <w:rFonts w:eastAsia="Arial Unicode MS"/>
                  <w:color w:val="0000FF"/>
                  <w:szCs w:val="24"/>
                  <w:u w:val="single" w:color="0000FF"/>
                </w:rPr>
                <w:t>glpetrucci@vorys.com</w:t>
              </w:r>
            </w:hyperlink>
          </w:p>
          <w:p w:rsidR="00E06737" w:rsidRPr="008E2256" w:rsidP="002F624F" w14:paraId="23900C6F" w14:textId="77777777">
            <w:pPr>
              <w:rPr>
                <w:rFonts w:eastAsia="PMingLiU"/>
                <w:szCs w:val="24"/>
              </w:rPr>
            </w:pPr>
            <w:hyperlink r:id="rId40" w:history="1">
              <w:r w:rsidRPr="008E2256" w:rsidR="00085A99">
                <w:rPr>
                  <w:rFonts w:eastAsia="Arial Unicode MS"/>
                  <w:color w:val="0000FF"/>
                  <w:szCs w:val="24"/>
                  <w:u w:val="single" w:color="0000FF"/>
                </w:rPr>
                <w:t>paul@carpenterlipps.com</w:t>
              </w:r>
            </w:hyperlink>
          </w:p>
          <w:p w:rsidR="00E06737" w:rsidRPr="008E2256" w:rsidP="002F624F" w14:paraId="6839B253" w14:textId="77777777">
            <w:pPr>
              <w:rPr>
                <w:rFonts w:eastAsia="PMingLiU"/>
                <w:szCs w:val="24"/>
              </w:rPr>
            </w:pPr>
            <w:hyperlink r:id="rId41" w:history="1">
              <w:r w:rsidRPr="008E2256" w:rsidR="00085A99">
                <w:rPr>
                  <w:rFonts w:eastAsia="Arial Unicode MS"/>
                  <w:color w:val="0000FF"/>
                  <w:szCs w:val="24"/>
                  <w:u w:val="single" w:color="0000FF"/>
                </w:rPr>
                <w:t>trent@hubaydougherty.com</w:t>
              </w:r>
            </w:hyperlink>
          </w:p>
          <w:p w:rsidR="00E06737" w:rsidRPr="008E2256" w:rsidP="002F624F" w14:paraId="087AF63E" w14:textId="77777777">
            <w:pPr>
              <w:rPr>
                <w:rFonts w:eastAsia="Arial Unicode MS"/>
                <w:color w:val="0000FF"/>
                <w:szCs w:val="24"/>
                <w:u w:val="single" w:color="0000FF"/>
              </w:rPr>
            </w:pPr>
            <w:hyperlink r:id="rId42" w:history="1">
              <w:r w:rsidRPr="008E2256" w:rsidR="00085A99">
                <w:rPr>
                  <w:rFonts w:eastAsia="Arial Unicode MS"/>
                  <w:color w:val="0000FF"/>
                  <w:szCs w:val="24"/>
                  <w:u w:val="single" w:color="0000FF"/>
                </w:rPr>
                <w:t>rdove@keglerbrown.com</w:t>
              </w:r>
            </w:hyperlink>
          </w:p>
          <w:p w:rsidR="00E06737" w:rsidRPr="008E2256" w:rsidP="002F624F" w14:paraId="70456510" w14:textId="77777777">
            <w:pPr>
              <w:rPr>
                <w:rFonts w:eastAsia="Arial Unicode MS"/>
                <w:color w:val="0000FF"/>
                <w:szCs w:val="24"/>
                <w:u w:val="single" w:color="0000FF"/>
              </w:rPr>
            </w:pPr>
            <w:hyperlink r:id="rId43" w:history="1">
              <w:r w:rsidRPr="008E2256" w:rsidR="00085A99">
                <w:rPr>
                  <w:rFonts w:eastAsia="Arial Unicode MS"/>
                  <w:color w:val="0000FF"/>
                  <w:szCs w:val="24"/>
                  <w:u w:val="single" w:color="0000FF"/>
                </w:rPr>
                <w:t>cgrundmann@spilmanlaw.com</w:t>
              </w:r>
            </w:hyperlink>
          </w:p>
          <w:p w:rsidR="00E06737" w:rsidRPr="008E2256" w:rsidP="002F624F" w14:paraId="31430E06" w14:textId="77777777">
            <w:pPr>
              <w:spacing w:after="120"/>
              <w:rPr>
                <w:rFonts w:eastAsia="PMingLiU"/>
                <w:szCs w:val="24"/>
              </w:rPr>
            </w:pPr>
            <w:hyperlink r:id="rId44" w:history="1">
              <w:r w:rsidRPr="008E2256" w:rsidR="00085A99">
                <w:rPr>
                  <w:rFonts w:eastAsia="Arial Unicode MS"/>
                  <w:color w:val="0000FF"/>
                  <w:szCs w:val="24"/>
                  <w:u w:val="single" w:color="0000FF"/>
                </w:rPr>
                <w:t>dwilliamson@spilmanlaw.com</w:t>
              </w:r>
            </w:hyperlink>
          </w:p>
        </w:tc>
      </w:tr>
    </w:tbl>
    <w:p w:rsidR="00E06737" w:rsidRPr="008E2256" w:rsidP="00E06737" w14:paraId="1A7CD002" w14:textId="77777777">
      <w:pPr>
        <w:jc w:val="center"/>
        <w:rPr>
          <w:rFonts w:eastAsia="Times New Roman"/>
          <w:b/>
          <w:szCs w:val="24"/>
          <w:u w:val="single"/>
        </w:rPr>
      </w:pPr>
    </w:p>
    <w:p w:rsidR="00DF4F73" w:rsidRPr="008E2256" w:rsidP="00835D91" w14:paraId="0A26BA0C" w14:textId="77777777">
      <w:pPr>
        <w:autoSpaceDE w:val="0"/>
        <w:autoSpaceDN w:val="0"/>
        <w:adjustRightInd w:val="0"/>
        <w:ind w:firstLine="720"/>
        <w:rPr>
          <w:szCs w:val="24"/>
        </w:rPr>
      </w:pPr>
    </w:p>
    <w:sectPr w:rsidSect="00E749DE">
      <w:headerReference w:type="even" r:id="rId45"/>
      <w:headerReference w:type="default" r:id="rId46"/>
      <w:footerReference w:type="even" r:id="rId47"/>
      <w:footerReference w:type="default" r:id="rId48"/>
      <w:headerReference w:type="first" r:id="rId49"/>
      <w:footerReference w:type="first" r:id="rId50"/>
      <w:pgSz w:w="12240" w:h="15840" w:code="1"/>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A75" w14:paraId="0F43E1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3378535"/>
      <w:docPartObj>
        <w:docPartGallery w:val="Page Numbers (Bottom of Page)"/>
        <w:docPartUnique/>
      </w:docPartObj>
    </w:sdtPr>
    <w:sdtEndPr>
      <w:rPr>
        <w:noProof/>
        <w:sz w:val="24"/>
        <w:szCs w:val="24"/>
      </w:rPr>
    </w:sdtEndPr>
    <w:sdtContent>
      <w:p w:rsidR="00896EFD" w:rsidRPr="003643B2" w14:paraId="730FE9C0" w14:textId="77777777">
        <w:pPr>
          <w:pStyle w:val="Footer"/>
          <w:jc w:val="center"/>
          <w:rPr>
            <w:sz w:val="24"/>
            <w:szCs w:val="24"/>
          </w:rPr>
        </w:pPr>
        <w:r w:rsidRPr="003643B2">
          <w:rPr>
            <w:sz w:val="24"/>
            <w:szCs w:val="24"/>
          </w:rPr>
          <w:fldChar w:fldCharType="begin"/>
        </w:r>
        <w:r w:rsidRPr="003643B2">
          <w:rPr>
            <w:sz w:val="24"/>
            <w:szCs w:val="24"/>
          </w:rPr>
          <w:instrText xml:space="preserve"> PAGE   \* MERGEFORMAT </w:instrText>
        </w:r>
        <w:r w:rsidRPr="003643B2">
          <w:rPr>
            <w:sz w:val="24"/>
            <w:szCs w:val="24"/>
          </w:rPr>
          <w:fldChar w:fldCharType="separate"/>
        </w:r>
        <w:r w:rsidRPr="003643B2">
          <w:rPr>
            <w:noProof/>
            <w:sz w:val="24"/>
            <w:szCs w:val="24"/>
          </w:rPr>
          <w:t>2</w:t>
        </w:r>
        <w:r w:rsidRPr="003643B2">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A75" w14:paraId="688C20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03C9" w14:paraId="6F129841" w14:textId="77777777">
      <w:r>
        <w:separator/>
      </w:r>
    </w:p>
  </w:footnote>
  <w:footnote w:type="continuationSeparator" w:id="1">
    <w:p w:rsidR="005203C9" w14:paraId="299ECCA3" w14:textId="77777777">
      <w:r>
        <w:continuationSeparator/>
      </w:r>
    </w:p>
  </w:footnote>
  <w:footnote w:id="2">
    <w:p w:rsidR="003718C3" w:rsidRPr="00255662" w:rsidP="00E06737" w14:paraId="20D12F67" w14:textId="77777777">
      <w:pPr>
        <w:pStyle w:val="FootnoteText"/>
        <w:spacing w:after="120"/>
      </w:pPr>
      <w:r w:rsidRPr="00255662">
        <w:rPr>
          <w:rStyle w:val="FootnoteReference"/>
        </w:rPr>
        <w:footnoteRef/>
      </w:r>
      <w:r w:rsidRPr="00255662">
        <w:t xml:space="preserve"> </w:t>
      </w:r>
      <w:r w:rsidRPr="00255662">
        <w:rPr>
          <w:i/>
          <w:iCs/>
        </w:rPr>
        <w:t>See</w:t>
      </w:r>
      <w:r w:rsidRPr="00255662">
        <w:t xml:space="preserve"> OCC Ex. 8. </w:t>
      </w:r>
    </w:p>
  </w:footnote>
  <w:footnote w:id="3">
    <w:p w:rsidR="003718C3" w:rsidP="00E06737" w14:paraId="6AFC0EF7" w14:textId="77777777">
      <w:pPr>
        <w:pStyle w:val="FootnoteText"/>
        <w:spacing w:after="120"/>
      </w:pPr>
      <w:r>
        <w:rPr>
          <w:rStyle w:val="FootnoteReference"/>
        </w:rPr>
        <w:footnoteRef/>
      </w:r>
      <w:r>
        <w:t xml:space="preserve"> OVEC Annual Report at 2 (2022).</w:t>
      </w:r>
    </w:p>
  </w:footnote>
  <w:footnote w:id="4">
    <w:p w:rsidR="003718C3" w:rsidP="00E06737" w14:paraId="71585427" w14:textId="18A32025">
      <w:pPr>
        <w:pStyle w:val="FootnoteText"/>
        <w:spacing w:after="120"/>
      </w:pPr>
      <w:r>
        <w:rPr>
          <w:rStyle w:val="FootnoteReference"/>
        </w:rPr>
        <w:footnoteRef/>
      </w:r>
      <w:r>
        <w:t xml:space="preserve"> AES Ohio Application for Rehearing at 1-2 (Sept</w:t>
      </w:r>
      <w:r w:rsidR="00E06737">
        <w:t>ember</w:t>
      </w:r>
      <w:r>
        <w:t xml:space="preserve"> 8, 2023).</w:t>
      </w:r>
    </w:p>
  </w:footnote>
  <w:footnote w:id="5">
    <w:p w:rsidR="003718C3" w:rsidP="00E06737" w14:paraId="3454BAEE" w14:textId="1520B185">
      <w:pPr>
        <w:pStyle w:val="FootnoteText"/>
        <w:spacing w:after="120"/>
      </w:pPr>
      <w:r>
        <w:rPr>
          <w:rStyle w:val="FootnoteReference"/>
        </w:rPr>
        <w:footnoteRef/>
      </w:r>
      <w:r>
        <w:t xml:space="preserve"> AES Ohio Application for Rehearing at 3-4 (Sept</w:t>
      </w:r>
      <w:r w:rsidR="00E06737">
        <w:t>ember</w:t>
      </w:r>
      <w:r>
        <w:t xml:space="preserve"> 8, 2023).</w:t>
      </w:r>
    </w:p>
  </w:footnote>
  <w:footnote w:id="6">
    <w:p w:rsidR="003718C3" w:rsidRPr="00D12605" w:rsidP="00E06737" w14:paraId="31940C43" w14:textId="77777777">
      <w:pPr>
        <w:pStyle w:val="FootnoteText"/>
        <w:spacing w:after="120"/>
      </w:pPr>
      <w:r>
        <w:rPr>
          <w:rStyle w:val="FootnoteReference"/>
        </w:rPr>
        <w:footnoteRef/>
      </w:r>
      <w:r>
        <w:t xml:space="preserve"> </w:t>
      </w:r>
      <w:r>
        <w:rPr>
          <w:i/>
          <w:iCs/>
        </w:rPr>
        <w:t xml:space="preserve">In re AEP PPA Rider, </w:t>
      </w:r>
      <w:r>
        <w:t>155 Ohio St.3d 326, 2018-Ohio-4698.</w:t>
      </w:r>
    </w:p>
  </w:footnote>
  <w:footnote w:id="7">
    <w:p w:rsidR="003718C3" w:rsidRPr="00D43B92" w:rsidP="00E06737" w14:paraId="17A72AFA" w14:textId="4227DAE1">
      <w:pPr>
        <w:pStyle w:val="FootnoteText"/>
        <w:spacing w:after="120"/>
      </w:pPr>
      <w:r>
        <w:rPr>
          <w:rStyle w:val="FootnoteReference"/>
        </w:rPr>
        <w:footnoteRef/>
      </w:r>
      <w:r>
        <w:t xml:space="preserve"> </w:t>
      </w:r>
      <w:r>
        <w:rPr>
          <w:i/>
          <w:iCs/>
        </w:rPr>
        <w:t xml:space="preserve">In re AEP ESP 3, </w:t>
      </w:r>
      <w:r>
        <w:t>Case No. 13-2385-EL-SSO, Opinion and Order at 20 (Feb</w:t>
      </w:r>
      <w:r w:rsidR="00E06737">
        <w:t>ruary</w:t>
      </w:r>
      <w:r>
        <w:t xml:space="preserve"> 25, 2015).</w:t>
      </w:r>
    </w:p>
  </w:footnote>
  <w:footnote w:id="8">
    <w:p w:rsidR="003718C3" w:rsidP="00E06737" w14:paraId="4302D7EF" w14:textId="6BC97616">
      <w:pPr>
        <w:pStyle w:val="FootnoteText"/>
        <w:spacing w:after="120"/>
      </w:pPr>
      <w:r>
        <w:rPr>
          <w:rStyle w:val="FootnoteReference"/>
        </w:rPr>
        <w:footnoteRef/>
      </w:r>
      <w:r>
        <w:t xml:space="preserve"> Case No. 13-2385-EL-SSO, Opinion and Order (Feb</w:t>
      </w:r>
      <w:r w:rsidR="00E06737">
        <w:t>ruary</w:t>
      </w:r>
      <w:r>
        <w:t xml:space="preserve"> 25, 2015).</w:t>
      </w:r>
    </w:p>
  </w:footnote>
  <w:footnote w:id="9">
    <w:p w:rsidR="003718C3" w:rsidRPr="00D43B92" w:rsidP="00E06737" w14:paraId="5F22C31E" w14:textId="77BCC700">
      <w:pPr>
        <w:pStyle w:val="FootnoteText"/>
        <w:spacing w:after="120"/>
      </w:pPr>
      <w:r>
        <w:rPr>
          <w:rStyle w:val="FootnoteReference"/>
        </w:rPr>
        <w:footnoteRef/>
      </w:r>
      <w:r>
        <w:t xml:space="preserve"> </w:t>
      </w:r>
      <w:r>
        <w:rPr>
          <w:i/>
          <w:iCs/>
        </w:rPr>
        <w:t xml:space="preserve">In re AEP ESP 3, </w:t>
      </w:r>
      <w:r>
        <w:t>Case No. 13-2385-EL-SSO, Opinion and Order at 20 (Feb</w:t>
      </w:r>
      <w:r w:rsidR="00E06737">
        <w:t>ruary</w:t>
      </w:r>
      <w:r>
        <w:t xml:space="preserve"> 25, 2015).</w:t>
      </w:r>
    </w:p>
  </w:footnote>
  <w:footnote w:id="10">
    <w:p w:rsidR="003718C3" w:rsidP="00E06737" w14:paraId="5DFEA95D" w14:textId="167CE8CB">
      <w:pPr>
        <w:pStyle w:val="FootnoteText"/>
        <w:spacing w:after="120"/>
      </w:pPr>
      <w:r>
        <w:rPr>
          <w:rStyle w:val="FootnoteReference"/>
        </w:rPr>
        <w:footnoteRef/>
      </w:r>
      <w:r>
        <w:t xml:space="preserve"> Case No. 13-2385-EL-SSO, Opinion and Order (Feb</w:t>
      </w:r>
      <w:r w:rsidR="00E06737">
        <w:t>ruary</w:t>
      </w:r>
      <w:r>
        <w:t xml:space="preserve"> 25, 2015).</w:t>
      </w:r>
    </w:p>
  </w:footnote>
  <w:footnote w:id="11">
    <w:p w:rsidR="003718C3" w:rsidRPr="00E35C27" w:rsidP="00E06737" w14:paraId="0DB43D77" w14:textId="77777777">
      <w:pPr>
        <w:pStyle w:val="FootnoteText"/>
        <w:spacing w:after="120"/>
      </w:pPr>
      <w:r>
        <w:rPr>
          <w:rStyle w:val="FootnoteReference"/>
        </w:rPr>
        <w:footnoteRef/>
      </w:r>
      <w:r>
        <w:t xml:space="preserve"> </w:t>
      </w:r>
      <w:r>
        <w:rPr>
          <w:i/>
          <w:iCs/>
        </w:rPr>
        <w:t xml:space="preserve">Id. </w:t>
      </w:r>
      <w:r>
        <w:t>at 20-21.</w:t>
      </w:r>
    </w:p>
  </w:footnote>
  <w:footnote w:id="12">
    <w:p w:rsidR="003718C3" w:rsidRPr="00E35C27" w:rsidP="00E06737" w14:paraId="56A6A830" w14:textId="77777777">
      <w:pPr>
        <w:pStyle w:val="FootnoteText"/>
        <w:spacing w:after="120"/>
        <w:rPr>
          <w:i/>
          <w:iCs/>
        </w:rPr>
      </w:pPr>
      <w:r>
        <w:rPr>
          <w:rStyle w:val="FootnoteReference"/>
        </w:rPr>
        <w:footnoteRef/>
      </w:r>
      <w:r>
        <w:t xml:space="preserve"> </w:t>
      </w:r>
      <w:r>
        <w:rPr>
          <w:i/>
          <w:iCs/>
        </w:rPr>
        <w:t>Id.</w:t>
      </w:r>
    </w:p>
  </w:footnote>
  <w:footnote w:id="13">
    <w:p w:rsidR="003718C3" w:rsidRPr="002924FE" w:rsidP="00E06737" w14:paraId="528F2ED9" w14:textId="77777777">
      <w:pPr>
        <w:pStyle w:val="FootnoteText"/>
        <w:spacing w:after="120"/>
        <w:rPr>
          <w:i/>
          <w:iCs/>
        </w:rPr>
      </w:pPr>
      <w:r>
        <w:rPr>
          <w:rStyle w:val="FootnoteReference"/>
        </w:rPr>
        <w:footnoteRef/>
      </w:r>
      <w:r>
        <w:t xml:space="preserve"> </w:t>
      </w:r>
      <w:r>
        <w:rPr>
          <w:i/>
          <w:iCs/>
        </w:rPr>
        <w:t xml:space="preserve">Id. </w:t>
      </w:r>
    </w:p>
  </w:footnote>
  <w:footnote w:id="14">
    <w:p w:rsidR="003718C3" w:rsidRPr="00255662" w:rsidP="00E06737" w14:paraId="5A052CDF" w14:textId="77777777">
      <w:pPr>
        <w:pStyle w:val="FootnoteText"/>
        <w:spacing w:after="120"/>
      </w:pPr>
      <w:r w:rsidRPr="00255662">
        <w:rPr>
          <w:rStyle w:val="FootnoteReference"/>
        </w:rPr>
        <w:footnoteRef/>
      </w:r>
      <w:r w:rsidRPr="00255662">
        <w:t xml:space="preserve"> AES Ohio Ex. 2 at 5 (Donlon).</w:t>
      </w:r>
    </w:p>
  </w:footnote>
  <w:footnote w:id="15">
    <w:p w:rsidR="003718C3" w:rsidRPr="00255662" w:rsidP="00E06737" w14:paraId="13975263" w14:textId="77777777">
      <w:pPr>
        <w:pStyle w:val="FootnoteText"/>
        <w:spacing w:after="120"/>
        <w:rPr>
          <w:i/>
          <w:iCs/>
        </w:rPr>
      </w:pPr>
      <w:r w:rsidRPr="00255662">
        <w:rPr>
          <w:rStyle w:val="FootnoteReference"/>
        </w:rPr>
        <w:footnoteRef/>
      </w:r>
      <w:r w:rsidRPr="00255662">
        <w:t xml:space="preserve"> </w:t>
      </w:r>
      <w:r w:rsidRPr="00255662">
        <w:rPr>
          <w:i/>
          <w:iCs/>
        </w:rPr>
        <w:t>Id.</w:t>
      </w:r>
    </w:p>
  </w:footnote>
  <w:footnote w:id="16">
    <w:p w:rsidR="003718C3" w:rsidRPr="00255662" w:rsidP="00E06737" w14:paraId="2F405E9B" w14:textId="751A6049">
      <w:pPr>
        <w:pStyle w:val="FootnoteText"/>
        <w:spacing w:after="120"/>
      </w:pPr>
      <w:r w:rsidRPr="00255662">
        <w:rPr>
          <w:rStyle w:val="FootnoteReference"/>
        </w:rPr>
        <w:footnoteRef/>
      </w:r>
      <w:r w:rsidRPr="00255662">
        <w:t xml:space="preserve"> </w:t>
      </w:r>
      <w:r w:rsidRPr="00255662">
        <w:rPr>
          <w:i/>
          <w:iCs/>
        </w:rPr>
        <w:t xml:space="preserve">In the Matter of the Application of The Dayton Power and Light Company to Establish a Standard Service Offer in the form of an Electric Security Plan, </w:t>
      </w:r>
      <w:r w:rsidRPr="00255662">
        <w:t>Case No. 12-426-EL-SSO, Opinion and Order (Sept</w:t>
      </w:r>
      <w:r w:rsidR="00732AF9">
        <w:t>ember</w:t>
      </w:r>
      <w:r w:rsidRPr="00255662">
        <w:t xml:space="preserve"> 4, 2013).</w:t>
      </w:r>
    </w:p>
  </w:footnote>
  <w:footnote w:id="17">
    <w:p w:rsidR="003718C3" w:rsidRPr="00255662" w:rsidP="00E06737" w14:paraId="537A3474" w14:textId="77777777">
      <w:pPr>
        <w:pStyle w:val="FootnoteText"/>
        <w:spacing w:after="120"/>
      </w:pPr>
      <w:r w:rsidRPr="00255662">
        <w:rPr>
          <w:rStyle w:val="FootnoteReference"/>
        </w:rPr>
        <w:footnoteRef/>
      </w:r>
      <w:r w:rsidRPr="00255662">
        <w:rPr>
          <w:i/>
          <w:iCs/>
        </w:rPr>
        <w:t xml:space="preserve"> In re Application of Dayton Power &amp; Light Co</w:t>
      </w:r>
      <w:r w:rsidRPr="00255662">
        <w:t>., 147 Ohio St.3d 166, 2016-Ohio-3490, 62 N.E.3d 179.</w:t>
      </w:r>
    </w:p>
  </w:footnote>
  <w:footnote w:id="18">
    <w:p w:rsidR="003718C3" w:rsidRPr="00255662" w:rsidP="00E06737" w14:paraId="123B1F4F" w14:textId="0A697BB7">
      <w:pPr>
        <w:pStyle w:val="FootnoteText"/>
        <w:spacing w:after="120"/>
      </w:pPr>
      <w:r w:rsidRPr="00255662">
        <w:rPr>
          <w:rStyle w:val="FootnoteReference"/>
        </w:rPr>
        <w:footnoteRef/>
      </w:r>
      <w:r w:rsidRPr="00255662">
        <w:t xml:space="preserve"> </w:t>
      </w:r>
      <w:r w:rsidRPr="00255662">
        <w:rPr>
          <w:i/>
          <w:iCs/>
        </w:rPr>
        <w:t xml:space="preserve">In the Matter of the Application of The Dayton Power and Light Company to Establish a Standard Service Offer in the form of an Electric Security Plan, </w:t>
      </w:r>
      <w:r w:rsidRPr="00255662">
        <w:t>Case No. 12-426-EL-SSO, Finding and Order (Aug</w:t>
      </w:r>
      <w:r w:rsidR="00732AF9">
        <w:t>ust</w:t>
      </w:r>
      <w:r w:rsidRPr="00255662">
        <w:t xml:space="preserve"> 26, 2016).</w:t>
      </w:r>
    </w:p>
  </w:footnote>
  <w:footnote w:id="19">
    <w:p w:rsidR="003718C3" w:rsidRPr="00255662" w:rsidP="00E06737" w14:paraId="012CD306" w14:textId="05BC79D3">
      <w:pPr>
        <w:pStyle w:val="FootnoteText"/>
        <w:spacing w:after="120"/>
      </w:pPr>
      <w:r w:rsidRPr="00255662">
        <w:rPr>
          <w:rStyle w:val="FootnoteReference"/>
        </w:rPr>
        <w:footnoteRef/>
      </w:r>
      <w:r w:rsidRPr="00255662">
        <w:t xml:space="preserve"> </w:t>
      </w:r>
      <w:r w:rsidRPr="00255662">
        <w:rPr>
          <w:i/>
          <w:iCs/>
        </w:rPr>
        <w:t>In the Matter of the Application of The Dayton Power and Light Company to Establish a Standard Service Offer in the form of an Electric Security Plan</w:t>
      </w:r>
      <w:r w:rsidRPr="00255662">
        <w:t>, Case No. 08-1094-EL-SSO, Third Entry on Rehearing (Dec</w:t>
      </w:r>
      <w:r w:rsidR="00732AF9">
        <w:t>ember</w:t>
      </w:r>
      <w:r w:rsidRPr="00255662">
        <w:t xml:space="preserve"> 14, 2016).</w:t>
      </w:r>
    </w:p>
  </w:footnote>
  <w:footnote w:id="20">
    <w:p w:rsidR="003718C3" w:rsidRPr="00255662" w:rsidP="00E06737" w14:paraId="2FA83EEF" w14:textId="76989C31">
      <w:pPr>
        <w:pStyle w:val="FootnoteText"/>
        <w:spacing w:after="120"/>
      </w:pPr>
      <w:r w:rsidRPr="00255662">
        <w:rPr>
          <w:rStyle w:val="FootnoteReference"/>
        </w:rPr>
        <w:footnoteRef/>
      </w:r>
      <w:r w:rsidRPr="00255662">
        <w:t xml:space="preserve"> </w:t>
      </w:r>
      <w:r w:rsidRPr="00255662">
        <w:rPr>
          <w:i/>
          <w:iCs/>
        </w:rPr>
        <w:t>In the Matter of the Application of The Dayton Power and Light for Approval of its Electric Security Plan</w:t>
      </w:r>
      <w:r w:rsidRPr="00255662">
        <w:t>, Case No. 16-395-EL-SSO, Second Finding and Order (Oct</w:t>
      </w:r>
      <w:r w:rsidR="00732AF9">
        <w:t>ober</w:t>
      </w:r>
      <w:r w:rsidRPr="00255662">
        <w:t xml:space="preserve"> 20, 2017).</w:t>
      </w:r>
    </w:p>
  </w:footnote>
  <w:footnote w:id="21">
    <w:p w:rsidR="003718C3" w:rsidRPr="00255662" w:rsidP="00E06737" w14:paraId="648321AD" w14:textId="5B98B25C">
      <w:pPr>
        <w:pStyle w:val="FootnoteText"/>
        <w:spacing w:after="120"/>
      </w:pPr>
      <w:r w:rsidRPr="00255662">
        <w:rPr>
          <w:rStyle w:val="FootnoteReference"/>
        </w:rPr>
        <w:footnoteRef/>
      </w:r>
      <w:r w:rsidRPr="00255662">
        <w:t xml:space="preserve"> </w:t>
      </w:r>
      <w:r w:rsidRPr="00255662">
        <w:rPr>
          <w:i/>
          <w:iCs/>
        </w:rPr>
        <w:t>Id.</w:t>
      </w:r>
      <w:r w:rsidRPr="00255662">
        <w:t xml:space="preserve">; </w:t>
      </w:r>
      <w:r w:rsidRPr="00255662">
        <w:rPr>
          <w:i/>
          <w:iCs/>
        </w:rPr>
        <w:t>see also, In the Matter of the Review of the Reconciliation Rider of The Dayton Power and Light Company</w:t>
      </w:r>
      <w:r w:rsidRPr="00255662">
        <w:t>, Entry (Ja</w:t>
      </w:r>
      <w:r w:rsidR="00732AF9">
        <w:t>nuary</w:t>
      </w:r>
      <w:r w:rsidRPr="00255662">
        <w:t xml:space="preserve"> 29, 2020).</w:t>
      </w:r>
    </w:p>
  </w:footnote>
  <w:footnote w:id="22">
    <w:p w:rsidR="003718C3" w:rsidRPr="00255662" w:rsidP="00E06737" w14:paraId="15AFE0CD" w14:textId="4BDE8363">
      <w:pPr>
        <w:pStyle w:val="FootnoteText"/>
        <w:spacing w:after="120"/>
      </w:pPr>
      <w:r w:rsidRPr="00255662">
        <w:rPr>
          <w:rStyle w:val="FootnoteReference"/>
        </w:rPr>
        <w:footnoteRef/>
      </w:r>
      <w:r w:rsidRPr="00255662">
        <w:t xml:space="preserve"> </w:t>
      </w:r>
      <w:r w:rsidRPr="00255662">
        <w:rPr>
          <w:i/>
          <w:iCs/>
        </w:rPr>
        <w:t>In the Matter of the Application of The Dayton Power and Light Company to Establish a Standard Service Offer in the form of an Electric Security Plan</w:t>
      </w:r>
      <w:r w:rsidRPr="00255662">
        <w:t>, Case No. 08-1094-EL-SSO, Second Finding and Order (Dec</w:t>
      </w:r>
      <w:r w:rsidR="00732AF9">
        <w:t>ember</w:t>
      </w:r>
      <w:r w:rsidRPr="00255662">
        <w:t xml:space="preserve"> 18, 2019).</w:t>
      </w:r>
    </w:p>
  </w:footnote>
  <w:footnote w:id="23">
    <w:p w:rsidR="003718C3" w:rsidRPr="00255662" w:rsidP="00E06737" w14:paraId="174FC655" w14:textId="77777777">
      <w:pPr>
        <w:pStyle w:val="FootnoteText"/>
        <w:spacing w:after="120"/>
      </w:pPr>
      <w:r>
        <w:rPr>
          <w:rStyle w:val="FootnoteReference"/>
        </w:rPr>
        <w:footnoteRef/>
      </w:r>
      <w:r>
        <w:t xml:space="preserve"> </w:t>
      </w:r>
      <w:r w:rsidRPr="006B0E98">
        <w:t>R.C. 4928.148.</w:t>
      </w:r>
    </w:p>
  </w:footnote>
  <w:footnote w:id="24">
    <w:p w:rsidR="003718C3" w:rsidRPr="00255662" w:rsidP="00E06737" w14:paraId="6A7864A5" w14:textId="0C693DBE">
      <w:pPr>
        <w:pStyle w:val="FootnoteText"/>
        <w:spacing w:after="120"/>
      </w:pPr>
      <w:r w:rsidRPr="00255662">
        <w:rPr>
          <w:rStyle w:val="FootnoteReference"/>
        </w:rPr>
        <w:footnoteRef/>
      </w:r>
      <w:r w:rsidRPr="00255662">
        <w:t xml:space="preserve"> </w:t>
      </w:r>
      <w:r w:rsidRPr="00255662">
        <w:rPr>
          <w:i/>
          <w:iCs/>
        </w:rPr>
        <w:t xml:space="preserve">In the Matter of the Application of The Dayton Power and Light Company to Establish a Standard Service Offer in the form of an Electric Security Plan, </w:t>
      </w:r>
      <w:r w:rsidRPr="00255662">
        <w:t>Case No. 12-426-EL-SSO, Opinion and Order at 12 (Sept</w:t>
      </w:r>
      <w:r w:rsidR="00732AF9">
        <w:t>ember</w:t>
      </w:r>
      <w:r w:rsidRPr="00255662">
        <w:t xml:space="preserve"> 4, 2013) (the competitive bid process was to be phased in using the following increments: 10%, 40%, 70% and 100%).</w:t>
      </w:r>
    </w:p>
  </w:footnote>
  <w:footnote w:id="25">
    <w:p w:rsidR="003718C3" w:rsidRPr="00255662" w:rsidP="00E06737" w14:paraId="27BA0FDE" w14:textId="77777777">
      <w:pPr>
        <w:pStyle w:val="FootnoteText"/>
        <w:spacing w:after="120"/>
      </w:pPr>
      <w:r w:rsidRPr="00255662">
        <w:rPr>
          <w:rStyle w:val="FootnoteReference"/>
        </w:rPr>
        <w:footnoteRef/>
      </w:r>
      <w:r w:rsidRPr="00255662">
        <w:t xml:space="preserve"> OCC Ex. 3 at 17, Attachment LM-3 at 1 (Morgan).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A75" w14:paraId="72743E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A75" w14:paraId="7BA988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A75" w14:paraId="666312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4A7083"/>
    <w:multiLevelType w:val="hybridMultilevel"/>
    <w:tmpl w:val="E820CABE"/>
    <w:lvl w:ilvl="0">
      <w:start w:val="1"/>
      <w:numFmt w:val="upperLetter"/>
      <w:lvlText w:val="%1."/>
      <w:lvlJc w:val="left"/>
      <w:pPr>
        <w:ind w:left="1080" w:hanging="360"/>
      </w:pPr>
      <w:rPr>
        <w:rFonts w:ascii="Times New Roman Bold" w:eastAsia="Calibri" w:hAnsi="Times New Roman Bold" w:cs="Times New Roman" w:hint="default"/>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E5F7E14"/>
    <w:multiLevelType w:val="hybridMultilevel"/>
    <w:tmpl w:val="21AAB72A"/>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4171AF"/>
    <w:multiLevelType w:val="hybridMultilevel"/>
    <w:tmpl w:val="8EC0E2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A62D70"/>
    <w:multiLevelType w:val="hybridMultilevel"/>
    <w:tmpl w:val="E9C2786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5D600D2"/>
    <w:multiLevelType w:val="hybridMultilevel"/>
    <w:tmpl w:val="45149274"/>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EF1DBB"/>
    <w:multiLevelType w:val="hybridMultilevel"/>
    <w:tmpl w:val="341090C6"/>
    <w:lvl w:ilvl="0">
      <w:start w:val="1"/>
      <w:numFmt w:val="decimal"/>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6">
    <w:nsid w:val="38D2164F"/>
    <w:multiLevelType w:val="multilevel"/>
    <w:tmpl w:val="31643E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11250C"/>
    <w:multiLevelType w:val="hybridMultilevel"/>
    <w:tmpl w:val="C38C48F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E00B84"/>
    <w:multiLevelType w:val="hybridMultilevel"/>
    <w:tmpl w:val="EB1882E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545B7E"/>
    <w:multiLevelType w:val="hybridMultilevel"/>
    <w:tmpl w:val="CAD6E6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7AC032B"/>
    <w:multiLevelType w:val="hybridMultilevel"/>
    <w:tmpl w:val="4F54A6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08156B9"/>
    <w:multiLevelType w:val="hybridMultilevel"/>
    <w:tmpl w:val="F6D4E0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A0D148D"/>
    <w:multiLevelType w:val="hybridMultilevel"/>
    <w:tmpl w:val="E42884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C9061D5"/>
    <w:multiLevelType w:val="hybridMultilevel"/>
    <w:tmpl w:val="E1F65D8C"/>
    <w:lvl w:ilvl="0">
      <w:start w:val="1"/>
      <w:numFmt w:val="upperLetter"/>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1"/>
  </w:num>
  <w:num w:numId="9">
    <w:abstractNumId w:val="10"/>
  </w:num>
  <w:num w:numId="10">
    <w:abstractNumId w:val="13"/>
  </w:num>
  <w:num w:numId="11">
    <w:abstractNumId w:val="5"/>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oNotHyphenateCaps/>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29"/>
    <w:rsid w:val="00000150"/>
    <w:rsid w:val="0000345D"/>
    <w:rsid w:val="0000521D"/>
    <w:rsid w:val="00005757"/>
    <w:rsid w:val="000105FF"/>
    <w:rsid w:val="00010A0D"/>
    <w:rsid w:val="000118AA"/>
    <w:rsid w:val="00015722"/>
    <w:rsid w:val="00015B5F"/>
    <w:rsid w:val="00016844"/>
    <w:rsid w:val="00016964"/>
    <w:rsid w:val="00016CA6"/>
    <w:rsid w:val="00017BB2"/>
    <w:rsid w:val="00020C09"/>
    <w:rsid w:val="00022DE7"/>
    <w:rsid w:val="00023793"/>
    <w:rsid w:val="000263C2"/>
    <w:rsid w:val="00026BDA"/>
    <w:rsid w:val="00030128"/>
    <w:rsid w:val="00034097"/>
    <w:rsid w:val="000439E2"/>
    <w:rsid w:val="00044513"/>
    <w:rsid w:val="000457F8"/>
    <w:rsid w:val="0005089A"/>
    <w:rsid w:val="00053453"/>
    <w:rsid w:val="0006033F"/>
    <w:rsid w:val="000608DB"/>
    <w:rsid w:val="0006256C"/>
    <w:rsid w:val="000649BE"/>
    <w:rsid w:val="00065233"/>
    <w:rsid w:val="000663C5"/>
    <w:rsid w:val="00066D78"/>
    <w:rsid w:val="00067A43"/>
    <w:rsid w:val="00067F6B"/>
    <w:rsid w:val="00067F6F"/>
    <w:rsid w:val="0007062A"/>
    <w:rsid w:val="000743D2"/>
    <w:rsid w:val="00075165"/>
    <w:rsid w:val="00076FEF"/>
    <w:rsid w:val="000842D3"/>
    <w:rsid w:val="000852DF"/>
    <w:rsid w:val="00085731"/>
    <w:rsid w:val="00085A99"/>
    <w:rsid w:val="000874C5"/>
    <w:rsid w:val="00090B35"/>
    <w:rsid w:val="00091C28"/>
    <w:rsid w:val="00092633"/>
    <w:rsid w:val="00092A46"/>
    <w:rsid w:val="00093D46"/>
    <w:rsid w:val="0009538C"/>
    <w:rsid w:val="000955E5"/>
    <w:rsid w:val="00096168"/>
    <w:rsid w:val="00097A43"/>
    <w:rsid w:val="00097ED3"/>
    <w:rsid w:val="000A1FA3"/>
    <w:rsid w:val="000A31D5"/>
    <w:rsid w:val="000A3374"/>
    <w:rsid w:val="000A423F"/>
    <w:rsid w:val="000A5C14"/>
    <w:rsid w:val="000A7E14"/>
    <w:rsid w:val="000B16DA"/>
    <w:rsid w:val="000B6941"/>
    <w:rsid w:val="000B724B"/>
    <w:rsid w:val="000B77DD"/>
    <w:rsid w:val="000B7E46"/>
    <w:rsid w:val="000C00D9"/>
    <w:rsid w:val="000C0CF0"/>
    <w:rsid w:val="000C11DE"/>
    <w:rsid w:val="000C1AEE"/>
    <w:rsid w:val="000C42B8"/>
    <w:rsid w:val="000C5391"/>
    <w:rsid w:val="000C5519"/>
    <w:rsid w:val="000C5664"/>
    <w:rsid w:val="000C5FA9"/>
    <w:rsid w:val="000C6254"/>
    <w:rsid w:val="000C6263"/>
    <w:rsid w:val="000C648A"/>
    <w:rsid w:val="000C6D45"/>
    <w:rsid w:val="000C70F1"/>
    <w:rsid w:val="000C7ED4"/>
    <w:rsid w:val="000C7FF9"/>
    <w:rsid w:val="000D2FE7"/>
    <w:rsid w:val="000D340A"/>
    <w:rsid w:val="000D37A9"/>
    <w:rsid w:val="000D4B89"/>
    <w:rsid w:val="000D6D0F"/>
    <w:rsid w:val="000D77D8"/>
    <w:rsid w:val="000D7F6A"/>
    <w:rsid w:val="000E3E9C"/>
    <w:rsid w:val="000E5102"/>
    <w:rsid w:val="000E65E4"/>
    <w:rsid w:val="000E6F1D"/>
    <w:rsid w:val="000E75E9"/>
    <w:rsid w:val="000F0ED6"/>
    <w:rsid w:val="000F1484"/>
    <w:rsid w:val="000F1BD2"/>
    <w:rsid w:val="000F2372"/>
    <w:rsid w:val="000F422C"/>
    <w:rsid w:val="000F49E0"/>
    <w:rsid w:val="000F5CDE"/>
    <w:rsid w:val="000F5ECA"/>
    <w:rsid w:val="000F73E1"/>
    <w:rsid w:val="00102A9D"/>
    <w:rsid w:val="00103A2B"/>
    <w:rsid w:val="00105150"/>
    <w:rsid w:val="00105FC8"/>
    <w:rsid w:val="001061AF"/>
    <w:rsid w:val="001062EB"/>
    <w:rsid w:val="00110774"/>
    <w:rsid w:val="001110B4"/>
    <w:rsid w:val="001111EE"/>
    <w:rsid w:val="00112437"/>
    <w:rsid w:val="00112808"/>
    <w:rsid w:val="00116E89"/>
    <w:rsid w:val="00121003"/>
    <w:rsid w:val="001242DF"/>
    <w:rsid w:val="00130D22"/>
    <w:rsid w:val="00130D95"/>
    <w:rsid w:val="00135FD5"/>
    <w:rsid w:val="00140967"/>
    <w:rsid w:val="00142277"/>
    <w:rsid w:val="00143279"/>
    <w:rsid w:val="001452AD"/>
    <w:rsid w:val="0014540A"/>
    <w:rsid w:val="00145542"/>
    <w:rsid w:val="00147402"/>
    <w:rsid w:val="00147E0F"/>
    <w:rsid w:val="00151EB9"/>
    <w:rsid w:val="001529EB"/>
    <w:rsid w:val="00154BBC"/>
    <w:rsid w:val="00156416"/>
    <w:rsid w:val="00157D3A"/>
    <w:rsid w:val="00164D95"/>
    <w:rsid w:val="00165BBB"/>
    <w:rsid w:val="001661BC"/>
    <w:rsid w:val="00166B3D"/>
    <w:rsid w:val="00174028"/>
    <w:rsid w:val="0017505F"/>
    <w:rsid w:val="001752E8"/>
    <w:rsid w:val="00175930"/>
    <w:rsid w:val="00175B9F"/>
    <w:rsid w:val="00176EA9"/>
    <w:rsid w:val="00181D97"/>
    <w:rsid w:val="0018318D"/>
    <w:rsid w:val="00183677"/>
    <w:rsid w:val="001857BF"/>
    <w:rsid w:val="00186316"/>
    <w:rsid w:val="0018730B"/>
    <w:rsid w:val="001902C5"/>
    <w:rsid w:val="00191459"/>
    <w:rsid w:val="00191673"/>
    <w:rsid w:val="001923C0"/>
    <w:rsid w:val="00192B6D"/>
    <w:rsid w:val="00194C50"/>
    <w:rsid w:val="00195122"/>
    <w:rsid w:val="0019713C"/>
    <w:rsid w:val="001A0B7F"/>
    <w:rsid w:val="001A15A3"/>
    <w:rsid w:val="001A2BE4"/>
    <w:rsid w:val="001A3098"/>
    <w:rsid w:val="001A598E"/>
    <w:rsid w:val="001B04CE"/>
    <w:rsid w:val="001B3057"/>
    <w:rsid w:val="001B4964"/>
    <w:rsid w:val="001B4B5C"/>
    <w:rsid w:val="001B64AC"/>
    <w:rsid w:val="001B6A74"/>
    <w:rsid w:val="001B7389"/>
    <w:rsid w:val="001C0184"/>
    <w:rsid w:val="001C22EB"/>
    <w:rsid w:val="001C3DA6"/>
    <w:rsid w:val="001C5414"/>
    <w:rsid w:val="001C6602"/>
    <w:rsid w:val="001C7576"/>
    <w:rsid w:val="001D4666"/>
    <w:rsid w:val="001D6400"/>
    <w:rsid w:val="001D71A0"/>
    <w:rsid w:val="001D79BA"/>
    <w:rsid w:val="001D7EF3"/>
    <w:rsid w:val="001D7F11"/>
    <w:rsid w:val="001E03DE"/>
    <w:rsid w:val="001E1E6D"/>
    <w:rsid w:val="001E2F0E"/>
    <w:rsid w:val="001E3044"/>
    <w:rsid w:val="001E3154"/>
    <w:rsid w:val="001E46CF"/>
    <w:rsid w:val="001F29BE"/>
    <w:rsid w:val="001F3319"/>
    <w:rsid w:val="001F4DC5"/>
    <w:rsid w:val="001F5424"/>
    <w:rsid w:val="001F67CB"/>
    <w:rsid w:val="00201B84"/>
    <w:rsid w:val="00201FCA"/>
    <w:rsid w:val="00202788"/>
    <w:rsid w:val="00202AA3"/>
    <w:rsid w:val="00202FE7"/>
    <w:rsid w:val="00205D50"/>
    <w:rsid w:val="0020627D"/>
    <w:rsid w:val="0020655B"/>
    <w:rsid w:val="002116DC"/>
    <w:rsid w:val="002168B0"/>
    <w:rsid w:val="00216953"/>
    <w:rsid w:val="002172E8"/>
    <w:rsid w:val="00217505"/>
    <w:rsid w:val="00224174"/>
    <w:rsid w:val="00225588"/>
    <w:rsid w:val="00226E4E"/>
    <w:rsid w:val="00230068"/>
    <w:rsid w:val="00230435"/>
    <w:rsid w:val="00231CC8"/>
    <w:rsid w:val="0023481B"/>
    <w:rsid w:val="00236F68"/>
    <w:rsid w:val="00237879"/>
    <w:rsid w:val="00237C42"/>
    <w:rsid w:val="00237E93"/>
    <w:rsid w:val="00240B75"/>
    <w:rsid w:val="00241153"/>
    <w:rsid w:val="00243335"/>
    <w:rsid w:val="00245306"/>
    <w:rsid w:val="00245EE7"/>
    <w:rsid w:val="00247695"/>
    <w:rsid w:val="002529A7"/>
    <w:rsid w:val="00254D9A"/>
    <w:rsid w:val="00255662"/>
    <w:rsid w:val="002572C3"/>
    <w:rsid w:val="00260889"/>
    <w:rsid w:val="00262A8D"/>
    <w:rsid w:val="00263084"/>
    <w:rsid w:val="00264699"/>
    <w:rsid w:val="00264DF9"/>
    <w:rsid w:val="002659E3"/>
    <w:rsid w:val="00266448"/>
    <w:rsid w:val="00266F63"/>
    <w:rsid w:val="00272A7D"/>
    <w:rsid w:val="00273115"/>
    <w:rsid w:val="0027789A"/>
    <w:rsid w:val="0028035A"/>
    <w:rsid w:val="00280901"/>
    <w:rsid w:val="0028220F"/>
    <w:rsid w:val="002832E7"/>
    <w:rsid w:val="0028526B"/>
    <w:rsid w:val="002866C0"/>
    <w:rsid w:val="0029059A"/>
    <w:rsid w:val="00290905"/>
    <w:rsid w:val="00290AF7"/>
    <w:rsid w:val="002924FE"/>
    <w:rsid w:val="00295A68"/>
    <w:rsid w:val="002A1198"/>
    <w:rsid w:val="002A16ED"/>
    <w:rsid w:val="002A20E6"/>
    <w:rsid w:val="002A2499"/>
    <w:rsid w:val="002A3664"/>
    <w:rsid w:val="002A3D46"/>
    <w:rsid w:val="002A6A72"/>
    <w:rsid w:val="002A7544"/>
    <w:rsid w:val="002B1327"/>
    <w:rsid w:val="002B1CB5"/>
    <w:rsid w:val="002B285C"/>
    <w:rsid w:val="002B4F3B"/>
    <w:rsid w:val="002B58CD"/>
    <w:rsid w:val="002B5F86"/>
    <w:rsid w:val="002B7B0B"/>
    <w:rsid w:val="002C001A"/>
    <w:rsid w:val="002C4C3B"/>
    <w:rsid w:val="002C5700"/>
    <w:rsid w:val="002C5EDA"/>
    <w:rsid w:val="002C6B12"/>
    <w:rsid w:val="002C7119"/>
    <w:rsid w:val="002C78B3"/>
    <w:rsid w:val="002D5C26"/>
    <w:rsid w:val="002D5C92"/>
    <w:rsid w:val="002D73FC"/>
    <w:rsid w:val="002E005C"/>
    <w:rsid w:val="002E14DF"/>
    <w:rsid w:val="002E458F"/>
    <w:rsid w:val="002E5190"/>
    <w:rsid w:val="002F3791"/>
    <w:rsid w:val="002F46AA"/>
    <w:rsid w:val="002F623A"/>
    <w:rsid w:val="002F624F"/>
    <w:rsid w:val="002F7434"/>
    <w:rsid w:val="002F7807"/>
    <w:rsid w:val="002F7EDC"/>
    <w:rsid w:val="003002D7"/>
    <w:rsid w:val="00300E84"/>
    <w:rsid w:val="003023D5"/>
    <w:rsid w:val="00302C84"/>
    <w:rsid w:val="003037DD"/>
    <w:rsid w:val="003056B7"/>
    <w:rsid w:val="00305977"/>
    <w:rsid w:val="00306CFC"/>
    <w:rsid w:val="00306EF5"/>
    <w:rsid w:val="00311488"/>
    <w:rsid w:val="0031188B"/>
    <w:rsid w:val="00311AED"/>
    <w:rsid w:val="00314F75"/>
    <w:rsid w:val="00315C42"/>
    <w:rsid w:val="00316A86"/>
    <w:rsid w:val="00317803"/>
    <w:rsid w:val="00323E4F"/>
    <w:rsid w:val="0032660C"/>
    <w:rsid w:val="003268B1"/>
    <w:rsid w:val="00327F6E"/>
    <w:rsid w:val="00330A05"/>
    <w:rsid w:val="00331F51"/>
    <w:rsid w:val="003330C5"/>
    <w:rsid w:val="00334465"/>
    <w:rsid w:val="00334BB1"/>
    <w:rsid w:val="003350EB"/>
    <w:rsid w:val="003353CA"/>
    <w:rsid w:val="003356EA"/>
    <w:rsid w:val="003358BB"/>
    <w:rsid w:val="00335E8F"/>
    <w:rsid w:val="00341118"/>
    <w:rsid w:val="00343ECD"/>
    <w:rsid w:val="003445C2"/>
    <w:rsid w:val="0034484D"/>
    <w:rsid w:val="003448D0"/>
    <w:rsid w:val="00345E49"/>
    <w:rsid w:val="003468B6"/>
    <w:rsid w:val="003468DD"/>
    <w:rsid w:val="00347A3F"/>
    <w:rsid w:val="00351938"/>
    <w:rsid w:val="003536DC"/>
    <w:rsid w:val="00354356"/>
    <w:rsid w:val="00360434"/>
    <w:rsid w:val="00361831"/>
    <w:rsid w:val="00363CAE"/>
    <w:rsid w:val="003643B2"/>
    <w:rsid w:val="0036498C"/>
    <w:rsid w:val="00365BD8"/>
    <w:rsid w:val="0036681E"/>
    <w:rsid w:val="00366FA5"/>
    <w:rsid w:val="00367D6B"/>
    <w:rsid w:val="00367D98"/>
    <w:rsid w:val="00367E38"/>
    <w:rsid w:val="00370B96"/>
    <w:rsid w:val="003718C3"/>
    <w:rsid w:val="003732DD"/>
    <w:rsid w:val="003746B7"/>
    <w:rsid w:val="0037628E"/>
    <w:rsid w:val="003768D8"/>
    <w:rsid w:val="00376DBE"/>
    <w:rsid w:val="003818B0"/>
    <w:rsid w:val="00381F08"/>
    <w:rsid w:val="00381F0B"/>
    <w:rsid w:val="003829B6"/>
    <w:rsid w:val="003831FE"/>
    <w:rsid w:val="00385D82"/>
    <w:rsid w:val="00390F5C"/>
    <w:rsid w:val="00392825"/>
    <w:rsid w:val="00393013"/>
    <w:rsid w:val="0039703A"/>
    <w:rsid w:val="0039706B"/>
    <w:rsid w:val="003A33C3"/>
    <w:rsid w:val="003A587D"/>
    <w:rsid w:val="003A794A"/>
    <w:rsid w:val="003B078C"/>
    <w:rsid w:val="003B259E"/>
    <w:rsid w:val="003B6278"/>
    <w:rsid w:val="003B7F5E"/>
    <w:rsid w:val="003C0A2D"/>
    <w:rsid w:val="003C0BD9"/>
    <w:rsid w:val="003C17DE"/>
    <w:rsid w:val="003C1CB1"/>
    <w:rsid w:val="003C1CF9"/>
    <w:rsid w:val="003C297D"/>
    <w:rsid w:val="003C4990"/>
    <w:rsid w:val="003C59AD"/>
    <w:rsid w:val="003C7163"/>
    <w:rsid w:val="003C7C4B"/>
    <w:rsid w:val="003D0CAB"/>
    <w:rsid w:val="003D4B7D"/>
    <w:rsid w:val="003D5208"/>
    <w:rsid w:val="003E0805"/>
    <w:rsid w:val="003E1337"/>
    <w:rsid w:val="003E269C"/>
    <w:rsid w:val="003E623D"/>
    <w:rsid w:val="003E7AC6"/>
    <w:rsid w:val="003F2927"/>
    <w:rsid w:val="003F2AD0"/>
    <w:rsid w:val="003F3C5D"/>
    <w:rsid w:val="003F5051"/>
    <w:rsid w:val="003F5786"/>
    <w:rsid w:val="003F614A"/>
    <w:rsid w:val="003F6BB7"/>
    <w:rsid w:val="0040221F"/>
    <w:rsid w:val="00402AD9"/>
    <w:rsid w:val="00402FBE"/>
    <w:rsid w:val="00403316"/>
    <w:rsid w:val="004041B7"/>
    <w:rsid w:val="00405ABE"/>
    <w:rsid w:val="00406A35"/>
    <w:rsid w:val="00412695"/>
    <w:rsid w:val="00412FE4"/>
    <w:rsid w:val="00414753"/>
    <w:rsid w:val="00416204"/>
    <w:rsid w:val="00416F61"/>
    <w:rsid w:val="00420944"/>
    <w:rsid w:val="00421700"/>
    <w:rsid w:val="00422247"/>
    <w:rsid w:val="0042440C"/>
    <w:rsid w:val="00426747"/>
    <w:rsid w:val="00431059"/>
    <w:rsid w:val="00431C81"/>
    <w:rsid w:val="004320E8"/>
    <w:rsid w:val="004324AC"/>
    <w:rsid w:val="00436245"/>
    <w:rsid w:val="00436B28"/>
    <w:rsid w:val="0043710A"/>
    <w:rsid w:val="00443B30"/>
    <w:rsid w:val="004446B2"/>
    <w:rsid w:val="00444AF8"/>
    <w:rsid w:val="00444EEA"/>
    <w:rsid w:val="00444F82"/>
    <w:rsid w:val="00445132"/>
    <w:rsid w:val="00446F37"/>
    <w:rsid w:val="00447BFF"/>
    <w:rsid w:val="00450066"/>
    <w:rsid w:val="00450252"/>
    <w:rsid w:val="00457B60"/>
    <w:rsid w:val="004604F9"/>
    <w:rsid w:val="0046284E"/>
    <w:rsid w:val="00463CC5"/>
    <w:rsid w:val="00464F3B"/>
    <w:rsid w:val="00465544"/>
    <w:rsid w:val="004662D5"/>
    <w:rsid w:val="004664E0"/>
    <w:rsid w:val="004676D8"/>
    <w:rsid w:val="00472AE3"/>
    <w:rsid w:val="00473A1E"/>
    <w:rsid w:val="004772F5"/>
    <w:rsid w:val="0047777C"/>
    <w:rsid w:val="0048011B"/>
    <w:rsid w:val="004849BF"/>
    <w:rsid w:val="00486FDF"/>
    <w:rsid w:val="00493B53"/>
    <w:rsid w:val="00494EE0"/>
    <w:rsid w:val="004A273D"/>
    <w:rsid w:val="004A3FB6"/>
    <w:rsid w:val="004A5B82"/>
    <w:rsid w:val="004A760B"/>
    <w:rsid w:val="004A78EB"/>
    <w:rsid w:val="004B06A1"/>
    <w:rsid w:val="004B1D54"/>
    <w:rsid w:val="004B2CCF"/>
    <w:rsid w:val="004B45B4"/>
    <w:rsid w:val="004B46C9"/>
    <w:rsid w:val="004B5E98"/>
    <w:rsid w:val="004B7B71"/>
    <w:rsid w:val="004C3D2E"/>
    <w:rsid w:val="004C41DC"/>
    <w:rsid w:val="004C4FF3"/>
    <w:rsid w:val="004C57B1"/>
    <w:rsid w:val="004C7AEA"/>
    <w:rsid w:val="004D1C92"/>
    <w:rsid w:val="004D2926"/>
    <w:rsid w:val="004D3F2E"/>
    <w:rsid w:val="004D419B"/>
    <w:rsid w:val="004D6D24"/>
    <w:rsid w:val="004D7D52"/>
    <w:rsid w:val="004E1544"/>
    <w:rsid w:val="004E32B6"/>
    <w:rsid w:val="004E3619"/>
    <w:rsid w:val="004E4844"/>
    <w:rsid w:val="004E4BB6"/>
    <w:rsid w:val="004E559F"/>
    <w:rsid w:val="004E589F"/>
    <w:rsid w:val="004F20AA"/>
    <w:rsid w:val="004F20D8"/>
    <w:rsid w:val="004F5264"/>
    <w:rsid w:val="004F6F75"/>
    <w:rsid w:val="00501B3C"/>
    <w:rsid w:val="00501FC2"/>
    <w:rsid w:val="00503DA8"/>
    <w:rsid w:val="005064D0"/>
    <w:rsid w:val="00506CEC"/>
    <w:rsid w:val="00507257"/>
    <w:rsid w:val="00507450"/>
    <w:rsid w:val="0050753C"/>
    <w:rsid w:val="005075B7"/>
    <w:rsid w:val="00507E7E"/>
    <w:rsid w:val="0051339A"/>
    <w:rsid w:val="00514260"/>
    <w:rsid w:val="00514661"/>
    <w:rsid w:val="0051713B"/>
    <w:rsid w:val="005203C9"/>
    <w:rsid w:val="005204AF"/>
    <w:rsid w:val="00522D40"/>
    <w:rsid w:val="0052499D"/>
    <w:rsid w:val="00524C58"/>
    <w:rsid w:val="0053197A"/>
    <w:rsid w:val="0053334F"/>
    <w:rsid w:val="00533B05"/>
    <w:rsid w:val="005341D8"/>
    <w:rsid w:val="00535D75"/>
    <w:rsid w:val="00536F66"/>
    <w:rsid w:val="00537BDD"/>
    <w:rsid w:val="0054113E"/>
    <w:rsid w:val="00544A50"/>
    <w:rsid w:val="005475C8"/>
    <w:rsid w:val="005503AB"/>
    <w:rsid w:val="005503F5"/>
    <w:rsid w:val="00550A52"/>
    <w:rsid w:val="00550B5B"/>
    <w:rsid w:val="0055208A"/>
    <w:rsid w:val="00553621"/>
    <w:rsid w:val="00560EAF"/>
    <w:rsid w:val="00561C14"/>
    <w:rsid w:val="0056200A"/>
    <w:rsid w:val="005625F9"/>
    <w:rsid w:val="00562AC6"/>
    <w:rsid w:val="00563096"/>
    <w:rsid w:val="0056365A"/>
    <w:rsid w:val="00563A24"/>
    <w:rsid w:val="005663C8"/>
    <w:rsid w:val="0056694E"/>
    <w:rsid w:val="00567316"/>
    <w:rsid w:val="00567697"/>
    <w:rsid w:val="00567D03"/>
    <w:rsid w:val="00570A39"/>
    <w:rsid w:val="005713E9"/>
    <w:rsid w:val="00574A2F"/>
    <w:rsid w:val="00575E76"/>
    <w:rsid w:val="00576513"/>
    <w:rsid w:val="0057728D"/>
    <w:rsid w:val="00577527"/>
    <w:rsid w:val="005778CA"/>
    <w:rsid w:val="005801CF"/>
    <w:rsid w:val="005847DA"/>
    <w:rsid w:val="00584E74"/>
    <w:rsid w:val="00586E8D"/>
    <w:rsid w:val="0059242D"/>
    <w:rsid w:val="00593911"/>
    <w:rsid w:val="005941D7"/>
    <w:rsid w:val="00594F35"/>
    <w:rsid w:val="00597328"/>
    <w:rsid w:val="00597456"/>
    <w:rsid w:val="005A02E7"/>
    <w:rsid w:val="005A1990"/>
    <w:rsid w:val="005A38D0"/>
    <w:rsid w:val="005A3CF5"/>
    <w:rsid w:val="005A54B6"/>
    <w:rsid w:val="005A77B3"/>
    <w:rsid w:val="005B40FE"/>
    <w:rsid w:val="005B5182"/>
    <w:rsid w:val="005B5C17"/>
    <w:rsid w:val="005C0284"/>
    <w:rsid w:val="005C16B7"/>
    <w:rsid w:val="005C24F5"/>
    <w:rsid w:val="005C3189"/>
    <w:rsid w:val="005C4CC8"/>
    <w:rsid w:val="005C4E7B"/>
    <w:rsid w:val="005C4FBF"/>
    <w:rsid w:val="005C74E8"/>
    <w:rsid w:val="005D3124"/>
    <w:rsid w:val="005D31AD"/>
    <w:rsid w:val="005D457E"/>
    <w:rsid w:val="005D56A8"/>
    <w:rsid w:val="005D73CD"/>
    <w:rsid w:val="005D77B8"/>
    <w:rsid w:val="005E02DC"/>
    <w:rsid w:val="005E1A82"/>
    <w:rsid w:val="005E3675"/>
    <w:rsid w:val="005E4732"/>
    <w:rsid w:val="005F047E"/>
    <w:rsid w:val="005F19EF"/>
    <w:rsid w:val="005F1A75"/>
    <w:rsid w:val="005F3B8D"/>
    <w:rsid w:val="005F40AA"/>
    <w:rsid w:val="005F467A"/>
    <w:rsid w:val="005F4DE3"/>
    <w:rsid w:val="006001C3"/>
    <w:rsid w:val="00600371"/>
    <w:rsid w:val="006009AE"/>
    <w:rsid w:val="0060314A"/>
    <w:rsid w:val="006035BA"/>
    <w:rsid w:val="00603B65"/>
    <w:rsid w:val="0060621C"/>
    <w:rsid w:val="006103F4"/>
    <w:rsid w:val="00610F7F"/>
    <w:rsid w:val="00611C58"/>
    <w:rsid w:val="0061278C"/>
    <w:rsid w:val="00613689"/>
    <w:rsid w:val="00614BC6"/>
    <w:rsid w:val="006166B6"/>
    <w:rsid w:val="00616FC0"/>
    <w:rsid w:val="00620DB8"/>
    <w:rsid w:val="00621B8E"/>
    <w:rsid w:val="00621D90"/>
    <w:rsid w:val="00625C76"/>
    <w:rsid w:val="00627884"/>
    <w:rsid w:val="00632EAD"/>
    <w:rsid w:val="00636014"/>
    <w:rsid w:val="00636162"/>
    <w:rsid w:val="00641144"/>
    <w:rsid w:val="00647158"/>
    <w:rsid w:val="0065083C"/>
    <w:rsid w:val="00650854"/>
    <w:rsid w:val="00650B3C"/>
    <w:rsid w:val="00651BD3"/>
    <w:rsid w:val="0065228E"/>
    <w:rsid w:val="0065388A"/>
    <w:rsid w:val="00653BAD"/>
    <w:rsid w:val="00653E0C"/>
    <w:rsid w:val="00655FBF"/>
    <w:rsid w:val="006619EA"/>
    <w:rsid w:val="00661CCB"/>
    <w:rsid w:val="00662836"/>
    <w:rsid w:val="00663F09"/>
    <w:rsid w:val="00664108"/>
    <w:rsid w:val="006653D9"/>
    <w:rsid w:val="00666184"/>
    <w:rsid w:val="00670CFC"/>
    <w:rsid w:val="0067239E"/>
    <w:rsid w:val="00672C09"/>
    <w:rsid w:val="00672DD5"/>
    <w:rsid w:val="0067457A"/>
    <w:rsid w:val="006816BA"/>
    <w:rsid w:val="00682428"/>
    <w:rsid w:val="00683A3D"/>
    <w:rsid w:val="00686A3E"/>
    <w:rsid w:val="006879EF"/>
    <w:rsid w:val="00687E1F"/>
    <w:rsid w:val="006902F9"/>
    <w:rsid w:val="006A027A"/>
    <w:rsid w:val="006B0E98"/>
    <w:rsid w:val="006B346F"/>
    <w:rsid w:val="006B4F92"/>
    <w:rsid w:val="006C0449"/>
    <w:rsid w:val="006C1226"/>
    <w:rsid w:val="006C2A80"/>
    <w:rsid w:val="006C2C10"/>
    <w:rsid w:val="006C500D"/>
    <w:rsid w:val="006C5B1D"/>
    <w:rsid w:val="006C63EA"/>
    <w:rsid w:val="006C66DC"/>
    <w:rsid w:val="006D0166"/>
    <w:rsid w:val="006D057E"/>
    <w:rsid w:val="006D05EC"/>
    <w:rsid w:val="006D1FC1"/>
    <w:rsid w:val="006E2267"/>
    <w:rsid w:val="006E239B"/>
    <w:rsid w:val="006E4BB3"/>
    <w:rsid w:val="006F2EE2"/>
    <w:rsid w:val="006F3C57"/>
    <w:rsid w:val="006F4953"/>
    <w:rsid w:val="006F4FFB"/>
    <w:rsid w:val="006F55B2"/>
    <w:rsid w:val="006F6956"/>
    <w:rsid w:val="006F770A"/>
    <w:rsid w:val="00701178"/>
    <w:rsid w:val="00701E1F"/>
    <w:rsid w:val="007029CA"/>
    <w:rsid w:val="007037F6"/>
    <w:rsid w:val="0070653F"/>
    <w:rsid w:val="00707001"/>
    <w:rsid w:val="00710718"/>
    <w:rsid w:val="007113BA"/>
    <w:rsid w:val="0071350C"/>
    <w:rsid w:val="00715443"/>
    <w:rsid w:val="00715ECB"/>
    <w:rsid w:val="00720693"/>
    <w:rsid w:val="0072118A"/>
    <w:rsid w:val="0072185B"/>
    <w:rsid w:val="00722541"/>
    <w:rsid w:val="007236E1"/>
    <w:rsid w:val="00727BAB"/>
    <w:rsid w:val="00727C0B"/>
    <w:rsid w:val="00731581"/>
    <w:rsid w:val="00732AF9"/>
    <w:rsid w:val="00733225"/>
    <w:rsid w:val="0073355E"/>
    <w:rsid w:val="00735684"/>
    <w:rsid w:val="00735C7D"/>
    <w:rsid w:val="00736C3D"/>
    <w:rsid w:val="0074240E"/>
    <w:rsid w:val="007435F8"/>
    <w:rsid w:val="00744125"/>
    <w:rsid w:val="00744E49"/>
    <w:rsid w:val="00745280"/>
    <w:rsid w:val="0074690F"/>
    <w:rsid w:val="00746D3C"/>
    <w:rsid w:val="007470DC"/>
    <w:rsid w:val="00750C49"/>
    <w:rsid w:val="00750FEB"/>
    <w:rsid w:val="00754371"/>
    <w:rsid w:val="00755970"/>
    <w:rsid w:val="00756064"/>
    <w:rsid w:val="0076299E"/>
    <w:rsid w:val="007644FD"/>
    <w:rsid w:val="00764633"/>
    <w:rsid w:val="00764D48"/>
    <w:rsid w:val="00765145"/>
    <w:rsid w:val="00765CAF"/>
    <w:rsid w:val="00771272"/>
    <w:rsid w:val="00771E57"/>
    <w:rsid w:val="007720B4"/>
    <w:rsid w:val="00772438"/>
    <w:rsid w:val="00772817"/>
    <w:rsid w:val="00773014"/>
    <w:rsid w:val="00773689"/>
    <w:rsid w:val="00777A4E"/>
    <w:rsid w:val="00783DDA"/>
    <w:rsid w:val="007912C6"/>
    <w:rsid w:val="00791D89"/>
    <w:rsid w:val="0079345C"/>
    <w:rsid w:val="00793ABD"/>
    <w:rsid w:val="00795278"/>
    <w:rsid w:val="00796D80"/>
    <w:rsid w:val="007972D1"/>
    <w:rsid w:val="007A0333"/>
    <w:rsid w:val="007A2049"/>
    <w:rsid w:val="007A2ABB"/>
    <w:rsid w:val="007A2D9F"/>
    <w:rsid w:val="007A3625"/>
    <w:rsid w:val="007A69E5"/>
    <w:rsid w:val="007B0270"/>
    <w:rsid w:val="007B241A"/>
    <w:rsid w:val="007B3390"/>
    <w:rsid w:val="007B461E"/>
    <w:rsid w:val="007B7333"/>
    <w:rsid w:val="007B76EB"/>
    <w:rsid w:val="007C1796"/>
    <w:rsid w:val="007C4AA6"/>
    <w:rsid w:val="007C712B"/>
    <w:rsid w:val="007C7761"/>
    <w:rsid w:val="007D026F"/>
    <w:rsid w:val="007D02FB"/>
    <w:rsid w:val="007D3426"/>
    <w:rsid w:val="007D3454"/>
    <w:rsid w:val="007D39C4"/>
    <w:rsid w:val="007D5CAD"/>
    <w:rsid w:val="007D62C2"/>
    <w:rsid w:val="007D7FD8"/>
    <w:rsid w:val="007E1F90"/>
    <w:rsid w:val="007E3190"/>
    <w:rsid w:val="007E5317"/>
    <w:rsid w:val="007F482D"/>
    <w:rsid w:val="007F69C1"/>
    <w:rsid w:val="00802EF2"/>
    <w:rsid w:val="008033C7"/>
    <w:rsid w:val="008140F4"/>
    <w:rsid w:val="00815293"/>
    <w:rsid w:val="0081668C"/>
    <w:rsid w:val="00825B82"/>
    <w:rsid w:val="008278AA"/>
    <w:rsid w:val="0083155A"/>
    <w:rsid w:val="008316B5"/>
    <w:rsid w:val="008317E0"/>
    <w:rsid w:val="00835B83"/>
    <w:rsid w:val="00835D91"/>
    <w:rsid w:val="00841A2B"/>
    <w:rsid w:val="00841A3C"/>
    <w:rsid w:val="00841C84"/>
    <w:rsid w:val="00841D2F"/>
    <w:rsid w:val="0084228C"/>
    <w:rsid w:val="00842F78"/>
    <w:rsid w:val="008436B8"/>
    <w:rsid w:val="0084542B"/>
    <w:rsid w:val="00846CED"/>
    <w:rsid w:val="00847779"/>
    <w:rsid w:val="00847A12"/>
    <w:rsid w:val="0085089B"/>
    <w:rsid w:val="00850C7D"/>
    <w:rsid w:val="008518FD"/>
    <w:rsid w:val="008532AB"/>
    <w:rsid w:val="00853649"/>
    <w:rsid w:val="008543E3"/>
    <w:rsid w:val="00854B5A"/>
    <w:rsid w:val="00855BA0"/>
    <w:rsid w:val="00857EBA"/>
    <w:rsid w:val="00861036"/>
    <w:rsid w:val="00861AAF"/>
    <w:rsid w:val="00861DCD"/>
    <w:rsid w:val="00862ED1"/>
    <w:rsid w:val="00871C59"/>
    <w:rsid w:val="008729BF"/>
    <w:rsid w:val="00875D26"/>
    <w:rsid w:val="00877D62"/>
    <w:rsid w:val="00881646"/>
    <w:rsid w:val="00882C3C"/>
    <w:rsid w:val="008844D0"/>
    <w:rsid w:val="0088720B"/>
    <w:rsid w:val="00895003"/>
    <w:rsid w:val="00895833"/>
    <w:rsid w:val="00896EFD"/>
    <w:rsid w:val="008A0962"/>
    <w:rsid w:val="008A1700"/>
    <w:rsid w:val="008A2805"/>
    <w:rsid w:val="008B2FD5"/>
    <w:rsid w:val="008B65A1"/>
    <w:rsid w:val="008C14D5"/>
    <w:rsid w:val="008C1EFF"/>
    <w:rsid w:val="008C3269"/>
    <w:rsid w:val="008C621D"/>
    <w:rsid w:val="008C679D"/>
    <w:rsid w:val="008C6AC3"/>
    <w:rsid w:val="008D61EC"/>
    <w:rsid w:val="008D68BB"/>
    <w:rsid w:val="008D6D0B"/>
    <w:rsid w:val="008E0223"/>
    <w:rsid w:val="008E2256"/>
    <w:rsid w:val="008E31F5"/>
    <w:rsid w:val="008E40B4"/>
    <w:rsid w:val="008E5598"/>
    <w:rsid w:val="008F1032"/>
    <w:rsid w:val="008F2FEB"/>
    <w:rsid w:val="008F3A18"/>
    <w:rsid w:val="008F3BD9"/>
    <w:rsid w:val="008F5C99"/>
    <w:rsid w:val="008F6C17"/>
    <w:rsid w:val="00902853"/>
    <w:rsid w:val="0090702D"/>
    <w:rsid w:val="009071C6"/>
    <w:rsid w:val="00910527"/>
    <w:rsid w:val="0091110A"/>
    <w:rsid w:val="00915726"/>
    <w:rsid w:val="00917E33"/>
    <w:rsid w:val="00920360"/>
    <w:rsid w:val="009203B4"/>
    <w:rsid w:val="009220ED"/>
    <w:rsid w:val="00924643"/>
    <w:rsid w:val="0092595A"/>
    <w:rsid w:val="00931566"/>
    <w:rsid w:val="0093235A"/>
    <w:rsid w:val="00940581"/>
    <w:rsid w:val="0094256C"/>
    <w:rsid w:val="0094333F"/>
    <w:rsid w:val="0094401C"/>
    <w:rsid w:val="00944529"/>
    <w:rsid w:val="00944680"/>
    <w:rsid w:val="00944EAD"/>
    <w:rsid w:val="00945A2B"/>
    <w:rsid w:val="00952AC4"/>
    <w:rsid w:val="009532B6"/>
    <w:rsid w:val="009545DB"/>
    <w:rsid w:val="00954D27"/>
    <w:rsid w:val="009563BF"/>
    <w:rsid w:val="00956D12"/>
    <w:rsid w:val="0095711D"/>
    <w:rsid w:val="0096097B"/>
    <w:rsid w:val="00964E7A"/>
    <w:rsid w:val="00965B79"/>
    <w:rsid w:val="00965C8A"/>
    <w:rsid w:val="009663CC"/>
    <w:rsid w:val="00966F56"/>
    <w:rsid w:val="00970229"/>
    <w:rsid w:val="00971B23"/>
    <w:rsid w:val="00976119"/>
    <w:rsid w:val="009763D0"/>
    <w:rsid w:val="0097707D"/>
    <w:rsid w:val="00981814"/>
    <w:rsid w:val="00981DAE"/>
    <w:rsid w:val="009824F4"/>
    <w:rsid w:val="00982D11"/>
    <w:rsid w:val="009844E2"/>
    <w:rsid w:val="00985965"/>
    <w:rsid w:val="00985988"/>
    <w:rsid w:val="00985C6E"/>
    <w:rsid w:val="00985FF1"/>
    <w:rsid w:val="00986A9B"/>
    <w:rsid w:val="0098717E"/>
    <w:rsid w:val="009900D5"/>
    <w:rsid w:val="00991D38"/>
    <w:rsid w:val="009935C6"/>
    <w:rsid w:val="00993772"/>
    <w:rsid w:val="00996892"/>
    <w:rsid w:val="009A25BE"/>
    <w:rsid w:val="009A2FD8"/>
    <w:rsid w:val="009A414B"/>
    <w:rsid w:val="009A75CF"/>
    <w:rsid w:val="009A7C6A"/>
    <w:rsid w:val="009B2958"/>
    <w:rsid w:val="009B2E9C"/>
    <w:rsid w:val="009B654F"/>
    <w:rsid w:val="009B74D4"/>
    <w:rsid w:val="009C1194"/>
    <w:rsid w:val="009C1833"/>
    <w:rsid w:val="009C28FA"/>
    <w:rsid w:val="009C43F6"/>
    <w:rsid w:val="009C4F7C"/>
    <w:rsid w:val="009C658F"/>
    <w:rsid w:val="009C6BE9"/>
    <w:rsid w:val="009C7A7B"/>
    <w:rsid w:val="009D040A"/>
    <w:rsid w:val="009D1D8A"/>
    <w:rsid w:val="009D5B68"/>
    <w:rsid w:val="009D6448"/>
    <w:rsid w:val="009D71E7"/>
    <w:rsid w:val="009D7B05"/>
    <w:rsid w:val="009E41A0"/>
    <w:rsid w:val="009E4A5F"/>
    <w:rsid w:val="009E7B6B"/>
    <w:rsid w:val="009F27A2"/>
    <w:rsid w:val="009F369E"/>
    <w:rsid w:val="009F46E4"/>
    <w:rsid w:val="009F567A"/>
    <w:rsid w:val="009F739F"/>
    <w:rsid w:val="009F7604"/>
    <w:rsid w:val="00A05D4C"/>
    <w:rsid w:val="00A07663"/>
    <w:rsid w:val="00A07E77"/>
    <w:rsid w:val="00A13EED"/>
    <w:rsid w:val="00A147A7"/>
    <w:rsid w:val="00A154D6"/>
    <w:rsid w:val="00A174CF"/>
    <w:rsid w:val="00A205C9"/>
    <w:rsid w:val="00A228C1"/>
    <w:rsid w:val="00A31E76"/>
    <w:rsid w:val="00A329F0"/>
    <w:rsid w:val="00A336AC"/>
    <w:rsid w:val="00A33AEB"/>
    <w:rsid w:val="00A35F31"/>
    <w:rsid w:val="00A40415"/>
    <w:rsid w:val="00A40958"/>
    <w:rsid w:val="00A40C92"/>
    <w:rsid w:val="00A42833"/>
    <w:rsid w:val="00A4395C"/>
    <w:rsid w:val="00A45B6E"/>
    <w:rsid w:val="00A52493"/>
    <w:rsid w:val="00A53FAB"/>
    <w:rsid w:val="00A621A1"/>
    <w:rsid w:val="00A64DDC"/>
    <w:rsid w:val="00A650B7"/>
    <w:rsid w:val="00A65100"/>
    <w:rsid w:val="00A66F2F"/>
    <w:rsid w:val="00A704C6"/>
    <w:rsid w:val="00A72E6C"/>
    <w:rsid w:val="00A72F4B"/>
    <w:rsid w:val="00A740F3"/>
    <w:rsid w:val="00A753CA"/>
    <w:rsid w:val="00A7591D"/>
    <w:rsid w:val="00A75C7F"/>
    <w:rsid w:val="00A76454"/>
    <w:rsid w:val="00A77D61"/>
    <w:rsid w:val="00A81EF9"/>
    <w:rsid w:val="00A8566B"/>
    <w:rsid w:val="00A86707"/>
    <w:rsid w:val="00A90CCB"/>
    <w:rsid w:val="00A935B7"/>
    <w:rsid w:val="00A93E31"/>
    <w:rsid w:val="00A94187"/>
    <w:rsid w:val="00A94722"/>
    <w:rsid w:val="00A96054"/>
    <w:rsid w:val="00A96196"/>
    <w:rsid w:val="00A97E63"/>
    <w:rsid w:val="00AA0111"/>
    <w:rsid w:val="00AA187A"/>
    <w:rsid w:val="00AA30BE"/>
    <w:rsid w:val="00AA39AB"/>
    <w:rsid w:val="00AA4A71"/>
    <w:rsid w:val="00AA5F19"/>
    <w:rsid w:val="00AA5F9A"/>
    <w:rsid w:val="00AA699D"/>
    <w:rsid w:val="00AB0CF0"/>
    <w:rsid w:val="00AB0E98"/>
    <w:rsid w:val="00AB11D1"/>
    <w:rsid w:val="00AB173C"/>
    <w:rsid w:val="00AB1E54"/>
    <w:rsid w:val="00AB2680"/>
    <w:rsid w:val="00AB28AF"/>
    <w:rsid w:val="00AB2AAF"/>
    <w:rsid w:val="00AB53D4"/>
    <w:rsid w:val="00AB66E3"/>
    <w:rsid w:val="00AB7FCB"/>
    <w:rsid w:val="00AC1DD6"/>
    <w:rsid w:val="00AC57FE"/>
    <w:rsid w:val="00AC6B74"/>
    <w:rsid w:val="00AC7335"/>
    <w:rsid w:val="00AD0EBC"/>
    <w:rsid w:val="00AD1212"/>
    <w:rsid w:val="00AD2730"/>
    <w:rsid w:val="00AD5988"/>
    <w:rsid w:val="00AD5DA8"/>
    <w:rsid w:val="00AD7CD1"/>
    <w:rsid w:val="00AE1E25"/>
    <w:rsid w:val="00AE232F"/>
    <w:rsid w:val="00AE4C79"/>
    <w:rsid w:val="00AE5B34"/>
    <w:rsid w:val="00AF2764"/>
    <w:rsid w:val="00AF2A6E"/>
    <w:rsid w:val="00AF3CF4"/>
    <w:rsid w:val="00AF494E"/>
    <w:rsid w:val="00AF7E57"/>
    <w:rsid w:val="00AF7EE8"/>
    <w:rsid w:val="00B05742"/>
    <w:rsid w:val="00B06CC3"/>
    <w:rsid w:val="00B113ED"/>
    <w:rsid w:val="00B11979"/>
    <w:rsid w:val="00B13396"/>
    <w:rsid w:val="00B13D23"/>
    <w:rsid w:val="00B14AE5"/>
    <w:rsid w:val="00B1500A"/>
    <w:rsid w:val="00B2094F"/>
    <w:rsid w:val="00B20E47"/>
    <w:rsid w:val="00B20FD1"/>
    <w:rsid w:val="00B21237"/>
    <w:rsid w:val="00B21524"/>
    <w:rsid w:val="00B22A05"/>
    <w:rsid w:val="00B250A2"/>
    <w:rsid w:val="00B26921"/>
    <w:rsid w:val="00B279A8"/>
    <w:rsid w:val="00B30B6A"/>
    <w:rsid w:val="00B3232A"/>
    <w:rsid w:val="00B34B1B"/>
    <w:rsid w:val="00B37A2C"/>
    <w:rsid w:val="00B42249"/>
    <w:rsid w:val="00B42399"/>
    <w:rsid w:val="00B433B3"/>
    <w:rsid w:val="00B5041A"/>
    <w:rsid w:val="00B541C5"/>
    <w:rsid w:val="00B61931"/>
    <w:rsid w:val="00B6223A"/>
    <w:rsid w:val="00B63167"/>
    <w:rsid w:val="00B639C8"/>
    <w:rsid w:val="00B678CE"/>
    <w:rsid w:val="00B70342"/>
    <w:rsid w:val="00B70F51"/>
    <w:rsid w:val="00B711CC"/>
    <w:rsid w:val="00B75957"/>
    <w:rsid w:val="00B75A58"/>
    <w:rsid w:val="00B76816"/>
    <w:rsid w:val="00B812F6"/>
    <w:rsid w:val="00B8176A"/>
    <w:rsid w:val="00B918E2"/>
    <w:rsid w:val="00B92795"/>
    <w:rsid w:val="00B94ABB"/>
    <w:rsid w:val="00B95801"/>
    <w:rsid w:val="00B97494"/>
    <w:rsid w:val="00B97901"/>
    <w:rsid w:val="00BA1747"/>
    <w:rsid w:val="00BA5DD0"/>
    <w:rsid w:val="00BA60F9"/>
    <w:rsid w:val="00BA7721"/>
    <w:rsid w:val="00BB1932"/>
    <w:rsid w:val="00BB256E"/>
    <w:rsid w:val="00BB4131"/>
    <w:rsid w:val="00BB65BB"/>
    <w:rsid w:val="00BB660C"/>
    <w:rsid w:val="00BC02E2"/>
    <w:rsid w:val="00BC1979"/>
    <w:rsid w:val="00BC263F"/>
    <w:rsid w:val="00BC2777"/>
    <w:rsid w:val="00BC2B4D"/>
    <w:rsid w:val="00BC357B"/>
    <w:rsid w:val="00BC373C"/>
    <w:rsid w:val="00BC4F03"/>
    <w:rsid w:val="00BC741A"/>
    <w:rsid w:val="00BD320B"/>
    <w:rsid w:val="00BD32E7"/>
    <w:rsid w:val="00BD416E"/>
    <w:rsid w:val="00BD4593"/>
    <w:rsid w:val="00BD51E5"/>
    <w:rsid w:val="00BD5292"/>
    <w:rsid w:val="00BD5612"/>
    <w:rsid w:val="00BD5DF8"/>
    <w:rsid w:val="00BE0830"/>
    <w:rsid w:val="00BE0AD7"/>
    <w:rsid w:val="00BE321B"/>
    <w:rsid w:val="00BE44D5"/>
    <w:rsid w:val="00BE59A3"/>
    <w:rsid w:val="00BE5A88"/>
    <w:rsid w:val="00BE6513"/>
    <w:rsid w:val="00BE6B0C"/>
    <w:rsid w:val="00BE7154"/>
    <w:rsid w:val="00BF0985"/>
    <w:rsid w:val="00BF2093"/>
    <w:rsid w:val="00BF3C23"/>
    <w:rsid w:val="00BF620B"/>
    <w:rsid w:val="00BF6756"/>
    <w:rsid w:val="00BF7B0D"/>
    <w:rsid w:val="00C00406"/>
    <w:rsid w:val="00C02A87"/>
    <w:rsid w:val="00C03381"/>
    <w:rsid w:val="00C0343C"/>
    <w:rsid w:val="00C04D32"/>
    <w:rsid w:val="00C05356"/>
    <w:rsid w:val="00C05E94"/>
    <w:rsid w:val="00C06A27"/>
    <w:rsid w:val="00C07660"/>
    <w:rsid w:val="00C0796C"/>
    <w:rsid w:val="00C079E8"/>
    <w:rsid w:val="00C105DB"/>
    <w:rsid w:val="00C10CB2"/>
    <w:rsid w:val="00C1109F"/>
    <w:rsid w:val="00C1188D"/>
    <w:rsid w:val="00C118A3"/>
    <w:rsid w:val="00C1273D"/>
    <w:rsid w:val="00C130B9"/>
    <w:rsid w:val="00C1454B"/>
    <w:rsid w:val="00C14587"/>
    <w:rsid w:val="00C151A3"/>
    <w:rsid w:val="00C167EF"/>
    <w:rsid w:val="00C27049"/>
    <w:rsid w:val="00C309DA"/>
    <w:rsid w:val="00C319D4"/>
    <w:rsid w:val="00C333C3"/>
    <w:rsid w:val="00C36382"/>
    <w:rsid w:val="00C37919"/>
    <w:rsid w:val="00C4248D"/>
    <w:rsid w:val="00C43C19"/>
    <w:rsid w:val="00C4655A"/>
    <w:rsid w:val="00C46CBF"/>
    <w:rsid w:val="00C52E88"/>
    <w:rsid w:val="00C53127"/>
    <w:rsid w:val="00C57E18"/>
    <w:rsid w:val="00C6042E"/>
    <w:rsid w:val="00C60E70"/>
    <w:rsid w:val="00C6291D"/>
    <w:rsid w:val="00C655BE"/>
    <w:rsid w:val="00C656D8"/>
    <w:rsid w:val="00C70872"/>
    <w:rsid w:val="00C7222B"/>
    <w:rsid w:val="00C746BC"/>
    <w:rsid w:val="00C74751"/>
    <w:rsid w:val="00C75C45"/>
    <w:rsid w:val="00C76115"/>
    <w:rsid w:val="00C80BF5"/>
    <w:rsid w:val="00C8145A"/>
    <w:rsid w:val="00C81E49"/>
    <w:rsid w:val="00C83B4B"/>
    <w:rsid w:val="00C8503E"/>
    <w:rsid w:val="00C8529F"/>
    <w:rsid w:val="00C8702F"/>
    <w:rsid w:val="00C90E4A"/>
    <w:rsid w:val="00C91B7B"/>
    <w:rsid w:val="00C9291E"/>
    <w:rsid w:val="00C93F42"/>
    <w:rsid w:val="00C94500"/>
    <w:rsid w:val="00C946D2"/>
    <w:rsid w:val="00C94C13"/>
    <w:rsid w:val="00C95BAC"/>
    <w:rsid w:val="00CA0BAE"/>
    <w:rsid w:val="00CA171B"/>
    <w:rsid w:val="00CA1C20"/>
    <w:rsid w:val="00CA2A12"/>
    <w:rsid w:val="00CA4556"/>
    <w:rsid w:val="00CA5B3A"/>
    <w:rsid w:val="00CB0A73"/>
    <w:rsid w:val="00CB0E80"/>
    <w:rsid w:val="00CB19C7"/>
    <w:rsid w:val="00CB23C8"/>
    <w:rsid w:val="00CB2930"/>
    <w:rsid w:val="00CB701E"/>
    <w:rsid w:val="00CB719C"/>
    <w:rsid w:val="00CB77FA"/>
    <w:rsid w:val="00CC0B71"/>
    <w:rsid w:val="00CC3004"/>
    <w:rsid w:val="00CC34DB"/>
    <w:rsid w:val="00CC3826"/>
    <w:rsid w:val="00CC431F"/>
    <w:rsid w:val="00CC4643"/>
    <w:rsid w:val="00CD1B02"/>
    <w:rsid w:val="00CD3008"/>
    <w:rsid w:val="00CD3390"/>
    <w:rsid w:val="00CD567F"/>
    <w:rsid w:val="00CE084F"/>
    <w:rsid w:val="00CE112D"/>
    <w:rsid w:val="00CE12E0"/>
    <w:rsid w:val="00CE65A2"/>
    <w:rsid w:val="00CF1455"/>
    <w:rsid w:val="00CF3C13"/>
    <w:rsid w:val="00CF443E"/>
    <w:rsid w:val="00CF4CD5"/>
    <w:rsid w:val="00CF5127"/>
    <w:rsid w:val="00CF5AA3"/>
    <w:rsid w:val="00D00A11"/>
    <w:rsid w:val="00D02D43"/>
    <w:rsid w:val="00D03432"/>
    <w:rsid w:val="00D03DC1"/>
    <w:rsid w:val="00D03F75"/>
    <w:rsid w:val="00D04C48"/>
    <w:rsid w:val="00D0596A"/>
    <w:rsid w:val="00D10719"/>
    <w:rsid w:val="00D10A83"/>
    <w:rsid w:val="00D12605"/>
    <w:rsid w:val="00D151E3"/>
    <w:rsid w:val="00D15EE8"/>
    <w:rsid w:val="00D167AC"/>
    <w:rsid w:val="00D203E7"/>
    <w:rsid w:val="00D21197"/>
    <w:rsid w:val="00D212BB"/>
    <w:rsid w:val="00D22829"/>
    <w:rsid w:val="00D305E7"/>
    <w:rsid w:val="00D311D5"/>
    <w:rsid w:val="00D31794"/>
    <w:rsid w:val="00D34936"/>
    <w:rsid w:val="00D35D0B"/>
    <w:rsid w:val="00D35F90"/>
    <w:rsid w:val="00D40B2B"/>
    <w:rsid w:val="00D412CF"/>
    <w:rsid w:val="00D414AF"/>
    <w:rsid w:val="00D42A6A"/>
    <w:rsid w:val="00D42CDA"/>
    <w:rsid w:val="00D42DCF"/>
    <w:rsid w:val="00D43B92"/>
    <w:rsid w:val="00D442AC"/>
    <w:rsid w:val="00D44A47"/>
    <w:rsid w:val="00D453A0"/>
    <w:rsid w:val="00D457D5"/>
    <w:rsid w:val="00D46D4E"/>
    <w:rsid w:val="00D512FF"/>
    <w:rsid w:val="00D51EFB"/>
    <w:rsid w:val="00D52853"/>
    <w:rsid w:val="00D558C6"/>
    <w:rsid w:val="00D56FE0"/>
    <w:rsid w:val="00D572BD"/>
    <w:rsid w:val="00D579BC"/>
    <w:rsid w:val="00D57F5D"/>
    <w:rsid w:val="00D6107A"/>
    <w:rsid w:val="00D623C6"/>
    <w:rsid w:val="00D62472"/>
    <w:rsid w:val="00D6363D"/>
    <w:rsid w:val="00D64273"/>
    <w:rsid w:val="00D65291"/>
    <w:rsid w:val="00D65466"/>
    <w:rsid w:val="00D6596B"/>
    <w:rsid w:val="00D65995"/>
    <w:rsid w:val="00D65EEB"/>
    <w:rsid w:val="00D661AE"/>
    <w:rsid w:val="00D669E9"/>
    <w:rsid w:val="00D6726F"/>
    <w:rsid w:val="00D742C7"/>
    <w:rsid w:val="00D74672"/>
    <w:rsid w:val="00D74A9B"/>
    <w:rsid w:val="00D778D5"/>
    <w:rsid w:val="00D81241"/>
    <w:rsid w:val="00D82E0D"/>
    <w:rsid w:val="00D860E2"/>
    <w:rsid w:val="00D87516"/>
    <w:rsid w:val="00D90931"/>
    <w:rsid w:val="00D909B2"/>
    <w:rsid w:val="00D910AC"/>
    <w:rsid w:val="00D9123F"/>
    <w:rsid w:val="00D91275"/>
    <w:rsid w:val="00D91AC5"/>
    <w:rsid w:val="00D9232F"/>
    <w:rsid w:val="00D95EEC"/>
    <w:rsid w:val="00D96BFD"/>
    <w:rsid w:val="00D971FA"/>
    <w:rsid w:val="00D97DDD"/>
    <w:rsid w:val="00DA02AE"/>
    <w:rsid w:val="00DA099D"/>
    <w:rsid w:val="00DA0ABE"/>
    <w:rsid w:val="00DA0B61"/>
    <w:rsid w:val="00DA207E"/>
    <w:rsid w:val="00DA3EF0"/>
    <w:rsid w:val="00DA730B"/>
    <w:rsid w:val="00DB1A93"/>
    <w:rsid w:val="00DB2A7F"/>
    <w:rsid w:val="00DB2EE5"/>
    <w:rsid w:val="00DB3A98"/>
    <w:rsid w:val="00DB6059"/>
    <w:rsid w:val="00DB63DB"/>
    <w:rsid w:val="00DB794A"/>
    <w:rsid w:val="00DB7AF8"/>
    <w:rsid w:val="00DB7CEA"/>
    <w:rsid w:val="00DD13E9"/>
    <w:rsid w:val="00DE0824"/>
    <w:rsid w:val="00DE0FB2"/>
    <w:rsid w:val="00DE1839"/>
    <w:rsid w:val="00DE39D2"/>
    <w:rsid w:val="00DE3DC3"/>
    <w:rsid w:val="00DE4274"/>
    <w:rsid w:val="00DE7245"/>
    <w:rsid w:val="00DE79E5"/>
    <w:rsid w:val="00DF02C0"/>
    <w:rsid w:val="00DF0BB2"/>
    <w:rsid w:val="00DF2BB2"/>
    <w:rsid w:val="00DF4F73"/>
    <w:rsid w:val="00DF63A9"/>
    <w:rsid w:val="00DF7616"/>
    <w:rsid w:val="00DF7FBB"/>
    <w:rsid w:val="00E0059E"/>
    <w:rsid w:val="00E01639"/>
    <w:rsid w:val="00E031F3"/>
    <w:rsid w:val="00E04F42"/>
    <w:rsid w:val="00E05504"/>
    <w:rsid w:val="00E06737"/>
    <w:rsid w:val="00E07467"/>
    <w:rsid w:val="00E10412"/>
    <w:rsid w:val="00E1043B"/>
    <w:rsid w:val="00E10552"/>
    <w:rsid w:val="00E11D31"/>
    <w:rsid w:val="00E1290C"/>
    <w:rsid w:val="00E1365F"/>
    <w:rsid w:val="00E1444A"/>
    <w:rsid w:val="00E172C1"/>
    <w:rsid w:val="00E2025A"/>
    <w:rsid w:val="00E218EC"/>
    <w:rsid w:val="00E224BD"/>
    <w:rsid w:val="00E23D85"/>
    <w:rsid w:val="00E25357"/>
    <w:rsid w:val="00E2566A"/>
    <w:rsid w:val="00E2620C"/>
    <w:rsid w:val="00E268B4"/>
    <w:rsid w:val="00E310B7"/>
    <w:rsid w:val="00E32FFD"/>
    <w:rsid w:val="00E35C27"/>
    <w:rsid w:val="00E444E4"/>
    <w:rsid w:val="00E44E32"/>
    <w:rsid w:val="00E45369"/>
    <w:rsid w:val="00E454A3"/>
    <w:rsid w:val="00E4575A"/>
    <w:rsid w:val="00E45B79"/>
    <w:rsid w:val="00E50164"/>
    <w:rsid w:val="00E52A56"/>
    <w:rsid w:val="00E553DB"/>
    <w:rsid w:val="00E56709"/>
    <w:rsid w:val="00E60A95"/>
    <w:rsid w:val="00E62FB1"/>
    <w:rsid w:val="00E67D62"/>
    <w:rsid w:val="00E67FE9"/>
    <w:rsid w:val="00E70654"/>
    <w:rsid w:val="00E70B8D"/>
    <w:rsid w:val="00E72132"/>
    <w:rsid w:val="00E7367F"/>
    <w:rsid w:val="00E73DE1"/>
    <w:rsid w:val="00E749DE"/>
    <w:rsid w:val="00E749E2"/>
    <w:rsid w:val="00E74E51"/>
    <w:rsid w:val="00E7535A"/>
    <w:rsid w:val="00E75434"/>
    <w:rsid w:val="00E831CE"/>
    <w:rsid w:val="00E83A49"/>
    <w:rsid w:val="00E844C5"/>
    <w:rsid w:val="00E86369"/>
    <w:rsid w:val="00E9401F"/>
    <w:rsid w:val="00E94D1C"/>
    <w:rsid w:val="00E95323"/>
    <w:rsid w:val="00E97709"/>
    <w:rsid w:val="00EA1700"/>
    <w:rsid w:val="00EA27CC"/>
    <w:rsid w:val="00EA3D53"/>
    <w:rsid w:val="00EA4BCE"/>
    <w:rsid w:val="00EB216B"/>
    <w:rsid w:val="00EB40DD"/>
    <w:rsid w:val="00EB461D"/>
    <w:rsid w:val="00EB4A84"/>
    <w:rsid w:val="00EB5977"/>
    <w:rsid w:val="00EC027A"/>
    <w:rsid w:val="00EC28B7"/>
    <w:rsid w:val="00EC5C7A"/>
    <w:rsid w:val="00EC712A"/>
    <w:rsid w:val="00ED13D2"/>
    <w:rsid w:val="00ED2732"/>
    <w:rsid w:val="00ED3101"/>
    <w:rsid w:val="00ED396E"/>
    <w:rsid w:val="00ED49F4"/>
    <w:rsid w:val="00ED6AE8"/>
    <w:rsid w:val="00EE1DBA"/>
    <w:rsid w:val="00EE24E0"/>
    <w:rsid w:val="00EF0D92"/>
    <w:rsid w:val="00EF1198"/>
    <w:rsid w:val="00EF249D"/>
    <w:rsid w:val="00EF24C1"/>
    <w:rsid w:val="00EF4CB1"/>
    <w:rsid w:val="00EF6003"/>
    <w:rsid w:val="00EF6B16"/>
    <w:rsid w:val="00F0546B"/>
    <w:rsid w:val="00F15F8B"/>
    <w:rsid w:val="00F170AD"/>
    <w:rsid w:val="00F17519"/>
    <w:rsid w:val="00F21BC7"/>
    <w:rsid w:val="00F24F7A"/>
    <w:rsid w:val="00F2708B"/>
    <w:rsid w:val="00F27DB9"/>
    <w:rsid w:val="00F304E8"/>
    <w:rsid w:val="00F31B9C"/>
    <w:rsid w:val="00F33F3E"/>
    <w:rsid w:val="00F34830"/>
    <w:rsid w:val="00F357CD"/>
    <w:rsid w:val="00F35DFF"/>
    <w:rsid w:val="00F4188D"/>
    <w:rsid w:val="00F435EB"/>
    <w:rsid w:val="00F437CC"/>
    <w:rsid w:val="00F43970"/>
    <w:rsid w:val="00F43EFB"/>
    <w:rsid w:val="00F4639F"/>
    <w:rsid w:val="00F4754A"/>
    <w:rsid w:val="00F51838"/>
    <w:rsid w:val="00F525CD"/>
    <w:rsid w:val="00F53477"/>
    <w:rsid w:val="00F53552"/>
    <w:rsid w:val="00F542F5"/>
    <w:rsid w:val="00F5634F"/>
    <w:rsid w:val="00F57BEF"/>
    <w:rsid w:val="00F57FC2"/>
    <w:rsid w:val="00F6047E"/>
    <w:rsid w:val="00F60D1E"/>
    <w:rsid w:val="00F63755"/>
    <w:rsid w:val="00F66738"/>
    <w:rsid w:val="00F66C80"/>
    <w:rsid w:val="00F67527"/>
    <w:rsid w:val="00F70819"/>
    <w:rsid w:val="00F71690"/>
    <w:rsid w:val="00F74A76"/>
    <w:rsid w:val="00F76A29"/>
    <w:rsid w:val="00F77799"/>
    <w:rsid w:val="00F80A29"/>
    <w:rsid w:val="00F83311"/>
    <w:rsid w:val="00F91211"/>
    <w:rsid w:val="00F9199F"/>
    <w:rsid w:val="00F91B29"/>
    <w:rsid w:val="00FA07BD"/>
    <w:rsid w:val="00FA0C72"/>
    <w:rsid w:val="00FA0EA1"/>
    <w:rsid w:val="00FA25A9"/>
    <w:rsid w:val="00FA2F57"/>
    <w:rsid w:val="00FA3600"/>
    <w:rsid w:val="00FA375B"/>
    <w:rsid w:val="00FA45A7"/>
    <w:rsid w:val="00FA70A2"/>
    <w:rsid w:val="00FB053D"/>
    <w:rsid w:val="00FB70EB"/>
    <w:rsid w:val="00FC22D5"/>
    <w:rsid w:val="00FC325F"/>
    <w:rsid w:val="00FC36BB"/>
    <w:rsid w:val="00FC37F7"/>
    <w:rsid w:val="00FC5582"/>
    <w:rsid w:val="00FC5F1B"/>
    <w:rsid w:val="00FD0D24"/>
    <w:rsid w:val="00FD1A45"/>
    <w:rsid w:val="00FD27EF"/>
    <w:rsid w:val="00FD36E1"/>
    <w:rsid w:val="00FD3E82"/>
    <w:rsid w:val="00FD40CB"/>
    <w:rsid w:val="00FD4632"/>
    <w:rsid w:val="00FD53A4"/>
    <w:rsid w:val="00FD6A0B"/>
    <w:rsid w:val="00FD7692"/>
    <w:rsid w:val="00FD7BD2"/>
    <w:rsid w:val="00FE1279"/>
    <w:rsid w:val="00FE6D04"/>
    <w:rsid w:val="00FE7C63"/>
    <w:rsid w:val="00FF1239"/>
    <w:rsid w:val="00FF16B8"/>
    <w:rsid w:val="00FF2FFD"/>
    <w:rsid w:val="00FF5022"/>
    <w:rsid w:val="00FF610E"/>
    <w:rsid w:val="00FF69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3DEE9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lsdException w:name="footer" w:uiPriority="99"/>
    <w:lsdException w:name="caption" w:locked="1" w:semiHidden="1" w:unhideWhenUsed="1" w:qFormat="1"/>
    <w:lsdException w:name="footnote reference" w:locked="1" w:uiPriority="99" w:qFormat="1"/>
    <w:lsdException w:name="Title" w:locked="1" w:qFormat="1"/>
    <w:lsdException w:name="Default Paragraph Font" w:locked="1"/>
    <w:lsdException w:name="Subtitle" w:locked="1" w:qFormat="1"/>
    <w:lsdException w:name="Body Text 2" w:locked="1"/>
    <w:lsdException w:name="Hyperlink" w:locked="1" w:uiPriority="99"/>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C8"/>
    <w:rPr>
      <w:rFonts w:ascii="Times New Roman" w:hAnsi="Times New Roman"/>
      <w:sz w:val="24"/>
    </w:rPr>
  </w:style>
  <w:style w:type="paragraph" w:styleId="Heading1">
    <w:name w:val="heading 1"/>
    <w:basedOn w:val="ListParagraph"/>
    <w:next w:val="Normal"/>
    <w:link w:val="Heading1Char"/>
    <w:qFormat/>
    <w:locked/>
    <w:rsid w:val="00755970"/>
    <w:pPr>
      <w:spacing w:after="240"/>
      <w:ind w:hanging="720"/>
      <w:contextualSpacing w:val="0"/>
      <w:outlineLvl w:val="0"/>
    </w:pPr>
    <w:rPr>
      <w:rFonts w:eastAsia="Times New Roman"/>
      <w:b/>
      <w:bCs/>
      <w:szCs w:val="24"/>
    </w:rPr>
  </w:style>
  <w:style w:type="paragraph" w:styleId="Heading2">
    <w:name w:val="heading 2"/>
    <w:basedOn w:val="Normal"/>
    <w:next w:val="Normal"/>
    <w:link w:val="Heading2Char"/>
    <w:unhideWhenUsed/>
    <w:qFormat/>
    <w:locked/>
    <w:rsid w:val="00732AF9"/>
    <w:pPr>
      <w:spacing w:after="240"/>
      <w:ind w:left="1440" w:hanging="720"/>
      <w:outlineLvl w:val="1"/>
    </w:pPr>
    <w:rPr>
      <w:rFonts w:ascii="Times New Roman Bold" w:hAnsi="Times New Roman Bold"/>
      <w:b/>
      <w:bCs/>
      <w:szCs w:val="24"/>
    </w:rPr>
  </w:style>
  <w:style w:type="paragraph" w:styleId="Heading4">
    <w:name w:val="heading 4"/>
    <w:basedOn w:val="Normal"/>
    <w:next w:val="Normal"/>
    <w:link w:val="Heading4Char"/>
    <w:semiHidden/>
    <w:unhideWhenUsed/>
    <w:qFormat/>
    <w:locked/>
    <w:rsid w:val="003718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3718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center" w:pos="4320"/>
        <w:tab w:val="right" w:pos="8640"/>
      </w:tabs>
    </w:pPr>
    <w:rPr>
      <w:sz w:val="20"/>
    </w:rPr>
  </w:style>
  <w:style w:type="character" w:customStyle="1" w:styleId="FooterChar">
    <w:name w:val="Footer Char"/>
    <w:aliases w:val=" Char1 Char"/>
    <w:link w:val="Footer"/>
    <w:uiPriority w:val="99"/>
    <w:locked/>
    <w:rPr>
      <w:rFonts w:ascii="Times New Roman" w:hAnsi="Times New Roman" w:cs="Times New Roman"/>
      <w:sz w:val="20"/>
      <w:szCs w:val="20"/>
    </w:rPr>
  </w:style>
  <w:style w:type="paragraph" w:styleId="Title">
    <w:name w:val="Title"/>
    <w:basedOn w:val="Normal"/>
    <w:link w:val="TitleChar"/>
    <w:qFormat/>
    <w:pPr>
      <w:tabs>
        <w:tab w:val="left" w:pos="720"/>
        <w:tab w:val="left" w:pos="5670"/>
        <w:tab w:val="left" w:pos="6030"/>
      </w:tabs>
      <w:jc w:val="center"/>
    </w:pPr>
    <w:rPr>
      <w:b/>
    </w:rPr>
  </w:style>
  <w:style w:type="character" w:customStyle="1" w:styleId="TitleChar">
    <w:name w:val="Title Char"/>
    <w:link w:val="Title"/>
    <w:locked/>
    <w:rPr>
      <w:rFonts w:ascii="Bookman Old Style" w:hAnsi="Bookman Old Style" w:cs="Times New Roman"/>
      <w:b/>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Bookman Old Style" w:hAnsi="Bookman Old Style" w:cs="Times New Roman"/>
      <w:sz w:val="20"/>
      <w:szCs w:val="20"/>
    </w:rPr>
  </w:style>
  <w:style w:type="character" w:styleId="Hyperlink">
    <w:name w:val="Hyperlink"/>
    <w:uiPriority w:val="99"/>
    <w:rPr>
      <w:rFonts w:cs="Times New Roman"/>
      <w:color w:val="0000FF"/>
      <w:u w:val="single"/>
    </w:rPr>
  </w:style>
  <w:style w:type="paragraph" w:styleId="BodyText2">
    <w:name w:val="Body Text 2"/>
    <w:basedOn w:val="Normal"/>
    <w:link w:val="BodyText2Char"/>
    <w:rPr>
      <w:rFonts w:ascii="Arial" w:hAnsi="Arial"/>
      <w:b/>
    </w:rPr>
  </w:style>
  <w:style w:type="character" w:customStyle="1" w:styleId="BodyText2Char">
    <w:name w:val="Body Text 2 Char"/>
    <w:link w:val="BodyText2"/>
    <w:locked/>
    <w:rPr>
      <w:rFonts w:ascii="Arial" w:hAnsi="Arial" w:cs="Times New Roman"/>
      <w:b/>
      <w:sz w:val="20"/>
      <w:szCs w:val="20"/>
    </w:rPr>
  </w:style>
  <w:style w:type="paragraph" w:styleId="FootnoteText">
    <w:name w:val="footnote text"/>
    <w:aliases w:val="ALTS FOOTNOTE,Footnote Text Cha,Footnote Text Char Char,Footnote Text Char Char4 Char,Footnote Text Char Char4 Char1 Char Char,Footnote Text Char1,Footnote Text Char2,Footnote Text Char4 Char,Footnote Text Char4 Char1 Char Char,fn,fn Char"/>
    <w:basedOn w:val="Normal"/>
    <w:link w:val="FootnoteTextChar"/>
    <w:uiPriority w:val="99"/>
    <w:qFormat/>
    <w:rPr>
      <w:sz w:val="20"/>
    </w:rPr>
  </w:style>
  <w:style w:type="character" w:customStyle="1" w:styleId="FootnoteTextChar">
    <w:name w:val="Footnote Text Char"/>
    <w:aliases w:val="ALTS FOOTNOTE Char1,Footnote Text Cha Char,Footnote Text Char Char Char2,Footnote Text Char Char4 Char Char1,Footnote Text Char Char4 Char1 Char Char Char1,Footnote Text Char1 Char2,Footnote Text Char2 Char,fn Char Char1,fn Char1"/>
    <w:link w:val="FootnoteText"/>
    <w:uiPriority w:val="99"/>
    <w:locked/>
    <w:rPr>
      <w:rFonts w:ascii="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rFonts w:cs="Times New Roman"/>
      <w:vertAlign w:val="superscript"/>
    </w:rPr>
  </w:style>
  <w:style w:type="paragraph" w:styleId="BodyText">
    <w:name w:val="Body Text"/>
    <w:basedOn w:val="Normal"/>
    <w:link w:val="BodyTextChar"/>
    <w:pPr>
      <w:spacing w:after="120"/>
    </w:pPr>
  </w:style>
  <w:style w:type="character" w:customStyle="1" w:styleId="BodyTextChar">
    <w:name w:val="Body Text Char"/>
    <w:link w:val="BodyText"/>
    <w:locked/>
    <w:rPr>
      <w:rFonts w:ascii="Bookman Old Style" w:hAnsi="Bookman Old Style" w:cs="Times New Roman"/>
      <w:sz w:val="20"/>
      <w:szCs w:val="20"/>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ascii="Bookman Old Style" w:hAnsi="Bookman Old Style" w:cs="Times New Roman"/>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aliases w:val=" Char Char,Char Char"/>
    <w:link w:val="HTMLPreformatted"/>
    <w:locked/>
    <w:rPr>
      <w:rFonts w:ascii="Courier New" w:hAnsi="Courier New" w:cs="Courier New"/>
      <w:lang w:val="en-US" w:eastAsia="en-US" w:bidi="ar-SA"/>
    </w:rPr>
  </w:style>
  <w:style w:type="table" w:styleId="TableGrid">
    <w:name w:val="Table Grid"/>
    <w:basedOn w:val="TableNormal"/>
    <w:uiPriority w:val="59"/>
    <w:lock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Char">
    <w:name w:val="Footnote Text Char1 Char"/>
    <w:aliases w:val="Footnote Text Char Char Char,Footnote Text Char Char1,Footnote Text Char Char4 Char Char,Footnote Text Char Char4 Char1 Char Char Char,Footnote Text Char3,Footnote Text Char4 Char Char,Footnote Text Char4 Char1 Char Char Char"/>
    <w:rPr>
      <w:lang w:val="en-US" w:eastAsia="en-US" w:bidi="ar-SA"/>
    </w:rPr>
  </w:style>
  <w:style w:type="character" w:customStyle="1" w:styleId="FootnoteTextChar1Char1">
    <w:name w:val="Footnote Text Char1 Char1"/>
    <w:aliases w:val="ALTS FOOTNOTE Char,Footnote Text Char Char Char Char Char1,Footnote Text Char Char Char1,Footnote Text Char Char2,Footnote Text Char1 Char Char1 Char1,Footnote Text Char2 Char Char Char Char1 Char1,fn Char Char"/>
    <w:semiHidden/>
    <w:locked/>
    <w:rPr>
      <w:lang w:val="en-US" w:eastAsia="en-US" w:bidi="ar-SA"/>
    </w:rPr>
  </w:style>
  <w:style w:type="paragraph" w:customStyle="1" w:styleId="indexheadin">
    <w:name w:val="index headin"/>
    <w:pPr>
      <w:widowControl w:val="0"/>
      <w:tabs>
        <w:tab w:val="left" w:pos="-720"/>
      </w:tabs>
      <w:suppressAutoHyphens/>
    </w:pPr>
    <w:rPr>
      <w:rFonts w:ascii="Courier New" w:eastAsia="Times New Roman" w:hAnsi="Courier New"/>
      <w:b/>
      <w:snapToGrid w:val="0"/>
      <w:sz w:val="24"/>
    </w:rPr>
  </w:style>
  <w:style w:type="character" w:styleId="PageNumber">
    <w:name w:val="page number"/>
    <w:basedOn w:val="DefaultParagraphFont"/>
  </w:style>
  <w:style w:type="paragraph" w:customStyle="1" w:styleId="CharChar3">
    <w:name w:val="Char Char3"/>
    <w:basedOn w:val="Normal"/>
    <w:rsid w:val="00BA5FBE"/>
    <w:pPr>
      <w:widowControl w:val="0"/>
      <w:spacing w:line="280" w:lineRule="atLeast"/>
    </w:pPr>
    <w:rPr>
      <w:rFonts w:eastAsia="MS Mincho"/>
      <w:sz w:val="22"/>
      <w:lang w:val="en-GB" w:eastAsia="en-GB"/>
    </w:rPr>
  </w:style>
  <w:style w:type="paragraph" w:styleId="BodyTextIndent3">
    <w:name w:val="Body Text Indent 3"/>
    <w:basedOn w:val="Normal"/>
    <w:link w:val="BodyTextIndent3Char"/>
    <w:rsid w:val="00BA5FBE"/>
    <w:pPr>
      <w:spacing w:after="120"/>
      <w:ind w:left="360"/>
    </w:pPr>
    <w:rPr>
      <w:rFonts w:eastAsia="Times New Roman"/>
      <w:sz w:val="16"/>
      <w:szCs w:val="16"/>
    </w:rPr>
  </w:style>
  <w:style w:type="character" w:customStyle="1" w:styleId="BodyTextIndent3Char">
    <w:name w:val="Body Text Indent 3 Char"/>
    <w:link w:val="BodyTextIndent3"/>
    <w:rsid w:val="00BA5FBE"/>
    <w:rPr>
      <w:rFonts w:ascii="Times New Roman" w:eastAsia="Times New Roman" w:hAnsi="Times New Roman"/>
      <w:sz w:val="16"/>
      <w:szCs w:val="16"/>
    </w:rPr>
  </w:style>
  <w:style w:type="paragraph" w:styleId="BodyTextIndent">
    <w:name w:val="Body Text Indent"/>
    <w:basedOn w:val="Normal"/>
    <w:link w:val="BodyTextIndentChar"/>
    <w:rsid w:val="005409A0"/>
    <w:pPr>
      <w:spacing w:after="120"/>
      <w:ind w:left="360"/>
    </w:pPr>
  </w:style>
  <w:style w:type="character" w:customStyle="1" w:styleId="BodyTextIndentChar">
    <w:name w:val="Body Text Indent Char"/>
    <w:link w:val="BodyTextIndent"/>
    <w:rsid w:val="005409A0"/>
    <w:rPr>
      <w:rFonts w:ascii="Bookman Old Style" w:hAnsi="Bookman Old Style"/>
      <w:sz w:val="24"/>
    </w:rPr>
  </w:style>
  <w:style w:type="paragraph" w:styleId="CommentSubject">
    <w:name w:val="annotation subject"/>
    <w:basedOn w:val="CommentText"/>
    <w:next w:val="CommentText"/>
    <w:link w:val="CommentSubjectChar"/>
    <w:rsid w:val="00A4520D"/>
    <w:rPr>
      <w:b/>
      <w:bCs/>
    </w:rPr>
  </w:style>
  <w:style w:type="character" w:customStyle="1" w:styleId="CommentSubjectChar">
    <w:name w:val="Comment Subject Char"/>
    <w:link w:val="CommentSubject"/>
    <w:rsid w:val="00A4520D"/>
    <w:rPr>
      <w:rFonts w:ascii="Bookman Old Style" w:hAnsi="Bookman Old Style" w:cs="Times New Roman"/>
      <w:b/>
      <w:bCs/>
      <w:sz w:val="20"/>
      <w:szCs w:val="20"/>
    </w:rPr>
  </w:style>
  <w:style w:type="character" w:customStyle="1" w:styleId="UnresolvedMention1">
    <w:name w:val="Unresolved Mention1"/>
    <w:uiPriority w:val="99"/>
    <w:semiHidden/>
    <w:unhideWhenUsed/>
    <w:rsid w:val="00835D91"/>
    <w:rPr>
      <w:color w:val="605E5C"/>
      <w:shd w:val="clear" w:color="auto" w:fill="E1DFDD"/>
    </w:rPr>
  </w:style>
  <w:style w:type="character" w:customStyle="1" w:styleId="ssleftalign">
    <w:name w:val="ss_leftalign"/>
    <w:rsid w:val="00985C6E"/>
  </w:style>
  <w:style w:type="paragraph" w:styleId="Revision">
    <w:name w:val="Revision"/>
    <w:hidden/>
    <w:uiPriority w:val="99"/>
    <w:semiHidden/>
    <w:rsid w:val="00F24F7A"/>
    <w:rPr>
      <w:rFonts w:ascii="Bookman Old Style" w:hAnsi="Bookman Old Style"/>
      <w:sz w:val="24"/>
    </w:rPr>
  </w:style>
  <w:style w:type="character" w:customStyle="1" w:styleId="UnresolvedMention2">
    <w:name w:val="Unresolved Mention2"/>
    <w:basedOn w:val="DefaultParagraphFont"/>
    <w:rsid w:val="00746D3C"/>
    <w:rPr>
      <w:color w:val="605E5C"/>
      <w:shd w:val="clear" w:color="auto" w:fill="E1DFDD"/>
    </w:rPr>
  </w:style>
  <w:style w:type="paragraph" w:customStyle="1" w:styleId="Body">
    <w:name w:val="Body"/>
    <w:rsid w:val="00FA07BD"/>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noFill/>
        <w14:prstDash w14:val="solid"/>
        <w14:bevel/>
      </w14:textOutline>
    </w:rPr>
  </w:style>
  <w:style w:type="character" w:customStyle="1" w:styleId="Hyperlink2">
    <w:name w:val="Hyperlink.2"/>
    <w:basedOn w:val="DefaultParagraphFont"/>
    <w:rsid w:val="00FA07BD"/>
    <w:rPr>
      <w:rFonts w:ascii="Times New Roman" w:eastAsia="Times New Roman" w:hAnsi="Times New Roman" w:cs="Times New Roman"/>
      <w:outline w:val="0"/>
      <w:color w:val="0000FF"/>
      <w:u w:val="single" w:color="0000FF"/>
      <w:lang w:val="en-US"/>
    </w:rPr>
  </w:style>
  <w:style w:type="character" w:customStyle="1" w:styleId="UnresolvedMention3">
    <w:name w:val="Unresolved Mention3"/>
    <w:basedOn w:val="DefaultParagraphFont"/>
    <w:rsid w:val="000955E5"/>
    <w:rPr>
      <w:color w:val="605E5C"/>
      <w:shd w:val="clear" w:color="auto" w:fill="E1DFDD"/>
    </w:rPr>
  </w:style>
  <w:style w:type="paragraph" w:customStyle="1" w:styleId="xmsonormal">
    <w:name w:val="x_msonormal"/>
    <w:basedOn w:val="Normal"/>
    <w:rsid w:val="00B34B1B"/>
    <w:rPr>
      <w:rFonts w:ascii="Calibri" w:hAnsi="Calibri" w:eastAsiaTheme="minorHAnsi" w:cs="Calibri"/>
      <w:sz w:val="22"/>
      <w:szCs w:val="22"/>
    </w:rPr>
  </w:style>
  <w:style w:type="paragraph" w:customStyle="1" w:styleId="pf0">
    <w:name w:val="pf0"/>
    <w:basedOn w:val="Normal"/>
    <w:rsid w:val="00C02A87"/>
    <w:pPr>
      <w:spacing w:before="100" w:beforeAutospacing="1" w:after="100" w:afterAutospacing="1"/>
    </w:pPr>
    <w:rPr>
      <w:rFonts w:eastAsia="Times New Roman"/>
      <w:szCs w:val="24"/>
    </w:rPr>
  </w:style>
  <w:style w:type="character" w:customStyle="1" w:styleId="cf01">
    <w:name w:val="cf01"/>
    <w:basedOn w:val="DefaultParagraphFont"/>
    <w:rsid w:val="00C02A87"/>
    <w:rPr>
      <w:rFonts w:ascii="Segoe UI" w:hAnsi="Segoe UI" w:cs="Segoe UI" w:hint="default"/>
      <w:sz w:val="18"/>
      <w:szCs w:val="18"/>
    </w:rPr>
  </w:style>
  <w:style w:type="character" w:customStyle="1" w:styleId="Heading1Char">
    <w:name w:val="Heading 1 Char"/>
    <w:basedOn w:val="DefaultParagraphFont"/>
    <w:link w:val="Heading1"/>
    <w:rsid w:val="00755970"/>
    <w:rPr>
      <w:rFonts w:ascii="Times New Roman" w:eastAsia="Times New Roman" w:hAnsi="Times New Roman"/>
      <w:b/>
      <w:bCs/>
      <w:sz w:val="24"/>
      <w:szCs w:val="24"/>
    </w:rPr>
  </w:style>
  <w:style w:type="character" w:customStyle="1" w:styleId="Heading2Char">
    <w:name w:val="Heading 2 Char"/>
    <w:basedOn w:val="DefaultParagraphFont"/>
    <w:link w:val="Heading2"/>
    <w:rsid w:val="00732AF9"/>
    <w:rPr>
      <w:rFonts w:ascii="Times New Roman Bold" w:hAnsi="Times New Roman Bold"/>
      <w:b/>
      <w:bCs/>
      <w:sz w:val="24"/>
      <w:szCs w:val="24"/>
    </w:rPr>
  </w:style>
  <w:style w:type="paragraph" w:styleId="TOC1">
    <w:name w:val="toc 1"/>
    <w:basedOn w:val="Normal"/>
    <w:next w:val="Normal"/>
    <w:autoRedefine/>
    <w:uiPriority w:val="39"/>
    <w:locked/>
    <w:rsid w:val="00A740F3"/>
    <w:pPr>
      <w:tabs>
        <w:tab w:val="decimal" w:leader="dot" w:pos="9360"/>
      </w:tabs>
      <w:spacing w:after="240"/>
      <w:ind w:left="720" w:hanging="720"/>
    </w:pPr>
  </w:style>
  <w:style w:type="paragraph" w:styleId="TOC2">
    <w:name w:val="toc 2"/>
    <w:basedOn w:val="Normal"/>
    <w:next w:val="Normal"/>
    <w:autoRedefine/>
    <w:uiPriority w:val="39"/>
    <w:locked/>
    <w:rsid w:val="00A740F3"/>
    <w:pPr>
      <w:tabs>
        <w:tab w:val="decimal" w:leader="dot" w:pos="9360"/>
      </w:tabs>
      <w:spacing w:after="240"/>
      <w:ind w:left="1440" w:hanging="720"/>
    </w:pPr>
  </w:style>
  <w:style w:type="paragraph" w:styleId="TOC3">
    <w:name w:val="toc 3"/>
    <w:basedOn w:val="Normal"/>
    <w:next w:val="Normal"/>
    <w:autoRedefine/>
    <w:locked/>
    <w:rsid w:val="00982D11"/>
    <w:pPr>
      <w:tabs>
        <w:tab w:val="decimal" w:leader="dot" w:pos="9360"/>
      </w:tabs>
      <w:spacing w:after="240"/>
      <w:ind w:left="2160" w:hanging="720"/>
    </w:pPr>
  </w:style>
  <w:style w:type="character" w:styleId="FollowedHyperlink">
    <w:name w:val="FollowedHyperlink"/>
    <w:basedOn w:val="DefaultParagraphFont"/>
    <w:rsid w:val="00AE1E25"/>
    <w:rPr>
      <w:color w:val="954F72" w:themeColor="followedHyperlink"/>
      <w:u w:val="single"/>
    </w:rPr>
  </w:style>
  <w:style w:type="character" w:customStyle="1" w:styleId="UnresolvedMention4">
    <w:name w:val="Unresolved Mention4"/>
    <w:basedOn w:val="DefaultParagraphFont"/>
    <w:rsid w:val="00F0546B"/>
    <w:rPr>
      <w:color w:val="605E5C"/>
      <w:shd w:val="clear" w:color="auto" w:fill="E1DFDD"/>
    </w:rPr>
  </w:style>
  <w:style w:type="paragraph" w:customStyle="1" w:styleId="xmsolistparagraph">
    <w:name w:val="x_msolistparagraph"/>
    <w:basedOn w:val="Normal"/>
    <w:rsid w:val="00016964"/>
    <w:pPr>
      <w:spacing w:before="100" w:beforeAutospacing="1" w:after="100" w:afterAutospacing="1"/>
    </w:pPr>
    <w:rPr>
      <w:rFonts w:eastAsiaTheme="minorHAnsi"/>
      <w:szCs w:val="24"/>
    </w:rPr>
  </w:style>
  <w:style w:type="character" w:customStyle="1" w:styleId="UnresolvedMention5">
    <w:name w:val="Unresolved Mention5"/>
    <w:basedOn w:val="DefaultParagraphFont"/>
    <w:rsid w:val="005C3189"/>
    <w:rPr>
      <w:color w:val="605E5C"/>
      <w:shd w:val="clear" w:color="auto" w:fill="E1DFDD"/>
    </w:rPr>
  </w:style>
  <w:style w:type="paragraph" w:styleId="ListParagraph">
    <w:name w:val="List Paragraph"/>
    <w:basedOn w:val="Normal"/>
    <w:uiPriority w:val="34"/>
    <w:qFormat/>
    <w:rsid w:val="00B21524"/>
    <w:pPr>
      <w:ind w:left="720"/>
      <w:contextualSpacing/>
    </w:pPr>
  </w:style>
  <w:style w:type="paragraph" w:styleId="PlainText">
    <w:name w:val="Plain Text"/>
    <w:basedOn w:val="Normal"/>
    <w:link w:val="PlainTextChar"/>
    <w:uiPriority w:val="99"/>
    <w:rsid w:val="000B16DA"/>
    <w:rPr>
      <w:rFonts w:ascii="Courier New" w:eastAsia="Times New Roman" w:hAnsi="Courier New"/>
      <w:sz w:val="20"/>
    </w:rPr>
  </w:style>
  <w:style w:type="character" w:customStyle="1" w:styleId="PlainTextChar">
    <w:name w:val="Plain Text Char"/>
    <w:basedOn w:val="DefaultParagraphFont"/>
    <w:link w:val="PlainText"/>
    <w:uiPriority w:val="99"/>
    <w:rsid w:val="000B16DA"/>
    <w:rPr>
      <w:rFonts w:ascii="Courier New" w:eastAsia="Times New Roman" w:hAnsi="Courier New"/>
    </w:rPr>
  </w:style>
  <w:style w:type="paragraph" w:styleId="EndnoteText">
    <w:name w:val="endnote text"/>
    <w:basedOn w:val="Normal"/>
    <w:link w:val="EndnoteTextChar"/>
    <w:rsid w:val="000B16DA"/>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rsid w:val="000B16DA"/>
    <w:rPr>
      <w:rFonts w:ascii="Courier New" w:eastAsia="Times New Roman" w:hAnsi="Courier New"/>
      <w:snapToGrid w:val="0"/>
      <w:sz w:val="24"/>
    </w:rPr>
  </w:style>
  <w:style w:type="character" w:customStyle="1" w:styleId="Heading5Char">
    <w:name w:val="Heading 5 Char"/>
    <w:basedOn w:val="DefaultParagraphFont"/>
    <w:link w:val="Heading5"/>
    <w:uiPriority w:val="9"/>
    <w:rsid w:val="003718C3"/>
    <w:rPr>
      <w:rFonts w:asciiTheme="majorHAnsi" w:eastAsiaTheme="majorEastAsia" w:hAnsiTheme="majorHAnsi" w:cstheme="majorBidi"/>
      <w:color w:val="2F5496" w:themeColor="accent1" w:themeShade="BF"/>
      <w:sz w:val="24"/>
    </w:rPr>
  </w:style>
  <w:style w:type="character" w:customStyle="1" w:styleId="Heading4Char">
    <w:name w:val="Heading 4 Char"/>
    <w:basedOn w:val="DefaultParagraphFont"/>
    <w:link w:val="Heading4"/>
    <w:uiPriority w:val="9"/>
    <w:rsid w:val="003718C3"/>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hioAGO.gov" TargetMode="External" /><Relationship Id="rId11" Type="http://schemas.openxmlformats.org/officeDocument/2006/relationships/hyperlink" Target="mailto:shaun.lyons@ohioAGO.gov" TargetMode="External" /><Relationship Id="rId12" Type="http://schemas.openxmlformats.org/officeDocument/2006/relationships/hyperlink" Target="mailto:kherrnstein@bricker.com" TargetMode="External" /><Relationship Id="rId13" Type="http://schemas.openxmlformats.org/officeDocument/2006/relationships/hyperlink" Target="mailto:drpoano@bakerlaw.com" TargetMode="External" /><Relationship Id="rId14" Type="http://schemas.openxmlformats.org/officeDocument/2006/relationships/hyperlink" Target="mailto:ahaque@bakerlaw.com" TargetMode="External" /><Relationship Id="rId15" Type="http://schemas.openxmlformats.org/officeDocument/2006/relationships/hyperlink" Target="mailto:eprouty@bakerlaw.com" TargetMode="External" /><Relationship Id="rId16" Type="http://schemas.openxmlformats.org/officeDocument/2006/relationships/hyperlink" Target="mailto:knordstrom@theOEC.org" TargetMode="External" /><Relationship Id="rId17" Type="http://schemas.openxmlformats.org/officeDocument/2006/relationships/hyperlink" Target="mailto:ctavenor@theOEC.org" TargetMode="External" /><Relationship Id="rId18" Type="http://schemas.openxmlformats.org/officeDocument/2006/relationships/hyperlink" Target="mailto:leonard.bazelak@daytonohio.gov" TargetMode="External" /><Relationship Id="rId19" Type="http://schemas.openxmlformats.org/officeDocument/2006/relationships/hyperlink" Target="mailto:bojko@carpenterlipps.com" TargetMode="External" /><Relationship Id="rId2" Type="http://schemas.openxmlformats.org/officeDocument/2006/relationships/settings" Target="settings.xml" /><Relationship Id="rId20" Type="http://schemas.openxmlformats.org/officeDocument/2006/relationships/hyperlink" Target="mailto:easley@carpenterlipps.com" TargetMode="External" /><Relationship Id="rId21" Type="http://schemas.openxmlformats.org/officeDocument/2006/relationships/hyperlink" Target="mailto:Gregory.price@puco.ohio.gov" TargetMode="External" /><Relationship Id="rId22" Type="http://schemas.openxmlformats.org/officeDocument/2006/relationships/hyperlink" Target="mailto:Patricia.schabo@puco.ohio.gov" TargetMode="External" /><Relationship Id="rId23" Type="http://schemas.openxmlformats.org/officeDocument/2006/relationships/hyperlink" Target="mailto:christopher.hollon@aes.com" TargetMode="External" /><Relationship Id="rId24" Type="http://schemas.openxmlformats.org/officeDocument/2006/relationships/hyperlink" Target="mailto:jsharkey@ficlaw.com" TargetMode="External" /><Relationship Id="rId25" Type="http://schemas.openxmlformats.org/officeDocument/2006/relationships/hyperlink" Target="mailto:djireland@ficlaw.com" TargetMode="External" /><Relationship Id="rId26" Type="http://schemas.openxmlformats.org/officeDocument/2006/relationships/hyperlink" Target="mailto:mwatt@ficlaw.com" TargetMode="External" /><Relationship Id="rId27" Type="http://schemas.openxmlformats.org/officeDocument/2006/relationships/hyperlink" Target="mailto:mkurtz@bkllawfirm.com" TargetMode="External" /><Relationship Id="rId28" Type="http://schemas.openxmlformats.org/officeDocument/2006/relationships/hyperlink" Target="mailto:kboehm@bkllawfirm.com" TargetMode="External" /><Relationship Id="rId29" Type="http://schemas.openxmlformats.org/officeDocument/2006/relationships/hyperlink" Target="mailto:jkylercohn@bkllawfirm.com" TargetMode="External" /><Relationship Id="rId3" Type="http://schemas.openxmlformats.org/officeDocument/2006/relationships/webSettings" Target="webSettings.xml" /><Relationship Id="rId30" Type="http://schemas.openxmlformats.org/officeDocument/2006/relationships/hyperlink" Target="mailto:stacie.cathcart@igs.com" TargetMode="External" /><Relationship Id="rId31" Type="http://schemas.openxmlformats.org/officeDocument/2006/relationships/hyperlink" Target="mailto:evan.betterton@igs.com" TargetMode="External" /><Relationship Id="rId32" Type="http://schemas.openxmlformats.org/officeDocument/2006/relationships/hyperlink" Target="mailto:michael.nugent@igs.com" TargetMode="External" /><Relationship Id="rId33" Type="http://schemas.openxmlformats.org/officeDocument/2006/relationships/hyperlink" Target="mailto:Joe.Oliker@igs.com" TargetMode="External" /><Relationship Id="rId34" Type="http://schemas.openxmlformats.org/officeDocument/2006/relationships/hyperlink" Target="mailto:stephanie.chmiel@thompsonhine.com" TargetMode="External" /><Relationship Id="rId35" Type="http://schemas.openxmlformats.org/officeDocument/2006/relationships/hyperlink" Target="mailto:mary.csarny@thompsonhine.com" TargetMode="External" /><Relationship Id="rId36" Type="http://schemas.openxmlformats.org/officeDocument/2006/relationships/hyperlink" Target="mailto:mpritchard@mcneeslaw.com" TargetMode="External" /><Relationship Id="rId37" Type="http://schemas.openxmlformats.org/officeDocument/2006/relationships/hyperlink" Target="mailto:dromig@armadapower.com" TargetMode="External" /><Relationship Id="rId38" Type="http://schemas.openxmlformats.org/officeDocument/2006/relationships/hyperlink" Target="mailto:mjsettineri@vorys.com" TargetMode="External" /><Relationship Id="rId39" Type="http://schemas.openxmlformats.org/officeDocument/2006/relationships/hyperlink" Target="mailto:glpetrucci@vorys.com" TargetMode="External" /><Relationship Id="rId4" Type="http://schemas.openxmlformats.org/officeDocument/2006/relationships/fontTable" Target="fontTable.xml" /><Relationship Id="rId40" Type="http://schemas.openxmlformats.org/officeDocument/2006/relationships/hyperlink" Target="mailto:paul@carpenterlipps.com" TargetMode="External" /><Relationship Id="rId41" Type="http://schemas.openxmlformats.org/officeDocument/2006/relationships/hyperlink" Target="mailto:trent@hubaydougherty.com" TargetMode="External" /><Relationship Id="rId42" Type="http://schemas.openxmlformats.org/officeDocument/2006/relationships/hyperlink" Target="mailto:rdove@keglerbrown.com" TargetMode="External" /><Relationship Id="rId43" Type="http://schemas.openxmlformats.org/officeDocument/2006/relationships/hyperlink" Target="mailto:cgrundmann@spilmanlaw.com" TargetMode="External" /><Relationship Id="rId44" Type="http://schemas.openxmlformats.org/officeDocument/2006/relationships/hyperlink" Target="mailto:dwilliamson@spilmanlaw.com" TargetMode="External" /><Relationship Id="rId45" Type="http://schemas.openxmlformats.org/officeDocument/2006/relationships/header" Target="header1.xml" /><Relationship Id="rId46" Type="http://schemas.openxmlformats.org/officeDocument/2006/relationships/header" Target="header2.xm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header" Target="header3.xml" /><Relationship Id="rId5" Type="http://schemas.openxmlformats.org/officeDocument/2006/relationships/customXml" Target="../customXml/item1.xml" /><Relationship Id="rId50" Type="http://schemas.openxmlformats.org/officeDocument/2006/relationships/footer" Target="footer3.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8CA4-7906-4DE0-8286-7CD745BCED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2023-09-18T20:18:31Z</dcterms:created>
  <dcterms:modified xsi:type="dcterms:W3CDTF">2023-09-18T20:18:31Z</dcterms:modified>
</cp:coreProperties>
</file>