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89"/>
        <w:gridCol w:w="4481"/>
      </w:tblGrid>
      <w:tr w:rsidR="008712CB" w:rsidTr="00201C94">
        <w:tc>
          <w:tcPr>
            <w:tcW w:w="4698" w:type="dxa"/>
          </w:tcPr>
          <w:p w:rsidR="008712CB" w:rsidRPr="00221496" w:rsidRDefault="008712CB" w:rsidP="00201C94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1" w:name="_Toc260212957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of Duke Energy Ohio, Inc., for Approval to Modify Rider FBS, Rider EFBS, and Rider FRAS.</w:t>
            </w:r>
          </w:p>
        </w:tc>
        <w:tc>
          <w:tcPr>
            <w:tcW w:w="270" w:type="dxa"/>
          </w:tcPr>
          <w:p w:rsidR="008712CB" w:rsidRPr="00221496" w:rsidRDefault="008712CB" w:rsidP="00201C94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712CB" w:rsidRPr="00221496" w:rsidRDefault="008712CB" w:rsidP="00201C94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712CB" w:rsidRPr="00221496" w:rsidRDefault="008712CB" w:rsidP="00201C94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8712CB" w:rsidRPr="00221496" w:rsidRDefault="008712CB" w:rsidP="00201C94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15-50-GA-RDR</w:t>
            </w:r>
          </w:p>
        </w:tc>
      </w:tr>
    </w:tbl>
    <w:p w:rsidR="008712CB" w:rsidRPr="002D54AC" w:rsidRDefault="008712CB" w:rsidP="008712CB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8712CB" w:rsidRDefault="008712CB" w:rsidP="008712CB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8712CB" w:rsidRPr="00E10679" w:rsidRDefault="00BD0C85" w:rsidP="008712CB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REPLY</w:t>
      </w:r>
      <w:r w:rsidR="008712CB">
        <w:rPr>
          <w:rFonts w:ascii="Times New Roman" w:hAnsi="Times New Roman"/>
          <w:b/>
          <w:sz w:val="32"/>
          <w:szCs w:val="32"/>
        </w:rPr>
        <w:t xml:space="preserve"> BRIEF</w:t>
      </w:r>
    </w:p>
    <w:p w:rsidR="008712CB" w:rsidRPr="008712CB" w:rsidRDefault="008712CB" w:rsidP="008712CB">
      <w:pPr>
        <w:jc w:val="center"/>
        <w:rPr>
          <w:sz w:val="28"/>
          <w:szCs w:val="28"/>
        </w:rPr>
      </w:pPr>
      <w:r w:rsidRPr="008712CB">
        <w:rPr>
          <w:sz w:val="28"/>
          <w:szCs w:val="28"/>
        </w:rPr>
        <w:t>SUBMITTED ON BEHALF OF THE STAFF OF</w:t>
      </w:r>
    </w:p>
    <w:p w:rsidR="008712CB" w:rsidRPr="008712CB" w:rsidRDefault="008712CB" w:rsidP="008712CB">
      <w:pPr>
        <w:jc w:val="center"/>
        <w:rPr>
          <w:sz w:val="28"/>
          <w:szCs w:val="28"/>
        </w:rPr>
      </w:pPr>
      <w:r w:rsidRPr="008712CB">
        <w:rPr>
          <w:sz w:val="28"/>
          <w:szCs w:val="28"/>
        </w:rPr>
        <w:t>THE PUBLIC UTILITIES COMMISSION OF OHIO</w:t>
      </w:r>
    </w:p>
    <w:p w:rsidR="008712CB" w:rsidRDefault="008712CB" w:rsidP="008712CB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bookmarkEnd w:id="1"/>
    <w:p w:rsidR="004B2A98" w:rsidRDefault="004B2A98" w:rsidP="008712CB">
      <w:pPr>
        <w:pStyle w:val="textstyle0"/>
      </w:pPr>
    </w:p>
    <w:p w:rsidR="00BD0C85" w:rsidRDefault="00BD0C85" w:rsidP="00BD0C85">
      <w:pPr>
        <w:pStyle w:val="textstyle0"/>
      </w:pPr>
      <w:r>
        <w:tab/>
        <w:t xml:space="preserve">In this reply brief the Staff will only address those arguments not fully considered in the initial brief.  There is only one such item.  </w:t>
      </w:r>
    </w:p>
    <w:p w:rsidR="00BD0C85" w:rsidRDefault="00BD0C85" w:rsidP="00BD0C85">
      <w:pPr>
        <w:pStyle w:val="textstyle0"/>
      </w:pPr>
      <w:r>
        <w:tab/>
      </w:r>
      <w:r w:rsidR="003260FA">
        <w:t>Intervenor Retail Energy Supply Association (</w:t>
      </w:r>
      <w:r>
        <w:t>RESA</w:t>
      </w:r>
      <w:r w:rsidR="003260FA">
        <w:t>)</w:t>
      </w:r>
      <w:r>
        <w:t xml:space="preserve"> makes a contingent argu</w:t>
      </w:r>
      <w:r w:rsidR="003260FA">
        <w:softHyphen/>
      </w:r>
      <w:r>
        <w:t>ment that should be rejected.  It argues that should the Commission accept the company proposal, the Commission should examine the entirety of the costs associated with the Choice Program.</w:t>
      </w:r>
      <w:r>
        <w:rPr>
          <w:rStyle w:val="FootnoteReference"/>
        </w:rPr>
        <w:footnoteReference w:id="1"/>
      </w:r>
      <w:r>
        <w:t xml:space="preserve">  RESA alleges, but offers no proof, of extensive subsidies in distribu</w:t>
      </w:r>
      <w:r w:rsidR="003260FA">
        <w:softHyphen/>
      </w:r>
      <w:r>
        <w:t>tion rates that it believes should be removed.  There is no reason to perform such an anal</w:t>
      </w:r>
      <w:r w:rsidR="003260FA">
        <w:softHyphen/>
      </w:r>
      <w:r>
        <w:t>ysis.  RESA offers nothing in the way of proof of the problems it alleges, no analysis of any sort.</w:t>
      </w:r>
      <w:r>
        <w:rPr>
          <w:rStyle w:val="FootnoteReference"/>
        </w:rPr>
        <w:footnoteReference w:id="2"/>
      </w:r>
      <w:r>
        <w:t xml:space="preserve">  The proper forum for such a review is either a complaint case where RESA </w:t>
      </w:r>
      <w:r>
        <w:lastRenderedPageBreak/>
        <w:t>would bear the burden of proof to establish its allegations or in a rate case, presumably with a cost-of-service study.  Even RESA admits this is not the forum for addressing long-term matters.</w:t>
      </w:r>
      <w:r>
        <w:rPr>
          <w:rStyle w:val="FootnoteReference"/>
        </w:rPr>
        <w:footnoteReference w:id="3"/>
      </w:r>
      <w:r>
        <w:t xml:space="preserve">  </w:t>
      </w:r>
    </w:p>
    <w:p w:rsidR="00BD0C85" w:rsidRDefault="00BD0C85" w:rsidP="00BD0C85">
      <w:pPr>
        <w:pStyle w:val="textstyle0"/>
      </w:pPr>
      <w:r>
        <w:tab/>
      </w:r>
      <w:r w:rsidRPr="00101471">
        <w:t>The balancing problem at issue in this case has nothing to do with any alleged sub</w:t>
      </w:r>
      <w:r w:rsidR="003260FA">
        <w:softHyphen/>
      </w:r>
      <w:r w:rsidRPr="00101471">
        <w:t>sidies built into distribution rates.  Even if RESA were correct in its bare allegations, addressing those matters has nothing to do with balancing</w:t>
      </w:r>
      <w:r>
        <w:t>.  The expensive, time-consum</w:t>
      </w:r>
      <w:r w:rsidR="003260FA">
        <w:softHyphen/>
      </w:r>
      <w:r>
        <w:t>ing examination RESA advocates would not change the balancing problem in any way.</w:t>
      </w:r>
    </w:p>
    <w:p w:rsidR="00BD0C85" w:rsidRDefault="00BD0C85" w:rsidP="00BD0C85">
      <w:pPr>
        <w:pStyle w:val="textstyle0"/>
      </w:pPr>
      <w:r>
        <w:tab/>
        <w:t>In Staff’s view the purpose of this case is to deal with a relatively short term prob</w:t>
      </w:r>
      <w:r w:rsidR="003260FA">
        <w:softHyphen/>
      </w:r>
      <w:r>
        <w:t>lem caused by an interplay between storage and FT.  The problem is short term in the sense that the company’s storage contracts will end in 2018 and 2020</w:t>
      </w:r>
      <w:r w:rsidR="00D46ED7">
        <w:t>, with potential solutions being offered even sooner through Duke’s management performance report due in November, 2015</w:t>
      </w:r>
      <w:r>
        <w:t>.  This will allow a more permanent restructuring of the supply port</w:t>
      </w:r>
      <w:r w:rsidR="00D46ED7">
        <w:softHyphen/>
      </w:r>
      <w:r>
        <w:t>folio.  It is best to keep this case short-term and temporary as recommended in Staff’s ini</w:t>
      </w:r>
      <w:r w:rsidR="00D46ED7">
        <w:softHyphen/>
      </w:r>
      <w:r>
        <w:t xml:space="preserve">tial brief. </w:t>
      </w:r>
    </w:p>
    <w:p w:rsidR="00BD0C85" w:rsidRDefault="00BD0C85" w:rsidP="00BD0C85">
      <w:pPr>
        <w:pStyle w:val="textstyle0"/>
      </w:pPr>
      <w:r>
        <w:tab/>
        <w:t>The Commission should reject this effort to add extraneous issues to this case.</w:t>
      </w:r>
    </w:p>
    <w:p w:rsidR="00BD0C85" w:rsidRDefault="00BD0C85" w:rsidP="008712CB">
      <w:pPr>
        <w:tabs>
          <w:tab w:val="left" w:pos="9348"/>
        </w:tabs>
        <w:spacing w:line="480" w:lineRule="auto"/>
        <w:ind w:left="43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00A0A" w:rsidRPr="0064436A" w:rsidRDefault="00200A0A" w:rsidP="008712CB">
      <w:pPr>
        <w:tabs>
          <w:tab w:val="left" w:pos="9348"/>
        </w:tabs>
        <w:spacing w:line="480" w:lineRule="auto"/>
        <w:ind w:left="4320"/>
        <w:rPr>
          <w:sz w:val="26"/>
          <w:szCs w:val="26"/>
        </w:rPr>
      </w:pPr>
      <w:r w:rsidRPr="0064436A">
        <w:rPr>
          <w:sz w:val="26"/>
          <w:szCs w:val="26"/>
        </w:rPr>
        <w:lastRenderedPageBreak/>
        <w:t>Respectfully submitted,</w:t>
      </w:r>
    </w:p>
    <w:p w:rsidR="00200A0A" w:rsidRPr="0064436A" w:rsidRDefault="00C90964" w:rsidP="008712CB">
      <w:pPr>
        <w:tabs>
          <w:tab w:val="left" w:pos="9348"/>
        </w:tabs>
        <w:ind w:left="432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</w:p>
    <w:p w:rsidR="000753F8" w:rsidRDefault="00BC5B75" w:rsidP="008712CB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</w:p>
    <w:p w:rsidR="00200A0A" w:rsidRPr="004B2A98" w:rsidRDefault="00D2060A" w:rsidP="008712CB">
      <w:pPr>
        <w:tabs>
          <w:tab w:val="left" w:pos="9348"/>
        </w:tabs>
        <w:ind w:left="4320"/>
        <w:rPr>
          <w:rFonts w:ascii="AR BERKLEY" w:hAnsi="AR BERKLEY"/>
          <w:sz w:val="32"/>
          <w:szCs w:val="32"/>
          <w:u w:val="single"/>
        </w:rPr>
      </w:pPr>
      <w:r>
        <w:rPr>
          <w:rFonts w:ascii="AR BERKLEY" w:hAnsi="AR BERKLEY"/>
          <w:sz w:val="32"/>
          <w:szCs w:val="32"/>
          <w:u w:val="single"/>
        </w:rPr>
        <w:t>/s/ Thomas W. McNamee</w:t>
      </w:r>
      <w:r w:rsidR="00200A0A" w:rsidRPr="004B2A98">
        <w:rPr>
          <w:rFonts w:ascii="AR BERKLEY" w:hAnsi="AR BERKLEY"/>
          <w:sz w:val="32"/>
          <w:szCs w:val="32"/>
          <w:u w:val="single"/>
        </w:rPr>
        <w:tab/>
      </w:r>
    </w:p>
    <w:p w:rsidR="00E45A7D" w:rsidRPr="0064436A" w:rsidRDefault="00E45A7D" w:rsidP="008712CB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Thomas </w:t>
      </w:r>
      <w:r w:rsidR="008712CB">
        <w:rPr>
          <w:b/>
          <w:sz w:val="26"/>
          <w:szCs w:val="26"/>
        </w:rPr>
        <w:t>W. McNamee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8B058D" w:rsidRDefault="00200A0A" w:rsidP="008712CB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E45A7D" w:rsidRPr="0064436A" w:rsidRDefault="00D2060A" w:rsidP="008712CB">
      <w:pPr>
        <w:tabs>
          <w:tab w:val="left" w:pos="9348"/>
        </w:tabs>
        <w:ind w:left="4320"/>
        <w:rPr>
          <w:sz w:val="26"/>
          <w:szCs w:val="26"/>
        </w:rPr>
      </w:pPr>
      <w:hyperlink r:id="rId8" w:history="1">
        <w:r w:rsidR="008712CB" w:rsidRPr="00040644">
          <w:rPr>
            <w:rStyle w:val="Hyperlink"/>
            <w:sz w:val="26"/>
            <w:szCs w:val="26"/>
          </w:rPr>
          <w:t>thomas.mcnamee@puc.state.oh.us</w:t>
        </w:r>
      </w:hyperlink>
    </w:p>
    <w:p w:rsidR="00200A0A" w:rsidRDefault="00200A0A" w:rsidP="008712CB">
      <w:pPr>
        <w:tabs>
          <w:tab w:val="left" w:pos="9348"/>
        </w:tabs>
        <w:ind w:left="4320"/>
        <w:rPr>
          <w:b/>
          <w:sz w:val="26"/>
          <w:szCs w:val="26"/>
        </w:rPr>
      </w:pPr>
    </w:p>
    <w:p w:rsidR="008712CB" w:rsidRPr="0064436A" w:rsidRDefault="008712CB" w:rsidP="008712CB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On behalf of the Staff of</w:t>
      </w:r>
      <w:r>
        <w:rPr>
          <w:b/>
          <w:sz w:val="26"/>
          <w:szCs w:val="26"/>
        </w:rPr>
        <w:br/>
        <w:t>The Public Utilities Commission of Ohio</w:t>
      </w:r>
    </w:p>
    <w:p w:rsidR="00200A0A" w:rsidRPr="00934B92" w:rsidRDefault="00200A0A" w:rsidP="0064436A">
      <w:pPr>
        <w:pStyle w:val="Heading1"/>
      </w:pPr>
      <w:r w:rsidRPr="00955E20">
        <w:br w:type="page"/>
      </w:r>
      <w:bookmarkStart w:id="2" w:name="_Toc205862526"/>
      <w:bookmarkStart w:id="3" w:name="_Toc260212964"/>
      <w:r w:rsidR="00C95499" w:rsidRPr="00934B92">
        <w:rPr>
          <w:caps w:val="0"/>
        </w:rPr>
        <w:lastRenderedPageBreak/>
        <w:t>PROOF OF SERVICE</w:t>
      </w:r>
      <w:bookmarkEnd w:id="2"/>
      <w:bookmarkEnd w:id="3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BD0C85">
        <w:rPr>
          <w:b/>
        </w:rPr>
        <w:t>Reply</w:t>
      </w:r>
      <w:r w:rsidR="00721F2D">
        <w:rPr>
          <w:b/>
        </w:rPr>
        <w:t xml:space="preserve"> Brief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8712CB">
        <w:t xml:space="preserve">via electronic mail </w:t>
      </w:r>
      <w:r w:rsidR="00200A0A" w:rsidRPr="00934B92">
        <w:t xml:space="preserve">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BD0C85">
        <w:t>18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8712CB">
        <w:t>September, 2015</w:t>
      </w:r>
      <w:r w:rsidR="00200A0A" w:rsidRPr="00934B92">
        <w:t>.</w:t>
      </w:r>
    </w:p>
    <w:p w:rsidR="00200A0A" w:rsidRPr="00DF3D54" w:rsidRDefault="00D2060A" w:rsidP="00200A0A">
      <w:pPr>
        <w:tabs>
          <w:tab w:val="right" w:pos="9360"/>
        </w:tabs>
        <w:ind w:left="4320"/>
        <w:jc w:val="both"/>
        <w:rPr>
          <w:u w:val="single"/>
        </w:rPr>
      </w:pPr>
      <w:r>
        <w:rPr>
          <w:rFonts w:ascii="AR BERKLEY" w:hAnsi="AR BERKLEY"/>
          <w:sz w:val="32"/>
          <w:szCs w:val="32"/>
          <w:u w:val="single"/>
        </w:rPr>
        <w:t>/s/ Thomas W. McNamee</w:t>
      </w:r>
      <w:r w:rsidR="00200A0A" w:rsidRPr="00DF3D54">
        <w:rPr>
          <w:u w:val="single"/>
        </w:rPr>
        <w:tab/>
      </w:r>
    </w:p>
    <w:p w:rsidR="00200A0A" w:rsidRPr="00DF3D54" w:rsidRDefault="008712CB" w:rsidP="00200A0A">
      <w:pPr>
        <w:ind w:left="43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Thomas W. McNamee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5"/>
      </w:tblGrid>
      <w:tr w:rsidR="00A20821" w:rsidTr="00A20821">
        <w:tc>
          <w:tcPr>
            <w:tcW w:w="4705" w:type="dxa"/>
          </w:tcPr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William J. Michael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Jodi J. Bair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Assistant Consumers’ Counsel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of the Ohio Consumers’ Counsel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1800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A20821" w:rsidRDefault="00D2060A">
            <w:pPr>
              <w:rPr>
                <w:sz w:val="26"/>
                <w:szCs w:val="26"/>
              </w:rPr>
            </w:pPr>
            <w:hyperlink r:id="rId9" w:history="1">
              <w:r w:rsidR="00A20821">
                <w:rPr>
                  <w:rStyle w:val="Hyperlink"/>
                  <w:sz w:val="26"/>
                  <w:szCs w:val="26"/>
                </w:rPr>
                <w:t>william.michael@occ.ohio.gov</w:t>
              </w:r>
            </w:hyperlink>
          </w:p>
          <w:p w:rsidR="00A20821" w:rsidRDefault="00D2060A">
            <w:pPr>
              <w:rPr>
                <w:sz w:val="26"/>
                <w:szCs w:val="26"/>
              </w:rPr>
            </w:pPr>
            <w:hyperlink r:id="rId10" w:history="1">
              <w:r w:rsidR="00A20821">
                <w:rPr>
                  <w:rStyle w:val="Hyperlink"/>
                  <w:sz w:val="26"/>
                  <w:szCs w:val="26"/>
                </w:rPr>
                <w:t>jodi.biar@occ.ohio.gov</w:t>
              </w:r>
            </w:hyperlink>
          </w:p>
          <w:p w:rsidR="00A20821" w:rsidRDefault="00A20821">
            <w:pPr>
              <w:rPr>
                <w:sz w:val="26"/>
                <w:szCs w:val="26"/>
              </w:rPr>
            </w:pP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Amy B. Spiller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Elizabeth H. Watts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Duke Energy Ohio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East Broad Street, 21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Floor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A20821" w:rsidRDefault="00D2060A">
            <w:pPr>
              <w:rPr>
                <w:sz w:val="26"/>
                <w:szCs w:val="26"/>
              </w:rPr>
            </w:pPr>
            <w:hyperlink r:id="rId11" w:history="1">
              <w:r w:rsidR="00A20821">
                <w:rPr>
                  <w:rStyle w:val="Hyperlink"/>
                  <w:sz w:val="26"/>
                  <w:szCs w:val="26"/>
                </w:rPr>
                <w:t>amy.spiller@duke-energy.com</w:t>
              </w:r>
            </w:hyperlink>
          </w:p>
          <w:p w:rsidR="00A20821" w:rsidRDefault="00D2060A">
            <w:pPr>
              <w:rPr>
                <w:sz w:val="26"/>
                <w:szCs w:val="26"/>
              </w:rPr>
            </w:pPr>
            <w:hyperlink r:id="rId12" w:history="1">
              <w:r w:rsidR="00A20821">
                <w:rPr>
                  <w:rStyle w:val="Hyperlink"/>
                  <w:sz w:val="26"/>
                  <w:szCs w:val="26"/>
                </w:rPr>
                <w:t>elizabeth.watts@duke-energy.com</w:t>
              </w:r>
            </w:hyperlink>
          </w:p>
          <w:p w:rsidR="00A20821" w:rsidRDefault="00A20821">
            <w:pPr>
              <w:rPr>
                <w:sz w:val="26"/>
                <w:szCs w:val="26"/>
              </w:rPr>
            </w:pP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M. Clark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 Services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19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A20821" w:rsidRDefault="00D2060A">
            <w:pPr>
              <w:rPr>
                <w:sz w:val="26"/>
                <w:szCs w:val="26"/>
              </w:rPr>
            </w:pPr>
            <w:hyperlink r:id="rId13" w:history="1">
              <w:r w:rsidR="00A20821">
                <w:rPr>
                  <w:rStyle w:val="Hyperlink"/>
                  <w:sz w:val="26"/>
                  <w:szCs w:val="26"/>
                </w:rPr>
                <w:t>joseph.clark@directenergy.com</w:t>
              </w:r>
            </w:hyperlink>
          </w:p>
          <w:p w:rsidR="00A20821" w:rsidRDefault="00A20821">
            <w:pPr>
              <w:rPr>
                <w:sz w:val="26"/>
                <w:szCs w:val="26"/>
              </w:rPr>
            </w:pPr>
          </w:p>
        </w:tc>
        <w:tc>
          <w:tcPr>
            <w:tcW w:w="4655" w:type="dxa"/>
          </w:tcPr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Howard Petricoff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Gretchen L. Petrucci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 Sater, Seymour &amp; Pease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43216-1008</w:t>
            </w:r>
            <w:r>
              <w:rPr>
                <w:sz w:val="26"/>
                <w:szCs w:val="26"/>
              </w:rPr>
              <w:br/>
            </w:r>
            <w:hyperlink r:id="rId14" w:history="1">
              <w:r>
                <w:rPr>
                  <w:rStyle w:val="Hyperlink"/>
                  <w:sz w:val="26"/>
                  <w:szCs w:val="26"/>
                </w:rPr>
                <w:t>mhpetricoff@vorys.com</w:t>
              </w:r>
            </w:hyperlink>
          </w:p>
          <w:p w:rsidR="00A20821" w:rsidRDefault="00D2060A">
            <w:pPr>
              <w:rPr>
                <w:sz w:val="26"/>
                <w:szCs w:val="26"/>
              </w:rPr>
            </w:pPr>
            <w:hyperlink r:id="rId15" w:history="1">
              <w:r w:rsidR="00A20821">
                <w:rPr>
                  <w:rStyle w:val="Hyperlink"/>
                  <w:sz w:val="26"/>
                  <w:szCs w:val="26"/>
                </w:rPr>
                <w:t>glpetrucci@vorys.com</w:t>
              </w:r>
            </w:hyperlink>
          </w:p>
          <w:p w:rsidR="00A20821" w:rsidRDefault="00A20821">
            <w:pPr>
              <w:rPr>
                <w:sz w:val="26"/>
                <w:szCs w:val="26"/>
              </w:rPr>
            </w:pP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E. Oliker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IGS Energy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 Emerald Parkway</w:t>
            </w:r>
          </w:p>
          <w:p w:rsidR="00A20821" w:rsidRDefault="00A20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Dublin, OH  43016</w:t>
            </w:r>
          </w:p>
          <w:p w:rsidR="00A20821" w:rsidRDefault="00D2060A">
            <w:pPr>
              <w:rPr>
                <w:sz w:val="26"/>
                <w:szCs w:val="26"/>
              </w:rPr>
            </w:pPr>
            <w:hyperlink r:id="rId16" w:history="1">
              <w:r w:rsidR="00A20821">
                <w:rPr>
                  <w:rStyle w:val="Hyperlink"/>
                  <w:sz w:val="26"/>
                  <w:szCs w:val="26"/>
                </w:rPr>
                <w:t>joliker@igsenergy.com</w:t>
              </w:r>
            </w:hyperlink>
          </w:p>
          <w:p w:rsidR="00A20821" w:rsidRDefault="00A20821">
            <w:pPr>
              <w:rPr>
                <w:sz w:val="26"/>
                <w:szCs w:val="26"/>
              </w:rPr>
            </w:pPr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foot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FF" w:rsidRDefault="00BF7BFF" w:rsidP="008866FC">
      <w:pPr>
        <w:pStyle w:val="Title"/>
      </w:pPr>
      <w:r>
        <w:separator/>
      </w:r>
    </w:p>
  </w:endnote>
  <w:endnote w:type="continuationSeparator" w:id="0">
    <w:p w:rsidR="00BF7BFF" w:rsidRDefault="00BF7BFF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D2060A">
      <w:rPr>
        <w:rStyle w:val="PageNumber"/>
        <w:noProof/>
        <w:sz w:val="24"/>
        <w:szCs w:val="24"/>
      </w:rPr>
      <w:t>4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FF" w:rsidRDefault="00BF7BFF" w:rsidP="00663D6A">
      <w:pPr>
        <w:pStyle w:val="Title"/>
        <w:jc w:val="left"/>
      </w:pPr>
      <w:r>
        <w:separator/>
      </w:r>
    </w:p>
  </w:footnote>
  <w:footnote w:type="continuationSeparator" w:id="0">
    <w:p w:rsidR="00BF7BFF" w:rsidRDefault="00BF7BFF" w:rsidP="008866FC">
      <w:pPr>
        <w:pStyle w:val="Title"/>
      </w:pPr>
      <w:r>
        <w:continuationSeparator/>
      </w:r>
    </w:p>
  </w:footnote>
  <w:footnote w:id="1">
    <w:p w:rsidR="00BD0C85" w:rsidRDefault="00BD0C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 xml:space="preserve">RESA Ex. 2 at __.  </w:t>
      </w:r>
    </w:p>
  </w:footnote>
  <w:footnote w:id="2">
    <w:p w:rsidR="00BD0C85" w:rsidRDefault="00BD0C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 xml:space="preserve">Tr. at ___.  </w:t>
      </w:r>
    </w:p>
  </w:footnote>
  <w:footnote w:id="3">
    <w:p w:rsidR="00BD0C85" w:rsidRDefault="00BD0C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>RESA Initial Brief at 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CB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07B25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A8A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0FA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164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3ED"/>
    <w:rsid w:val="00420596"/>
    <w:rsid w:val="00420A72"/>
    <w:rsid w:val="004216E8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A98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5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1C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6DE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6C78"/>
    <w:rsid w:val="00867D49"/>
    <w:rsid w:val="00867F5F"/>
    <w:rsid w:val="008701AF"/>
    <w:rsid w:val="008708D8"/>
    <w:rsid w:val="008709CB"/>
    <w:rsid w:val="00870E6E"/>
    <w:rsid w:val="008712CB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0931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76F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0821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856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3C1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5FE0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34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4FC0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77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C85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BFF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6C6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4AC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60A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D7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6CB0BC-FFA9-42E6-80F1-812F7FE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paragraph" w:styleId="EndnoteText">
    <w:name w:val="endnote text"/>
    <w:basedOn w:val="Normal"/>
    <w:link w:val="EndnoteTextChar"/>
    <w:semiHidden/>
    <w:unhideWhenUsed/>
    <w:rsid w:val="00A0676F"/>
  </w:style>
  <w:style w:type="character" w:customStyle="1" w:styleId="EndnoteTextChar">
    <w:name w:val="Endnote Text Char"/>
    <w:basedOn w:val="DefaultParagraphFont"/>
    <w:link w:val="EndnoteText"/>
    <w:semiHidden/>
    <w:rsid w:val="00A0676F"/>
  </w:style>
  <w:style w:type="character" w:styleId="EndnoteReference">
    <w:name w:val="endnote reference"/>
    <w:basedOn w:val="DefaultParagraphFont"/>
    <w:semiHidden/>
    <w:unhideWhenUsed/>
    <w:rsid w:val="00A0676F"/>
    <w:rPr>
      <w:vertAlign w:val="superscript"/>
    </w:rPr>
  </w:style>
  <w:style w:type="paragraph" w:customStyle="1" w:styleId="tline05">
    <w:name w:val="t line:  0.5&quot;"/>
    <w:aliases w:val="Line spacing:  Double"/>
    <w:basedOn w:val="Normal"/>
    <w:rsid w:val="00BD0C85"/>
    <w:pPr>
      <w:spacing w:line="48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mcnamee@puc.state.oh.us" TargetMode="External"/><Relationship Id="rId13" Type="http://schemas.openxmlformats.org/officeDocument/2006/relationships/hyperlink" Target="mailto:joseph.clark@directenerg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zabeth.watts@duke-energy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liker@igsenerg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spiller@duke-energ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petrucci@vorys.com" TargetMode="External"/><Relationship Id="rId10" Type="http://schemas.openxmlformats.org/officeDocument/2006/relationships/hyperlink" Target="mailto:jodi.biar@occ.ohio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illiam.michael@occ.ohio.gov" TargetMode="External"/><Relationship Id="rId14" Type="http://schemas.openxmlformats.org/officeDocument/2006/relationships/hyperlink" Target="mailto:mhpetricoff@vor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E234-2D8F-402C-88F0-8C610F4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Pleading.dotx</Template>
  <TotalTime>11</TotalTime>
  <Pages>4</Pages>
  <Words>562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4127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8</cp:revision>
  <cp:lastPrinted>2015-09-15T12:26:00Z</cp:lastPrinted>
  <dcterms:created xsi:type="dcterms:W3CDTF">2015-09-10T12:50:00Z</dcterms:created>
  <dcterms:modified xsi:type="dcterms:W3CDTF">2015-09-15T12:27:00Z</dcterms:modified>
</cp:coreProperties>
</file>