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A1" w:rsidRDefault="00F014A1">
      <w:pPr>
        <w:rPr>
          <w:b/>
          <w:sz w:val="24"/>
          <w:u w:val="single"/>
        </w:rPr>
      </w:pPr>
    </w:p>
    <w:p w:rsidR="00B54B55" w:rsidRPr="00B54B55" w:rsidRDefault="00B54B55" w:rsidP="00B54B55">
      <w:pPr>
        <w:widowControl w:val="0"/>
        <w:jc w:val="center"/>
        <w:rPr>
          <w:rFonts w:eastAsia="Times New Roman"/>
          <w:b/>
          <w:sz w:val="24"/>
        </w:rPr>
      </w:pPr>
      <w:r w:rsidRPr="00B54B55">
        <w:rPr>
          <w:rFonts w:eastAsia="Times New Roman"/>
          <w:b/>
          <w:sz w:val="24"/>
        </w:rPr>
        <w:t>BEFORE</w:t>
      </w:r>
    </w:p>
    <w:p w:rsidR="00B54B55" w:rsidRPr="00B54B55" w:rsidRDefault="00B54B55" w:rsidP="00B54B55">
      <w:pPr>
        <w:widowControl w:val="0"/>
        <w:spacing w:after="200" w:line="276" w:lineRule="auto"/>
        <w:jc w:val="center"/>
        <w:rPr>
          <w:rFonts w:eastAsia="Calibri"/>
          <w:b/>
          <w:sz w:val="24"/>
        </w:rPr>
      </w:pPr>
      <w:r w:rsidRPr="00B54B55">
        <w:rPr>
          <w:rFonts w:eastAsia="Calibri"/>
          <w:b/>
          <w:sz w:val="24"/>
        </w:rPr>
        <w:t>THE PUBLIC UTILITIES COMMISSION OF OHIO</w:t>
      </w:r>
    </w:p>
    <w:tbl>
      <w:tblPr>
        <w:tblW w:w="0" w:type="auto"/>
        <w:jc w:val="center"/>
        <w:tblInd w:w="-315" w:type="dxa"/>
        <w:tblLook w:val="01E0" w:firstRow="1" w:lastRow="1" w:firstColumn="1" w:lastColumn="1" w:noHBand="0" w:noVBand="0"/>
      </w:tblPr>
      <w:tblGrid>
        <w:gridCol w:w="4739"/>
        <w:gridCol w:w="630"/>
        <w:gridCol w:w="3928"/>
      </w:tblGrid>
      <w:tr w:rsidR="00B54B55" w:rsidRPr="00B54B55" w:rsidTr="003558B0">
        <w:trPr>
          <w:trHeight w:val="873"/>
          <w:jc w:val="center"/>
        </w:trPr>
        <w:tc>
          <w:tcPr>
            <w:tcW w:w="4739" w:type="dxa"/>
          </w:tcPr>
          <w:p w:rsidR="00B54B55" w:rsidRPr="00B54B55" w:rsidRDefault="00B54B55" w:rsidP="00B54B55">
            <w:pPr>
              <w:autoSpaceDE w:val="0"/>
              <w:autoSpaceDN w:val="0"/>
              <w:adjustRightInd w:val="0"/>
              <w:jc w:val="left"/>
              <w:rPr>
                <w:rFonts w:eastAsia="Calibri"/>
                <w:sz w:val="24"/>
              </w:rPr>
            </w:pPr>
            <w:r w:rsidRPr="00B54B55">
              <w:rPr>
                <w:rFonts w:eastAsia="Calibri"/>
                <w:sz w:val="24"/>
              </w:rPr>
              <w:t>In the Matter of the Application of Ohio</w:t>
            </w:r>
          </w:p>
          <w:p w:rsidR="00B54B55" w:rsidRPr="00B54B55" w:rsidRDefault="00B54B55" w:rsidP="00B54B55">
            <w:pPr>
              <w:autoSpaceDE w:val="0"/>
              <w:autoSpaceDN w:val="0"/>
              <w:adjustRightInd w:val="0"/>
              <w:jc w:val="left"/>
              <w:rPr>
                <w:rFonts w:eastAsia="Calibri"/>
                <w:sz w:val="24"/>
              </w:rPr>
            </w:pPr>
            <w:r w:rsidRPr="00B54B55">
              <w:rPr>
                <w:rFonts w:eastAsia="Calibri"/>
                <w:sz w:val="24"/>
              </w:rPr>
              <w:t>Edison Company, The Cleveland Electric</w:t>
            </w:r>
          </w:p>
          <w:p w:rsidR="00B54B55" w:rsidRPr="00B54B55" w:rsidRDefault="00B54B55" w:rsidP="00B54B55">
            <w:pPr>
              <w:autoSpaceDE w:val="0"/>
              <w:autoSpaceDN w:val="0"/>
              <w:adjustRightInd w:val="0"/>
              <w:jc w:val="left"/>
              <w:rPr>
                <w:rFonts w:eastAsia="Calibri"/>
                <w:sz w:val="24"/>
              </w:rPr>
            </w:pPr>
            <w:r w:rsidRPr="00B54B55">
              <w:rPr>
                <w:rFonts w:eastAsia="Calibri"/>
                <w:sz w:val="24"/>
              </w:rPr>
              <w:t>Illuminating Company and The Toledo</w:t>
            </w:r>
          </w:p>
          <w:p w:rsidR="00B54B55" w:rsidRPr="00B54B55" w:rsidRDefault="00B54B55" w:rsidP="00B54B55">
            <w:pPr>
              <w:autoSpaceDE w:val="0"/>
              <w:autoSpaceDN w:val="0"/>
              <w:adjustRightInd w:val="0"/>
              <w:jc w:val="left"/>
              <w:rPr>
                <w:rFonts w:eastAsia="Calibri"/>
                <w:sz w:val="24"/>
              </w:rPr>
            </w:pPr>
            <w:r w:rsidRPr="00B54B55">
              <w:rPr>
                <w:rFonts w:eastAsia="Calibri"/>
                <w:sz w:val="24"/>
              </w:rPr>
              <w:t>Edison Company for Authority to Provide</w:t>
            </w:r>
          </w:p>
          <w:p w:rsidR="00B54B55" w:rsidRPr="00B54B55" w:rsidRDefault="00B54B55" w:rsidP="00B54B55">
            <w:pPr>
              <w:autoSpaceDE w:val="0"/>
              <w:autoSpaceDN w:val="0"/>
              <w:adjustRightInd w:val="0"/>
              <w:jc w:val="left"/>
              <w:rPr>
                <w:rFonts w:eastAsia="Calibri"/>
                <w:sz w:val="24"/>
              </w:rPr>
            </w:pPr>
            <w:r w:rsidRPr="00B54B55">
              <w:rPr>
                <w:rFonts w:eastAsia="Calibri"/>
                <w:sz w:val="24"/>
              </w:rPr>
              <w:t>for a Standard Service Offer Pursuant to R.C. 4928.143 in the Form of an Electric Security Plan</w:t>
            </w:r>
          </w:p>
        </w:tc>
        <w:tc>
          <w:tcPr>
            <w:tcW w:w="630" w:type="dxa"/>
          </w:tcPr>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center"/>
              <w:rPr>
                <w:rFonts w:eastAsia="Calibri"/>
                <w:sz w:val="24"/>
              </w:rPr>
            </w:pPr>
            <w:r w:rsidRPr="00B54B55">
              <w:rPr>
                <w:rFonts w:eastAsia="Calibri"/>
                <w:sz w:val="24"/>
              </w:rPr>
              <w:t>)</w:t>
            </w:r>
          </w:p>
          <w:p w:rsidR="00B54B55" w:rsidRPr="00B54B55" w:rsidRDefault="00B54B55" w:rsidP="00B54B55">
            <w:pPr>
              <w:widowControl w:val="0"/>
              <w:jc w:val="left"/>
              <w:rPr>
                <w:rFonts w:eastAsia="Calibri"/>
                <w:sz w:val="24"/>
              </w:rPr>
            </w:pPr>
          </w:p>
        </w:tc>
        <w:tc>
          <w:tcPr>
            <w:tcW w:w="3928" w:type="dxa"/>
          </w:tcPr>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r w:rsidRPr="00B54B55">
              <w:rPr>
                <w:rFonts w:eastAsia="Calibri"/>
                <w:sz w:val="24"/>
              </w:rPr>
              <w:t>Case No. 14-1297-EL-SSO</w:t>
            </w: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p w:rsidR="00B54B55" w:rsidRPr="00B54B55" w:rsidRDefault="00B54B55" w:rsidP="00B54B55">
            <w:pPr>
              <w:widowControl w:val="0"/>
              <w:jc w:val="left"/>
              <w:rPr>
                <w:rFonts w:eastAsia="Calibri"/>
                <w:sz w:val="24"/>
              </w:rPr>
            </w:pPr>
          </w:p>
        </w:tc>
      </w:tr>
    </w:tbl>
    <w:p w:rsidR="00B54B55" w:rsidRPr="00B54B55" w:rsidRDefault="00B54B55" w:rsidP="00B54B55">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B54B55" w:rsidP="00B54B55">
      <w:pPr>
        <w:spacing w:after="200" w:line="276" w:lineRule="auto"/>
        <w:jc w:val="center"/>
        <w:rPr>
          <w:rFonts w:eastAsia="Calibri"/>
          <w:b/>
          <w:bCs/>
          <w:sz w:val="24"/>
        </w:rPr>
      </w:pPr>
    </w:p>
    <w:p w:rsidR="00B54B55" w:rsidRPr="00B54B55" w:rsidRDefault="00B54B55" w:rsidP="00B54B55">
      <w:pPr>
        <w:spacing w:after="200" w:line="276" w:lineRule="auto"/>
        <w:jc w:val="center"/>
        <w:rPr>
          <w:rFonts w:eastAsia="Calibri"/>
          <w:b/>
          <w:bCs/>
          <w:sz w:val="24"/>
        </w:rPr>
      </w:pPr>
      <w:proofErr w:type="gramStart"/>
      <w:r>
        <w:rPr>
          <w:rFonts w:eastAsia="Calibri"/>
          <w:b/>
          <w:bCs/>
          <w:sz w:val="24"/>
        </w:rPr>
        <w:t>REPLY OF INTERSTATE GAS SUPPLY, INC.</w:t>
      </w:r>
      <w:proofErr w:type="gramEnd"/>
    </w:p>
    <w:p w:rsidR="00B54B55" w:rsidRPr="00B54B55" w:rsidRDefault="00B54B55" w:rsidP="00B54B55">
      <w:pPr>
        <w:spacing w:after="200" w:line="276" w:lineRule="auto"/>
        <w:jc w:val="center"/>
        <w:rPr>
          <w:rFonts w:eastAsia="Calibri"/>
          <w:b/>
          <w:bCs/>
          <w:sz w:val="24"/>
        </w:rPr>
      </w:pPr>
      <w:r w:rsidRPr="00B54B55">
        <w:rPr>
          <w:rFonts w:eastAsia="Calibri"/>
          <w:b/>
          <w:bCs/>
          <w:sz w:val="24"/>
        </w:rPr>
        <w:t>______________________________________</w:t>
      </w:r>
    </w:p>
    <w:p w:rsidR="00B54B55" w:rsidRPr="00B54B55" w:rsidRDefault="00B54B55" w:rsidP="00B54B55">
      <w:pPr>
        <w:spacing w:after="200" w:line="276" w:lineRule="auto"/>
        <w:rPr>
          <w:rFonts w:eastAsia="Calibri"/>
          <w:b/>
          <w:bCs/>
          <w:sz w:val="24"/>
        </w:rPr>
      </w:pPr>
    </w:p>
    <w:p w:rsidR="00B54B55" w:rsidRPr="00B54B55" w:rsidRDefault="00B54B55" w:rsidP="00B54B55">
      <w:pPr>
        <w:spacing w:after="200" w:line="276" w:lineRule="auto"/>
        <w:jc w:val="center"/>
        <w:rPr>
          <w:rFonts w:eastAsia="Calibri"/>
          <w:bCs/>
          <w:sz w:val="24"/>
        </w:rPr>
      </w:pPr>
      <w:proofErr w:type="gramStart"/>
      <w:r w:rsidRPr="00B54B55">
        <w:rPr>
          <w:rFonts w:eastAsia="Calibri"/>
          <w:bCs/>
          <w:sz w:val="24"/>
        </w:rPr>
        <w:t xml:space="preserve">On behalf of </w:t>
      </w:r>
      <w:r w:rsidRPr="00B54B55">
        <w:rPr>
          <w:rFonts w:eastAsia="Calibri"/>
          <w:sz w:val="24"/>
        </w:rPr>
        <w:t>Interstate Gas Supply, Inc.</w:t>
      </w:r>
      <w:proofErr w:type="gramEnd"/>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B54B55" w:rsidRDefault="00B54B55">
      <w:pPr>
        <w:rPr>
          <w:b/>
          <w:sz w:val="24"/>
          <w:u w:val="single"/>
        </w:rPr>
      </w:pPr>
    </w:p>
    <w:p w:rsidR="00F40E07" w:rsidRDefault="00F40E07">
      <w:pPr>
        <w:rPr>
          <w:b/>
          <w:sz w:val="24"/>
          <w:u w:val="single"/>
        </w:rPr>
      </w:pPr>
    </w:p>
    <w:p w:rsidR="00EE1363" w:rsidRDefault="00536BA7">
      <w:pPr>
        <w:rPr>
          <w:b/>
          <w:sz w:val="24"/>
          <w:u w:val="single"/>
        </w:rPr>
      </w:pPr>
      <w:r>
        <w:rPr>
          <w:b/>
          <w:sz w:val="24"/>
        </w:rPr>
        <w:lastRenderedPageBreak/>
        <w:t xml:space="preserve">I. </w:t>
      </w:r>
      <w:r w:rsidR="00EE1363">
        <w:rPr>
          <w:b/>
          <w:sz w:val="24"/>
          <w:u w:val="single"/>
        </w:rPr>
        <w:t>INTRODUCTION</w:t>
      </w:r>
    </w:p>
    <w:p w:rsidR="00EE1363" w:rsidRDefault="00EE1363">
      <w:pPr>
        <w:rPr>
          <w:b/>
          <w:sz w:val="24"/>
        </w:rPr>
      </w:pPr>
      <w:r>
        <w:rPr>
          <w:b/>
          <w:sz w:val="24"/>
        </w:rPr>
        <w:tab/>
      </w:r>
    </w:p>
    <w:p w:rsidR="003E0C49" w:rsidRDefault="00EE1363" w:rsidP="00C10EA8">
      <w:pPr>
        <w:spacing w:line="480" w:lineRule="auto"/>
        <w:ind w:firstLine="720"/>
        <w:rPr>
          <w:sz w:val="24"/>
        </w:rPr>
      </w:pPr>
      <w:r>
        <w:rPr>
          <w:sz w:val="24"/>
        </w:rPr>
        <w:t>Ohio Edison Company, Toledo Edison Company</w:t>
      </w:r>
      <w:r w:rsidRPr="00594202">
        <w:rPr>
          <w:sz w:val="24"/>
        </w:rPr>
        <w:t>, and Cleveland Electric Illuminating Company</w:t>
      </w:r>
      <w:r>
        <w:rPr>
          <w:sz w:val="24"/>
        </w:rPr>
        <w:t xml:space="preserve"> (collectively “FirstEnergy”)</w:t>
      </w:r>
      <w:r w:rsidR="00237EF0">
        <w:rPr>
          <w:sz w:val="24"/>
        </w:rPr>
        <w:t xml:space="preserve"> filed an interlocutory</w:t>
      </w:r>
      <w:r w:rsidR="00C10EA8">
        <w:rPr>
          <w:sz w:val="24"/>
        </w:rPr>
        <w:t xml:space="preserve"> </w:t>
      </w:r>
      <w:r>
        <w:rPr>
          <w:sz w:val="24"/>
        </w:rPr>
        <w:t>appeal</w:t>
      </w:r>
      <w:r w:rsidR="00237EF0">
        <w:rPr>
          <w:sz w:val="24"/>
        </w:rPr>
        <w:t xml:space="preserve"> (“appeal”) regarding</w:t>
      </w:r>
      <w:r>
        <w:rPr>
          <w:sz w:val="24"/>
        </w:rPr>
        <w:t xml:space="preserve"> an Attorney Examiner ruling denying its oral m</w:t>
      </w:r>
      <w:r w:rsidR="00AC5858">
        <w:rPr>
          <w:sz w:val="24"/>
        </w:rPr>
        <w:t>otion to strike portio</w:t>
      </w:r>
      <w:r w:rsidR="00531315">
        <w:rPr>
          <w:sz w:val="24"/>
        </w:rPr>
        <w:t>ns of the testimony of I</w:t>
      </w:r>
      <w:r>
        <w:rPr>
          <w:sz w:val="24"/>
        </w:rPr>
        <w:t>nterstate Gas Supply, Inc. (“IGS”) w</w:t>
      </w:r>
      <w:r w:rsidR="00C10EA8">
        <w:rPr>
          <w:sz w:val="24"/>
        </w:rPr>
        <w:t>it</w:t>
      </w:r>
      <w:r w:rsidR="00531315">
        <w:rPr>
          <w:sz w:val="24"/>
        </w:rPr>
        <w:t>ness White.  FirstEnergy takes issue with Mr. White White’s</w:t>
      </w:r>
      <w:r w:rsidR="00C10EA8">
        <w:rPr>
          <w:sz w:val="24"/>
        </w:rPr>
        <w:t xml:space="preserve"> reliance on testimony submitted </w:t>
      </w:r>
      <w:r w:rsidR="00AC5858">
        <w:rPr>
          <w:sz w:val="24"/>
        </w:rPr>
        <w:t>by</w:t>
      </w:r>
      <w:r w:rsidR="00C10EA8">
        <w:rPr>
          <w:sz w:val="24"/>
        </w:rPr>
        <w:t xml:space="preserve"> FirstEnergy’s General Counsel, Leila </w:t>
      </w:r>
      <w:proofErr w:type="spellStart"/>
      <w:r w:rsidR="00C10EA8">
        <w:rPr>
          <w:sz w:val="24"/>
        </w:rPr>
        <w:t>Vespoli</w:t>
      </w:r>
      <w:proofErr w:type="spellEnd"/>
      <w:r w:rsidR="003E0C49">
        <w:rPr>
          <w:sz w:val="24"/>
        </w:rPr>
        <w:t>, to the Ohio House</w:t>
      </w:r>
      <w:r w:rsidR="00233D14">
        <w:rPr>
          <w:sz w:val="24"/>
        </w:rPr>
        <w:t xml:space="preserve"> of Representatives</w:t>
      </w:r>
      <w:r w:rsidR="003E0C49">
        <w:rPr>
          <w:sz w:val="24"/>
        </w:rPr>
        <w:t xml:space="preserve"> Public Utilities Committee</w:t>
      </w:r>
      <w:r w:rsidR="00C10EA8">
        <w:rPr>
          <w:sz w:val="24"/>
        </w:rPr>
        <w:t>.</w:t>
      </w:r>
      <w:r w:rsidR="003E0C49">
        <w:rPr>
          <w:sz w:val="24"/>
        </w:rPr>
        <w:t xml:space="preserve">  </w:t>
      </w:r>
    </w:p>
    <w:p w:rsidR="00AC5858" w:rsidRPr="00AC5858" w:rsidRDefault="003E0C49" w:rsidP="00382605">
      <w:pPr>
        <w:spacing w:line="480" w:lineRule="auto"/>
        <w:ind w:firstLine="720"/>
        <w:rPr>
          <w:sz w:val="24"/>
        </w:rPr>
      </w:pPr>
      <w:r>
        <w:rPr>
          <w:sz w:val="24"/>
        </w:rPr>
        <w:t>Notably, FirstEnergy does not dispu</w:t>
      </w:r>
      <w:r w:rsidR="00382605">
        <w:rPr>
          <w:sz w:val="24"/>
        </w:rPr>
        <w:t xml:space="preserve">te the validity of Ms. </w:t>
      </w:r>
      <w:proofErr w:type="spellStart"/>
      <w:r w:rsidR="00382605">
        <w:rPr>
          <w:sz w:val="24"/>
        </w:rPr>
        <w:t>Vespoli’s</w:t>
      </w:r>
      <w:proofErr w:type="spellEnd"/>
      <w:r w:rsidR="00382605">
        <w:rPr>
          <w:sz w:val="24"/>
        </w:rPr>
        <w:t xml:space="preserve"> testimony.  Rather</w:t>
      </w:r>
      <w:r>
        <w:rPr>
          <w:sz w:val="24"/>
        </w:rPr>
        <w:t xml:space="preserve">, </w:t>
      </w:r>
      <w:r w:rsidR="00531315">
        <w:rPr>
          <w:sz w:val="24"/>
        </w:rPr>
        <w:t>FirstEnergy submits</w:t>
      </w:r>
      <w:r w:rsidR="00382605">
        <w:rPr>
          <w:sz w:val="24"/>
        </w:rPr>
        <w:t xml:space="preserve"> a technical (though incorrect) legal argument, claiming that</w:t>
      </w:r>
      <w:r w:rsidR="00233D14">
        <w:rPr>
          <w:sz w:val="24"/>
        </w:rPr>
        <w:t xml:space="preserve"> IGS did not</w:t>
      </w:r>
      <w:r w:rsidR="000C128D">
        <w:rPr>
          <w:sz w:val="24"/>
        </w:rPr>
        <w:t xml:space="preserve"> </w:t>
      </w:r>
      <w:r w:rsidR="00233D14">
        <w:rPr>
          <w:sz w:val="24"/>
        </w:rPr>
        <w:t xml:space="preserve">authenticate Ms. </w:t>
      </w:r>
      <w:proofErr w:type="spellStart"/>
      <w:r w:rsidR="000C128D">
        <w:rPr>
          <w:sz w:val="24"/>
        </w:rPr>
        <w:t>Vespoli’s</w:t>
      </w:r>
      <w:proofErr w:type="spellEnd"/>
      <w:r w:rsidR="00382605">
        <w:rPr>
          <w:sz w:val="24"/>
        </w:rPr>
        <w:t xml:space="preserve"> testimony </w:t>
      </w:r>
      <w:r w:rsidR="00233D14">
        <w:rPr>
          <w:sz w:val="24"/>
        </w:rPr>
        <w:t xml:space="preserve">because Mr. White’s </w:t>
      </w:r>
      <w:proofErr w:type="spellStart"/>
      <w:r w:rsidR="00233D14">
        <w:rPr>
          <w:sz w:val="24"/>
        </w:rPr>
        <w:t>prefiled</w:t>
      </w:r>
      <w:proofErr w:type="spellEnd"/>
      <w:r w:rsidR="00233D14">
        <w:rPr>
          <w:sz w:val="24"/>
        </w:rPr>
        <w:t xml:space="preserve"> testimony did not include a certified copy</w:t>
      </w:r>
      <w:r w:rsidR="00382605">
        <w:rPr>
          <w:sz w:val="24"/>
        </w:rPr>
        <w:t xml:space="preserve">.  </w:t>
      </w:r>
      <w:r>
        <w:rPr>
          <w:sz w:val="24"/>
        </w:rPr>
        <w:t>The Commission should deny Fi</w:t>
      </w:r>
      <w:r w:rsidR="00233D14">
        <w:rPr>
          <w:sz w:val="24"/>
        </w:rPr>
        <w:t>rstEnergy’s appeal.  The Attorney Examiners denial of FirstEnergy’s motion to strike</w:t>
      </w:r>
      <w:r w:rsidR="009A5AB4">
        <w:rPr>
          <w:sz w:val="24"/>
        </w:rPr>
        <w:t xml:space="preserve"> </w:t>
      </w:r>
      <w:r w:rsidR="00233D14">
        <w:rPr>
          <w:sz w:val="24"/>
        </w:rPr>
        <w:t>did not deviate</w:t>
      </w:r>
      <w:r w:rsidR="000C128D">
        <w:rPr>
          <w:sz w:val="24"/>
        </w:rPr>
        <w:t xml:space="preserve"> from precedent</w:t>
      </w:r>
      <w:r w:rsidR="00233D14">
        <w:rPr>
          <w:sz w:val="24"/>
        </w:rPr>
        <w:t>; thus</w:t>
      </w:r>
      <w:r w:rsidR="00237EF0">
        <w:rPr>
          <w:sz w:val="24"/>
        </w:rPr>
        <w:t>,</w:t>
      </w:r>
      <w:r w:rsidR="00233D14">
        <w:rPr>
          <w:sz w:val="24"/>
        </w:rPr>
        <w:t xml:space="preserve"> the Commission should not certify the appeal. And, even if the Commission</w:t>
      </w:r>
      <w:r w:rsidR="00237EF0">
        <w:rPr>
          <w:sz w:val="24"/>
        </w:rPr>
        <w:t xml:space="preserve"> certifies the appeal and</w:t>
      </w:r>
      <w:r w:rsidR="00233D14">
        <w:rPr>
          <w:sz w:val="24"/>
        </w:rPr>
        <w:t xml:space="preserve"> addresses FirstEnergy’s technical legal argument, it should be rejected </w:t>
      </w:r>
      <w:r w:rsidR="00237EF0">
        <w:rPr>
          <w:sz w:val="24"/>
        </w:rPr>
        <w:t>out of hand as inconsistent with Ohio law, precedent, and Commission practice</w:t>
      </w:r>
      <w:r w:rsidR="00233D14">
        <w:rPr>
          <w:sz w:val="24"/>
        </w:rPr>
        <w:t>.  Finally</w:t>
      </w:r>
      <w:r w:rsidR="000C128D">
        <w:rPr>
          <w:sz w:val="24"/>
        </w:rPr>
        <w:t>, FirstEnergy has failed to demonstrate prejudice</w:t>
      </w:r>
      <w:r w:rsidR="00233D14">
        <w:rPr>
          <w:sz w:val="24"/>
        </w:rPr>
        <w:t xml:space="preserve"> from the ruling</w:t>
      </w:r>
      <w:r w:rsidR="000C128D">
        <w:rPr>
          <w:sz w:val="24"/>
        </w:rPr>
        <w:t>.</w:t>
      </w:r>
    </w:p>
    <w:p w:rsidR="00EE1363" w:rsidRDefault="00EE1363">
      <w:pPr>
        <w:rPr>
          <w:b/>
          <w:sz w:val="24"/>
          <w:u w:val="single"/>
        </w:rPr>
      </w:pPr>
    </w:p>
    <w:p w:rsidR="00F64957" w:rsidRDefault="00536BA7" w:rsidP="00E43CDE">
      <w:pPr>
        <w:rPr>
          <w:b/>
          <w:sz w:val="24"/>
          <w:u w:val="single"/>
        </w:rPr>
      </w:pPr>
      <w:r>
        <w:rPr>
          <w:b/>
          <w:sz w:val="24"/>
        </w:rPr>
        <w:t xml:space="preserve">II. </w:t>
      </w:r>
      <w:r w:rsidR="00EE1363">
        <w:rPr>
          <w:b/>
          <w:sz w:val="24"/>
          <w:u w:val="single"/>
        </w:rPr>
        <w:t>BACKGROUND</w:t>
      </w:r>
      <w:r>
        <w:rPr>
          <w:b/>
          <w:sz w:val="24"/>
          <w:u w:val="single"/>
        </w:rPr>
        <w:t xml:space="preserve"> AND ARGUMENT</w:t>
      </w:r>
    </w:p>
    <w:p w:rsidR="00E43CDE" w:rsidRDefault="00E43CDE" w:rsidP="00E43CDE">
      <w:pPr>
        <w:rPr>
          <w:b/>
          <w:sz w:val="24"/>
          <w:u w:val="single"/>
        </w:rPr>
      </w:pPr>
    </w:p>
    <w:p w:rsidR="00EE1363" w:rsidRDefault="000C128D" w:rsidP="00382605">
      <w:pPr>
        <w:spacing w:line="480" w:lineRule="auto"/>
        <w:ind w:firstLine="720"/>
        <w:rPr>
          <w:sz w:val="24"/>
        </w:rPr>
      </w:pPr>
      <w:r>
        <w:rPr>
          <w:sz w:val="24"/>
        </w:rPr>
        <w:t>In its</w:t>
      </w:r>
      <w:r w:rsidR="00531BA8">
        <w:rPr>
          <w:sz w:val="24"/>
        </w:rPr>
        <w:t xml:space="preserve"> application to establish an electric security plan (“ESP”),</w:t>
      </w:r>
      <w:r>
        <w:rPr>
          <w:sz w:val="24"/>
        </w:rPr>
        <w:t xml:space="preserve"> FirstEnergy</w:t>
      </w:r>
      <w:r w:rsidR="00531BA8">
        <w:rPr>
          <w:sz w:val="24"/>
        </w:rPr>
        <w:t xml:space="preserve"> request</w:t>
      </w:r>
      <w:r>
        <w:rPr>
          <w:sz w:val="24"/>
        </w:rPr>
        <w:t>s</w:t>
      </w:r>
      <w:r w:rsidR="00531BA8">
        <w:rPr>
          <w:sz w:val="24"/>
        </w:rPr>
        <w:t xml:space="preserve"> approval of the deceptively named Retail Rate Stability (“RRS”) Rider. </w:t>
      </w:r>
      <w:r w:rsidR="00EE1363">
        <w:rPr>
          <w:sz w:val="24"/>
        </w:rPr>
        <w:t>Through a</w:t>
      </w:r>
      <w:r w:rsidR="00531BA8">
        <w:rPr>
          <w:sz w:val="24"/>
        </w:rPr>
        <w:t xml:space="preserve"> Stipulation and Recommendation </w:t>
      </w:r>
      <w:r w:rsidR="00EE1363">
        <w:rPr>
          <w:sz w:val="24"/>
        </w:rPr>
        <w:t>submitted on December 22, 2014</w:t>
      </w:r>
      <w:r w:rsidR="0004003B">
        <w:rPr>
          <w:sz w:val="24"/>
        </w:rPr>
        <w:t xml:space="preserve"> (“Stipulation”)</w:t>
      </w:r>
      <w:r w:rsidR="00EE1363">
        <w:rPr>
          <w:sz w:val="24"/>
        </w:rPr>
        <w:t xml:space="preserve">, FirstEnergy and others recommend </w:t>
      </w:r>
      <w:r w:rsidR="00531BA8">
        <w:rPr>
          <w:sz w:val="24"/>
        </w:rPr>
        <w:t>approval of the RRS</w:t>
      </w:r>
      <w:r w:rsidR="00EE1363">
        <w:rPr>
          <w:sz w:val="24"/>
        </w:rPr>
        <w:t>.</w:t>
      </w:r>
      <w:r w:rsidR="00531BA8">
        <w:rPr>
          <w:sz w:val="24"/>
        </w:rPr>
        <w:t xml:space="preserve">  </w:t>
      </w:r>
    </w:p>
    <w:p w:rsidR="002E0FEA" w:rsidRDefault="00382605" w:rsidP="00382605">
      <w:pPr>
        <w:spacing w:line="480" w:lineRule="auto"/>
        <w:ind w:firstLine="720"/>
        <w:rPr>
          <w:sz w:val="24"/>
        </w:rPr>
      </w:pPr>
      <w:r>
        <w:rPr>
          <w:sz w:val="24"/>
        </w:rPr>
        <w:lastRenderedPageBreak/>
        <w:t xml:space="preserve">In this proceeding, the Commission must determine whether the proposed </w:t>
      </w:r>
      <w:r w:rsidR="00923F8A">
        <w:rPr>
          <w:sz w:val="24"/>
        </w:rPr>
        <w:t xml:space="preserve">Stipulation </w:t>
      </w:r>
      <w:r>
        <w:rPr>
          <w:sz w:val="24"/>
        </w:rPr>
        <w:t xml:space="preserve">satisfies a three prong test, including whether the </w:t>
      </w:r>
      <w:r w:rsidR="005A2FEC">
        <w:rPr>
          <w:sz w:val="24"/>
        </w:rPr>
        <w:t xml:space="preserve">Stipulation </w:t>
      </w:r>
      <w:r>
        <w:rPr>
          <w:sz w:val="24"/>
        </w:rPr>
        <w:t>is in</w:t>
      </w:r>
      <w:r w:rsidR="00531315">
        <w:rPr>
          <w:sz w:val="24"/>
        </w:rPr>
        <w:t xml:space="preserve"> the public interest.  </w:t>
      </w:r>
      <w:r w:rsidR="00923F8A">
        <w:rPr>
          <w:sz w:val="24"/>
        </w:rPr>
        <w:t xml:space="preserve">In its testimony supporting the Stipulation FirstEnergy claims that adoption of the RRS is in the public interest.  Subsequently, </w:t>
      </w:r>
      <w:r w:rsidR="00531315">
        <w:rPr>
          <w:sz w:val="24"/>
        </w:rPr>
        <w:t>IGS witness White submitted testimony concluding</w:t>
      </w:r>
      <w:r>
        <w:rPr>
          <w:sz w:val="24"/>
        </w:rPr>
        <w:t xml:space="preserve"> that</w:t>
      </w:r>
      <w:r w:rsidR="00531315">
        <w:rPr>
          <w:sz w:val="24"/>
        </w:rPr>
        <w:t xml:space="preserve"> </w:t>
      </w:r>
      <w:r w:rsidR="00237EF0">
        <w:rPr>
          <w:sz w:val="24"/>
        </w:rPr>
        <w:t xml:space="preserve">the Stipulation—which </w:t>
      </w:r>
      <w:r w:rsidR="00923F8A">
        <w:rPr>
          <w:sz w:val="24"/>
        </w:rPr>
        <w:t>would approve the subsidization of approximately 3,000 MW of FirstEnergy Solutions</w:t>
      </w:r>
      <w:r w:rsidR="00237EF0">
        <w:rPr>
          <w:sz w:val="24"/>
        </w:rPr>
        <w:t>’</w:t>
      </w:r>
      <w:r w:rsidR="00923F8A">
        <w:rPr>
          <w:sz w:val="24"/>
        </w:rPr>
        <w:t xml:space="preserve"> (“F</w:t>
      </w:r>
      <w:r w:rsidR="00237EF0">
        <w:rPr>
          <w:sz w:val="24"/>
        </w:rPr>
        <w:t xml:space="preserve">ES”) competitive generation—is not </w:t>
      </w:r>
      <w:r w:rsidR="00923F8A">
        <w:rPr>
          <w:sz w:val="24"/>
        </w:rPr>
        <w:t xml:space="preserve">in the public </w:t>
      </w:r>
      <w:r w:rsidR="005A2FEC">
        <w:rPr>
          <w:sz w:val="24"/>
        </w:rPr>
        <w:t>interest</w:t>
      </w:r>
      <w:r w:rsidR="00531315">
        <w:rPr>
          <w:sz w:val="24"/>
        </w:rPr>
        <w:t xml:space="preserve">.  Moreover, </w:t>
      </w:r>
      <w:r w:rsidR="00923F8A">
        <w:rPr>
          <w:sz w:val="24"/>
        </w:rPr>
        <w:t xml:space="preserve">in his testimony Mr. White </w:t>
      </w:r>
      <w:r w:rsidR="00531315">
        <w:rPr>
          <w:sz w:val="24"/>
        </w:rPr>
        <w:t>indicated t</w:t>
      </w:r>
      <w:r w:rsidR="00367CF2">
        <w:rPr>
          <w:sz w:val="24"/>
        </w:rPr>
        <w:t>hat the Commission need not rely on his word alone</w:t>
      </w:r>
      <w:r w:rsidR="00923F8A">
        <w:rPr>
          <w:sz w:val="24"/>
        </w:rPr>
        <w:t>;</w:t>
      </w:r>
      <w:r w:rsidR="00367CF2">
        <w:rPr>
          <w:sz w:val="24"/>
        </w:rPr>
        <w:t xml:space="preserve"> </w:t>
      </w:r>
      <w:r w:rsidR="00531315">
        <w:rPr>
          <w:sz w:val="24"/>
        </w:rPr>
        <w:t xml:space="preserve">FirstEnergy’s own </w:t>
      </w:r>
      <w:r w:rsidR="00923F8A">
        <w:rPr>
          <w:sz w:val="24"/>
        </w:rPr>
        <w:t xml:space="preserve">recent </w:t>
      </w:r>
      <w:r w:rsidR="00531315">
        <w:rPr>
          <w:sz w:val="24"/>
        </w:rPr>
        <w:t>statements</w:t>
      </w:r>
      <w:r w:rsidR="00923F8A">
        <w:rPr>
          <w:sz w:val="24"/>
        </w:rPr>
        <w:t xml:space="preserve"> articulating the dangers of </w:t>
      </w:r>
      <w:r w:rsidR="0004003B">
        <w:rPr>
          <w:sz w:val="24"/>
        </w:rPr>
        <w:t>subsidizing gen</w:t>
      </w:r>
      <w:r w:rsidR="004A0CB7">
        <w:rPr>
          <w:sz w:val="24"/>
        </w:rPr>
        <w:t>eration in a competitive market</w:t>
      </w:r>
      <w:r w:rsidR="0004003B">
        <w:rPr>
          <w:sz w:val="24"/>
        </w:rPr>
        <w:t>place</w:t>
      </w:r>
      <w:r w:rsidR="00531315">
        <w:rPr>
          <w:sz w:val="24"/>
        </w:rPr>
        <w:t xml:space="preserve"> may be even more compelling.</w:t>
      </w:r>
      <w:r w:rsidR="002E0FEA">
        <w:rPr>
          <w:sz w:val="24"/>
        </w:rPr>
        <w:t xml:space="preserve">  </w:t>
      </w:r>
      <w:r w:rsidR="00531315">
        <w:rPr>
          <w:sz w:val="24"/>
        </w:rPr>
        <w:t xml:space="preserve">  </w:t>
      </w:r>
    </w:p>
    <w:p w:rsidR="00923F8A" w:rsidRDefault="005A2FEC" w:rsidP="009A5AB4">
      <w:pPr>
        <w:spacing w:line="480" w:lineRule="auto"/>
        <w:ind w:firstLine="720"/>
      </w:pPr>
      <w:r>
        <w:rPr>
          <w:sz w:val="24"/>
        </w:rPr>
        <w:t>B</w:t>
      </w:r>
      <w:r w:rsidR="000C128D">
        <w:rPr>
          <w:sz w:val="24"/>
        </w:rPr>
        <w:t>ased</w:t>
      </w:r>
      <w:r w:rsidR="0004003B">
        <w:rPr>
          <w:sz w:val="24"/>
        </w:rPr>
        <w:t xml:space="preserve"> on the</w:t>
      </w:r>
      <w:r w:rsidR="000C128D">
        <w:rPr>
          <w:sz w:val="24"/>
        </w:rPr>
        <w:t xml:space="preserve"> </w:t>
      </w:r>
      <w:r w:rsidR="0004003B">
        <w:rPr>
          <w:sz w:val="24"/>
        </w:rPr>
        <w:t>recent statements publicly filed by FirstEnergy at the Ohio House of Representative</w:t>
      </w:r>
      <w:r w:rsidR="000C128D">
        <w:rPr>
          <w:sz w:val="24"/>
        </w:rPr>
        <w:t>—</w:t>
      </w:r>
      <w:r w:rsidR="0004003B">
        <w:rPr>
          <w:sz w:val="24"/>
        </w:rPr>
        <w:t>statement</w:t>
      </w:r>
      <w:r w:rsidR="000C128D">
        <w:rPr>
          <w:sz w:val="24"/>
        </w:rPr>
        <w:t>s that are diametrically opposed to several aspects of the application at issue in this proceeding—</w:t>
      </w:r>
      <w:r w:rsidR="002E0FEA">
        <w:rPr>
          <w:sz w:val="24"/>
        </w:rPr>
        <w:t xml:space="preserve">FirstEnergy </w:t>
      </w:r>
      <w:r w:rsidR="000C128D">
        <w:rPr>
          <w:sz w:val="24"/>
        </w:rPr>
        <w:t xml:space="preserve">has a lot of explaining </w:t>
      </w:r>
      <w:r w:rsidR="00237EF0">
        <w:rPr>
          <w:sz w:val="24"/>
        </w:rPr>
        <w:t>to</w:t>
      </w:r>
      <w:r w:rsidR="000C128D">
        <w:rPr>
          <w:sz w:val="24"/>
        </w:rPr>
        <w:t xml:space="preserve"> do</w:t>
      </w:r>
      <w:r w:rsidR="0004003B">
        <w:rPr>
          <w:sz w:val="24"/>
        </w:rPr>
        <w:t>.  Specifically</w:t>
      </w:r>
      <w:r w:rsidR="00237EF0">
        <w:rPr>
          <w:sz w:val="24"/>
        </w:rPr>
        <w:t>,</w:t>
      </w:r>
      <w:r w:rsidR="0004003B">
        <w:rPr>
          <w:sz w:val="24"/>
        </w:rPr>
        <w:t xml:space="preserve"> as noted in Mr. White’s testimony</w:t>
      </w:r>
      <w:r>
        <w:rPr>
          <w:sz w:val="24"/>
        </w:rPr>
        <w:t xml:space="preserve"> (which FirstEnergy now seeks to strike)</w:t>
      </w:r>
      <w:r w:rsidR="0004003B">
        <w:rPr>
          <w:sz w:val="24"/>
        </w:rPr>
        <w:t xml:space="preserve"> FirstEnergy</w:t>
      </w:r>
      <w:r>
        <w:rPr>
          <w:sz w:val="24"/>
        </w:rPr>
        <w:t>’s Chief Legal Officer and Executive Vice President of Markets,</w:t>
      </w:r>
      <w:r w:rsidR="0004003B">
        <w:rPr>
          <w:sz w:val="24"/>
        </w:rPr>
        <w:t xml:space="preserve"> </w:t>
      </w:r>
      <w:r>
        <w:rPr>
          <w:sz w:val="24"/>
        </w:rPr>
        <w:t xml:space="preserve">filed testimony </w:t>
      </w:r>
      <w:r w:rsidRPr="009A5AB4">
        <w:rPr>
          <w:i/>
          <w:sz w:val="24"/>
        </w:rPr>
        <w:t>on behalf of FirstEnergy</w:t>
      </w:r>
      <w:r>
        <w:rPr>
          <w:sz w:val="24"/>
        </w:rPr>
        <w:t>,</w:t>
      </w:r>
      <w:r w:rsidR="0004003B">
        <w:rPr>
          <w:sz w:val="24"/>
        </w:rPr>
        <w:t xml:space="preserve"> </w:t>
      </w:r>
      <w:r>
        <w:rPr>
          <w:sz w:val="24"/>
        </w:rPr>
        <w:t>at</w:t>
      </w:r>
      <w:r w:rsidR="0004003B">
        <w:rPr>
          <w:sz w:val="24"/>
        </w:rPr>
        <w:t xml:space="preserve"> the Ohio House of Representatives</w:t>
      </w:r>
      <w:r>
        <w:rPr>
          <w:sz w:val="24"/>
        </w:rPr>
        <w:t xml:space="preserve"> stating</w:t>
      </w:r>
      <w:r w:rsidR="0004003B">
        <w:rPr>
          <w:sz w:val="24"/>
        </w:rPr>
        <w:t xml:space="preserve"> that:</w:t>
      </w:r>
    </w:p>
    <w:p w:rsidR="0004003B" w:rsidRDefault="00923F8A" w:rsidP="00923F8A">
      <w:pPr>
        <w:pStyle w:val="ListParagraph"/>
        <w:numPr>
          <w:ilvl w:val="0"/>
          <w:numId w:val="1"/>
        </w:numPr>
        <w:tabs>
          <w:tab w:val="left" w:pos="1080"/>
        </w:tabs>
        <w:rPr>
          <w:sz w:val="24"/>
        </w:rPr>
      </w:pPr>
      <w:r>
        <w:rPr>
          <w:sz w:val="24"/>
        </w:rPr>
        <w:t>“</w:t>
      </w:r>
      <w:r w:rsidRPr="00367CF2">
        <w:rPr>
          <w:sz w:val="24"/>
        </w:rPr>
        <w:t>The real problem with subsidized generation is that regulators would be picking the</w:t>
      </w:r>
      <w:r>
        <w:rPr>
          <w:sz w:val="24"/>
        </w:rPr>
        <w:t xml:space="preserve"> </w:t>
      </w:r>
      <w:r w:rsidRPr="00367CF2">
        <w:rPr>
          <w:sz w:val="24"/>
        </w:rPr>
        <w:t>“winners” and “losers” in the energy market. We’ve been down that road before, and the</w:t>
      </w:r>
      <w:r>
        <w:rPr>
          <w:sz w:val="24"/>
        </w:rPr>
        <w:t xml:space="preserve"> </w:t>
      </w:r>
      <w:r w:rsidRPr="00367CF2">
        <w:rPr>
          <w:sz w:val="24"/>
        </w:rPr>
        <w:t>results weren’t pretty. For example, in the past our utilities in Pennsylvania and New</w:t>
      </w:r>
      <w:r>
        <w:rPr>
          <w:sz w:val="24"/>
        </w:rPr>
        <w:t xml:space="preserve"> </w:t>
      </w:r>
      <w:r w:rsidRPr="00367CF2">
        <w:rPr>
          <w:sz w:val="24"/>
        </w:rPr>
        <w:t xml:space="preserve">Jersey were required to purchase power from </w:t>
      </w:r>
      <w:proofErr w:type="spellStart"/>
      <w:r w:rsidRPr="00367CF2">
        <w:rPr>
          <w:sz w:val="24"/>
        </w:rPr>
        <w:t>Non Utility</w:t>
      </w:r>
      <w:proofErr w:type="spellEnd"/>
      <w:r w:rsidRPr="00367CF2">
        <w:rPr>
          <w:sz w:val="24"/>
        </w:rPr>
        <w:t xml:space="preserve"> Generators, with contracts</w:t>
      </w:r>
      <w:r>
        <w:rPr>
          <w:sz w:val="24"/>
        </w:rPr>
        <w:t xml:space="preserve"> </w:t>
      </w:r>
      <w:r w:rsidRPr="00367CF2">
        <w:rPr>
          <w:sz w:val="24"/>
        </w:rPr>
        <w:t>extending up to two or three decades. In our Pennsylvania service area alone, customers</w:t>
      </w:r>
      <w:r>
        <w:rPr>
          <w:sz w:val="24"/>
        </w:rPr>
        <w:t xml:space="preserve"> </w:t>
      </w:r>
      <w:r w:rsidRPr="00367CF2">
        <w:rPr>
          <w:sz w:val="24"/>
        </w:rPr>
        <w:t>have paid $1.5 billion over market prices for this subsidized generation. At a time when</w:t>
      </w:r>
      <w:r>
        <w:rPr>
          <w:sz w:val="24"/>
        </w:rPr>
        <w:t xml:space="preserve"> </w:t>
      </w:r>
      <w:r w:rsidRPr="00367CF2">
        <w:rPr>
          <w:sz w:val="24"/>
        </w:rPr>
        <w:t>Ohio is exploring every opportunity to create jobs and grow our economy, we simply</w:t>
      </w:r>
      <w:r w:rsidRPr="00367CF2">
        <w:t xml:space="preserve"> </w:t>
      </w:r>
      <w:r w:rsidRPr="00367CF2">
        <w:rPr>
          <w:sz w:val="24"/>
        </w:rPr>
        <w:t>cannot afford similar missteps that would saddle our customers with higher-than-market</w:t>
      </w:r>
      <w:r>
        <w:rPr>
          <w:sz w:val="24"/>
        </w:rPr>
        <w:t xml:space="preserve"> </w:t>
      </w:r>
      <w:r w:rsidRPr="00367CF2">
        <w:rPr>
          <w:sz w:val="24"/>
        </w:rPr>
        <w:t>prices for electricity.</w:t>
      </w:r>
      <w:r>
        <w:rPr>
          <w:sz w:val="24"/>
        </w:rPr>
        <w:t>”</w:t>
      </w:r>
    </w:p>
    <w:p w:rsidR="00923F8A" w:rsidRPr="005A2FEC" w:rsidRDefault="0004003B" w:rsidP="005A2FEC">
      <w:pPr>
        <w:pStyle w:val="ListParagraph"/>
        <w:numPr>
          <w:ilvl w:val="0"/>
          <w:numId w:val="1"/>
        </w:numPr>
        <w:tabs>
          <w:tab w:val="left" w:pos="1080"/>
        </w:tabs>
        <w:rPr>
          <w:sz w:val="24"/>
        </w:rPr>
      </w:pPr>
      <w:r>
        <w:rPr>
          <w:sz w:val="24"/>
        </w:rPr>
        <w:t>“</w:t>
      </w:r>
      <w:r w:rsidRPr="00367CF2">
        <w:rPr>
          <w:sz w:val="24"/>
        </w:rPr>
        <w:t>We’re also concerned about any effort to subsidize certain generating facilities. Much of</w:t>
      </w:r>
      <w:r>
        <w:rPr>
          <w:sz w:val="24"/>
        </w:rPr>
        <w:t xml:space="preserve"> </w:t>
      </w:r>
      <w:r w:rsidRPr="00367CF2">
        <w:rPr>
          <w:sz w:val="24"/>
        </w:rPr>
        <w:t>the rhetoric around these efforts involves a misguided notion of Ohio’s energy security –</w:t>
      </w:r>
      <w:r w:rsidRPr="00367CF2">
        <w:t xml:space="preserve"> </w:t>
      </w:r>
      <w:r w:rsidRPr="00367CF2">
        <w:rPr>
          <w:sz w:val="24"/>
        </w:rPr>
        <w:t>that our state could experience outages if it doesn’t generate as much energy as it</w:t>
      </w:r>
      <w:r>
        <w:rPr>
          <w:sz w:val="24"/>
        </w:rPr>
        <w:t xml:space="preserve"> </w:t>
      </w:r>
      <w:r w:rsidRPr="00367CF2">
        <w:rPr>
          <w:sz w:val="24"/>
        </w:rPr>
        <w:t xml:space="preserve">consumes. This notion simply </w:t>
      </w:r>
      <w:r w:rsidRPr="00367CF2">
        <w:rPr>
          <w:sz w:val="24"/>
        </w:rPr>
        <w:lastRenderedPageBreak/>
        <w:t>ignores how the electric</w:t>
      </w:r>
      <w:r>
        <w:rPr>
          <w:sz w:val="24"/>
        </w:rPr>
        <w:t xml:space="preserve"> </w:t>
      </w:r>
      <w:r w:rsidRPr="00367CF2">
        <w:rPr>
          <w:sz w:val="24"/>
        </w:rPr>
        <w:t>grid operates, and how competitive markets always secure generation from the lowest-cost sources – no matter where they are located.</w:t>
      </w:r>
      <w:r>
        <w:rPr>
          <w:sz w:val="24"/>
        </w:rPr>
        <w:t>”</w:t>
      </w:r>
    </w:p>
    <w:p w:rsidR="00367CF2" w:rsidRDefault="00367CF2" w:rsidP="00367CF2">
      <w:pPr>
        <w:pStyle w:val="ListParagraph"/>
        <w:numPr>
          <w:ilvl w:val="0"/>
          <w:numId w:val="1"/>
        </w:numPr>
        <w:tabs>
          <w:tab w:val="left" w:pos="1080"/>
        </w:tabs>
        <w:rPr>
          <w:sz w:val="24"/>
        </w:rPr>
      </w:pPr>
      <w:r w:rsidRPr="00367CF2">
        <w:rPr>
          <w:sz w:val="24"/>
        </w:rPr>
        <w:t>“Regarding competitive markets for electric generation, we already know that they work because these markets have resulted in lower electric generation prices and less risk for Ohio customers.</w:t>
      </w:r>
      <w:r>
        <w:rPr>
          <w:sz w:val="24"/>
        </w:rPr>
        <w:t>”</w:t>
      </w:r>
    </w:p>
    <w:p w:rsidR="00367CF2" w:rsidRDefault="00367CF2" w:rsidP="00367CF2">
      <w:pPr>
        <w:pStyle w:val="ListParagraph"/>
        <w:numPr>
          <w:ilvl w:val="0"/>
          <w:numId w:val="1"/>
        </w:numPr>
        <w:tabs>
          <w:tab w:val="left" w:pos="1080"/>
        </w:tabs>
        <w:rPr>
          <w:sz w:val="24"/>
        </w:rPr>
      </w:pPr>
      <w:r>
        <w:rPr>
          <w:sz w:val="24"/>
        </w:rPr>
        <w:t>“</w:t>
      </w:r>
      <w:r w:rsidR="00237EF0">
        <w:rPr>
          <w:sz w:val="24"/>
        </w:rPr>
        <w:t>C</w:t>
      </w:r>
      <w:r w:rsidRPr="00367CF2">
        <w:rPr>
          <w:sz w:val="24"/>
        </w:rPr>
        <w:t>ompetitive markets for electric</w:t>
      </w:r>
      <w:r>
        <w:rPr>
          <w:sz w:val="24"/>
        </w:rPr>
        <w:t xml:space="preserve"> </w:t>
      </w:r>
      <w:r w:rsidRPr="00367CF2">
        <w:rPr>
          <w:sz w:val="24"/>
        </w:rPr>
        <w:t>generation, instead of utility monopolies, would drive innovation, efficiency and investment – and, most important, deliver the lowest price to customers over time.</w:t>
      </w:r>
      <w:r>
        <w:rPr>
          <w:sz w:val="24"/>
        </w:rPr>
        <w:t>”</w:t>
      </w:r>
    </w:p>
    <w:p w:rsidR="00367CF2" w:rsidRDefault="00367CF2" w:rsidP="00367CF2">
      <w:pPr>
        <w:pStyle w:val="ListParagraph"/>
        <w:numPr>
          <w:ilvl w:val="0"/>
          <w:numId w:val="1"/>
        </w:numPr>
        <w:tabs>
          <w:tab w:val="left" w:pos="1080"/>
        </w:tabs>
        <w:rPr>
          <w:sz w:val="24"/>
        </w:rPr>
      </w:pPr>
      <w:r>
        <w:rPr>
          <w:sz w:val="24"/>
        </w:rPr>
        <w:t xml:space="preserve">“But </w:t>
      </w:r>
      <w:r w:rsidRPr="00367CF2">
        <w:rPr>
          <w:sz w:val="24"/>
        </w:rPr>
        <w:t>more important, all of our generation-related investments – including the risks that</w:t>
      </w:r>
      <w:r>
        <w:rPr>
          <w:sz w:val="24"/>
        </w:rPr>
        <w:t xml:space="preserve"> </w:t>
      </w:r>
      <w:r w:rsidRPr="00367CF2">
        <w:rPr>
          <w:sz w:val="24"/>
        </w:rPr>
        <w:t>accompany them – are now borne by our shareholders, not by customers.</w:t>
      </w:r>
      <w:r>
        <w:rPr>
          <w:sz w:val="24"/>
        </w:rPr>
        <w:t>”</w:t>
      </w:r>
    </w:p>
    <w:p w:rsidR="00367CF2" w:rsidRDefault="00367CF2" w:rsidP="00367CF2">
      <w:pPr>
        <w:pStyle w:val="ListParagraph"/>
        <w:numPr>
          <w:ilvl w:val="0"/>
          <w:numId w:val="1"/>
        </w:numPr>
        <w:tabs>
          <w:tab w:val="left" w:pos="1080"/>
        </w:tabs>
        <w:rPr>
          <w:sz w:val="24"/>
        </w:rPr>
      </w:pPr>
      <w:r>
        <w:rPr>
          <w:sz w:val="24"/>
        </w:rPr>
        <w:t>“</w:t>
      </w:r>
      <w:r w:rsidRPr="00367CF2">
        <w:rPr>
          <w:sz w:val="24"/>
        </w:rPr>
        <w:t>Since 1999, our competitive subsidiary, FirstEnergy Solutions, has invested nearly</w:t>
      </w:r>
      <w:r w:rsidR="00531315">
        <w:rPr>
          <w:sz w:val="24"/>
        </w:rPr>
        <w:t xml:space="preserve"> </w:t>
      </w:r>
      <w:r w:rsidRPr="00367CF2">
        <w:rPr>
          <w:sz w:val="24"/>
        </w:rPr>
        <w:t>$6.4 billion in its generating fleet while adding more than 900 megawatts of power.</w:t>
      </w:r>
      <w:r>
        <w:rPr>
          <w:sz w:val="24"/>
        </w:rPr>
        <w:t xml:space="preserve"> </w:t>
      </w:r>
      <w:r w:rsidRPr="00367CF2">
        <w:rPr>
          <w:sz w:val="24"/>
        </w:rPr>
        <w:t xml:space="preserve">That’s the equivalent of a large, </w:t>
      </w:r>
      <w:proofErr w:type="spellStart"/>
      <w:r w:rsidRPr="00367CF2">
        <w:rPr>
          <w:sz w:val="24"/>
        </w:rPr>
        <w:t>baseload</w:t>
      </w:r>
      <w:proofErr w:type="spellEnd"/>
      <w:r w:rsidRPr="00367CF2">
        <w:rPr>
          <w:sz w:val="24"/>
        </w:rPr>
        <w:t xml:space="preserve"> power plant – and, once again, we’ve brought</w:t>
      </w:r>
      <w:r>
        <w:rPr>
          <w:sz w:val="24"/>
        </w:rPr>
        <w:t xml:space="preserve"> </w:t>
      </w:r>
      <w:r w:rsidRPr="00367CF2">
        <w:rPr>
          <w:sz w:val="24"/>
        </w:rPr>
        <w:t xml:space="preserve">that additional capacity online </w:t>
      </w:r>
      <w:r w:rsidRPr="00531315">
        <w:rPr>
          <w:i/>
          <w:sz w:val="24"/>
        </w:rPr>
        <w:t>at no risk to customers.</w:t>
      </w:r>
      <w:r>
        <w:rPr>
          <w:sz w:val="24"/>
        </w:rPr>
        <w:t>”</w:t>
      </w:r>
    </w:p>
    <w:p w:rsidR="00367CF2" w:rsidRPr="00367CF2" w:rsidRDefault="00367CF2" w:rsidP="00367CF2">
      <w:pPr>
        <w:pStyle w:val="ListParagraph"/>
        <w:numPr>
          <w:ilvl w:val="0"/>
          <w:numId w:val="1"/>
        </w:numPr>
        <w:tabs>
          <w:tab w:val="left" w:pos="1080"/>
        </w:tabs>
        <w:rPr>
          <w:sz w:val="24"/>
        </w:rPr>
      </w:pPr>
      <w:r>
        <w:rPr>
          <w:sz w:val="24"/>
        </w:rPr>
        <w:t>“</w:t>
      </w:r>
      <w:r w:rsidRPr="00367CF2">
        <w:rPr>
          <w:sz w:val="24"/>
        </w:rPr>
        <w:t>Even if Ohio’s energy security were an issue – which it is not – our state imports less</w:t>
      </w:r>
      <w:r>
        <w:rPr>
          <w:sz w:val="24"/>
        </w:rPr>
        <w:t xml:space="preserve"> </w:t>
      </w:r>
      <w:r w:rsidRPr="00367CF2">
        <w:rPr>
          <w:sz w:val="24"/>
        </w:rPr>
        <w:t>electricity today than it did under the previous regulated model, largely due to the significant amount of generation that has been added since competitive markets were established in Ohio. From 2005 to 2009, Ohio imported an average of 10 percent of its total electricity needs, compared with 17 percent in 1990.</w:t>
      </w:r>
      <w:r>
        <w:rPr>
          <w:sz w:val="24"/>
        </w:rPr>
        <w:t>”</w:t>
      </w:r>
    </w:p>
    <w:p w:rsidR="0004003B" w:rsidRDefault="00367CF2" w:rsidP="009A5AB4">
      <w:pPr>
        <w:pStyle w:val="ListParagraph"/>
        <w:numPr>
          <w:ilvl w:val="0"/>
          <w:numId w:val="1"/>
        </w:numPr>
        <w:tabs>
          <w:tab w:val="left" w:pos="1080"/>
        </w:tabs>
        <w:rPr>
          <w:sz w:val="24"/>
        </w:rPr>
      </w:pPr>
      <w:r>
        <w:rPr>
          <w:sz w:val="24"/>
        </w:rPr>
        <w:t>“</w:t>
      </w:r>
      <w:r w:rsidRPr="00367CF2">
        <w:rPr>
          <w:sz w:val="24"/>
        </w:rPr>
        <w:t>Let me offer a final example of the unintended conseq</w:t>
      </w:r>
      <w:r>
        <w:rPr>
          <w:sz w:val="24"/>
        </w:rPr>
        <w:t xml:space="preserve">uences of subsidized generation.  </w:t>
      </w:r>
      <w:r w:rsidRPr="00367CF2">
        <w:rPr>
          <w:sz w:val="24"/>
        </w:rPr>
        <w:t>FirstEnergy Solutions is currently reviewing a plan to transform an old limestone mine in</w:t>
      </w:r>
      <w:r>
        <w:rPr>
          <w:sz w:val="24"/>
        </w:rPr>
        <w:t xml:space="preserve"> </w:t>
      </w:r>
      <w:r w:rsidRPr="00367CF2">
        <w:rPr>
          <w:sz w:val="24"/>
        </w:rPr>
        <w:t>Norton, Ohio, into a Compressed Air En</w:t>
      </w:r>
      <w:r>
        <w:rPr>
          <w:sz w:val="24"/>
        </w:rPr>
        <w:t xml:space="preserve">ergy Storage, or CAES, facility . . . . </w:t>
      </w:r>
      <w:r w:rsidRPr="00367CF2">
        <w:rPr>
          <w:sz w:val="24"/>
        </w:rPr>
        <w:t>However, it is highly unlikely that we would</w:t>
      </w:r>
      <w:r>
        <w:rPr>
          <w:sz w:val="24"/>
        </w:rPr>
        <w:t xml:space="preserve"> </w:t>
      </w:r>
      <w:r w:rsidR="005E7350">
        <w:rPr>
          <w:sz w:val="24"/>
        </w:rPr>
        <w:t>c</w:t>
      </w:r>
      <w:r w:rsidRPr="00367CF2">
        <w:rPr>
          <w:sz w:val="24"/>
        </w:rPr>
        <w:t>onsider moving forward with this project if the plant would have to compete against</w:t>
      </w:r>
      <w:r>
        <w:rPr>
          <w:sz w:val="24"/>
        </w:rPr>
        <w:t xml:space="preserve"> </w:t>
      </w:r>
      <w:r w:rsidRPr="00367CF2">
        <w:rPr>
          <w:sz w:val="24"/>
        </w:rPr>
        <w:t>subsidized generation in Ohio.</w:t>
      </w:r>
      <w:r>
        <w:rPr>
          <w:sz w:val="24"/>
        </w:rPr>
        <w:t>”</w:t>
      </w:r>
    </w:p>
    <w:p w:rsidR="009A5AB4" w:rsidRPr="009A5AB4" w:rsidRDefault="009A5AB4" w:rsidP="009A5AB4">
      <w:pPr>
        <w:pStyle w:val="ListParagraph"/>
        <w:tabs>
          <w:tab w:val="left" w:pos="1080"/>
        </w:tabs>
        <w:ind w:left="1440"/>
        <w:rPr>
          <w:sz w:val="24"/>
        </w:rPr>
      </w:pPr>
    </w:p>
    <w:p w:rsidR="00E27ADC" w:rsidRPr="00536BA7" w:rsidRDefault="0004003B" w:rsidP="00536BA7">
      <w:pPr>
        <w:spacing w:line="480" w:lineRule="auto"/>
        <w:rPr>
          <w:sz w:val="24"/>
        </w:rPr>
      </w:pPr>
      <w:r>
        <w:rPr>
          <w:sz w:val="24"/>
        </w:rPr>
        <w:tab/>
      </w:r>
      <w:r w:rsidR="00237EF0">
        <w:rPr>
          <w:sz w:val="24"/>
        </w:rPr>
        <w:t xml:space="preserve">In its </w:t>
      </w:r>
      <w:r w:rsidR="005A2FEC">
        <w:rPr>
          <w:sz w:val="24"/>
        </w:rPr>
        <w:t>appeal</w:t>
      </w:r>
      <w:r w:rsidR="00237EF0">
        <w:rPr>
          <w:sz w:val="24"/>
        </w:rPr>
        <w:t>,</w:t>
      </w:r>
      <w:r w:rsidR="005A2FEC">
        <w:rPr>
          <w:sz w:val="24"/>
        </w:rPr>
        <w:t xml:space="preserve"> </w:t>
      </w:r>
      <w:r w:rsidR="005A2FEC" w:rsidRPr="002E0FEA">
        <w:rPr>
          <w:sz w:val="24"/>
        </w:rPr>
        <w:t>FirstEnergy claims that it</w:t>
      </w:r>
      <w:r w:rsidR="00237EF0">
        <w:rPr>
          <w:sz w:val="24"/>
        </w:rPr>
        <w:t>s motion to s</w:t>
      </w:r>
      <w:r w:rsidR="005A2FEC">
        <w:rPr>
          <w:sz w:val="24"/>
        </w:rPr>
        <w:t>trike should be granted because otherwise FirstEnergy</w:t>
      </w:r>
      <w:r w:rsidR="005A2FEC" w:rsidRPr="002E0FEA">
        <w:rPr>
          <w:sz w:val="24"/>
        </w:rPr>
        <w:t xml:space="preserve"> “will be forced to spend a substantial amount of resources responding to the arguments”</w:t>
      </w:r>
      <w:r w:rsidR="005A2FEC">
        <w:rPr>
          <w:sz w:val="24"/>
        </w:rPr>
        <w:t xml:space="preserve"> in Mr. White’s testimony.</w:t>
      </w:r>
      <w:r w:rsidR="00237EF0">
        <w:rPr>
          <w:sz w:val="24"/>
        </w:rPr>
        <w:t xml:space="preserve">  </w:t>
      </w:r>
      <w:proofErr w:type="gramStart"/>
      <w:r w:rsidR="005A2FEC">
        <w:rPr>
          <w:sz w:val="24"/>
        </w:rPr>
        <w:t>F</w:t>
      </w:r>
      <w:r w:rsidR="00237EF0">
        <w:rPr>
          <w:sz w:val="24"/>
        </w:rPr>
        <w:t>irstEnergy Appeal at 11.</w:t>
      </w:r>
      <w:proofErr w:type="gramEnd"/>
      <w:r w:rsidR="00237EF0">
        <w:rPr>
          <w:sz w:val="24"/>
        </w:rPr>
        <w:t xml:space="preserve"> But</w:t>
      </w:r>
      <w:r w:rsidR="005A2FEC">
        <w:rPr>
          <w:sz w:val="24"/>
        </w:rPr>
        <w:t xml:space="preserve">, </w:t>
      </w:r>
      <w:r w:rsidR="000C128D">
        <w:rPr>
          <w:sz w:val="24"/>
        </w:rPr>
        <w:t>FirstEnergy’s complaint that it will have to commit substantial resources to “respond” is not a basis for grantin</w:t>
      </w:r>
      <w:r w:rsidR="00237EF0">
        <w:rPr>
          <w:sz w:val="24"/>
        </w:rPr>
        <w:t>g its motion.  If anything, FirstEnergy’s claim</w:t>
      </w:r>
      <w:r w:rsidR="000C128D">
        <w:rPr>
          <w:sz w:val="24"/>
        </w:rPr>
        <w:t xml:space="preserve"> undermines the credibility of the application before the Commission.</w:t>
      </w:r>
      <w:r w:rsidR="002E0FEA" w:rsidRPr="002E0FEA">
        <w:rPr>
          <w:sz w:val="24"/>
        </w:rPr>
        <w:t xml:space="preserve"> </w:t>
      </w:r>
      <w:r w:rsidR="000C128D">
        <w:rPr>
          <w:sz w:val="24"/>
        </w:rPr>
        <w:t xml:space="preserve"> </w:t>
      </w:r>
      <w:r w:rsidR="00395CFA">
        <w:rPr>
          <w:sz w:val="24"/>
        </w:rPr>
        <w:t>Moreover, relieving FirstEnergy from</w:t>
      </w:r>
      <w:r w:rsidR="005A2FEC">
        <w:rPr>
          <w:sz w:val="24"/>
        </w:rPr>
        <w:t xml:space="preserve"> the</w:t>
      </w:r>
      <w:r w:rsidR="002E0FEA" w:rsidRPr="002E0FEA">
        <w:rPr>
          <w:sz w:val="24"/>
        </w:rPr>
        <w:t xml:space="preserve"> obligation</w:t>
      </w:r>
      <w:r w:rsidR="002E0FEA">
        <w:rPr>
          <w:sz w:val="24"/>
        </w:rPr>
        <w:t xml:space="preserve"> to </w:t>
      </w:r>
      <w:r w:rsidR="005A2FEC">
        <w:rPr>
          <w:sz w:val="24"/>
        </w:rPr>
        <w:t>address its past statements and positions</w:t>
      </w:r>
      <w:r w:rsidR="002E0FEA">
        <w:rPr>
          <w:sz w:val="24"/>
        </w:rPr>
        <w:t xml:space="preserve"> </w:t>
      </w:r>
      <w:r w:rsidR="005A2FEC">
        <w:rPr>
          <w:sz w:val="24"/>
        </w:rPr>
        <w:t>that directly contradict its current request for approval of Rider RRS</w:t>
      </w:r>
      <w:r w:rsidR="009A5AB4">
        <w:rPr>
          <w:sz w:val="24"/>
        </w:rPr>
        <w:t>—</w:t>
      </w:r>
      <w:r w:rsidR="009A5AB4" w:rsidRPr="009A5AB4">
        <w:rPr>
          <w:sz w:val="24"/>
        </w:rPr>
        <w:t xml:space="preserve">based upon the </w:t>
      </w:r>
      <w:r w:rsidR="009A5AB4" w:rsidRPr="009A5AB4">
        <w:rPr>
          <w:sz w:val="24"/>
        </w:rPr>
        <w:lastRenderedPageBreak/>
        <w:t>flawed technical argument discussed below—</w:t>
      </w:r>
      <w:r w:rsidR="00395CFA">
        <w:rPr>
          <w:sz w:val="24"/>
        </w:rPr>
        <w:t xml:space="preserve">would only prejudice </w:t>
      </w:r>
      <w:r w:rsidR="002E0FEA" w:rsidRPr="002E0FEA">
        <w:rPr>
          <w:sz w:val="24"/>
        </w:rPr>
        <w:t xml:space="preserve">this process and the distribution customers of FirstEnergy that are being asked to provide it with a bailout. </w:t>
      </w:r>
    </w:p>
    <w:p w:rsidR="00EB0737" w:rsidRDefault="00390EB8" w:rsidP="00390EB8">
      <w:pPr>
        <w:pStyle w:val="ListParagraph"/>
        <w:numPr>
          <w:ilvl w:val="0"/>
          <w:numId w:val="3"/>
        </w:numPr>
        <w:rPr>
          <w:b/>
          <w:sz w:val="24"/>
        </w:rPr>
      </w:pPr>
      <w:r>
        <w:rPr>
          <w:b/>
          <w:sz w:val="24"/>
        </w:rPr>
        <w:t>I</w:t>
      </w:r>
      <w:r w:rsidR="00F40E07">
        <w:rPr>
          <w:b/>
          <w:sz w:val="24"/>
        </w:rPr>
        <w:t xml:space="preserve">GS Authenticated Ms. </w:t>
      </w:r>
      <w:proofErr w:type="spellStart"/>
      <w:r w:rsidR="00F40E07">
        <w:rPr>
          <w:b/>
          <w:sz w:val="24"/>
        </w:rPr>
        <w:t>Vespoli’s</w:t>
      </w:r>
      <w:proofErr w:type="spellEnd"/>
      <w:r w:rsidR="00F40E07">
        <w:rPr>
          <w:b/>
          <w:sz w:val="24"/>
        </w:rPr>
        <w:t xml:space="preserve"> T</w:t>
      </w:r>
      <w:r>
        <w:rPr>
          <w:b/>
          <w:sz w:val="24"/>
        </w:rPr>
        <w:t>estimony</w:t>
      </w:r>
    </w:p>
    <w:p w:rsidR="00237EF0" w:rsidRPr="00390EB8" w:rsidRDefault="00237EF0" w:rsidP="00237EF0">
      <w:pPr>
        <w:pStyle w:val="ListParagraph"/>
        <w:ind w:left="1080"/>
        <w:rPr>
          <w:b/>
          <w:sz w:val="24"/>
        </w:rPr>
      </w:pPr>
    </w:p>
    <w:p w:rsidR="00391C20" w:rsidRPr="00390EB8" w:rsidRDefault="00EB0737" w:rsidP="00390EB8">
      <w:pPr>
        <w:spacing w:line="480" w:lineRule="auto"/>
        <w:rPr>
          <w:sz w:val="24"/>
        </w:rPr>
      </w:pPr>
      <w:r>
        <w:rPr>
          <w:b/>
          <w:sz w:val="24"/>
        </w:rPr>
        <w:tab/>
      </w:r>
      <w:r w:rsidR="00395CFA">
        <w:rPr>
          <w:sz w:val="24"/>
        </w:rPr>
        <w:t>FirstEnergy’s appeal</w:t>
      </w:r>
      <w:r w:rsidR="00237EF0">
        <w:rPr>
          <w:sz w:val="24"/>
        </w:rPr>
        <w:t xml:space="preserve"> is based </w:t>
      </w:r>
      <w:r>
        <w:rPr>
          <w:sz w:val="24"/>
        </w:rPr>
        <w:t>sole</w:t>
      </w:r>
      <w:r w:rsidR="00237EF0">
        <w:rPr>
          <w:sz w:val="24"/>
        </w:rPr>
        <w:t>ly on</w:t>
      </w:r>
      <w:r>
        <w:rPr>
          <w:sz w:val="24"/>
        </w:rPr>
        <w:t xml:space="preserve"> claim that Mr. White failed to authenticate Ms. </w:t>
      </w:r>
      <w:proofErr w:type="spellStart"/>
      <w:r>
        <w:rPr>
          <w:sz w:val="24"/>
        </w:rPr>
        <w:t>Vespoli’s</w:t>
      </w:r>
      <w:proofErr w:type="spellEnd"/>
      <w:r>
        <w:rPr>
          <w:sz w:val="24"/>
        </w:rPr>
        <w:t xml:space="preserve"> testimony (Ex. MW-1).  FirstEnergy claims that Mr. White failed to do so because he did not include a certified copy of Ms. </w:t>
      </w:r>
      <w:proofErr w:type="spellStart"/>
      <w:r>
        <w:rPr>
          <w:sz w:val="24"/>
        </w:rPr>
        <w:t>Vespoli’s</w:t>
      </w:r>
      <w:proofErr w:type="spellEnd"/>
      <w:r>
        <w:rPr>
          <w:sz w:val="24"/>
        </w:rPr>
        <w:t xml:space="preserve"> testimony at the time he </w:t>
      </w:r>
      <w:proofErr w:type="spellStart"/>
      <w:r>
        <w:rPr>
          <w:sz w:val="24"/>
        </w:rPr>
        <w:t>prefiled</w:t>
      </w:r>
      <w:proofErr w:type="spellEnd"/>
      <w:r>
        <w:rPr>
          <w:sz w:val="24"/>
        </w:rPr>
        <w:t xml:space="preserve"> his testimony.</w:t>
      </w:r>
      <w:r w:rsidR="00237EF0">
        <w:rPr>
          <w:sz w:val="24"/>
        </w:rPr>
        <w:t xml:space="preserve">  </w:t>
      </w:r>
      <w:proofErr w:type="gramStart"/>
      <w:r w:rsidR="00237EF0">
        <w:rPr>
          <w:sz w:val="24"/>
        </w:rPr>
        <w:t>FirstEnergy Appeal at 8-9, 13.</w:t>
      </w:r>
      <w:proofErr w:type="gramEnd"/>
      <w:r>
        <w:rPr>
          <w:sz w:val="24"/>
        </w:rPr>
        <w:t xml:space="preserve">  As discussed below, FirstEnergy mischaracterizes the standard of authentication under the Ohio Rules of Evidence and Commission practice.  </w:t>
      </w:r>
    </w:p>
    <w:p w:rsidR="00395CFA" w:rsidRDefault="00391C20" w:rsidP="00EB0737">
      <w:pPr>
        <w:spacing w:line="480" w:lineRule="auto"/>
        <w:rPr>
          <w:sz w:val="24"/>
        </w:rPr>
      </w:pPr>
      <w:r>
        <w:rPr>
          <w:sz w:val="24"/>
        </w:rPr>
        <w:tab/>
      </w:r>
      <w:r w:rsidR="00EB0737">
        <w:rPr>
          <w:sz w:val="24"/>
        </w:rPr>
        <w:t xml:space="preserve">Initially, the Commission is not bound by the rules of evidence. </w:t>
      </w:r>
      <w:r w:rsidR="00390EB8" w:rsidRPr="00D73F09">
        <w:rPr>
          <w:i/>
          <w:color w:val="222222"/>
          <w:sz w:val="24"/>
        </w:rPr>
        <w:t xml:space="preserve">Greater Cleveland Welfare Rights Org., Inc. v. </w:t>
      </w:r>
      <w:r w:rsidR="00390EB8">
        <w:rPr>
          <w:i/>
          <w:color w:val="222222"/>
          <w:sz w:val="24"/>
        </w:rPr>
        <w:t xml:space="preserve">Pub. </w:t>
      </w:r>
      <w:proofErr w:type="gramStart"/>
      <w:r w:rsidR="00390EB8">
        <w:rPr>
          <w:i/>
          <w:color w:val="222222"/>
          <w:sz w:val="24"/>
        </w:rPr>
        <w:t>Util. Comm.</w:t>
      </w:r>
      <w:r w:rsidR="00390EB8">
        <w:rPr>
          <w:color w:val="222222"/>
          <w:sz w:val="24"/>
        </w:rPr>
        <w:t>,</w:t>
      </w:r>
      <w:r w:rsidR="00390EB8" w:rsidRPr="00D73F09">
        <w:rPr>
          <w:color w:val="222222"/>
          <w:sz w:val="24"/>
        </w:rPr>
        <w:t xml:space="preserve"> 2 Ohio St.3d 62 (1982</w:t>
      </w:r>
      <w:r w:rsidR="00390EB8">
        <w:rPr>
          <w:color w:val="222222"/>
          <w:sz w:val="24"/>
        </w:rPr>
        <w:t>).</w:t>
      </w:r>
      <w:proofErr w:type="gramEnd"/>
      <w:r w:rsidR="00EB0737">
        <w:rPr>
          <w:sz w:val="24"/>
        </w:rPr>
        <w:t xml:space="preserve"> </w:t>
      </w:r>
      <w:r w:rsidR="00390EB8">
        <w:rPr>
          <w:sz w:val="24"/>
        </w:rPr>
        <w:t xml:space="preserve"> </w:t>
      </w:r>
      <w:r w:rsidR="00EB0737">
        <w:rPr>
          <w:sz w:val="24"/>
        </w:rPr>
        <w:t xml:space="preserve">While they may provide guidelines, the Commission is permitted to exercise its discretion to manage its own proceedings.  That is exactly what the Attorney Examiner did:   “Your </w:t>
      </w:r>
      <w:r w:rsidR="00EB0737" w:rsidRPr="00EB0737">
        <w:rPr>
          <w:sz w:val="24"/>
        </w:rPr>
        <w:t>renewed objection is</w:t>
      </w:r>
      <w:r w:rsidR="00EB0737">
        <w:rPr>
          <w:sz w:val="24"/>
        </w:rPr>
        <w:t xml:space="preserve"> noted for the record; however,</w:t>
      </w:r>
      <w:r w:rsidR="00EB0737" w:rsidRPr="00EB0737">
        <w:rPr>
          <w:sz w:val="24"/>
        </w:rPr>
        <w:t xml:space="preserve"> we are upholding o</w:t>
      </w:r>
      <w:r w:rsidR="00EB0737">
        <w:rPr>
          <w:sz w:val="24"/>
        </w:rPr>
        <w:t>ur prior ruling, exercising our</w:t>
      </w:r>
      <w:r w:rsidR="00EB0737" w:rsidRPr="00EB0737">
        <w:rPr>
          <w:sz w:val="24"/>
        </w:rPr>
        <w:t xml:space="preserve"> administrative disc</w:t>
      </w:r>
      <w:r w:rsidR="00EB0737">
        <w:rPr>
          <w:sz w:val="24"/>
        </w:rPr>
        <w:t xml:space="preserve">retion, and the Commission will </w:t>
      </w:r>
      <w:r w:rsidR="00EB0737" w:rsidRPr="00EB0737">
        <w:rPr>
          <w:sz w:val="24"/>
        </w:rPr>
        <w:t>afford this document the weight that it deserves.</w:t>
      </w:r>
      <w:r w:rsidR="00EB0737">
        <w:rPr>
          <w:sz w:val="24"/>
        </w:rPr>
        <w:t xml:space="preserve">”  </w:t>
      </w:r>
      <w:proofErr w:type="gramStart"/>
      <w:r w:rsidR="00EB0737">
        <w:rPr>
          <w:sz w:val="24"/>
        </w:rPr>
        <w:t>Tr. Vol. XXV at 5107.</w:t>
      </w:r>
      <w:proofErr w:type="gramEnd"/>
      <w:r w:rsidR="00EB0737">
        <w:rPr>
          <w:sz w:val="24"/>
        </w:rPr>
        <w:t xml:space="preserve">  </w:t>
      </w:r>
    </w:p>
    <w:p w:rsidR="00567136" w:rsidRDefault="00EB0737" w:rsidP="00395CFA">
      <w:pPr>
        <w:spacing w:line="480" w:lineRule="auto"/>
        <w:ind w:firstLine="720"/>
        <w:rPr>
          <w:sz w:val="24"/>
        </w:rPr>
      </w:pPr>
      <w:r>
        <w:rPr>
          <w:sz w:val="24"/>
        </w:rPr>
        <w:t xml:space="preserve">Regardless, IGS submitted sufficient evidence to pass the low standard required for authentication under the </w:t>
      </w:r>
      <w:r w:rsidR="00395CFA">
        <w:rPr>
          <w:sz w:val="24"/>
        </w:rPr>
        <w:t>Ohio Rules of E</w:t>
      </w:r>
      <w:r>
        <w:rPr>
          <w:sz w:val="24"/>
        </w:rPr>
        <w:t>vidence. U</w:t>
      </w:r>
      <w:r w:rsidR="00567136">
        <w:rPr>
          <w:sz w:val="24"/>
        </w:rPr>
        <w:t>nder Evidence R. 901(a), “[t]</w:t>
      </w:r>
      <w:r w:rsidR="00567136" w:rsidRPr="00391C20">
        <w:rPr>
          <w:sz w:val="24"/>
        </w:rPr>
        <w:t>he requirement of authentication or identification as a condition precedent to admissibility is satisfied by evidence sufficient to support a finding that the matter in question is what its proponent claims</w:t>
      </w:r>
      <w:r w:rsidR="00567136">
        <w:rPr>
          <w:sz w:val="24"/>
        </w:rPr>
        <w:t>.”  Authentication or identification can be achieved in several ways.  Evidence R. 901(b) provides</w:t>
      </w:r>
      <w:r w:rsidR="00567136" w:rsidRPr="00F744F3">
        <w:rPr>
          <w:sz w:val="24"/>
        </w:rPr>
        <w:t xml:space="preserve"> “</w:t>
      </w:r>
      <w:r w:rsidR="00567136">
        <w:rPr>
          <w:i/>
          <w:sz w:val="24"/>
        </w:rPr>
        <w:t>[b]</w:t>
      </w:r>
      <w:r w:rsidR="00567136" w:rsidRPr="00A048BA">
        <w:rPr>
          <w:i/>
          <w:sz w:val="24"/>
        </w:rPr>
        <w:t xml:space="preserve">y way of illustration </w:t>
      </w:r>
      <w:proofErr w:type="gramStart"/>
      <w:r w:rsidR="00567136" w:rsidRPr="00A048BA">
        <w:rPr>
          <w:i/>
          <w:sz w:val="24"/>
        </w:rPr>
        <w:t>only</w:t>
      </w:r>
      <w:r w:rsidR="00567136" w:rsidRPr="00F744F3">
        <w:rPr>
          <w:sz w:val="24"/>
        </w:rPr>
        <w:t>,</w:t>
      </w:r>
      <w:proofErr w:type="gramEnd"/>
      <w:r w:rsidR="00567136" w:rsidRPr="00F744F3">
        <w:rPr>
          <w:sz w:val="24"/>
        </w:rPr>
        <w:t xml:space="preserve"> and not by way of limitation”</w:t>
      </w:r>
      <w:r w:rsidR="005E7350">
        <w:rPr>
          <w:sz w:val="24"/>
        </w:rPr>
        <w:t xml:space="preserve"> (emphasis added)</w:t>
      </w:r>
      <w:r w:rsidR="00567136" w:rsidRPr="00F744F3">
        <w:rPr>
          <w:sz w:val="24"/>
        </w:rPr>
        <w:t xml:space="preserve"> several ways to </w:t>
      </w:r>
      <w:r w:rsidR="00567136">
        <w:rPr>
          <w:sz w:val="24"/>
        </w:rPr>
        <w:t>satisfy the rules of authentication or identification:</w:t>
      </w:r>
    </w:p>
    <w:p w:rsidR="00567136" w:rsidRDefault="00567136" w:rsidP="00567136">
      <w:pPr>
        <w:pStyle w:val="ListParagraph"/>
        <w:numPr>
          <w:ilvl w:val="0"/>
          <w:numId w:val="2"/>
        </w:numPr>
        <w:spacing w:line="480" w:lineRule="auto"/>
        <w:rPr>
          <w:sz w:val="24"/>
        </w:rPr>
      </w:pPr>
      <w:r>
        <w:rPr>
          <w:sz w:val="24"/>
        </w:rPr>
        <w:lastRenderedPageBreak/>
        <w:t>testimony of a witness</w:t>
      </w:r>
      <w:r>
        <w:rPr>
          <w:rStyle w:val="FootnoteReference"/>
          <w:sz w:val="24"/>
        </w:rPr>
        <w:footnoteReference w:id="1"/>
      </w:r>
    </w:p>
    <w:p w:rsidR="00567136" w:rsidRDefault="00567136" w:rsidP="00567136">
      <w:pPr>
        <w:pStyle w:val="ListParagraph"/>
        <w:numPr>
          <w:ilvl w:val="0"/>
          <w:numId w:val="2"/>
        </w:numPr>
        <w:spacing w:line="480" w:lineRule="auto"/>
        <w:rPr>
          <w:sz w:val="24"/>
        </w:rPr>
      </w:pPr>
      <w:r w:rsidRPr="00A3494B">
        <w:rPr>
          <w:sz w:val="24"/>
        </w:rPr>
        <w:t xml:space="preserve">Comparison </w:t>
      </w:r>
      <w:r>
        <w:rPr>
          <w:sz w:val="24"/>
        </w:rPr>
        <w:t>by a trier or expert witness</w:t>
      </w:r>
      <w:r>
        <w:rPr>
          <w:rStyle w:val="FootnoteReference"/>
          <w:sz w:val="24"/>
        </w:rPr>
        <w:footnoteReference w:id="2"/>
      </w:r>
    </w:p>
    <w:p w:rsidR="00567136" w:rsidRDefault="00567136" w:rsidP="00567136">
      <w:pPr>
        <w:pStyle w:val="ListParagraph"/>
        <w:numPr>
          <w:ilvl w:val="0"/>
          <w:numId w:val="2"/>
        </w:numPr>
        <w:spacing w:line="480" w:lineRule="auto"/>
        <w:rPr>
          <w:sz w:val="24"/>
        </w:rPr>
      </w:pPr>
      <w:r>
        <w:rPr>
          <w:sz w:val="24"/>
        </w:rPr>
        <w:t>D</w:t>
      </w:r>
      <w:r w:rsidRPr="00A3494B">
        <w:rPr>
          <w:sz w:val="24"/>
        </w:rPr>
        <w:t>istinctive characteristics</w:t>
      </w:r>
      <w:r>
        <w:rPr>
          <w:sz w:val="24"/>
        </w:rPr>
        <w:t xml:space="preserve"> and the like</w:t>
      </w:r>
      <w:r>
        <w:rPr>
          <w:rStyle w:val="FootnoteReference"/>
          <w:sz w:val="24"/>
        </w:rPr>
        <w:footnoteReference w:id="3"/>
      </w:r>
    </w:p>
    <w:p w:rsidR="00567136" w:rsidRPr="00A3494B" w:rsidRDefault="00567136" w:rsidP="00567136">
      <w:pPr>
        <w:pStyle w:val="ListParagraph"/>
        <w:numPr>
          <w:ilvl w:val="0"/>
          <w:numId w:val="2"/>
        </w:numPr>
        <w:spacing w:line="480" w:lineRule="auto"/>
        <w:rPr>
          <w:sz w:val="24"/>
        </w:rPr>
      </w:pPr>
      <w:r>
        <w:rPr>
          <w:sz w:val="24"/>
        </w:rPr>
        <w:t>Public records or reports</w:t>
      </w:r>
      <w:r>
        <w:rPr>
          <w:rStyle w:val="FootnoteReference"/>
          <w:sz w:val="24"/>
        </w:rPr>
        <w:footnoteReference w:id="4"/>
      </w:r>
      <w:r>
        <w:rPr>
          <w:sz w:val="24"/>
        </w:rPr>
        <w:t xml:space="preserve"> </w:t>
      </w:r>
      <w:r w:rsidRPr="00A3494B">
        <w:rPr>
          <w:sz w:val="24"/>
        </w:rPr>
        <w:t xml:space="preserve">  </w:t>
      </w:r>
    </w:p>
    <w:p w:rsidR="00567136" w:rsidRDefault="00567136" w:rsidP="00567136">
      <w:pPr>
        <w:spacing w:line="480" w:lineRule="auto"/>
        <w:rPr>
          <w:sz w:val="24"/>
        </w:rPr>
      </w:pPr>
      <w:r>
        <w:rPr>
          <w:sz w:val="24"/>
        </w:rPr>
        <w:t>Any combination</w:t>
      </w:r>
      <w:r w:rsidR="00237EF0">
        <w:rPr>
          <w:sz w:val="24"/>
        </w:rPr>
        <w:t xml:space="preserve"> of items listed in rule 901(b) or outside of the non-exhaustive list</w:t>
      </w:r>
      <w:r>
        <w:rPr>
          <w:sz w:val="24"/>
        </w:rPr>
        <w:t xml:space="preserve"> will suffice to satisfy rule 901(a).  Evidence R. 901(b); </w:t>
      </w:r>
      <w:r>
        <w:rPr>
          <w:i/>
          <w:sz w:val="24"/>
        </w:rPr>
        <w:t xml:space="preserve">see also </w:t>
      </w:r>
      <w:r w:rsidRPr="00C16443">
        <w:rPr>
          <w:i/>
          <w:sz w:val="24"/>
        </w:rPr>
        <w:t>State ex rel. Montgomery v. Villa</w:t>
      </w:r>
      <w:r w:rsidRPr="00C16443">
        <w:rPr>
          <w:sz w:val="24"/>
        </w:rPr>
        <w:t>, 101 Ohio App. 3d 478</w:t>
      </w:r>
      <w:r>
        <w:rPr>
          <w:sz w:val="24"/>
        </w:rPr>
        <w:t xml:space="preserve">, 484 (1995) </w:t>
      </w:r>
      <w:r w:rsidRPr="00C16443">
        <w:rPr>
          <w:sz w:val="24"/>
        </w:rPr>
        <w:t>Court of Ap</w:t>
      </w:r>
      <w:r>
        <w:rPr>
          <w:sz w:val="24"/>
        </w:rPr>
        <w:t>peals, 10th Appellate Dist.</w:t>
      </w:r>
      <w:r w:rsidRPr="00567136">
        <w:t xml:space="preserve"> </w:t>
      </w:r>
      <w:r w:rsidR="00237EF0">
        <w:rPr>
          <w:sz w:val="24"/>
        </w:rPr>
        <w:t>Moreover, “[a]</w:t>
      </w:r>
      <w:r w:rsidRPr="00567136">
        <w:rPr>
          <w:sz w:val="24"/>
        </w:rPr>
        <w:t xml:space="preserve"> proponent may demonstrate genuineness or authen</w:t>
      </w:r>
      <w:r w:rsidRPr="00384E83">
        <w:rPr>
          <w:sz w:val="24"/>
        </w:rPr>
        <w:t>ticity through direct or circumstantial evidence</w:t>
      </w:r>
      <w:r>
        <w:rPr>
          <w:sz w:val="24"/>
        </w:rPr>
        <w:t xml:space="preserve">.” </w:t>
      </w:r>
      <w:proofErr w:type="gramStart"/>
      <w:r>
        <w:rPr>
          <w:i/>
          <w:sz w:val="24"/>
        </w:rPr>
        <w:t>State v. Tyler</w:t>
      </w:r>
      <w:r>
        <w:rPr>
          <w:sz w:val="24"/>
        </w:rPr>
        <w:t>,</w:t>
      </w:r>
      <w:r w:rsidRPr="00BB6D3E">
        <w:rPr>
          <w:i/>
          <w:sz w:val="24"/>
        </w:rPr>
        <w:t xml:space="preserve"> </w:t>
      </w:r>
      <w:r w:rsidRPr="00B34523">
        <w:rPr>
          <w:sz w:val="24"/>
        </w:rPr>
        <w:t xml:space="preserve">196 Ohio App.3d 443 </w:t>
      </w:r>
      <w:r w:rsidRPr="00BB6D3E">
        <w:rPr>
          <w:sz w:val="24"/>
        </w:rPr>
        <w:t>at 450 (2011)</w:t>
      </w:r>
      <w:r w:rsidRPr="00B34523">
        <w:rPr>
          <w:color w:val="222222"/>
          <w:sz w:val="24"/>
        </w:rPr>
        <w:t xml:space="preserve"> </w:t>
      </w:r>
      <w:r w:rsidRPr="00F64957">
        <w:rPr>
          <w:color w:val="222222"/>
          <w:sz w:val="24"/>
        </w:rPr>
        <w:t>Court of Appeals of Ohi</w:t>
      </w:r>
      <w:r>
        <w:rPr>
          <w:color w:val="222222"/>
          <w:sz w:val="24"/>
        </w:rPr>
        <w:t>o, Fourth District, Ross County</w:t>
      </w:r>
      <w:r w:rsidRPr="00BB6D3E">
        <w:rPr>
          <w:i/>
          <w:sz w:val="24"/>
        </w:rPr>
        <w:t xml:space="preserve"> </w:t>
      </w:r>
      <w:r>
        <w:rPr>
          <w:sz w:val="24"/>
        </w:rPr>
        <w:t xml:space="preserve">(citing </w:t>
      </w:r>
      <w:proofErr w:type="spellStart"/>
      <w:r>
        <w:rPr>
          <w:sz w:val="24"/>
        </w:rPr>
        <w:t>Evid</w:t>
      </w:r>
      <w:proofErr w:type="spellEnd"/>
      <w:r>
        <w:rPr>
          <w:sz w:val="24"/>
        </w:rPr>
        <w:t>.</w:t>
      </w:r>
      <w:proofErr w:type="gramEnd"/>
      <w:r>
        <w:rPr>
          <w:sz w:val="24"/>
        </w:rPr>
        <w:t xml:space="preserve"> R 901</w:t>
      </w:r>
      <w:proofErr w:type="gramStart"/>
      <w:r>
        <w:rPr>
          <w:sz w:val="24"/>
        </w:rPr>
        <w:t>)</w:t>
      </w:r>
      <w:r w:rsidR="00384E83">
        <w:rPr>
          <w:sz w:val="24"/>
        </w:rPr>
        <w:t>(</w:t>
      </w:r>
      <w:proofErr w:type="gramEnd"/>
      <w:r w:rsidR="00384E83">
        <w:rPr>
          <w:sz w:val="24"/>
        </w:rPr>
        <w:t>emphasis added)</w:t>
      </w:r>
      <w:r>
        <w:rPr>
          <w:sz w:val="24"/>
        </w:rPr>
        <w:t>.</w:t>
      </w:r>
    </w:p>
    <w:p w:rsidR="00567136" w:rsidRDefault="00567136" w:rsidP="00567136">
      <w:pPr>
        <w:spacing w:line="480" w:lineRule="auto"/>
        <w:ind w:firstLine="720"/>
        <w:rPr>
          <w:sz w:val="24"/>
        </w:rPr>
      </w:pPr>
      <w:r>
        <w:rPr>
          <w:sz w:val="24"/>
        </w:rPr>
        <w:t>Courts hold that</w:t>
      </w:r>
      <w:r w:rsidR="00F744F3">
        <w:rPr>
          <w:sz w:val="24"/>
        </w:rPr>
        <w:t xml:space="preserve"> “</w:t>
      </w:r>
      <w:r w:rsidR="00F744F3" w:rsidRPr="00384E83">
        <w:rPr>
          <w:b/>
          <w:i/>
          <w:sz w:val="24"/>
        </w:rPr>
        <w:t>[t]</w:t>
      </w:r>
      <w:r w:rsidR="00D60A9C" w:rsidRPr="00384E83">
        <w:rPr>
          <w:b/>
          <w:i/>
          <w:sz w:val="24"/>
        </w:rPr>
        <w:t>he threshold for admission is quite low,</w:t>
      </w:r>
      <w:r w:rsidR="00D60A9C" w:rsidRPr="00F64957">
        <w:rPr>
          <w:sz w:val="24"/>
        </w:rPr>
        <w:t xml:space="preserve"> and the proponent of the evidence need only submit `evidence sufficient to support a finding that the matter in question is what its proponent claims.'</w:t>
      </w:r>
      <w:r w:rsidR="00BB6D3E">
        <w:rPr>
          <w:sz w:val="24"/>
        </w:rPr>
        <w:t>”</w:t>
      </w:r>
      <w:r>
        <w:rPr>
          <w:sz w:val="24"/>
        </w:rPr>
        <w:t xml:space="preserve">  </w:t>
      </w:r>
      <w:r>
        <w:rPr>
          <w:i/>
          <w:sz w:val="24"/>
        </w:rPr>
        <w:t>Id.</w:t>
      </w:r>
      <w:r w:rsidR="00384E83">
        <w:rPr>
          <w:i/>
          <w:sz w:val="24"/>
        </w:rPr>
        <w:t xml:space="preserve"> </w:t>
      </w:r>
      <w:r w:rsidR="00384E83">
        <w:rPr>
          <w:sz w:val="24"/>
        </w:rPr>
        <w:t>(emphasis added).</w:t>
      </w:r>
      <w:r w:rsidR="00BB6D3E">
        <w:rPr>
          <w:sz w:val="24"/>
        </w:rPr>
        <w:t xml:space="preserve">  </w:t>
      </w:r>
      <w:r>
        <w:rPr>
          <w:sz w:val="24"/>
        </w:rPr>
        <w:t>C</w:t>
      </w:r>
      <w:r w:rsidR="001301EA">
        <w:rPr>
          <w:sz w:val="24"/>
        </w:rPr>
        <w:t>ourts have called the burden of authentication as “slight” and much lower than other evidentiary rules: “</w:t>
      </w:r>
      <w:r w:rsidR="001301EA" w:rsidRPr="00384E83">
        <w:rPr>
          <w:i/>
          <w:sz w:val="24"/>
        </w:rPr>
        <w:t>the showing of authenticity is not on a par with more technical evidentiary rules</w:t>
      </w:r>
      <w:r w:rsidR="001301EA" w:rsidRPr="001301EA">
        <w:rPr>
          <w:sz w:val="24"/>
        </w:rPr>
        <w:t xml:space="preserve">, </w:t>
      </w:r>
      <w:r w:rsidR="001301EA" w:rsidRPr="00384E83">
        <w:rPr>
          <w:i/>
          <w:sz w:val="24"/>
        </w:rPr>
        <w:t>such as hearsay exce</w:t>
      </w:r>
      <w:r w:rsidR="00384E83">
        <w:rPr>
          <w:i/>
          <w:sz w:val="24"/>
        </w:rPr>
        <w:t>ptions, governing admissibility</w:t>
      </w:r>
      <w:r w:rsidR="00384E83">
        <w:rPr>
          <w:sz w:val="24"/>
        </w:rPr>
        <w:t>.</w:t>
      </w:r>
      <w:r w:rsidR="00C16443">
        <w:rPr>
          <w:sz w:val="24"/>
        </w:rPr>
        <w:t>”</w:t>
      </w:r>
      <w:r w:rsidR="00C16443" w:rsidRPr="00C16443">
        <w:t xml:space="preserve"> </w:t>
      </w:r>
      <w:r w:rsidR="00C16443" w:rsidRPr="00C16443">
        <w:rPr>
          <w:i/>
          <w:sz w:val="24"/>
        </w:rPr>
        <w:t>State ex rel. Montgomery v. Villa</w:t>
      </w:r>
      <w:r w:rsidR="00C16443" w:rsidRPr="00C16443">
        <w:rPr>
          <w:sz w:val="24"/>
        </w:rPr>
        <w:t>, 101 Ohio App. 3d 478</w:t>
      </w:r>
      <w:r w:rsidR="00C16443">
        <w:rPr>
          <w:sz w:val="24"/>
        </w:rPr>
        <w:t xml:space="preserve">, 484-85 (1995) </w:t>
      </w:r>
      <w:r w:rsidR="00C16443" w:rsidRPr="00C16443">
        <w:rPr>
          <w:sz w:val="24"/>
        </w:rPr>
        <w:t>Court of Ap</w:t>
      </w:r>
      <w:r w:rsidR="00C16443">
        <w:rPr>
          <w:sz w:val="24"/>
        </w:rPr>
        <w:t xml:space="preserve">peals, 10th Appellate Dist. (citing </w:t>
      </w:r>
      <w:r w:rsidR="00C16443" w:rsidRPr="00C16443">
        <w:rPr>
          <w:i/>
          <w:sz w:val="24"/>
        </w:rPr>
        <w:t>US v. Reilly</w:t>
      </w:r>
      <w:r w:rsidR="00C16443" w:rsidRPr="00C16443">
        <w:rPr>
          <w:sz w:val="24"/>
        </w:rPr>
        <w:t>, 33 F. 3d 1396 - Court of Appeals, 3rd Circuit 1994</w:t>
      </w:r>
      <w:proofErr w:type="gramStart"/>
      <w:r w:rsidR="00C16443">
        <w:rPr>
          <w:sz w:val="24"/>
        </w:rPr>
        <w:t>)</w:t>
      </w:r>
      <w:r w:rsidR="00384E83">
        <w:rPr>
          <w:sz w:val="24"/>
        </w:rPr>
        <w:t>(</w:t>
      </w:r>
      <w:proofErr w:type="gramEnd"/>
      <w:r w:rsidR="00384E83">
        <w:rPr>
          <w:sz w:val="24"/>
        </w:rPr>
        <w:t>emphasis added)</w:t>
      </w:r>
      <w:r w:rsidR="00C16443">
        <w:rPr>
          <w:sz w:val="24"/>
        </w:rPr>
        <w:t xml:space="preserve">.  </w:t>
      </w:r>
    </w:p>
    <w:p w:rsidR="00F744F3" w:rsidRDefault="00C16443" w:rsidP="00567136">
      <w:pPr>
        <w:spacing w:line="480" w:lineRule="auto"/>
        <w:ind w:firstLine="720"/>
        <w:rPr>
          <w:sz w:val="24"/>
        </w:rPr>
      </w:pPr>
      <w:r>
        <w:rPr>
          <w:sz w:val="24"/>
        </w:rPr>
        <w:lastRenderedPageBreak/>
        <w:t>Indeed,</w:t>
      </w:r>
      <w:r w:rsidR="001301EA" w:rsidRPr="001301EA">
        <w:rPr>
          <w:sz w:val="24"/>
        </w:rPr>
        <w:t xml:space="preserve"> </w:t>
      </w:r>
      <w:r>
        <w:rPr>
          <w:sz w:val="24"/>
        </w:rPr>
        <w:t>“</w:t>
      </w:r>
      <w:r w:rsidR="001301EA" w:rsidRPr="001301EA">
        <w:rPr>
          <w:sz w:val="24"/>
        </w:rPr>
        <w:t>there need be only a prima facie showing, to the court, of authenticity, not a full argument on admissibility.</w:t>
      </w:r>
      <w:r>
        <w:rPr>
          <w:sz w:val="24"/>
        </w:rPr>
        <w:t xml:space="preserve">”  </w:t>
      </w:r>
      <w:proofErr w:type="gramStart"/>
      <w:r>
        <w:rPr>
          <w:i/>
          <w:sz w:val="24"/>
        </w:rPr>
        <w:t xml:space="preserve">Id. </w:t>
      </w:r>
      <w:r>
        <w:rPr>
          <w:sz w:val="24"/>
        </w:rPr>
        <w:t>at 485.</w:t>
      </w:r>
      <w:proofErr w:type="gramEnd"/>
      <w:r w:rsidRPr="00C16443">
        <w:t xml:space="preserve"> </w:t>
      </w:r>
      <w:r w:rsidRPr="00C16443">
        <w:rPr>
          <w:sz w:val="24"/>
        </w:rPr>
        <w:t>(1991).</w:t>
      </w:r>
      <w:r>
        <w:rPr>
          <w:sz w:val="24"/>
        </w:rPr>
        <w:t xml:space="preserve"> </w:t>
      </w:r>
      <w:proofErr w:type="gramStart"/>
      <w:r>
        <w:rPr>
          <w:sz w:val="24"/>
        </w:rPr>
        <w:t>Ultimately</w:t>
      </w:r>
      <w:proofErr w:type="gramEnd"/>
      <w:r>
        <w:rPr>
          <w:sz w:val="24"/>
        </w:rPr>
        <w:t>, once a document passes the low threshold needed to establish authenticity, “</w:t>
      </w:r>
      <w:r w:rsidR="001301EA" w:rsidRPr="001301EA">
        <w:rPr>
          <w:sz w:val="24"/>
        </w:rPr>
        <w:t>the evidence goes to the jury and it is the jury who will ultimately determine the authentic</w:t>
      </w:r>
      <w:r>
        <w:rPr>
          <w:sz w:val="24"/>
        </w:rPr>
        <w:t>ity of the evidence, not</w:t>
      </w:r>
      <w:r w:rsidR="001301EA" w:rsidRPr="001301EA">
        <w:rPr>
          <w:sz w:val="24"/>
        </w:rPr>
        <w:t xml:space="preserve"> the court.</w:t>
      </w:r>
      <w:r>
        <w:rPr>
          <w:sz w:val="24"/>
        </w:rPr>
        <w:t xml:space="preserve">”  </w:t>
      </w:r>
      <w:r>
        <w:rPr>
          <w:i/>
          <w:sz w:val="24"/>
        </w:rPr>
        <w:t xml:space="preserve">State Ex. rel. Montgomery </w:t>
      </w:r>
      <w:r>
        <w:rPr>
          <w:sz w:val="24"/>
        </w:rPr>
        <w:t xml:space="preserve">at 485; </w:t>
      </w:r>
      <w:r>
        <w:rPr>
          <w:i/>
          <w:sz w:val="24"/>
        </w:rPr>
        <w:t>see also State v. Easter</w:t>
      </w:r>
      <w:r>
        <w:rPr>
          <w:sz w:val="24"/>
        </w:rPr>
        <w:t>,</w:t>
      </w:r>
      <w:r w:rsidRPr="00C16443">
        <w:t xml:space="preserve"> </w:t>
      </w:r>
      <w:r w:rsidRPr="00C16443">
        <w:rPr>
          <w:sz w:val="24"/>
        </w:rPr>
        <w:t>75 Ohio App.3d 22</w:t>
      </w:r>
      <w:r>
        <w:rPr>
          <w:sz w:val="24"/>
        </w:rPr>
        <w:t>, 25</w:t>
      </w:r>
      <w:r w:rsidRPr="00C16443">
        <w:rPr>
          <w:sz w:val="24"/>
        </w:rPr>
        <w:t xml:space="preserve"> (1991)</w:t>
      </w:r>
      <w:r>
        <w:rPr>
          <w:sz w:val="24"/>
        </w:rPr>
        <w:t xml:space="preserve"> (</w:t>
      </w:r>
      <w:r w:rsidRPr="00C16443">
        <w:rPr>
          <w:sz w:val="24"/>
        </w:rPr>
        <w:t>“This low threshold standard does not require con</w:t>
      </w:r>
      <w:r>
        <w:rPr>
          <w:sz w:val="24"/>
        </w:rPr>
        <w:t>clusive proof of authenticity,</w:t>
      </w:r>
      <w:r w:rsidRPr="00C16443">
        <w:t xml:space="preserve"> </w:t>
      </w:r>
      <w:r w:rsidRPr="00C16443">
        <w:rPr>
          <w:sz w:val="24"/>
        </w:rPr>
        <w:t xml:space="preserve">but only sufficient foundational evidence for the </w:t>
      </w:r>
      <w:r>
        <w:rPr>
          <w:sz w:val="24"/>
        </w:rPr>
        <w:t>trier</w:t>
      </w:r>
      <w:r w:rsidRPr="00C16443">
        <w:t xml:space="preserve"> </w:t>
      </w:r>
      <w:r w:rsidRPr="00C16443">
        <w:rPr>
          <w:sz w:val="24"/>
        </w:rPr>
        <w:t>of fact to conclude that the document is what its proponent claims it to be</w:t>
      </w:r>
      <w:r>
        <w:rPr>
          <w:sz w:val="24"/>
        </w:rPr>
        <w:t>.”)</w:t>
      </w:r>
      <w:r w:rsidR="001E0936">
        <w:rPr>
          <w:sz w:val="24"/>
        </w:rPr>
        <w:t xml:space="preserve">  One must demonstrate only a reasonable likelihood that the evidence is authentic. </w:t>
      </w:r>
      <w:proofErr w:type="gramStart"/>
      <w:r w:rsidR="001E0936">
        <w:rPr>
          <w:i/>
          <w:sz w:val="24"/>
        </w:rPr>
        <w:t>State v. Jackson</w:t>
      </w:r>
      <w:r w:rsidR="00384E83">
        <w:rPr>
          <w:sz w:val="24"/>
        </w:rPr>
        <w:t>,</w:t>
      </w:r>
      <w:r w:rsidR="001E0936">
        <w:rPr>
          <w:i/>
          <w:sz w:val="24"/>
        </w:rPr>
        <w:t xml:space="preserve"> </w:t>
      </w:r>
      <w:r w:rsidR="00384E83">
        <w:rPr>
          <w:sz w:val="24"/>
        </w:rPr>
        <w:t>2</w:t>
      </w:r>
      <w:r w:rsidR="001E0936" w:rsidRPr="00384E83">
        <w:rPr>
          <w:sz w:val="24"/>
        </w:rPr>
        <w:t>011 Ohio 5593</w:t>
      </w:r>
      <w:r w:rsidR="001E0936">
        <w:rPr>
          <w:i/>
          <w:sz w:val="24"/>
        </w:rPr>
        <w:t xml:space="preserve"> </w:t>
      </w:r>
      <w:r w:rsidR="001E0936">
        <w:rPr>
          <w:sz w:val="24"/>
        </w:rPr>
        <w:t>at ¶15,</w:t>
      </w:r>
      <w:r w:rsidR="001E0936" w:rsidRPr="001E0936">
        <w:t xml:space="preserve"> </w:t>
      </w:r>
      <w:r w:rsidR="001E0936" w:rsidRPr="001E0936">
        <w:rPr>
          <w:sz w:val="24"/>
        </w:rPr>
        <w:t>Court of Appeals of Ohio, Twelfth District</w:t>
      </w:r>
      <w:r w:rsidR="001E0936">
        <w:rPr>
          <w:sz w:val="24"/>
        </w:rPr>
        <w:t>.</w:t>
      </w:r>
      <w:proofErr w:type="gramEnd"/>
    </w:p>
    <w:p w:rsidR="00390EB8" w:rsidRPr="001E0936" w:rsidRDefault="00384E83" w:rsidP="00567136">
      <w:pPr>
        <w:spacing w:line="480" w:lineRule="auto"/>
        <w:ind w:firstLine="720"/>
        <w:rPr>
          <w:sz w:val="24"/>
        </w:rPr>
      </w:pPr>
      <w:r>
        <w:rPr>
          <w:sz w:val="24"/>
        </w:rPr>
        <w:t>Moreover, Evidence Rule 902</w:t>
      </w:r>
      <w:r w:rsidR="00390EB8">
        <w:rPr>
          <w:sz w:val="24"/>
        </w:rPr>
        <w:t xml:space="preserve"> provides several categories of documents </w:t>
      </w:r>
      <w:r>
        <w:rPr>
          <w:sz w:val="24"/>
        </w:rPr>
        <w:t xml:space="preserve">that </w:t>
      </w:r>
      <w:r w:rsidR="00390EB8">
        <w:rPr>
          <w:sz w:val="24"/>
        </w:rPr>
        <w:t>are self-authenticating</w:t>
      </w:r>
      <w:r w:rsidR="00390EB8" w:rsidRPr="00390EB8">
        <w:rPr>
          <w:sz w:val="24"/>
        </w:rPr>
        <w:t>, such as certified copies of public records or domes</w:t>
      </w:r>
      <w:r w:rsidR="00390EB8">
        <w:rPr>
          <w:sz w:val="24"/>
        </w:rPr>
        <w:t>tic documents filed under seal.  No extrinsic evidence of authentication is necessary to admit any such document.</w:t>
      </w:r>
      <w:r w:rsidR="00390EB8" w:rsidRPr="00390EB8">
        <w:rPr>
          <w:sz w:val="24"/>
        </w:rPr>
        <w:t xml:space="preserve"> </w:t>
      </w:r>
    </w:p>
    <w:p w:rsidR="00EB33B1" w:rsidRPr="009A5AB4" w:rsidRDefault="00C16443" w:rsidP="009A5AB4">
      <w:pPr>
        <w:spacing w:line="480" w:lineRule="auto"/>
        <w:ind w:firstLine="720"/>
        <w:rPr>
          <w:sz w:val="24"/>
        </w:rPr>
      </w:pPr>
      <w:r>
        <w:rPr>
          <w:sz w:val="24"/>
        </w:rPr>
        <w:t>Challenges to a determination on authenticity are reviewed under an abuse of discretion standard.</w:t>
      </w:r>
      <w:r w:rsidR="001939A7">
        <w:rPr>
          <w:sz w:val="24"/>
        </w:rPr>
        <w:t xml:space="preserve">  “</w:t>
      </w:r>
      <w:r w:rsidR="001939A7" w:rsidRPr="001939A7">
        <w:rPr>
          <w:sz w:val="24"/>
        </w:rPr>
        <w:t>An abuse of discretion is more than an error of law or judgment; it implies an unreasonable, arbitrary or unconscionable attitude</w:t>
      </w:r>
      <w:r w:rsidR="001939A7">
        <w:rPr>
          <w:sz w:val="24"/>
        </w:rPr>
        <w:t xml:space="preserve">.”  </w:t>
      </w:r>
      <w:proofErr w:type="gramStart"/>
      <w:r w:rsidR="001939A7">
        <w:rPr>
          <w:i/>
          <w:sz w:val="24"/>
        </w:rPr>
        <w:t xml:space="preserve">State v. Easter </w:t>
      </w:r>
      <w:r w:rsidR="001939A7">
        <w:rPr>
          <w:sz w:val="24"/>
        </w:rPr>
        <w:t>at 26.</w:t>
      </w:r>
      <w:proofErr w:type="gramEnd"/>
      <w:r w:rsidR="00F744F3">
        <w:rPr>
          <w:color w:val="222222"/>
          <w:sz w:val="24"/>
        </w:rPr>
        <w:t xml:space="preserve"> </w:t>
      </w:r>
      <w:r w:rsidR="009A5AB4">
        <w:rPr>
          <w:sz w:val="24"/>
        </w:rPr>
        <w:t xml:space="preserve">Thus, the Attorney Examiner was permitted to determine—based upon any combination of factors discussed above, including circumstantial evidence—that Ms. </w:t>
      </w:r>
      <w:proofErr w:type="spellStart"/>
      <w:r w:rsidR="009A5AB4">
        <w:rPr>
          <w:sz w:val="24"/>
        </w:rPr>
        <w:t>Vespoli’s</w:t>
      </w:r>
      <w:proofErr w:type="spellEnd"/>
      <w:r w:rsidR="009A5AB4">
        <w:rPr>
          <w:sz w:val="24"/>
        </w:rPr>
        <w:t xml:space="preserve"> testimony was what Mr. White purported it to be, so long as that determination was not unreasonable, arbitrary, or unconscionable.  As discussed below, t</w:t>
      </w:r>
      <w:r w:rsidR="00567136">
        <w:rPr>
          <w:color w:val="222222"/>
          <w:sz w:val="24"/>
        </w:rPr>
        <w:t xml:space="preserve">he Attorney Examiners properly concluded that </w:t>
      </w:r>
      <w:r w:rsidR="00574CA0">
        <w:rPr>
          <w:color w:val="222222"/>
          <w:sz w:val="24"/>
        </w:rPr>
        <w:t xml:space="preserve">Ms. </w:t>
      </w:r>
      <w:proofErr w:type="spellStart"/>
      <w:r w:rsidR="00574CA0">
        <w:rPr>
          <w:color w:val="222222"/>
          <w:sz w:val="24"/>
        </w:rPr>
        <w:t>Vespoli’s</w:t>
      </w:r>
      <w:proofErr w:type="spellEnd"/>
      <w:r w:rsidR="00567136">
        <w:rPr>
          <w:color w:val="222222"/>
          <w:sz w:val="24"/>
        </w:rPr>
        <w:t xml:space="preserve"> testimony (Ex. MW-1) satisfied the low </w:t>
      </w:r>
      <w:r w:rsidR="00567136">
        <w:rPr>
          <w:color w:val="222222"/>
          <w:sz w:val="24"/>
        </w:rPr>
        <w:lastRenderedPageBreak/>
        <w:t>threshold required for authe</w:t>
      </w:r>
      <w:r w:rsidR="009A5AB4">
        <w:rPr>
          <w:color w:val="222222"/>
          <w:sz w:val="24"/>
        </w:rPr>
        <w:t>ntication. A</w:t>
      </w:r>
      <w:r w:rsidR="00567136">
        <w:rPr>
          <w:color w:val="222222"/>
          <w:sz w:val="24"/>
        </w:rPr>
        <w:t>uthentication was achieved in</w:t>
      </w:r>
      <w:r w:rsidR="00574CA0">
        <w:rPr>
          <w:color w:val="222222"/>
          <w:sz w:val="24"/>
        </w:rPr>
        <w:t xml:space="preserve"> several diffe</w:t>
      </w:r>
      <w:r w:rsidR="00567136">
        <w:rPr>
          <w:color w:val="222222"/>
          <w:sz w:val="24"/>
        </w:rPr>
        <w:t>rent ways</w:t>
      </w:r>
      <w:r w:rsidR="00574CA0">
        <w:rPr>
          <w:color w:val="222222"/>
          <w:sz w:val="24"/>
        </w:rPr>
        <w:t xml:space="preserve">. </w:t>
      </w:r>
    </w:p>
    <w:p w:rsidR="00257587" w:rsidRDefault="00EB33B1" w:rsidP="000402F2">
      <w:pPr>
        <w:spacing w:line="480" w:lineRule="auto"/>
        <w:ind w:firstLine="720"/>
        <w:rPr>
          <w:color w:val="222222"/>
          <w:sz w:val="24"/>
        </w:rPr>
      </w:pPr>
      <w:r>
        <w:rPr>
          <w:color w:val="222222"/>
          <w:sz w:val="24"/>
        </w:rPr>
        <w:t>First,</w:t>
      </w:r>
      <w:r w:rsidR="000402F2">
        <w:rPr>
          <w:color w:val="222222"/>
          <w:sz w:val="24"/>
        </w:rPr>
        <w:t xml:space="preserve"> the source of the document attached to Mr. White’s testimony is clearly stated on the document itself—the author of the document is listed on its face as Leila </w:t>
      </w:r>
      <w:proofErr w:type="spellStart"/>
      <w:r w:rsidR="000402F2">
        <w:rPr>
          <w:color w:val="222222"/>
          <w:sz w:val="24"/>
        </w:rPr>
        <w:t>Vespoli</w:t>
      </w:r>
      <w:proofErr w:type="spellEnd"/>
      <w:r w:rsidR="000402F2">
        <w:rPr>
          <w:color w:val="222222"/>
          <w:sz w:val="24"/>
        </w:rPr>
        <w:t xml:space="preserve">, General Counsel, </w:t>
      </w:r>
      <w:proofErr w:type="gramStart"/>
      <w:r w:rsidR="000402F2">
        <w:rPr>
          <w:color w:val="222222"/>
          <w:sz w:val="24"/>
        </w:rPr>
        <w:t>FirstEnergy</w:t>
      </w:r>
      <w:proofErr w:type="gramEnd"/>
      <w:r w:rsidR="000402F2">
        <w:rPr>
          <w:color w:val="222222"/>
          <w:sz w:val="24"/>
        </w:rPr>
        <w:t>.  The subject matter and audience are identified as well on the face of the document.</w:t>
      </w:r>
      <w:r w:rsidR="00257587">
        <w:rPr>
          <w:color w:val="222222"/>
          <w:sz w:val="24"/>
        </w:rPr>
        <w:t xml:space="preserve">  The document itself, coupled with context and general knowledge of FirstEnergy’s policy positions in 2011 (or the five years before and three years after) provides sufficient context for any expert or Attorney Examiner to conclude that that there is a reasonable likelihood that Ms. </w:t>
      </w:r>
      <w:proofErr w:type="spellStart"/>
      <w:r w:rsidR="00257587">
        <w:rPr>
          <w:color w:val="222222"/>
          <w:sz w:val="24"/>
        </w:rPr>
        <w:t>Vespoli’s</w:t>
      </w:r>
      <w:proofErr w:type="spellEnd"/>
      <w:r w:rsidR="00257587">
        <w:rPr>
          <w:color w:val="222222"/>
          <w:sz w:val="24"/>
        </w:rPr>
        <w:t xml:space="preserve"> testimony is indeed authent</w:t>
      </w:r>
      <w:r w:rsidR="00395CFA">
        <w:rPr>
          <w:color w:val="222222"/>
          <w:sz w:val="24"/>
        </w:rPr>
        <w:t xml:space="preserve">ic.  While that would be enough, </w:t>
      </w:r>
      <w:r w:rsidR="00257587">
        <w:rPr>
          <w:color w:val="222222"/>
          <w:sz w:val="24"/>
        </w:rPr>
        <w:t>there is</w:t>
      </w:r>
      <w:r w:rsidR="00395CFA">
        <w:rPr>
          <w:color w:val="222222"/>
          <w:sz w:val="24"/>
        </w:rPr>
        <w:t xml:space="preserve"> much</w:t>
      </w:r>
      <w:r w:rsidR="00257587">
        <w:rPr>
          <w:color w:val="222222"/>
          <w:sz w:val="24"/>
        </w:rPr>
        <w:t xml:space="preserve"> more.</w:t>
      </w:r>
    </w:p>
    <w:p w:rsidR="00257587" w:rsidRDefault="00257587" w:rsidP="00257587">
      <w:pPr>
        <w:spacing w:line="480" w:lineRule="auto"/>
        <w:ind w:firstLine="720"/>
        <w:rPr>
          <w:color w:val="222222"/>
          <w:sz w:val="24"/>
        </w:rPr>
      </w:pPr>
      <w:r>
        <w:rPr>
          <w:color w:val="222222"/>
          <w:sz w:val="24"/>
        </w:rPr>
        <w:t xml:space="preserve">Second, </w:t>
      </w:r>
      <w:r w:rsidR="00574CA0">
        <w:rPr>
          <w:color w:val="222222"/>
          <w:sz w:val="24"/>
        </w:rPr>
        <w:t xml:space="preserve">Mr. White stated in his testimony that Ms. </w:t>
      </w:r>
      <w:proofErr w:type="spellStart"/>
      <w:r w:rsidR="00574CA0">
        <w:rPr>
          <w:color w:val="222222"/>
          <w:sz w:val="24"/>
        </w:rPr>
        <w:t>Vespoli</w:t>
      </w:r>
      <w:proofErr w:type="spellEnd"/>
      <w:r w:rsidR="00574CA0">
        <w:rPr>
          <w:color w:val="222222"/>
          <w:sz w:val="24"/>
        </w:rPr>
        <w:t xml:space="preserve"> filed this document before the Ohio House Public Utilities Committee on October 19, 2011.</w:t>
      </w:r>
      <w:r w:rsidRPr="00257587">
        <w:t xml:space="preserve"> </w:t>
      </w:r>
      <w:r w:rsidRPr="00257587">
        <w:rPr>
          <w:sz w:val="24"/>
        </w:rPr>
        <w:t>He sta</w:t>
      </w:r>
      <w:r>
        <w:rPr>
          <w:sz w:val="24"/>
        </w:rPr>
        <w:t>ted</w:t>
      </w:r>
      <w:r w:rsidRPr="00257587">
        <w:rPr>
          <w:sz w:val="24"/>
        </w:rPr>
        <w:t xml:space="preserve"> th</w:t>
      </w:r>
      <w:r w:rsidRPr="00257587">
        <w:rPr>
          <w:color w:val="222222"/>
          <w:sz w:val="24"/>
        </w:rPr>
        <w:t xml:space="preserve">at he believed the statements in Ms. </w:t>
      </w:r>
      <w:proofErr w:type="spellStart"/>
      <w:r w:rsidRPr="00257587">
        <w:rPr>
          <w:color w:val="222222"/>
          <w:sz w:val="24"/>
        </w:rPr>
        <w:t>Vespoli’s</w:t>
      </w:r>
      <w:proofErr w:type="spellEnd"/>
      <w:r w:rsidRPr="00257587">
        <w:rPr>
          <w:color w:val="222222"/>
          <w:sz w:val="24"/>
        </w:rPr>
        <w:t xml:space="preserve"> testimony were consistent with policy positions t</w:t>
      </w:r>
      <w:r w:rsidR="00384E83">
        <w:rPr>
          <w:color w:val="222222"/>
          <w:sz w:val="24"/>
        </w:rPr>
        <w:t xml:space="preserve">hat FirstEnergy had taken </w:t>
      </w:r>
      <w:r w:rsidRPr="00257587">
        <w:rPr>
          <w:color w:val="222222"/>
          <w:sz w:val="24"/>
        </w:rPr>
        <w:t>before the Ohio General Assembly. When asked the context of her testimony on cross-examination, he indicated</w:t>
      </w:r>
      <w:r>
        <w:rPr>
          <w:color w:val="222222"/>
          <w:sz w:val="24"/>
        </w:rPr>
        <w:t xml:space="preserve"> that she offered the testimony in support of competitive markets and in opposition to subsidized generation.</w:t>
      </w:r>
      <w:r>
        <w:rPr>
          <w:rStyle w:val="FootnoteReference"/>
          <w:color w:val="222222"/>
          <w:sz w:val="24"/>
        </w:rPr>
        <w:footnoteReference w:id="5"/>
      </w:r>
      <w:r w:rsidR="00567136">
        <w:rPr>
          <w:color w:val="222222"/>
          <w:sz w:val="24"/>
        </w:rPr>
        <w:t xml:space="preserve">  </w:t>
      </w:r>
      <w:r w:rsidR="00384E83">
        <w:rPr>
          <w:color w:val="222222"/>
          <w:sz w:val="24"/>
        </w:rPr>
        <w:t>Moreover, Mr. White</w:t>
      </w:r>
      <w:r w:rsidR="00567136">
        <w:rPr>
          <w:color w:val="222222"/>
          <w:sz w:val="24"/>
        </w:rPr>
        <w:t xml:space="preserve"> indicated</w:t>
      </w:r>
      <w:r w:rsidR="000402F2">
        <w:rPr>
          <w:color w:val="222222"/>
          <w:sz w:val="24"/>
        </w:rPr>
        <w:t xml:space="preserve"> </w:t>
      </w:r>
      <w:r w:rsidR="001E0936">
        <w:rPr>
          <w:color w:val="222222"/>
          <w:sz w:val="24"/>
        </w:rPr>
        <w:t>that the document was first obtained on the FirstEnergy website</w:t>
      </w:r>
      <w:r w:rsidR="000402F2">
        <w:rPr>
          <w:color w:val="222222"/>
          <w:sz w:val="24"/>
        </w:rPr>
        <w:t>.</w:t>
      </w:r>
      <w:r w:rsidR="000402F2">
        <w:rPr>
          <w:rStyle w:val="FootnoteReference"/>
          <w:color w:val="222222"/>
          <w:sz w:val="24"/>
        </w:rPr>
        <w:footnoteReference w:id="6"/>
      </w:r>
      <w:r>
        <w:rPr>
          <w:color w:val="222222"/>
          <w:sz w:val="24"/>
        </w:rPr>
        <w:t xml:space="preserve">  One can safely assume that FirstEnergy’s website does not post false documents regarding its General Counsel.  </w:t>
      </w:r>
    </w:p>
    <w:p w:rsidR="005B2F6E" w:rsidRDefault="00257587" w:rsidP="005B2F6E">
      <w:pPr>
        <w:spacing w:line="480" w:lineRule="auto"/>
        <w:ind w:firstLine="720"/>
        <w:rPr>
          <w:color w:val="222222"/>
          <w:sz w:val="24"/>
        </w:rPr>
      </w:pPr>
      <w:r>
        <w:rPr>
          <w:color w:val="222222"/>
          <w:sz w:val="24"/>
        </w:rPr>
        <w:t>Third, after</w:t>
      </w:r>
      <w:r w:rsidR="005C4210">
        <w:rPr>
          <w:color w:val="222222"/>
          <w:sz w:val="24"/>
        </w:rPr>
        <w:t xml:space="preserve"> it became apparent that</w:t>
      </w:r>
      <w:r>
        <w:rPr>
          <w:color w:val="222222"/>
          <w:sz w:val="24"/>
        </w:rPr>
        <w:t xml:space="preserve"> FirstEnergy removed Ms. </w:t>
      </w:r>
      <w:proofErr w:type="spellStart"/>
      <w:r>
        <w:rPr>
          <w:color w:val="222222"/>
          <w:sz w:val="24"/>
        </w:rPr>
        <w:t>Vespoli’s</w:t>
      </w:r>
      <w:proofErr w:type="spellEnd"/>
      <w:r>
        <w:rPr>
          <w:color w:val="222222"/>
          <w:sz w:val="24"/>
        </w:rPr>
        <w:t xml:space="preserve"> testimony</w:t>
      </w:r>
      <w:r w:rsidR="000402F2">
        <w:rPr>
          <w:color w:val="222222"/>
          <w:sz w:val="24"/>
        </w:rPr>
        <w:t xml:space="preserve"> from its website following the filing of Mr. White’s testimony</w:t>
      </w:r>
      <w:r w:rsidR="005C4210">
        <w:rPr>
          <w:color w:val="222222"/>
          <w:sz w:val="24"/>
        </w:rPr>
        <w:t xml:space="preserve"> (presumably in response to </w:t>
      </w:r>
      <w:r w:rsidR="005C4210">
        <w:rPr>
          <w:color w:val="222222"/>
          <w:sz w:val="24"/>
        </w:rPr>
        <w:lastRenderedPageBreak/>
        <w:t>the testimony filed by Mr. White)</w:t>
      </w:r>
      <w:proofErr w:type="gramStart"/>
      <w:r w:rsidR="00384E83">
        <w:rPr>
          <w:color w:val="222222"/>
          <w:sz w:val="24"/>
        </w:rPr>
        <w:t>,</w:t>
      </w:r>
      <w:proofErr w:type="gramEnd"/>
      <w:r>
        <w:rPr>
          <w:color w:val="222222"/>
          <w:sz w:val="24"/>
        </w:rPr>
        <w:t xml:space="preserve"> Mr. White directed</w:t>
      </w:r>
      <w:r w:rsidR="000402F2">
        <w:rPr>
          <w:color w:val="222222"/>
          <w:sz w:val="24"/>
        </w:rPr>
        <w:t xml:space="preserve"> his regulatory team </w:t>
      </w:r>
      <w:r>
        <w:rPr>
          <w:color w:val="222222"/>
          <w:sz w:val="24"/>
        </w:rPr>
        <w:t>to procure</w:t>
      </w:r>
      <w:r w:rsidR="000402F2">
        <w:rPr>
          <w:color w:val="222222"/>
          <w:sz w:val="24"/>
        </w:rPr>
        <w:t xml:space="preserve"> a certified copy of Ms. </w:t>
      </w:r>
      <w:proofErr w:type="spellStart"/>
      <w:r w:rsidR="000402F2">
        <w:rPr>
          <w:color w:val="222222"/>
          <w:sz w:val="24"/>
        </w:rPr>
        <w:t>Vespoli’s</w:t>
      </w:r>
      <w:proofErr w:type="spellEnd"/>
      <w:r w:rsidR="000402F2">
        <w:rPr>
          <w:color w:val="222222"/>
          <w:sz w:val="24"/>
        </w:rPr>
        <w:t xml:space="preserve"> testimony </w:t>
      </w:r>
      <w:r w:rsidR="001E0936">
        <w:rPr>
          <w:color w:val="222222"/>
          <w:sz w:val="24"/>
        </w:rPr>
        <w:t>from the Ohio General Assembly via the Legislative Service Commission</w:t>
      </w:r>
      <w:r w:rsidR="000402F2">
        <w:rPr>
          <w:color w:val="222222"/>
          <w:sz w:val="24"/>
        </w:rPr>
        <w:t>.</w:t>
      </w:r>
      <w:r w:rsidR="000402F2">
        <w:rPr>
          <w:rStyle w:val="FootnoteReference"/>
          <w:color w:val="222222"/>
          <w:sz w:val="24"/>
        </w:rPr>
        <w:footnoteReference w:id="7"/>
      </w:r>
      <w:r w:rsidR="005E7350">
        <w:rPr>
          <w:color w:val="222222"/>
          <w:sz w:val="24"/>
        </w:rPr>
        <w:t xml:space="preserve">  The document was readily attainable, because under Rule 44 of the Ohio House or Representatives, the Clerk had a duty to maintain Ms. </w:t>
      </w:r>
      <w:proofErr w:type="spellStart"/>
      <w:r w:rsidR="005E7350">
        <w:rPr>
          <w:color w:val="222222"/>
          <w:sz w:val="24"/>
        </w:rPr>
        <w:t>Vespoli’s</w:t>
      </w:r>
      <w:proofErr w:type="spellEnd"/>
      <w:r w:rsidR="005E7350">
        <w:rPr>
          <w:color w:val="222222"/>
          <w:sz w:val="24"/>
        </w:rPr>
        <w:t xml:space="preserve"> testimony.</w:t>
      </w:r>
      <w:r w:rsidR="005E7350">
        <w:rPr>
          <w:rStyle w:val="FootnoteReference"/>
          <w:color w:val="222222"/>
          <w:sz w:val="24"/>
        </w:rPr>
        <w:footnoteReference w:id="8"/>
      </w:r>
      <w:r w:rsidR="005E7350">
        <w:rPr>
          <w:color w:val="222222"/>
          <w:sz w:val="24"/>
        </w:rPr>
        <w:t xml:space="preserve"> </w:t>
      </w:r>
      <w:r w:rsidR="000402F2">
        <w:rPr>
          <w:color w:val="222222"/>
          <w:sz w:val="24"/>
        </w:rPr>
        <w:t>As he stated,</w:t>
      </w:r>
      <w:r w:rsidR="000402F2" w:rsidRPr="000402F2">
        <w:t xml:space="preserve"> </w:t>
      </w:r>
      <w:r w:rsidR="000402F2">
        <w:rPr>
          <w:color w:val="222222"/>
          <w:sz w:val="24"/>
        </w:rPr>
        <w:t>“[s]</w:t>
      </w:r>
      <w:r w:rsidR="000402F2" w:rsidRPr="000402F2">
        <w:rPr>
          <w:color w:val="222222"/>
          <w:sz w:val="24"/>
        </w:rPr>
        <w:t>o it's the same words, but the copies that I have on the stand are certifie</w:t>
      </w:r>
      <w:r>
        <w:rPr>
          <w:color w:val="222222"/>
          <w:sz w:val="24"/>
        </w:rPr>
        <w:t>d copies</w:t>
      </w:r>
      <w:r w:rsidR="00F94405">
        <w:rPr>
          <w:color w:val="222222"/>
          <w:sz w:val="24"/>
        </w:rPr>
        <w:t>.</w:t>
      </w:r>
      <w:r>
        <w:rPr>
          <w:color w:val="222222"/>
          <w:sz w:val="24"/>
        </w:rPr>
        <w:t>”</w:t>
      </w:r>
      <w:r w:rsidR="00F94405">
        <w:rPr>
          <w:rStyle w:val="FootnoteReference"/>
          <w:color w:val="222222"/>
          <w:sz w:val="24"/>
        </w:rPr>
        <w:footnoteReference w:id="9"/>
      </w:r>
      <w:r>
        <w:rPr>
          <w:color w:val="222222"/>
          <w:sz w:val="24"/>
        </w:rPr>
        <w:t xml:space="preserve">  His comparison of the two documents</w:t>
      </w:r>
      <w:r w:rsidR="005B2F6E">
        <w:rPr>
          <w:color w:val="222222"/>
          <w:sz w:val="24"/>
        </w:rPr>
        <w:t xml:space="preserve"> </w:t>
      </w:r>
      <w:r>
        <w:rPr>
          <w:color w:val="222222"/>
          <w:sz w:val="24"/>
        </w:rPr>
        <w:t>provides further evidence that the document passes the low standard required for authentication.</w:t>
      </w:r>
      <w:r w:rsidR="00574CA0">
        <w:rPr>
          <w:color w:val="222222"/>
          <w:sz w:val="24"/>
        </w:rPr>
        <w:t xml:space="preserve"> </w:t>
      </w:r>
      <w:r w:rsidR="005B2F6E">
        <w:rPr>
          <w:color w:val="222222"/>
          <w:sz w:val="24"/>
        </w:rPr>
        <w:t xml:space="preserve">Moreover, the fact that Mr. White confirmed that Ms. </w:t>
      </w:r>
      <w:proofErr w:type="spellStart"/>
      <w:r w:rsidR="005B2F6E">
        <w:rPr>
          <w:color w:val="222222"/>
          <w:sz w:val="24"/>
        </w:rPr>
        <w:t>Vespoli’s</w:t>
      </w:r>
      <w:proofErr w:type="spellEnd"/>
      <w:r w:rsidR="005B2F6E">
        <w:rPr>
          <w:color w:val="222222"/>
          <w:sz w:val="24"/>
        </w:rPr>
        <w:t xml:space="preserve"> testimony is a public record</w:t>
      </w:r>
      <w:r w:rsidR="00F94405">
        <w:rPr>
          <w:color w:val="222222"/>
          <w:sz w:val="24"/>
        </w:rPr>
        <w:t xml:space="preserve"> stored by the General Assembly (and Legislative Service Commission)</w:t>
      </w:r>
      <w:r w:rsidR="005B2F6E">
        <w:rPr>
          <w:color w:val="222222"/>
          <w:sz w:val="24"/>
        </w:rPr>
        <w:t xml:space="preserve"> lends further support to its authenticity. </w:t>
      </w:r>
      <w:r w:rsidR="005B2F6E">
        <w:rPr>
          <w:i/>
          <w:color w:val="222222"/>
          <w:sz w:val="24"/>
        </w:rPr>
        <w:t xml:space="preserve">See </w:t>
      </w:r>
      <w:proofErr w:type="spellStart"/>
      <w:r w:rsidR="005B2F6E">
        <w:rPr>
          <w:color w:val="222222"/>
          <w:sz w:val="24"/>
        </w:rPr>
        <w:t>Evid</w:t>
      </w:r>
      <w:proofErr w:type="spellEnd"/>
      <w:r w:rsidR="005B2F6E">
        <w:rPr>
          <w:color w:val="222222"/>
          <w:sz w:val="24"/>
        </w:rPr>
        <w:t>. R. 901(b</w:t>
      </w:r>
      <w:proofErr w:type="gramStart"/>
      <w:r w:rsidR="005B2F6E">
        <w:rPr>
          <w:color w:val="222222"/>
          <w:sz w:val="24"/>
        </w:rPr>
        <w:t>)(</w:t>
      </w:r>
      <w:proofErr w:type="gramEnd"/>
      <w:r w:rsidR="005B2F6E">
        <w:rPr>
          <w:color w:val="222222"/>
          <w:sz w:val="24"/>
        </w:rPr>
        <w:t>7).</w:t>
      </w:r>
    </w:p>
    <w:p w:rsidR="009D0DEA" w:rsidRDefault="00D73F09" w:rsidP="00D73F09">
      <w:pPr>
        <w:spacing w:line="480" w:lineRule="auto"/>
        <w:ind w:firstLine="720"/>
        <w:rPr>
          <w:color w:val="222222"/>
          <w:sz w:val="24"/>
        </w:rPr>
      </w:pPr>
      <w:r>
        <w:rPr>
          <w:color w:val="222222"/>
          <w:sz w:val="24"/>
        </w:rPr>
        <w:t>Fourth</w:t>
      </w:r>
      <w:r w:rsidR="005B2F6E">
        <w:rPr>
          <w:color w:val="222222"/>
          <w:sz w:val="24"/>
        </w:rPr>
        <w:t xml:space="preserve">, because Mr. White obtained a certified copy of Ms. </w:t>
      </w:r>
      <w:proofErr w:type="spellStart"/>
      <w:r w:rsidR="005B2F6E">
        <w:rPr>
          <w:color w:val="222222"/>
          <w:sz w:val="24"/>
        </w:rPr>
        <w:t>Vespoli’s</w:t>
      </w:r>
      <w:proofErr w:type="spellEnd"/>
      <w:r w:rsidR="005B2F6E">
        <w:rPr>
          <w:color w:val="222222"/>
          <w:sz w:val="24"/>
        </w:rPr>
        <w:t xml:space="preserve"> testimony,</w:t>
      </w:r>
      <w:r w:rsidR="005B2F6E">
        <w:rPr>
          <w:rStyle w:val="FootnoteReference"/>
          <w:color w:val="222222"/>
          <w:sz w:val="24"/>
        </w:rPr>
        <w:footnoteReference w:id="10"/>
      </w:r>
      <w:r w:rsidR="005B2F6E">
        <w:rPr>
          <w:color w:val="222222"/>
          <w:sz w:val="24"/>
        </w:rPr>
        <w:t xml:space="preserve"> any failure to authenticate the document is moot.  The certified public record Mr. White </w:t>
      </w:r>
      <w:r w:rsidR="005B2F6E">
        <w:rPr>
          <w:color w:val="222222"/>
          <w:sz w:val="24"/>
        </w:rPr>
        <w:lastRenderedPageBreak/>
        <w:t>reviewed is self-authenticating, but, it is also an admission of a party opponent.</w:t>
      </w:r>
      <w:r w:rsidR="00536BA7">
        <w:rPr>
          <w:rStyle w:val="FootnoteReference"/>
          <w:color w:val="222222"/>
          <w:sz w:val="24"/>
        </w:rPr>
        <w:footnoteReference w:id="11"/>
      </w:r>
      <w:r w:rsidR="005B2F6E">
        <w:rPr>
          <w:color w:val="222222"/>
          <w:sz w:val="24"/>
        </w:rPr>
        <w:t xml:space="preserve">  As such, it could be offered into evidence at any time.</w:t>
      </w:r>
      <w:r w:rsidR="00F94405">
        <w:rPr>
          <w:color w:val="222222"/>
          <w:sz w:val="24"/>
        </w:rPr>
        <w:t xml:space="preserve">  Similarly</w:t>
      </w:r>
      <w:r w:rsidR="009D0DEA">
        <w:rPr>
          <w:color w:val="222222"/>
          <w:sz w:val="24"/>
        </w:rPr>
        <w:t xml:space="preserve">, at a prior stage of the hearing, the Attorney Examiner took administrative notice of prior testimony submitted by a FirstEnergy Solutions witness Sharon </w:t>
      </w:r>
      <w:proofErr w:type="spellStart"/>
      <w:r w:rsidR="009D0DEA">
        <w:rPr>
          <w:color w:val="222222"/>
          <w:sz w:val="24"/>
        </w:rPr>
        <w:t>Noewer</w:t>
      </w:r>
      <w:proofErr w:type="spellEnd"/>
      <w:r w:rsidR="009D0DEA">
        <w:rPr>
          <w:color w:val="222222"/>
          <w:sz w:val="24"/>
        </w:rPr>
        <w:t xml:space="preserve"> in Case No. 12-426-EL-SSO, </w:t>
      </w:r>
      <w:proofErr w:type="gramStart"/>
      <w:r w:rsidR="009D0DEA">
        <w:rPr>
          <w:i/>
          <w:color w:val="222222"/>
          <w:sz w:val="24"/>
        </w:rPr>
        <w:t>et</w:t>
      </w:r>
      <w:proofErr w:type="gramEnd"/>
      <w:r w:rsidR="009D0DEA">
        <w:rPr>
          <w:i/>
          <w:color w:val="222222"/>
          <w:sz w:val="24"/>
        </w:rPr>
        <w:t>. al</w:t>
      </w:r>
      <w:r w:rsidR="009D0DEA">
        <w:rPr>
          <w:color w:val="222222"/>
          <w:sz w:val="24"/>
        </w:rPr>
        <w:t>.</w:t>
      </w:r>
      <w:r w:rsidR="009D0DEA">
        <w:rPr>
          <w:rStyle w:val="FootnoteReference"/>
          <w:color w:val="222222"/>
          <w:sz w:val="24"/>
        </w:rPr>
        <w:footnoteReference w:id="12"/>
      </w:r>
      <w:r w:rsidR="009D0DEA">
        <w:rPr>
          <w:color w:val="222222"/>
          <w:sz w:val="24"/>
        </w:rPr>
        <w:t xml:space="preserve">  If prior testimo</w:t>
      </w:r>
      <w:r w:rsidR="00AB32F8">
        <w:rPr>
          <w:color w:val="222222"/>
          <w:sz w:val="24"/>
        </w:rPr>
        <w:t xml:space="preserve">ny in that case may be administratively noticed, there is no reason why Ms. </w:t>
      </w:r>
      <w:proofErr w:type="spellStart"/>
      <w:r w:rsidR="00AB32F8">
        <w:rPr>
          <w:color w:val="222222"/>
          <w:sz w:val="24"/>
        </w:rPr>
        <w:t>Vespoli’s</w:t>
      </w:r>
      <w:proofErr w:type="spellEnd"/>
      <w:r w:rsidR="00AB32F8">
        <w:rPr>
          <w:color w:val="222222"/>
          <w:sz w:val="24"/>
        </w:rPr>
        <w:t xml:space="preserve"> testimony before the Ohio General Assembly cannot as well.</w:t>
      </w:r>
    </w:p>
    <w:p w:rsidR="00390EB8" w:rsidRPr="00390EB8" w:rsidRDefault="00D73F09" w:rsidP="005C7733">
      <w:pPr>
        <w:spacing w:line="480" w:lineRule="auto"/>
        <w:ind w:firstLine="720"/>
        <w:rPr>
          <w:color w:val="222222"/>
          <w:sz w:val="24"/>
        </w:rPr>
      </w:pPr>
      <w:r>
        <w:rPr>
          <w:color w:val="222222"/>
          <w:sz w:val="24"/>
        </w:rPr>
        <w:t>Finally, the Commission is not required to adhere to the rules of evide</w:t>
      </w:r>
      <w:r w:rsidR="00F94405">
        <w:rPr>
          <w:color w:val="222222"/>
          <w:sz w:val="24"/>
        </w:rPr>
        <w:t>nce discussed above. Indeed,</w:t>
      </w:r>
      <w:r>
        <w:rPr>
          <w:color w:val="222222"/>
          <w:sz w:val="24"/>
        </w:rPr>
        <w:t xml:space="preserve"> Attorney Examiners are provided a wide degree of discretion to manage the admissibility of evidence.  Utilizing her discretion, the Attorney Examiner determined that Ms. </w:t>
      </w:r>
      <w:proofErr w:type="spellStart"/>
      <w:r>
        <w:rPr>
          <w:color w:val="222222"/>
          <w:sz w:val="24"/>
        </w:rPr>
        <w:t>Vespoli’s</w:t>
      </w:r>
      <w:proofErr w:type="spellEnd"/>
      <w:r>
        <w:rPr>
          <w:color w:val="222222"/>
          <w:sz w:val="24"/>
        </w:rPr>
        <w:t xml:space="preserve"> testimony was relevant and should be admitted into evidence.</w:t>
      </w:r>
      <w:r w:rsidR="00536BA7">
        <w:rPr>
          <w:rStyle w:val="FootnoteReference"/>
          <w:color w:val="222222"/>
          <w:sz w:val="24"/>
        </w:rPr>
        <w:footnoteReference w:id="13"/>
      </w:r>
      <w:r w:rsidR="00F94405">
        <w:rPr>
          <w:color w:val="222222"/>
          <w:sz w:val="24"/>
        </w:rPr>
        <w:t xml:space="preserve">  Accordingly, FirstEnergy’s appeal lacks merit.</w:t>
      </w:r>
    </w:p>
    <w:p w:rsidR="00F744F3" w:rsidRDefault="00F744F3">
      <w:pPr>
        <w:rPr>
          <w:b/>
          <w:sz w:val="24"/>
        </w:rPr>
      </w:pPr>
      <w:r>
        <w:rPr>
          <w:sz w:val="24"/>
        </w:rPr>
        <w:tab/>
      </w:r>
      <w:r w:rsidR="005C7733">
        <w:rPr>
          <w:b/>
          <w:sz w:val="24"/>
        </w:rPr>
        <w:t>2</w:t>
      </w:r>
      <w:r w:rsidR="00390EB8">
        <w:rPr>
          <w:b/>
          <w:sz w:val="24"/>
        </w:rPr>
        <w:t xml:space="preserve">.  </w:t>
      </w:r>
      <w:r w:rsidR="00F40E07">
        <w:rPr>
          <w:b/>
          <w:sz w:val="24"/>
        </w:rPr>
        <w:t>The Commission Should Not Certify the A</w:t>
      </w:r>
      <w:r w:rsidR="00EB0737">
        <w:rPr>
          <w:b/>
          <w:sz w:val="24"/>
        </w:rPr>
        <w:t>ppeal</w:t>
      </w:r>
    </w:p>
    <w:p w:rsidR="00EB0737" w:rsidRDefault="00EB0737">
      <w:pPr>
        <w:rPr>
          <w:b/>
          <w:sz w:val="24"/>
        </w:rPr>
      </w:pPr>
    </w:p>
    <w:p w:rsidR="005C7733" w:rsidRDefault="00EB0737" w:rsidP="00F94405">
      <w:pPr>
        <w:spacing w:line="480" w:lineRule="auto"/>
        <w:rPr>
          <w:sz w:val="24"/>
        </w:rPr>
      </w:pPr>
      <w:r>
        <w:rPr>
          <w:b/>
          <w:sz w:val="24"/>
        </w:rPr>
        <w:tab/>
      </w:r>
      <w:r>
        <w:rPr>
          <w:sz w:val="24"/>
        </w:rPr>
        <w:t xml:space="preserve">FirstEnergy claims that the Commission departed from past precedent when it failed to require Mr. White to include a certified copy of Ms. </w:t>
      </w:r>
      <w:proofErr w:type="spellStart"/>
      <w:r>
        <w:rPr>
          <w:sz w:val="24"/>
        </w:rPr>
        <w:t>Vespoli’s</w:t>
      </w:r>
      <w:proofErr w:type="spellEnd"/>
      <w:r>
        <w:rPr>
          <w:sz w:val="24"/>
        </w:rPr>
        <w:t xml:space="preserve"> testimony when he </w:t>
      </w:r>
      <w:proofErr w:type="spellStart"/>
      <w:r>
        <w:rPr>
          <w:sz w:val="24"/>
        </w:rPr>
        <w:t>prefiled</w:t>
      </w:r>
      <w:proofErr w:type="spellEnd"/>
      <w:r>
        <w:rPr>
          <w:sz w:val="24"/>
        </w:rPr>
        <w:t xml:space="preserve"> his testimony.</w:t>
      </w:r>
      <w:r w:rsidR="005C7733">
        <w:rPr>
          <w:sz w:val="24"/>
        </w:rPr>
        <w:t xml:space="preserve">  FirstEnergy further claims that Mr. White was permitted to amend his </w:t>
      </w:r>
      <w:proofErr w:type="spellStart"/>
      <w:r w:rsidR="005C7733">
        <w:rPr>
          <w:sz w:val="24"/>
        </w:rPr>
        <w:t>prefiled</w:t>
      </w:r>
      <w:proofErr w:type="spellEnd"/>
      <w:r w:rsidR="005C7733">
        <w:rPr>
          <w:sz w:val="24"/>
        </w:rPr>
        <w:t xml:space="preserve"> testimony by relying upon a certified copy of Ms. </w:t>
      </w:r>
      <w:proofErr w:type="spellStart"/>
      <w:r w:rsidR="005C7733">
        <w:rPr>
          <w:sz w:val="24"/>
        </w:rPr>
        <w:t>Vespoli’s</w:t>
      </w:r>
      <w:proofErr w:type="spellEnd"/>
      <w:r w:rsidR="005C7733">
        <w:rPr>
          <w:sz w:val="24"/>
        </w:rPr>
        <w:t xml:space="preserve"> testimony at the hearing.</w:t>
      </w:r>
      <w:r>
        <w:rPr>
          <w:sz w:val="24"/>
        </w:rPr>
        <w:t xml:space="preserve">  </w:t>
      </w:r>
      <w:r w:rsidR="00F94405">
        <w:rPr>
          <w:sz w:val="24"/>
        </w:rPr>
        <w:t xml:space="preserve">While FirstEnergy’s legal argument is fatally flawed, there is no need for </w:t>
      </w:r>
      <w:r w:rsidR="00F94405">
        <w:rPr>
          <w:sz w:val="24"/>
        </w:rPr>
        <w:lastRenderedPageBreak/>
        <w:t>the Commission to address it.  The ruling did not deviate from precedent; there is no basis to certify the appeal.</w:t>
      </w:r>
    </w:p>
    <w:p w:rsidR="005C7733" w:rsidRDefault="005C7733" w:rsidP="005C7733">
      <w:pPr>
        <w:spacing w:line="480" w:lineRule="auto"/>
        <w:rPr>
          <w:sz w:val="24"/>
        </w:rPr>
      </w:pPr>
      <w:r>
        <w:rPr>
          <w:sz w:val="24"/>
        </w:rPr>
        <w:tab/>
        <w:t xml:space="preserve">Initially, parties </w:t>
      </w:r>
      <w:r w:rsidR="00EB0737">
        <w:rPr>
          <w:sz w:val="24"/>
        </w:rPr>
        <w:t>often include excerpts or complete copies of another parties</w:t>
      </w:r>
      <w:r w:rsidR="00B54B55">
        <w:rPr>
          <w:sz w:val="24"/>
        </w:rPr>
        <w:t>’</w:t>
      </w:r>
      <w:r w:rsidR="00EB0737">
        <w:rPr>
          <w:sz w:val="24"/>
        </w:rPr>
        <w:t xml:space="preserve"> testimony without including a certified copy.  For example, the Testimony o</w:t>
      </w:r>
      <w:r w:rsidR="00871648">
        <w:rPr>
          <w:sz w:val="24"/>
        </w:rPr>
        <w:t xml:space="preserve">f J. Edward Hess, Ex. JEH-1 </w:t>
      </w:r>
      <w:r w:rsidR="00EB0737">
        <w:rPr>
          <w:sz w:val="24"/>
        </w:rPr>
        <w:t>filed on May 4, 2012 included</w:t>
      </w:r>
      <w:r w:rsidR="00871648">
        <w:rPr>
          <w:sz w:val="24"/>
        </w:rPr>
        <w:t xml:space="preserve"> uncertified copies of</w:t>
      </w:r>
      <w:r w:rsidR="00EB0737">
        <w:rPr>
          <w:sz w:val="24"/>
        </w:rPr>
        <w:t xml:space="preserve"> schedules taken from Ohio Power Company’s application for an electric transition plan</w:t>
      </w:r>
      <w:r w:rsidR="00871648">
        <w:rPr>
          <w:sz w:val="24"/>
        </w:rPr>
        <w:t>.</w:t>
      </w:r>
      <w:r w:rsidR="00871648">
        <w:rPr>
          <w:rStyle w:val="FootnoteReference"/>
          <w:sz w:val="24"/>
        </w:rPr>
        <w:footnoteReference w:id="14"/>
      </w:r>
      <w:r w:rsidR="00EB0737">
        <w:rPr>
          <w:sz w:val="24"/>
        </w:rPr>
        <w:t xml:space="preserve">  This is not </w:t>
      </w:r>
      <w:r w:rsidR="00B54B55">
        <w:rPr>
          <w:sz w:val="24"/>
        </w:rPr>
        <w:t xml:space="preserve">a </w:t>
      </w:r>
      <w:r w:rsidR="00EB0737">
        <w:rPr>
          <w:sz w:val="24"/>
        </w:rPr>
        <w:t>new</w:t>
      </w:r>
      <w:r w:rsidR="00B54B55">
        <w:rPr>
          <w:sz w:val="24"/>
        </w:rPr>
        <w:t xml:space="preserve"> practice</w:t>
      </w:r>
      <w:r w:rsidR="00EB0737">
        <w:rPr>
          <w:sz w:val="24"/>
        </w:rPr>
        <w:t>.</w:t>
      </w:r>
      <w:r w:rsidR="00871648">
        <w:rPr>
          <w:sz w:val="24"/>
        </w:rPr>
        <w:t xml:space="preserve">  Mr. Hess also submitted </w:t>
      </w:r>
      <w:proofErr w:type="spellStart"/>
      <w:r w:rsidR="00871648">
        <w:rPr>
          <w:sz w:val="24"/>
        </w:rPr>
        <w:t>prefiled</w:t>
      </w:r>
      <w:proofErr w:type="spellEnd"/>
      <w:r w:rsidR="00871648">
        <w:rPr>
          <w:sz w:val="24"/>
        </w:rPr>
        <w:t xml:space="preserve"> testimony in Dayton Power &amp; Light’s (“DP&amp;L”) electric security plan that attached the prior electric transition plan testimony of witness Ralph </w:t>
      </w:r>
      <w:proofErr w:type="spellStart"/>
      <w:r w:rsidR="00871648">
        <w:rPr>
          <w:sz w:val="24"/>
        </w:rPr>
        <w:t>Luciani</w:t>
      </w:r>
      <w:proofErr w:type="spellEnd"/>
      <w:r w:rsidR="00871648">
        <w:rPr>
          <w:sz w:val="24"/>
        </w:rPr>
        <w:t>, which was not certified.</w:t>
      </w:r>
      <w:r w:rsidR="00871648">
        <w:rPr>
          <w:rStyle w:val="FootnoteReference"/>
          <w:sz w:val="24"/>
        </w:rPr>
        <w:footnoteReference w:id="15"/>
      </w:r>
      <w:r w:rsidR="00B54B55">
        <w:rPr>
          <w:sz w:val="24"/>
        </w:rPr>
        <w:t xml:space="preserve">  Mr. Hess provided testimony before the Commissio</w:t>
      </w:r>
      <w:r w:rsidR="00E43CDE">
        <w:rPr>
          <w:sz w:val="24"/>
        </w:rPr>
        <w:t xml:space="preserve">n for more than two decades on behalf of </w:t>
      </w:r>
      <w:r w:rsidR="00B54B55">
        <w:rPr>
          <w:sz w:val="24"/>
        </w:rPr>
        <w:t>the Commission Staff and other parties.  If his testimony did not include certified copies of the testimony to which he referred, one can safely include that precedent does not require it.</w:t>
      </w:r>
    </w:p>
    <w:p w:rsidR="005C7733" w:rsidRDefault="005C7733" w:rsidP="005C7733">
      <w:pPr>
        <w:spacing w:line="480" w:lineRule="auto"/>
        <w:rPr>
          <w:sz w:val="24"/>
        </w:rPr>
      </w:pPr>
      <w:r>
        <w:rPr>
          <w:sz w:val="24"/>
        </w:rPr>
        <w:tab/>
        <w:t xml:space="preserve">Moreover, Mr. White did not amend his </w:t>
      </w:r>
      <w:proofErr w:type="spellStart"/>
      <w:r>
        <w:rPr>
          <w:sz w:val="24"/>
        </w:rPr>
        <w:t>prefiled</w:t>
      </w:r>
      <w:proofErr w:type="spellEnd"/>
      <w:r>
        <w:rPr>
          <w:sz w:val="24"/>
        </w:rPr>
        <w:t xml:space="preserve"> testimony.  He testified at the hearing that he had reviewed a certified copy that contained the exact same words as the testimony he relied upon:</w:t>
      </w:r>
      <w:r w:rsidRPr="005C7733">
        <w:t xml:space="preserve"> </w:t>
      </w:r>
      <w:r w:rsidRPr="005C7733">
        <w:rPr>
          <w:sz w:val="24"/>
        </w:rPr>
        <w:t>“[s]o it's the same words, but the copies that I have on the stand are certified copies</w:t>
      </w:r>
      <w:r>
        <w:rPr>
          <w:sz w:val="24"/>
        </w:rPr>
        <w:t>.</w:t>
      </w:r>
      <w:r w:rsidRPr="005C7733">
        <w:rPr>
          <w:sz w:val="24"/>
        </w:rPr>
        <w:t>”</w:t>
      </w:r>
      <w:r w:rsidR="00E43CDE">
        <w:rPr>
          <w:rStyle w:val="FootnoteReference"/>
          <w:sz w:val="24"/>
        </w:rPr>
        <w:footnoteReference w:id="16"/>
      </w:r>
      <w:r>
        <w:rPr>
          <w:sz w:val="24"/>
        </w:rPr>
        <w:t xml:space="preserve">  Because the documents are identical in substance, there can be no claim that FirstEnergy was prejudiced or denied the opportunity to cross-examine Mr. White on his testimony.  </w:t>
      </w:r>
    </w:p>
    <w:p w:rsidR="00871648" w:rsidRPr="005C7733" w:rsidRDefault="005C7733" w:rsidP="005C7733">
      <w:pPr>
        <w:spacing w:line="480" w:lineRule="auto"/>
        <w:rPr>
          <w:sz w:val="24"/>
        </w:rPr>
      </w:pPr>
      <w:r>
        <w:rPr>
          <w:sz w:val="24"/>
        </w:rPr>
        <w:lastRenderedPageBreak/>
        <w:tab/>
        <w:t xml:space="preserve">Each of the cases that </w:t>
      </w:r>
      <w:proofErr w:type="spellStart"/>
      <w:r>
        <w:rPr>
          <w:sz w:val="24"/>
        </w:rPr>
        <w:t>FirstEnerg</w:t>
      </w:r>
      <w:proofErr w:type="spellEnd"/>
      <w:r w:rsidR="00EB0737">
        <w:rPr>
          <w:b/>
          <w:sz w:val="24"/>
        </w:rPr>
        <w:tab/>
      </w:r>
      <w:r>
        <w:rPr>
          <w:sz w:val="24"/>
        </w:rPr>
        <w:t>y relies upon</w:t>
      </w:r>
      <w:r w:rsidR="00B54B55">
        <w:rPr>
          <w:sz w:val="24"/>
        </w:rPr>
        <w:t xml:space="preserve"> miss</w:t>
      </w:r>
      <w:r w:rsidR="00E43CDE">
        <w:rPr>
          <w:sz w:val="24"/>
        </w:rPr>
        <w:t>es</w:t>
      </w:r>
      <w:r w:rsidR="00B54B55">
        <w:rPr>
          <w:sz w:val="24"/>
        </w:rPr>
        <w:t xml:space="preserve"> the mark.  Those cases provide instances where a witness attempted to submit newly minted testimony on the eve of trial, which unduly surprised other parties to the proceeding.  Mr. White made no such filing</w:t>
      </w:r>
      <w:r>
        <w:rPr>
          <w:sz w:val="24"/>
        </w:rPr>
        <w:t>.  His testimony remained completely unchanged.</w:t>
      </w:r>
      <w:r w:rsidR="00B54B55">
        <w:rPr>
          <w:sz w:val="24"/>
        </w:rPr>
        <w:t xml:space="preserve">  Indeed, FirstEnergy deposed Mr. White with respect to Ms. </w:t>
      </w:r>
      <w:proofErr w:type="spellStart"/>
      <w:r w:rsidR="00B54B55">
        <w:rPr>
          <w:sz w:val="24"/>
        </w:rPr>
        <w:t>Vespoli’s</w:t>
      </w:r>
      <w:proofErr w:type="spellEnd"/>
      <w:r w:rsidR="00B54B55">
        <w:rPr>
          <w:sz w:val="24"/>
        </w:rPr>
        <w:t xml:space="preserve"> testimony in March of 2015 and was given the opportunity to submit written discovery on that testimony.  And Mr. White’s conclusions with respect to FirstEnergy’s inconsistent behavior remain unchanged from the time he submitted his </w:t>
      </w:r>
      <w:proofErr w:type="spellStart"/>
      <w:r w:rsidR="00B54B55">
        <w:rPr>
          <w:sz w:val="24"/>
        </w:rPr>
        <w:t>prefiled</w:t>
      </w:r>
      <w:proofErr w:type="spellEnd"/>
      <w:r w:rsidR="00B54B55">
        <w:rPr>
          <w:sz w:val="24"/>
        </w:rPr>
        <w:t xml:space="preserve"> testimony in March.  Thus, there is no prejudice to FirstEnergy.</w:t>
      </w:r>
    </w:p>
    <w:p w:rsidR="00EB0737" w:rsidRDefault="00871648" w:rsidP="00871648">
      <w:pPr>
        <w:spacing w:line="480" w:lineRule="auto"/>
        <w:ind w:firstLine="720"/>
        <w:rPr>
          <w:sz w:val="24"/>
        </w:rPr>
      </w:pPr>
      <w:r>
        <w:rPr>
          <w:sz w:val="24"/>
        </w:rPr>
        <w:t>What this appeal really boils down to is F</w:t>
      </w:r>
      <w:r w:rsidR="00536BA7">
        <w:rPr>
          <w:sz w:val="24"/>
        </w:rPr>
        <w:t xml:space="preserve">irstEnergy’s displeasure with an unremarkable ruling on a motion to strike.  Such motions </w:t>
      </w:r>
      <w:r w:rsidR="00EB0737">
        <w:rPr>
          <w:sz w:val="24"/>
        </w:rPr>
        <w:t>are made every day</w:t>
      </w:r>
      <w:r w:rsidR="00536BA7">
        <w:rPr>
          <w:sz w:val="24"/>
        </w:rPr>
        <w:t xml:space="preserve"> in Commission hearings</w:t>
      </w:r>
      <w:r w:rsidR="00EB0737">
        <w:rPr>
          <w:sz w:val="24"/>
        </w:rPr>
        <w:t>.  Some</w:t>
      </w:r>
      <w:r w:rsidR="00B54B55">
        <w:rPr>
          <w:sz w:val="24"/>
        </w:rPr>
        <w:t xml:space="preserve"> </w:t>
      </w:r>
      <w:r w:rsidR="00EB0737">
        <w:rPr>
          <w:sz w:val="24"/>
        </w:rPr>
        <w:t xml:space="preserve">are granted; some are denied.  </w:t>
      </w:r>
      <w:r w:rsidR="00B54B55">
        <w:rPr>
          <w:sz w:val="24"/>
        </w:rPr>
        <w:t>But f</w:t>
      </w:r>
      <w:r w:rsidR="00EB0737">
        <w:rPr>
          <w:sz w:val="24"/>
        </w:rPr>
        <w:t>ailure to grant a motion to strike does not</w:t>
      </w:r>
      <w:r w:rsidR="009D3E1D">
        <w:rPr>
          <w:sz w:val="24"/>
        </w:rPr>
        <w:t xml:space="preserve"> result in a novel issue of law or departure from past precedent.</w:t>
      </w:r>
      <w:r w:rsidR="00536BA7">
        <w:rPr>
          <w:sz w:val="24"/>
        </w:rPr>
        <w:t xml:space="preserve">  If it did, interlocutory appeals would be filed every day.</w:t>
      </w:r>
    </w:p>
    <w:p w:rsidR="00EB0737" w:rsidRPr="00E43CDE" w:rsidRDefault="00B54B55">
      <w:pPr>
        <w:rPr>
          <w:b/>
          <w:sz w:val="24"/>
          <w:u w:val="single"/>
        </w:rPr>
      </w:pPr>
      <w:r w:rsidRPr="005B442B">
        <w:rPr>
          <w:b/>
          <w:sz w:val="24"/>
        </w:rPr>
        <w:t xml:space="preserve">III. </w:t>
      </w:r>
      <w:r w:rsidRPr="00E43CDE">
        <w:rPr>
          <w:b/>
          <w:sz w:val="24"/>
          <w:u w:val="single"/>
        </w:rPr>
        <w:t>CONCLUSION</w:t>
      </w:r>
    </w:p>
    <w:p w:rsidR="00B54B55" w:rsidRDefault="00B54B55">
      <w:pPr>
        <w:rPr>
          <w:b/>
          <w:sz w:val="24"/>
        </w:rPr>
      </w:pPr>
    </w:p>
    <w:p w:rsidR="00B54B55" w:rsidRPr="00B54B55" w:rsidRDefault="00B54B55" w:rsidP="00D15A2F">
      <w:pPr>
        <w:spacing w:line="480" w:lineRule="auto"/>
        <w:rPr>
          <w:sz w:val="24"/>
        </w:rPr>
      </w:pPr>
      <w:bookmarkStart w:id="0" w:name="_GoBack"/>
      <w:bookmarkEnd w:id="0"/>
      <w:r>
        <w:rPr>
          <w:b/>
          <w:sz w:val="24"/>
        </w:rPr>
        <w:tab/>
      </w:r>
      <w:r>
        <w:rPr>
          <w:sz w:val="24"/>
        </w:rPr>
        <w:t>For the reasons stated herein, the Commission should not certify FirstEnergy’s appea</w:t>
      </w:r>
      <w:r w:rsidR="00D15A2F">
        <w:rPr>
          <w:sz w:val="24"/>
        </w:rPr>
        <w:t>l.  W</w:t>
      </w:r>
      <w:r w:rsidR="00D15A2F" w:rsidRPr="00D15A2F">
        <w:rPr>
          <w:sz w:val="24"/>
        </w:rPr>
        <w:t>hile FirstEnergy claims the ruling deviates from preceden</w:t>
      </w:r>
      <w:r w:rsidR="00D15A2F">
        <w:rPr>
          <w:sz w:val="24"/>
        </w:rPr>
        <w:t xml:space="preserve">t, it is clear that only one deviation has occurred in this proceeding: </w:t>
      </w:r>
      <w:r w:rsidR="00D15A2F" w:rsidRPr="00D15A2F">
        <w:rPr>
          <w:sz w:val="24"/>
        </w:rPr>
        <w:t>FirstEnergy’s</w:t>
      </w:r>
      <w:r w:rsidR="00D15A2F">
        <w:rPr>
          <w:sz w:val="24"/>
        </w:rPr>
        <w:t xml:space="preserve"> stance on competitive markets.  </w:t>
      </w:r>
      <w:r w:rsidR="00E43CDE">
        <w:rPr>
          <w:sz w:val="24"/>
        </w:rPr>
        <w:t xml:space="preserve"> </w:t>
      </w:r>
      <w:r w:rsidR="00F40E07">
        <w:rPr>
          <w:sz w:val="24"/>
        </w:rPr>
        <w:t xml:space="preserve">FirstEnergy should not be </w:t>
      </w:r>
      <w:r w:rsidR="00E43CDE">
        <w:rPr>
          <w:sz w:val="24"/>
        </w:rPr>
        <w:t>relieve</w:t>
      </w:r>
      <w:r w:rsidR="00F40E07">
        <w:rPr>
          <w:sz w:val="24"/>
        </w:rPr>
        <w:t xml:space="preserve">d of the requirement of </w:t>
      </w:r>
      <w:r w:rsidR="00E43CDE">
        <w:rPr>
          <w:sz w:val="24"/>
        </w:rPr>
        <w:t>explaining to the Commission and its customers why it seeks a remedy in this proceeding wholly inconsist</w:t>
      </w:r>
      <w:r w:rsidR="00D15A2F">
        <w:rPr>
          <w:sz w:val="24"/>
        </w:rPr>
        <w:t>ent with its prior public poli</w:t>
      </w:r>
      <w:r w:rsidR="00F40E07">
        <w:rPr>
          <w:sz w:val="24"/>
        </w:rPr>
        <w:t xml:space="preserve">cy positions. </w:t>
      </w:r>
    </w:p>
    <w:p w:rsidR="00B54B55" w:rsidRDefault="00B54B55" w:rsidP="00B54B55">
      <w:pPr>
        <w:ind w:left="5040"/>
        <w:rPr>
          <w:rFonts w:eastAsia="Calibri"/>
          <w:sz w:val="24"/>
        </w:rPr>
      </w:pPr>
      <w:r>
        <w:rPr>
          <w:rFonts w:eastAsia="Calibri"/>
          <w:sz w:val="24"/>
        </w:rPr>
        <w:t>Respectfully submitted,</w:t>
      </w:r>
    </w:p>
    <w:p w:rsidR="00B54B55" w:rsidRDefault="00B54B55" w:rsidP="00B54B55">
      <w:pPr>
        <w:rPr>
          <w:rFonts w:eastAsia="Calibri"/>
          <w:sz w:val="24"/>
        </w:rPr>
      </w:pPr>
    </w:p>
    <w:p w:rsidR="00B54B55" w:rsidRDefault="00B54B55" w:rsidP="00B54B55">
      <w:pPr>
        <w:ind w:left="5040"/>
        <w:rPr>
          <w:rFonts w:eastAsia="Calibri"/>
          <w:sz w:val="24"/>
        </w:rPr>
      </w:pPr>
      <w:r>
        <w:rPr>
          <w:rFonts w:eastAsia="Calibri"/>
          <w:sz w:val="24"/>
        </w:rPr>
        <w:tab/>
      </w:r>
      <w:r>
        <w:rPr>
          <w:rFonts w:eastAsia="Calibri"/>
          <w:sz w:val="24"/>
        </w:rPr>
        <w:tab/>
      </w:r>
      <w:r>
        <w:rPr>
          <w:rFonts w:eastAsia="Calibri"/>
          <w:sz w:val="24"/>
        </w:rPr>
        <w:tab/>
      </w:r>
      <w:r>
        <w:rPr>
          <w:rFonts w:eastAsia="Calibri"/>
          <w:sz w:val="24"/>
        </w:rPr>
        <w:tab/>
      </w:r>
      <w:r>
        <w:rPr>
          <w:rFonts w:eastAsia="Calibri"/>
          <w:sz w:val="24"/>
        </w:rPr>
        <w:tab/>
      </w:r>
    </w:p>
    <w:p w:rsidR="00B54B55" w:rsidRDefault="00B54B55" w:rsidP="00B54B55">
      <w:pPr>
        <w:ind w:left="5040"/>
        <w:rPr>
          <w:rFonts w:eastAsia="Arial"/>
          <w:i/>
          <w:sz w:val="24"/>
          <w:u w:val="single"/>
        </w:rPr>
      </w:pPr>
      <w:r>
        <w:rPr>
          <w:rFonts w:eastAsia="Arial"/>
          <w:i/>
          <w:sz w:val="24"/>
          <w:u w:val="single"/>
        </w:rPr>
        <w:t>/s/ Joseph Oliker</w:t>
      </w:r>
    </w:p>
    <w:p w:rsidR="00B54B55" w:rsidRPr="007B3399" w:rsidRDefault="00B54B55" w:rsidP="00B54B55">
      <w:pPr>
        <w:ind w:left="5040"/>
        <w:rPr>
          <w:sz w:val="24"/>
        </w:rPr>
      </w:pPr>
      <w:r>
        <w:rPr>
          <w:rFonts w:eastAsia="Arial"/>
          <w:sz w:val="24"/>
        </w:rPr>
        <w:lastRenderedPageBreak/>
        <w:t xml:space="preserve">Joseph Oliker </w:t>
      </w:r>
      <w:r>
        <w:rPr>
          <w:sz w:val="24"/>
        </w:rPr>
        <w:t>(0086088)</w:t>
      </w:r>
    </w:p>
    <w:p w:rsidR="00B54B55" w:rsidRDefault="00B54B55" w:rsidP="00B54B55">
      <w:pPr>
        <w:ind w:left="5040"/>
        <w:rPr>
          <w:rFonts w:eastAsia="Calibri"/>
          <w:sz w:val="24"/>
          <w:u w:val="single"/>
        </w:rPr>
      </w:pPr>
      <w:r>
        <w:rPr>
          <w:rFonts w:eastAsia="Arial"/>
          <w:sz w:val="24"/>
        </w:rPr>
        <w:t xml:space="preserve">Counsel of Record </w:t>
      </w:r>
    </w:p>
    <w:p w:rsidR="00B54B55" w:rsidRDefault="00B54B55" w:rsidP="00B54B55">
      <w:pPr>
        <w:ind w:left="5040"/>
        <w:rPr>
          <w:sz w:val="24"/>
        </w:rPr>
      </w:pPr>
      <w:r>
        <w:rPr>
          <w:sz w:val="24"/>
        </w:rPr>
        <w:t>Email:  joliker@igsenergy.com</w:t>
      </w:r>
    </w:p>
    <w:p w:rsidR="00B54B55" w:rsidRDefault="00B54B55" w:rsidP="00B54B55">
      <w:pPr>
        <w:ind w:left="5040"/>
        <w:rPr>
          <w:sz w:val="24"/>
        </w:rPr>
      </w:pPr>
      <w:r>
        <w:rPr>
          <w:sz w:val="24"/>
        </w:rPr>
        <w:t>IGS Energy</w:t>
      </w:r>
    </w:p>
    <w:p w:rsidR="00B54B55" w:rsidRDefault="00B54B55" w:rsidP="00B54B55">
      <w:pPr>
        <w:ind w:left="5040"/>
        <w:rPr>
          <w:sz w:val="24"/>
        </w:rPr>
      </w:pPr>
      <w:r>
        <w:rPr>
          <w:sz w:val="24"/>
        </w:rPr>
        <w:t>6100 Emerald Parkway</w:t>
      </w:r>
    </w:p>
    <w:p w:rsidR="00B54B55" w:rsidRDefault="00B54B55" w:rsidP="00B54B55">
      <w:pPr>
        <w:ind w:left="5040"/>
        <w:rPr>
          <w:sz w:val="24"/>
        </w:rPr>
      </w:pPr>
      <w:r>
        <w:rPr>
          <w:sz w:val="24"/>
        </w:rPr>
        <w:t>Dublin, Ohio 43016</w:t>
      </w:r>
    </w:p>
    <w:p w:rsidR="00B54B55" w:rsidRDefault="00B54B55" w:rsidP="00B54B55">
      <w:pPr>
        <w:ind w:left="5040"/>
        <w:rPr>
          <w:sz w:val="24"/>
        </w:rPr>
      </w:pPr>
      <w:r>
        <w:rPr>
          <w:sz w:val="24"/>
        </w:rPr>
        <w:t>Telephone:</w:t>
      </w:r>
      <w:r>
        <w:rPr>
          <w:sz w:val="24"/>
        </w:rPr>
        <w:tab/>
        <w:t>(614) 659-5000</w:t>
      </w:r>
    </w:p>
    <w:p w:rsidR="00B54B55" w:rsidRDefault="00B54B55" w:rsidP="00B54B55">
      <w:pPr>
        <w:ind w:left="5040"/>
        <w:rPr>
          <w:sz w:val="24"/>
        </w:rPr>
      </w:pPr>
      <w:r>
        <w:rPr>
          <w:sz w:val="24"/>
        </w:rPr>
        <w:t>Facsimile:</w:t>
      </w:r>
      <w:r>
        <w:rPr>
          <w:sz w:val="24"/>
        </w:rPr>
        <w:tab/>
        <w:t>(614) 659-5073</w:t>
      </w:r>
    </w:p>
    <w:p w:rsidR="00B54B55" w:rsidRDefault="00B54B55" w:rsidP="00B54B55">
      <w:pPr>
        <w:ind w:left="5040"/>
        <w:rPr>
          <w:sz w:val="24"/>
        </w:rPr>
      </w:pPr>
    </w:p>
    <w:p w:rsidR="00D60A9C" w:rsidRPr="00B54B55" w:rsidRDefault="00B54B55" w:rsidP="00B54B55">
      <w:pPr>
        <w:spacing w:line="480" w:lineRule="auto"/>
        <w:ind w:left="5040"/>
        <w:rPr>
          <w:sz w:val="22"/>
          <w:szCs w:val="22"/>
          <w:u w:val="single"/>
        </w:rPr>
      </w:pPr>
      <w:proofErr w:type="gramStart"/>
      <w:r w:rsidRPr="00B54B55">
        <w:rPr>
          <w:b/>
          <w:i/>
          <w:sz w:val="22"/>
          <w:szCs w:val="22"/>
        </w:rPr>
        <w:t>Attorney for Interstate Gas Supply, Inc.</w:t>
      </w:r>
      <w:proofErr w:type="gramEnd"/>
    </w:p>
    <w:p w:rsidR="00B54B55" w:rsidRDefault="00B54B55" w:rsidP="00D91257"/>
    <w:p w:rsidR="00B54B55" w:rsidRDefault="00B54B55" w:rsidP="00D91257"/>
    <w:p w:rsidR="0027162A" w:rsidRDefault="0027162A" w:rsidP="00D91257"/>
    <w:p w:rsidR="0027162A" w:rsidRDefault="0027162A" w:rsidP="00D91257"/>
    <w:p w:rsidR="0027162A" w:rsidRDefault="0027162A"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F40E07" w:rsidRDefault="00F40E07" w:rsidP="00D91257"/>
    <w:p w:rsidR="00F40E07" w:rsidRDefault="00F40E07" w:rsidP="00D91257"/>
    <w:p w:rsidR="00F40E07" w:rsidRDefault="00F40E07" w:rsidP="00D91257"/>
    <w:p w:rsidR="00F40E07" w:rsidRDefault="00F40E07"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D91257"/>
    <w:p w:rsidR="00E43CDE" w:rsidRDefault="00E43CDE" w:rsidP="00F40E07">
      <w:pPr>
        <w:suppressLineNumbers/>
      </w:pPr>
    </w:p>
    <w:p w:rsidR="00F40E07" w:rsidRDefault="00F40E07" w:rsidP="00F40E07">
      <w:pPr>
        <w:suppressLineNumbers/>
        <w:rPr>
          <w:rFonts w:eastAsia="Arial"/>
          <w:b/>
          <w:sz w:val="24"/>
          <w:u w:val="single"/>
        </w:rPr>
      </w:pPr>
    </w:p>
    <w:p w:rsidR="00B54B55" w:rsidRPr="009D71F6" w:rsidRDefault="00B54B55" w:rsidP="00B54B55">
      <w:pPr>
        <w:suppressLineNumbers/>
        <w:jc w:val="center"/>
        <w:rPr>
          <w:rFonts w:eastAsia="Arial"/>
          <w:b/>
          <w:sz w:val="24"/>
          <w:u w:val="single"/>
        </w:rPr>
      </w:pPr>
      <w:r w:rsidRPr="009D71F6">
        <w:rPr>
          <w:rFonts w:eastAsia="Arial"/>
          <w:b/>
          <w:sz w:val="24"/>
          <w:u w:val="single"/>
        </w:rPr>
        <w:lastRenderedPageBreak/>
        <w:t>CERTIFICATE OF SERVICE</w:t>
      </w:r>
    </w:p>
    <w:p w:rsidR="00B54B55" w:rsidRPr="009D71F6" w:rsidRDefault="00B54B55" w:rsidP="00B54B55">
      <w:pPr>
        <w:suppressLineNumbers/>
        <w:jc w:val="center"/>
        <w:rPr>
          <w:rFonts w:eastAsia="Arial"/>
          <w:b/>
          <w:sz w:val="24"/>
          <w:u w:val="single"/>
        </w:rPr>
      </w:pPr>
    </w:p>
    <w:p w:rsidR="00B54B55" w:rsidRPr="009D71F6" w:rsidRDefault="00B54B55" w:rsidP="00B54B55">
      <w:pPr>
        <w:suppressLineNumbers/>
        <w:rPr>
          <w:rFonts w:eastAsia="Calibri"/>
          <w:sz w:val="24"/>
        </w:rPr>
      </w:pPr>
      <w:r w:rsidRPr="009D71F6">
        <w:rPr>
          <w:rFonts w:eastAsia="Arial"/>
          <w:sz w:val="24"/>
        </w:rPr>
        <w:tab/>
      </w:r>
      <w:r>
        <w:rPr>
          <w:rFonts w:eastAsia="Calibri"/>
          <w:sz w:val="24"/>
        </w:rPr>
        <w:t>The unders</w:t>
      </w:r>
      <w:r w:rsidRPr="009D71F6">
        <w:rPr>
          <w:rFonts w:eastAsia="Calibri"/>
          <w:sz w:val="24"/>
        </w:rPr>
        <w:t>igned hereby certifies that a copy of the foregoing</w:t>
      </w:r>
      <w:r>
        <w:rPr>
          <w:rFonts w:eastAsia="Calibri"/>
          <w:sz w:val="24"/>
        </w:rPr>
        <w:t xml:space="preserve"> </w:t>
      </w:r>
      <w:r>
        <w:rPr>
          <w:rFonts w:eastAsia="Calibri"/>
          <w:i/>
          <w:sz w:val="24"/>
        </w:rPr>
        <w:t xml:space="preserve">Reply of Interstate Gas Supply, Inc. </w:t>
      </w:r>
      <w:r w:rsidRPr="009D71F6">
        <w:rPr>
          <w:rFonts w:eastAsia="Calibri"/>
          <w:sz w:val="24"/>
        </w:rPr>
        <w:t xml:space="preserve">was served this </w:t>
      </w:r>
      <w:r w:rsidR="00E43CDE">
        <w:rPr>
          <w:rFonts w:eastAsia="Calibri"/>
          <w:sz w:val="24"/>
        </w:rPr>
        <w:t>the 19</w:t>
      </w:r>
      <w:r>
        <w:rPr>
          <w:rFonts w:eastAsia="Calibri"/>
          <w:sz w:val="24"/>
        </w:rPr>
        <w:t>th day of October 2015</w:t>
      </w:r>
      <w:r w:rsidRPr="009D71F6">
        <w:rPr>
          <w:rFonts w:eastAsia="Calibri"/>
          <w:sz w:val="24"/>
        </w:rPr>
        <w:t xml:space="preserve"> via electronic mail upon the following:</w:t>
      </w:r>
    </w:p>
    <w:p w:rsidR="00B54B55" w:rsidRDefault="00B54B55" w:rsidP="00B54B55">
      <w:pPr>
        <w:suppressLineNumbers/>
        <w:rPr>
          <w:rFonts w:eastAsia="Calibri"/>
          <w:sz w:val="24"/>
        </w:rPr>
      </w:pPr>
    </w:p>
    <w:p w:rsidR="00B54B55" w:rsidRPr="00F46354" w:rsidRDefault="00B54B55" w:rsidP="00B54B55">
      <w:pPr>
        <w:suppressLineNumbers/>
        <w:rPr>
          <w:sz w:val="16"/>
          <w:szCs w:val="16"/>
        </w:rPr>
      </w:pPr>
    </w:p>
    <w:tbl>
      <w:tblPr>
        <w:tblStyle w:val="TableGrid"/>
        <w:tblW w:w="0" w:type="auto"/>
        <w:tblLook w:val="04A0" w:firstRow="1" w:lastRow="0" w:firstColumn="1" w:lastColumn="0" w:noHBand="0" w:noVBand="1"/>
      </w:tblPr>
      <w:tblGrid>
        <w:gridCol w:w="4788"/>
        <w:gridCol w:w="4788"/>
      </w:tblGrid>
      <w:tr w:rsidR="00B54B55" w:rsidRPr="0004430E" w:rsidTr="003558B0">
        <w:tc>
          <w:tcPr>
            <w:tcW w:w="4788" w:type="dxa"/>
          </w:tcPr>
          <w:p w:rsidR="00B54B55" w:rsidRPr="00E43CDE" w:rsidRDefault="00B54B55" w:rsidP="003558B0">
            <w:pPr>
              <w:jc w:val="both"/>
              <w:rPr>
                <w:rFonts w:ascii="Arial" w:hAnsi="Arial" w:cs="Arial"/>
              </w:rPr>
            </w:pPr>
            <w:r w:rsidRPr="00E43CDE">
              <w:rPr>
                <w:rFonts w:ascii="Arial" w:hAnsi="Arial" w:cs="Arial"/>
              </w:rPr>
              <w:t xml:space="preserve">Thomas.mcnamee@puc.state.oh.us Thomas.lindgren@puc.state.oh.us Ryan.orourke@puc.state.oh.us </w:t>
            </w:r>
          </w:p>
          <w:p w:rsidR="00B54B55" w:rsidRPr="00E43CDE" w:rsidRDefault="00B54B55" w:rsidP="003558B0">
            <w:pPr>
              <w:jc w:val="both"/>
              <w:rPr>
                <w:rFonts w:ascii="Arial" w:hAnsi="Arial" w:cs="Arial"/>
              </w:rPr>
            </w:pPr>
            <w:r w:rsidRPr="00E43CDE">
              <w:rPr>
                <w:rFonts w:ascii="Arial" w:hAnsi="Arial" w:cs="Arial"/>
              </w:rPr>
              <w:t xml:space="preserve">mkurtz@BKLlawfirm.com kboehm@BKLlawfirm.com jkylercohn@BKLlawfirm.com stnourse@aep.com </w:t>
            </w:r>
          </w:p>
          <w:p w:rsidR="00B54B55" w:rsidRPr="00E43CDE" w:rsidRDefault="003E29EB" w:rsidP="003558B0">
            <w:pPr>
              <w:jc w:val="both"/>
              <w:rPr>
                <w:rFonts w:ascii="Arial" w:hAnsi="Arial" w:cs="Arial"/>
              </w:rPr>
            </w:pPr>
            <w:hyperlink r:id="rId9" w:history="1">
              <w:r w:rsidR="00B54B55" w:rsidRPr="00E43CDE">
                <w:rPr>
                  <w:rStyle w:val="Hyperlink"/>
                  <w:rFonts w:ascii="Arial" w:hAnsi="Arial" w:cs="Arial"/>
                  <w:color w:val="auto"/>
                  <w:u w:val="none"/>
                </w:rPr>
                <w:t>mjsatterwhite@aep.com</w:t>
              </w:r>
            </w:hyperlink>
            <w:r w:rsidR="00B54B55"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yalami@aep.com joseph.clark@directenergy.com ghull@eckertseamans.com </w:t>
            </w:r>
          </w:p>
          <w:p w:rsidR="00B54B55" w:rsidRPr="00E43CDE" w:rsidRDefault="00B54B55" w:rsidP="003558B0">
            <w:pPr>
              <w:jc w:val="both"/>
              <w:rPr>
                <w:rFonts w:ascii="Arial" w:hAnsi="Arial" w:cs="Arial"/>
              </w:rPr>
            </w:pPr>
            <w:r w:rsidRPr="00E43CDE">
              <w:rPr>
                <w:rFonts w:ascii="Arial" w:hAnsi="Arial" w:cs="Arial"/>
              </w:rPr>
              <w:t xml:space="preserve">myurick@taftlaw.com zkravitz@taftlaw.com </w:t>
            </w:r>
            <w:hyperlink r:id="rId10" w:history="1">
              <w:r w:rsidRPr="00E43CDE">
                <w:rPr>
                  <w:rStyle w:val="Hyperlink"/>
                  <w:rFonts w:ascii="Arial" w:hAnsi="Arial" w:cs="Arial"/>
                  <w:color w:val="auto"/>
                  <w:u w:val="none"/>
                </w:rPr>
                <w:t>Schmidt@sppgrp.com</w:t>
              </w:r>
            </w:hyperlink>
            <w:r w:rsidRPr="00E43CDE">
              <w:rPr>
                <w:rFonts w:ascii="Arial" w:hAnsi="Arial" w:cs="Arial"/>
              </w:rPr>
              <w:t xml:space="preserve"> </w:t>
            </w:r>
          </w:p>
          <w:p w:rsidR="00B54B55" w:rsidRPr="00E43CDE" w:rsidRDefault="003E29EB" w:rsidP="003558B0">
            <w:pPr>
              <w:jc w:val="both"/>
              <w:rPr>
                <w:rFonts w:ascii="Arial" w:hAnsi="Arial" w:cs="Arial"/>
              </w:rPr>
            </w:pPr>
            <w:hyperlink r:id="rId11" w:history="1">
              <w:r w:rsidR="00B54B55" w:rsidRPr="00E43CDE">
                <w:rPr>
                  <w:rStyle w:val="Hyperlink"/>
                  <w:rFonts w:ascii="Arial" w:hAnsi="Arial" w:cs="Arial"/>
                  <w:color w:val="auto"/>
                  <w:u w:val="none"/>
                </w:rPr>
                <w:t>ricks@ohanet.org</w:t>
              </w:r>
            </w:hyperlink>
            <w:r w:rsidR="00B54B55"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tobrien@bricker.com </w:t>
            </w:r>
          </w:p>
          <w:p w:rsidR="00B54B55" w:rsidRPr="00E43CDE" w:rsidRDefault="003E29EB" w:rsidP="003558B0">
            <w:pPr>
              <w:jc w:val="both"/>
              <w:rPr>
                <w:rFonts w:ascii="Arial" w:hAnsi="Arial" w:cs="Arial"/>
              </w:rPr>
            </w:pPr>
            <w:hyperlink r:id="rId12" w:history="1">
              <w:r w:rsidR="00B54B55" w:rsidRPr="00E43CDE">
                <w:rPr>
                  <w:rStyle w:val="Hyperlink"/>
                  <w:rFonts w:ascii="Arial" w:hAnsi="Arial" w:cs="Arial"/>
                  <w:color w:val="auto"/>
                  <w:u w:val="none"/>
                </w:rPr>
                <w:t>mkl@bbrslaw.com</w:t>
              </w:r>
            </w:hyperlink>
            <w:r w:rsidR="00B54B55"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gas@bbrslaw.com </w:t>
            </w:r>
          </w:p>
          <w:p w:rsidR="00B54B55" w:rsidRPr="00E43CDE" w:rsidRDefault="003E29EB" w:rsidP="003558B0">
            <w:pPr>
              <w:jc w:val="both"/>
              <w:rPr>
                <w:rFonts w:ascii="Arial" w:hAnsi="Arial" w:cs="Arial"/>
              </w:rPr>
            </w:pPr>
            <w:hyperlink r:id="rId13" w:history="1">
              <w:r w:rsidR="00B54B55" w:rsidRPr="00E43CDE">
                <w:rPr>
                  <w:rStyle w:val="Hyperlink"/>
                  <w:rFonts w:ascii="Arial" w:hAnsi="Arial" w:cs="Arial"/>
                  <w:color w:val="auto"/>
                  <w:u w:val="none"/>
                </w:rPr>
                <w:t>ojk@bbrslaw.com</w:t>
              </w:r>
            </w:hyperlink>
            <w:r w:rsidR="00B54B55"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wttpmlc@aol.com lhawrot@spilmanlaw.com </w:t>
            </w:r>
          </w:p>
          <w:p w:rsidR="00B54B55" w:rsidRPr="00E43CDE" w:rsidRDefault="00B54B55" w:rsidP="003558B0">
            <w:pPr>
              <w:jc w:val="both"/>
              <w:rPr>
                <w:rFonts w:ascii="Arial" w:hAnsi="Arial" w:cs="Arial"/>
              </w:rPr>
            </w:pPr>
            <w:r w:rsidRPr="00E43CDE">
              <w:rPr>
                <w:rFonts w:ascii="Arial" w:hAnsi="Arial" w:cs="Arial"/>
              </w:rPr>
              <w:t xml:space="preserve">dwilliamson@spilmanlaw.com blanghenry@city.cleveland.oh.us hmadorsky@city.cleveland.oh.us </w:t>
            </w:r>
          </w:p>
          <w:p w:rsidR="00B54B55" w:rsidRPr="00E43CDE" w:rsidRDefault="00B54B55" w:rsidP="003558B0">
            <w:pPr>
              <w:jc w:val="both"/>
              <w:rPr>
                <w:rFonts w:ascii="Arial" w:hAnsi="Arial" w:cs="Arial"/>
              </w:rPr>
            </w:pPr>
            <w:r w:rsidRPr="00E43CDE">
              <w:rPr>
                <w:rFonts w:ascii="Arial" w:hAnsi="Arial" w:cs="Arial"/>
              </w:rPr>
              <w:t xml:space="preserve">kryan@city.cleveland.oh.us jscheaf@mcdonaldhopkins.com gkrassen@bricker.com dstinson@bricker.com </w:t>
            </w:r>
          </w:p>
          <w:p w:rsidR="00B54B55" w:rsidRPr="00E43CDE" w:rsidRDefault="00B54B55" w:rsidP="003558B0">
            <w:pPr>
              <w:jc w:val="both"/>
              <w:rPr>
                <w:rFonts w:ascii="Arial" w:hAnsi="Arial" w:cs="Arial"/>
              </w:rPr>
            </w:pPr>
            <w:r w:rsidRPr="00E43CDE">
              <w:rPr>
                <w:rFonts w:ascii="Arial" w:hAnsi="Arial" w:cs="Arial"/>
              </w:rPr>
              <w:t>dborchers@bricker.com</w:t>
            </w:r>
          </w:p>
          <w:p w:rsidR="00B54B55" w:rsidRPr="00E43CDE" w:rsidRDefault="00B54B55" w:rsidP="003558B0">
            <w:pPr>
              <w:jc w:val="both"/>
              <w:rPr>
                <w:rFonts w:ascii="Arial" w:hAnsi="Arial" w:cs="Arial"/>
              </w:rPr>
            </w:pPr>
            <w:r w:rsidRPr="00E43CDE">
              <w:rPr>
                <w:rFonts w:ascii="Arial" w:hAnsi="Arial" w:cs="Arial"/>
              </w:rPr>
              <w:t xml:space="preserve">drinebolt@ohiopartners.org meissnerjoseph@yahoo.com LeslieKovacik@toledo.oh.gov trhayslaw@gmail.com </w:t>
            </w:r>
          </w:p>
          <w:p w:rsidR="00B54B55" w:rsidRPr="00E43CDE" w:rsidRDefault="00B54B55" w:rsidP="003558B0">
            <w:pPr>
              <w:jc w:val="both"/>
              <w:rPr>
                <w:rFonts w:ascii="Arial" w:hAnsi="Arial" w:cs="Arial"/>
              </w:rPr>
            </w:pPr>
            <w:r w:rsidRPr="00E43CDE">
              <w:rPr>
                <w:rFonts w:ascii="Arial" w:hAnsi="Arial" w:cs="Arial"/>
              </w:rPr>
              <w:t xml:space="preserve">Jeffrey.mayes@monitoringanalytics.com mhpetricoff@vorys.com mjsettineri@vorys.com </w:t>
            </w:r>
          </w:p>
          <w:p w:rsidR="00B54B55" w:rsidRPr="00E43CDE" w:rsidRDefault="00B54B55" w:rsidP="003558B0">
            <w:pPr>
              <w:jc w:val="both"/>
              <w:rPr>
                <w:rFonts w:ascii="Arial" w:hAnsi="Arial" w:cs="Arial"/>
              </w:rPr>
            </w:pPr>
            <w:r w:rsidRPr="00E43CDE">
              <w:rPr>
                <w:rFonts w:ascii="Arial" w:hAnsi="Arial" w:cs="Arial"/>
              </w:rPr>
              <w:t xml:space="preserve">glpetrucci@vorys.com msoules@earthjustice.org </w:t>
            </w:r>
            <w:hyperlink r:id="rId14" w:history="1">
              <w:r w:rsidRPr="00E43CDE">
                <w:rPr>
                  <w:rStyle w:val="Hyperlink"/>
                  <w:rFonts w:ascii="Arial" w:hAnsi="Arial" w:cs="Arial"/>
                  <w:color w:val="auto"/>
                  <w:u w:val="none"/>
                </w:rPr>
                <w:t>sfisk@earthjustice.org</w:t>
              </w:r>
            </w:hyperlink>
          </w:p>
          <w:p w:rsidR="00B54B55" w:rsidRPr="00E43CDE" w:rsidRDefault="00B54B55" w:rsidP="003558B0">
            <w:pPr>
              <w:jc w:val="both"/>
              <w:rPr>
                <w:rFonts w:ascii="Arial" w:hAnsi="Arial" w:cs="Arial"/>
              </w:rPr>
            </w:pPr>
            <w:r w:rsidRPr="00E43CDE">
              <w:rPr>
                <w:rFonts w:ascii="Arial" w:hAnsi="Arial" w:cs="Arial"/>
              </w:rPr>
              <w:t>Larry.sauer@occ.ohio.gov</w:t>
            </w:r>
          </w:p>
          <w:p w:rsidR="00B54B55" w:rsidRPr="00E43CDE" w:rsidRDefault="00B54B55" w:rsidP="003558B0">
            <w:pPr>
              <w:jc w:val="both"/>
              <w:rPr>
                <w:rFonts w:ascii="Arial" w:hAnsi="Arial" w:cs="Arial"/>
              </w:rPr>
            </w:pPr>
            <w:r w:rsidRPr="00E43CDE">
              <w:rPr>
                <w:rFonts w:ascii="Arial" w:hAnsi="Arial" w:cs="Arial"/>
              </w:rPr>
              <w:lastRenderedPageBreak/>
              <w:t>Michael.schuler@occ.ohio.gov</w:t>
            </w:r>
          </w:p>
          <w:p w:rsidR="00B54B55" w:rsidRPr="00E43CDE" w:rsidRDefault="00B54B55" w:rsidP="003558B0">
            <w:pPr>
              <w:jc w:val="both"/>
              <w:rPr>
                <w:rFonts w:ascii="Arial" w:hAnsi="Arial" w:cs="Arial"/>
              </w:rPr>
            </w:pPr>
            <w:r w:rsidRPr="00E43CDE">
              <w:rPr>
                <w:rFonts w:ascii="Arial" w:hAnsi="Arial" w:cs="Arial"/>
              </w:rPr>
              <w:t>Kevin.moore@occ.ohio.gov</w:t>
            </w:r>
          </w:p>
        </w:tc>
        <w:tc>
          <w:tcPr>
            <w:tcW w:w="4788" w:type="dxa"/>
          </w:tcPr>
          <w:p w:rsidR="00B54B55" w:rsidRPr="00E43CDE" w:rsidRDefault="00B54B55" w:rsidP="003558B0">
            <w:pPr>
              <w:jc w:val="both"/>
              <w:rPr>
                <w:rFonts w:ascii="Arial" w:hAnsi="Arial" w:cs="Arial"/>
              </w:rPr>
            </w:pPr>
            <w:r w:rsidRPr="00E43CDE">
              <w:rPr>
                <w:rFonts w:ascii="Arial" w:hAnsi="Arial" w:cs="Arial"/>
              </w:rPr>
              <w:lastRenderedPageBreak/>
              <w:t xml:space="preserve">burkj@firstenergycorp.com cdunn@firstenergycorp.com </w:t>
            </w:r>
            <w:hyperlink r:id="rId15" w:history="1">
              <w:r w:rsidRPr="00E43CDE">
                <w:rPr>
                  <w:rStyle w:val="Hyperlink"/>
                  <w:rFonts w:ascii="Arial" w:hAnsi="Arial" w:cs="Arial"/>
                  <w:color w:val="auto"/>
                  <w:u w:val="none"/>
                </w:rPr>
                <w:t>jlang@calfee.com</w:t>
              </w:r>
            </w:hyperlink>
            <w:r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talexander@calfee.com </w:t>
            </w:r>
          </w:p>
          <w:p w:rsidR="00B54B55" w:rsidRPr="00E43CDE" w:rsidRDefault="00B54B55" w:rsidP="003558B0">
            <w:pPr>
              <w:jc w:val="both"/>
              <w:rPr>
                <w:rFonts w:ascii="Arial" w:hAnsi="Arial" w:cs="Arial"/>
              </w:rPr>
            </w:pPr>
            <w:r w:rsidRPr="00E43CDE">
              <w:rPr>
                <w:rFonts w:ascii="Arial" w:hAnsi="Arial" w:cs="Arial"/>
              </w:rPr>
              <w:t xml:space="preserve">dakutik@jonesday.com sam@mwncmh.com </w:t>
            </w:r>
          </w:p>
          <w:p w:rsidR="00B54B55" w:rsidRPr="00E43CDE" w:rsidRDefault="00B54B55" w:rsidP="003558B0">
            <w:pPr>
              <w:jc w:val="both"/>
              <w:rPr>
                <w:rFonts w:ascii="Arial" w:hAnsi="Arial" w:cs="Arial"/>
              </w:rPr>
            </w:pPr>
            <w:r w:rsidRPr="00E43CDE">
              <w:rPr>
                <w:rFonts w:ascii="Arial" w:hAnsi="Arial" w:cs="Arial"/>
              </w:rPr>
              <w:t xml:space="preserve">fdarr@mwncmh.com mpritchard@mwncmh.com cmooney@ohiopartners.org </w:t>
            </w:r>
          </w:p>
          <w:p w:rsidR="00B54B55" w:rsidRPr="00E43CDE" w:rsidRDefault="00B54B55" w:rsidP="003558B0">
            <w:pPr>
              <w:jc w:val="both"/>
              <w:rPr>
                <w:rFonts w:ascii="Arial" w:hAnsi="Arial" w:cs="Arial"/>
              </w:rPr>
            </w:pPr>
            <w:r w:rsidRPr="00E43CDE">
              <w:rPr>
                <w:rFonts w:ascii="Arial" w:hAnsi="Arial" w:cs="Arial"/>
              </w:rPr>
              <w:t xml:space="preserve">callwein@wamenergylaw.com mswhite@igsenergy.com Bojko@carpenterlipps.com </w:t>
            </w:r>
          </w:p>
          <w:p w:rsidR="00B54B55" w:rsidRPr="00E43CDE" w:rsidRDefault="00B54B55" w:rsidP="003558B0">
            <w:pPr>
              <w:jc w:val="both"/>
              <w:rPr>
                <w:rFonts w:ascii="Arial" w:hAnsi="Arial" w:cs="Arial"/>
              </w:rPr>
            </w:pPr>
            <w:r w:rsidRPr="00E43CDE">
              <w:rPr>
                <w:rFonts w:ascii="Arial" w:hAnsi="Arial" w:cs="Arial"/>
              </w:rPr>
              <w:t xml:space="preserve">Allison@carpenterlipps.com hussey@carpenterlipps.com barthroyer@aol.com athompson@taftlaw.com </w:t>
            </w:r>
          </w:p>
          <w:p w:rsidR="00B54B55" w:rsidRPr="00E43CDE" w:rsidRDefault="00B54B55" w:rsidP="003558B0">
            <w:pPr>
              <w:jc w:val="both"/>
              <w:rPr>
                <w:rFonts w:ascii="Arial" w:hAnsi="Arial" w:cs="Arial"/>
              </w:rPr>
            </w:pPr>
            <w:r w:rsidRPr="00E43CDE">
              <w:rPr>
                <w:rFonts w:ascii="Arial" w:hAnsi="Arial" w:cs="Arial"/>
              </w:rPr>
              <w:t xml:space="preserve">Christopher.miller@icemiller.com Gregory.dunn@icemiller.com Jeremy.grayem@icemiller.com </w:t>
            </w:r>
          </w:p>
          <w:p w:rsidR="00B54B55" w:rsidRPr="00E43CDE" w:rsidRDefault="00B54B55" w:rsidP="003558B0">
            <w:pPr>
              <w:jc w:val="both"/>
              <w:rPr>
                <w:rFonts w:ascii="Arial" w:hAnsi="Arial" w:cs="Arial"/>
              </w:rPr>
            </w:pPr>
            <w:r w:rsidRPr="00E43CDE">
              <w:rPr>
                <w:rFonts w:ascii="Arial" w:hAnsi="Arial" w:cs="Arial"/>
              </w:rPr>
              <w:t xml:space="preserve">blanghenry@city.cleveland.oh.us hmadorsky@city.cleveland.oh.us kryan@city.cleveland.oh.us </w:t>
            </w:r>
          </w:p>
          <w:p w:rsidR="00B54B55" w:rsidRPr="00E43CDE" w:rsidRDefault="003E29EB" w:rsidP="003558B0">
            <w:pPr>
              <w:jc w:val="both"/>
              <w:rPr>
                <w:rFonts w:ascii="Arial" w:hAnsi="Arial" w:cs="Arial"/>
              </w:rPr>
            </w:pPr>
            <w:hyperlink r:id="rId16" w:history="1">
              <w:r w:rsidR="00B54B55" w:rsidRPr="00E43CDE">
                <w:rPr>
                  <w:rStyle w:val="Hyperlink"/>
                  <w:rFonts w:ascii="Arial" w:hAnsi="Arial" w:cs="Arial"/>
                  <w:color w:val="auto"/>
                  <w:u w:val="none"/>
                </w:rPr>
                <w:t>tdougherty@theOEC.org</w:t>
              </w:r>
            </w:hyperlink>
          </w:p>
          <w:p w:rsidR="00B54B55" w:rsidRPr="00E43CDE" w:rsidRDefault="00B54B55" w:rsidP="003558B0">
            <w:pPr>
              <w:jc w:val="both"/>
              <w:rPr>
                <w:rFonts w:ascii="Arial" w:hAnsi="Arial" w:cs="Arial"/>
              </w:rPr>
            </w:pPr>
            <w:r w:rsidRPr="00E43CDE">
              <w:rPr>
                <w:rFonts w:ascii="Arial" w:hAnsi="Arial" w:cs="Arial"/>
              </w:rPr>
              <w:t xml:space="preserve"> </w:t>
            </w:r>
            <w:hyperlink r:id="rId17" w:history="1">
              <w:r w:rsidRPr="00E43CDE">
                <w:rPr>
                  <w:rStyle w:val="Hyperlink"/>
                  <w:rFonts w:ascii="Arial" w:hAnsi="Arial" w:cs="Arial"/>
                  <w:color w:val="auto"/>
                  <w:u w:val="none"/>
                </w:rPr>
                <w:t>finnigan@edf.org</w:t>
              </w:r>
            </w:hyperlink>
            <w:r w:rsidRPr="00E43CDE">
              <w:rPr>
                <w:rFonts w:ascii="Arial" w:hAnsi="Arial" w:cs="Arial"/>
              </w:rPr>
              <w:t xml:space="preserve"> </w:t>
            </w:r>
          </w:p>
          <w:p w:rsidR="00B54B55" w:rsidRPr="00E43CDE" w:rsidRDefault="00B54B55" w:rsidP="003558B0">
            <w:pPr>
              <w:jc w:val="both"/>
              <w:rPr>
                <w:rFonts w:ascii="Arial" w:hAnsi="Arial" w:cs="Arial"/>
              </w:rPr>
            </w:pPr>
            <w:r w:rsidRPr="00E43CDE">
              <w:rPr>
                <w:rFonts w:ascii="Arial" w:hAnsi="Arial" w:cs="Arial"/>
              </w:rPr>
              <w:t xml:space="preserve">Marilyn@wflawfirm.com todonnell@dickinsonwright.com </w:t>
            </w:r>
          </w:p>
          <w:p w:rsidR="00B54B55" w:rsidRPr="00E43CDE" w:rsidRDefault="00B54B55" w:rsidP="003558B0">
            <w:pPr>
              <w:jc w:val="both"/>
              <w:rPr>
                <w:rFonts w:ascii="Arial" w:hAnsi="Arial" w:cs="Arial"/>
              </w:rPr>
            </w:pPr>
            <w:r w:rsidRPr="00E43CDE">
              <w:rPr>
                <w:rFonts w:ascii="Arial" w:hAnsi="Arial" w:cs="Arial"/>
              </w:rPr>
              <w:t xml:space="preserve">matt@matthewcoxlaw.com </w:t>
            </w:r>
            <w:hyperlink r:id="rId18" w:history="1">
              <w:r w:rsidRPr="00E43CDE">
                <w:rPr>
                  <w:rStyle w:val="Hyperlink"/>
                  <w:rFonts w:ascii="Arial" w:hAnsi="Arial" w:cs="Arial"/>
                  <w:color w:val="auto"/>
                  <w:u w:val="none"/>
                </w:rPr>
                <w:t>mfleisher@elpc.org</w:t>
              </w:r>
            </w:hyperlink>
          </w:p>
          <w:p w:rsidR="00B54B55" w:rsidRPr="00E43CDE" w:rsidRDefault="00B54B55" w:rsidP="003558B0">
            <w:pPr>
              <w:jc w:val="both"/>
              <w:rPr>
                <w:rFonts w:ascii="Arial" w:hAnsi="Arial" w:cs="Arial"/>
              </w:rPr>
            </w:pPr>
            <w:r w:rsidRPr="00E43CDE">
              <w:rPr>
                <w:rFonts w:ascii="Arial" w:hAnsi="Arial" w:cs="Arial"/>
              </w:rPr>
              <w:t xml:space="preserve">mitch.dutton@fpl.com selisar@mwncmh.com ccunningham@akronohio.gov asonderman@keglerbrown.com </w:t>
            </w:r>
          </w:p>
          <w:p w:rsidR="00B54B55" w:rsidRPr="00E43CDE" w:rsidRDefault="00B54B55" w:rsidP="003558B0">
            <w:pPr>
              <w:jc w:val="both"/>
              <w:rPr>
                <w:rFonts w:ascii="Arial" w:hAnsi="Arial" w:cs="Arial"/>
              </w:rPr>
            </w:pPr>
            <w:r w:rsidRPr="00E43CDE">
              <w:rPr>
                <w:rFonts w:ascii="Arial" w:hAnsi="Arial" w:cs="Arial"/>
              </w:rPr>
              <w:t xml:space="preserve">sechler@carpenterlipps.com gpoulos@enernoc.com toddm@wamenergylaw.com amy.spiller@duke-energy.com </w:t>
            </w:r>
          </w:p>
          <w:p w:rsidR="00B54B55" w:rsidRPr="00E43CDE" w:rsidRDefault="00B54B55" w:rsidP="003558B0">
            <w:pPr>
              <w:jc w:val="both"/>
              <w:rPr>
                <w:rFonts w:ascii="Arial" w:hAnsi="Arial" w:cs="Arial"/>
              </w:rPr>
            </w:pPr>
            <w:r w:rsidRPr="00E43CDE">
              <w:rPr>
                <w:rFonts w:ascii="Arial" w:hAnsi="Arial" w:cs="Arial"/>
              </w:rPr>
              <w:t>Jeanne.kingery@duke-energy.com dwilliamson@spilmanlaw.com lhawrot@spilmanlaw.com</w:t>
            </w:r>
          </w:p>
          <w:p w:rsidR="00B54B55" w:rsidRPr="00E43CDE" w:rsidRDefault="00B54B55" w:rsidP="003558B0">
            <w:pPr>
              <w:jc w:val="both"/>
              <w:rPr>
                <w:rFonts w:ascii="Arial" w:hAnsi="Arial" w:cs="Arial"/>
              </w:rPr>
            </w:pPr>
          </w:p>
          <w:p w:rsidR="00B54B55" w:rsidRPr="00E43CDE" w:rsidRDefault="00B54B55" w:rsidP="003558B0">
            <w:pPr>
              <w:jc w:val="both"/>
              <w:rPr>
                <w:rFonts w:ascii="Arial" w:hAnsi="Arial" w:cs="Arial"/>
              </w:rPr>
            </w:pPr>
          </w:p>
          <w:p w:rsidR="00B54B55" w:rsidRPr="00E43CDE" w:rsidRDefault="00B54B55" w:rsidP="003558B0">
            <w:pPr>
              <w:jc w:val="both"/>
              <w:rPr>
                <w:rFonts w:ascii="Arial" w:hAnsi="Arial" w:cs="Arial"/>
              </w:rPr>
            </w:pPr>
          </w:p>
        </w:tc>
      </w:tr>
    </w:tbl>
    <w:p w:rsidR="00B54B55" w:rsidRDefault="00B54B55" w:rsidP="00B54B55">
      <w:pPr>
        <w:suppressLineNumbers/>
        <w:rPr>
          <w:rFonts w:eastAsia="Calibri"/>
          <w:sz w:val="24"/>
        </w:rPr>
      </w:pPr>
    </w:p>
    <w:p w:rsidR="00B54B55" w:rsidRDefault="00B54B55" w:rsidP="00B54B55">
      <w:pPr>
        <w:suppressLineNumbers/>
        <w:rPr>
          <w:rFonts w:eastAsia="Calibri"/>
          <w:sz w:val="24"/>
        </w:rPr>
      </w:pPr>
    </w:p>
    <w:p w:rsidR="00B54B55" w:rsidRPr="00CF174E" w:rsidRDefault="00B54B55" w:rsidP="00B54B55">
      <w:pPr>
        <w:suppressLineNumbers/>
        <w:jc w:val="center"/>
        <w:rPr>
          <w:sz w:val="24"/>
          <w:u w:val="single"/>
        </w:rPr>
      </w:pPr>
      <w:r>
        <w:rPr>
          <w:rFonts w:ascii="Times New Roman" w:hAnsi="Times New Roman" w:cs="Times New Roman"/>
          <w:sz w:val="24"/>
        </w:rPr>
        <w:tab/>
      </w:r>
      <w:r>
        <w:rPr>
          <w:rFonts w:ascii="Times New Roman" w:hAnsi="Times New Roman" w:cs="Times New Roman"/>
          <w:sz w:val="24"/>
        </w:rPr>
        <w:tab/>
      </w:r>
      <w:r w:rsidRPr="00CF174E">
        <w:rPr>
          <w:sz w:val="24"/>
        </w:rPr>
        <w:tab/>
      </w:r>
      <w:r w:rsidRPr="00CF174E">
        <w:rPr>
          <w:sz w:val="24"/>
          <w:u w:val="single"/>
        </w:rPr>
        <w:t>/s/Joseph Oliker</w:t>
      </w:r>
    </w:p>
    <w:p w:rsidR="00B54B55" w:rsidRDefault="00B54B55" w:rsidP="00B54B55">
      <w:pPr>
        <w:ind w:left="4320"/>
      </w:pPr>
      <w:r>
        <w:rPr>
          <w:sz w:val="24"/>
        </w:rPr>
        <w:t xml:space="preserve">        </w:t>
      </w:r>
      <w:r w:rsidR="00E43CDE">
        <w:rPr>
          <w:sz w:val="24"/>
        </w:rPr>
        <w:t>Counsel for Interstate Gas Supply, Inc.</w:t>
      </w:r>
    </w:p>
    <w:p w:rsidR="00B54B55" w:rsidRDefault="00B54B55" w:rsidP="00D91257"/>
    <w:p w:rsidR="00B54B55" w:rsidRDefault="00B54B55" w:rsidP="00D91257"/>
    <w:p w:rsidR="00B54B55" w:rsidRDefault="00B54B55" w:rsidP="00D91257"/>
    <w:sectPr w:rsidR="00B54B5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9EB" w:rsidRDefault="003E29EB" w:rsidP="00567136">
      <w:r>
        <w:separator/>
      </w:r>
    </w:p>
  </w:endnote>
  <w:endnote w:type="continuationSeparator" w:id="0">
    <w:p w:rsidR="003E29EB" w:rsidRDefault="003E29EB" w:rsidP="00567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9EB" w:rsidRDefault="003E29EB" w:rsidP="00567136">
      <w:r>
        <w:separator/>
      </w:r>
    </w:p>
  </w:footnote>
  <w:footnote w:type="continuationSeparator" w:id="0">
    <w:p w:rsidR="003E29EB" w:rsidRDefault="003E29EB" w:rsidP="00567136">
      <w:r>
        <w:continuationSeparator/>
      </w:r>
    </w:p>
  </w:footnote>
  <w:footnote w:id="1">
    <w:p w:rsidR="00567136" w:rsidRDefault="00567136" w:rsidP="00567136">
      <w:pPr>
        <w:pStyle w:val="FootnoteText"/>
      </w:pPr>
      <w:r>
        <w:rPr>
          <w:rStyle w:val="FootnoteReference"/>
        </w:rPr>
        <w:footnoteRef/>
      </w:r>
      <w:r>
        <w:t xml:space="preserve"> Evidence R. 901(b</w:t>
      </w:r>
      <w:proofErr w:type="gramStart"/>
      <w:r>
        <w:t>)(</w:t>
      </w:r>
      <w:proofErr w:type="gramEnd"/>
      <w:r>
        <w:t>1).</w:t>
      </w:r>
    </w:p>
    <w:p w:rsidR="00395CFA" w:rsidRDefault="00395CFA" w:rsidP="00567136">
      <w:pPr>
        <w:pStyle w:val="FootnoteText"/>
      </w:pPr>
    </w:p>
  </w:footnote>
  <w:footnote w:id="2">
    <w:p w:rsidR="00567136" w:rsidRDefault="00567136" w:rsidP="00567136">
      <w:pPr>
        <w:pStyle w:val="FootnoteText"/>
      </w:pPr>
      <w:r>
        <w:rPr>
          <w:rStyle w:val="FootnoteReference"/>
        </w:rPr>
        <w:footnoteRef/>
      </w:r>
      <w:r>
        <w:t xml:space="preserve"> Evidence R. 901(b</w:t>
      </w:r>
      <w:proofErr w:type="gramStart"/>
      <w:r>
        <w:t>)(</w:t>
      </w:r>
      <w:proofErr w:type="gramEnd"/>
      <w:r>
        <w:t>3)</w:t>
      </w:r>
      <w:r w:rsidRPr="009770A1">
        <w:t>.</w:t>
      </w:r>
    </w:p>
    <w:p w:rsidR="00390EB8" w:rsidRDefault="00390EB8" w:rsidP="00567136">
      <w:pPr>
        <w:pStyle w:val="FootnoteText"/>
      </w:pPr>
    </w:p>
  </w:footnote>
  <w:footnote w:id="3">
    <w:p w:rsidR="00567136" w:rsidRDefault="00567136" w:rsidP="00567136">
      <w:pPr>
        <w:pStyle w:val="FootnoteText"/>
      </w:pPr>
      <w:r>
        <w:rPr>
          <w:rStyle w:val="FootnoteReference"/>
        </w:rPr>
        <w:footnoteRef/>
      </w:r>
      <w:r>
        <w:t xml:space="preserve"> Evidence R. 901(b</w:t>
      </w:r>
      <w:proofErr w:type="gramStart"/>
      <w:r>
        <w:t>)(</w:t>
      </w:r>
      <w:proofErr w:type="gramEnd"/>
      <w:r>
        <w:t>4</w:t>
      </w:r>
      <w:r w:rsidRPr="009770A1">
        <w:t>).</w:t>
      </w:r>
    </w:p>
    <w:p w:rsidR="00390EB8" w:rsidRDefault="00390EB8" w:rsidP="00567136">
      <w:pPr>
        <w:pStyle w:val="FootnoteText"/>
      </w:pPr>
    </w:p>
  </w:footnote>
  <w:footnote w:id="4">
    <w:p w:rsidR="00567136" w:rsidRPr="009770A1" w:rsidRDefault="00567136" w:rsidP="00567136">
      <w:pPr>
        <w:pStyle w:val="FootnoteText"/>
        <w:rPr>
          <w:i/>
        </w:rPr>
      </w:pPr>
      <w:r>
        <w:rPr>
          <w:rStyle w:val="FootnoteReference"/>
        </w:rPr>
        <w:footnoteRef/>
      </w:r>
      <w:r>
        <w:t xml:space="preserve"> Evidence R. 901(b</w:t>
      </w:r>
      <w:proofErr w:type="gramStart"/>
      <w:r>
        <w:t>)(</w:t>
      </w:r>
      <w:proofErr w:type="gramEnd"/>
      <w:r>
        <w:t>7</w:t>
      </w:r>
      <w:r w:rsidRPr="009770A1">
        <w:t xml:space="preserve">). </w:t>
      </w:r>
      <w:r>
        <w:t>“</w:t>
      </w:r>
      <w:r w:rsidRPr="009770A1">
        <w:t>Evidence that a writing authorized by law to be recorded or filed and in fact recorded or filed in a public office, or a purported public record, report, statement or data compilation, in any form, is from the public office where items of this nature are kept.”</w:t>
      </w:r>
      <w:r>
        <w:t xml:space="preserve">  </w:t>
      </w:r>
      <w:r>
        <w:rPr>
          <w:i/>
        </w:rPr>
        <w:t>Id.</w:t>
      </w:r>
      <w:r w:rsidR="00D73F09">
        <w:rPr>
          <w:i/>
        </w:rPr>
        <w:t xml:space="preserve">  </w:t>
      </w:r>
      <w:r w:rsidR="00D73F09" w:rsidRPr="00D73F09">
        <w:t>R.C. 149.43 broadly states that “‘Public record’ means records kept by any public office, including, but not limited to, state, county, city, village, township, and school district units . . . .’”</w:t>
      </w:r>
    </w:p>
  </w:footnote>
  <w:footnote w:id="5">
    <w:p w:rsidR="00257587" w:rsidRDefault="00257587">
      <w:pPr>
        <w:pStyle w:val="FootnoteText"/>
      </w:pPr>
      <w:r>
        <w:rPr>
          <w:rStyle w:val="FootnoteReference"/>
        </w:rPr>
        <w:footnoteRef/>
      </w:r>
      <w:r>
        <w:t xml:space="preserve"> </w:t>
      </w:r>
      <w:proofErr w:type="gramStart"/>
      <w:r>
        <w:t>Tr. Vol XXV at 5100.</w:t>
      </w:r>
      <w:proofErr w:type="gramEnd"/>
    </w:p>
    <w:p w:rsidR="00395CFA" w:rsidRDefault="00395CFA">
      <w:pPr>
        <w:pStyle w:val="FootnoteText"/>
      </w:pPr>
    </w:p>
  </w:footnote>
  <w:footnote w:id="6">
    <w:p w:rsidR="00395CFA" w:rsidRDefault="000402F2">
      <w:pPr>
        <w:pStyle w:val="FootnoteText"/>
      </w:pPr>
      <w:r>
        <w:rPr>
          <w:rStyle w:val="FootnoteReference"/>
        </w:rPr>
        <w:footnoteRef/>
      </w:r>
      <w:r w:rsidR="00395CFA">
        <w:t xml:space="preserve"> Tr. Vol. XXV 5099.  </w:t>
      </w:r>
    </w:p>
    <w:p w:rsidR="00395CFA" w:rsidRDefault="00395CFA">
      <w:pPr>
        <w:pStyle w:val="FootnoteText"/>
      </w:pPr>
    </w:p>
  </w:footnote>
  <w:footnote w:id="7">
    <w:p w:rsidR="000402F2" w:rsidRDefault="000402F2" w:rsidP="000402F2">
      <w:pPr>
        <w:pStyle w:val="FootnoteText"/>
      </w:pPr>
      <w:r>
        <w:rPr>
          <w:rStyle w:val="FootnoteReference"/>
        </w:rPr>
        <w:footnoteRef/>
      </w:r>
      <w:r>
        <w:t xml:space="preserve"> </w:t>
      </w:r>
      <w:r>
        <w:rPr>
          <w:i/>
        </w:rPr>
        <w:t xml:space="preserve">See Id. </w:t>
      </w:r>
      <w:r>
        <w:t>at 4984-85 (“So it's the same words, but the copies that I have on the stand are certified copies”).</w:t>
      </w:r>
      <w:r w:rsidR="009A5AB4" w:rsidRPr="009A5AB4">
        <w:t xml:space="preserve"> Arguably, FirstEnergy’s removal of the testimony from its website creates a situation where it has requested an equitable remedy without clean hands, which courts in this state do not permit. “The ‘clean hands doctrine’ of equity requires that whenever a party takes the initiative to set in motion the judicial machinery to obtain some remedy but has violated good faith by his prior-related conduct, the court will deny the remedy.”  </w:t>
      </w:r>
      <w:proofErr w:type="spellStart"/>
      <w:proofErr w:type="gramStart"/>
      <w:r w:rsidR="009A5AB4" w:rsidRPr="009A5AB4">
        <w:rPr>
          <w:i/>
        </w:rPr>
        <w:t>Marinaro</w:t>
      </w:r>
      <w:proofErr w:type="spellEnd"/>
      <w:r w:rsidR="009A5AB4" w:rsidRPr="009A5AB4">
        <w:rPr>
          <w:i/>
        </w:rPr>
        <w:t xml:space="preserve"> v. Major Indoor Soccer League</w:t>
      </w:r>
      <w:r w:rsidR="009A5AB4" w:rsidRPr="009A5AB4">
        <w:t>, 81 Ohio App. 3d 42, 45 (1991) Court of Appeals, Summit County</w:t>
      </w:r>
      <w:r w:rsidR="009A5AB4">
        <w:t>.</w:t>
      </w:r>
      <w:proofErr w:type="gramEnd"/>
      <w:r w:rsidR="00E56C4F">
        <w:t xml:space="preserve">  </w:t>
      </w:r>
      <w:proofErr w:type="spellStart"/>
      <w:r w:rsidR="00E56C4F">
        <w:t>Firstenergy</w:t>
      </w:r>
      <w:proofErr w:type="spellEnd"/>
      <w:r w:rsidR="00E56C4F">
        <w:t xml:space="preserve"> claims that failure to strike the testimony would be inequitable and “unfair” (FirstEnergy Appeal at 10-11); yet it appears FirstEnergy removed Ms. </w:t>
      </w:r>
      <w:proofErr w:type="spellStart"/>
      <w:r w:rsidR="00E56C4F">
        <w:t>Vespoli’s</w:t>
      </w:r>
      <w:proofErr w:type="spellEnd"/>
      <w:r w:rsidR="00E56C4F">
        <w:t xml:space="preserve"> testimony from its website following its use in this proceeding.  </w:t>
      </w:r>
    </w:p>
    <w:p w:rsidR="005E7350" w:rsidRPr="000402F2" w:rsidRDefault="005E7350" w:rsidP="000402F2">
      <w:pPr>
        <w:pStyle w:val="FootnoteText"/>
      </w:pPr>
    </w:p>
  </w:footnote>
  <w:footnote w:id="8">
    <w:p w:rsidR="005E7350" w:rsidRDefault="005E7350" w:rsidP="005E7350">
      <w:pPr>
        <w:pStyle w:val="FootnoteText"/>
      </w:pPr>
      <w:r>
        <w:rPr>
          <w:rStyle w:val="FootnoteReference"/>
        </w:rPr>
        <w:footnoteRef/>
      </w:r>
      <w:r>
        <w:t xml:space="preserve"> </w:t>
      </w:r>
      <w:proofErr w:type="gramStart"/>
      <w:r>
        <w:t>Rules of the Ohio House of Representatives, Rule 44, “Records open to examination; filing of records.</w:t>
      </w:r>
      <w:proofErr w:type="gramEnd"/>
      <w:r>
        <w:t xml:space="preserve"> During the period of sessions, committee records shall be open for examination by any member of the House. At reasonable times and subject to adequate safeguards established by the chair to protect and preserve such records, any citizen of Ohio may also examine committee records. Upon final adjournment of the House, the committee records shall be filed with the Clerk, to be kept for a period of two years, after which time said records shall be filed with the Legislative Service Commission.”</w:t>
      </w:r>
      <w:r w:rsidRPr="005E7350">
        <w:t xml:space="preserve"> </w:t>
      </w:r>
      <w:hyperlink r:id="rId1" w:history="1">
        <w:r w:rsidRPr="001517A9">
          <w:rPr>
            <w:rStyle w:val="Hyperlink"/>
          </w:rPr>
          <w:t>https://www.legislature.ohio.gov/publications/rules-of-the-house</w:t>
        </w:r>
      </w:hyperlink>
      <w:r>
        <w:t>.  Chapter 101 Revised Code places additional record retention requirements on the General Assembly.</w:t>
      </w:r>
    </w:p>
    <w:p w:rsidR="005E7350" w:rsidRDefault="005E7350" w:rsidP="005E7350">
      <w:pPr>
        <w:pStyle w:val="FootnoteText"/>
      </w:pPr>
    </w:p>
  </w:footnote>
  <w:footnote w:id="9">
    <w:p w:rsidR="00F94405" w:rsidRDefault="00F94405">
      <w:pPr>
        <w:pStyle w:val="FootnoteText"/>
      </w:pPr>
      <w:r>
        <w:rPr>
          <w:rStyle w:val="FootnoteReference"/>
        </w:rPr>
        <w:footnoteRef/>
      </w:r>
      <w:r>
        <w:t xml:space="preserve"> </w:t>
      </w:r>
      <w:proofErr w:type="gramStart"/>
      <w:r>
        <w:t>Tr. Vol. XXV at 4984-85.</w:t>
      </w:r>
      <w:proofErr w:type="gramEnd"/>
    </w:p>
    <w:p w:rsidR="00F94405" w:rsidRDefault="00F94405">
      <w:pPr>
        <w:pStyle w:val="FootnoteText"/>
      </w:pPr>
    </w:p>
  </w:footnote>
  <w:footnote w:id="10">
    <w:p w:rsidR="005B2F6E" w:rsidRDefault="005B2F6E">
      <w:pPr>
        <w:pStyle w:val="FootnoteText"/>
      </w:pPr>
      <w:r>
        <w:rPr>
          <w:rStyle w:val="FootnoteReference"/>
        </w:rPr>
        <w:footnoteRef/>
      </w:r>
      <w:r>
        <w:t xml:space="preserve"> The document that Mr. White procured could also be classified as a domestic public document under seal.  </w:t>
      </w:r>
      <w:r>
        <w:rPr>
          <w:i/>
        </w:rPr>
        <w:t xml:space="preserve">See </w:t>
      </w:r>
      <w:proofErr w:type="spellStart"/>
      <w:r>
        <w:t>Evid</w:t>
      </w:r>
      <w:proofErr w:type="spellEnd"/>
      <w:r>
        <w:t>. R. 902(1).</w:t>
      </w:r>
    </w:p>
    <w:p w:rsidR="00871648" w:rsidRPr="005B2F6E" w:rsidRDefault="00871648">
      <w:pPr>
        <w:pStyle w:val="FootnoteText"/>
      </w:pPr>
    </w:p>
  </w:footnote>
  <w:footnote w:id="11">
    <w:p w:rsidR="00536BA7" w:rsidRDefault="00536BA7">
      <w:pPr>
        <w:pStyle w:val="FootnoteText"/>
      </w:pPr>
      <w:r>
        <w:rPr>
          <w:rStyle w:val="FootnoteReference"/>
        </w:rPr>
        <w:footnoteRef/>
      </w:r>
      <w:r>
        <w:t xml:space="preserve"> </w:t>
      </w:r>
      <w:r>
        <w:rPr>
          <w:i/>
        </w:rPr>
        <w:t xml:space="preserve">See </w:t>
      </w:r>
      <w:r>
        <w:t>Evidence Rule 801(D</w:t>
      </w:r>
      <w:proofErr w:type="gramStart"/>
      <w:r>
        <w:t>)(</w:t>
      </w:r>
      <w:proofErr w:type="gramEnd"/>
      <w:r>
        <w:t>2). “</w:t>
      </w:r>
      <w:r w:rsidRPr="00536BA7">
        <w:t>The statement is offered against a party and is (a) the party’s own statement, in either an individual or a representative capacity, or (b) a statement of which the party has manifested an adoption or belief in its truth, or (c) a statement by a person authorized by the party to make a statement concerning the subject, or (d) a statement by the party’s agent or servant concerning a matter within the scope of the agency or employment, made during the existence of the relationship, or (e) a statement by a co-conspirator of a party during the course and in furtherance of the conspiracy upon independent proof of the conspiracy.</w:t>
      </w:r>
      <w:r>
        <w:t>”  Under Evidence Rule 903, “[t]</w:t>
      </w:r>
      <w:r w:rsidRPr="00536BA7">
        <w:t>he testimony of a subscribing witness is not necessary to authenticate a writing unless required by the laws of the jurisdiction whose laws govern the validity of the writing.</w:t>
      </w:r>
      <w:r>
        <w:t>”</w:t>
      </w:r>
    </w:p>
    <w:p w:rsidR="00536BA7" w:rsidRPr="00536BA7" w:rsidRDefault="00536BA7">
      <w:pPr>
        <w:pStyle w:val="FootnoteText"/>
      </w:pPr>
    </w:p>
  </w:footnote>
  <w:footnote w:id="12">
    <w:p w:rsidR="009D0DEA" w:rsidRDefault="009D0DEA">
      <w:pPr>
        <w:pStyle w:val="FootnoteText"/>
      </w:pPr>
      <w:r>
        <w:rPr>
          <w:rStyle w:val="FootnoteReference"/>
        </w:rPr>
        <w:footnoteRef/>
      </w:r>
      <w:r>
        <w:t xml:space="preserve"> Tr. Vol. XI. </w:t>
      </w:r>
      <w:proofErr w:type="gramStart"/>
      <w:r>
        <w:t>at</w:t>
      </w:r>
      <w:proofErr w:type="gramEnd"/>
      <w:r>
        <w:t xml:space="preserve"> 2395.</w:t>
      </w:r>
    </w:p>
    <w:p w:rsidR="009D0DEA" w:rsidRDefault="009D0DEA">
      <w:pPr>
        <w:pStyle w:val="FootnoteText"/>
      </w:pPr>
    </w:p>
  </w:footnote>
  <w:footnote w:id="13">
    <w:p w:rsidR="00536BA7" w:rsidRDefault="00536BA7">
      <w:pPr>
        <w:pStyle w:val="FootnoteText"/>
      </w:pPr>
      <w:r>
        <w:rPr>
          <w:rStyle w:val="FootnoteReference"/>
        </w:rPr>
        <w:footnoteRef/>
      </w:r>
      <w:r>
        <w:t xml:space="preserve"> </w:t>
      </w:r>
      <w:proofErr w:type="gramStart"/>
      <w:r w:rsidRPr="00536BA7">
        <w:t xml:space="preserve">Tr. Vol. XXV at </w:t>
      </w:r>
      <w:r>
        <w:t xml:space="preserve">5035-36; </w:t>
      </w:r>
      <w:r w:rsidRPr="00536BA7">
        <w:t>5107</w:t>
      </w:r>
      <w:r w:rsidR="00B54B55">
        <w:t>.</w:t>
      </w:r>
      <w:proofErr w:type="gramEnd"/>
    </w:p>
    <w:p w:rsidR="00B54B55" w:rsidRDefault="00B54B55">
      <w:pPr>
        <w:pStyle w:val="FootnoteText"/>
      </w:pPr>
    </w:p>
  </w:footnote>
  <w:footnote w:id="14">
    <w:p w:rsidR="00871648" w:rsidRDefault="00871648" w:rsidP="00871648">
      <w:pPr>
        <w:pStyle w:val="FootnoteText"/>
      </w:pPr>
      <w:r>
        <w:rPr>
          <w:rStyle w:val="FootnoteReference"/>
        </w:rPr>
        <w:footnoteRef/>
      </w:r>
      <w:r>
        <w:t xml:space="preserve"> </w:t>
      </w:r>
      <w:r w:rsidRPr="00871648">
        <w:rPr>
          <w:i/>
        </w:rPr>
        <w:t>In th</w:t>
      </w:r>
      <w:r>
        <w:rPr>
          <w:i/>
        </w:rPr>
        <w:t xml:space="preserve">e Matter of the Application of </w:t>
      </w:r>
      <w:r w:rsidRPr="00871648">
        <w:rPr>
          <w:i/>
        </w:rPr>
        <w:t>Columb</w:t>
      </w:r>
      <w:r>
        <w:rPr>
          <w:i/>
        </w:rPr>
        <w:t xml:space="preserve">us Southern Power Company and </w:t>
      </w:r>
      <w:r w:rsidRPr="00871648">
        <w:rPr>
          <w:i/>
        </w:rPr>
        <w:t xml:space="preserve">Ohio </w:t>
      </w:r>
      <w:r>
        <w:rPr>
          <w:i/>
        </w:rPr>
        <w:t xml:space="preserve">Power Company for Authority to </w:t>
      </w:r>
      <w:r w:rsidRPr="00871648">
        <w:rPr>
          <w:i/>
        </w:rPr>
        <w:t>Establish a Standard Servic</w:t>
      </w:r>
      <w:r>
        <w:rPr>
          <w:i/>
        </w:rPr>
        <w:t xml:space="preserve">e Offer </w:t>
      </w:r>
      <w:r w:rsidRPr="00871648">
        <w:rPr>
          <w:i/>
        </w:rPr>
        <w:t>Pursuant</w:t>
      </w:r>
      <w:r>
        <w:rPr>
          <w:i/>
        </w:rPr>
        <w:t xml:space="preserve"> to §4928.143, Ohio Rev. Code, </w:t>
      </w:r>
      <w:r w:rsidRPr="00871648">
        <w:rPr>
          <w:i/>
        </w:rPr>
        <w:t>in the Form of an Electric Security Plan</w:t>
      </w:r>
      <w:r>
        <w:t xml:space="preserve">, Case Nos. 11-346-EL-SSO, </w:t>
      </w:r>
      <w:r>
        <w:rPr>
          <w:i/>
        </w:rPr>
        <w:t xml:space="preserve">et. </w:t>
      </w:r>
      <w:proofErr w:type="gramStart"/>
      <w:r>
        <w:rPr>
          <w:i/>
        </w:rPr>
        <w:t>al</w:t>
      </w:r>
      <w:proofErr w:type="gramEnd"/>
      <w:r>
        <w:t xml:space="preserve">. Direct Testimony of Edward Hess, JEH-1 (May 4, 2012).  </w:t>
      </w:r>
    </w:p>
    <w:p w:rsidR="00871648" w:rsidRPr="00871648" w:rsidRDefault="00871648" w:rsidP="00871648">
      <w:pPr>
        <w:pStyle w:val="FootnoteText"/>
      </w:pPr>
    </w:p>
  </w:footnote>
  <w:footnote w:id="15">
    <w:p w:rsidR="00871648" w:rsidRDefault="00871648" w:rsidP="00871648">
      <w:pPr>
        <w:pStyle w:val="FootnoteText"/>
      </w:pPr>
      <w:r>
        <w:rPr>
          <w:rStyle w:val="FootnoteReference"/>
        </w:rPr>
        <w:footnoteRef/>
      </w:r>
      <w:r>
        <w:t xml:space="preserve"> </w:t>
      </w:r>
      <w:r w:rsidRPr="00871648">
        <w:rPr>
          <w:i/>
        </w:rPr>
        <w:t xml:space="preserve">In the Matter of the Application of </w:t>
      </w:r>
      <w:proofErr w:type="gramStart"/>
      <w:r w:rsidRPr="00871648">
        <w:rPr>
          <w:i/>
        </w:rPr>
        <w:t>The</w:t>
      </w:r>
      <w:proofErr w:type="gramEnd"/>
      <w:r w:rsidRPr="00871648">
        <w:rPr>
          <w:i/>
        </w:rPr>
        <w:t xml:space="preserve"> Dayton Power and Light Company for Approval of Its Market Rate Offer</w:t>
      </w:r>
      <w:r>
        <w:t>, Case Nos. 12-426-EL-SSO (Mar. 1, 2013).</w:t>
      </w:r>
    </w:p>
    <w:p w:rsidR="00E43CDE" w:rsidRDefault="00E43CDE" w:rsidP="00871648">
      <w:pPr>
        <w:pStyle w:val="FootnoteText"/>
      </w:pPr>
    </w:p>
  </w:footnote>
  <w:footnote w:id="16">
    <w:p w:rsidR="00E43CDE" w:rsidRDefault="00E43CDE">
      <w:pPr>
        <w:pStyle w:val="FootnoteText"/>
      </w:pPr>
      <w:r>
        <w:rPr>
          <w:rStyle w:val="FootnoteReference"/>
        </w:rPr>
        <w:footnoteRef/>
      </w:r>
      <w:r>
        <w:t xml:space="preserve"> </w:t>
      </w:r>
      <w:proofErr w:type="gramStart"/>
      <w:r w:rsidRPr="00E43CDE">
        <w:t>Tr. Vol. XXV at 4984-85.</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C03" w:rsidRDefault="00025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B4072"/>
    <w:multiLevelType w:val="hybridMultilevel"/>
    <w:tmpl w:val="184EE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D573941"/>
    <w:multiLevelType w:val="hybridMultilevel"/>
    <w:tmpl w:val="33966788"/>
    <w:lvl w:ilvl="0" w:tplc="ABEC0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0E15556"/>
    <w:multiLevelType w:val="hybridMultilevel"/>
    <w:tmpl w:val="F8F2F9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ADC"/>
    <w:rsid w:val="00025C03"/>
    <w:rsid w:val="0004003B"/>
    <w:rsid w:val="000402F2"/>
    <w:rsid w:val="000C128D"/>
    <w:rsid w:val="001301EA"/>
    <w:rsid w:val="001939A7"/>
    <w:rsid w:val="001D79D3"/>
    <w:rsid w:val="001E0936"/>
    <w:rsid w:val="001F2CB8"/>
    <w:rsid w:val="00233D14"/>
    <w:rsid w:val="00237EF0"/>
    <w:rsid w:val="00257587"/>
    <w:rsid w:val="0027162A"/>
    <w:rsid w:val="002E0FEA"/>
    <w:rsid w:val="002E2A53"/>
    <w:rsid w:val="00367CF2"/>
    <w:rsid w:val="00382605"/>
    <w:rsid w:val="003826F1"/>
    <w:rsid w:val="00384E83"/>
    <w:rsid w:val="00390EB8"/>
    <w:rsid w:val="00391C20"/>
    <w:rsid w:val="00395CFA"/>
    <w:rsid w:val="003E0C49"/>
    <w:rsid w:val="003E29EB"/>
    <w:rsid w:val="0043751B"/>
    <w:rsid w:val="004A0CB7"/>
    <w:rsid w:val="00531315"/>
    <w:rsid w:val="00531BA8"/>
    <w:rsid w:val="00536BA7"/>
    <w:rsid w:val="00567136"/>
    <w:rsid w:val="00574CA0"/>
    <w:rsid w:val="005A2FEC"/>
    <w:rsid w:val="005B2F6E"/>
    <w:rsid w:val="005B442B"/>
    <w:rsid w:val="005C4210"/>
    <w:rsid w:val="005C7733"/>
    <w:rsid w:val="005E7350"/>
    <w:rsid w:val="006F29BC"/>
    <w:rsid w:val="007A55F2"/>
    <w:rsid w:val="007B2E82"/>
    <w:rsid w:val="007C709A"/>
    <w:rsid w:val="00871648"/>
    <w:rsid w:val="00923F8A"/>
    <w:rsid w:val="00997BC6"/>
    <w:rsid w:val="009A5AB4"/>
    <w:rsid w:val="009D0DEA"/>
    <w:rsid w:val="009D3E1D"/>
    <w:rsid w:val="009D4321"/>
    <w:rsid w:val="009F5B55"/>
    <w:rsid w:val="00AB32F8"/>
    <w:rsid w:val="00AB4526"/>
    <w:rsid w:val="00AC5858"/>
    <w:rsid w:val="00AE19F3"/>
    <w:rsid w:val="00B34523"/>
    <w:rsid w:val="00B54B55"/>
    <w:rsid w:val="00B91E9F"/>
    <w:rsid w:val="00BB6D3E"/>
    <w:rsid w:val="00C10EA8"/>
    <w:rsid w:val="00C16443"/>
    <w:rsid w:val="00D15A2F"/>
    <w:rsid w:val="00D60A9C"/>
    <w:rsid w:val="00D73F09"/>
    <w:rsid w:val="00D808EE"/>
    <w:rsid w:val="00D91257"/>
    <w:rsid w:val="00DD5278"/>
    <w:rsid w:val="00E27ADC"/>
    <w:rsid w:val="00E43CDE"/>
    <w:rsid w:val="00E56C4F"/>
    <w:rsid w:val="00EB0737"/>
    <w:rsid w:val="00EB33B1"/>
    <w:rsid w:val="00EE1363"/>
    <w:rsid w:val="00F014A1"/>
    <w:rsid w:val="00F32E1F"/>
    <w:rsid w:val="00F40E07"/>
    <w:rsid w:val="00F64957"/>
    <w:rsid w:val="00F744F3"/>
    <w:rsid w:val="00F94405"/>
    <w:rsid w:val="00FD3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F2"/>
    <w:pPr>
      <w:ind w:left="720"/>
      <w:contextualSpacing/>
    </w:pPr>
  </w:style>
  <w:style w:type="paragraph" w:styleId="FootnoteText">
    <w:name w:val="footnote text"/>
    <w:basedOn w:val="Normal"/>
    <w:link w:val="FootnoteTextChar"/>
    <w:uiPriority w:val="99"/>
    <w:semiHidden/>
    <w:unhideWhenUsed/>
    <w:rsid w:val="00567136"/>
    <w:rPr>
      <w:szCs w:val="20"/>
    </w:rPr>
  </w:style>
  <w:style w:type="character" w:customStyle="1" w:styleId="FootnoteTextChar">
    <w:name w:val="Footnote Text Char"/>
    <w:basedOn w:val="DefaultParagraphFont"/>
    <w:link w:val="FootnoteText"/>
    <w:uiPriority w:val="99"/>
    <w:semiHidden/>
    <w:rsid w:val="00567136"/>
    <w:rPr>
      <w:szCs w:val="20"/>
    </w:rPr>
  </w:style>
  <w:style w:type="character" w:styleId="FootnoteReference">
    <w:name w:val="footnote reference"/>
    <w:basedOn w:val="DefaultParagraphFont"/>
    <w:uiPriority w:val="99"/>
    <w:semiHidden/>
    <w:unhideWhenUsed/>
    <w:rsid w:val="00567136"/>
    <w:rPr>
      <w:vertAlign w:val="superscript"/>
    </w:rPr>
  </w:style>
  <w:style w:type="character" w:styleId="Hyperlink">
    <w:name w:val="Hyperlink"/>
    <w:basedOn w:val="DefaultParagraphFont"/>
    <w:uiPriority w:val="99"/>
    <w:unhideWhenUsed/>
    <w:rsid w:val="005E7350"/>
    <w:rPr>
      <w:color w:val="0000FF" w:themeColor="hyperlink"/>
      <w:u w:val="single"/>
    </w:rPr>
  </w:style>
  <w:style w:type="table" w:styleId="TableGrid">
    <w:name w:val="Table Grid"/>
    <w:basedOn w:val="TableNormal"/>
    <w:uiPriority w:val="59"/>
    <w:rsid w:val="00B54B55"/>
    <w:pPr>
      <w:jc w:val="left"/>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F8A"/>
    <w:rPr>
      <w:sz w:val="16"/>
      <w:szCs w:val="16"/>
    </w:rPr>
  </w:style>
  <w:style w:type="paragraph" w:styleId="CommentText">
    <w:name w:val="annotation text"/>
    <w:basedOn w:val="Normal"/>
    <w:link w:val="CommentTextChar"/>
    <w:uiPriority w:val="99"/>
    <w:semiHidden/>
    <w:unhideWhenUsed/>
    <w:rsid w:val="00923F8A"/>
    <w:rPr>
      <w:szCs w:val="20"/>
    </w:rPr>
  </w:style>
  <w:style w:type="character" w:customStyle="1" w:styleId="CommentTextChar">
    <w:name w:val="Comment Text Char"/>
    <w:basedOn w:val="DefaultParagraphFont"/>
    <w:link w:val="CommentText"/>
    <w:uiPriority w:val="99"/>
    <w:semiHidden/>
    <w:rsid w:val="00923F8A"/>
    <w:rPr>
      <w:szCs w:val="20"/>
    </w:rPr>
  </w:style>
  <w:style w:type="paragraph" w:styleId="CommentSubject">
    <w:name w:val="annotation subject"/>
    <w:basedOn w:val="CommentText"/>
    <w:next w:val="CommentText"/>
    <w:link w:val="CommentSubjectChar"/>
    <w:uiPriority w:val="99"/>
    <w:semiHidden/>
    <w:unhideWhenUsed/>
    <w:rsid w:val="00923F8A"/>
    <w:rPr>
      <w:b/>
      <w:bCs/>
    </w:rPr>
  </w:style>
  <w:style w:type="character" w:customStyle="1" w:styleId="CommentSubjectChar">
    <w:name w:val="Comment Subject Char"/>
    <w:basedOn w:val="CommentTextChar"/>
    <w:link w:val="CommentSubject"/>
    <w:uiPriority w:val="99"/>
    <w:semiHidden/>
    <w:rsid w:val="00923F8A"/>
    <w:rPr>
      <w:b/>
      <w:bCs/>
      <w:szCs w:val="20"/>
    </w:rPr>
  </w:style>
  <w:style w:type="paragraph" w:styleId="BalloonText">
    <w:name w:val="Balloon Text"/>
    <w:basedOn w:val="Normal"/>
    <w:link w:val="BalloonTextChar"/>
    <w:uiPriority w:val="99"/>
    <w:semiHidden/>
    <w:unhideWhenUsed/>
    <w:rsid w:val="00923F8A"/>
    <w:rPr>
      <w:rFonts w:ascii="Tahoma" w:hAnsi="Tahoma" w:cs="Tahoma"/>
      <w:sz w:val="16"/>
      <w:szCs w:val="16"/>
    </w:rPr>
  </w:style>
  <w:style w:type="character" w:customStyle="1" w:styleId="BalloonTextChar">
    <w:name w:val="Balloon Text Char"/>
    <w:basedOn w:val="DefaultParagraphFont"/>
    <w:link w:val="BalloonText"/>
    <w:uiPriority w:val="99"/>
    <w:semiHidden/>
    <w:rsid w:val="00923F8A"/>
    <w:rPr>
      <w:rFonts w:ascii="Tahoma" w:hAnsi="Tahoma" w:cs="Tahoma"/>
      <w:sz w:val="16"/>
      <w:szCs w:val="16"/>
    </w:rPr>
  </w:style>
  <w:style w:type="paragraph" w:styleId="Header">
    <w:name w:val="header"/>
    <w:basedOn w:val="Normal"/>
    <w:link w:val="HeaderChar"/>
    <w:uiPriority w:val="99"/>
    <w:unhideWhenUsed/>
    <w:rsid w:val="00025C03"/>
    <w:pPr>
      <w:tabs>
        <w:tab w:val="center" w:pos="4680"/>
        <w:tab w:val="right" w:pos="9360"/>
      </w:tabs>
    </w:pPr>
  </w:style>
  <w:style w:type="character" w:customStyle="1" w:styleId="HeaderChar">
    <w:name w:val="Header Char"/>
    <w:basedOn w:val="DefaultParagraphFont"/>
    <w:link w:val="Header"/>
    <w:uiPriority w:val="99"/>
    <w:rsid w:val="00025C03"/>
  </w:style>
  <w:style w:type="paragraph" w:styleId="Footer">
    <w:name w:val="footer"/>
    <w:basedOn w:val="Normal"/>
    <w:link w:val="FooterChar"/>
    <w:uiPriority w:val="99"/>
    <w:unhideWhenUsed/>
    <w:rsid w:val="00025C03"/>
    <w:pPr>
      <w:tabs>
        <w:tab w:val="center" w:pos="4680"/>
        <w:tab w:val="right" w:pos="9360"/>
      </w:tabs>
    </w:pPr>
  </w:style>
  <w:style w:type="character" w:customStyle="1" w:styleId="FooterChar">
    <w:name w:val="Footer Char"/>
    <w:basedOn w:val="DefaultParagraphFont"/>
    <w:link w:val="Footer"/>
    <w:uiPriority w:val="99"/>
    <w:rsid w:val="00025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CF2"/>
    <w:pPr>
      <w:ind w:left="720"/>
      <w:contextualSpacing/>
    </w:pPr>
  </w:style>
  <w:style w:type="paragraph" w:styleId="FootnoteText">
    <w:name w:val="footnote text"/>
    <w:basedOn w:val="Normal"/>
    <w:link w:val="FootnoteTextChar"/>
    <w:uiPriority w:val="99"/>
    <w:semiHidden/>
    <w:unhideWhenUsed/>
    <w:rsid w:val="00567136"/>
    <w:rPr>
      <w:szCs w:val="20"/>
    </w:rPr>
  </w:style>
  <w:style w:type="character" w:customStyle="1" w:styleId="FootnoteTextChar">
    <w:name w:val="Footnote Text Char"/>
    <w:basedOn w:val="DefaultParagraphFont"/>
    <w:link w:val="FootnoteText"/>
    <w:uiPriority w:val="99"/>
    <w:semiHidden/>
    <w:rsid w:val="00567136"/>
    <w:rPr>
      <w:szCs w:val="20"/>
    </w:rPr>
  </w:style>
  <w:style w:type="character" w:styleId="FootnoteReference">
    <w:name w:val="footnote reference"/>
    <w:basedOn w:val="DefaultParagraphFont"/>
    <w:uiPriority w:val="99"/>
    <w:semiHidden/>
    <w:unhideWhenUsed/>
    <w:rsid w:val="00567136"/>
    <w:rPr>
      <w:vertAlign w:val="superscript"/>
    </w:rPr>
  </w:style>
  <w:style w:type="character" w:styleId="Hyperlink">
    <w:name w:val="Hyperlink"/>
    <w:basedOn w:val="DefaultParagraphFont"/>
    <w:uiPriority w:val="99"/>
    <w:unhideWhenUsed/>
    <w:rsid w:val="005E7350"/>
    <w:rPr>
      <w:color w:val="0000FF" w:themeColor="hyperlink"/>
      <w:u w:val="single"/>
    </w:rPr>
  </w:style>
  <w:style w:type="table" w:styleId="TableGrid">
    <w:name w:val="Table Grid"/>
    <w:basedOn w:val="TableNormal"/>
    <w:uiPriority w:val="59"/>
    <w:rsid w:val="00B54B55"/>
    <w:pPr>
      <w:jc w:val="left"/>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3F8A"/>
    <w:rPr>
      <w:sz w:val="16"/>
      <w:szCs w:val="16"/>
    </w:rPr>
  </w:style>
  <w:style w:type="paragraph" w:styleId="CommentText">
    <w:name w:val="annotation text"/>
    <w:basedOn w:val="Normal"/>
    <w:link w:val="CommentTextChar"/>
    <w:uiPriority w:val="99"/>
    <w:semiHidden/>
    <w:unhideWhenUsed/>
    <w:rsid w:val="00923F8A"/>
    <w:rPr>
      <w:szCs w:val="20"/>
    </w:rPr>
  </w:style>
  <w:style w:type="character" w:customStyle="1" w:styleId="CommentTextChar">
    <w:name w:val="Comment Text Char"/>
    <w:basedOn w:val="DefaultParagraphFont"/>
    <w:link w:val="CommentText"/>
    <w:uiPriority w:val="99"/>
    <w:semiHidden/>
    <w:rsid w:val="00923F8A"/>
    <w:rPr>
      <w:szCs w:val="20"/>
    </w:rPr>
  </w:style>
  <w:style w:type="paragraph" w:styleId="CommentSubject">
    <w:name w:val="annotation subject"/>
    <w:basedOn w:val="CommentText"/>
    <w:next w:val="CommentText"/>
    <w:link w:val="CommentSubjectChar"/>
    <w:uiPriority w:val="99"/>
    <w:semiHidden/>
    <w:unhideWhenUsed/>
    <w:rsid w:val="00923F8A"/>
    <w:rPr>
      <w:b/>
      <w:bCs/>
    </w:rPr>
  </w:style>
  <w:style w:type="character" w:customStyle="1" w:styleId="CommentSubjectChar">
    <w:name w:val="Comment Subject Char"/>
    <w:basedOn w:val="CommentTextChar"/>
    <w:link w:val="CommentSubject"/>
    <w:uiPriority w:val="99"/>
    <w:semiHidden/>
    <w:rsid w:val="00923F8A"/>
    <w:rPr>
      <w:b/>
      <w:bCs/>
      <w:szCs w:val="20"/>
    </w:rPr>
  </w:style>
  <w:style w:type="paragraph" w:styleId="BalloonText">
    <w:name w:val="Balloon Text"/>
    <w:basedOn w:val="Normal"/>
    <w:link w:val="BalloonTextChar"/>
    <w:uiPriority w:val="99"/>
    <w:semiHidden/>
    <w:unhideWhenUsed/>
    <w:rsid w:val="00923F8A"/>
    <w:rPr>
      <w:rFonts w:ascii="Tahoma" w:hAnsi="Tahoma" w:cs="Tahoma"/>
      <w:sz w:val="16"/>
      <w:szCs w:val="16"/>
    </w:rPr>
  </w:style>
  <w:style w:type="character" w:customStyle="1" w:styleId="BalloonTextChar">
    <w:name w:val="Balloon Text Char"/>
    <w:basedOn w:val="DefaultParagraphFont"/>
    <w:link w:val="BalloonText"/>
    <w:uiPriority w:val="99"/>
    <w:semiHidden/>
    <w:rsid w:val="00923F8A"/>
    <w:rPr>
      <w:rFonts w:ascii="Tahoma" w:hAnsi="Tahoma" w:cs="Tahoma"/>
      <w:sz w:val="16"/>
      <w:szCs w:val="16"/>
    </w:rPr>
  </w:style>
  <w:style w:type="paragraph" w:styleId="Header">
    <w:name w:val="header"/>
    <w:basedOn w:val="Normal"/>
    <w:link w:val="HeaderChar"/>
    <w:uiPriority w:val="99"/>
    <w:unhideWhenUsed/>
    <w:rsid w:val="00025C03"/>
    <w:pPr>
      <w:tabs>
        <w:tab w:val="center" w:pos="4680"/>
        <w:tab w:val="right" w:pos="9360"/>
      </w:tabs>
    </w:pPr>
  </w:style>
  <w:style w:type="character" w:customStyle="1" w:styleId="HeaderChar">
    <w:name w:val="Header Char"/>
    <w:basedOn w:val="DefaultParagraphFont"/>
    <w:link w:val="Header"/>
    <w:uiPriority w:val="99"/>
    <w:rsid w:val="00025C03"/>
  </w:style>
  <w:style w:type="paragraph" w:styleId="Footer">
    <w:name w:val="footer"/>
    <w:basedOn w:val="Normal"/>
    <w:link w:val="FooterChar"/>
    <w:uiPriority w:val="99"/>
    <w:unhideWhenUsed/>
    <w:rsid w:val="00025C03"/>
    <w:pPr>
      <w:tabs>
        <w:tab w:val="center" w:pos="4680"/>
        <w:tab w:val="right" w:pos="9360"/>
      </w:tabs>
    </w:pPr>
  </w:style>
  <w:style w:type="character" w:customStyle="1" w:styleId="FooterChar">
    <w:name w:val="Footer Char"/>
    <w:basedOn w:val="DefaultParagraphFont"/>
    <w:link w:val="Footer"/>
    <w:uiPriority w:val="99"/>
    <w:rsid w:val="00025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jk@bbrslaw.com" TargetMode="External"/><Relationship Id="rId18" Type="http://schemas.openxmlformats.org/officeDocument/2006/relationships/hyperlink" Target="mailto:mfleisher@elpc.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kl@bbrslaw.com" TargetMode="External"/><Relationship Id="rId17" Type="http://schemas.openxmlformats.org/officeDocument/2006/relationships/hyperlink" Target="mailto:finnigan@edf.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dougherty@theOEC.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cks@ohanet.org"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jlang@calfee.com" TargetMode="External"/><Relationship Id="rId23" Type="http://schemas.openxmlformats.org/officeDocument/2006/relationships/header" Target="header3.xml"/><Relationship Id="rId10" Type="http://schemas.openxmlformats.org/officeDocument/2006/relationships/hyperlink" Target="mailto:Schmidt@sppgrp.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jsatterwhite@aep.com" TargetMode="External"/><Relationship Id="rId14" Type="http://schemas.openxmlformats.org/officeDocument/2006/relationships/hyperlink" Target="mailto:sfisk@earthjustice.org"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ure.ohio.gov/publications/rules-of-the-ho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65F47-26CD-4127-9BDF-C05EEC0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3112</Words>
  <Characters>18798</Characters>
  <Application>Microsoft Office Word</Application>
  <DocSecurity>0</DocSecurity>
  <Lines>482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2015-10-19T20:40:00Z</dcterms:created>
  <dcterms:modified xsi:type="dcterms:W3CDTF">2015-10-19T20:42:00Z</dcterms:modified>
</cp:coreProperties>
</file>