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A295D" w:rsidRPr="007E3B67" w:rsidP="007A295D" w14:paraId="60826916" w14:textId="77777777">
      <w:pPr>
        <w:jc w:val="center"/>
        <w:rPr>
          <w:b/>
          <w:szCs w:val="24"/>
        </w:rPr>
      </w:pPr>
      <w:r w:rsidRPr="007E3B67">
        <w:rPr>
          <w:b/>
          <w:szCs w:val="24"/>
        </w:rPr>
        <w:t xml:space="preserve">BEFORE </w:t>
      </w:r>
    </w:p>
    <w:p w:rsidR="007A295D" w:rsidRPr="007E3B67" w:rsidP="007A295D" w14:paraId="060652C7" w14:textId="77777777">
      <w:pPr>
        <w:jc w:val="center"/>
        <w:rPr>
          <w:b/>
          <w:szCs w:val="24"/>
        </w:rPr>
      </w:pPr>
      <w:r w:rsidRPr="007E3B67">
        <w:rPr>
          <w:b/>
          <w:szCs w:val="24"/>
        </w:rPr>
        <w:t>THE PUBLIC UTILITIES COMMISSION OF OHIO</w:t>
      </w:r>
    </w:p>
    <w:p w:rsidR="007A295D" w:rsidRPr="007E3B67" w:rsidP="007A295D" w14:paraId="3BA25158" w14:textId="77777777">
      <w:pPr>
        <w:rPr>
          <w:b/>
          <w:szCs w:val="24"/>
        </w:rPr>
      </w:pPr>
    </w:p>
    <w:tbl>
      <w:tblPr>
        <w:tblW w:w="9092" w:type="dxa"/>
        <w:tblLook w:val="01E0"/>
      </w:tblPr>
      <w:tblGrid>
        <w:gridCol w:w="4332"/>
        <w:gridCol w:w="360"/>
        <w:gridCol w:w="4400"/>
      </w:tblGrid>
      <w:tr w14:paraId="0017EA80" w14:textId="77777777" w:rsidTr="00AD6D6A">
        <w:tblPrEx>
          <w:tblW w:w="9092" w:type="dxa"/>
          <w:tblLook w:val="01E0"/>
        </w:tblPrEx>
        <w:trPr>
          <w:trHeight w:val="807"/>
        </w:trPr>
        <w:tc>
          <w:tcPr>
            <w:tcW w:w="4332" w:type="dxa"/>
            <w:shd w:val="clear" w:color="auto" w:fill="auto"/>
          </w:tcPr>
          <w:p w:rsidR="00617305" w:rsidRPr="007E3B67" w:rsidP="00AD6D6A" w14:paraId="44ACFE3A" w14:textId="77777777">
            <w:pPr>
              <w:pStyle w:val="HTMLPreformatted"/>
              <w:rPr>
                <w:rFonts w:ascii="Times New Roman" w:hAnsi="Times New Roman" w:cs="Times New Roman"/>
                <w:sz w:val="24"/>
                <w:szCs w:val="24"/>
              </w:rPr>
            </w:pPr>
            <w:r w:rsidRPr="007E3B67">
              <w:rPr>
                <w:rFonts w:ascii="Times New Roman" w:hAnsi="Times New Roman" w:cs="Times New Roman"/>
                <w:sz w:val="24"/>
                <w:szCs w:val="24"/>
              </w:rPr>
              <w:t>In the Matter of the OVEC Generation Purchase Rider Audits Required by R.C. 4928.148 for Duke Energy Ohio, Inc., the Dayton Power and Light Company, and AEP Ohio.</w:t>
            </w:r>
          </w:p>
        </w:tc>
        <w:tc>
          <w:tcPr>
            <w:tcW w:w="360" w:type="dxa"/>
            <w:shd w:val="clear" w:color="auto" w:fill="auto"/>
          </w:tcPr>
          <w:p w:rsidR="00617305" w:rsidRPr="007E3B67" w:rsidP="00AD6D6A" w14:paraId="3BA1C30C" w14:textId="77777777">
            <w:pPr>
              <w:pStyle w:val="HTMLPreformatted"/>
              <w:rPr>
                <w:rFonts w:ascii="Times New Roman" w:hAnsi="Times New Roman" w:cs="Times New Roman"/>
                <w:sz w:val="24"/>
                <w:szCs w:val="24"/>
              </w:rPr>
            </w:pPr>
            <w:r w:rsidRPr="007E3B67">
              <w:rPr>
                <w:rFonts w:ascii="Times New Roman" w:hAnsi="Times New Roman" w:cs="Times New Roman"/>
                <w:sz w:val="24"/>
                <w:szCs w:val="24"/>
              </w:rPr>
              <w:t>)</w:t>
            </w:r>
          </w:p>
          <w:p w:rsidR="00617305" w:rsidRPr="007E3B67" w:rsidP="00AD6D6A" w14:paraId="47C4843E" w14:textId="77777777">
            <w:pPr>
              <w:pStyle w:val="HTMLPreformatted"/>
              <w:rPr>
                <w:rFonts w:ascii="Times New Roman" w:hAnsi="Times New Roman" w:cs="Times New Roman"/>
                <w:sz w:val="24"/>
                <w:szCs w:val="24"/>
              </w:rPr>
            </w:pPr>
            <w:r w:rsidRPr="007E3B67">
              <w:rPr>
                <w:rFonts w:ascii="Times New Roman" w:hAnsi="Times New Roman" w:cs="Times New Roman"/>
                <w:sz w:val="24"/>
                <w:szCs w:val="24"/>
              </w:rPr>
              <w:t>)</w:t>
            </w:r>
          </w:p>
          <w:p w:rsidR="00617305" w:rsidRPr="007E3B67" w:rsidP="00AD6D6A" w14:paraId="5912130B" w14:textId="77777777">
            <w:pPr>
              <w:pStyle w:val="HTMLPreformatted"/>
              <w:rPr>
                <w:rFonts w:ascii="Times New Roman" w:hAnsi="Times New Roman" w:cs="Times New Roman"/>
                <w:sz w:val="24"/>
                <w:szCs w:val="24"/>
              </w:rPr>
            </w:pPr>
            <w:r w:rsidRPr="007E3B67">
              <w:rPr>
                <w:rFonts w:ascii="Times New Roman" w:hAnsi="Times New Roman" w:cs="Times New Roman"/>
                <w:sz w:val="24"/>
                <w:szCs w:val="24"/>
              </w:rPr>
              <w:t>)</w:t>
            </w:r>
          </w:p>
          <w:p w:rsidR="00617305" w:rsidRPr="007E3B67" w:rsidP="00AD6D6A" w14:paraId="257162A4" w14:textId="77777777">
            <w:pPr>
              <w:pStyle w:val="HTMLPreformatted"/>
              <w:rPr>
                <w:rFonts w:ascii="Times New Roman" w:hAnsi="Times New Roman" w:cs="Times New Roman"/>
                <w:sz w:val="24"/>
                <w:szCs w:val="24"/>
              </w:rPr>
            </w:pPr>
            <w:r w:rsidRPr="007E3B67">
              <w:rPr>
                <w:rFonts w:ascii="Times New Roman" w:hAnsi="Times New Roman" w:cs="Times New Roman"/>
                <w:sz w:val="24"/>
                <w:szCs w:val="24"/>
              </w:rPr>
              <w:t>)</w:t>
            </w:r>
          </w:p>
          <w:p w:rsidR="00617305" w:rsidRPr="007E3B67" w:rsidP="00AD6D6A" w14:paraId="09E1F8A9" w14:textId="77777777">
            <w:pPr>
              <w:pStyle w:val="HTMLPreformatted"/>
              <w:rPr>
                <w:rFonts w:ascii="Times New Roman" w:hAnsi="Times New Roman" w:cs="Times New Roman"/>
                <w:sz w:val="24"/>
                <w:szCs w:val="24"/>
              </w:rPr>
            </w:pPr>
            <w:r w:rsidRPr="007E3B67">
              <w:rPr>
                <w:rFonts w:ascii="Times New Roman" w:hAnsi="Times New Roman" w:cs="Times New Roman"/>
                <w:sz w:val="24"/>
                <w:szCs w:val="24"/>
              </w:rPr>
              <w:t>)</w:t>
            </w:r>
          </w:p>
        </w:tc>
        <w:tc>
          <w:tcPr>
            <w:tcW w:w="4400" w:type="dxa"/>
            <w:shd w:val="clear" w:color="auto" w:fill="auto"/>
          </w:tcPr>
          <w:p w:rsidR="00617305" w:rsidRPr="007E3B67" w:rsidP="00AD6D6A" w14:paraId="3D0D1F05" w14:textId="77777777">
            <w:pPr>
              <w:pStyle w:val="HTMLPreformatted"/>
              <w:rPr>
                <w:rFonts w:ascii="Times New Roman" w:hAnsi="Times New Roman" w:cs="Times New Roman"/>
                <w:sz w:val="24"/>
                <w:szCs w:val="24"/>
              </w:rPr>
            </w:pPr>
          </w:p>
          <w:p w:rsidR="00617305" w:rsidRPr="007E3B67" w:rsidP="00AD6D6A" w14:paraId="3B6BE26D" w14:textId="77777777">
            <w:pPr>
              <w:pStyle w:val="HTMLPreformatted"/>
              <w:rPr>
                <w:rFonts w:ascii="Times New Roman" w:hAnsi="Times New Roman" w:cs="Times New Roman"/>
                <w:sz w:val="24"/>
                <w:szCs w:val="24"/>
              </w:rPr>
            </w:pPr>
            <w:r w:rsidRPr="007E3B67">
              <w:rPr>
                <w:rFonts w:ascii="Times New Roman" w:hAnsi="Times New Roman" w:cs="Times New Roman"/>
                <w:sz w:val="24"/>
                <w:szCs w:val="24"/>
              </w:rPr>
              <w:t>Case No. 21-477-EL-RDR</w:t>
            </w:r>
          </w:p>
          <w:p w:rsidR="00617305" w:rsidRPr="007E3B67" w:rsidP="00AD6D6A" w14:paraId="34DA40BF" w14:textId="77777777">
            <w:pPr>
              <w:pStyle w:val="HTMLPreformatted"/>
              <w:rPr>
                <w:rFonts w:ascii="Times New Roman" w:hAnsi="Times New Roman" w:cs="Times New Roman"/>
                <w:sz w:val="24"/>
                <w:szCs w:val="24"/>
              </w:rPr>
            </w:pPr>
          </w:p>
          <w:p w:rsidR="00617305" w:rsidRPr="007E3B67" w:rsidP="00AD6D6A" w14:paraId="33F2AE5D" w14:textId="77777777">
            <w:pPr>
              <w:pStyle w:val="HTMLPreformatted"/>
              <w:rPr>
                <w:rFonts w:ascii="Times New Roman" w:hAnsi="Times New Roman" w:cs="Times New Roman"/>
                <w:sz w:val="24"/>
                <w:szCs w:val="24"/>
              </w:rPr>
            </w:pPr>
          </w:p>
        </w:tc>
      </w:tr>
    </w:tbl>
    <w:p w:rsidR="007C2E95" w:rsidRPr="007E3B67" w:rsidP="007C2E95" w14:paraId="0F24AC1F" w14:textId="77777777">
      <w:pPr>
        <w:pBdr>
          <w:bottom w:val="single" w:sz="12" w:space="1" w:color="auto"/>
        </w:pBdr>
        <w:spacing w:before="4"/>
        <w:rPr>
          <w:szCs w:val="24"/>
        </w:rPr>
      </w:pPr>
    </w:p>
    <w:p w:rsidR="007A324B" w:rsidRPr="007E3B67" w:rsidP="00510499" w14:paraId="0CEBDA96" w14:textId="77777777">
      <w:pPr>
        <w:tabs>
          <w:tab w:val="left" w:pos="-720"/>
        </w:tabs>
        <w:suppressAutoHyphens/>
        <w:jc w:val="center"/>
        <w:rPr>
          <w:b/>
          <w:szCs w:val="24"/>
        </w:rPr>
      </w:pPr>
    </w:p>
    <w:p w:rsidR="005B2FA5" w:rsidRPr="007E3B67" w:rsidP="00762F2D" w14:paraId="545D2A11" w14:textId="5FD1BA65">
      <w:pPr>
        <w:tabs>
          <w:tab w:val="left" w:pos="-720"/>
        </w:tabs>
        <w:suppressAutoHyphens/>
        <w:jc w:val="center"/>
        <w:rPr>
          <w:b/>
          <w:szCs w:val="24"/>
        </w:rPr>
      </w:pPr>
      <w:r w:rsidRPr="007E3B67">
        <w:rPr>
          <w:b/>
          <w:szCs w:val="24"/>
        </w:rPr>
        <w:t>REPLY IN SUPPORT OF</w:t>
      </w:r>
      <w:r w:rsidRPr="007E3B67" w:rsidR="00762F2D">
        <w:rPr>
          <w:b/>
          <w:szCs w:val="24"/>
        </w:rPr>
        <w:t xml:space="preserve"> </w:t>
      </w:r>
      <w:r w:rsidRPr="007E3B67">
        <w:rPr>
          <w:b/>
          <w:szCs w:val="24"/>
        </w:rPr>
        <w:t>MOTION FOR A SUBPOENA DUCES TECUM</w:t>
      </w:r>
      <w:r w:rsidRPr="007E3B67" w:rsidR="00762F2D">
        <w:rPr>
          <w:b/>
          <w:szCs w:val="24"/>
        </w:rPr>
        <w:t xml:space="preserve"> </w:t>
      </w:r>
      <w:r w:rsidRPr="007E3B67">
        <w:rPr>
          <w:b/>
          <w:szCs w:val="24"/>
        </w:rPr>
        <w:t>TO AMERICAN ELECTRIC POWER COMPANY, INC.</w:t>
      </w:r>
    </w:p>
    <w:p w:rsidR="004610D3" w:rsidRPr="007E3B67" w:rsidP="00510499" w14:paraId="1A8561BE" w14:textId="77777777">
      <w:pPr>
        <w:tabs>
          <w:tab w:val="left" w:pos="-720"/>
        </w:tabs>
        <w:suppressAutoHyphens/>
        <w:jc w:val="center"/>
        <w:rPr>
          <w:b/>
          <w:szCs w:val="24"/>
        </w:rPr>
      </w:pPr>
      <w:r w:rsidRPr="007E3B67">
        <w:rPr>
          <w:b/>
          <w:szCs w:val="24"/>
        </w:rPr>
        <w:t>BY</w:t>
      </w:r>
    </w:p>
    <w:p w:rsidR="00BA6EC5" w:rsidRPr="007E3B67" w14:paraId="0A037B1C" w14:textId="7E962AA1">
      <w:pPr>
        <w:tabs>
          <w:tab w:val="left" w:pos="-720"/>
        </w:tabs>
        <w:suppressAutoHyphens/>
        <w:jc w:val="center"/>
        <w:rPr>
          <w:b/>
          <w:szCs w:val="24"/>
        </w:rPr>
      </w:pPr>
      <w:r w:rsidRPr="007E3B67">
        <w:rPr>
          <w:b/>
          <w:szCs w:val="24"/>
        </w:rPr>
        <w:t>OFFICE OF THE OHIO CONSUMERS’ COUNSEL</w:t>
      </w:r>
    </w:p>
    <w:p w:rsidR="00BA6EC5" w:rsidRPr="007E3B67" w14:paraId="4296A6C8" w14:textId="77777777">
      <w:pPr>
        <w:pBdr>
          <w:bottom w:val="single" w:sz="12" w:space="1" w:color="auto"/>
        </w:pBdr>
        <w:tabs>
          <w:tab w:val="left" w:pos="-720"/>
        </w:tabs>
        <w:suppressAutoHyphens/>
        <w:jc w:val="center"/>
        <w:rPr>
          <w:b/>
          <w:szCs w:val="24"/>
        </w:rPr>
      </w:pPr>
    </w:p>
    <w:p w:rsidR="007A324B" w:rsidRPr="007E3B67" w:rsidP="007A324B" w14:paraId="288916AE" w14:textId="77777777">
      <w:pPr>
        <w:ind w:firstLine="720"/>
        <w:rPr>
          <w:rFonts w:eastAsiaTheme="minorHAnsi"/>
          <w:szCs w:val="24"/>
        </w:rPr>
      </w:pPr>
    </w:p>
    <w:p w:rsidR="00073900" w:rsidRPr="007E3B67" w:rsidP="009B51AA" w14:paraId="541413EE" w14:textId="66C281BB">
      <w:pPr>
        <w:pStyle w:val="Heading1"/>
        <w:rPr>
          <w:rFonts w:eastAsiaTheme="minorHAnsi"/>
        </w:rPr>
      </w:pPr>
      <w:r w:rsidRPr="007E3B67">
        <w:rPr>
          <w:rFonts w:eastAsiaTheme="minorHAnsi"/>
        </w:rPr>
        <w:t>I.</w:t>
      </w:r>
      <w:r w:rsidRPr="007E3B67">
        <w:rPr>
          <w:rFonts w:eastAsiaTheme="minorHAnsi"/>
        </w:rPr>
        <w:tab/>
        <w:t>INTRODUCTION</w:t>
      </w:r>
    </w:p>
    <w:p w:rsidR="005901AA" w:rsidRPr="007E3B67" w:rsidP="00954124" w14:paraId="287CFB8D" w14:textId="465A2585">
      <w:pPr>
        <w:spacing w:line="480" w:lineRule="auto"/>
        <w:ind w:firstLine="720"/>
        <w:rPr>
          <w:rFonts w:eastAsiaTheme="minorHAnsi"/>
          <w:szCs w:val="24"/>
        </w:rPr>
      </w:pPr>
      <w:r w:rsidRPr="007E3B67">
        <w:rPr>
          <w:rFonts w:eastAsiaTheme="minorHAnsi"/>
          <w:szCs w:val="24"/>
        </w:rPr>
        <w:t>AEP Ohio’s Memorandum Contra has no merit.</w:t>
      </w:r>
      <w:r w:rsidRPr="007E3B67" w:rsidR="00762F2D">
        <w:rPr>
          <w:rFonts w:eastAsiaTheme="minorHAnsi"/>
          <w:szCs w:val="24"/>
        </w:rPr>
        <w:t xml:space="preserve"> </w:t>
      </w:r>
      <w:r w:rsidRPr="007E3B67">
        <w:rPr>
          <w:rFonts w:eastAsiaTheme="minorHAnsi"/>
          <w:szCs w:val="24"/>
        </w:rPr>
        <w:t>The PUCO should grant OCC’s Motion for a Subpoena Duces Tecum because it seeks information within OCC’s lawful right to discovery.</w:t>
      </w:r>
      <w:r w:rsidRPr="007E3B67" w:rsidR="00762F2D">
        <w:rPr>
          <w:rFonts w:eastAsiaTheme="minorHAnsi"/>
          <w:szCs w:val="24"/>
        </w:rPr>
        <w:t xml:space="preserve"> </w:t>
      </w:r>
      <w:r w:rsidRPr="007E3B67">
        <w:rPr>
          <w:rFonts w:eastAsiaTheme="minorHAnsi"/>
          <w:szCs w:val="24"/>
        </w:rPr>
        <w:t>Moreover, AEP Ohio has no standing to object to OCC’s Motion.</w:t>
      </w:r>
      <w:r w:rsidRPr="007E3B67" w:rsidR="00780156">
        <w:rPr>
          <w:rFonts w:eastAsiaTheme="minorHAnsi"/>
          <w:szCs w:val="24"/>
        </w:rPr>
        <w:t xml:space="preserve">  OCC’s Motion should be granted.</w:t>
      </w:r>
    </w:p>
    <w:p w:rsidR="00567BD3" w:rsidRPr="007E3B67" w:rsidP="00567BD3" w14:paraId="66A7EBD4" w14:textId="77777777">
      <w:pPr>
        <w:ind w:firstLine="720"/>
        <w:rPr>
          <w:rFonts w:eastAsiaTheme="minorHAnsi"/>
          <w:szCs w:val="24"/>
        </w:rPr>
      </w:pPr>
    </w:p>
    <w:p w:rsidR="004624FE" w:rsidRPr="007E3B67" w:rsidP="009B51AA" w14:paraId="4E9487AC" w14:textId="1376D974">
      <w:pPr>
        <w:pStyle w:val="Heading1"/>
        <w:rPr>
          <w:rFonts w:eastAsiaTheme="minorHAnsi"/>
        </w:rPr>
      </w:pPr>
      <w:r w:rsidRPr="007E3B67">
        <w:rPr>
          <w:rFonts w:eastAsiaTheme="minorHAnsi"/>
        </w:rPr>
        <w:t>II.</w:t>
      </w:r>
      <w:r w:rsidRPr="007E3B67">
        <w:rPr>
          <w:rFonts w:eastAsiaTheme="minorHAnsi"/>
        </w:rPr>
        <w:tab/>
        <w:t>AEP OHIO LACKS STANDING TO OPPOSE OCC’S MOTION FOR SUBPOENA DUCES TECUM BECAUSE THE MOTION IS DIRECTED TO AMERICAN ELECTRIC POWER COMPANY, INC.</w:t>
      </w:r>
    </w:p>
    <w:p w:rsidR="00AB624B" w:rsidRPr="007E3B67" w:rsidP="00954124" w14:paraId="1C260C4D" w14:textId="6E014693">
      <w:pPr>
        <w:spacing w:line="480" w:lineRule="auto"/>
        <w:ind w:firstLine="720"/>
        <w:rPr>
          <w:rFonts w:eastAsiaTheme="minorHAnsi"/>
          <w:szCs w:val="24"/>
        </w:rPr>
      </w:pPr>
      <w:r w:rsidRPr="007E3B67">
        <w:rPr>
          <w:rFonts w:eastAsiaTheme="minorHAnsi"/>
          <w:szCs w:val="24"/>
        </w:rPr>
        <w:t xml:space="preserve">At the outset, the PUCO should reject AEP Ohio’s arguments because AEP Ohio has no standing to </w:t>
      </w:r>
      <w:r w:rsidRPr="007E3B67" w:rsidR="004624FE">
        <w:rPr>
          <w:rFonts w:eastAsiaTheme="minorHAnsi"/>
          <w:szCs w:val="24"/>
        </w:rPr>
        <w:t>raise them</w:t>
      </w:r>
      <w:r w:rsidRPr="007E3B67">
        <w:rPr>
          <w:rFonts w:eastAsiaTheme="minorHAnsi"/>
          <w:szCs w:val="24"/>
        </w:rPr>
        <w:t>.</w:t>
      </w:r>
      <w:r w:rsidRPr="007E3B67" w:rsidR="00762F2D">
        <w:rPr>
          <w:rFonts w:eastAsiaTheme="minorHAnsi"/>
          <w:szCs w:val="24"/>
        </w:rPr>
        <w:t xml:space="preserve"> </w:t>
      </w:r>
      <w:r w:rsidRPr="007E3B67">
        <w:rPr>
          <w:rFonts w:eastAsiaTheme="minorHAnsi"/>
          <w:szCs w:val="24"/>
        </w:rPr>
        <w:t>OCC’s Motion was directed to American Electric Power Company, Inc. (“AEP Inc.”).</w:t>
      </w:r>
      <w:r w:rsidRPr="007E3B67" w:rsidR="00762F2D">
        <w:rPr>
          <w:rFonts w:eastAsiaTheme="minorHAnsi"/>
          <w:szCs w:val="24"/>
        </w:rPr>
        <w:t xml:space="preserve"> </w:t>
      </w:r>
      <w:r w:rsidRPr="007E3B67">
        <w:rPr>
          <w:rFonts w:eastAsiaTheme="minorHAnsi"/>
          <w:szCs w:val="24"/>
        </w:rPr>
        <w:t xml:space="preserve">AEP Inc. is the only </w:t>
      </w:r>
      <w:r w:rsidRPr="007E3B67" w:rsidR="00661DF7">
        <w:rPr>
          <w:rFonts w:eastAsiaTheme="minorHAnsi"/>
          <w:szCs w:val="24"/>
        </w:rPr>
        <w:t>entity with</w:t>
      </w:r>
      <w:r w:rsidRPr="007E3B67">
        <w:rPr>
          <w:rFonts w:eastAsiaTheme="minorHAnsi"/>
          <w:szCs w:val="24"/>
        </w:rPr>
        <w:t xml:space="preserve"> standing to oppose OCC’s Motion for Subpoena.</w:t>
      </w:r>
      <w:r w:rsidRPr="007E3B67" w:rsidR="00762F2D">
        <w:rPr>
          <w:rFonts w:eastAsiaTheme="minorHAnsi"/>
          <w:szCs w:val="24"/>
        </w:rPr>
        <w:t xml:space="preserve"> </w:t>
      </w:r>
      <w:r w:rsidRPr="007E3B67">
        <w:rPr>
          <w:rFonts w:eastAsiaTheme="minorHAnsi"/>
          <w:szCs w:val="24"/>
        </w:rPr>
        <w:t xml:space="preserve">AEP Inc. did not oppose OCC’s Motion, so the PUCO should grant </w:t>
      </w:r>
      <w:r w:rsidRPr="007E3B67" w:rsidR="004624FE">
        <w:rPr>
          <w:rFonts w:eastAsiaTheme="minorHAnsi"/>
          <w:szCs w:val="24"/>
        </w:rPr>
        <w:t>it</w:t>
      </w:r>
      <w:r w:rsidRPr="007E3B67">
        <w:rPr>
          <w:rFonts w:eastAsiaTheme="minorHAnsi"/>
          <w:szCs w:val="24"/>
        </w:rPr>
        <w:t>.</w:t>
      </w:r>
    </w:p>
    <w:p w:rsidR="004624FE" w:rsidRPr="007E3B67" w:rsidP="00954124" w14:paraId="1BC2A09A" w14:textId="08B5EEB4">
      <w:pPr>
        <w:spacing w:line="480" w:lineRule="auto"/>
        <w:ind w:firstLine="720"/>
        <w:rPr>
          <w:rFonts w:eastAsiaTheme="minorHAnsi"/>
          <w:szCs w:val="24"/>
        </w:rPr>
      </w:pPr>
      <w:r w:rsidRPr="007E3B67">
        <w:rPr>
          <w:rFonts w:eastAsiaTheme="minorHAnsi"/>
          <w:szCs w:val="24"/>
        </w:rPr>
        <w:t>Under Ohio law, “[i]t is an elementary concept of law that a party</w:t>
      </w:r>
      <w:r w:rsidRPr="007E3B67" w:rsidR="00D63804">
        <w:rPr>
          <w:rFonts w:eastAsiaTheme="minorHAnsi"/>
          <w:szCs w:val="24"/>
        </w:rPr>
        <w:t xml:space="preserve"> </w:t>
      </w:r>
      <w:r w:rsidRPr="007E3B67">
        <w:rPr>
          <w:rFonts w:eastAsiaTheme="minorHAnsi"/>
          <w:szCs w:val="24"/>
        </w:rPr>
        <w:t xml:space="preserve">lacks standing to invoke the jurisdiction of the court unless he has, in an individual or representative </w:t>
      </w:r>
      <w:r w:rsidRPr="007E3B67">
        <w:rPr>
          <w:rFonts w:eastAsiaTheme="minorHAnsi"/>
          <w:szCs w:val="24"/>
        </w:rPr>
        <w:t>capacity, some real interest in the subject matter of the action.”</w:t>
      </w:r>
      <w:r>
        <w:rPr>
          <w:rStyle w:val="FootnoteReference"/>
          <w:rFonts w:eastAsiaTheme="minorHAnsi"/>
          <w:szCs w:val="24"/>
        </w:rPr>
        <w:footnoteReference w:id="2"/>
      </w:r>
      <w:r w:rsidRPr="007E3B67" w:rsidR="00762F2D">
        <w:rPr>
          <w:rFonts w:eastAsiaTheme="minorHAnsi"/>
          <w:szCs w:val="24"/>
        </w:rPr>
        <w:t xml:space="preserve"> </w:t>
      </w:r>
      <w:r w:rsidRPr="007E3B67">
        <w:rPr>
          <w:rFonts w:eastAsiaTheme="minorHAnsi"/>
          <w:szCs w:val="24"/>
        </w:rPr>
        <w:t>The concept of standing “is defined at its most basic as ‘[a] party’s right to make a legal claim or seek judicial enforcement of a duty or right.”</w:t>
      </w:r>
      <w:r>
        <w:rPr>
          <w:rStyle w:val="FootnoteReference"/>
          <w:rFonts w:eastAsiaTheme="minorHAnsi"/>
          <w:szCs w:val="24"/>
        </w:rPr>
        <w:footnoteReference w:id="3"/>
      </w:r>
      <w:r w:rsidRPr="007E3B67" w:rsidR="00762F2D">
        <w:rPr>
          <w:rFonts w:eastAsiaTheme="minorHAnsi"/>
          <w:szCs w:val="24"/>
        </w:rPr>
        <w:t xml:space="preserve"> </w:t>
      </w:r>
      <w:r w:rsidRPr="007E3B67">
        <w:rPr>
          <w:rFonts w:eastAsiaTheme="minorHAnsi"/>
          <w:szCs w:val="24"/>
        </w:rPr>
        <w:t>“To have standing, the general rule is that ‘a litigant must assert its own rights, not the claims of third parties.”</w:t>
      </w:r>
      <w:r>
        <w:rPr>
          <w:rStyle w:val="FootnoteReference"/>
          <w:rFonts w:eastAsiaTheme="minorHAnsi"/>
          <w:szCs w:val="24"/>
        </w:rPr>
        <w:footnoteReference w:id="4"/>
      </w:r>
      <w:r w:rsidRPr="007E3B67" w:rsidR="00762F2D">
        <w:rPr>
          <w:rFonts w:eastAsiaTheme="minorHAnsi"/>
          <w:szCs w:val="24"/>
        </w:rPr>
        <w:t xml:space="preserve"> </w:t>
      </w:r>
    </w:p>
    <w:p w:rsidR="008143E4" w:rsidRPr="007E3B67" w:rsidP="008143E4" w14:paraId="4548E225" w14:textId="586463EB">
      <w:pPr>
        <w:spacing w:line="480" w:lineRule="auto"/>
        <w:ind w:firstLine="720"/>
        <w:rPr>
          <w:rFonts w:eastAsiaTheme="minorHAnsi"/>
          <w:szCs w:val="24"/>
        </w:rPr>
      </w:pPr>
      <w:r w:rsidRPr="007E3B67">
        <w:rPr>
          <w:rFonts w:eastAsiaTheme="minorHAnsi"/>
          <w:szCs w:val="24"/>
        </w:rPr>
        <w:t>Third-party standing is the approach AEP Ohio attempts to use here.</w:t>
      </w:r>
      <w:r w:rsidRPr="007E3B67" w:rsidR="00762F2D">
        <w:rPr>
          <w:rFonts w:eastAsiaTheme="minorHAnsi"/>
          <w:szCs w:val="24"/>
        </w:rPr>
        <w:t xml:space="preserve"> </w:t>
      </w:r>
      <w:r w:rsidRPr="007E3B67">
        <w:rPr>
          <w:rFonts w:eastAsiaTheme="minorHAnsi"/>
          <w:szCs w:val="24"/>
        </w:rPr>
        <w:t>AEP Ohio</w:t>
      </w:r>
      <w:r w:rsidRPr="007E3B67" w:rsidR="0084406E">
        <w:rPr>
          <w:rFonts w:eastAsiaTheme="minorHAnsi"/>
          <w:szCs w:val="24"/>
        </w:rPr>
        <w:t xml:space="preserve"> admits this in its</w:t>
      </w:r>
      <w:r w:rsidRPr="007E3B67">
        <w:rPr>
          <w:rFonts w:eastAsiaTheme="minorHAnsi"/>
          <w:szCs w:val="24"/>
        </w:rPr>
        <w:t xml:space="preserve"> Memorandum Contra: “</w:t>
      </w:r>
      <w:r w:rsidRPr="007E3B67">
        <w:rPr>
          <w:szCs w:val="24"/>
        </w:rPr>
        <w:t xml:space="preserve">AEP Ohio </w:t>
      </w:r>
      <w:r w:rsidRPr="007E3B67">
        <w:rPr>
          <w:i/>
          <w:iCs/>
          <w:szCs w:val="24"/>
        </w:rPr>
        <w:t>on behalf of its affiliate, AEP Inc.,</w:t>
      </w:r>
      <w:r w:rsidRPr="007E3B67">
        <w:rPr>
          <w:szCs w:val="24"/>
        </w:rPr>
        <w:t xml:space="preserve"> respectfully requests that the Commission deny OCC’s Motion and leave the subpoena unsigned.”</w:t>
      </w:r>
      <w:r>
        <w:rPr>
          <w:rStyle w:val="FootnoteReference"/>
          <w:szCs w:val="24"/>
        </w:rPr>
        <w:footnoteReference w:id="5"/>
      </w:r>
      <w:r w:rsidRPr="007E3B67" w:rsidR="00762F2D">
        <w:rPr>
          <w:szCs w:val="24"/>
        </w:rPr>
        <w:t xml:space="preserve"> </w:t>
      </w:r>
      <w:r w:rsidRPr="007E3B67">
        <w:rPr>
          <w:szCs w:val="24"/>
        </w:rPr>
        <w:t>There is no reason AEP Inc. could not have challenged OCC’s Motion for Subpoena</w:t>
      </w:r>
      <w:r w:rsidRPr="007E3B67">
        <w:rPr>
          <w:szCs w:val="24"/>
        </w:rPr>
        <w:t xml:space="preserve"> Duces Tecum on its own.</w:t>
      </w:r>
      <w:r w:rsidRPr="007E3B67" w:rsidR="00762F2D">
        <w:rPr>
          <w:szCs w:val="24"/>
        </w:rPr>
        <w:t xml:space="preserve"> </w:t>
      </w:r>
      <w:r w:rsidRPr="007E3B67">
        <w:rPr>
          <w:szCs w:val="24"/>
        </w:rPr>
        <w:t>AEP Ohio did not advance any reason for trying to invoke the doctrine of third-party standing, which the Supreme Court of Ohio</w:t>
      </w:r>
      <w:r w:rsidRPr="007E3B67" w:rsidR="0084406E">
        <w:rPr>
          <w:szCs w:val="24"/>
        </w:rPr>
        <w:t>, in an appeal of a PUCO Order,</w:t>
      </w:r>
      <w:r w:rsidRPr="007E3B67">
        <w:rPr>
          <w:szCs w:val="24"/>
        </w:rPr>
        <w:t xml:space="preserve"> has stated is disfavored</w:t>
      </w:r>
      <w:r w:rsidRPr="007E3B67" w:rsidR="0084406E">
        <w:rPr>
          <w:szCs w:val="24"/>
        </w:rPr>
        <w:t>:</w:t>
      </w:r>
      <w:r w:rsidRPr="007E3B67">
        <w:rPr>
          <w:szCs w:val="24"/>
        </w:rPr>
        <w:t xml:space="preserve"> </w:t>
      </w:r>
      <w:r w:rsidRPr="007E3B67">
        <w:rPr>
          <w:rFonts w:eastAsiaTheme="minorHAnsi"/>
          <w:szCs w:val="24"/>
        </w:rPr>
        <w:t>“</w:t>
      </w:r>
      <w:r w:rsidRPr="007E3B67" w:rsidR="00B77FF3">
        <w:rPr>
          <w:rFonts w:eastAsiaTheme="minorHAnsi"/>
          <w:szCs w:val="24"/>
        </w:rPr>
        <w:t>’</w:t>
      </w:r>
      <w:r w:rsidRPr="007E3B67">
        <w:rPr>
          <w:rFonts w:eastAsiaTheme="minorHAnsi"/>
          <w:szCs w:val="24"/>
        </w:rPr>
        <w:t>[t]hird-party standing is ‘not looked favorably upon…’”</w:t>
      </w:r>
      <w:r>
        <w:rPr>
          <w:rStyle w:val="FootnoteReference"/>
          <w:rFonts w:eastAsiaTheme="minorHAnsi"/>
          <w:szCs w:val="24"/>
        </w:rPr>
        <w:footnoteReference w:id="6"/>
      </w:r>
    </w:p>
    <w:p w:rsidR="00AC0CA7" w:rsidRPr="007E3B67" w:rsidP="00661DF7" w14:paraId="1A046E3C" w14:textId="0631CEF7">
      <w:pPr>
        <w:spacing w:line="480" w:lineRule="auto"/>
        <w:ind w:firstLine="720"/>
        <w:rPr>
          <w:rFonts w:eastAsiaTheme="minorHAnsi"/>
          <w:szCs w:val="24"/>
        </w:rPr>
      </w:pPr>
      <w:r w:rsidRPr="007E3B67">
        <w:rPr>
          <w:rFonts w:eastAsiaTheme="minorHAnsi"/>
          <w:szCs w:val="24"/>
        </w:rPr>
        <w:t>In the same appeal of a PUCO Order, the Supreme Court of Ohio stated that third-party standing may only be approved:</w:t>
      </w:r>
      <w:r w:rsidRPr="007E3B67">
        <w:rPr>
          <w:color w:val="212121"/>
          <w:szCs w:val="24"/>
          <w:shd w:val="clear" w:color="auto" w:fill="FAFAFA"/>
        </w:rPr>
        <w:t xml:space="preserve"> </w:t>
      </w:r>
      <w:r w:rsidRPr="007E3B67">
        <w:rPr>
          <w:rFonts w:eastAsiaTheme="minorHAnsi"/>
          <w:szCs w:val="24"/>
        </w:rPr>
        <w:t>"when a claimant (i) suffers its own injury in fact, (ii) possesses a sufficiently `"close" relationship with the person who possesses the right,' and (iii) shows some `hindrance' that stands in the way of the claimant seeking relief</w:t>
      </w:r>
      <w:r w:rsidRPr="007E3B67" w:rsidR="00A62921">
        <w:rPr>
          <w:rFonts w:eastAsiaTheme="minorHAnsi"/>
          <w:szCs w:val="24"/>
        </w:rPr>
        <w:t>.</w:t>
      </w:r>
      <w:r w:rsidRPr="007E3B67">
        <w:rPr>
          <w:rFonts w:eastAsiaTheme="minorHAnsi"/>
          <w:szCs w:val="24"/>
        </w:rPr>
        <w:t>"</w:t>
      </w:r>
      <w:r>
        <w:rPr>
          <w:rStyle w:val="FootnoteReference"/>
          <w:rFonts w:eastAsiaTheme="minorHAnsi"/>
          <w:szCs w:val="24"/>
        </w:rPr>
        <w:footnoteReference w:id="7"/>
      </w:r>
      <w:r w:rsidRPr="007E3B67" w:rsidR="00762F2D">
        <w:rPr>
          <w:rFonts w:eastAsiaTheme="minorHAnsi"/>
          <w:szCs w:val="24"/>
        </w:rPr>
        <w:t xml:space="preserve"> </w:t>
      </w:r>
    </w:p>
    <w:p w:rsidR="0084406E" w:rsidRPr="007E3B67" w:rsidP="00AC0CA7" w14:paraId="01B4A8A7" w14:textId="6E1B5F33">
      <w:pPr>
        <w:spacing w:line="480" w:lineRule="auto"/>
        <w:ind w:firstLine="720"/>
        <w:rPr>
          <w:rFonts w:eastAsiaTheme="minorHAnsi"/>
          <w:szCs w:val="24"/>
        </w:rPr>
      </w:pPr>
      <w:r w:rsidRPr="007E3B67">
        <w:rPr>
          <w:rFonts w:eastAsiaTheme="minorHAnsi"/>
          <w:szCs w:val="24"/>
        </w:rPr>
        <w:t>AEP Ohio has not even attempted to make this showing and, in fact, it cannot do so.</w:t>
      </w:r>
      <w:r w:rsidRPr="007E3B67" w:rsidR="00762F2D">
        <w:rPr>
          <w:rFonts w:eastAsiaTheme="minorHAnsi"/>
          <w:szCs w:val="24"/>
        </w:rPr>
        <w:t xml:space="preserve"> </w:t>
      </w:r>
      <w:r w:rsidRPr="007E3B67" w:rsidR="00B77FF3">
        <w:rPr>
          <w:rFonts w:eastAsiaTheme="minorHAnsi"/>
          <w:szCs w:val="24"/>
        </w:rPr>
        <w:t xml:space="preserve"> </w:t>
      </w:r>
      <w:r w:rsidRPr="007E3B67">
        <w:rPr>
          <w:rFonts w:eastAsiaTheme="minorHAnsi"/>
          <w:szCs w:val="24"/>
        </w:rPr>
        <w:t xml:space="preserve">First, AEP Ohio has not shown any </w:t>
      </w:r>
      <w:r w:rsidRPr="007E3B67" w:rsidR="00A0421E">
        <w:rPr>
          <w:rFonts w:eastAsiaTheme="minorHAnsi"/>
          <w:szCs w:val="24"/>
        </w:rPr>
        <w:t>injury to itself by virtue of OCC’s request for a subpoena to AEP Inc.</w:t>
      </w:r>
      <w:r w:rsidRPr="007E3B67" w:rsidR="00762F2D">
        <w:rPr>
          <w:rFonts w:eastAsiaTheme="minorHAnsi"/>
          <w:szCs w:val="24"/>
        </w:rPr>
        <w:t xml:space="preserve"> </w:t>
      </w:r>
      <w:r w:rsidRPr="007E3B67" w:rsidR="00A0421E">
        <w:rPr>
          <w:rFonts w:eastAsiaTheme="minorHAnsi"/>
          <w:szCs w:val="24"/>
        </w:rPr>
        <w:t>Second, AEP Ohio has not demonstrated that AEP Inc. faces any hindrance to challenging OCC’s request for a subpoena.</w:t>
      </w:r>
    </w:p>
    <w:p w:rsidR="00B77FF3" w:rsidRPr="007E3B67" w:rsidP="00954124" w14:paraId="0BE78A5A" w14:textId="46931814">
      <w:pPr>
        <w:spacing w:line="480" w:lineRule="auto"/>
        <w:ind w:firstLine="720"/>
        <w:rPr>
          <w:rFonts w:eastAsiaTheme="minorHAnsi"/>
          <w:szCs w:val="24"/>
        </w:rPr>
      </w:pPr>
      <w:r w:rsidRPr="007E3B67">
        <w:rPr>
          <w:rFonts w:eastAsiaTheme="minorHAnsi"/>
          <w:szCs w:val="24"/>
        </w:rPr>
        <w:t>AEP Inc. is the entity with standing to challenge the Motion for Subpoena Duces Tecum under O.A.C. 4901-1-25.</w:t>
      </w:r>
      <w:r w:rsidRPr="007E3B67" w:rsidR="00762F2D">
        <w:rPr>
          <w:rFonts w:eastAsiaTheme="minorHAnsi"/>
          <w:szCs w:val="24"/>
        </w:rPr>
        <w:t xml:space="preserve"> </w:t>
      </w:r>
      <w:r w:rsidRPr="007E3B67">
        <w:rPr>
          <w:rFonts w:eastAsiaTheme="minorHAnsi"/>
          <w:szCs w:val="24"/>
        </w:rPr>
        <w:t xml:space="preserve">The PUCO’s </w:t>
      </w:r>
      <w:r w:rsidRPr="007E3B67" w:rsidR="005970BB">
        <w:rPr>
          <w:rFonts w:eastAsiaTheme="minorHAnsi"/>
          <w:szCs w:val="24"/>
        </w:rPr>
        <w:t xml:space="preserve">corporate separation investigation into FirstEnergy’s H.B. 6 activities </w:t>
      </w:r>
      <w:r w:rsidRPr="007E3B67">
        <w:rPr>
          <w:rFonts w:eastAsiaTheme="minorHAnsi"/>
          <w:szCs w:val="24"/>
        </w:rPr>
        <w:t xml:space="preserve">shows </w:t>
      </w:r>
      <w:r w:rsidRPr="007E3B67" w:rsidR="005970BB">
        <w:rPr>
          <w:rFonts w:eastAsiaTheme="minorHAnsi"/>
          <w:szCs w:val="24"/>
        </w:rPr>
        <w:t>the proper procedure.</w:t>
      </w:r>
      <w:r w:rsidRPr="007E3B67" w:rsidR="00762F2D">
        <w:rPr>
          <w:rFonts w:eastAsiaTheme="minorHAnsi"/>
          <w:szCs w:val="24"/>
        </w:rPr>
        <w:t xml:space="preserve"> </w:t>
      </w:r>
      <w:r w:rsidRPr="007E3B67" w:rsidR="005970BB">
        <w:rPr>
          <w:rFonts w:eastAsiaTheme="minorHAnsi"/>
          <w:szCs w:val="24"/>
        </w:rPr>
        <w:t>In that case, OCC filed a motion for subpoena to obtain certain documents held by FirstEnergy Corp., FirstEnergy Service Company and FirstEnergy Foundation.</w:t>
      </w:r>
      <w:r>
        <w:rPr>
          <w:rStyle w:val="FootnoteReference"/>
          <w:rFonts w:eastAsiaTheme="minorHAnsi"/>
          <w:szCs w:val="24"/>
        </w:rPr>
        <w:footnoteReference w:id="8"/>
      </w:r>
      <w:r w:rsidRPr="007E3B67" w:rsidR="00762F2D">
        <w:rPr>
          <w:rFonts w:eastAsiaTheme="minorHAnsi"/>
          <w:szCs w:val="24"/>
        </w:rPr>
        <w:t xml:space="preserve"> </w:t>
      </w:r>
      <w:r w:rsidRPr="007E3B67" w:rsidR="005970BB">
        <w:rPr>
          <w:rFonts w:eastAsiaTheme="minorHAnsi"/>
          <w:szCs w:val="24"/>
        </w:rPr>
        <w:t>FirstEnergy Corp. and FirstEnergy Service Company filed a motion to quash under O.A.C. 4901-1-25(C) to oppose the motion.</w:t>
      </w:r>
      <w:r>
        <w:rPr>
          <w:rStyle w:val="FootnoteReference"/>
          <w:rFonts w:eastAsiaTheme="minorHAnsi"/>
          <w:szCs w:val="24"/>
        </w:rPr>
        <w:footnoteReference w:id="9"/>
      </w:r>
      <w:r w:rsidRPr="007E3B67" w:rsidR="00762F2D">
        <w:rPr>
          <w:rFonts w:eastAsiaTheme="minorHAnsi"/>
          <w:szCs w:val="24"/>
        </w:rPr>
        <w:t xml:space="preserve"> </w:t>
      </w:r>
      <w:r w:rsidRPr="007E3B67" w:rsidR="003A5738">
        <w:rPr>
          <w:rFonts w:eastAsiaTheme="minorHAnsi"/>
          <w:szCs w:val="24"/>
        </w:rPr>
        <w:t>This is the procedure AEP Inc. should have followed in the present case.</w:t>
      </w:r>
      <w:r w:rsidRPr="007E3B67" w:rsidR="00762F2D">
        <w:rPr>
          <w:rFonts w:eastAsiaTheme="minorHAnsi"/>
          <w:szCs w:val="24"/>
        </w:rPr>
        <w:t xml:space="preserve"> </w:t>
      </w:r>
    </w:p>
    <w:p w:rsidR="00D63804" w:rsidRPr="007E3B67" w:rsidP="00954124" w14:paraId="64C198E4" w14:textId="5BB362F0">
      <w:pPr>
        <w:spacing w:line="480" w:lineRule="auto"/>
        <w:ind w:firstLine="720"/>
        <w:rPr>
          <w:rFonts w:eastAsiaTheme="minorHAnsi"/>
          <w:szCs w:val="24"/>
        </w:rPr>
      </w:pPr>
      <w:r w:rsidRPr="007E3B67">
        <w:rPr>
          <w:rFonts w:eastAsiaTheme="minorHAnsi"/>
          <w:szCs w:val="24"/>
        </w:rPr>
        <w:t>AEP Ohio has no standing to oppose OCC’s Motion for Subpoena Duces Tecum, so the PUCO should grant OCC’s Motion.</w:t>
      </w:r>
    </w:p>
    <w:p w:rsidR="00F639DD" w:rsidRPr="007E3B67" w:rsidP="00F639DD" w14:paraId="609E1D44" w14:textId="77777777">
      <w:pPr>
        <w:ind w:firstLine="720"/>
        <w:rPr>
          <w:rFonts w:eastAsiaTheme="minorHAnsi"/>
          <w:szCs w:val="24"/>
        </w:rPr>
      </w:pPr>
    </w:p>
    <w:p w:rsidR="00FD66CC" w:rsidRPr="007E3B67" w:rsidP="00F639DD" w14:paraId="3EA02BB9" w14:textId="058F3A61">
      <w:pPr>
        <w:pStyle w:val="Heading1"/>
        <w:rPr>
          <w:rFonts w:eastAsiaTheme="minorHAnsi"/>
        </w:rPr>
      </w:pPr>
      <w:r w:rsidRPr="007E3B67">
        <w:rPr>
          <w:rFonts w:eastAsiaTheme="minorHAnsi"/>
        </w:rPr>
        <w:t>III.</w:t>
      </w:r>
      <w:r w:rsidRPr="007E3B67">
        <w:rPr>
          <w:rFonts w:eastAsiaTheme="minorHAnsi"/>
        </w:rPr>
        <w:tab/>
      </w:r>
      <w:r w:rsidRPr="007E3B67" w:rsidR="00DE20E7">
        <w:rPr>
          <w:rFonts w:eastAsiaTheme="minorHAnsi"/>
        </w:rPr>
        <w:t>Even if AEP Ohio had Standing</w:t>
      </w:r>
      <w:r w:rsidRPr="007E3B67" w:rsidR="00780156">
        <w:rPr>
          <w:rFonts w:eastAsiaTheme="minorHAnsi"/>
        </w:rPr>
        <w:t xml:space="preserve"> (WHICH IT DOESN</w:t>
      </w:r>
      <w:r w:rsidRPr="007E3B67" w:rsidR="00661DF7">
        <w:rPr>
          <w:rFonts w:eastAsiaTheme="minorHAnsi"/>
        </w:rPr>
        <w:t>’</w:t>
      </w:r>
      <w:r w:rsidRPr="007E3B67" w:rsidR="00780156">
        <w:rPr>
          <w:rFonts w:eastAsiaTheme="minorHAnsi"/>
        </w:rPr>
        <w:t>T)</w:t>
      </w:r>
      <w:r w:rsidRPr="007E3B67" w:rsidR="00DE20E7">
        <w:rPr>
          <w:rFonts w:eastAsiaTheme="minorHAnsi"/>
        </w:rPr>
        <w:t>, the PUCO Should Grant OCC’s Motion Because AEP Ohio Failed to Move to Quash or Seek a Protective Order.</w:t>
      </w:r>
    </w:p>
    <w:p w:rsidR="00FD66CC" w:rsidRPr="007E3B67" w:rsidP="00FD66CC" w14:paraId="75D563D0" w14:textId="140F82F2">
      <w:pPr>
        <w:spacing w:line="480" w:lineRule="auto"/>
        <w:ind w:firstLine="720"/>
        <w:rPr>
          <w:rFonts w:eastAsiaTheme="minorHAnsi"/>
          <w:szCs w:val="24"/>
        </w:rPr>
      </w:pPr>
      <w:r w:rsidRPr="007E3B67">
        <w:rPr>
          <w:rFonts w:eastAsiaTheme="minorHAnsi"/>
          <w:szCs w:val="24"/>
        </w:rPr>
        <w:t>Even if AEP Ohio had standing to challenge OCC’s request for a subpoena to AEP Inc</w:t>
      </w:r>
      <w:r w:rsidRPr="007E3B67" w:rsidR="00B77FF3">
        <w:rPr>
          <w:rFonts w:eastAsiaTheme="minorHAnsi"/>
          <w:szCs w:val="24"/>
        </w:rPr>
        <w:t>.</w:t>
      </w:r>
      <w:r w:rsidRPr="007E3B67" w:rsidR="00AC0CA7">
        <w:rPr>
          <w:rFonts w:eastAsiaTheme="minorHAnsi"/>
          <w:szCs w:val="24"/>
        </w:rPr>
        <w:t xml:space="preserve"> (it did not)</w:t>
      </w:r>
      <w:r w:rsidRPr="007E3B67">
        <w:rPr>
          <w:rFonts w:eastAsiaTheme="minorHAnsi"/>
          <w:szCs w:val="24"/>
        </w:rPr>
        <w:t>, the PUCO should overrule AEP Ohio’s Memorandum Contra because AEP Ohio failed to follow the correct procedure for challenging a subpoena.</w:t>
      </w:r>
    </w:p>
    <w:p w:rsidR="00FD66CC" w:rsidRPr="007E3B67" w:rsidP="00FD66CC" w14:paraId="23E2AA3A" w14:textId="725E27F9">
      <w:pPr>
        <w:spacing w:line="480" w:lineRule="auto"/>
        <w:ind w:firstLine="720"/>
        <w:rPr>
          <w:rFonts w:eastAsiaTheme="minorHAnsi"/>
          <w:szCs w:val="24"/>
        </w:rPr>
      </w:pPr>
      <w:r w:rsidRPr="007E3B67">
        <w:rPr>
          <w:rFonts w:eastAsiaTheme="minorHAnsi"/>
          <w:szCs w:val="24"/>
        </w:rPr>
        <w:t>Under the PUCO’s rules, any person challenging a subpoena can invoke either of two procedures.</w:t>
      </w:r>
      <w:r w:rsidRPr="007E3B67" w:rsidR="00762F2D">
        <w:rPr>
          <w:rFonts w:eastAsiaTheme="minorHAnsi"/>
          <w:szCs w:val="24"/>
        </w:rPr>
        <w:t xml:space="preserve"> </w:t>
      </w:r>
      <w:r w:rsidRPr="007E3B67">
        <w:rPr>
          <w:rFonts w:eastAsiaTheme="minorHAnsi"/>
          <w:szCs w:val="24"/>
        </w:rPr>
        <w:t>The first procedure is to file a motion to quash under O.A.C. 4901-1-25(C).</w:t>
      </w:r>
      <w:r w:rsidRPr="007E3B67" w:rsidR="00762F2D">
        <w:rPr>
          <w:rFonts w:eastAsiaTheme="minorHAnsi"/>
          <w:szCs w:val="24"/>
        </w:rPr>
        <w:t xml:space="preserve"> </w:t>
      </w:r>
      <w:r w:rsidRPr="007E3B67">
        <w:rPr>
          <w:rFonts w:eastAsiaTheme="minorHAnsi"/>
          <w:szCs w:val="24"/>
        </w:rPr>
        <w:t>A motion to quash may be granted where a subpoena is unreasonable or oppressive.</w:t>
      </w:r>
      <w:r>
        <w:rPr>
          <w:rStyle w:val="FootnoteReference"/>
          <w:rFonts w:eastAsiaTheme="minorHAnsi"/>
          <w:szCs w:val="24"/>
        </w:rPr>
        <w:footnoteReference w:id="10"/>
      </w:r>
      <w:r w:rsidRPr="007E3B67" w:rsidR="00762F2D">
        <w:rPr>
          <w:rFonts w:eastAsiaTheme="minorHAnsi"/>
          <w:szCs w:val="24"/>
        </w:rPr>
        <w:t xml:space="preserve"> </w:t>
      </w:r>
      <w:r w:rsidRPr="007E3B67" w:rsidR="003C13F1">
        <w:rPr>
          <w:rFonts w:eastAsiaTheme="minorHAnsi"/>
          <w:szCs w:val="24"/>
        </w:rPr>
        <w:t>AEP Ohio does not argue that OCC’s request for a subpoena is unreasonable or oppressive.</w:t>
      </w:r>
    </w:p>
    <w:p w:rsidR="003C13F1" w:rsidRPr="007E3B67" w:rsidP="00FD66CC" w14:paraId="3F332E98" w14:textId="19D95171">
      <w:pPr>
        <w:spacing w:line="480" w:lineRule="auto"/>
        <w:ind w:firstLine="720"/>
        <w:rPr>
          <w:rFonts w:eastAsiaTheme="minorHAnsi"/>
          <w:szCs w:val="24"/>
        </w:rPr>
      </w:pPr>
      <w:r w:rsidRPr="007E3B67">
        <w:rPr>
          <w:rFonts w:eastAsiaTheme="minorHAnsi"/>
          <w:szCs w:val="24"/>
        </w:rPr>
        <w:t>The second procedure AEP Ohio could have invoked to challenge OCC’s request for a subpoena would have been to file a motion for protective order under O.A.C. 4901-1-24.</w:t>
      </w:r>
      <w:r w:rsidRPr="007E3B67" w:rsidR="00762F2D">
        <w:rPr>
          <w:rFonts w:eastAsiaTheme="minorHAnsi"/>
          <w:szCs w:val="24"/>
        </w:rPr>
        <w:t xml:space="preserve"> </w:t>
      </w:r>
      <w:r w:rsidRPr="007E3B67">
        <w:rPr>
          <w:rFonts w:eastAsiaTheme="minorHAnsi"/>
          <w:szCs w:val="24"/>
        </w:rPr>
        <w:t>This rule requires a showing that the order “is necessary to protect a party or person from annoyance, embarrassment, oppression, or undue burden or expense.”</w:t>
      </w:r>
      <w:r>
        <w:rPr>
          <w:rStyle w:val="FootnoteReference"/>
          <w:rFonts w:eastAsiaTheme="minorHAnsi"/>
          <w:szCs w:val="24"/>
        </w:rPr>
        <w:footnoteReference w:id="11"/>
      </w:r>
      <w:r w:rsidRPr="007E3B67" w:rsidR="00762F2D">
        <w:rPr>
          <w:rFonts w:eastAsiaTheme="minorHAnsi"/>
          <w:szCs w:val="24"/>
        </w:rPr>
        <w:t xml:space="preserve"> </w:t>
      </w:r>
      <w:r w:rsidRPr="007E3B67" w:rsidR="005F104A">
        <w:rPr>
          <w:rFonts w:eastAsiaTheme="minorHAnsi"/>
          <w:szCs w:val="24"/>
        </w:rPr>
        <w:t>A motion for protective order must include a showing that the party “has exhausted all other reasonable means of resolving any differences with the party seeking discovery.”</w:t>
      </w:r>
      <w:r>
        <w:rPr>
          <w:rStyle w:val="FootnoteReference"/>
          <w:rFonts w:eastAsiaTheme="minorHAnsi"/>
          <w:szCs w:val="24"/>
        </w:rPr>
        <w:footnoteReference w:id="12"/>
      </w:r>
      <w:r w:rsidRPr="007E3B67" w:rsidR="00762F2D">
        <w:rPr>
          <w:rFonts w:eastAsiaTheme="minorHAnsi"/>
          <w:szCs w:val="24"/>
        </w:rPr>
        <w:t xml:space="preserve"> </w:t>
      </w:r>
      <w:r w:rsidRPr="007E3B67" w:rsidR="005F104A">
        <w:rPr>
          <w:rFonts w:eastAsiaTheme="minorHAnsi"/>
          <w:szCs w:val="24"/>
        </w:rPr>
        <w:t>The motion must be accompanied by an affidavit of counsel establishing that the party has complied with these requirements.</w:t>
      </w:r>
      <w:r>
        <w:rPr>
          <w:rStyle w:val="FootnoteReference"/>
          <w:rFonts w:eastAsiaTheme="minorHAnsi"/>
          <w:szCs w:val="24"/>
        </w:rPr>
        <w:footnoteReference w:id="13"/>
      </w:r>
      <w:r w:rsidRPr="007E3B67" w:rsidR="00762F2D">
        <w:rPr>
          <w:rFonts w:eastAsiaTheme="minorHAnsi"/>
          <w:szCs w:val="24"/>
        </w:rPr>
        <w:t xml:space="preserve"> </w:t>
      </w:r>
      <w:r w:rsidRPr="007E3B67" w:rsidR="005F104A">
        <w:rPr>
          <w:rFonts w:eastAsiaTheme="minorHAnsi"/>
          <w:szCs w:val="24"/>
        </w:rPr>
        <w:t>AEP Ohio failed to satisfy any of these requirements.</w:t>
      </w:r>
    </w:p>
    <w:p w:rsidR="005A5272" w:rsidRPr="007E3B67" w:rsidP="005038F6" w14:paraId="69159A27" w14:textId="0C6800D1">
      <w:pPr>
        <w:spacing w:line="480" w:lineRule="auto"/>
        <w:ind w:firstLine="720"/>
        <w:rPr>
          <w:rFonts w:eastAsiaTheme="minorHAnsi"/>
          <w:szCs w:val="24"/>
        </w:rPr>
      </w:pPr>
      <w:r w:rsidRPr="007E3B67">
        <w:rPr>
          <w:rFonts w:eastAsiaTheme="minorHAnsi"/>
          <w:szCs w:val="24"/>
        </w:rPr>
        <w:t>AEP Ohio has no standing to challenge OCC’s request for a subpoena to AEP Inc.</w:t>
      </w:r>
      <w:r w:rsidRPr="007E3B67" w:rsidR="00762F2D">
        <w:rPr>
          <w:rFonts w:eastAsiaTheme="minorHAnsi"/>
          <w:szCs w:val="24"/>
        </w:rPr>
        <w:t xml:space="preserve"> </w:t>
      </w:r>
      <w:r w:rsidRPr="007E3B67">
        <w:rPr>
          <w:rFonts w:eastAsiaTheme="minorHAnsi"/>
          <w:szCs w:val="24"/>
        </w:rPr>
        <w:t>Even if AEP Ohio had standing, however, its challenge is improper because AEP Ohio failed to follow the PUCO’s rules for challenging a subpoena – by filing a motion to quash or a motion for protective order.</w:t>
      </w:r>
      <w:r w:rsidRPr="007E3B67" w:rsidR="00762F2D">
        <w:rPr>
          <w:rFonts w:eastAsiaTheme="minorHAnsi"/>
          <w:szCs w:val="24"/>
        </w:rPr>
        <w:t xml:space="preserve"> </w:t>
      </w:r>
      <w:r w:rsidRPr="007E3B67">
        <w:rPr>
          <w:rFonts w:eastAsiaTheme="minorHAnsi"/>
          <w:szCs w:val="24"/>
        </w:rPr>
        <w:t>The PUCO should therefore reject AEP Ohio’s Memorandum Contra and issue the subpoena.</w:t>
      </w:r>
    </w:p>
    <w:p w:rsidR="005038F6" w:rsidRPr="007E3B67" w:rsidP="005038F6" w14:paraId="0CF3F811" w14:textId="77777777">
      <w:pPr>
        <w:ind w:firstLine="720"/>
        <w:rPr>
          <w:rFonts w:eastAsiaTheme="minorHAnsi"/>
          <w:b/>
          <w:caps/>
          <w:szCs w:val="24"/>
        </w:rPr>
      </w:pPr>
    </w:p>
    <w:p w:rsidR="00D311D4" w:rsidRPr="007E3B67" w:rsidP="005A5272" w14:paraId="3F85A61E" w14:textId="73761856">
      <w:pPr>
        <w:pStyle w:val="Heading1"/>
        <w:rPr>
          <w:rFonts w:eastAsiaTheme="minorHAnsi"/>
        </w:rPr>
      </w:pPr>
      <w:r w:rsidRPr="007E3B67">
        <w:rPr>
          <w:rFonts w:eastAsiaTheme="minorHAnsi"/>
        </w:rPr>
        <w:t>IV.</w:t>
      </w:r>
      <w:r w:rsidRPr="007E3B67">
        <w:rPr>
          <w:rFonts w:eastAsiaTheme="minorHAnsi"/>
        </w:rPr>
        <w:tab/>
      </w:r>
      <w:r w:rsidRPr="007E3B67" w:rsidR="00DE20E7">
        <w:rPr>
          <w:rFonts w:eastAsiaTheme="minorHAnsi"/>
        </w:rPr>
        <w:t xml:space="preserve">Even if AEP Ohio had Standing </w:t>
      </w:r>
      <w:r w:rsidRPr="007E3B67" w:rsidR="00661DF7">
        <w:rPr>
          <w:rFonts w:eastAsiaTheme="minorHAnsi"/>
        </w:rPr>
        <w:t xml:space="preserve">(WHICH IT DOESN’T) </w:t>
      </w:r>
      <w:r w:rsidRPr="007E3B67" w:rsidR="00DE20E7">
        <w:rPr>
          <w:rFonts w:eastAsiaTheme="minorHAnsi"/>
        </w:rPr>
        <w:t>and Followed the Proper Procedure to Challenge OCC’s Motion</w:t>
      </w:r>
      <w:r w:rsidRPr="007E3B67" w:rsidR="00661DF7">
        <w:rPr>
          <w:rFonts w:eastAsiaTheme="minorHAnsi"/>
        </w:rPr>
        <w:t xml:space="preserve"> (WHICH IT DIDN’T)</w:t>
      </w:r>
      <w:r w:rsidRPr="007E3B67" w:rsidR="00DE20E7">
        <w:rPr>
          <w:rFonts w:eastAsiaTheme="minorHAnsi"/>
        </w:rPr>
        <w:t>, the PUCO Should Grant OCC’s Motion Because the Information OCC Seeks is within the Scope of Discovery.</w:t>
      </w:r>
    </w:p>
    <w:p w:rsidR="00D311D4" w:rsidRPr="007E3B67" w:rsidP="00D311D4" w14:paraId="0D0178C7" w14:textId="62D8CB51">
      <w:pPr>
        <w:spacing w:line="480" w:lineRule="auto"/>
        <w:ind w:firstLine="720"/>
        <w:rPr>
          <w:rFonts w:eastAsiaTheme="minorHAnsi"/>
          <w:szCs w:val="24"/>
        </w:rPr>
      </w:pPr>
      <w:r w:rsidRPr="007E3B67">
        <w:rPr>
          <w:rFonts w:eastAsiaTheme="minorHAnsi"/>
          <w:szCs w:val="24"/>
        </w:rPr>
        <w:t xml:space="preserve">Even if AEP Ohio had standing </w:t>
      </w:r>
      <w:r w:rsidRPr="007E3B67" w:rsidR="00D13004">
        <w:rPr>
          <w:rFonts w:eastAsiaTheme="minorHAnsi"/>
          <w:szCs w:val="24"/>
        </w:rPr>
        <w:t xml:space="preserve">(which it doesn’t) </w:t>
      </w:r>
      <w:r w:rsidRPr="007E3B67">
        <w:rPr>
          <w:rFonts w:eastAsiaTheme="minorHAnsi"/>
          <w:szCs w:val="24"/>
        </w:rPr>
        <w:t>and followed the correct procedure</w:t>
      </w:r>
      <w:r w:rsidRPr="007E3B67" w:rsidR="00D13004">
        <w:rPr>
          <w:rFonts w:eastAsiaTheme="minorHAnsi"/>
          <w:szCs w:val="24"/>
        </w:rPr>
        <w:t xml:space="preserve"> (which it didn’t)</w:t>
      </w:r>
      <w:r w:rsidRPr="007E3B67">
        <w:rPr>
          <w:rFonts w:eastAsiaTheme="minorHAnsi"/>
          <w:szCs w:val="24"/>
        </w:rPr>
        <w:t>, the PUCO should overrule AEP Ohio’s Memorandum Contra because OCC’s request for a subpoena is within the proper scope of discovery.</w:t>
      </w:r>
    </w:p>
    <w:p w:rsidR="00D311D4" w:rsidRPr="007E3B67" w:rsidP="00D311D4" w14:paraId="6F3449A2" w14:textId="5F8EDAFC">
      <w:pPr>
        <w:spacing w:line="480" w:lineRule="auto"/>
        <w:ind w:firstLine="720"/>
        <w:rPr>
          <w:szCs w:val="24"/>
        </w:rPr>
      </w:pPr>
      <w:r w:rsidRPr="007E3B67">
        <w:rPr>
          <w:rFonts w:eastAsiaTheme="minorHAnsi"/>
          <w:szCs w:val="24"/>
        </w:rPr>
        <w:t>AEP Ohio challenges OCC’s request for a subpoena on the grounds that it seeks information which is irrelevant to this case.</w:t>
      </w:r>
      <w:r>
        <w:rPr>
          <w:rStyle w:val="FootnoteReference"/>
          <w:rFonts w:eastAsiaTheme="minorHAnsi"/>
          <w:szCs w:val="24"/>
        </w:rPr>
        <w:footnoteReference w:id="14"/>
      </w:r>
      <w:r w:rsidRPr="007E3B67">
        <w:rPr>
          <w:rFonts w:eastAsiaTheme="minorHAnsi"/>
          <w:szCs w:val="24"/>
        </w:rPr>
        <w:t xml:space="preserve"> This is not a proper ground for opposing discovery</w:t>
      </w:r>
      <w:r w:rsidRPr="007E3B67" w:rsidR="00F25F5D">
        <w:rPr>
          <w:rFonts w:eastAsiaTheme="minorHAnsi"/>
          <w:szCs w:val="24"/>
        </w:rPr>
        <w:t>.</w:t>
      </w:r>
      <w:r w:rsidRPr="007E3B67" w:rsidR="00762F2D">
        <w:rPr>
          <w:rFonts w:eastAsiaTheme="minorHAnsi"/>
          <w:szCs w:val="24"/>
        </w:rPr>
        <w:t xml:space="preserve"> </w:t>
      </w:r>
      <w:r w:rsidRPr="007E3B67" w:rsidR="00F25F5D">
        <w:rPr>
          <w:rFonts w:eastAsiaTheme="minorHAnsi"/>
          <w:szCs w:val="24"/>
        </w:rPr>
        <w:t>The scope of discovery allows OCC to seek any information that is reasonably calculated to lead to the discovery of admissible evidence,</w:t>
      </w:r>
      <w:r w:rsidRPr="007E3B67">
        <w:rPr>
          <w:rFonts w:eastAsiaTheme="minorHAnsi"/>
          <w:szCs w:val="24"/>
        </w:rPr>
        <w:t xml:space="preserve"> as established by </w:t>
      </w:r>
      <w:r w:rsidRPr="007E3B67">
        <w:rPr>
          <w:szCs w:val="24"/>
        </w:rPr>
        <w:t xml:space="preserve">O.A.C. 4901-1-16(B): </w:t>
      </w:r>
    </w:p>
    <w:p w:rsidR="00D311D4" w:rsidRPr="007E3B67" w:rsidP="00D311D4" w14:paraId="43F9C0BD" w14:textId="5A343D36">
      <w:pPr>
        <w:pStyle w:val="BodyTextIndent3"/>
        <w:spacing w:after="0"/>
        <w:ind w:left="1440" w:right="1440"/>
        <w:rPr>
          <w:sz w:val="24"/>
          <w:szCs w:val="24"/>
        </w:rPr>
      </w:pPr>
      <w:r w:rsidRPr="007E3B67">
        <w:rPr>
          <w:sz w:val="24"/>
          <w:szCs w:val="24"/>
        </w:rPr>
        <w:t>any party to a commission proceeding may obtain discovery of any matter, not privileged, which is relevant to the subject matter of the proceeding. It is not a ground for objection that the information sought would be inadmissible at the hearing if the information sought appears reasonably calculated to lead to the discovery of admissible evidence.</w:t>
      </w:r>
      <w:r>
        <w:rPr>
          <w:rStyle w:val="FootnoteReference"/>
          <w:sz w:val="24"/>
          <w:szCs w:val="24"/>
        </w:rPr>
        <w:footnoteReference w:id="15"/>
      </w:r>
      <w:r w:rsidRPr="007E3B67">
        <w:rPr>
          <w:sz w:val="24"/>
          <w:szCs w:val="24"/>
        </w:rPr>
        <w:t xml:space="preserve"> </w:t>
      </w:r>
    </w:p>
    <w:p w:rsidR="00D311D4" w:rsidRPr="007E3B67" w:rsidP="00D311D4" w14:paraId="211D2F23" w14:textId="77A6287B">
      <w:pPr>
        <w:pStyle w:val="BodyTextIndent3"/>
        <w:spacing w:after="0"/>
        <w:ind w:left="0" w:right="1440"/>
        <w:rPr>
          <w:sz w:val="24"/>
          <w:szCs w:val="24"/>
        </w:rPr>
      </w:pPr>
    </w:p>
    <w:p w:rsidR="00D638FB" w:rsidRPr="007E3B67" w:rsidP="00D638FB" w14:paraId="013D359C" w14:textId="55CC3C2F">
      <w:pPr>
        <w:pStyle w:val="BodyTextIndent3"/>
        <w:spacing w:after="0" w:line="480" w:lineRule="auto"/>
        <w:ind w:left="0"/>
        <w:rPr>
          <w:sz w:val="24"/>
          <w:szCs w:val="24"/>
        </w:rPr>
      </w:pPr>
      <w:r w:rsidRPr="007E3B67">
        <w:rPr>
          <w:sz w:val="24"/>
          <w:szCs w:val="24"/>
        </w:rPr>
        <w:tab/>
        <w:t xml:space="preserve">The information sought by OCC </w:t>
      </w:r>
      <w:r w:rsidRPr="007E3B67">
        <w:rPr>
          <w:sz w:val="24"/>
          <w:szCs w:val="24"/>
        </w:rPr>
        <w:t>meets this standard.</w:t>
      </w:r>
      <w:r w:rsidRPr="007E3B67" w:rsidR="00762F2D">
        <w:rPr>
          <w:sz w:val="24"/>
          <w:szCs w:val="24"/>
        </w:rPr>
        <w:t xml:space="preserve"> </w:t>
      </w:r>
      <w:r w:rsidRPr="007E3B67">
        <w:rPr>
          <w:sz w:val="24"/>
          <w:szCs w:val="24"/>
        </w:rPr>
        <w:t>OCC’s subpoena requested: (1) copies of the May 2021 and August 2022 subpoenas that AEP Inc. received from the U.S. SEC as referenced in AEP, Inc.’s Form 10-Q dated October 27, 2022, at page 182; and (2) copies of all subpoenas that AEP Inc. (and any other AEP entity) received regarding Ohio House Bill 6 (as enacted in 2019).</w:t>
      </w:r>
      <w:r>
        <w:rPr>
          <w:rStyle w:val="FootnoteReference"/>
          <w:sz w:val="24"/>
          <w:szCs w:val="24"/>
        </w:rPr>
        <w:footnoteReference w:id="16"/>
      </w:r>
      <w:r w:rsidRPr="007E3B67" w:rsidR="00762F2D">
        <w:rPr>
          <w:sz w:val="24"/>
          <w:szCs w:val="24"/>
        </w:rPr>
        <w:t xml:space="preserve"> </w:t>
      </w:r>
      <w:r w:rsidRPr="007E3B67" w:rsidR="00F25F5D">
        <w:rPr>
          <w:sz w:val="24"/>
          <w:szCs w:val="24"/>
        </w:rPr>
        <w:t>AEP Inc.’s Form 10-Q describes these subpoenas as seeking “documents relating to the passage of HB 6.”</w:t>
      </w:r>
      <w:r>
        <w:rPr>
          <w:rStyle w:val="FootnoteReference"/>
          <w:sz w:val="24"/>
          <w:szCs w:val="24"/>
        </w:rPr>
        <w:footnoteReference w:id="17"/>
      </w:r>
    </w:p>
    <w:p w:rsidR="005D1E53" w:rsidRPr="007E3B67" w:rsidP="00D638FB" w14:paraId="444D5387" w14:textId="46380F5B">
      <w:pPr>
        <w:pStyle w:val="BodyTextIndent3"/>
        <w:spacing w:after="0" w:line="480" w:lineRule="auto"/>
        <w:ind w:left="0"/>
        <w:rPr>
          <w:sz w:val="24"/>
          <w:szCs w:val="24"/>
        </w:rPr>
      </w:pPr>
      <w:r w:rsidRPr="007E3B67">
        <w:rPr>
          <w:sz w:val="24"/>
          <w:szCs w:val="24"/>
        </w:rPr>
        <w:tab/>
        <w:t xml:space="preserve">The “documents relating to the passage of HB 6” might include documents relating to the </w:t>
      </w:r>
      <w:r w:rsidRPr="007E3B67" w:rsidR="00B21B9E">
        <w:rPr>
          <w:sz w:val="24"/>
          <w:szCs w:val="24"/>
        </w:rPr>
        <w:t xml:space="preserve">OVEC plants, </w:t>
      </w:r>
      <w:r w:rsidRPr="007E3B67" w:rsidR="00D13004">
        <w:rPr>
          <w:sz w:val="24"/>
          <w:szCs w:val="24"/>
        </w:rPr>
        <w:t>i</w:t>
      </w:r>
      <w:r w:rsidRPr="007E3B67" w:rsidR="00B21B9E">
        <w:rPr>
          <w:sz w:val="24"/>
          <w:szCs w:val="24"/>
        </w:rPr>
        <w:t xml:space="preserve">ncluding </w:t>
      </w:r>
      <w:r w:rsidRPr="007E3B67">
        <w:rPr>
          <w:sz w:val="24"/>
          <w:szCs w:val="24"/>
        </w:rPr>
        <w:t>prudency of how the OVEC plants were operated.</w:t>
      </w:r>
      <w:r w:rsidRPr="007E3B67" w:rsidR="00762F2D">
        <w:rPr>
          <w:sz w:val="24"/>
          <w:szCs w:val="24"/>
        </w:rPr>
        <w:t xml:space="preserve"> </w:t>
      </w:r>
      <w:r w:rsidRPr="007E3B67">
        <w:rPr>
          <w:sz w:val="24"/>
          <w:szCs w:val="24"/>
        </w:rPr>
        <w:t>For example, prior to H</w:t>
      </w:r>
      <w:r w:rsidRPr="007E3B67" w:rsidR="001D25C6">
        <w:rPr>
          <w:sz w:val="24"/>
          <w:szCs w:val="24"/>
        </w:rPr>
        <w:t>ouse Bill</w:t>
      </w:r>
      <w:r w:rsidRPr="007E3B67">
        <w:rPr>
          <w:sz w:val="24"/>
          <w:szCs w:val="24"/>
        </w:rPr>
        <w:t xml:space="preserve"> 6, AEP Ohio was subject to an audit on the prudency of how the OVEC plants were operated that could occur as often as annually.</w:t>
      </w:r>
      <w:r>
        <w:rPr>
          <w:rStyle w:val="FootnoteReference"/>
          <w:sz w:val="24"/>
          <w:szCs w:val="24"/>
        </w:rPr>
        <w:footnoteReference w:id="18"/>
      </w:r>
      <w:r w:rsidRPr="007E3B67" w:rsidR="00762F2D">
        <w:rPr>
          <w:sz w:val="24"/>
          <w:szCs w:val="24"/>
        </w:rPr>
        <w:t xml:space="preserve"> </w:t>
      </w:r>
      <w:r w:rsidRPr="007E3B67" w:rsidR="001D25C6">
        <w:rPr>
          <w:sz w:val="24"/>
          <w:szCs w:val="24"/>
        </w:rPr>
        <w:t>House Bill 6 changed the frequency of these audits.</w:t>
      </w:r>
      <w:r w:rsidRPr="007E3B67" w:rsidR="00762F2D">
        <w:rPr>
          <w:sz w:val="24"/>
          <w:szCs w:val="24"/>
        </w:rPr>
        <w:t xml:space="preserve"> </w:t>
      </w:r>
      <w:r w:rsidRPr="007E3B67" w:rsidR="001D25C6">
        <w:rPr>
          <w:sz w:val="24"/>
          <w:szCs w:val="24"/>
        </w:rPr>
        <w:t>Under House Bill 6, the audits were only required in 2021, 2024, 2027 and 2030.</w:t>
      </w:r>
      <w:r>
        <w:rPr>
          <w:rStyle w:val="FootnoteReference"/>
          <w:sz w:val="24"/>
          <w:szCs w:val="24"/>
        </w:rPr>
        <w:footnoteReference w:id="19"/>
      </w:r>
      <w:r w:rsidRPr="007E3B67" w:rsidR="00762F2D">
        <w:rPr>
          <w:sz w:val="24"/>
          <w:szCs w:val="24"/>
        </w:rPr>
        <w:t xml:space="preserve"> </w:t>
      </w:r>
      <w:r w:rsidRPr="007E3B67" w:rsidR="001D25C6">
        <w:rPr>
          <w:sz w:val="24"/>
          <w:szCs w:val="24"/>
        </w:rPr>
        <w:t xml:space="preserve">The “documents relating to the passage of HB 6” could include internal discussions </w:t>
      </w:r>
      <w:r w:rsidRPr="007E3B67" w:rsidR="00B21B9E">
        <w:rPr>
          <w:sz w:val="24"/>
          <w:szCs w:val="24"/>
        </w:rPr>
        <w:t>related to the audits of the OVEC plants or OVEC plant</w:t>
      </w:r>
      <w:r w:rsidRPr="007E3B67" w:rsidR="00B77FF3">
        <w:rPr>
          <w:sz w:val="24"/>
          <w:szCs w:val="24"/>
        </w:rPr>
        <w:t>-</w:t>
      </w:r>
      <w:r w:rsidRPr="007E3B67" w:rsidR="00B21B9E">
        <w:rPr>
          <w:sz w:val="24"/>
          <w:szCs w:val="24"/>
        </w:rPr>
        <w:t>related information. This information meets the scope of discovery in the proceeding.  It is reasonably calculated to lead to the discovery of admissible eviden</w:t>
      </w:r>
      <w:r w:rsidRPr="007E3B67" w:rsidR="00B77FF3">
        <w:rPr>
          <w:sz w:val="24"/>
          <w:szCs w:val="24"/>
        </w:rPr>
        <w:t>ce</w:t>
      </w:r>
      <w:r w:rsidRPr="007E3B67" w:rsidR="00B21B9E">
        <w:rPr>
          <w:sz w:val="24"/>
          <w:szCs w:val="24"/>
        </w:rPr>
        <w:t xml:space="preserve">.  OCC’s request for a subpoena should be granted. </w:t>
      </w:r>
    </w:p>
    <w:p w:rsidR="00F53264" w:rsidRPr="007E3B67" w:rsidP="00F53264" w14:paraId="1C9E717F" w14:textId="77777777">
      <w:pPr>
        <w:pStyle w:val="BodyTextIndent3"/>
        <w:spacing w:after="0"/>
        <w:ind w:left="0"/>
        <w:rPr>
          <w:sz w:val="24"/>
          <w:szCs w:val="24"/>
        </w:rPr>
      </w:pPr>
    </w:p>
    <w:p w:rsidR="009246AA" w:rsidRPr="007E3B67" w:rsidP="00312CE1" w14:paraId="2BA416E1" w14:textId="1FD95C78">
      <w:pPr>
        <w:pStyle w:val="Heading1"/>
        <w:rPr>
          <w:bCs/>
        </w:rPr>
      </w:pPr>
      <w:r w:rsidRPr="007E3B67">
        <w:t>V.</w:t>
      </w:r>
      <w:r w:rsidRPr="007E3B67">
        <w:tab/>
      </w:r>
      <w:r w:rsidRPr="007E3B67">
        <w:t>CONCLUSION</w:t>
      </w:r>
    </w:p>
    <w:p w:rsidR="00F44125" w:rsidRPr="007E3B67" w:rsidP="005038F6" w14:paraId="0752C963" w14:textId="32CFC233">
      <w:pPr>
        <w:pStyle w:val="BodyTextIndent3"/>
        <w:spacing w:after="0" w:line="480" w:lineRule="auto"/>
        <w:ind w:left="0"/>
        <w:rPr>
          <w:sz w:val="24"/>
          <w:szCs w:val="24"/>
        </w:rPr>
      </w:pPr>
      <w:r w:rsidRPr="007E3B67">
        <w:rPr>
          <w:sz w:val="24"/>
          <w:szCs w:val="24"/>
        </w:rPr>
        <w:tab/>
        <w:t>Based on all the foregoing reasons, OCC respectfully requests that the PUCO reject AEP Ohio’s Memorandum Contra and grant OCC’s Motion for Subpoena Duces Tecum.</w:t>
      </w:r>
    </w:p>
    <w:p w:rsidR="00B77006" w14:paraId="43586F36" w14:textId="77777777">
      <w:pPr>
        <w:spacing w:after="200" w:line="276" w:lineRule="auto"/>
        <w:rPr>
          <w:szCs w:val="24"/>
        </w:rPr>
      </w:pPr>
      <w:r>
        <w:rPr>
          <w:szCs w:val="24"/>
        </w:rPr>
        <w:br w:type="page"/>
      </w:r>
    </w:p>
    <w:p w:rsidR="006805CE" w:rsidRPr="007E3B67" w:rsidP="00F44125" w14:paraId="64C30C4E" w14:textId="0CD43095">
      <w:pPr>
        <w:autoSpaceDE w:val="0"/>
        <w:autoSpaceDN w:val="0"/>
        <w:adjustRightInd w:val="0"/>
        <w:ind w:left="3960"/>
        <w:rPr>
          <w:szCs w:val="24"/>
        </w:rPr>
      </w:pPr>
      <w:r w:rsidRPr="007E3B67">
        <w:rPr>
          <w:szCs w:val="24"/>
        </w:rPr>
        <w:t>Respectfully submitted,</w:t>
      </w:r>
    </w:p>
    <w:p w:rsidR="006805CE" w:rsidRPr="007E3B67" w:rsidP="00F44125" w14:paraId="29BC03D9" w14:textId="77777777">
      <w:pPr>
        <w:autoSpaceDE w:val="0"/>
        <w:autoSpaceDN w:val="0"/>
        <w:adjustRightInd w:val="0"/>
        <w:ind w:left="3960"/>
        <w:rPr>
          <w:szCs w:val="24"/>
        </w:rPr>
      </w:pPr>
    </w:p>
    <w:p w:rsidR="006805CE" w:rsidRPr="007E3B67" w:rsidP="00F44125" w14:paraId="2CEC6ACF" w14:textId="77777777">
      <w:pPr>
        <w:ind w:left="3960"/>
        <w:rPr>
          <w:szCs w:val="24"/>
        </w:rPr>
      </w:pPr>
      <w:r w:rsidRPr="007E3B67">
        <w:rPr>
          <w:szCs w:val="24"/>
        </w:rPr>
        <w:t>Bruce Weston (0016973)</w:t>
      </w:r>
    </w:p>
    <w:p w:rsidR="006805CE" w:rsidRPr="007E3B67" w:rsidP="00F44125" w14:paraId="04CA4BEA" w14:textId="77777777">
      <w:pPr>
        <w:ind w:left="3960"/>
        <w:rPr>
          <w:szCs w:val="24"/>
        </w:rPr>
      </w:pPr>
      <w:r w:rsidRPr="007E3B67">
        <w:rPr>
          <w:szCs w:val="24"/>
        </w:rPr>
        <w:t>Ohio Consumers’ Counsel</w:t>
      </w:r>
    </w:p>
    <w:p w:rsidR="006805CE" w:rsidRPr="007E3B67" w:rsidP="00F44125" w14:paraId="5FCEF2C6" w14:textId="77777777">
      <w:pPr>
        <w:tabs>
          <w:tab w:val="left" w:pos="4320"/>
        </w:tabs>
        <w:ind w:left="3960"/>
        <w:rPr>
          <w:szCs w:val="24"/>
        </w:rPr>
      </w:pPr>
    </w:p>
    <w:p w:rsidR="006805CE" w:rsidRPr="007E3B67" w:rsidP="00F44125" w14:paraId="21447A90" w14:textId="125E1A2E">
      <w:pPr>
        <w:ind w:left="3960"/>
        <w:rPr>
          <w:i/>
          <w:szCs w:val="24"/>
          <w:u w:val="single"/>
        </w:rPr>
      </w:pPr>
      <w:r w:rsidRPr="007E3B67">
        <w:rPr>
          <w:i/>
          <w:szCs w:val="24"/>
          <w:u w:val="single"/>
        </w:rPr>
        <w:t xml:space="preserve">/s/ </w:t>
      </w:r>
      <w:r w:rsidRPr="007E3B67" w:rsidR="001C0554">
        <w:rPr>
          <w:i/>
          <w:szCs w:val="24"/>
          <w:u w:val="single"/>
        </w:rPr>
        <w:t>John Finnigan</w:t>
      </w:r>
    </w:p>
    <w:p w:rsidR="001C0554" w:rsidRPr="007E3B67" w:rsidP="00F44125" w14:paraId="145CAA3B" w14:textId="32CB449C">
      <w:pPr>
        <w:ind w:left="3960"/>
        <w:rPr>
          <w:szCs w:val="24"/>
        </w:rPr>
      </w:pPr>
      <w:r w:rsidRPr="007E3B67">
        <w:rPr>
          <w:szCs w:val="24"/>
        </w:rPr>
        <w:t>John Finnigan (0018689)</w:t>
      </w:r>
    </w:p>
    <w:p w:rsidR="001C0554" w:rsidRPr="007E3B67" w:rsidP="00F44125" w14:paraId="41FB43D8" w14:textId="3B13ED2A">
      <w:pPr>
        <w:ind w:left="3960"/>
        <w:rPr>
          <w:szCs w:val="24"/>
        </w:rPr>
      </w:pPr>
      <w:r w:rsidRPr="007E3B67">
        <w:rPr>
          <w:szCs w:val="24"/>
        </w:rPr>
        <w:t>Counsel of Record</w:t>
      </w:r>
    </w:p>
    <w:p w:rsidR="001C0554" w:rsidRPr="007E3B67" w:rsidP="00F44125" w14:paraId="5F6687F7" w14:textId="067E2B98">
      <w:pPr>
        <w:ind w:left="3960"/>
        <w:rPr>
          <w:szCs w:val="24"/>
        </w:rPr>
      </w:pPr>
      <w:r w:rsidRPr="007E3B67">
        <w:rPr>
          <w:szCs w:val="24"/>
        </w:rPr>
        <w:t>William J. Michael (0070921)</w:t>
      </w:r>
    </w:p>
    <w:p w:rsidR="001C0554" w:rsidRPr="007E3B67" w:rsidP="00F44125" w14:paraId="7B7AE80B" w14:textId="315B16B3">
      <w:pPr>
        <w:ind w:left="3960"/>
        <w:rPr>
          <w:szCs w:val="24"/>
        </w:rPr>
      </w:pPr>
      <w:r w:rsidRPr="007E3B67">
        <w:rPr>
          <w:szCs w:val="24"/>
        </w:rPr>
        <w:t>Assistant Consumers’ Counsel</w:t>
      </w:r>
    </w:p>
    <w:p w:rsidR="001C0554" w:rsidRPr="007E3B67" w:rsidP="00F44125" w14:paraId="3524DB9E" w14:textId="77777777">
      <w:pPr>
        <w:ind w:left="3960"/>
        <w:rPr>
          <w:szCs w:val="24"/>
        </w:rPr>
      </w:pPr>
    </w:p>
    <w:p w:rsidR="001C0554" w:rsidRPr="007E3B67" w:rsidP="00F44125" w14:paraId="620A0C58" w14:textId="77777777">
      <w:pPr>
        <w:ind w:left="3960"/>
        <w:rPr>
          <w:b/>
          <w:bCs/>
          <w:szCs w:val="24"/>
        </w:rPr>
      </w:pPr>
      <w:r w:rsidRPr="007E3B67">
        <w:rPr>
          <w:b/>
          <w:bCs/>
          <w:szCs w:val="24"/>
        </w:rPr>
        <w:t>Office of the Ohio Consumers’ Counsel</w:t>
      </w:r>
    </w:p>
    <w:p w:rsidR="001C0554" w:rsidRPr="007E3B67" w:rsidP="00F44125" w14:paraId="368884E7" w14:textId="77777777">
      <w:pPr>
        <w:ind w:left="3960"/>
        <w:rPr>
          <w:bCs/>
          <w:szCs w:val="24"/>
        </w:rPr>
      </w:pPr>
      <w:r w:rsidRPr="007E3B67">
        <w:rPr>
          <w:bCs/>
          <w:szCs w:val="24"/>
        </w:rPr>
        <w:t>65 East State Street, Suite 700</w:t>
      </w:r>
    </w:p>
    <w:p w:rsidR="001C0554" w:rsidRPr="007E3B67" w:rsidP="00F44125" w14:paraId="2E5F7234" w14:textId="77777777">
      <w:pPr>
        <w:ind w:left="3960"/>
        <w:rPr>
          <w:bCs/>
          <w:szCs w:val="24"/>
        </w:rPr>
      </w:pPr>
      <w:r w:rsidRPr="007E3B67">
        <w:rPr>
          <w:bCs/>
          <w:szCs w:val="24"/>
        </w:rPr>
        <w:t>Columbus, Ohio 43215</w:t>
      </w:r>
    </w:p>
    <w:p w:rsidR="001C0554" w:rsidRPr="007E3B67" w:rsidP="00F44125" w14:paraId="1EACF807" w14:textId="77777777">
      <w:pPr>
        <w:autoSpaceDE w:val="0"/>
        <w:autoSpaceDN w:val="0"/>
        <w:adjustRightInd w:val="0"/>
        <w:ind w:left="3960"/>
        <w:rPr>
          <w:szCs w:val="24"/>
        </w:rPr>
      </w:pPr>
      <w:r w:rsidRPr="007E3B67">
        <w:rPr>
          <w:szCs w:val="24"/>
        </w:rPr>
        <w:t>Telephone [Finnigan] (614) 466-9585</w:t>
      </w:r>
    </w:p>
    <w:p w:rsidR="001C0554" w:rsidRPr="007E3B67" w:rsidP="00F44125" w14:paraId="6CB3F4CA" w14:textId="77777777">
      <w:pPr>
        <w:autoSpaceDE w:val="0"/>
        <w:autoSpaceDN w:val="0"/>
        <w:adjustRightInd w:val="0"/>
        <w:ind w:left="3960"/>
        <w:rPr>
          <w:szCs w:val="24"/>
        </w:rPr>
      </w:pPr>
      <w:r w:rsidRPr="007E3B67">
        <w:rPr>
          <w:szCs w:val="24"/>
        </w:rPr>
        <w:t>Telephone [Michael]: (614) 466-1291</w:t>
      </w:r>
    </w:p>
    <w:p w:rsidR="001C0554" w:rsidRPr="007E3B67" w:rsidP="00F44125" w14:paraId="4EC2D7D4" w14:textId="4A0B6FD7">
      <w:pPr>
        <w:ind w:left="3960"/>
        <w:rPr>
          <w:szCs w:val="24"/>
        </w:rPr>
      </w:pPr>
      <w:hyperlink r:id="rId6" w:history="1">
        <w:r w:rsidRPr="007E3B67" w:rsidR="00BF2D27">
          <w:rPr>
            <w:rStyle w:val="Hyperlink"/>
            <w:szCs w:val="24"/>
          </w:rPr>
          <w:t>john.finnigan@occ.ohio.gov</w:t>
        </w:r>
      </w:hyperlink>
    </w:p>
    <w:p w:rsidR="001C0554" w:rsidRPr="007E3B67" w:rsidP="00F44125" w14:paraId="23DEAFF7" w14:textId="58EAE265">
      <w:pPr>
        <w:ind w:left="3960"/>
        <w:rPr>
          <w:szCs w:val="24"/>
        </w:rPr>
      </w:pPr>
      <w:hyperlink r:id="rId7" w:history="1">
        <w:r w:rsidRPr="007E3B67" w:rsidR="00C8727C">
          <w:rPr>
            <w:rStyle w:val="Hyperlink"/>
            <w:szCs w:val="24"/>
          </w:rPr>
          <w:t>william.michael@occ.ohio.gov</w:t>
        </w:r>
      </w:hyperlink>
    </w:p>
    <w:p w:rsidR="001C0554" w:rsidRPr="007E3B67" w:rsidP="00F44125" w14:paraId="3111694D" w14:textId="77777777">
      <w:pPr>
        <w:ind w:left="3960"/>
        <w:rPr>
          <w:szCs w:val="24"/>
        </w:rPr>
      </w:pPr>
      <w:r w:rsidRPr="007E3B67">
        <w:rPr>
          <w:szCs w:val="24"/>
        </w:rPr>
        <w:t>(willing to accept service by e-mail)</w:t>
      </w:r>
    </w:p>
    <w:p w:rsidR="00565ACF" w:rsidRPr="007E3B67" w:rsidP="00565ACF" w14:paraId="228041AD" w14:textId="77777777">
      <w:pPr>
        <w:ind w:left="4320"/>
        <w:rPr>
          <w:szCs w:val="24"/>
        </w:rPr>
      </w:pPr>
    </w:p>
    <w:p w:rsidR="005901AA" w:rsidRPr="007E3B67" w14:paraId="0947259C" w14:textId="77777777">
      <w:pPr>
        <w:spacing w:after="200" w:line="276" w:lineRule="auto"/>
        <w:rPr>
          <w:b/>
          <w:bCs/>
          <w:szCs w:val="24"/>
          <w:u w:val="single"/>
        </w:rPr>
      </w:pPr>
      <w:r w:rsidRPr="007E3B67">
        <w:rPr>
          <w:b/>
          <w:bCs/>
          <w:szCs w:val="24"/>
          <w:u w:val="single"/>
        </w:rPr>
        <w:br w:type="page"/>
      </w:r>
    </w:p>
    <w:p w:rsidR="00BA6EC5" w:rsidRPr="007E3B67" w:rsidP="000D2F41" w14:paraId="02A2FD7D" w14:textId="44BC5CF6">
      <w:pPr>
        <w:jc w:val="center"/>
        <w:rPr>
          <w:b/>
          <w:bCs/>
          <w:szCs w:val="24"/>
          <w:u w:val="single"/>
        </w:rPr>
      </w:pPr>
      <w:r w:rsidRPr="007E3B67">
        <w:rPr>
          <w:b/>
          <w:bCs/>
          <w:szCs w:val="24"/>
          <w:u w:val="single"/>
        </w:rPr>
        <w:t>CERTIFICATE OF SERVICE</w:t>
      </w:r>
    </w:p>
    <w:p w:rsidR="00BA6EC5" w:rsidRPr="007E3B67" w14:paraId="41E36500" w14:textId="77777777">
      <w:pPr>
        <w:pStyle w:val="EndnoteText"/>
        <w:widowControl/>
        <w:tabs>
          <w:tab w:val="left" w:pos="-720"/>
        </w:tabs>
        <w:suppressAutoHyphens/>
        <w:rPr>
          <w:rFonts w:ascii="Times New Roman" w:hAnsi="Times New Roman"/>
          <w:szCs w:val="24"/>
        </w:rPr>
      </w:pPr>
    </w:p>
    <w:p w:rsidR="00BA6EC5" w:rsidRPr="007E3B67" w:rsidP="006721EA" w14:paraId="4CB69EF9" w14:textId="0980226B">
      <w:pPr>
        <w:tabs>
          <w:tab w:val="left" w:pos="-720"/>
        </w:tabs>
        <w:suppressAutoHyphens/>
        <w:spacing w:line="480" w:lineRule="auto"/>
        <w:ind w:firstLine="720"/>
        <w:rPr>
          <w:szCs w:val="24"/>
        </w:rPr>
      </w:pPr>
      <w:r w:rsidRPr="007E3B67">
        <w:rPr>
          <w:szCs w:val="24"/>
        </w:rPr>
        <w:t xml:space="preserve">It is hereby certified that a true copy of the foregoing </w:t>
      </w:r>
      <w:r w:rsidRPr="007E3B67" w:rsidR="00954124">
        <w:rPr>
          <w:szCs w:val="24"/>
        </w:rPr>
        <w:t>Reply</w:t>
      </w:r>
      <w:r w:rsidRPr="007E3B67">
        <w:rPr>
          <w:szCs w:val="24"/>
        </w:rPr>
        <w:t xml:space="preserve"> was served by electronic transmission upon the parties below this</w:t>
      </w:r>
      <w:r w:rsidRPr="007E3B67" w:rsidR="00D106DD">
        <w:rPr>
          <w:szCs w:val="24"/>
        </w:rPr>
        <w:t xml:space="preserve"> 6</w:t>
      </w:r>
      <w:r w:rsidRPr="007E3B67" w:rsidR="00D106DD">
        <w:rPr>
          <w:szCs w:val="24"/>
          <w:vertAlign w:val="superscript"/>
        </w:rPr>
        <w:t>th</w:t>
      </w:r>
      <w:r w:rsidRPr="007E3B67" w:rsidR="00D106DD">
        <w:rPr>
          <w:szCs w:val="24"/>
        </w:rPr>
        <w:t xml:space="preserve"> </w:t>
      </w:r>
      <w:r w:rsidRPr="007E3B67">
        <w:rPr>
          <w:szCs w:val="24"/>
        </w:rPr>
        <w:t xml:space="preserve">day of </w:t>
      </w:r>
      <w:r w:rsidRPr="007E3B67" w:rsidR="00954124">
        <w:rPr>
          <w:szCs w:val="24"/>
        </w:rPr>
        <w:t>Dec</w:t>
      </w:r>
      <w:r w:rsidRPr="007E3B67" w:rsidR="00C8727C">
        <w:rPr>
          <w:szCs w:val="24"/>
        </w:rPr>
        <w:t>ember</w:t>
      </w:r>
      <w:r w:rsidRPr="007E3B67">
        <w:rPr>
          <w:szCs w:val="24"/>
        </w:rPr>
        <w:t xml:space="preserve"> 20</w:t>
      </w:r>
      <w:r w:rsidRPr="007E3B67" w:rsidR="00886B2F">
        <w:rPr>
          <w:szCs w:val="24"/>
        </w:rPr>
        <w:t>2</w:t>
      </w:r>
      <w:r w:rsidRPr="007E3B67" w:rsidR="00E211D6">
        <w:rPr>
          <w:szCs w:val="24"/>
        </w:rPr>
        <w:t>2</w:t>
      </w:r>
      <w:r w:rsidRPr="007E3B67">
        <w:rPr>
          <w:szCs w:val="24"/>
        </w:rPr>
        <w:t>.</w:t>
      </w:r>
    </w:p>
    <w:p w:rsidR="00BA6EC5" w:rsidRPr="007E3B67" w14:paraId="14FD96D1" w14:textId="4B4959F8">
      <w:pPr>
        <w:pStyle w:val="EndnoteText"/>
        <w:widowControl/>
        <w:rPr>
          <w:rFonts w:ascii="Times New Roman" w:hAnsi="Times New Roman"/>
          <w:snapToGrid/>
          <w:szCs w:val="24"/>
        </w:rPr>
      </w:pP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i/>
          <w:snapToGrid/>
          <w:szCs w:val="24"/>
          <w:u w:val="single"/>
        </w:rPr>
        <w:t xml:space="preserve">/s/ </w:t>
      </w:r>
      <w:r w:rsidRPr="007E3B67" w:rsidR="00C8727C">
        <w:rPr>
          <w:rFonts w:ascii="Times New Roman" w:hAnsi="Times New Roman"/>
          <w:i/>
          <w:snapToGrid/>
          <w:szCs w:val="24"/>
          <w:u w:val="single"/>
        </w:rPr>
        <w:t>John Finnigan</w:t>
      </w:r>
    </w:p>
    <w:p w:rsidR="00BA6EC5" w:rsidRPr="007E3B67" w14:paraId="5F8F9A07" w14:textId="3DD33A98">
      <w:pPr>
        <w:pStyle w:val="EndnoteText"/>
        <w:widowControl/>
        <w:rPr>
          <w:rFonts w:ascii="Times New Roman" w:hAnsi="Times New Roman"/>
          <w:snapToGrid/>
          <w:szCs w:val="24"/>
        </w:rPr>
      </w:pP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sidR="00C8727C">
        <w:rPr>
          <w:rFonts w:ascii="Times New Roman" w:hAnsi="Times New Roman"/>
          <w:snapToGrid/>
          <w:szCs w:val="24"/>
        </w:rPr>
        <w:t>John Finnigan</w:t>
      </w:r>
    </w:p>
    <w:p w:rsidR="00BA6EC5" w:rsidRPr="007E3B67" w14:paraId="2314F109" w14:textId="77777777">
      <w:pPr>
        <w:pStyle w:val="EndnoteText"/>
        <w:widowControl/>
        <w:rPr>
          <w:rFonts w:ascii="Times New Roman" w:hAnsi="Times New Roman"/>
          <w:snapToGrid/>
          <w:szCs w:val="24"/>
        </w:rPr>
      </w:pP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r>
      <w:r w:rsidRPr="007E3B67">
        <w:rPr>
          <w:rFonts w:ascii="Times New Roman" w:hAnsi="Times New Roman"/>
          <w:snapToGrid/>
          <w:szCs w:val="24"/>
        </w:rPr>
        <w:tab/>
        <w:t>Assistant Consumers’ Counsel</w:t>
      </w:r>
    </w:p>
    <w:p w:rsidR="00BA6EC5" w:rsidRPr="007E3B67" w14:paraId="756FAEB9" w14:textId="5AE5A128">
      <w:pPr>
        <w:pStyle w:val="EndnoteText"/>
        <w:widowControl/>
        <w:rPr>
          <w:rFonts w:ascii="Times New Roman" w:hAnsi="Times New Roman"/>
          <w:snapToGrid/>
          <w:szCs w:val="24"/>
        </w:rPr>
      </w:pPr>
    </w:p>
    <w:p w:rsidR="0021499F" w:rsidRPr="007E3B67" w:rsidP="0021499F" w14:paraId="36645512" w14:textId="07B44663">
      <w:pPr>
        <w:rPr>
          <w:szCs w:val="24"/>
        </w:rPr>
      </w:pPr>
      <w:r w:rsidRPr="007E3B67">
        <w:rPr>
          <w:szCs w:val="24"/>
        </w:rPr>
        <w:t>The PUCO’s e-filing system will electronically serve notice of the filing of this document on the following parties:</w:t>
      </w:r>
    </w:p>
    <w:p w:rsidR="00BA6EC5" w:rsidRPr="007E3B67" w14:paraId="588EE1D9" w14:textId="77777777">
      <w:pPr>
        <w:pStyle w:val="EndnoteText"/>
        <w:widowControl/>
        <w:jc w:val="center"/>
        <w:rPr>
          <w:rFonts w:ascii="Times New Roman" w:hAnsi="Times New Roman"/>
          <w:b/>
          <w:bCs/>
          <w:snapToGrid/>
          <w:szCs w:val="24"/>
        </w:rPr>
      </w:pPr>
    </w:p>
    <w:p w:rsidR="00565ACF" w:rsidRPr="007E3B67" w:rsidP="00565ACF" w14:paraId="7C7B185F" w14:textId="77777777">
      <w:pPr>
        <w:pStyle w:val="CommentText"/>
        <w:jc w:val="center"/>
        <w:rPr>
          <w:b/>
          <w:bCs/>
          <w:sz w:val="24"/>
          <w:szCs w:val="24"/>
          <w:u w:val="single"/>
        </w:rPr>
      </w:pPr>
      <w:r w:rsidRPr="007E3B67">
        <w:rPr>
          <w:b/>
          <w:bCs/>
          <w:sz w:val="24"/>
          <w:szCs w:val="24"/>
          <w:u w:val="single"/>
        </w:rPr>
        <w:t>SERVICE LIST</w:t>
      </w:r>
    </w:p>
    <w:p w:rsidR="00F658D3" w:rsidRPr="007E3B67" w:rsidP="00565ACF" w14:paraId="1962ECD9" w14:textId="6AB0A51F">
      <w:pPr>
        <w:pStyle w:val="CommentText"/>
        <w:jc w:val="center"/>
        <w:rPr>
          <w:b/>
          <w:bCs/>
          <w:sz w:val="24"/>
          <w:szCs w:val="24"/>
          <w:u w:val="single"/>
        </w:rPr>
      </w:pPr>
    </w:p>
    <w:tbl>
      <w:tblPr>
        <w:tblW w:w="0" w:type="auto"/>
        <w:tblLook w:val="01E0"/>
      </w:tblPr>
      <w:tblGrid>
        <w:gridCol w:w="4339"/>
        <w:gridCol w:w="4301"/>
      </w:tblGrid>
      <w:tr w14:paraId="1435156A" w14:textId="77777777" w:rsidTr="00AA4B39">
        <w:tblPrEx>
          <w:tblW w:w="0" w:type="auto"/>
          <w:tblLook w:val="01E0"/>
        </w:tblPrEx>
        <w:tc>
          <w:tcPr>
            <w:tcW w:w="4428" w:type="dxa"/>
            <w:shd w:val="clear" w:color="auto" w:fill="auto"/>
          </w:tcPr>
          <w:p w:rsidR="00091B44" w:rsidRPr="007E3B67" w:rsidP="00AA4B39" w14:paraId="1A749F76" w14:textId="77777777">
            <w:pPr>
              <w:autoSpaceDE w:val="0"/>
              <w:autoSpaceDN w:val="0"/>
              <w:adjustRightInd w:val="0"/>
              <w:rPr>
                <w:rStyle w:val="Hyperlink"/>
                <w:szCs w:val="24"/>
              </w:rPr>
            </w:pPr>
            <w:hyperlink r:id="rId8" w:history="1">
              <w:r w:rsidRPr="007E3B67">
                <w:rPr>
                  <w:rStyle w:val="Hyperlink"/>
                  <w:szCs w:val="24"/>
                </w:rPr>
                <w:t>kyle.kern@ohioAGO.gov</w:t>
              </w:r>
            </w:hyperlink>
          </w:p>
          <w:p w:rsidR="00091B44" w:rsidRPr="007E3B67" w:rsidP="00AA4B39" w14:paraId="07163469" w14:textId="77777777">
            <w:pPr>
              <w:autoSpaceDE w:val="0"/>
              <w:autoSpaceDN w:val="0"/>
              <w:adjustRightInd w:val="0"/>
              <w:rPr>
                <w:bCs/>
                <w:szCs w:val="24"/>
              </w:rPr>
            </w:pPr>
            <w:hyperlink r:id="rId9" w:history="1">
              <w:r w:rsidRPr="007E3B67">
                <w:rPr>
                  <w:rStyle w:val="Hyperlink"/>
                  <w:szCs w:val="24"/>
                </w:rPr>
                <w:t>sarah.feldkamp@ohioAGO.gov</w:t>
              </w:r>
            </w:hyperlink>
          </w:p>
          <w:p w:rsidR="00091B44" w:rsidRPr="007E3B67" w:rsidP="00AA4B39" w14:paraId="79E54FA5" w14:textId="77777777">
            <w:pPr>
              <w:autoSpaceDE w:val="0"/>
              <w:autoSpaceDN w:val="0"/>
              <w:adjustRightInd w:val="0"/>
              <w:rPr>
                <w:rStyle w:val="Hyperlink"/>
                <w:bCs/>
                <w:szCs w:val="24"/>
              </w:rPr>
            </w:pPr>
            <w:hyperlink r:id="rId10" w:history="1">
              <w:r w:rsidRPr="007E3B67">
                <w:rPr>
                  <w:rStyle w:val="Hyperlink"/>
                  <w:szCs w:val="24"/>
                </w:rPr>
                <w:t>thomas.lindgren@ohioAGO.gov</w:t>
              </w:r>
            </w:hyperlink>
          </w:p>
          <w:p w:rsidR="00091B44" w:rsidRPr="007E3B67" w:rsidP="00AA4B39" w14:paraId="6D2D7349" w14:textId="77777777">
            <w:pPr>
              <w:autoSpaceDE w:val="0"/>
              <w:autoSpaceDN w:val="0"/>
              <w:adjustRightInd w:val="0"/>
              <w:rPr>
                <w:szCs w:val="24"/>
              </w:rPr>
            </w:pPr>
            <w:hyperlink r:id="rId11" w:history="1">
              <w:r w:rsidRPr="007E3B67">
                <w:rPr>
                  <w:rStyle w:val="Hyperlink"/>
                  <w:szCs w:val="24"/>
                </w:rPr>
                <w:t>Rocco.dascenzo@duke-energy.com</w:t>
              </w:r>
            </w:hyperlink>
          </w:p>
          <w:p w:rsidR="00091B44" w:rsidRPr="007E3B67" w:rsidP="00AA4B39" w14:paraId="03ACAB96" w14:textId="77777777">
            <w:pPr>
              <w:autoSpaceDE w:val="0"/>
              <w:autoSpaceDN w:val="0"/>
              <w:adjustRightInd w:val="0"/>
              <w:rPr>
                <w:szCs w:val="24"/>
              </w:rPr>
            </w:pPr>
            <w:hyperlink r:id="rId12" w:history="1">
              <w:r w:rsidRPr="007E3B67">
                <w:rPr>
                  <w:rStyle w:val="Hyperlink"/>
                  <w:szCs w:val="24"/>
                </w:rPr>
                <w:t>Jeanne.kingery@duke-energy.com</w:t>
              </w:r>
            </w:hyperlink>
          </w:p>
          <w:p w:rsidR="00091B44" w:rsidRPr="007E3B67" w:rsidP="00AA4B39" w14:paraId="123F5AE8" w14:textId="77777777">
            <w:pPr>
              <w:autoSpaceDE w:val="0"/>
              <w:autoSpaceDN w:val="0"/>
              <w:adjustRightInd w:val="0"/>
              <w:rPr>
                <w:szCs w:val="24"/>
              </w:rPr>
            </w:pPr>
            <w:hyperlink r:id="rId13" w:history="1">
              <w:r w:rsidRPr="007E3B67">
                <w:rPr>
                  <w:rStyle w:val="Hyperlink"/>
                  <w:szCs w:val="24"/>
                </w:rPr>
                <w:t>Larisa.vaysman@duke-energy.com</w:t>
              </w:r>
            </w:hyperlink>
          </w:p>
          <w:p w:rsidR="00091B44" w:rsidRPr="007E3B67" w:rsidP="00AA4B39" w14:paraId="238F3FB7" w14:textId="77777777">
            <w:pPr>
              <w:autoSpaceDE w:val="0"/>
              <w:autoSpaceDN w:val="0"/>
              <w:adjustRightInd w:val="0"/>
              <w:rPr>
                <w:rStyle w:val="Hyperlink"/>
                <w:szCs w:val="24"/>
              </w:rPr>
            </w:pPr>
            <w:hyperlink r:id="rId14" w:history="1">
              <w:r w:rsidRPr="007E3B67">
                <w:rPr>
                  <w:rStyle w:val="Hyperlink"/>
                  <w:szCs w:val="24"/>
                </w:rPr>
                <w:t>elyse.akhbari@duke-energy.com</w:t>
              </w:r>
            </w:hyperlink>
          </w:p>
          <w:p w:rsidR="00091B44" w:rsidRPr="007E3B67" w:rsidP="00AA4B39" w14:paraId="498C0341" w14:textId="77777777">
            <w:pPr>
              <w:autoSpaceDE w:val="0"/>
              <w:autoSpaceDN w:val="0"/>
              <w:adjustRightInd w:val="0"/>
              <w:rPr>
                <w:rStyle w:val="Hyperlink"/>
                <w:szCs w:val="24"/>
              </w:rPr>
            </w:pPr>
          </w:p>
          <w:p w:rsidR="00091B44" w:rsidRPr="007E3B67" w:rsidP="00AA4B39" w14:paraId="1B65C229" w14:textId="77777777">
            <w:pPr>
              <w:autoSpaceDE w:val="0"/>
              <w:autoSpaceDN w:val="0"/>
              <w:adjustRightInd w:val="0"/>
              <w:rPr>
                <w:rStyle w:val="Hyperlink"/>
                <w:color w:val="auto"/>
                <w:szCs w:val="24"/>
                <w:u w:val="none"/>
              </w:rPr>
            </w:pPr>
            <w:r w:rsidRPr="007E3B67">
              <w:rPr>
                <w:rStyle w:val="Hyperlink"/>
                <w:color w:val="auto"/>
                <w:szCs w:val="24"/>
                <w:u w:val="none"/>
              </w:rPr>
              <w:t>Attorney Examiners:</w:t>
            </w:r>
          </w:p>
          <w:p w:rsidR="00091B44" w:rsidRPr="007E3B67" w:rsidP="00AA4B39" w14:paraId="29D667CD" w14:textId="77777777">
            <w:pPr>
              <w:autoSpaceDE w:val="0"/>
              <w:autoSpaceDN w:val="0"/>
              <w:adjustRightInd w:val="0"/>
              <w:rPr>
                <w:szCs w:val="24"/>
              </w:rPr>
            </w:pPr>
            <w:hyperlink r:id="rId15" w:history="1">
              <w:r w:rsidRPr="007E3B67">
                <w:rPr>
                  <w:rStyle w:val="Hyperlink"/>
                  <w:szCs w:val="24"/>
                </w:rPr>
                <w:t>jesse.davis@puco.ohio.gov</w:t>
              </w:r>
            </w:hyperlink>
          </w:p>
          <w:p w:rsidR="00091B44" w:rsidRPr="007E3B67" w:rsidP="00AA4B39" w14:paraId="2158F333" w14:textId="77777777">
            <w:pPr>
              <w:autoSpaceDE w:val="0"/>
              <w:autoSpaceDN w:val="0"/>
              <w:adjustRightInd w:val="0"/>
              <w:rPr>
                <w:szCs w:val="24"/>
              </w:rPr>
            </w:pPr>
            <w:hyperlink r:id="rId16" w:history="1">
              <w:r w:rsidRPr="007E3B67">
                <w:rPr>
                  <w:rStyle w:val="Hyperlink"/>
                  <w:szCs w:val="24"/>
                </w:rPr>
                <w:t>michael.williams@puco.ohio.gov</w:t>
              </w:r>
            </w:hyperlink>
          </w:p>
          <w:p w:rsidR="00091B44" w:rsidRPr="007E3B67" w:rsidP="00AA4B39" w14:paraId="6C76A931" w14:textId="77777777">
            <w:pPr>
              <w:autoSpaceDE w:val="0"/>
              <w:autoSpaceDN w:val="0"/>
              <w:adjustRightInd w:val="0"/>
              <w:rPr>
                <w:szCs w:val="24"/>
              </w:rPr>
            </w:pPr>
          </w:p>
          <w:p w:rsidR="00091B44" w:rsidRPr="007E3B67" w:rsidP="00AA4B39" w14:paraId="1F45A973" w14:textId="77777777">
            <w:pPr>
              <w:autoSpaceDE w:val="0"/>
              <w:autoSpaceDN w:val="0"/>
              <w:adjustRightInd w:val="0"/>
              <w:rPr>
                <w:szCs w:val="24"/>
              </w:rPr>
            </w:pPr>
          </w:p>
          <w:p w:rsidR="00091B44" w:rsidRPr="007E3B67" w:rsidP="00AA4B39" w14:paraId="4E8262F0" w14:textId="77777777">
            <w:pPr>
              <w:autoSpaceDE w:val="0"/>
              <w:autoSpaceDN w:val="0"/>
              <w:adjustRightInd w:val="0"/>
              <w:rPr>
                <w:bCs/>
                <w:color w:val="0000FF"/>
                <w:szCs w:val="24"/>
                <w:u w:val="single"/>
              </w:rPr>
            </w:pPr>
          </w:p>
          <w:p w:rsidR="00091B44" w:rsidRPr="007E3B67" w:rsidP="00AA4B39" w14:paraId="7B1A79EF" w14:textId="77777777">
            <w:pPr>
              <w:autoSpaceDE w:val="0"/>
              <w:autoSpaceDN w:val="0"/>
              <w:adjustRightInd w:val="0"/>
              <w:rPr>
                <w:bCs/>
                <w:szCs w:val="24"/>
              </w:rPr>
            </w:pPr>
          </w:p>
          <w:p w:rsidR="00091B44" w:rsidRPr="007E3B67" w:rsidP="00AA4B39" w14:paraId="41C4C37B" w14:textId="77777777">
            <w:pPr>
              <w:autoSpaceDE w:val="0"/>
              <w:autoSpaceDN w:val="0"/>
              <w:adjustRightInd w:val="0"/>
              <w:rPr>
                <w:bCs/>
                <w:szCs w:val="24"/>
              </w:rPr>
            </w:pPr>
          </w:p>
          <w:p w:rsidR="00091B44" w:rsidRPr="007E3B67" w:rsidP="00AA4B39" w14:paraId="348C10B0" w14:textId="77777777">
            <w:pPr>
              <w:autoSpaceDE w:val="0"/>
              <w:autoSpaceDN w:val="0"/>
              <w:adjustRightInd w:val="0"/>
              <w:rPr>
                <w:bCs/>
                <w:szCs w:val="24"/>
              </w:rPr>
            </w:pPr>
          </w:p>
          <w:p w:rsidR="00091B44" w:rsidRPr="007E3B67" w:rsidP="00AA4B39" w14:paraId="7C6902F4" w14:textId="77777777">
            <w:pPr>
              <w:autoSpaceDE w:val="0"/>
              <w:autoSpaceDN w:val="0"/>
              <w:adjustRightInd w:val="0"/>
              <w:rPr>
                <w:bCs/>
                <w:szCs w:val="24"/>
              </w:rPr>
            </w:pPr>
          </w:p>
        </w:tc>
        <w:tc>
          <w:tcPr>
            <w:tcW w:w="4428" w:type="dxa"/>
            <w:shd w:val="clear" w:color="auto" w:fill="auto"/>
          </w:tcPr>
          <w:p w:rsidR="00091B44" w:rsidRPr="007E3B67" w:rsidP="00AA4B39" w14:paraId="63A354BB" w14:textId="77777777">
            <w:pPr>
              <w:pStyle w:val="BodyText"/>
              <w:spacing w:line="240" w:lineRule="auto"/>
              <w:rPr>
                <w:bCs/>
              </w:rPr>
            </w:pPr>
            <w:hyperlink r:id="rId17" w:history="1">
              <w:r w:rsidRPr="007E3B67">
                <w:rPr>
                  <w:rStyle w:val="Hyperlink"/>
                </w:rPr>
                <w:t>rdove@keglerbrown.com</w:t>
              </w:r>
            </w:hyperlink>
          </w:p>
          <w:p w:rsidR="00091B44" w:rsidRPr="007E3B67" w:rsidP="00AA4B39" w14:paraId="0BF68126" w14:textId="77777777">
            <w:pPr>
              <w:pStyle w:val="BodyText"/>
              <w:spacing w:line="240" w:lineRule="auto"/>
              <w:rPr>
                <w:bCs/>
              </w:rPr>
            </w:pPr>
            <w:hyperlink r:id="rId18" w:history="1">
              <w:r w:rsidRPr="007E3B67">
                <w:rPr>
                  <w:rStyle w:val="Hyperlink"/>
                </w:rPr>
                <w:t>stnourse@aep.com</w:t>
              </w:r>
            </w:hyperlink>
          </w:p>
          <w:p w:rsidR="00091B44" w:rsidRPr="007E3B67" w:rsidP="00AA4B39" w14:paraId="0AC541E9" w14:textId="77777777">
            <w:pPr>
              <w:pStyle w:val="BodyText"/>
              <w:spacing w:line="240" w:lineRule="auto"/>
              <w:rPr>
                <w:bCs/>
              </w:rPr>
            </w:pPr>
            <w:hyperlink r:id="rId19" w:history="1">
              <w:r w:rsidRPr="007E3B67">
                <w:rPr>
                  <w:rStyle w:val="Hyperlink"/>
                </w:rPr>
                <w:t>trent@hubaydougherty.com</w:t>
              </w:r>
            </w:hyperlink>
          </w:p>
          <w:p w:rsidR="00091B44" w:rsidRPr="007E3B67" w:rsidP="00AA4B39" w14:paraId="4C7E3679" w14:textId="77777777">
            <w:pPr>
              <w:pStyle w:val="BodyText"/>
              <w:spacing w:line="240" w:lineRule="auto"/>
              <w:rPr>
                <w:bCs/>
              </w:rPr>
            </w:pPr>
            <w:hyperlink r:id="rId20" w:history="1">
              <w:r w:rsidRPr="007E3B67">
                <w:rPr>
                  <w:rStyle w:val="Hyperlink"/>
                </w:rPr>
                <w:t>talexander@beneschlaw.com</w:t>
              </w:r>
            </w:hyperlink>
          </w:p>
          <w:p w:rsidR="00091B44" w:rsidRPr="007E3B67" w:rsidP="00AA4B39" w14:paraId="20FCADF4" w14:textId="77777777">
            <w:pPr>
              <w:pStyle w:val="BodyText"/>
              <w:spacing w:line="240" w:lineRule="auto"/>
              <w:rPr>
                <w:bCs/>
              </w:rPr>
            </w:pPr>
            <w:hyperlink r:id="rId21" w:history="1">
              <w:r w:rsidRPr="007E3B67">
                <w:rPr>
                  <w:rStyle w:val="Hyperlink"/>
                </w:rPr>
                <w:t>Bojko@carpenterlipps.com</w:t>
              </w:r>
            </w:hyperlink>
          </w:p>
          <w:p w:rsidR="00091B44" w:rsidRPr="007E3B67" w:rsidP="00AA4B39" w14:paraId="18AA35FF" w14:textId="77777777">
            <w:pPr>
              <w:pStyle w:val="BodyText"/>
              <w:spacing w:line="240" w:lineRule="auto"/>
              <w:rPr>
                <w:bCs/>
              </w:rPr>
            </w:pPr>
            <w:hyperlink r:id="rId22" w:history="1">
              <w:r w:rsidRPr="007E3B67">
                <w:rPr>
                  <w:rStyle w:val="Hyperlink"/>
                </w:rPr>
                <w:t>Paul@carpenterlipps.com</w:t>
              </w:r>
            </w:hyperlink>
          </w:p>
          <w:p w:rsidR="00091B44" w:rsidRPr="007E3B67" w:rsidP="00AA4B39" w14:paraId="54E62EA2" w14:textId="77777777">
            <w:pPr>
              <w:pStyle w:val="BodyText"/>
              <w:spacing w:line="240" w:lineRule="auto"/>
              <w:rPr>
                <w:bCs/>
              </w:rPr>
            </w:pPr>
            <w:hyperlink r:id="rId23" w:history="1">
              <w:r w:rsidRPr="007E3B67">
                <w:rPr>
                  <w:rStyle w:val="Hyperlink"/>
                </w:rPr>
                <w:t>randall.griffin@aes.com</w:t>
              </w:r>
            </w:hyperlink>
          </w:p>
          <w:p w:rsidR="00091B44" w:rsidRPr="007E3B67" w:rsidP="00AA4B39" w14:paraId="1D97E322" w14:textId="77777777">
            <w:pPr>
              <w:pStyle w:val="BodyText"/>
              <w:spacing w:line="240" w:lineRule="auto"/>
              <w:rPr>
                <w:bCs/>
              </w:rPr>
            </w:pPr>
            <w:hyperlink r:id="rId24" w:history="1">
              <w:r w:rsidRPr="007E3B67">
                <w:rPr>
                  <w:rStyle w:val="Hyperlink"/>
                </w:rPr>
                <w:t>ctavenor@theoec.org</w:t>
              </w:r>
            </w:hyperlink>
          </w:p>
          <w:p w:rsidR="00091B44" w:rsidRPr="007E3B67" w:rsidP="00AA4B39" w14:paraId="66F14081" w14:textId="77777777">
            <w:pPr>
              <w:pStyle w:val="BodyText"/>
              <w:spacing w:line="240" w:lineRule="auto"/>
              <w:rPr>
                <w:bCs/>
              </w:rPr>
            </w:pPr>
          </w:p>
          <w:p w:rsidR="00091B44" w:rsidRPr="007E3B67" w:rsidP="00AA4B39" w14:paraId="504474B2" w14:textId="77777777">
            <w:pPr>
              <w:pStyle w:val="BodyText"/>
              <w:spacing w:line="240" w:lineRule="auto"/>
              <w:rPr>
                <w:bCs/>
              </w:rPr>
            </w:pPr>
          </w:p>
          <w:p w:rsidR="00091B44" w:rsidRPr="007E3B67" w:rsidP="00AA4B39" w14:paraId="6D3DB6B7" w14:textId="77777777">
            <w:pPr>
              <w:pStyle w:val="BodyText"/>
              <w:spacing w:line="240" w:lineRule="auto"/>
              <w:rPr>
                <w:bCs/>
              </w:rPr>
            </w:pPr>
          </w:p>
          <w:p w:rsidR="00091B44" w:rsidRPr="007E3B67" w:rsidP="00AA4B39" w14:paraId="73977374" w14:textId="77777777">
            <w:pPr>
              <w:pStyle w:val="BodyText"/>
              <w:spacing w:line="240" w:lineRule="auto"/>
              <w:rPr>
                <w:bCs/>
              </w:rPr>
            </w:pPr>
          </w:p>
        </w:tc>
      </w:tr>
    </w:tbl>
    <w:p w:rsidR="00F61AC6" w:rsidRPr="007E3B67" w:rsidP="00F61AC6" w14:paraId="15BB8FCC" w14:textId="77777777">
      <w:pPr>
        <w:pStyle w:val="CommentText"/>
        <w:rPr>
          <w:b/>
          <w:bCs/>
          <w:sz w:val="24"/>
          <w:szCs w:val="24"/>
          <w:u w:val="single"/>
        </w:rPr>
      </w:pPr>
    </w:p>
    <w:sectPr w:rsidSect="00684546">
      <w:footerReference w:type="default" r:id="rId25"/>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8747686"/>
      <w:docPartObj>
        <w:docPartGallery w:val="Page Numbers (Bottom of Page)"/>
        <w:docPartUnique/>
      </w:docPartObj>
    </w:sdtPr>
    <w:sdtEndPr>
      <w:rPr>
        <w:noProof/>
      </w:rPr>
    </w:sdtEndPr>
    <w:sdtContent>
      <w:p w:rsidR="0019777B" w14:paraId="71A0DC2F" w14:textId="7D836C8C">
        <w:pPr>
          <w:pStyle w:val="Footer"/>
          <w:jc w:val="center"/>
        </w:pPr>
        <w:r w:rsidRPr="0019777B">
          <w:rPr>
            <w:rFonts w:ascii="Times New Roman" w:hAnsi="Times New Roman" w:cs="Times New Roman"/>
          </w:rPr>
          <w:fldChar w:fldCharType="begin"/>
        </w:r>
        <w:r w:rsidRPr="0019777B">
          <w:rPr>
            <w:rFonts w:ascii="Times New Roman" w:hAnsi="Times New Roman" w:cs="Times New Roman"/>
          </w:rPr>
          <w:instrText xml:space="preserve"> PAGE   \* MERGEFORMAT </w:instrText>
        </w:r>
        <w:r w:rsidRPr="0019777B">
          <w:rPr>
            <w:rFonts w:ascii="Times New Roman" w:hAnsi="Times New Roman" w:cs="Times New Roman"/>
          </w:rPr>
          <w:fldChar w:fldCharType="separate"/>
        </w:r>
        <w:r w:rsidRPr="0019777B">
          <w:rPr>
            <w:rFonts w:ascii="Times New Roman" w:hAnsi="Times New Roman" w:cs="Times New Roman"/>
            <w:noProof/>
          </w:rPr>
          <w:t>2</w:t>
        </w:r>
        <w:r w:rsidRPr="0019777B">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069B" w14:paraId="25FC1BF8" w14:textId="77777777">
      <w:r>
        <w:separator/>
      </w:r>
    </w:p>
  </w:footnote>
  <w:footnote w:type="continuationSeparator" w:id="1">
    <w:p w:rsidR="00FF069B" w14:paraId="7BFF426C" w14:textId="77777777">
      <w:r>
        <w:continuationSeparator/>
      </w:r>
    </w:p>
  </w:footnote>
  <w:footnote w:id="2">
    <w:p w:rsidR="004624FE" w:rsidRPr="004624FE" w:rsidP="00762F2D" w14:paraId="6A4C0BEB" w14:textId="0BB71CC5">
      <w:pPr>
        <w:pStyle w:val="FootnoteText"/>
        <w:spacing w:after="120"/>
      </w:pPr>
      <w:r>
        <w:rPr>
          <w:rStyle w:val="FootnoteReference"/>
        </w:rPr>
        <w:footnoteRef/>
      </w:r>
      <w:r>
        <w:t xml:space="preserve"> </w:t>
      </w:r>
      <w:r>
        <w:rPr>
          <w:i/>
          <w:iCs/>
        </w:rPr>
        <w:t xml:space="preserve">State ex rel. Dallman v. Franklin County Court of Common Pleas, </w:t>
      </w:r>
      <w:r>
        <w:t>35 Ohio St.2d 176, 179 (1973) (</w:t>
      </w:r>
      <w:r>
        <w:rPr>
          <w:i/>
          <w:iCs/>
        </w:rPr>
        <w:t xml:space="preserve">quoting Baker v. Carr, </w:t>
      </w:r>
      <w:r>
        <w:t>369 U.S. 186, 204 (1962)</w:t>
      </w:r>
      <w:r w:rsidR="00D66B74">
        <w:t>)</w:t>
      </w:r>
      <w:r>
        <w:t>.</w:t>
      </w:r>
      <w:r w:rsidR="00762F2D">
        <w:t xml:space="preserve"> </w:t>
      </w:r>
    </w:p>
  </w:footnote>
  <w:footnote w:id="3">
    <w:p w:rsidR="004624FE" w:rsidRPr="004624FE" w:rsidP="00762F2D" w14:paraId="6B1B1299" w14:textId="10B20952">
      <w:pPr>
        <w:pStyle w:val="FootnoteText"/>
        <w:spacing w:after="120"/>
      </w:pPr>
      <w:r>
        <w:rPr>
          <w:rStyle w:val="FootnoteReference"/>
        </w:rPr>
        <w:footnoteRef/>
      </w:r>
      <w:r>
        <w:t xml:space="preserve"> </w:t>
      </w:r>
      <w:r>
        <w:rPr>
          <w:i/>
          <w:iCs/>
        </w:rPr>
        <w:t xml:space="preserve">Ohio Pyro v. Ohio Dept. of Commerce, </w:t>
      </w:r>
      <w:r>
        <w:t>115 Ohio St.3d 375, 381 (2007) (</w:t>
      </w:r>
      <w:r>
        <w:rPr>
          <w:i/>
          <w:iCs/>
        </w:rPr>
        <w:t xml:space="preserve">citing </w:t>
      </w:r>
      <w:r>
        <w:t>Black’s Law Dictionary at 1442, Eighth Edition).</w:t>
      </w:r>
    </w:p>
  </w:footnote>
  <w:footnote w:id="4">
    <w:p w:rsidR="004624FE" w:rsidRPr="00EC53FC" w:rsidP="00762F2D" w14:paraId="6A5AC17E" w14:textId="319A71D6">
      <w:pPr>
        <w:pStyle w:val="FootnoteText"/>
        <w:spacing w:after="120"/>
      </w:pPr>
      <w:r>
        <w:rPr>
          <w:rStyle w:val="FootnoteReference"/>
        </w:rPr>
        <w:footnoteRef/>
      </w:r>
      <w:r>
        <w:t xml:space="preserve"> </w:t>
      </w:r>
      <w:r>
        <w:rPr>
          <w:i/>
          <w:iCs/>
        </w:rPr>
        <w:t>Util. Service Partners, Inc. v. Pub. Util. Comm’n of Ohio</w:t>
      </w:r>
      <w:r w:rsidR="00EC53FC">
        <w:t xml:space="preserve">, </w:t>
      </w:r>
      <w:r w:rsidR="0084406E">
        <w:t xml:space="preserve">124 Ohio St.3d 284, 2009-Ohio-6764, 921 N.E.2d, ¶ 49 </w:t>
      </w:r>
      <w:r w:rsidR="005B7663">
        <w:t>(</w:t>
      </w:r>
      <w:r w:rsidR="00EC53FC">
        <w:rPr>
          <w:i/>
          <w:iCs/>
        </w:rPr>
        <w:t xml:space="preserve">quoting City of N. Canton v. City of Canton, </w:t>
      </w:r>
      <w:r w:rsidR="00EC53FC">
        <w:t>114 Ohio St.3d at ¶</w:t>
      </w:r>
      <w:r w:rsidR="007A5D6F">
        <w:t xml:space="preserve"> </w:t>
      </w:r>
      <w:r w:rsidR="00EC53FC">
        <w:t>14).</w:t>
      </w:r>
    </w:p>
  </w:footnote>
  <w:footnote w:id="5">
    <w:p w:rsidR="005162E7" w:rsidP="00762F2D" w14:paraId="4632097D" w14:textId="0BBD2D93">
      <w:pPr>
        <w:pStyle w:val="FootnoteText"/>
        <w:spacing w:after="120"/>
      </w:pPr>
      <w:r>
        <w:rPr>
          <w:rStyle w:val="FootnoteReference"/>
        </w:rPr>
        <w:footnoteRef/>
      </w:r>
      <w:r>
        <w:t xml:space="preserve"> AEP Ohio Memorandum Contra at 2 (Nov</w:t>
      </w:r>
      <w:r w:rsidR="001D53E4">
        <w:t>ember</w:t>
      </w:r>
      <w:r>
        <w:t xml:space="preserve"> 29, 2022) (Emphasis added).</w:t>
      </w:r>
    </w:p>
  </w:footnote>
  <w:footnote w:id="6">
    <w:p w:rsidR="008143E4" w:rsidRPr="00983A8B" w:rsidP="00762F2D" w14:paraId="7D706EFE" w14:textId="11E0E496">
      <w:pPr>
        <w:pStyle w:val="FootnoteText"/>
        <w:spacing w:after="120"/>
      </w:pPr>
      <w:r>
        <w:rPr>
          <w:rStyle w:val="FootnoteReference"/>
        </w:rPr>
        <w:footnoteRef/>
      </w:r>
      <w:r>
        <w:t xml:space="preserve"> </w:t>
      </w:r>
      <w:r>
        <w:rPr>
          <w:i/>
          <w:iCs/>
        </w:rPr>
        <w:t>Util. Service Partners, Inc. v. Pub. Util. Comm’n of Ohio</w:t>
      </w:r>
      <w:r>
        <w:t xml:space="preserve">, </w:t>
      </w:r>
      <w:r w:rsidR="00BD53D1">
        <w:t xml:space="preserve">124 Ohio St.3d 284, 2009-Ohio-6764, 921 N.E.2d, ¶ 49, </w:t>
      </w:r>
      <w:r w:rsidR="0084406E">
        <w:rPr>
          <w:i/>
          <w:iCs/>
        </w:rPr>
        <w:t>quoting</w:t>
      </w:r>
      <w:r w:rsidR="00BD53D1">
        <w:t xml:space="preserve"> </w:t>
      </w:r>
      <w:r w:rsidRPr="0084406E" w:rsidR="00BD53D1">
        <w:rPr>
          <w:i/>
          <w:iCs/>
        </w:rPr>
        <w:t>Kowalski v. Tesmer</w:t>
      </w:r>
      <w:r w:rsidRPr="00BD53D1" w:rsidR="00BD53D1">
        <w:t> (2004), </w:t>
      </w:r>
      <w:hyperlink r:id="rId1" w:anchor="p129" w:history="1">
        <w:r w:rsidRPr="00BD53D1" w:rsidR="00BD53D1">
          <w:t>543 U.S. 125, 130</w:t>
        </w:r>
      </w:hyperlink>
      <w:r w:rsidRPr="00BD53D1" w:rsidR="00BD53D1">
        <w:t>, </w:t>
      </w:r>
      <w:hyperlink r:id="rId1" w:history="1">
        <w:r w:rsidRPr="00BD53D1" w:rsidR="00BD53D1">
          <w:t>125 S.Ct. 564</w:t>
        </w:r>
      </w:hyperlink>
      <w:r w:rsidRPr="00BD53D1" w:rsidR="00BD53D1">
        <w:t>, </w:t>
      </w:r>
      <w:hyperlink r:id="rId1" w:history="1">
        <w:r w:rsidRPr="00BD53D1" w:rsidR="00BD53D1">
          <w:t>160 L.Ed.2d 519</w:t>
        </w:r>
      </w:hyperlink>
      <w:r w:rsidRPr="00BD53D1" w:rsidR="00BD53D1">
        <w:t>.</w:t>
      </w:r>
      <w:r w:rsidR="00983A8B">
        <w:t xml:space="preserve"> </w:t>
      </w:r>
      <w:r>
        <w:t>1224 Ohio St.3d 284, 294 (2009) (</w:t>
      </w:r>
      <w:r>
        <w:rPr>
          <w:i/>
          <w:iCs/>
        </w:rPr>
        <w:t xml:space="preserve">quoting City of N. Canton v. City of Canton, </w:t>
      </w:r>
      <w:r>
        <w:t>114 Ohio St.3d at ¶</w:t>
      </w:r>
      <w:r w:rsidR="002F6BF3">
        <w:t xml:space="preserve"> </w:t>
      </w:r>
      <w:r>
        <w:t>4</w:t>
      </w:r>
      <w:r w:rsidR="00B00B45">
        <w:t>9</w:t>
      </w:r>
      <w:r>
        <w:t>).</w:t>
      </w:r>
    </w:p>
  </w:footnote>
  <w:footnote w:id="7">
    <w:p w:rsidR="0084406E" w:rsidRPr="0084406E" w:rsidP="00762F2D" w14:paraId="1544124F" w14:textId="6A0BD353">
      <w:pPr>
        <w:pStyle w:val="FootnoteText"/>
        <w:spacing w:after="120"/>
      </w:pPr>
      <w:r>
        <w:rPr>
          <w:rStyle w:val="FootnoteReference"/>
        </w:rPr>
        <w:footnoteRef/>
      </w:r>
      <w:r>
        <w:t xml:space="preserve"> </w:t>
      </w:r>
      <w:r>
        <w:rPr>
          <w:i/>
          <w:iCs/>
        </w:rPr>
        <w:t xml:space="preserve">Id., citing </w:t>
      </w:r>
      <w:r w:rsidRPr="0084406E">
        <w:rPr>
          <w:i/>
          <w:iCs/>
        </w:rPr>
        <w:t>E. Liverpool v. Columbian</w:t>
      </w:r>
      <w:r w:rsidR="006D23CE">
        <w:rPr>
          <w:i/>
          <w:iCs/>
        </w:rPr>
        <w:t>a</w:t>
      </w:r>
      <w:r w:rsidRPr="0084406E">
        <w:rPr>
          <w:i/>
          <w:iCs/>
        </w:rPr>
        <w:t xml:space="preserve"> Cty. Budget Comm</w:t>
      </w:r>
      <w:r w:rsidRPr="0084406E">
        <w:t>., </w:t>
      </w:r>
      <w:hyperlink r:id="rId2" w:anchor="p2007" w:history="1">
        <w:r w:rsidRPr="0084406E">
          <w:t>114 Ohio St.3d 133, 2007</w:t>
        </w:r>
      </w:hyperlink>
      <w:r w:rsidRPr="0084406E">
        <w:t>-Ohio-3759, </w:t>
      </w:r>
      <w:hyperlink r:id="rId2" w:history="1">
        <w:r w:rsidRPr="0084406E">
          <w:t>870 N.E.2d 705</w:t>
        </w:r>
      </w:hyperlink>
      <w:r w:rsidRPr="0084406E">
        <w:t>, ¶ 22, quoting </w:t>
      </w:r>
      <w:r w:rsidRPr="0084406E">
        <w:rPr>
          <w:i/>
          <w:iCs/>
        </w:rPr>
        <w:t>Kowalsk</w:t>
      </w:r>
      <w:r w:rsidRPr="006D23CE">
        <w:rPr>
          <w:i/>
          <w:iCs/>
        </w:rPr>
        <w:t>i</w:t>
      </w:r>
      <w:r w:rsidRPr="0084406E">
        <w:t> at 130, </w:t>
      </w:r>
      <w:hyperlink r:id="rId1" w:history="1">
        <w:r w:rsidRPr="0084406E">
          <w:t>125 S.Ct. 564</w:t>
        </w:r>
      </w:hyperlink>
      <w:r w:rsidRPr="0084406E">
        <w:t>, </w:t>
      </w:r>
      <w:hyperlink r:id="rId1" w:history="1">
        <w:r w:rsidRPr="0084406E">
          <w:t>160 L.Ed.2d 519</w:t>
        </w:r>
      </w:hyperlink>
      <w:r w:rsidRPr="0084406E">
        <w:t>.</w:t>
      </w:r>
    </w:p>
  </w:footnote>
  <w:footnote w:id="8">
    <w:p w:rsidR="005970BB" w:rsidP="00762F2D" w14:paraId="1F64194C" w14:textId="1C8BEB4C">
      <w:pPr>
        <w:pStyle w:val="FootnoteText"/>
        <w:spacing w:after="120"/>
      </w:pPr>
      <w:r>
        <w:rPr>
          <w:rStyle w:val="FootnoteReference"/>
        </w:rPr>
        <w:footnoteRef/>
      </w:r>
      <w:r>
        <w:t xml:space="preserve"> </w:t>
      </w:r>
      <w:r>
        <w:rPr>
          <w:i/>
          <w:iCs/>
        </w:rPr>
        <w:t xml:space="preserve">In the Matter of the Review of the Ohio Edison Company, </w:t>
      </w:r>
      <w:r w:rsidR="00C419B2">
        <w:rPr>
          <w:i/>
          <w:iCs/>
        </w:rPr>
        <w:t>t</w:t>
      </w:r>
      <w:r>
        <w:rPr>
          <w:i/>
          <w:iCs/>
        </w:rPr>
        <w:t xml:space="preserve">he Cleveland Electric Illuminating Company, and </w:t>
      </w:r>
      <w:r w:rsidR="00C419B2">
        <w:rPr>
          <w:i/>
          <w:iCs/>
        </w:rPr>
        <w:t>t</w:t>
      </w:r>
      <w:r>
        <w:rPr>
          <w:i/>
          <w:iCs/>
        </w:rPr>
        <w:t xml:space="preserve">he Toledo Edison Company’s Compliance with R.C. 4928.17 and the Ohio Adm. Code Chapter 4901:1-37, </w:t>
      </w:r>
      <w:r w:rsidR="00B6162E">
        <w:t xml:space="preserve">Case No. 17-974-EL-UNC, </w:t>
      </w:r>
      <w:r w:rsidRPr="005970BB">
        <w:rPr>
          <w:color w:val="232323"/>
        </w:rPr>
        <w:t xml:space="preserve">Motion for Subpoena Duces for FirstEnergy Corp. and FirstEnergy Service Company to produce a "Purported Consulting Agreement" and all Documents related to the Committee </w:t>
      </w:r>
      <w:r w:rsidR="00EB3DB5">
        <w:rPr>
          <w:color w:val="232323"/>
        </w:rPr>
        <w:t>o</w:t>
      </w:r>
      <w:r w:rsidRPr="005970BB">
        <w:rPr>
          <w:color w:val="232323"/>
        </w:rPr>
        <w:t>f Independent members of the Board of Directors' Internal Investigation and Motion for Subpoena a Duces Tecum for FirstEnergy Foundation to produce IRS Form 990's included attachments for 2018 and 201</w:t>
      </w:r>
      <w:r>
        <w:rPr>
          <w:color w:val="232323"/>
        </w:rPr>
        <w:t>9 (June 25, 2021).</w:t>
      </w:r>
    </w:p>
  </w:footnote>
  <w:footnote w:id="9">
    <w:p w:rsidR="005970BB" w:rsidRPr="005970BB" w:rsidP="00762F2D" w14:paraId="2B6B6818" w14:textId="164843C4">
      <w:pPr>
        <w:pStyle w:val="FootnoteText"/>
        <w:spacing w:after="120"/>
      </w:pPr>
      <w:r>
        <w:rPr>
          <w:rStyle w:val="FootnoteReference"/>
        </w:rPr>
        <w:footnoteRef/>
      </w:r>
      <w:r>
        <w:t xml:space="preserve"> </w:t>
      </w:r>
      <w:r>
        <w:rPr>
          <w:i/>
          <w:iCs/>
        </w:rPr>
        <w:t xml:space="preserve">Id., </w:t>
      </w:r>
      <w:r>
        <w:t>FirstEnergy Corp. and FirstEnergy Service Company’s Motion to Quash the Office of the Ohio Consumers’ Counsel’s Subpoenas (July 19, 2021).</w:t>
      </w:r>
    </w:p>
  </w:footnote>
  <w:footnote w:id="10">
    <w:p w:rsidR="00FD66CC" w:rsidP="00762F2D" w14:paraId="1ADC4C63" w14:textId="5199BF4C">
      <w:pPr>
        <w:pStyle w:val="FootnoteText"/>
        <w:spacing w:after="120"/>
      </w:pPr>
      <w:r>
        <w:rPr>
          <w:rStyle w:val="FootnoteReference"/>
        </w:rPr>
        <w:footnoteRef/>
      </w:r>
      <w:r>
        <w:t xml:space="preserve"> O.A.C. </w:t>
      </w:r>
      <w:r>
        <w:rPr>
          <w:rFonts w:eastAsiaTheme="minorHAnsi"/>
          <w:szCs w:val="24"/>
        </w:rPr>
        <w:t>4901-1-25(C).</w:t>
      </w:r>
    </w:p>
  </w:footnote>
  <w:footnote w:id="11">
    <w:p w:rsidR="003C13F1" w:rsidP="00762F2D" w14:paraId="467A20C5" w14:textId="789808A4">
      <w:pPr>
        <w:pStyle w:val="FootnoteText"/>
        <w:spacing w:after="120"/>
      </w:pPr>
      <w:r>
        <w:rPr>
          <w:rStyle w:val="FootnoteReference"/>
        </w:rPr>
        <w:footnoteRef/>
      </w:r>
      <w:r>
        <w:t xml:space="preserve"> O.A.C. </w:t>
      </w:r>
      <w:r>
        <w:rPr>
          <w:rFonts w:eastAsiaTheme="minorHAnsi"/>
          <w:szCs w:val="24"/>
        </w:rPr>
        <w:t>4901-1-24(A).</w:t>
      </w:r>
    </w:p>
  </w:footnote>
  <w:footnote w:id="12">
    <w:p w:rsidR="005F104A" w:rsidP="00762F2D" w14:paraId="0D979081" w14:textId="1BDFBB30">
      <w:pPr>
        <w:pStyle w:val="FootnoteText"/>
        <w:spacing w:after="120"/>
      </w:pPr>
      <w:r>
        <w:rPr>
          <w:rStyle w:val="FootnoteReference"/>
        </w:rPr>
        <w:footnoteRef/>
      </w:r>
      <w:r>
        <w:t xml:space="preserve"> O.A.C. </w:t>
      </w:r>
      <w:r>
        <w:rPr>
          <w:rFonts w:eastAsiaTheme="minorHAnsi"/>
          <w:szCs w:val="24"/>
        </w:rPr>
        <w:t>4901-1-24(B).</w:t>
      </w:r>
    </w:p>
  </w:footnote>
  <w:footnote w:id="13">
    <w:p w:rsidR="005F104A" w:rsidP="00762F2D" w14:paraId="3864B129" w14:textId="618BA2FA">
      <w:pPr>
        <w:pStyle w:val="FootnoteText"/>
        <w:spacing w:after="120"/>
      </w:pPr>
      <w:r>
        <w:rPr>
          <w:rStyle w:val="FootnoteReference"/>
        </w:rPr>
        <w:footnoteRef/>
      </w:r>
      <w:r>
        <w:t xml:space="preserve"> O.A.C. </w:t>
      </w:r>
      <w:r>
        <w:rPr>
          <w:rFonts w:eastAsiaTheme="minorHAnsi"/>
          <w:szCs w:val="24"/>
        </w:rPr>
        <w:t>4901-1-24(B)(3).</w:t>
      </w:r>
    </w:p>
  </w:footnote>
  <w:footnote w:id="14">
    <w:p w:rsidR="00D311D4" w:rsidP="00762F2D" w14:paraId="0FBD6A28" w14:textId="41819AD0">
      <w:pPr>
        <w:pStyle w:val="FootnoteText"/>
        <w:spacing w:after="120"/>
      </w:pPr>
      <w:r>
        <w:rPr>
          <w:rStyle w:val="FootnoteReference"/>
        </w:rPr>
        <w:footnoteRef/>
      </w:r>
      <w:r>
        <w:t xml:space="preserve"> AEP Ohio Memorandum Contra at 5 (Nov</w:t>
      </w:r>
      <w:r w:rsidR="0064747C">
        <w:t>ember</w:t>
      </w:r>
      <w:r>
        <w:t xml:space="preserve"> 29, 2022).</w:t>
      </w:r>
    </w:p>
  </w:footnote>
  <w:footnote w:id="15">
    <w:p w:rsidR="00D311D4" w:rsidRPr="00C847FC" w:rsidP="00762F2D" w14:paraId="5F63FA49" w14:textId="77777777">
      <w:pPr>
        <w:pStyle w:val="FootnoteText"/>
        <w:spacing w:after="120"/>
        <w:rPr>
          <w:b/>
          <w:bCs/>
        </w:rPr>
      </w:pPr>
      <w:r w:rsidRPr="00C847FC">
        <w:rPr>
          <w:rStyle w:val="FootnoteReference"/>
        </w:rPr>
        <w:footnoteRef/>
      </w:r>
      <w:r w:rsidRPr="00C847FC">
        <w:t xml:space="preserve"> R.C. 4901-1-16(B).</w:t>
      </w:r>
    </w:p>
  </w:footnote>
  <w:footnote w:id="16">
    <w:p w:rsidR="00D638FB" w:rsidP="00762F2D" w14:paraId="64902A64" w14:textId="20C87478">
      <w:pPr>
        <w:pStyle w:val="FootnoteText"/>
        <w:spacing w:after="120"/>
      </w:pPr>
      <w:r>
        <w:rPr>
          <w:rStyle w:val="FootnoteReference"/>
        </w:rPr>
        <w:footnoteRef/>
      </w:r>
      <w:r>
        <w:t xml:space="preserve"> OCC Motion for Subpoena Duces Tecum at 9 (Nov</w:t>
      </w:r>
      <w:r w:rsidR="0064747C">
        <w:t>ember</w:t>
      </w:r>
      <w:r>
        <w:t xml:space="preserve"> 14, 2022).</w:t>
      </w:r>
    </w:p>
  </w:footnote>
  <w:footnote w:id="17">
    <w:p w:rsidR="00F25F5D" w:rsidRPr="005D1E53" w:rsidP="00762F2D" w14:paraId="6B7FE896" w14:textId="37BBBCA9">
      <w:pPr>
        <w:pStyle w:val="FootnoteText"/>
        <w:spacing w:after="120"/>
      </w:pPr>
      <w:r>
        <w:rPr>
          <w:rStyle w:val="FootnoteReference"/>
        </w:rPr>
        <w:footnoteRef/>
      </w:r>
      <w:r>
        <w:t xml:space="preserve"> </w:t>
      </w:r>
      <w:r w:rsidR="005D1E53">
        <w:rPr>
          <w:i/>
          <w:iCs/>
        </w:rPr>
        <w:t xml:space="preserve">Id. </w:t>
      </w:r>
      <w:r w:rsidR="005D1E53">
        <w:t>at 12.</w:t>
      </w:r>
    </w:p>
  </w:footnote>
  <w:footnote w:id="18">
    <w:p w:rsidR="005D1E53" w:rsidRPr="005D1E53" w:rsidP="00762F2D" w14:paraId="087841E8" w14:textId="7F53C200">
      <w:pPr>
        <w:pStyle w:val="FootnoteText"/>
        <w:spacing w:after="120"/>
      </w:pPr>
      <w:r>
        <w:rPr>
          <w:rStyle w:val="FootnoteReference"/>
        </w:rPr>
        <w:footnoteRef/>
      </w:r>
      <w:r>
        <w:t xml:space="preserve"> </w:t>
      </w:r>
      <w:r>
        <w:rPr>
          <w:i/>
          <w:iCs/>
        </w:rPr>
        <w:t xml:space="preserve">See, e.g., In the Matter of the Review of the Power Purchase Agreement Rider of Ohio Power Company for 2018, </w:t>
      </w:r>
      <w:r>
        <w:t xml:space="preserve">Case No. </w:t>
      </w:r>
      <w:r w:rsidR="00703D3C">
        <w:t xml:space="preserve">18-1004-EL-RDR; </w:t>
      </w:r>
      <w:r w:rsidR="00703D3C">
        <w:rPr>
          <w:i/>
          <w:iCs/>
        </w:rPr>
        <w:t xml:space="preserve">In the Matter of the Review of the Power Purchase Agreement Rider of Ohio Power Company for 2019, </w:t>
      </w:r>
      <w:r w:rsidR="00703D3C">
        <w:t>Case No. 18-1759-EL-RDR.</w:t>
      </w:r>
    </w:p>
  </w:footnote>
  <w:footnote w:id="19">
    <w:p w:rsidR="001D25C6" w:rsidP="00762F2D" w14:paraId="3CEDD42B" w14:textId="6E6B7A2F">
      <w:pPr>
        <w:pStyle w:val="FootnoteText"/>
        <w:spacing w:after="120"/>
      </w:pPr>
      <w:r>
        <w:rPr>
          <w:rStyle w:val="FootnoteReference"/>
        </w:rPr>
        <w:footnoteRef/>
      </w:r>
      <w:r>
        <w:t xml:space="preserve"> R.C. 4928.148(A)(1).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2">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56B2448"/>
    <w:multiLevelType w:val="hybridMultilevel"/>
    <w:tmpl w:val="F64A3CF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6">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5"/>
  </w:num>
  <w:num w:numId="4">
    <w:abstractNumId w:val="12"/>
  </w:num>
  <w:num w:numId="5">
    <w:abstractNumId w:val="15"/>
  </w:num>
  <w:num w:numId="6">
    <w:abstractNumId w:val="22"/>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9"/>
  </w:num>
  <w:num w:numId="16">
    <w:abstractNumId w:val="18"/>
  </w:num>
  <w:num w:numId="17">
    <w:abstractNumId w:val="20"/>
  </w:num>
  <w:num w:numId="18">
    <w:abstractNumId w:val="21"/>
  </w:num>
  <w:num w:numId="19">
    <w:abstractNumId w:val="11"/>
  </w:num>
  <w:num w:numId="20">
    <w:abstractNumId w:val="24"/>
  </w:num>
  <w:num w:numId="21">
    <w:abstractNumId w:val="14"/>
  </w:num>
  <w:num w:numId="22">
    <w:abstractNumId w:val="26"/>
  </w:num>
  <w:num w:numId="23">
    <w:abstractNumId w:val="8"/>
  </w:num>
  <w:num w:numId="24">
    <w:abstractNumId w:val="13"/>
  </w:num>
  <w:num w:numId="25">
    <w:abstractNumId w:val="10"/>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BB"/>
    <w:rsid w:val="000023BE"/>
    <w:rsid w:val="00032A30"/>
    <w:rsid w:val="0004577E"/>
    <w:rsid w:val="0006297D"/>
    <w:rsid w:val="00073900"/>
    <w:rsid w:val="00091B44"/>
    <w:rsid w:val="000A048A"/>
    <w:rsid w:val="000C1C9A"/>
    <w:rsid w:val="000D2F41"/>
    <w:rsid w:val="0019777B"/>
    <w:rsid w:val="001A5EC2"/>
    <w:rsid w:val="001C0554"/>
    <w:rsid w:val="001D25C6"/>
    <w:rsid w:val="001D53E4"/>
    <w:rsid w:val="001E0DDD"/>
    <w:rsid w:val="0021499F"/>
    <w:rsid w:val="00241292"/>
    <w:rsid w:val="00285E81"/>
    <w:rsid w:val="002B10D5"/>
    <w:rsid w:val="002F6BF3"/>
    <w:rsid w:val="00312CE1"/>
    <w:rsid w:val="0032345C"/>
    <w:rsid w:val="0033362D"/>
    <w:rsid w:val="003453D2"/>
    <w:rsid w:val="00387B6D"/>
    <w:rsid w:val="003A513A"/>
    <w:rsid w:val="003A5738"/>
    <w:rsid w:val="003C13F1"/>
    <w:rsid w:val="004168E2"/>
    <w:rsid w:val="004216F8"/>
    <w:rsid w:val="004610D3"/>
    <w:rsid w:val="004624FE"/>
    <w:rsid w:val="004A0427"/>
    <w:rsid w:val="004A4635"/>
    <w:rsid w:val="004B33B3"/>
    <w:rsid w:val="005038F6"/>
    <w:rsid w:val="00510499"/>
    <w:rsid w:val="005118F2"/>
    <w:rsid w:val="005162E7"/>
    <w:rsid w:val="00525A5A"/>
    <w:rsid w:val="00527207"/>
    <w:rsid w:val="0053030C"/>
    <w:rsid w:val="005645D0"/>
    <w:rsid w:val="00565ACF"/>
    <w:rsid w:val="00567BD3"/>
    <w:rsid w:val="00580942"/>
    <w:rsid w:val="005901AA"/>
    <w:rsid w:val="005970BB"/>
    <w:rsid w:val="005A1FA2"/>
    <w:rsid w:val="005A50C6"/>
    <w:rsid w:val="005A5272"/>
    <w:rsid w:val="005B2FA5"/>
    <w:rsid w:val="005B7663"/>
    <w:rsid w:val="005D1E53"/>
    <w:rsid w:val="005F104A"/>
    <w:rsid w:val="00617305"/>
    <w:rsid w:val="0064747C"/>
    <w:rsid w:val="00654F65"/>
    <w:rsid w:val="00661DF7"/>
    <w:rsid w:val="006721EA"/>
    <w:rsid w:val="006805CE"/>
    <w:rsid w:val="00684546"/>
    <w:rsid w:val="00693018"/>
    <w:rsid w:val="006B5C61"/>
    <w:rsid w:val="006D23CE"/>
    <w:rsid w:val="00703D3C"/>
    <w:rsid w:val="00712777"/>
    <w:rsid w:val="00750966"/>
    <w:rsid w:val="007512B4"/>
    <w:rsid w:val="00752993"/>
    <w:rsid w:val="00762F2D"/>
    <w:rsid w:val="00780156"/>
    <w:rsid w:val="00784B8D"/>
    <w:rsid w:val="007A295D"/>
    <w:rsid w:val="007A324B"/>
    <w:rsid w:val="007A5D6F"/>
    <w:rsid w:val="007C2E95"/>
    <w:rsid w:val="007D4364"/>
    <w:rsid w:val="007E3B67"/>
    <w:rsid w:val="007F29F0"/>
    <w:rsid w:val="0080050E"/>
    <w:rsid w:val="008143E4"/>
    <w:rsid w:val="00842812"/>
    <w:rsid w:val="0084406E"/>
    <w:rsid w:val="008634AB"/>
    <w:rsid w:val="00886B2F"/>
    <w:rsid w:val="008D6C20"/>
    <w:rsid w:val="00920763"/>
    <w:rsid w:val="009246AA"/>
    <w:rsid w:val="00932831"/>
    <w:rsid w:val="00954124"/>
    <w:rsid w:val="00975F02"/>
    <w:rsid w:val="00983A8B"/>
    <w:rsid w:val="009B51AA"/>
    <w:rsid w:val="009D09DE"/>
    <w:rsid w:val="009F5760"/>
    <w:rsid w:val="00A007D2"/>
    <w:rsid w:val="00A0421E"/>
    <w:rsid w:val="00A044B5"/>
    <w:rsid w:val="00A133E6"/>
    <w:rsid w:val="00A15E60"/>
    <w:rsid w:val="00A538BA"/>
    <w:rsid w:val="00A62921"/>
    <w:rsid w:val="00A72D32"/>
    <w:rsid w:val="00A84001"/>
    <w:rsid w:val="00A9151F"/>
    <w:rsid w:val="00AA4B39"/>
    <w:rsid w:val="00AB624B"/>
    <w:rsid w:val="00AC0CA7"/>
    <w:rsid w:val="00AD2EBB"/>
    <w:rsid w:val="00AD6D6A"/>
    <w:rsid w:val="00AE1843"/>
    <w:rsid w:val="00B00B45"/>
    <w:rsid w:val="00B15B49"/>
    <w:rsid w:val="00B21B9E"/>
    <w:rsid w:val="00B6162E"/>
    <w:rsid w:val="00B6242C"/>
    <w:rsid w:val="00B77006"/>
    <w:rsid w:val="00B77FF3"/>
    <w:rsid w:val="00BA6EC5"/>
    <w:rsid w:val="00BB6E2A"/>
    <w:rsid w:val="00BD53D1"/>
    <w:rsid w:val="00BE3ACA"/>
    <w:rsid w:val="00BF1356"/>
    <w:rsid w:val="00BF2D27"/>
    <w:rsid w:val="00BF740D"/>
    <w:rsid w:val="00C33EE6"/>
    <w:rsid w:val="00C416A2"/>
    <w:rsid w:val="00C419B2"/>
    <w:rsid w:val="00C847FC"/>
    <w:rsid w:val="00C8727C"/>
    <w:rsid w:val="00C93E06"/>
    <w:rsid w:val="00CD1BEC"/>
    <w:rsid w:val="00CD5B83"/>
    <w:rsid w:val="00D106DD"/>
    <w:rsid w:val="00D12A98"/>
    <w:rsid w:val="00D13004"/>
    <w:rsid w:val="00D22A27"/>
    <w:rsid w:val="00D311D4"/>
    <w:rsid w:val="00D43C5A"/>
    <w:rsid w:val="00D63804"/>
    <w:rsid w:val="00D638FB"/>
    <w:rsid w:val="00D66B74"/>
    <w:rsid w:val="00D805DF"/>
    <w:rsid w:val="00DA0C39"/>
    <w:rsid w:val="00DE20E7"/>
    <w:rsid w:val="00DF698F"/>
    <w:rsid w:val="00E1100F"/>
    <w:rsid w:val="00E15A2D"/>
    <w:rsid w:val="00E211D6"/>
    <w:rsid w:val="00E33D9E"/>
    <w:rsid w:val="00E356D4"/>
    <w:rsid w:val="00E47467"/>
    <w:rsid w:val="00E841A1"/>
    <w:rsid w:val="00EB220E"/>
    <w:rsid w:val="00EB3DB5"/>
    <w:rsid w:val="00EC53FC"/>
    <w:rsid w:val="00ED5BA4"/>
    <w:rsid w:val="00ED5CBA"/>
    <w:rsid w:val="00F01559"/>
    <w:rsid w:val="00F15AD8"/>
    <w:rsid w:val="00F25F5D"/>
    <w:rsid w:val="00F33AFA"/>
    <w:rsid w:val="00F44125"/>
    <w:rsid w:val="00F462BF"/>
    <w:rsid w:val="00F53264"/>
    <w:rsid w:val="00F60AB2"/>
    <w:rsid w:val="00F61AC6"/>
    <w:rsid w:val="00F639DD"/>
    <w:rsid w:val="00F658D3"/>
    <w:rsid w:val="00F77029"/>
    <w:rsid w:val="00F7726D"/>
    <w:rsid w:val="00FA1E99"/>
    <w:rsid w:val="00FA7475"/>
    <w:rsid w:val="00FD1027"/>
    <w:rsid w:val="00FD66CC"/>
    <w:rsid w:val="00FF069B"/>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51AA"/>
    <w:pPr>
      <w:keepNext/>
      <w:spacing w:after="240"/>
      <w:ind w:left="720" w:hanging="72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1A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qFormat/>
    <w:rPr>
      <w:sz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character" w:customStyle="1" w:styleId="UnresolvedMention2">
    <w:name w:val="Unresolved Mention2"/>
    <w:basedOn w:val="DefaultParagraphFont"/>
    <w:uiPriority w:val="99"/>
    <w:rsid w:val="00F61AC6"/>
    <w:rPr>
      <w:color w:val="605E5C"/>
      <w:shd w:val="clear" w:color="auto" w:fill="E1DFDD"/>
    </w:rPr>
  </w:style>
  <w:style w:type="character" w:customStyle="1" w:styleId="UnresolvedMention">
    <w:name w:val="Unresolved Mention"/>
    <w:basedOn w:val="DefaultParagraphFont"/>
    <w:uiPriority w:val="99"/>
    <w:rsid w:val="006805CE"/>
    <w:rPr>
      <w:color w:val="605E5C"/>
      <w:shd w:val="clear" w:color="auto" w:fill="E1DFDD"/>
    </w:rPr>
  </w:style>
  <w:style w:type="paragraph" w:styleId="BodyTextIndent3">
    <w:name w:val="Body Text Indent 3"/>
    <w:basedOn w:val="Normal"/>
    <w:link w:val="BodyTextIndent3Char"/>
    <w:uiPriority w:val="99"/>
    <w:unhideWhenUsed/>
    <w:rsid w:val="00D311D4"/>
    <w:pPr>
      <w:spacing w:after="120"/>
      <w:ind w:left="360"/>
    </w:pPr>
    <w:rPr>
      <w:rFonts w:eastAsiaTheme="minorHAnsi"/>
      <w:bCs/>
      <w:color w:val="000000"/>
      <w:sz w:val="16"/>
      <w:szCs w:val="16"/>
    </w:rPr>
  </w:style>
  <w:style w:type="character" w:customStyle="1" w:styleId="BodyTextIndent3Char">
    <w:name w:val="Body Text Indent 3 Char"/>
    <w:basedOn w:val="DefaultParagraphFont"/>
    <w:link w:val="BodyTextIndent3"/>
    <w:uiPriority w:val="99"/>
    <w:rsid w:val="00D311D4"/>
    <w:rPr>
      <w:rFonts w:ascii="Times New Roman" w:hAnsi="Times New Roman" w:cs="Times New Roman"/>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Rocco.dascenzo@duke-energy.com" TargetMode="External" /><Relationship Id="rId12" Type="http://schemas.openxmlformats.org/officeDocument/2006/relationships/hyperlink" Target="mailto:Jeanne.kingery@duke-energy.com" TargetMode="External" /><Relationship Id="rId13" Type="http://schemas.openxmlformats.org/officeDocument/2006/relationships/hyperlink" Target="mailto:Larisa.vaysman@duke-energy.com" TargetMode="External" /><Relationship Id="rId14" Type="http://schemas.openxmlformats.org/officeDocument/2006/relationships/hyperlink" Target="mailto:elyse.akhbari@duke-energy.com" TargetMode="External" /><Relationship Id="rId15" Type="http://schemas.openxmlformats.org/officeDocument/2006/relationships/hyperlink" Target="mailto:jesse.davis@puco.ohio.gov" TargetMode="External" /><Relationship Id="rId16" Type="http://schemas.openxmlformats.org/officeDocument/2006/relationships/hyperlink" Target="mailto:michael.williams@puco.ohio.gov" TargetMode="External" /><Relationship Id="rId17" Type="http://schemas.openxmlformats.org/officeDocument/2006/relationships/hyperlink" Target="mailto:rdove@keglerbrown.com" TargetMode="External" /><Relationship Id="rId18" Type="http://schemas.openxmlformats.org/officeDocument/2006/relationships/hyperlink" Target="mailto:stnourse@aep.com" TargetMode="External" /><Relationship Id="rId19" Type="http://schemas.openxmlformats.org/officeDocument/2006/relationships/hyperlink" Target="mailto:trent@hubaydougherty.com" TargetMode="External" /><Relationship Id="rId2" Type="http://schemas.openxmlformats.org/officeDocument/2006/relationships/settings" Target="settings.xml" /><Relationship Id="rId20" Type="http://schemas.openxmlformats.org/officeDocument/2006/relationships/hyperlink" Target="mailto:talexander@beneschlaw.com" TargetMode="External" /><Relationship Id="rId21" Type="http://schemas.openxmlformats.org/officeDocument/2006/relationships/hyperlink" Target="mailto:Bojko@carpenterlipps.com" TargetMode="External" /><Relationship Id="rId22" Type="http://schemas.openxmlformats.org/officeDocument/2006/relationships/hyperlink" Target="mailto:Paul@carpenterlipps.com" TargetMode="External" /><Relationship Id="rId23" Type="http://schemas.openxmlformats.org/officeDocument/2006/relationships/hyperlink" Target="mailto:randall.griffin@aes.com" TargetMode="External" /><Relationship Id="rId24" Type="http://schemas.openxmlformats.org/officeDocument/2006/relationships/hyperlink" Target="mailto:ctavenor@theoec.org" TargetMode="External" /><Relationship Id="rId25" Type="http://schemas.openxmlformats.org/officeDocument/2006/relationships/footer" Target="footer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John.jones@ohioattorneygeneral.gov" TargetMode="External" /><Relationship Id="rId9" Type="http://schemas.openxmlformats.org/officeDocument/2006/relationships/hyperlink" Target="mailto:sarah.feldkamp@ohioAG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casetext.com/case/kowalski-v-tesmer-2" TargetMode="External" /><Relationship Id="rId2" Type="http://schemas.openxmlformats.org/officeDocument/2006/relationships/hyperlink" Target="https://casetext.com/case/city-of-liverpool-v-columbiana-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D1FD-47DB-4853-BB6D-B8C78D56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2022-12-06T17:19:31Z</dcterms:created>
  <dcterms:modified xsi:type="dcterms:W3CDTF">2022-12-06T17:19:31Z</dcterms:modified>
</cp:coreProperties>
</file>