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0C76D2" w:rsidRPr="00393B47" w:rsidP="000C76D2" w14:paraId="71CC3573" w14:textId="77777777">
      <w:pPr>
        <w:pStyle w:val="HTMLPreformatted"/>
        <w:jc w:val="center"/>
        <w:rPr>
          <w:rFonts w:ascii="Times New Roman" w:hAnsi="Times New Roman" w:cs="Times New Roman"/>
          <w:b/>
          <w:bCs/>
          <w:sz w:val="24"/>
          <w:szCs w:val="24"/>
        </w:rPr>
      </w:pPr>
      <w:r w:rsidRPr="00393B47">
        <w:rPr>
          <w:rFonts w:ascii="Times New Roman" w:hAnsi="Times New Roman" w:cs="Times New Roman"/>
          <w:b/>
          <w:bCs/>
          <w:sz w:val="24"/>
          <w:szCs w:val="24"/>
        </w:rPr>
        <w:t>BEFORE</w:t>
      </w:r>
    </w:p>
    <w:p w:rsidR="000C76D2" w:rsidRPr="00393B47" w:rsidP="000C76D2" w14:paraId="422B81A0" w14:textId="77777777">
      <w:pPr>
        <w:pStyle w:val="HTMLPreformatted"/>
        <w:jc w:val="center"/>
        <w:rPr>
          <w:rFonts w:ascii="Times New Roman" w:hAnsi="Times New Roman" w:cs="Times New Roman"/>
          <w:sz w:val="24"/>
          <w:szCs w:val="24"/>
        </w:rPr>
      </w:pPr>
      <w:r w:rsidRPr="00393B47">
        <w:rPr>
          <w:rFonts w:ascii="Times New Roman" w:hAnsi="Times New Roman" w:cs="Times New Roman"/>
          <w:b/>
          <w:bCs/>
          <w:sz w:val="24"/>
          <w:szCs w:val="24"/>
        </w:rPr>
        <w:t>THE PUBLIC UTILITIES COMMISSION OF OHIO</w:t>
      </w:r>
    </w:p>
    <w:p w:rsidR="000C76D2" w:rsidRPr="00393B47" w:rsidP="000C76D2" w14:paraId="1A18B2EA" w14:textId="77777777">
      <w:pPr>
        <w:pStyle w:val="HTMLPreformatted"/>
        <w:rPr>
          <w:rFonts w:ascii="Times New Roman" w:hAnsi="Times New Roman" w:cs="Times New Roman"/>
          <w:sz w:val="24"/>
          <w:szCs w:val="24"/>
        </w:rPr>
      </w:pPr>
    </w:p>
    <w:tbl>
      <w:tblPr>
        <w:tblW w:w="9092" w:type="dxa"/>
        <w:tblLook w:val="01E0"/>
      </w:tblPr>
      <w:tblGrid>
        <w:gridCol w:w="4332"/>
        <w:gridCol w:w="360"/>
        <w:gridCol w:w="4400"/>
      </w:tblGrid>
      <w:tr w14:paraId="0AD88B94" w14:textId="77777777" w:rsidTr="000D05DC">
        <w:tblPrEx>
          <w:tblW w:w="9092" w:type="dxa"/>
          <w:tblLook w:val="01E0"/>
        </w:tblPrEx>
        <w:trPr>
          <w:trHeight w:val="807"/>
        </w:trPr>
        <w:tc>
          <w:tcPr>
            <w:tcW w:w="4332" w:type="dxa"/>
            <w:shd w:val="clear" w:color="auto" w:fill="auto"/>
          </w:tcPr>
          <w:p w:rsidR="000C76D2" w:rsidRPr="00393B47" w:rsidP="000D05DC" w14:paraId="683ECDB2" w14:textId="2DB5F16E">
            <w:pPr>
              <w:pStyle w:val="HTMLPreformatted"/>
              <w:rPr>
                <w:rFonts w:ascii="Times New Roman" w:hAnsi="Times New Roman" w:cs="Times New Roman"/>
                <w:sz w:val="24"/>
                <w:szCs w:val="24"/>
              </w:rPr>
            </w:pPr>
            <w:r w:rsidRPr="00393B47">
              <w:rPr>
                <w:rFonts w:ascii="Times New Roman" w:hAnsi="Times New Roman" w:cs="Times New Roman"/>
                <w:sz w:val="24"/>
                <w:szCs w:val="24"/>
              </w:rPr>
              <w:t xml:space="preserve">In the Matter of the Application of Ohio Edison Company, the Cleveland Electric Illuminating Company, and the Toledo Edison Company </w:t>
            </w:r>
            <w:r w:rsidRPr="00393B47" w:rsidR="00911A81">
              <w:rPr>
                <w:rFonts w:ascii="Times New Roman" w:hAnsi="Times New Roman" w:cs="Times New Roman"/>
                <w:sz w:val="24"/>
                <w:szCs w:val="24"/>
              </w:rPr>
              <w:t>for Approval of Their Energy Efficiency and Peak Demand Reduction Program Portfolio Plans for 2017 through 2019.</w:t>
            </w:r>
          </w:p>
        </w:tc>
        <w:tc>
          <w:tcPr>
            <w:tcW w:w="360" w:type="dxa"/>
            <w:shd w:val="clear" w:color="auto" w:fill="auto"/>
          </w:tcPr>
          <w:p w:rsidR="000C76D2" w:rsidRPr="00393B47" w:rsidP="000D05DC" w14:paraId="4C6608F2" w14:textId="77777777">
            <w:pPr>
              <w:pStyle w:val="HTMLPreformatted"/>
              <w:rPr>
                <w:rFonts w:ascii="Times New Roman" w:hAnsi="Times New Roman" w:cs="Times New Roman"/>
                <w:sz w:val="24"/>
                <w:szCs w:val="24"/>
              </w:rPr>
            </w:pPr>
            <w:r w:rsidRPr="00393B47">
              <w:rPr>
                <w:rFonts w:ascii="Times New Roman" w:hAnsi="Times New Roman" w:cs="Times New Roman"/>
                <w:sz w:val="24"/>
                <w:szCs w:val="24"/>
              </w:rPr>
              <w:t>)</w:t>
            </w:r>
          </w:p>
          <w:p w:rsidR="000C76D2" w:rsidRPr="00393B47" w:rsidP="000D05DC" w14:paraId="0171F93F" w14:textId="77777777">
            <w:pPr>
              <w:pStyle w:val="HTMLPreformatted"/>
              <w:rPr>
                <w:rFonts w:ascii="Times New Roman" w:hAnsi="Times New Roman" w:cs="Times New Roman"/>
                <w:sz w:val="24"/>
                <w:szCs w:val="24"/>
              </w:rPr>
            </w:pPr>
            <w:r w:rsidRPr="00393B47">
              <w:rPr>
                <w:rFonts w:ascii="Times New Roman" w:hAnsi="Times New Roman" w:cs="Times New Roman"/>
                <w:sz w:val="24"/>
                <w:szCs w:val="24"/>
              </w:rPr>
              <w:t>)</w:t>
            </w:r>
          </w:p>
          <w:p w:rsidR="000C76D2" w:rsidRPr="00393B47" w:rsidP="000D05DC" w14:paraId="0C738463" w14:textId="77777777">
            <w:pPr>
              <w:pStyle w:val="HTMLPreformatted"/>
              <w:rPr>
                <w:rFonts w:ascii="Times New Roman" w:hAnsi="Times New Roman" w:cs="Times New Roman"/>
                <w:sz w:val="24"/>
                <w:szCs w:val="24"/>
              </w:rPr>
            </w:pPr>
            <w:r w:rsidRPr="00393B47">
              <w:rPr>
                <w:rFonts w:ascii="Times New Roman" w:hAnsi="Times New Roman" w:cs="Times New Roman"/>
                <w:sz w:val="24"/>
                <w:szCs w:val="24"/>
              </w:rPr>
              <w:t>)</w:t>
            </w:r>
          </w:p>
          <w:p w:rsidR="000C76D2" w:rsidRPr="00393B47" w:rsidP="000D05DC" w14:paraId="46AA7AAB" w14:textId="77777777">
            <w:pPr>
              <w:pStyle w:val="HTMLPreformatted"/>
              <w:rPr>
                <w:rFonts w:ascii="Times New Roman" w:hAnsi="Times New Roman" w:cs="Times New Roman"/>
                <w:sz w:val="24"/>
                <w:szCs w:val="24"/>
              </w:rPr>
            </w:pPr>
            <w:r w:rsidRPr="00393B47">
              <w:rPr>
                <w:rFonts w:ascii="Times New Roman" w:hAnsi="Times New Roman" w:cs="Times New Roman"/>
                <w:sz w:val="24"/>
                <w:szCs w:val="24"/>
              </w:rPr>
              <w:t>)</w:t>
            </w:r>
          </w:p>
          <w:p w:rsidR="000C76D2" w:rsidRPr="00393B47" w:rsidP="000D05DC" w14:paraId="1530DA03" w14:textId="37FBE067">
            <w:pPr>
              <w:pStyle w:val="HTMLPreformatted"/>
              <w:rPr>
                <w:rFonts w:ascii="Times New Roman" w:hAnsi="Times New Roman" w:cs="Times New Roman"/>
                <w:sz w:val="24"/>
                <w:szCs w:val="24"/>
              </w:rPr>
            </w:pPr>
            <w:r w:rsidRPr="00393B47">
              <w:rPr>
                <w:rFonts w:ascii="Times New Roman" w:hAnsi="Times New Roman" w:cs="Times New Roman"/>
                <w:sz w:val="24"/>
                <w:szCs w:val="24"/>
              </w:rPr>
              <w:t>)</w:t>
            </w:r>
          </w:p>
          <w:p w:rsidR="00911A81" w:rsidRPr="00393B47" w:rsidP="000D05DC" w14:paraId="54DCA848" w14:textId="58B5CB1D">
            <w:pPr>
              <w:pStyle w:val="HTMLPreformatted"/>
              <w:rPr>
                <w:rFonts w:ascii="Times New Roman" w:hAnsi="Times New Roman" w:cs="Times New Roman"/>
                <w:sz w:val="24"/>
                <w:szCs w:val="24"/>
              </w:rPr>
            </w:pPr>
            <w:r w:rsidRPr="00393B47">
              <w:rPr>
                <w:rFonts w:ascii="Times New Roman" w:hAnsi="Times New Roman" w:cs="Times New Roman"/>
                <w:sz w:val="24"/>
                <w:szCs w:val="24"/>
              </w:rPr>
              <w:t>)</w:t>
            </w:r>
          </w:p>
          <w:p w:rsidR="000C76D2" w:rsidRPr="00393B47" w:rsidP="00911A81" w14:paraId="2C02B1AF" w14:textId="360F4F52">
            <w:pPr>
              <w:pStyle w:val="HTMLPreformatted"/>
              <w:rPr>
                <w:rFonts w:ascii="Times New Roman" w:hAnsi="Times New Roman" w:cs="Times New Roman"/>
                <w:sz w:val="24"/>
                <w:szCs w:val="24"/>
              </w:rPr>
            </w:pPr>
            <w:r w:rsidRPr="00393B47">
              <w:rPr>
                <w:rFonts w:ascii="Times New Roman" w:hAnsi="Times New Roman" w:cs="Times New Roman"/>
                <w:sz w:val="24"/>
                <w:szCs w:val="24"/>
              </w:rPr>
              <w:t>)</w:t>
            </w:r>
          </w:p>
        </w:tc>
        <w:tc>
          <w:tcPr>
            <w:tcW w:w="4400" w:type="dxa"/>
            <w:shd w:val="clear" w:color="auto" w:fill="auto"/>
          </w:tcPr>
          <w:p w:rsidR="000C76D2" w:rsidRPr="00393B47" w:rsidP="000D05DC" w14:paraId="7E6759D1" w14:textId="77777777">
            <w:pPr>
              <w:pStyle w:val="HTMLPreformatted"/>
              <w:rPr>
                <w:rFonts w:ascii="Times New Roman" w:hAnsi="Times New Roman" w:cs="Times New Roman"/>
                <w:sz w:val="24"/>
                <w:szCs w:val="24"/>
              </w:rPr>
            </w:pPr>
          </w:p>
          <w:p w:rsidR="000C76D2" w:rsidRPr="00393B47" w:rsidP="000D05DC" w14:paraId="5DED9F8F" w14:textId="77777777">
            <w:pPr>
              <w:pStyle w:val="HTMLPreformatted"/>
              <w:rPr>
                <w:rFonts w:ascii="Times New Roman" w:hAnsi="Times New Roman" w:cs="Times New Roman"/>
                <w:sz w:val="24"/>
                <w:szCs w:val="24"/>
              </w:rPr>
            </w:pPr>
          </w:p>
          <w:p w:rsidR="00911A81" w:rsidRPr="00393B47" w:rsidP="000D05DC" w14:paraId="79D7A4CD" w14:textId="77777777">
            <w:pPr>
              <w:pStyle w:val="HTMLPreformatted"/>
              <w:rPr>
                <w:rFonts w:ascii="Times New Roman" w:hAnsi="Times New Roman" w:cs="Times New Roman"/>
                <w:sz w:val="24"/>
                <w:szCs w:val="24"/>
              </w:rPr>
            </w:pPr>
          </w:p>
          <w:p w:rsidR="000C76D2" w:rsidRPr="00393B47" w:rsidP="000D05DC" w14:paraId="000F1BE0" w14:textId="038E0161">
            <w:pPr>
              <w:pStyle w:val="HTMLPreformatted"/>
              <w:rPr>
                <w:rFonts w:ascii="Times New Roman" w:hAnsi="Times New Roman" w:cs="Times New Roman"/>
                <w:sz w:val="24"/>
                <w:szCs w:val="24"/>
              </w:rPr>
            </w:pPr>
            <w:r w:rsidRPr="00393B47">
              <w:rPr>
                <w:rFonts w:ascii="Times New Roman" w:hAnsi="Times New Roman" w:cs="Times New Roman"/>
                <w:sz w:val="24"/>
                <w:szCs w:val="24"/>
              </w:rPr>
              <w:t xml:space="preserve">Case No. </w:t>
            </w:r>
            <w:r w:rsidRPr="00393B47" w:rsidR="00911A81">
              <w:rPr>
                <w:rFonts w:ascii="Times New Roman" w:hAnsi="Times New Roman" w:cs="Times New Roman"/>
                <w:sz w:val="24"/>
                <w:szCs w:val="24"/>
              </w:rPr>
              <w:t>16-743-EL-POR</w:t>
            </w:r>
          </w:p>
          <w:p w:rsidR="000C76D2" w:rsidRPr="00393B47" w:rsidP="000D05DC" w14:paraId="5EAD1B91" w14:textId="77777777">
            <w:pPr>
              <w:pStyle w:val="HTMLPreformatted"/>
              <w:rPr>
                <w:rFonts w:ascii="Times New Roman" w:hAnsi="Times New Roman" w:cs="Times New Roman"/>
                <w:sz w:val="24"/>
                <w:szCs w:val="24"/>
              </w:rPr>
            </w:pPr>
          </w:p>
          <w:p w:rsidR="000C76D2" w:rsidRPr="00393B47" w:rsidP="000D05DC" w14:paraId="3207768D" w14:textId="77777777">
            <w:pPr>
              <w:pStyle w:val="HTMLPreformatted"/>
              <w:rPr>
                <w:rFonts w:ascii="Times New Roman" w:hAnsi="Times New Roman" w:cs="Times New Roman"/>
                <w:sz w:val="24"/>
                <w:szCs w:val="24"/>
              </w:rPr>
            </w:pPr>
          </w:p>
          <w:p w:rsidR="000C76D2" w:rsidRPr="00393B47" w:rsidP="000D05DC" w14:paraId="0A48184A" w14:textId="77777777">
            <w:pPr>
              <w:pStyle w:val="HTMLPreformatted"/>
              <w:rPr>
                <w:rFonts w:ascii="Times New Roman" w:hAnsi="Times New Roman" w:cs="Times New Roman"/>
                <w:sz w:val="24"/>
                <w:szCs w:val="24"/>
              </w:rPr>
            </w:pPr>
          </w:p>
        </w:tc>
      </w:tr>
    </w:tbl>
    <w:p w:rsidR="000C76D2" w:rsidRPr="00393B47" w:rsidP="000C76D2" w14:paraId="306F6530" w14:textId="77777777">
      <w:pPr>
        <w:pStyle w:val="HTMLPreformatted"/>
        <w:rPr>
          <w:rFonts w:ascii="Times New Roman" w:hAnsi="Times New Roman" w:cs="Times New Roman"/>
          <w:sz w:val="24"/>
          <w:szCs w:val="24"/>
        </w:rPr>
      </w:pPr>
    </w:p>
    <w:p w:rsidR="000C76D2" w:rsidRPr="00393B47" w:rsidP="000C76D2" w14:paraId="3C89B3A9" w14:textId="77777777">
      <w:pPr>
        <w:pStyle w:val="HTMLPreformatted"/>
        <w:pBdr>
          <w:top w:val="single" w:sz="12" w:space="1" w:color="auto"/>
        </w:pBdr>
        <w:rPr>
          <w:rFonts w:ascii="Times New Roman" w:hAnsi="Times New Roman" w:cs="Times New Roman"/>
          <w:sz w:val="24"/>
          <w:szCs w:val="24"/>
        </w:rPr>
      </w:pPr>
    </w:p>
    <w:p w:rsidR="000C76D2" w:rsidRPr="00393B47" w:rsidP="000C76D2" w14:paraId="15A45818" w14:textId="79F43AE1">
      <w:pPr>
        <w:jc w:val="center"/>
        <w:rPr>
          <w:rFonts w:cs="Times New Roman"/>
          <w:b/>
          <w:szCs w:val="24"/>
        </w:rPr>
      </w:pPr>
      <w:r w:rsidRPr="00393B47">
        <w:rPr>
          <w:rFonts w:cs="Times New Roman"/>
          <w:b/>
          <w:szCs w:val="24"/>
        </w:rPr>
        <w:t>APPLICATION FOR REHEARING</w:t>
      </w:r>
    </w:p>
    <w:p w:rsidR="000C76D2" w:rsidRPr="00393B47" w:rsidP="000C76D2" w14:paraId="5CD447DD" w14:textId="77777777">
      <w:pPr>
        <w:jc w:val="center"/>
        <w:rPr>
          <w:rFonts w:cs="Times New Roman"/>
          <w:b/>
          <w:szCs w:val="24"/>
        </w:rPr>
      </w:pPr>
      <w:r w:rsidRPr="00393B47">
        <w:rPr>
          <w:rFonts w:cs="Times New Roman"/>
          <w:b/>
          <w:szCs w:val="24"/>
        </w:rPr>
        <w:t>BY</w:t>
      </w:r>
    </w:p>
    <w:p w:rsidR="000C76D2" w:rsidRPr="00393B47" w:rsidP="000C76D2" w14:paraId="273259AC" w14:textId="56D5DD7F">
      <w:pPr>
        <w:jc w:val="center"/>
        <w:rPr>
          <w:rFonts w:cs="Times New Roman"/>
          <w:b/>
          <w:bCs/>
          <w:szCs w:val="24"/>
        </w:rPr>
      </w:pPr>
      <w:r w:rsidRPr="00393B47">
        <w:rPr>
          <w:rFonts w:cs="Times New Roman"/>
          <w:b/>
          <w:szCs w:val="24"/>
        </w:rPr>
        <w:t>OFFICE OF THE OHIO CONSUMERS’ COUNSEL</w:t>
      </w:r>
    </w:p>
    <w:p w:rsidR="000C76D2" w:rsidRPr="00393B47" w:rsidP="000C76D2" w14:paraId="51A6D63A" w14:textId="77777777">
      <w:pPr>
        <w:pBdr>
          <w:bottom w:val="single" w:sz="12" w:space="1" w:color="auto"/>
        </w:pBdr>
        <w:tabs>
          <w:tab w:val="left" w:pos="4320"/>
        </w:tabs>
        <w:rPr>
          <w:rFonts w:cs="Times New Roman"/>
          <w:szCs w:val="24"/>
        </w:rPr>
      </w:pPr>
    </w:p>
    <w:p w:rsidR="000C76D2" w:rsidRPr="00393B47" w:rsidP="000C76D2" w14:paraId="08755880" w14:textId="77777777">
      <w:pPr>
        <w:tabs>
          <w:tab w:val="left" w:pos="4320"/>
        </w:tabs>
        <w:rPr>
          <w:rFonts w:cs="Times New Roman"/>
          <w:szCs w:val="24"/>
        </w:rPr>
      </w:pPr>
    </w:p>
    <w:p w:rsidR="00984E50" w:rsidRPr="00393B47" w:rsidP="008E7BC5" w14:paraId="4094BA66" w14:textId="17C88A83">
      <w:pPr>
        <w:spacing w:line="480" w:lineRule="auto"/>
        <w:ind w:firstLine="720"/>
        <w:rPr>
          <w:rFonts w:cs="Times New Roman"/>
          <w:szCs w:val="24"/>
        </w:rPr>
      </w:pPr>
      <w:r w:rsidRPr="00393B47">
        <w:rPr>
          <w:rFonts w:cs="Times New Roman"/>
          <w:szCs w:val="24"/>
        </w:rPr>
        <w:t>The Public Utilities Commission of Ohio (“PUCO”) should</w:t>
      </w:r>
      <w:r w:rsidRPr="00393B47" w:rsidR="00911A81">
        <w:rPr>
          <w:rFonts w:cs="Times New Roman"/>
          <w:szCs w:val="24"/>
        </w:rPr>
        <w:t xml:space="preserve"> </w:t>
      </w:r>
      <w:r w:rsidRPr="00393B47" w:rsidR="00C11259">
        <w:rPr>
          <w:rFonts w:cs="Times New Roman"/>
          <w:szCs w:val="24"/>
        </w:rPr>
        <w:t>modify</w:t>
      </w:r>
      <w:r w:rsidRPr="00393B47" w:rsidR="00911A81">
        <w:rPr>
          <w:rFonts w:cs="Times New Roman"/>
          <w:szCs w:val="24"/>
        </w:rPr>
        <w:t xml:space="preserve"> its December 30, 2020 Entry </w:t>
      </w:r>
      <w:r w:rsidRPr="00393B47" w:rsidR="00C11259">
        <w:rPr>
          <w:rFonts w:cs="Times New Roman"/>
          <w:szCs w:val="24"/>
        </w:rPr>
        <w:t>to eliminate charges to customers for FirstEnergy’s “Economic Load Response” program. These charges are</w:t>
      </w:r>
      <w:r w:rsidRPr="00393B47" w:rsidR="00911A81">
        <w:rPr>
          <w:rFonts w:cs="Times New Roman"/>
          <w:szCs w:val="24"/>
        </w:rPr>
        <w:t xml:space="preserve"> unlawful</w:t>
      </w:r>
      <w:r w:rsidRPr="00393B47" w:rsidR="00061D4B">
        <w:rPr>
          <w:rFonts w:cs="Times New Roman"/>
          <w:szCs w:val="24"/>
        </w:rPr>
        <w:t>, per</w:t>
      </w:r>
      <w:r w:rsidRPr="00393B47" w:rsidR="003E3BC5">
        <w:rPr>
          <w:rFonts w:cs="Times New Roman"/>
          <w:szCs w:val="24"/>
        </w:rPr>
        <w:t xml:space="preserve"> part of the alleged benefit of</w:t>
      </w:r>
      <w:r w:rsidRPr="00393B47" w:rsidR="00061D4B">
        <w:rPr>
          <w:rFonts w:cs="Times New Roman"/>
          <w:szCs w:val="24"/>
        </w:rPr>
        <w:t xml:space="preserve"> tainted House Bill 6</w:t>
      </w:r>
      <w:r w:rsidRPr="00393B47" w:rsidR="00911A81">
        <w:rPr>
          <w:rFonts w:cs="Times New Roman"/>
          <w:szCs w:val="24"/>
        </w:rPr>
        <w:t>.</w:t>
      </w:r>
    </w:p>
    <w:p w:rsidR="00984E50" w:rsidRPr="00393B47" w:rsidP="008E7BC5" w14:paraId="6843D59B" w14:textId="77777777">
      <w:pPr>
        <w:spacing w:line="480" w:lineRule="auto"/>
        <w:ind w:firstLine="720"/>
        <w:rPr>
          <w:rFonts w:cs="Times New Roman"/>
          <w:szCs w:val="24"/>
        </w:rPr>
      </w:pPr>
      <w:r w:rsidRPr="00393B47">
        <w:rPr>
          <w:rFonts w:cs="Times New Roman"/>
          <w:szCs w:val="24"/>
        </w:rPr>
        <w:t xml:space="preserve"> Under House Bill 6, there are no longer energy efficiency or peak demand reduction mandates in Ohio. The law, codified in R.C. 4928.66(G)(3), requires the PUCO to terminate all utility energy efficiency charges that were previously used to meet those mandates. </w:t>
      </w:r>
    </w:p>
    <w:p w:rsidR="00C2332A" w:rsidRPr="00393B47" w:rsidP="008E7BC5" w14:paraId="1545665F" w14:textId="01FBC9CF">
      <w:pPr>
        <w:spacing w:line="480" w:lineRule="auto"/>
        <w:ind w:firstLine="720"/>
        <w:rPr>
          <w:rFonts w:cs="Times New Roman"/>
          <w:szCs w:val="24"/>
        </w:rPr>
        <w:sectPr w:rsidSect="00BD1B34">
          <w:footerReference w:type="default" r:id="rId6"/>
          <w:pgSz w:w="12240" w:h="15840"/>
          <w:pgMar w:top="1440" w:right="1440" w:bottom="1440" w:left="1440" w:header="720" w:footer="720" w:gutter="0"/>
          <w:cols w:space="720"/>
          <w:docGrid w:linePitch="360"/>
        </w:sectPr>
      </w:pPr>
      <w:r w:rsidRPr="00393B47">
        <w:rPr>
          <w:rFonts w:cs="Times New Roman"/>
          <w:szCs w:val="24"/>
        </w:rPr>
        <w:t xml:space="preserve">The Entry violates this law by allowing FirstEnergy to continue charging customers for its Economic Load Response </w:t>
      </w:r>
      <w:r w:rsidRPr="00393B47" w:rsidR="00AA36D8">
        <w:rPr>
          <w:rFonts w:cs="Times New Roman"/>
          <w:szCs w:val="24"/>
        </w:rPr>
        <w:t>p</w:t>
      </w:r>
      <w:r w:rsidRPr="00393B47">
        <w:rPr>
          <w:rFonts w:cs="Times New Roman"/>
          <w:szCs w:val="24"/>
        </w:rPr>
        <w:t>rogram</w:t>
      </w:r>
      <w:r w:rsidRPr="00393B47" w:rsidR="00984E50">
        <w:rPr>
          <w:rFonts w:cs="Times New Roman"/>
          <w:szCs w:val="24"/>
        </w:rPr>
        <w:t xml:space="preserve">. The </w:t>
      </w:r>
      <w:r w:rsidRPr="00393B47">
        <w:rPr>
          <w:rFonts w:cs="Times New Roman"/>
          <w:szCs w:val="24"/>
        </w:rPr>
        <w:t xml:space="preserve">Economic Load Response Program </w:t>
      </w:r>
      <w:r w:rsidRPr="00393B47" w:rsidR="00C11259">
        <w:rPr>
          <w:rFonts w:cs="Times New Roman"/>
          <w:szCs w:val="24"/>
        </w:rPr>
        <w:t>was approved</w:t>
      </w:r>
      <w:r w:rsidRPr="00393B47" w:rsidR="00AA2789">
        <w:rPr>
          <w:rFonts w:cs="Times New Roman"/>
          <w:szCs w:val="24"/>
        </w:rPr>
        <w:t xml:space="preserve"> and used by FirstEnergy</w:t>
      </w:r>
      <w:r w:rsidRPr="00393B47" w:rsidR="00C11259">
        <w:rPr>
          <w:rFonts w:cs="Times New Roman"/>
          <w:szCs w:val="24"/>
        </w:rPr>
        <w:t xml:space="preserve"> </w:t>
      </w:r>
      <w:r w:rsidRPr="00393B47">
        <w:rPr>
          <w:rFonts w:cs="Times New Roman"/>
          <w:szCs w:val="24"/>
        </w:rPr>
        <w:t xml:space="preserve">to meet the </w:t>
      </w:r>
      <w:r w:rsidRPr="00393B47" w:rsidR="008C3CFF">
        <w:rPr>
          <w:rFonts w:cs="Times New Roman"/>
          <w:szCs w:val="24"/>
        </w:rPr>
        <w:t xml:space="preserve">former </w:t>
      </w:r>
      <w:r w:rsidRPr="00393B47">
        <w:rPr>
          <w:rFonts w:cs="Times New Roman"/>
          <w:szCs w:val="24"/>
        </w:rPr>
        <w:t xml:space="preserve">mandates. The PUCO lacks authority to allow FirstEnergy to keep charging customers for this program. Thus, the Entry should be </w:t>
      </w:r>
      <w:r w:rsidRPr="00393B47" w:rsidR="00C11259">
        <w:rPr>
          <w:rFonts w:cs="Times New Roman"/>
          <w:szCs w:val="24"/>
        </w:rPr>
        <w:t>modified</w:t>
      </w:r>
      <w:r w:rsidRPr="00393B47">
        <w:rPr>
          <w:rFonts w:cs="Times New Roman"/>
          <w:szCs w:val="24"/>
        </w:rPr>
        <w:t xml:space="preserve"> and charges to customers for the Economic Load Response </w:t>
      </w:r>
      <w:r w:rsidRPr="00393B47" w:rsidR="00C11259">
        <w:rPr>
          <w:rFonts w:cs="Times New Roman"/>
          <w:szCs w:val="24"/>
        </w:rPr>
        <w:t>p</w:t>
      </w:r>
      <w:r w:rsidRPr="00393B47">
        <w:rPr>
          <w:rFonts w:cs="Times New Roman"/>
          <w:szCs w:val="24"/>
        </w:rPr>
        <w:t>rogram should be terminated immediately.</w:t>
      </w:r>
    </w:p>
    <w:p w:rsidR="00911A81" w:rsidRPr="00393B47" w:rsidP="00911A81" w14:paraId="505386A7" w14:textId="6CF6ECC3">
      <w:pPr>
        <w:spacing w:after="240"/>
        <w:rPr>
          <w:rFonts w:cs="Times New Roman"/>
          <w:szCs w:val="24"/>
        </w:rPr>
      </w:pPr>
      <w:r w:rsidRPr="00393B47">
        <w:rPr>
          <w:rFonts w:cs="Times New Roman"/>
          <w:szCs w:val="24"/>
        </w:rPr>
        <w:t>Assignment of Error</w:t>
      </w:r>
      <w:r w:rsidRPr="00393B47" w:rsidR="00460129">
        <w:rPr>
          <w:rFonts w:cs="Times New Roman"/>
          <w:szCs w:val="24"/>
        </w:rPr>
        <w:t xml:space="preserve"> 1</w:t>
      </w:r>
      <w:r w:rsidRPr="00393B47">
        <w:rPr>
          <w:rFonts w:cs="Times New Roman"/>
          <w:szCs w:val="24"/>
        </w:rPr>
        <w:t xml:space="preserve">: </w:t>
      </w:r>
      <w:r w:rsidRPr="00393B47" w:rsidR="004D5909">
        <w:rPr>
          <w:rFonts w:cs="Times New Roman"/>
          <w:szCs w:val="24"/>
        </w:rPr>
        <w:t>The Entry is unlawful under R.C. 4928.66(G)(3) – from tainted House Bill 6 – because it allows FirstEnergy to keep charging customers for a peak demand response program. R.C. 4928.66(G)(3) prohibits any such charges to consumers now that the law contains no peak demand reduction mandates.</w:t>
      </w:r>
    </w:p>
    <w:p w:rsidR="00460129" w:rsidRPr="00393B47" w:rsidP="00911A81" w14:paraId="0A3E9761" w14:textId="7896276C">
      <w:pPr>
        <w:spacing w:after="240"/>
        <w:rPr>
          <w:rFonts w:cs="Times New Roman"/>
          <w:szCs w:val="24"/>
        </w:rPr>
      </w:pPr>
      <w:r w:rsidRPr="00393B47">
        <w:rPr>
          <w:rFonts w:cs="Times New Roman"/>
          <w:szCs w:val="24"/>
        </w:rPr>
        <w:t xml:space="preserve">Assignment of Error 2: </w:t>
      </w:r>
      <w:r w:rsidRPr="00393B47" w:rsidR="004D5909">
        <w:rPr>
          <w:rFonts w:cs="Times New Roman"/>
          <w:szCs w:val="24"/>
        </w:rPr>
        <w:t>The Entry is unlawful under R.C. 4903.09 because it provides no explanation of the PUCO’s reasoning for allowing FirstEnergy to continue charging customers for a peak demand response despite the prohibition under R.C. 4928.66(G)(3) – from tainted House Bill 6.</w:t>
      </w:r>
    </w:p>
    <w:p w:rsidR="00911A81" w:rsidRPr="00393B47" w:rsidP="008E7BC5" w14:paraId="5EAD9E06" w14:textId="77777777">
      <w:pPr>
        <w:spacing w:line="480" w:lineRule="auto"/>
        <w:ind w:firstLine="720"/>
        <w:rPr>
          <w:rFonts w:cs="Times New Roman"/>
          <w:szCs w:val="24"/>
        </w:rPr>
      </w:pPr>
    </w:p>
    <w:p w:rsidR="000C76D2" w:rsidRPr="00393B47" w:rsidP="00D5102C" w14:paraId="1BB4DF16" w14:textId="56C3E6F3">
      <w:pPr>
        <w:ind w:firstLine="720"/>
        <w:rPr>
          <w:rFonts w:cs="Times New Roman"/>
          <w:szCs w:val="24"/>
        </w:rPr>
      </w:pPr>
      <w:r w:rsidRPr="00393B47">
        <w:rPr>
          <w:rFonts w:cs="Times New Roman"/>
          <w:szCs w:val="24"/>
        </w:rPr>
        <w:t xml:space="preserve"> </w:t>
      </w:r>
      <w:r w:rsidRPr="00393B47" w:rsidR="00D5102C">
        <w:rPr>
          <w:rFonts w:cs="Times New Roman"/>
          <w:szCs w:val="24"/>
        </w:rPr>
        <w:tab/>
      </w:r>
      <w:r w:rsidRPr="00393B47" w:rsidR="00D5102C">
        <w:rPr>
          <w:rFonts w:cs="Times New Roman"/>
          <w:szCs w:val="24"/>
        </w:rPr>
        <w:tab/>
      </w:r>
      <w:r w:rsidRPr="00393B47" w:rsidR="00D5102C">
        <w:rPr>
          <w:rFonts w:cs="Times New Roman"/>
          <w:szCs w:val="24"/>
        </w:rPr>
        <w:tab/>
      </w:r>
      <w:r w:rsidRPr="00393B47" w:rsidR="00D5102C">
        <w:rPr>
          <w:rFonts w:cs="Times New Roman"/>
          <w:szCs w:val="24"/>
        </w:rPr>
        <w:tab/>
      </w:r>
      <w:r w:rsidRPr="00393B47" w:rsidR="00D5102C">
        <w:rPr>
          <w:rFonts w:cs="Times New Roman"/>
          <w:szCs w:val="24"/>
        </w:rPr>
        <w:tab/>
      </w:r>
      <w:r w:rsidRPr="00393B47">
        <w:rPr>
          <w:rFonts w:cs="Times New Roman"/>
          <w:szCs w:val="24"/>
        </w:rPr>
        <w:t>Respectfully submitted,</w:t>
      </w:r>
    </w:p>
    <w:p w:rsidR="00D5102C" w:rsidRPr="00393B47" w:rsidP="00D5102C" w14:paraId="347FEF7D" w14:textId="77777777">
      <w:pPr>
        <w:ind w:firstLine="720"/>
        <w:rPr>
          <w:rFonts w:cs="Times New Roman"/>
          <w:szCs w:val="24"/>
        </w:rPr>
      </w:pPr>
    </w:p>
    <w:p w:rsidR="000C76D2" w:rsidRPr="00393B47" w:rsidP="00D5102C" w14:paraId="04DF06F8" w14:textId="2284D192">
      <w:pPr>
        <w:pStyle w:val="Footer"/>
        <w:tabs>
          <w:tab w:val="left" w:pos="4320"/>
          <w:tab w:val="clear" w:pos="8640"/>
        </w:tabs>
        <w:rPr>
          <w:sz w:val="24"/>
          <w:szCs w:val="24"/>
        </w:rPr>
      </w:pPr>
      <w:r w:rsidRPr="00393B47">
        <w:rPr>
          <w:sz w:val="24"/>
          <w:szCs w:val="24"/>
        </w:rPr>
        <w:tab/>
      </w:r>
      <w:r w:rsidRPr="00393B47" w:rsidR="00D5102C">
        <w:rPr>
          <w:sz w:val="24"/>
          <w:szCs w:val="24"/>
        </w:rPr>
        <w:t>Bruce Weston (#0016973)</w:t>
      </w:r>
    </w:p>
    <w:p w:rsidR="000C76D2" w:rsidRPr="00393B47" w:rsidP="00D5102C" w14:paraId="7B1AFF81" w14:textId="3342B3D6">
      <w:pPr>
        <w:tabs>
          <w:tab w:val="left" w:pos="4320"/>
        </w:tabs>
        <w:rPr>
          <w:rFonts w:cs="Times New Roman"/>
          <w:szCs w:val="24"/>
        </w:rPr>
      </w:pPr>
      <w:r w:rsidRPr="00393B47">
        <w:rPr>
          <w:rFonts w:cs="Times New Roman"/>
          <w:szCs w:val="24"/>
        </w:rPr>
        <w:tab/>
        <w:t>Ohio Consumers’ Counsel</w:t>
      </w:r>
    </w:p>
    <w:p w:rsidR="000C76D2" w:rsidRPr="00393B47" w:rsidP="000C76D2" w14:paraId="55C8E688" w14:textId="77777777">
      <w:pPr>
        <w:tabs>
          <w:tab w:val="left" w:pos="4320"/>
        </w:tabs>
        <w:rPr>
          <w:rFonts w:cs="Times New Roman"/>
          <w:szCs w:val="24"/>
        </w:rPr>
      </w:pPr>
      <w:r w:rsidRPr="00393B47">
        <w:rPr>
          <w:rFonts w:cs="Times New Roman"/>
          <w:szCs w:val="24"/>
        </w:rPr>
        <w:tab/>
      </w:r>
    </w:p>
    <w:p w:rsidR="000C76D2" w:rsidRPr="00393B47" w:rsidP="000C76D2" w14:paraId="1740D430" w14:textId="3A30787A">
      <w:pPr>
        <w:tabs>
          <w:tab w:val="left" w:pos="4320"/>
        </w:tabs>
        <w:rPr>
          <w:rFonts w:cs="Times New Roman"/>
          <w:i/>
          <w:iCs/>
          <w:szCs w:val="24"/>
          <w:u w:val="single"/>
        </w:rPr>
      </w:pPr>
      <w:r w:rsidRPr="00393B47">
        <w:rPr>
          <w:rFonts w:cs="Times New Roman"/>
          <w:szCs w:val="24"/>
        </w:rPr>
        <w:tab/>
      </w:r>
      <w:r w:rsidRPr="00393B47">
        <w:rPr>
          <w:rFonts w:cs="Times New Roman"/>
          <w:i/>
          <w:iCs/>
          <w:szCs w:val="24"/>
          <w:u w:val="single"/>
        </w:rPr>
        <w:t>/s/ Christopher Healey</w:t>
      </w:r>
      <w:r w:rsidRPr="00393B47">
        <w:rPr>
          <w:rFonts w:cs="Times New Roman"/>
          <w:i/>
          <w:iCs/>
          <w:szCs w:val="24"/>
          <w:u w:val="single"/>
        </w:rPr>
        <w:tab/>
      </w:r>
    </w:p>
    <w:p w:rsidR="000C76D2" w:rsidRPr="00393B47" w:rsidP="000C76D2" w14:paraId="2D18F4AE" w14:textId="77777777">
      <w:pPr>
        <w:tabs>
          <w:tab w:val="left" w:pos="4320"/>
        </w:tabs>
        <w:rPr>
          <w:rFonts w:cs="Times New Roman"/>
          <w:szCs w:val="24"/>
        </w:rPr>
      </w:pPr>
      <w:r w:rsidRPr="00393B47">
        <w:rPr>
          <w:rFonts w:cs="Times New Roman"/>
          <w:szCs w:val="24"/>
        </w:rPr>
        <w:tab/>
        <w:t>Christopher Healey (0086027)</w:t>
      </w:r>
    </w:p>
    <w:p w:rsidR="000C76D2" w:rsidRPr="00393B47" w:rsidP="000C76D2" w14:paraId="316F7660" w14:textId="77777777">
      <w:pPr>
        <w:tabs>
          <w:tab w:val="left" w:pos="4320"/>
        </w:tabs>
        <w:ind w:firstLine="4320"/>
        <w:rPr>
          <w:rFonts w:cs="Times New Roman"/>
          <w:szCs w:val="24"/>
        </w:rPr>
      </w:pPr>
      <w:r w:rsidRPr="00393B47">
        <w:rPr>
          <w:rFonts w:cs="Times New Roman"/>
          <w:szCs w:val="24"/>
        </w:rPr>
        <w:t>Counsel of Record</w:t>
      </w:r>
    </w:p>
    <w:p w:rsidR="000C76D2" w:rsidRPr="00393B47" w:rsidP="000C76D2" w14:paraId="1C1D1F70" w14:textId="77777777">
      <w:pPr>
        <w:tabs>
          <w:tab w:val="left" w:pos="4320"/>
        </w:tabs>
        <w:rPr>
          <w:rFonts w:cs="Times New Roman"/>
          <w:szCs w:val="24"/>
        </w:rPr>
      </w:pPr>
      <w:r w:rsidRPr="00393B47">
        <w:rPr>
          <w:rFonts w:cs="Times New Roman"/>
          <w:szCs w:val="24"/>
        </w:rPr>
        <w:tab/>
        <w:t>Assistant Consumers’ Counsel</w:t>
      </w:r>
    </w:p>
    <w:p w:rsidR="000C76D2" w:rsidRPr="00393B47" w:rsidP="000C76D2" w14:paraId="244BC802" w14:textId="77777777">
      <w:pPr>
        <w:pStyle w:val="Heading1"/>
        <w:ind w:left="3240" w:right="-648" w:firstLine="720"/>
        <w:rPr>
          <w:u w:val="none"/>
        </w:rPr>
      </w:pPr>
      <w:r w:rsidRPr="00393B47">
        <w:rPr>
          <w:u w:val="none"/>
        </w:rPr>
        <w:tab/>
      </w:r>
    </w:p>
    <w:p w:rsidR="000C76D2" w:rsidRPr="00393B47" w:rsidP="000C76D2" w14:paraId="0A44B0AC" w14:textId="77777777">
      <w:pPr>
        <w:pStyle w:val="Heading1"/>
        <w:ind w:left="3240" w:right="-648" w:firstLine="720"/>
        <w:rPr>
          <w:u w:val="none"/>
        </w:rPr>
      </w:pPr>
      <w:r w:rsidRPr="00393B47">
        <w:rPr>
          <w:u w:val="none"/>
        </w:rPr>
        <w:tab/>
        <w:t>Office of the Ohio Consumers’ Counsel</w:t>
      </w:r>
    </w:p>
    <w:p w:rsidR="000C76D2" w:rsidRPr="00393B47" w:rsidP="000C76D2" w14:paraId="083A75F4" w14:textId="36888A01">
      <w:pPr>
        <w:pStyle w:val="Heading1"/>
        <w:ind w:left="3240" w:right="-648" w:firstLine="720"/>
        <w:rPr>
          <w:b w:val="0"/>
          <w:u w:val="none"/>
        </w:rPr>
      </w:pPr>
      <w:r w:rsidRPr="00393B47">
        <w:rPr>
          <w:b w:val="0"/>
          <w:u w:val="none"/>
        </w:rPr>
        <w:tab/>
        <w:t>65 East State Street, 7</w:t>
      </w:r>
      <w:r w:rsidRPr="00393B47" w:rsidR="00C11259">
        <w:rPr>
          <w:b w:val="0"/>
          <w:u w:val="none"/>
        </w:rPr>
        <w:t>th</w:t>
      </w:r>
      <w:r w:rsidRPr="00393B47">
        <w:rPr>
          <w:b w:val="0"/>
          <w:u w:val="none"/>
        </w:rPr>
        <w:t xml:space="preserve"> Floor</w:t>
      </w:r>
    </w:p>
    <w:p w:rsidR="000C76D2" w:rsidRPr="00393B47" w:rsidP="000C76D2" w14:paraId="45CBBF59" w14:textId="77777777">
      <w:pPr>
        <w:pStyle w:val="Heading1"/>
        <w:ind w:left="3240" w:right="-648" w:firstLine="720"/>
        <w:rPr>
          <w:b w:val="0"/>
          <w:u w:val="none"/>
        </w:rPr>
      </w:pPr>
      <w:r w:rsidRPr="00393B47">
        <w:rPr>
          <w:b w:val="0"/>
          <w:u w:val="none"/>
        </w:rPr>
        <w:tab/>
        <w:t>Columbus, Ohio 43215</w:t>
      </w:r>
    </w:p>
    <w:p w:rsidR="000C76D2" w:rsidRPr="00393B47" w:rsidP="000C76D2" w14:paraId="34788B88" w14:textId="77777777">
      <w:pPr>
        <w:autoSpaceDE w:val="0"/>
        <w:autoSpaceDN w:val="0"/>
        <w:adjustRightInd w:val="0"/>
        <w:ind w:left="3600" w:firstLine="720"/>
        <w:rPr>
          <w:rFonts w:cs="Times New Roman"/>
          <w:szCs w:val="24"/>
        </w:rPr>
      </w:pPr>
      <w:r w:rsidRPr="00393B47">
        <w:rPr>
          <w:rFonts w:cs="Times New Roman"/>
          <w:szCs w:val="24"/>
        </w:rPr>
        <w:t>Telephone: (614) 466-9571</w:t>
      </w:r>
    </w:p>
    <w:p w:rsidR="000C76D2" w:rsidRPr="00393B47" w:rsidP="000C76D2" w14:paraId="0F8D9DDA" w14:textId="1C88FB36">
      <w:pPr>
        <w:rPr>
          <w:rFonts w:cs="Times New Roman"/>
          <w:szCs w:val="24"/>
        </w:rPr>
      </w:pPr>
      <w:r w:rsidRPr="00393B47">
        <w:rPr>
          <w:rFonts w:cs="Times New Roman"/>
          <w:szCs w:val="24"/>
        </w:rPr>
        <w:tab/>
      </w:r>
      <w:r w:rsidRPr="00393B47">
        <w:rPr>
          <w:rFonts w:cs="Times New Roman"/>
          <w:szCs w:val="24"/>
        </w:rPr>
        <w:tab/>
      </w:r>
      <w:r w:rsidRPr="00393B47">
        <w:rPr>
          <w:rFonts w:cs="Times New Roman"/>
          <w:szCs w:val="24"/>
        </w:rPr>
        <w:tab/>
      </w:r>
      <w:r w:rsidRPr="00393B47">
        <w:rPr>
          <w:rFonts w:cs="Times New Roman"/>
          <w:szCs w:val="24"/>
        </w:rPr>
        <w:tab/>
      </w:r>
      <w:r w:rsidRPr="00393B47">
        <w:rPr>
          <w:rFonts w:cs="Times New Roman"/>
          <w:szCs w:val="24"/>
        </w:rPr>
        <w:tab/>
      </w:r>
      <w:r w:rsidRPr="00393B47">
        <w:rPr>
          <w:rFonts w:cs="Times New Roman"/>
          <w:szCs w:val="24"/>
        </w:rPr>
        <w:tab/>
      </w:r>
      <w:hyperlink r:id="rId7" w:history="1">
        <w:r w:rsidRPr="00393B47" w:rsidR="00C11259">
          <w:rPr>
            <w:rStyle w:val="Hyperlink"/>
            <w:rFonts w:cs="Times New Roman"/>
            <w:szCs w:val="24"/>
          </w:rPr>
          <w:t>christopher.healey@occ.ohio.gov</w:t>
        </w:r>
      </w:hyperlink>
      <w:r w:rsidRPr="00393B47">
        <w:rPr>
          <w:rFonts w:cs="Times New Roman"/>
          <w:szCs w:val="24"/>
        </w:rPr>
        <w:t xml:space="preserve"> </w:t>
      </w:r>
    </w:p>
    <w:p w:rsidR="000C76D2" w:rsidRPr="00393B47" w:rsidP="000C76D2" w14:paraId="46ED6593" w14:textId="5EAF02A5">
      <w:pPr>
        <w:rPr>
          <w:rFonts w:cs="Times New Roman"/>
          <w:szCs w:val="24"/>
        </w:rPr>
      </w:pPr>
      <w:r w:rsidRPr="00393B47">
        <w:rPr>
          <w:rFonts w:cs="Times New Roman"/>
          <w:szCs w:val="24"/>
        </w:rPr>
        <w:tab/>
      </w:r>
      <w:r w:rsidRPr="00393B47">
        <w:rPr>
          <w:rFonts w:cs="Times New Roman"/>
          <w:szCs w:val="24"/>
        </w:rPr>
        <w:tab/>
      </w:r>
      <w:r w:rsidRPr="00393B47">
        <w:rPr>
          <w:rFonts w:cs="Times New Roman"/>
          <w:szCs w:val="24"/>
        </w:rPr>
        <w:tab/>
      </w:r>
      <w:r w:rsidRPr="00393B47">
        <w:rPr>
          <w:rFonts w:cs="Times New Roman"/>
          <w:szCs w:val="24"/>
        </w:rPr>
        <w:tab/>
      </w:r>
      <w:r w:rsidRPr="00393B47">
        <w:rPr>
          <w:rFonts w:cs="Times New Roman"/>
          <w:szCs w:val="24"/>
        </w:rPr>
        <w:tab/>
      </w:r>
      <w:r w:rsidRPr="00393B47">
        <w:rPr>
          <w:rFonts w:cs="Times New Roman"/>
          <w:szCs w:val="24"/>
        </w:rPr>
        <w:tab/>
        <w:t>(willing to accept service by email)</w:t>
      </w:r>
    </w:p>
    <w:p w:rsidR="00FC2D43" w:rsidRPr="00393B47" w:rsidP="000C76D2" w14:paraId="7B054D7A" w14:textId="157A43D9">
      <w:pPr>
        <w:rPr>
          <w:rFonts w:cs="Times New Roman"/>
          <w:szCs w:val="24"/>
        </w:rPr>
      </w:pPr>
    </w:p>
    <w:p w:rsidR="00FC2D43" w:rsidRPr="00393B47" w:rsidP="000C76D2" w14:paraId="0E899F7F" w14:textId="50B87F70">
      <w:pPr>
        <w:rPr>
          <w:rFonts w:cs="Times New Roman"/>
          <w:szCs w:val="24"/>
        </w:rPr>
      </w:pPr>
    </w:p>
    <w:p w:rsidR="00FC2D43" w:rsidRPr="00393B47" w:rsidP="000C76D2" w14:paraId="55738B7D" w14:textId="77777777">
      <w:pPr>
        <w:rPr>
          <w:rFonts w:cs="Times New Roman"/>
          <w:szCs w:val="24"/>
        </w:rPr>
        <w:sectPr w:rsidSect="00BD1B34">
          <w:footerReference w:type="default" r:id="rId8"/>
          <w:pgSz w:w="12240" w:h="15840"/>
          <w:pgMar w:top="1440" w:right="1440" w:bottom="1440" w:left="1440" w:header="720" w:footer="720" w:gutter="0"/>
          <w:cols w:space="720"/>
          <w:docGrid w:linePitch="360"/>
        </w:sectPr>
      </w:pPr>
    </w:p>
    <w:p w:rsidR="008C3CFF" w:rsidRPr="00393B47" w:rsidP="008C3CFF" w14:paraId="16865F09" w14:textId="77777777">
      <w:pPr>
        <w:pStyle w:val="HTMLPreformatted"/>
        <w:jc w:val="center"/>
        <w:rPr>
          <w:rFonts w:ascii="Times New Roman" w:hAnsi="Times New Roman" w:cs="Times New Roman"/>
          <w:b/>
          <w:bCs/>
          <w:sz w:val="24"/>
          <w:szCs w:val="24"/>
        </w:rPr>
      </w:pPr>
      <w:r w:rsidRPr="00393B47">
        <w:rPr>
          <w:rFonts w:ascii="Times New Roman" w:hAnsi="Times New Roman" w:cs="Times New Roman"/>
          <w:b/>
          <w:bCs/>
          <w:sz w:val="24"/>
          <w:szCs w:val="24"/>
        </w:rPr>
        <w:t>BEFORE</w:t>
      </w:r>
    </w:p>
    <w:p w:rsidR="008C3CFF" w:rsidRPr="00393B47" w:rsidP="008C3CFF" w14:paraId="3BF89358" w14:textId="77777777">
      <w:pPr>
        <w:pStyle w:val="HTMLPreformatted"/>
        <w:jc w:val="center"/>
        <w:rPr>
          <w:rFonts w:ascii="Times New Roman" w:hAnsi="Times New Roman" w:cs="Times New Roman"/>
          <w:sz w:val="24"/>
          <w:szCs w:val="24"/>
        </w:rPr>
      </w:pPr>
      <w:r w:rsidRPr="00393B47">
        <w:rPr>
          <w:rFonts w:ascii="Times New Roman" w:hAnsi="Times New Roman" w:cs="Times New Roman"/>
          <w:b/>
          <w:bCs/>
          <w:sz w:val="24"/>
          <w:szCs w:val="24"/>
        </w:rPr>
        <w:t>THE PUBLIC UTILITIES COMMISSION OF OHIO</w:t>
      </w:r>
    </w:p>
    <w:p w:rsidR="008C3CFF" w:rsidRPr="00393B47" w:rsidP="008C3CFF" w14:paraId="4A395DDA" w14:textId="77777777">
      <w:pPr>
        <w:pStyle w:val="HTMLPreformatted"/>
        <w:rPr>
          <w:rFonts w:ascii="Times New Roman" w:hAnsi="Times New Roman" w:cs="Times New Roman"/>
          <w:sz w:val="24"/>
          <w:szCs w:val="24"/>
        </w:rPr>
      </w:pPr>
    </w:p>
    <w:tbl>
      <w:tblPr>
        <w:tblW w:w="9092" w:type="dxa"/>
        <w:tblLook w:val="01E0"/>
      </w:tblPr>
      <w:tblGrid>
        <w:gridCol w:w="4332"/>
        <w:gridCol w:w="360"/>
        <w:gridCol w:w="4400"/>
      </w:tblGrid>
      <w:tr w14:paraId="581CA3C4" w14:textId="77777777" w:rsidTr="0098761C">
        <w:tblPrEx>
          <w:tblW w:w="9092" w:type="dxa"/>
          <w:tblLook w:val="01E0"/>
        </w:tblPrEx>
        <w:trPr>
          <w:trHeight w:val="807"/>
        </w:trPr>
        <w:tc>
          <w:tcPr>
            <w:tcW w:w="4332" w:type="dxa"/>
            <w:shd w:val="clear" w:color="auto" w:fill="auto"/>
          </w:tcPr>
          <w:p w:rsidR="008C3CFF" w:rsidRPr="00393B47" w:rsidP="0098761C" w14:paraId="15D24798" w14:textId="77777777">
            <w:pPr>
              <w:pStyle w:val="HTMLPreformatted"/>
              <w:rPr>
                <w:rFonts w:ascii="Times New Roman" w:hAnsi="Times New Roman" w:cs="Times New Roman"/>
                <w:sz w:val="24"/>
                <w:szCs w:val="24"/>
              </w:rPr>
            </w:pPr>
            <w:r w:rsidRPr="00393B47">
              <w:rPr>
                <w:rFonts w:ascii="Times New Roman" w:hAnsi="Times New Roman" w:cs="Times New Roman"/>
                <w:sz w:val="24"/>
                <w:szCs w:val="24"/>
              </w:rPr>
              <w:t>In the Matter of the Application of Ohio Edison Company, the Cleveland Electric Illuminating Company, and the Toledo Edison Company for Approval of Their Energy Efficiency and Peak Demand Reduction Program Portfolio Plans for 2017 through 2019.</w:t>
            </w:r>
          </w:p>
        </w:tc>
        <w:tc>
          <w:tcPr>
            <w:tcW w:w="360" w:type="dxa"/>
            <w:shd w:val="clear" w:color="auto" w:fill="auto"/>
          </w:tcPr>
          <w:p w:rsidR="008C3CFF" w:rsidRPr="00393B47" w:rsidP="0098761C" w14:paraId="3F114C10" w14:textId="77777777">
            <w:pPr>
              <w:pStyle w:val="HTMLPreformatted"/>
              <w:rPr>
                <w:rFonts w:ascii="Times New Roman" w:hAnsi="Times New Roman" w:cs="Times New Roman"/>
                <w:sz w:val="24"/>
                <w:szCs w:val="24"/>
              </w:rPr>
            </w:pPr>
            <w:r w:rsidRPr="00393B47">
              <w:rPr>
                <w:rFonts w:ascii="Times New Roman" w:hAnsi="Times New Roman" w:cs="Times New Roman"/>
                <w:sz w:val="24"/>
                <w:szCs w:val="24"/>
              </w:rPr>
              <w:t>)</w:t>
            </w:r>
          </w:p>
          <w:p w:rsidR="008C3CFF" w:rsidRPr="00393B47" w:rsidP="0098761C" w14:paraId="159FE459" w14:textId="77777777">
            <w:pPr>
              <w:pStyle w:val="HTMLPreformatted"/>
              <w:rPr>
                <w:rFonts w:ascii="Times New Roman" w:hAnsi="Times New Roman" w:cs="Times New Roman"/>
                <w:sz w:val="24"/>
                <w:szCs w:val="24"/>
              </w:rPr>
            </w:pPr>
            <w:r w:rsidRPr="00393B47">
              <w:rPr>
                <w:rFonts w:ascii="Times New Roman" w:hAnsi="Times New Roman" w:cs="Times New Roman"/>
                <w:sz w:val="24"/>
                <w:szCs w:val="24"/>
              </w:rPr>
              <w:t>)</w:t>
            </w:r>
          </w:p>
          <w:p w:rsidR="008C3CFF" w:rsidRPr="00393B47" w:rsidP="0098761C" w14:paraId="3207D857" w14:textId="77777777">
            <w:pPr>
              <w:pStyle w:val="HTMLPreformatted"/>
              <w:rPr>
                <w:rFonts w:ascii="Times New Roman" w:hAnsi="Times New Roman" w:cs="Times New Roman"/>
                <w:sz w:val="24"/>
                <w:szCs w:val="24"/>
              </w:rPr>
            </w:pPr>
            <w:r w:rsidRPr="00393B47">
              <w:rPr>
                <w:rFonts w:ascii="Times New Roman" w:hAnsi="Times New Roman" w:cs="Times New Roman"/>
                <w:sz w:val="24"/>
                <w:szCs w:val="24"/>
              </w:rPr>
              <w:t>)</w:t>
            </w:r>
          </w:p>
          <w:p w:rsidR="008C3CFF" w:rsidRPr="00393B47" w:rsidP="0098761C" w14:paraId="7203494F" w14:textId="77777777">
            <w:pPr>
              <w:pStyle w:val="HTMLPreformatted"/>
              <w:rPr>
                <w:rFonts w:ascii="Times New Roman" w:hAnsi="Times New Roman" w:cs="Times New Roman"/>
                <w:sz w:val="24"/>
                <w:szCs w:val="24"/>
              </w:rPr>
            </w:pPr>
            <w:r w:rsidRPr="00393B47">
              <w:rPr>
                <w:rFonts w:ascii="Times New Roman" w:hAnsi="Times New Roman" w:cs="Times New Roman"/>
                <w:sz w:val="24"/>
                <w:szCs w:val="24"/>
              </w:rPr>
              <w:t>)</w:t>
            </w:r>
          </w:p>
          <w:p w:rsidR="008C3CFF" w:rsidRPr="00393B47" w:rsidP="0098761C" w14:paraId="03205563" w14:textId="77777777">
            <w:pPr>
              <w:pStyle w:val="HTMLPreformatted"/>
              <w:rPr>
                <w:rFonts w:ascii="Times New Roman" w:hAnsi="Times New Roman" w:cs="Times New Roman"/>
                <w:sz w:val="24"/>
                <w:szCs w:val="24"/>
              </w:rPr>
            </w:pPr>
            <w:r w:rsidRPr="00393B47">
              <w:rPr>
                <w:rFonts w:ascii="Times New Roman" w:hAnsi="Times New Roman" w:cs="Times New Roman"/>
                <w:sz w:val="24"/>
                <w:szCs w:val="24"/>
              </w:rPr>
              <w:t>)</w:t>
            </w:r>
          </w:p>
          <w:p w:rsidR="008C3CFF" w:rsidRPr="00393B47" w:rsidP="0098761C" w14:paraId="0A7869D8" w14:textId="77777777">
            <w:pPr>
              <w:pStyle w:val="HTMLPreformatted"/>
              <w:rPr>
                <w:rFonts w:ascii="Times New Roman" w:hAnsi="Times New Roman" w:cs="Times New Roman"/>
                <w:sz w:val="24"/>
                <w:szCs w:val="24"/>
              </w:rPr>
            </w:pPr>
            <w:r w:rsidRPr="00393B47">
              <w:rPr>
                <w:rFonts w:ascii="Times New Roman" w:hAnsi="Times New Roman" w:cs="Times New Roman"/>
                <w:sz w:val="24"/>
                <w:szCs w:val="24"/>
              </w:rPr>
              <w:t>)</w:t>
            </w:r>
          </w:p>
          <w:p w:rsidR="008C3CFF" w:rsidRPr="00393B47" w:rsidP="0098761C" w14:paraId="488143C2" w14:textId="77777777">
            <w:pPr>
              <w:pStyle w:val="HTMLPreformatted"/>
              <w:rPr>
                <w:rFonts w:ascii="Times New Roman" w:hAnsi="Times New Roman" w:cs="Times New Roman"/>
                <w:sz w:val="24"/>
                <w:szCs w:val="24"/>
              </w:rPr>
            </w:pPr>
            <w:r w:rsidRPr="00393B47">
              <w:rPr>
                <w:rFonts w:ascii="Times New Roman" w:hAnsi="Times New Roman" w:cs="Times New Roman"/>
                <w:sz w:val="24"/>
                <w:szCs w:val="24"/>
              </w:rPr>
              <w:t>)</w:t>
            </w:r>
          </w:p>
        </w:tc>
        <w:tc>
          <w:tcPr>
            <w:tcW w:w="4400" w:type="dxa"/>
            <w:shd w:val="clear" w:color="auto" w:fill="auto"/>
          </w:tcPr>
          <w:p w:rsidR="008C3CFF" w:rsidRPr="00393B47" w:rsidP="0098761C" w14:paraId="22115478" w14:textId="77777777">
            <w:pPr>
              <w:pStyle w:val="HTMLPreformatted"/>
              <w:rPr>
                <w:rFonts w:ascii="Times New Roman" w:hAnsi="Times New Roman" w:cs="Times New Roman"/>
                <w:sz w:val="24"/>
                <w:szCs w:val="24"/>
              </w:rPr>
            </w:pPr>
          </w:p>
          <w:p w:rsidR="008C3CFF" w:rsidRPr="00393B47" w:rsidP="0098761C" w14:paraId="0DE23279" w14:textId="77777777">
            <w:pPr>
              <w:pStyle w:val="HTMLPreformatted"/>
              <w:rPr>
                <w:rFonts w:ascii="Times New Roman" w:hAnsi="Times New Roman" w:cs="Times New Roman"/>
                <w:sz w:val="24"/>
                <w:szCs w:val="24"/>
              </w:rPr>
            </w:pPr>
          </w:p>
          <w:p w:rsidR="008C3CFF" w:rsidRPr="00393B47" w:rsidP="0098761C" w14:paraId="39B70C3F" w14:textId="77777777">
            <w:pPr>
              <w:pStyle w:val="HTMLPreformatted"/>
              <w:rPr>
                <w:rFonts w:ascii="Times New Roman" w:hAnsi="Times New Roman" w:cs="Times New Roman"/>
                <w:sz w:val="24"/>
                <w:szCs w:val="24"/>
              </w:rPr>
            </w:pPr>
          </w:p>
          <w:p w:rsidR="008C3CFF" w:rsidRPr="00393B47" w:rsidP="0098761C" w14:paraId="3E5DA0E2" w14:textId="77777777">
            <w:pPr>
              <w:pStyle w:val="HTMLPreformatted"/>
              <w:rPr>
                <w:rFonts w:ascii="Times New Roman" w:hAnsi="Times New Roman" w:cs="Times New Roman"/>
                <w:sz w:val="24"/>
                <w:szCs w:val="24"/>
              </w:rPr>
            </w:pPr>
            <w:r w:rsidRPr="00393B47">
              <w:rPr>
                <w:rFonts w:ascii="Times New Roman" w:hAnsi="Times New Roman" w:cs="Times New Roman"/>
                <w:sz w:val="24"/>
                <w:szCs w:val="24"/>
              </w:rPr>
              <w:t>Case No. 16-743-EL-POR</w:t>
            </w:r>
          </w:p>
          <w:p w:rsidR="008C3CFF" w:rsidRPr="00393B47" w:rsidP="0098761C" w14:paraId="28F1C955" w14:textId="77777777">
            <w:pPr>
              <w:pStyle w:val="HTMLPreformatted"/>
              <w:rPr>
                <w:rFonts w:ascii="Times New Roman" w:hAnsi="Times New Roman" w:cs="Times New Roman"/>
                <w:sz w:val="24"/>
                <w:szCs w:val="24"/>
              </w:rPr>
            </w:pPr>
          </w:p>
          <w:p w:rsidR="008C3CFF" w:rsidRPr="00393B47" w:rsidP="0098761C" w14:paraId="5EC58371" w14:textId="77777777">
            <w:pPr>
              <w:pStyle w:val="HTMLPreformatted"/>
              <w:rPr>
                <w:rFonts w:ascii="Times New Roman" w:hAnsi="Times New Roman" w:cs="Times New Roman"/>
                <w:sz w:val="24"/>
                <w:szCs w:val="24"/>
              </w:rPr>
            </w:pPr>
          </w:p>
          <w:p w:rsidR="008C3CFF" w:rsidRPr="00393B47" w:rsidP="0098761C" w14:paraId="5A505D6A" w14:textId="77777777">
            <w:pPr>
              <w:pStyle w:val="HTMLPreformatted"/>
              <w:rPr>
                <w:rFonts w:ascii="Times New Roman" w:hAnsi="Times New Roman" w:cs="Times New Roman"/>
                <w:sz w:val="24"/>
                <w:szCs w:val="24"/>
              </w:rPr>
            </w:pPr>
          </w:p>
        </w:tc>
      </w:tr>
    </w:tbl>
    <w:p w:rsidR="000C76D2" w:rsidRPr="00393B47" w:rsidP="000C76D2" w14:paraId="395F1080" w14:textId="591A1CA5">
      <w:pPr>
        <w:pStyle w:val="HTMLPreformatted"/>
        <w:rPr>
          <w:rFonts w:ascii="Times New Roman" w:hAnsi="Times New Roman" w:cs="Times New Roman"/>
          <w:sz w:val="24"/>
          <w:szCs w:val="24"/>
        </w:rPr>
      </w:pPr>
    </w:p>
    <w:p w:rsidR="000C76D2" w:rsidRPr="00393B47" w:rsidP="000C76D2" w14:paraId="0F08D053" w14:textId="77777777">
      <w:pPr>
        <w:pStyle w:val="HTMLPreformatted"/>
        <w:pBdr>
          <w:top w:val="single" w:sz="12" w:space="1" w:color="auto"/>
        </w:pBdr>
        <w:rPr>
          <w:rFonts w:ascii="Times New Roman" w:hAnsi="Times New Roman" w:cs="Times New Roman"/>
          <w:sz w:val="24"/>
          <w:szCs w:val="24"/>
        </w:rPr>
      </w:pPr>
    </w:p>
    <w:p w:rsidR="000C76D2" w:rsidRPr="00393B47" w:rsidP="000C76D2" w14:paraId="26D02A8F" w14:textId="3214B560">
      <w:pPr>
        <w:jc w:val="center"/>
        <w:rPr>
          <w:rFonts w:cs="Times New Roman"/>
          <w:b/>
          <w:bCs/>
          <w:szCs w:val="24"/>
        </w:rPr>
      </w:pPr>
      <w:r w:rsidRPr="00393B47">
        <w:rPr>
          <w:rFonts w:cs="Times New Roman"/>
          <w:b/>
          <w:szCs w:val="24"/>
        </w:rPr>
        <w:t>MEMORANDUM IN SUPPORT</w:t>
      </w:r>
    </w:p>
    <w:p w:rsidR="000C76D2" w:rsidRPr="00393B47" w:rsidP="000C76D2" w14:paraId="1AFD8838" w14:textId="77777777">
      <w:pPr>
        <w:pBdr>
          <w:bottom w:val="single" w:sz="12" w:space="1" w:color="auto"/>
        </w:pBdr>
        <w:tabs>
          <w:tab w:val="left" w:pos="4320"/>
        </w:tabs>
        <w:rPr>
          <w:rFonts w:cs="Times New Roman"/>
          <w:szCs w:val="24"/>
        </w:rPr>
      </w:pPr>
    </w:p>
    <w:p w:rsidR="000C76D2" w:rsidRPr="00393B47" w:rsidP="000C76D2" w14:paraId="0B5F7EC6" w14:textId="77777777">
      <w:pPr>
        <w:tabs>
          <w:tab w:val="left" w:pos="4320"/>
        </w:tabs>
        <w:rPr>
          <w:rFonts w:cs="Times New Roman"/>
          <w:szCs w:val="24"/>
        </w:rPr>
      </w:pPr>
    </w:p>
    <w:p w:rsidR="00911A81" w:rsidRPr="00393B47" w:rsidP="00911A81" w14:paraId="6C53AD6C" w14:textId="3FCB4F4B">
      <w:pPr>
        <w:spacing w:line="480" w:lineRule="auto"/>
        <w:ind w:firstLine="720"/>
        <w:rPr>
          <w:rFonts w:cs="Times New Roman"/>
          <w:szCs w:val="24"/>
        </w:rPr>
      </w:pPr>
      <w:r w:rsidRPr="00393B47">
        <w:rPr>
          <w:rFonts w:cs="Times New Roman"/>
          <w:szCs w:val="24"/>
        </w:rPr>
        <w:t>As the PUCO stated in its November 18, 2020 Order in this case, “The plain language of R.C. 4928.66(G)(3) is clear and unambiguous. Once the cumulative saving cap has been met on December 31, 2020, the EDU’s EE/PDR cost recovery riders must ‘terminate.’”</w:t>
      </w:r>
      <w:r>
        <w:rPr>
          <w:rStyle w:val="FootnoteReference"/>
          <w:rFonts w:cs="Times New Roman"/>
          <w:szCs w:val="24"/>
        </w:rPr>
        <w:footnoteReference w:id="2"/>
      </w:r>
      <w:r w:rsidRPr="00393B47" w:rsidR="00014EE5">
        <w:rPr>
          <w:rFonts w:cs="Times New Roman"/>
          <w:szCs w:val="24"/>
        </w:rPr>
        <w:t xml:space="preserve"> That means FirstEnergy’s charges to consumers must end. Indeed, sparing consumers from such charges was part of the public relations selling point (alleged consumer savings) for now-scandalous House Bill 6, with which FirstEnergy is only too familiar.</w:t>
      </w:r>
    </w:p>
    <w:p w:rsidR="008C3CFF" w:rsidRPr="00393B47" w:rsidP="00911A81" w14:paraId="7D5F1F8B" w14:textId="3379C1B9">
      <w:pPr>
        <w:spacing w:line="480" w:lineRule="auto"/>
        <w:ind w:firstLine="720"/>
        <w:rPr>
          <w:rFonts w:cs="Times New Roman"/>
          <w:szCs w:val="24"/>
        </w:rPr>
      </w:pPr>
      <w:r w:rsidRPr="00393B47">
        <w:rPr>
          <w:rFonts w:cs="Times New Roman"/>
          <w:szCs w:val="24"/>
        </w:rPr>
        <w:t xml:space="preserve">Despite this </w:t>
      </w:r>
      <w:r w:rsidRPr="00393B47" w:rsidR="00AA36D8">
        <w:rPr>
          <w:rFonts w:cs="Times New Roman"/>
          <w:szCs w:val="24"/>
        </w:rPr>
        <w:t>o</w:t>
      </w:r>
      <w:r w:rsidRPr="00393B47">
        <w:rPr>
          <w:rFonts w:cs="Times New Roman"/>
          <w:szCs w:val="24"/>
        </w:rPr>
        <w:t xml:space="preserve">rder, FirstEnergy filed tariffs </w:t>
      </w:r>
      <w:r w:rsidRPr="00393B47" w:rsidR="00F37454">
        <w:rPr>
          <w:rFonts w:cs="Times New Roman"/>
          <w:szCs w:val="24"/>
        </w:rPr>
        <w:t>that</w:t>
      </w:r>
      <w:r w:rsidRPr="00393B47">
        <w:rPr>
          <w:rFonts w:cs="Times New Roman"/>
          <w:szCs w:val="24"/>
        </w:rPr>
        <w:t xml:space="preserve"> propose</w:t>
      </w:r>
      <w:r w:rsidRPr="00393B47" w:rsidR="00AA36D8">
        <w:rPr>
          <w:rFonts w:cs="Times New Roman"/>
          <w:szCs w:val="24"/>
        </w:rPr>
        <w:t>d</w:t>
      </w:r>
      <w:r w:rsidRPr="00393B47">
        <w:rPr>
          <w:rFonts w:cs="Times New Roman"/>
          <w:szCs w:val="24"/>
        </w:rPr>
        <w:t xml:space="preserve"> to continue charging customers </w:t>
      </w:r>
      <w:r w:rsidRPr="00393B47" w:rsidR="00AA36D8">
        <w:rPr>
          <w:rFonts w:cs="Times New Roman"/>
          <w:szCs w:val="24"/>
        </w:rPr>
        <w:t>$0.0003777 per kWh for its “Economic Load Response” program.</w:t>
      </w:r>
      <w:r>
        <w:rPr>
          <w:rStyle w:val="FootnoteReference"/>
          <w:rFonts w:cs="Times New Roman"/>
          <w:szCs w:val="24"/>
        </w:rPr>
        <w:footnoteReference w:id="3"/>
      </w:r>
      <w:r w:rsidRPr="00393B47" w:rsidR="00AA36D8">
        <w:rPr>
          <w:rFonts w:cs="Times New Roman"/>
          <w:szCs w:val="24"/>
        </w:rPr>
        <w:t xml:space="preserve"> At this rate, residential customers are projected to pay more than $6.2 million to subsidize this program in 2021:</w:t>
      </w:r>
    </w:p>
    <w:tbl>
      <w:tblPr>
        <w:tblW w:w="6056" w:type="dxa"/>
        <w:tblInd w:w="1645" w:type="dxa"/>
        <w:tblLook w:val="04A0"/>
      </w:tblPr>
      <w:tblGrid>
        <w:gridCol w:w="1780"/>
        <w:gridCol w:w="1356"/>
        <w:gridCol w:w="1596"/>
        <w:gridCol w:w="1596"/>
      </w:tblGrid>
      <w:tr w14:paraId="1CAD7EBA" w14:textId="77777777" w:rsidTr="00AA36D8">
        <w:tblPrEx>
          <w:tblW w:w="6056" w:type="dxa"/>
          <w:tblInd w:w="1645" w:type="dxa"/>
          <w:tblLook w:val="04A0"/>
        </w:tblPrEx>
        <w:trPr>
          <w:trHeight w:val="315"/>
        </w:trPr>
        <w:tc>
          <w:tcPr>
            <w:tcW w:w="178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AA36D8" w:rsidRPr="00393B47" w:rsidP="00AA36D8" w14:paraId="50605BF0" w14:textId="77777777">
            <w:pPr>
              <w:rPr>
                <w:rFonts w:eastAsia="Times New Roman" w:cs="Times New Roman"/>
                <w:b/>
                <w:bCs/>
                <w:color w:val="000000"/>
                <w:szCs w:val="24"/>
              </w:rPr>
            </w:pPr>
            <w:r w:rsidRPr="00393B47">
              <w:rPr>
                <w:rFonts w:eastAsia="Times New Roman" w:cs="Times New Roman"/>
                <w:b/>
                <w:bCs/>
                <w:color w:val="000000"/>
                <w:szCs w:val="24"/>
              </w:rPr>
              <w:t>EDU</w:t>
            </w:r>
          </w:p>
        </w:tc>
        <w:tc>
          <w:tcPr>
            <w:tcW w:w="1276" w:type="dxa"/>
            <w:tcBorders>
              <w:top w:val="single" w:sz="4" w:space="0" w:color="auto"/>
              <w:left w:val="nil"/>
              <w:bottom w:val="single" w:sz="8" w:space="0" w:color="auto"/>
              <w:right w:val="single" w:sz="4" w:space="0" w:color="auto"/>
            </w:tcBorders>
            <w:shd w:val="clear" w:color="auto" w:fill="auto"/>
            <w:noWrap/>
            <w:vAlign w:val="bottom"/>
            <w:hideMark/>
          </w:tcPr>
          <w:p w:rsidR="00AA36D8" w:rsidRPr="00393B47" w:rsidP="00AA36D8" w14:paraId="1BB3EFEA" w14:textId="77777777">
            <w:pPr>
              <w:rPr>
                <w:rFonts w:eastAsia="Times New Roman" w:cs="Times New Roman"/>
                <w:b/>
                <w:bCs/>
                <w:color w:val="000000"/>
                <w:szCs w:val="24"/>
              </w:rPr>
            </w:pPr>
            <w:r w:rsidRPr="00393B47">
              <w:rPr>
                <w:rFonts w:eastAsia="Times New Roman" w:cs="Times New Roman"/>
                <w:b/>
                <w:bCs/>
                <w:color w:val="000000"/>
                <w:szCs w:val="24"/>
              </w:rPr>
              <w:t>Rate</w:t>
            </w:r>
          </w:p>
        </w:tc>
        <w:tc>
          <w:tcPr>
            <w:tcW w:w="1496" w:type="dxa"/>
            <w:tcBorders>
              <w:top w:val="single" w:sz="4" w:space="0" w:color="auto"/>
              <w:left w:val="nil"/>
              <w:bottom w:val="single" w:sz="8" w:space="0" w:color="auto"/>
              <w:right w:val="single" w:sz="4" w:space="0" w:color="auto"/>
            </w:tcBorders>
            <w:shd w:val="clear" w:color="auto" w:fill="auto"/>
            <w:noWrap/>
            <w:vAlign w:val="bottom"/>
            <w:hideMark/>
          </w:tcPr>
          <w:p w:rsidR="00AA36D8" w:rsidRPr="00393B47" w:rsidP="00AA36D8" w14:paraId="6107A2CC" w14:textId="3907DAB2">
            <w:pPr>
              <w:rPr>
                <w:rFonts w:eastAsia="Times New Roman" w:cs="Times New Roman"/>
                <w:b/>
                <w:bCs/>
                <w:color w:val="000000"/>
                <w:szCs w:val="24"/>
              </w:rPr>
            </w:pPr>
            <w:r w:rsidRPr="00393B47">
              <w:rPr>
                <w:rFonts w:eastAsia="Times New Roman" w:cs="Times New Roman"/>
                <w:b/>
                <w:bCs/>
                <w:color w:val="000000"/>
                <w:szCs w:val="24"/>
              </w:rPr>
              <w:t>2021 kWh</w:t>
            </w:r>
            <w:r>
              <w:rPr>
                <w:rStyle w:val="FootnoteReference"/>
                <w:rFonts w:eastAsia="Times New Roman" w:cs="Times New Roman"/>
                <w:color w:val="000000"/>
                <w:szCs w:val="24"/>
              </w:rPr>
              <w:footnoteReference w:id="4"/>
            </w:r>
          </w:p>
        </w:tc>
        <w:tc>
          <w:tcPr>
            <w:tcW w:w="1504" w:type="dxa"/>
            <w:tcBorders>
              <w:top w:val="single" w:sz="4" w:space="0" w:color="auto"/>
              <w:left w:val="nil"/>
              <w:bottom w:val="single" w:sz="8" w:space="0" w:color="auto"/>
              <w:right w:val="single" w:sz="4" w:space="0" w:color="auto"/>
            </w:tcBorders>
            <w:shd w:val="clear" w:color="auto" w:fill="auto"/>
            <w:noWrap/>
            <w:vAlign w:val="bottom"/>
            <w:hideMark/>
          </w:tcPr>
          <w:p w:rsidR="00AA36D8" w:rsidRPr="00393B47" w:rsidP="00AA36D8" w14:paraId="7CFD4E30" w14:textId="77777777">
            <w:pPr>
              <w:rPr>
                <w:rFonts w:eastAsia="Times New Roman" w:cs="Times New Roman"/>
                <w:b/>
                <w:bCs/>
                <w:color w:val="000000"/>
                <w:szCs w:val="24"/>
              </w:rPr>
            </w:pPr>
            <w:r w:rsidRPr="00393B47">
              <w:rPr>
                <w:rFonts w:eastAsia="Times New Roman" w:cs="Times New Roman"/>
                <w:b/>
                <w:bCs/>
                <w:color w:val="000000"/>
                <w:szCs w:val="24"/>
              </w:rPr>
              <w:t>Total Charge</w:t>
            </w:r>
          </w:p>
        </w:tc>
      </w:tr>
      <w:tr w14:paraId="078DDDF8" w14:textId="77777777" w:rsidTr="00AA36D8">
        <w:tblPrEx>
          <w:tblW w:w="6056" w:type="dxa"/>
          <w:tblInd w:w="1645" w:type="dxa"/>
          <w:tblLook w:val="04A0"/>
        </w:tblPrEx>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AA36D8" w:rsidRPr="00393B47" w:rsidP="00AA36D8" w14:paraId="46E35FA4" w14:textId="77777777">
            <w:pPr>
              <w:rPr>
                <w:rFonts w:eastAsia="Times New Roman" w:cs="Times New Roman"/>
                <w:color w:val="000000"/>
                <w:szCs w:val="24"/>
              </w:rPr>
            </w:pPr>
            <w:r w:rsidRPr="00393B47">
              <w:rPr>
                <w:rFonts w:eastAsia="Times New Roman" w:cs="Times New Roman"/>
                <w:color w:val="000000"/>
                <w:szCs w:val="24"/>
              </w:rPr>
              <w:t>Ohio Edison</w:t>
            </w:r>
          </w:p>
        </w:tc>
        <w:tc>
          <w:tcPr>
            <w:tcW w:w="1276" w:type="dxa"/>
            <w:tcBorders>
              <w:top w:val="nil"/>
              <w:left w:val="nil"/>
              <w:bottom w:val="single" w:sz="4" w:space="0" w:color="auto"/>
              <w:right w:val="single" w:sz="4" w:space="0" w:color="auto"/>
            </w:tcBorders>
            <w:shd w:val="clear" w:color="auto" w:fill="auto"/>
            <w:noWrap/>
            <w:vAlign w:val="bottom"/>
            <w:hideMark/>
          </w:tcPr>
          <w:p w:rsidR="00AA36D8" w:rsidRPr="00393B47" w:rsidP="00AA36D8" w14:paraId="1BD8E7A7" w14:textId="77777777">
            <w:pPr>
              <w:jc w:val="right"/>
              <w:rPr>
                <w:rFonts w:eastAsia="Times New Roman" w:cs="Times New Roman"/>
                <w:color w:val="000000"/>
                <w:szCs w:val="24"/>
              </w:rPr>
            </w:pPr>
            <w:r w:rsidRPr="00393B47">
              <w:rPr>
                <w:rFonts w:eastAsia="Times New Roman" w:cs="Times New Roman"/>
                <w:color w:val="000000"/>
                <w:szCs w:val="24"/>
              </w:rPr>
              <w:t xml:space="preserve">$0.0003777 </w:t>
            </w:r>
          </w:p>
        </w:tc>
        <w:tc>
          <w:tcPr>
            <w:tcW w:w="1496" w:type="dxa"/>
            <w:tcBorders>
              <w:top w:val="nil"/>
              <w:left w:val="nil"/>
              <w:bottom w:val="single" w:sz="4" w:space="0" w:color="auto"/>
              <w:right w:val="single" w:sz="4" w:space="0" w:color="auto"/>
            </w:tcBorders>
            <w:shd w:val="clear" w:color="auto" w:fill="auto"/>
            <w:noWrap/>
            <w:vAlign w:val="bottom"/>
            <w:hideMark/>
          </w:tcPr>
          <w:p w:rsidR="00AA36D8" w:rsidRPr="00393B47" w:rsidP="00AA36D8" w14:paraId="6B3BB9AC" w14:textId="77777777">
            <w:pPr>
              <w:jc w:val="right"/>
              <w:rPr>
                <w:rFonts w:eastAsia="Times New Roman" w:cs="Times New Roman"/>
                <w:color w:val="000000"/>
                <w:szCs w:val="24"/>
              </w:rPr>
            </w:pPr>
            <w:r w:rsidRPr="00393B47">
              <w:rPr>
                <w:rFonts w:eastAsia="Times New Roman" w:cs="Times New Roman"/>
                <w:color w:val="000000"/>
                <w:szCs w:val="24"/>
              </w:rPr>
              <w:t>8,960,176,551</w:t>
            </w:r>
          </w:p>
        </w:tc>
        <w:tc>
          <w:tcPr>
            <w:tcW w:w="1504" w:type="dxa"/>
            <w:tcBorders>
              <w:top w:val="nil"/>
              <w:left w:val="nil"/>
              <w:bottom w:val="single" w:sz="4" w:space="0" w:color="auto"/>
              <w:right w:val="single" w:sz="4" w:space="0" w:color="auto"/>
            </w:tcBorders>
            <w:shd w:val="clear" w:color="auto" w:fill="auto"/>
            <w:noWrap/>
            <w:vAlign w:val="bottom"/>
            <w:hideMark/>
          </w:tcPr>
          <w:p w:rsidR="00AA36D8" w:rsidRPr="00393B47" w:rsidP="00AA36D8" w14:paraId="6D4EEAAD" w14:textId="77777777">
            <w:pPr>
              <w:jc w:val="right"/>
              <w:rPr>
                <w:rFonts w:eastAsia="Times New Roman" w:cs="Times New Roman"/>
                <w:color w:val="000000"/>
                <w:szCs w:val="24"/>
              </w:rPr>
            </w:pPr>
            <w:r w:rsidRPr="00393B47">
              <w:rPr>
                <w:rFonts w:eastAsia="Times New Roman" w:cs="Times New Roman"/>
                <w:color w:val="000000"/>
                <w:szCs w:val="24"/>
              </w:rPr>
              <w:t xml:space="preserve">$3,384,258.68 </w:t>
            </w:r>
          </w:p>
        </w:tc>
      </w:tr>
      <w:tr w14:paraId="6AB5F09C" w14:textId="77777777" w:rsidTr="00AA36D8">
        <w:tblPrEx>
          <w:tblW w:w="6056" w:type="dxa"/>
          <w:tblInd w:w="1645" w:type="dxa"/>
          <w:tblLook w:val="04A0"/>
        </w:tblPrEx>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AA36D8" w:rsidRPr="00393B47" w:rsidP="00AA36D8" w14:paraId="688934F4" w14:textId="77777777">
            <w:pPr>
              <w:rPr>
                <w:rFonts w:eastAsia="Times New Roman" w:cs="Times New Roman"/>
                <w:color w:val="000000"/>
                <w:szCs w:val="24"/>
              </w:rPr>
            </w:pPr>
            <w:r w:rsidRPr="00393B47">
              <w:rPr>
                <w:rFonts w:eastAsia="Times New Roman" w:cs="Times New Roman"/>
                <w:color w:val="000000"/>
                <w:szCs w:val="24"/>
              </w:rPr>
              <w:t>Toledo Edison</w:t>
            </w:r>
          </w:p>
        </w:tc>
        <w:tc>
          <w:tcPr>
            <w:tcW w:w="1276" w:type="dxa"/>
            <w:tcBorders>
              <w:top w:val="nil"/>
              <w:left w:val="nil"/>
              <w:bottom w:val="single" w:sz="4" w:space="0" w:color="auto"/>
              <w:right w:val="single" w:sz="4" w:space="0" w:color="auto"/>
            </w:tcBorders>
            <w:shd w:val="clear" w:color="auto" w:fill="auto"/>
            <w:noWrap/>
            <w:vAlign w:val="bottom"/>
            <w:hideMark/>
          </w:tcPr>
          <w:p w:rsidR="00AA36D8" w:rsidRPr="00393B47" w:rsidP="00AA36D8" w14:paraId="72C167E1" w14:textId="77777777">
            <w:pPr>
              <w:jc w:val="right"/>
              <w:rPr>
                <w:rFonts w:eastAsia="Times New Roman" w:cs="Times New Roman"/>
                <w:color w:val="000000"/>
                <w:szCs w:val="24"/>
              </w:rPr>
            </w:pPr>
            <w:r w:rsidRPr="00393B47">
              <w:rPr>
                <w:rFonts w:eastAsia="Times New Roman" w:cs="Times New Roman"/>
                <w:color w:val="000000"/>
                <w:szCs w:val="24"/>
              </w:rPr>
              <w:t xml:space="preserve">$0.0003777 </w:t>
            </w:r>
          </w:p>
        </w:tc>
        <w:tc>
          <w:tcPr>
            <w:tcW w:w="1496" w:type="dxa"/>
            <w:tcBorders>
              <w:top w:val="nil"/>
              <w:left w:val="nil"/>
              <w:bottom w:val="single" w:sz="4" w:space="0" w:color="auto"/>
              <w:right w:val="single" w:sz="4" w:space="0" w:color="auto"/>
            </w:tcBorders>
            <w:shd w:val="clear" w:color="auto" w:fill="auto"/>
            <w:noWrap/>
            <w:vAlign w:val="bottom"/>
            <w:hideMark/>
          </w:tcPr>
          <w:p w:rsidR="00AA36D8" w:rsidRPr="00393B47" w:rsidP="00AA36D8" w14:paraId="00BB0A85" w14:textId="77777777">
            <w:pPr>
              <w:jc w:val="right"/>
              <w:rPr>
                <w:rFonts w:eastAsia="Times New Roman" w:cs="Times New Roman"/>
                <w:color w:val="000000"/>
                <w:szCs w:val="24"/>
              </w:rPr>
            </w:pPr>
            <w:r w:rsidRPr="00393B47">
              <w:rPr>
                <w:rFonts w:eastAsia="Times New Roman" w:cs="Times New Roman"/>
                <w:color w:val="000000"/>
                <w:szCs w:val="24"/>
              </w:rPr>
              <w:t>2,427,132,515</w:t>
            </w:r>
          </w:p>
        </w:tc>
        <w:tc>
          <w:tcPr>
            <w:tcW w:w="1504" w:type="dxa"/>
            <w:tcBorders>
              <w:top w:val="nil"/>
              <w:left w:val="nil"/>
              <w:bottom w:val="single" w:sz="4" w:space="0" w:color="auto"/>
              <w:right w:val="single" w:sz="4" w:space="0" w:color="auto"/>
            </w:tcBorders>
            <w:shd w:val="clear" w:color="auto" w:fill="auto"/>
            <w:noWrap/>
            <w:vAlign w:val="bottom"/>
            <w:hideMark/>
          </w:tcPr>
          <w:p w:rsidR="00AA36D8" w:rsidRPr="00393B47" w:rsidP="00AA36D8" w14:paraId="228F3376" w14:textId="77777777">
            <w:pPr>
              <w:jc w:val="right"/>
              <w:rPr>
                <w:rFonts w:eastAsia="Times New Roman" w:cs="Times New Roman"/>
                <w:color w:val="000000"/>
                <w:szCs w:val="24"/>
              </w:rPr>
            </w:pPr>
            <w:r w:rsidRPr="00393B47">
              <w:rPr>
                <w:rFonts w:eastAsia="Times New Roman" w:cs="Times New Roman"/>
                <w:color w:val="000000"/>
                <w:szCs w:val="24"/>
              </w:rPr>
              <w:t xml:space="preserve">$916,727.95 </w:t>
            </w:r>
          </w:p>
        </w:tc>
      </w:tr>
      <w:tr w14:paraId="5AC840A4" w14:textId="77777777" w:rsidTr="00AA36D8">
        <w:tblPrEx>
          <w:tblW w:w="6056" w:type="dxa"/>
          <w:tblInd w:w="1645" w:type="dxa"/>
          <w:tblLook w:val="04A0"/>
        </w:tblPrEx>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AA36D8" w:rsidRPr="00393B47" w:rsidP="00AA36D8" w14:paraId="60DC8599" w14:textId="77777777">
            <w:pPr>
              <w:rPr>
                <w:rFonts w:eastAsia="Times New Roman" w:cs="Times New Roman"/>
                <w:color w:val="000000"/>
                <w:szCs w:val="24"/>
              </w:rPr>
            </w:pPr>
            <w:r w:rsidRPr="00393B47">
              <w:rPr>
                <w:rFonts w:eastAsia="Times New Roman" w:cs="Times New Roman"/>
                <w:color w:val="000000"/>
                <w:szCs w:val="24"/>
              </w:rPr>
              <w:t>Cleveland Electric</w:t>
            </w:r>
          </w:p>
        </w:tc>
        <w:tc>
          <w:tcPr>
            <w:tcW w:w="1276" w:type="dxa"/>
            <w:tcBorders>
              <w:top w:val="nil"/>
              <w:left w:val="nil"/>
              <w:bottom w:val="single" w:sz="4" w:space="0" w:color="auto"/>
              <w:right w:val="single" w:sz="4" w:space="0" w:color="auto"/>
            </w:tcBorders>
            <w:shd w:val="clear" w:color="auto" w:fill="auto"/>
            <w:noWrap/>
            <w:vAlign w:val="bottom"/>
            <w:hideMark/>
          </w:tcPr>
          <w:p w:rsidR="00AA36D8" w:rsidRPr="00393B47" w:rsidP="00AA36D8" w14:paraId="06FE168D" w14:textId="77777777">
            <w:pPr>
              <w:jc w:val="right"/>
              <w:rPr>
                <w:rFonts w:eastAsia="Times New Roman" w:cs="Times New Roman"/>
                <w:color w:val="000000"/>
                <w:szCs w:val="24"/>
              </w:rPr>
            </w:pPr>
            <w:r w:rsidRPr="00393B47">
              <w:rPr>
                <w:rFonts w:eastAsia="Times New Roman" w:cs="Times New Roman"/>
                <w:color w:val="000000"/>
                <w:szCs w:val="24"/>
              </w:rPr>
              <w:t xml:space="preserve">$0.0003777 </w:t>
            </w:r>
          </w:p>
        </w:tc>
        <w:tc>
          <w:tcPr>
            <w:tcW w:w="1496" w:type="dxa"/>
            <w:tcBorders>
              <w:top w:val="nil"/>
              <w:left w:val="nil"/>
              <w:bottom w:val="single" w:sz="4" w:space="0" w:color="auto"/>
              <w:right w:val="single" w:sz="4" w:space="0" w:color="auto"/>
            </w:tcBorders>
            <w:shd w:val="clear" w:color="auto" w:fill="auto"/>
            <w:noWrap/>
            <w:vAlign w:val="bottom"/>
            <w:hideMark/>
          </w:tcPr>
          <w:p w:rsidR="00AA36D8" w:rsidRPr="00393B47" w:rsidP="00AA36D8" w14:paraId="5CB3DC23" w14:textId="77777777">
            <w:pPr>
              <w:jc w:val="right"/>
              <w:rPr>
                <w:rFonts w:eastAsia="Times New Roman" w:cs="Times New Roman"/>
                <w:color w:val="000000"/>
                <w:szCs w:val="24"/>
              </w:rPr>
            </w:pPr>
            <w:r w:rsidRPr="00393B47">
              <w:rPr>
                <w:rFonts w:eastAsia="Times New Roman" w:cs="Times New Roman"/>
                <w:color w:val="000000"/>
                <w:szCs w:val="24"/>
              </w:rPr>
              <w:t>5,134,657,270</w:t>
            </w:r>
          </w:p>
        </w:tc>
        <w:tc>
          <w:tcPr>
            <w:tcW w:w="1504" w:type="dxa"/>
            <w:tcBorders>
              <w:top w:val="nil"/>
              <w:left w:val="nil"/>
              <w:bottom w:val="single" w:sz="4" w:space="0" w:color="auto"/>
              <w:right w:val="single" w:sz="4" w:space="0" w:color="auto"/>
            </w:tcBorders>
            <w:shd w:val="clear" w:color="auto" w:fill="auto"/>
            <w:noWrap/>
            <w:vAlign w:val="bottom"/>
            <w:hideMark/>
          </w:tcPr>
          <w:p w:rsidR="00AA36D8" w:rsidRPr="00393B47" w:rsidP="00AA36D8" w14:paraId="7B111E67" w14:textId="77777777">
            <w:pPr>
              <w:jc w:val="right"/>
              <w:rPr>
                <w:rFonts w:eastAsia="Times New Roman" w:cs="Times New Roman"/>
                <w:color w:val="000000"/>
                <w:szCs w:val="24"/>
              </w:rPr>
            </w:pPr>
            <w:r w:rsidRPr="00393B47">
              <w:rPr>
                <w:rFonts w:eastAsia="Times New Roman" w:cs="Times New Roman"/>
                <w:color w:val="000000"/>
                <w:szCs w:val="24"/>
              </w:rPr>
              <w:t xml:space="preserve">$1,939,360.05 </w:t>
            </w:r>
          </w:p>
        </w:tc>
      </w:tr>
      <w:tr w14:paraId="6F8DA6C4" w14:textId="77777777" w:rsidTr="00AA36D8">
        <w:tblPrEx>
          <w:tblW w:w="6056" w:type="dxa"/>
          <w:tblInd w:w="1645" w:type="dxa"/>
          <w:tblLook w:val="04A0"/>
        </w:tblPrEx>
        <w:trPr>
          <w:trHeight w:val="300"/>
        </w:trPr>
        <w:tc>
          <w:tcPr>
            <w:tcW w:w="1780" w:type="dxa"/>
            <w:tcBorders>
              <w:top w:val="nil"/>
              <w:left w:val="nil"/>
              <w:bottom w:val="nil"/>
              <w:right w:val="nil"/>
            </w:tcBorders>
            <w:shd w:val="clear" w:color="auto" w:fill="auto"/>
            <w:noWrap/>
            <w:vAlign w:val="bottom"/>
            <w:hideMark/>
          </w:tcPr>
          <w:p w:rsidR="00AA36D8" w:rsidRPr="00393B47" w:rsidP="00AA36D8" w14:paraId="4F64AAB8" w14:textId="77777777">
            <w:pPr>
              <w:jc w:val="right"/>
              <w:rPr>
                <w:rFonts w:eastAsia="Times New Roman" w:cs="Times New Roman"/>
                <w:color w:val="000000"/>
                <w:szCs w:val="24"/>
              </w:rPr>
            </w:pPr>
          </w:p>
        </w:tc>
        <w:tc>
          <w:tcPr>
            <w:tcW w:w="1276" w:type="dxa"/>
            <w:tcBorders>
              <w:top w:val="nil"/>
              <w:left w:val="nil"/>
              <w:bottom w:val="nil"/>
              <w:right w:val="nil"/>
            </w:tcBorders>
            <w:shd w:val="clear" w:color="auto" w:fill="auto"/>
            <w:noWrap/>
            <w:vAlign w:val="bottom"/>
            <w:hideMark/>
          </w:tcPr>
          <w:p w:rsidR="00AA36D8" w:rsidRPr="00393B47" w:rsidP="00AA36D8" w14:paraId="63F63832" w14:textId="77777777">
            <w:pPr>
              <w:rPr>
                <w:rFonts w:eastAsia="Times New Roman" w:cs="Times New Roman"/>
                <w:szCs w:val="24"/>
              </w:rPr>
            </w:pPr>
          </w:p>
        </w:tc>
        <w:tc>
          <w:tcPr>
            <w:tcW w:w="1496" w:type="dxa"/>
            <w:tcBorders>
              <w:top w:val="nil"/>
              <w:left w:val="nil"/>
              <w:bottom w:val="nil"/>
              <w:right w:val="nil"/>
            </w:tcBorders>
            <w:shd w:val="clear" w:color="auto" w:fill="auto"/>
            <w:noWrap/>
            <w:vAlign w:val="bottom"/>
            <w:hideMark/>
          </w:tcPr>
          <w:p w:rsidR="00AA36D8" w:rsidRPr="00393B47" w:rsidP="00AA36D8" w14:paraId="77D6D0D2" w14:textId="77777777">
            <w:pPr>
              <w:rPr>
                <w:rFonts w:eastAsia="Times New Roman" w:cs="Times New Roman"/>
                <w:szCs w:val="24"/>
              </w:rPr>
            </w:pPr>
          </w:p>
        </w:tc>
        <w:tc>
          <w:tcPr>
            <w:tcW w:w="1504" w:type="dxa"/>
            <w:tcBorders>
              <w:top w:val="nil"/>
              <w:left w:val="single" w:sz="4" w:space="0" w:color="auto"/>
              <w:bottom w:val="single" w:sz="4" w:space="0" w:color="auto"/>
              <w:right w:val="single" w:sz="4" w:space="0" w:color="auto"/>
            </w:tcBorders>
            <w:shd w:val="clear" w:color="auto" w:fill="auto"/>
            <w:noWrap/>
            <w:vAlign w:val="bottom"/>
            <w:hideMark/>
          </w:tcPr>
          <w:p w:rsidR="00AA36D8" w:rsidRPr="00393B47" w:rsidP="00AA36D8" w14:paraId="0715EF65" w14:textId="77777777">
            <w:pPr>
              <w:jc w:val="right"/>
              <w:rPr>
                <w:rFonts w:eastAsia="Times New Roman" w:cs="Times New Roman"/>
                <w:b/>
                <w:bCs/>
                <w:color w:val="000000"/>
                <w:szCs w:val="24"/>
              </w:rPr>
            </w:pPr>
            <w:r w:rsidRPr="00393B47">
              <w:rPr>
                <w:rFonts w:eastAsia="Times New Roman" w:cs="Times New Roman"/>
                <w:b/>
                <w:bCs/>
                <w:color w:val="000000"/>
                <w:szCs w:val="24"/>
              </w:rPr>
              <w:t xml:space="preserve">$6,240,346.69 </w:t>
            </w:r>
          </w:p>
        </w:tc>
      </w:tr>
    </w:tbl>
    <w:p w:rsidR="00460129" w:rsidRPr="00393B47" w:rsidP="00AA36D8" w14:paraId="292DC8D2" w14:textId="77777777">
      <w:pPr>
        <w:spacing w:line="480" w:lineRule="auto"/>
        <w:rPr>
          <w:rFonts w:cs="Times New Roman"/>
          <w:szCs w:val="24"/>
        </w:rPr>
      </w:pPr>
    </w:p>
    <w:p w:rsidR="00911A81" w:rsidRPr="00393B47" w:rsidP="00AA36D8" w14:paraId="2EA51EE3" w14:textId="600C52DC">
      <w:pPr>
        <w:spacing w:line="480" w:lineRule="auto"/>
        <w:rPr>
          <w:rFonts w:cs="Times New Roman"/>
          <w:szCs w:val="24"/>
        </w:rPr>
      </w:pPr>
      <w:r w:rsidRPr="00393B47">
        <w:rPr>
          <w:rFonts w:cs="Times New Roman"/>
          <w:szCs w:val="24"/>
        </w:rPr>
        <w:t>And despite ordering FirstEnergy to set its energy efficiency charges to zero, the PUCO approved FirstEnergy’s continued charges for the Economic Load Response program, including $6.2 million in charges to residential customers.</w:t>
      </w:r>
      <w:r>
        <w:rPr>
          <w:rStyle w:val="FootnoteReference"/>
          <w:rFonts w:cs="Times New Roman"/>
          <w:szCs w:val="24"/>
        </w:rPr>
        <w:footnoteReference w:id="5"/>
      </w:r>
      <w:r w:rsidRPr="00393B47">
        <w:rPr>
          <w:rFonts w:cs="Times New Roman"/>
          <w:szCs w:val="24"/>
        </w:rPr>
        <w:t xml:space="preserve"> This was unlawful</w:t>
      </w:r>
      <w:r w:rsidRPr="00393B47" w:rsidR="006C76BE">
        <w:rPr>
          <w:rFonts w:cs="Times New Roman"/>
          <w:szCs w:val="24"/>
        </w:rPr>
        <w:t>. These charges must be terminated.</w:t>
      </w:r>
    </w:p>
    <w:p w:rsidR="006A5A05" w:rsidRPr="00393B47" w:rsidP="000261F3" w14:paraId="6366A860" w14:textId="084B2C90">
      <w:pPr>
        <w:keepNext/>
        <w:keepLines/>
        <w:spacing w:after="240"/>
        <w:rPr>
          <w:rFonts w:cs="Times New Roman"/>
          <w:b/>
          <w:szCs w:val="24"/>
        </w:rPr>
      </w:pPr>
      <w:r w:rsidRPr="00393B47">
        <w:rPr>
          <w:rFonts w:cs="Times New Roman"/>
          <w:b/>
          <w:szCs w:val="24"/>
        </w:rPr>
        <w:t>I.</w:t>
      </w:r>
      <w:r w:rsidRPr="00393B47">
        <w:rPr>
          <w:rFonts w:cs="Times New Roman"/>
          <w:b/>
          <w:szCs w:val="24"/>
        </w:rPr>
        <w:tab/>
      </w:r>
      <w:r w:rsidRPr="00393B47">
        <w:rPr>
          <w:rFonts w:cs="Times New Roman"/>
          <w:b/>
          <w:szCs w:val="24"/>
        </w:rPr>
        <w:t>ASSIGNMENTS OF ERROR</w:t>
      </w:r>
    </w:p>
    <w:p w:rsidR="000261F3" w:rsidRPr="00393B47" w:rsidP="000261F3" w14:paraId="206ECB26" w14:textId="49609FCE">
      <w:pPr>
        <w:keepNext/>
        <w:keepLines/>
        <w:spacing w:after="240"/>
        <w:rPr>
          <w:rFonts w:cs="Times New Roman"/>
          <w:b/>
          <w:szCs w:val="24"/>
        </w:rPr>
      </w:pPr>
      <w:r w:rsidRPr="00393B47">
        <w:rPr>
          <w:rFonts w:cs="Times New Roman"/>
          <w:b/>
          <w:szCs w:val="24"/>
        </w:rPr>
        <w:t>Assignment of Error</w:t>
      </w:r>
      <w:r w:rsidRPr="00393B47" w:rsidR="006A5A05">
        <w:rPr>
          <w:rFonts w:cs="Times New Roman"/>
          <w:b/>
          <w:szCs w:val="24"/>
        </w:rPr>
        <w:t xml:space="preserve"> 1</w:t>
      </w:r>
      <w:r w:rsidRPr="00393B47">
        <w:rPr>
          <w:rFonts w:cs="Times New Roman"/>
          <w:b/>
          <w:szCs w:val="24"/>
        </w:rPr>
        <w:t xml:space="preserve">: </w:t>
      </w:r>
      <w:r w:rsidRPr="00393B47" w:rsidR="006C76BE">
        <w:rPr>
          <w:rFonts w:cs="Times New Roman"/>
          <w:b/>
          <w:bCs/>
          <w:szCs w:val="24"/>
        </w:rPr>
        <w:t>The Entry is unlawful under R.C. 4928.66(G)(3)</w:t>
      </w:r>
      <w:r w:rsidRPr="00393B47" w:rsidR="00861A35">
        <w:rPr>
          <w:rFonts w:cs="Times New Roman"/>
          <w:b/>
          <w:bCs/>
          <w:szCs w:val="24"/>
        </w:rPr>
        <w:t xml:space="preserve"> – from tainted House Bill 6</w:t>
      </w:r>
      <w:r w:rsidRPr="00393B47" w:rsidR="006C76BE">
        <w:rPr>
          <w:rFonts w:cs="Times New Roman"/>
          <w:b/>
          <w:bCs/>
          <w:szCs w:val="24"/>
        </w:rPr>
        <w:t xml:space="preserve"> </w:t>
      </w:r>
      <w:r w:rsidRPr="00393B47" w:rsidR="00861A35">
        <w:rPr>
          <w:rFonts w:cs="Times New Roman"/>
          <w:b/>
          <w:bCs/>
          <w:szCs w:val="24"/>
        </w:rPr>
        <w:t xml:space="preserve">– </w:t>
      </w:r>
      <w:r w:rsidRPr="00393B47" w:rsidR="006C76BE">
        <w:rPr>
          <w:rFonts w:cs="Times New Roman"/>
          <w:b/>
          <w:bCs/>
          <w:szCs w:val="24"/>
        </w:rPr>
        <w:t>because it allows FirstEnergy to keep charging customers for a peak demand response program</w:t>
      </w:r>
      <w:r w:rsidRPr="00393B47" w:rsidR="00F37454">
        <w:rPr>
          <w:rFonts w:cs="Times New Roman"/>
          <w:b/>
          <w:bCs/>
          <w:szCs w:val="24"/>
        </w:rPr>
        <w:t>.</w:t>
      </w:r>
      <w:r w:rsidRPr="00393B47" w:rsidR="006C76BE">
        <w:rPr>
          <w:rFonts w:cs="Times New Roman"/>
          <w:b/>
          <w:bCs/>
          <w:szCs w:val="24"/>
        </w:rPr>
        <w:t xml:space="preserve"> R.C. 4928.66(G)(3) prohibits any such charges</w:t>
      </w:r>
      <w:r w:rsidRPr="00393B47" w:rsidR="00F37454">
        <w:rPr>
          <w:rFonts w:cs="Times New Roman"/>
          <w:b/>
          <w:bCs/>
          <w:szCs w:val="24"/>
        </w:rPr>
        <w:t xml:space="preserve"> to consumers</w:t>
      </w:r>
      <w:r w:rsidRPr="00393B47" w:rsidR="006C76BE">
        <w:rPr>
          <w:rFonts w:cs="Times New Roman"/>
          <w:b/>
          <w:bCs/>
          <w:szCs w:val="24"/>
        </w:rPr>
        <w:t xml:space="preserve"> now that the law contains no peak demand </w:t>
      </w:r>
      <w:r w:rsidRPr="00393B47" w:rsidR="00C11259">
        <w:rPr>
          <w:rFonts w:cs="Times New Roman"/>
          <w:b/>
          <w:bCs/>
          <w:szCs w:val="24"/>
        </w:rPr>
        <w:t>reduction</w:t>
      </w:r>
      <w:r w:rsidRPr="00393B47" w:rsidR="006C76BE">
        <w:rPr>
          <w:rFonts w:cs="Times New Roman"/>
          <w:b/>
          <w:bCs/>
          <w:szCs w:val="24"/>
        </w:rPr>
        <w:t xml:space="preserve"> mandates.</w:t>
      </w:r>
    </w:p>
    <w:p w:rsidR="006A27AB" w:rsidRPr="00393B47" w:rsidP="008E7BC5" w14:paraId="5D849B46" w14:textId="4C915DA7">
      <w:pPr>
        <w:spacing w:line="480" w:lineRule="auto"/>
        <w:ind w:firstLine="720"/>
        <w:rPr>
          <w:rFonts w:cs="Times New Roman"/>
          <w:szCs w:val="24"/>
        </w:rPr>
      </w:pPr>
      <w:r w:rsidRPr="00393B47">
        <w:rPr>
          <w:rFonts w:cs="Times New Roman"/>
          <w:szCs w:val="24"/>
        </w:rPr>
        <w:t xml:space="preserve">Under R.C. 4928.66(G)(3), when utilities have achieved full compliance with statutory energy efficiency </w:t>
      </w:r>
      <w:r w:rsidRPr="00393B47" w:rsidR="00C11259">
        <w:rPr>
          <w:rFonts w:cs="Times New Roman"/>
          <w:szCs w:val="24"/>
        </w:rPr>
        <w:t xml:space="preserve">and peak demand reduction </w:t>
      </w:r>
      <w:r w:rsidRPr="00393B47">
        <w:rPr>
          <w:rFonts w:cs="Times New Roman"/>
          <w:szCs w:val="24"/>
        </w:rPr>
        <w:t>mandates (which occur</w:t>
      </w:r>
      <w:r w:rsidRPr="00393B47" w:rsidR="00DB31BE">
        <w:rPr>
          <w:rFonts w:cs="Times New Roman"/>
          <w:szCs w:val="24"/>
        </w:rPr>
        <w:t>red</w:t>
      </w:r>
      <w:r w:rsidRPr="00393B47">
        <w:rPr>
          <w:rFonts w:cs="Times New Roman"/>
          <w:szCs w:val="24"/>
        </w:rPr>
        <w:t xml:space="preserve"> </w:t>
      </w:r>
      <w:r w:rsidRPr="00393B47" w:rsidR="00460129">
        <w:rPr>
          <w:rFonts w:cs="Times New Roman"/>
          <w:szCs w:val="24"/>
        </w:rPr>
        <w:t>at</w:t>
      </w:r>
      <w:r w:rsidRPr="00393B47">
        <w:rPr>
          <w:rFonts w:cs="Times New Roman"/>
          <w:szCs w:val="24"/>
        </w:rPr>
        <w:t xml:space="preserve"> the end of 2020), they are required to terminate their energy efficiency </w:t>
      </w:r>
      <w:r w:rsidRPr="00393B47" w:rsidR="00C11259">
        <w:rPr>
          <w:rFonts w:cs="Times New Roman"/>
          <w:szCs w:val="24"/>
        </w:rPr>
        <w:t xml:space="preserve">and peak demand reduction </w:t>
      </w:r>
      <w:r w:rsidRPr="00393B47">
        <w:rPr>
          <w:rFonts w:cs="Times New Roman"/>
          <w:szCs w:val="24"/>
        </w:rPr>
        <w:t xml:space="preserve">charges to customers. The statute provides that “any electric distribution utility cost recovery mechanism authorized by the commission for compliance with [energy efficiency mandates] </w:t>
      </w:r>
      <w:r w:rsidRPr="00393B47">
        <w:rPr>
          <w:rFonts w:cs="Times New Roman"/>
          <w:i/>
          <w:szCs w:val="24"/>
        </w:rPr>
        <w:t>shall terminate</w:t>
      </w:r>
      <w:r w:rsidRPr="00393B47">
        <w:rPr>
          <w:rFonts w:cs="Times New Roman"/>
          <w:szCs w:val="24"/>
        </w:rPr>
        <w:t xml:space="preserve"> except as necessary to reconcile the difference between revenue collected and the allowable cost of compliance associated with compliance efforts occurring prior to the date upon which full compliance [with energy efficiency mandates] is deemed achieved.”</w:t>
      </w:r>
    </w:p>
    <w:p w:rsidR="00460129" w:rsidRPr="00393B47" w:rsidP="00131FAC" w14:paraId="05A0CD3F" w14:textId="678D23FF">
      <w:pPr>
        <w:spacing w:line="480" w:lineRule="auto"/>
        <w:ind w:firstLine="720"/>
        <w:rPr>
          <w:rFonts w:cs="Times New Roman"/>
          <w:szCs w:val="24"/>
        </w:rPr>
      </w:pPr>
      <w:r w:rsidRPr="00393B47">
        <w:rPr>
          <w:rFonts w:cs="Times New Roman"/>
          <w:szCs w:val="24"/>
        </w:rPr>
        <w:t xml:space="preserve">The PUCO approved </w:t>
      </w:r>
      <w:r w:rsidRPr="00393B47" w:rsidR="009B6941">
        <w:rPr>
          <w:rFonts w:cs="Times New Roman"/>
          <w:szCs w:val="24"/>
        </w:rPr>
        <w:t>FirstEnergy’s request to continue charging customers for its Economic Load Response program</w:t>
      </w:r>
      <w:r w:rsidRPr="00393B47">
        <w:rPr>
          <w:rFonts w:cs="Times New Roman"/>
          <w:szCs w:val="24"/>
        </w:rPr>
        <w:t>.</w:t>
      </w:r>
      <w:r>
        <w:rPr>
          <w:rStyle w:val="FootnoteReference"/>
          <w:rFonts w:cs="Times New Roman"/>
          <w:szCs w:val="24"/>
        </w:rPr>
        <w:footnoteReference w:id="6"/>
      </w:r>
      <w:r w:rsidRPr="00393B47">
        <w:rPr>
          <w:rFonts w:cs="Times New Roman"/>
          <w:szCs w:val="24"/>
        </w:rPr>
        <w:t xml:space="preserve"> But it should not have because the Economic Load Response program is a peak demand reduction program that FirstEnergy used to meet the now-</w:t>
      </w:r>
      <w:r w:rsidRPr="00393B47" w:rsidR="009B6941">
        <w:rPr>
          <w:rFonts w:cs="Times New Roman"/>
          <w:szCs w:val="24"/>
        </w:rPr>
        <w:t>terminated</w:t>
      </w:r>
      <w:r w:rsidRPr="00393B47">
        <w:rPr>
          <w:rFonts w:cs="Times New Roman"/>
          <w:szCs w:val="24"/>
        </w:rPr>
        <w:t xml:space="preserve"> peak demand reduction mandates. </w:t>
      </w:r>
      <w:r w:rsidRPr="00393B47" w:rsidR="00F37454">
        <w:rPr>
          <w:rFonts w:cs="Times New Roman"/>
          <w:szCs w:val="24"/>
        </w:rPr>
        <w:t>T</w:t>
      </w:r>
      <w:r w:rsidRPr="00393B47">
        <w:rPr>
          <w:rFonts w:cs="Times New Roman"/>
          <w:szCs w:val="24"/>
        </w:rPr>
        <w:t>he law says that all such charges must end.</w:t>
      </w:r>
    </w:p>
    <w:p w:rsidR="00460129" w:rsidRPr="00393B47" w:rsidP="00131FAC" w14:paraId="31F27848" w14:textId="66C21DA7">
      <w:pPr>
        <w:spacing w:line="480" w:lineRule="auto"/>
        <w:ind w:firstLine="720"/>
        <w:rPr>
          <w:rFonts w:cs="Times New Roman"/>
          <w:szCs w:val="24"/>
        </w:rPr>
      </w:pPr>
      <w:r w:rsidRPr="00393B47">
        <w:rPr>
          <w:rFonts w:cs="Times New Roman"/>
          <w:szCs w:val="24"/>
        </w:rPr>
        <w:t xml:space="preserve">It </w:t>
      </w:r>
      <w:r w:rsidRPr="00393B47" w:rsidR="00323DD7">
        <w:rPr>
          <w:rFonts w:cs="Times New Roman"/>
          <w:szCs w:val="24"/>
        </w:rPr>
        <w:t xml:space="preserve">is unclear why </w:t>
      </w:r>
      <w:r w:rsidRPr="00393B47">
        <w:rPr>
          <w:rFonts w:cs="Times New Roman"/>
          <w:szCs w:val="24"/>
        </w:rPr>
        <w:t>the PUCO approved these charges</w:t>
      </w:r>
      <w:r w:rsidRPr="00393B47" w:rsidR="00323DD7">
        <w:rPr>
          <w:rFonts w:cs="Times New Roman"/>
          <w:szCs w:val="24"/>
        </w:rPr>
        <w:t xml:space="preserve"> because</w:t>
      </w:r>
      <w:r w:rsidRPr="00393B47" w:rsidR="00AA2789">
        <w:rPr>
          <w:rFonts w:cs="Times New Roman"/>
          <w:szCs w:val="24"/>
        </w:rPr>
        <w:t>,</w:t>
      </w:r>
      <w:r w:rsidRPr="00393B47">
        <w:rPr>
          <w:rFonts w:cs="Times New Roman"/>
          <w:szCs w:val="24"/>
        </w:rPr>
        <w:t xml:space="preserve"> as discussed below, the PUCO did not provide any</w:t>
      </w:r>
      <w:r w:rsidRPr="00393B47" w:rsidR="00984E50">
        <w:rPr>
          <w:rFonts w:cs="Times New Roman"/>
          <w:szCs w:val="24"/>
        </w:rPr>
        <w:t xml:space="preserve"> support</w:t>
      </w:r>
      <w:r w:rsidRPr="00393B47">
        <w:rPr>
          <w:rFonts w:cs="Times New Roman"/>
          <w:szCs w:val="24"/>
        </w:rPr>
        <w:t xml:space="preserve"> </w:t>
      </w:r>
      <w:r w:rsidRPr="00393B47" w:rsidR="00984E50">
        <w:rPr>
          <w:rFonts w:cs="Times New Roman"/>
          <w:szCs w:val="24"/>
        </w:rPr>
        <w:t xml:space="preserve">for allowing this charge to continue </w:t>
      </w:r>
      <w:r w:rsidRPr="00393B47">
        <w:rPr>
          <w:rFonts w:cs="Times New Roman"/>
          <w:szCs w:val="24"/>
        </w:rPr>
        <w:t xml:space="preserve">in its December 30, 2020 Entry.) </w:t>
      </w:r>
      <w:r w:rsidRPr="00393B47" w:rsidR="006A5A05">
        <w:rPr>
          <w:rFonts w:cs="Times New Roman"/>
          <w:szCs w:val="24"/>
        </w:rPr>
        <w:t xml:space="preserve">But </w:t>
      </w:r>
      <w:r w:rsidRPr="00393B47" w:rsidR="00323DD7">
        <w:rPr>
          <w:rFonts w:cs="Times New Roman"/>
          <w:szCs w:val="24"/>
        </w:rPr>
        <w:t xml:space="preserve">the </w:t>
      </w:r>
      <w:r w:rsidRPr="00393B47" w:rsidR="006A5A05">
        <w:rPr>
          <w:rFonts w:cs="Times New Roman"/>
          <w:szCs w:val="24"/>
        </w:rPr>
        <w:t>program is directly related to compliance with the former mandates. The tariffs themselves say so</w:t>
      </w:r>
      <w:r w:rsidRPr="00393B47" w:rsidR="00AA2789">
        <w:rPr>
          <w:rFonts w:cs="Times New Roman"/>
          <w:szCs w:val="24"/>
        </w:rPr>
        <w:t>,</w:t>
      </w:r>
      <w:r w:rsidRPr="00393B47" w:rsidR="00984E50">
        <w:rPr>
          <w:rFonts w:cs="Times New Roman"/>
          <w:szCs w:val="24"/>
        </w:rPr>
        <w:t xml:space="preserve"> and these tariffs were approved by the PUCO</w:t>
      </w:r>
      <w:r w:rsidRPr="00393B47" w:rsidR="006A5A05">
        <w:rPr>
          <w:rFonts w:cs="Times New Roman"/>
          <w:szCs w:val="24"/>
        </w:rPr>
        <w:t>.</w:t>
      </w:r>
    </w:p>
    <w:p w:rsidR="006A5A05" w:rsidRPr="00393B47" w:rsidP="00131FAC" w14:paraId="315722FD" w14:textId="46CE01FE">
      <w:pPr>
        <w:spacing w:line="480" w:lineRule="auto"/>
        <w:ind w:firstLine="720"/>
        <w:rPr>
          <w:rFonts w:cs="Times New Roman"/>
          <w:szCs w:val="24"/>
        </w:rPr>
      </w:pPr>
      <w:r w:rsidRPr="00393B47">
        <w:rPr>
          <w:rFonts w:cs="Times New Roman"/>
          <w:szCs w:val="24"/>
        </w:rPr>
        <w:t xml:space="preserve">One condition to </w:t>
      </w:r>
      <w:r w:rsidRPr="00393B47" w:rsidR="009B6941">
        <w:rPr>
          <w:rFonts w:cs="Times New Roman"/>
          <w:szCs w:val="24"/>
        </w:rPr>
        <w:t xml:space="preserve">nonresidential customers </w:t>
      </w:r>
      <w:r w:rsidRPr="00393B47">
        <w:rPr>
          <w:rFonts w:cs="Times New Roman"/>
          <w:szCs w:val="24"/>
        </w:rPr>
        <w:t>participating in the Economic Load Response program is that “the customer commits its demand response capability to Company for integration into Company’s R.C. § 4928.66 compliance programs.”</w:t>
      </w:r>
      <w:r>
        <w:rPr>
          <w:rStyle w:val="FootnoteReference"/>
          <w:rFonts w:cs="Times New Roman"/>
          <w:szCs w:val="24"/>
        </w:rPr>
        <w:footnoteReference w:id="7"/>
      </w:r>
      <w:r w:rsidRPr="00393B47">
        <w:rPr>
          <w:rFonts w:cs="Times New Roman"/>
          <w:szCs w:val="24"/>
        </w:rPr>
        <w:t xml:space="preserve"> Another condition to participating in the Economic Load Response program is that “the Commission finds that the demand response capabilities of customers electing service under this rider shall count towards the Company’s compliance with the peak demand reduction benchmarks set forth in R.C. § 4928.66 ....”</w:t>
      </w:r>
      <w:r>
        <w:rPr>
          <w:rStyle w:val="FootnoteReference"/>
          <w:rFonts w:cs="Times New Roman"/>
          <w:szCs w:val="24"/>
        </w:rPr>
        <w:footnoteReference w:id="8"/>
      </w:r>
    </w:p>
    <w:p w:rsidR="006A5A05" w:rsidRPr="00393B47" w:rsidP="00131FAC" w14:paraId="6EECC9E1" w14:textId="3F06009A">
      <w:pPr>
        <w:spacing w:line="480" w:lineRule="auto"/>
        <w:ind w:firstLine="720"/>
        <w:rPr>
          <w:rFonts w:cs="Times New Roman"/>
          <w:szCs w:val="24"/>
        </w:rPr>
      </w:pPr>
      <w:r w:rsidRPr="00393B47">
        <w:rPr>
          <w:rFonts w:cs="Times New Roman"/>
          <w:szCs w:val="24"/>
        </w:rPr>
        <w:t>This language could not be any clearer: the Economic Load Response program was “authorized by the commission for compliance” with peak demand reduction mandates, and thus, the charges to customers for this program “shall terminate” under R.C. 4928.66(G)(3).</w:t>
      </w:r>
      <w:r>
        <w:rPr>
          <w:rStyle w:val="FootnoteReference"/>
          <w:rFonts w:cs="Times New Roman"/>
          <w:szCs w:val="24"/>
        </w:rPr>
        <w:footnoteReference w:id="9"/>
      </w:r>
    </w:p>
    <w:p w:rsidR="00865CD3" w:rsidRPr="00393B47" w:rsidP="00131FAC" w14:paraId="54D15849" w14:textId="77777777">
      <w:pPr>
        <w:spacing w:line="480" w:lineRule="auto"/>
        <w:ind w:firstLine="720"/>
        <w:rPr>
          <w:rFonts w:cs="Times New Roman"/>
          <w:szCs w:val="24"/>
        </w:rPr>
      </w:pPr>
      <w:r w:rsidRPr="00393B47">
        <w:rPr>
          <w:rFonts w:cs="Times New Roman"/>
          <w:szCs w:val="24"/>
        </w:rPr>
        <w:t xml:space="preserve">Further, </w:t>
      </w:r>
      <w:r w:rsidRPr="00393B47" w:rsidR="00E0737B">
        <w:rPr>
          <w:rFonts w:cs="Times New Roman"/>
          <w:szCs w:val="24"/>
        </w:rPr>
        <w:t xml:space="preserve">FirstEnergy’s own annual reports </w:t>
      </w:r>
      <w:r w:rsidRPr="00393B47">
        <w:rPr>
          <w:rFonts w:cs="Times New Roman"/>
          <w:szCs w:val="24"/>
        </w:rPr>
        <w:t>confirm that the Economic Load Response program was part of FirstEnergy’s compliance with mandates</w:t>
      </w:r>
      <w:r w:rsidRPr="00393B47" w:rsidR="00E0737B">
        <w:rPr>
          <w:rFonts w:cs="Times New Roman"/>
          <w:szCs w:val="24"/>
        </w:rPr>
        <w:t xml:space="preserve">. </w:t>
      </w:r>
      <w:r w:rsidRPr="00393B47" w:rsidR="00131FAC">
        <w:rPr>
          <w:rFonts w:cs="Times New Roman"/>
          <w:szCs w:val="24"/>
        </w:rPr>
        <w:t>For example, in FirstEnergy’s most recent report, it states that the report “addresses the Companies’ compliance with the energy efficiency (‘EE’) and peak demand reduction (‘PDR’) benchmarks set forth in O.R.C. § 4928.66(A).”</w:t>
      </w:r>
      <w:r>
        <w:rPr>
          <w:rStyle w:val="FootnoteReference"/>
          <w:rFonts w:cs="Times New Roman"/>
          <w:szCs w:val="24"/>
        </w:rPr>
        <w:footnoteReference w:id="10"/>
      </w:r>
      <w:r w:rsidRPr="00393B47" w:rsidR="00131FAC">
        <w:rPr>
          <w:rFonts w:cs="Times New Roman"/>
          <w:szCs w:val="24"/>
        </w:rPr>
        <w:t xml:space="preserve"> FirstEnergy then specifically </w:t>
      </w:r>
      <w:r w:rsidRPr="00393B47" w:rsidR="00E0737B">
        <w:rPr>
          <w:rFonts w:cs="Times New Roman"/>
          <w:szCs w:val="24"/>
        </w:rPr>
        <w:t xml:space="preserve">references the Economic Load Response </w:t>
      </w:r>
      <w:r w:rsidRPr="00393B47">
        <w:rPr>
          <w:rFonts w:cs="Times New Roman"/>
          <w:szCs w:val="24"/>
        </w:rPr>
        <w:t>p</w:t>
      </w:r>
      <w:r w:rsidRPr="00393B47" w:rsidR="00E0737B">
        <w:rPr>
          <w:rFonts w:cs="Times New Roman"/>
          <w:szCs w:val="24"/>
        </w:rPr>
        <w:t xml:space="preserve">rogram as part of its demand response </w:t>
      </w:r>
      <w:r w:rsidRPr="00393B47" w:rsidR="00131FAC">
        <w:rPr>
          <w:rFonts w:cs="Times New Roman"/>
          <w:szCs w:val="24"/>
        </w:rPr>
        <w:t>mandate compliance efforts: “The Companies’ Demand Reduction Program leveraged demand response resources including ... resources participating on the Companies’ C/I Interruptible Load Reduction Tariff (ELR).”</w:t>
      </w:r>
      <w:r>
        <w:rPr>
          <w:rStyle w:val="FootnoteReference"/>
          <w:rFonts w:cs="Times New Roman"/>
          <w:szCs w:val="24"/>
        </w:rPr>
        <w:footnoteReference w:id="11"/>
      </w:r>
      <w:r w:rsidRPr="00393B47" w:rsidR="00131FAC">
        <w:rPr>
          <w:rFonts w:cs="Times New Roman"/>
          <w:szCs w:val="24"/>
        </w:rPr>
        <w:t xml:space="preserve"> </w:t>
      </w:r>
    </w:p>
    <w:p w:rsidR="00E0737B" w:rsidRPr="00393B47" w:rsidP="00131FAC" w14:paraId="02C609F2" w14:textId="4DE13C41">
      <w:pPr>
        <w:spacing w:line="480" w:lineRule="auto"/>
        <w:ind w:firstLine="720"/>
        <w:rPr>
          <w:rFonts w:cs="Times New Roman"/>
          <w:szCs w:val="24"/>
        </w:rPr>
      </w:pPr>
      <w:r w:rsidRPr="00393B47">
        <w:rPr>
          <w:rFonts w:cs="Times New Roman"/>
          <w:szCs w:val="24"/>
        </w:rPr>
        <w:t xml:space="preserve">This shows that the Economic Load Response program </w:t>
      </w:r>
      <w:r w:rsidRPr="00393B47" w:rsidR="006A5A05">
        <w:rPr>
          <w:rFonts w:cs="Times New Roman"/>
          <w:szCs w:val="24"/>
        </w:rPr>
        <w:t>was</w:t>
      </w:r>
      <w:r w:rsidRPr="00393B47">
        <w:rPr>
          <w:rFonts w:cs="Times New Roman"/>
          <w:szCs w:val="24"/>
        </w:rPr>
        <w:t xml:space="preserve"> used for purposes of compliance with peak demand reduction mandates</w:t>
      </w:r>
      <w:r w:rsidRPr="00393B47" w:rsidR="006A5A05">
        <w:rPr>
          <w:rFonts w:cs="Times New Roman"/>
          <w:szCs w:val="24"/>
        </w:rPr>
        <w:t xml:space="preserve">. Thus, </w:t>
      </w:r>
      <w:r w:rsidRPr="00393B47">
        <w:rPr>
          <w:rFonts w:cs="Times New Roman"/>
          <w:szCs w:val="24"/>
        </w:rPr>
        <w:t>R.C. 4928.66(G)(3) applies, prohibiting FirstEnergy from continuing to charge customers for it.</w:t>
      </w:r>
    </w:p>
    <w:p w:rsidR="006A5A05" w:rsidRPr="00393B47" w:rsidP="006A5A05" w14:paraId="1F22DC50" w14:textId="73D58391">
      <w:pPr>
        <w:keepNext/>
        <w:keepLines/>
        <w:spacing w:after="240"/>
        <w:rPr>
          <w:rFonts w:cs="Times New Roman"/>
          <w:szCs w:val="24"/>
        </w:rPr>
      </w:pPr>
      <w:r w:rsidRPr="00393B47">
        <w:rPr>
          <w:rFonts w:cs="Times New Roman"/>
          <w:b/>
          <w:bCs/>
          <w:szCs w:val="24"/>
        </w:rPr>
        <w:t>Assignment of Error 2: The Entry is unlawful under R.C. 4903.09 because it provides no explanation of the PUCO’s reasoning for allowing FirstEnergy to continue charging customers for a peak demand response despite the prohibition under R.C. 4928.66(G)(3)</w:t>
      </w:r>
      <w:r w:rsidRPr="00393B47" w:rsidR="00865CD3">
        <w:rPr>
          <w:rFonts w:cs="Times New Roman"/>
          <w:b/>
          <w:bCs/>
          <w:szCs w:val="24"/>
        </w:rPr>
        <w:t xml:space="preserve"> – from tainted House Bill 6</w:t>
      </w:r>
      <w:r w:rsidRPr="00393B47">
        <w:rPr>
          <w:rFonts w:cs="Times New Roman"/>
          <w:b/>
          <w:bCs/>
          <w:szCs w:val="24"/>
        </w:rPr>
        <w:t>.</w:t>
      </w:r>
    </w:p>
    <w:p w:rsidR="006A5A05" w:rsidRPr="00393B47" w:rsidP="00131FAC" w14:paraId="70DBC21A" w14:textId="05A9F0F6">
      <w:pPr>
        <w:spacing w:line="480" w:lineRule="auto"/>
        <w:ind w:firstLine="720"/>
        <w:rPr>
          <w:rFonts w:cs="Times New Roman"/>
          <w:szCs w:val="24"/>
        </w:rPr>
      </w:pPr>
      <w:r w:rsidRPr="00393B47">
        <w:rPr>
          <w:rFonts w:cs="Times New Roman"/>
          <w:szCs w:val="24"/>
        </w:rPr>
        <w:t>R.C. 4903.09 requires the PUCO to file “findings of fact and written opinions setting forth the reasons prompting the decisions arrived at, based upon said findings of fact.” In approving FirstEnergy’s charges to customers for its Economic Load Response program, the PUCO provided no explanation.</w:t>
      </w:r>
    </w:p>
    <w:p w:rsidR="006A5A05" w:rsidRPr="00393B47" w:rsidP="00131FAC" w14:paraId="0AA79982" w14:textId="66733D5D">
      <w:pPr>
        <w:spacing w:line="480" w:lineRule="auto"/>
        <w:ind w:firstLine="720"/>
        <w:rPr>
          <w:rFonts w:cs="Times New Roman"/>
          <w:szCs w:val="24"/>
        </w:rPr>
      </w:pPr>
      <w:r w:rsidRPr="00393B47">
        <w:rPr>
          <w:rFonts w:cs="Times New Roman"/>
          <w:szCs w:val="24"/>
        </w:rPr>
        <w:t>The Entry says</w:t>
      </w:r>
      <w:r w:rsidRPr="00393B47" w:rsidR="009B6941">
        <w:rPr>
          <w:rFonts w:cs="Times New Roman"/>
          <w:szCs w:val="24"/>
        </w:rPr>
        <w:t xml:space="preserve"> the following and nothing else:</w:t>
      </w:r>
      <w:r w:rsidRPr="00393B47">
        <w:rPr>
          <w:rFonts w:cs="Times New Roman"/>
          <w:szCs w:val="24"/>
        </w:rPr>
        <w:t xml:space="preserve"> “As to FirstEnergy’s filing, we note that we are only approving the proposed compliance tariffs filed on December 23, 2020 in Case Nos. 20-1673-EL-RDR and 20-1748-EL-ATA, to the extent they establish revised charges for Rider DSE1 and set Rider DSE2 to zero.”</w:t>
      </w:r>
      <w:r>
        <w:rPr>
          <w:rStyle w:val="FootnoteReference"/>
          <w:rFonts w:cs="Times New Roman"/>
          <w:szCs w:val="24"/>
        </w:rPr>
        <w:footnoteReference w:id="12"/>
      </w:r>
      <w:r w:rsidRPr="00393B47">
        <w:rPr>
          <w:rFonts w:cs="Times New Roman"/>
          <w:szCs w:val="24"/>
        </w:rPr>
        <w:t xml:space="preserve"> Rider DSE1 is the charge for the Economic Load Response program. The PUCO provides no explanation as to </w:t>
      </w:r>
      <w:r w:rsidRPr="00393B47">
        <w:rPr>
          <w:rFonts w:cs="Times New Roman"/>
          <w:i/>
          <w:iCs/>
          <w:szCs w:val="24"/>
        </w:rPr>
        <w:t>why</w:t>
      </w:r>
      <w:r w:rsidRPr="00393B47">
        <w:rPr>
          <w:rFonts w:cs="Times New Roman"/>
          <w:szCs w:val="24"/>
        </w:rPr>
        <w:t xml:space="preserve"> it is approving the charges under Rider DSE1—the Entry simply says that it is doing so. This violates R.C. 4903.09 because there is no way for anyone to evaluate the basis for the PUCO’s ruling.</w:t>
      </w:r>
      <w:r w:rsidRPr="00393B47" w:rsidR="00913609">
        <w:rPr>
          <w:rFonts w:cs="Times New Roman"/>
          <w:szCs w:val="24"/>
        </w:rPr>
        <w:t xml:space="preserve"> Maybe that is because there is no basis for such a ruling that transfers more </w:t>
      </w:r>
      <w:r w:rsidRPr="00393B47" w:rsidR="00BB2A4F">
        <w:rPr>
          <w:rFonts w:cs="Times New Roman"/>
          <w:szCs w:val="24"/>
        </w:rPr>
        <w:t>of consumers’ money to FirstEnergy, related to a House Bill 6 issue.</w:t>
      </w:r>
    </w:p>
    <w:p w:rsidR="0072063D" w:rsidRPr="00393B47" w:rsidP="00EC4965" w14:paraId="6A1EA68D" w14:textId="77777777">
      <w:pPr>
        <w:keepNext/>
        <w:keepLines/>
        <w:spacing w:after="240"/>
        <w:rPr>
          <w:rFonts w:cs="Times New Roman"/>
          <w:b/>
          <w:szCs w:val="24"/>
        </w:rPr>
      </w:pPr>
      <w:r w:rsidRPr="00393B47">
        <w:rPr>
          <w:rFonts w:cs="Times New Roman"/>
          <w:b/>
          <w:szCs w:val="24"/>
        </w:rPr>
        <w:t>II</w:t>
      </w:r>
      <w:r w:rsidRPr="00393B47" w:rsidR="00EC4965">
        <w:rPr>
          <w:rFonts w:cs="Times New Roman"/>
          <w:b/>
          <w:szCs w:val="24"/>
        </w:rPr>
        <w:t>.</w:t>
      </w:r>
      <w:r w:rsidRPr="00393B47" w:rsidR="00EC4965">
        <w:rPr>
          <w:rFonts w:cs="Times New Roman"/>
          <w:b/>
          <w:szCs w:val="24"/>
        </w:rPr>
        <w:tab/>
        <w:t>CONCLUSION</w:t>
      </w:r>
    </w:p>
    <w:p w:rsidR="0072063D" w:rsidRPr="00393B47" w:rsidP="008E7BC5" w14:paraId="34E87040" w14:textId="0FA1F079">
      <w:pPr>
        <w:spacing w:line="480" w:lineRule="auto"/>
        <w:ind w:firstLine="720"/>
        <w:rPr>
          <w:rFonts w:cs="Times New Roman"/>
          <w:szCs w:val="24"/>
        </w:rPr>
      </w:pPr>
      <w:r w:rsidRPr="00393B47">
        <w:rPr>
          <w:rFonts w:cs="Times New Roman"/>
          <w:szCs w:val="24"/>
        </w:rPr>
        <w:t xml:space="preserve">For the foregoing reasons, the PUCO must </w:t>
      </w:r>
      <w:r w:rsidRPr="00393B47" w:rsidR="006E74D5">
        <w:rPr>
          <w:rFonts w:cs="Times New Roman"/>
          <w:szCs w:val="24"/>
        </w:rPr>
        <w:t xml:space="preserve">abrogate </w:t>
      </w:r>
      <w:r w:rsidRPr="00393B47" w:rsidR="003330B2">
        <w:rPr>
          <w:rFonts w:cs="Times New Roman"/>
          <w:szCs w:val="24"/>
        </w:rPr>
        <w:t xml:space="preserve">or modify </w:t>
      </w:r>
      <w:r w:rsidRPr="00393B47" w:rsidR="006E74D5">
        <w:rPr>
          <w:rFonts w:cs="Times New Roman"/>
          <w:szCs w:val="24"/>
        </w:rPr>
        <w:t>the December 30, 2020 Entry</w:t>
      </w:r>
      <w:r w:rsidRPr="00393B47" w:rsidR="00BB2A4F">
        <w:rPr>
          <w:rFonts w:cs="Times New Roman"/>
          <w:szCs w:val="24"/>
        </w:rPr>
        <w:t xml:space="preserve">. </w:t>
      </w:r>
      <w:r w:rsidRPr="00393B47" w:rsidR="006E74D5">
        <w:rPr>
          <w:rFonts w:cs="Times New Roman"/>
          <w:szCs w:val="24"/>
        </w:rPr>
        <w:t xml:space="preserve"> </w:t>
      </w:r>
      <w:r w:rsidRPr="00393B47" w:rsidR="00BB2A4F">
        <w:rPr>
          <w:rFonts w:cs="Times New Roman"/>
          <w:szCs w:val="24"/>
        </w:rPr>
        <w:t xml:space="preserve">The PUCO must </w:t>
      </w:r>
      <w:r w:rsidRPr="00393B47" w:rsidR="006E74D5">
        <w:rPr>
          <w:rFonts w:cs="Times New Roman"/>
          <w:szCs w:val="24"/>
        </w:rPr>
        <w:t xml:space="preserve">terminate </w:t>
      </w:r>
      <w:r w:rsidRPr="00393B47" w:rsidR="003330B2">
        <w:rPr>
          <w:rFonts w:cs="Times New Roman"/>
          <w:szCs w:val="24"/>
        </w:rPr>
        <w:t xml:space="preserve">the </w:t>
      </w:r>
      <w:r w:rsidRPr="00393B47" w:rsidR="006E74D5">
        <w:rPr>
          <w:rFonts w:cs="Times New Roman"/>
          <w:szCs w:val="24"/>
        </w:rPr>
        <w:t>charges</w:t>
      </w:r>
      <w:r w:rsidRPr="00393B47" w:rsidR="00AA2789">
        <w:rPr>
          <w:rFonts w:cs="Times New Roman"/>
          <w:szCs w:val="24"/>
        </w:rPr>
        <w:t xml:space="preserve"> to consumers</w:t>
      </w:r>
      <w:r w:rsidRPr="00393B47" w:rsidR="003330B2">
        <w:rPr>
          <w:rFonts w:cs="Times New Roman"/>
          <w:szCs w:val="24"/>
        </w:rPr>
        <w:t xml:space="preserve"> </w:t>
      </w:r>
      <w:r w:rsidRPr="00393B47" w:rsidR="00AA2789">
        <w:rPr>
          <w:rFonts w:cs="Times New Roman"/>
          <w:szCs w:val="24"/>
        </w:rPr>
        <w:t xml:space="preserve">that </w:t>
      </w:r>
      <w:r w:rsidRPr="00393B47" w:rsidR="003330B2">
        <w:rPr>
          <w:rFonts w:cs="Times New Roman"/>
          <w:szCs w:val="24"/>
        </w:rPr>
        <w:t>the PUCO unlawfully authorized</w:t>
      </w:r>
      <w:r w:rsidRPr="00393B47" w:rsidR="006E74D5">
        <w:rPr>
          <w:rFonts w:cs="Times New Roman"/>
          <w:szCs w:val="24"/>
        </w:rPr>
        <w:t xml:space="preserve"> for the Economic Load Response program</w:t>
      </w:r>
      <w:r w:rsidRPr="00393B47" w:rsidR="00BB2A4F">
        <w:rPr>
          <w:rFonts w:cs="Times New Roman"/>
          <w:szCs w:val="24"/>
        </w:rPr>
        <w:t xml:space="preserve"> in connection with tainted House Bill 6</w:t>
      </w:r>
      <w:r w:rsidRPr="00393B47" w:rsidR="006E74D5">
        <w:rPr>
          <w:rFonts w:cs="Times New Roman"/>
          <w:szCs w:val="24"/>
        </w:rPr>
        <w:t xml:space="preserve">. </w:t>
      </w:r>
    </w:p>
    <w:p w:rsidR="000C76D2" w:rsidRPr="00393B47" w14:paraId="64FEB157" w14:textId="3FF88B4D">
      <w:pPr>
        <w:rPr>
          <w:rFonts w:eastAsia="Times New Roman" w:cs="Times New Roman"/>
          <w:szCs w:val="24"/>
        </w:rPr>
      </w:pPr>
    </w:p>
    <w:p w:rsidR="000C76D2" w:rsidRPr="00393B47" w:rsidP="000C76D2" w14:paraId="11181DB5" w14:textId="4F5E0550">
      <w:pPr>
        <w:pStyle w:val="BodyTextIndent3"/>
        <w:widowControl w:val="0"/>
        <w:ind w:left="3600" w:right="-672"/>
        <w:rPr>
          <w:szCs w:val="24"/>
        </w:rPr>
      </w:pPr>
      <w:r w:rsidRPr="00393B47">
        <w:rPr>
          <w:szCs w:val="24"/>
        </w:rPr>
        <w:t>Respectfully submitted,</w:t>
      </w:r>
    </w:p>
    <w:p w:rsidR="000C76D2" w:rsidRPr="00393B47" w:rsidP="000C76D2" w14:paraId="65386FEF" w14:textId="337340E3">
      <w:pPr>
        <w:pStyle w:val="Footer"/>
        <w:tabs>
          <w:tab w:val="left" w:pos="4320"/>
          <w:tab w:val="clear" w:pos="8640"/>
        </w:tabs>
        <w:spacing w:before="240"/>
        <w:rPr>
          <w:sz w:val="24"/>
          <w:szCs w:val="24"/>
        </w:rPr>
      </w:pPr>
      <w:r w:rsidRPr="00393B47">
        <w:rPr>
          <w:sz w:val="24"/>
          <w:szCs w:val="24"/>
        </w:rPr>
        <w:tab/>
      </w:r>
      <w:r w:rsidRPr="00393B47" w:rsidR="00D5102C">
        <w:rPr>
          <w:sz w:val="24"/>
          <w:szCs w:val="24"/>
        </w:rPr>
        <w:t>Bruce Weston (0016973)</w:t>
      </w:r>
    </w:p>
    <w:p w:rsidR="000C76D2" w:rsidRPr="00393B47" w:rsidP="000C76D2" w14:paraId="412B1318" w14:textId="1FADCE04">
      <w:pPr>
        <w:tabs>
          <w:tab w:val="left" w:pos="4320"/>
        </w:tabs>
        <w:rPr>
          <w:rFonts w:cs="Times New Roman"/>
          <w:szCs w:val="24"/>
        </w:rPr>
      </w:pPr>
      <w:r w:rsidRPr="00393B47">
        <w:rPr>
          <w:rFonts w:cs="Times New Roman"/>
          <w:szCs w:val="24"/>
        </w:rPr>
        <w:tab/>
        <w:t>Ohio Consumers’ Counsel</w:t>
      </w:r>
    </w:p>
    <w:p w:rsidR="000C76D2" w:rsidRPr="00393B47" w:rsidP="000C76D2" w14:paraId="2C884F72" w14:textId="77777777">
      <w:pPr>
        <w:tabs>
          <w:tab w:val="left" w:pos="4320"/>
        </w:tabs>
        <w:rPr>
          <w:rFonts w:cs="Times New Roman"/>
          <w:szCs w:val="24"/>
        </w:rPr>
      </w:pPr>
      <w:r w:rsidRPr="00393B47">
        <w:rPr>
          <w:rFonts w:cs="Times New Roman"/>
          <w:szCs w:val="24"/>
        </w:rPr>
        <w:tab/>
      </w:r>
    </w:p>
    <w:p w:rsidR="000C76D2" w:rsidRPr="00393B47" w:rsidP="000C76D2" w14:paraId="045C8616" w14:textId="77777777">
      <w:pPr>
        <w:tabs>
          <w:tab w:val="left" w:pos="4320"/>
        </w:tabs>
        <w:rPr>
          <w:rFonts w:cs="Times New Roman"/>
          <w:i/>
          <w:iCs/>
          <w:szCs w:val="24"/>
          <w:u w:val="single"/>
        </w:rPr>
      </w:pPr>
      <w:r w:rsidRPr="00393B47">
        <w:rPr>
          <w:rFonts w:cs="Times New Roman"/>
          <w:szCs w:val="24"/>
        </w:rPr>
        <w:tab/>
      </w:r>
      <w:r w:rsidRPr="00393B47">
        <w:rPr>
          <w:rFonts w:cs="Times New Roman"/>
          <w:i/>
          <w:iCs/>
          <w:szCs w:val="24"/>
          <w:u w:val="single"/>
        </w:rPr>
        <w:t>/s/ Christopher Healey</w:t>
      </w:r>
      <w:r w:rsidRPr="00393B47">
        <w:rPr>
          <w:rFonts w:cs="Times New Roman"/>
          <w:i/>
          <w:iCs/>
          <w:szCs w:val="24"/>
          <w:u w:val="single"/>
        </w:rPr>
        <w:tab/>
      </w:r>
      <w:r w:rsidRPr="00393B47">
        <w:rPr>
          <w:rFonts w:cs="Times New Roman"/>
          <w:i/>
          <w:iCs/>
          <w:szCs w:val="24"/>
          <w:u w:val="single"/>
        </w:rPr>
        <w:tab/>
      </w:r>
      <w:r w:rsidRPr="00393B47">
        <w:rPr>
          <w:rFonts w:cs="Times New Roman"/>
          <w:i/>
          <w:iCs/>
          <w:szCs w:val="24"/>
          <w:u w:val="single"/>
        </w:rPr>
        <w:tab/>
      </w:r>
    </w:p>
    <w:p w:rsidR="000C76D2" w:rsidRPr="00393B47" w:rsidP="000C76D2" w14:paraId="6C9099E9" w14:textId="77777777">
      <w:pPr>
        <w:tabs>
          <w:tab w:val="left" w:pos="4320"/>
        </w:tabs>
        <w:rPr>
          <w:rFonts w:cs="Times New Roman"/>
          <w:szCs w:val="24"/>
        </w:rPr>
      </w:pPr>
      <w:r w:rsidRPr="00393B47">
        <w:rPr>
          <w:rFonts w:cs="Times New Roman"/>
          <w:szCs w:val="24"/>
        </w:rPr>
        <w:tab/>
        <w:t>Christopher Healey (0086027)</w:t>
      </w:r>
    </w:p>
    <w:p w:rsidR="000C76D2" w:rsidRPr="00393B47" w:rsidP="000C76D2" w14:paraId="026D6806" w14:textId="77777777">
      <w:pPr>
        <w:tabs>
          <w:tab w:val="left" w:pos="4320"/>
        </w:tabs>
        <w:ind w:firstLine="4320"/>
        <w:rPr>
          <w:rFonts w:cs="Times New Roman"/>
          <w:szCs w:val="24"/>
        </w:rPr>
      </w:pPr>
      <w:r w:rsidRPr="00393B47">
        <w:rPr>
          <w:rFonts w:cs="Times New Roman"/>
          <w:szCs w:val="24"/>
        </w:rPr>
        <w:t>Counsel of Record</w:t>
      </w:r>
    </w:p>
    <w:p w:rsidR="000C76D2" w:rsidRPr="00393B47" w:rsidP="000C76D2" w14:paraId="3A3C62B5" w14:textId="77777777">
      <w:pPr>
        <w:tabs>
          <w:tab w:val="left" w:pos="4320"/>
        </w:tabs>
        <w:rPr>
          <w:rFonts w:cs="Times New Roman"/>
          <w:szCs w:val="24"/>
        </w:rPr>
      </w:pPr>
      <w:r w:rsidRPr="00393B47">
        <w:rPr>
          <w:rFonts w:cs="Times New Roman"/>
          <w:szCs w:val="24"/>
        </w:rPr>
        <w:tab/>
        <w:t>Assistant Consumers’ Counsel</w:t>
      </w:r>
    </w:p>
    <w:p w:rsidR="000C76D2" w:rsidRPr="00393B47" w:rsidP="000C76D2" w14:paraId="39A379E5" w14:textId="77777777">
      <w:pPr>
        <w:pStyle w:val="Heading1"/>
        <w:ind w:left="3240" w:right="-648" w:firstLine="720"/>
        <w:rPr>
          <w:u w:val="none"/>
        </w:rPr>
      </w:pPr>
      <w:r w:rsidRPr="00393B47">
        <w:rPr>
          <w:u w:val="none"/>
        </w:rPr>
        <w:tab/>
      </w:r>
    </w:p>
    <w:p w:rsidR="000C76D2" w:rsidRPr="00393B47" w:rsidP="000C76D2" w14:paraId="4F882340" w14:textId="77777777">
      <w:pPr>
        <w:pStyle w:val="Heading1"/>
        <w:ind w:left="3240" w:right="-648" w:firstLine="720"/>
        <w:rPr>
          <w:u w:val="none"/>
        </w:rPr>
      </w:pPr>
      <w:r w:rsidRPr="00393B47">
        <w:rPr>
          <w:u w:val="none"/>
        </w:rPr>
        <w:tab/>
        <w:t>Office of the Ohio Consumers’ Counsel</w:t>
      </w:r>
    </w:p>
    <w:p w:rsidR="000C76D2" w:rsidRPr="00393B47" w:rsidP="000C76D2" w14:paraId="34BD3F05" w14:textId="1B312B53">
      <w:pPr>
        <w:pStyle w:val="Heading1"/>
        <w:ind w:left="3240" w:right="-648" w:firstLine="720"/>
        <w:rPr>
          <w:b w:val="0"/>
          <w:u w:val="none"/>
        </w:rPr>
      </w:pPr>
      <w:r w:rsidRPr="00393B47">
        <w:rPr>
          <w:b w:val="0"/>
          <w:u w:val="none"/>
        </w:rPr>
        <w:tab/>
        <w:t>65 East State Street, 7</w:t>
      </w:r>
      <w:r w:rsidRPr="00393B47" w:rsidR="004D5909">
        <w:rPr>
          <w:b w:val="0"/>
          <w:u w:val="none"/>
        </w:rPr>
        <w:t>th</w:t>
      </w:r>
      <w:r w:rsidRPr="00393B47">
        <w:rPr>
          <w:b w:val="0"/>
          <w:u w:val="none"/>
        </w:rPr>
        <w:t xml:space="preserve"> Floor</w:t>
      </w:r>
    </w:p>
    <w:p w:rsidR="000C76D2" w:rsidRPr="00393B47" w:rsidP="000C76D2" w14:paraId="5B276474" w14:textId="77777777">
      <w:pPr>
        <w:pStyle w:val="Heading1"/>
        <w:ind w:left="3240" w:right="-648" w:firstLine="720"/>
        <w:rPr>
          <w:b w:val="0"/>
          <w:u w:val="none"/>
        </w:rPr>
      </w:pPr>
      <w:r w:rsidRPr="00393B47">
        <w:rPr>
          <w:b w:val="0"/>
          <w:u w:val="none"/>
        </w:rPr>
        <w:tab/>
        <w:t>Columbus, Ohio 43215</w:t>
      </w:r>
    </w:p>
    <w:p w:rsidR="000C76D2" w:rsidRPr="00393B47" w:rsidP="000C76D2" w14:paraId="1145947B" w14:textId="77777777">
      <w:pPr>
        <w:autoSpaceDE w:val="0"/>
        <w:autoSpaceDN w:val="0"/>
        <w:adjustRightInd w:val="0"/>
        <w:ind w:left="3600" w:firstLine="720"/>
        <w:rPr>
          <w:rFonts w:cs="Times New Roman"/>
          <w:szCs w:val="24"/>
        </w:rPr>
      </w:pPr>
      <w:r w:rsidRPr="00393B47">
        <w:rPr>
          <w:rFonts w:cs="Times New Roman"/>
          <w:szCs w:val="24"/>
        </w:rPr>
        <w:t>Telephone: (614) 466-9571</w:t>
      </w:r>
    </w:p>
    <w:p w:rsidR="000C76D2" w:rsidRPr="00393B47" w:rsidP="000C76D2" w14:paraId="355DDA19" w14:textId="77777777">
      <w:pPr>
        <w:rPr>
          <w:rFonts w:cs="Times New Roman"/>
          <w:szCs w:val="24"/>
        </w:rPr>
      </w:pPr>
      <w:r w:rsidRPr="00393B47">
        <w:rPr>
          <w:rFonts w:cs="Times New Roman"/>
          <w:szCs w:val="24"/>
        </w:rPr>
        <w:tab/>
      </w:r>
      <w:r w:rsidRPr="00393B47">
        <w:rPr>
          <w:rFonts w:cs="Times New Roman"/>
          <w:szCs w:val="24"/>
        </w:rPr>
        <w:tab/>
      </w:r>
      <w:r w:rsidRPr="00393B47">
        <w:rPr>
          <w:rFonts w:cs="Times New Roman"/>
          <w:szCs w:val="24"/>
        </w:rPr>
        <w:tab/>
      </w:r>
      <w:r w:rsidRPr="00393B47">
        <w:rPr>
          <w:rFonts w:cs="Times New Roman"/>
          <w:szCs w:val="24"/>
        </w:rPr>
        <w:tab/>
      </w:r>
      <w:r w:rsidRPr="00393B47">
        <w:rPr>
          <w:rFonts w:cs="Times New Roman"/>
          <w:szCs w:val="24"/>
        </w:rPr>
        <w:tab/>
      </w:r>
      <w:r w:rsidRPr="00393B47">
        <w:rPr>
          <w:rFonts w:cs="Times New Roman"/>
          <w:szCs w:val="24"/>
        </w:rPr>
        <w:tab/>
      </w:r>
      <w:hyperlink r:id="rId7" w:history="1">
        <w:r w:rsidRPr="00393B47">
          <w:rPr>
            <w:rStyle w:val="Hyperlink"/>
            <w:rFonts w:cs="Times New Roman"/>
            <w:szCs w:val="24"/>
          </w:rPr>
          <w:t>Christopher.healey@occ.ohio.gov</w:t>
        </w:r>
      </w:hyperlink>
      <w:r w:rsidRPr="00393B47">
        <w:rPr>
          <w:rFonts w:cs="Times New Roman"/>
          <w:szCs w:val="24"/>
        </w:rPr>
        <w:t xml:space="preserve"> </w:t>
      </w:r>
    </w:p>
    <w:p w:rsidR="000C76D2" w:rsidRPr="00393B47" w:rsidP="000C76D2" w14:paraId="6C84B963" w14:textId="69C53CA1">
      <w:pPr>
        <w:rPr>
          <w:rFonts w:cs="Times New Roman"/>
          <w:szCs w:val="24"/>
        </w:rPr>
      </w:pPr>
      <w:r w:rsidRPr="00393B47">
        <w:rPr>
          <w:rFonts w:cs="Times New Roman"/>
          <w:szCs w:val="24"/>
        </w:rPr>
        <w:tab/>
      </w:r>
      <w:r w:rsidRPr="00393B47">
        <w:rPr>
          <w:rFonts w:cs="Times New Roman"/>
          <w:szCs w:val="24"/>
        </w:rPr>
        <w:tab/>
      </w:r>
      <w:r w:rsidRPr="00393B47">
        <w:rPr>
          <w:rFonts w:cs="Times New Roman"/>
          <w:szCs w:val="24"/>
        </w:rPr>
        <w:tab/>
      </w:r>
      <w:r w:rsidRPr="00393B47">
        <w:rPr>
          <w:rFonts w:cs="Times New Roman"/>
          <w:szCs w:val="24"/>
        </w:rPr>
        <w:tab/>
      </w:r>
      <w:r w:rsidRPr="00393B47">
        <w:rPr>
          <w:rFonts w:cs="Times New Roman"/>
          <w:szCs w:val="24"/>
        </w:rPr>
        <w:tab/>
      </w:r>
      <w:r w:rsidRPr="00393B47">
        <w:rPr>
          <w:rFonts w:cs="Times New Roman"/>
          <w:szCs w:val="24"/>
        </w:rPr>
        <w:tab/>
        <w:t>(willing to accept service by email)</w:t>
      </w:r>
    </w:p>
    <w:p w:rsidR="00D5102C" w:rsidRPr="00393B47" w:rsidP="000C76D2" w14:paraId="4EB3C9C6" w14:textId="6250903D">
      <w:pPr>
        <w:rPr>
          <w:rFonts w:cs="Times New Roman"/>
          <w:szCs w:val="24"/>
        </w:rPr>
      </w:pPr>
    </w:p>
    <w:p w:rsidR="00D5102C" w:rsidRPr="00393B47" w:rsidP="000C76D2" w14:paraId="62E84677" w14:textId="77777777">
      <w:pPr>
        <w:rPr>
          <w:rFonts w:cs="Times New Roman"/>
          <w:szCs w:val="24"/>
        </w:rPr>
        <w:sectPr w:rsidSect="00FC2D43">
          <w:headerReference w:type="default" r:id="rId9"/>
          <w:pgSz w:w="12240" w:h="15840"/>
          <w:pgMar w:top="1440" w:right="1440" w:bottom="1440" w:left="1440" w:header="720" w:footer="720" w:gutter="0"/>
          <w:pgNumType w:start="1"/>
          <w:cols w:space="720"/>
          <w:docGrid w:linePitch="360"/>
        </w:sectPr>
      </w:pPr>
    </w:p>
    <w:p w:rsidR="00D5102C" w:rsidRPr="00393B47" w:rsidP="00D5102C" w14:paraId="0BE4254C" w14:textId="77777777">
      <w:pPr>
        <w:jc w:val="center"/>
        <w:rPr>
          <w:rFonts w:eastAsiaTheme="minorEastAsia" w:cs="Times New Roman"/>
          <w:b/>
          <w:szCs w:val="24"/>
          <w:u w:val="single"/>
        </w:rPr>
      </w:pPr>
      <w:r w:rsidRPr="00393B47">
        <w:rPr>
          <w:rFonts w:eastAsiaTheme="minorEastAsia" w:cs="Times New Roman"/>
          <w:b/>
          <w:szCs w:val="24"/>
          <w:u w:val="single"/>
        </w:rPr>
        <w:t>CERTIFICATE OF SERVICE</w:t>
      </w:r>
    </w:p>
    <w:p w:rsidR="00D5102C" w:rsidRPr="00393B47" w:rsidP="00D5102C" w14:paraId="4A7785E9" w14:textId="77777777">
      <w:pPr>
        <w:jc w:val="center"/>
        <w:rPr>
          <w:rFonts w:eastAsiaTheme="minorEastAsia" w:cs="Times New Roman"/>
          <w:b/>
          <w:szCs w:val="24"/>
          <w:u w:val="single"/>
        </w:rPr>
      </w:pPr>
    </w:p>
    <w:p w:rsidR="00D5102C" w:rsidRPr="00393B47" w:rsidP="00D5102C" w14:paraId="6659296A" w14:textId="65B6F980">
      <w:pPr>
        <w:spacing w:line="360" w:lineRule="auto"/>
        <w:ind w:firstLine="720"/>
        <w:rPr>
          <w:rFonts w:eastAsiaTheme="minorEastAsia" w:cs="Times New Roman"/>
          <w:szCs w:val="24"/>
        </w:rPr>
      </w:pPr>
      <w:r w:rsidRPr="00393B47">
        <w:rPr>
          <w:rFonts w:eastAsiaTheme="minorEastAsia" w:cs="Times New Roman"/>
          <w:szCs w:val="24"/>
        </w:rPr>
        <w:t>I hereby certify that a copy of the foregoing Application for Rehearing was served on the persons stated below via electronic transmission, this 29th day of January 2021.</w:t>
      </w:r>
    </w:p>
    <w:p w:rsidR="00D5102C" w:rsidRPr="00393B47" w:rsidP="00D5102C" w14:paraId="0596A552" w14:textId="77777777">
      <w:pPr>
        <w:spacing w:line="360" w:lineRule="auto"/>
        <w:ind w:firstLine="720"/>
        <w:rPr>
          <w:rFonts w:eastAsiaTheme="minorEastAsia" w:cs="Times New Roman"/>
          <w:szCs w:val="24"/>
        </w:rPr>
      </w:pPr>
    </w:p>
    <w:p w:rsidR="00D5102C" w:rsidRPr="00393B47" w:rsidP="00D5102C" w14:paraId="7F50FE25" w14:textId="77777777">
      <w:pPr>
        <w:ind w:firstLine="720"/>
        <w:rPr>
          <w:rFonts w:eastAsiaTheme="minorEastAsia" w:cs="Times New Roman"/>
          <w:szCs w:val="24"/>
        </w:rPr>
      </w:pPr>
      <w:r w:rsidRPr="00393B47">
        <w:rPr>
          <w:rFonts w:eastAsiaTheme="minorEastAsia" w:cs="Times New Roman"/>
          <w:szCs w:val="24"/>
        </w:rPr>
        <w:tab/>
      </w:r>
      <w:r w:rsidRPr="00393B47">
        <w:rPr>
          <w:rFonts w:eastAsiaTheme="minorEastAsia" w:cs="Times New Roman"/>
          <w:szCs w:val="24"/>
        </w:rPr>
        <w:tab/>
      </w:r>
      <w:r w:rsidRPr="00393B47">
        <w:rPr>
          <w:rFonts w:eastAsiaTheme="minorEastAsia" w:cs="Times New Roman"/>
          <w:szCs w:val="24"/>
        </w:rPr>
        <w:tab/>
      </w:r>
      <w:r w:rsidRPr="00393B47">
        <w:rPr>
          <w:rFonts w:eastAsiaTheme="minorEastAsia" w:cs="Times New Roman"/>
          <w:szCs w:val="24"/>
        </w:rPr>
        <w:tab/>
      </w:r>
      <w:r w:rsidRPr="00393B47">
        <w:rPr>
          <w:rFonts w:eastAsiaTheme="minorEastAsia" w:cs="Times New Roman"/>
          <w:szCs w:val="24"/>
        </w:rPr>
        <w:tab/>
      </w:r>
      <w:r w:rsidRPr="00393B47">
        <w:rPr>
          <w:rFonts w:eastAsiaTheme="minorEastAsia" w:cs="Times New Roman"/>
          <w:szCs w:val="24"/>
        </w:rPr>
        <w:tab/>
      </w:r>
      <w:r w:rsidRPr="00393B47">
        <w:rPr>
          <w:rFonts w:eastAsiaTheme="minorEastAsia" w:cs="Times New Roman"/>
          <w:szCs w:val="24"/>
          <w:u w:val="single"/>
        </w:rPr>
        <w:t xml:space="preserve">/s/ </w:t>
      </w:r>
      <w:r w:rsidRPr="00393B47">
        <w:rPr>
          <w:rFonts w:eastAsiaTheme="minorEastAsia" w:cs="Times New Roman"/>
          <w:i/>
          <w:szCs w:val="24"/>
          <w:u w:val="single"/>
        </w:rPr>
        <w:t>Christopher Healey</w:t>
      </w:r>
      <w:r w:rsidRPr="00393B47">
        <w:rPr>
          <w:rFonts w:eastAsiaTheme="minorEastAsia" w:cs="Times New Roman"/>
          <w:szCs w:val="24"/>
        </w:rPr>
        <w:t>_______</w:t>
      </w:r>
    </w:p>
    <w:p w:rsidR="00D5102C" w:rsidRPr="00393B47" w:rsidP="00D5102C" w14:paraId="6132DCF5" w14:textId="77777777">
      <w:pPr>
        <w:ind w:firstLine="720"/>
        <w:rPr>
          <w:rFonts w:eastAsiaTheme="minorEastAsia" w:cs="Times New Roman"/>
          <w:szCs w:val="24"/>
        </w:rPr>
      </w:pPr>
      <w:r w:rsidRPr="00393B47">
        <w:rPr>
          <w:rFonts w:eastAsiaTheme="minorEastAsia" w:cs="Times New Roman"/>
          <w:szCs w:val="24"/>
        </w:rPr>
        <w:tab/>
      </w:r>
      <w:r w:rsidRPr="00393B47">
        <w:rPr>
          <w:rFonts w:eastAsiaTheme="minorEastAsia" w:cs="Times New Roman"/>
          <w:szCs w:val="24"/>
        </w:rPr>
        <w:tab/>
      </w:r>
      <w:r w:rsidRPr="00393B47">
        <w:rPr>
          <w:rFonts w:eastAsiaTheme="minorEastAsia" w:cs="Times New Roman"/>
          <w:szCs w:val="24"/>
        </w:rPr>
        <w:tab/>
      </w:r>
      <w:r w:rsidRPr="00393B47">
        <w:rPr>
          <w:rFonts w:eastAsiaTheme="minorEastAsia" w:cs="Times New Roman"/>
          <w:szCs w:val="24"/>
        </w:rPr>
        <w:tab/>
      </w:r>
      <w:r w:rsidRPr="00393B47">
        <w:rPr>
          <w:rFonts w:eastAsiaTheme="minorEastAsia" w:cs="Times New Roman"/>
          <w:szCs w:val="24"/>
        </w:rPr>
        <w:tab/>
      </w:r>
      <w:r w:rsidRPr="00393B47">
        <w:rPr>
          <w:rFonts w:eastAsiaTheme="minorEastAsia" w:cs="Times New Roman"/>
          <w:szCs w:val="24"/>
        </w:rPr>
        <w:tab/>
        <w:t>Christopher Healey</w:t>
      </w:r>
    </w:p>
    <w:p w:rsidR="00D5102C" w:rsidRPr="00393B47" w:rsidP="00D5102C" w14:paraId="7753853B" w14:textId="77777777">
      <w:pPr>
        <w:ind w:firstLine="720"/>
        <w:rPr>
          <w:rFonts w:eastAsiaTheme="minorEastAsia" w:cs="Times New Roman"/>
          <w:szCs w:val="24"/>
        </w:rPr>
      </w:pPr>
      <w:r w:rsidRPr="00393B47">
        <w:rPr>
          <w:rFonts w:eastAsiaTheme="minorEastAsia" w:cs="Times New Roman"/>
          <w:szCs w:val="24"/>
        </w:rPr>
        <w:tab/>
      </w:r>
      <w:r w:rsidRPr="00393B47">
        <w:rPr>
          <w:rFonts w:eastAsiaTheme="minorEastAsia" w:cs="Times New Roman"/>
          <w:szCs w:val="24"/>
        </w:rPr>
        <w:tab/>
      </w:r>
      <w:r w:rsidRPr="00393B47">
        <w:rPr>
          <w:rFonts w:eastAsiaTheme="minorEastAsia" w:cs="Times New Roman"/>
          <w:szCs w:val="24"/>
        </w:rPr>
        <w:tab/>
      </w:r>
      <w:r w:rsidRPr="00393B47">
        <w:rPr>
          <w:rFonts w:eastAsiaTheme="minorEastAsia" w:cs="Times New Roman"/>
          <w:szCs w:val="24"/>
        </w:rPr>
        <w:tab/>
      </w:r>
      <w:r w:rsidRPr="00393B47">
        <w:rPr>
          <w:rFonts w:eastAsiaTheme="minorEastAsia" w:cs="Times New Roman"/>
          <w:szCs w:val="24"/>
        </w:rPr>
        <w:tab/>
      </w:r>
      <w:r w:rsidRPr="00393B47">
        <w:rPr>
          <w:rFonts w:eastAsiaTheme="minorEastAsia" w:cs="Times New Roman"/>
          <w:szCs w:val="24"/>
        </w:rPr>
        <w:tab/>
        <w:t>Assistant Consumers' Counsel</w:t>
      </w:r>
    </w:p>
    <w:p w:rsidR="00D5102C" w:rsidRPr="00393B47" w:rsidP="00D5102C" w14:paraId="5A2B2DA8" w14:textId="77777777">
      <w:pPr>
        <w:jc w:val="center"/>
        <w:rPr>
          <w:rFonts w:cs="Times New Roman"/>
          <w:b/>
          <w:szCs w:val="24"/>
          <w:u w:val="single"/>
        </w:rPr>
      </w:pPr>
    </w:p>
    <w:p w:rsidR="00D5102C" w:rsidRPr="00393B47" w:rsidP="00D5102C" w14:paraId="45835E5F" w14:textId="77777777">
      <w:pPr>
        <w:rPr>
          <w:rFonts w:cs="Times New Roman"/>
          <w:szCs w:val="24"/>
        </w:rPr>
      </w:pPr>
      <w:r w:rsidRPr="00393B47">
        <w:rPr>
          <w:rFonts w:cs="Times New Roman"/>
          <w:szCs w:val="24"/>
        </w:rPr>
        <w:t>The PUCO’s e-filing system will electronically serve notice of the filing of this document on the following parties:</w:t>
      </w:r>
    </w:p>
    <w:p w:rsidR="00D5102C" w:rsidRPr="00393B47" w:rsidP="00D5102C" w14:paraId="5BC84245" w14:textId="77777777">
      <w:pPr>
        <w:jc w:val="center"/>
        <w:rPr>
          <w:rFonts w:eastAsia="Times New Roman" w:cs="Times New Roman"/>
          <w:b/>
          <w:szCs w:val="24"/>
          <w:u w:val="single"/>
        </w:rPr>
      </w:pPr>
    </w:p>
    <w:p w:rsidR="00D5102C" w:rsidRPr="00393B47" w:rsidP="00D5102C" w14:paraId="2CA33027" w14:textId="77777777">
      <w:pPr>
        <w:jc w:val="center"/>
        <w:rPr>
          <w:rFonts w:eastAsia="Times New Roman" w:cs="Times New Roman"/>
          <w:b/>
          <w:szCs w:val="24"/>
          <w:u w:val="single"/>
        </w:rPr>
      </w:pPr>
      <w:r w:rsidRPr="00393B47">
        <w:rPr>
          <w:rFonts w:eastAsia="Times New Roman" w:cs="Times New Roman"/>
          <w:b/>
          <w:szCs w:val="24"/>
          <w:u w:val="single"/>
        </w:rPr>
        <w:t>SERVICE LIST</w:t>
      </w:r>
    </w:p>
    <w:p w:rsidR="00D5102C" w:rsidRPr="00393B47" w:rsidP="00D5102C" w14:paraId="1AF88C82" w14:textId="77777777">
      <w:pPr>
        <w:jc w:val="both"/>
        <w:rPr>
          <w:rFonts w:cs="Times New Roman"/>
          <w:color w:val="0000FF"/>
          <w:szCs w:val="24"/>
        </w:rPr>
      </w:pPr>
    </w:p>
    <w:tbl>
      <w:tblPr>
        <w:tblStyle w:val="TableGrid"/>
        <w:tblW w:w="8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43"/>
        <w:gridCol w:w="4087"/>
      </w:tblGrid>
      <w:tr w14:paraId="3F399555" w14:textId="77777777" w:rsidTr="00AF294C">
        <w:tblPrEx>
          <w:tblW w:w="8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43" w:type="dxa"/>
          </w:tcPr>
          <w:p w:rsidR="00D5102C" w:rsidRPr="00393B47" w:rsidP="00AF294C" w14:paraId="60F161BD" w14:textId="77777777">
            <w:pPr>
              <w:jc w:val="both"/>
              <w:rPr>
                <w:color w:val="0000FF"/>
              </w:rPr>
            </w:pPr>
          </w:p>
          <w:p w:rsidR="00D5102C" w:rsidRPr="00393B47" w:rsidP="00AF294C" w14:paraId="273F6993" w14:textId="77777777">
            <w:pPr>
              <w:jc w:val="both"/>
              <w:rPr>
                <w:color w:val="0000FF"/>
              </w:rPr>
            </w:pPr>
            <w:hyperlink r:id="rId10" w:history="1">
              <w:r w:rsidRPr="00393B47">
                <w:rPr>
                  <w:rStyle w:val="Hyperlink"/>
                </w:rPr>
                <w:t>John.jones@ohioattorneygeneral.gov</w:t>
              </w:r>
            </w:hyperlink>
          </w:p>
          <w:p w:rsidR="00D5102C" w:rsidRPr="00393B47" w:rsidP="00AF294C" w14:paraId="46C2050B" w14:textId="77777777">
            <w:pPr>
              <w:jc w:val="both"/>
              <w:rPr>
                <w:color w:val="0000FF"/>
              </w:rPr>
            </w:pPr>
            <w:hyperlink r:id="rId11" w:history="1">
              <w:r w:rsidRPr="00393B47">
                <w:rPr>
                  <w:rStyle w:val="Hyperlink"/>
                </w:rPr>
                <w:t>tdougherty@theOEC.org</w:t>
              </w:r>
            </w:hyperlink>
          </w:p>
          <w:p w:rsidR="00D5102C" w:rsidRPr="00393B47" w:rsidP="00AF294C" w14:paraId="1C484C44" w14:textId="77777777">
            <w:pPr>
              <w:jc w:val="both"/>
              <w:rPr>
                <w:color w:val="0000FF"/>
              </w:rPr>
            </w:pPr>
            <w:hyperlink r:id="rId12" w:history="1">
              <w:r w:rsidRPr="00393B47">
                <w:rPr>
                  <w:rStyle w:val="Hyperlink"/>
                </w:rPr>
                <w:t>mleppla@theoec.org</w:t>
              </w:r>
            </w:hyperlink>
          </w:p>
          <w:p w:rsidR="00D5102C" w:rsidRPr="00393B47" w:rsidP="00AF294C" w14:paraId="1CA29B4E" w14:textId="77777777">
            <w:pPr>
              <w:jc w:val="both"/>
              <w:rPr>
                <w:color w:val="0000FF"/>
              </w:rPr>
            </w:pPr>
            <w:hyperlink r:id="rId13" w:history="1">
              <w:r w:rsidRPr="00393B47">
                <w:rPr>
                  <w:rStyle w:val="Hyperlink"/>
                </w:rPr>
                <w:t>rdove@keglerbrown.com</w:t>
              </w:r>
            </w:hyperlink>
          </w:p>
          <w:p w:rsidR="00D5102C" w:rsidRPr="00393B47" w:rsidP="00AF294C" w14:paraId="252CC792" w14:textId="77777777">
            <w:pPr>
              <w:jc w:val="both"/>
              <w:rPr>
                <w:color w:val="0000FF"/>
              </w:rPr>
            </w:pPr>
            <w:hyperlink r:id="rId14" w:history="1">
              <w:r w:rsidRPr="00393B47">
                <w:rPr>
                  <w:rStyle w:val="Hyperlink"/>
                </w:rPr>
                <w:t>mwarnock@bricker.com</w:t>
              </w:r>
            </w:hyperlink>
          </w:p>
          <w:p w:rsidR="00D5102C" w:rsidRPr="00393B47" w:rsidP="00AF294C" w14:paraId="41F0E369" w14:textId="77777777">
            <w:pPr>
              <w:jc w:val="both"/>
              <w:rPr>
                <w:color w:val="0000FF"/>
              </w:rPr>
            </w:pPr>
            <w:hyperlink r:id="rId15" w:history="1">
              <w:r w:rsidRPr="00393B47">
                <w:rPr>
                  <w:rStyle w:val="Hyperlink"/>
                </w:rPr>
                <w:t>dborchers@bricker.com</w:t>
              </w:r>
            </w:hyperlink>
          </w:p>
          <w:p w:rsidR="00D5102C" w:rsidRPr="00393B47" w:rsidP="00AF294C" w14:paraId="515115E6" w14:textId="77777777">
            <w:pPr>
              <w:jc w:val="both"/>
              <w:rPr>
                <w:color w:val="0000FF"/>
              </w:rPr>
            </w:pPr>
            <w:hyperlink r:id="rId16" w:history="1">
              <w:r w:rsidRPr="00393B47">
                <w:rPr>
                  <w:rStyle w:val="Hyperlink"/>
                </w:rPr>
                <w:t>dparram@bricker.com</w:t>
              </w:r>
            </w:hyperlink>
          </w:p>
          <w:p w:rsidR="00D5102C" w:rsidRPr="00393B47" w:rsidP="00AF294C" w14:paraId="2EC201D5" w14:textId="77777777">
            <w:pPr>
              <w:jc w:val="both"/>
              <w:rPr>
                <w:color w:val="0000FF"/>
              </w:rPr>
            </w:pPr>
            <w:hyperlink r:id="rId17" w:history="1">
              <w:r w:rsidRPr="00393B47">
                <w:rPr>
                  <w:rStyle w:val="Hyperlink"/>
                </w:rPr>
                <w:t>mpritchard@mwncmh.com</w:t>
              </w:r>
            </w:hyperlink>
          </w:p>
          <w:p w:rsidR="00D5102C" w:rsidRPr="00393B47" w:rsidP="00AF294C" w14:paraId="63CD03B8" w14:textId="77777777">
            <w:pPr>
              <w:jc w:val="both"/>
              <w:rPr>
                <w:color w:val="0000FF"/>
              </w:rPr>
            </w:pPr>
            <w:hyperlink r:id="rId18" w:history="1">
              <w:r w:rsidRPr="00393B47">
                <w:rPr>
                  <w:rStyle w:val="Hyperlink"/>
                </w:rPr>
                <w:t>sechler@carpenterlipps.com</w:t>
              </w:r>
            </w:hyperlink>
          </w:p>
          <w:p w:rsidR="00D5102C" w:rsidRPr="00393B47" w:rsidP="00AF294C" w14:paraId="4B14A4A7" w14:textId="77777777">
            <w:pPr>
              <w:jc w:val="both"/>
              <w:rPr>
                <w:color w:val="0000FF"/>
              </w:rPr>
            </w:pPr>
            <w:hyperlink r:id="rId19" w:history="1">
              <w:r w:rsidRPr="00393B47">
                <w:rPr>
                  <w:rStyle w:val="Hyperlink"/>
                </w:rPr>
                <w:t>callwein@keglerbrown.com</w:t>
              </w:r>
            </w:hyperlink>
          </w:p>
          <w:p w:rsidR="00D5102C" w:rsidRPr="00393B47" w:rsidP="00AF294C" w14:paraId="71FD6957" w14:textId="77777777">
            <w:pPr>
              <w:autoSpaceDE w:val="0"/>
              <w:autoSpaceDN w:val="0"/>
              <w:adjustRightInd w:val="0"/>
              <w:rPr>
                <w:color w:val="0000FF"/>
              </w:rPr>
            </w:pPr>
            <w:hyperlink r:id="rId20" w:history="1">
              <w:r w:rsidRPr="00393B47">
                <w:rPr>
                  <w:rStyle w:val="Hyperlink"/>
                </w:rPr>
                <w:t>cdunn@firstenergycorp.com</w:t>
              </w:r>
            </w:hyperlink>
          </w:p>
          <w:p w:rsidR="00D5102C" w:rsidRPr="00393B47" w:rsidP="00AF294C" w14:paraId="21BF242C" w14:textId="77777777">
            <w:pPr>
              <w:jc w:val="both"/>
              <w:rPr>
                <w:color w:val="0000FF"/>
              </w:rPr>
            </w:pPr>
            <w:hyperlink r:id="rId21" w:history="1">
              <w:r w:rsidRPr="00393B47">
                <w:rPr>
                  <w:rStyle w:val="Hyperlink"/>
                </w:rPr>
                <w:t>eostrowski@firstenergycorp.com</w:t>
              </w:r>
            </w:hyperlink>
          </w:p>
          <w:p w:rsidR="00D5102C" w:rsidRPr="00393B47" w:rsidP="00AF294C" w14:paraId="3CDB5F50" w14:textId="77777777">
            <w:pPr>
              <w:jc w:val="both"/>
              <w:rPr>
                <w:color w:val="0000FF"/>
              </w:rPr>
            </w:pPr>
          </w:p>
        </w:tc>
        <w:tc>
          <w:tcPr>
            <w:tcW w:w="4087" w:type="dxa"/>
          </w:tcPr>
          <w:p w:rsidR="00D5102C" w:rsidRPr="00393B47" w:rsidP="00AF294C" w14:paraId="46E443CC" w14:textId="77777777">
            <w:pPr>
              <w:autoSpaceDE w:val="0"/>
              <w:autoSpaceDN w:val="0"/>
              <w:adjustRightInd w:val="0"/>
              <w:rPr>
                <w:color w:val="0000FF"/>
              </w:rPr>
            </w:pPr>
          </w:p>
          <w:p w:rsidR="00D5102C" w:rsidRPr="00393B47" w:rsidP="00AF294C" w14:paraId="18B3A881" w14:textId="77777777">
            <w:pPr>
              <w:autoSpaceDE w:val="0"/>
              <w:autoSpaceDN w:val="0"/>
              <w:adjustRightInd w:val="0"/>
              <w:rPr>
                <w:color w:val="0000FF"/>
              </w:rPr>
            </w:pPr>
            <w:hyperlink r:id="rId22" w:history="1">
              <w:r w:rsidRPr="00393B47">
                <w:rPr>
                  <w:rStyle w:val="Hyperlink"/>
                </w:rPr>
                <w:t>leiterr@firstenergycorp.com</w:t>
              </w:r>
            </w:hyperlink>
          </w:p>
          <w:p w:rsidR="00D5102C" w:rsidRPr="00393B47" w:rsidP="00AF294C" w14:paraId="3F54094C" w14:textId="77777777">
            <w:pPr>
              <w:autoSpaceDE w:val="0"/>
              <w:autoSpaceDN w:val="0"/>
              <w:adjustRightInd w:val="0"/>
              <w:rPr>
                <w:color w:val="0000FF"/>
              </w:rPr>
            </w:pPr>
            <w:hyperlink r:id="rId23" w:history="1">
              <w:r w:rsidRPr="00393B47">
                <w:rPr>
                  <w:rStyle w:val="Hyperlink"/>
                </w:rPr>
                <w:t>rendris@firstenergycorp.com</w:t>
              </w:r>
            </w:hyperlink>
          </w:p>
          <w:p w:rsidR="00D5102C" w:rsidRPr="00393B47" w:rsidP="00AF294C" w14:paraId="15F57770" w14:textId="77777777">
            <w:pPr>
              <w:autoSpaceDE w:val="0"/>
              <w:autoSpaceDN w:val="0"/>
              <w:adjustRightInd w:val="0"/>
              <w:rPr>
                <w:color w:val="0000FF"/>
              </w:rPr>
            </w:pPr>
            <w:hyperlink r:id="rId24" w:history="1">
              <w:r w:rsidRPr="00393B47">
                <w:rPr>
                  <w:rStyle w:val="Hyperlink"/>
                </w:rPr>
                <w:t>Kjklaw@yahoo.com</w:t>
              </w:r>
            </w:hyperlink>
          </w:p>
          <w:p w:rsidR="00D5102C" w:rsidRPr="00393B47" w:rsidP="00AF294C" w14:paraId="04F3BA77" w14:textId="77777777">
            <w:pPr>
              <w:autoSpaceDE w:val="0"/>
              <w:autoSpaceDN w:val="0"/>
              <w:adjustRightInd w:val="0"/>
              <w:rPr>
                <w:color w:val="0000FF"/>
              </w:rPr>
            </w:pPr>
            <w:hyperlink r:id="rId25" w:history="1">
              <w:r w:rsidRPr="00393B47">
                <w:rPr>
                  <w:rStyle w:val="Hyperlink"/>
                </w:rPr>
                <w:t>mrgladman@jonesday.com</w:t>
              </w:r>
            </w:hyperlink>
          </w:p>
          <w:p w:rsidR="00D5102C" w:rsidRPr="00393B47" w:rsidP="00AF294C" w14:paraId="1545123E" w14:textId="77777777">
            <w:pPr>
              <w:autoSpaceDE w:val="0"/>
              <w:autoSpaceDN w:val="0"/>
              <w:adjustRightInd w:val="0"/>
              <w:rPr>
                <w:color w:val="0000FF"/>
              </w:rPr>
            </w:pPr>
            <w:hyperlink r:id="rId26" w:history="1">
              <w:r w:rsidRPr="00393B47">
                <w:rPr>
                  <w:rStyle w:val="Hyperlink"/>
                </w:rPr>
                <w:t>stostado@jonesday.com</w:t>
              </w:r>
            </w:hyperlink>
          </w:p>
          <w:p w:rsidR="00D5102C" w:rsidRPr="00393B47" w:rsidP="00AF294C" w14:paraId="15D9920B" w14:textId="77777777">
            <w:pPr>
              <w:autoSpaceDE w:val="0"/>
              <w:autoSpaceDN w:val="0"/>
              <w:adjustRightInd w:val="0"/>
              <w:rPr>
                <w:color w:val="0000FF"/>
              </w:rPr>
            </w:pPr>
            <w:hyperlink r:id="rId27" w:history="1">
              <w:r w:rsidRPr="00393B47">
                <w:rPr>
                  <w:rStyle w:val="Hyperlink"/>
                </w:rPr>
                <w:t>jfinnigan@edf.org</w:t>
              </w:r>
            </w:hyperlink>
          </w:p>
          <w:p w:rsidR="00D5102C" w:rsidRPr="00393B47" w:rsidP="00AF294C" w14:paraId="56C46857" w14:textId="77777777">
            <w:pPr>
              <w:autoSpaceDE w:val="0"/>
              <w:autoSpaceDN w:val="0"/>
              <w:adjustRightInd w:val="0"/>
              <w:rPr>
                <w:color w:val="0000FF"/>
              </w:rPr>
            </w:pPr>
            <w:hyperlink r:id="rId28" w:history="1">
              <w:r w:rsidRPr="00393B47">
                <w:rPr>
                  <w:rStyle w:val="Hyperlink"/>
                </w:rPr>
                <w:t>Bojko@carpenterlipps.com</w:t>
              </w:r>
            </w:hyperlink>
          </w:p>
          <w:p w:rsidR="00D5102C" w:rsidRPr="00393B47" w:rsidP="00AF294C" w14:paraId="47E3C239" w14:textId="77777777">
            <w:pPr>
              <w:autoSpaceDE w:val="0"/>
              <w:autoSpaceDN w:val="0"/>
              <w:adjustRightInd w:val="0"/>
              <w:rPr>
                <w:color w:val="0000FF"/>
              </w:rPr>
            </w:pPr>
            <w:hyperlink r:id="rId29" w:history="1">
              <w:r w:rsidRPr="00393B47">
                <w:rPr>
                  <w:rStyle w:val="Hyperlink"/>
                </w:rPr>
                <w:t>perko@carpenterlipps.com</w:t>
              </w:r>
            </w:hyperlink>
          </w:p>
          <w:p w:rsidR="00D5102C" w:rsidRPr="00393B47" w:rsidP="00AF294C" w14:paraId="079EDEC6" w14:textId="77777777">
            <w:pPr>
              <w:autoSpaceDE w:val="0"/>
              <w:autoSpaceDN w:val="0"/>
              <w:adjustRightInd w:val="0"/>
              <w:rPr>
                <w:color w:val="0000FF"/>
              </w:rPr>
            </w:pPr>
            <w:hyperlink r:id="rId30" w:history="1">
              <w:r w:rsidRPr="00393B47">
                <w:rPr>
                  <w:rStyle w:val="Hyperlink"/>
                </w:rPr>
                <w:t>paul@carpenterlipps.com</w:t>
              </w:r>
            </w:hyperlink>
          </w:p>
          <w:p w:rsidR="00D5102C" w:rsidRPr="00393B47" w:rsidP="00AF294C" w14:paraId="74D51224" w14:textId="77777777">
            <w:pPr>
              <w:autoSpaceDE w:val="0"/>
              <w:autoSpaceDN w:val="0"/>
              <w:adjustRightInd w:val="0"/>
              <w:rPr>
                <w:color w:val="0000FF"/>
              </w:rPr>
            </w:pPr>
            <w:hyperlink r:id="rId31" w:history="1">
              <w:r w:rsidRPr="00393B47">
                <w:rPr>
                  <w:rStyle w:val="Hyperlink"/>
                </w:rPr>
                <w:t>rkelter@elpc.org</w:t>
              </w:r>
            </w:hyperlink>
          </w:p>
          <w:p w:rsidR="00D5102C" w:rsidRPr="00393B47" w:rsidP="00AF294C" w14:paraId="2D25E278" w14:textId="77777777">
            <w:pPr>
              <w:autoSpaceDE w:val="0"/>
              <w:autoSpaceDN w:val="0"/>
              <w:adjustRightInd w:val="0"/>
              <w:rPr>
                <w:color w:val="0000FF"/>
              </w:rPr>
            </w:pPr>
            <w:hyperlink r:id="rId32" w:history="1">
              <w:r w:rsidRPr="00393B47">
                <w:rPr>
                  <w:rStyle w:val="Hyperlink"/>
                </w:rPr>
                <w:t>joliker@igsenergy.com</w:t>
              </w:r>
            </w:hyperlink>
          </w:p>
          <w:p w:rsidR="00D5102C" w:rsidRPr="00393B47" w:rsidP="00AF294C" w14:paraId="216DE4F2" w14:textId="77777777">
            <w:pPr>
              <w:autoSpaceDE w:val="0"/>
              <w:autoSpaceDN w:val="0"/>
              <w:adjustRightInd w:val="0"/>
              <w:rPr>
                <w:color w:val="0000FF"/>
              </w:rPr>
            </w:pPr>
            <w:hyperlink r:id="rId33" w:history="1">
              <w:r w:rsidRPr="00393B47">
                <w:rPr>
                  <w:rStyle w:val="Hyperlink"/>
                </w:rPr>
                <w:t>swilliams@nrdc.org</w:t>
              </w:r>
            </w:hyperlink>
          </w:p>
          <w:p w:rsidR="00D5102C" w:rsidRPr="00393B47" w:rsidP="00AF294C" w14:paraId="0FF4D91B" w14:textId="77777777">
            <w:pPr>
              <w:autoSpaceDE w:val="0"/>
              <w:autoSpaceDN w:val="0"/>
              <w:adjustRightInd w:val="0"/>
              <w:rPr>
                <w:color w:val="0000FF"/>
              </w:rPr>
            </w:pPr>
          </w:p>
        </w:tc>
      </w:tr>
    </w:tbl>
    <w:p w:rsidR="00D5102C" w:rsidRPr="00393B47" w:rsidP="00D5102C" w14:paraId="1F22C462" w14:textId="77777777">
      <w:pPr>
        <w:jc w:val="both"/>
        <w:rPr>
          <w:rFonts w:eastAsia="Times New Roman" w:cs="Times New Roman"/>
          <w:bCs/>
          <w:szCs w:val="24"/>
        </w:rPr>
      </w:pPr>
    </w:p>
    <w:p w:rsidR="00D5102C" w:rsidRPr="00393B47" w:rsidP="00D5102C" w14:paraId="13D4A9AA" w14:textId="77777777">
      <w:pPr>
        <w:autoSpaceDE w:val="0"/>
        <w:autoSpaceDN w:val="0"/>
        <w:adjustRightInd w:val="0"/>
        <w:rPr>
          <w:rFonts w:cs="Times New Roman"/>
          <w:color w:val="0000FF"/>
          <w:szCs w:val="24"/>
        </w:rPr>
      </w:pPr>
      <w:r w:rsidRPr="00393B47">
        <w:rPr>
          <w:rFonts w:cs="Times New Roman"/>
          <w:color w:val="000000"/>
          <w:szCs w:val="24"/>
        </w:rPr>
        <w:t>Attorney Examiner:</w:t>
      </w:r>
      <w:r w:rsidRPr="00393B47">
        <w:rPr>
          <w:rFonts w:cs="Times New Roman"/>
          <w:color w:val="0000FF"/>
          <w:szCs w:val="24"/>
        </w:rPr>
        <w:tab/>
      </w:r>
    </w:p>
    <w:p w:rsidR="00D5102C" w:rsidRPr="00393B47" w:rsidP="00D5102C" w14:paraId="607D8BDD" w14:textId="77777777">
      <w:pPr>
        <w:rPr>
          <w:rFonts w:cs="Times New Roman"/>
          <w:color w:val="0000FF"/>
          <w:szCs w:val="24"/>
        </w:rPr>
      </w:pPr>
      <w:hyperlink r:id="rId34" w:history="1">
        <w:r w:rsidRPr="00393B47">
          <w:rPr>
            <w:rStyle w:val="Hyperlink"/>
            <w:rFonts w:cs="Times New Roman"/>
            <w:szCs w:val="24"/>
          </w:rPr>
          <w:t>Lauren.augostini@puco.ohio.gov</w:t>
        </w:r>
      </w:hyperlink>
    </w:p>
    <w:p w:rsidR="00D5102C" w:rsidRPr="00393B47" w:rsidP="00D5102C" w14:paraId="4B6B8476" w14:textId="77777777">
      <w:pPr>
        <w:rPr>
          <w:rFonts w:cs="Times New Roman"/>
          <w:color w:val="0000FF"/>
          <w:szCs w:val="24"/>
        </w:rPr>
      </w:pPr>
      <w:r w:rsidRPr="00393B47">
        <w:rPr>
          <w:rFonts w:cs="Times New Roman"/>
          <w:color w:val="0000FF"/>
          <w:szCs w:val="24"/>
        </w:rPr>
        <w:tab/>
      </w:r>
      <w:r w:rsidRPr="00393B47">
        <w:rPr>
          <w:rFonts w:cs="Times New Roman"/>
          <w:color w:val="0000FF"/>
          <w:szCs w:val="24"/>
        </w:rPr>
        <w:tab/>
      </w:r>
      <w:r w:rsidRPr="00393B47">
        <w:rPr>
          <w:rFonts w:cs="Times New Roman"/>
          <w:color w:val="0000FF"/>
          <w:szCs w:val="24"/>
        </w:rPr>
        <w:tab/>
      </w:r>
    </w:p>
    <w:p w:rsidR="000261F3" w:rsidRPr="00393B47" w:rsidP="008E7BC5" w14:paraId="28DA25A2" w14:textId="77777777">
      <w:pPr>
        <w:spacing w:line="480" w:lineRule="auto"/>
        <w:ind w:firstLine="720"/>
        <w:rPr>
          <w:rFonts w:cs="Times New Roman"/>
          <w:szCs w:val="24"/>
        </w:rPr>
      </w:pPr>
    </w:p>
    <w:p w:rsidR="000261F3" w:rsidRPr="00393B47" w:rsidP="008E7BC5" w14:paraId="53E27272" w14:textId="77777777">
      <w:pPr>
        <w:spacing w:line="480" w:lineRule="auto"/>
        <w:ind w:firstLine="720"/>
        <w:rPr>
          <w:rFonts w:cs="Times New Roman"/>
          <w:szCs w:val="24"/>
        </w:rPr>
      </w:pPr>
    </w:p>
    <w:p w:rsidR="000261F3" w:rsidRPr="00393B47" w:rsidP="008E7BC5" w14:paraId="314D5AE7" w14:textId="77777777">
      <w:pPr>
        <w:spacing w:line="480" w:lineRule="auto"/>
        <w:ind w:firstLine="720"/>
        <w:rPr>
          <w:rFonts w:cs="Times New Roman"/>
          <w:szCs w:val="24"/>
        </w:rPr>
      </w:pPr>
    </w:p>
    <w:p w:rsidR="000261F3" w:rsidRPr="00393B47" w:rsidP="008E7BC5" w14:paraId="7FA52170" w14:textId="77777777">
      <w:pPr>
        <w:spacing w:line="480" w:lineRule="auto"/>
        <w:ind w:firstLine="720"/>
        <w:rPr>
          <w:rFonts w:cs="Times New Roman"/>
          <w:szCs w:val="24"/>
        </w:rPr>
      </w:pPr>
    </w:p>
    <w:p w:rsidR="008E7BC5" w:rsidRPr="00393B47" w14:paraId="7D00B780" w14:textId="77777777">
      <w:pPr>
        <w:rPr>
          <w:rFonts w:cs="Times New Roman"/>
          <w:szCs w:val="24"/>
        </w:rPr>
      </w:pPr>
    </w:p>
    <w:p w:rsidR="008E7BC5" w:rsidRPr="00393B47" w14:paraId="1F8CA668" w14:textId="77777777">
      <w:pPr>
        <w:rPr>
          <w:rFonts w:cs="Times New Roman"/>
          <w:szCs w:val="24"/>
        </w:rPr>
      </w:pPr>
    </w:p>
    <w:sectPr w:rsidSect="00BD1B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34929248"/>
      <w:docPartObj>
        <w:docPartGallery w:val="Page Numbers (Bottom of Page)"/>
        <w:docPartUnique/>
      </w:docPartObj>
    </w:sdtPr>
    <w:sdtEndPr>
      <w:rPr>
        <w:noProof/>
        <w:sz w:val="24"/>
        <w:szCs w:val="24"/>
      </w:rPr>
    </w:sdtEndPr>
    <w:sdtContent>
      <w:p w:rsidR="00C2332A" w:rsidRPr="00C2332A" w14:paraId="0A17E549" w14:textId="7B42EDB3">
        <w:pPr>
          <w:pStyle w:val="Footer"/>
          <w:jc w:val="center"/>
          <w:rPr>
            <w:sz w:val="24"/>
            <w:szCs w:val="24"/>
          </w:rPr>
        </w:pPr>
      </w:p>
    </w:sdtContent>
  </w:sdt>
  <w:p w:rsidR="00C2332A" w14:paraId="75090C5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07373881"/>
      <w:docPartObj>
        <w:docPartGallery w:val="Page Numbers (Bottom of Page)"/>
        <w:docPartUnique/>
      </w:docPartObj>
    </w:sdtPr>
    <w:sdtEndPr>
      <w:rPr>
        <w:noProof/>
        <w:sz w:val="24"/>
        <w:szCs w:val="24"/>
      </w:rPr>
    </w:sdtEndPr>
    <w:sdtContent>
      <w:p w:rsidR="00C2332A" w:rsidRPr="00C2332A" w14:paraId="44BE4F20" w14:textId="77777777">
        <w:pPr>
          <w:pStyle w:val="Footer"/>
          <w:jc w:val="center"/>
          <w:rPr>
            <w:sz w:val="24"/>
            <w:szCs w:val="24"/>
          </w:rPr>
        </w:pPr>
        <w:r w:rsidRPr="00C2332A">
          <w:rPr>
            <w:sz w:val="24"/>
            <w:szCs w:val="24"/>
          </w:rPr>
          <w:fldChar w:fldCharType="begin"/>
        </w:r>
        <w:r w:rsidRPr="00C2332A">
          <w:rPr>
            <w:sz w:val="24"/>
            <w:szCs w:val="24"/>
          </w:rPr>
          <w:instrText xml:space="preserve"> PAGE   \* MERGEFORMAT </w:instrText>
        </w:r>
        <w:r w:rsidRPr="00C2332A">
          <w:rPr>
            <w:sz w:val="24"/>
            <w:szCs w:val="24"/>
          </w:rPr>
          <w:fldChar w:fldCharType="separate"/>
        </w:r>
        <w:r w:rsidRPr="00C2332A">
          <w:rPr>
            <w:noProof/>
            <w:sz w:val="24"/>
            <w:szCs w:val="24"/>
          </w:rPr>
          <w:t>2</w:t>
        </w:r>
        <w:r w:rsidRPr="00C2332A">
          <w:rPr>
            <w:noProof/>
            <w:sz w:val="24"/>
            <w:szCs w:val="24"/>
          </w:rPr>
          <w:fldChar w:fldCharType="end"/>
        </w:r>
      </w:p>
    </w:sdtContent>
  </w:sdt>
  <w:p w:rsidR="00C2332A" w14:paraId="53EE626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F0F9A" w:rsidP="008E7BC5" w14:paraId="4B326F8E" w14:textId="77777777">
      <w:r>
        <w:separator/>
      </w:r>
    </w:p>
  </w:footnote>
  <w:footnote w:type="continuationSeparator" w:id="1">
    <w:p w:rsidR="001F0F9A" w:rsidP="008E7BC5" w14:paraId="2228866A" w14:textId="77777777">
      <w:r>
        <w:continuationSeparator/>
      </w:r>
    </w:p>
  </w:footnote>
  <w:footnote w:id="2">
    <w:p w:rsidR="008C3CFF" w:rsidP="006E74D5" w14:paraId="7F7015FB" w14:textId="1AD8C946">
      <w:pPr>
        <w:pStyle w:val="FootnoteText"/>
        <w:spacing w:after="120"/>
      </w:pPr>
      <w:r>
        <w:rPr>
          <w:rStyle w:val="FootnoteReference"/>
        </w:rPr>
        <w:footnoteRef/>
      </w:r>
      <w:r>
        <w:t xml:space="preserve"> Finding &amp; Order </w:t>
      </w:r>
      <w:r>
        <w:rPr>
          <w:rFonts w:cs="Times New Roman"/>
        </w:rPr>
        <w:t>¶</w:t>
      </w:r>
      <w:r>
        <w:t> 8 (Nov. 18, 2020).</w:t>
      </w:r>
    </w:p>
  </w:footnote>
  <w:footnote w:id="3">
    <w:p w:rsidR="00AA36D8" w:rsidRPr="00AA36D8" w:rsidP="006E74D5" w14:paraId="470F194D" w14:textId="4E3FD8CE">
      <w:pPr>
        <w:pStyle w:val="FootnoteText"/>
        <w:spacing w:after="120"/>
      </w:pPr>
      <w:r>
        <w:rPr>
          <w:rStyle w:val="FootnoteReference"/>
        </w:rPr>
        <w:footnoteRef/>
      </w:r>
      <w:r>
        <w:t xml:space="preserve"> </w:t>
      </w:r>
      <w:r>
        <w:rPr>
          <w:i/>
          <w:iCs/>
        </w:rPr>
        <w:t>See</w:t>
      </w:r>
      <w:r>
        <w:t xml:space="preserve"> Case No. 20-1673-EL-RDR, Revised Tariff Pages (Dec. 23, 2020).</w:t>
      </w:r>
    </w:p>
  </w:footnote>
  <w:footnote w:id="4">
    <w:p w:rsidR="00AA36D8" w:rsidRPr="00AA36D8" w:rsidP="006E74D5" w14:paraId="7D5D9FC6" w14:textId="6D0AD841">
      <w:pPr>
        <w:pStyle w:val="FootnoteText"/>
        <w:spacing w:after="120"/>
      </w:pPr>
      <w:r>
        <w:rPr>
          <w:rStyle w:val="FootnoteReference"/>
        </w:rPr>
        <w:footnoteRef/>
      </w:r>
      <w:r>
        <w:t xml:space="preserve"> </w:t>
      </w:r>
      <w:r>
        <w:rPr>
          <w:i/>
          <w:iCs/>
        </w:rPr>
        <w:t>See</w:t>
      </w:r>
      <w:r>
        <w:t xml:space="preserve"> Case No. 19-2080-EL-RDR, November 3, 2020 Tariff Updates, which provide projected kWh usage for 2021.</w:t>
      </w:r>
    </w:p>
  </w:footnote>
  <w:footnote w:id="5">
    <w:p w:rsidR="00460129" w:rsidP="006E74D5" w14:paraId="67EEB5CA" w14:textId="34E02837">
      <w:pPr>
        <w:pStyle w:val="FootnoteText"/>
        <w:spacing w:after="120"/>
      </w:pPr>
      <w:r>
        <w:rPr>
          <w:rStyle w:val="FootnoteReference"/>
        </w:rPr>
        <w:footnoteRef/>
      </w:r>
      <w:r>
        <w:t xml:space="preserve"> </w:t>
      </w:r>
      <w:r w:rsidR="006E74D5">
        <w:t>Entry (Dec. 30, 2020).</w:t>
      </w:r>
    </w:p>
  </w:footnote>
  <w:footnote w:id="6">
    <w:p w:rsidR="00460129" w:rsidP="006E74D5" w14:paraId="0EC420C1" w14:textId="149F9D4F">
      <w:pPr>
        <w:pStyle w:val="FootnoteText"/>
        <w:spacing w:after="120"/>
      </w:pPr>
      <w:r>
        <w:rPr>
          <w:rStyle w:val="FootnoteReference"/>
        </w:rPr>
        <w:footnoteRef/>
      </w:r>
      <w:r>
        <w:t xml:space="preserve"> Entry (Dec. 30, 2020).</w:t>
      </w:r>
    </w:p>
  </w:footnote>
  <w:footnote w:id="7">
    <w:p w:rsidR="006A5A05" w:rsidRPr="006A5A05" w:rsidP="006E74D5" w14:paraId="5374C538" w14:textId="769A9007">
      <w:pPr>
        <w:pStyle w:val="FootnoteText"/>
        <w:spacing w:after="120"/>
      </w:pPr>
      <w:r>
        <w:rPr>
          <w:rStyle w:val="FootnoteReference"/>
        </w:rPr>
        <w:footnoteRef/>
      </w:r>
      <w:r>
        <w:t xml:space="preserve"> </w:t>
      </w:r>
      <w:r>
        <w:rPr>
          <w:i/>
          <w:iCs/>
        </w:rPr>
        <w:t>See</w:t>
      </w:r>
      <w:r>
        <w:t xml:space="preserve"> Ohio Edison Co., Rider ELR, Sheet 101; Cleveland Electric Co., Rider ELR, Sheet 101; Toledo Edison, Rider ELR, Sheet 101 (all attached as exhibits hereto).</w:t>
      </w:r>
    </w:p>
  </w:footnote>
  <w:footnote w:id="8">
    <w:p w:rsidR="006A5A05" w:rsidRPr="006A5A05" w:rsidP="006E74D5" w14:paraId="06E50CBB" w14:textId="252DF8C6">
      <w:pPr>
        <w:pStyle w:val="FootnoteText"/>
        <w:spacing w:after="120"/>
      </w:pPr>
      <w:r>
        <w:rPr>
          <w:rStyle w:val="FootnoteReference"/>
        </w:rPr>
        <w:footnoteRef/>
      </w:r>
      <w:r>
        <w:t xml:space="preserve"> </w:t>
      </w:r>
      <w:r>
        <w:rPr>
          <w:i/>
          <w:iCs/>
        </w:rPr>
        <w:t>Id.</w:t>
      </w:r>
    </w:p>
  </w:footnote>
  <w:footnote w:id="9">
    <w:p w:rsidR="006A5A05" w:rsidRPr="006A5A05" w:rsidP="006E74D5" w14:paraId="55BAA5A4" w14:textId="77777777">
      <w:pPr>
        <w:pStyle w:val="FootnoteText"/>
        <w:spacing w:after="120"/>
      </w:pPr>
      <w:r>
        <w:rPr>
          <w:rStyle w:val="FootnoteReference"/>
        </w:rPr>
        <w:footnoteRef/>
      </w:r>
      <w:r>
        <w:t xml:space="preserve"> </w:t>
      </w:r>
      <w:r>
        <w:rPr>
          <w:i/>
          <w:iCs/>
        </w:rPr>
        <w:t>See</w:t>
      </w:r>
      <w:r>
        <w:t xml:space="preserve"> R.C. 4928.66(G)(3).</w:t>
      </w:r>
    </w:p>
  </w:footnote>
  <w:footnote w:id="10">
    <w:p w:rsidR="00131FAC" w:rsidRPr="00131FAC" w:rsidP="006E74D5" w14:paraId="4DABB1EE" w14:textId="77777777">
      <w:pPr>
        <w:pStyle w:val="FootnoteText"/>
        <w:spacing w:after="120"/>
      </w:pPr>
      <w:r>
        <w:rPr>
          <w:rStyle w:val="FootnoteReference"/>
        </w:rPr>
        <w:footnoteRef/>
      </w:r>
      <w:r>
        <w:t xml:space="preserve"> Case Nos. 20-724-EL-EEC, 20-725-EL-EEC, 20-726-EL-EEC, Portfolio Status Report (May 15, 2020), </w:t>
      </w:r>
      <w:r>
        <w:rPr>
          <w:i/>
        </w:rPr>
        <w:t xml:space="preserve">available at </w:t>
      </w:r>
      <w:hyperlink r:id="rId1" w:history="1">
        <w:r w:rsidRPr="00131FAC">
          <w:rPr>
            <w:rStyle w:val="Hyperlink"/>
          </w:rPr>
          <w:t>http://dis.puc.state.oh.us/DocumentRecord.aspx?DocID=6ce9bd1d-280a-42f3-87ab-13e91f7ca168</w:t>
        </w:r>
      </w:hyperlink>
      <w:r w:rsidRPr="00131FAC">
        <w:t xml:space="preserve"> </w:t>
      </w:r>
      <w:r>
        <w:t>(click the first link under “Source File(s)”)</w:t>
      </w:r>
      <w:r w:rsidR="00FA0974">
        <w:t xml:space="preserve"> (the “Annual Report”)</w:t>
      </w:r>
      <w:r>
        <w:t>.</w:t>
      </w:r>
    </w:p>
  </w:footnote>
  <w:footnote w:id="11">
    <w:p w:rsidR="00131FAC" w:rsidRPr="00131FAC" w:rsidP="006E74D5" w14:paraId="4ED5E0E2" w14:textId="77777777">
      <w:pPr>
        <w:pStyle w:val="FootnoteText"/>
        <w:spacing w:after="120"/>
      </w:pPr>
      <w:r>
        <w:rPr>
          <w:rStyle w:val="FootnoteReference"/>
        </w:rPr>
        <w:footnoteRef/>
      </w:r>
      <w:r>
        <w:t xml:space="preserve"> </w:t>
      </w:r>
      <w:r>
        <w:rPr>
          <w:i/>
        </w:rPr>
        <w:t>Id.</w:t>
      </w:r>
    </w:p>
  </w:footnote>
  <w:footnote w:id="12">
    <w:p w:rsidR="006E74D5" w:rsidP="006E74D5" w14:paraId="701388B7" w14:textId="4D3E01CC">
      <w:pPr>
        <w:pStyle w:val="FootnoteText"/>
        <w:spacing w:after="120"/>
      </w:pPr>
      <w:r>
        <w:rPr>
          <w:rStyle w:val="FootnoteReference"/>
        </w:rPr>
        <w:footnoteRef/>
      </w:r>
      <w:r>
        <w:t xml:space="preserve"> Entry </w:t>
      </w:r>
      <w:r>
        <w:rPr>
          <w:rFonts w:cs="Times New Roman"/>
        </w:rPr>
        <w:t>¶</w:t>
      </w:r>
      <w:r>
        <w:t> 12 (Dec. 30,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2D43" w14:paraId="0F775F36"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BC5"/>
    <w:rsid w:val="0001479C"/>
    <w:rsid w:val="00014EE5"/>
    <w:rsid w:val="000261F3"/>
    <w:rsid w:val="00026433"/>
    <w:rsid w:val="00061D4B"/>
    <w:rsid w:val="000C76D2"/>
    <w:rsid w:val="000D05DC"/>
    <w:rsid w:val="00106DC3"/>
    <w:rsid w:val="001221C8"/>
    <w:rsid w:val="00131FAC"/>
    <w:rsid w:val="001E3209"/>
    <w:rsid w:val="001F0F9A"/>
    <w:rsid w:val="00301FFA"/>
    <w:rsid w:val="00323DD7"/>
    <w:rsid w:val="003330B2"/>
    <w:rsid w:val="00350907"/>
    <w:rsid w:val="00357837"/>
    <w:rsid w:val="00393B47"/>
    <w:rsid w:val="00396FFF"/>
    <w:rsid w:val="003E1EC9"/>
    <w:rsid w:val="003E3BC5"/>
    <w:rsid w:val="003E41B2"/>
    <w:rsid w:val="00460129"/>
    <w:rsid w:val="004D5909"/>
    <w:rsid w:val="005708F8"/>
    <w:rsid w:val="00586220"/>
    <w:rsid w:val="00590FE5"/>
    <w:rsid w:val="005A4799"/>
    <w:rsid w:val="005B1C37"/>
    <w:rsid w:val="005C1EB4"/>
    <w:rsid w:val="006A27AB"/>
    <w:rsid w:val="006A5A05"/>
    <w:rsid w:val="006C76BE"/>
    <w:rsid w:val="006E74D5"/>
    <w:rsid w:val="0072063D"/>
    <w:rsid w:val="00745EC1"/>
    <w:rsid w:val="00757407"/>
    <w:rsid w:val="007D5313"/>
    <w:rsid w:val="00861A35"/>
    <w:rsid w:val="00865CD3"/>
    <w:rsid w:val="00893FEF"/>
    <w:rsid w:val="008A6B5A"/>
    <w:rsid w:val="008C3CFF"/>
    <w:rsid w:val="008E7BC5"/>
    <w:rsid w:val="00911A81"/>
    <w:rsid w:val="00913609"/>
    <w:rsid w:val="0096408E"/>
    <w:rsid w:val="00984E50"/>
    <w:rsid w:val="0098761C"/>
    <w:rsid w:val="009A6BC8"/>
    <w:rsid w:val="009A7A11"/>
    <w:rsid w:val="009B6941"/>
    <w:rsid w:val="009D51D1"/>
    <w:rsid w:val="009E6407"/>
    <w:rsid w:val="00A6283C"/>
    <w:rsid w:val="00AA2789"/>
    <w:rsid w:val="00AA36D8"/>
    <w:rsid w:val="00AF0331"/>
    <w:rsid w:val="00AF294C"/>
    <w:rsid w:val="00B023AC"/>
    <w:rsid w:val="00B058C1"/>
    <w:rsid w:val="00BB2A4F"/>
    <w:rsid w:val="00BD1B34"/>
    <w:rsid w:val="00C11259"/>
    <w:rsid w:val="00C2332A"/>
    <w:rsid w:val="00C36A29"/>
    <w:rsid w:val="00C70134"/>
    <w:rsid w:val="00C9492B"/>
    <w:rsid w:val="00D32D8E"/>
    <w:rsid w:val="00D427E3"/>
    <w:rsid w:val="00D5102C"/>
    <w:rsid w:val="00D90130"/>
    <w:rsid w:val="00DA150A"/>
    <w:rsid w:val="00DB31BE"/>
    <w:rsid w:val="00E0737B"/>
    <w:rsid w:val="00E106E7"/>
    <w:rsid w:val="00E9196E"/>
    <w:rsid w:val="00EA673C"/>
    <w:rsid w:val="00EC4965"/>
    <w:rsid w:val="00F01DEE"/>
    <w:rsid w:val="00F02862"/>
    <w:rsid w:val="00F37454"/>
    <w:rsid w:val="00F8690C"/>
    <w:rsid w:val="00F97E72"/>
    <w:rsid w:val="00FA0974"/>
    <w:rsid w:val="00FC2D4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B34"/>
  </w:style>
  <w:style w:type="paragraph" w:styleId="Heading1">
    <w:name w:val="heading 1"/>
    <w:basedOn w:val="Normal"/>
    <w:next w:val="Normal"/>
    <w:link w:val="Heading1Char"/>
    <w:qFormat/>
    <w:rsid w:val="000C76D2"/>
    <w:pPr>
      <w:keepNext/>
      <w:outlineLvl w:val="0"/>
    </w:pPr>
    <w:rPr>
      <w:rFonts w:eastAsia="Times New Roman" w:cs="Times New Roman"/>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E7BC5"/>
    <w:rPr>
      <w:sz w:val="20"/>
      <w:szCs w:val="20"/>
    </w:rPr>
  </w:style>
  <w:style w:type="character" w:customStyle="1" w:styleId="FootnoteTextChar">
    <w:name w:val="Footnote Text Char"/>
    <w:basedOn w:val="DefaultParagraphFont"/>
    <w:link w:val="FootnoteText"/>
    <w:uiPriority w:val="99"/>
    <w:semiHidden/>
    <w:rsid w:val="008E7BC5"/>
    <w:rPr>
      <w:sz w:val="20"/>
      <w:szCs w:val="20"/>
    </w:rPr>
  </w:style>
  <w:style w:type="character" w:styleId="FootnoteReference">
    <w:name w:val="footnote reference"/>
    <w:basedOn w:val="DefaultParagraphFont"/>
    <w:uiPriority w:val="99"/>
    <w:semiHidden/>
    <w:unhideWhenUsed/>
    <w:rsid w:val="008E7BC5"/>
    <w:rPr>
      <w:vertAlign w:val="superscript"/>
    </w:rPr>
  </w:style>
  <w:style w:type="character" w:styleId="Hyperlink">
    <w:name w:val="Hyperlink"/>
    <w:basedOn w:val="DefaultParagraphFont"/>
    <w:uiPriority w:val="99"/>
    <w:unhideWhenUsed/>
    <w:rsid w:val="009D51D1"/>
    <w:rPr>
      <w:color w:val="0000FF" w:themeColor="hyperlink"/>
      <w:u w:val="single"/>
    </w:rPr>
  </w:style>
  <w:style w:type="paragraph" w:styleId="BalloonText">
    <w:name w:val="Balloon Text"/>
    <w:basedOn w:val="Normal"/>
    <w:link w:val="BalloonTextChar"/>
    <w:uiPriority w:val="99"/>
    <w:semiHidden/>
    <w:unhideWhenUsed/>
    <w:rsid w:val="00586220"/>
    <w:rPr>
      <w:rFonts w:ascii="Tahoma" w:hAnsi="Tahoma" w:cs="Tahoma"/>
      <w:sz w:val="16"/>
      <w:szCs w:val="16"/>
    </w:rPr>
  </w:style>
  <w:style w:type="character" w:customStyle="1" w:styleId="BalloonTextChar">
    <w:name w:val="Balloon Text Char"/>
    <w:basedOn w:val="DefaultParagraphFont"/>
    <w:link w:val="BalloonText"/>
    <w:uiPriority w:val="99"/>
    <w:semiHidden/>
    <w:rsid w:val="00586220"/>
    <w:rPr>
      <w:rFonts w:ascii="Tahoma" w:hAnsi="Tahoma" w:cs="Tahoma"/>
      <w:sz w:val="16"/>
      <w:szCs w:val="16"/>
    </w:rPr>
  </w:style>
  <w:style w:type="paragraph" w:styleId="HTMLPreformatted">
    <w:name w:val="HTML Preformatted"/>
    <w:basedOn w:val="Normal"/>
    <w:link w:val="HTMLPreformattedChar"/>
    <w:rsid w:val="000C7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0C76D2"/>
    <w:rPr>
      <w:rFonts w:ascii="Courier New" w:eastAsia="Courier New" w:hAnsi="Courier New" w:cs="Courier New"/>
      <w:sz w:val="20"/>
      <w:szCs w:val="20"/>
    </w:rPr>
  </w:style>
  <w:style w:type="character" w:customStyle="1" w:styleId="Heading1Char">
    <w:name w:val="Heading 1 Char"/>
    <w:basedOn w:val="DefaultParagraphFont"/>
    <w:link w:val="Heading1"/>
    <w:rsid w:val="000C76D2"/>
    <w:rPr>
      <w:rFonts w:eastAsia="Times New Roman" w:cs="Times New Roman"/>
      <w:b/>
      <w:szCs w:val="24"/>
      <w:u w:val="single"/>
    </w:rPr>
  </w:style>
  <w:style w:type="paragraph" w:styleId="Footer">
    <w:name w:val="footer"/>
    <w:basedOn w:val="Normal"/>
    <w:link w:val="FooterChar"/>
    <w:uiPriority w:val="99"/>
    <w:rsid w:val="000C76D2"/>
    <w:pPr>
      <w:tabs>
        <w:tab w:val="center" w:pos="4320"/>
        <w:tab w:val="right" w:pos="8640"/>
      </w:tabs>
    </w:pPr>
    <w:rPr>
      <w:rFonts w:eastAsia="Times New Roman" w:cs="Times New Roman"/>
      <w:sz w:val="20"/>
      <w:szCs w:val="20"/>
    </w:rPr>
  </w:style>
  <w:style w:type="character" w:customStyle="1" w:styleId="FooterChar">
    <w:name w:val="Footer Char"/>
    <w:basedOn w:val="DefaultParagraphFont"/>
    <w:link w:val="Footer"/>
    <w:uiPriority w:val="99"/>
    <w:rsid w:val="000C76D2"/>
    <w:rPr>
      <w:rFonts w:eastAsia="Times New Roman" w:cs="Times New Roman"/>
      <w:sz w:val="20"/>
      <w:szCs w:val="20"/>
    </w:rPr>
  </w:style>
  <w:style w:type="paragraph" w:styleId="BodyTextIndent3">
    <w:name w:val="Body Text Indent 3"/>
    <w:basedOn w:val="Normal"/>
    <w:link w:val="BodyTextIndent3Char"/>
    <w:rsid w:val="000C76D2"/>
    <w:pPr>
      <w:spacing w:line="480" w:lineRule="atLeast"/>
      <w:ind w:firstLine="720"/>
    </w:pPr>
    <w:rPr>
      <w:rFonts w:eastAsia="Times New Roman" w:cs="Times New Roman"/>
      <w:szCs w:val="20"/>
    </w:rPr>
  </w:style>
  <w:style w:type="character" w:customStyle="1" w:styleId="BodyTextIndent3Char">
    <w:name w:val="Body Text Indent 3 Char"/>
    <w:basedOn w:val="DefaultParagraphFont"/>
    <w:link w:val="BodyTextIndent3"/>
    <w:rsid w:val="000C76D2"/>
    <w:rPr>
      <w:rFonts w:eastAsia="Times New Roman" w:cs="Times New Roman"/>
      <w:szCs w:val="20"/>
    </w:rPr>
  </w:style>
  <w:style w:type="character" w:customStyle="1" w:styleId="UnresolvedMention">
    <w:name w:val="Unresolved Mention"/>
    <w:basedOn w:val="DefaultParagraphFont"/>
    <w:uiPriority w:val="99"/>
    <w:semiHidden/>
    <w:unhideWhenUsed/>
    <w:rsid w:val="00C11259"/>
    <w:rPr>
      <w:color w:val="605E5C"/>
      <w:shd w:val="clear" w:color="auto" w:fill="E1DFDD"/>
    </w:rPr>
  </w:style>
  <w:style w:type="table" w:styleId="TableGrid">
    <w:name w:val="Table Grid"/>
    <w:basedOn w:val="TableNormal"/>
    <w:rsid w:val="00D5102C"/>
    <w:rPr>
      <w:rFonts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D5102C"/>
    <w:rPr>
      <w:rFonts w:cs="Times New Roman"/>
      <w:sz w:val="20"/>
      <w:szCs w:val="20"/>
    </w:rPr>
  </w:style>
  <w:style w:type="character" w:customStyle="1" w:styleId="CommentTextChar">
    <w:name w:val="Comment Text Char"/>
    <w:basedOn w:val="DefaultParagraphFont"/>
    <w:link w:val="CommentText"/>
    <w:rsid w:val="00D5102C"/>
    <w:rPr>
      <w:rFonts w:cs="Times New Roman"/>
      <w:sz w:val="20"/>
      <w:szCs w:val="20"/>
    </w:rPr>
  </w:style>
  <w:style w:type="paragraph" w:styleId="Header">
    <w:name w:val="header"/>
    <w:basedOn w:val="Normal"/>
    <w:link w:val="HeaderChar"/>
    <w:uiPriority w:val="99"/>
    <w:unhideWhenUsed/>
    <w:rsid w:val="00C2332A"/>
    <w:pPr>
      <w:tabs>
        <w:tab w:val="center" w:pos="4680"/>
        <w:tab w:val="right" w:pos="9360"/>
      </w:tabs>
    </w:pPr>
  </w:style>
  <w:style w:type="character" w:customStyle="1" w:styleId="HeaderChar">
    <w:name w:val="Header Char"/>
    <w:basedOn w:val="DefaultParagraphFont"/>
    <w:link w:val="Header"/>
    <w:uiPriority w:val="99"/>
    <w:rsid w:val="00C2332A"/>
  </w:style>
  <w:style w:type="character" w:styleId="CommentReference">
    <w:name w:val="annotation reference"/>
    <w:basedOn w:val="DefaultParagraphFont"/>
    <w:uiPriority w:val="99"/>
    <w:semiHidden/>
    <w:unhideWhenUsed/>
    <w:rsid w:val="00AA2789"/>
    <w:rPr>
      <w:sz w:val="16"/>
      <w:szCs w:val="16"/>
    </w:rPr>
  </w:style>
  <w:style w:type="paragraph" w:styleId="CommentSubject">
    <w:name w:val="annotation subject"/>
    <w:basedOn w:val="CommentText"/>
    <w:next w:val="CommentText"/>
    <w:link w:val="CommentSubjectChar"/>
    <w:uiPriority w:val="99"/>
    <w:semiHidden/>
    <w:unhideWhenUsed/>
    <w:rsid w:val="00AA2789"/>
    <w:rPr>
      <w:rFonts w:cstheme="minorBidi"/>
      <w:b/>
      <w:bCs/>
    </w:rPr>
  </w:style>
  <w:style w:type="character" w:customStyle="1" w:styleId="CommentSubjectChar">
    <w:name w:val="Comment Subject Char"/>
    <w:basedOn w:val="CommentTextChar"/>
    <w:link w:val="CommentSubject"/>
    <w:uiPriority w:val="99"/>
    <w:semiHidden/>
    <w:rsid w:val="00AA2789"/>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john.jones@ohioattorneygeneral.gov" TargetMode="External" /><Relationship Id="rId11" Type="http://schemas.openxmlformats.org/officeDocument/2006/relationships/hyperlink" Target="mailto:tdougherty@theOEC.org" TargetMode="External" /><Relationship Id="rId12" Type="http://schemas.openxmlformats.org/officeDocument/2006/relationships/hyperlink" Target="mailto:mleppla@theoec.org" TargetMode="External" /><Relationship Id="rId13" Type="http://schemas.openxmlformats.org/officeDocument/2006/relationships/hyperlink" Target="mailto:rdove@keglerbrown.com" TargetMode="External" /><Relationship Id="rId14" Type="http://schemas.openxmlformats.org/officeDocument/2006/relationships/hyperlink" Target="mailto:mwarnock@bricker.com" TargetMode="External" /><Relationship Id="rId15" Type="http://schemas.openxmlformats.org/officeDocument/2006/relationships/hyperlink" Target="mailto:dborchers@bricker.com" TargetMode="External" /><Relationship Id="rId16" Type="http://schemas.openxmlformats.org/officeDocument/2006/relationships/hyperlink" Target="mailto:dparram@bricker.com" TargetMode="External" /><Relationship Id="rId17" Type="http://schemas.openxmlformats.org/officeDocument/2006/relationships/hyperlink" Target="mailto:mpritchard@mwncmh.com" TargetMode="External" /><Relationship Id="rId18" Type="http://schemas.openxmlformats.org/officeDocument/2006/relationships/hyperlink" Target="mailto:sechler@carpenterlipps.com" TargetMode="External" /><Relationship Id="rId19" Type="http://schemas.openxmlformats.org/officeDocument/2006/relationships/hyperlink" Target="mailto:callwein@keglerbrown.com" TargetMode="External" /><Relationship Id="rId2" Type="http://schemas.openxmlformats.org/officeDocument/2006/relationships/settings" Target="settings.xml" /><Relationship Id="rId20" Type="http://schemas.openxmlformats.org/officeDocument/2006/relationships/hyperlink" Target="mailto:cdunn@firstenergycorp.com" TargetMode="External" /><Relationship Id="rId21" Type="http://schemas.openxmlformats.org/officeDocument/2006/relationships/hyperlink" Target="mailto:eostrowski@firstenergycorp.com" TargetMode="External" /><Relationship Id="rId22" Type="http://schemas.openxmlformats.org/officeDocument/2006/relationships/hyperlink" Target="mailto:leiterr@firstenergycorp.com" TargetMode="External" /><Relationship Id="rId23" Type="http://schemas.openxmlformats.org/officeDocument/2006/relationships/hyperlink" Target="mailto:rendris@firstenergycorp.com" TargetMode="External" /><Relationship Id="rId24" Type="http://schemas.openxmlformats.org/officeDocument/2006/relationships/hyperlink" Target="mailto:Kjklaw@yahoo.com" TargetMode="External" /><Relationship Id="rId25" Type="http://schemas.openxmlformats.org/officeDocument/2006/relationships/hyperlink" Target="mailto:mrgladman@jonesday.com" TargetMode="External" /><Relationship Id="rId26" Type="http://schemas.openxmlformats.org/officeDocument/2006/relationships/hyperlink" Target="mailto:stostado@jonesday.com" TargetMode="External" /><Relationship Id="rId27" Type="http://schemas.openxmlformats.org/officeDocument/2006/relationships/hyperlink" Target="mailto:jfinnigan@edf.org" TargetMode="External" /><Relationship Id="rId28" Type="http://schemas.openxmlformats.org/officeDocument/2006/relationships/hyperlink" Target="mailto:Bojko@carpenterlipps.com" TargetMode="External" /><Relationship Id="rId29" Type="http://schemas.openxmlformats.org/officeDocument/2006/relationships/hyperlink" Target="mailto:perko@carpenterlipps.com" TargetMode="External" /><Relationship Id="rId3" Type="http://schemas.openxmlformats.org/officeDocument/2006/relationships/webSettings" Target="webSettings.xml" /><Relationship Id="rId30" Type="http://schemas.openxmlformats.org/officeDocument/2006/relationships/hyperlink" Target="mailto:paul@carpenterlipps.com" TargetMode="External" /><Relationship Id="rId31" Type="http://schemas.openxmlformats.org/officeDocument/2006/relationships/hyperlink" Target="mailto:rkelter@elpc.org" TargetMode="External" /><Relationship Id="rId32" Type="http://schemas.openxmlformats.org/officeDocument/2006/relationships/hyperlink" Target="mailto:joliker@igsenergy.com" TargetMode="External" /><Relationship Id="rId33" Type="http://schemas.openxmlformats.org/officeDocument/2006/relationships/hyperlink" Target="mailto:swilliams@nrdc.org" TargetMode="External" /><Relationship Id="rId34" Type="http://schemas.openxmlformats.org/officeDocument/2006/relationships/hyperlink" Target="mailto:Lauren.augostini@puco.ohio.gov" TargetMode="External" /><Relationship Id="rId35" Type="http://schemas.openxmlformats.org/officeDocument/2006/relationships/theme" Target="theme/theme1.xml" /><Relationship Id="rId36"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hyperlink" Target="mailto:christopher.healey@occ.ohio.gov" TargetMode="External" /><Relationship Id="rId8" Type="http://schemas.openxmlformats.org/officeDocument/2006/relationships/footer" Target="footer2.xml" /><Relationship Id="rId9" Type="http://schemas.openxmlformats.org/officeDocument/2006/relationships/header" Target="header1.xml" /></Relationships>
</file>

<file path=word/_rels/footnotes.xml.rels>&#65279;<?xml version="1.0" encoding="utf-8" standalone="yes"?><Relationships xmlns="http://schemas.openxmlformats.org/package/2006/relationships"><Relationship Id="rId1" Type="http://schemas.openxmlformats.org/officeDocument/2006/relationships/hyperlink" Target="http://dis.puc.state.oh.us/DocumentRecord.aspx?DocID=6ce9bd1d-280a-42f3-87ab-13e91f7ca168"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0F10A3-6F09-4569-87F7-9E0FC6613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1759</Words>
  <Characters>10028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FE 16-743 - OCC AFR.mrw.dfs  (00149649.DOCX;1)</vt:lpstr>
    </vt:vector>
  </TitlesOfParts>
  <Company/>
  <LinksUpToDate>false</LinksUpToDate>
  <CharactersWithSpaces>11764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2021-01-29T19:02:37Z</dcterms:created>
  <dcterms:modified xsi:type="dcterms:W3CDTF">2021-01-29T19:02:37Z</dcterms:modified>
</cp:coreProperties>
</file>