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5F4A38" w:rsidRPr="00A45900" w:rsidP="005F4A38" w14:paraId="613F15A0" w14:textId="500861BD">
      <w:pPr>
        <w:pStyle w:val="HTMLPreformatted"/>
        <w:jc w:val="center"/>
        <w:rPr>
          <w:rFonts w:ascii="Times New Roman" w:hAnsi="Times New Roman" w:cs="Times New Roman"/>
          <w:b/>
          <w:bCs/>
          <w:sz w:val="24"/>
          <w:szCs w:val="24"/>
        </w:rPr>
      </w:pPr>
      <w:r w:rsidRPr="00A45900">
        <w:rPr>
          <w:rFonts w:ascii="Times New Roman" w:hAnsi="Times New Roman" w:cs="Times New Roman"/>
          <w:b/>
          <w:bCs/>
          <w:sz w:val="24"/>
          <w:szCs w:val="24"/>
        </w:rPr>
        <w:t>BEFORE</w:t>
      </w:r>
    </w:p>
    <w:p w:rsidR="005F4A38" w:rsidRPr="00A45900" w:rsidP="005F4A38" w14:paraId="4C2D733E" w14:textId="7D23C338">
      <w:pPr>
        <w:pStyle w:val="HTMLPreformatted"/>
        <w:jc w:val="center"/>
        <w:rPr>
          <w:rFonts w:ascii="Times New Roman" w:hAnsi="Times New Roman" w:cs="Times New Roman"/>
          <w:b/>
          <w:bCs/>
          <w:sz w:val="24"/>
          <w:szCs w:val="24"/>
        </w:rPr>
      </w:pPr>
      <w:r w:rsidRPr="00A45900">
        <w:rPr>
          <w:rFonts w:ascii="Times New Roman" w:hAnsi="Times New Roman" w:cs="Times New Roman"/>
          <w:b/>
          <w:bCs/>
          <w:sz w:val="24"/>
          <w:szCs w:val="24"/>
        </w:rPr>
        <w:t>THE PUBLIC UTILITIES COMMISSION OF OHIO</w:t>
      </w:r>
    </w:p>
    <w:p w:rsidR="00FB3058" w:rsidRPr="00A45900" w:rsidP="005F4A38" w14:paraId="60053434" w14:textId="42B08848">
      <w:pPr>
        <w:pStyle w:val="HTMLPreformatted"/>
        <w:jc w:val="center"/>
        <w:rPr>
          <w:rFonts w:ascii="Times New Roman" w:hAnsi="Times New Roman" w:cs="Times New Roman"/>
          <w:b/>
          <w:bCs/>
          <w:sz w:val="24"/>
          <w:szCs w:val="24"/>
        </w:rPr>
      </w:pPr>
    </w:p>
    <w:p w:rsidR="00FB3058" w:rsidRPr="00A45900" w:rsidP="00FB3058" w14:paraId="1C407B5B" w14:textId="77777777">
      <w:pPr>
        <w:pStyle w:val="HTMLPreformatted"/>
        <w:rPr>
          <w:rFonts w:ascii="Times New Roman" w:hAnsi="Times New Roman" w:cs="Times New Roman"/>
          <w:sz w:val="24"/>
          <w:szCs w:val="24"/>
        </w:rPr>
      </w:pPr>
      <w:r w:rsidRPr="00A45900">
        <w:rPr>
          <w:rFonts w:ascii="Times New Roman" w:hAnsi="Times New Roman" w:cs="Times New Roman"/>
          <w:sz w:val="24"/>
          <w:szCs w:val="24"/>
        </w:rPr>
        <w:t>Ohio Power Company</w:t>
      </w:r>
      <w:r w:rsidRPr="00A45900">
        <w:rPr>
          <w:rFonts w:ascii="Times New Roman" w:hAnsi="Times New Roman" w:cs="Times New Roman"/>
          <w:sz w:val="24"/>
          <w:szCs w:val="24"/>
        </w:rPr>
        <w:tab/>
      </w:r>
      <w:r w:rsidRPr="00A45900">
        <w:rPr>
          <w:rFonts w:ascii="Times New Roman" w:hAnsi="Times New Roman" w:cs="Times New Roman"/>
          <w:sz w:val="24"/>
          <w:szCs w:val="24"/>
        </w:rPr>
        <w:tab/>
      </w:r>
      <w:r w:rsidRPr="00A45900">
        <w:rPr>
          <w:rFonts w:ascii="Times New Roman" w:hAnsi="Times New Roman" w:cs="Times New Roman"/>
          <w:sz w:val="24"/>
          <w:szCs w:val="24"/>
        </w:rPr>
        <w:tab/>
        <w:t>)</w:t>
      </w:r>
    </w:p>
    <w:p w:rsidR="00FB3058" w:rsidRPr="00A45900" w:rsidP="00FB3058" w14:paraId="70C91E09" w14:textId="77777777">
      <w:pPr>
        <w:pStyle w:val="HTMLPreformatted"/>
        <w:rPr>
          <w:rFonts w:ascii="Times New Roman" w:hAnsi="Times New Roman" w:cs="Times New Roman"/>
          <w:sz w:val="24"/>
          <w:szCs w:val="24"/>
        </w:rPr>
      </w:pPr>
      <w:r w:rsidRPr="00A45900">
        <w:rPr>
          <w:rFonts w:ascii="Times New Roman" w:hAnsi="Times New Roman" w:cs="Times New Roman"/>
          <w:sz w:val="24"/>
          <w:szCs w:val="24"/>
        </w:rPr>
        <w:tab/>
      </w:r>
      <w:r w:rsidRPr="00A45900">
        <w:rPr>
          <w:rFonts w:ascii="Times New Roman" w:hAnsi="Times New Roman" w:cs="Times New Roman"/>
          <w:sz w:val="24"/>
          <w:szCs w:val="24"/>
        </w:rPr>
        <w:tab/>
      </w:r>
      <w:r w:rsidRPr="00A45900">
        <w:rPr>
          <w:rFonts w:ascii="Times New Roman" w:hAnsi="Times New Roman" w:cs="Times New Roman"/>
          <w:sz w:val="24"/>
          <w:szCs w:val="24"/>
        </w:rPr>
        <w:tab/>
      </w:r>
      <w:r w:rsidRPr="00A45900">
        <w:rPr>
          <w:rFonts w:ascii="Times New Roman" w:hAnsi="Times New Roman" w:cs="Times New Roman"/>
          <w:sz w:val="24"/>
          <w:szCs w:val="24"/>
        </w:rPr>
        <w:tab/>
      </w:r>
      <w:r w:rsidRPr="00A45900">
        <w:rPr>
          <w:rFonts w:ascii="Times New Roman" w:hAnsi="Times New Roman" w:cs="Times New Roman"/>
          <w:sz w:val="24"/>
          <w:szCs w:val="24"/>
        </w:rPr>
        <w:tab/>
        <w:t>)</w:t>
      </w:r>
      <w:r w:rsidRPr="00A45900">
        <w:rPr>
          <w:rFonts w:ascii="Times New Roman" w:hAnsi="Times New Roman" w:cs="Times New Roman"/>
          <w:sz w:val="24"/>
          <w:szCs w:val="24"/>
        </w:rPr>
        <w:tab/>
        <w:t>Case No. 21-990-EL-CSS</w:t>
      </w:r>
    </w:p>
    <w:p w:rsidR="00FB3058" w:rsidRPr="00A45900" w:rsidP="00FB3058" w14:paraId="6E922026" w14:textId="77777777">
      <w:pPr>
        <w:pStyle w:val="HTMLPreformatted"/>
        <w:rPr>
          <w:rFonts w:ascii="Times New Roman" w:hAnsi="Times New Roman" w:cs="Times New Roman"/>
          <w:sz w:val="24"/>
          <w:szCs w:val="24"/>
        </w:rPr>
      </w:pPr>
      <w:r w:rsidRPr="00A45900">
        <w:rPr>
          <w:rFonts w:ascii="Times New Roman" w:hAnsi="Times New Roman" w:cs="Times New Roman"/>
          <w:sz w:val="24"/>
          <w:szCs w:val="24"/>
        </w:rPr>
        <w:t xml:space="preserve"> </w:t>
      </w:r>
      <w:r w:rsidRPr="00A45900">
        <w:rPr>
          <w:rFonts w:ascii="Times New Roman" w:hAnsi="Times New Roman" w:cs="Times New Roman"/>
          <w:sz w:val="24"/>
          <w:szCs w:val="24"/>
        </w:rPr>
        <w:tab/>
        <w:t>Complainant,</w:t>
      </w:r>
      <w:r w:rsidRPr="00A45900">
        <w:rPr>
          <w:rFonts w:ascii="Times New Roman" w:hAnsi="Times New Roman" w:cs="Times New Roman"/>
          <w:sz w:val="24"/>
          <w:szCs w:val="24"/>
        </w:rPr>
        <w:tab/>
      </w:r>
      <w:r w:rsidRPr="00A45900">
        <w:rPr>
          <w:rFonts w:ascii="Times New Roman" w:hAnsi="Times New Roman" w:cs="Times New Roman"/>
          <w:sz w:val="24"/>
          <w:szCs w:val="24"/>
        </w:rPr>
        <w:tab/>
      </w:r>
      <w:r w:rsidRPr="00A45900">
        <w:rPr>
          <w:rFonts w:ascii="Times New Roman" w:hAnsi="Times New Roman" w:cs="Times New Roman"/>
          <w:sz w:val="24"/>
          <w:szCs w:val="24"/>
        </w:rPr>
        <w:tab/>
        <w:t>)</w:t>
      </w:r>
    </w:p>
    <w:p w:rsidR="00FB3058" w:rsidRPr="00A45900" w:rsidP="00FB3058" w14:paraId="76E84CC2" w14:textId="77777777">
      <w:pPr>
        <w:pStyle w:val="HTMLPreformatted"/>
        <w:rPr>
          <w:rFonts w:ascii="Times New Roman" w:hAnsi="Times New Roman" w:cs="Times New Roman"/>
          <w:sz w:val="24"/>
          <w:szCs w:val="24"/>
        </w:rPr>
      </w:pPr>
      <w:r w:rsidRPr="00A45900">
        <w:rPr>
          <w:rFonts w:ascii="Times New Roman" w:hAnsi="Times New Roman" w:cs="Times New Roman"/>
          <w:sz w:val="24"/>
          <w:szCs w:val="24"/>
        </w:rPr>
        <w:tab/>
      </w:r>
      <w:r w:rsidRPr="00A45900">
        <w:rPr>
          <w:rFonts w:ascii="Times New Roman" w:hAnsi="Times New Roman" w:cs="Times New Roman"/>
          <w:sz w:val="24"/>
          <w:szCs w:val="24"/>
        </w:rPr>
        <w:tab/>
      </w:r>
      <w:r w:rsidRPr="00A45900">
        <w:rPr>
          <w:rFonts w:ascii="Times New Roman" w:hAnsi="Times New Roman" w:cs="Times New Roman"/>
          <w:sz w:val="24"/>
          <w:szCs w:val="24"/>
        </w:rPr>
        <w:tab/>
      </w:r>
      <w:r w:rsidRPr="00A45900">
        <w:rPr>
          <w:rFonts w:ascii="Times New Roman" w:hAnsi="Times New Roman" w:cs="Times New Roman"/>
          <w:sz w:val="24"/>
          <w:szCs w:val="24"/>
        </w:rPr>
        <w:tab/>
      </w:r>
      <w:r w:rsidRPr="00A45900">
        <w:rPr>
          <w:rFonts w:ascii="Times New Roman" w:hAnsi="Times New Roman" w:cs="Times New Roman"/>
          <w:sz w:val="24"/>
          <w:szCs w:val="24"/>
        </w:rPr>
        <w:tab/>
        <w:t>)</w:t>
      </w:r>
    </w:p>
    <w:p w:rsidR="00FB3058" w:rsidRPr="00A45900" w:rsidP="00FB3058" w14:paraId="48D5B187" w14:textId="77777777">
      <w:pPr>
        <w:pStyle w:val="HTMLPreformatted"/>
        <w:rPr>
          <w:rFonts w:ascii="Times New Roman" w:hAnsi="Times New Roman" w:cs="Times New Roman"/>
          <w:sz w:val="24"/>
          <w:szCs w:val="24"/>
        </w:rPr>
      </w:pPr>
      <w:r w:rsidRPr="00A45900">
        <w:rPr>
          <w:rFonts w:ascii="Times New Roman" w:hAnsi="Times New Roman" w:cs="Times New Roman"/>
          <w:sz w:val="24"/>
          <w:szCs w:val="24"/>
        </w:rPr>
        <w:t xml:space="preserve">            v.</w:t>
      </w:r>
      <w:r w:rsidRPr="00A45900">
        <w:rPr>
          <w:rFonts w:ascii="Times New Roman" w:hAnsi="Times New Roman" w:cs="Times New Roman"/>
          <w:sz w:val="24"/>
          <w:szCs w:val="24"/>
        </w:rPr>
        <w:tab/>
      </w:r>
      <w:r w:rsidRPr="00A45900">
        <w:rPr>
          <w:rFonts w:ascii="Times New Roman" w:hAnsi="Times New Roman" w:cs="Times New Roman"/>
          <w:sz w:val="24"/>
          <w:szCs w:val="24"/>
        </w:rPr>
        <w:tab/>
      </w:r>
      <w:r w:rsidRPr="00A45900">
        <w:rPr>
          <w:rFonts w:ascii="Times New Roman" w:hAnsi="Times New Roman" w:cs="Times New Roman"/>
          <w:sz w:val="24"/>
          <w:szCs w:val="24"/>
        </w:rPr>
        <w:tab/>
      </w:r>
      <w:r w:rsidRPr="00A45900">
        <w:rPr>
          <w:rFonts w:ascii="Times New Roman" w:hAnsi="Times New Roman" w:cs="Times New Roman"/>
          <w:sz w:val="24"/>
          <w:szCs w:val="24"/>
        </w:rPr>
        <w:tab/>
      </w:r>
      <w:r w:rsidRPr="00A45900">
        <w:rPr>
          <w:rFonts w:ascii="Times New Roman" w:hAnsi="Times New Roman" w:cs="Times New Roman"/>
          <w:sz w:val="24"/>
          <w:szCs w:val="24"/>
        </w:rPr>
        <w:tab/>
        <w:t>)</w:t>
      </w:r>
    </w:p>
    <w:p w:rsidR="00FB3058" w:rsidRPr="00A45900" w:rsidP="00FB3058" w14:paraId="4908560B" w14:textId="77777777">
      <w:pPr>
        <w:pStyle w:val="HTMLPreformatted"/>
        <w:rPr>
          <w:rFonts w:ascii="Times New Roman" w:hAnsi="Times New Roman" w:cs="Times New Roman"/>
          <w:sz w:val="24"/>
          <w:szCs w:val="24"/>
        </w:rPr>
      </w:pPr>
      <w:r w:rsidRPr="00A45900">
        <w:rPr>
          <w:rFonts w:ascii="Times New Roman" w:hAnsi="Times New Roman" w:cs="Times New Roman"/>
          <w:sz w:val="24"/>
          <w:szCs w:val="24"/>
        </w:rPr>
        <w:tab/>
      </w:r>
      <w:r w:rsidRPr="00A45900">
        <w:rPr>
          <w:rFonts w:ascii="Times New Roman" w:hAnsi="Times New Roman" w:cs="Times New Roman"/>
          <w:sz w:val="24"/>
          <w:szCs w:val="24"/>
        </w:rPr>
        <w:tab/>
      </w:r>
      <w:r w:rsidRPr="00A45900">
        <w:rPr>
          <w:rFonts w:ascii="Times New Roman" w:hAnsi="Times New Roman" w:cs="Times New Roman"/>
          <w:sz w:val="24"/>
          <w:szCs w:val="24"/>
        </w:rPr>
        <w:tab/>
      </w:r>
      <w:r w:rsidRPr="00A45900">
        <w:rPr>
          <w:rFonts w:ascii="Times New Roman" w:hAnsi="Times New Roman" w:cs="Times New Roman"/>
          <w:sz w:val="24"/>
          <w:szCs w:val="24"/>
        </w:rPr>
        <w:tab/>
      </w:r>
      <w:r w:rsidRPr="00A45900">
        <w:rPr>
          <w:rFonts w:ascii="Times New Roman" w:hAnsi="Times New Roman" w:cs="Times New Roman"/>
          <w:sz w:val="24"/>
          <w:szCs w:val="24"/>
        </w:rPr>
        <w:tab/>
        <w:t>)</w:t>
      </w:r>
    </w:p>
    <w:p w:rsidR="00FB3058" w:rsidRPr="00A45900" w:rsidP="00FB3058" w14:paraId="5FD9C135" w14:textId="77777777">
      <w:pPr>
        <w:pStyle w:val="HTMLPreformatted"/>
        <w:rPr>
          <w:rFonts w:ascii="Times New Roman" w:hAnsi="Times New Roman" w:cs="Times New Roman"/>
          <w:sz w:val="24"/>
          <w:szCs w:val="24"/>
        </w:rPr>
      </w:pPr>
      <w:r w:rsidRPr="00A45900">
        <w:rPr>
          <w:rFonts w:ascii="Times New Roman" w:hAnsi="Times New Roman" w:cs="Times New Roman"/>
          <w:sz w:val="24"/>
          <w:szCs w:val="24"/>
        </w:rPr>
        <w:t>Nationwide Energy Partners, LLC</w:t>
      </w:r>
      <w:r w:rsidRPr="00A45900">
        <w:rPr>
          <w:rFonts w:ascii="Times New Roman" w:hAnsi="Times New Roman" w:cs="Times New Roman"/>
          <w:sz w:val="24"/>
          <w:szCs w:val="24"/>
        </w:rPr>
        <w:tab/>
      </w:r>
      <w:r w:rsidRPr="00A45900">
        <w:rPr>
          <w:rFonts w:ascii="Times New Roman" w:hAnsi="Times New Roman" w:cs="Times New Roman"/>
          <w:sz w:val="24"/>
          <w:szCs w:val="24"/>
        </w:rPr>
        <w:tab/>
        <w:t>)</w:t>
      </w:r>
    </w:p>
    <w:p w:rsidR="00FB3058" w:rsidRPr="00A45900" w:rsidP="00FB3058" w14:paraId="3FD5E698" w14:textId="77777777">
      <w:pPr>
        <w:pStyle w:val="HTMLPreformatted"/>
        <w:rPr>
          <w:rFonts w:ascii="Times New Roman" w:hAnsi="Times New Roman" w:cs="Times New Roman"/>
          <w:sz w:val="24"/>
          <w:szCs w:val="24"/>
        </w:rPr>
      </w:pPr>
      <w:r w:rsidRPr="00A45900">
        <w:rPr>
          <w:rFonts w:ascii="Times New Roman" w:hAnsi="Times New Roman" w:cs="Times New Roman"/>
          <w:sz w:val="24"/>
          <w:szCs w:val="24"/>
        </w:rPr>
        <w:tab/>
      </w:r>
      <w:r w:rsidRPr="00A45900">
        <w:rPr>
          <w:rFonts w:ascii="Times New Roman" w:hAnsi="Times New Roman" w:cs="Times New Roman"/>
          <w:sz w:val="24"/>
          <w:szCs w:val="24"/>
        </w:rPr>
        <w:tab/>
      </w:r>
      <w:r w:rsidRPr="00A45900">
        <w:rPr>
          <w:rFonts w:ascii="Times New Roman" w:hAnsi="Times New Roman" w:cs="Times New Roman"/>
          <w:sz w:val="24"/>
          <w:szCs w:val="24"/>
        </w:rPr>
        <w:tab/>
      </w:r>
      <w:r w:rsidRPr="00A45900">
        <w:rPr>
          <w:rFonts w:ascii="Times New Roman" w:hAnsi="Times New Roman" w:cs="Times New Roman"/>
          <w:sz w:val="24"/>
          <w:szCs w:val="24"/>
        </w:rPr>
        <w:tab/>
      </w:r>
      <w:r w:rsidRPr="00A45900">
        <w:rPr>
          <w:rFonts w:ascii="Times New Roman" w:hAnsi="Times New Roman" w:cs="Times New Roman"/>
          <w:sz w:val="24"/>
          <w:szCs w:val="24"/>
        </w:rPr>
        <w:tab/>
        <w:t>)</w:t>
      </w:r>
    </w:p>
    <w:p w:rsidR="00FB3058" w:rsidRPr="00A45900" w:rsidP="00FB3058" w14:paraId="0BFC34FB" w14:textId="77777777">
      <w:pPr>
        <w:pStyle w:val="HTMLPreformatted"/>
        <w:rPr>
          <w:rFonts w:ascii="Times New Roman" w:hAnsi="Times New Roman" w:cs="Times New Roman"/>
          <w:sz w:val="24"/>
          <w:szCs w:val="24"/>
        </w:rPr>
      </w:pPr>
      <w:r w:rsidRPr="00A45900">
        <w:rPr>
          <w:rFonts w:ascii="Times New Roman" w:hAnsi="Times New Roman" w:cs="Times New Roman"/>
          <w:sz w:val="24"/>
          <w:szCs w:val="24"/>
        </w:rPr>
        <w:tab/>
        <w:t>Respondent.</w:t>
      </w:r>
      <w:r w:rsidRPr="00A45900">
        <w:rPr>
          <w:rFonts w:ascii="Times New Roman" w:hAnsi="Times New Roman" w:cs="Times New Roman"/>
          <w:sz w:val="24"/>
          <w:szCs w:val="24"/>
        </w:rPr>
        <w:tab/>
      </w:r>
      <w:r w:rsidRPr="00A45900">
        <w:rPr>
          <w:rFonts w:ascii="Times New Roman" w:hAnsi="Times New Roman" w:cs="Times New Roman"/>
          <w:sz w:val="24"/>
          <w:szCs w:val="24"/>
        </w:rPr>
        <w:tab/>
      </w:r>
      <w:r w:rsidRPr="00A45900">
        <w:rPr>
          <w:rFonts w:ascii="Times New Roman" w:hAnsi="Times New Roman" w:cs="Times New Roman"/>
          <w:sz w:val="24"/>
          <w:szCs w:val="24"/>
        </w:rPr>
        <w:tab/>
        <w:t>)</w:t>
      </w:r>
    </w:p>
    <w:p w:rsidR="005F4A38" w:rsidRPr="00A45900" w:rsidP="005F4A38" w14:paraId="35E68D8F" w14:textId="77777777">
      <w:pPr>
        <w:pBdr>
          <w:bottom w:val="single" w:sz="12" w:space="1" w:color="auto"/>
        </w:pBdr>
        <w:spacing w:before="4"/>
        <w:rPr>
          <w:szCs w:val="24"/>
        </w:rPr>
      </w:pPr>
    </w:p>
    <w:p w:rsidR="005F4A38" w:rsidRPr="00A45900" w:rsidP="005F4A38" w14:paraId="68D16F67" w14:textId="77777777">
      <w:pPr>
        <w:tabs>
          <w:tab w:val="left" w:pos="-720"/>
        </w:tabs>
        <w:suppressAutoHyphens/>
        <w:jc w:val="center"/>
        <w:rPr>
          <w:b/>
          <w:spacing w:val="-3"/>
          <w:szCs w:val="24"/>
        </w:rPr>
      </w:pPr>
    </w:p>
    <w:p w:rsidR="005F4A38" w:rsidRPr="00A45900" w:rsidP="005F4A38" w14:paraId="3037E081" w14:textId="1C0C91C8">
      <w:pPr>
        <w:tabs>
          <w:tab w:val="left" w:pos="-720"/>
        </w:tabs>
        <w:suppressAutoHyphens/>
        <w:jc w:val="center"/>
        <w:rPr>
          <w:b/>
          <w:spacing w:val="-3"/>
          <w:szCs w:val="24"/>
        </w:rPr>
      </w:pPr>
      <w:r w:rsidRPr="00A45900">
        <w:rPr>
          <w:b/>
          <w:spacing w:val="-3"/>
          <w:szCs w:val="24"/>
        </w:rPr>
        <w:t xml:space="preserve">MEMORANDUM CONTRA </w:t>
      </w:r>
      <w:r w:rsidRPr="00A45900" w:rsidR="00D5079A">
        <w:rPr>
          <w:b/>
          <w:spacing w:val="-3"/>
          <w:szCs w:val="24"/>
        </w:rPr>
        <w:t>NATIONWIDE ENERGY PARTNERS</w:t>
      </w:r>
      <w:r w:rsidRPr="00A45900" w:rsidR="0062290A">
        <w:rPr>
          <w:b/>
          <w:spacing w:val="-3"/>
          <w:szCs w:val="24"/>
        </w:rPr>
        <w:t>’</w:t>
      </w:r>
      <w:r w:rsidRPr="00A45900">
        <w:rPr>
          <w:b/>
          <w:spacing w:val="-3"/>
          <w:szCs w:val="24"/>
        </w:rPr>
        <w:t xml:space="preserve"> MOTION FOR PRO</w:t>
      </w:r>
      <w:r w:rsidRPr="00A45900" w:rsidR="008C6D7C">
        <w:rPr>
          <w:b/>
          <w:spacing w:val="-3"/>
          <w:szCs w:val="24"/>
        </w:rPr>
        <w:t>T</w:t>
      </w:r>
      <w:r w:rsidRPr="00A45900">
        <w:rPr>
          <w:b/>
          <w:spacing w:val="-3"/>
          <w:szCs w:val="24"/>
        </w:rPr>
        <w:t>ECTIVE ORDER</w:t>
      </w:r>
      <w:r w:rsidRPr="00A45900" w:rsidR="00AA3ED9">
        <w:rPr>
          <w:b/>
          <w:spacing w:val="-3"/>
          <w:szCs w:val="24"/>
        </w:rPr>
        <w:t xml:space="preserve"> </w:t>
      </w:r>
      <w:r w:rsidRPr="00A45900" w:rsidR="00D5079A">
        <w:rPr>
          <w:b/>
          <w:spacing w:val="-3"/>
          <w:szCs w:val="24"/>
        </w:rPr>
        <w:t>OR, IN THE ALTERNATIVE, FOR A STAY OF DIS</w:t>
      </w:r>
      <w:r w:rsidRPr="00A45900" w:rsidR="00324C56">
        <w:rPr>
          <w:b/>
          <w:spacing w:val="-3"/>
          <w:szCs w:val="24"/>
        </w:rPr>
        <w:t>C</w:t>
      </w:r>
      <w:r w:rsidRPr="00A45900" w:rsidR="00D5079A">
        <w:rPr>
          <w:b/>
          <w:spacing w:val="-3"/>
          <w:szCs w:val="24"/>
        </w:rPr>
        <w:t>OVERY</w:t>
      </w:r>
    </w:p>
    <w:p w:rsidR="00E738D4" w:rsidRPr="00A45900" w:rsidP="005F4A38" w14:paraId="420926A5" w14:textId="5E338EBF">
      <w:pPr>
        <w:tabs>
          <w:tab w:val="left" w:pos="-720"/>
        </w:tabs>
        <w:suppressAutoHyphens/>
        <w:jc w:val="center"/>
        <w:rPr>
          <w:b/>
          <w:spacing w:val="-3"/>
          <w:szCs w:val="24"/>
        </w:rPr>
      </w:pPr>
      <w:r w:rsidRPr="00A45900">
        <w:rPr>
          <w:b/>
          <w:spacing w:val="-3"/>
          <w:szCs w:val="24"/>
        </w:rPr>
        <w:t>BY</w:t>
      </w:r>
    </w:p>
    <w:p w:rsidR="00E738D4" w:rsidRPr="00A45900" w:rsidP="005F4A38" w14:paraId="7AF81FEF" w14:textId="512C8D98">
      <w:pPr>
        <w:tabs>
          <w:tab w:val="left" w:pos="-720"/>
        </w:tabs>
        <w:suppressAutoHyphens/>
        <w:jc w:val="center"/>
        <w:rPr>
          <w:b/>
          <w:spacing w:val="-3"/>
          <w:szCs w:val="24"/>
        </w:rPr>
      </w:pPr>
      <w:r w:rsidRPr="00A45900">
        <w:rPr>
          <w:b/>
          <w:spacing w:val="-3"/>
          <w:szCs w:val="24"/>
        </w:rPr>
        <w:t>OFFICE OF THE OHIO CONSUMERS’ COUNSEL</w:t>
      </w:r>
    </w:p>
    <w:p w:rsidR="005F4A38" w:rsidRPr="00A45900" w:rsidP="005F4A38" w14:paraId="6AAC8C01" w14:textId="77777777">
      <w:pPr>
        <w:pBdr>
          <w:bottom w:val="single" w:sz="12" w:space="1" w:color="auto"/>
        </w:pBdr>
        <w:tabs>
          <w:tab w:val="left" w:pos="-720"/>
        </w:tabs>
        <w:suppressAutoHyphens/>
        <w:jc w:val="center"/>
        <w:rPr>
          <w:b/>
          <w:spacing w:val="-3"/>
          <w:szCs w:val="24"/>
        </w:rPr>
      </w:pPr>
    </w:p>
    <w:p w:rsidR="005F4A38" w:rsidRPr="00A45900" w:rsidP="005F4A38" w14:paraId="7883E5B7" w14:textId="77777777">
      <w:pPr>
        <w:ind w:firstLine="720"/>
        <w:rPr>
          <w:rFonts w:eastAsiaTheme="minorHAnsi"/>
          <w:szCs w:val="24"/>
        </w:rPr>
      </w:pPr>
    </w:p>
    <w:p w:rsidR="00A25A3C" w:rsidRPr="00A45900" w:rsidP="00A25A3C" w14:paraId="7897CA99" w14:textId="02891583">
      <w:pPr>
        <w:spacing w:line="480" w:lineRule="auto"/>
        <w:rPr>
          <w:b/>
          <w:bCs/>
          <w:szCs w:val="24"/>
        </w:rPr>
      </w:pPr>
      <w:r w:rsidRPr="00A45900">
        <w:rPr>
          <w:b/>
          <w:bCs/>
          <w:szCs w:val="24"/>
        </w:rPr>
        <w:t>I.</w:t>
      </w:r>
      <w:r w:rsidRPr="00A45900">
        <w:rPr>
          <w:b/>
          <w:bCs/>
          <w:szCs w:val="24"/>
        </w:rPr>
        <w:tab/>
      </w:r>
      <w:r w:rsidRPr="00A45900">
        <w:rPr>
          <w:rStyle w:val="Heading1Char"/>
          <w:rFonts w:ascii="Times New Roman" w:hAnsi="Times New Roman" w:cs="Times New Roman"/>
          <w:szCs w:val="24"/>
        </w:rPr>
        <w:t>Introduction</w:t>
      </w:r>
    </w:p>
    <w:p w:rsidR="00FA52CA" w:rsidP="00024343" w14:paraId="5CB2C8C4" w14:textId="33900D6A">
      <w:pPr>
        <w:spacing w:line="480" w:lineRule="auto"/>
        <w:ind w:firstLine="720"/>
        <w:rPr>
          <w:szCs w:val="24"/>
        </w:rPr>
      </w:pPr>
      <w:r>
        <w:t>Ohio Power Company (“AEP”) filed a complaint against Nationwide Energy Partners, LLC (“NEP”) regarding NEP’s demand to provide electric utility service to AEP’s residential consumers through submetering. Submetering involves an entity (here NEP) that resells or redistributes public utility service to consumers. Traditionally, apartment landlords have provided submetering service to residents by dividing up the total bill for utility service according to each resident’s use. But today, non-landlord submetering companies like NEP seek to provide this service and profit from sales of utility service to consumers</w:t>
      </w:r>
      <w:r w:rsidR="00B0270E">
        <w:t xml:space="preserve">, without providing consumers the protections that they would otherwise receive under </w:t>
      </w:r>
      <w:r w:rsidR="00C20160">
        <w:t xml:space="preserve">PUCO </w:t>
      </w:r>
      <w:r w:rsidR="00B0270E">
        <w:t>regulation</w:t>
      </w:r>
      <w:r>
        <w:t xml:space="preserve">. OCC has sought discovery from NEP in an effort to protect AEP’s residential utility customers, </w:t>
      </w:r>
      <w:r w:rsidR="00AC3F92">
        <w:t xml:space="preserve">who </w:t>
      </w:r>
      <w:r>
        <w:t>reside in the apartment complex</w:t>
      </w:r>
      <w:r w:rsidR="00DF46CC">
        <w:t>es</w:t>
      </w:r>
      <w:r>
        <w:t xml:space="preserve"> NEP seeks to serve.</w:t>
      </w:r>
    </w:p>
    <w:p w:rsidR="00BB672C" w:rsidP="00024343" w14:paraId="3D81BA33" w14:textId="77777777">
      <w:pPr>
        <w:spacing w:line="480" w:lineRule="auto"/>
        <w:ind w:firstLine="720"/>
        <w:rPr>
          <w:szCs w:val="24"/>
        </w:rPr>
        <w:sectPr w:rsidSect="004A7521">
          <w:footerReference w:type="default" r:id="rId6"/>
          <w:pgSz w:w="12240" w:h="15840"/>
          <w:pgMar w:top="1440" w:right="1440" w:bottom="1440" w:left="1440" w:header="720" w:footer="720" w:gutter="0"/>
          <w:pgNumType w:start="2"/>
          <w:cols w:space="720"/>
          <w:titlePg/>
          <w:docGrid w:linePitch="360"/>
        </w:sectPr>
      </w:pPr>
      <w:r w:rsidRPr="00A45900">
        <w:rPr>
          <w:szCs w:val="24"/>
        </w:rPr>
        <w:t xml:space="preserve">Through its filing of a motion for a protective order or, in the alternative, for a stay of discovery, </w:t>
      </w:r>
      <w:r w:rsidRPr="00A45900" w:rsidR="00D5079A">
        <w:rPr>
          <w:szCs w:val="24"/>
        </w:rPr>
        <w:t>NEP</w:t>
      </w:r>
      <w:r w:rsidRPr="00A45900" w:rsidR="005D2447">
        <w:rPr>
          <w:szCs w:val="24"/>
        </w:rPr>
        <w:t xml:space="preserve"> </w:t>
      </w:r>
      <w:r w:rsidRPr="00A45900">
        <w:rPr>
          <w:szCs w:val="24"/>
        </w:rPr>
        <w:t xml:space="preserve">attempts to </w:t>
      </w:r>
      <w:r w:rsidRPr="00A45900" w:rsidR="008F0AB5">
        <w:rPr>
          <w:szCs w:val="24"/>
        </w:rPr>
        <w:t>thwart OCC's</w:t>
      </w:r>
      <w:r w:rsidRPr="00A45900">
        <w:rPr>
          <w:szCs w:val="24"/>
        </w:rPr>
        <w:t xml:space="preserve"> rights to conduct </w:t>
      </w:r>
      <w:r w:rsidRPr="00A45900" w:rsidR="008F0AB5">
        <w:rPr>
          <w:szCs w:val="24"/>
        </w:rPr>
        <w:t xml:space="preserve">discovery to investigate important </w:t>
      </w:r>
    </w:p>
    <w:p w:rsidR="00807ADF" w:rsidP="00BB672C" w14:paraId="5DD9172B" w14:textId="62F3C963">
      <w:pPr>
        <w:spacing w:line="480" w:lineRule="auto"/>
        <w:rPr>
          <w:szCs w:val="24"/>
        </w:rPr>
      </w:pPr>
      <w:r w:rsidRPr="00A45900">
        <w:rPr>
          <w:szCs w:val="24"/>
        </w:rPr>
        <w:t>consumer protection matters</w:t>
      </w:r>
      <w:r w:rsidRPr="00A45900" w:rsidR="005D2447">
        <w:rPr>
          <w:szCs w:val="24"/>
        </w:rPr>
        <w:t>.</w:t>
      </w:r>
      <w:r>
        <w:rPr>
          <w:rStyle w:val="FootnoteReference"/>
          <w:szCs w:val="24"/>
        </w:rPr>
        <w:footnoteReference w:id="2"/>
      </w:r>
      <w:r w:rsidR="00097431">
        <w:rPr>
          <w:szCs w:val="24"/>
        </w:rPr>
        <w:t xml:space="preserve"> NEP asks the PUCO to indefinitely delay OCC’s discovery by allowing NEP to respond 20 days after the PUCO rules on OCC’s mo</w:t>
      </w:r>
      <w:r>
        <w:rPr>
          <w:szCs w:val="24"/>
        </w:rPr>
        <w:t>ti</w:t>
      </w:r>
      <w:r w:rsidR="00097431">
        <w:rPr>
          <w:szCs w:val="24"/>
        </w:rPr>
        <w:t>on to intervene and NEP’s motion to dismiss.</w:t>
      </w:r>
      <w:r w:rsidR="00A57708">
        <w:rPr>
          <w:szCs w:val="24"/>
        </w:rPr>
        <w:t xml:space="preserve"> NEP’s request is contrary to the </w:t>
      </w:r>
      <w:r w:rsidR="00DF46CC">
        <w:rPr>
          <w:szCs w:val="24"/>
        </w:rPr>
        <w:t>Ohio Administrative Code</w:t>
      </w:r>
      <w:r w:rsidR="00A57708">
        <w:rPr>
          <w:szCs w:val="24"/>
        </w:rPr>
        <w:t>.</w:t>
      </w:r>
      <w:r w:rsidR="00097431">
        <w:rPr>
          <w:szCs w:val="24"/>
        </w:rPr>
        <w:t xml:space="preserve"> </w:t>
      </w:r>
      <w:r w:rsidRPr="00A45900" w:rsidR="005D2447">
        <w:rPr>
          <w:szCs w:val="24"/>
        </w:rPr>
        <w:t xml:space="preserve"> </w:t>
      </w:r>
    </w:p>
    <w:p w:rsidR="008F0AB5" w:rsidRPr="00A45900" w:rsidP="00024343" w14:paraId="406D3908" w14:textId="5E5AC32D">
      <w:pPr>
        <w:spacing w:line="480" w:lineRule="auto"/>
        <w:ind w:firstLine="720"/>
        <w:rPr>
          <w:szCs w:val="24"/>
        </w:rPr>
      </w:pPr>
      <w:r w:rsidRPr="00A45900">
        <w:rPr>
          <w:szCs w:val="24"/>
        </w:rPr>
        <w:t xml:space="preserve">The backdrop for this </w:t>
      </w:r>
      <w:r w:rsidRPr="00A45900" w:rsidR="00D5079A">
        <w:rPr>
          <w:szCs w:val="24"/>
        </w:rPr>
        <w:t>discovery</w:t>
      </w:r>
      <w:r w:rsidRPr="00A45900">
        <w:rPr>
          <w:szCs w:val="24"/>
        </w:rPr>
        <w:t xml:space="preserve"> dispute </w:t>
      </w:r>
      <w:r w:rsidRPr="00A45900" w:rsidR="00D5079A">
        <w:rPr>
          <w:szCs w:val="24"/>
        </w:rPr>
        <w:t>includes consumer protection issues raised by AEP’s Complaint against NEP</w:t>
      </w:r>
      <w:r w:rsidR="00807ADF">
        <w:rPr>
          <w:szCs w:val="24"/>
        </w:rPr>
        <w:t xml:space="preserve">, involving NEP’s </w:t>
      </w:r>
      <w:r w:rsidRPr="00A45900" w:rsidR="00D5079A">
        <w:rPr>
          <w:szCs w:val="24"/>
        </w:rPr>
        <w:t>resell</w:t>
      </w:r>
      <w:r w:rsidR="00C2143A">
        <w:rPr>
          <w:szCs w:val="24"/>
        </w:rPr>
        <w:t>ing</w:t>
      </w:r>
      <w:r w:rsidRPr="00A45900" w:rsidR="00D5079A">
        <w:rPr>
          <w:szCs w:val="24"/>
        </w:rPr>
        <w:t xml:space="preserve"> (submeter</w:t>
      </w:r>
      <w:r w:rsidR="00807ADF">
        <w:rPr>
          <w:szCs w:val="24"/>
        </w:rPr>
        <w:t>ing</w:t>
      </w:r>
      <w:r w:rsidRPr="00A45900" w:rsidR="00D5079A">
        <w:rPr>
          <w:szCs w:val="24"/>
        </w:rPr>
        <w:t xml:space="preserve">) </w:t>
      </w:r>
      <w:r w:rsidRPr="00A45900" w:rsidR="00EC52D5">
        <w:rPr>
          <w:szCs w:val="24"/>
        </w:rPr>
        <w:t xml:space="preserve">electric </w:t>
      </w:r>
      <w:r w:rsidRPr="00A45900" w:rsidR="00D5079A">
        <w:rPr>
          <w:szCs w:val="24"/>
        </w:rPr>
        <w:t>utility service to consumers.</w:t>
      </w:r>
      <w:r w:rsidRPr="00A45900">
        <w:rPr>
          <w:szCs w:val="24"/>
        </w:rPr>
        <w:t xml:space="preserve"> </w:t>
      </w:r>
      <w:r w:rsidRPr="00A45900" w:rsidR="00D5079A">
        <w:rPr>
          <w:szCs w:val="24"/>
        </w:rPr>
        <w:t>If NEP prevails</w:t>
      </w:r>
      <w:r w:rsidR="008F6296">
        <w:rPr>
          <w:szCs w:val="24"/>
        </w:rPr>
        <w:t xml:space="preserve"> in the Complaint case</w:t>
      </w:r>
      <w:r w:rsidR="00A57708">
        <w:rPr>
          <w:szCs w:val="24"/>
        </w:rPr>
        <w:t xml:space="preserve"> and is allowed to submeter to the apartment complexes at issue</w:t>
      </w:r>
      <w:r w:rsidRPr="00A45900" w:rsidR="00D5079A">
        <w:rPr>
          <w:szCs w:val="24"/>
        </w:rPr>
        <w:t xml:space="preserve">, consumers will pay higher rates and lose many of the consumer protections they receive when AEP provides service </w:t>
      </w:r>
      <w:r w:rsidR="00C2143A">
        <w:rPr>
          <w:szCs w:val="24"/>
        </w:rPr>
        <w:t xml:space="preserve">as a regulated utility </w:t>
      </w:r>
      <w:r w:rsidRPr="00A45900" w:rsidR="00D5079A">
        <w:rPr>
          <w:szCs w:val="24"/>
        </w:rPr>
        <w:t xml:space="preserve">under </w:t>
      </w:r>
      <w:r w:rsidR="00C2143A">
        <w:rPr>
          <w:szCs w:val="24"/>
        </w:rPr>
        <w:t xml:space="preserve">Ohio law. </w:t>
      </w:r>
      <w:r w:rsidRPr="00A45900" w:rsidR="00D5079A">
        <w:rPr>
          <w:szCs w:val="24"/>
        </w:rPr>
        <w:t xml:space="preserve"> </w:t>
      </w:r>
      <w:r w:rsidRPr="00A45900">
        <w:rPr>
          <w:szCs w:val="24"/>
        </w:rPr>
        <w:t xml:space="preserve">The PUCO should </w:t>
      </w:r>
      <w:r w:rsidRPr="00A45900" w:rsidR="00EC52D5">
        <w:rPr>
          <w:szCs w:val="24"/>
        </w:rPr>
        <w:t>reject</w:t>
      </w:r>
      <w:r w:rsidRPr="00A45900">
        <w:rPr>
          <w:szCs w:val="24"/>
        </w:rPr>
        <w:t xml:space="preserve"> </w:t>
      </w:r>
      <w:r w:rsidRPr="00A45900" w:rsidR="00D5079A">
        <w:rPr>
          <w:szCs w:val="24"/>
        </w:rPr>
        <w:t>NEP’s</w:t>
      </w:r>
      <w:r w:rsidRPr="00A45900">
        <w:rPr>
          <w:szCs w:val="24"/>
        </w:rPr>
        <w:t xml:space="preserve"> efforts to </w:t>
      </w:r>
      <w:r w:rsidR="00C2143A">
        <w:rPr>
          <w:szCs w:val="24"/>
        </w:rPr>
        <w:t xml:space="preserve">infringe upon </w:t>
      </w:r>
      <w:r w:rsidRPr="00A45900">
        <w:rPr>
          <w:szCs w:val="24"/>
        </w:rPr>
        <w:t xml:space="preserve">OCC's discovery rights that exist under law and rule.  </w:t>
      </w:r>
    </w:p>
    <w:p w:rsidR="00190CA6" w:rsidP="00C42BB7" w14:paraId="703FC8D9" w14:textId="7B95FD72">
      <w:pPr>
        <w:spacing w:line="480" w:lineRule="auto"/>
        <w:ind w:firstLine="720"/>
        <w:rPr>
          <w:szCs w:val="24"/>
        </w:rPr>
      </w:pPr>
      <w:bookmarkStart w:id="0" w:name="_Hlk89936704"/>
      <w:r w:rsidRPr="00A45900">
        <w:rPr>
          <w:szCs w:val="24"/>
        </w:rPr>
        <w:t>NEP</w:t>
      </w:r>
      <w:r w:rsidRPr="00A45900" w:rsidR="006056E7">
        <w:rPr>
          <w:szCs w:val="24"/>
        </w:rPr>
        <w:t xml:space="preserve"> wants to resell electric utility service to apartment complex residents for profit. </w:t>
      </w:r>
      <w:r w:rsidRPr="00A45900">
        <w:rPr>
          <w:szCs w:val="24"/>
        </w:rPr>
        <w:t>NEP has objected to OCC’s intervention to protect consumers and moved to dismiss AEP’s Complaint.</w:t>
      </w:r>
      <w:r>
        <w:rPr>
          <w:rStyle w:val="FootnoteReference"/>
          <w:szCs w:val="24"/>
        </w:rPr>
        <w:footnoteReference w:id="3"/>
      </w:r>
      <w:r w:rsidRPr="00A45900">
        <w:rPr>
          <w:szCs w:val="24"/>
        </w:rPr>
        <w:t xml:space="preserve"> </w:t>
      </w:r>
      <w:r w:rsidRPr="00A45900" w:rsidR="006056E7">
        <w:rPr>
          <w:szCs w:val="24"/>
        </w:rPr>
        <w:t>NEP</w:t>
      </w:r>
      <w:r w:rsidRPr="00A45900">
        <w:rPr>
          <w:szCs w:val="24"/>
        </w:rPr>
        <w:t xml:space="preserve"> </w:t>
      </w:r>
      <w:r w:rsidRPr="00A45900" w:rsidR="00EC52D5">
        <w:rPr>
          <w:szCs w:val="24"/>
        </w:rPr>
        <w:t>claims</w:t>
      </w:r>
      <w:r w:rsidRPr="00A45900">
        <w:rPr>
          <w:szCs w:val="24"/>
        </w:rPr>
        <w:t xml:space="preserve"> that it should not have to incur the time and expense to respond to OCC’s discovery</w:t>
      </w:r>
      <w:r w:rsidRPr="00A45900" w:rsidR="00EC52D5">
        <w:rPr>
          <w:szCs w:val="24"/>
        </w:rPr>
        <w:t>.</w:t>
      </w:r>
      <w:r w:rsidRPr="00A45900">
        <w:rPr>
          <w:szCs w:val="24"/>
        </w:rPr>
        <w:t xml:space="preserve"> </w:t>
      </w:r>
    </w:p>
    <w:p w:rsidR="0007319E" w:rsidP="00C42BB7" w14:paraId="680F992C" w14:textId="35536872">
      <w:pPr>
        <w:spacing w:line="480" w:lineRule="auto"/>
        <w:ind w:firstLine="720"/>
        <w:rPr>
          <w:szCs w:val="24"/>
        </w:rPr>
      </w:pPr>
      <w:r>
        <w:rPr>
          <w:szCs w:val="24"/>
        </w:rPr>
        <w:t>The PUCO should take note that it’s not a great start for NEP’s assumption of the important role of a public utility that it opposes the intervention of the state consumer advocate. And it’s not a good sign that NEP does not want to spend time or money answering the consumer advocate’s questions that go with acting as a public utility.  This from an entity, NEP, that does not offer consumers the protections available from AEP</w:t>
      </w:r>
      <w:r w:rsidR="007308C7">
        <w:rPr>
          <w:szCs w:val="24"/>
        </w:rPr>
        <w:t>’</w:t>
      </w:r>
      <w:r>
        <w:rPr>
          <w:szCs w:val="24"/>
        </w:rPr>
        <w:t xml:space="preserve">s service. </w:t>
      </w:r>
    </w:p>
    <w:p w:rsidR="00C42BB7" w:rsidP="00C42BB7" w14:paraId="45B35DD4" w14:textId="5BDAB7DA">
      <w:pPr>
        <w:spacing w:line="480" w:lineRule="auto"/>
        <w:ind w:firstLine="720"/>
        <w:rPr>
          <w:szCs w:val="24"/>
        </w:rPr>
      </w:pPr>
      <w:r w:rsidRPr="007308C7">
        <w:rPr>
          <w:szCs w:val="24"/>
        </w:rPr>
        <w:t xml:space="preserve">Notably, the </w:t>
      </w:r>
      <w:r w:rsidRPr="007308C7" w:rsidR="00DC6A46">
        <w:rPr>
          <w:szCs w:val="24"/>
        </w:rPr>
        <w:t xml:space="preserve">Franklin County Court of Common Pleas recently dismissed NEP’s </w:t>
      </w:r>
      <w:r w:rsidRPr="007308C7" w:rsidR="000B1F53">
        <w:rPr>
          <w:szCs w:val="24"/>
        </w:rPr>
        <w:t>suit against AEP regarding the same issues</w:t>
      </w:r>
      <w:r w:rsidRPr="007308C7" w:rsidR="00835BCA">
        <w:rPr>
          <w:szCs w:val="24"/>
        </w:rPr>
        <w:t>,</w:t>
      </w:r>
      <w:r w:rsidRPr="007308C7" w:rsidR="000B1F53">
        <w:rPr>
          <w:szCs w:val="24"/>
        </w:rPr>
        <w:t xml:space="preserve"> stating that this matter</w:t>
      </w:r>
      <w:r w:rsidRPr="007308C7" w:rsidR="00A9527E">
        <w:rPr>
          <w:szCs w:val="24"/>
        </w:rPr>
        <w:t xml:space="preserve"> is within the</w:t>
      </w:r>
      <w:r w:rsidRPr="007308C7" w:rsidR="00DE38AC">
        <w:rPr>
          <w:szCs w:val="24"/>
        </w:rPr>
        <w:t xml:space="preserve"> PUCO</w:t>
      </w:r>
      <w:r w:rsidRPr="007308C7" w:rsidR="00A9527E">
        <w:rPr>
          <w:szCs w:val="24"/>
        </w:rPr>
        <w:t>’s jurisdiction</w:t>
      </w:r>
      <w:r w:rsidRPr="007308C7" w:rsidR="00DE38AC">
        <w:rPr>
          <w:szCs w:val="24"/>
        </w:rPr>
        <w:t>.</w:t>
      </w:r>
      <w:r>
        <w:rPr>
          <w:rStyle w:val="FootnoteReference"/>
          <w:szCs w:val="24"/>
        </w:rPr>
        <w:footnoteReference w:id="4"/>
      </w:r>
      <w:r w:rsidRPr="007308C7" w:rsidR="00F97C31">
        <w:rPr>
          <w:szCs w:val="24"/>
        </w:rPr>
        <w:t xml:space="preserve"> Moreover, the Ohio Supreme Court has held that the PUCO </w:t>
      </w:r>
      <w:r w:rsidRPr="007308C7" w:rsidR="00B02129">
        <w:rPr>
          <w:szCs w:val="24"/>
        </w:rPr>
        <w:t>should consider whether NEP acts as a public utility in providing submetering service.</w:t>
      </w:r>
      <w:r>
        <w:rPr>
          <w:rStyle w:val="FootnoteReference"/>
          <w:szCs w:val="24"/>
        </w:rPr>
        <w:footnoteReference w:id="5"/>
      </w:r>
      <w:r w:rsidRPr="007308C7" w:rsidR="00B02129">
        <w:rPr>
          <w:szCs w:val="24"/>
        </w:rPr>
        <w:t xml:space="preserve"> </w:t>
      </w:r>
      <w:r w:rsidRPr="007308C7" w:rsidR="00DE38AC">
        <w:rPr>
          <w:szCs w:val="24"/>
        </w:rPr>
        <w:t xml:space="preserve"> Th</w:t>
      </w:r>
      <w:r w:rsidRPr="007308C7" w:rsidR="000A7F95">
        <w:rPr>
          <w:szCs w:val="24"/>
        </w:rPr>
        <w:t>us th</w:t>
      </w:r>
      <w:r w:rsidRPr="007308C7" w:rsidR="00DE38AC">
        <w:rPr>
          <w:szCs w:val="24"/>
        </w:rPr>
        <w:t>e</w:t>
      </w:r>
      <w:r w:rsidRPr="007308C7" w:rsidR="000A7F95">
        <w:rPr>
          <w:szCs w:val="24"/>
        </w:rPr>
        <w:t xml:space="preserve"> issues raised by AEP’s Complaint affecting consumers are squarely before the PUCO, and</w:t>
      </w:r>
      <w:r w:rsidRPr="007308C7" w:rsidR="00DE38AC">
        <w:rPr>
          <w:szCs w:val="24"/>
        </w:rPr>
        <w:t xml:space="preserve"> </w:t>
      </w:r>
      <w:r w:rsidRPr="007308C7" w:rsidR="000A7F95">
        <w:rPr>
          <w:szCs w:val="24"/>
        </w:rPr>
        <w:t xml:space="preserve">OCC should be permitted to conduct </w:t>
      </w:r>
      <w:r w:rsidRPr="007308C7" w:rsidR="00DE38AC">
        <w:rPr>
          <w:szCs w:val="24"/>
        </w:rPr>
        <w:t>discovery</w:t>
      </w:r>
      <w:r w:rsidRPr="007308C7" w:rsidR="000A7F95">
        <w:rPr>
          <w:szCs w:val="24"/>
        </w:rPr>
        <w:t xml:space="preserve"> on NEP</w:t>
      </w:r>
      <w:r w:rsidRPr="007308C7" w:rsidR="00DE38AC">
        <w:rPr>
          <w:szCs w:val="24"/>
        </w:rPr>
        <w:t xml:space="preserve"> now.</w:t>
      </w:r>
    </w:p>
    <w:bookmarkEnd w:id="0"/>
    <w:p w:rsidR="0068298C" w:rsidP="00C42BB7" w14:paraId="7B32B7BC" w14:textId="60B8FFBD">
      <w:pPr>
        <w:spacing w:line="480" w:lineRule="auto"/>
        <w:ind w:firstLine="720"/>
        <w:rPr>
          <w:szCs w:val="24"/>
        </w:rPr>
      </w:pPr>
      <w:r w:rsidRPr="00A45900">
        <w:rPr>
          <w:szCs w:val="24"/>
        </w:rPr>
        <w:t>NEP</w:t>
      </w:r>
      <w:r w:rsidRPr="00A45900" w:rsidR="002C313F">
        <w:rPr>
          <w:szCs w:val="24"/>
        </w:rPr>
        <w:t xml:space="preserve"> claims that</w:t>
      </w:r>
      <w:r w:rsidRPr="00A45900">
        <w:rPr>
          <w:szCs w:val="24"/>
        </w:rPr>
        <w:t xml:space="preserve"> OCC will not be </w:t>
      </w:r>
      <w:r w:rsidRPr="00A45900" w:rsidR="00EC52D5">
        <w:rPr>
          <w:szCs w:val="24"/>
        </w:rPr>
        <w:t>harmed</w:t>
      </w:r>
      <w:r w:rsidRPr="00A45900">
        <w:rPr>
          <w:szCs w:val="24"/>
        </w:rPr>
        <w:t xml:space="preserve"> by a protective order or discovery stay because there is no procedural schedule in this case.</w:t>
      </w:r>
      <w:r>
        <w:rPr>
          <w:rStyle w:val="FootnoteReference"/>
          <w:szCs w:val="24"/>
        </w:rPr>
        <w:footnoteReference w:id="6"/>
      </w:r>
      <w:r w:rsidRPr="00A45900">
        <w:rPr>
          <w:szCs w:val="24"/>
        </w:rPr>
        <w:t xml:space="preserve">  NEP is wrong</w:t>
      </w:r>
      <w:r w:rsidRPr="00A45900" w:rsidR="00EC52D5">
        <w:rPr>
          <w:szCs w:val="24"/>
        </w:rPr>
        <w:t>. NEP</w:t>
      </w:r>
      <w:r w:rsidRPr="00A45900" w:rsidR="006056E7">
        <w:rPr>
          <w:szCs w:val="24"/>
        </w:rPr>
        <w:t>’s Motion ignores</w:t>
      </w:r>
      <w:r w:rsidRPr="00A45900">
        <w:rPr>
          <w:szCs w:val="24"/>
        </w:rPr>
        <w:t xml:space="preserve"> Ohio law, Ohio Supreme Court precedent, and </w:t>
      </w:r>
      <w:r w:rsidRPr="00A45900" w:rsidR="002C313F">
        <w:rPr>
          <w:szCs w:val="24"/>
        </w:rPr>
        <w:t>the</w:t>
      </w:r>
      <w:r w:rsidR="00C42BB7">
        <w:rPr>
          <w:szCs w:val="24"/>
        </w:rPr>
        <w:t xml:space="preserve"> Ohio Administrative Code</w:t>
      </w:r>
      <w:r w:rsidRPr="00A45900">
        <w:rPr>
          <w:szCs w:val="24"/>
        </w:rPr>
        <w:t>.</w:t>
      </w:r>
      <w:r w:rsidR="00C42BB7">
        <w:rPr>
          <w:szCs w:val="24"/>
        </w:rPr>
        <w:t xml:space="preserve"> </w:t>
      </w:r>
      <w:r w:rsidRPr="00A45900" w:rsidR="005D2447">
        <w:rPr>
          <w:szCs w:val="24"/>
        </w:rPr>
        <w:t xml:space="preserve">The PUCO should deny </w:t>
      </w:r>
      <w:r w:rsidRPr="00A45900" w:rsidR="00D5079A">
        <w:rPr>
          <w:szCs w:val="24"/>
        </w:rPr>
        <w:t>NEP’s</w:t>
      </w:r>
      <w:r w:rsidRPr="00A45900" w:rsidR="005D2447">
        <w:rPr>
          <w:szCs w:val="24"/>
        </w:rPr>
        <w:t xml:space="preserve"> </w:t>
      </w:r>
      <w:r w:rsidRPr="00A45900" w:rsidR="00D5079A">
        <w:rPr>
          <w:szCs w:val="24"/>
        </w:rPr>
        <w:t>M</w:t>
      </w:r>
      <w:r w:rsidRPr="00A45900" w:rsidR="005D2447">
        <w:rPr>
          <w:szCs w:val="24"/>
        </w:rPr>
        <w:t>otion</w:t>
      </w:r>
      <w:r w:rsidRPr="00A45900">
        <w:rPr>
          <w:szCs w:val="24"/>
        </w:rPr>
        <w:t>, and direct NEP to respond to OCC’s discovery requests</w:t>
      </w:r>
      <w:r w:rsidRPr="00A45900" w:rsidR="005D2447">
        <w:rPr>
          <w:szCs w:val="24"/>
        </w:rPr>
        <w:t>.</w:t>
      </w:r>
      <w:bookmarkStart w:id="1" w:name="_Toc54881592"/>
      <w:bookmarkStart w:id="2" w:name="_Toc55226827"/>
    </w:p>
    <w:p w:rsidR="00BB672C" w:rsidRPr="00A45900" w:rsidP="00BB672C" w14:paraId="3437D4E5" w14:textId="77777777">
      <w:pPr>
        <w:ind w:firstLine="720"/>
        <w:rPr>
          <w:szCs w:val="24"/>
        </w:rPr>
      </w:pPr>
    </w:p>
    <w:p w:rsidR="00A25A3C" w:rsidRPr="00A45900" w:rsidP="0068298C" w14:paraId="12FD4819" w14:textId="6E97EFCD">
      <w:pPr>
        <w:spacing w:line="480" w:lineRule="auto"/>
        <w:rPr>
          <w:rStyle w:val="Heading1Char"/>
          <w:rFonts w:ascii="Times New Roman" w:hAnsi="Times New Roman" w:cs="Times New Roman"/>
          <w:szCs w:val="24"/>
        </w:rPr>
      </w:pPr>
      <w:r w:rsidRPr="00A45900">
        <w:rPr>
          <w:rStyle w:val="Heading1Char"/>
          <w:rFonts w:ascii="Times New Roman" w:hAnsi="Times New Roman" w:cs="Times New Roman"/>
          <w:szCs w:val="24"/>
        </w:rPr>
        <w:t>II.</w:t>
      </w:r>
      <w:r w:rsidRPr="00A45900">
        <w:rPr>
          <w:rStyle w:val="Heading1Char"/>
          <w:rFonts w:ascii="Times New Roman" w:hAnsi="Times New Roman" w:cs="Times New Roman"/>
          <w:szCs w:val="24"/>
        </w:rPr>
        <w:tab/>
      </w:r>
      <w:r w:rsidRPr="00A45900" w:rsidR="003976F2">
        <w:rPr>
          <w:rStyle w:val="Heading1Char"/>
          <w:rFonts w:ascii="Times New Roman" w:hAnsi="Times New Roman" w:cs="Times New Roman"/>
          <w:szCs w:val="24"/>
        </w:rPr>
        <w:t>ARGumen</w:t>
      </w:r>
      <w:bookmarkEnd w:id="1"/>
      <w:bookmarkEnd w:id="2"/>
      <w:r w:rsidRPr="00A45900" w:rsidR="0068298C">
        <w:rPr>
          <w:rStyle w:val="Heading1Char"/>
          <w:rFonts w:ascii="Times New Roman" w:hAnsi="Times New Roman" w:cs="Times New Roman"/>
          <w:szCs w:val="24"/>
        </w:rPr>
        <w:t>t</w:t>
      </w:r>
    </w:p>
    <w:p w:rsidR="003829CA" w:rsidRPr="00DF46CC" w:rsidP="003829CA" w14:paraId="55D788D4" w14:textId="214399A8">
      <w:pPr>
        <w:pStyle w:val="ListParagraph"/>
        <w:numPr>
          <w:ilvl w:val="0"/>
          <w:numId w:val="7"/>
        </w:numPr>
        <w:rPr>
          <w:rStyle w:val="Heading2Char"/>
          <w:rFonts w:ascii="Times New Roman" w:hAnsi="Times New Roman" w:cs="Times New Roman"/>
          <w:bCs/>
          <w:szCs w:val="24"/>
        </w:rPr>
      </w:pPr>
      <w:r w:rsidRPr="00DF46CC">
        <w:rPr>
          <w:rStyle w:val="Heading2Char"/>
          <w:rFonts w:ascii="Times New Roman" w:hAnsi="Times New Roman" w:cs="Times New Roman"/>
          <w:bCs/>
          <w:szCs w:val="24"/>
        </w:rPr>
        <w:t xml:space="preserve">Ohio law and </w:t>
      </w:r>
      <w:r w:rsidRPr="00DF46CC" w:rsidR="00C26E86">
        <w:rPr>
          <w:rStyle w:val="Heading2Char"/>
          <w:rFonts w:ascii="Times New Roman" w:hAnsi="Times New Roman" w:cs="Times New Roman"/>
          <w:bCs/>
          <w:szCs w:val="24"/>
        </w:rPr>
        <w:t>the Ohio Administrative Code</w:t>
      </w:r>
      <w:r w:rsidRPr="00DF46CC">
        <w:rPr>
          <w:rStyle w:val="Heading2Char"/>
          <w:rFonts w:ascii="Times New Roman" w:hAnsi="Times New Roman" w:cs="Times New Roman"/>
          <w:bCs/>
          <w:szCs w:val="24"/>
        </w:rPr>
        <w:t xml:space="preserve"> allow OCC’s discovery while</w:t>
      </w:r>
      <w:r w:rsidRPr="00DF46CC" w:rsidR="00B846D5">
        <w:rPr>
          <w:rStyle w:val="Heading2Char"/>
          <w:rFonts w:ascii="Times New Roman" w:hAnsi="Times New Roman" w:cs="Times New Roman"/>
          <w:bCs/>
          <w:szCs w:val="24"/>
        </w:rPr>
        <w:t xml:space="preserve"> motions are pending</w:t>
      </w:r>
      <w:r w:rsidRPr="00DF46CC">
        <w:rPr>
          <w:rStyle w:val="Heading2Char"/>
          <w:rFonts w:ascii="Times New Roman" w:hAnsi="Times New Roman" w:cs="Times New Roman"/>
          <w:bCs/>
          <w:szCs w:val="24"/>
        </w:rPr>
        <w:t xml:space="preserve">. The PUCO should deny </w:t>
      </w:r>
      <w:r w:rsidRPr="00DF46CC" w:rsidR="00AB1916">
        <w:rPr>
          <w:rStyle w:val="Heading2Char"/>
          <w:rFonts w:ascii="Times New Roman" w:hAnsi="Times New Roman" w:cs="Times New Roman"/>
          <w:bCs/>
          <w:szCs w:val="24"/>
        </w:rPr>
        <w:t>NEP</w:t>
      </w:r>
      <w:r w:rsidRPr="00DF46CC">
        <w:rPr>
          <w:rStyle w:val="Heading2Char"/>
          <w:rFonts w:ascii="Times New Roman" w:hAnsi="Times New Roman" w:cs="Times New Roman"/>
          <w:bCs/>
          <w:szCs w:val="24"/>
        </w:rPr>
        <w:t>’s motion to thwart OCC’s discovery for consumer protection.</w:t>
      </w:r>
    </w:p>
    <w:p w:rsidR="003829CA" w:rsidRPr="00A45900" w:rsidP="003829CA" w14:paraId="737BAD11" w14:textId="77777777">
      <w:pPr>
        <w:pStyle w:val="ListParagraph"/>
        <w:ind w:left="1440"/>
        <w:rPr>
          <w:rStyle w:val="Heading1Char"/>
          <w:rFonts w:ascii="Times New Roman" w:hAnsi="Times New Roman" w:cs="Times New Roman"/>
          <w:szCs w:val="24"/>
        </w:rPr>
      </w:pPr>
    </w:p>
    <w:p w:rsidR="009207A4" w:rsidRPr="00A45900" w:rsidP="008C6D7C" w14:paraId="4A3D661F" w14:textId="601AAD03">
      <w:pPr>
        <w:spacing w:line="480" w:lineRule="auto"/>
        <w:ind w:firstLine="720"/>
        <w:rPr>
          <w:szCs w:val="24"/>
        </w:rPr>
      </w:pPr>
      <w:r w:rsidRPr="00A45900">
        <w:rPr>
          <w:szCs w:val="24"/>
        </w:rPr>
        <w:t>R.C. 4903.082 provides that “</w:t>
      </w:r>
      <w:r w:rsidRPr="00A45900">
        <w:rPr>
          <w:i/>
          <w:iCs/>
          <w:szCs w:val="24"/>
        </w:rPr>
        <w:t xml:space="preserve">all parties </w:t>
      </w:r>
      <w:r w:rsidRPr="00A45900">
        <w:rPr>
          <w:szCs w:val="24"/>
        </w:rPr>
        <w:t xml:space="preserve">and intervenors shall be granted ample rights of discovery.” (emphasis added). </w:t>
      </w:r>
      <w:r w:rsidRPr="00A45900" w:rsidR="00A25A3C">
        <w:rPr>
          <w:szCs w:val="24"/>
        </w:rPr>
        <w:t>The PUCO has established that “discovery may begin immediately after a proceeding is commenced</w:t>
      </w:r>
      <w:r w:rsidRPr="00A45900" w:rsidR="00A25A3C">
        <w:rPr>
          <w:i/>
          <w:szCs w:val="24"/>
        </w:rPr>
        <w:t>.</w:t>
      </w:r>
      <w:r w:rsidRPr="00A45900" w:rsidR="00A25A3C">
        <w:rPr>
          <w:szCs w:val="24"/>
        </w:rPr>
        <w:t>”</w:t>
      </w:r>
      <w:r>
        <w:rPr>
          <w:color w:val="000000"/>
          <w:szCs w:val="24"/>
          <w:vertAlign w:val="superscript"/>
        </w:rPr>
        <w:footnoteReference w:id="7"/>
      </w:r>
      <w:r w:rsidRPr="00A45900" w:rsidR="00A25A3C">
        <w:rPr>
          <w:szCs w:val="24"/>
        </w:rPr>
        <w:t xml:space="preserve"> This proceeding was commenced when AEP filed its Complaint on September 24, 2021.  To protect consumers, OCC moved to intervene in this case on </w:t>
      </w:r>
      <w:r w:rsidR="00FA52CA">
        <w:rPr>
          <w:szCs w:val="24"/>
        </w:rPr>
        <w:t>Octo</w:t>
      </w:r>
      <w:r w:rsidRPr="00A45900" w:rsidR="005470CC">
        <w:rPr>
          <w:szCs w:val="24"/>
        </w:rPr>
        <w:t>ber 28, 2021</w:t>
      </w:r>
      <w:r w:rsidRPr="00A45900" w:rsidR="00666AFB">
        <w:rPr>
          <w:szCs w:val="24"/>
        </w:rPr>
        <w:t xml:space="preserve">, and served its first set of discovery requests on NEP on </w:t>
      </w:r>
      <w:r w:rsidRPr="00A45900" w:rsidR="0095657F">
        <w:rPr>
          <w:szCs w:val="24"/>
        </w:rPr>
        <w:t xml:space="preserve">November 5, 2021. </w:t>
      </w:r>
    </w:p>
    <w:p w:rsidR="00A25A3C" w:rsidRPr="00A45900" w:rsidP="008C6D7C" w14:paraId="1656E223" w14:textId="71D75E2F">
      <w:pPr>
        <w:spacing w:line="480" w:lineRule="auto"/>
        <w:ind w:firstLine="720"/>
        <w:rPr>
          <w:szCs w:val="24"/>
        </w:rPr>
      </w:pPr>
      <w:r>
        <w:rPr>
          <w:szCs w:val="24"/>
        </w:rPr>
        <w:t xml:space="preserve">NEP claims that discovery should not start until 20 days after the PUCO rules on OCC’s motion to intervene and NEP’s motion to dismiss. </w:t>
      </w:r>
      <w:r w:rsidR="00554275">
        <w:rPr>
          <w:szCs w:val="24"/>
        </w:rPr>
        <w:t>But</w:t>
      </w:r>
      <w:r w:rsidR="00F14497">
        <w:rPr>
          <w:szCs w:val="24"/>
        </w:rPr>
        <w:t xml:space="preserve"> d</w:t>
      </w:r>
      <w:r w:rsidRPr="00A45900" w:rsidR="005470CC">
        <w:rPr>
          <w:szCs w:val="24"/>
        </w:rPr>
        <w:t>iscovery may and should begin</w:t>
      </w:r>
      <w:r w:rsidR="00752A4A">
        <w:rPr>
          <w:szCs w:val="24"/>
        </w:rPr>
        <w:t xml:space="preserve"> now</w:t>
      </w:r>
      <w:r w:rsidRPr="00A45900" w:rsidR="005470CC">
        <w:rPr>
          <w:szCs w:val="24"/>
        </w:rPr>
        <w:t>.</w:t>
      </w:r>
      <w:r w:rsidRPr="00A45900" w:rsidR="00C9157B">
        <w:rPr>
          <w:szCs w:val="24"/>
        </w:rPr>
        <w:t xml:space="preserve"> </w:t>
      </w:r>
      <w:r w:rsidRPr="00A45900" w:rsidR="006D63C9">
        <w:rPr>
          <w:szCs w:val="24"/>
        </w:rPr>
        <w:t>Under O</w:t>
      </w:r>
      <w:r w:rsidR="00835BCA">
        <w:rPr>
          <w:szCs w:val="24"/>
        </w:rPr>
        <w:t>.A.C.</w:t>
      </w:r>
      <w:r w:rsidRPr="00A45900" w:rsidR="006D63C9">
        <w:rPr>
          <w:szCs w:val="24"/>
        </w:rPr>
        <w:t xml:space="preserve"> 4901-1-16(H), OCC is expressly permitted to conduct discovery on NEP while OCC’s Motion to Intervene is pending.</w:t>
      </w:r>
      <w:r>
        <w:rPr>
          <w:rStyle w:val="FootnoteReference"/>
          <w:szCs w:val="24"/>
        </w:rPr>
        <w:footnoteReference w:id="8"/>
      </w:r>
      <w:r w:rsidRPr="00A45900" w:rsidR="00C9157B">
        <w:rPr>
          <w:szCs w:val="24"/>
        </w:rPr>
        <w:t xml:space="preserve"> The PUCO has ruled that discovery should </w:t>
      </w:r>
      <w:r w:rsidR="006E2522">
        <w:rPr>
          <w:szCs w:val="24"/>
        </w:rPr>
        <w:t xml:space="preserve">begin at the outset of the case and </w:t>
      </w:r>
      <w:r w:rsidRPr="00A45900" w:rsidR="00C9157B">
        <w:rPr>
          <w:szCs w:val="24"/>
        </w:rPr>
        <w:t>not await a ruling on a motion to</w:t>
      </w:r>
      <w:r w:rsidRPr="00A45900" w:rsidR="003976F2">
        <w:rPr>
          <w:szCs w:val="24"/>
        </w:rPr>
        <w:t xml:space="preserve"> intervene or a motion to</w:t>
      </w:r>
      <w:r w:rsidRPr="00A45900" w:rsidR="00C9157B">
        <w:rPr>
          <w:szCs w:val="24"/>
        </w:rPr>
        <w:t xml:space="preserve"> dismiss.</w:t>
      </w:r>
      <w:r>
        <w:rPr>
          <w:rStyle w:val="FootnoteReference"/>
          <w:szCs w:val="24"/>
        </w:rPr>
        <w:footnoteReference w:id="9"/>
      </w:r>
      <w:r w:rsidRPr="00A45900" w:rsidR="0037192A">
        <w:rPr>
          <w:szCs w:val="24"/>
        </w:rPr>
        <w:t xml:space="preserve"> </w:t>
      </w:r>
      <w:r w:rsidRPr="00A45900" w:rsidR="00A349CC">
        <w:rPr>
          <w:szCs w:val="24"/>
        </w:rPr>
        <w:t xml:space="preserve">In a previous case where a company opposed discovery </w:t>
      </w:r>
      <w:r w:rsidRPr="00A45900" w:rsidR="00A22750">
        <w:rPr>
          <w:szCs w:val="24"/>
        </w:rPr>
        <w:t xml:space="preserve">pending </w:t>
      </w:r>
      <w:r w:rsidRPr="00A45900" w:rsidR="00BE6D81">
        <w:rPr>
          <w:szCs w:val="24"/>
        </w:rPr>
        <w:t xml:space="preserve">a </w:t>
      </w:r>
      <w:r w:rsidRPr="00A45900" w:rsidR="00A22750">
        <w:rPr>
          <w:szCs w:val="24"/>
        </w:rPr>
        <w:t xml:space="preserve">decision on </w:t>
      </w:r>
      <w:r w:rsidRPr="00A45900" w:rsidR="00A349CC">
        <w:rPr>
          <w:szCs w:val="24"/>
        </w:rPr>
        <w:t>OCC</w:t>
      </w:r>
      <w:r w:rsidRPr="00A45900" w:rsidR="00A22750">
        <w:rPr>
          <w:szCs w:val="24"/>
        </w:rPr>
        <w:t>’</w:t>
      </w:r>
      <w:r w:rsidRPr="00A45900" w:rsidR="00A349CC">
        <w:rPr>
          <w:szCs w:val="24"/>
        </w:rPr>
        <w:t>s motion to intervene</w:t>
      </w:r>
      <w:r w:rsidRPr="00A45900" w:rsidR="00BE6D81">
        <w:rPr>
          <w:szCs w:val="24"/>
        </w:rPr>
        <w:t>,</w:t>
      </w:r>
      <w:r w:rsidRPr="00A45900" w:rsidR="00A349CC">
        <w:rPr>
          <w:szCs w:val="24"/>
        </w:rPr>
        <w:t xml:space="preserve"> </w:t>
      </w:r>
      <w:r w:rsidRPr="00A45900" w:rsidR="00A22750">
        <w:rPr>
          <w:szCs w:val="24"/>
        </w:rPr>
        <w:t>the Attorney Examiner found:</w:t>
      </w:r>
      <w:r w:rsidRPr="00A45900" w:rsidR="00A349CC">
        <w:rPr>
          <w:szCs w:val="24"/>
        </w:rPr>
        <w:t xml:space="preserve"> </w:t>
      </w:r>
    </w:p>
    <w:p w:rsidR="0037192A" w:rsidRPr="00A45900" w:rsidP="0037192A" w14:paraId="765505FF" w14:textId="26C7DE58">
      <w:pPr>
        <w:ind w:left="720" w:right="720"/>
        <w:rPr>
          <w:szCs w:val="24"/>
        </w:rPr>
      </w:pPr>
      <w:r w:rsidRPr="00A45900">
        <w:rPr>
          <w:szCs w:val="24"/>
        </w:rPr>
        <w:t xml:space="preserve">As a final matter, the attorney examiner notes that, under Ohio Adm.Code 4901-1-16(H), the term "party" includes any person who has filed a motion to intervene, which is pending at the time a discovery request or motion is to be served or filed. Therefore, </w:t>
      </w:r>
      <w:r w:rsidRPr="00A45900">
        <w:rPr>
          <w:i/>
          <w:iCs/>
          <w:szCs w:val="24"/>
        </w:rPr>
        <w:t>unless and until the attorney examiner rules on any pending motion to intervene, all parties, including the Company, are subject to discovery for the purposes of these proceedings, and should timely respond to all discovery requests</w:t>
      </w:r>
      <w:r w:rsidRPr="00A45900">
        <w:rPr>
          <w:szCs w:val="24"/>
        </w:rPr>
        <w:t>.</w:t>
      </w:r>
      <w:r>
        <w:rPr>
          <w:rStyle w:val="FootnoteReference"/>
          <w:szCs w:val="24"/>
        </w:rPr>
        <w:footnoteReference w:id="10"/>
      </w:r>
    </w:p>
    <w:p w:rsidR="0037192A" w:rsidRPr="00A45900" w:rsidP="0037192A" w14:paraId="148617D9" w14:textId="77777777">
      <w:pPr>
        <w:ind w:left="720" w:right="720" w:hanging="720"/>
        <w:rPr>
          <w:szCs w:val="24"/>
        </w:rPr>
      </w:pPr>
    </w:p>
    <w:p w:rsidR="00594393" w:rsidRPr="00A45900" w:rsidP="007825C9" w14:paraId="2EE62CDB" w14:textId="67AD31CA">
      <w:pPr>
        <w:spacing w:line="480" w:lineRule="auto"/>
        <w:rPr>
          <w:szCs w:val="24"/>
        </w:rPr>
      </w:pPr>
      <w:r w:rsidRPr="00A45900">
        <w:rPr>
          <w:szCs w:val="24"/>
        </w:rPr>
        <w:t>The Ohio Supreme Court has routinely upheld OCC’s rights to discovery as well.</w:t>
      </w:r>
      <w:r>
        <w:rPr>
          <w:rStyle w:val="FootnoteReference"/>
          <w:szCs w:val="24"/>
        </w:rPr>
        <w:footnoteReference w:id="11"/>
      </w:r>
      <w:r w:rsidRPr="00A45900">
        <w:rPr>
          <w:szCs w:val="24"/>
        </w:rPr>
        <w:t xml:space="preserve"> </w:t>
      </w:r>
    </w:p>
    <w:p w:rsidR="00D64758" w:rsidRPr="00A45900" w:rsidP="008C6D7C" w14:paraId="4FB68928" w14:textId="6BBABD94">
      <w:pPr>
        <w:spacing w:line="480" w:lineRule="auto"/>
        <w:ind w:firstLine="720"/>
        <w:rPr>
          <w:color w:val="000000"/>
          <w:szCs w:val="24"/>
        </w:rPr>
      </w:pPr>
      <w:r w:rsidRPr="00A45900">
        <w:rPr>
          <w:szCs w:val="24"/>
        </w:rPr>
        <w:t>A</w:t>
      </w:r>
      <w:r w:rsidRPr="00A45900">
        <w:rPr>
          <w:color w:val="000000"/>
          <w:szCs w:val="24"/>
        </w:rPr>
        <w:t>ccording to the PUCO “the policy of discovery is to allow the parties to prepare cases and to encourage them to prepare thoroughly without taking undue advantage of the other side’s industry or efforts.”</w:t>
      </w:r>
      <w:r>
        <w:rPr>
          <w:szCs w:val="24"/>
          <w:vertAlign w:val="superscript"/>
        </w:rPr>
        <w:footnoteReference w:id="12"/>
      </w:r>
      <w:r w:rsidRPr="00A45900">
        <w:rPr>
          <w:color w:val="000000"/>
          <w:szCs w:val="24"/>
        </w:rPr>
        <w:t xml:space="preserve">  The</w:t>
      </w:r>
      <w:r w:rsidR="00153C6B">
        <w:rPr>
          <w:color w:val="000000"/>
          <w:szCs w:val="24"/>
        </w:rPr>
        <w:t xml:space="preserve"> rules on</w:t>
      </w:r>
      <w:r w:rsidRPr="00A45900">
        <w:rPr>
          <w:color w:val="000000"/>
          <w:szCs w:val="24"/>
        </w:rPr>
        <w:t xml:space="preserve"> discovery</w:t>
      </w:r>
      <w:r w:rsidR="00153C6B">
        <w:rPr>
          <w:color w:val="000000"/>
          <w:szCs w:val="24"/>
        </w:rPr>
        <w:t xml:space="preserve"> in the Ohio Administrative Code</w:t>
      </w:r>
      <w:r w:rsidRPr="00A45900">
        <w:rPr>
          <w:color w:val="000000"/>
          <w:szCs w:val="24"/>
        </w:rPr>
        <w:t xml:space="preserve"> “</w:t>
      </w:r>
      <w:r w:rsidRPr="00A45900">
        <w:rPr>
          <w:i/>
          <w:color w:val="000000"/>
          <w:szCs w:val="24"/>
        </w:rPr>
        <w:t>do not create an additional field of combat to delay trials or to appropriate the Commission’s time and resources</w:t>
      </w:r>
      <w:r w:rsidRPr="00A45900">
        <w:rPr>
          <w:color w:val="000000"/>
          <w:szCs w:val="24"/>
        </w:rPr>
        <w:t>; they are designed to confine discovery procedures to counsel and to expedite the administration of the Commission proceedings.”</w:t>
      </w:r>
      <w:r>
        <w:rPr>
          <w:szCs w:val="24"/>
          <w:vertAlign w:val="superscript"/>
        </w:rPr>
        <w:footnoteReference w:id="13"/>
      </w:r>
      <w:r w:rsidRPr="00A45900">
        <w:rPr>
          <w:color w:val="000000"/>
          <w:szCs w:val="24"/>
        </w:rPr>
        <w:t xml:space="preserve"> </w:t>
      </w:r>
      <w:r w:rsidRPr="00A45900" w:rsidR="007F0F08">
        <w:rPr>
          <w:color w:val="000000"/>
          <w:szCs w:val="24"/>
        </w:rPr>
        <w:t xml:space="preserve"> </w:t>
      </w:r>
    </w:p>
    <w:p w:rsidR="00BF2F18" w:rsidRPr="00A45900" w:rsidP="008C6D7C" w14:paraId="302EEB10" w14:textId="6AA1EEDB">
      <w:pPr>
        <w:spacing w:line="480" w:lineRule="auto"/>
        <w:ind w:firstLine="720"/>
        <w:rPr>
          <w:szCs w:val="24"/>
        </w:rPr>
      </w:pPr>
      <w:r w:rsidRPr="00A45900">
        <w:rPr>
          <w:szCs w:val="24"/>
        </w:rPr>
        <w:t xml:space="preserve">The </w:t>
      </w:r>
      <w:r w:rsidR="00B3299D">
        <w:rPr>
          <w:szCs w:val="24"/>
        </w:rPr>
        <w:t>Ohio Administrative Code</w:t>
      </w:r>
      <w:r w:rsidRPr="00A45900" w:rsidR="00B3299D">
        <w:rPr>
          <w:szCs w:val="24"/>
        </w:rPr>
        <w:t xml:space="preserve"> </w:t>
      </w:r>
      <w:r w:rsidRPr="00A45900">
        <w:rPr>
          <w:szCs w:val="24"/>
        </w:rPr>
        <w:t>allow</w:t>
      </w:r>
      <w:r w:rsidR="00B3299D">
        <w:rPr>
          <w:szCs w:val="24"/>
        </w:rPr>
        <w:t>s</w:t>
      </w:r>
      <w:r w:rsidRPr="00A45900">
        <w:rPr>
          <w:szCs w:val="24"/>
        </w:rPr>
        <w:t xml:space="preserve"> parties to obtain “discovery on any matter, not privileged, which is relevant to the subject matter of the proceeding.”</w:t>
      </w:r>
      <w:r>
        <w:rPr>
          <w:rStyle w:val="FootnoteReference"/>
          <w:szCs w:val="24"/>
        </w:rPr>
        <w:footnoteReference w:id="14"/>
      </w:r>
      <w:r w:rsidRPr="00A45900">
        <w:rPr>
          <w:szCs w:val="24"/>
        </w:rPr>
        <w:t xml:space="preserve"> The PUCO rule setting the scope of discovery is similar to Civ.R. 26(B)(1)</w:t>
      </w:r>
      <w:r w:rsidRPr="00A45900" w:rsidR="005470CC">
        <w:rPr>
          <w:szCs w:val="24"/>
        </w:rPr>
        <w:t>,</w:t>
      </w:r>
      <w:r w:rsidRPr="00A45900">
        <w:rPr>
          <w:szCs w:val="24"/>
        </w:rPr>
        <w:t xml:space="preserve"> which governs the scope of discovery in civil cases.  Civ.R.26(B)(1) has been liberally construed to allow for broad discovery of any unprivileged matter relevant to the subject matter of the pending proceeding.</w:t>
      </w:r>
      <w:r>
        <w:rPr>
          <w:rStyle w:val="FootnoteReference"/>
          <w:szCs w:val="24"/>
        </w:rPr>
        <w:footnoteReference w:id="15"/>
      </w:r>
      <w:r w:rsidRPr="00A45900">
        <w:rPr>
          <w:szCs w:val="24"/>
        </w:rPr>
        <w:t xml:space="preserve">  </w:t>
      </w:r>
    </w:p>
    <w:p w:rsidR="005E2CC6" w:rsidP="008C6D7C" w14:paraId="5AD49956" w14:textId="757B567F">
      <w:pPr>
        <w:autoSpaceDE w:val="0"/>
        <w:autoSpaceDN w:val="0"/>
        <w:adjustRightInd w:val="0"/>
        <w:spacing w:line="480" w:lineRule="auto"/>
        <w:ind w:firstLine="720"/>
        <w:rPr>
          <w:szCs w:val="24"/>
        </w:rPr>
      </w:pPr>
      <w:r w:rsidRPr="00A45900">
        <w:rPr>
          <w:color w:val="000000"/>
          <w:szCs w:val="24"/>
        </w:rPr>
        <w:t xml:space="preserve">The </w:t>
      </w:r>
      <w:r w:rsidR="00B3299D">
        <w:rPr>
          <w:color w:val="000000"/>
          <w:szCs w:val="24"/>
        </w:rPr>
        <w:t>Ohio Administrative Code is</w:t>
      </w:r>
      <w:r w:rsidRPr="00A45900">
        <w:rPr>
          <w:color w:val="000000"/>
          <w:szCs w:val="24"/>
        </w:rPr>
        <w:t xml:space="preserve"> intended to facilitate full and reasonable discovery, consistent with the statutory discovery rights parties are afforded under Ohio law.</w:t>
      </w:r>
      <w:r w:rsidRPr="00A45900" w:rsidR="00BE6D81">
        <w:rPr>
          <w:color w:val="000000"/>
          <w:szCs w:val="24"/>
        </w:rPr>
        <w:t xml:space="preserve"> As noted above,</w:t>
      </w:r>
      <w:r w:rsidRPr="00A45900" w:rsidR="007F0F08">
        <w:rPr>
          <w:rFonts w:eastAsiaTheme="minorHAnsi"/>
          <w:szCs w:val="24"/>
        </w:rPr>
        <w:t xml:space="preserve"> </w:t>
      </w:r>
      <w:r w:rsidRPr="00A45900" w:rsidR="000B1A9A">
        <w:rPr>
          <w:szCs w:val="24"/>
        </w:rPr>
        <w:t>R.C.</w:t>
      </w:r>
      <w:r w:rsidRPr="00A45900" w:rsidR="00B825F4">
        <w:rPr>
          <w:szCs w:val="24"/>
        </w:rPr>
        <w:t xml:space="preserve"> </w:t>
      </w:r>
      <w:r w:rsidRPr="00A45900" w:rsidR="000B1A9A">
        <w:rPr>
          <w:szCs w:val="24"/>
        </w:rPr>
        <w:t>4903.082</w:t>
      </w:r>
      <w:r w:rsidRPr="00A45900" w:rsidR="00BE6D81">
        <w:rPr>
          <w:szCs w:val="24"/>
        </w:rPr>
        <w:t xml:space="preserve"> provides that </w:t>
      </w:r>
      <w:r w:rsidRPr="00A45900" w:rsidR="000B1A9A">
        <w:rPr>
          <w:szCs w:val="24"/>
        </w:rPr>
        <w:t>“[a]ll parties and intervenors shall be granted ample rights of discovery.”</w:t>
      </w:r>
      <w:r>
        <w:rPr>
          <w:rStyle w:val="FootnoteReference"/>
          <w:szCs w:val="24"/>
        </w:rPr>
        <w:footnoteReference w:id="16"/>
      </w:r>
      <w:r w:rsidRPr="00A45900" w:rsidR="007F0F08">
        <w:rPr>
          <w:szCs w:val="24"/>
        </w:rPr>
        <w:t xml:space="preserve"> </w:t>
      </w:r>
      <w:r w:rsidRPr="00A45900" w:rsidR="00B40A96">
        <w:rPr>
          <w:szCs w:val="24"/>
        </w:rPr>
        <w:t>The discovery statute was effective in 1983 as part of a more comprehensive regulatory reform</w:t>
      </w:r>
      <w:r w:rsidRPr="00A45900" w:rsidR="005651AF">
        <w:rPr>
          <w:szCs w:val="24"/>
        </w:rPr>
        <w:t>.  R.C. 4903.082</w:t>
      </w:r>
      <w:r w:rsidRPr="00A45900" w:rsidR="00B40A96">
        <w:rPr>
          <w:szCs w:val="24"/>
        </w:rPr>
        <w:t xml:space="preserve"> was intended to protect discovery rights for parties in PUCO cases.  Yet all these years later</w:t>
      </w:r>
      <w:r w:rsidRPr="00A45900" w:rsidR="00594393">
        <w:rPr>
          <w:szCs w:val="24"/>
        </w:rPr>
        <w:t xml:space="preserve"> – despite clear precedent</w:t>
      </w:r>
      <w:r w:rsidRPr="00A45900" w:rsidR="00F822C3">
        <w:rPr>
          <w:szCs w:val="24"/>
        </w:rPr>
        <w:t xml:space="preserve"> and rules affirming OCC’s rights to discovery</w:t>
      </w:r>
      <w:r w:rsidRPr="00A45900" w:rsidR="00594393">
        <w:rPr>
          <w:szCs w:val="24"/>
        </w:rPr>
        <w:t xml:space="preserve"> –</w:t>
      </w:r>
      <w:r w:rsidRPr="00A45900" w:rsidR="00B40A96">
        <w:rPr>
          <w:szCs w:val="24"/>
        </w:rPr>
        <w:t xml:space="preserve"> </w:t>
      </w:r>
      <w:r w:rsidRPr="00A45900" w:rsidR="005470CC">
        <w:rPr>
          <w:szCs w:val="24"/>
        </w:rPr>
        <w:t>NEP</w:t>
      </w:r>
      <w:r w:rsidRPr="00A45900" w:rsidR="00B40A96">
        <w:rPr>
          <w:szCs w:val="24"/>
        </w:rPr>
        <w:t xml:space="preserve"> is </w:t>
      </w:r>
      <w:r w:rsidRPr="00A45900" w:rsidR="005470CC">
        <w:rPr>
          <w:szCs w:val="24"/>
        </w:rPr>
        <w:t>trying to thwart</w:t>
      </w:r>
      <w:r w:rsidRPr="00A45900" w:rsidR="00B40A96">
        <w:rPr>
          <w:szCs w:val="24"/>
        </w:rPr>
        <w:t xml:space="preserve"> OCC’s </w:t>
      </w:r>
      <w:r w:rsidRPr="00A45900" w:rsidR="005470CC">
        <w:rPr>
          <w:szCs w:val="24"/>
        </w:rPr>
        <w:t xml:space="preserve">consumer protection </w:t>
      </w:r>
      <w:r w:rsidRPr="00A45900" w:rsidR="00B40A96">
        <w:rPr>
          <w:szCs w:val="24"/>
        </w:rPr>
        <w:t xml:space="preserve">discovery efforts. The PUCO should not allow </w:t>
      </w:r>
      <w:r w:rsidRPr="00A45900" w:rsidR="005470CC">
        <w:rPr>
          <w:szCs w:val="24"/>
        </w:rPr>
        <w:t>NEP</w:t>
      </w:r>
      <w:r w:rsidRPr="00A45900" w:rsidR="00B40A96">
        <w:rPr>
          <w:szCs w:val="24"/>
        </w:rPr>
        <w:t xml:space="preserve"> to deny OCC the ample discovery rights allowed under Ohio law and rules.</w:t>
      </w:r>
      <w:r w:rsidRPr="00A45900">
        <w:rPr>
          <w:szCs w:val="24"/>
        </w:rPr>
        <w:t xml:space="preserve">  </w:t>
      </w:r>
    </w:p>
    <w:p w:rsidR="005E5F31" w:rsidP="008C6D7C" w14:paraId="17B24C1C" w14:textId="08C8B913">
      <w:pPr>
        <w:autoSpaceDE w:val="0"/>
        <w:autoSpaceDN w:val="0"/>
        <w:adjustRightInd w:val="0"/>
        <w:spacing w:line="480" w:lineRule="auto"/>
        <w:ind w:firstLine="720"/>
        <w:rPr>
          <w:szCs w:val="24"/>
        </w:rPr>
      </w:pPr>
    </w:p>
    <w:p w:rsidR="005E5F31" w:rsidP="008C6D7C" w14:paraId="1770C906" w14:textId="5CDCAAB8">
      <w:pPr>
        <w:autoSpaceDE w:val="0"/>
        <w:autoSpaceDN w:val="0"/>
        <w:adjustRightInd w:val="0"/>
        <w:spacing w:line="480" w:lineRule="auto"/>
        <w:ind w:firstLine="720"/>
        <w:rPr>
          <w:szCs w:val="24"/>
        </w:rPr>
      </w:pPr>
    </w:p>
    <w:p w:rsidR="005E5F31" w:rsidRPr="00A45900" w:rsidP="008C6D7C" w14:paraId="188E2FE2" w14:textId="77777777">
      <w:pPr>
        <w:autoSpaceDE w:val="0"/>
        <w:autoSpaceDN w:val="0"/>
        <w:adjustRightInd w:val="0"/>
        <w:spacing w:line="480" w:lineRule="auto"/>
        <w:ind w:firstLine="720"/>
        <w:rPr>
          <w:szCs w:val="24"/>
        </w:rPr>
      </w:pPr>
    </w:p>
    <w:p w:rsidR="00B846D5" w:rsidRPr="00A45900" w:rsidP="00B846D5" w14:paraId="3600A2DC" w14:textId="0B22CBFC">
      <w:pPr>
        <w:pStyle w:val="ListParagraph"/>
        <w:numPr>
          <w:ilvl w:val="0"/>
          <w:numId w:val="7"/>
        </w:numPr>
        <w:rPr>
          <w:b/>
          <w:bCs/>
          <w:szCs w:val="24"/>
        </w:rPr>
      </w:pPr>
      <w:r w:rsidRPr="00A45900">
        <w:rPr>
          <w:b/>
          <w:bCs/>
          <w:szCs w:val="24"/>
        </w:rPr>
        <w:t xml:space="preserve">OCC will be prejudiced if the </w:t>
      </w:r>
      <w:r w:rsidRPr="00A45900">
        <w:rPr>
          <w:rStyle w:val="Heading2Char"/>
          <w:rFonts w:ascii="Times New Roman" w:hAnsi="Times New Roman" w:cs="Times New Roman"/>
          <w:szCs w:val="24"/>
        </w:rPr>
        <w:t>PUCO</w:t>
      </w:r>
      <w:r w:rsidRPr="00A45900">
        <w:rPr>
          <w:b/>
          <w:bCs/>
          <w:szCs w:val="24"/>
        </w:rPr>
        <w:t xml:space="preserve"> grants NEP’s request to delay discovery.</w:t>
      </w:r>
    </w:p>
    <w:p w:rsidR="00B846D5" w:rsidRPr="00A45900" w:rsidP="00B846D5" w14:paraId="50F841B6" w14:textId="77777777">
      <w:pPr>
        <w:pStyle w:val="ListParagraph"/>
        <w:ind w:left="1440"/>
        <w:rPr>
          <w:b/>
          <w:bCs/>
          <w:szCs w:val="24"/>
        </w:rPr>
      </w:pPr>
    </w:p>
    <w:p w:rsidR="00A25A3C" w:rsidRPr="00A45900" w:rsidP="001B60DA" w14:paraId="01603911" w14:textId="5B96AEBB">
      <w:pPr>
        <w:spacing w:line="480" w:lineRule="auto"/>
        <w:ind w:firstLine="720"/>
        <w:rPr>
          <w:szCs w:val="24"/>
        </w:rPr>
      </w:pPr>
      <w:r w:rsidRPr="00A45900">
        <w:rPr>
          <w:szCs w:val="24"/>
        </w:rPr>
        <w:t xml:space="preserve">Contrary to NEP’s claims, OCC will be harmed if discovery is delayed. </w:t>
      </w:r>
      <w:r w:rsidRPr="00A45900" w:rsidR="005470CC">
        <w:rPr>
          <w:szCs w:val="24"/>
        </w:rPr>
        <w:t xml:space="preserve">In light of </w:t>
      </w:r>
      <w:r w:rsidRPr="00A45900" w:rsidR="00372EC0">
        <w:rPr>
          <w:szCs w:val="24"/>
        </w:rPr>
        <w:t>OCC’s</w:t>
      </w:r>
      <w:r w:rsidRPr="00A45900" w:rsidR="005470CC">
        <w:rPr>
          <w:szCs w:val="24"/>
        </w:rPr>
        <w:t xml:space="preserve"> broad and ample discovery rights, NEP’s</w:t>
      </w:r>
      <w:r w:rsidRPr="00A45900" w:rsidR="00B846D5">
        <w:rPr>
          <w:szCs w:val="24"/>
        </w:rPr>
        <w:t xml:space="preserve"> own</w:t>
      </w:r>
      <w:r w:rsidRPr="00A45900" w:rsidR="005470CC">
        <w:rPr>
          <w:szCs w:val="24"/>
        </w:rPr>
        <w:t xml:space="preserve"> assertions of hardship in responding to OCC’s consumer protection discovery ring hollow. OCC has served 20 consumer protection discovery requests.</w:t>
      </w:r>
      <w:r>
        <w:rPr>
          <w:rStyle w:val="FootnoteReference"/>
          <w:szCs w:val="24"/>
        </w:rPr>
        <w:footnoteReference w:id="17"/>
      </w:r>
      <w:r w:rsidRPr="00A45900" w:rsidR="005470CC">
        <w:rPr>
          <w:szCs w:val="24"/>
        </w:rPr>
        <w:t xml:space="preserve">  NEP is a large, sophisticated business looking to provide an </w:t>
      </w:r>
      <w:r w:rsidRPr="00A45900" w:rsidR="005470CC">
        <w:rPr>
          <w:i/>
          <w:iCs/>
          <w:szCs w:val="24"/>
        </w:rPr>
        <w:t>essential</w:t>
      </w:r>
      <w:r w:rsidRPr="00A45900" w:rsidR="005470CC">
        <w:rPr>
          <w:szCs w:val="24"/>
        </w:rPr>
        <w:t xml:space="preserve"> service (electric utility service) to a substantial number of residential consumers.</w:t>
      </w:r>
      <w:r>
        <w:rPr>
          <w:rStyle w:val="FootnoteReference"/>
          <w:szCs w:val="24"/>
        </w:rPr>
        <w:footnoteReference w:id="18"/>
      </w:r>
      <w:r w:rsidRPr="00A45900" w:rsidR="00F13463">
        <w:rPr>
          <w:szCs w:val="24"/>
        </w:rPr>
        <w:t xml:space="preserve">  Representing it </w:t>
      </w:r>
      <w:r w:rsidRPr="00A45900" w:rsidR="00372EC0">
        <w:rPr>
          <w:szCs w:val="24"/>
        </w:rPr>
        <w:t xml:space="preserve">are </w:t>
      </w:r>
      <w:r w:rsidRPr="00A45900" w:rsidR="00372EC0">
        <w:rPr>
          <w:i/>
          <w:iCs/>
          <w:szCs w:val="24"/>
        </w:rPr>
        <w:t>three</w:t>
      </w:r>
      <w:r w:rsidRPr="00A45900" w:rsidR="00372EC0">
        <w:rPr>
          <w:szCs w:val="24"/>
        </w:rPr>
        <w:t xml:space="preserve"> attorneys from </w:t>
      </w:r>
      <w:r w:rsidRPr="00A45900" w:rsidR="00920DB4">
        <w:rPr>
          <w:szCs w:val="24"/>
        </w:rPr>
        <w:t xml:space="preserve">one of </w:t>
      </w:r>
      <w:r w:rsidRPr="00A45900" w:rsidR="00372EC0">
        <w:rPr>
          <w:szCs w:val="24"/>
        </w:rPr>
        <w:t>C</w:t>
      </w:r>
      <w:r w:rsidRPr="00A45900" w:rsidR="00F13463">
        <w:rPr>
          <w:szCs w:val="24"/>
        </w:rPr>
        <w:t>olumbus’s largest law firms</w:t>
      </w:r>
      <w:r w:rsidRPr="00A45900" w:rsidR="00920DB4">
        <w:rPr>
          <w:szCs w:val="24"/>
        </w:rPr>
        <w:t xml:space="preserve"> who are actively engaged in utility regulatory matters before the PUCO</w:t>
      </w:r>
      <w:r w:rsidRPr="00A45900" w:rsidR="00F13463">
        <w:rPr>
          <w:szCs w:val="24"/>
        </w:rPr>
        <w:t xml:space="preserve">.  </w:t>
      </w:r>
      <w:r w:rsidRPr="00A45900" w:rsidR="00920DB4">
        <w:rPr>
          <w:szCs w:val="24"/>
        </w:rPr>
        <w:t>There is no reason NEP</w:t>
      </w:r>
      <w:r w:rsidRPr="00A45900" w:rsidR="00F13463">
        <w:rPr>
          <w:szCs w:val="24"/>
        </w:rPr>
        <w:t xml:space="preserve"> </w:t>
      </w:r>
      <w:r w:rsidRPr="00A45900" w:rsidR="00920DB4">
        <w:rPr>
          <w:szCs w:val="24"/>
        </w:rPr>
        <w:t>is incapable of</w:t>
      </w:r>
      <w:r w:rsidRPr="00A45900" w:rsidR="00F13463">
        <w:rPr>
          <w:szCs w:val="24"/>
        </w:rPr>
        <w:t xml:space="preserve"> responding to </w:t>
      </w:r>
      <w:r w:rsidRPr="00A45900" w:rsidR="00920DB4">
        <w:rPr>
          <w:szCs w:val="24"/>
        </w:rPr>
        <w:t>OCC’s</w:t>
      </w:r>
      <w:r w:rsidRPr="00A45900" w:rsidR="00F13463">
        <w:rPr>
          <w:szCs w:val="24"/>
        </w:rPr>
        <w:t xml:space="preserve"> consumer protection discovery requests</w:t>
      </w:r>
      <w:r w:rsidRPr="00A45900" w:rsidR="00920DB4">
        <w:rPr>
          <w:szCs w:val="24"/>
        </w:rPr>
        <w:t xml:space="preserve">, particularly given </w:t>
      </w:r>
      <w:r w:rsidRPr="00A45900" w:rsidR="003A297E">
        <w:rPr>
          <w:szCs w:val="24"/>
        </w:rPr>
        <w:t>the extension of time offered by OCC</w:t>
      </w:r>
      <w:r w:rsidRPr="00A45900" w:rsidR="00F13463">
        <w:rPr>
          <w:szCs w:val="24"/>
        </w:rPr>
        <w:t>.</w:t>
      </w:r>
    </w:p>
    <w:p w:rsidR="00F347A6" w:rsidRPr="00A45900" w:rsidP="001B60DA" w14:paraId="7580D4BD" w14:textId="77777777">
      <w:pPr>
        <w:spacing w:line="480" w:lineRule="auto"/>
        <w:ind w:firstLine="720"/>
        <w:rPr>
          <w:szCs w:val="24"/>
        </w:rPr>
      </w:pPr>
      <w:r w:rsidRPr="00A45900">
        <w:rPr>
          <w:szCs w:val="24"/>
        </w:rPr>
        <w:t>By contrast</w:t>
      </w:r>
      <w:r w:rsidRPr="00A45900" w:rsidR="00F13463">
        <w:rPr>
          <w:szCs w:val="24"/>
        </w:rPr>
        <w:t xml:space="preserve">, hardship would be felt by consumers </w:t>
      </w:r>
      <w:r w:rsidRPr="00A45900">
        <w:rPr>
          <w:szCs w:val="24"/>
        </w:rPr>
        <w:t>if</w:t>
      </w:r>
      <w:r w:rsidRPr="00A45900" w:rsidR="00F13463">
        <w:rPr>
          <w:szCs w:val="24"/>
        </w:rPr>
        <w:t xml:space="preserve"> NEP’s Motion </w:t>
      </w:r>
      <w:r w:rsidRPr="00A45900">
        <w:rPr>
          <w:szCs w:val="24"/>
        </w:rPr>
        <w:t xml:space="preserve">is </w:t>
      </w:r>
      <w:r w:rsidRPr="00A45900" w:rsidR="00F13463">
        <w:rPr>
          <w:szCs w:val="24"/>
        </w:rPr>
        <w:t>granted. There can be no certainty when</w:t>
      </w:r>
      <w:r w:rsidRPr="00A45900">
        <w:rPr>
          <w:szCs w:val="24"/>
        </w:rPr>
        <w:t xml:space="preserve"> the PUCO will rule on</w:t>
      </w:r>
      <w:r w:rsidRPr="00A45900" w:rsidR="00F13463">
        <w:rPr>
          <w:szCs w:val="24"/>
        </w:rPr>
        <w:t xml:space="preserve"> NEP’s motion to dismiss </w:t>
      </w:r>
      <w:r w:rsidRPr="00A45900">
        <w:rPr>
          <w:szCs w:val="24"/>
        </w:rPr>
        <w:t>or OCC’s motion to intervene</w:t>
      </w:r>
      <w:r w:rsidRPr="00A45900" w:rsidR="00F13463">
        <w:rPr>
          <w:szCs w:val="24"/>
        </w:rPr>
        <w:t>.</w:t>
      </w:r>
      <w:r w:rsidRPr="00A45900">
        <w:rPr>
          <w:szCs w:val="24"/>
        </w:rPr>
        <w:t xml:space="preserve"> Further, the PUCO may establish a procedural schedule with limited time for OCC to conduct its consumer protection discovery. Thus, NEP’s request that it not have to respond until 20 days after a ruling is plainly unreasonable and harmful to consumers.</w:t>
      </w:r>
      <w:r w:rsidRPr="00A45900" w:rsidR="00F13463">
        <w:rPr>
          <w:szCs w:val="24"/>
        </w:rPr>
        <w:t xml:space="preserve"> </w:t>
      </w:r>
    </w:p>
    <w:p w:rsidR="00F53B01" w:rsidRPr="00A45900" w:rsidP="00F347A6" w14:paraId="6C2CDD0D" w14:textId="41E30AB9">
      <w:pPr>
        <w:spacing w:line="480" w:lineRule="auto"/>
        <w:ind w:firstLine="720"/>
        <w:rPr>
          <w:color w:val="000000"/>
          <w:szCs w:val="24"/>
        </w:rPr>
      </w:pPr>
      <w:r w:rsidRPr="00A45900">
        <w:rPr>
          <w:szCs w:val="24"/>
        </w:rPr>
        <w:t>Finally, p</w:t>
      </w:r>
      <w:r w:rsidRPr="00A45900" w:rsidR="00F13463">
        <w:rPr>
          <w:szCs w:val="24"/>
        </w:rPr>
        <w:t>rohibiting OCC from obtaining consumer protection information</w:t>
      </w:r>
      <w:r w:rsidRPr="00A45900" w:rsidR="001C66C0">
        <w:rPr>
          <w:szCs w:val="24"/>
        </w:rPr>
        <w:t xml:space="preserve"> indefinitely</w:t>
      </w:r>
      <w:r w:rsidRPr="00A45900" w:rsidR="00F13463">
        <w:rPr>
          <w:szCs w:val="24"/>
        </w:rPr>
        <w:t xml:space="preserve">, as NEP has asked the PUCO to do, would unduly and unnecessarily prolong this entire case. It is contrary to the PUCO’s stated policy of discovery: </w:t>
      </w:r>
      <w:r w:rsidRPr="00A45900" w:rsidR="00F13463">
        <w:rPr>
          <w:color w:val="000000"/>
          <w:szCs w:val="24"/>
        </w:rPr>
        <w:t>“the policy of discovery is to allow the parties to prepare cases and to encourage them to prepare thoroughly without taking undue advantage of the other side’s industry or efforts.”</w:t>
      </w:r>
      <w:r>
        <w:rPr>
          <w:szCs w:val="24"/>
          <w:vertAlign w:val="superscript"/>
        </w:rPr>
        <w:footnoteReference w:id="19"/>
      </w:r>
      <w:r w:rsidRPr="00A45900">
        <w:rPr>
          <w:color w:val="000000"/>
          <w:szCs w:val="24"/>
        </w:rPr>
        <w:t xml:space="preserve"> </w:t>
      </w:r>
      <w:r w:rsidRPr="00A45900" w:rsidR="00F13463">
        <w:rPr>
          <w:color w:val="000000"/>
          <w:szCs w:val="24"/>
        </w:rPr>
        <w:t xml:space="preserve">NEP’s Motion should be denied. </w:t>
      </w:r>
      <w:r w:rsidRPr="00A45900" w:rsidR="00D065B4">
        <w:rPr>
          <w:szCs w:val="24"/>
        </w:rPr>
        <w:t xml:space="preserve"> </w:t>
      </w:r>
      <w:r w:rsidRPr="00A45900" w:rsidR="00D95419">
        <w:rPr>
          <w:szCs w:val="24"/>
        </w:rPr>
        <w:t xml:space="preserve"> </w:t>
      </w:r>
    </w:p>
    <w:p w:rsidR="00D1576A" w:rsidRPr="00A45900" w:rsidP="00FB3058" w14:paraId="0096D2DD" w14:textId="18A9B867">
      <w:pPr>
        <w:pStyle w:val="Heading1"/>
        <w:numPr>
          <w:ilvl w:val="0"/>
          <w:numId w:val="0"/>
        </w:numPr>
        <w:ind w:left="720" w:hanging="720"/>
        <w:rPr>
          <w:rFonts w:ascii="Times New Roman" w:hAnsi="Times New Roman" w:cs="Times New Roman"/>
          <w:szCs w:val="24"/>
        </w:rPr>
      </w:pPr>
      <w:bookmarkStart w:id="3" w:name="_Toc54881596"/>
      <w:bookmarkStart w:id="4" w:name="_Toc55226831"/>
      <w:r w:rsidRPr="00A45900">
        <w:rPr>
          <w:rFonts w:ascii="Times New Roman" w:hAnsi="Times New Roman" w:cs="Times New Roman"/>
          <w:szCs w:val="24"/>
        </w:rPr>
        <w:t>III.</w:t>
      </w:r>
      <w:r w:rsidRPr="00A45900">
        <w:rPr>
          <w:rFonts w:ascii="Times New Roman" w:hAnsi="Times New Roman" w:cs="Times New Roman"/>
          <w:szCs w:val="24"/>
        </w:rPr>
        <w:tab/>
      </w:r>
      <w:r w:rsidRPr="00A45900" w:rsidR="005D2447">
        <w:rPr>
          <w:rFonts w:ascii="Times New Roman" w:hAnsi="Times New Roman" w:cs="Times New Roman"/>
          <w:szCs w:val="24"/>
        </w:rPr>
        <w:t>CONCLUSION</w:t>
      </w:r>
      <w:bookmarkEnd w:id="3"/>
      <w:bookmarkEnd w:id="4"/>
    </w:p>
    <w:p w:rsidR="00225544" w:rsidP="00D44D3C" w14:paraId="669B32F0" w14:textId="4E1AE513">
      <w:pPr>
        <w:spacing w:line="480" w:lineRule="auto"/>
        <w:ind w:firstLine="720"/>
        <w:rPr>
          <w:szCs w:val="24"/>
        </w:rPr>
      </w:pPr>
      <w:r>
        <w:rPr>
          <w:szCs w:val="24"/>
        </w:rPr>
        <w:t>As stated, the PUCO should take note that it’s not a great start for NEP’s assumption of the important role of a public utility that it opposes the intervention of the state consumer advocate. And it’s not a good sign that NEP does not want to spend time or money answering the consumer advocate’s questions that go with acting as a public utility.  This from an entity, NEP, that does not offer consumers the protections available from AEP</w:t>
      </w:r>
      <w:r w:rsidR="007308C7">
        <w:rPr>
          <w:szCs w:val="24"/>
        </w:rPr>
        <w:t>’</w:t>
      </w:r>
      <w:r>
        <w:rPr>
          <w:szCs w:val="24"/>
        </w:rPr>
        <w:t xml:space="preserve">s service. </w:t>
      </w:r>
    </w:p>
    <w:p w:rsidR="00BE2D22" w:rsidRPr="00A45900" w:rsidP="00D44D3C" w14:paraId="2E64A12E" w14:textId="68DC4DA2">
      <w:pPr>
        <w:spacing w:line="480" w:lineRule="auto"/>
        <w:ind w:firstLine="720"/>
        <w:rPr>
          <w:szCs w:val="24"/>
        </w:rPr>
      </w:pPr>
      <w:r w:rsidRPr="00A45900">
        <w:rPr>
          <w:szCs w:val="24"/>
        </w:rPr>
        <w:t>Ohio law, Ohio Supreme Court prece</w:t>
      </w:r>
      <w:r w:rsidRPr="00A45900" w:rsidR="00F864F5">
        <w:rPr>
          <w:szCs w:val="24"/>
        </w:rPr>
        <w:t xml:space="preserve">dent, </w:t>
      </w:r>
      <w:r w:rsidR="00153C6B">
        <w:rPr>
          <w:szCs w:val="24"/>
        </w:rPr>
        <w:t>the Ohio Administrative Code,</w:t>
      </w:r>
      <w:r w:rsidRPr="00A45900" w:rsidR="00F864F5">
        <w:rPr>
          <w:szCs w:val="24"/>
        </w:rPr>
        <w:t xml:space="preserve"> and </w:t>
      </w:r>
      <w:r w:rsidR="00153C6B">
        <w:rPr>
          <w:szCs w:val="24"/>
        </w:rPr>
        <w:t xml:space="preserve">PUCO </w:t>
      </w:r>
      <w:r w:rsidRPr="00A45900" w:rsidR="00F864F5">
        <w:rPr>
          <w:szCs w:val="24"/>
        </w:rPr>
        <w:t xml:space="preserve">orders support OCC’s rights to conduct discovery. </w:t>
      </w:r>
      <w:r w:rsidRPr="00A45900" w:rsidR="00F13463">
        <w:rPr>
          <w:szCs w:val="24"/>
        </w:rPr>
        <w:t>NEP’s</w:t>
      </w:r>
      <w:r w:rsidRPr="00A45900" w:rsidR="00D1576A">
        <w:rPr>
          <w:szCs w:val="24"/>
        </w:rPr>
        <w:t xml:space="preserve"> Motion asks the PUCO to ignore </w:t>
      </w:r>
      <w:r w:rsidRPr="00A45900" w:rsidR="00F864F5">
        <w:rPr>
          <w:szCs w:val="24"/>
        </w:rPr>
        <w:t>the well-settled discovery process</w:t>
      </w:r>
      <w:r w:rsidR="00E94EE3">
        <w:rPr>
          <w:szCs w:val="24"/>
        </w:rPr>
        <w:t xml:space="preserve"> and to deny consumers the rights they have been granted under law</w:t>
      </w:r>
      <w:r w:rsidRPr="00A45900" w:rsidR="00D1576A">
        <w:rPr>
          <w:szCs w:val="24"/>
        </w:rPr>
        <w:t xml:space="preserve">.  </w:t>
      </w:r>
      <w:r w:rsidRPr="00A45900" w:rsidR="00F864F5">
        <w:rPr>
          <w:szCs w:val="24"/>
        </w:rPr>
        <w:t>For the reasons explained above, t</w:t>
      </w:r>
      <w:r w:rsidRPr="00A45900" w:rsidR="005D2447">
        <w:rPr>
          <w:szCs w:val="24"/>
        </w:rPr>
        <w:t xml:space="preserve">he PUCO should </w:t>
      </w:r>
      <w:r w:rsidRPr="00A45900" w:rsidR="00F13463">
        <w:rPr>
          <w:szCs w:val="24"/>
        </w:rPr>
        <w:t>deny NEP’s Motion</w:t>
      </w:r>
      <w:r w:rsidRPr="00A45900" w:rsidR="00F864F5">
        <w:rPr>
          <w:szCs w:val="24"/>
        </w:rPr>
        <w:t xml:space="preserve"> and direct NEP to respond to OCC’s discovery without further delay</w:t>
      </w:r>
      <w:r w:rsidRPr="00A45900" w:rsidR="005D2447">
        <w:rPr>
          <w:szCs w:val="24"/>
        </w:rPr>
        <w:t xml:space="preserve">.  </w:t>
      </w:r>
    </w:p>
    <w:p w:rsidR="00FB3058" w:rsidRPr="00A45900" w:rsidP="00FB3058" w14:paraId="57E97A08" w14:textId="77777777">
      <w:pPr>
        <w:pStyle w:val="BodyTextIndent3"/>
        <w:widowControl w:val="0"/>
        <w:ind w:left="3600" w:right="-672" w:firstLine="720"/>
        <w:rPr>
          <w:rFonts w:cs="Times New Roman"/>
          <w:sz w:val="24"/>
          <w:szCs w:val="24"/>
        </w:rPr>
      </w:pPr>
      <w:r w:rsidRPr="00A45900">
        <w:rPr>
          <w:rFonts w:cs="Times New Roman"/>
          <w:sz w:val="24"/>
          <w:szCs w:val="24"/>
        </w:rPr>
        <w:t>Respectfully submitted,</w:t>
      </w:r>
    </w:p>
    <w:p w:rsidR="00FB3058" w:rsidRPr="00A45900" w:rsidP="00FB3058" w14:paraId="32FB7C1E" w14:textId="77777777">
      <w:pPr>
        <w:jc w:val="both"/>
        <w:rPr>
          <w:szCs w:val="24"/>
        </w:rPr>
      </w:pPr>
      <w:r w:rsidRPr="00A45900">
        <w:rPr>
          <w:szCs w:val="24"/>
        </w:rPr>
        <w:tab/>
      </w:r>
    </w:p>
    <w:p w:rsidR="00FB3058" w:rsidRPr="00A45900" w:rsidP="00FB3058" w14:paraId="74D5645C" w14:textId="77777777">
      <w:pPr>
        <w:ind w:left="4320"/>
        <w:jc w:val="both"/>
        <w:rPr>
          <w:szCs w:val="24"/>
        </w:rPr>
      </w:pPr>
      <w:r w:rsidRPr="00A45900">
        <w:rPr>
          <w:szCs w:val="24"/>
        </w:rPr>
        <w:t>Bruce Weston (0016973)</w:t>
      </w:r>
    </w:p>
    <w:p w:rsidR="00FB3058" w:rsidRPr="00A45900" w:rsidP="00FB3058" w14:paraId="397818FB" w14:textId="77777777">
      <w:pPr>
        <w:tabs>
          <w:tab w:val="left" w:pos="4320"/>
        </w:tabs>
        <w:ind w:left="4320" w:hanging="450"/>
        <w:jc w:val="both"/>
        <w:rPr>
          <w:szCs w:val="24"/>
        </w:rPr>
      </w:pPr>
      <w:r w:rsidRPr="00A45900">
        <w:rPr>
          <w:szCs w:val="24"/>
        </w:rPr>
        <w:tab/>
        <w:t>Ohio Consumers’ Counsel</w:t>
      </w:r>
    </w:p>
    <w:p w:rsidR="00FB3058" w:rsidRPr="00A45900" w:rsidP="00FB3058" w14:paraId="4F631CE4" w14:textId="77777777">
      <w:pPr>
        <w:tabs>
          <w:tab w:val="left" w:pos="4320"/>
        </w:tabs>
        <w:ind w:left="4320"/>
        <w:jc w:val="both"/>
        <w:rPr>
          <w:szCs w:val="24"/>
        </w:rPr>
      </w:pPr>
    </w:p>
    <w:p w:rsidR="00FB3058" w:rsidRPr="00A45900" w:rsidP="00FB3058" w14:paraId="28582A26" w14:textId="77777777">
      <w:pPr>
        <w:tabs>
          <w:tab w:val="left" w:pos="4320"/>
        </w:tabs>
        <w:ind w:left="4320"/>
        <w:jc w:val="both"/>
        <w:rPr>
          <w:i/>
          <w:iCs/>
          <w:szCs w:val="24"/>
          <w:u w:val="single"/>
        </w:rPr>
      </w:pPr>
      <w:r w:rsidRPr="00A45900">
        <w:rPr>
          <w:i/>
          <w:iCs/>
          <w:szCs w:val="24"/>
          <w:u w:val="single"/>
        </w:rPr>
        <w:t>/s/ Angela D. O’Brien</w:t>
      </w:r>
      <w:r w:rsidRPr="00A45900">
        <w:rPr>
          <w:i/>
          <w:iCs/>
          <w:szCs w:val="24"/>
          <w:u w:val="single"/>
        </w:rPr>
        <w:tab/>
      </w:r>
    </w:p>
    <w:p w:rsidR="00FB3058" w:rsidRPr="00A45900" w:rsidP="00FB3058" w14:paraId="5955CD0B" w14:textId="77777777">
      <w:pPr>
        <w:tabs>
          <w:tab w:val="left" w:pos="4320"/>
        </w:tabs>
        <w:ind w:left="4320"/>
        <w:jc w:val="both"/>
        <w:rPr>
          <w:szCs w:val="24"/>
        </w:rPr>
      </w:pPr>
      <w:r w:rsidRPr="00A45900">
        <w:rPr>
          <w:szCs w:val="24"/>
        </w:rPr>
        <w:t>Angela D. O’Brien (0097579)</w:t>
      </w:r>
    </w:p>
    <w:p w:rsidR="00FB3058" w:rsidRPr="00A45900" w:rsidP="00FB3058" w14:paraId="4BA805A6" w14:textId="77777777">
      <w:pPr>
        <w:tabs>
          <w:tab w:val="left" w:pos="4320"/>
        </w:tabs>
        <w:ind w:left="4320"/>
        <w:jc w:val="both"/>
        <w:rPr>
          <w:szCs w:val="24"/>
        </w:rPr>
      </w:pPr>
      <w:r w:rsidRPr="00A45900">
        <w:rPr>
          <w:szCs w:val="24"/>
        </w:rPr>
        <w:t>Counsel of Record</w:t>
      </w:r>
    </w:p>
    <w:p w:rsidR="00FB3058" w:rsidRPr="00A45900" w:rsidP="00FB3058" w14:paraId="07ED854E" w14:textId="77777777">
      <w:pPr>
        <w:tabs>
          <w:tab w:val="left" w:pos="4320"/>
        </w:tabs>
        <w:ind w:left="4320"/>
        <w:jc w:val="both"/>
        <w:rPr>
          <w:szCs w:val="24"/>
        </w:rPr>
      </w:pPr>
      <w:r w:rsidRPr="00A45900">
        <w:rPr>
          <w:szCs w:val="24"/>
        </w:rPr>
        <w:t>William J. Michael (0070921)</w:t>
      </w:r>
    </w:p>
    <w:p w:rsidR="00FB3058" w:rsidRPr="00A45900" w:rsidP="00FB3058" w14:paraId="3E1FA633" w14:textId="77777777">
      <w:pPr>
        <w:tabs>
          <w:tab w:val="left" w:pos="3870"/>
          <w:tab w:val="left" w:pos="4320"/>
        </w:tabs>
        <w:ind w:left="4320"/>
        <w:jc w:val="both"/>
        <w:rPr>
          <w:szCs w:val="24"/>
        </w:rPr>
      </w:pPr>
      <w:r w:rsidRPr="00A45900">
        <w:rPr>
          <w:szCs w:val="24"/>
        </w:rPr>
        <w:t>Assistant Consumers’ Counsel</w:t>
      </w:r>
    </w:p>
    <w:p w:rsidR="00FB3058" w:rsidRPr="00A45900" w:rsidP="00FB3058" w14:paraId="5F37DA74" w14:textId="77777777">
      <w:pPr>
        <w:tabs>
          <w:tab w:val="left" w:pos="3870"/>
          <w:tab w:val="left" w:pos="4320"/>
        </w:tabs>
        <w:ind w:left="4320"/>
        <w:jc w:val="both"/>
        <w:rPr>
          <w:szCs w:val="24"/>
        </w:rPr>
      </w:pPr>
    </w:p>
    <w:p w:rsidR="00FB3058" w:rsidRPr="00A45900" w:rsidP="00FB3058" w14:paraId="7CC46B81" w14:textId="77777777">
      <w:pPr>
        <w:ind w:left="4320"/>
        <w:jc w:val="both"/>
        <w:rPr>
          <w:b/>
          <w:bCs/>
          <w:szCs w:val="24"/>
        </w:rPr>
      </w:pPr>
      <w:r w:rsidRPr="00A45900">
        <w:rPr>
          <w:b/>
          <w:bCs/>
          <w:szCs w:val="24"/>
        </w:rPr>
        <w:t>Office of the Ohio Consumers' Counsel</w:t>
      </w:r>
    </w:p>
    <w:p w:rsidR="00FB3058" w:rsidRPr="00A45900" w:rsidP="00FB3058" w14:paraId="165D2C20" w14:textId="6BDE6D86">
      <w:pPr>
        <w:ind w:left="4320"/>
        <w:jc w:val="both"/>
        <w:rPr>
          <w:szCs w:val="24"/>
        </w:rPr>
      </w:pPr>
      <w:r w:rsidRPr="00A45900">
        <w:rPr>
          <w:szCs w:val="24"/>
        </w:rPr>
        <w:t xml:space="preserve">65 East State Street, </w:t>
      </w:r>
      <w:r w:rsidR="00BB672C">
        <w:rPr>
          <w:szCs w:val="24"/>
        </w:rPr>
        <w:t>Suite 700</w:t>
      </w:r>
    </w:p>
    <w:p w:rsidR="00FB3058" w:rsidRPr="00A45900" w:rsidP="00FB3058" w14:paraId="0F728FA2" w14:textId="77777777">
      <w:pPr>
        <w:ind w:left="4320"/>
        <w:jc w:val="both"/>
        <w:rPr>
          <w:szCs w:val="24"/>
        </w:rPr>
      </w:pPr>
      <w:r w:rsidRPr="00A45900">
        <w:rPr>
          <w:szCs w:val="24"/>
        </w:rPr>
        <w:t>Columbus, Ohio 43215-4213</w:t>
      </w:r>
    </w:p>
    <w:p w:rsidR="00FB3058" w:rsidRPr="00A45900" w:rsidP="00FB3058" w14:paraId="38FD02AF" w14:textId="77777777">
      <w:pPr>
        <w:autoSpaceDE w:val="0"/>
        <w:autoSpaceDN w:val="0"/>
        <w:adjustRightInd w:val="0"/>
        <w:ind w:left="4320"/>
        <w:jc w:val="both"/>
        <w:rPr>
          <w:szCs w:val="24"/>
        </w:rPr>
      </w:pPr>
      <w:r w:rsidRPr="00A45900">
        <w:rPr>
          <w:szCs w:val="24"/>
        </w:rPr>
        <w:t>Telephone: [O’Brien]: (614) 466-9531</w:t>
      </w:r>
    </w:p>
    <w:p w:rsidR="00FB3058" w:rsidRPr="00A45900" w:rsidP="00FB3058" w14:paraId="5D5CBC54" w14:textId="77777777">
      <w:pPr>
        <w:autoSpaceDE w:val="0"/>
        <w:autoSpaceDN w:val="0"/>
        <w:adjustRightInd w:val="0"/>
        <w:ind w:left="4320"/>
        <w:jc w:val="both"/>
        <w:rPr>
          <w:szCs w:val="24"/>
        </w:rPr>
      </w:pPr>
      <w:r w:rsidRPr="00A45900">
        <w:rPr>
          <w:szCs w:val="24"/>
        </w:rPr>
        <w:t>Telephone: [Michael]: (614) 466-1291</w:t>
      </w:r>
    </w:p>
    <w:p w:rsidR="00FB3058" w:rsidRPr="00A45900" w:rsidP="00FB3058" w14:paraId="49B1CAAA" w14:textId="77777777">
      <w:pPr>
        <w:ind w:left="4320"/>
        <w:jc w:val="both"/>
        <w:rPr>
          <w:szCs w:val="24"/>
        </w:rPr>
      </w:pPr>
      <w:hyperlink r:id="rId7" w:history="1">
        <w:r w:rsidRPr="00A45900" w:rsidR="0051467A">
          <w:rPr>
            <w:rStyle w:val="Hyperlink"/>
            <w:szCs w:val="24"/>
          </w:rPr>
          <w:t>angela.obrien@occ.ohio.gov</w:t>
        </w:r>
      </w:hyperlink>
    </w:p>
    <w:p w:rsidR="00FB3058" w:rsidRPr="00A45900" w:rsidP="00FB3058" w14:paraId="44B8C807" w14:textId="77777777">
      <w:pPr>
        <w:ind w:left="4320"/>
        <w:jc w:val="both"/>
        <w:rPr>
          <w:szCs w:val="24"/>
        </w:rPr>
      </w:pPr>
      <w:hyperlink r:id="rId8" w:history="1">
        <w:r w:rsidRPr="00A45900" w:rsidR="0051467A">
          <w:rPr>
            <w:rStyle w:val="Hyperlink"/>
            <w:szCs w:val="24"/>
          </w:rPr>
          <w:t>william.michael@occ.ohio.gov</w:t>
        </w:r>
      </w:hyperlink>
    </w:p>
    <w:p w:rsidR="00FB3058" w:rsidRPr="00A45900" w:rsidP="00FB3058" w14:paraId="7FDEA070" w14:textId="77777777">
      <w:pPr>
        <w:ind w:left="4320" w:hanging="4320"/>
        <w:jc w:val="both"/>
        <w:rPr>
          <w:szCs w:val="24"/>
        </w:rPr>
      </w:pPr>
      <w:r w:rsidRPr="00A45900">
        <w:rPr>
          <w:szCs w:val="24"/>
        </w:rPr>
        <w:tab/>
        <w:t>(willing to accept service by e-mail)</w:t>
      </w:r>
    </w:p>
    <w:p w:rsidR="00D1576A" w:rsidRPr="00A45900" w:rsidP="00D1576A" w14:paraId="773333A4" w14:textId="77777777">
      <w:pPr>
        <w:suppressLineNumbers/>
        <w:ind w:left="810"/>
        <w:jc w:val="center"/>
        <w:rPr>
          <w:b/>
          <w:szCs w:val="24"/>
          <w:u w:val="single"/>
        </w:rPr>
      </w:pPr>
      <w:r w:rsidRPr="00A45900">
        <w:rPr>
          <w:b/>
          <w:szCs w:val="24"/>
        </w:rPr>
        <w:br w:type="page"/>
      </w:r>
      <w:r w:rsidRPr="00A45900">
        <w:rPr>
          <w:b/>
          <w:szCs w:val="24"/>
          <w:u w:val="single"/>
        </w:rPr>
        <w:t>CERTIFICATE OF SERVICE</w:t>
      </w:r>
    </w:p>
    <w:p w:rsidR="00D1576A" w:rsidRPr="00A45900" w:rsidP="00D1576A" w14:paraId="0251055B" w14:textId="77777777">
      <w:pPr>
        <w:suppressLineNumbers/>
        <w:ind w:left="810"/>
        <w:rPr>
          <w:szCs w:val="24"/>
          <w:u w:val="single"/>
        </w:rPr>
      </w:pPr>
    </w:p>
    <w:p w:rsidR="00D1576A" w:rsidRPr="00A45900" w:rsidP="00D1576A" w14:paraId="79472163" w14:textId="1199C748">
      <w:pPr>
        <w:suppressLineNumbers/>
        <w:spacing w:line="480" w:lineRule="auto"/>
        <w:rPr>
          <w:szCs w:val="24"/>
        </w:rPr>
      </w:pPr>
      <w:r w:rsidRPr="00A45900">
        <w:rPr>
          <w:szCs w:val="24"/>
        </w:rPr>
        <w:tab/>
        <w:t xml:space="preserve">I hereby certify that a copy of this </w:t>
      </w:r>
      <w:r w:rsidRPr="00A45900" w:rsidR="00AA3ED9">
        <w:rPr>
          <w:szCs w:val="24"/>
        </w:rPr>
        <w:t xml:space="preserve">Memorandum Contra </w:t>
      </w:r>
      <w:r w:rsidRPr="00A45900">
        <w:rPr>
          <w:szCs w:val="24"/>
        </w:rPr>
        <w:t>Motion for Protective Order</w:t>
      </w:r>
      <w:r w:rsidRPr="00A45900" w:rsidR="00B41FA5">
        <w:rPr>
          <w:szCs w:val="24"/>
        </w:rPr>
        <w:t xml:space="preserve"> </w:t>
      </w:r>
      <w:r w:rsidRPr="00A45900">
        <w:rPr>
          <w:szCs w:val="24"/>
        </w:rPr>
        <w:t xml:space="preserve">was provided electronically to the persons listed below this </w:t>
      </w:r>
      <w:r w:rsidRPr="00A45900" w:rsidR="00B41FA5">
        <w:rPr>
          <w:szCs w:val="24"/>
        </w:rPr>
        <w:t>9</w:t>
      </w:r>
      <w:r w:rsidRPr="00A45900" w:rsidR="00B41FA5">
        <w:rPr>
          <w:szCs w:val="24"/>
          <w:vertAlign w:val="superscript"/>
        </w:rPr>
        <w:t>th</w:t>
      </w:r>
      <w:r w:rsidRPr="00A45900" w:rsidR="00B41FA5">
        <w:rPr>
          <w:szCs w:val="24"/>
        </w:rPr>
        <w:t xml:space="preserve"> </w:t>
      </w:r>
      <w:r w:rsidRPr="00A45900">
        <w:rPr>
          <w:szCs w:val="24"/>
        </w:rPr>
        <w:t xml:space="preserve">day of </w:t>
      </w:r>
      <w:r w:rsidRPr="00A45900" w:rsidR="00B41FA5">
        <w:rPr>
          <w:szCs w:val="24"/>
        </w:rPr>
        <w:t xml:space="preserve">December </w:t>
      </w:r>
      <w:r w:rsidRPr="00A45900">
        <w:rPr>
          <w:szCs w:val="24"/>
        </w:rPr>
        <w:t>202</w:t>
      </w:r>
      <w:r w:rsidRPr="00A45900" w:rsidR="007064F3">
        <w:rPr>
          <w:szCs w:val="24"/>
        </w:rPr>
        <w:t>1</w:t>
      </w:r>
      <w:r w:rsidRPr="00A45900">
        <w:rPr>
          <w:szCs w:val="24"/>
        </w:rPr>
        <w:t>.</w:t>
      </w:r>
    </w:p>
    <w:p w:rsidR="00FB3058" w:rsidRPr="00A45900" w:rsidP="00FB3058" w14:paraId="389722FE" w14:textId="77777777">
      <w:pPr>
        <w:tabs>
          <w:tab w:val="left" w:pos="4320"/>
        </w:tabs>
        <w:rPr>
          <w:i/>
          <w:iCs/>
          <w:szCs w:val="24"/>
          <w:u w:val="single"/>
        </w:rPr>
      </w:pPr>
      <w:r w:rsidRPr="00A45900">
        <w:rPr>
          <w:szCs w:val="24"/>
        </w:rPr>
        <w:tab/>
      </w:r>
      <w:r w:rsidRPr="00A45900">
        <w:rPr>
          <w:i/>
          <w:iCs/>
          <w:szCs w:val="24"/>
          <w:u w:val="single"/>
        </w:rPr>
        <w:t>/s/ Angela D. O’Brien</w:t>
      </w:r>
      <w:r w:rsidRPr="00A45900">
        <w:rPr>
          <w:i/>
          <w:iCs/>
          <w:szCs w:val="24"/>
          <w:u w:val="single"/>
        </w:rPr>
        <w:tab/>
      </w:r>
      <w:r w:rsidRPr="00A45900">
        <w:rPr>
          <w:i/>
          <w:iCs/>
          <w:szCs w:val="24"/>
          <w:u w:val="single"/>
        </w:rPr>
        <w:tab/>
      </w:r>
    </w:p>
    <w:p w:rsidR="00FB3058" w:rsidRPr="00A45900" w:rsidP="00FB3058" w14:paraId="19262B3D" w14:textId="77777777">
      <w:pPr>
        <w:tabs>
          <w:tab w:val="left" w:pos="4320"/>
        </w:tabs>
        <w:rPr>
          <w:szCs w:val="24"/>
        </w:rPr>
      </w:pPr>
      <w:r w:rsidRPr="00A45900">
        <w:rPr>
          <w:szCs w:val="24"/>
        </w:rPr>
        <w:tab/>
        <w:t>Angela D. O’Brien</w:t>
      </w:r>
    </w:p>
    <w:p w:rsidR="00FB3058" w:rsidRPr="00A45900" w:rsidP="00FB3058" w14:paraId="68558924" w14:textId="77777777">
      <w:pPr>
        <w:tabs>
          <w:tab w:val="left" w:pos="4320"/>
        </w:tabs>
        <w:rPr>
          <w:szCs w:val="24"/>
        </w:rPr>
      </w:pPr>
      <w:r w:rsidRPr="00A45900">
        <w:rPr>
          <w:szCs w:val="24"/>
        </w:rPr>
        <w:tab/>
        <w:t>Assistant Consumers’ Counsel</w:t>
      </w:r>
    </w:p>
    <w:p w:rsidR="00FB3058" w:rsidRPr="00A45900" w:rsidP="00FB3058" w14:paraId="347B1CF2" w14:textId="77777777">
      <w:pPr>
        <w:tabs>
          <w:tab w:val="left" w:pos="4320"/>
        </w:tabs>
        <w:rPr>
          <w:szCs w:val="24"/>
        </w:rPr>
      </w:pPr>
    </w:p>
    <w:p w:rsidR="00FB3058" w:rsidRPr="00A45900" w:rsidP="00FB3058" w14:paraId="721234D8" w14:textId="77777777">
      <w:pPr>
        <w:pStyle w:val="CommentText"/>
        <w:rPr>
          <w:sz w:val="24"/>
          <w:szCs w:val="24"/>
        </w:rPr>
      </w:pPr>
      <w:r w:rsidRPr="00A45900">
        <w:rPr>
          <w:sz w:val="24"/>
          <w:szCs w:val="24"/>
        </w:rPr>
        <w:t>The PUCO’s e-filing system will electronically serve notice of the filing of this document on the following parties:</w:t>
      </w:r>
    </w:p>
    <w:p w:rsidR="00FB3058" w:rsidRPr="00A45900" w:rsidP="00FB3058" w14:paraId="3F8246DE" w14:textId="77777777">
      <w:pPr>
        <w:pStyle w:val="CommentText"/>
        <w:rPr>
          <w:sz w:val="24"/>
          <w:szCs w:val="24"/>
        </w:rPr>
      </w:pPr>
    </w:p>
    <w:p w:rsidR="00FB3058" w:rsidRPr="00A45900" w:rsidP="00FB3058" w14:paraId="03E58AFE" w14:textId="77777777">
      <w:pPr>
        <w:pStyle w:val="CommentSubject"/>
        <w:rPr>
          <w:sz w:val="24"/>
          <w:szCs w:val="24"/>
        </w:rPr>
      </w:pPr>
    </w:p>
    <w:p w:rsidR="00FB3058" w:rsidRPr="00A45900" w:rsidP="00FB3058" w14:paraId="1811EBAC" w14:textId="77777777">
      <w:pPr>
        <w:pStyle w:val="CommentText"/>
        <w:rPr>
          <w:sz w:val="24"/>
          <w:szCs w:val="24"/>
        </w:rPr>
      </w:pPr>
    </w:p>
    <w:p w:rsidR="00FB3058" w:rsidRPr="00A45900" w:rsidP="00FB3058" w14:paraId="028ADE36" w14:textId="77777777">
      <w:pPr>
        <w:pStyle w:val="CommentText"/>
        <w:jc w:val="center"/>
        <w:rPr>
          <w:b/>
          <w:sz w:val="24"/>
          <w:szCs w:val="24"/>
          <w:u w:val="single"/>
        </w:rPr>
      </w:pPr>
      <w:r w:rsidRPr="00A45900">
        <w:rPr>
          <w:b/>
          <w:sz w:val="24"/>
          <w:szCs w:val="24"/>
          <w:u w:val="single"/>
        </w:rPr>
        <w:t>SERVICE LIST</w:t>
      </w:r>
    </w:p>
    <w:p w:rsidR="00FB3058" w:rsidRPr="00A45900" w:rsidP="00FB3058" w14:paraId="247B5DFD" w14:textId="77777777">
      <w:pPr>
        <w:pStyle w:val="CommentText"/>
        <w:jc w:val="center"/>
        <w:rPr>
          <w:b/>
          <w:sz w:val="24"/>
          <w:szCs w:val="24"/>
          <w:u w:val="single"/>
        </w:rPr>
      </w:pPr>
    </w:p>
    <w:tbl>
      <w:tblPr>
        <w:tblW w:w="0" w:type="auto"/>
        <w:tblLook w:val="04A0"/>
      </w:tblPr>
      <w:tblGrid>
        <w:gridCol w:w="4428"/>
        <w:gridCol w:w="4428"/>
      </w:tblGrid>
      <w:tr w14:paraId="6A37E9DD" w14:textId="77777777" w:rsidTr="007D4DDE">
        <w:tblPrEx>
          <w:tblW w:w="0" w:type="auto"/>
          <w:tblLook w:val="04A0"/>
        </w:tblPrEx>
        <w:tc>
          <w:tcPr>
            <w:tcW w:w="4428" w:type="dxa"/>
            <w:shd w:val="clear" w:color="auto" w:fill="auto"/>
          </w:tcPr>
          <w:p w:rsidR="00FB3058" w:rsidRPr="00A45900" w:rsidP="007D4DDE" w14:paraId="2BD1785F" w14:textId="77777777">
            <w:pPr>
              <w:pStyle w:val="CommentText"/>
              <w:rPr>
                <w:bCs/>
                <w:sz w:val="24"/>
                <w:szCs w:val="24"/>
                <w:u w:val="single"/>
              </w:rPr>
            </w:pPr>
            <w:hyperlink r:id="rId9" w:history="1">
              <w:r w:rsidRPr="00A45900" w:rsidR="0051467A">
                <w:rPr>
                  <w:rStyle w:val="Hyperlink"/>
                  <w:bCs/>
                  <w:sz w:val="24"/>
                  <w:szCs w:val="24"/>
                </w:rPr>
                <w:t>John.jones@ohioAGO.gov</w:t>
              </w:r>
            </w:hyperlink>
          </w:p>
          <w:p w:rsidR="00FB3058" w:rsidRPr="00A45900" w:rsidP="007D4DDE" w14:paraId="1E03AD9B" w14:textId="77777777">
            <w:pPr>
              <w:autoSpaceDE w:val="0"/>
              <w:autoSpaceDN w:val="0"/>
              <w:adjustRightInd w:val="0"/>
              <w:rPr>
                <w:color w:val="0000FF"/>
                <w:szCs w:val="24"/>
              </w:rPr>
            </w:pPr>
            <w:hyperlink r:id="rId10" w:history="1">
              <w:r w:rsidRPr="00A45900" w:rsidR="0051467A">
                <w:rPr>
                  <w:rStyle w:val="Hyperlink"/>
                  <w:szCs w:val="24"/>
                </w:rPr>
                <w:t>mjsettineri@vorys.com</w:t>
              </w:r>
            </w:hyperlink>
          </w:p>
          <w:p w:rsidR="00FB3058" w:rsidRPr="00A45900" w:rsidP="007D4DDE" w14:paraId="0E27C5AA" w14:textId="77777777">
            <w:pPr>
              <w:autoSpaceDE w:val="0"/>
              <w:autoSpaceDN w:val="0"/>
              <w:adjustRightInd w:val="0"/>
              <w:rPr>
                <w:color w:val="0000FF"/>
                <w:szCs w:val="24"/>
              </w:rPr>
            </w:pPr>
            <w:hyperlink r:id="rId11" w:history="1">
              <w:r w:rsidRPr="00A45900" w:rsidR="0051467A">
                <w:rPr>
                  <w:rStyle w:val="Hyperlink"/>
                  <w:szCs w:val="24"/>
                </w:rPr>
                <w:t>ibatikov@vorys.com</w:t>
              </w:r>
            </w:hyperlink>
          </w:p>
          <w:p w:rsidR="00FB3058" w:rsidRPr="00A45900" w:rsidP="007D4DDE" w14:paraId="26D6C0A2" w14:textId="519E84EF">
            <w:pPr>
              <w:autoSpaceDE w:val="0"/>
              <w:autoSpaceDN w:val="0"/>
              <w:adjustRightInd w:val="0"/>
              <w:rPr>
                <w:color w:val="0000FF"/>
                <w:szCs w:val="24"/>
              </w:rPr>
            </w:pPr>
            <w:hyperlink r:id="rId12" w:history="1">
              <w:r w:rsidRPr="00A45900" w:rsidR="0051467A">
                <w:rPr>
                  <w:rStyle w:val="Hyperlink"/>
                  <w:szCs w:val="24"/>
                </w:rPr>
                <w:t>apguran@vorys.com</w:t>
              </w:r>
            </w:hyperlink>
          </w:p>
          <w:p w:rsidR="00FB3058" w:rsidRPr="00A45900" w:rsidP="007D4DDE" w14:paraId="495EA1EC" w14:textId="4E76BBD7">
            <w:pPr>
              <w:autoSpaceDE w:val="0"/>
              <w:autoSpaceDN w:val="0"/>
              <w:adjustRightInd w:val="0"/>
              <w:rPr>
                <w:color w:val="0000FF"/>
                <w:szCs w:val="24"/>
              </w:rPr>
            </w:pPr>
          </w:p>
          <w:p w:rsidR="00FB3058" w:rsidRPr="00A45900" w:rsidP="007D4DDE" w14:paraId="3C111088" w14:textId="605D660B">
            <w:pPr>
              <w:autoSpaceDE w:val="0"/>
              <w:autoSpaceDN w:val="0"/>
              <w:adjustRightInd w:val="0"/>
              <w:rPr>
                <w:color w:val="0000FF"/>
                <w:szCs w:val="24"/>
              </w:rPr>
            </w:pPr>
            <w:r w:rsidRPr="00A45900">
              <w:rPr>
                <w:color w:val="0000FF"/>
                <w:szCs w:val="24"/>
              </w:rPr>
              <w:t>Attorney Examiners:</w:t>
            </w:r>
          </w:p>
          <w:p w:rsidR="00FB3058" w:rsidRPr="00A45900" w:rsidP="007D4DDE" w14:paraId="7A20AE5A" w14:textId="36A69537">
            <w:pPr>
              <w:autoSpaceDE w:val="0"/>
              <w:autoSpaceDN w:val="0"/>
              <w:adjustRightInd w:val="0"/>
              <w:rPr>
                <w:color w:val="0000FF"/>
                <w:szCs w:val="24"/>
              </w:rPr>
            </w:pPr>
            <w:hyperlink r:id="rId13" w:history="1">
              <w:r w:rsidRPr="00A45900" w:rsidR="0051467A">
                <w:rPr>
                  <w:rStyle w:val="Hyperlink"/>
                  <w:szCs w:val="24"/>
                </w:rPr>
                <w:t>David.hicks@puco.ohio.gov</w:t>
              </w:r>
            </w:hyperlink>
          </w:p>
          <w:p w:rsidR="00FB3058" w:rsidRPr="00A45900" w:rsidP="007D4DDE" w14:paraId="6DACC9BF" w14:textId="61D95FC6">
            <w:pPr>
              <w:autoSpaceDE w:val="0"/>
              <w:autoSpaceDN w:val="0"/>
              <w:adjustRightInd w:val="0"/>
              <w:rPr>
                <w:color w:val="0000FF"/>
                <w:szCs w:val="24"/>
              </w:rPr>
            </w:pPr>
            <w:hyperlink r:id="rId14" w:history="1">
              <w:r w:rsidRPr="00A45900" w:rsidR="0051467A">
                <w:rPr>
                  <w:rStyle w:val="Hyperlink"/>
                  <w:szCs w:val="24"/>
                </w:rPr>
                <w:t>Matthew.Sandor@puco.ohio.gov</w:t>
              </w:r>
            </w:hyperlink>
          </w:p>
          <w:p w:rsidR="00FB3058" w:rsidRPr="00A45900" w:rsidP="007D4DDE" w14:paraId="007E5401" w14:textId="77777777">
            <w:pPr>
              <w:autoSpaceDE w:val="0"/>
              <w:autoSpaceDN w:val="0"/>
              <w:adjustRightInd w:val="0"/>
              <w:rPr>
                <w:color w:val="0000FF"/>
                <w:szCs w:val="24"/>
              </w:rPr>
            </w:pPr>
          </w:p>
          <w:p w:rsidR="00FB3058" w:rsidRPr="00A45900" w:rsidP="007D4DDE" w14:paraId="17A8D155" w14:textId="77777777">
            <w:pPr>
              <w:autoSpaceDE w:val="0"/>
              <w:autoSpaceDN w:val="0"/>
              <w:adjustRightInd w:val="0"/>
              <w:rPr>
                <w:color w:val="0000FF"/>
                <w:szCs w:val="24"/>
              </w:rPr>
            </w:pPr>
          </w:p>
          <w:p w:rsidR="00FB3058" w:rsidRPr="00A45900" w:rsidP="007D4DDE" w14:paraId="4273727C" w14:textId="77777777">
            <w:pPr>
              <w:pStyle w:val="CommentText"/>
              <w:rPr>
                <w:bCs/>
                <w:sz w:val="24"/>
                <w:szCs w:val="24"/>
                <w:u w:val="single"/>
              </w:rPr>
            </w:pPr>
          </w:p>
        </w:tc>
        <w:tc>
          <w:tcPr>
            <w:tcW w:w="4428" w:type="dxa"/>
            <w:shd w:val="clear" w:color="auto" w:fill="auto"/>
          </w:tcPr>
          <w:p w:rsidR="00FB3058" w:rsidRPr="00A45900" w:rsidP="007D4DDE" w14:paraId="61FBD942" w14:textId="77777777">
            <w:pPr>
              <w:autoSpaceDE w:val="0"/>
              <w:autoSpaceDN w:val="0"/>
              <w:adjustRightInd w:val="0"/>
              <w:rPr>
                <w:color w:val="0563C2"/>
                <w:szCs w:val="24"/>
              </w:rPr>
            </w:pPr>
            <w:hyperlink r:id="rId15" w:history="1">
              <w:r w:rsidRPr="00A45900" w:rsidR="0051467A">
                <w:rPr>
                  <w:rStyle w:val="Hyperlink"/>
                  <w:szCs w:val="24"/>
                </w:rPr>
                <w:t>stnourse@aep.com</w:t>
              </w:r>
            </w:hyperlink>
          </w:p>
          <w:p w:rsidR="00FB3058" w:rsidRPr="00A45900" w:rsidP="007D4DDE" w14:paraId="15CAAD7E" w14:textId="77777777">
            <w:pPr>
              <w:autoSpaceDE w:val="0"/>
              <w:autoSpaceDN w:val="0"/>
              <w:adjustRightInd w:val="0"/>
              <w:rPr>
                <w:color w:val="0563C2"/>
                <w:szCs w:val="24"/>
              </w:rPr>
            </w:pPr>
            <w:hyperlink r:id="rId16" w:history="1">
              <w:r w:rsidRPr="00A45900" w:rsidR="0051467A">
                <w:rPr>
                  <w:rStyle w:val="Hyperlink"/>
                  <w:szCs w:val="24"/>
                </w:rPr>
                <w:t>matthew@msmckenzieltd.com</w:t>
              </w:r>
            </w:hyperlink>
          </w:p>
          <w:p w:rsidR="00FB3058" w:rsidRPr="00A45900" w:rsidP="007D4DDE" w14:paraId="1B6E7F8F" w14:textId="77777777">
            <w:pPr>
              <w:autoSpaceDE w:val="0"/>
              <w:autoSpaceDN w:val="0"/>
              <w:adjustRightInd w:val="0"/>
              <w:rPr>
                <w:color w:val="0563C2"/>
                <w:szCs w:val="24"/>
              </w:rPr>
            </w:pPr>
          </w:p>
          <w:p w:rsidR="00FB3058" w:rsidRPr="00A45900" w:rsidP="007D4DDE" w14:paraId="7920610B" w14:textId="77777777">
            <w:pPr>
              <w:autoSpaceDE w:val="0"/>
              <w:autoSpaceDN w:val="0"/>
              <w:adjustRightInd w:val="0"/>
              <w:rPr>
                <w:color w:val="0563C2"/>
                <w:szCs w:val="24"/>
              </w:rPr>
            </w:pPr>
          </w:p>
        </w:tc>
      </w:tr>
    </w:tbl>
    <w:p w:rsidR="003A7EF0" w:rsidRPr="00A45900" w:rsidP="008C6D7C" w14:paraId="09E76824" w14:textId="06E80E99">
      <w:pPr>
        <w:pStyle w:val="CommentText"/>
        <w:suppressLineNumbers/>
        <w:ind w:left="810"/>
        <w:jc w:val="center"/>
        <w:rPr>
          <w:sz w:val="24"/>
          <w:szCs w:val="24"/>
        </w:rPr>
      </w:pPr>
    </w:p>
    <w:sectPr w:rsidSect="004A7521">
      <w:footerReference w:type="first" r:id="rId17"/>
      <w:pgSz w:w="12240" w:h="15840"/>
      <w:pgMar w:top="1440" w:right="1440" w:bottom="1440" w:left="1440" w:header="720" w:footer="720" w:gutter="0"/>
      <w:pgNumType w:start="2"/>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79729349"/>
      <w:docPartObj>
        <w:docPartGallery w:val="Page Numbers (Bottom of Page)"/>
        <w:docPartUnique/>
      </w:docPartObj>
    </w:sdtPr>
    <w:sdtEndPr>
      <w:rPr>
        <w:noProof/>
      </w:rPr>
    </w:sdtEndPr>
    <w:sdtContent>
      <w:p w:rsidR="00A45900" w14:paraId="4AD94E9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90316"/>
      <w:docPartObj>
        <w:docPartGallery w:val="Page Numbers (Bottom of Page)"/>
        <w:docPartUnique/>
      </w:docPartObj>
    </w:sdtPr>
    <w:sdtEndPr>
      <w:rPr>
        <w:noProof/>
      </w:rPr>
    </w:sdtEndPr>
    <w:sdtContent>
      <w:p w:rsidR="00BB672C" w14:paraId="03570D79" w14:textId="1F684F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1467A" w:rsidP="005F4A38" w14:paraId="714B7C0E" w14:textId="77777777">
      <w:r>
        <w:separator/>
      </w:r>
    </w:p>
  </w:footnote>
  <w:footnote w:type="continuationSeparator" w:id="1">
    <w:p w:rsidR="0051467A" w:rsidP="005F4A38" w14:paraId="5D1DBC07" w14:textId="77777777">
      <w:r>
        <w:continuationSeparator/>
      </w:r>
    </w:p>
  </w:footnote>
  <w:footnote w:id="2">
    <w:p w:rsidR="00CC4AD8" w:rsidRPr="00BB672C" w:rsidP="00BB672C" w14:paraId="5D9127AB" w14:textId="4D2596AD">
      <w:pPr>
        <w:pStyle w:val="FootnoteText"/>
        <w:spacing w:after="120"/>
      </w:pPr>
      <w:r w:rsidRPr="00BB672C">
        <w:rPr>
          <w:rStyle w:val="FootnoteReference"/>
        </w:rPr>
        <w:footnoteRef/>
      </w:r>
      <w:r w:rsidRPr="00BB672C">
        <w:t xml:space="preserve"> </w:t>
      </w:r>
      <w:r w:rsidRPr="00BB672C" w:rsidR="00324C56">
        <w:t xml:space="preserve">Nationwide Energy Partners, LLC’s Motion for Protective Order or, in the Alternative, for a Stay of Discovery </w:t>
      </w:r>
      <w:r w:rsidRPr="00BB672C">
        <w:t>(November 24, 2021) (“Motion”).</w:t>
      </w:r>
    </w:p>
  </w:footnote>
  <w:footnote w:id="3">
    <w:p w:rsidR="00190CA6" w:rsidRPr="00BB672C" w:rsidP="00BB672C" w14:paraId="1541210A" w14:textId="77777777">
      <w:pPr>
        <w:pStyle w:val="FootnoteText"/>
        <w:spacing w:after="120"/>
      </w:pPr>
      <w:r w:rsidRPr="00BB672C">
        <w:rPr>
          <w:rStyle w:val="FootnoteReference"/>
        </w:rPr>
        <w:footnoteRef/>
      </w:r>
      <w:r w:rsidRPr="00BB672C">
        <w:t xml:space="preserve"> </w:t>
      </w:r>
      <w:r w:rsidRPr="00BB672C">
        <w:rPr>
          <w:i/>
          <w:iCs/>
        </w:rPr>
        <w:t xml:space="preserve">See id. </w:t>
      </w:r>
      <w:r w:rsidRPr="00BB672C">
        <w:t>at 2-5.</w:t>
      </w:r>
    </w:p>
  </w:footnote>
  <w:footnote w:id="4">
    <w:p w:rsidR="00D8688E" w:rsidRPr="00BB672C" w:rsidP="00BB672C" w14:paraId="59D61F0E" w14:textId="1E4D8BB7">
      <w:pPr>
        <w:pStyle w:val="FootnoteText"/>
        <w:spacing w:after="120"/>
      </w:pPr>
      <w:r w:rsidRPr="00BB672C">
        <w:rPr>
          <w:rStyle w:val="FootnoteReference"/>
        </w:rPr>
        <w:footnoteRef/>
      </w:r>
      <w:r w:rsidRPr="00BB672C">
        <w:t xml:space="preserve"> </w:t>
      </w:r>
      <w:r w:rsidRPr="00BB672C">
        <w:rPr>
          <w:i/>
          <w:iCs/>
        </w:rPr>
        <w:t xml:space="preserve">See </w:t>
      </w:r>
      <w:r w:rsidRPr="00BB672C">
        <w:t>Ohio Power Company’s Notice of Additional Authority (Dec. 8, 2021)</w:t>
      </w:r>
      <w:r w:rsidR="00BB672C">
        <w:t xml:space="preserve"> </w:t>
      </w:r>
      <w:r w:rsidRPr="00BB672C">
        <w:t xml:space="preserve">(Attaching </w:t>
      </w:r>
      <w:r w:rsidRPr="00BB672C" w:rsidR="00A2037F">
        <w:t xml:space="preserve">Decision Granting AEP’s Motion to Dismiss, </w:t>
      </w:r>
      <w:r w:rsidRPr="00BB672C" w:rsidR="00A2037F">
        <w:rPr>
          <w:i/>
          <w:iCs/>
        </w:rPr>
        <w:t>Nationwide Energy Partners, LLC v. Ohio Power Company</w:t>
      </w:r>
      <w:r w:rsidRPr="00BB672C" w:rsidR="00A2037F">
        <w:t>,</w:t>
      </w:r>
      <w:r w:rsidRPr="00BB672C" w:rsidR="00CC4AD8">
        <w:t xml:space="preserve"> Case No. 21CVH07-7186, Franklin County Court of Common Pleas (Dec</w:t>
      </w:r>
      <w:r w:rsidR="00BB672C">
        <w:t>ember</w:t>
      </w:r>
      <w:r w:rsidRPr="00BB672C" w:rsidR="00CC4AD8">
        <w:t xml:space="preserve"> 3, 2021)).</w:t>
      </w:r>
      <w:r w:rsidRPr="00BB672C" w:rsidR="00A2037F">
        <w:t xml:space="preserve"> </w:t>
      </w:r>
    </w:p>
  </w:footnote>
  <w:footnote w:id="5">
    <w:p w:rsidR="00B02129" w:rsidRPr="00BB672C" w:rsidP="00BB672C" w14:paraId="6FE3A245" w14:textId="668224C7">
      <w:pPr>
        <w:pStyle w:val="FootnoteText"/>
        <w:spacing w:after="120"/>
      </w:pPr>
      <w:r w:rsidRPr="00BB672C">
        <w:rPr>
          <w:rStyle w:val="FootnoteReference"/>
        </w:rPr>
        <w:footnoteRef/>
      </w:r>
      <w:r w:rsidRPr="00BB672C">
        <w:t xml:space="preserve"> </w:t>
      </w:r>
      <w:r w:rsidRPr="00BB672C">
        <w:rPr>
          <w:i/>
          <w:iCs/>
        </w:rPr>
        <w:t>In re Complaint of Wingo</w:t>
      </w:r>
      <w:r w:rsidRPr="00BB672C">
        <w:t>, 2020-Ohio-5583, ¶26.</w:t>
      </w:r>
    </w:p>
  </w:footnote>
  <w:footnote w:id="6">
    <w:p w:rsidR="00757145" w:rsidRPr="00BB672C" w:rsidP="00BB672C" w14:paraId="771FB294" w14:textId="77777777">
      <w:pPr>
        <w:pStyle w:val="FootnoteText"/>
        <w:spacing w:after="120"/>
        <w:rPr>
          <w:i/>
          <w:iCs/>
        </w:rPr>
      </w:pPr>
      <w:r w:rsidRPr="00BB672C">
        <w:rPr>
          <w:rStyle w:val="FootnoteReference"/>
        </w:rPr>
        <w:footnoteRef/>
      </w:r>
      <w:r w:rsidRPr="00BB672C">
        <w:t xml:space="preserve"> </w:t>
      </w:r>
      <w:r w:rsidRPr="00BB672C">
        <w:rPr>
          <w:i/>
          <w:iCs/>
        </w:rPr>
        <w:t>See id.</w:t>
      </w:r>
    </w:p>
  </w:footnote>
  <w:footnote w:id="7">
    <w:p w:rsidR="00A25A3C" w:rsidRPr="00BB672C" w:rsidP="00BB672C" w14:paraId="6BC6B53B" w14:textId="79709A77">
      <w:pPr>
        <w:spacing w:after="120"/>
        <w:rPr>
          <w:sz w:val="20"/>
        </w:rPr>
      </w:pPr>
      <w:r w:rsidRPr="00BB672C">
        <w:rPr>
          <w:rStyle w:val="FootnoteReference"/>
          <w:sz w:val="20"/>
        </w:rPr>
        <w:footnoteRef/>
      </w:r>
      <w:r w:rsidRPr="00BB672C">
        <w:rPr>
          <w:sz w:val="20"/>
        </w:rPr>
        <w:t xml:space="preserve"> O</w:t>
      </w:r>
      <w:r w:rsidRPr="00BB672C" w:rsidR="00835BCA">
        <w:rPr>
          <w:sz w:val="20"/>
        </w:rPr>
        <w:t>.A.C.</w:t>
      </w:r>
      <w:r w:rsidRPr="00BB672C">
        <w:rPr>
          <w:sz w:val="20"/>
        </w:rPr>
        <w:t xml:space="preserve"> 4901-1-17 (A).  </w:t>
      </w:r>
      <w:r w:rsidRPr="00BB672C">
        <w:rPr>
          <w:i/>
          <w:sz w:val="20"/>
        </w:rPr>
        <w:t>Accord</w:t>
      </w:r>
      <w:r w:rsidRPr="00BB672C">
        <w:rPr>
          <w:sz w:val="20"/>
        </w:rPr>
        <w:t>, Ohio Civ. R. 33 (A) (interrogatories may be served by any party without leave on the plaintiff “after commencement of the action.”)</w:t>
      </w:r>
      <w:r w:rsidR="00BB672C">
        <w:rPr>
          <w:sz w:val="20"/>
        </w:rPr>
        <w:t>.</w:t>
      </w:r>
    </w:p>
  </w:footnote>
  <w:footnote w:id="8">
    <w:p w:rsidR="006D63C9" w:rsidRPr="00BB672C" w:rsidP="00BB672C" w14:paraId="7F1DA0DE" w14:textId="77777777">
      <w:pPr>
        <w:pStyle w:val="FootnoteText"/>
        <w:spacing w:after="120"/>
      </w:pPr>
      <w:r w:rsidRPr="00BB672C">
        <w:rPr>
          <w:rStyle w:val="FootnoteReference"/>
        </w:rPr>
        <w:footnoteRef/>
      </w:r>
      <w:r w:rsidRPr="00BB672C">
        <w:t xml:space="preserve"> </w:t>
      </w:r>
      <w:r w:rsidRPr="00BB672C">
        <w:rPr>
          <w:i/>
          <w:iCs/>
        </w:rPr>
        <w:t>See In the Matter of the Joint Application of Cinergy Corp., on Behalf of the Cincinnati Gas &amp; Electric Company, and Duke Energy Holding Corp. for Consent and Approval of a Change of Control of the Cincinnati Gas &amp; Electric Company</w:t>
      </w:r>
      <w:r w:rsidRPr="00BB672C">
        <w:t>, Case No. 05-732-EL-MER (December. 7, 2005), at ¶ 14 (PUCO found that “Rule 4901-1-16(H), O.A.C., would allow OCC to commence discovery even though its motion for intervention has not been granted.”).</w:t>
      </w:r>
    </w:p>
  </w:footnote>
  <w:footnote w:id="9">
    <w:p w:rsidR="009B751F" w:rsidRPr="00BB672C" w:rsidP="00BB672C" w14:paraId="7C198477" w14:textId="044325AD">
      <w:pPr>
        <w:pStyle w:val="FootnoteText"/>
        <w:spacing w:after="120"/>
      </w:pPr>
      <w:r w:rsidRPr="00BB672C">
        <w:rPr>
          <w:rStyle w:val="FootnoteReference"/>
        </w:rPr>
        <w:footnoteRef/>
      </w:r>
      <w:r w:rsidRPr="00BB672C">
        <w:t xml:space="preserve"> </w:t>
      </w:r>
      <w:r w:rsidRPr="00BB672C">
        <w:rPr>
          <w:i/>
          <w:iCs/>
        </w:rPr>
        <w:t xml:space="preserve">See, e.g., Consumers’ Counsel v. West Ohio Gas Company, </w:t>
      </w:r>
      <w:r w:rsidRPr="00BB672C">
        <w:t xml:space="preserve">89-275-GA-CSS, Entry (April 18, 1989); </w:t>
      </w:r>
      <w:r w:rsidRPr="00BB672C">
        <w:rPr>
          <w:i/>
          <w:iCs/>
        </w:rPr>
        <w:t>Consumers’ Counsel v. Ohio Bell Telephone Company</w:t>
      </w:r>
      <w:r w:rsidRPr="00BB672C">
        <w:t xml:space="preserve">, 93-576-TP-CSS, Entry (July 27, 1993); </w:t>
      </w:r>
      <w:r w:rsidRPr="00BB672C">
        <w:rPr>
          <w:i/>
          <w:iCs/>
        </w:rPr>
        <w:t>Consumers’ Counsel v. DP&amp;L</w:t>
      </w:r>
      <w:r w:rsidRPr="00BB672C">
        <w:t>, 88-1744-EL-CSS, Entry (June 6, 1989).</w:t>
      </w:r>
    </w:p>
  </w:footnote>
  <w:footnote w:id="10">
    <w:p w:rsidR="009B751F" w:rsidRPr="00BB672C" w:rsidP="00BB672C" w14:paraId="4B1DDC7D" w14:textId="1F090AF5">
      <w:pPr>
        <w:pStyle w:val="FootnoteText"/>
        <w:spacing w:after="120"/>
      </w:pPr>
      <w:r w:rsidRPr="00BB672C">
        <w:rPr>
          <w:rStyle w:val="FootnoteReference"/>
        </w:rPr>
        <w:footnoteRef/>
      </w:r>
      <w:r w:rsidRPr="00BB672C">
        <w:t xml:space="preserve"> </w:t>
      </w:r>
      <w:r w:rsidRPr="00BB672C">
        <w:rPr>
          <w:i/>
          <w:iCs/>
        </w:rPr>
        <w:t>In the Matter of the Application of Verde Energy USA Ohio, LLC for Certifications as a Competitive Retail Electric Service Supplier</w:t>
      </w:r>
      <w:r w:rsidRPr="00BB672C">
        <w:t xml:space="preserve">, Case No. 11-5886-EL-CRS </w:t>
      </w:r>
      <w:r w:rsidRPr="00BB672C">
        <w:rPr>
          <w:i/>
          <w:iCs/>
        </w:rPr>
        <w:t>et al</w:t>
      </w:r>
      <w:r w:rsidRPr="00BB672C">
        <w:t>., Entry,</w:t>
      </w:r>
      <w:r w:rsidRPr="00BB672C" w:rsidR="00A57E42">
        <w:t xml:space="preserve"> ¶ 13</w:t>
      </w:r>
      <w:r w:rsidRPr="00BB672C">
        <w:t xml:space="preserve"> </w:t>
      </w:r>
      <w:r w:rsidRPr="00BB672C" w:rsidR="00A57E42">
        <w:t>(</w:t>
      </w:r>
      <w:r w:rsidRPr="00BB672C">
        <w:t>March 3, 2020</w:t>
      </w:r>
      <w:r w:rsidRPr="00BB672C" w:rsidR="00A57E42">
        <w:t xml:space="preserve">) (emphasis added). </w:t>
      </w:r>
    </w:p>
  </w:footnote>
  <w:footnote w:id="11">
    <w:p w:rsidR="00A57E42" w:rsidRPr="00BB672C" w:rsidP="00BB672C" w14:paraId="325898F2" w14:textId="6FE2C555">
      <w:pPr>
        <w:pStyle w:val="FootnoteText"/>
        <w:spacing w:after="120"/>
        <w:rPr>
          <w:i/>
          <w:iCs/>
        </w:rPr>
      </w:pPr>
      <w:r w:rsidRPr="00BB672C">
        <w:rPr>
          <w:rStyle w:val="FootnoteReference"/>
        </w:rPr>
        <w:footnoteRef/>
      </w:r>
      <w:r w:rsidRPr="00BB672C">
        <w:t xml:space="preserve"> </w:t>
      </w:r>
      <w:r w:rsidRPr="00BB672C">
        <w:rPr>
          <w:i/>
          <w:iCs/>
        </w:rPr>
        <w:t>In Re Application of FirstEnergy Advisors for Certification as a Competitive Retail Elec. Serv. Power Broker &amp; Aggregator</w:t>
      </w:r>
      <w:r w:rsidRPr="00BB672C">
        <w:t xml:space="preserve">, Slip Opinion No. 2021-Ohio-3630, ¶ </w:t>
      </w:r>
      <w:r w:rsidRPr="00BB672C" w:rsidR="00683916">
        <w:t xml:space="preserve">42 (intervening parties have broad rights of </w:t>
      </w:r>
      <w:r w:rsidRPr="00BB672C" w:rsidR="00BC59E4">
        <w:t xml:space="preserve">discovery); </w:t>
      </w:r>
      <w:r w:rsidRPr="00BB672C" w:rsidR="00BC59E4">
        <w:rPr>
          <w:i/>
          <w:iCs/>
        </w:rPr>
        <w:t>see also Ohio Consumers Counsel v. Pub. Util. Comm.</w:t>
      </w:r>
      <w:r w:rsidRPr="00BB672C" w:rsidR="00BC59E4">
        <w:t>, 111 Ohio St.3d 300, 2006-Ohio-5789, 856 N.E.2d 213, ¶¶ 82-83</w:t>
      </w:r>
      <w:r w:rsidRPr="00BB672C" w:rsidR="00AC0C69">
        <w:t xml:space="preserve"> (PUCO erred in denying discovery to OCC).</w:t>
      </w:r>
      <w:r w:rsidRPr="00BB672C">
        <w:rPr>
          <w:i/>
          <w:iCs/>
        </w:rPr>
        <w:t xml:space="preserve"> </w:t>
      </w:r>
    </w:p>
  </w:footnote>
  <w:footnote w:id="12">
    <w:p w:rsidR="00AA3ED9" w:rsidRPr="00BB672C" w:rsidP="00BB672C" w14:paraId="12FC9A4F" w14:textId="57D75CDA">
      <w:pPr>
        <w:spacing w:after="120"/>
        <w:rPr>
          <w:sz w:val="20"/>
        </w:rPr>
      </w:pPr>
      <w:r w:rsidRPr="00BB672C">
        <w:rPr>
          <w:rStyle w:val="FootnoteReference"/>
          <w:sz w:val="20"/>
        </w:rPr>
        <w:footnoteRef/>
      </w:r>
      <w:r w:rsidRPr="00BB672C">
        <w:rPr>
          <w:sz w:val="20"/>
        </w:rPr>
        <w:t xml:space="preserve"> </w:t>
      </w:r>
      <w:r w:rsidRPr="00BB672C">
        <w:rPr>
          <w:i/>
          <w:sz w:val="20"/>
        </w:rPr>
        <w:t>In the Matter of the Investigation into the Perry Nuclear Power Plant</w:t>
      </w:r>
      <w:r w:rsidRPr="00BB672C">
        <w:rPr>
          <w:sz w:val="20"/>
        </w:rPr>
        <w:t>, Case No. 85-521-EL-COI, Entry at 23 (Mar</w:t>
      </w:r>
      <w:r w:rsidR="00BB672C">
        <w:rPr>
          <w:sz w:val="20"/>
        </w:rPr>
        <w:t>ch</w:t>
      </w:r>
      <w:r w:rsidRPr="00BB672C">
        <w:rPr>
          <w:sz w:val="20"/>
        </w:rPr>
        <w:t xml:space="preserve"> 17, 1987).</w:t>
      </w:r>
    </w:p>
  </w:footnote>
  <w:footnote w:id="13">
    <w:p w:rsidR="00AA3ED9" w:rsidRPr="00BB672C" w:rsidP="00BB672C" w14:paraId="7FB885D6" w14:textId="37E61145">
      <w:pPr>
        <w:spacing w:after="120"/>
        <w:rPr>
          <w:sz w:val="20"/>
        </w:rPr>
      </w:pPr>
      <w:r w:rsidRPr="00BB672C">
        <w:rPr>
          <w:rStyle w:val="FootnoteReference"/>
          <w:sz w:val="20"/>
        </w:rPr>
        <w:footnoteRef/>
      </w:r>
      <w:r w:rsidRPr="00BB672C">
        <w:rPr>
          <w:sz w:val="20"/>
        </w:rPr>
        <w:t xml:space="preserve"> </w:t>
      </w:r>
      <w:r w:rsidRPr="00BB672C">
        <w:rPr>
          <w:i/>
          <w:sz w:val="20"/>
        </w:rPr>
        <w:t>Id.</w:t>
      </w:r>
      <w:r w:rsidRPr="00BB672C">
        <w:rPr>
          <w:sz w:val="20"/>
        </w:rPr>
        <w:t>, citing</w:t>
      </w:r>
      <w:r w:rsidRPr="00BB672C">
        <w:rPr>
          <w:i/>
          <w:sz w:val="20"/>
        </w:rPr>
        <w:t xml:space="preserve"> Penn Central Transportation Co. v. Armco Steel Corp</w:t>
      </w:r>
      <w:r w:rsidRPr="00BB672C">
        <w:rPr>
          <w:sz w:val="20"/>
        </w:rPr>
        <w:t xml:space="preserve">. (C.P. 1971), 27 Ohio Misc. 76 (emphasis added).  </w:t>
      </w:r>
    </w:p>
  </w:footnote>
  <w:footnote w:id="14">
    <w:p w:rsidR="005470CC" w:rsidRPr="00BB672C" w:rsidP="00BB672C" w14:paraId="23889D74" w14:textId="0949A0EA">
      <w:pPr>
        <w:pStyle w:val="FootnoteText"/>
        <w:spacing w:after="120"/>
      </w:pPr>
      <w:r w:rsidRPr="00BB672C">
        <w:rPr>
          <w:rStyle w:val="FootnoteReference"/>
        </w:rPr>
        <w:footnoteRef/>
      </w:r>
      <w:r w:rsidRPr="00BB672C">
        <w:t xml:space="preserve"> </w:t>
      </w:r>
      <w:r w:rsidRPr="00BB672C">
        <w:rPr>
          <w:szCs w:val="24"/>
        </w:rPr>
        <w:t xml:space="preserve">Ohio Adm. Code 4901-1-16(B).  </w:t>
      </w:r>
    </w:p>
  </w:footnote>
  <w:footnote w:id="15">
    <w:p w:rsidR="005470CC" w:rsidRPr="00BB672C" w:rsidP="00BB672C" w14:paraId="4EDEDFF2" w14:textId="264FA4BF">
      <w:pPr>
        <w:spacing w:after="120"/>
        <w:rPr>
          <w:sz w:val="20"/>
        </w:rPr>
      </w:pPr>
      <w:r w:rsidRPr="00BB672C">
        <w:rPr>
          <w:rStyle w:val="FootnoteReference"/>
          <w:sz w:val="20"/>
        </w:rPr>
        <w:footnoteRef/>
      </w:r>
      <w:r w:rsidRPr="00BB672C">
        <w:rPr>
          <w:sz w:val="20"/>
        </w:rPr>
        <w:t xml:space="preserve"> </w:t>
      </w:r>
      <w:r w:rsidRPr="00BB672C">
        <w:rPr>
          <w:i/>
          <w:iCs/>
          <w:sz w:val="20"/>
          <w:szCs w:val="24"/>
        </w:rPr>
        <w:t>Moskovitz v. Mt. Sinai Med. Ctr</w:t>
      </w:r>
      <w:r w:rsidRPr="00BB672C">
        <w:rPr>
          <w:sz w:val="20"/>
          <w:szCs w:val="24"/>
        </w:rPr>
        <w:t xml:space="preserve">. (1994), 69 Ohio St.3d 638, 661, 1994 Ohio 324.  </w:t>
      </w:r>
    </w:p>
  </w:footnote>
  <w:footnote w:id="16">
    <w:p w:rsidR="005470CC" w:rsidRPr="00BB672C" w:rsidP="00BB672C" w14:paraId="2C5A5546" w14:textId="3D8F1848">
      <w:pPr>
        <w:pStyle w:val="FootnoteText"/>
        <w:spacing w:after="120"/>
      </w:pPr>
      <w:r w:rsidRPr="00BB672C">
        <w:rPr>
          <w:rStyle w:val="FootnoteReference"/>
        </w:rPr>
        <w:footnoteRef/>
      </w:r>
      <w:r w:rsidRPr="00BB672C">
        <w:t xml:space="preserve"> </w:t>
      </w:r>
      <w:r w:rsidRPr="00BB672C">
        <w:rPr>
          <w:i/>
          <w:iCs/>
          <w:szCs w:val="24"/>
        </w:rPr>
        <w:t>See</w:t>
      </w:r>
      <w:r w:rsidRPr="00BB672C">
        <w:rPr>
          <w:szCs w:val="24"/>
        </w:rPr>
        <w:t xml:space="preserve"> </w:t>
      </w:r>
      <w:r w:rsidRPr="00BB672C">
        <w:rPr>
          <w:i/>
          <w:iCs/>
          <w:szCs w:val="24"/>
        </w:rPr>
        <w:t>OCC v. PUC,</w:t>
      </w:r>
      <w:r w:rsidRPr="00BB672C">
        <w:rPr>
          <w:szCs w:val="24"/>
        </w:rPr>
        <w:t xml:space="preserve"> 111 Ohio St.3d 300, 2006-Ohio-5789.</w:t>
      </w:r>
    </w:p>
  </w:footnote>
  <w:footnote w:id="17">
    <w:p w:rsidR="005470CC" w:rsidRPr="00BB672C" w:rsidP="00BB672C" w14:paraId="78CD8E7F" w14:textId="0A658BD6">
      <w:pPr>
        <w:pStyle w:val="FootnoteText"/>
        <w:spacing w:after="120"/>
      </w:pPr>
      <w:r w:rsidRPr="00BB672C">
        <w:rPr>
          <w:rStyle w:val="FootnoteReference"/>
        </w:rPr>
        <w:footnoteRef/>
      </w:r>
      <w:r w:rsidRPr="00BB672C">
        <w:t xml:space="preserve"> </w:t>
      </w:r>
      <w:r w:rsidRPr="00BB672C">
        <w:rPr>
          <w:i/>
          <w:iCs/>
        </w:rPr>
        <w:t xml:space="preserve">See </w:t>
      </w:r>
      <w:r w:rsidRPr="00BB672C">
        <w:t>Motion at 2.</w:t>
      </w:r>
    </w:p>
  </w:footnote>
  <w:footnote w:id="18">
    <w:p w:rsidR="005470CC" w:rsidRPr="00BB672C" w:rsidP="00BB672C" w14:paraId="448BFBEB" w14:textId="20874DA6">
      <w:pPr>
        <w:pStyle w:val="FootnoteText"/>
        <w:spacing w:after="120"/>
      </w:pPr>
      <w:r w:rsidRPr="00BB672C">
        <w:rPr>
          <w:rStyle w:val="FootnoteReference"/>
        </w:rPr>
        <w:footnoteRef/>
      </w:r>
      <w:r w:rsidRPr="00BB672C">
        <w:t xml:space="preserve"> Well over </w:t>
      </w:r>
      <w:r w:rsidRPr="00BB672C" w:rsidR="00F13463">
        <w:t xml:space="preserve">1,000, according to AEP’s Complaint. </w:t>
      </w:r>
      <w:r w:rsidRPr="00BB672C" w:rsidR="00F13463">
        <w:rPr>
          <w:i/>
          <w:iCs/>
        </w:rPr>
        <w:t xml:space="preserve">See </w:t>
      </w:r>
      <w:r w:rsidRPr="00BB672C" w:rsidR="00F13463">
        <w:t>AEP Complaint, at ¶¶ 31-35.</w:t>
      </w:r>
    </w:p>
  </w:footnote>
  <w:footnote w:id="19">
    <w:p w:rsidR="00F13463" w:rsidRPr="00BB672C" w:rsidP="00BB672C" w14:paraId="1C5E58F8" w14:textId="47E24068">
      <w:pPr>
        <w:spacing w:after="120"/>
        <w:rPr>
          <w:sz w:val="20"/>
        </w:rPr>
      </w:pPr>
      <w:r w:rsidRPr="00BB672C">
        <w:rPr>
          <w:rStyle w:val="FootnoteReference"/>
          <w:sz w:val="20"/>
        </w:rPr>
        <w:footnoteRef/>
      </w:r>
      <w:r w:rsidRPr="00BB672C">
        <w:rPr>
          <w:sz w:val="20"/>
        </w:rPr>
        <w:t xml:space="preserve"> </w:t>
      </w:r>
      <w:r w:rsidRPr="00BB672C">
        <w:rPr>
          <w:i/>
          <w:sz w:val="20"/>
        </w:rPr>
        <w:t>In the Matter of the Investigation into the Perry Nuclear Power Plant</w:t>
      </w:r>
      <w:r w:rsidRPr="00BB672C">
        <w:rPr>
          <w:sz w:val="20"/>
        </w:rPr>
        <w:t>, Case No. 85-521-EL-COI, Entry at 23 (Mar</w:t>
      </w:r>
      <w:r w:rsidR="00BB672C">
        <w:rPr>
          <w:sz w:val="20"/>
        </w:rPr>
        <w:t>ch</w:t>
      </w:r>
      <w:r w:rsidRPr="00BB672C">
        <w:rPr>
          <w:sz w:val="20"/>
        </w:rPr>
        <w:t xml:space="preserve"> 17, 1987).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6C54EB"/>
    <w:multiLevelType w:val="hybridMultilevel"/>
    <w:tmpl w:val="9BF0EFDE"/>
    <w:lvl w:ilvl="0">
      <w:start w:val="1"/>
      <w:numFmt w:val="upperRoman"/>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3356CA7"/>
    <w:multiLevelType w:val="hybridMultilevel"/>
    <w:tmpl w:val="38440D92"/>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CEF668D"/>
    <w:multiLevelType w:val="hybridMultilevel"/>
    <w:tmpl w:val="CC66188A"/>
    <w:lvl w:ilvl="0">
      <w:start w:val="2"/>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58D0174"/>
    <w:multiLevelType w:val="hybridMultilevel"/>
    <w:tmpl w:val="47FE460A"/>
    <w:lvl w:ilvl="0">
      <w:start w:val="1"/>
      <w:numFmt w:val="upperLetter"/>
      <w:lvlText w:val="%1."/>
      <w:lvlJc w:val="left"/>
      <w:pPr>
        <w:ind w:left="720" w:hanging="360"/>
      </w:pPr>
      <w:rPr>
        <w:rFonts w:eastAsiaTheme="minorHAnsi" w:hint="default"/>
        <w:b/>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C2867AD"/>
    <w:multiLevelType w:val="hybridMultilevel"/>
    <w:tmpl w:val="D784673E"/>
    <w:lvl w:ilvl="0">
      <w:start w:val="1"/>
      <w:numFmt w:val="upperLetter"/>
      <w:lvlText w:val="%1."/>
      <w:lvlJc w:val="left"/>
      <w:pPr>
        <w:ind w:left="1440" w:hanging="720"/>
      </w:pPr>
      <w:rPr>
        <w:rFonts w:ascii="Times New Roman" w:eastAsia="Times New Roman" w:hAnsi="Times New Roman" w:cs="Times New Roman"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5792F14"/>
    <w:multiLevelType w:val="hybridMultilevel"/>
    <w:tmpl w:val="C7E63FF8"/>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74C15BC1"/>
    <w:multiLevelType w:val="hybridMultilevel"/>
    <w:tmpl w:val="6E7AB89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38"/>
    <w:rsid w:val="00012A40"/>
    <w:rsid w:val="00012DC0"/>
    <w:rsid w:val="00012F51"/>
    <w:rsid w:val="00024343"/>
    <w:rsid w:val="000444D1"/>
    <w:rsid w:val="00063607"/>
    <w:rsid w:val="0007319E"/>
    <w:rsid w:val="000933FE"/>
    <w:rsid w:val="0009406D"/>
    <w:rsid w:val="00097431"/>
    <w:rsid w:val="000A06EF"/>
    <w:rsid w:val="000A7F95"/>
    <w:rsid w:val="000B1A9A"/>
    <w:rsid w:val="000B1F53"/>
    <w:rsid w:val="000B7F18"/>
    <w:rsid w:val="000E1B76"/>
    <w:rsid w:val="000E514D"/>
    <w:rsid w:val="00101A4F"/>
    <w:rsid w:val="0012014A"/>
    <w:rsid w:val="0012065C"/>
    <w:rsid w:val="00126D42"/>
    <w:rsid w:val="00131B6C"/>
    <w:rsid w:val="00142CC0"/>
    <w:rsid w:val="00153C6B"/>
    <w:rsid w:val="00154770"/>
    <w:rsid w:val="001630FB"/>
    <w:rsid w:val="00165B64"/>
    <w:rsid w:val="0017201D"/>
    <w:rsid w:val="001841B5"/>
    <w:rsid w:val="0018512F"/>
    <w:rsid w:val="00190CA6"/>
    <w:rsid w:val="001B206E"/>
    <w:rsid w:val="001B60DA"/>
    <w:rsid w:val="001B6B01"/>
    <w:rsid w:val="001C66C0"/>
    <w:rsid w:val="001D76B9"/>
    <w:rsid w:val="001F2965"/>
    <w:rsid w:val="001F3CC9"/>
    <w:rsid w:val="00202DCA"/>
    <w:rsid w:val="00203DDA"/>
    <w:rsid w:val="00210137"/>
    <w:rsid w:val="00212071"/>
    <w:rsid w:val="002242DD"/>
    <w:rsid w:val="00225544"/>
    <w:rsid w:val="002335B9"/>
    <w:rsid w:val="002529BA"/>
    <w:rsid w:val="002550CC"/>
    <w:rsid w:val="002660AE"/>
    <w:rsid w:val="002931E5"/>
    <w:rsid w:val="002B1FFD"/>
    <w:rsid w:val="002B732F"/>
    <w:rsid w:val="002C313F"/>
    <w:rsid w:val="002D0BD0"/>
    <w:rsid w:val="002F61B8"/>
    <w:rsid w:val="00304091"/>
    <w:rsid w:val="00305924"/>
    <w:rsid w:val="00307CD9"/>
    <w:rsid w:val="00307EE8"/>
    <w:rsid w:val="003219FB"/>
    <w:rsid w:val="00322878"/>
    <w:rsid w:val="00324C56"/>
    <w:rsid w:val="0033033D"/>
    <w:rsid w:val="00350893"/>
    <w:rsid w:val="0037192A"/>
    <w:rsid w:val="00372EC0"/>
    <w:rsid w:val="00380B36"/>
    <w:rsid w:val="003829CA"/>
    <w:rsid w:val="00392097"/>
    <w:rsid w:val="00396F31"/>
    <w:rsid w:val="003976F2"/>
    <w:rsid w:val="003A1307"/>
    <w:rsid w:val="003A297E"/>
    <w:rsid w:val="003A7EF0"/>
    <w:rsid w:val="003C079A"/>
    <w:rsid w:val="00430452"/>
    <w:rsid w:val="0043439D"/>
    <w:rsid w:val="0043513E"/>
    <w:rsid w:val="004453C1"/>
    <w:rsid w:val="00445723"/>
    <w:rsid w:val="00476E28"/>
    <w:rsid w:val="004827B6"/>
    <w:rsid w:val="004A7521"/>
    <w:rsid w:val="004B1C4A"/>
    <w:rsid w:val="004D2B7A"/>
    <w:rsid w:val="004D5CD5"/>
    <w:rsid w:val="004E22F2"/>
    <w:rsid w:val="00500C56"/>
    <w:rsid w:val="0051467A"/>
    <w:rsid w:val="00541863"/>
    <w:rsid w:val="005470CC"/>
    <w:rsid w:val="00554275"/>
    <w:rsid w:val="00554EE7"/>
    <w:rsid w:val="005651AF"/>
    <w:rsid w:val="00594393"/>
    <w:rsid w:val="005C5EAD"/>
    <w:rsid w:val="005D2447"/>
    <w:rsid w:val="005D315E"/>
    <w:rsid w:val="005D3BB2"/>
    <w:rsid w:val="005D42EA"/>
    <w:rsid w:val="005D755D"/>
    <w:rsid w:val="005E2CC6"/>
    <w:rsid w:val="005E5F31"/>
    <w:rsid w:val="005F4A38"/>
    <w:rsid w:val="00600A4B"/>
    <w:rsid w:val="006056E7"/>
    <w:rsid w:val="00607CEF"/>
    <w:rsid w:val="006220D5"/>
    <w:rsid w:val="0062290A"/>
    <w:rsid w:val="006352C9"/>
    <w:rsid w:val="00640A8F"/>
    <w:rsid w:val="00660727"/>
    <w:rsid w:val="006643AB"/>
    <w:rsid w:val="00666AFB"/>
    <w:rsid w:val="0067020A"/>
    <w:rsid w:val="0068298C"/>
    <w:rsid w:val="00683916"/>
    <w:rsid w:val="006A122B"/>
    <w:rsid w:val="006B1B43"/>
    <w:rsid w:val="006B4AE2"/>
    <w:rsid w:val="006D63C9"/>
    <w:rsid w:val="006E2522"/>
    <w:rsid w:val="006F08B2"/>
    <w:rsid w:val="00700C89"/>
    <w:rsid w:val="007064F3"/>
    <w:rsid w:val="007132BC"/>
    <w:rsid w:val="00726C57"/>
    <w:rsid w:val="00727843"/>
    <w:rsid w:val="007308C7"/>
    <w:rsid w:val="0073649D"/>
    <w:rsid w:val="00752A4A"/>
    <w:rsid w:val="007550B0"/>
    <w:rsid w:val="00757145"/>
    <w:rsid w:val="00760F12"/>
    <w:rsid w:val="00762D7D"/>
    <w:rsid w:val="00764BAF"/>
    <w:rsid w:val="00770B9C"/>
    <w:rsid w:val="0078034D"/>
    <w:rsid w:val="007825C9"/>
    <w:rsid w:val="00783B45"/>
    <w:rsid w:val="007969E8"/>
    <w:rsid w:val="0079764E"/>
    <w:rsid w:val="00797FB8"/>
    <w:rsid w:val="007B2CAB"/>
    <w:rsid w:val="007C303E"/>
    <w:rsid w:val="007D4DDE"/>
    <w:rsid w:val="007F0F08"/>
    <w:rsid w:val="007F11B9"/>
    <w:rsid w:val="00807ADF"/>
    <w:rsid w:val="008262C2"/>
    <w:rsid w:val="00832A3B"/>
    <w:rsid w:val="00835BCA"/>
    <w:rsid w:val="0083621A"/>
    <w:rsid w:val="00844543"/>
    <w:rsid w:val="00851760"/>
    <w:rsid w:val="0086004B"/>
    <w:rsid w:val="00865F65"/>
    <w:rsid w:val="008826CA"/>
    <w:rsid w:val="00883FCE"/>
    <w:rsid w:val="00894D6F"/>
    <w:rsid w:val="008A1AB4"/>
    <w:rsid w:val="008B6FAC"/>
    <w:rsid w:val="008C00C4"/>
    <w:rsid w:val="008C6D7C"/>
    <w:rsid w:val="008E220B"/>
    <w:rsid w:val="008F0AB5"/>
    <w:rsid w:val="008F6296"/>
    <w:rsid w:val="009018B4"/>
    <w:rsid w:val="009207A4"/>
    <w:rsid w:val="00920DB4"/>
    <w:rsid w:val="00922326"/>
    <w:rsid w:val="00931081"/>
    <w:rsid w:val="00937274"/>
    <w:rsid w:val="0095657F"/>
    <w:rsid w:val="00962470"/>
    <w:rsid w:val="00966923"/>
    <w:rsid w:val="00991CE2"/>
    <w:rsid w:val="00995C68"/>
    <w:rsid w:val="009B751F"/>
    <w:rsid w:val="009C1ED6"/>
    <w:rsid w:val="009C7148"/>
    <w:rsid w:val="009F467B"/>
    <w:rsid w:val="00A1149D"/>
    <w:rsid w:val="00A167CE"/>
    <w:rsid w:val="00A2037F"/>
    <w:rsid w:val="00A22750"/>
    <w:rsid w:val="00A24B67"/>
    <w:rsid w:val="00A25A3C"/>
    <w:rsid w:val="00A32887"/>
    <w:rsid w:val="00A349CC"/>
    <w:rsid w:val="00A360EC"/>
    <w:rsid w:val="00A43114"/>
    <w:rsid w:val="00A45900"/>
    <w:rsid w:val="00A51A3A"/>
    <w:rsid w:val="00A57708"/>
    <w:rsid w:val="00A57E42"/>
    <w:rsid w:val="00A878D9"/>
    <w:rsid w:val="00A9527E"/>
    <w:rsid w:val="00AA3ED9"/>
    <w:rsid w:val="00AA6BCB"/>
    <w:rsid w:val="00AB1916"/>
    <w:rsid w:val="00AC0C69"/>
    <w:rsid w:val="00AC3F92"/>
    <w:rsid w:val="00B01B8A"/>
    <w:rsid w:val="00B02129"/>
    <w:rsid w:val="00B0270E"/>
    <w:rsid w:val="00B02DAA"/>
    <w:rsid w:val="00B201B9"/>
    <w:rsid w:val="00B3299D"/>
    <w:rsid w:val="00B40A96"/>
    <w:rsid w:val="00B41FA5"/>
    <w:rsid w:val="00B4218C"/>
    <w:rsid w:val="00B63D23"/>
    <w:rsid w:val="00B817AF"/>
    <w:rsid w:val="00B825F4"/>
    <w:rsid w:val="00B846D5"/>
    <w:rsid w:val="00BA5293"/>
    <w:rsid w:val="00BB672C"/>
    <w:rsid w:val="00BB748E"/>
    <w:rsid w:val="00BC33FF"/>
    <w:rsid w:val="00BC59E4"/>
    <w:rsid w:val="00BC6557"/>
    <w:rsid w:val="00BD3576"/>
    <w:rsid w:val="00BD38A1"/>
    <w:rsid w:val="00BE2D22"/>
    <w:rsid w:val="00BE6D81"/>
    <w:rsid w:val="00BF2F18"/>
    <w:rsid w:val="00BF7948"/>
    <w:rsid w:val="00C04936"/>
    <w:rsid w:val="00C15BF2"/>
    <w:rsid w:val="00C20160"/>
    <w:rsid w:val="00C2143A"/>
    <w:rsid w:val="00C228D1"/>
    <w:rsid w:val="00C26E86"/>
    <w:rsid w:val="00C30074"/>
    <w:rsid w:val="00C36E42"/>
    <w:rsid w:val="00C41D7E"/>
    <w:rsid w:val="00C42BB7"/>
    <w:rsid w:val="00C47F33"/>
    <w:rsid w:val="00C5151C"/>
    <w:rsid w:val="00C6190B"/>
    <w:rsid w:val="00C63965"/>
    <w:rsid w:val="00C6604C"/>
    <w:rsid w:val="00C80C73"/>
    <w:rsid w:val="00C910CC"/>
    <w:rsid w:val="00C9157B"/>
    <w:rsid w:val="00C9442C"/>
    <w:rsid w:val="00C94625"/>
    <w:rsid w:val="00CC1FF8"/>
    <w:rsid w:val="00CC4AD8"/>
    <w:rsid w:val="00CD6C26"/>
    <w:rsid w:val="00CF238E"/>
    <w:rsid w:val="00D065B4"/>
    <w:rsid w:val="00D15321"/>
    <w:rsid w:val="00D1576A"/>
    <w:rsid w:val="00D23B20"/>
    <w:rsid w:val="00D2487A"/>
    <w:rsid w:val="00D25516"/>
    <w:rsid w:val="00D27B73"/>
    <w:rsid w:val="00D336DA"/>
    <w:rsid w:val="00D417E8"/>
    <w:rsid w:val="00D44D3C"/>
    <w:rsid w:val="00D5079A"/>
    <w:rsid w:val="00D5449F"/>
    <w:rsid w:val="00D56524"/>
    <w:rsid w:val="00D64758"/>
    <w:rsid w:val="00D666BA"/>
    <w:rsid w:val="00D73CAA"/>
    <w:rsid w:val="00D80F88"/>
    <w:rsid w:val="00D867A4"/>
    <w:rsid w:val="00D8688E"/>
    <w:rsid w:val="00D911C2"/>
    <w:rsid w:val="00D95419"/>
    <w:rsid w:val="00DB2F49"/>
    <w:rsid w:val="00DC6A46"/>
    <w:rsid w:val="00DE38AC"/>
    <w:rsid w:val="00DE7574"/>
    <w:rsid w:val="00DF46CC"/>
    <w:rsid w:val="00E01F5C"/>
    <w:rsid w:val="00E17170"/>
    <w:rsid w:val="00E30CDB"/>
    <w:rsid w:val="00E45D2B"/>
    <w:rsid w:val="00E60188"/>
    <w:rsid w:val="00E738D4"/>
    <w:rsid w:val="00E83AE0"/>
    <w:rsid w:val="00E94EE3"/>
    <w:rsid w:val="00EA2A3B"/>
    <w:rsid w:val="00EB14B1"/>
    <w:rsid w:val="00EB42C7"/>
    <w:rsid w:val="00EC3121"/>
    <w:rsid w:val="00EC52D5"/>
    <w:rsid w:val="00ED1F85"/>
    <w:rsid w:val="00F13463"/>
    <w:rsid w:val="00F14497"/>
    <w:rsid w:val="00F347A6"/>
    <w:rsid w:val="00F45527"/>
    <w:rsid w:val="00F51C3A"/>
    <w:rsid w:val="00F53B01"/>
    <w:rsid w:val="00F67F6F"/>
    <w:rsid w:val="00F72AD3"/>
    <w:rsid w:val="00F8032F"/>
    <w:rsid w:val="00F822C3"/>
    <w:rsid w:val="00F864F5"/>
    <w:rsid w:val="00F97C31"/>
    <w:rsid w:val="00FA249B"/>
    <w:rsid w:val="00FA3493"/>
    <w:rsid w:val="00FA52CA"/>
    <w:rsid w:val="00FB3058"/>
    <w:rsid w:val="00FE42BC"/>
    <w:rsid w:val="00FF092D"/>
    <w:rsid w:val="00FF67C8"/>
    <w:rsid w:val="00FF78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A38"/>
    <w:pPr>
      <w:spacing w:after="0" w:line="240" w:lineRule="auto"/>
    </w:pPr>
    <w:rPr>
      <w:rFonts w:eastAsia="Times New Roman"/>
      <w:szCs w:val="20"/>
    </w:rPr>
  </w:style>
  <w:style w:type="paragraph" w:styleId="Heading1">
    <w:name w:val="heading 1"/>
    <w:basedOn w:val="Normal"/>
    <w:next w:val="Normal"/>
    <w:link w:val="Heading1Char"/>
    <w:autoRedefine/>
    <w:uiPriority w:val="9"/>
    <w:qFormat/>
    <w:rsid w:val="009018B4"/>
    <w:pPr>
      <w:keepNext/>
      <w:keepLines/>
      <w:numPr>
        <w:numId w:val="5"/>
      </w:numPr>
      <w:spacing w:after="240"/>
      <w:ind w:left="720"/>
      <w:outlineLvl w:val="0"/>
    </w:pPr>
    <w:rPr>
      <w:rFonts w:ascii="Times New Roman Bold" w:hAnsi="Times New Roman Bold" w:eastAsiaTheme="minorHAnsi" w:cstheme="majorBidi"/>
      <w:b/>
      <w:caps/>
      <w:szCs w:val="32"/>
    </w:rPr>
  </w:style>
  <w:style w:type="paragraph" w:styleId="Heading2">
    <w:name w:val="heading 2"/>
    <w:basedOn w:val="Normal"/>
    <w:next w:val="Normal"/>
    <w:link w:val="Heading2Char"/>
    <w:autoRedefine/>
    <w:uiPriority w:val="9"/>
    <w:unhideWhenUsed/>
    <w:qFormat/>
    <w:rsid w:val="00FB3058"/>
    <w:pPr>
      <w:keepNext/>
      <w:keepLines/>
      <w:ind w:left="1440" w:hanging="720"/>
      <w:outlineLvl w:val="1"/>
    </w:pPr>
    <w:rPr>
      <w:rFonts w:ascii="Times New Roman Bold" w:hAnsi="Times New Roman Bold"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aliases w:val=" Char,Char"/>
    <w:basedOn w:val="Normal"/>
    <w:link w:val="HTMLPreformattedChar"/>
    <w:rsid w:val="005F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aliases w:val=" Char Char,Char Char"/>
    <w:basedOn w:val="DefaultParagraphFont"/>
    <w:link w:val="HTMLPreformatted"/>
    <w:rsid w:val="005F4A38"/>
    <w:rPr>
      <w:rFonts w:ascii="Courier New" w:eastAsia="Courier New" w:hAnsi="Courier New" w:cs="Courier New"/>
      <w:sz w:val="20"/>
      <w:szCs w:val="20"/>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nhideWhenUsed/>
    <w:qFormat/>
    <w:rsid w:val="005F4A38"/>
    <w:rPr>
      <w:sz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rsid w:val="005F4A38"/>
    <w:rPr>
      <w:rFonts w:eastAsia="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nhideWhenUsed/>
    <w:qFormat/>
    <w:rsid w:val="005F4A38"/>
    <w:rPr>
      <w:vertAlign w:val="superscript"/>
    </w:rPr>
  </w:style>
  <w:style w:type="paragraph" w:styleId="CommentText">
    <w:name w:val="annotation text"/>
    <w:basedOn w:val="Normal"/>
    <w:link w:val="CommentTextChar"/>
    <w:uiPriority w:val="99"/>
    <w:unhideWhenUsed/>
    <w:rsid w:val="005F4A38"/>
    <w:rPr>
      <w:sz w:val="20"/>
    </w:rPr>
  </w:style>
  <w:style w:type="character" w:customStyle="1" w:styleId="CommentTextChar">
    <w:name w:val="Comment Text Char"/>
    <w:basedOn w:val="DefaultParagraphFont"/>
    <w:link w:val="CommentText"/>
    <w:uiPriority w:val="99"/>
    <w:rsid w:val="005F4A38"/>
    <w:rPr>
      <w:rFonts w:eastAsia="Times New Roman"/>
      <w:sz w:val="20"/>
      <w:szCs w:val="20"/>
    </w:rPr>
  </w:style>
  <w:style w:type="paragraph" w:styleId="BodyTextIndent3">
    <w:name w:val="Body Text Indent 3"/>
    <w:basedOn w:val="Normal"/>
    <w:link w:val="BodyTextIndent3Char"/>
    <w:uiPriority w:val="99"/>
    <w:unhideWhenUsed/>
    <w:rsid w:val="005F4A38"/>
    <w:pPr>
      <w:spacing w:after="120" w:line="276" w:lineRule="auto"/>
      <w:ind w:left="360"/>
    </w:pPr>
    <w:rPr>
      <w:rFonts w:eastAsiaTheme="minorHAnsi" w:cstheme="minorBidi"/>
      <w:sz w:val="16"/>
      <w:szCs w:val="16"/>
    </w:rPr>
  </w:style>
  <w:style w:type="character" w:customStyle="1" w:styleId="BodyTextIndent3Char">
    <w:name w:val="Body Text Indent 3 Char"/>
    <w:basedOn w:val="DefaultParagraphFont"/>
    <w:link w:val="BodyTextIndent3"/>
    <w:uiPriority w:val="99"/>
    <w:rsid w:val="005F4A38"/>
    <w:rPr>
      <w:rFonts w:cstheme="minorBidi"/>
      <w:sz w:val="16"/>
      <w:szCs w:val="16"/>
    </w:rPr>
  </w:style>
  <w:style w:type="paragraph" w:styleId="EndnoteText">
    <w:name w:val="endnote text"/>
    <w:basedOn w:val="Normal"/>
    <w:link w:val="EndnoteTextChar"/>
    <w:uiPriority w:val="99"/>
    <w:semiHidden/>
    <w:unhideWhenUsed/>
    <w:rsid w:val="005F4A38"/>
    <w:rPr>
      <w:rFonts w:eastAsiaTheme="minorHAnsi" w:cstheme="minorBidi"/>
      <w:sz w:val="20"/>
    </w:rPr>
  </w:style>
  <w:style w:type="character" w:customStyle="1" w:styleId="EndnoteTextChar">
    <w:name w:val="Endnote Text Char"/>
    <w:basedOn w:val="DefaultParagraphFont"/>
    <w:link w:val="EndnoteText"/>
    <w:uiPriority w:val="99"/>
    <w:semiHidden/>
    <w:rsid w:val="005F4A38"/>
    <w:rPr>
      <w:rFonts w:cstheme="minorBidi"/>
      <w:sz w:val="20"/>
      <w:szCs w:val="20"/>
    </w:rPr>
  </w:style>
  <w:style w:type="character" w:styleId="EndnoteReference">
    <w:name w:val="endnote reference"/>
    <w:basedOn w:val="DefaultParagraphFont"/>
    <w:uiPriority w:val="99"/>
    <w:semiHidden/>
    <w:unhideWhenUsed/>
    <w:rsid w:val="005F4A38"/>
    <w:rPr>
      <w:vertAlign w:val="superscript"/>
    </w:rPr>
  </w:style>
  <w:style w:type="character" w:styleId="CommentReference">
    <w:name w:val="annotation reference"/>
    <w:basedOn w:val="DefaultParagraphFont"/>
    <w:uiPriority w:val="99"/>
    <w:semiHidden/>
    <w:unhideWhenUsed/>
    <w:rsid w:val="005F4A38"/>
    <w:rPr>
      <w:sz w:val="16"/>
      <w:szCs w:val="16"/>
    </w:rPr>
  </w:style>
  <w:style w:type="paragraph" w:styleId="BalloonText">
    <w:name w:val="Balloon Text"/>
    <w:basedOn w:val="Normal"/>
    <w:link w:val="BalloonTextChar"/>
    <w:uiPriority w:val="99"/>
    <w:semiHidden/>
    <w:unhideWhenUsed/>
    <w:rsid w:val="005F4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A38"/>
    <w:rPr>
      <w:rFonts w:ascii="Segoe UI" w:eastAsia="Times New Roman" w:hAnsi="Segoe UI" w:cs="Segoe UI"/>
      <w:sz w:val="18"/>
      <w:szCs w:val="18"/>
    </w:rPr>
  </w:style>
  <w:style w:type="paragraph" w:styleId="ListParagraph">
    <w:name w:val="List Paragraph"/>
    <w:basedOn w:val="Normal"/>
    <w:uiPriority w:val="34"/>
    <w:qFormat/>
    <w:rsid w:val="00024343"/>
    <w:pPr>
      <w:ind w:left="720"/>
      <w:contextualSpacing/>
    </w:pPr>
  </w:style>
  <w:style w:type="paragraph" w:styleId="Header">
    <w:name w:val="header"/>
    <w:basedOn w:val="Normal"/>
    <w:link w:val="HeaderChar"/>
    <w:uiPriority w:val="99"/>
    <w:unhideWhenUsed/>
    <w:rsid w:val="001D76B9"/>
    <w:pPr>
      <w:tabs>
        <w:tab w:val="center" w:pos="4680"/>
        <w:tab w:val="right" w:pos="9360"/>
      </w:tabs>
    </w:pPr>
  </w:style>
  <w:style w:type="character" w:customStyle="1" w:styleId="HeaderChar">
    <w:name w:val="Header Char"/>
    <w:basedOn w:val="DefaultParagraphFont"/>
    <w:link w:val="Header"/>
    <w:uiPriority w:val="99"/>
    <w:rsid w:val="001D76B9"/>
    <w:rPr>
      <w:rFonts w:eastAsia="Times New Roman"/>
      <w:szCs w:val="20"/>
    </w:rPr>
  </w:style>
  <w:style w:type="paragraph" w:styleId="Footer">
    <w:name w:val="footer"/>
    <w:basedOn w:val="Normal"/>
    <w:link w:val="FooterChar"/>
    <w:uiPriority w:val="99"/>
    <w:unhideWhenUsed/>
    <w:rsid w:val="001D76B9"/>
    <w:pPr>
      <w:tabs>
        <w:tab w:val="center" w:pos="4680"/>
        <w:tab w:val="right" w:pos="9360"/>
      </w:tabs>
    </w:pPr>
  </w:style>
  <w:style w:type="character" w:customStyle="1" w:styleId="FooterChar">
    <w:name w:val="Footer Char"/>
    <w:basedOn w:val="DefaultParagraphFont"/>
    <w:link w:val="Footer"/>
    <w:uiPriority w:val="99"/>
    <w:rsid w:val="001D76B9"/>
    <w:rPr>
      <w:rFonts w:eastAsia="Times New Roman"/>
      <w:szCs w:val="20"/>
    </w:rPr>
  </w:style>
  <w:style w:type="character" w:styleId="Hyperlink">
    <w:name w:val="Hyperlink"/>
    <w:rsid w:val="000B1A9A"/>
    <w:rPr>
      <w:color w:val="0000FF"/>
      <w:u w:val="single"/>
    </w:rPr>
  </w:style>
  <w:style w:type="paragraph" w:styleId="BodyText">
    <w:name w:val="Body Text"/>
    <w:basedOn w:val="Normal"/>
    <w:link w:val="BodyTextChar"/>
    <w:uiPriority w:val="99"/>
    <w:semiHidden/>
    <w:unhideWhenUsed/>
    <w:rsid w:val="00D1576A"/>
    <w:pPr>
      <w:spacing w:after="120"/>
    </w:pPr>
  </w:style>
  <w:style w:type="character" w:customStyle="1" w:styleId="BodyTextChar">
    <w:name w:val="Body Text Char"/>
    <w:basedOn w:val="DefaultParagraphFont"/>
    <w:link w:val="BodyText"/>
    <w:uiPriority w:val="99"/>
    <w:semiHidden/>
    <w:rsid w:val="00D1576A"/>
    <w:rPr>
      <w:rFonts w:eastAsia="Times New Roman"/>
      <w:szCs w:val="20"/>
    </w:rPr>
  </w:style>
  <w:style w:type="paragraph" w:styleId="CommentSubject">
    <w:name w:val="annotation subject"/>
    <w:basedOn w:val="CommentText"/>
    <w:next w:val="CommentText"/>
    <w:link w:val="CommentSubjectChar"/>
    <w:semiHidden/>
    <w:unhideWhenUsed/>
    <w:rsid w:val="000E514D"/>
    <w:rPr>
      <w:b/>
      <w:bCs/>
    </w:rPr>
  </w:style>
  <w:style w:type="character" w:customStyle="1" w:styleId="CommentSubjectChar">
    <w:name w:val="Comment Subject Char"/>
    <w:basedOn w:val="CommentTextChar"/>
    <w:link w:val="CommentSubject"/>
    <w:semiHidden/>
    <w:rsid w:val="000E514D"/>
    <w:rPr>
      <w:rFonts w:eastAsia="Times New Roman"/>
      <w:b/>
      <w:bCs/>
      <w:sz w:val="20"/>
      <w:szCs w:val="20"/>
    </w:rPr>
  </w:style>
  <w:style w:type="character" w:customStyle="1" w:styleId="Heading2Char">
    <w:name w:val="Heading 2 Char"/>
    <w:basedOn w:val="DefaultParagraphFont"/>
    <w:link w:val="Heading2"/>
    <w:uiPriority w:val="9"/>
    <w:rsid w:val="00FB3058"/>
    <w:rPr>
      <w:rFonts w:ascii="Times New Roman Bold" w:hAnsi="Times New Roman Bold" w:eastAsiaTheme="majorEastAsia" w:cstheme="majorBidi"/>
      <w:b/>
      <w:szCs w:val="26"/>
    </w:rPr>
  </w:style>
  <w:style w:type="character" w:customStyle="1" w:styleId="Heading1Char">
    <w:name w:val="Heading 1 Char"/>
    <w:basedOn w:val="DefaultParagraphFont"/>
    <w:link w:val="Heading1"/>
    <w:uiPriority w:val="9"/>
    <w:rsid w:val="009018B4"/>
    <w:rPr>
      <w:rFonts w:ascii="Times New Roman Bold" w:hAnsi="Times New Roman Bold" w:cstheme="majorBidi"/>
      <w:b/>
      <w:caps/>
      <w:szCs w:val="32"/>
    </w:rPr>
  </w:style>
  <w:style w:type="paragraph" w:styleId="TOC1">
    <w:name w:val="toc 1"/>
    <w:basedOn w:val="Normal"/>
    <w:next w:val="Normal"/>
    <w:autoRedefine/>
    <w:uiPriority w:val="39"/>
    <w:unhideWhenUsed/>
    <w:qFormat/>
    <w:rsid w:val="00B63D23"/>
    <w:pPr>
      <w:tabs>
        <w:tab w:val="decimal" w:leader="dot" w:pos="9360"/>
      </w:tabs>
      <w:spacing w:after="240"/>
      <w:ind w:left="720" w:hanging="720"/>
      <w:outlineLvl w:val="0"/>
    </w:pPr>
    <w:rPr>
      <w:caps/>
    </w:rPr>
  </w:style>
  <w:style w:type="paragraph" w:styleId="TOC2">
    <w:name w:val="toc 2"/>
    <w:basedOn w:val="Normal"/>
    <w:next w:val="Normal"/>
    <w:autoRedefine/>
    <w:uiPriority w:val="39"/>
    <w:unhideWhenUsed/>
    <w:qFormat/>
    <w:rsid w:val="00B63D23"/>
    <w:pPr>
      <w:tabs>
        <w:tab w:val="decimal" w:leader="dot" w:pos="9360"/>
      </w:tabs>
      <w:spacing w:after="240"/>
      <w:ind w:left="1440" w:hanging="720"/>
    </w:pPr>
  </w:style>
  <w:style w:type="paragraph" w:styleId="NormalWeb">
    <w:name w:val="Normal (Web)"/>
    <w:basedOn w:val="Normal"/>
    <w:uiPriority w:val="99"/>
    <w:semiHidden/>
    <w:unhideWhenUsed/>
    <w:rsid w:val="00142CC0"/>
    <w:pPr>
      <w:spacing w:before="100" w:beforeAutospacing="1" w:after="100" w:afterAutospacing="1"/>
    </w:pPr>
    <w:rPr>
      <w:szCs w:val="24"/>
    </w:rPr>
  </w:style>
  <w:style w:type="character" w:customStyle="1" w:styleId="UnresolvedMention1">
    <w:name w:val="Unresolved Mention1"/>
    <w:basedOn w:val="DefaultParagraphFont"/>
    <w:uiPriority w:val="99"/>
    <w:rsid w:val="00FB3058"/>
    <w:rPr>
      <w:color w:val="605E5C"/>
      <w:shd w:val="clear" w:color="auto" w:fill="E1DFDD"/>
    </w:rPr>
  </w:style>
  <w:style w:type="paragraph" w:styleId="Revision">
    <w:name w:val="Revision"/>
    <w:hidden/>
    <w:uiPriority w:val="99"/>
    <w:semiHidden/>
    <w:rsid w:val="00AC3F92"/>
    <w:pPr>
      <w:spacing w:after="0" w:line="240" w:lineRule="auto"/>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jsettineri@vorys.com" TargetMode="External" /><Relationship Id="rId11" Type="http://schemas.openxmlformats.org/officeDocument/2006/relationships/hyperlink" Target="mailto:ibatikov@vorys.com" TargetMode="External" /><Relationship Id="rId12" Type="http://schemas.openxmlformats.org/officeDocument/2006/relationships/hyperlink" Target="mailto:apguran@vorys.com" TargetMode="External" /><Relationship Id="rId13" Type="http://schemas.openxmlformats.org/officeDocument/2006/relationships/hyperlink" Target="mailto:David.hicks@puco.ohio.gov" TargetMode="External" /><Relationship Id="rId14" Type="http://schemas.openxmlformats.org/officeDocument/2006/relationships/hyperlink" Target="mailto:Matthew.Sandor@puco.ohio.gov" TargetMode="External" /><Relationship Id="rId15" Type="http://schemas.openxmlformats.org/officeDocument/2006/relationships/hyperlink" Target="mailto:stnourse@aep.com" TargetMode="External" /><Relationship Id="rId16" Type="http://schemas.openxmlformats.org/officeDocument/2006/relationships/hyperlink" Target="mailto:matthew@msmckenzieltd.com" TargetMode="Externa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angela.obrien@occ.ohio.gov" TargetMode="External" /><Relationship Id="rId8" Type="http://schemas.openxmlformats.org/officeDocument/2006/relationships/hyperlink" Target="mailto:william.michael@occ.ohio.gov" TargetMode="External" /><Relationship Id="rId9" Type="http://schemas.openxmlformats.org/officeDocument/2006/relationships/hyperlink" Target="mailto:John.jones@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40850-7332-4BE2-96FF-C69BF815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Draft MC NEP Mot. Prot. Order - 21-990.docx (djd) _ls v3__.docx  -  Read-Only.docx</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2021-12-09T21:04:27Z</dcterms:created>
  <dcterms:modified xsi:type="dcterms:W3CDTF">2021-12-09T21:04:27Z</dcterms:modified>
</cp:coreProperties>
</file>