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A9D966" w14:textId="77777777" w:rsidR="000E73B4" w:rsidRDefault="00813472" w:rsidP="00813472">
      <w:pPr>
        <w:spacing w:after="0" w:line="240" w:lineRule="auto"/>
        <w:jc w:val="center"/>
        <w:rPr>
          <w:rFonts w:cs="Times New Roman"/>
          <w:b/>
          <w:sz w:val="26"/>
          <w:szCs w:val="26"/>
        </w:rPr>
      </w:pPr>
      <w:bookmarkStart w:id="0" w:name="_GoBack"/>
      <w:bookmarkEnd w:id="0"/>
      <w:r w:rsidRPr="00CD42AF">
        <w:rPr>
          <w:rFonts w:cs="Times New Roman"/>
          <w:b/>
          <w:sz w:val="26"/>
          <w:szCs w:val="26"/>
        </w:rPr>
        <w:t>BEFORE</w:t>
      </w:r>
    </w:p>
    <w:p w14:paraId="1F0606F5" w14:textId="77777777" w:rsidR="00813472" w:rsidRPr="00CD42AF" w:rsidRDefault="00813472" w:rsidP="00813472">
      <w:pPr>
        <w:spacing w:after="0" w:line="240" w:lineRule="auto"/>
        <w:jc w:val="center"/>
        <w:rPr>
          <w:rFonts w:cs="Times New Roman"/>
          <w:b/>
          <w:sz w:val="26"/>
          <w:szCs w:val="26"/>
        </w:rPr>
      </w:pPr>
      <w:r w:rsidRPr="00CD42AF">
        <w:rPr>
          <w:rFonts w:cs="Times New Roman"/>
          <w:b/>
          <w:sz w:val="26"/>
          <w:szCs w:val="26"/>
        </w:rPr>
        <w:t>THE PUBLIC UTILITIES COMMISSION OF OHIO</w:t>
      </w:r>
    </w:p>
    <w:p w14:paraId="4545A3DE" w14:textId="77777777" w:rsidR="00813472" w:rsidRPr="00CD42AF" w:rsidRDefault="00813472" w:rsidP="00813472">
      <w:pPr>
        <w:rPr>
          <w:rFonts w:cs="Times New Roman"/>
          <w:sz w:val="26"/>
          <w:szCs w:val="26"/>
        </w:rPr>
      </w:pPr>
    </w:p>
    <w:tbl>
      <w:tblPr>
        <w:tblW w:w="8762" w:type="dxa"/>
        <w:tblLook w:val="04A0" w:firstRow="1" w:lastRow="0" w:firstColumn="1" w:lastColumn="0" w:noHBand="0" w:noVBand="1"/>
      </w:tblPr>
      <w:tblGrid>
        <w:gridCol w:w="4518"/>
        <w:gridCol w:w="360"/>
        <w:gridCol w:w="3884"/>
      </w:tblGrid>
      <w:tr w:rsidR="00813472" w:rsidRPr="00CD42AF" w14:paraId="76162CBA" w14:textId="77777777" w:rsidTr="000E73B4">
        <w:tc>
          <w:tcPr>
            <w:tcW w:w="4518" w:type="dxa"/>
            <w:shd w:val="clear" w:color="auto" w:fill="auto"/>
          </w:tcPr>
          <w:p w14:paraId="1BAC64B3" w14:textId="26C06F26" w:rsidR="00813472" w:rsidRPr="0036080A" w:rsidRDefault="00813472" w:rsidP="008D6B61">
            <w:pPr>
              <w:spacing w:after="0" w:line="240" w:lineRule="auto"/>
              <w:rPr>
                <w:rFonts w:cs="Times New Roman"/>
                <w:sz w:val="26"/>
                <w:szCs w:val="26"/>
              </w:rPr>
            </w:pPr>
            <w:r w:rsidRPr="0036080A">
              <w:rPr>
                <w:rFonts w:cs="Times New Roman"/>
                <w:sz w:val="26"/>
                <w:szCs w:val="26"/>
              </w:rPr>
              <w:t xml:space="preserve">In the Matter of the Application of Columbia Gas of Ohio, Inc., for </w:t>
            </w:r>
            <w:r w:rsidR="007174B3" w:rsidRPr="0036080A">
              <w:rPr>
                <w:rFonts w:cs="Times New Roman"/>
                <w:sz w:val="26"/>
                <w:szCs w:val="26"/>
              </w:rPr>
              <w:t>A</w:t>
            </w:r>
            <w:r w:rsidR="007174B3">
              <w:rPr>
                <w:rFonts w:cs="Times New Roman"/>
                <w:sz w:val="26"/>
                <w:szCs w:val="26"/>
              </w:rPr>
              <w:t xml:space="preserve">pproval </w:t>
            </w:r>
            <w:r w:rsidRPr="0036080A">
              <w:rPr>
                <w:rFonts w:cs="Times New Roman"/>
                <w:sz w:val="26"/>
                <w:szCs w:val="26"/>
              </w:rPr>
              <w:t xml:space="preserve">to </w:t>
            </w:r>
            <w:r w:rsidR="008D6B61">
              <w:rPr>
                <w:rFonts w:cs="Times New Roman"/>
                <w:sz w:val="26"/>
                <w:szCs w:val="26"/>
              </w:rPr>
              <w:t>Change Accounting Methods</w:t>
            </w:r>
            <w:r w:rsidRPr="0036080A">
              <w:rPr>
                <w:rFonts w:cs="Times New Roman"/>
                <w:sz w:val="26"/>
                <w:szCs w:val="26"/>
              </w:rPr>
              <w:t>.</w:t>
            </w:r>
          </w:p>
        </w:tc>
        <w:tc>
          <w:tcPr>
            <w:tcW w:w="360" w:type="dxa"/>
          </w:tcPr>
          <w:p w14:paraId="3F9FF3D4" w14:textId="77777777" w:rsidR="007174B3" w:rsidRPr="00CD42AF" w:rsidRDefault="000E73B4" w:rsidP="000E73B4">
            <w:pPr>
              <w:pStyle w:val="NoSpacing"/>
              <w:rPr>
                <w:rFonts w:cs="Times New Roman"/>
                <w:sz w:val="26"/>
                <w:szCs w:val="26"/>
              </w:rPr>
            </w:pPr>
            <w:r>
              <w:rPr>
                <w:rFonts w:cs="Times New Roman"/>
                <w:sz w:val="26"/>
                <w:szCs w:val="26"/>
              </w:rPr>
              <w:t>:</w:t>
            </w:r>
            <w:r>
              <w:rPr>
                <w:rFonts w:cs="Times New Roman"/>
                <w:sz w:val="26"/>
                <w:szCs w:val="26"/>
              </w:rPr>
              <w:br/>
              <w:t>:</w:t>
            </w:r>
            <w:r>
              <w:rPr>
                <w:rFonts w:cs="Times New Roman"/>
                <w:sz w:val="26"/>
                <w:szCs w:val="26"/>
              </w:rPr>
              <w:br/>
              <w:t>:</w:t>
            </w:r>
            <w:r>
              <w:rPr>
                <w:rFonts w:cs="Times New Roman"/>
                <w:sz w:val="26"/>
                <w:szCs w:val="26"/>
              </w:rPr>
              <w:br/>
              <w:t>:</w:t>
            </w:r>
            <w:r>
              <w:rPr>
                <w:rFonts w:cs="Times New Roman"/>
                <w:sz w:val="26"/>
                <w:szCs w:val="26"/>
              </w:rPr>
              <w:br/>
            </w:r>
          </w:p>
        </w:tc>
        <w:tc>
          <w:tcPr>
            <w:tcW w:w="3884" w:type="dxa"/>
            <w:shd w:val="clear" w:color="auto" w:fill="auto"/>
          </w:tcPr>
          <w:p w14:paraId="7659ECD2" w14:textId="77777777" w:rsidR="00813472" w:rsidRPr="00CD42AF" w:rsidRDefault="00813472" w:rsidP="000E73B4">
            <w:pPr>
              <w:spacing w:after="0" w:line="240" w:lineRule="auto"/>
              <w:ind w:left="-288"/>
              <w:rPr>
                <w:rFonts w:cs="Times New Roman"/>
                <w:sz w:val="26"/>
                <w:szCs w:val="26"/>
              </w:rPr>
            </w:pPr>
          </w:p>
          <w:p w14:paraId="72DF2833" w14:textId="77777777" w:rsidR="00813472" w:rsidRPr="00CD42AF" w:rsidRDefault="00813472" w:rsidP="008D6B61">
            <w:pPr>
              <w:spacing w:after="0" w:line="240" w:lineRule="auto"/>
              <w:ind w:left="72"/>
              <w:rPr>
                <w:rFonts w:cs="Times New Roman"/>
                <w:sz w:val="26"/>
                <w:szCs w:val="26"/>
              </w:rPr>
            </w:pPr>
            <w:r w:rsidRPr="00CD42AF">
              <w:rPr>
                <w:rFonts w:cs="Times New Roman"/>
                <w:sz w:val="26"/>
                <w:szCs w:val="26"/>
              </w:rPr>
              <w:t xml:space="preserve">Case No. </w:t>
            </w:r>
            <w:r w:rsidR="008D6B61">
              <w:rPr>
                <w:rFonts w:cs="Times New Roman"/>
                <w:sz w:val="26"/>
                <w:szCs w:val="26"/>
              </w:rPr>
              <w:t>14</w:t>
            </w:r>
            <w:r w:rsidR="007174B3">
              <w:rPr>
                <w:rFonts w:cs="Times New Roman"/>
                <w:sz w:val="26"/>
                <w:szCs w:val="26"/>
              </w:rPr>
              <w:t>-</w:t>
            </w:r>
            <w:r w:rsidR="008D6B61">
              <w:rPr>
                <w:rFonts w:cs="Times New Roman"/>
                <w:sz w:val="26"/>
                <w:szCs w:val="26"/>
              </w:rPr>
              <w:t>1615</w:t>
            </w:r>
            <w:r w:rsidRPr="00CD42AF">
              <w:rPr>
                <w:rFonts w:cs="Times New Roman"/>
                <w:sz w:val="26"/>
                <w:szCs w:val="26"/>
              </w:rPr>
              <w:t>-GA-</w:t>
            </w:r>
            <w:r w:rsidR="008D6B61">
              <w:rPr>
                <w:rFonts w:cs="Times New Roman"/>
                <w:sz w:val="26"/>
                <w:szCs w:val="26"/>
              </w:rPr>
              <w:t>AAM</w:t>
            </w:r>
          </w:p>
        </w:tc>
      </w:tr>
    </w:tbl>
    <w:p w14:paraId="4BBED3AE" w14:textId="77777777" w:rsidR="00813472" w:rsidRPr="00915BED" w:rsidRDefault="00915BED" w:rsidP="00915BED">
      <w:pPr>
        <w:tabs>
          <w:tab w:val="left" w:pos="9360"/>
        </w:tabs>
        <w:jc w:val="both"/>
        <w:rPr>
          <w:rFonts w:cs="Times New Roman"/>
          <w:sz w:val="26"/>
          <w:szCs w:val="26"/>
          <w:u w:val="single"/>
        </w:rPr>
      </w:pPr>
      <w:r>
        <w:rPr>
          <w:rFonts w:cs="Times New Roman"/>
          <w:sz w:val="26"/>
          <w:szCs w:val="26"/>
          <w:u w:val="single"/>
        </w:rPr>
        <w:tab/>
      </w:r>
    </w:p>
    <w:p w14:paraId="72CB9AA4" w14:textId="77777777" w:rsidR="00915BED" w:rsidRPr="009C4948" w:rsidRDefault="0056760B" w:rsidP="00813472">
      <w:pPr>
        <w:spacing w:after="0" w:line="240" w:lineRule="auto"/>
        <w:jc w:val="center"/>
        <w:rPr>
          <w:rFonts w:cs="Times New Roman"/>
          <w:b/>
          <w:sz w:val="28"/>
          <w:szCs w:val="28"/>
        </w:rPr>
      </w:pPr>
      <w:r>
        <w:rPr>
          <w:rFonts w:cs="Times New Roman"/>
          <w:b/>
          <w:sz w:val="28"/>
          <w:szCs w:val="28"/>
        </w:rPr>
        <w:t>COMMENTS</w:t>
      </w:r>
      <w:r w:rsidRPr="009C4948">
        <w:rPr>
          <w:rFonts w:cs="Times New Roman"/>
          <w:b/>
          <w:sz w:val="28"/>
          <w:szCs w:val="28"/>
        </w:rPr>
        <w:t xml:space="preserve"> </w:t>
      </w:r>
    </w:p>
    <w:p w14:paraId="07F87D05" w14:textId="77777777" w:rsidR="00813472" w:rsidRPr="00CD42AF" w:rsidRDefault="00813472" w:rsidP="00813472">
      <w:pPr>
        <w:spacing w:after="0" w:line="240" w:lineRule="auto"/>
        <w:jc w:val="center"/>
        <w:rPr>
          <w:rFonts w:cs="Times New Roman"/>
          <w:b/>
          <w:sz w:val="26"/>
          <w:szCs w:val="26"/>
        </w:rPr>
      </w:pPr>
      <w:r w:rsidRPr="00CD42AF">
        <w:rPr>
          <w:rFonts w:cs="Times New Roman"/>
          <w:b/>
          <w:sz w:val="26"/>
          <w:szCs w:val="26"/>
        </w:rPr>
        <w:t>SUBMITTED ON BEHALF OF</w:t>
      </w:r>
      <w:r w:rsidR="00654A33">
        <w:rPr>
          <w:rFonts w:cs="Times New Roman"/>
          <w:b/>
          <w:sz w:val="26"/>
          <w:szCs w:val="26"/>
        </w:rPr>
        <w:t xml:space="preserve"> THE STAFF OF</w:t>
      </w:r>
    </w:p>
    <w:p w14:paraId="62E0CA9B" w14:textId="77777777" w:rsidR="00813472" w:rsidRPr="00CD42AF" w:rsidRDefault="00813472" w:rsidP="00813472">
      <w:pPr>
        <w:spacing w:after="0" w:line="240" w:lineRule="auto"/>
        <w:jc w:val="center"/>
        <w:rPr>
          <w:rFonts w:cs="Times New Roman"/>
          <w:sz w:val="26"/>
          <w:szCs w:val="26"/>
        </w:rPr>
      </w:pPr>
      <w:r w:rsidRPr="00CD42AF">
        <w:rPr>
          <w:rFonts w:cs="Times New Roman"/>
          <w:b/>
          <w:sz w:val="26"/>
          <w:szCs w:val="26"/>
        </w:rPr>
        <w:t>THE PUBLIC UTILITIES COMMISSION OF OHIO</w:t>
      </w:r>
    </w:p>
    <w:p w14:paraId="64C99970" w14:textId="77777777" w:rsidR="00915BED" w:rsidRPr="00915BED" w:rsidRDefault="00915BED" w:rsidP="00915BED">
      <w:pPr>
        <w:tabs>
          <w:tab w:val="left" w:pos="9360"/>
        </w:tabs>
        <w:jc w:val="both"/>
        <w:rPr>
          <w:rFonts w:cs="Times New Roman"/>
          <w:sz w:val="26"/>
          <w:szCs w:val="26"/>
          <w:u w:val="single"/>
        </w:rPr>
      </w:pPr>
      <w:r>
        <w:rPr>
          <w:rFonts w:cs="Times New Roman"/>
          <w:sz w:val="26"/>
          <w:szCs w:val="26"/>
          <w:u w:val="single"/>
        </w:rPr>
        <w:tab/>
      </w:r>
    </w:p>
    <w:p w14:paraId="25104491" w14:textId="77777777" w:rsidR="002B0FA8" w:rsidRDefault="002B0FA8" w:rsidP="002B0FA8">
      <w:pPr>
        <w:pStyle w:val="NoSpacing"/>
      </w:pPr>
    </w:p>
    <w:p w14:paraId="7C233135" w14:textId="77777777" w:rsidR="002B0FA8" w:rsidRDefault="002B0FA8" w:rsidP="002B0FA8">
      <w:pPr>
        <w:pStyle w:val="NoSpacing"/>
      </w:pPr>
    </w:p>
    <w:p w14:paraId="6D23C9D8" w14:textId="77777777" w:rsidR="008D6B61" w:rsidRDefault="008D6B61" w:rsidP="002B0FA8">
      <w:pPr>
        <w:pStyle w:val="NoSpacing"/>
      </w:pPr>
    </w:p>
    <w:p w14:paraId="11034C99" w14:textId="77777777" w:rsidR="008D6B61" w:rsidRDefault="008D6B61" w:rsidP="002B0FA8">
      <w:pPr>
        <w:pStyle w:val="NoSpacing"/>
      </w:pPr>
    </w:p>
    <w:p w14:paraId="469E3710" w14:textId="77777777" w:rsidR="008D6B61" w:rsidRPr="002B0FA8" w:rsidRDefault="008D6B61" w:rsidP="002B0FA8">
      <w:pPr>
        <w:pStyle w:val="NoSpacing"/>
      </w:pPr>
    </w:p>
    <w:p w14:paraId="3EB34478" w14:textId="77777777" w:rsidR="00813472" w:rsidRPr="00981682" w:rsidRDefault="00813472" w:rsidP="000E73B4">
      <w:pPr>
        <w:pStyle w:val="text"/>
        <w:ind w:left="4320"/>
        <w:rPr>
          <w:b/>
          <w:szCs w:val="26"/>
        </w:rPr>
      </w:pPr>
      <w:r w:rsidRPr="00981682">
        <w:rPr>
          <w:b/>
          <w:szCs w:val="26"/>
        </w:rPr>
        <w:t xml:space="preserve">Michael DeWine </w:t>
      </w:r>
    </w:p>
    <w:p w14:paraId="7E567965" w14:textId="77777777" w:rsidR="00813472" w:rsidRPr="00981682" w:rsidRDefault="002B0FA8" w:rsidP="000E73B4">
      <w:pPr>
        <w:pStyle w:val="text"/>
        <w:ind w:left="4320"/>
        <w:rPr>
          <w:szCs w:val="26"/>
        </w:rPr>
      </w:pPr>
      <w:r w:rsidRPr="00981682">
        <w:rPr>
          <w:szCs w:val="26"/>
        </w:rPr>
        <w:t xml:space="preserve">Ohio </w:t>
      </w:r>
      <w:r w:rsidR="00813472" w:rsidRPr="00981682">
        <w:rPr>
          <w:szCs w:val="26"/>
        </w:rPr>
        <w:t>Attorney General</w:t>
      </w:r>
    </w:p>
    <w:p w14:paraId="567C14AC" w14:textId="77777777" w:rsidR="00813472" w:rsidRPr="00981682" w:rsidRDefault="00813472" w:rsidP="000E73B4">
      <w:pPr>
        <w:pStyle w:val="text"/>
        <w:ind w:left="4320"/>
        <w:rPr>
          <w:szCs w:val="26"/>
        </w:rPr>
      </w:pPr>
    </w:p>
    <w:p w14:paraId="7131E36C" w14:textId="77777777" w:rsidR="002B0FA8" w:rsidRPr="00981682" w:rsidRDefault="002B0FA8" w:rsidP="000E73B4">
      <w:pPr>
        <w:pStyle w:val="text"/>
        <w:ind w:left="4320"/>
        <w:rPr>
          <w:szCs w:val="26"/>
        </w:rPr>
      </w:pPr>
      <w:r w:rsidRPr="00981682">
        <w:rPr>
          <w:b/>
          <w:szCs w:val="26"/>
        </w:rPr>
        <w:t>William L. Wright</w:t>
      </w:r>
    </w:p>
    <w:p w14:paraId="21EE9761" w14:textId="77777777" w:rsidR="00813472" w:rsidRPr="00981682" w:rsidRDefault="00813472" w:rsidP="000E73B4">
      <w:pPr>
        <w:pStyle w:val="text"/>
        <w:ind w:left="4320"/>
        <w:rPr>
          <w:b/>
          <w:szCs w:val="26"/>
        </w:rPr>
      </w:pPr>
      <w:r w:rsidRPr="00981682">
        <w:rPr>
          <w:szCs w:val="26"/>
        </w:rPr>
        <w:lastRenderedPageBreak/>
        <w:t>Section Chief</w:t>
      </w:r>
    </w:p>
    <w:p w14:paraId="59322281" w14:textId="77777777" w:rsidR="00813472" w:rsidRPr="00981682" w:rsidRDefault="00813472" w:rsidP="000E73B4">
      <w:pPr>
        <w:pStyle w:val="text"/>
        <w:ind w:left="4320"/>
        <w:rPr>
          <w:szCs w:val="26"/>
        </w:rPr>
      </w:pPr>
    </w:p>
    <w:p w14:paraId="73628687" w14:textId="77777777" w:rsidR="00813472" w:rsidRPr="00981682" w:rsidRDefault="00981682" w:rsidP="000E73B4">
      <w:pPr>
        <w:pStyle w:val="text"/>
        <w:ind w:left="4320"/>
        <w:rPr>
          <w:b/>
          <w:szCs w:val="26"/>
        </w:rPr>
      </w:pPr>
      <w:r w:rsidRPr="00981682">
        <w:rPr>
          <w:b/>
          <w:szCs w:val="26"/>
        </w:rPr>
        <w:t>Katie L. Johnson</w:t>
      </w:r>
    </w:p>
    <w:p w14:paraId="25CFD6D1" w14:textId="77777777" w:rsidR="00813472" w:rsidRPr="00981682" w:rsidRDefault="00643B5F" w:rsidP="000E73B4">
      <w:pPr>
        <w:pStyle w:val="text"/>
        <w:ind w:left="4320"/>
        <w:rPr>
          <w:szCs w:val="26"/>
        </w:rPr>
      </w:pPr>
      <w:r w:rsidRPr="00981682">
        <w:rPr>
          <w:szCs w:val="26"/>
        </w:rPr>
        <w:t>Assistant Attorney</w:t>
      </w:r>
      <w:r w:rsidR="00813472" w:rsidRPr="00981682">
        <w:rPr>
          <w:szCs w:val="26"/>
        </w:rPr>
        <w:t xml:space="preserve"> General</w:t>
      </w:r>
    </w:p>
    <w:p w14:paraId="3170C773" w14:textId="77777777" w:rsidR="00813472" w:rsidRPr="00981682" w:rsidRDefault="00813472" w:rsidP="000E73B4">
      <w:pPr>
        <w:pStyle w:val="text"/>
        <w:ind w:left="4320"/>
        <w:rPr>
          <w:szCs w:val="26"/>
        </w:rPr>
      </w:pPr>
      <w:r w:rsidRPr="00981682">
        <w:rPr>
          <w:szCs w:val="26"/>
        </w:rPr>
        <w:t>Public Utilities Section</w:t>
      </w:r>
    </w:p>
    <w:p w14:paraId="4EA0511B" w14:textId="77777777" w:rsidR="00813472" w:rsidRPr="00981682" w:rsidRDefault="00813472" w:rsidP="000E73B4">
      <w:pPr>
        <w:pStyle w:val="text"/>
        <w:ind w:left="4320"/>
        <w:rPr>
          <w:szCs w:val="26"/>
        </w:rPr>
      </w:pPr>
      <w:r w:rsidRPr="00981682">
        <w:rPr>
          <w:szCs w:val="26"/>
        </w:rPr>
        <w:t>180 East Broad Street, 6</w:t>
      </w:r>
      <w:r w:rsidRPr="00981682">
        <w:rPr>
          <w:szCs w:val="26"/>
          <w:vertAlign w:val="superscript"/>
        </w:rPr>
        <w:t>th</w:t>
      </w:r>
      <w:r w:rsidRPr="00981682">
        <w:rPr>
          <w:szCs w:val="26"/>
        </w:rPr>
        <w:t xml:space="preserve"> Fl. </w:t>
      </w:r>
    </w:p>
    <w:p w14:paraId="775459D6" w14:textId="77777777" w:rsidR="00813472" w:rsidRPr="00981682" w:rsidRDefault="00813472" w:rsidP="000E73B4">
      <w:pPr>
        <w:pStyle w:val="text"/>
        <w:ind w:left="4320"/>
        <w:rPr>
          <w:szCs w:val="26"/>
        </w:rPr>
      </w:pPr>
      <w:r w:rsidRPr="00981682">
        <w:rPr>
          <w:szCs w:val="26"/>
        </w:rPr>
        <w:t xml:space="preserve">Columbus, </w:t>
      </w:r>
      <w:r w:rsidR="002B0FA8" w:rsidRPr="00981682">
        <w:rPr>
          <w:szCs w:val="26"/>
        </w:rPr>
        <w:t>OH</w:t>
      </w:r>
      <w:r w:rsidRPr="00981682">
        <w:rPr>
          <w:szCs w:val="26"/>
        </w:rPr>
        <w:t xml:space="preserve">  43215</w:t>
      </w:r>
    </w:p>
    <w:p w14:paraId="7A076F8F" w14:textId="77777777" w:rsidR="00813472" w:rsidRPr="00981682" w:rsidRDefault="002B0FA8" w:rsidP="000E73B4">
      <w:pPr>
        <w:pStyle w:val="text"/>
        <w:ind w:left="4320"/>
        <w:rPr>
          <w:szCs w:val="26"/>
        </w:rPr>
      </w:pPr>
      <w:r w:rsidRPr="00981682">
        <w:rPr>
          <w:szCs w:val="26"/>
        </w:rPr>
        <w:t>614.466.4395 (telephone)</w:t>
      </w:r>
    </w:p>
    <w:p w14:paraId="0A4FB4DE" w14:textId="77777777" w:rsidR="00813472" w:rsidRPr="00981682" w:rsidRDefault="002B0FA8" w:rsidP="000E73B4">
      <w:pPr>
        <w:spacing w:after="0" w:line="240" w:lineRule="auto"/>
        <w:ind w:left="4320"/>
        <w:jc w:val="both"/>
        <w:rPr>
          <w:rFonts w:cs="Times New Roman"/>
          <w:sz w:val="26"/>
          <w:szCs w:val="26"/>
        </w:rPr>
      </w:pPr>
      <w:r w:rsidRPr="00981682">
        <w:rPr>
          <w:rFonts w:cs="Times New Roman"/>
          <w:sz w:val="26"/>
          <w:szCs w:val="26"/>
        </w:rPr>
        <w:t>614.644.8764 (fax)</w:t>
      </w:r>
    </w:p>
    <w:p w14:paraId="2EDA5C20" w14:textId="77777777" w:rsidR="00813472" w:rsidRDefault="000D1B1F" w:rsidP="000E73B4">
      <w:pPr>
        <w:spacing w:after="0" w:line="240" w:lineRule="auto"/>
        <w:ind w:left="4320"/>
        <w:jc w:val="both"/>
        <w:rPr>
          <w:rFonts w:cs="Times New Roman"/>
          <w:sz w:val="26"/>
          <w:szCs w:val="26"/>
        </w:rPr>
      </w:pPr>
      <w:hyperlink r:id="rId8" w:history="1">
        <w:r w:rsidR="00981682" w:rsidRPr="00981682">
          <w:rPr>
            <w:rStyle w:val="Hyperlink"/>
            <w:rFonts w:cs="Times New Roman"/>
            <w:sz w:val="26"/>
            <w:szCs w:val="26"/>
          </w:rPr>
          <w:t>katie.johnson@puc.state.oh.us</w:t>
        </w:r>
      </w:hyperlink>
    </w:p>
    <w:p w14:paraId="0A0D094D" w14:textId="77777777" w:rsidR="00915BED" w:rsidRDefault="00915BED" w:rsidP="00915BED">
      <w:pPr>
        <w:pStyle w:val="NoSpacing"/>
      </w:pPr>
    </w:p>
    <w:p w14:paraId="312A8200" w14:textId="77777777" w:rsidR="000E73B4" w:rsidRDefault="000E73B4" w:rsidP="000E73B4">
      <w:pPr>
        <w:pStyle w:val="NoSpacing"/>
      </w:pPr>
    </w:p>
    <w:p w14:paraId="46CA083A" w14:textId="77777777" w:rsidR="004B3408" w:rsidRDefault="004B3408" w:rsidP="000E73B4">
      <w:pPr>
        <w:pStyle w:val="NoSpacing"/>
      </w:pPr>
    </w:p>
    <w:p w14:paraId="4FAA64D2" w14:textId="77777777" w:rsidR="004B3408" w:rsidRDefault="004B3408" w:rsidP="000E73B4">
      <w:pPr>
        <w:pStyle w:val="NoSpacing"/>
      </w:pPr>
    </w:p>
    <w:p w14:paraId="56EABEA1" w14:textId="77777777" w:rsidR="00981682" w:rsidRDefault="00981682" w:rsidP="000E73B4">
      <w:pPr>
        <w:pStyle w:val="NoSpacing"/>
      </w:pPr>
    </w:p>
    <w:p w14:paraId="06A00760" w14:textId="77777777" w:rsidR="00981682" w:rsidRDefault="00981682" w:rsidP="000E73B4">
      <w:pPr>
        <w:pStyle w:val="NoSpacing"/>
      </w:pPr>
    </w:p>
    <w:p w14:paraId="44479C08" w14:textId="77777777" w:rsidR="00981682" w:rsidRDefault="00981682" w:rsidP="000E73B4">
      <w:pPr>
        <w:pStyle w:val="NoSpacing"/>
      </w:pPr>
    </w:p>
    <w:p w14:paraId="0A39B48E" w14:textId="77777777" w:rsidR="004B3408" w:rsidRPr="000E73B4" w:rsidRDefault="004B3408" w:rsidP="000E73B4">
      <w:pPr>
        <w:pStyle w:val="NoSpacing"/>
      </w:pPr>
    </w:p>
    <w:p w14:paraId="62D0504D" w14:textId="77777777" w:rsidR="00813472" w:rsidRPr="00CD42AF" w:rsidRDefault="00813472" w:rsidP="00CD42AF">
      <w:pPr>
        <w:jc w:val="both"/>
        <w:rPr>
          <w:rFonts w:cs="Times New Roman"/>
          <w:sz w:val="26"/>
          <w:szCs w:val="26"/>
        </w:rPr>
      </w:pPr>
      <w:r w:rsidRPr="00CD42AF">
        <w:rPr>
          <w:rFonts w:cs="Times New Roman"/>
          <w:sz w:val="26"/>
          <w:szCs w:val="26"/>
        </w:rPr>
        <w:t xml:space="preserve">Date Submitted: </w:t>
      </w:r>
      <w:r w:rsidR="008D6B61">
        <w:rPr>
          <w:rFonts w:cs="Times New Roman"/>
          <w:sz w:val="26"/>
          <w:szCs w:val="26"/>
        </w:rPr>
        <w:t>November</w:t>
      </w:r>
      <w:r w:rsidR="007174B3">
        <w:rPr>
          <w:rFonts w:cs="Times New Roman"/>
          <w:sz w:val="26"/>
          <w:szCs w:val="26"/>
        </w:rPr>
        <w:t xml:space="preserve"> 17</w:t>
      </w:r>
      <w:r w:rsidR="00CD42AF" w:rsidRPr="00CD42AF">
        <w:rPr>
          <w:rFonts w:cs="Times New Roman"/>
          <w:sz w:val="26"/>
          <w:szCs w:val="26"/>
        </w:rPr>
        <w:t>, 201</w:t>
      </w:r>
      <w:r w:rsidR="008D6B61">
        <w:rPr>
          <w:rFonts w:cs="Times New Roman"/>
          <w:sz w:val="26"/>
          <w:szCs w:val="26"/>
        </w:rPr>
        <w:t>4</w:t>
      </w:r>
    </w:p>
    <w:p w14:paraId="6CA573F6" w14:textId="77777777" w:rsidR="00CD42AF" w:rsidRPr="00CD42AF" w:rsidRDefault="00CD42AF">
      <w:pPr>
        <w:rPr>
          <w:rFonts w:cs="Times New Roman"/>
          <w:sz w:val="26"/>
          <w:szCs w:val="26"/>
        </w:rPr>
        <w:sectPr w:rsidR="00CD42AF" w:rsidRPr="00CD42AF" w:rsidSect="00B65AD5">
          <w:footerReference w:type="default" r:id="rId9"/>
          <w:pgSz w:w="12240" w:h="15840"/>
          <w:pgMar w:top="1440" w:right="1440" w:bottom="1440" w:left="1440" w:header="720" w:footer="720" w:gutter="0"/>
          <w:cols w:space="720"/>
          <w:titlePg/>
          <w:docGrid w:linePitch="360"/>
        </w:sectPr>
      </w:pPr>
    </w:p>
    <w:p w14:paraId="225E83FA" w14:textId="77777777" w:rsidR="00C46614" w:rsidRDefault="0059084C">
      <w:pPr>
        <w:pStyle w:val="TOC1"/>
        <w:rPr>
          <w:rFonts w:asciiTheme="minorHAnsi" w:eastAsiaTheme="minorEastAsia" w:hAnsiTheme="minorHAnsi"/>
          <w:noProof/>
          <w:sz w:val="22"/>
        </w:rPr>
      </w:pPr>
      <w:r>
        <w:rPr>
          <w:rFonts w:cs="Times New Roman"/>
          <w:b/>
          <w:szCs w:val="26"/>
        </w:rPr>
        <w:lastRenderedPageBreak/>
        <w:fldChar w:fldCharType="begin"/>
      </w:r>
      <w:r>
        <w:rPr>
          <w:rFonts w:cs="Times New Roman"/>
          <w:b/>
          <w:szCs w:val="26"/>
        </w:rPr>
        <w:instrText xml:space="preserve"> TOC \o "1-5" \u </w:instrText>
      </w:r>
      <w:r>
        <w:rPr>
          <w:rFonts w:cs="Times New Roman"/>
          <w:b/>
          <w:szCs w:val="26"/>
        </w:rPr>
        <w:fldChar w:fldCharType="separate"/>
      </w:r>
      <w:r w:rsidR="00C46614">
        <w:rPr>
          <w:noProof/>
        </w:rPr>
        <w:t>INTRODUCTION AND BACKGROUND</w:t>
      </w:r>
      <w:r w:rsidR="00C46614">
        <w:rPr>
          <w:noProof/>
        </w:rPr>
        <w:tab/>
      </w:r>
      <w:r w:rsidR="00C46614">
        <w:rPr>
          <w:noProof/>
        </w:rPr>
        <w:fldChar w:fldCharType="begin"/>
      </w:r>
      <w:r w:rsidR="00C46614">
        <w:rPr>
          <w:noProof/>
        </w:rPr>
        <w:instrText xml:space="preserve"> PAGEREF _Toc403739273 \h </w:instrText>
      </w:r>
      <w:r w:rsidR="00C46614">
        <w:rPr>
          <w:noProof/>
        </w:rPr>
      </w:r>
      <w:r w:rsidR="00C46614">
        <w:rPr>
          <w:noProof/>
        </w:rPr>
        <w:fldChar w:fldCharType="separate"/>
      </w:r>
      <w:r w:rsidR="00760738">
        <w:rPr>
          <w:noProof/>
        </w:rPr>
        <w:t>1</w:t>
      </w:r>
      <w:r w:rsidR="00C46614">
        <w:rPr>
          <w:noProof/>
        </w:rPr>
        <w:fldChar w:fldCharType="end"/>
      </w:r>
    </w:p>
    <w:p w14:paraId="1EF9DEF8" w14:textId="77777777" w:rsidR="00C46614" w:rsidRDefault="00C46614">
      <w:pPr>
        <w:pStyle w:val="TOC1"/>
        <w:rPr>
          <w:rFonts w:asciiTheme="minorHAnsi" w:eastAsiaTheme="minorEastAsia" w:hAnsiTheme="minorHAnsi"/>
          <w:noProof/>
          <w:sz w:val="22"/>
        </w:rPr>
      </w:pPr>
      <w:r>
        <w:rPr>
          <w:noProof/>
        </w:rPr>
        <w:t>COLUMBIA’S APPLICATION AND PROPOSED PSP</w:t>
      </w:r>
      <w:r>
        <w:rPr>
          <w:noProof/>
        </w:rPr>
        <w:tab/>
      </w:r>
      <w:r>
        <w:rPr>
          <w:noProof/>
        </w:rPr>
        <w:fldChar w:fldCharType="begin"/>
      </w:r>
      <w:r>
        <w:rPr>
          <w:noProof/>
        </w:rPr>
        <w:instrText xml:space="preserve"> PAGEREF _Toc403739274 \h </w:instrText>
      </w:r>
      <w:r>
        <w:rPr>
          <w:noProof/>
        </w:rPr>
      </w:r>
      <w:r>
        <w:rPr>
          <w:noProof/>
        </w:rPr>
        <w:fldChar w:fldCharType="separate"/>
      </w:r>
      <w:r w:rsidR="00760738">
        <w:rPr>
          <w:noProof/>
        </w:rPr>
        <w:t>3</w:t>
      </w:r>
      <w:r>
        <w:rPr>
          <w:noProof/>
        </w:rPr>
        <w:fldChar w:fldCharType="end"/>
      </w:r>
    </w:p>
    <w:p w14:paraId="72EB9F11" w14:textId="77777777" w:rsidR="00C46614" w:rsidRDefault="00C46614">
      <w:pPr>
        <w:pStyle w:val="TOC1"/>
        <w:rPr>
          <w:rFonts w:asciiTheme="minorHAnsi" w:eastAsiaTheme="minorEastAsia" w:hAnsiTheme="minorHAnsi"/>
          <w:noProof/>
          <w:sz w:val="22"/>
        </w:rPr>
      </w:pPr>
      <w:r>
        <w:rPr>
          <w:noProof/>
        </w:rPr>
        <w:t>STAFF’S REVIEW</w:t>
      </w:r>
      <w:r>
        <w:rPr>
          <w:noProof/>
        </w:rPr>
        <w:tab/>
      </w:r>
      <w:r>
        <w:rPr>
          <w:noProof/>
        </w:rPr>
        <w:fldChar w:fldCharType="begin"/>
      </w:r>
      <w:r>
        <w:rPr>
          <w:noProof/>
        </w:rPr>
        <w:instrText xml:space="preserve"> PAGEREF _Toc403739275 \h </w:instrText>
      </w:r>
      <w:r>
        <w:rPr>
          <w:noProof/>
        </w:rPr>
      </w:r>
      <w:r>
        <w:rPr>
          <w:noProof/>
        </w:rPr>
        <w:fldChar w:fldCharType="separate"/>
      </w:r>
      <w:r w:rsidR="00760738">
        <w:rPr>
          <w:noProof/>
        </w:rPr>
        <w:t>7</w:t>
      </w:r>
      <w:r>
        <w:rPr>
          <w:noProof/>
        </w:rPr>
        <w:fldChar w:fldCharType="end"/>
      </w:r>
    </w:p>
    <w:p w14:paraId="54423A3F" w14:textId="77777777" w:rsidR="00C46614" w:rsidRDefault="00C46614">
      <w:pPr>
        <w:pStyle w:val="TOC1"/>
        <w:rPr>
          <w:rFonts w:asciiTheme="minorHAnsi" w:eastAsiaTheme="minorEastAsia" w:hAnsiTheme="minorHAnsi"/>
          <w:noProof/>
          <w:sz w:val="22"/>
        </w:rPr>
      </w:pPr>
      <w:r>
        <w:rPr>
          <w:noProof/>
        </w:rPr>
        <w:t>STAFF’S COMMENTS AND RECOMMENDATIONS</w:t>
      </w:r>
      <w:r>
        <w:rPr>
          <w:noProof/>
        </w:rPr>
        <w:tab/>
      </w:r>
      <w:r>
        <w:rPr>
          <w:noProof/>
        </w:rPr>
        <w:fldChar w:fldCharType="begin"/>
      </w:r>
      <w:r>
        <w:rPr>
          <w:noProof/>
        </w:rPr>
        <w:instrText xml:space="preserve"> PAGEREF _Toc403739276 \h </w:instrText>
      </w:r>
      <w:r>
        <w:rPr>
          <w:noProof/>
        </w:rPr>
      </w:r>
      <w:r>
        <w:rPr>
          <w:noProof/>
        </w:rPr>
        <w:fldChar w:fldCharType="separate"/>
      </w:r>
      <w:r w:rsidR="00760738">
        <w:rPr>
          <w:noProof/>
        </w:rPr>
        <w:t>8</w:t>
      </w:r>
      <w:r>
        <w:rPr>
          <w:noProof/>
        </w:rPr>
        <w:fldChar w:fldCharType="end"/>
      </w:r>
    </w:p>
    <w:p w14:paraId="0BC17275" w14:textId="683AE26F" w:rsidR="00C46614" w:rsidRDefault="00C46614">
      <w:pPr>
        <w:pStyle w:val="TOC2"/>
        <w:tabs>
          <w:tab w:val="left" w:pos="1440"/>
        </w:tabs>
        <w:rPr>
          <w:rFonts w:asciiTheme="minorHAnsi" w:eastAsiaTheme="minorEastAsia" w:hAnsiTheme="minorHAnsi"/>
          <w:noProof/>
          <w:sz w:val="22"/>
        </w:rPr>
      </w:pPr>
      <w:r>
        <w:rPr>
          <w:noProof/>
        </w:rPr>
        <w:t>A.</w:t>
      </w:r>
      <w:r>
        <w:rPr>
          <w:rFonts w:asciiTheme="minorHAnsi" w:eastAsiaTheme="minorEastAsia" w:hAnsiTheme="minorHAnsi"/>
          <w:noProof/>
          <w:sz w:val="22"/>
        </w:rPr>
        <w:tab/>
      </w:r>
      <w:r w:rsidR="00D34C41">
        <w:rPr>
          <w:rFonts w:eastAsiaTheme="minorEastAsia" w:cs="Times New Roman"/>
          <w:noProof/>
          <w:szCs w:val="26"/>
        </w:rPr>
        <w:t xml:space="preserve">The Commission should adopt </w:t>
      </w:r>
      <w:r>
        <w:rPr>
          <w:noProof/>
        </w:rPr>
        <w:t>Columbia’s recommendation for regular meetings between the Staff and the Company as the PSP progresses.</w:t>
      </w:r>
      <w:r>
        <w:rPr>
          <w:noProof/>
        </w:rPr>
        <w:tab/>
      </w:r>
      <w:r>
        <w:rPr>
          <w:noProof/>
        </w:rPr>
        <w:fldChar w:fldCharType="begin"/>
      </w:r>
      <w:r>
        <w:rPr>
          <w:noProof/>
        </w:rPr>
        <w:instrText xml:space="preserve"> PAGEREF _Toc403739277 \h </w:instrText>
      </w:r>
      <w:r>
        <w:rPr>
          <w:noProof/>
        </w:rPr>
      </w:r>
      <w:r>
        <w:rPr>
          <w:noProof/>
        </w:rPr>
        <w:fldChar w:fldCharType="separate"/>
      </w:r>
      <w:r w:rsidR="00760738">
        <w:rPr>
          <w:noProof/>
        </w:rPr>
        <w:t>8</w:t>
      </w:r>
      <w:r>
        <w:rPr>
          <w:noProof/>
        </w:rPr>
        <w:fldChar w:fldCharType="end"/>
      </w:r>
    </w:p>
    <w:p w14:paraId="1750B7BE" w14:textId="77777777" w:rsidR="00C46614" w:rsidRDefault="00C46614">
      <w:pPr>
        <w:pStyle w:val="TOC2"/>
        <w:tabs>
          <w:tab w:val="left" w:pos="1440"/>
        </w:tabs>
        <w:rPr>
          <w:rFonts w:asciiTheme="minorHAnsi" w:eastAsiaTheme="minorEastAsia" w:hAnsiTheme="minorHAnsi"/>
          <w:noProof/>
          <w:sz w:val="22"/>
        </w:rPr>
      </w:pPr>
      <w:r>
        <w:rPr>
          <w:noProof/>
        </w:rPr>
        <w:t>B.</w:t>
      </w:r>
      <w:r>
        <w:rPr>
          <w:rFonts w:asciiTheme="minorHAnsi" w:eastAsiaTheme="minorEastAsia" w:hAnsiTheme="minorHAnsi"/>
          <w:noProof/>
          <w:sz w:val="22"/>
        </w:rPr>
        <w:tab/>
      </w:r>
      <w:r>
        <w:rPr>
          <w:noProof/>
        </w:rPr>
        <w:t>The Commission should adopt Columbia’s recommendation that it file an annual report on the PSP and related deferrals.  However, the content of the report should not be limited to the items specified in the Company’s Application.</w:t>
      </w:r>
      <w:r>
        <w:rPr>
          <w:noProof/>
        </w:rPr>
        <w:tab/>
      </w:r>
      <w:r>
        <w:rPr>
          <w:noProof/>
        </w:rPr>
        <w:fldChar w:fldCharType="begin"/>
      </w:r>
      <w:r>
        <w:rPr>
          <w:noProof/>
        </w:rPr>
        <w:instrText xml:space="preserve"> PAGEREF _Toc403739278 \h </w:instrText>
      </w:r>
      <w:r>
        <w:rPr>
          <w:noProof/>
        </w:rPr>
      </w:r>
      <w:r>
        <w:rPr>
          <w:noProof/>
        </w:rPr>
        <w:fldChar w:fldCharType="separate"/>
      </w:r>
      <w:r w:rsidR="00760738">
        <w:rPr>
          <w:noProof/>
        </w:rPr>
        <w:t>9</w:t>
      </w:r>
      <w:r>
        <w:rPr>
          <w:noProof/>
        </w:rPr>
        <w:fldChar w:fldCharType="end"/>
      </w:r>
    </w:p>
    <w:p w14:paraId="0EA5A135" w14:textId="77777777" w:rsidR="00C46614" w:rsidRDefault="00C46614">
      <w:pPr>
        <w:pStyle w:val="TOC2"/>
        <w:tabs>
          <w:tab w:val="left" w:pos="1440"/>
        </w:tabs>
        <w:rPr>
          <w:rFonts w:asciiTheme="minorHAnsi" w:eastAsiaTheme="minorEastAsia" w:hAnsiTheme="minorHAnsi"/>
          <w:noProof/>
          <w:sz w:val="22"/>
        </w:rPr>
      </w:pPr>
      <w:r>
        <w:rPr>
          <w:noProof/>
        </w:rPr>
        <w:t>C.</w:t>
      </w:r>
      <w:r>
        <w:rPr>
          <w:rFonts w:asciiTheme="minorHAnsi" w:eastAsiaTheme="minorEastAsia" w:hAnsiTheme="minorHAnsi"/>
          <w:noProof/>
          <w:sz w:val="22"/>
        </w:rPr>
        <w:tab/>
      </w:r>
      <w:r>
        <w:rPr>
          <w:noProof/>
        </w:rPr>
        <w:t>Staff does not object to Columbia’s proposal that the Staff file a report to the Commission regarding the Company’s proposed PSP deferrals within 90 days of the Company’s Annual Report.  However, the report on deferrals should not be construed as Staff support for future recovery.</w:t>
      </w:r>
      <w:r>
        <w:rPr>
          <w:noProof/>
        </w:rPr>
        <w:tab/>
      </w:r>
      <w:r>
        <w:rPr>
          <w:noProof/>
        </w:rPr>
        <w:fldChar w:fldCharType="begin"/>
      </w:r>
      <w:r>
        <w:rPr>
          <w:noProof/>
        </w:rPr>
        <w:instrText xml:space="preserve"> PAGEREF _Toc403739279 \h </w:instrText>
      </w:r>
      <w:r>
        <w:rPr>
          <w:noProof/>
        </w:rPr>
      </w:r>
      <w:r>
        <w:rPr>
          <w:noProof/>
        </w:rPr>
        <w:fldChar w:fldCharType="separate"/>
      </w:r>
      <w:r w:rsidR="00760738">
        <w:rPr>
          <w:noProof/>
        </w:rPr>
        <w:t>10</w:t>
      </w:r>
      <w:r>
        <w:rPr>
          <w:noProof/>
        </w:rPr>
        <w:fldChar w:fldCharType="end"/>
      </w:r>
    </w:p>
    <w:p w14:paraId="0326360A" w14:textId="77777777" w:rsidR="00C46614" w:rsidRDefault="00C46614">
      <w:pPr>
        <w:pStyle w:val="TOC2"/>
        <w:tabs>
          <w:tab w:val="left" w:pos="1440"/>
        </w:tabs>
        <w:rPr>
          <w:rFonts w:asciiTheme="minorHAnsi" w:eastAsiaTheme="minorEastAsia" w:hAnsiTheme="minorHAnsi"/>
          <w:noProof/>
          <w:sz w:val="22"/>
        </w:rPr>
      </w:pPr>
      <w:r>
        <w:rPr>
          <w:noProof/>
        </w:rPr>
        <w:t>D.</w:t>
      </w:r>
      <w:r>
        <w:rPr>
          <w:rFonts w:asciiTheme="minorHAnsi" w:eastAsiaTheme="minorEastAsia" w:hAnsiTheme="minorHAnsi"/>
          <w:noProof/>
          <w:sz w:val="22"/>
        </w:rPr>
        <w:tab/>
      </w:r>
      <w:r>
        <w:rPr>
          <w:noProof/>
        </w:rPr>
        <w:t>The Commission should direct that Columbia use its best efforts to identify and implement efficiencies and cost saving measures to reduce PSP deferrals and the ultimate amount recovered from customers.</w:t>
      </w:r>
      <w:r>
        <w:rPr>
          <w:noProof/>
        </w:rPr>
        <w:tab/>
      </w:r>
      <w:r>
        <w:rPr>
          <w:noProof/>
        </w:rPr>
        <w:fldChar w:fldCharType="begin"/>
      </w:r>
      <w:r>
        <w:rPr>
          <w:noProof/>
        </w:rPr>
        <w:instrText xml:space="preserve"> PAGEREF _Toc403739280 \h </w:instrText>
      </w:r>
      <w:r>
        <w:rPr>
          <w:noProof/>
        </w:rPr>
      </w:r>
      <w:r>
        <w:rPr>
          <w:noProof/>
        </w:rPr>
        <w:fldChar w:fldCharType="separate"/>
      </w:r>
      <w:r w:rsidR="00760738">
        <w:rPr>
          <w:noProof/>
        </w:rPr>
        <w:t>11</w:t>
      </w:r>
      <w:r>
        <w:rPr>
          <w:noProof/>
        </w:rPr>
        <w:fldChar w:fldCharType="end"/>
      </w:r>
    </w:p>
    <w:p w14:paraId="6BF3D18E" w14:textId="2FD4D443" w:rsidR="00C46614" w:rsidRDefault="00C46614">
      <w:pPr>
        <w:pStyle w:val="TOC2"/>
        <w:tabs>
          <w:tab w:val="left" w:pos="1440"/>
        </w:tabs>
        <w:rPr>
          <w:rFonts w:asciiTheme="minorHAnsi" w:eastAsiaTheme="minorEastAsia" w:hAnsiTheme="minorHAnsi"/>
          <w:noProof/>
          <w:sz w:val="22"/>
        </w:rPr>
      </w:pPr>
      <w:r>
        <w:rPr>
          <w:noProof/>
        </w:rPr>
        <w:lastRenderedPageBreak/>
        <w:t>E.</w:t>
      </w:r>
      <w:r>
        <w:rPr>
          <w:rFonts w:asciiTheme="minorHAnsi" w:eastAsiaTheme="minorEastAsia" w:hAnsiTheme="minorHAnsi"/>
          <w:noProof/>
          <w:sz w:val="22"/>
        </w:rPr>
        <w:tab/>
      </w:r>
      <w:r>
        <w:rPr>
          <w:noProof/>
        </w:rPr>
        <w:t xml:space="preserve">The Commission should direct that Columbia use a risk-based approach for determining the potential sewer mains and laterals cross bores that should </w:t>
      </w:r>
      <w:r w:rsidR="0044531A">
        <w:rPr>
          <w:noProof/>
        </w:rPr>
        <w:t xml:space="preserve">be </w:t>
      </w:r>
      <w:r>
        <w:rPr>
          <w:noProof/>
        </w:rPr>
        <w:t>investigated via camera.</w:t>
      </w:r>
      <w:r>
        <w:rPr>
          <w:noProof/>
        </w:rPr>
        <w:tab/>
      </w:r>
      <w:r>
        <w:rPr>
          <w:noProof/>
        </w:rPr>
        <w:fldChar w:fldCharType="begin"/>
      </w:r>
      <w:r>
        <w:rPr>
          <w:noProof/>
        </w:rPr>
        <w:instrText xml:space="preserve"> PAGEREF _Toc403739281 \h </w:instrText>
      </w:r>
      <w:r>
        <w:rPr>
          <w:noProof/>
        </w:rPr>
      </w:r>
      <w:r>
        <w:rPr>
          <w:noProof/>
        </w:rPr>
        <w:fldChar w:fldCharType="separate"/>
      </w:r>
      <w:r w:rsidR="00760738">
        <w:rPr>
          <w:noProof/>
        </w:rPr>
        <w:t>12</w:t>
      </w:r>
      <w:r>
        <w:rPr>
          <w:noProof/>
        </w:rPr>
        <w:fldChar w:fldCharType="end"/>
      </w:r>
    </w:p>
    <w:p w14:paraId="03BB3013" w14:textId="31E3C982" w:rsidR="00C46614" w:rsidRDefault="00C46614">
      <w:pPr>
        <w:pStyle w:val="TOC2"/>
        <w:tabs>
          <w:tab w:val="left" w:pos="1440"/>
        </w:tabs>
        <w:rPr>
          <w:rFonts w:asciiTheme="minorHAnsi" w:eastAsiaTheme="minorEastAsia" w:hAnsiTheme="minorHAnsi"/>
          <w:noProof/>
          <w:sz w:val="22"/>
        </w:rPr>
      </w:pPr>
      <w:r>
        <w:rPr>
          <w:noProof/>
        </w:rPr>
        <w:t>F.</w:t>
      </w:r>
      <w:r>
        <w:rPr>
          <w:rFonts w:asciiTheme="minorHAnsi" w:eastAsiaTheme="minorEastAsia" w:hAnsiTheme="minorHAnsi"/>
          <w:noProof/>
          <w:sz w:val="22"/>
        </w:rPr>
        <w:tab/>
      </w:r>
      <w:r>
        <w:rPr>
          <w:noProof/>
        </w:rPr>
        <w:t xml:space="preserve">The Commission should direct Columbia to develop specific performance measures for each of its proposed safety initiatives and establish baseline performance measurements for each measure so that </w:t>
      </w:r>
      <w:r w:rsidR="0044531A">
        <w:rPr>
          <w:noProof/>
        </w:rPr>
        <w:t>risk reduction resulting from</w:t>
      </w:r>
      <w:r>
        <w:rPr>
          <w:noProof/>
        </w:rPr>
        <w:t xml:space="preserve"> the PSP can be tracked.</w:t>
      </w:r>
      <w:r>
        <w:rPr>
          <w:noProof/>
        </w:rPr>
        <w:tab/>
      </w:r>
      <w:r>
        <w:rPr>
          <w:noProof/>
        </w:rPr>
        <w:fldChar w:fldCharType="begin"/>
      </w:r>
      <w:r>
        <w:rPr>
          <w:noProof/>
        </w:rPr>
        <w:instrText xml:space="preserve"> PAGEREF _Toc403739282 \h </w:instrText>
      </w:r>
      <w:r>
        <w:rPr>
          <w:noProof/>
        </w:rPr>
      </w:r>
      <w:r>
        <w:rPr>
          <w:noProof/>
        </w:rPr>
        <w:fldChar w:fldCharType="separate"/>
      </w:r>
      <w:r w:rsidR="00760738">
        <w:rPr>
          <w:noProof/>
        </w:rPr>
        <w:t>13</w:t>
      </w:r>
      <w:r>
        <w:rPr>
          <w:noProof/>
        </w:rPr>
        <w:fldChar w:fldCharType="end"/>
      </w:r>
    </w:p>
    <w:p w14:paraId="3F2FFA48" w14:textId="77777777" w:rsidR="00C46614" w:rsidRDefault="00C46614">
      <w:pPr>
        <w:pStyle w:val="TOC2"/>
        <w:tabs>
          <w:tab w:val="left" w:pos="1440"/>
        </w:tabs>
        <w:rPr>
          <w:rFonts w:asciiTheme="minorHAnsi" w:eastAsiaTheme="minorEastAsia" w:hAnsiTheme="minorHAnsi"/>
          <w:noProof/>
          <w:sz w:val="22"/>
        </w:rPr>
      </w:pPr>
      <w:r>
        <w:rPr>
          <w:noProof/>
        </w:rPr>
        <w:t>G.</w:t>
      </w:r>
      <w:r>
        <w:rPr>
          <w:rFonts w:asciiTheme="minorHAnsi" w:eastAsiaTheme="minorEastAsia" w:hAnsiTheme="minorHAnsi"/>
          <w:noProof/>
          <w:sz w:val="22"/>
        </w:rPr>
        <w:tab/>
      </w:r>
      <w:r>
        <w:rPr>
          <w:noProof/>
        </w:rPr>
        <w:t>As the PSP initiatives are completed or continue to progress and risks are reduced and eliminated on Columbia’s system, the Staff and Columbia should recommend a threshold for discontinuing the PSP deferrals.</w:t>
      </w:r>
      <w:r>
        <w:rPr>
          <w:noProof/>
        </w:rPr>
        <w:tab/>
      </w:r>
      <w:r>
        <w:rPr>
          <w:noProof/>
        </w:rPr>
        <w:fldChar w:fldCharType="begin"/>
      </w:r>
      <w:r>
        <w:rPr>
          <w:noProof/>
        </w:rPr>
        <w:instrText xml:space="preserve"> PAGEREF _Toc403739283 \h </w:instrText>
      </w:r>
      <w:r>
        <w:rPr>
          <w:noProof/>
        </w:rPr>
      </w:r>
      <w:r>
        <w:rPr>
          <w:noProof/>
        </w:rPr>
        <w:fldChar w:fldCharType="separate"/>
      </w:r>
      <w:r w:rsidR="00760738">
        <w:rPr>
          <w:noProof/>
        </w:rPr>
        <w:t>13</w:t>
      </w:r>
      <w:r>
        <w:rPr>
          <w:noProof/>
        </w:rPr>
        <w:fldChar w:fldCharType="end"/>
      </w:r>
    </w:p>
    <w:p w14:paraId="2EA16A88" w14:textId="66197376" w:rsidR="00C46614" w:rsidRDefault="00C46614">
      <w:pPr>
        <w:pStyle w:val="TOC1"/>
        <w:rPr>
          <w:rFonts w:asciiTheme="minorHAnsi" w:eastAsiaTheme="minorEastAsia" w:hAnsiTheme="minorHAnsi"/>
          <w:noProof/>
          <w:sz w:val="22"/>
        </w:rPr>
      </w:pPr>
      <w:r>
        <w:rPr>
          <w:noProof/>
        </w:rPr>
        <w:t>CONCLUSION</w:t>
      </w:r>
      <w:r>
        <w:rPr>
          <w:noProof/>
        </w:rPr>
        <w:tab/>
      </w:r>
      <w:r>
        <w:rPr>
          <w:noProof/>
        </w:rPr>
        <w:fldChar w:fldCharType="begin"/>
      </w:r>
      <w:r>
        <w:rPr>
          <w:noProof/>
        </w:rPr>
        <w:instrText xml:space="preserve"> PAGEREF _Toc403739284 \h </w:instrText>
      </w:r>
      <w:r>
        <w:rPr>
          <w:noProof/>
        </w:rPr>
      </w:r>
      <w:r>
        <w:rPr>
          <w:noProof/>
        </w:rPr>
        <w:fldChar w:fldCharType="separate"/>
      </w:r>
      <w:r w:rsidR="00760738">
        <w:rPr>
          <w:noProof/>
        </w:rPr>
        <w:t>1</w:t>
      </w:r>
      <w:r w:rsidR="00D34C41">
        <w:rPr>
          <w:noProof/>
        </w:rPr>
        <w:t>4</w:t>
      </w:r>
      <w:r>
        <w:rPr>
          <w:noProof/>
        </w:rPr>
        <w:fldChar w:fldCharType="end"/>
      </w:r>
    </w:p>
    <w:p w14:paraId="0180BD19" w14:textId="416DE09A" w:rsidR="00C46614" w:rsidRDefault="00C46614">
      <w:pPr>
        <w:pStyle w:val="TOC1"/>
        <w:rPr>
          <w:rFonts w:asciiTheme="minorHAnsi" w:eastAsiaTheme="minorEastAsia" w:hAnsiTheme="minorHAnsi"/>
          <w:noProof/>
          <w:sz w:val="22"/>
        </w:rPr>
      </w:pPr>
      <w:r>
        <w:rPr>
          <w:noProof/>
        </w:rPr>
        <w:t>CERTIFICATE OF SERVICE</w:t>
      </w:r>
      <w:r>
        <w:rPr>
          <w:noProof/>
        </w:rPr>
        <w:tab/>
      </w:r>
      <w:r w:rsidR="00D34C41">
        <w:rPr>
          <w:noProof/>
        </w:rPr>
        <w:t>16</w:t>
      </w:r>
    </w:p>
    <w:p w14:paraId="42E32BD1" w14:textId="77777777" w:rsidR="000E73B4" w:rsidRDefault="0059084C">
      <w:pPr>
        <w:rPr>
          <w:rFonts w:cs="Times New Roman"/>
          <w:b/>
          <w:sz w:val="26"/>
          <w:szCs w:val="26"/>
        </w:rPr>
        <w:sectPr w:rsidR="000E73B4" w:rsidSect="002B0FA8">
          <w:headerReference w:type="default" r:id="rId10"/>
          <w:footerReference w:type="default" r:id="rId11"/>
          <w:pgSz w:w="12240" w:h="15840"/>
          <w:pgMar w:top="1440" w:right="1440" w:bottom="1440" w:left="1440" w:header="720" w:footer="720" w:gutter="0"/>
          <w:pgNumType w:fmt="lowerRoman" w:start="1"/>
          <w:cols w:space="720"/>
          <w:docGrid w:linePitch="360"/>
        </w:sectPr>
      </w:pPr>
      <w:r>
        <w:rPr>
          <w:rFonts w:cs="Times New Roman"/>
          <w:b/>
          <w:sz w:val="26"/>
          <w:szCs w:val="26"/>
        </w:rPr>
        <w:fldChar w:fldCharType="end"/>
      </w:r>
    </w:p>
    <w:p w14:paraId="2014D290" w14:textId="77777777" w:rsidR="000E73B4" w:rsidRDefault="000E73B4" w:rsidP="000E73B4">
      <w:pPr>
        <w:spacing w:after="0" w:line="240" w:lineRule="auto"/>
        <w:jc w:val="center"/>
        <w:rPr>
          <w:rFonts w:cs="Times New Roman"/>
          <w:b/>
          <w:sz w:val="26"/>
          <w:szCs w:val="26"/>
        </w:rPr>
      </w:pPr>
      <w:r w:rsidRPr="00CD42AF">
        <w:rPr>
          <w:rFonts w:cs="Times New Roman"/>
          <w:b/>
          <w:sz w:val="26"/>
          <w:szCs w:val="26"/>
        </w:rPr>
        <w:lastRenderedPageBreak/>
        <w:t>BEFORE</w:t>
      </w:r>
    </w:p>
    <w:p w14:paraId="59DE90E3" w14:textId="77777777" w:rsidR="000E73B4" w:rsidRPr="00CD42AF" w:rsidRDefault="000E73B4" w:rsidP="000E73B4">
      <w:pPr>
        <w:spacing w:after="0" w:line="240" w:lineRule="auto"/>
        <w:jc w:val="center"/>
        <w:rPr>
          <w:rFonts w:cs="Times New Roman"/>
          <w:b/>
          <w:sz w:val="26"/>
          <w:szCs w:val="26"/>
        </w:rPr>
      </w:pPr>
      <w:r w:rsidRPr="00CD42AF">
        <w:rPr>
          <w:rFonts w:cs="Times New Roman"/>
          <w:b/>
          <w:sz w:val="26"/>
          <w:szCs w:val="26"/>
        </w:rPr>
        <w:t>THE PUBLIC UTILITIES COMMISSION OF OHIO</w:t>
      </w:r>
    </w:p>
    <w:p w14:paraId="4A69459B" w14:textId="77777777" w:rsidR="000E73B4" w:rsidRPr="00CD42AF" w:rsidRDefault="000E73B4" w:rsidP="000E73B4">
      <w:pPr>
        <w:rPr>
          <w:rFonts w:cs="Times New Roman"/>
          <w:sz w:val="26"/>
          <w:szCs w:val="26"/>
        </w:rPr>
      </w:pPr>
    </w:p>
    <w:tbl>
      <w:tblPr>
        <w:tblW w:w="8762" w:type="dxa"/>
        <w:tblLook w:val="04A0" w:firstRow="1" w:lastRow="0" w:firstColumn="1" w:lastColumn="0" w:noHBand="0" w:noVBand="1"/>
      </w:tblPr>
      <w:tblGrid>
        <w:gridCol w:w="4518"/>
        <w:gridCol w:w="360"/>
        <w:gridCol w:w="3884"/>
      </w:tblGrid>
      <w:tr w:rsidR="000E73B4" w:rsidRPr="00CD42AF" w14:paraId="39FF42FD" w14:textId="77777777" w:rsidTr="00915BED">
        <w:tc>
          <w:tcPr>
            <w:tcW w:w="4518" w:type="dxa"/>
            <w:shd w:val="clear" w:color="auto" w:fill="auto"/>
          </w:tcPr>
          <w:p w14:paraId="43A02FCA" w14:textId="7DD45B05" w:rsidR="000E73B4" w:rsidRPr="0036080A" w:rsidRDefault="000E73B4" w:rsidP="008D6B61">
            <w:pPr>
              <w:spacing w:after="0" w:line="240" w:lineRule="auto"/>
              <w:rPr>
                <w:rFonts w:cs="Times New Roman"/>
                <w:sz w:val="26"/>
                <w:szCs w:val="26"/>
              </w:rPr>
            </w:pPr>
            <w:r w:rsidRPr="0036080A">
              <w:rPr>
                <w:rFonts w:cs="Times New Roman"/>
                <w:sz w:val="26"/>
                <w:szCs w:val="26"/>
              </w:rPr>
              <w:t>In the Matter of the Application of Columbia Gas of Ohio, Inc., for A</w:t>
            </w:r>
            <w:r>
              <w:rPr>
                <w:rFonts w:cs="Times New Roman"/>
                <w:sz w:val="26"/>
                <w:szCs w:val="26"/>
              </w:rPr>
              <w:t xml:space="preserve">pproval </w:t>
            </w:r>
            <w:r w:rsidRPr="0036080A">
              <w:rPr>
                <w:rFonts w:cs="Times New Roman"/>
                <w:sz w:val="26"/>
                <w:szCs w:val="26"/>
              </w:rPr>
              <w:t xml:space="preserve">to </w:t>
            </w:r>
            <w:r w:rsidR="008D6B61">
              <w:rPr>
                <w:rFonts w:cs="Times New Roman"/>
                <w:sz w:val="26"/>
                <w:szCs w:val="26"/>
              </w:rPr>
              <w:t>Change Accounting Methods.</w:t>
            </w:r>
          </w:p>
        </w:tc>
        <w:tc>
          <w:tcPr>
            <w:tcW w:w="360" w:type="dxa"/>
          </w:tcPr>
          <w:p w14:paraId="7356221C" w14:textId="77777777" w:rsidR="000E73B4" w:rsidRPr="00CD42AF" w:rsidRDefault="000E73B4" w:rsidP="00915BED">
            <w:pPr>
              <w:pStyle w:val="NoSpacing"/>
              <w:rPr>
                <w:rFonts w:cs="Times New Roman"/>
                <w:sz w:val="26"/>
                <w:szCs w:val="26"/>
              </w:rPr>
            </w:pPr>
            <w:r>
              <w:rPr>
                <w:rFonts w:cs="Times New Roman"/>
                <w:sz w:val="26"/>
                <w:szCs w:val="26"/>
              </w:rPr>
              <w:t>:</w:t>
            </w:r>
            <w:r>
              <w:rPr>
                <w:rFonts w:cs="Times New Roman"/>
                <w:sz w:val="26"/>
                <w:szCs w:val="26"/>
              </w:rPr>
              <w:br/>
              <w:t>:</w:t>
            </w:r>
            <w:r>
              <w:rPr>
                <w:rFonts w:cs="Times New Roman"/>
                <w:sz w:val="26"/>
                <w:szCs w:val="26"/>
              </w:rPr>
              <w:br/>
              <w:t>:</w:t>
            </w:r>
            <w:r>
              <w:rPr>
                <w:rFonts w:cs="Times New Roman"/>
                <w:sz w:val="26"/>
                <w:szCs w:val="26"/>
              </w:rPr>
              <w:br/>
              <w:t>:</w:t>
            </w:r>
            <w:r>
              <w:rPr>
                <w:rFonts w:cs="Times New Roman"/>
                <w:sz w:val="26"/>
                <w:szCs w:val="26"/>
              </w:rPr>
              <w:br/>
            </w:r>
          </w:p>
        </w:tc>
        <w:tc>
          <w:tcPr>
            <w:tcW w:w="3884" w:type="dxa"/>
            <w:shd w:val="clear" w:color="auto" w:fill="auto"/>
          </w:tcPr>
          <w:p w14:paraId="4A67822F" w14:textId="77777777" w:rsidR="000E73B4" w:rsidRPr="00CD42AF" w:rsidRDefault="000E73B4" w:rsidP="00915BED">
            <w:pPr>
              <w:spacing w:after="0" w:line="240" w:lineRule="auto"/>
              <w:ind w:left="-288"/>
              <w:rPr>
                <w:rFonts w:cs="Times New Roman"/>
                <w:sz w:val="26"/>
                <w:szCs w:val="26"/>
              </w:rPr>
            </w:pPr>
          </w:p>
          <w:p w14:paraId="7FFA2235" w14:textId="77777777" w:rsidR="000E73B4" w:rsidRPr="00CD42AF" w:rsidRDefault="000E73B4" w:rsidP="008D6B61">
            <w:pPr>
              <w:spacing w:after="0" w:line="240" w:lineRule="auto"/>
              <w:ind w:left="72"/>
              <w:rPr>
                <w:rFonts w:cs="Times New Roman"/>
                <w:sz w:val="26"/>
                <w:szCs w:val="26"/>
              </w:rPr>
            </w:pPr>
            <w:r w:rsidRPr="00CD42AF">
              <w:rPr>
                <w:rFonts w:cs="Times New Roman"/>
                <w:sz w:val="26"/>
                <w:szCs w:val="26"/>
              </w:rPr>
              <w:t xml:space="preserve">Case No. </w:t>
            </w:r>
            <w:r w:rsidR="008D6B61">
              <w:rPr>
                <w:rFonts w:cs="Times New Roman"/>
                <w:sz w:val="26"/>
                <w:szCs w:val="26"/>
              </w:rPr>
              <w:t>14</w:t>
            </w:r>
            <w:r>
              <w:rPr>
                <w:rFonts w:cs="Times New Roman"/>
                <w:sz w:val="26"/>
                <w:szCs w:val="26"/>
              </w:rPr>
              <w:t>-</w:t>
            </w:r>
            <w:r w:rsidR="008D6B61">
              <w:rPr>
                <w:rFonts w:cs="Times New Roman"/>
                <w:sz w:val="26"/>
                <w:szCs w:val="26"/>
              </w:rPr>
              <w:t>1615</w:t>
            </w:r>
            <w:r w:rsidRPr="00CD42AF">
              <w:rPr>
                <w:rFonts w:cs="Times New Roman"/>
                <w:sz w:val="26"/>
                <w:szCs w:val="26"/>
              </w:rPr>
              <w:t>-GA-</w:t>
            </w:r>
            <w:r w:rsidR="008D6B61">
              <w:rPr>
                <w:rFonts w:cs="Times New Roman"/>
                <w:sz w:val="26"/>
                <w:szCs w:val="26"/>
              </w:rPr>
              <w:t>AAM</w:t>
            </w:r>
          </w:p>
        </w:tc>
      </w:tr>
    </w:tbl>
    <w:p w14:paraId="10B9C7F1" w14:textId="77777777" w:rsidR="00915BED" w:rsidRPr="000E73B4" w:rsidRDefault="00915BED" w:rsidP="00915BED">
      <w:pPr>
        <w:pStyle w:val="NoSpacing"/>
      </w:pPr>
    </w:p>
    <w:p w14:paraId="42382ED5" w14:textId="77777777" w:rsidR="00915BED" w:rsidRPr="00915BED" w:rsidRDefault="00915BED" w:rsidP="00915BED">
      <w:pPr>
        <w:tabs>
          <w:tab w:val="left" w:pos="9360"/>
        </w:tabs>
        <w:jc w:val="both"/>
        <w:rPr>
          <w:rFonts w:cs="Times New Roman"/>
          <w:sz w:val="26"/>
          <w:szCs w:val="26"/>
          <w:u w:val="single"/>
        </w:rPr>
      </w:pPr>
      <w:r>
        <w:rPr>
          <w:rFonts w:cs="Times New Roman"/>
          <w:sz w:val="26"/>
          <w:szCs w:val="26"/>
          <w:u w:val="single"/>
        </w:rPr>
        <w:tab/>
      </w:r>
    </w:p>
    <w:p w14:paraId="006989C2" w14:textId="77777777" w:rsidR="00915BED" w:rsidRPr="009C4948" w:rsidRDefault="0056760B" w:rsidP="00915BED">
      <w:pPr>
        <w:spacing w:after="0" w:line="240" w:lineRule="auto"/>
        <w:jc w:val="center"/>
        <w:rPr>
          <w:rFonts w:cs="Times New Roman"/>
          <w:b/>
          <w:sz w:val="28"/>
          <w:szCs w:val="28"/>
        </w:rPr>
      </w:pPr>
      <w:r>
        <w:rPr>
          <w:rFonts w:cs="Times New Roman"/>
          <w:b/>
          <w:sz w:val="28"/>
          <w:szCs w:val="28"/>
        </w:rPr>
        <w:t>COMMENTS</w:t>
      </w:r>
      <w:r w:rsidRPr="009C4948">
        <w:rPr>
          <w:rFonts w:cs="Times New Roman"/>
          <w:b/>
          <w:sz w:val="28"/>
          <w:szCs w:val="28"/>
        </w:rPr>
        <w:t xml:space="preserve"> </w:t>
      </w:r>
    </w:p>
    <w:p w14:paraId="6BD68BED" w14:textId="77777777" w:rsidR="00915BED" w:rsidRPr="00CD42AF" w:rsidRDefault="00915BED" w:rsidP="00915BED">
      <w:pPr>
        <w:spacing w:after="0" w:line="240" w:lineRule="auto"/>
        <w:jc w:val="center"/>
        <w:rPr>
          <w:rFonts w:cs="Times New Roman"/>
          <w:b/>
          <w:sz w:val="26"/>
          <w:szCs w:val="26"/>
        </w:rPr>
      </w:pPr>
      <w:r w:rsidRPr="00CD42AF">
        <w:rPr>
          <w:rFonts w:cs="Times New Roman"/>
          <w:b/>
          <w:sz w:val="26"/>
          <w:szCs w:val="26"/>
        </w:rPr>
        <w:t>SUBMITTED ON BEHALF OF</w:t>
      </w:r>
      <w:r>
        <w:rPr>
          <w:rFonts w:cs="Times New Roman"/>
          <w:b/>
          <w:sz w:val="26"/>
          <w:szCs w:val="26"/>
        </w:rPr>
        <w:t xml:space="preserve"> THE STAFF OF</w:t>
      </w:r>
    </w:p>
    <w:p w14:paraId="20C2E2A3" w14:textId="77777777" w:rsidR="00915BED" w:rsidRPr="00CD42AF" w:rsidRDefault="00915BED" w:rsidP="00915BED">
      <w:pPr>
        <w:spacing w:after="0" w:line="240" w:lineRule="auto"/>
        <w:jc w:val="center"/>
        <w:rPr>
          <w:rFonts w:cs="Times New Roman"/>
          <w:sz w:val="26"/>
          <w:szCs w:val="26"/>
        </w:rPr>
      </w:pPr>
      <w:r w:rsidRPr="00CD42AF">
        <w:rPr>
          <w:rFonts w:cs="Times New Roman"/>
          <w:b/>
          <w:sz w:val="26"/>
          <w:szCs w:val="26"/>
        </w:rPr>
        <w:t>THE PUBLIC UTILITIES COMMISSION OF OHIO</w:t>
      </w:r>
    </w:p>
    <w:p w14:paraId="6F7D397D" w14:textId="77777777" w:rsidR="00915BED" w:rsidRPr="00915BED" w:rsidRDefault="00915BED" w:rsidP="00915BED">
      <w:pPr>
        <w:tabs>
          <w:tab w:val="left" w:pos="9360"/>
        </w:tabs>
        <w:jc w:val="both"/>
        <w:rPr>
          <w:rFonts w:cs="Times New Roman"/>
          <w:sz w:val="26"/>
          <w:szCs w:val="26"/>
          <w:u w:val="single"/>
        </w:rPr>
      </w:pPr>
      <w:r>
        <w:rPr>
          <w:rFonts w:cs="Times New Roman"/>
          <w:sz w:val="26"/>
          <w:szCs w:val="26"/>
          <w:u w:val="single"/>
        </w:rPr>
        <w:tab/>
      </w:r>
    </w:p>
    <w:p w14:paraId="32136C0B" w14:textId="77777777" w:rsidR="00915BED" w:rsidRDefault="00915BED" w:rsidP="00915BED">
      <w:pPr>
        <w:pStyle w:val="NoSpacing"/>
      </w:pPr>
    </w:p>
    <w:p w14:paraId="2E24B0BF" w14:textId="77777777" w:rsidR="002E4BCE" w:rsidRPr="00CD42AF" w:rsidRDefault="005E0D99" w:rsidP="00372651">
      <w:pPr>
        <w:pStyle w:val="Heading1"/>
      </w:pPr>
      <w:bookmarkStart w:id="1" w:name="_Toc403739273"/>
      <w:r w:rsidRPr="00CD42AF">
        <w:t>INTRODUCTION</w:t>
      </w:r>
      <w:r w:rsidR="00E42447" w:rsidRPr="00CD42AF">
        <w:t xml:space="preserve"> AND BACKGROUND</w:t>
      </w:r>
      <w:bookmarkEnd w:id="1"/>
    </w:p>
    <w:p w14:paraId="509D658E" w14:textId="72B2F656" w:rsidR="008535AF" w:rsidRDefault="000E73B4" w:rsidP="000E73B4">
      <w:pPr>
        <w:pStyle w:val="textstyle"/>
      </w:pPr>
      <w:r>
        <w:tab/>
      </w:r>
      <w:r w:rsidR="005E0D99" w:rsidRPr="00CD42AF">
        <w:t xml:space="preserve">On </w:t>
      </w:r>
      <w:r w:rsidR="00CE5225">
        <w:t>September 12</w:t>
      </w:r>
      <w:r w:rsidR="00372296">
        <w:t xml:space="preserve">, </w:t>
      </w:r>
      <w:r w:rsidR="00CE5225">
        <w:t>2014</w:t>
      </w:r>
      <w:r w:rsidR="002B0FA8">
        <w:t>, Columbia Gas of Ohio (Columbia or Company</w:t>
      </w:r>
      <w:r w:rsidR="005E0D99" w:rsidRPr="00CD42AF">
        <w:t xml:space="preserve">) filed an </w:t>
      </w:r>
      <w:r w:rsidR="00372296">
        <w:t>appli</w:t>
      </w:r>
      <w:r w:rsidR="002B0FA8">
        <w:softHyphen/>
      </w:r>
      <w:r w:rsidR="00372296">
        <w:t xml:space="preserve">cation in the above captioned case </w:t>
      </w:r>
      <w:r w:rsidR="005E0D99" w:rsidRPr="00CD42AF">
        <w:t xml:space="preserve">seeking authority </w:t>
      </w:r>
      <w:r w:rsidR="0097072C">
        <w:t>from the Public Utilities C</w:t>
      </w:r>
      <w:r w:rsidR="002B0FA8">
        <w:t>om</w:t>
      </w:r>
      <w:r w:rsidR="00372651">
        <w:softHyphen/>
      </w:r>
      <w:r w:rsidR="002B0FA8">
        <w:t xml:space="preserve">mission of Ohio </w:t>
      </w:r>
      <w:r w:rsidR="002B0FA8">
        <w:lastRenderedPageBreak/>
        <w:t>(Commission</w:t>
      </w:r>
      <w:r w:rsidR="00372296">
        <w:t xml:space="preserve">) </w:t>
      </w:r>
      <w:r w:rsidR="005E0D99" w:rsidRPr="00CD42AF">
        <w:t xml:space="preserve">to </w:t>
      </w:r>
      <w:r w:rsidR="00372296">
        <w:t xml:space="preserve">modify its accounting procedures to </w:t>
      </w:r>
      <w:r w:rsidR="00CE5225">
        <w:t>create a regulatory asset and defer for future recovery operating and maintenance (O&amp;M) expenses associ</w:t>
      </w:r>
      <w:r w:rsidR="00372651">
        <w:softHyphen/>
      </w:r>
      <w:r w:rsidR="00CE5225">
        <w:t>ated with implementation of its newly created Pipeline Safety Program (PSP).</w:t>
      </w:r>
      <w:r w:rsidR="002730CB">
        <w:t xml:space="preserve"> </w:t>
      </w:r>
      <w:r w:rsidR="00CE5225">
        <w:t xml:space="preserve"> The PSP </w:t>
      </w:r>
      <w:r w:rsidR="001C1624">
        <w:t xml:space="preserve">was developed in response to </w:t>
      </w:r>
      <w:r w:rsidR="00DF5BBC">
        <w:t>the</w:t>
      </w:r>
      <w:r w:rsidR="001C1624">
        <w:t xml:space="preserve"> U.S. Department of Transportation (U.S. DOT) Pipeline and Hazardous Materials </w:t>
      </w:r>
      <w:r w:rsidR="00DF5BBC">
        <w:t xml:space="preserve">Safety </w:t>
      </w:r>
      <w:r w:rsidR="001C1624">
        <w:t>Administration</w:t>
      </w:r>
      <w:r w:rsidR="00DF5BBC">
        <w:t>’s (PHMSA) rule requiring that all gas distribution companies develop and implement a Distribution Integrity Management Pro</w:t>
      </w:r>
      <w:r w:rsidR="00372651">
        <w:softHyphen/>
      </w:r>
      <w:r w:rsidR="00DF5BBC">
        <w:t>gram (DIMP) that includes a written integrity management plan.</w:t>
      </w:r>
      <w:r w:rsidR="002A0387">
        <w:rPr>
          <w:rStyle w:val="FootnoteReference"/>
        </w:rPr>
        <w:footnoteReference w:id="1"/>
      </w:r>
      <w:r w:rsidR="000365C1" w:rsidRPr="00CD42AF">
        <w:t xml:space="preserve"> </w:t>
      </w:r>
      <w:r w:rsidR="00DF5BBC">
        <w:t xml:space="preserve"> </w:t>
      </w:r>
      <w:r w:rsidR="007F0E1C">
        <w:t xml:space="preserve">PHMSA’s DIMP rule requires that the gas distribution companies identify the risks to </w:t>
      </w:r>
      <w:r w:rsidR="007F0E1C">
        <w:lastRenderedPageBreak/>
        <w:t>their pipelines where incidents could have serious safety consequences and focus priority attention on those risks.</w:t>
      </w:r>
      <w:r w:rsidR="007F0E1C">
        <w:rPr>
          <w:rStyle w:val="FootnoteReference"/>
        </w:rPr>
        <w:footnoteReference w:id="2"/>
      </w:r>
      <w:r w:rsidR="002730CB">
        <w:t xml:space="preserve">  </w:t>
      </w:r>
      <w:r w:rsidR="000C2BF4">
        <w:t xml:space="preserve">Columbia states that it has identified and prioritized the </w:t>
      </w:r>
      <w:r w:rsidR="00AD3540">
        <w:t>risks to its distribution system and that the PSP contains four specific initiatives to address the greatest threats on an accelerated basis.</w:t>
      </w:r>
      <w:r w:rsidR="004002F5">
        <w:rPr>
          <w:rStyle w:val="FootnoteReference"/>
        </w:rPr>
        <w:footnoteReference w:id="3"/>
      </w:r>
      <w:r w:rsidR="004002F5">
        <w:t xml:space="preserve">  </w:t>
      </w:r>
    </w:p>
    <w:p w14:paraId="414DCE14" w14:textId="3DE53360" w:rsidR="004B3766" w:rsidRPr="00CD42AF" w:rsidRDefault="002730CB" w:rsidP="002730CB">
      <w:pPr>
        <w:pStyle w:val="textstyle"/>
      </w:pPr>
      <w:r>
        <w:tab/>
      </w:r>
      <w:r w:rsidR="008535AF">
        <w:t>Columbia</w:t>
      </w:r>
      <w:r w:rsidR="004002F5">
        <w:t xml:space="preserve"> maintains that the costs of implementing the PSP are necessary and pru</w:t>
      </w:r>
      <w:r w:rsidR="00372651">
        <w:softHyphen/>
      </w:r>
      <w:r w:rsidR="004002F5">
        <w:t>dent business expenses in response to PHMSA’s regulations.</w:t>
      </w:r>
      <w:r w:rsidR="004002F5">
        <w:rPr>
          <w:rStyle w:val="FootnoteReference"/>
        </w:rPr>
        <w:footnoteReference w:id="4"/>
      </w:r>
      <w:r w:rsidR="004002F5">
        <w:t xml:space="preserve">  It further maintains that incurrence of the </w:t>
      </w:r>
      <w:r w:rsidR="004002F5">
        <w:lastRenderedPageBreak/>
        <w:t>costs could result in a significant negative impact on its earnings and that the costs are not currently recovered in its base distribution rates.</w:t>
      </w:r>
      <w:r w:rsidR="004002F5">
        <w:rPr>
          <w:rStyle w:val="FootnoteReference"/>
        </w:rPr>
        <w:footnoteReference w:id="5"/>
      </w:r>
      <w:r w:rsidR="004002F5">
        <w:t xml:space="preserve">  </w:t>
      </w:r>
      <w:r w:rsidR="008535AF">
        <w:t xml:space="preserve">The Company states that capital costs associated with the PSP </w:t>
      </w:r>
      <w:r w:rsidR="00B47676">
        <w:t xml:space="preserve">that </w:t>
      </w:r>
      <w:r w:rsidR="008535AF">
        <w:t>are not part of its Application will be addressed via other deferral and recovery mechanisms, such as its Capital Expenditure Program.</w:t>
      </w:r>
      <w:r w:rsidR="00164FBE">
        <w:rPr>
          <w:rStyle w:val="FootnoteReference"/>
        </w:rPr>
        <w:footnoteReference w:id="6"/>
      </w:r>
      <w:r w:rsidR="008535AF">
        <w:t xml:space="preserve">  </w:t>
      </w:r>
      <w:r w:rsidR="00164FBE">
        <w:t>It proposes</w:t>
      </w:r>
      <w:r w:rsidR="008535AF">
        <w:t xml:space="preserve"> that the O&amp;M expenses under the PSP be recorded in </w:t>
      </w:r>
      <w:r w:rsidR="00164FBE">
        <w:t>Account 182 and that the expenses continue to accrue with carrying costs</w:t>
      </w:r>
      <w:r w:rsidR="00164FBE">
        <w:rPr>
          <w:rStyle w:val="FootnoteReference"/>
        </w:rPr>
        <w:footnoteReference w:id="7"/>
      </w:r>
      <w:r w:rsidR="00164FBE">
        <w:t xml:space="preserve"> until a new recovery rider is established via a separate proceeding or its next base rate </w:t>
      </w:r>
      <w:r w:rsidR="00164FBE">
        <w:lastRenderedPageBreak/>
        <w:t>case.</w:t>
      </w:r>
      <w:r w:rsidR="00164FBE">
        <w:rPr>
          <w:rStyle w:val="FootnoteReference"/>
        </w:rPr>
        <w:footnoteReference w:id="8"/>
      </w:r>
      <w:r w:rsidR="00164FBE">
        <w:t xml:space="preserve">   The Company states that, beginning with approval of its Application, annual increases to Account 182 for the PHP will not exceed $15 million per year</w:t>
      </w:r>
      <w:r w:rsidR="00321BF2">
        <w:t>.</w:t>
      </w:r>
      <w:r w:rsidR="00321BF2">
        <w:rPr>
          <w:rStyle w:val="FootnoteReference"/>
        </w:rPr>
        <w:footnoteReference w:id="9"/>
      </w:r>
      <w:r w:rsidR="00321BF2">
        <w:t xml:space="preserve">  </w:t>
      </w:r>
    </w:p>
    <w:p w14:paraId="60E7B8C5" w14:textId="77777777" w:rsidR="009614FF" w:rsidRDefault="00385947" w:rsidP="00B25BB4">
      <w:pPr>
        <w:pStyle w:val="textstyle"/>
      </w:pPr>
      <w:r>
        <w:tab/>
        <w:t xml:space="preserve">On </w:t>
      </w:r>
      <w:r w:rsidR="00A34000">
        <w:t>October 3, 2014</w:t>
      </w:r>
      <w:r>
        <w:t xml:space="preserve">, the Attorney Examiner assigned to </w:t>
      </w:r>
      <w:r w:rsidR="00A34000">
        <w:t xml:space="preserve">this </w:t>
      </w:r>
      <w:r>
        <w:t xml:space="preserve">case issued an Entry </w:t>
      </w:r>
      <w:r w:rsidR="009614FF">
        <w:t>setting a procedural schedule for com</w:t>
      </w:r>
      <w:r w:rsidR="002B0FA8">
        <w:softHyphen/>
      </w:r>
      <w:r w:rsidR="009614FF">
        <w:t>ments on Columbia’s Application as follows:</w:t>
      </w:r>
    </w:p>
    <w:p w14:paraId="34A83FCC" w14:textId="77777777" w:rsidR="008E753D" w:rsidRDefault="00A34000" w:rsidP="00B25BB4">
      <w:pPr>
        <w:pStyle w:val="NoSpacing"/>
        <w:numPr>
          <w:ilvl w:val="0"/>
          <w:numId w:val="3"/>
        </w:numPr>
        <w:spacing w:before="240" w:after="240"/>
        <w:ind w:left="1440" w:right="1440" w:hanging="720"/>
        <w:rPr>
          <w:rFonts w:cs="Times New Roman"/>
          <w:sz w:val="26"/>
          <w:szCs w:val="26"/>
        </w:rPr>
      </w:pPr>
      <w:r>
        <w:rPr>
          <w:rFonts w:cs="Times New Roman"/>
          <w:sz w:val="26"/>
          <w:szCs w:val="26"/>
        </w:rPr>
        <w:t>November 17, 2014</w:t>
      </w:r>
      <w:r w:rsidR="009614FF">
        <w:rPr>
          <w:rFonts w:cs="Times New Roman"/>
          <w:sz w:val="26"/>
          <w:szCs w:val="26"/>
        </w:rPr>
        <w:t xml:space="preserve"> – Deadline for filing of motions to inter</w:t>
      </w:r>
      <w:r w:rsidR="002B0FA8">
        <w:rPr>
          <w:rFonts w:cs="Times New Roman"/>
          <w:sz w:val="26"/>
          <w:szCs w:val="26"/>
        </w:rPr>
        <w:softHyphen/>
      </w:r>
      <w:r w:rsidR="009614FF">
        <w:rPr>
          <w:rFonts w:cs="Times New Roman"/>
          <w:sz w:val="26"/>
          <w:szCs w:val="26"/>
        </w:rPr>
        <w:t>vene;</w:t>
      </w:r>
    </w:p>
    <w:p w14:paraId="35A453F8" w14:textId="77777777" w:rsidR="009614FF" w:rsidRDefault="00A34000" w:rsidP="00B25BB4">
      <w:pPr>
        <w:pStyle w:val="NoSpacing"/>
        <w:numPr>
          <w:ilvl w:val="0"/>
          <w:numId w:val="3"/>
        </w:numPr>
        <w:spacing w:before="240" w:after="240"/>
        <w:ind w:left="1440" w:right="1440" w:hanging="720"/>
        <w:rPr>
          <w:rFonts w:cs="Times New Roman"/>
          <w:sz w:val="26"/>
          <w:szCs w:val="26"/>
        </w:rPr>
      </w:pPr>
      <w:r>
        <w:rPr>
          <w:rFonts w:cs="Times New Roman"/>
          <w:sz w:val="26"/>
          <w:szCs w:val="26"/>
        </w:rPr>
        <w:t>November 17, 2014</w:t>
      </w:r>
      <w:r w:rsidR="009614FF">
        <w:rPr>
          <w:rFonts w:cs="Times New Roman"/>
          <w:sz w:val="26"/>
          <w:szCs w:val="26"/>
        </w:rPr>
        <w:t xml:space="preserve"> – Deadline for the filing of comments on the Application by Staff and interveners; and, </w:t>
      </w:r>
    </w:p>
    <w:p w14:paraId="7C362948" w14:textId="77777777" w:rsidR="009614FF" w:rsidRDefault="00A34000" w:rsidP="00B25BB4">
      <w:pPr>
        <w:pStyle w:val="NoSpacing"/>
        <w:numPr>
          <w:ilvl w:val="0"/>
          <w:numId w:val="3"/>
        </w:numPr>
        <w:spacing w:before="240" w:after="240"/>
        <w:ind w:left="1440" w:right="1440" w:hanging="720"/>
        <w:rPr>
          <w:rFonts w:cs="Times New Roman"/>
          <w:sz w:val="26"/>
          <w:szCs w:val="26"/>
        </w:rPr>
      </w:pPr>
      <w:r>
        <w:rPr>
          <w:rFonts w:cs="Times New Roman"/>
          <w:sz w:val="26"/>
          <w:szCs w:val="26"/>
        </w:rPr>
        <w:t>December 2, 2014</w:t>
      </w:r>
      <w:r w:rsidR="009614FF">
        <w:rPr>
          <w:rFonts w:cs="Times New Roman"/>
          <w:sz w:val="26"/>
          <w:szCs w:val="26"/>
        </w:rPr>
        <w:t xml:space="preserve"> – Deadline for all parties to file reply com</w:t>
      </w:r>
      <w:r w:rsidR="002B0FA8">
        <w:rPr>
          <w:rFonts w:cs="Times New Roman"/>
          <w:sz w:val="26"/>
          <w:szCs w:val="26"/>
        </w:rPr>
        <w:softHyphen/>
      </w:r>
      <w:r w:rsidR="009614FF">
        <w:rPr>
          <w:rFonts w:cs="Times New Roman"/>
          <w:sz w:val="26"/>
          <w:szCs w:val="26"/>
        </w:rPr>
        <w:t xml:space="preserve">ments.  </w:t>
      </w:r>
    </w:p>
    <w:p w14:paraId="44DAA757" w14:textId="07BEDFDD" w:rsidR="00A34000" w:rsidRDefault="00A34000" w:rsidP="002730CB">
      <w:pPr>
        <w:pStyle w:val="textstyle"/>
      </w:pPr>
      <w:r>
        <w:t>Pursuant to the Attorney Examiner’s Entry, the Staff offers the comments and recom</w:t>
      </w:r>
      <w:r w:rsidR="007355E1">
        <w:softHyphen/>
      </w:r>
      <w:r>
        <w:t>mendations set forth below.</w:t>
      </w:r>
    </w:p>
    <w:p w14:paraId="13529BEF" w14:textId="77777777" w:rsidR="008E753D" w:rsidRPr="00CD42AF" w:rsidRDefault="00385947" w:rsidP="00372651">
      <w:pPr>
        <w:pStyle w:val="Heading1"/>
      </w:pPr>
      <w:bookmarkStart w:id="2" w:name="_Toc403739274"/>
      <w:r>
        <w:lastRenderedPageBreak/>
        <w:t xml:space="preserve">COLUMBIA’S APPLICATION AND PROPOSED </w:t>
      </w:r>
      <w:r w:rsidR="00A34000">
        <w:t>PSP</w:t>
      </w:r>
      <w:bookmarkEnd w:id="2"/>
    </w:p>
    <w:p w14:paraId="6334E5CE" w14:textId="74108667" w:rsidR="00AC0CCE" w:rsidRDefault="00B62DFA" w:rsidP="00B25BB4">
      <w:pPr>
        <w:pStyle w:val="textstyle"/>
      </w:pPr>
      <w:r>
        <w:tab/>
      </w:r>
      <w:r w:rsidR="001408B2">
        <w:t>Columbia</w:t>
      </w:r>
      <w:r w:rsidR="00A1746B">
        <w:t>’s Application proposes that when the Company seeks to recover the deferred PSP amounts, it will propose an amortization period that will result in a rider amount not greater than $0.50 per month for customers served under the Small General Service rate schedule, unless the Staff and</w:t>
      </w:r>
      <w:r w:rsidR="00B47676">
        <w:t xml:space="preserve"> Columbia determine that a higher</w:t>
      </w:r>
      <w:r w:rsidR="00A1746B">
        <w:t xml:space="preserve"> customer charge is appropriate.</w:t>
      </w:r>
      <w:r w:rsidR="00A1746B">
        <w:rPr>
          <w:rStyle w:val="FootnoteReference"/>
        </w:rPr>
        <w:footnoteReference w:id="10"/>
      </w:r>
      <w:r w:rsidR="00A1746B">
        <w:t xml:space="preserve">  It also proposes that the Company will file an annual report on </w:t>
      </w:r>
      <w:r w:rsidR="00C612F7">
        <w:t>June</w:t>
      </w:r>
      <w:r w:rsidR="00A1746B">
        <w:t xml:space="preserve"> 1 of each </w:t>
      </w:r>
      <w:r w:rsidR="00C612F7">
        <w:t>year beginning in 2016 that will specify annual and cumulative PSP expenses and identify the monthly expenditures for each PSP component on an annual basis.  In addition, the annual report will include an audit report prepared by the Com</w:t>
      </w:r>
      <w:r w:rsidR="00372651">
        <w:softHyphen/>
      </w:r>
      <w:r w:rsidR="00C612F7">
        <w:t xml:space="preserve">pany’s external auditor presenting the auditor’s findings regarding the accuracy </w:t>
      </w:r>
      <w:r w:rsidR="00C612F7">
        <w:lastRenderedPageBreak/>
        <w:t>of Columbia’s accounting for PSP expenditures.</w:t>
      </w:r>
      <w:r w:rsidR="00AC0CCE">
        <w:rPr>
          <w:rStyle w:val="FootnoteReference"/>
        </w:rPr>
        <w:footnoteReference w:id="11"/>
      </w:r>
      <w:r w:rsidR="00C612F7">
        <w:t xml:space="preserve">  Columbia further proposes that the Staff annually review Columbia’s reported PSP expenses and file a report to the Commission that </w:t>
      </w:r>
      <w:r w:rsidR="00AC0CCE">
        <w:t xml:space="preserve">includes a detailed examination and determination that the PSP deferrals are properly recorded on Columbia’s books and </w:t>
      </w:r>
      <w:r w:rsidR="00C612F7">
        <w:t xml:space="preserve">specifies any PSP expenditures that </w:t>
      </w:r>
      <w:r w:rsidR="00AC0CCE">
        <w:t>Staff believes should not be deferred.</w:t>
      </w:r>
      <w:r w:rsidR="00AC0CCE">
        <w:rPr>
          <w:rStyle w:val="FootnoteReference"/>
        </w:rPr>
        <w:footnoteReference w:id="12"/>
      </w:r>
      <w:r w:rsidR="00C612F7">
        <w:t xml:space="preserve"> </w:t>
      </w:r>
      <w:r w:rsidR="00AC0CCE">
        <w:t xml:space="preserve"> The Company </w:t>
      </w:r>
      <w:r w:rsidR="001408B2">
        <w:t xml:space="preserve">proposes </w:t>
      </w:r>
      <w:r w:rsidR="00AC0CCE">
        <w:t>that it would then have 30 days to object to the Staff’s report, and, if it files such an objection, then the Commission would establish a procedural schedule for filing of expert testimony and an evidentiary hear</w:t>
      </w:r>
      <w:r w:rsidR="00372651">
        <w:softHyphen/>
      </w:r>
      <w:r w:rsidR="00AC0CCE">
        <w:t>ing.</w:t>
      </w:r>
      <w:r w:rsidR="00AC0CCE">
        <w:rPr>
          <w:rStyle w:val="FootnoteReference"/>
        </w:rPr>
        <w:footnoteReference w:id="13"/>
      </w:r>
    </w:p>
    <w:p w14:paraId="7F6102B3" w14:textId="22C39EDD" w:rsidR="00DF2922" w:rsidRDefault="00DF2922" w:rsidP="00B25BB4">
      <w:pPr>
        <w:pStyle w:val="textstyle"/>
      </w:pPr>
      <w:r>
        <w:lastRenderedPageBreak/>
        <w:tab/>
        <w:t>Columbia’s PSP consists of four sub-parts or “initiatives” that the Company main</w:t>
      </w:r>
      <w:r w:rsidR="00372651">
        <w:softHyphen/>
      </w:r>
      <w:r>
        <w:t>tains are designed to accelerate risk reduction across its distribution system.  The four ini</w:t>
      </w:r>
      <w:r w:rsidR="00372651">
        <w:softHyphen/>
      </w:r>
      <w:r>
        <w:t>tiatives are: 1) the Cross Bore Safety Initiative (CBSI); 2) the Damage Prevention Tech</w:t>
      </w:r>
      <w:r w:rsidR="00372651">
        <w:softHyphen/>
      </w:r>
      <w:r>
        <w:t xml:space="preserve">nology Initiative </w:t>
      </w:r>
      <w:r w:rsidR="00666734">
        <w:t>(</w:t>
      </w:r>
      <w:r>
        <w:t xml:space="preserve">DPTI); 3) the Advanced Workforce Training Initiative (AWTI); and 4) the Enhanced Public Awareness Initiative (EPAI).  With the CBSI, Columbia indicates that it will systematically identify, investigate, and remediate potentially dangerous cross bores on its system.  </w:t>
      </w:r>
      <w:r w:rsidR="00BE2D3E">
        <w:t>The Company states that c</w:t>
      </w:r>
      <w:r w:rsidRPr="00DF2922">
        <w:t xml:space="preserve">ross bores stem from the increased use of trenchless technology </w:t>
      </w:r>
      <w:r w:rsidR="00BE2D3E">
        <w:t xml:space="preserve">(also called “directional boring”) </w:t>
      </w:r>
      <w:r w:rsidRPr="00DF2922">
        <w:t>to install underground lines and are most commonly found in storm and/or sanitary sewer infrastructure. Columbia defines cross bores as “the intersection of one underground utility or structure by a sec</w:t>
      </w:r>
      <w:r w:rsidR="00372651">
        <w:softHyphen/>
      </w:r>
      <w:r w:rsidRPr="00DF2922">
        <w:t xml:space="preserve">ond underground utility or structure that compromises the structural integrity of </w:t>
      </w:r>
      <w:r w:rsidRPr="00DF2922">
        <w:lastRenderedPageBreak/>
        <w:t>the underground utility and or the underground structure.”</w:t>
      </w:r>
      <w:r w:rsidR="00BE2D3E">
        <w:rPr>
          <w:rStyle w:val="FootnoteReference"/>
        </w:rPr>
        <w:footnoteReference w:id="14"/>
      </w:r>
      <w:r w:rsidR="00BE2D3E">
        <w:t xml:space="preserve">  </w:t>
      </w:r>
      <w:r w:rsidRPr="00DF2922">
        <w:t xml:space="preserve">The </w:t>
      </w:r>
      <w:r w:rsidR="00BE2D3E">
        <w:t>Company states that the CBSI</w:t>
      </w:r>
      <w:r w:rsidRPr="00DF2922">
        <w:t xml:space="preserve"> is de</w:t>
      </w:r>
      <w:r w:rsidR="004B729C">
        <w:t>s</w:t>
      </w:r>
      <w:r w:rsidRPr="00DF2922">
        <w:t xml:space="preserve">igned to investigate cross bored utility infrastructure across </w:t>
      </w:r>
      <w:r w:rsidR="00BE2D3E">
        <w:t>its</w:t>
      </w:r>
      <w:r w:rsidRPr="00DF2922">
        <w:t xml:space="preserve"> distribution system. </w:t>
      </w:r>
      <w:r w:rsidR="00BE2D3E">
        <w:t xml:space="preserve"> </w:t>
      </w:r>
      <w:r w:rsidRPr="00DF2922">
        <w:t>Investigation costs could include, but are not limited to, dedicated personnel for cr</w:t>
      </w:r>
      <w:r w:rsidR="00C40DBE">
        <w:t>oss bore investigations, use of</w:t>
      </w:r>
      <w:r w:rsidRPr="00DF2922">
        <w:t xml:space="preserve"> camera systems through sewer lines to visually inspect whether cross bores exist in the sewer mains and laterals, internal inspec</w:t>
      </w:r>
      <w:r w:rsidR="00372651">
        <w:softHyphen/>
      </w:r>
      <w:r w:rsidRPr="00DF2922">
        <w:t xml:space="preserve">tions of Columbia’s distribution mains and service </w:t>
      </w:r>
      <w:r w:rsidR="00C40DBE">
        <w:t>lines and any O&amp;M expense</w:t>
      </w:r>
      <w:r w:rsidR="00672AF8">
        <w:t>s</w:t>
      </w:r>
      <w:r w:rsidR="00C40DBE">
        <w:t xml:space="preserve"> to remediate</w:t>
      </w:r>
      <w:r w:rsidRPr="00DF2922">
        <w:t xml:space="preserve"> cross bores.</w:t>
      </w:r>
    </w:p>
    <w:p w14:paraId="47B17853" w14:textId="0F24CDDE" w:rsidR="00DF2922" w:rsidRPr="00DF2922" w:rsidRDefault="00DF2922" w:rsidP="00DF2922">
      <w:pPr>
        <w:pStyle w:val="textstyle"/>
      </w:pPr>
      <w:r>
        <w:tab/>
      </w:r>
      <w:r w:rsidR="00BE2D3E">
        <w:t>For</w:t>
      </w:r>
      <w:r w:rsidRPr="00DF2922">
        <w:t xml:space="preserve"> the DPTI, Columbia proposes to implement new technologies and damage prevention activities designed to reduce system risks associated with excavation damage by 1) targeting gaps in and improving the accuracy of its infrastructure records and 2) using a risk assessment tool to </w:t>
      </w:r>
      <w:r w:rsidRPr="00DF2922">
        <w:lastRenderedPageBreak/>
        <w:t xml:space="preserve">increase the effectiveness of its responses to one-call (811-Call Before You Dig) tickets. </w:t>
      </w:r>
      <w:r w:rsidR="00BE2D3E">
        <w:t xml:space="preserve"> </w:t>
      </w:r>
      <w:r w:rsidRPr="00DF2922">
        <w:t xml:space="preserve">Columbia </w:t>
      </w:r>
      <w:r w:rsidR="00BE2D3E">
        <w:t xml:space="preserve">states that it </w:t>
      </w:r>
      <w:r w:rsidRPr="00DF2922">
        <w:t xml:space="preserve">has identified three root causes of excavation damage: excavator errors, poor records, and locate error. </w:t>
      </w:r>
      <w:r w:rsidR="00BE2D3E">
        <w:t xml:space="preserve"> </w:t>
      </w:r>
      <w:r w:rsidRPr="00DF2922">
        <w:t xml:space="preserve">The </w:t>
      </w:r>
      <w:r w:rsidR="00B907BC">
        <w:t xml:space="preserve">Company maintains that the </w:t>
      </w:r>
      <w:r w:rsidRPr="00DF2922">
        <w:t xml:space="preserve">DPTI will enable </w:t>
      </w:r>
      <w:r w:rsidR="00B907BC">
        <w:t>it</w:t>
      </w:r>
      <w:r w:rsidRPr="00DF2922">
        <w:t xml:space="preserve"> to provide more precise locations of facilities and effectively execute 811 location requests in a proactive manner</w:t>
      </w:r>
      <w:r w:rsidR="00B907BC">
        <w:t xml:space="preserve"> </w:t>
      </w:r>
      <w:r w:rsidRPr="00DF2922">
        <w:t>to further reduce excava</w:t>
      </w:r>
      <w:r w:rsidR="007355E1">
        <w:softHyphen/>
      </w:r>
      <w:r w:rsidRPr="00DF2922">
        <w:t xml:space="preserve">tion damage. </w:t>
      </w:r>
      <w:r w:rsidR="002730CB">
        <w:t xml:space="preserve"> </w:t>
      </w:r>
      <w:r w:rsidR="00B907BC">
        <w:t>The Company indicates that i</w:t>
      </w:r>
      <w:r w:rsidRPr="00DF2922">
        <w:t xml:space="preserve">nvestigation costs may </w:t>
      </w:r>
      <w:r w:rsidR="002B386E">
        <w:t>include, but are not limited to: using</w:t>
      </w:r>
      <w:r w:rsidRPr="00DF2922">
        <w:t xml:space="preserve"> GPS technology to map the location and attributes of gas facilities, utilizing RFID markers, marker tape, </w:t>
      </w:r>
      <w:r w:rsidR="002B386E">
        <w:t xml:space="preserve">and </w:t>
      </w:r>
      <w:r w:rsidRPr="00DF2922">
        <w:t>vacuum excavation to expose the facility, imple</w:t>
      </w:r>
      <w:r w:rsidR="00372651">
        <w:softHyphen/>
      </w:r>
      <w:r w:rsidR="002B386E">
        <w:t>menting</w:t>
      </w:r>
      <w:r w:rsidRPr="00DF2922">
        <w:t xml:space="preserve"> a one-call risk assessment model, and additional hiring of internal staff.</w:t>
      </w:r>
    </w:p>
    <w:p w14:paraId="7E61E62F" w14:textId="009CE789" w:rsidR="00DF2922" w:rsidRPr="00DF2922" w:rsidRDefault="00DF2922" w:rsidP="00DF2922">
      <w:pPr>
        <w:pStyle w:val="textstyle"/>
      </w:pPr>
      <w:r>
        <w:tab/>
      </w:r>
      <w:r w:rsidR="00D61EB0">
        <w:t xml:space="preserve">Under the </w:t>
      </w:r>
      <w:r w:rsidRPr="00DF2922">
        <w:t>AWTI</w:t>
      </w:r>
      <w:r w:rsidR="00D61EB0">
        <w:t>,</w:t>
      </w:r>
      <w:r w:rsidRPr="00DF2922">
        <w:t xml:space="preserve"> Columbia intends to build or lease a training facility that repli</w:t>
      </w:r>
      <w:r w:rsidR="00372651">
        <w:softHyphen/>
      </w:r>
      <w:r w:rsidRPr="00DF2922">
        <w:t xml:space="preserve">cates a town where modern technologies and training approaches </w:t>
      </w:r>
      <w:r w:rsidR="00D61EB0">
        <w:t>will</w:t>
      </w:r>
      <w:r w:rsidRPr="00DF2922">
        <w:t xml:space="preserve"> be utilized to train new employees </w:t>
      </w:r>
      <w:r w:rsidR="00D61EB0">
        <w:lastRenderedPageBreak/>
        <w:t>through the use of</w:t>
      </w:r>
      <w:r w:rsidRPr="00DF2922">
        <w:t xml:space="preserve"> simulat</w:t>
      </w:r>
      <w:r w:rsidR="00D61EB0">
        <w:t>ed</w:t>
      </w:r>
      <w:r w:rsidRPr="00DF2922">
        <w:t xml:space="preserve"> gas leaks and various emergency response scenarios under the controlled oversight of experienced trainers.  </w:t>
      </w:r>
      <w:r w:rsidR="00D61EB0">
        <w:t>The Company indicates that t</w:t>
      </w:r>
      <w:r w:rsidRPr="00DF2922">
        <w:t>he training facility may also be used to train outside contractors, first responders</w:t>
      </w:r>
      <w:r w:rsidR="00D61EB0">
        <w:t>,</w:t>
      </w:r>
      <w:r w:rsidRPr="00DF2922">
        <w:t xml:space="preserve"> and</w:t>
      </w:r>
      <w:r w:rsidR="00D61EB0">
        <w:t>,</w:t>
      </w:r>
      <w:r w:rsidRPr="00DF2922">
        <w:t xml:space="preserve"> perhaps</w:t>
      </w:r>
      <w:r w:rsidR="00D61EB0">
        <w:t>,</w:t>
      </w:r>
      <w:r w:rsidRPr="00DF2922">
        <w:t xml:space="preserve"> small gas companies.  </w:t>
      </w:r>
      <w:r w:rsidR="00D61EB0">
        <w:t>The Company</w:t>
      </w:r>
      <w:r w:rsidRPr="00DF2922">
        <w:t xml:space="preserve"> also </w:t>
      </w:r>
      <w:r w:rsidR="00D61EB0">
        <w:t>plans to utilize experienced train</w:t>
      </w:r>
      <w:r w:rsidR="00372651">
        <w:softHyphen/>
      </w:r>
      <w:r w:rsidR="00D61EB0">
        <w:t xml:space="preserve">ers to </w:t>
      </w:r>
      <w:r w:rsidRPr="00DF2922">
        <w:t xml:space="preserve">conduct classroom training </w:t>
      </w:r>
      <w:r w:rsidR="00D61EB0">
        <w:t xml:space="preserve">for new and existing employees </w:t>
      </w:r>
      <w:r w:rsidRPr="00DF2922">
        <w:t>that will emphasize advanced emergency response techniques, new technologies</w:t>
      </w:r>
      <w:r w:rsidR="00D61EB0">
        <w:t>,</w:t>
      </w:r>
      <w:r w:rsidRPr="00DF2922">
        <w:t xml:space="preserve"> and learning maintenance and construction skills</w:t>
      </w:r>
      <w:r w:rsidR="00D61EB0">
        <w:t>.</w:t>
      </w:r>
      <w:r w:rsidRPr="00DF2922">
        <w:t xml:space="preserve">  </w:t>
      </w:r>
      <w:r w:rsidR="00D61EB0">
        <w:t>In addition, the Company plans to utilize new technology to pro</w:t>
      </w:r>
      <w:r w:rsidR="00372651">
        <w:softHyphen/>
      </w:r>
      <w:r w:rsidR="00D61EB0">
        <w:t>vide field personnel immediate and direct access to manuals and other reference material</w:t>
      </w:r>
      <w:r w:rsidR="00871FF5">
        <w:t>s</w:t>
      </w:r>
      <w:r w:rsidR="00D61EB0">
        <w:t xml:space="preserve"> at the job site.  Columbia maintains that its workforce is aging and that </w:t>
      </w:r>
      <w:r w:rsidR="004F4A67">
        <w:t>new and more efficient and cost-effective training methods are needed.</w:t>
      </w:r>
      <w:r w:rsidRPr="00DF2922">
        <w:t xml:space="preserve"> </w:t>
      </w:r>
    </w:p>
    <w:p w14:paraId="0CC897B5" w14:textId="523E72BD" w:rsidR="00B475DC" w:rsidRDefault="00DF2922" w:rsidP="00DF2922">
      <w:pPr>
        <w:pStyle w:val="textstyle"/>
      </w:pPr>
      <w:r>
        <w:tab/>
      </w:r>
      <w:r w:rsidR="004F4A67">
        <w:t xml:space="preserve">Under the EPAI, </w:t>
      </w:r>
      <w:r w:rsidRPr="00DF2922">
        <w:t xml:space="preserve">Columbia proposes to enhance </w:t>
      </w:r>
      <w:r w:rsidR="004F4A67">
        <w:t xml:space="preserve">its current </w:t>
      </w:r>
      <w:r w:rsidRPr="00DF2922">
        <w:t xml:space="preserve">public awareness </w:t>
      </w:r>
      <w:r w:rsidR="004F4A67">
        <w:t>and</w:t>
      </w:r>
      <w:r w:rsidRPr="00DF2922">
        <w:t xml:space="preserve"> outreach campaigns</w:t>
      </w:r>
      <w:r w:rsidR="004F4A67">
        <w:t xml:space="preserve">.  The Company states that its current program consists of a radio campaign focusing </w:t>
      </w:r>
      <w:r w:rsidR="004F4A67">
        <w:lastRenderedPageBreak/>
        <w:t xml:space="preserve">on informing customers to </w:t>
      </w:r>
      <w:r w:rsidRPr="00DF2922">
        <w:t xml:space="preserve">“Call </w:t>
      </w:r>
      <w:proofErr w:type="gramStart"/>
      <w:r w:rsidRPr="00DF2922">
        <w:t>Before</w:t>
      </w:r>
      <w:proofErr w:type="gramEnd"/>
      <w:r w:rsidR="004F4A67">
        <w:t xml:space="preserve"> </w:t>
      </w:r>
      <w:r w:rsidRPr="00DF2922">
        <w:t xml:space="preserve">You Dig” and </w:t>
      </w:r>
      <w:r w:rsidR="004F4A67">
        <w:t xml:space="preserve">to call </w:t>
      </w:r>
      <w:r w:rsidRPr="00DF2922">
        <w:t xml:space="preserve">Columbia if </w:t>
      </w:r>
      <w:r w:rsidR="004F4A67">
        <w:t>they</w:t>
      </w:r>
      <w:r w:rsidRPr="00DF2922">
        <w:t xml:space="preserve"> smell gas.  </w:t>
      </w:r>
      <w:r w:rsidR="004F4A67">
        <w:t xml:space="preserve">The Company plans to engage a third-party </w:t>
      </w:r>
      <w:r w:rsidRPr="00DF2922">
        <w:t xml:space="preserve">marketing firm </w:t>
      </w:r>
      <w:r w:rsidR="004F4A67">
        <w:t xml:space="preserve">to develop </w:t>
      </w:r>
      <w:r w:rsidRPr="00DF2922">
        <w:t xml:space="preserve">new </w:t>
      </w:r>
      <w:r w:rsidR="004F4A67">
        <w:t xml:space="preserve">outreach and awareness campaigns to supplement its existing program.  This firm will also measure the effectiveness of Columbia’s existing campaign </w:t>
      </w:r>
      <w:r w:rsidR="006836C8">
        <w:t>and use the measure as a baseline to develop, target, and measure the success of new awareness and outreach efforts</w:t>
      </w:r>
      <w:r w:rsidRPr="00DF2922">
        <w:t xml:space="preserve">.  </w:t>
      </w:r>
      <w:r w:rsidR="006836C8">
        <w:t>The Company</w:t>
      </w:r>
      <w:r w:rsidRPr="00DF2922">
        <w:t xml:space="preserve"> is also considering </w:t>
      </w:r>
      <w:r w:rsidR="006836C8">
        <w:t xml:space="preserve">creating </w:t>
      </w:r>
      <w:r w:rsidRPr="00DF2922">
        <w:t>public liaison coordi</w:t>
      </w:r>
      <w:r w:rsidR="00372651">
        <w:softHyphen/>
      </w:r>
      <w:r w:rsidRPr="00DF2922">
        <w:t>na</w:t>
      </w:r>
      <w:r w:rsidR="007355E1">
        <w:softHyphen/>
      </w:r>
      <w:r w:rsidRPr="00DF2922">
        <w:t>tors to target outreach within its communities.  Th</w:t>
      </w:r>
      <w:r w:rsidR="006836C8">
        <w:t xml:space="preserve">ese </w:t>
      </w:r>
      <w:r w:rsidRPr="00DF2922">
        <w:t>coordinator</w:t>
      </w:r>
      <w:r w:rsidR="006836C8">
        <w:t xml:space="preserve">s </w:t>
      </w:r>
      <w:r w:rsidRPr="00DF2922">
        <w:t xml:space="preserve">would work with Columbia Operations </w:t>
      </w:r>
      <w:r w:rsidR="006836C8">
        <w:t xml:space="preserve">personnel </w:t>
      </w:r>
      <w:r w:rsidRPr="00DF2922">
        <w:t>to meet with public officials and first responders to dis</w:t>
      </w:r>
      <w:r w:rsidR="00372651">
        <w:softHyphen/>
      </w:r>
      <w:r w:rsidRPr="00DF2922">
        <w:t>cuss pipeline safety issues, third-party damage, Ohio Utility Protection Service</w:t>
      </w:r>
      <w:r w:rsidR="006836C8">
        <w:t>,</w:t>
      </w:r>
      <w:r w:rsidRPr="00DF2922">
        <w:t xml:space="preserve"> and emergency response when a gas leak or dig-in has occurred.  </w:t>
      </w:r>
      <w:r w:rsidR="006836C8">
        <w:t xml:space="preserve">In addition, the </w:t>
      </w:r>
      <w:r w:rsidRPr="00DF2922">
        <w:t xml:space="preserve">coordinators would also </w:t>
      </w:r>
      <w:r w:rsidR="006836C8">
        <w:t>work to</w:t>
      </w:r>
      <w:r w:rsidRPr="00DF2922">
        <w:t xml:space="preserve"> educate excavators </w:t>
      </w:r>
      <w:r w:rsidR="006836C8">
        <w:t xml:space="preserve">that are </w:t>
      </w:r>
      <w:r w:rsidRPr="00DF2922">
        <w:t xml:space="preserve">digging </w:t>
      </w:r>
      <w:r w:rsidR="006836C8">
        <w:t>close to C</w:t>
      </w:r>
      <w:r w:rsidRPr="00DF2922">
        <w:t xml:space="preserve">olumbia’s facilities on natural gas safety, one-call laws, </w:t>
      </w:r>
      <w:r w:rsidR="006836C8">
        <w:t xml:space="preserve">and </w:t>
      </w:r>
      <w:r w:rsidRPr="00DF2922">
        <w:t>safe digging practices</w:t>
      </w:r>
      <w:r w:rsidR="006836C8">
        <w:t>.</w:t>
      </w:r>
      <w:r w:rsidRPr="00DF2922">
        <w:t xml:space="preserve"> </w:t>
      </w:r>
    </w:p>
    <w:p w14:paraId="0670AD56" w14:textId="77777777" w:rsidR="00B9713C" w:rsidRDefault="00B475DC" w:rsidP="00372651">
      <w:pPr>
        <w:pStyle w:val="Heading1"/>
      </w:pPr>
      <w:bookmarkStart w:id="3" w:name="_Toc403739275"/>
      <w:r>
        <w:lastRenderedPageBreak/>
        <w:t>STAFF’S REVIEW</w:t>
      </w:r>
      <w:bookmarkEnd w:id="3"/>
    </w:p>
    <w:p w14:paraId="2BB660A9" w14:textId="6FEC8EA2" w:rsidR="00CD60B1" w:rsidRDefault="00601DD8" w:rsidP="00B25BB4">
      <w:pPr>
        <w:pStyle w:val="textstyle"/>
      </w:pPr>
      <w:r>
        <w:tab/>
        <w:t xml:space="preserve">The Staff has reviewed Columbia’s Application and proposed </w:t>
      </w:r>
      <w:r w:rsidR="00BF22CD">
        <w:t xml:space="preserve">PSP </w:t>
      </w:r>
      <w:r w:rsidR="00882879">
        <w:t xml:space="preserve">to determine if, in the Staff’s opinion, the </w:t>
      </w:r>
      <w:r w:rsidR="00BF22CD">
        <w:t>Application and PSP</w:t>
      </w:r>
      <w:r w:rsidR="00CD60B1">
        <w:t xml:space="preserve"> comport with</w:t>
      </w:r>
      <w:r w:rsidR="00CD60B1" w:rsidRPr="00CD60B1">
        <w:t xml:space="preserve"> </w:t>
      </w:r>
      <w:r w:rsidR="00CD60B1" w:rsidRPr="00CD42AF">
        <w:t>sound rate</w:t>
      </w:r>
      <w:r w:rsidR="00372651">
        <w:softHyphen/>
      </w:r>
      <w:r w:rsidR="00CD60B1" w:rsidRPr="00CD42AF">
        <w:t>making principals regarding</w:t>
      </w:r>
      <w:r w:rsidR="00871FF5">
        <w:t xml:space="preserve"> utility cost deferrals</w:t>
      </w:r>
      <w:r w:rsidR="00CD60B1" w:rsidRPr="00CD42AF">
        <w:t xml:space="preserve"> for potential future recovery.</w:t>
      </w:r>
      <w:r w:rsidR="00CD60B1">
        <w:t xml:space="preserve">  </w:t>
      </w:r>
      <w:r w:rsidR="00BF22CD">
        <w:t xml:space="preserve">In </w:t>
      </w:r>
      <w:r w:rsidR="00CD60B1" w:rsidRPr="00CD42AF">
        <w:t>these</w:t>
      </w:r>
      <w:r w:rsidR="00CD60B1">
        <w:t xml:space="preserve"> </w:t>
      </w:r>
      <w:r w:rsidR="0056760B">
        <w:t>Comments</w:t>
      </w:r>
      <w:r w:rsidR="00CD60B1" w:rsidRPr="00CD42AF">
        <w:t xml:space="preserve">, the Staff </w:t>
      </w:r>
      <w:r w:rsidR="00CD60B1">
        <w:t>is taking</w:t>
      </w:r>
      <w:r w:rsidR="00CD60B1" w:rsidRPr="00CD42AF">
        <w:t xml:space="preserve"> no position </w:t>
      </w:r>
      <w:r w:rsidR="00CD60B1">
        <w:t>on</w:t>
      </w:r>
      <w:r w:rsidR="00CD60B1" w:rsidRPr="00CD42AF">
        <w:t xml:space="preserve"> the </w:t>
      </w:r>
      <w:r w:rsidR="00BF22CD">
        <w:t>future recoverability of deferred amount</w:t>
      </w:r>
      <w:r w:rsidR="00B907BC">
        <w:t>s</w:t>
      </w:r>
      <w:r w:rsidR="00BF22CD">
        <w:t xml:space="preserve"> associated with the</w:t>
      </w:r>
      <w:r w:rsidR="00B907BC">
        <w:t xml:space="preserve"> PSP</w:t>
      </w:r>
      <w:r w:rsidR="00CD60B1">
        <w:t xml:space="preserve">.  </w:t>
      </w:r>
      <w:r w:rsidR="00BF22CD">
        <w:t>Furthermore</w:t>
      </w:r>
      <w:r w:rsidR="0056760B">
        <w:t>, t</w:t>
      </w:r>
      <w:r w:rsidR="00CD60B1" w:rsidRPr="00CD42AF">
        <w:t xml:space="preserve">he Staff’s lack of </w:t>
      </w:r>
      <w:r w:rsidR="00CD60B1">
        <w:t xml:space="preserve">comments or </w:t>
      </w:r>
      <w:r w:rsidR="00CD60B1" w:rsidRPr="00CD42AF">
        <w:t xml:space="preserve">objection to </w:t>
      </w:r>
      <w:r w:rsidR="00BF22CD">
        <w:t xml:space="preserve">Columbia’s Application or PSP </w:t>
      </w:r>
      <w:r w:rsidR="00CD60B1">
        <w:t xml:space="preserve">should </w:t>
      </w:r>
      <w:r w:rsidR="00BF22CD">
        <w:t>not</w:t>
      </w:r>
      <w:r w:rsidR="00CD60B1">
        <w:t xml:space="preserve"> </w:t>
      </w:r>
      <w:r w:rsidR="00CD60B1" w:rsidRPr="00CD42AF">
        <w:t xml:space="preserve">be construed as the Staff’s lack of objection or support for future recovery of </w:t>
      </w:r>
      <w:r w:rsidR="00D83E32">
        <w:t xml:space="preserve">the </w:t>
      </w:r>
      <w:r w:rsidR="00BF22CD">
        <w:t xml:space="preserve">PSP expenditures </w:t>
      </w:r>
      <w:r w:rsidR="00D83E32">
        <w:t xml:space="preserve">or related </w:t>
      </w:r>
      <w:r w:rsidR="00CD60B1" w:rsidRPr="00CD42AF">
        <w:t>deferred amounts</w:t>
      </w:r>
      <w:r w:rsidR="00CD60B1">
        <w:t xml:space="preserve">. </w:t>
      </w:r>
      <w:r w:rsidR="00CD60B1" w:rsidRPr="00CD42AF">
        <w:t xml:space="preserve"> </w:t>
      </w:r>
      <w:r w:rsidR="00BF22CD">
        <w:t>T</w:t>
      </w:r>
      <w:r w:rsidR="00CD60B1" w:rsidRPr="00CD42AF">
        <w:t xml:space="preserve">he Staff </w:t>
      </w:r>
      <w:r w:rsidR="00B41A53">
        <w:t xml:space="preserve">will </w:t>
      </w:r>
      <w:r w:rsidR="00CD60B1" w:rsidRPr="00CD42AF">
        <w:t xml:space="preserve">investigate and </w:t>
      </w:r>
      <w:r w:rsidR="00BF22CD">
        <w:t>recommend</w:t>
      </w:r>
      <w:r w:rsidR="00BF22CD" w:rsidRPr="00CD42AF">
        <w:t xml:space="preserve"> </w:t>
      </w:r>
      <w:r w:rsidR="00CD60B1" w:rsidRPr="00CD42AF">
        <w:t>any nec</w:t>
      </w:r>
      <w:r w:rsidR="001420B4">
        <w:softHyphen/>
      </w:r>
      <w:r w:rsidR="00CD60B1" w:rsidRPr="00CD42AF">
        <w:t>essary adjust</w:t>
      </w:r>
      <w:r w:rsidR="002B0FA8">
        <w:softHyphen/>
      </w:r>
      <w:r w:rsidR="00CD60B1" w:rsidRPr="00CD42AF">
        <w:t xml:space="preserve">ments to the </w:t>
      </w:r>
      <w:r w:rsidR="00BF22CD">
        <w:t xml:space="preserve">PSP </w:t>
      </w:r>
      <w:r w:rsidR="00CD60B1" w:rsidRPr="00CD42AF">
        <w:t xml:space="preserve">deferrals when Columbia applies to recover the deferred </w:t>
      </w:r>
      <w:r w:rsidR="00BF22CD">
        <w:t>amounts</w:t>
      </w:r>
      <w:r w:rsidR="00CD60B1" w:rsidRPr="00CD42AF">
        <w:t>.</w:t>
      </w:r>
    </w:p>
    <w:p w14:paraId="0EA6F183" w14:textId="746AF9CC" w:rsidR="005A5444" w:rsidRPr="00B907BC" w:rsidRDefault="00CD60B1" w:rsidP="002730CB">
      <w:pPr>
        <w:pStyle w:val="textstyle"/>
        <w:rPr>
          <w:b/>
        </w:rPr>
      </w:pPr>
      <w:r>
        <w:lastRenderedPageBreak/>
        <w:tab/>
      </w:r>
      <w:r w:rsidRPr="00B907BC">
        <w:t>To accomplish its review, the Staff reviewed the Company’s Application</w:t>
      </w:r>
      <w:r w:rsidR="00F33985" w:rsidRPr="00B907BC">
        <w:t xml:space="preserve"> and pro</w:t>
      </w:r>
      <w:r w:rsidR="00372651">
        <w:softHyphen/>
      </w:r>
      <w:r w:rsidR="00F33985" w:rsidRPr="00B907BC">
        <w:t>posed PSP</w:t>
      </w:r>
      <w:r w:rsidRPr="00B907BC">
        <w:t xml:space="preserve">, </w:t>
      </w:r>
      <w:r w:rsidR="00F33985" w:rsidRPr="00B907BC">
        <w:t xml:space="preserve">conducted formal meetings </w:t>
      </w:r>
      <w:r w:rsidR="00CF2C0C" w:rsidRPr="00B907BC">
        <w:t xml:space="preserve">with the Company’s regulatory and accounting staff for detailed discussions, </w:t>
      </w:r>
      <w:r w:rsidR="00F33985" w:rsidRPr="00B907BC">
        <w:t xml:space="preserve">and </w:t>
      </w:r>
      <w:r w:rsidRPr="00B907BC">
        <w:t xml:space="preserve">conducted several </w:t>
      </w:r>
      <w:r w:rsidR="00CF2C0C" w:rsidRPr="00B907BC">
        <w:t>follow-up conversations with Company personnel</w:t>
      </w:r>
      <w:r w:rsidR="00F33985" w:rsidRPr="00B907BC">
        <w:t xml:space="preserve"> when necessary</w:t>
      </w:r>
      <w:r w:rsidR="00CF2C0C" w:rsidRPr="00B907BC">
        <w:t xml:space="preserve">.  </w:t>
      </w:r>
    </w:p>
    <w:p w14:paraId="358BF852" w14:textId="77777777" w:rsidR="00B9713C" w:rsidRDefault="00B9713C" w:rsidP="00372651">
      <w:pPr>
        <w:pStyle w:val="Heading1"/>
      </w:pPr>
      <w:bookmarkStart w:id="4" w:name="_Toc403739276"/>
      <w:r>
        <w:t>STAFF’S COMMENTS AND RECOMMENDATIONS</w:t>
      </w:r>
      <w:bookmarkEnd w:id="4"/>
    </w:p>
    <w:p w14:paraId="55C23170" w14:textId="77777777" w:rsidR="00FB4393" w:rsidRDefault="005A5444" w:rsidP="005A5444">
      <w:pPr>
        <w:pStyle w:val="textstyle"/>
      </w:pPr>
      <w:r>
        <w:tab/>
      </w:r>
      <w:r w:rsidR="00F33985">
        <w:t>Based on its review, the Staff makes the following specific comments and recom</w:t>
      </w:r>
      <w:r w:rsidR="00372651">
        <w:softHyphen/>
      </w:r>
      <w:r w:rsidR="00F33985">
        <w:t>mendations:</w:t>
      </w:r>
      <w:r w:rsidR="00C52922">
        <w:t xml:space="preserve"> </w:t>
      </w:r>
    </w:p>
    <w:p w14:paraId="15EF72C0" w14:textId="15573794" w:rsidR="00A346EC" w:rsidRPr="00A346EC" w:rsidRDefault="00696656" w:rsidP="002730CB">
      <w:pPr>
        <w:pStyle w:val="Heading2"/>
      </w:pPr>
      <w:bookmarkStart w:id="5" w:name="_Toc403739277"/>
      <w:r>
        <w:lastRenderedPageBreak/>
        <w:t xml:space="preserve">The Commission should adopt </w:t>
      </w:r>
      <w:r w:rsidR="00051C05">
        <w:t>Columbia’s recommenda</w:t>
      </w:r>
      <w:r w:rsidR="007355E1">
        <w:softHyphen/>
      </w:r>
      <w:r w:rsidR="00051C05">
        <w:t>tion for regular meetings between the Staff and the Company as the PSP progresses</w:t>
      </w:r>
      <w:r w:rsidR="005A5444">
        <w:t>.</w:t>
      </w:r>
      <w:bookmarkEnd w:id="5"/>
    </w:p>
    <w:p w14:paraId="1E11FA28" w14:textId="52D25B5C" w:rsidR="003838E0" w:rsidRDefault="00150F3B" w:rsidP="006714A4">
      <w:pPr>
        <w:pStyle w:val="textstyle"/>
      </w:pPr>
      <w:r>
        <w:tab/>
      </w:r>
      <w:r w:rsidR="00FC2FAF">
        <w:t xml:space="preserve">In the course of the Staff’s investigation, Columbia indicated that its intentions were to hold regular meetings with the Staff as </w:t>
      </w:r>
      <w:r w:rsidR="00696656">
        <w:t xml:space="preserve">it implements its </w:t>
      </w:r>
      <w:r w:rsidR="00FC2FAF">
        <w:t>PSP.  The Company rec</w:t>
      </w:r>
      <w:r w:rsidR="007355E1">
        <w:softHyphen/>
      </w:r>
      <w:r w:rsidR="00FC2FAF">
        <w:t>ognizes that significant portions of the PSP involve future investiga</w:t>
      </w:r>
      <w:r w:rsidR="00372651">
        <w:softHyphen/>
      </w:r>
      <w:r w:rsidR="00FC2FAF">
        <w:t>tions and that the results of those investigations are unknown.  Similarly, as Columbia measures the effectiveness of various projects and programs undertaken under the pro</w:t>
      </w:r>
      <w:r w:rsidR="00372651">
        <w:softHyphen/>
      </w:r>
      <w:r w:rsidR="00FC2FAF">
        <w:t>posed safety ini</w:t>
      </w:r>
      <w:r w:rsidR="007355E1">
        <w:softHyphen/>
      </w:r>
      <w:r w:rsidR="00FC2FAF">
        <w:t>tiatives</w:t>
      </w:r>
      <w:r w:rsidR="009C49D6">
        <w:t>,</w:t>
      </w:r>
      <w:r w:rsidR="00FC2FAF">
        <w:t xml:space="preserve"> </w:t>
      </w:r>
      <w:r w:rsidR="00101279">
        <w:t xml:space="preserve">it </w:t>
      </w:r>
      <w:r w:rsidR="00FC2FAF">
        <w:t xml:space="preserve">may </w:t>
      </w:r>
      <w:r w:rsidR="00696656">
        <w:t xml:space="preserve">determine </w:t>
      </w:r>
      <w:r w:rsidR="00101279">
        <w:t>that some projects or programs are</w:t>
      </w:r>
      <w:r w:rsidR="00FC2FAF">
        <w:t xml:space="preserve"> inefficient or ineffective.  As a result, the Company may need to modify its plans and projects or reallocate resources</w:t>
      </w:r>
      <w:r w:rsidR="00696656">
        <w:t xml:space="preserve"> </w:t>
      </w:r>
      <w:r w:rsidR="00FC2FAF">
        <w:t xml:space="preserve">to </w:t>
      </w:r>
      <w:r w:rsidR="0081752B">
        <w:t xml:space="preserve">respond to the results of future investigations or changing conditions.  </w:t>
      </w:r>
      <w:r w:rsidR="00696656">
        <w:t>T</w:t>
      </w:r>
      <w:r w:rsidR="0081752B">
        <w:t>o keep the Staff apprised of new and changing condi</w:t>
      </w:r>
      <w:r w:rsidR="00372651">
        <w:softHyphen/>
      </w:r>
      <w:r w:rsidR="0081752B">
        <w:t>tions and any changes to the PSP, the Company suggested regular meetings with the Staff.  The Staff agrees with this sugges</w:t>
      </w:r>
      <w:r w:rsidR="007355E1">
        <w:softHyphen/>
      </w:r>
      <w:r w:rsidR="0081752B">
        <w:t xml:space="preserve">tion and recommends that the Commission direct that Staff and Company meet least two times </w:t>
      </w:r>
      <w:r w:rsidR="0081752B">
        <w:lastRenderedPageBreak/>
        <w:t>per year to review and discuss the progress of the PSP, the results of new and ongo</w:t>
      </w:r>
      <w:r w:rsidR="007355E1">
        <w:softHyphen/>
      </w:r>
      <w:r w:rsidR="0081752B">
        <w:t xml:space="preserve">ing investigations under the program, </w:t>
      </w:r>
      <w:r w:rsidR="00696656">
        <w:t xml:space="preserve">and </w:t>
      </w:r>
      <w:r w:rsidR="0081752B">
        <w:t>any changes to the program</w:t>
      </w:r>
      <w:r w:rsidR="00696656">
        <w:t>.</w:t>
      </w:r>
    </w:p>
    <w:p w14:paraId="32B6922B" w14:textId="77777777" w:rsidR="00601DD8" w:rsidRDefault="00616A2A" w:rsidP="002730CB">
      <w:pPr>
        <w:pStyle w:val="Heading2"/>
      </w:pPr>
      <w:bookmarkStart w:id="6" w:name="_Toc403739278"/>
      <w:r>
        <w:t>The Commission should adopt Columbia’s recommenda</w:t>
      </w:r>
      <w:r w:rsidR="00372651">
        <w:softHyphen/>
      </w:r>
      <w:r>
        <w:t>tion that it file an annual report on the PSP and related deferrals.  However, the content of the report should not be limited to the items specified in the Company’s Appli</w:t>
      </w:r>
      <w:r w:rsidR="00372651">
        <w:softHyphen/>
      </w:r>
      <w:r>
        <w:t>cation</w:t>
      </w:r>
      <w:r w:rsidR="005A5444">
        <w:t>.</w:t>
      </w:r>
      <w:bookmarkEnd w:id="6"/>
    </w:p>
    <w:p w14:paraId="211259F5" w14:textId="4925434C" w:rsidR="00A70785" w:rsidRPr="00A70785" w:rsidRDefault="005A5444" w:rsidP="005A5444">
      <w:pPr>
        <w:pStyle w:val="textstyle"/>
      </w:pPr>
      <w:r>
        <w:tab/>
      </w:r>
      <w:r w:rsidR="00101279">
        <w:t>As noted above, Columbia’s Application recommends that the Company file an annual report on the PSP</w:t>
      </w:r>
      <w:r w:rsidR="007B288B">
        <w:t xml:space="preserve"> beginning in June 2016.  The Company proposes that this annual </w:t>
      </w:r>
      <w:r w:rsidR="00B907BC">
        <w:t xml:space="preserve">report </w:t>
      </w:r>
      <w:r w:rsidR="007B288B">
        <w:t>will specify annual and cumulative PSP expenses, identify the monthly expenditures for each PSP component on an annual basis, and include an audit report pre</w:t>
      </w:r>
      <w:r w:rsidR="00372651">
        <w:softHyphen/>
      </w:r>
      <w:r w:rsidR="007B288B">
        <w:t>pared by the Company’s external auditor regarding the accuracy of Columbia’s account</w:t>
      </w:r>
      <w:r w:rsidR="00372651">
        <w:softHyphen/>
      </w:r>
      <w:r w:rsidR="007B288B">
        <w:t xml:space="preserve">ing for PSP expenditures.  The Staff agrees with Columbia’s </w:t>
      </w:r>
      <w:r w:rsidR="00B907BC">
        <w:t>recommendation,</w:t>
      </w:r>
      <w:r w:rsidR="007B288B">
        <w:t xml:space="preserve"> </w:t>
      </w:r>
      <w:r w:rsidR="00B907BC">
        <w:t>except that</w:t>
      </w:r>
      <w:r w:rsidR="007B288B">
        <w:t xml:space="preserve"> the content of the annual report should </w:t>
      </w:r>
      <w:r w:rsidR="00BA177C">
        <w:t xml:space="preserve">not </w:t>
      </w:r>
      <w:r w:rsidR="007B288B">
        <w:t xml:space="preserve">be </w:t>
      </w:r>
      <w:r w:rsidR="00BA177C">
        <w:t xml:space="preserve">limited only to the expenses, related deferrals, and Columbia’s auditor’s findings.  The report should </w:t>
      </w:r>
      <w:r w:rsidR="00BA177C">
        <w:lastRenderedPageBreak/>
        <w:t>also include items such as the PSP’s progress towards reducing risks to Columbia’s system, the results of ongo</w:t>
      </w:r>
      <w:r w:rsidR="00372651">
        <w:softHyphen/>
      </w:r>
      <w:r w:rsidR="00BA177C">
        <w:t>ing and future investigations</w:t>
      </w:r>
      <w:r w:rsidR="002D3F79">
        <w:t xml:space="preserve">, </w:t>
      </w:r>
      <w:r w:rsidR="00BA177C">
        <w:t>any mid-term adjustments to PSP projects or programs, and the Company’s efforts towards identifying</w:t>
      </w:r>
      <w:r w:rsidR="002D3F79">
        <w:t xml:space="preserve"> inefficiencies</w:t>
      </w:r>
      <w:r w:rsidR="00BA177C">
        <w:t xml:space="preserve"> and implementing cost saving measures.  The specific contents of the annual report and how the information should be presented should be </w:t>
      </w:r>
      <w:r w:rsidR="00760738">
        <w:t>determined in</w:t>
      </w:r>
      <w:r w:rsidR="00DD7DCA">
        <w:t xml:space="preserve"> the regular meetings between Staff and the Company.</w:t>
      </w:r>
      <w:r w:rsidR="00BA177C">
        <w:t xml:space="preserve">   </w:t>
      </w:r>
    </w:p>
    <w:p w14:paraId="5811D9C7" w14:textId="77777777" w:rsidR="00A346EC" w:rsidRDefault="00DD7DCA" w:rsidP="002730CB">
      <w:pPr>
        <w:pStyle w:val="Heading2"/>
      </w:pPr>
      <w:bookmarkStart w:id="7" w:name="_Toc403739279"/>
      <w:r>
        <w:t>Staff does not object to Columbia’s proposal that the Staff file a report to the Commission regarding the Company’s proposed PSP deferrals within 90 days of the Company’s Annual Report</w:t>
      </w:r>
      <w:r w:rsidR="005A5444">
        <w:t>.</w:t>
      </w:r>
      <w:r>
        <w:t xml:space="preserve">  However, the report on deferrals should not be construed as Staff support for future recovery.</w:t>
      </w:r>
      <w:bookmarkEnd w:id="7"/>
    </w:p>
    <w:p w14:paraId="3FDC95F6" w14:textId="752A477F" w:rsidR="00BC195C" w:rsidRDefault="005A5444" w:rsidP="005A5444">
      <w:pPr>
        <w:pStyle w:val="textstyle"/>
      </w:pPr>
      <w:r>
        <w:tab/>
      </w:r>
      <w:r w:rsidR="00EE436B">
        <w:t>Columbia</w:t>
      </w:r>
      <w:r w:rsidR="005D4825">
        <w:t xml:space="preserve"> proposes that the Staff annually review Columbia’s reported PSP expenses and file a report to the Commission</w:t>
      </w:r>
      <w:r w:rsidR="0019095D">
        <w:t>. The report would</w:t>
      </w:r>
      <w:r w:rsidR="005D4825">
        <w:t xml:space="preserve"> include a determination that the PSP deferrals are properly recorded on Columbia’s books and specif</w:t>
      </w:r>
      <w:r w:rsidR="0019095D">
        <w:t>y</w:t>
      </w:r>
      <w:r w:rsidR="005D4825">
        <w:t xml:space="preserve"> any PSP expenditures that Staff believes </w:t>
      </w:r>
      <w:r w:rsidR="005D4825">
        <w:lastRenderedPageBreak/>
        <w:t>should not be deferred. The Company proposes that it would then have 30 days to object to the Staff’s report, and, if it files such an objection, then the Commission would establish a procedural schedule for filing of expert testimony and an evidentiary hearing.  The Staff does not object to this process</w:t>
      </w:r>
      <w:r w:rsidR="00B907BC">
        <w:t>;</w:t>
      </w:r>
      <w:r w:rsidR="005D4825">
        <w:t xml:space="preserve"> however the Staff wishes to emphasize that the filing </w:t>
      </w:r>
      <w:r w:rsidR="00336E28">
        <w:t>such a report should not be con</w:t>
      </w:r>
      <w:r w:rsidR="00372651">
        <w:softHyphen/>
      </w:r>
      <w:r w:rsidR="00336E28">
        <w:t>strued a support for future recovery of the deferrals discussed in the report.  Because Staff may agree that a particular deferral is properly recorded on the Company’s books should not and does not mean that the Staff agrees that the deferred amount should be recovered from customers.  As described in more detail above, the Staff expressly reserves the right to investigate and make determinations and recommendations to the Commission regard</w:t>
      </w:r>
      <w:r w:rsidR="00372651">
        <w:softHyphen/>
      </w:r>
      <w:r w:rsidR="00336E28">
        <w:t>ing ultimate recovery of amounts deferred pursuant to the PSP in future recovery pro</w:t>
      </w:r>
      <w:r w:rsidR="00372651">
        <w:softHyphen/>
      </w:r>
      <w:r w:rsidR="00336E28">
        <w:t>ceeding</w:t>
      </w:r>
      <w:r w:rsidR="0019095D">
        <w:t>s</w:t>
      </w:r>
      <w:r w:rsidR="00336E28">
        <w:t>.</w:t>
      </w:r>
    </w:p>
    <w:p w14:paraId="0C71E313" w14:textId="77777777" w:rsidR="00A346EC" w:rsidRDefault="00BA639B" w:rsidP="002730CB">
      <w:pPr>
        <w:pStyle w:val="Heading2"/>
      </w:pPr>
      <w:bookmarkStart w:id="8" w:name="_Toc403739280"/>
      <w:r>
        <w:lastRenderedPageBreak/>
        <w:t>The Commission should direct that Columbia use its best efforts to identify and implement efficiencies and cost sav</w:t>
      </w:r>
      <w:r w:rsidR="00372651">
        <w:softHyphen/>
      </w:r>
      <w:r>
        <w:t>ing measures to reduce PSP deferrals and the ultimate amount recovered from customers.</w:t>
      </w:r>
      <w:bookmarkEnd w:id="8"/>
    </w:p>
    <w:p w14:paraId="0821082D" w14:textId="61D1E1A6" w:rsidR="005330E7" w:rsidRDefault="005A5444" w:rsidP="005A5444">
      <w:pPr>
        <w:pStyle w:val="textstyle"/>
      </w:pPr>
      <w:r>
        <w:tab/>
      </w:r>
      <w:r w:rsidR="00AB762C" w:rsidRPr="00AB762C">
        <w:t xml:space="preserve">Staff recommends that </w:t>
      </w:r>
      <w:r w:rsidR="00AB762C">
        <w:t>the Commission</w:t>
      </w:r>
      <w:r w:rsidR="005330E7" w:rsidRPr="005330E7">
        <w:rPr>
          <w:rFonts w:cstheme="minorBidi"/>
          <w:sz w:val="24"/>
          <w:szCs w:val="22"/>
        </w:rPr>
        <w:t xml:space="preserve"> </w:t>
      </w:r>
      <w:r w:rsidR="005330E7" w:rsidRPr="005330E7">
        <w:t>direct that Columbia use its best efforts to identify and implement efficiencies and cost saving measures to reduce PSP deferrals and the amount</w:t>
      </w:r>
      <w:r w:rsidR="0035066A">
        <w:t xml:space="preserve"> that may be</w:t>
      </w:r>
      <w:r w:rsidR="005330E7" w:rsidRPr="005330E7">
        <w:t xml:space="preserve"> recovered from customers</w:t>
      </w:r>
      <w:r w:rsidR="00AB762C" w:rsidRPr="00AB762C">
        <w:t>.</w:t>
      </w:r>
      <w:r w:rsidR="005330E7">
        <w:t xml:space="preserve">  For example, in discussions with Staff, the Company indicated that it</w:t>
      </w:r>
      <w:r w:rsidR="0035066A">
        <w:t xml:space="preserve"> may partner</w:t>
      </w:r>
      <w:r w:rsidR="005330E7">
        <w:t xml:space="preserve"> with Colum</w:t>
      </w:r>
      <w:r w:rsidR="007124DC">
        <w:t xml:space="preserve">bia operating companies from other states </w:t>
      </w:r>
      <w:r w:rsidR="0035066A">
        <w:t xml:space="preserve">and allow </w:t>
      </w:r>
      <w:r w:rsidR="007124DC">
        <w:t>employees from those other Columbia com</w:t>
      </w:r>
      <w:r w:rsidR="00372651">
        <w:softHyphen/>
      </w:r>
      <w:r w:rsidR="007124DC">
        <w:t xml:space="preserve">panies </w:t>
      </w:r>
      <w:r w:rsidR="0035066A">
        <w:t xml:space="preserve">to </w:t>
      </w:r>
      <w:r w:rsidR="007124DC">
        <w:t>utilize the Company’s proposed training and outside gas simulation facili</w:t>
      </w:r>
      <w:r w:rsidR="00372651">
        <w:softHyphen/>
      </w:r>
      <w:r w:rsidR="007124DC">
        <w:t>ties</w:t>
      </w:r>
      <w:r w:rsidR="00D81B45">
        <w:t>.  The other Columbia companies would pay Columbia Gas of Ohio to use the facili</w:t>
      </w:r>
      <w:r w:rsidR="00372651">
        <w:softHyphen/>
      </w:r>
      <w:r w:rsidR="00D81B45">
        <w:t xml:space="preserve">ties, which will help to defray the costs.  The Company also indicated that </w:t>
      </w:r>
      <w:r w:rsidR="0035066A">
        <w:t>it use</w:t>
      </w:r>
      <w:r w:rsidR="00987139">
        <w:t>s</w:t>
      </w:r>
      <w:r w:rsidR="0035066A">
        <w:t xml:space="preserve"> </w:t>
      </w:r>
      <w:r w:rsidR="00D81B45">
        <w:t>public awareness and educational material</w:t>
      </w:r>
      <w:r w:rsidR="0035066A">
        <w:t>s</w:t>
      </w:r>
      <w:r w:rsidR="00D81B45">
        <w:t xml:space="preserve"> developed </w:t>
      </w:r>
      <w:r w:rsidR="0035066A">
        <w:t>by</w:t>
      </w:r>
      <w:r w:rsidR="00D81B45">
        <w:t xml:space="preserve"> other C</w:t>
      </w:r>
      <w:r w:rsidR="00022918">
        <w:t>olumbia operating companies and</w:t>
      </w:r>
      <w:r w:rsidR="00987139">
        <w:t xml:space="preserve"> continues to </w:t>
      </w:r>
      <w:r w:rsidR="00D81B45">
        <w:t xml:space="preserve">explore opportunities to partner with other </w:t>
      </w:r>
      <w:r w:rsidR="0035066A">
        <w:t xml:space="preserve">companies </w:t>
      </w:r>
      <w:r w:rsidR="00D81B45">
        <w:t xml:space="preserve">to develop and refine </w:t>
      </w:r>
      <w:r w:rsidR="00D81B45">
        <w:lastRenderedPageBreak/>
        <w:t xml:space="preserve">awareness and education materials </w:t>
      </w:r>
      <w:r w:rsidR="0035066A">
        <w:t>to reduce</w:t>
      </w:r>
      <w:r w:rsidR="00987139">
        <w:t xml:space="preserve"> </w:t>
      </w:r>
      <w:r w:rsidR="00D81B45">
        <w:t xml:space="preserve">costs.  The Staff commends Columbia for these efforts and </w:t>
      </w:r>
      <w:r w:rsidR="00AA4AE1">
        <w:t>recommends that the Commission encourage the Company to continu</w:t>
      </w:r>
      <w:r w:rsidR="00372651">
        <w:softHyphen/>
      </w:r>
      <w:r w:rsidR="00AA4AE1">
        <w:t xml:space="preserve">ally seek and implement cost saving measures.  </w:t>
      </w:r>
      <w:r w:rsidR="00D81B45">
        <w:t xml:space="preserve">  </w:t>
      </w:r>
      <w:r w:rsidR="007124DC">
        <w:t xml:space="preserve"> </w:t>
      </w:r>
    </w:p>
    <w:p w14:paraId="764369A1" w14:textId="6262287C" w:rsidR="00BD4520" w:rsidRPr="00A346EC" w:rsidRDefault="00BA639B" w:rsidP="002730CB">
      <w:pPr>
        <w:pStyle w:val="Heading2"/>
      </w:pPr>
      <w:bookmarkStart w:id="9" w:name="_Toc403739281"/>
      <w:r>
        <w:t>The Commission should direct that Columbia use a risk-based approach for determining the potential sewer mains and laterals cross bores that should</w:t>
      </w:r>
      <w:r w:rsidR="002B2D6D">
        <w:t xml:space="preserve"> be</w:t>
      </w:r>
      <w:r>
        <w:t xml:space="preserve"> investigated via cam</w:t>
      </w:r>
      <w:r w:rsidR="00372651">
        <w:softHyphen/>
      </w:r>
      <w:r>
        <w:t>era.</w:t>
      </w:r>
      <w:bookmarkEnd w:id="9"/>
    </w:p>
    <w:p w14:paraId="13384A0A" w14:textId="3B5A8AB2" w:rsidR="0052205B" w:rsidRDefault="002730CB" w:rsidP="002730CB">
      <w:pPr>
        <w:pStyle w:val="textstyle"/>
      </w:pPr>
      <w:r>
        <w:tab/>
      </w:r>
      <w:r w:rsidR="0001404F">
        <w:t xml:space="preserve">Columbia’s Application </w:t>
      </w:r>
      <w:r w:rsidR="00933885">
        <w:t xml:space="preserve">and PSP </w:t>
      </w:r>
      <w:r w:rsidR="0001404F">
        <w:t>prop</w:t>
      </w:r>
      <w:r w:rsidR="00933885">
        <w:t>ose</w:t>
      </w:r>
      <w:r w:rsidR="0001404F">
        <w:t xml:space="preserve"> that</w:t>
      </w:r>
      <w:r w:rsidR="00B90B40">
        <w:t xml:space="preserve"> the Company will conduct internal inspections of sewer mains and laterals by sending cameras through the sewer lines to ensure that </w:t>
      </w:r>
      <w:r w:rsidR="009B79D7">
        <w:t>the Company</w:t>
      </w:r>
      <w:r w:rsidR="00B90B40">
        <w:t xml:space="preserve"> did not cross bore sewer lines while using trenchless technology to install gas lines prior to 2007.  Given that Columbia and other Ohio gas distribution com</w:t>
      </w:r>
      <w:r w:rsidR="00372651">
        <w:softHyphen/>
      </w:r>
      <w:r w:rsidR="00B90B40">
        <w:t xml:space="preserve">panies have known incidences where they have cross bored sewer lines, the Staff agrees that </w:t>
      </w:r>
      <w:r w:rsidR="009B79D7">
        <w:t xml:space="preserve">Columbia should use </w:t>
      </w:r>
      <w:r w:rsidR="002D7685">
        <w:t xml:space="preserve">cameras to ensure that it did not bore through at-risk sewer lines.  However, Staff does not believe </w:t>
      </w:r>
      <w:r w:rsidR="002D7685">
        <w:lastRenderedPageBreak/>
        <w:t xml:space="preserve">that all sewer lines associated with Columbia’s legacy cross bores should be inspected with cameras.  For instance, if </w:t>
      </w:r>
      <w:r w:rsidR="009B79D7">
        <w:t>the Company knows</w:t>
      </w:r>
      <w:r w:rsidR="002D7685">
        <w:t xml:space="preserve"> that </w:t>
      </w:r>
      <w:r w:rsidR="008D25B6">
        <w:t>a</w:t>
      </w:r>
      <w:r w:rsidR="002D7685">
        <w:t xml:space="preserve"> sewer lateral exits the basement of a home on level ground at a depth of nine feet </w:t>
      </w:r>
      <w:r w:rsidR="00F87C94">
        <w:t>below the surface</w:t>
      </w:r>
      <w:r w:rsidR="009B79D7">
        <w:t>, that the lateral</w:t>
      </w:r>
      <w:r w:rsidR="002D7685">
        <w:t xml:space="preserve"> proceeds at a downward angle to the sewer main</w:t>
      </w:r>
      <w:r w:rsidR="009B79D7">
        <w:t>,</w:t>
      </w:r>
      <w:r w:rsidR="002D7685">
        <w:t xml:space="preserve"> </w:t>
      </w:r>
      <w:r w:rsidR="00D62986">
        <w:t>and that the design depth of the gas line installed via directional boring (</w:t>
      </w:r>
      <w:r w:rsidR="00D62986" w:rsidRPr="002730CB">
        <w:rPr>
          <w:i/>
        </w:rPr>
        <w:t>i.e</w:t>
      </w:r>
      <w:r w:rsidR="00D62986">
        <w:t>., trenchless tech</w:t>
      </w:r>
      <w:r w:rsidR="00372651">
        <w:softHyphen/>
      </w:r>
      <w:r w:rsidR="00D62986">
        <w:t>nology) is three feet, then the risk of cross boring the sewer mains or lateral should be so low that</w:t>
      </w:r>
      <w:r w:rsidR="00A1635F">
        <w:t xml:space="preserve"> the Company would not</w:t>
      </w:r>
      <w:r w:rsidR="00D62986">
        <w:t xml:space="preserve"> need to inspect the sewer lines with a camera.  Staff recom</w:t>
      </w:r>
      <w:r w:rsidR="00372651">
        <w:softHyphen/>
      </w:r>
      <w:r w:rsidR="00D62986">
        <w:t xml:space="preserve">mends that the Commission direct Columbia to </w:t>
      </w:r>
      <w:r w:rsidR="008163E5">
        <w:t>thoroughly research its records and u</w:t>
      </w:r>
      <w:r w:rsidR="00E974CC">
        <w:t>se</w:t>
      </w:r>
      <w:r w:rsidR="008163E5">
        <w:t xml:space="preserve"> its experience and the experience of other utilities to </w:t>
      </w:r>
      <w:r w:rsidR="00D62986">
        <w:t xml:space="preserve">develop </w:t>
      </w:r>
      <w:r w:rsidR="008163E5">
        <w:t xml:space="preserve">specific criteria </w:t>
      </w:r>
      <w:r w:rsidR="00E974CC">
        <w:t xml:space="preserve">to determine </w:t>
      </w:r>
      <w:r w:rsidR="00D62986">
        <w:t>w</w:t>
      </w:r>
      <w:r w:rsidR="008163E5">
        <w:t xml:space="preserve">hen </w:t>
      </w:r>
      <w:r w:rsidR="00D62986">
        <w:t xml:space="preserve">sewer lines </w:t>
      </w:r>
      <w:r w:rsidR="008163E5">
        <w:t xml:space="preserve">should </w:t>
      </w:r>
      <w:r w:rsidR="00E974CC">
        <w:t xml:space="preserve">and should not </w:t>
      </w:r>
      <w:r w:rsidR="008163E5">
        <w:t xml:space="preserve">be </w:t>
      </w:r>
      <w:r w:rsidR="00D62986">
        <w:t>inspect</w:t>
      </w:r>
      <w:r w:rsidR="008163E5">
        <w:t xml:space="preserve">ed by </w:t>
      </w:r>
      <w:r w:rsidR="00D62986">
        <w:t>cameras</w:t>
      </w:r>
      <w:r w:rsidR="008163E5">
        <w:t xml:space="preserve">.  The Staff believes that such a risk-based approach will </w:t>
      </w:r>
      <w:r w:rsidR="00E974CC">
        <w:t xml:space="preserve">reduce </w:t>
      </w:r>
      <w:r w:rsidR="008163E5">
        <w:t xml:space="preserve">the risks </w:t>
      </w:r>
      <w:r w:rsidR="008D25B6">
        <w:t>from</w:t>
      </w:r>
      <w:r w:rsidR="008163E5">
        <w:t xml:space="preserve"> cross bores </w:t>
      </w:r>
      <w:r w:rsidR="008D25B6">
        <w:t>while</w:t>
      </w:r>
      <w:r w:rsidR="008163E5">
        <w:t xml:space="preserve"> avoid</w:t>
      </w:r>
      <w:r w:rsidR="008D25B6">
        <w:t>ing</w:t>
      </w:r>
      <w:r w:rsidR="008163E5">
        <w:t xml:space="preserve"> unnecessary costs.  </w:t>
      </w:r>
      <w:r w:rsidR="00536A1F">
        <w:t>During the Staff’s investi</w:t>
      </w:r>
      <w:r w:rsidR="00372651">
        <w:softHyphen/>
      </w:r>
      <w:r w:rsidR="00536A1F">
        <w:t xml:space="preserve">gation, the Company indicated that it has started researching its records </w:t>
      </w:r>
      <w:r w:rsidR="00536A1F">
        <w:lastRenderedPageBreak/>
        <w:t>to identify com</w:t>
      </w:r>
      <w:r w:rsidR="00372651">
        <w:softHyphen/>
      </w:r>
      <w:r w:rsidR="00536A1F">
        <w:t>mon ele</w:t>
      </w:r>
      <w:r w:rsidR="007355E1">
        <w:softHyphen/>
      </w:r>
      <w:r w:rsidR="00536A1F">
        <w:t xml:space="preserve">ments with known cross bores and has contacted other utilities </w:t>
      </w:r>
      <w:r w:rsidR="00E974CC">
        <w:t xml:space="preserve">to </w:t>
      </w:r>
      <w:r w:rsidR="00A41D14">
        <w:t>develop</w:t>
      </w:r>
      <w:r w:rsidR="00536A1F">
        <w:t xml:space="preserve"> </w:t>
      </w:r>
      <w:r w:rsidR="00A41D14">
        <w:t xml:space="preserve">a </w:t>
      </w:r>
      <w:r w:rsidR="00536A1F">
        <w:t>risk-based approach for visually inspecting sewer lines.  The Staff recommends that Columbia for</w:t>
      </w:r>
      <w:r w:rsidR="007355E1">
        <w:softHyphen/>
      </w:r>
      <w:r w:rsidR="00536A1F">
        <w:t>malize a risk-based approach and review it at the regular meetings with Staff.</w:t>
      </w:r>
      <w:r w:rsidR="008163E5">
        <w:t xml:space="preserve"> </w:t>
      </w:r>
      <w:r w:rsidR="00D62986">
        <w:t xml:space="preserve"> </w:t>
      </w:r>
    </w:p>
    <w:p w14:paraId="717D218B" w14:textId="0C176268" w:rsidR="00101279" w:rsidRPr="00A346EC" w:rsidRDefault="00BA639B" w:rsidP="002730CB">
      <w:pPr>
        <w:pStyle w:val="Heading2"/>
      </w:pPr>
      <w:bookmarkStart w:id="10" w:name="_Toc403739282"/>
      <w:r>
        <w:t>The Commission should direct Columbia to develop spe</w:t>
      </w:r>
      <w:r w:rsidR="00372651">
        <w:softHyphen/>
      </w:r>
      <w:r>
        <w:t>cific performance measures for each of its proposed safety initiatives and establish baseline performance measure</w:t>
      </w:r>
      <w:r w:rsidR="00372651">
        <w:softHyphen/>
      </w:r>
      <w:r>
        <w:t xml:space="preserve">ments for each measure so that </w:t>
      </w:r>
      <w:r w:rsidR="00493F87">
        <w:t xml:space="preserve">risk reduction resulting from the </w:t>
      </w:r>
      <w:r>
        <w:t>PSP can be tracked</w:t>
      </w:r>
      <w:r w:rsidR="00101279">
        <w:t>.</w:t>
      </w:r>
      <w:bookmarkEnd w:id="10"/>
    </w:p>
    <w:p w14:paraId="687CCF60" w14:textId="3D529A4E" w:rsidR="00101279" w:rsidRDefault="002730CB" w:rsidP="002730CB">
      <w:pPr>
        <w:pStyle w:val="textstyle"/>
      </w:pPr>
      <w:r>
        <w:tab/>
      </w:r>
      <w:r w:rsidR="00A86777">
        <w:t>Staff recommends that the Commission direct Columbia</w:t>
      </w:r>
      <w:r w:rsidR="00493F87">
        <w:t xml:space="preserve"> to</w:t>
      </w:r>
      <w:r w:rsidR="00A86777">
        <w:t xml:space="preserve"> develop specific measures </w:t>
      </w:r>
      <w:r w:rsidR="009B7F32">
        <w:t>and initial baseline measurements for each of the safety initiatives under the PSP</w:t>
      </w:r>
      <w:r w:rsidR="00493F87">
        <w:t xml:space="preserve"> so that Staff and the Commission can track the PSP’s progress</w:t>
      </w:r>
      <w:r w:rsidR="009B7F32">
        <w:t>.  Columbia should review and discuss the measures and baseline measurements with Staff in the reg</w:t>
      </w:r>
      <w:r w:rsidR="00372651">
        <w:softHyphen/>
      </w:r>
      <w:r w:rsidR="009B7F32">
        <w:t xml:space="preserve">ular meetings between the Company and Staff and report progress of the PSP initiatives in the </w:t>
      </w:r>
      <w:r w:rsidR="00B907BC">
        <w:t>PSP</w:t>
      </w:r>
      <w:r w:rsidR="009B7F32">
        <w:t xml:space="preserve"> annual report</w:t>
      </w:r>
      <w:r w:rsidR="00B907BC">
        <w:t>.</w:t>
      </w:r>
      <w:r w:rsidR="009B7F32">
        <w:t xml:space="preserve">  </w:t>
      </w:r>
      <w:r w:rsidR="00A86777">
        <w:t xml:space="preserve"> </w:t>
      </w:r>
    </w:p>
    <w:p w14:paraId="172C75B6" w14:textId="77777777" w:rsidR="00101279" w:rsidRDefault="008D25B6" w:rsidP="002730CB">
      <w:pPr>
        <w:pStyle w:val="Heading2"/>
      </w:pPr>
      <w:bookmarkStart w:id="11" w:name="_Toc403739283"/>
      <w:r>
        <w:lastRenderedPageBreak/>
        <w:t>As the PSP initiatives are completed or continue to pro</w:t>
      </w:r>
      <w:r w:rsidR="00372651">
        <w:softHyphen/>
      </w:r>
      <w:r>
        <w:t xml:space="preserve">gress and risks are reduced and eliminated on Columbia’s system, the Staff and Columbia should </w:t>
      </w:r>
      <w:r w:rsidR="00A86777">
        <w:t>recommend a threshold for discontinuing the PSP deferrals.</w:t>
      </w:r>
      <w:bookmarkEnd w:id="11"/>
    </w:p>
    <w:p w14:paraId="1FAC86CF" w14:textId="43918467" w:rsidR="00101279" w:rsidRPr="00A86777" w:rsidRDefault="002730CB" w:rsidP="002730CB">
      <w:pPr>
        <w:pStyle w:val="textstyle"/>
      </w:pPr>
      <w:r>
        <w:tab/>
      </w:r>
      <w:r w:rsidR="00BE701E">
        <w:t xml:space="preserve">A number of the PSP initiatives involve projects and related tasks that will be completed at some point in the future.  For example, </w:t>
      </w:r>
      <w:r w:rsidR="004A784E">
        <w:t>the risk to the Company’s distribu</w:t>
      </w:r>
      <w:r w:rsidR="00372651">
        <w:softHyphen/>
      </w:r>
      <w:r w:rsidR="004A784E">
        <w:t xml:space="preserve">tion system from legacy cross bores will </w:t>
      </w:r>
      <w:r w:rsidR="00BE701E">
        <w:t xml:space="preserve">eventually </w:t>
      </w:r>
      <w:r w:rsidR="004A784E">
        <w:t xml:space="preserve">be eliminated as </w:t>
      </w:r>
      <w:r w:rsidR="00BE701E">
        <w:t xml:space="preserve">the potential cross bores </w:t>
      </w:r>
      <w:r w:rsidR="004A784E">
        <w:t xml:space="preserve">are identified and either remediated or determined to be safe. </w:t>
      </w:r>
      <w:r w:rsidR="00493F87">
        <w:t>This should cause</w:t>
      </w:r>
      <w:r w:rsidR="004A784E">
        <w:t xml:space="preserve"> PSP expenses for identifying and remediating </w:t>
      </w:r>
      <w:r w:rsidR="00F21A16">
        <w:t xml:space="preserve">legacy </w:t>
      </w:r>
      <w:r w:rsidR="004A784E">
        <w:t xml:space="preserve">cross bores </w:t>
      </w:r>
      <w:r w:rsidR="00493F87">
        <w:t xml:space="preserve">to be </w:t>
      </w:r>
      <w:r w:rsidR="00F21A16">
        <w:t>reduce</w:t>
      </w:r>
      <w:r w:rsidR="00493F87">
        <w:t>d</w:t>
      </w:r>
      <w:r w:rsidR="00F21A16">
        <w:t xml:space="preserve"> to zero.  Similarly, projects under the DPTI such as deploying the proposed GPS mapping tech</w:t>
      </w:r>
      <w:r w:rsidR="00372651">
        <w:softHyphen/>
      </w:r>
      <w:r w:rsidR="00F21A16">
        <w:t>nology, employing a third-party contractor to physically capture the physical location and attributes of its pipelines for the GPS system, and implementing the one-call risk assess</w:t>
      </w:r>
      <w:r w:rsidR="00372651">
        <w:softHyphen/>
      </w:r>
      <w:r w:rsidR="00F21A16">
        <w:t>ment model app</w:t>
      </w:r>
      <w:r w:rsidR="003B7884">
        <w:t>ear to be projects with identifiable end points.  As a result, the Staff rec</w:t>
      </w:r>
      <w:r w:rsidR="007355E1">
        <w:softHyphen/>
      </w:r>
      <w:r w:rsidR="003B7884">
        <w:t>om</w:t>
      </w:r>
      <w:r w:rsidR="00372651">
        <w:softHyphen/>
      </w:r>
      <w:r w:rsidR="003B7884">
        <w:t>mends that the Commission direct Staff and Columbia to u</w:t>
      </w:r>
      <w:r w:rsidR="00493F87">
        <w:t>se</w:t>
      </w:r>
      <w:r w:rsidR="003B7884">
        <w:t xml:space="preserve"> the regular </w:t>
      </w:r>
      <w:r w:rsidR="003B7884">
        <w:lastRenderedPageBreak/>
        <w:t>Staff/Com</w:t>
      </w:r>
      <w:r w:rsidR="00372651">
        <w:softHyphen/>
      </w:r>
      <w:r w:rsidR="003B7884">
        <w:t>pany meetings to jointly develop a recommendation for a threshold spending level for the PSP</w:t>
      </w:r>
      <w:r w:rsidR="00B907BC">
        <w:t xml:space="preserve"> at which the PSP deferrals would </w:t>
      </w:r>
      <w:r w:rsidR="00493F87">
        <w:t>end</w:t>
      </w:r>
      <w:r w:rsidR="003B7884">
        <w:t xml:space="preserve">.  </w:t>
      </w:r>
      <w:r w:rsidR="00E31E8F">
        <w:t>The threshold spending level would recog</w:t>
      </w:r>
      <w:r w:rsidR="00372651">
        <w:softHyphen/>
      </w:r>
      <w:r w:rsidR="00E31E8F">
        <w:t xml:space="preserve">nize that, as PSP </w:t>
      </w:r>
      <w:r w:rsidR="003B7884">
        <w:t>projects and initiatives are completed</w:t>
      </w:r>
      <w:r w:rsidR="00E31E8F">
        <w:t>,</w:t>
      </w:r>
      <w:r w:rsidR="003B7884">
        <w:t xml:space="preserve"> </w:t>
      </w:r>
      <w:r w:rsidR="00E31E8F">
        <w:t>PSP costs should drop to a point where any ongoing PSP costs could be covered by Columbia’s existing base distribution rates.  If the Company and Staff cannot agree on a threshold spending level, then Staff can make recommendations to the Commission in Staff report that Staff will file in response to Columbia’s annual reports on the PSP.  Columbia would then have 30 days to respond to the Staff’s recommendations</w:t>
      </w:r>
      <w:r w:rsidR="00493F87">
        <w:t xml:space="preserve">. If </w:t>
      </w:r>
      <w:r w:rsidR="00D63E51">
        <w:t>the matter is not resolved, then the Commis</w:t>
      </w:r>
      <w:r w:rsidR="007355E1">
        <w:softHyphen/>
      </w:r>
      <w:r w:rsidR="00D63E51">
        <w:t xml:space="preserve">sion would establish a procedural schedule for an evidentiary hearing.  </w:t>
      </w:r>
      <w:r w:rsidR="00E31E8F">
        <w:t xml:space="preserve"> </w:t>
      </w:r>
      <w:r w:rsidR="003B7884">
        <w:t xml:space="preserve">   </w:t>
      </w:r>
      <w:r w:rsidR="00F21A16">
        <w:t xml:space="preserve"> </w:t>
      </w:r>
    </w:p>
    <w:p w14:paraId="38BC75D0" w14:textId="77777777" w:rsidR="005A5444" w:rsidRDefault="005A5444" w:rsidP="00372651">
      <w:pPr>
        <w:pStyle w:val="Heading1"/>
      </w:pPr>
      <w:bookmarkStart w:id="12" w:name="_Toc403739284"/>
      <w:r>
        <w:lastRenderedPageBreak/>
        <w:t>CONCLUSION</w:t>
      </w:r>
      <w:bookmarkEnd w:id="12"/>
    </w:p>
    <w:p w14:paraId="31007266" w14:textId="31F91A50" w:rsidR="0052205B" w:rsidRDefault="001420B4" w:rsidP="002730CB">
      <w:pPr>
        <w:pStyle w:val="textstyle"/>
      </w:pPr>
      <w:r>
        <w:tab/>
      </w:r>
      <w:r w:rsidR="00230969">
        <w:t xml:space="preserve">The </w:t>
      </w:r>
      <w:r w:rsidR="00A86777">
        <w:t xml:space="preserve">Staff respectfully recommends that the Commission consider and adopt the Staff comments and recommendations.  </w:t>
      </w:r>
    </w:p>
    <w:p w14:paraId="78E0ADEF" w14:textId="77777777" w:rsidR="0036080A" w:rsidRDefault="0036080A" w:rsidP="002B0FA8">
      <w:pPr>
        <w:tabs>
          <w:tab w:val="center" w:pos="9360"/>
        </w:tabs>
        <w:spacing w:after="0" w:line="240" w:lineRule="auto"/>
        <w:ind w:left="4320"/>
        <w:rPr>
          <w:rFonts w:cs="Times New Roman"/>
          <w:sz w:val="26"/>
          <w:szCs w:val="26"/>
        </w:rPr>
      </w:pPr>
      <w:r>
        <w:rPr>
          <w:rFonts w:cs="Times New Roman"/>
          <w:sz w:val="26"/>
          <w:szCs w:val="26"/>
        </w:rPr>
        <w:t>Respectfully Submitted,</w:t>
      </w:r>
    </w:p>
    <w:p w14:paraId="5E7DAD9F" w14:textId="77777777" w:rsidR="002B0FA8" w:rsidRPr="002B0FA8" w:rsidRDefault="002B0FA8" w:rsidP="002B0FA8">
      <w:pPr>
        <w:pStyle w:val="NoSpacing"/>
      </w:pPr>
    </w:p>
    <w:p w14:paraId="167A9A16" w14:textId="77777777" w:rsidR="001420B4" w:rsidRPr="00CD42AF" w:rsidRDefault="001420B4" w:rsidP="001420B4">
      <w:pPr>
        <w:pStyle w:val="text"/>
        <w:ind w:left="4320"/>
        <w:rPr>
          <w:b/>
          <w:szCs w:val="26"/>
        </w:rPr>
      </w:pPr>
      <w:r w:rsidRPr="00CD42AF">
        <w:rPr>
          <w:b/>
          <w:szCs w:val="26"/>
        </w:rPr>
        <w:t xml:space="preserve">Michael DeWine </w:t>
      </w:r>
    </w:p>
    <w:p w14:paraId="7875F1FD" w14:textId="77777777" w:rsidR="001420B4" w:rsidRPr="00CD42AF" w:rsidRDefault="001420B4" w:rsidP="001420B4">
      <w:pPr>
        <w:pStyle w:val="text"/>
        <w:ind w:left="4320"/>
        <w:rPr>
          <w:szCs w:val="26"/>
        </w:rPr>
      </w:pPr>
      <w:r>
        <w:rPr>
          <w:szCs w:val="26"/>
        </w:rPr>
        <w:t xml:space="preserve">Ohio </w:t>
      </w:r>
      <w:r w:rsidRPr="00CD42AF">
        <w:rPr>
          <w:szCs w:val="26"/>
        </w:rPr>
        <w:t>Attorney General</w:t>
      </w:r>
    </w:p>
    <w:p w14:paraId="5FD1795C" w14:textId="77777777" w:rsidR="001420B4" w:rsidRPr="00CD42AF" w:rsidRDefault="001420B4" w:rsidP="001420B4">
      <w:pPr>
        <w:pStyle w:val="text"/>
        <w:ind w:left="4320"/>
        <w:rPr>
          <w:szCs w:val="26"/>
        </w:rPr>
      </w:pPr>
    </w:p>
    <w:p w14:paraId="0229A168" w14:textId="77777777" w:rsidR="001420B4" w:rsidRDefault="001420B4" w:rsidP="001420B4">
      <w:pPr>
        <w:pStyle w:val="text"/>
        <w:ind w:left="4320"/>
        <w:rPr>
          <w:szCs w:val="26"/>
        </w:rPr>
      </w:pPr>
      <w:r>
        <w:rPr>
          <w:b/>
          <w:szCs w:val="26"/>
        </w:rPr>
        <w:t>William L. Wright</w:t>
      </w:r>
    </w:p>
    <w:p w14:paraId="1221C43D" w14:textId="77777777" w:rsidR="001420B4" w:rsidRPr="002B0FA8" w:rsidRDefault="001420B4" w:rsidP="001420B4">
      <w:pPr>
        <w:pStyle w:val="text"/>
        <w:ind w:left="4320"/>
        <w:rPr>
          <w:b/>
          <w:szCs w:val="26"/>
        </w:rPr>
      </w:pPr>
      <w:r w:rsidRPr="00CD42AF">
        <w:rPr>
          <w:szCs w:val="26"/>
        </w:rPr>
        <w:t>Section Chief</w:t>
      </w:r>
    </w:p>
    <w:p w14:paraId="34720725" w14:textId="77777777" w:rsidR="001420B4" w:rsidRDefault="001420B4" w:rsidP="001420B4">
      <w:pPr>
        <w:pStyle w:val="text"/>
        <w:ind w:left="4320"/>
        <w:rPr>
          <w:szCs w:val="26"/>
        </w:rPr>
      </w:pPr>
    </w:p>
    <w:p w14:paraId="1588DCA7" w14:textId="77777777" w:rsidR="00395DDD" w:rsidRDefault="00395DDD" w:rsidP="001420B4">
      <w:pPr>
        <w:pStyle w:val="text"/>
        <w:ind w:left="4320"/>
        <w:rPr>
          <w:szCs w:val="26"/>
          <w:u w:val="single"/>
        </w:rPr>
      </w:pPr>
    </w:p>
    <w:p w14:paraId="3E85ADB6" w14:textId="7259A715" w:rsidR="00395DDD" w:rsidRPr="00395DDD" w:rsidRDefault="00E505D8" w:rsidP="001420B4">
      <w:pPr>
        <w:pStyle w:val="text"/>
        <w:ind w:left="4320"/>
        <w:rPr>
          <w:szCs w:val="26"/>
          <w:u w:val="single"/>
        </w:rPr>
      </w:pPr>
      <w:r>
        <w:rPr>
          <w:rFonts w:ascii="Viner Hand ITC" w:hAnsi="Viner Hand ITC"/>
          <w:szCs w:val="26"/>
          <w:u w:val="single"/>
        </w:rPr>
        <w:t>/s/ Katie L. Johnson</w:t>
      </w:r>
      <w:r w:rsidR="00395DDD">
        <w:rPr>
          <w:szCs w:val="26"/>
          <w:u w:val="single"/>
        </w:rPr>
        <w:tab/>
      </w:r>
    </w:p>
    <w:p w14:paraId="2965FE0E" w14:textId="77777777" w:rsidR="002730CB" w:rsidRPr="00981682" w:rsidRDefault="002730CB" w:rsidP="002730CB">
      <w:pPr>
        <w:pStyle w:val="text"/>
        <w:ind w:left="4320"/>
        <w:rPr>
          <w:b/>
          <w:szCs w:val="26"/>
        </w:rPr>
      </w:pPr>
      <w:r w:rsidRPr="00981682">
        <w:rPr>
          <w:b/>
          <w:szCs w:val="26"/>
        </w:rPr>
        <w:t>Katie L. Johnson</w:t>
      </w:r>
    </w:p>
    <w:p w14:paraId="48D017E2" w14:textId="77777777" w:rsidR="002730CB" w:rsidRPr="00981682" w:rsidRDefault="002730CB" w:rsidP="002730CB">
      <w:pPr>
        <w:pStyle w:val="text"/>
        <w:ind w:left="4320"/>
        <w:rPr>
          <w:szCs w:val="26"/>
        </w:rPr>
      </w:pPr>
      <w:r w:rsidRPr="00981682">
        <w:rPr>
          <w:szCs w:val="26"/>
        </w:rPr>
        <w:t>Assistant Attorney General</w:t>
      </w:r>
    </w:p>
    <w:p w14:paraId="723106CD" w14:textId="77777777" w:rsidR="002730CB" w:rsidRPr="00981682" w:rsidRDefault="002730CB" w:rsidP="002730CB">
      <w:pPr>
        <w:pStyle w:val="text"/>
        <w:ind w:left="4320"/>
        <w:rPr>
          <w:szCs w:val="26"/>
        </w:rPr>
      </w:pPr>
      <w:r w:rsidRPr="00981682">
        <w:rPr>
          <w:szCs w:val="26"/>
        </w:rPr>
        <w:t>Public Utilities Section</w:t>
      </w:r>
    </w:p>
    <w:p w14:paraId="5DDECE2C" w14:textId="77777777" w:rsidR="002730CB" w:rsidRPr="00981682" w:rsidRDefault="002730CB" w:rsidP="002730CB">
      <w:pPr>
        <w:pStyle w:val="text"/>
        <w:ind w:left="4320"/>
        <w:rPr>
          <w:szCs w:val="26"/>
        </w:rPr>
      </w:pPr>
      <w:r w:rsidRPr="00981682">
        <w:rPr>
          <w:szCs w:val="26"/>
        </w:rPr>
        <w:t>180 East Broad Street, 6</w:t>
      </w:r>
      <w:r w:rsidRPr="00981682">
        <w:rPr>
          <w:szCs w:val="26"/>
          <w:vertAlign w:val="superscript"/>
        </w:rPr>
        <w:t>th</w:t>
      </w:r>
      <w:r w:rsidRPr="00981682">
        <w:rPr>
          <w:szCs w:val="26"/>
        </w:rPr>
        <w:t xml:space="preserve"> Fl. </w:t>
      </w:r>
    </w:p>
    <w:p w14:paraId="479856CF" w14:textId="77777777" w:rsidR="002730CB" w:rsidRPr="00981682" w:rsidRDefault="002730CB" w:rsidP="002730CB">
      <w:pPr>
        <w:pStyle w:val="text"/>
        <w:ind w:left="4320"/>
        <w:rPr>
          <w:szCs w:val="26"/>
        </w:rPr>
      </w:pPr>
      <w:r w:rsidRPr="00981682">
        <w:rPr>
          <w:szCs w:val="26"/>
        </w:rPr>
        <w:t>Columbus, OH  43215</w:t>
      </w:r>
    </w:p>
    <w:p w14:paraId="3A472176" w14:textId="77777777" w:rsidR="002730CB" w:rsidRPr="00981682" w:rsidRDefault="002730CB" w:rsidP="002730CB">
      <w:pPr>
        <w:pStyle w:val="text"/>
        <w:ind w:left="4320"/>
        <w:rPr>
          <w:szCs w:val="26"/>
        </w:rPr>
      </w:pPr>
      <w:r w:rsidRPr="00981682">
        <w:rPr>
          <w:szCs w:val="26"/>
        </w:rPr>
        <w:t>614.466.4395 (telephone)</w:t>
      </w:r>
    </w:p>
    <w:p w14:paraId="55DB72AC" w14:textId="77777777" w:rsidR="002730CB" w:rsidRPr="00981682" w:rsidRDefault="002730CB" w:rsidP="002730CB">
      <w:pPr>
        <w:spacing w:after="0" w:line="240" w:lineRule="auto"/>
        <w:ind w:left="4320"/>
        <w:jc w:val="both"/>
        <w:rPr>
          <w:rFonts w:cs="Times New Roman"/>
          <w:sz w:val="26"/>
          <w:szCs w:val="26"/>
        </w:rPr>
      </w:pPr>
      <w:r w:rsidRPr="00981682">
        <w:rPr>
          <w:rFonts w:cs="Times New Roman"/>
          <w:sz w:val="26"/>
          <w:szCs w:val="26"/>
        </w:rPr>
        <w:t>614.644.8764 (fax)</w:t>
      </w:r>
    </w:p>
    <w:p w14:paraId="5ECB2346" w14:textId="77777777" w:rsidR="002730CB" w:rsidRDefault="000D1B1F" w:rsidP="002730CB">
      <w:pPr>
        <w:spacing w:after="0" w:line="240" w:lineRule="auto"/>
        <w:ind w:left="4320"/>
        <w:jc w:val="both"/>
        <w:rPr>
          <w:rFonts w:cs="Times New Roman"/>
          <w:sz w:val="26"/>
          <w:szCs w:val="26"/>
        </w:rPr>
      </w:pPr>
      <w:hyperlink r:id="rId12" w:history="1">
        <w:r w:rsidR="002730CB" w:rsidRPr="00981682">
          <w:rPr>
            <w:rStyle w:val="Hyperlink"/>
            <w:rFonts w:cs="Times New Roman"/>
            <w:sz w:val="26"/>
            <w:szCs w:val="26"/>
          </w:rPr>
          <w:t>katie.johnson@puc.state.oh.us</w:t>
        </w:r>
      </w:hyperlink>
    </w:p>
    <w:p w14:paraId="321518C3" w14:textId="77777777" w:rsidR="005A5444" w:rsidRDefault="005A5444" w:rsidP="0036080A">
      <w:pPr>
        <w:jc w:val="center"/>
        <w:rPr>
          <w:rFonts w:cs="Times New Roman"/>
          <w:b/>
          <w:sz w:val="26"/>
          <w:szCs w:val="26"/>
        </w:rPr>
      </w:pPr>
      <w:r>
        <w:rPr>
          <w:rFonts w:cs="Times New Roman"/>
          <w:b/>
          <w:sz w:val="26"/>
          <w:szCs w:val="26"/>
        </w:rPr>
        <w:br w:type="page"/>
      </w:r>
    </w:p>
    <w:p w14:paraId="6E63ACA1" w14:textId="77777777" w:rsidR="00CD42AF" w:rsidRPr="000E73B4" w:rsidRDefault="00CD42AF" w:rsidP="00372651">
      <w:pPr>
        <w:pStyle w:val="Heading1"/>
      </w:pPr>
      <w:bookmarkStart w:id="13" w:name="_Toc403739285"/>
      <w:r w:rsidRPr="000E73B4">
        <w:lastRenderedPageBreak/>
        <w:t>CERTIFICATE OF SERVICE</w:t>
      </w:r>
      <w:bookmarkEnd w:id="13"/>
    </w:p>
    <w:p w14:paraId="00E29ABF" w14:textId="496ADDCF" w:rsidR="00CD42AF" w:rsidRPr="000E73B4" w:rsidRDefault="00CD42AF" w:rsidP="00CD42AF">
      <w:pPr>
        <w:spacing w:line="480" w:lineRule="auto"/>
        <w:jc w:val="both"/>
        <w:rPr>
          <w:rFonts w:cs="Times New Roman"/>
          <w:sz w:val="26"/>
          <w:szCs w:val="26"/>
        </w:rPr>
      </w:pPr>
      <w:r w:rsidRPr="000E73B4">
        <w:rPr>
          <w:rFonts w:cs="Times New Roman"/>
          <w:sz w:val="26"/>
          <w:szCs w:val="26"/>
        </w:rPr>
        <w:tab/>
        <w:t>I certify that a true copy of the</w:t>
      </w:r>
      <w:r w:rsidR="0061659A" w:rsidRPr="000E73B4">
        <w:rPr>
          <w:rFonts w:cs="Times New Roman"/>
          <w:sz w:val="26"/>
          <w:szCs w:val="26"/>
        </w:rPr>
        <w:t xml:space="preserve"> </w:t>
      </w:r>
      <w:r w:rsidR="002B0FA8">
        <w:rPr>
          <w:rFonts w:cs="Times New Roman"/>
          <w:sz w:val="26"/>
          <w:szCs w:val="26"/>
        </w:rPr>
        <w:t xml:space="preserve">foregoing </w:t>
      </w:r>
      <w:r w:rsidR="00B17D9A">
        <w:rPr>
          <w:rFonts w:cs="Times New Roman"/>
          <w:b/>
          <w:sz w:val="26"/>
          <w:szCs w:val="26"/>
        </w:rPr>
        <w:t>Comments</w:t>
      </w:r>
      <w:r w:rsidRPr="000E73B4">
        <w:rPr>
          <w:rFonts w:cs="Times New Roman"/>
          <w:b/>
          <w:sz w:val="26"/>
          <w:szCs w:val="26"/>
        </w:rPr>
        <w:t xml:space="preserve"> </w:t>
      </w:r>
      <w:r w:rsidR="002B0FA8" w:rsidRPr="002B0FA8">
        <w:rPr>
          <w:rFonts w:cs="Times New Roman"/>
          <w:sz w:val="26"/>
          <w:szCs w:val="26"/>
        </w:rPr>
        <w:t xml:space="preserve">submitted </w:t>
      </w:r>
      <w:r w:rsidR="00475C13">
        <w:rPr>
          <w:rFonts w:cs="Times New Roman"/>
          <w:sz w:val="26"/>
          <w:szCs w:val="26"/>
        </w:rPr>
        <w:t xml:space="preserve">by </w:t>
      </w:r>
      <w:r w:rsidR="002B0FA8" w:rsidRPr="002B0FA8">
        <w:rPr>
          <w:rFonts w:cs="Times New Roman"/>
          <w:sz w:val="26"/>
          <w:szCs w:val="26"/>
        </w:rPr>
        <w:t xml:space="preserve">the Staff of the Public Utilities Commission of Ohio </w:t>
      </w:r>
      <w:r w:rsidRPr="000E73B4">
        <w:rPr>
          <w:rFonts w:cs="Times New Roman"/>
          <w:sz w:val="26"/>
          <w:szCs w:val="26"/>
        </w:rPr>
        <w:t xml:space="preserve">was served by electronic mail upon the following parties of record, </w:t>
      </w:r>
      <w:r w:rsidR="00475C13">
        <w:rPr>
          <w:rFonts w:cs="Times New Roman"/>
          <w:sz w:val="26"/>
          <w:szCs w:val="26"/>
        </w:rPr>
        <w:t xml:space="preserve">on November 17, 2014. </w:t>
      </w:r>
    </w:p>
    <w:p w14:paraId="1057476A" w14:textId="1F1AE0AA" w:rsidR="00CD42AF" w:rsidRPr="00372651" w:rsidRDefault="00D20A4A" w:rsidP="002B0FA8">
      <w:pPr>
        <w:tabs>
          <w:tab w:val="left" w:pos="9360"/>
        </w:tabs>
        <w:spacing w:after="0" w:line="240" w:lineRule="auto"/>
        <w:ind w:left="4770"/>
        <w:jc w:val="both"/>
        <w:rPr>
          <w:rFonts w:cs="Times New Roman"/>
          <w:sz w:val="26"/>
          <w:szCs w:val="26"/>
        </w:rPr>
      </w:pPr>
      <w:r>
        <w:rPr>
          <w:rFonts w:ascii="Viner Hand ITC" w:hAnsi="Viner Hand ITC" w:cs="Times New Roman"/>
          <w:sz w:val="26"/>
          <w:szCs w:val="26"/>
          <w:u w:val="single"/>
        </w:rPr>
        <w:t>/s/ Katie L. Johnson</w:t>
      </w:r>
      <w:r w:rsidR="002B0FA8" w:rsidRPr="00372651">
        <w:rPr>
          <w:rFonts w:cs="Times New Roman"/>
          <w:sz w:val="26"/>
          <w:szCs w:val="26"/>
          <w:u w:val="single"/>
        </w:rPr>
        <w:tab/>
      </w:r>
    </w:p>
    <w:p w14:paraId="7F5B5F8F" w14:textId="77777777" w:rsidR="00CD42AF" w:rsidRPr="00372651" w:rsidRDefault="00372651" w:rsidP="001420B4">
      <w:pPr>
        <w:spacing w:after="0" w:line="240" w:lineRule="auto"/>
        <w:ind w:left="4770"/>
        <w:rPr>
          <w:b/>
          <w:sz w:val="26"/>
          <w:szCs w:val="26"/>
        </w:rPr>
      </w:pPr>
      <w:r w:rsidRPr="00372651">
        <w:rPr>
          <w:b/>
          <w:sz w:val="26"/>
          <w:szCs w:val="26"/>
        </w:rPr>
        <w:t>Katie L. Johnson</w:t>
      </w:r>
    </w:p>
    <w:p w14:paraId="6F6DE32D" w14:textId="77777777" w:rsidR="00CD42AF" w:rsidRPr="00372651" w:rsidRDefault="00395DDD" w:rsidP="00B65AD5">
      <w:pPr>
        <w:spacing w:after="0" w:line="240" w:lineRule="auto"/>
        <w:ind w:left="4770"/>
        <w:jc w:val="both"/>
        <w:rPr>
          <w:rFonts w:cs="Times New Roman"/>
          <w:sz w:val="26"/>
          <w:szCs w:val="26"/>
        </w:rPr>
      </w:pPr>
      <w:r w:rsidRPr="00372651">
        <w:rPr>
          <w:rFonts w:cs="Times New Roman"/>
          <w:sz w:val="26"/>
          <w:szCs w:val="26"/>
        </w:rPr>
        <w:t>Assistant Attorney General</w:t>
      </w:r>
    </w:p>
    <w:p w14:paraId="65B11F12" w14:textId="77777777" w:rsidR="00CD42AF" w:rsidRDefault="00CD42AF" w:rsidP="00CD42AF">
      <w:pPr>
        <w:ind w:left="90"/>
        <w:jc w:val="both"/>
        <w:rPr>
          <w:rFonts w:cs="Times New Roman"/>
          <w:b/>
          <w:sz w:val="26"/>
          <w:szCs w:val="26"/>
        </w:rPr>
      </w:pPr>
      <w:r w:rsidRPr="000E73B4">
        <w:rPr>
          <w:rFonts w:cs="Times New Roman"/>
          <w:b/>
          <w:sz w:val="26"/>
          <w:szCs w:val="26"/>
        </w:rPr>
        <w:t>PARTIES OF RECORD: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72651" w:rsidRPr="00372651" w14:paraId="0E74A7CB" w14:textId="77777777" w:rsidTr="00372651">
        <w:tc>
          <w:tcPr>
            <w:tcW w:w="4675" w:type="dxa"/>
          </w:tcPr>
          <w:p w14:paraId="5701DAC4" w14:textId="77777777" w:rsidR="00372651" w:rsidRPr="00372651" w:rsidRDefault="00372651" w:rsidP="00372651">
            <w:pPr>
              <w:pStyle w:val="NoSpacing"/>
              <w:ind w:left="90"/>
              <w:rPr>
                <w:rFonts w:cs="Times New Roman"/>
                <w:sz w:val="26"/>
                <w:szCs w:val="26"/>
              </w:rPr>
            </w:pPr>
            <w:r w:rsidRPr="00372651">
              <w:rPr>
                <w:rFonts w:cs="Times New Roman"/>
                <w:sz w:val="26"/>
                <w:szCs w:val="26"/>
              </w:rPr>
              <w:t>Joseph P. Serio</w:t>
            </w:r>
          </w:p>
          <w:p w14:paraId="7D327A40" w14:textId="77777777" w:rsidR="00372651" w:rsidRPr="00372651" w:rsidRDefault="00372651" w:rsidP="00372651">
            <w:pPr>
              <w:pStyle w:val="NoSpacing"/>
              <w:ind w:left="90"/>
              <w:rPr>
                <w:rFonts w:cs="Times New Roman"/>
                <w:sz w:val="26"/>
                <w:szCs w:val="26"/>
              </w:rPr>
            </w:pPr>
            <w:r w:rsidRPr="00372651">
              <w:rPr>
                <w:rFonts w:cs="Times New Roman"/>
                <w:sz w:val="26"/>
                <w:szCs w:val="26"/>
              </w:rPr>
              <w:t>Kevin F. Moore</w:t>
            </w:r>
          </w:p>
          <w:p w14:paraId="1488DC6B" w14:textId="77777777" w:rsidR="00372651" w:rsidRPr="00372651" w:rsidRDefault="00372651" w:rsidP="00372651">
            <w:pPr>
              <w:pStyle w:val="NoSpacing"/>
              <w:ind w:left="90"/>
              <w:rPr>
                <w:rFonts w:cs="Times New Roman"/>
                <w:sz w:val="26"/>
                <w:szCs w:val="26"/>
              </w:rPr>
            </w:pPr>
            <w:r w:rsidRPr="00372651">
              <w:rPr>
                <w:rFonts w:cs="Times New Roman"/>
                <w:sz w:val="26"/>
                <w:szCs w:val="26"/>
              </w:rPr>
              <w:t>Assistant Consumers’ counsel</w:t>
            </w:r>
          </w:p>
          <w:p w14:paraId="617CAF63" w14:textId="77777777" w:rsidR="00372651" w:rsidRPr="00372651" w:rsidRDefault="00372651" w:rsidP="00372651">
            <w:pPr>
              <w:pStyle w:val="NoSpacing"/>
              <w:ind w:left="90"/>
              <w:rPr>
                <w:rFonts w:cs="Times New Roman"/>
                <w:sz w:val="26"/>
                <w:szCs w:val="26"/>
              </w:rPr>
            </w:pPr>
            <w:r w:rsidRPr="00372651">
              <w:rPr>
                <w:rFonts w:cs="Times New Roman"/>
                <w:sz w:val="26"/>
                <w:szCs w:val="26"/>
              </w:rPr>
              <w:t>10 West Broad Street, Suite 1800</w:t>
            </w:r>
          </w:p>
          <w:p w14:paraId="076163DA" w14:textId="77777777" w:rsidR="00372651" w:rsidRPr="00372651" w:rsidRDefault="00372651" w:rsidP="00372651">
            <w:pPr>
              <w:pStyle w:val="NoSpacing"/>
              <w:ind w:left="90"/>
              <w:rPr>
                <w:rFonts w:cs="Times New Roman"/>
                <w:sz w:val="26"/>
                <w:szCs w:val="26"/>
              </w:rPr>
            </w:pPr>
            <w:r w:rsidRPr="00372651">
              <w:rPr>
                <w:rFonts w:cs="Times New Roman"/>
                <w:sz w:val="26"/>
                <w:szCs w:val="26"/>
              </w:rPr>
              <w:t>Columbus, OH  43215-3485</w:t>
            </w:r>
          </w:p>
          <w:p w14:paraId="3E40517A" w14:textId="77777777" w:rsidR="00372651" w:rsidRPr="00372651" w:rsidRDefault="000D1B1F" w:rsidP="00372651">
            <w:pPr>
              <w:pStyle w:val="NoSpacing"/>
              <w:ind w:left="90"/>
              <w:rPr>
                <w:rFonts w:cs="Times New Roman"/>
                <w:sz w:val="26"/>
                <w:szCs w:val="26"/>
              </w:rPr>
            </w:pPr>
            <w:hyperlink r:id="rId13" w:history="1">
              <w:r w:rsidR="00372651" w:rsidRPr="00372651">
                <w:rPr>
                  <w:rStyle w:val="Hyperlink"/>
                  <w:rFonts w:cs="Times New Roman"/>
                  <w:sz w:val="26"/>
                  <w:szCs w:val="26"/>
                </w:rPr>
                <w:t>serio@occ.state.oh.us</w:t>
              </w:r>
            </w:hyperlink>
          </w:p>
          <w:p w14:paraId="44828066" w14:textId="77777777" w:rsidR="00372651" w:rsidRPr="00372651" w:rsidRDefault="000D1B1F" w:rsidP="00372651">
            <w:pPr>
              <w:pStyle w:val="NoSpacing"/>
              <w:ind w:left="90"/>
              <w:rPr>
                <w:rFonts w:cs="Times New Roman"/>
                <w:sz w:val="26"/>
                <w:szCs w:val="26"/>
              </w:rPr>
            </w:pPr>
            <w:hyperlink r:id="rId14" w:history="1">
              <w:r w:rsidR="00372651" w:rsidRPr="00372651">
                <w:rPr>
                  <w:rStyle w:val="Hyperlink"/>
                  <w:rFonts w:cs="Times New Roman"/>
                  <w:sz w:val="26"/>
                  <w:szCs w:val="26"/>
                </w:rPr>
                <w:t>moore@occ.state.oh.us</w:t>
              </w:r>
            </w:hyperlink>
          </w:p>
          <w:p w14:paraId="5D84A30B" w14:textId="77777777" w:rsidR="00372651" w:rsidRPr="00372651" w:rsidRDefault="00372651" w:rsidP="00372651">
            <w:pPr>
              <w:pStyle w:val="NoSpacing"/>
              <w:ind w:left="90"/>
              <w:rPr>
                <w:rStyle w:val="Hyperlink"/>
                <w:rFonts w:cs="Times New Roman"/>
                <w:sz w:val="26"/>
                <w:szCs w:val="26"/>
              </w:rPr>
            </w:pPr>
          </w:p>
          <w:p w14:paraId="446FBC9B" w14:textId="77777777" w:rsidR="00372651" w:rsidRPr="00372651" w:rsidRDefault="00372651" w:rsidP="00372651">
            <w:pPr>
              <w:pStyle w:val="NoSpacing"/>
              <w:ind w:left="90"/>
              <w:rPr>
                <w:rStyle w:val="Hyperlink"/>
                <w:rFonts w:cs="Times New Roman"/>
                <w:sz w:val="26"/>
                <w:szCs w:val="26"/>
              </w:rPr>
            </w:pPr>
          </w:p>
          <w:p w14:paraId="0DA35776" w14:textId="77777777" w:rsidR="00372651" w:rsidRPr="00372651" w:rsidRDefault="00372651" w:rsidP="00372651">
            <w:pPr>
              <w:pStyle w:val="NoSpacing"/>
              <w:ind w:left="90"/>
              <w:rPr>
                <w:rFonts w:cs="Times New Roman"/>
                <w:sz w:val="26"/>
                <w:szCs w:val="26"/>
              </w:rPr>
            </w:pPr>
            <w:r w:rsidRPr="00372651">
              <w:rPr>
                <w:rFonts w:cs="Times New Roman"/>
                <w:sz w:val="26"/>
                <w:szCs w:val="26"/>
              </w:rPr>
              <w:t>Stephen B. Seiple</w:t>
            </w:r>
          </w:p>
          <w:p w14:paraId="4E5EF27A" w14:textId="77777777" w:rsidR="00372651" w:rsidRPr="00372651" w:rsidRDefault="00372651" w:rsidP="00372651">
            <w:pPr>
              <w:pStyle w:val="NoSpacing"/>
              <w:ind w:left="90"/>
              <w:rPr>
                <w:rFonts w:cs="Times New Roman"/>
                <w:sz w:val="26"/>
                <w:szCs w:val="26"/>
              </w:rPr>
            </w:pPr>
            <w:r w:rsidRPr="00372651">
              <w:rPr>
                <w:rFonts w:cs="Times New Roman"/>
                <w:sz w:val="26"/>
                <w:szCs w:val="26"/>
              </w:rPr>
              <w:t>Brooke E. Leslie</w:t>
            </w:r>
          </w:p>
          <w:p w14:paraId="2B891D65" w14:textId="77777777" w:rsidR="00372651" w:rsidRPr="00372651" w:rsidRDefault="00372651" w:rsidP="00372651">
            <w:pPr>
              <w:pStyle w:val="NoSpacing"/>
              <w:ind w:left="90"/>
              <w:rPr>
                <w:rFonts w:cs="Times New Roman"/>
                <w:sz w:val="26"/>
                <w:szCs w:val="26"/>
              </w:rPr>
            </w:pPr>
            <w:r w:rsidRPr="00372651">
              <w:rPr>
                <w:rFonts w:cs="Times New Roman"/>
                <w:sz w:val="26"/>
                <w:szCs w:val="26"/>
              </w:rPr>
              <w:t>Melissa L. Thompson</w:t>
            </w:r>
          </w:p>
          <w:p w14:paraId="463974D2" w14:textId="77777777" w:rsidR="00372651" w:rsidRPr="00372651" w:rsidRDefault="00372651" w:rsidP="00372651">
            <w:pPr>
              <w:pStyle w:val="NoSpacing"/>
              <w:ind w:left="90"/>
              <w:rPr>
                <w:rFonts w:cs="Times New Roman"/>
                <w:sz w:val="26"/>
                <w:szCs w:val="26"/>
              </w:rPr>
            </w:pPr>
            <w:r w:rsidRPr="00372651">
              <w:rPr>
                <w:rFonts w:cs="Times New Roman"/>
                <w:sz w:val="26"/>
                <w:szCs w:val="26"/>
              </w:rPr>
              <w:lastRenderedPageBreak/>
              <w:t>Columbia Gas of Ohio, Inc.</w:t>
            </w:r>
          </w:p>
          <w:p w14:paraId="254380EB" w14:textId="77777777" w:rsidR="00372651" w:rsidRPr="00372651" w:rsidRDefault="00372651" w:rsidP="00372651">
            <w:pPr>
              <w:pStyle w:val="NoSpacing"/>
              <w:ind w:left="90"/>
              <w:rPr>
                <w:rFonts w:cs="Times New Roman"/>
                <w:sz w:val="26"/>
                <w:szCs w:val="26"/>
              </w:rPr>
            </w:pPr>
            <w:r w:rsidRPr="00372651">
              <w:rPr>
                <w:rFonts w:cs="Times New Roman"/>
                <w:sz w:val="26"/>
                <w:szCs w:val="26"/>
              </w:rPr>
              <w:t>200 Civic Center Drive</w:t>
            </w:r>
          </w:p>
          <w:p w14:paraId="29B58F0A" w14:textId="77777777" w:rsidR="00372651" w:rsidRPr="00372651" w:rsidRDefault="00372651" w:rsidP="00372651">
            <w:pPr>
              <w:pStyle w:val="NoSpacing"/>
              <w:ind w:left="90"/>
              <w:rPr>
                <w:rFonts w:cs="Times New Roman"/>
                <w:sz w:val="26"/>
                <w:szCs w:val="26"/>
              </w:rPr>
            </w:pPr>
            <w:r w:rsidRPr="00372651">
              <w:rPr>
                <w:rFonts w:cs="Times New Roman"/>
                <w:sz w:val="26"/>
                <w:szCs w:val="26"/>
              </w:rPr>
              <w:t>P.O. Box 117</w:t>
            </w:r>
          </w:p>
          <w:p w14:paraId="353D3A0A" w14:textId="77777777" w:rsidR="00372651" w:rsidRPr="00372651" w:rsidRDefault="00372651" w:rsidP="00372651">
            <w:pPr>
              <w:pStyle w:val="NoSpacing"/>
              <w:ind w:left="90"/>
              <w:rPr>
                <w:rFonts w:cs="Times New Roman"/>
                <w:sz w:val="26"/>
                <w:szCs w:val="26"/>
              </w:rPr>
            </w:pPr>
            <w:r w:rsidRPr="00372651">
              <w:rPr>
                <w:rFonts w:cs="Times New Roman"/>
                <w:sz w:val="26"/>
                <w:szCs w:val="26"/>
              </w:rPr>
              <w:t>Columbus, OH 43216-0117</w:t>
            </w:r>
          </w:p>
          <w:p w14:paraId="08E86F72" w14:textId="77777777" w:rsidR="00372651" w:rsidRPr="00372651" w:rsidRDefault="000D1B1F" w:rsidP="00372651">
            <w:pPr>
              <w:pStyle w:val="NoSpacing"/>
              <w:ind w:left="90"/>
              <w:rPr>
                <w:rFonts w:cs="Times New Roman"/>
                <w:sz w:val="26"/>
                <w:szCs w:val="26"/>
              </w:rPr>
            </w:pPr>
            <w:hyperlink r:id="rId15" w:history="1">
              <w:r w:rsidR="00372651" w:rsidRPr="00372651">
                <w:rPr>
                  <w:rStyle w:val="Hyperlink"/>
                  <w:rFonts w:cs="Times New Roman"/>
                  <w:sz w:val="26"/>
                  <w:szCs w:val="26"/>
                </w:rPr>
                <w:t>sseiple@nisource.com</w:t>
              </w:r>
            </w:hyperlink>
          </w:p>
          <w:p w14:paraId="58082BC6" w14:textId="77777777" w:rsidR="00372651" w:rsidRPr="00372651" w:rsidRDefault="000D1B1F" w:rsidP="00372651">
            <w:pPr>
              <w:pStyle w:val="NoSpacing"/>
              <w:ind w:left="90"/>
              <w:rPr>
                <w:rFonts w:cs="Times New Roman"/>
                <w:sz w:val="26"/>
                <w:szCs w:val="26"/>
              </w:rPr>
            </w:pPr>
            <w:hyperlink r:id="rId16" w:history="1">
              <w:r w:rsidR="00372651" w:rsidRPr="00372651">
                <w:rPr>
                  <w:rStyle w:val="Hyperlink"/>
                  <w:rFonts w:cs="Times New Roman"/>
                  <w:sz w:val="26"/>
                  <w:szCs w:val="26"/>
                </w:rPr>
                <w:t>bleslie@nisource.com</w:t>
              </w:r>
            </w:hyperlink>
          </w:p>
          <w:p w14:paraId="4C843015" w14:textId="77777777" w:rsidR="00372651" w:rsidRPr="00372651" w:rsidRDefault="000D1B1F" w:rsidP="00372651">
            <w:pPr>
              <w:pStyle w:val="NoSpacing"/>
              <w:ind w:left="90"/>
              <w:rPr>
                <w:rFonts w:cs="Times New Roman"/>
                <w:sz w:val="26"/>
                <w:szCs w:val="26"/>
              </w:rPr>
            </w:pPr>
            <w:hyperlink r:id="rId17" w:history="1">
              <w:r w:rsidR="00372651" w:rsidRPr="00372651">
                <w:rPr>
                  <w:rStyle w:val="Hyperlink"/>
                  <w:rFonts w:cs="Times New Roman"/>
                  <w:sz w:val="26"/>
                  <w:szCs w:val="26"/>
                </w:rPr>
                <w:t>mthompson@nisource.com</w:t>
              </w:r>
            </w:hyperlink>
          </w:p>
          <w:p w14:paraId="063577B7" w14:textId="77777777" w:rsidR="00372651" w:rsidRPr="00372651" w:rsidRDefault="00372651" w:rsidP="00372651">
            <w:pPr>
              <w:pStyle w:val="NoSpacing"/>
              <w:rPr>
                <w:sz w:val="26"/>
                <w:szCs w:val="26"/>
              </w:rPr>
            </w:pPr>
          </w:p>
        </w:tc>
        <w:tc>
          <w:tcPr>
            <w:tcW w:w="4675" w:type="dxa"/>
          </w:tcPr>
          <w:p w14:paraId="4C3E520A" w14:textId="77777777" w:rsidR="00372651" w:rsidRPr="00372651" w:rsidRDefault="00372651" w:rsidP="00372651">
            <w:pPr>
              <w:pStyle w:val="NoSpacing"/>
              <w:rPr>
                <w:sz w:val="26"/>
                <w:szCs w:val="26"/>
              </w:rPr>
            </w:pPr>
            <w:r w:rsidRPr="00372651">
              <w:rPr>
                <w:sz w:val="26"/>
                <w:szCs w:val="26"/>
              </w:rPr>
              <w:lastRenderedPageBreak/>
              <w:t>Colleen L. Mooney</w:t>
            </w:r>
          </w:p>
          <w:p w14:paraId="0DDE2A12" w14:textId="77777777" w:rsidR="00372651" w:rsidRPr="00372651" w:rsidRDefault="00372651" w:rsidP="00372651">
            <w:pPr>
              <w:pStyle w:val="NoSpacing"/>
              <w:rPr>
                <w:sz w:val="26"/>
                <w:szCs w:val="26"/>
              </w:rPr>
            </w:pPr>
            <w:r w:rsidRPr="00372651">
              <w:rPr>
                <w:sz w:val="26"/>
                <w:szCs w:val="26"/>
              </w:rPr>
              <w:t>Ohio Partners for Affordable Energy</w:t>
            </w:r>
          </w:p>
          <w:p w14:paraId="1F009F40" w14:textId="77777777" w:rsidR="00372651" w:rsidRPr="00372651" w:rsidRDefault="00372651" w:rsidP="00372651">
            <w:pPr>
              <w:pStyle w:val="NoSpacing"/>
              <w:rPr>
                <w:sz w:val="26"/>
                <w:szCs w:val="26"/>
              </w:rPr>
            </w:pPr>
            <w:r w:rsidRPr="00372651">
              <w:rPr>
                <w:sz w:val="26"/>
                <w:szCs w:val="26"/>
              </w:rPr>
              <w:t>231 West Lima Street</w:t>
            </w:r>
          </w:p>
          <w:p w14:paraId="75EA2241" w14:textId="77777777" w:rsidR="00372651" w:rsidRPr="00372651" w:rsidRDefault="00372651" w:rsidP="00372651">
            <w:pPr>
              <w:pStyle w:val="NoSpacing"/>
              <w:rPr>
                <w:sz w:val="26"/>
                <w:szCs w:val="26"/>
              </w:rPr>
            </w:pPr>
            <w:r w:rsidRPr="00372651">
              <w:rPr>
                <w:sz w:val="26"/>
                <w:szCs w:val="26"/>
              </w:rPr>
              <w:t>P.O. Box 1793</w:t>
            </w:r>
          </w:p>
          <w:p w14:paraId="323106CF" w14:textId="77777777" w:rsidR="00372651" w:rsidRPr="00372651" w:rsidRDefault="00372651" w:rsidP="00372651">
            <w:pPr>
              <w:pStyle w:val="NoSpacing"/>
              <w:rPr>
                <w:sz w:val="26"/>
                <w:szCs w:val="26"/>
              </w:rPr>
            </w:pPr>
            <w:r w:rsidRPr="00372651">
              <w:rPr>
                <w:sz w:val="26"/>
                <w:szCs w:val="26"/>
              </w:rPr>
              <w:t>Findlay, OH  45839-1793</w:t>
            </w:r>
          </w:p>
          <w:p w14:paraId="1DDEFBF5" w14:textId="77777777" w:rsidR="00372651" w:rsidRPr="00372651" w:rsidRDefault="000D1B1F" w:rsidP="00372651">
            <w:pPr>
              <w:pStyle w:val="NoSpacing"/>
              <w:rPr>
                <w:sz w:val="26"/>
                <w:szCs w:val="26"/>
              </w:rPr>
            </w:pPr>
            <w:hyperlink r:id="rId18" w:history="1">
              <w:r w:rsidR="00372651" w:rsidRPr="00372651">
                <w:rPr>
                  <w:rStyle w:val="Hyperlink"/>
                  <w:sz w:val="26"/>
                  <w:szCs w:val="26"/>
                </w:rPr>
                <w:t>cmooney@ohiopartners.org</w:t>
              </w:r>
            </w:hyperlink>
          </w:p>
        </w:tc>
      </w:tr>
    </w:tbl>
    <w:p w14:paraId="2C55DCA8" w14:textId="77777777" w:rsidR="00372651" w:rsidRPr="00372651" w:rsidRDefault="00372651" w:rsidP="00372651">
      <w:pPr>
        <w:pStyle w:val="NoSpacing"/>
      </w:pPr>
    </w:p>
    <w:p w14:paraId="74FEDE90" w14:textId="77777777" w:rsidR="00372651" w:rsidRDefault="00372651" w:rsidP="00B65AD5">
      <w:pPr>
        <w:pStyle w:val="NoSpacing"/>
        <w:ind w:left="90"/>
        <w:rPr>
          <w:rFonts w:cs="Times New Roman"/>
          <w:sz w:val="26"/>
          <w:szCs w:val="26"/>
        </w:rPr>
      </w:pPr>
    </w:p>
    <w:p w14:paraId="70AD29BA" w14:textId="77777777" w:rsidR="00B65AD5" w:rsidRPr="00CD42AF" w:rsidRDefault="00B65AD5" w:rsidP="00B65AD5">
      <w:pPr>
        <w:pStyle w:val="NoSpacing"/>
        <w:ind w:left="90"/>
        <w:rPr>
          <w:rFonts w:cs="Times New Roman"/>
          <w:sz w:val="26"/>
          <w:szCs w:val="26"/>
        </w:rPr>
      </w:pPr>
    </w:p>
    <w:sectPr w:rsidR="00B65AD5" w:rsidRPr="00CD42AF" w:rsidSect="002B0FA8">
      <w:headerReference w:type="default" r:id="rId19"/>
      <w:footerReference w:type="default" r:id="rId20"/>
      <w:headerReference w:type="first" r:id="rId21"/>
      <w:footerReference w:type="first" r:id="rId2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5CFA8B" w14:textId="77777777" w:rsidR="00A4235E" w:rsidRDefault="00A4235E" w:rsidP="00334569">
      <w:pPr>
        <w:spacing w:after="0" w:line="240" w:lineRule="auto"/>
      </w:pPr>
      <w:r>
        <w:separator/>
      </w:r>
    </w:p>
  </w:endnote>
  <w:endnote w:type="continuationSeparator" w:id="0">
    <w:p w14:paraId="020FE830" w14:textId="77777777" w:rsidR="00A4235E" w:rsidRDefault="00A4235E" w:rsidP="00334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4206621"/>
      <w:docPartObj>
        <w:docPartGallery w:val="Page Numbers (Bottom of Page)"/>
        <w:docPartUnique/>
      </w:docPartObj>
    </w:sdtPr>
    <w:sdtEndPr>
      <w:rPr>
        <w:noProof/>
      </w:rPr>
    </w:sdtEndPr>
    <w:sdtContent>
      <w:p w14:paraId="5A011EF0" w14:textId="77777777" w:rsidR="009C4948" w:rsidRDefault="009C4948">
        <w:pPr>
          <w:pStyle w:val="Footer"/>
          <w:jc w:val="center"/>
        </w:pPr>
        <w:r>
          <w:fldChar w:fldCharType="begin"/>
        </w:r>
        <w:r>
          <w:instrText xml:space="preserve"> PAGE   \* MERGEFORMAT </w:instrText>
        </w:r>
        <w:r>
          <w:fldChar w:fldCharType="separate"/>
        </w:r>
        <w:r w:rsidR="00981682">
          <w:rPr>
            <w:noProof/>
          </w:rPr>
          <w:t>2</w:t>
        </w:r>
        <w:r>
          <w:rPr>
            <w:noProof/>
          </w:rPr>
          <w:fldChar w:fldCharType="end"/>
        </w:r>
      </w:p>
    </w:sdtContent>
  </w:sdt>
  <w:p w14:paraId="780CD5D2" w14:textId="77777777" w:rsidR="009C4948" w:rsidRDefault="009C49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0728939"/>
      <w:docPartObj>
        <w:docPartGallery w:val="Page Numbers (Bottom of Page)"/>
        <w:docPartUnique/>
      </w:docPartObj>
    </w:sdtPr>
    <w:sdtEndPr>
      <w:rPr>
        <w:noProof/>
      </w:rPr>
    </w:sdtEndPr>
    <w:sdtContent>
      <w:p w14:paraId="608ACD07" w14:textId="77777777" w:rsidR="009C4948" w:rsidRDefault="009C4948" w:rsidP="002B0FA8">
        <w:pPr>
          <w:pStyle w:val="Footer"/>
          <w:jc w:val="center"/>
        </w:pPr>
        <w:r>
          <w:fldChar w:fldCharType="begin"/>
        </w:r>
        <w:r>
          <w:instrText xml:space="preserve"> PAGE   \* MERGEFORMAT </w:instrText>
        </w:r>
        <w:r>
          <w:fldChar w:fldCharType="separate"/>
        </w:r>
        <w:r w:rsidR="000D1B1F">
          <w:rPr>
            <w:noProof/>
          </w:rPr>
          <w:t>ii</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3298612"/>
      <w:docPartObj>
        <w:docPartGallery w:val="Page Numbers (Bottom of Page)"/>
        <w:docPartUnique/>
      </w:docPartObj>
    </w:sdtPr>
    <w:sdtEndPr>
      <w:rPr>
        <w:noProof/>
      </w:rPr>
    </w:sdtEndPr>
    <w:sdtContent>
      <w:p w14:paraId="6BED365B" w14:textId="77777777" w:rsidR="009C4948" w:rsidRDefault="009C4948" w:rsidP="002B0FA8">
        <w:pPr>
          <w:pStyle w:val="Footer"/>
          <w:jc w:val="center"/>
        </w:pPr>
        <w:r>
          <w:fldChar w:fldCharType="begin"/>
        </w:r>
        <w:r>
          <w:instrText xml:space="preserve"> PAGE   \* MERGEFORMAT </w:instrText>
        </w:r>
        <w:r>
          <w:fldChar w:fldCharType="separate"/>
        </w:r>
        <w:r w:rsidR="000D1B1F">
          <w:rPr>
            <w:noProof/>
          </w:rPr>
          <w:t>15</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C43FE" w14:textId="77777777" w:rsidR="009C4948" w:rsidRDefault="009C49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A2780D" w14:textId="77777777" w:rsidR="00A4235E" w:rsidRDefault="00A4235E" w:rsidP="00334569">
      <w:pPr>
        <w:spacing w:after="0" w:line="240" w:lineRule="auto"/>
      </w:pPr>
      <w:r>
        <w:separator/>
      </w:r>
    </w:p>
  </w:footnote>
  <w:footnote w:type="continuationSeparator" w:id="0">
    <w:p w14:paraId="7C48CA97" w14:textId="77777777" w:rsidR="00A4235E" w:rsidRDefault="00A4235E" w:rsidP="00334569">
      <w:pPr>
        <w:spacing w:after="0" w:line="240" w:lineRule="auto"/>
      </w:pPr>
      <w:r>
        <w:continuationSeparator/>
      </w:r>
    </w:p>
  </w:footnote>
  <w:footnote w:id="1">
    <w:p w14:paraId="51D97AE8" w14:textId="77777777" w:rsidR="009C4948" w:rsidRPr="00B25BB4" w:rsidRDefault="009C4948" w:rsidP="00B25BB4">
      <w:pPr>
        <w:pStyle w:val="FootnoteText"/>
      </w:pPr>
      <w:r>
        <w:rPr>
          <w:rStyle w:val="FootnoteReference"/>
        </w:rPr>
        <w:footnoteRef/>
      </w:r>
      <w:r>
        <w:t xml:space="preserve"> </w:t>
      </w:r>
      <w:r>
        <w:tab/>
      </w:r>
      <w:r w:rsidRPr="000E73B4">
        <w:tab/>
      </w:r>
      <w:r w:rsidRPr="00B25BB4">
        <w:rPr>
          <w:i/>
        </w:rPr>
        <w:t>In the Matter of the Application of</w:t>
      </w:r>
      <w:r w:rsidR="00BE2D3E">
        <w:rPr>
          <w:i/>
        </w:rPr>
        <w:t xml:space="preserve"> Columbia Gas of Ohio, Inc. for</w:t>
      </w:r>
      <w:r w:rsidRPr="00B25BB4">
        <w:rPr>
          <w:i/>
        </w:rPr>
        <w:t xml:space="preserve"> Approval to Change Accounting Methods</w:t>
      </w:r>
      <w:r w:rsidR="00BE2D3E">
        <w:t>, Case No. 14</w:t>
      </w:r>
      <w:r>
        <w:t>-</w:t>
      </w:r>
      <w:r w:rsidR="00BE2D3E">
        <w:t>1615</w:t>
      </w:r>
      <w:r>
        <w:t>-GA-</w:t>
      </w:r>
      <w:r w:rsidR="00BE2D3E">
        <w:t>AAM</w:t>
      </w:r>
      <w:r>
        <w:t xml:space="preserve">  (</w:t>
      </w:r>
      <w:r w:rsidRPr="000E73B4">
        <w:t>Application at 1</w:t>
      </w:r>
      <w:r w:rsidR="00BE2D3E">
        <w:t>-2</w:t>
      </w:r>
      <w:r>
        <w:t>) (</w:t>
      </w:r>
      <w:r w:rsidR="00BE2D3E">
        <w:t>Sep</w:t>
      </w:r>
      <w:r w:rsidR="002730CB">
        <w:t>. </w:t>
      </w:r>
      <w:r w:rsidR="00BE2D3E">
        <w:t>12, 2014</w:t>
      </w:r>
      <w:r>
        <w:t>) (</w:t>
      </w:r>
      <w:r>
        <w:rPr>
          <w:i/>
        </w:rPr>
        <w:t>Columbia Gas Application</w:t>
      </w:r>
      <w:r>
        <w:t>).</w:t>
      </w:r>
    </w:p>
  </w:footnote>
  <w:footnote w:id="2">
    <w:p w14:paraId="1F4CE46F" w14:textId="77777777" w:rsidR="007F0E1C" w:rsidRDefault="007F0E1C">
      <w:pPr>
        <w:pStyle w:val="FootnoteText"/>
      </w:pPr>
      <w:r>
        <w:rPr>
          <w:rStyle w:val="FootnoteReference"/>
        </w:rPr>
        <w:footnoteRef/>
      </w:r>
      <w:r>
        <w:t xml:space="preserve"> </w:t>
      </w:r>
      <w:r w:rsidR="004002F5">
        <w:tab/>
      </w:r>
      <w:r w:rsidR="004002F5">
        <w:tab/>
      </w:r>
      <w:r w:rsidR="002730CB">
        <w:rPr>
          <w:i/>
        </w:rPr>
        <w:t>Columbia Gas Application</w:t>
      </w:r>
      <w:r w:rsidR="004002F5">
        <w:t xml:space="preserve"> at 2</w:t>
      </w:r>
      <w:r w:rsidR="002730CB">
        <w:t>.</w:t>
      </w:r>
    </w:p>
  </w:footnote>
  <w:footnote w:id="3">
    <w:p w14:paraId="63E43B1B" w14:textId="77777777" w:rsidR="004002F5" w:rsidRDefault="004002F5">
      <w:pPr>
        <w:pStyle w:val="FootnoteText"/>
      </w:pPr>
      <w:r>
        <w:rPr>
          <w:rStyle w:val="FootnoteReference"/>
        </w:rPr>
        <w:footnoteRef/>
      </w:r>
      <w:r>
        <w:t xml:space="preserve"> </w:t>
      </w:r>
      <w:r>
        <w:tab/>
      </w:r>
      <w:r>
        <w:tab/>
      </w:r>
      <w:r w:rsidRPr="002730CB">
        <w:rPr>
          <w:i/>
        </w:rPr>
        <w:t>Id</w:t>
      </w:r>
      <w:r>
        <w:t>.</w:t>
      </w:r>
    </w:p>
  </w:footnote>
  <w:footnote w:id="4">
    <w:p w14:paraId="45BC7145" w14:textId="77777777" w:rsidR="004002F5" w:rsidRDefault="004002F5">
      <w:pPr>
        <w:pStyle w:val="FootnoteText"/>
      </w:pPr>
      <w:r>
        <w:rPr>
          <w:rStyle w:val="FootnoteReference"/>
        </w:rPr>
        <w:footnoteRef/>
      </w:r>
      <w:r>
        <w:t xml:space="preserve"> </w:t>
      </w:r>
      <w:r w:rsidR="00BE2D3E">
        <w:tab/>
      </w:r>
      <w:r w:rsidR="00BE2D3E">
        <w:tab/>
      </w:r>
      <w:r w:rsidR="00BE2D3E" w:rsidRPr="002730CB">
        <w:rPr>
          <w:i/>
        </w:rPr>
        <w:t>Id</w:t>
      </w:r>
      <w:r w:rsidR="00BE2D3E">
        <w:t>.</w:t>
      </w:r>
      <w:r w:rsidR="00BE2D3E">
        <w:tab/>
      </w:r>
    </w:p>
  </w:footnote>
  <w:footnote w:id="5">
    <w:p w14:paraId="69524492" w14:textId="77777777" w:rsidR="004002F5" w:rsidRDefault="004002F5">
      <w:pPr>
        <w:pStyle w:val="FootnoteText"/>
      </w:pPr>
      <w:r>
        <w:rPr>
          <w:rStyle w:val="FootnoteReference"/>
        </w:rPr>
        <w:footnoteRef/>
      </w:r>
      <w:r>
        <w:t xml:space="preserve"> </w:t>
      </w:r>
      <w:r w:rsidR="00BE2D3E">
        <w:tab/>
      </w:r>
      <w:r w:rsidR="00BE2D3E">
        <w:tab/>
      </w:r>
      <w:r w:rsidR="00BE2D3E" w:rsidRPr="002730CB">
        <w:rPr>
          <w:i/>
        </w:rPr>
        <w:t>Id</w:t>
      </w:r>
      <w:r w:rsidR="00BE2D3E">
        <w:t>.</w:t>
      </w:r>
    </w:p>
  </w:footnote>
  <w:footnote w:id="6">
    <w:p w14:paraId="141D9372" w14:textId="77777777" w:rsidR="00164FBE" w:rsidRDefault="00164FBE">
      <w:pPr>
        <w:pStyle w:val="FootnoteText"/>
      </w:pPr>
      <w:r>
        <w:rPr>
          <w:rStyle w:val="FootnoteReference"/>
        </w:rPr>
        <w:footnoteRef/>
      </w:r>
      <w:r>
        <w:t xml:space="preserve"> </w:t>
      </w:r>
      <w:r w:rsidR="00BE2D3E">
        <w:tab/>
      </w:r>
      <w:r w:rsidR="00BE2D3E">
        <w:tab/>
        <w:t>Meeting between Staff and Columbia, October 9, 2014.</w:t>
      </w:r>
    </w:p>
  </w:footnote>
  <w:footnote w:id="7">
    <w:p w14:paraId="4DAE404C" w14:textId="77777777" w:rsidR="00164FBE" w:rsidRDefault="00164FBE">
      <w:pPr>
        <w:pStyle w:val="FootnoteText"/>
      </w:pPr>
      <w:r>
        <w:rPr>
          <w:rStyle w:val="FootnoteReference"/>
        </w:rPr>
        <w:footnoteRef/>
      </w:r>
      <w:r>
        <w:t xml:space="preserve"> </w:t>
      </w:r>
      <w:r w:rsidR="00BE2D3E">
        <w:tab/>
      </w:r>
      <w:r w:rsidR="00BE2D3E">
        <w:tab/>
      </w:r>
      <w:r w:rsidR="002730CB">
        <w:rPr>
          <w:i/>
        </w:rPr>
        <w:t xml:space="preserve">Columbia Gas Application </w:t>
      </w:r>
      <w:r w:rsidR="00BE2D3E">
        <w:t>at 2-3.</w:t>
      </w:r>
    </w:p>
  </w:footnote>
  <w:footnote w:id="8">
    <w:p w14:paraId="30E5932E" w14:textId="77777777" w:rsidR="00164FBE" w:rsidRDefault="00164FBE">
      <w:pPr>
        <w:pStyle w:val="FootnoteText"/>
      </w:pPr>
      <w:r>
        <w:rPr>
          <w:rStyle w:val="FootnoteReference"/>
        </w:rPr>
        <w:footnoteRef/>
      </w:r>
      <w:r>
        <w:t xml:space="preserve"> </w:t>
      </w:r>
      <w:r w:rsidR="00BE2D3E">
        <w:tab/>
      </w:r>
      <w:r w:rsidR="00BE2D3E">
        <w:tab/>
      </w:r>
      <w:r w:rsidR="003514F9">
        <w:rPr>
          <w:i/>
        </w:rPr>
        <w:t>Id</w:t>
      </w:r>
      <w:r w:rsidR="003514F9">
        <w:t xml:space="preserve">. </w:t>
      </w:r>
      <w:r w:rsidR="00BE2D3E">
        <w:t>at 3.</w:t>
      </w:r>
    </w:p>
  </w:footnote>
  <w:footnote w:id="9">
    <w:p w14:paraId="724C10F1" w14:textId="77777777" w:rsidR="00321BF2" w:rsidRDefault="00321BF2">
      <w:pPr>
        <w:pStyle w:val="FootnoteText"/>
      </w:pPr>
      <w:r>
        <w:rPr>
          <w:rStyle w:val="FootnoteReference"/>
        </w:rPr>
        <w:footnoteRef/>
      </w:r>
      <w:r>
        <w:t xml:space="preserve"> </w:t>
      </w:r>
      <w:r w:rsidR="00BE2D3E">
        <w:tab/>
      </w:r>
      <w:r w:rsidR="00BE2D3E">
        <w:tab/>
      </w:r>
      <w:r w:rsidR="00BE2D3E" w:rsidRPr="002730CB">
        <w:rPr>
          <w:i/>
        </w:rPr>
        <w:t>Id</w:t>
      </w:r>
      <w:r w:rsidR="00BE2D3E">
        <w:t>.</w:t>
      </w:r>
    </w:p>
  </w:footnote>
  <w:footnote w:id="10">
    <w:p w14:paraId="6B32E775" w14:textId="77777777" w:rsidR="00A1746B" w:rsidRDefault="00A1746B" w:rsidP="00A1746B">
      <w:pPr>
        <w:pStyle w:val="FootnoteText"/>
      </w:pPr>
      <w:r>
        <w:rPr>
          <w:rStyle w:val="FootnoteReference"/>
        </w:rPr>
        <w:footnoteRef/>
      </w:r>
      <w:r>
        <w:t xml:space="preserve"> </w:t>
      </w:r>
      <w:r w:rsidR="00BE2D3E">
        <w:tab/>
      </w:r>
      <w:r w:rsidR="00BE2D3E">
        <w:tab/>
      </w:r>
      <w:r w:rsidR="003514F9">
        <w:rPr>
          <w:i/>
        </w:rPr>
        <w:t xml:space="preserve">Columbia Gas Application </w:t>
      </w:r>
      <w:r w:rsidR="003514F9">
        <w:t>at 3.</w:t>
      </w:r>
    </w:p>
  </w:footnote>
  <w:footnote w:id="11">
    <w:p w14:paraId="1AE661BA" w14:textId="77777777" w:rsidR="00AC0CCE" w:rsidRPr="002730CB" w:rsidRDefault="00AC0CCE">
      <w:pPr>
        <w:pStyle w:val="FootnoteText"/>
      </w:pPr>
      <w:r>
        <w:rPr>
          <w:rStyle w:val="FootnoteReference"/>
        </w:rPr>
        <w:footnoteRef/>
      </w:r>
      <w:r>
        <w:t xml:space="preserve"> </w:t>
      </w:r>
      <w:r w:rsidR="00BE2D3E">
        <w:tab/>
      </w:r>
      <w:r w:rsidR="00BE2D3E">
        <w:tab/>
      </w:r>
      <w:r w:rsidR="003514F9">
        <w:rPr>
          <w:i/>
        </w:rPr>
        <w:t>Id</w:t>
      </w:r>
      <w:r w:rsidR="002730CB">
        <w:t>.</w:t>
      </w:r>
    </w:p>
  </w:footnote>
  <w:footnote w:id="12">
    <w:p w14:paraId="133FD78B" w14:textId="77777777" w:rsidR="00AC0CCE" w:rsidRDefault="00AC0CCE">
      <w:pPr>
        <w:pStyle w:val="FootnoteText"/>
      </w:pPr>
      <w:r>
        <w:rPr>
          <w:rStyle w:val="FootnoteReference"/>
        </w:rPr>
        <w:footnoteRef/>
      </w:r>
      <w:r>
        <w:t xml:space="preserve"> </w:t>
      </w:r>
      <w:r w:rsidR="00BE2D3E">
        <w:tab/>
      </w:r>
      <w:r w:rsidR="00BE2D3E">
        <w:tab/>
      </w:r>
      <w:r w:rsidR="00BE2D3E" w:rsidRPr="002730CB">
        <w:rPr>
          <w:i/>
        </w:rPr>
        <w:t>Id</w:t>
      </w:r>
      <w:r w:rsidR="00BE2D3E">
        <w:t>.</w:t>
      </w:r>
    </w:p>
  </w:footnote>
  <w:footnote w:id="13">
    <w:p w14:paraId="133CA11A" w14:textId="77777777" w:rsidR="00AC0CCE" w:rsidRDefault="00AC0CCE">
      <w:pPr>
        <w:pStyle w:val="FootnoteText"/>
      </w:pPr>
      <w:r>
        <w:rPr>
          <w:rStyle w:val="FootnoteReference"/>
        </w:rPr>
        <w:footnoteRef/>
      </w:r>
      <w:r>
        <w:t xml:space="preserve"> </w:t>
      </w:r>
      <w:r w:rsidR="00BE2D3E">
        <w:tab/>
      </w:r>
      <w:r w:rsidR="00BE2D3E">
        <w:tab/>
      </w:r>
      <w:r w:rsidR="002730CB">
        <w:rPr>
          <w:i/>
        </w:rPr>
        <w:t>Id</w:t>
      </w:r>
      <w:r w:rsidR="00BE2D3E">
        <w:t>. at 3-4.</w:t>
      </w:r>
    </w:p>
  </w:footnote>
  <w:footnote w:id="14">
    <w:p w14:paraId="17FD1F5D" w14:textId="77777777" w:rsidR="00BE2D3E" w:rsidRDefault="00BE2D3E">
      <w:pPr>
        <w:pStyle w:val="FootnoteText"/>
      </w:pPr>
      <w:r>
        <w:rPr>
          <w:rStyle w:val="FootnoteReference"/>
        </w:rPr>
        <w:footnoteRef/>
      </w:r>
      <w:r>
        <w:t xml:space="preserve"> </w:t>
      </w:r>
      <w:r>
        <w:tab/>
      </w:r>
      <w:r>
        <w:tab/>
      </w:r>
      <w:r w:rsidR="002730CB">
        <w:rPr>
          <w:i/>
        </w:rPr>
        <w:t>Columbia Gas Application</w:t>
      </w:r>
      <w:r w:rsidR="002730CB">
        <w:t>, Attachment A</w:t>
      </w:r>
      <w:r>
        <w:t xml:space="preserve"> at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6453C" w14:textId="77777777" w:rsidR="009C4948" w:rsidRDefault="009C4948" w:rsidP="002B0FA8">
    <w:pPr>
      <w:pStyle w:val="Header"/>
      <w:jc w:val="center"/>
      <w:rPr>
        <w:b/>
        <w:sz w:val="28"/>
        <w:szCs w:val="28"/>
      </w:rPr>
    </w:pPr>
    <w:r>
      <w:rPr>
        <w:b/>
        <w:sz w:val="28"/>
        <w:szCs w:val="28"/>
      </w:rPr>
      <w:t>TABLE OF CONTENTS</w:t>
    </w:r>
  </w:p>
  <w:p w14:paraId="055AEEC9" w14:textId="77777777" w:rsidR="009C4948" w:rsidRDefault="009C4948" w:rsidP="002B0FA8">
    <w:pPr>
      <w:pStyle w:val="Header"/>
      <w:jc w:val="right"/>
      <w:rPr>
        <w:b/>
        <w:sz w:val="28"/>
        <w:szCs w:val="28"/>
      </w:rPr>
    </w:pPr>
    <w:r>
      <w:rPr>
        <w:b/>
        <w:sz w:val="28"/>
        <w:szCs w:val="28"/>
      </w:rPr>
      <w:t>Page</w:t>
    </w:r>
  </w:p>
  <w:p w14:paraId="0C873C49" w14:textId="77777777" w:rsidR="0059084C" w:rsidRDefault="0059084C" w:rsidP="002B0FA8">
    <w:pPr>
      <w:pStyle w:val="Header"/>
      <w:jc w:val="right"/>
      <w:rPr>
        <w:b/>
        <w:sz w:val="28"/>
        <w:szCs w:val="28"/>
      </w:rPr>
    </w:pPr>
  </w:p>
  <w:p w14:paraId="3B2076E4" w14:textId="77777777" w:rsidR="0059084C" w:rsidRPr="002B0FA8" w:rsidRDefault="0059084C" w:rsidP="002B0FA8">
    <w:pPr>
      <w:pStyle w:val="Header"/>
      <w:jc w:val="right"/>
      <w:rPr>
        <w:b/>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CBCD4" w14:textId="65A31F0B" w:rsidR="009C4948" w:rsidRPr="007355E1" w:rsidRDefault="009C4948" w:rsidP="007355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9F133" w14:textId="53A7C0FA" w:rsidR="009C4948" w:rsidRPr="007355E1" w:rsidRDefault="009C4948" w:rsidP="007355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B0161"/>
    <w:multiLevelType w:val="hybridMultilevel"/>
    <w:tmpl w:val="1E761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5033B3"/>
    <w:multiLevelType w:val="hybridMultilevel"/>
    <w:tmpl w:val="C4A203FE"/>
    <w:lvl w:ilvl="0" w:tplc="36EED1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3D4511"/>
    <w:multiLevelType w:val="hybridMultilevel"/>
    <w:tmpl w:val="80409544"/>
    <w:lvl w:ilvl="0" w:tplc="CFC8B4B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B522CE"/>
    <w:multiLevelType w:val="hybridMultilevel"/>
    <w:tmpl w:val="93A6DF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32139F"/>
    <w:multiLevelType w:val="hybridMultilevel"/>
    <w:tmpl w:val="C84A4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5106AC"/>
    <w:multiLevelType w:val="hybridMultilevel"/>
    <w:tmpl w:val="0D1A0F98"/>
    <w:lvl w:ilvl="0" w:tplc="B2F863A2">
      <w:start w:val="1"/>
      <w:numFmt w:val="upperRoman"/>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023975"/>
    <w:multiLevelType w:val="hybridMultilevel"/>
    <w:tmpl w:val="04382B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E7A6F5A"/>
    <w:multiLevelType w:val="hybridMultilevel"/>
    <w:tmpl w:val="396E8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DD749D"/>
    <w:multiLevelType w:val="hybridMultilevel"/>
    <w:tmpl w:val="E67496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212D27"/>
    <w:multiLevelType w:val="hybridMultilevel"/>
    <w:tmpl w:val="A3D818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DC598E"/>
    <w:multiLevelType w:val="hybridMultilevel"/>
    <w:tmpl w:val="C358B48E"/>
    <w:lvl w:ilvl="0" w:tplc="46A0D572">
      <w:start w:val="1"/>
      <w:numFmt w:val="upperLetter"/>
      <w:pStyle w:val="Heading2"/>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4"/>
  </w:num>
  <w:num w:numId="3">
    <w:abstractNumId w:val="7"/>
  </w:num>
  <w:num w:numId="4">
    <w:abstractNumId w:val="0"/>
  </w:num>
  <w:num w:numId="5">
    <w:abstractNumId w:val="9"/>
  </w:num>
  <w:num w:numId="6">
    <w:abstractNumId w:val="8"/>
  </w:num>
  <w:num w:numId="7">
    <w:abstractNumId w:val="3"/>
  </w:num>
  <w:num w:numId="8">
    <w:abstractNumId w:val="1"/>
  </w:num>
  <w:num w:numId="9">
    <w:abstractNumId w:val="5"/>
  </w:num>
  <w:num w:numId="10">
    <w:abstractNumId w:val="10"/>
  </w:num>
  <w:num w:numId="11">
    <w:abstractNumId w:val="2"/>
  </w:num>
  <w:num w:numId="12">
    <w:abstractNumId w:val="10"/>
    <w:lvlOverride w:ilvl="0">
      <w:startOverride w:val="1"/>
    </w:lvlOverride>
  </w:num>
  <w:num w:numId="13">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D99"/>
    <w:rsid w:val="00011697"/>
    <w:rsid w:val="0001404F"/>
    <w:rsid w:val="00014504"/>
    <w:rsid w:val="00014A1D"/>
    <w:rsid w:val="00022918"/>
    <w:rsid w:val="0003578D"/>
    <w:rsid w:val="000365C1"/>
    <w:rsid w:val="00047A6D"/>
    <w:rsid w:val="00051C05"/>
    <w:rsid w:val="00065663"/>
    <w:rsid w:val="00073FE2"/>
    <w:rsid w:val="000A66BB"/>
    <w:rsid w:val="000A6BE2"/>
    <w:rsid w:val="000B4E82"/>
    <w:rsid w:val="000C2BF4"/>
    <w:rsid w:val="000C60E8"/>
    <w:rsid w:val="000D0211"/>
    <w:rsid w:val="000D1B1F"/>
    <w:rsid w:val="000D51EB"/>
    <w:rsid w:val="000E73B4"/>
    <w:rsid w:val="000F32DE"/>
    <w:rsid w:val="000F44F2"/>
    <w:rsid w:val="00101279"/>
    <w:rsid w:val="00121D72"/>
    <w:rsid w:val="001408B2"/>
    <w:rsid w:val="001420B4"/>
    <w:rsid w:val="00150F3B"/>
    <w:rsid w:val="001562E4"/>
    <w:rsid w:val="00160121"/>
    <w:rsid w:val="00164FBE"/>
    <w:rsid w:val="001846BC"/>
    <w:rsid w:val="0019095D"/>
    <w:rsid w:val="001C1624"/>
    <w:rsid w:val="001C42E5"/>
    <w:rsid w:val="001F1981"/>
    <w:rsid w:val="001F5BAF"/>
    <w:rsid w:val="0020282B"/>
    <w:rsid w:val="00217012"/>
    <w:rsid w:val="00226E85"/>
    <w:rsid w:val="00230969"/>
    <w:rsid w:val="002331A7"/>
    <w:rsid w:val="002371D5"/>
    <w:rsid w:val="0025706E"/>
    <w:rsid w:val="002730CB"/>
    <w:rsid w:val="002736D9"/>
    <w:rsid w:val="002A0387"/>
    <w:rsid w:val="002A13C3"/>
    <w:rsid w:val="002A1BD2"/>
    <w:rsid w:val="002A71CE"/>
    <w:rsid w:val="002B0FA8"/>
    <w:rsid w:val="002B2D6D"/>
    <w:rsid w:val="002B386E"/>
    <w:rsid w:val="002B749D"/>
    <w:rsid w:val="002D3F79"/>
    <w:rsid w:val="002D7685"/>
    <w:rsid w:val="002E4BCE"/>
    <w:rsid w:val="002E713E"/>
    <w:rsid w:val="002F3244"/>
    <w:rsid w:val="00321BF2"/>
    <w:rsid w:val="00334569"/>
    <w:rsid w:val="00336E28"/>
    <w:rsid w:val="00344D0E"/>
    <w:rsid w:val="0035066A"/>
    <w:rsid w:val="003514F9"/>
    <w:rsid w:val="00351A60"/>
    <w:rsid w:val="0036080A"/>
    <w:rsid w:val="00363A9A"/>
    <w:rsid w:val="00372296"/>
    <w:rsid w:val="00372651"/>
    <w:rsid w:val="00383334"/>
    <w:rsid w:val="003838E0"/>
    <w:rsid w:val="00385947"/>
    <w:rsid w:val="00387B59"/>
    <w:rsid w:val="00395DDD"/>
    <w:rsid w:val="003A2BB1"/>
    <w:rsid w:val="003B7884"/>
    <w:rsid w:val="003C2719"/>
    <w:rsid w:val="003C3D34"/>
    <w:rsid w:val="003C5DFF"/>
    <w:rsid w:val="003D20A2"/>
    <w:rsid w:val="003D4C13"/>
    <w:rsid w:val="003F3DAB"/>
    <w:rsid w:val="004002F5"/>
    <w:rsid w:val="00412B1A"/>
    <w:rsid w:val="00420D22"/>
    <w:rsid w:val="004268C2"/>
    <w:rsid w:val="00432876"/>
    <w:rsid w:val="0043374F"/>
    <w:rsid w:val="004338CA"/>
    <w:rsid w:val="0044531A"/>
    <w:rsid w:val="00451D2C"/>
    <w:rsid w:val="0045253E"/>
    <w:rsid w:val="00475C13"/>
    <w:rsid w:val="00493F87"/>
    <w:rsid w:val="004A784E"/>
    <w:rsid w:val="004B2885"/>
    <w:rsid w:val="004B3408"/>
    <w:rsid w:val="004B3766"/>
    <w:rsid w:val="004B729C"/>
    <w:rsid w:val="004B7F00"/>
    <w:rsid w:val="004C7418"/>
    <w:rsid w:val="004D5222"/>
    <w:rsid w:val="004E57FC"/>
    <w:rsid w:val="004F4A67"/>
    <w:rsid w:val="004F7FCD"/>
    <w:rsid w:val="0050047E"/>
    <w:rsid w:val="0052205B"/>
    <w:rsid w:val="00522BA5"/>
    <w:rsid w:val="005330E7"/>
    <w:rsid w:val="00536A1F"/>
    <w:rsid w:val="00542498"/>
    <w:rsid w:val="00545975"/>
    <w:rsid w:val="0056760B"/>
    <w:rsid w:val="00574889"/>
    <w:rsid w:val="0059084C"/>
    <w:rsid w:val="005A5444"/>
    <w:rsid w:val="005B1E8F"/>
    <w:rsid w:val="005B3B04"/>
    <w:rsid w:val="005C3508"/>
    <w:rsid w:val="005D4825"/>
    <w:rsid w:val="005E0D99"/>
    <w:rsid w:val="005F4DE3"/>
    <w:rsid w:val="00601DD8"/>
    <w:rsid w:val="0061659A"/>
    <w:rsid w:val="00616A2A"/>
    <w:rsid w:val="00630E6E"/>
    <w:rsid w:val="00640CC5"/>
    <w:rsid w:val="00643B5F"/>
    <w:rsid w:val="00654A33"/>
    <w:rsid w:val="00666734"/>
    <w:rsid w:val="006714A4"/>
    <w:rsid w:val="00672AF8"/>
    <w:rsid w:val="006836C8"/>
    <w:rsid w:val="00696656"/>
    <w:rsid w:val="006C119A"/>
    <w:rsid w:val="006C6FDD"/>
    <w:rsid w:val="00707DD4"/>
    <w:rsid w:val="007124DC"/>
    <w:rsid w:val="007146A1"/>
    <w:rsid w:val="007174B3"/>
    <w:rsid w:val="007334DB"/>
    <w:rsid w:val="007355E1"/>
    <w:rsid w:val="0074394D"/>
    <w:rsid w:val="00760738"/>
    <w:rsid w:val="0076684E"/>
    <w:rsid w:val="0077312C"/>
    <w:rsid w:val="00774531"/>
    <w:rsid w:val="00777D10"/>
    <w:rsid w:val="007802DA"/>
    <w:rsid w:val="0078448E"/>
    <w:rsid w:val="00786DDC"/>
    <w:rsid w:val="00793117"/>
    <w:rsid w:val="007A1227"/>
    <w:rsid w:val="007A496D"/>
    <w:rsid w:val="007B288B"/>
    <w:rsid w:val="007F0491"/>
    <w:rsid w:val="007F0E1C"/>
    <w:rsid w:val="00813472"/>
    <w:rsid w:val="00813FC9"/>
    <w:rsid w:val="0081583D"/>
    <w:rsid w:val="008163E5"/>
    <w:rsid w:val="0081752B"/>
    <w:rsid w:val="00836A14"/>
    <w:rsid w:val="008535AF"/>
    <w:rsid w:val="00855B92"/>
    <w:rsid w:val="0086335A"/>
    <w:rsid w:val="00871FF5"/>
    <w:rsid w:val="00882879"/>
    <w:rsid w:val="00894D38"/>
    <w:rsid w:val="008A1676"/>
    <w:rsid w:val="008A3A9D"/>
    <w:rsid w:val="008D0471"/>
    <w:rsid w:val="008D25B6"/>
    <w:rsid w:val="008D6B61"/>
    <w:rsid w:val="008E753D"/>
    <w:rsid w:val="009006FF"/>
    <w:rsid w:val="00901669"/>
    <w:rsid w:val="0090503D"/>
    <w:rsid w:val="00915BED"/>
    <w:rsid w:val="009178AE"/>
    <w:rsid w:val="00921027"/>
    <w:rsid w:val="0092344F"/>
    <w:rsid w:val="00925638"/>
    <w:rsid w:val="00932925"/>
    <w:rsid w:val="00933885"/>
    <w:rsid w:val="00943338"/>
    <w:rsid w:val="00954DD5"/>
    <w:rsid w:val="009614FF"/>
    <w:rsid w:val="00963F9F"/>
    <w:rsid w:val="0097072C"/>
    <w:rsid w:val="00971CE8"/>
    <w:rsid w:val="00981682"/>
    <w:rsid w:val="00987139"/>
    <w:rsid w:val="009A0303"/>
    <w:rsid w:val="009B79D7"/>
    <w:rsid w:val="009B7F32"/>
    <w:rsid w:val="009C4948"/>
    <w:rsid w:val="009C49D6"/>
    <w:rsid w:val="009C5231"/>
    <w:rsid w:val="009E7DC1"/>
    <w:rsid w:val="009F5AD9"/>
    <w:rsid w:val="00A1635F"/>
    <w:rsid w:val="00A1746B"/>
    <w:rsid w:val="00A34000"/>
    <w:rsid w:val="00A346EC"/>
    <w:rsid w:val="00A35B93"/>
    <w:rsid w:val="00A41D14"/>
    <w:rsid w:val="00A4235E"/>
    <w:rsid w:val="00A46922"/>
    <w:rsid w:val="00A47960"/>
    <w:rsid w:val="00A5184E"/>
    <w:rsid w:val="00A52FD0"/>
    <w:rsid w:val="00A57B1D"/>
    <w:rsid w:val="00A64C2F"/>
    <w:rsid w:val="00A70785"/>
    <w:rsid w:val="00A71593"/>
    <w:rsid w:val="00A8001F"/>
    <w:rsid w:val="00A84678"/>
    <w:rsid w:val="00A86777"/>
    <w:rsid w:val="00A879CB"/>
    <w:rsid w:val="00AA4AE1"/>
    <w:rsid w:val="00AB1B94"/>
    <w:rsid w:val="00AB4BAC"/>
    <w:rsid w:val="00AB5BB4"/>
    <w:rsid w:val="00AB762C"/>
    <w:rsid w:val="00AC0CCE"/>
    <w:rsid w:val="00AD3540"/>
    <w:rsid w:val="00AE6A65"/>
    <w:rsid w:val="00B15315"/>
    <w:rsid w:val="00B17D9A"/>
    <w:rsid w:val="00B25BB4"/>
    <w:rsid w:val="00B25BF5"/>
    <w:rsid w:val="00B40984"/>
    <w:rsid w:val="00B41A53"/>
    <w:rsid w:val="00B475DC"/>
    <w:rsid w:val="00B47676"/>
    <w:rsid w:val="00B60DCA"/>
    <w:rsid w:val="00B625BB"/>
    <w:rsid w:val="00B62DFA"/>
    <w:rsid w:val="00B65AD5"/>
    <w:rsid w:val="00B907BC"/>
    <w:rsid w:val="00B90B40"/>
    <w:rsid w:val="00B9713C"/>
    <w:rsid w:val="00BA00FC"/>
    <w:rsid w:val="00BA177C"/>
    <w:rsid w:val="00BA639B"/>
    <w:rsid w:val="00BC195C"/>
    <w:rsid w:val="00BC21D2"/>
    <w:rsid w:val="00BC62E7"/>
    <w:rsid w:val="00BD4520"/>
    <w:rsid w:val="00BD5C11"/>
    <w:rsid w:val="00BE2D3E"/>
    <w:rsid w:val="00BE701E"/>
    <w:rsid w:val="00BF1F6A"/>
    <w:rsid w:val="00BF22CD"/>
    <w:rsid w:val="00C26062"/>
    <w:rsid w:val="00C40DBE"/>
    <w:rsid w:val="00C42610"/>
    <w:rsid w:val="00C46614"/>
    <w:rsid w:val="00C52922"/>
    <w:rsid w:val="00C612F7"/>
    <w:rsid w:val="00C620C6"/>
    <w:rsid w:val="00C669B2"/>
    <w:rsid w:val="00C77EB1"/>
    <w:rsid w:val="00C87A99"/>
    <w:rsid w:val="00CA2B8D"/>
    <w:rsid w:val="00CA600B"/>
    <w:rsid w:val="00CC1F47"/>
    <w:rsid w:val="00CD1722"/>
    <w:rsid w:val="00CD42AF"/>
    <w:rsid w:val="00CD60B1"/>
    <w:rsid w:val="00CE0653"/>
    <w:rsid w:val="00CE2968"/>
    <w:rsid w:val="00CE5225"/>
    <w:rsid w:val="00CF2C0C"/>
    <w:rsid w:val="00D1024F"/>
    <w:rsid w:val="00D11596"/>
    <w:rsid w:val="00D132E5"/>
    <w:rsid w:val="00D20A4A"/>
    <w:rsid w:val="00D316EF"/>
    <w:rsid w:val="00D33D0F"/>
    <w:rsid w:val="00D34C41"/>
    <w:rsid w:val="00D56F59"/>
    <w:rsid w:val="00D61EB0"/>
    <w:rsid w:val="00D62986"/>
    <w:rsid w:val="00D63E51"/>
    <w:rsid w:val="00D81B45"/>
    <w:rsid w:val="00D83E32"/>
    <w:rsid w:val="00D87C2F"/>
    <w:rsid w:val="00D95BA3"/>
    <w:rsid w:val="00DB46C6"/>
    <w:rsid w:val="00DB5296"/>
    <w:rsid w:val="00DD7DCA"/>
    <w:rsid w:val="00DE12CB"/>
    <w:rsid w:val="00DF2922"/>
    <w:rsid w:val="00DF416A"/>
    <w:rsid w:val="00DF5BBC"/>
    <w:rsid w:val="00E1699F"/>
    <w:rsid w:val="00E26ED9"/>
    <w:rsid w:val="00E31E8F"/>
    <w:rsid w:val="00E3326E"/>
    <w:rsid w:val="00E42447"/>
    <w:rsid w:val="00E4674A"/>
    <w:rsid w:val="00E46759"/>
    <w:rsid w:val="00E505D8"/>
    <w:rsid w:val="00E51A55"/>
    <w:rsid w:val="00E657E3"/>
    <w:rsid w:val="00E86804"/>
    <w:rsid w:val="00E974CC"/>
    <w:rsid w:val="00EA7179"/>
    <w:rsid w:val="00EE436B"/>
    <w:rsid w:val="00EE7C08"/>
    <w:rsid w:val="00EF2076"/>
    <w:rsid w:val="00EF7FD1"/>
    <w:rsid w:val="00F068BE"/>
    <w:rsid w:val="00F159CA"/>
    <w:rsid w:val="00F21A16"/>
    <w:rsid w:val="00F33985"/>
    <w:rsid w:val="00F56EB4"/>
    <w:rsid w:val="00F62B1E"/>
    <w:rsid w:val="00F844AE"/>
    <w:rsid w:val="00F87C94"/>
    <w:rsid w:val="00FB4393"/>
    <w:rsid w:val="00FC2FAF"/>
    <w:rsid w:val="00FD6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F28DE"/>
  <w15:docId w15:val="{CD3F0612-19B2-432C-A3FE-14A1A5C5D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referred"/>
    <w:next w:val="NoSpacing"/>
    <w:qFormat/>
    <w:rsid w:val="00CE2968"/>
    <w:rPr>
      <w:rFonts w:ascii="Times New Roman" w:hAnsi="Times New Roman"/>
      <w:sz w:val="24"/>
    </w:rPr>
  </w:style>
  <w:style w:type="paragraph" w:styleId="Heading1">
    <w:name w:val="heading 1"/>
    <w:basedOn w:val="Normal"/>
    <w:next w:val="Normal"/>
    <w:link w:val="Heading1Char"/>
    <w:autoRedefine/>
    <w:uiPriority w:val="9"/>
    <w:qFormat/>
    <w:rsid w:val="00372651"/>
    <w:pPr>
      <w:keepNext/>
      <w:keepLines/>
      <w:spacing w:before="360" w:after="240" w:line="240" w:lineRule="auto"/>
      <w:jc w:val="center"/>
      <w:outlineLvl w:val="0"/>
    </w:pPr>
    <w:rPr>
      <w:rFonts w:eastAsiaTheme="majorEastAsia" w:cstheme="majorBidi"/>
      <w:b/>
      <w:bCs/>
      <w:sz w:val="28"/>
      <w:szCs w:val="28"/>
    </w:rPr>
  </w:style>
  <w:style w:type="paragraph" w:styleId="Heading2">
    <w:name w:val="heading 2"/>
    <w:basedOn w:val="Normal"/>
    <w:next w:val="Normal"/>
    <w:link w:val="Heading2Char"/>
    <w:autoRedefine/>
    <w:uiPriority w:val="9"/>
    <w:unhideWhenUsed/>
    <w:qFormat/>
    <w:rsid w:val="002730CB"/>
    <w:pPr>
      <w:keepNext/>
      <w:keepLines/>
      <w:numPr>
        <w:numId w:val="10"/>
      </w:numPr>
      <w:spacing w:before="360" w:after="240" w:line="240" w:lineRule="auto"/>
      <w:ind w:right="1440" w:hanging="72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2968"/>
    <w:pPr>
      <w:spacing w:after="0" w:line="240" w:lineRule="auto"/>
    </w:pPr>
    <w:rPr>
      <w:rFonts w:ascii="Times New Roman" w:hAnsi="Times New Roman"/>
      <w:sz w:val="24"/>
    </w:rPr>
  </w:style>
  <w:style w:type="paragraph" w:styleId="FootnoteText">
    <w:name w:val="footnote text"/>
    <w:basedOn w:val="Normal"/>
    <w:link w:val="FootnoteTextChar"/>
    <w:autoRedefine/>
    <w:uiPriority w:val="99"/>
    <w:unhideWhenUsed/>
    <w:rsid w:val="00B25BB4"/>
    <w:pPr>
      <w:spacing w:before="240" w:after="240" w:line="240" w:lineRule="auto"/>
      <w:ind w:left="720" w:hanging="720"/>
    </w:pPr>
    <w:rPr>
      <w:rFonts w:cs="Arial"/>
      <w:szCs w:val="20"/>
    </w:rPr>
  </w:style>
  <w:style w:type="character" w:customStyle="1" w:styleId="FootnoteTextChar">
    <w:name w:val="Footnote Text Char"/>
    <w:basedOn w:val="DefaultParagraphFont"/>
    <w:link w:val="FootnoteText"/>
    <w:uiPriority w:val="99"/>
    <w:rsid w:val="00B25BB4"/>
    <w:rPr>
      <w:rFonts w:ascii="Times New Roman" w:hAnsi="Times New Roman" w:cs="Arial"/>
      <w:sz w:val="24"/>
      <w:szCs w:val="20"/>
    </w:rPr>
  </w:style>
  <w:style w:type="character" w:styleId="FootnoteReference">
    <w:name w:val="footnote reference"/>
    <w:basedOn w:val="DefaultParagraphFont"/>
    <w:uiPriority w:val="99"/>
    <w:semiHidden/>
    <w:unhideWhenUsed/>
    <w:rsid w:val="00334569"/>
    <w:rPr>
      <w:vertAlign w:val="superscript"/>
    </w:rPr>
  </w:style>
  <w:style w:type="paragraph" w:styleId="ListParagraph">
    <w:name w:val="List Paragraph"/>
    <w:basedOn w:val="Normal"/>
    <w:uiPriority w:val="34"/>
    <w:qFormat/>
    <w:rsid w:val="00E3326E"/>
    <w:pPr>
      <w:ind w:left="720"/>
      <w:contextualSpacing/>
    </w:pPr>
    <w:rPr>
      <w:rFonts w:asciiTheme="minorHAnsi" w:hAnsiTheme="minorHAnsi"/>
      <w:sz w:val="22"/>
    </w:rPr>
  </w:style>
  <w:style w:type="character" w:styleId="Hyperlink">
    <w:name w:val="Hyperlink"/>
    <w:basedOn w:val="DefaultParagraphFont"/>
    <w:uiPriority w:val="99"/>
    <w:unhideWhenUsed/>
    <w:rsid w:val="00813472"/>
    <w:rPr>
      <w:color w:val="0000FF"/>
      <w:u w:val="single"/>
    </w:rPr>
  </w:style>
  <w:style w:type="paragraph" w:customStyle="1" w:styleId="text">
    <w:name w:val="text"/>
    <w:basedOn w:val="Normal"/>
    <w:autoRedefine/>
    <w:rsid w:val="00813472"/>
    <w:pPr>
      <w:tabs>
        <w:tab w:val="left" w:pos="9360"/>
      </w:tabs>
      <w:spacing w:after="0" w:line="240" w:lineRule="auto"/>
      <w:ind w:left="5040"/>
      <w:jc w:val="both"/>
    </w:pPr>
    <w:rPr>
      <w:rFonts w:eastAsia="Times New Roman" w:cs="Times New Roman"/>
      <w:sz w:val="26"/>
      <w:szCs w:val="20"/>
    </w:rPr>
  </w:style>
  <w:style w:type="paragraph" w:customStyle="1" w:styleId="DefaultParagraphFont1">
    <w:name w:val="Default Paragraph Font1"/>
    <w:rsid w:val="00CD42AF"/>
    <w:pPr>
      <w:spacing w:after="0" w:line="240" w:lineRule="auto"/>
    </w:pPr>
    <w:rPr>
      <w:rFonts w:ascii="Palatino" w:eastAsia="Times New Roman" w:hAnsi="Palatino" w:cs="Times New Roman"/>
      <w:sz w:val="24"/>
      <w:szCs w:val="20"/>
    </w:rPr>
  </w:style>
  <w:style w:type="paragraph" w:customStyle="1" w:styleId="noindent">
    <w:name w:val="no indent"/>
    <w:basedOn w:val="Normal"/>
    <w:rsid w:val="00CD42AF"/>
    <w:pPr>
      <w:spacing w:after="0" w:line="240" w:lineRule="auto"/>
      <w:jc w:val="both"/>
    </w:pPr>
    <w:rPr>
      <w:rFonts w:ascii="Palatino" w:eastAsia="Times New Roman" w:hAnsi="Palatino" w:cs="Times New Roman"/>
      <w:szCs w:val="20"/>
    </w:rPr>
  </w:style>
  <w:style w:type="paragraph" w:styleId="Header">
    <w:name w:val="header"/>
    <w:basedOn w:val="Normal"/>
    <w:link w:val="HeaderChar"/>
    <w:uiPriority w:val="99"/>
    <w:unhideWhenUsed/>
    <w:rsid w:val="00B65A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5AD5"/>
    <w:rPr>
      <w:rFonts w:ascii="Times New Roman" w:hAnsi="Times New Roman"/>
      <w:sz w:val="24"/>
    </w:rPr>
  </w:style>
  <w:style w:type="paragraph" w:styleId="Footer">
    <w:name w:val="footer"/>
    <w:basedOn w:val="Normal"/>
    <w:link w:val="FooterChar"/>
    <w:uiPriority w:val="99"/>
    <w:unhideWhenUsed/>
    <w:rsid w:val="00B65A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5AD5"/>
    <w:rPr>
      <w:rFonts w:ascii="Times New Roman" w:hAnsi="Times New Roman"/>
      <w:sz w:val="24"/>
    </w:rPr>
  </w:style>
  <w:style w:type="paragraph" w:styleId="BalloonText">
    <w:name w:val="Balloon Text"/>
    <w:basedOn w:val="Normal"/>
    <w:link w:val="BalloonTextChar"/>
    <w:uiPriority w:val="99"/>
    <w:semiHidden/>
    <w:unhideWhenUsed/>
    <w:rsid w:val="00B65A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AD5"/>
    <w:rPr>
      <w:rFonts w:ascii="Tahoma" w:hAnsi="Tahoma" w:cs="Tahoma"/>
      <w:sz w:val="16"/>
      <w:szCs w:val="16"/>
    </w:rPr>
  </w:style>
  <w:style w:type="table" w:styleId="TableGrid">
    <w:name w:val="Table Grid"/>
    <w:basedOn w:val="TableNormal"/>
    <w:uiPriority w:val="59"/>
    <w:rsid w:val="007A49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72651"/>
    <w:rPr>
      <w:rFonts w:ascii="Times New Roman" w:eastAsiaTheme="majorEastAsia" w:hAnsi="Times New Roman" w:cstheme="majorBidi"/>
      <w:b/>
      <w:bCs/>
      <w:sz w:val="28"/>
      <w:szCs w:val="28"/>
    </w:rPr>
  </w:style>
  <w:style w:type="paragraph" w:customStyle="1" w:styleId="textstyle">
    <w:name w:val="text style"/>
    <w:basedOn w:val="NoSpacing"/>
    <w:autoRedefine/>
    <w:rsid w:val="002730CB"/>
    <w:pPr>
      <w:spacing w:line="480" w:lineRule="auto"/>
    </w:pPr>
    <w:rPr>
      <w:rFonts w:cs="Times New Roman"/>
      <w:sz w:val="26"/>
      <w:szCs w:val="26"/>
    </w:rPr>
  </w:style>
  <w:style w:type="character" w:customStyle="1" w:styleId="Heading2Char">
    <w:name w:val="Heading 2 Char"/>
    <w:basedOn w:val="DefaultParagraphFont"/>
    <w:link w:val="Heading2"/>
    <w:uiPriority w:val="9"/>
    <w:rsid w:val="002730CB"/>
    <w:rPr>
      <w:rFonts w:ascii="Times New Roman" w:eastAsiaTheme="majorEastAsia" w:hAnsi="Times New Roman" w:cstheme="majorBidi"/>
      <w:b/>
      <w:bCs/>
      <w:sz w:val="26"/>
      <w:szCs w:val="26"/>
    </w:rPr>
  </w:style>
  <w:style w:type="paragraph" w:styleId="TOC1">
    <w:name w:val="toc 1"/>
    <w:basedOn w:val="Normal"/>
    <w:next w:val="Normal"/>
    <w:autoRedefine/>
    <w:uiPriority w:val="39"/>
    <w:unhideWhenUsed/>
    <w:rsid w:val="0059084C"/>
    <w:pPr>
      <w:tabs>
        <w:tab w:val="left" w:pos="440"/>
        <w:tab w:val="right" w:leader="dot" w:pos="9350"/>
      </w:tabs>
      <w:spacing w:before="240" w:after="240" w:line="240" w:lineRule="auto"/>
      <w:ind w:left="720" w:right="1440" w:hanging="720"/>
    </w:pPr>
    <w:rPr>
      <w:sz w:val="26"/>
    </w:rPr>
  </w:style>
  <w:style w:type="paragraph" w:styleId="TOC2">
    <w:name w:val="toc 2"/>
    <w:basedOn w:val="Normal"/>
    <w:next w:val="Normal"/>
    <w:autoRedefine/>
    <w:uiPriority w:val="39"/>
    <w:unhideWhenUsed/>
    <w:rsid w:val="0059084C"/>
    <w:pPr>
      <w:tabs>
        <w:tab w:val="right" w:leader="dot" w:pos="9350"/>
      </w:tabs>
      <w:spacing w:before="240" w:after="240" w:line="240" w:lineRule="auto"/>
      <w:ind w:left="1440" w:right="1440" w:hanging="720"/>
    </w:pPr>
    <w:rPr>
      <w:sz w:val="26"/>
    </w:rPr>
  </w:style>
  <w:style w:type="character" w:styleId="CommentReference">
    <w:name w:val="annotation reference"/>
    <w:basedOn w:val="DefaultParagraphFont"/>
    <w:uiPriority w:val="99"/>
    <w:semiHidden/>
    <w:unhideWhenUsed/>
    <w:rsid w:val="004B729C"/>
    <w:rPr>
      <w:sz w:val="16"/>
      <w:szCs w:val="16"/>
    </w:rPr>
  </w:style>
  <w:style w:type="paragraph" w:styleId="CommentText">
    <w:name w:val="annotation text"/>
    <w:basedOn w:val="Normal"/>
    <w:link w:val="CommentTextChar"/>
    <w:uiPriority w:val="99"/>
    <w:semiHidden/>
    <w:unhideWhenUsed/>
    <w:rsid w:val="004B729C"/>
    <w:pPr>
      <w:spacing w:line="240" w:lineRule="auto"/>
    </w:pPr>
    <w:rPr>
      <w:sz w:val="20"/>
      <w:szCs w:val="20"/>
    </w:rPr>
  </w:style>
  <w:style w:type="character" w:customStyle="1" w:styleId="CommentTextChar">
    <w:name w:val="Comment Text Char"/>
    <w:basedOn w:val="DefaultParagraphFont"/>
    <w:link w:val="CommentText"/>
    <w:uiPriority w:val="99"/>
    <w:semiHidden/>
    <w:rsid w:val="004B729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B729C"/>
    <w:rPr>
      <w:b/>
      <w:bCs/>
    </w:rPr>
  </w:style>
  <w:style w:type="character" w:customStyle="1" w:styleId="CommentSubjectChar">
    <w:name w:val="Comment Subject Char"/>
    <w:basedOn w:val="CommentTextChar"/>
    <w:link w:val="CommentSubject"/>
    <w:uiPriority w:val="99"/>
    <w:semiHidden/>
    <w:rsid w:val="004B729C"/>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ie.johnson@puc.state.oh.us" TargetMode="External"/><Relationship Id="rId13" Type="http://schemas.openxmlformats.org/officeDocument/2006/relationships/hyperlink" Target="mailto:serio@occ.state.oh.us" TargetMode="External"/><Relationship Id="rId18" Type="http://schemas.openxmlformats.org/officeDocument/2006/relationships/hyperlink" Target="mailto:cmooney@ohiopartners.org"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katie.johnson@puc.state.oh.us" TargetMode="External"/><Relationship Id="rId17" Type="http://schemas.openxmlformats.org/officeDocument/2006/relationships/hyperlink" Target="mailto:mthompson@nisource.com" TargetMode="External"/><Relationship Id="rId2" Type="http://schemas.openxmlformats.org/officeDocument/2006/relationships/numbering" Target="numbering.xml"/><Relationship Id="rId16" Type="http://schemas.openxmlformats.org/officeDocument/2006/relationships/hyperlink" Target="mailto:bleslie@nisource.co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seiple@nisource.com"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moore@occ.state.oh.us"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9DDD5-0686-4F2C-8A38-9331585CD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3659</Words>
  <Characters>20859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PUCO</Company>
  <LinksUpToDate>false</LinksUpToDate>
  <CharactersWithSpaces>24470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Adkins, Kerry</dc:creator>
  <cp:lastModifiedBy>Keeton, Kim</cp:lastModifiedBy>
  <cp:revision>3</cp:revision>
  <cp:lastPrinted>2014-11-17T12:46:00Z</cp:lastPrinted>
  <dcterms:created xsi:type="dcterms:W3CDTF">2014-11-17T20:13:00Z</dcterms:created>
  <dcterms:modified xsi:type="dcterms:W3CDTF">2014-11-17T20:14:00Z</dcterms:modified>
</cp:coreProperties>
</file>