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5B16" w14:textId="77777777" w:rsidR="00CB7AAD" w:rsidRDefault="00CB7AAD" w:rsidP="00CB7AAD">
      <w:pPr>
        <w:jc w:val="center"/>
        <w:rPr>
          <w:b/>
        </w:rPr>
      </w:pPr>
      <w:bookmarkStart w:id="0" w:name="_GoBack"/>
      <w:bookmarkEnd w:id="0"/>
      <w:r>
        <w:rPr>
          <w:b/>
        </w:rPr>
        <w:t>BEFORE</w:t>
      </w:r>
    </w:p>
    <w:p w14:paraId="361242B2" w14:textId="77777777" w:rsidR="00CB7AAD" w:rsidRDefault="00CB7AAD" w:rsidP="00CB7AAD">
      <w:pPr>
        <w:jc w:val="center"/>
        <w:rPr>
          <w:b/>
        </w:rPr>
      </w:pPr>
      <w:r>
        <w:rPr>
          <w:b/>
        </w:rPr>
        <w:t xml:space="preserve">THE PUBLIC UTILTIES COMMISSION OF </w:t>
      </w:r>
      <w:smartTag w:uri="urn:schemas-microsoft-com:office:smarttags" w:element="State">
        <w:smartTag w:uri="urn:schemas-microsoft-com:office:smarttags" w:element="place">
          <w:r>
            <w:rPr>
              <w:b/>
            </w:rPr>
            <w:t>OHIO</w:t>
          </w:r>
        </w:smartTag>
      </w:smartTag>
    </w:p>
    <w:p w14:paraId="7595691F" w14:textId="77777777" w:rsidR="00CB7AAD" w:rsidRDefault="00CB7AAD" w:rsidP="00CB7AAD">
      <w:pPr>
        <w:jc w:val="center"/>
        <w:rPr>
          <w:b/>
        </w:rPr>
      </w:pPr>
    </w:p>
    <w:p w14:paraId="7FEECEE2" w14:textId="77777777" w:rsidR="00CB7AAD" w:rsidRPr="00A467C8" w:rsidRDefault="00CB7AAD" w:rsidP="00CB7AAD">
      <w:r w:rsidRPr="00A467C8">
        <w:t>In the Matter of the Establishment of</w:t>
      </w:r>
      <w:r w:rsidRPr="00A467C8">
        <w:tab/>
      </w:r>
      <w:r w:rsidRPr="00A467C8">
        <w:tab/>
        <w:t>)</w:t>
      </w:r>
    </w:p>
    <w:p w14:paraId="0783A16D" w14:textId="77777777" w:rsidR="00CB7AAD" w:rsidRPr="00A467C8" w:rsidRDefault="00CB7AAD" w:rsidP="00CB7AAD">
      <w:r w:rsidRPr="00A467C8">
        <w:t>4901:1-10-10(B) Minimum Reliability</w:t>
      </w:r>
      <w:r w:rsidRPr="00A467C8">
        <w:tab/>
        <w:t>)</w:t>
      </w:r>
      <w:r w:rsidRPr="00A467C8">
        <w:tab/>
      </w:r>
      <w:r w:rsidRPr="00A467C8">
        <w:tab/>
        <w:t>Case 12-1945-EL-ESS</w:t>
      </w:r>
    </w:p>
    <w:p w14:paraId="5FD486AC" w14:textId="77777777" w:rsidR="00CB7AAD" w:rsidRPr="00A467C8" w:rsidRDefault="00CB7AAD" w:rsidP="00CB7AAD">
      <w:r w:rsidRPr="00A467C8">
        <w:t xml:space="preserve">Performance Standards for </w:t>
      </w:r>
      <w:smartTag w:uri="urn:schemas-microsoft-com:office:smarttags" w:element="place">
        <w:smartTag w:uri="urn:schemas-microsoft-com:office:smarttags" w:element="State">
          <w:r w:rsidRPr="00A467C8">
            <w:t>Ohio</w:t>
          </w:r>
        </w:smartTag>
      </w:smartTag>
      <w:r w:rsidRPr="00A467C8">
        <w:t xml:space="preserve"> Power </w:t>
      </w:r>
      <w:r w:rsidRPr="00A467C8">
        <w:tab/>
        <w:t>)</w:t>
      </w:r>
    </w:p>
    <w:p w14:paraId="773F5789" w14:textId="77777777" w:rsidR="00CB7AAD" w:rsidRPr="006A52B1" w:rsidRDefault="00CB7AAD" w:rsidP="00CB7AAD">
      <w:r w:rsidRPr="00A467C8">
        <w:t>Company.</w:t>
      </w:r>
      <w:r w:rsidRPr="00A467C8">
        <w:tab/>
      </w:r>
      <w:r w:rsidRPr="00A467C8">
        <w:tab/>
      </w:r>
      <w:r w:rsidRPr="00A467C8">
        <w:tab/>
      </w:r>
      <w:r w:rsidRPr="00A467C8">
        <w:tab/>
      </w:r>
      <w:r>
        <w:rPr>
          <w:i/>
        </w:rPr>
        <w:tab/>
      </w:r>
      <w:r>
        <w:t>)</w:t>
      </w:r>
    </w:p>
    <w:p w14:paraId="540E27EB" w14:textId="77777777" w:rsidR="00CB7AAD" w:rsidRDefault="00CB7AAD" w:rsidP="00CB7AAD">
      <w:pPr>
        <w:rPr>
          <w:b/>
        </w:rPr>
      </w:pPr>
    </w:p>
    <w:p w14:paraId="3E1E33AB" w14:textId="77777777" w:rsidR="00CB7AAD" w:rsidRDefault="00CB7AAD" w:rsidP="00CB7AAD">
      <w:pPr>
        <w:pBdr>
          <w:top w:val="single" w:sz="4" w:space="1" w:color="auto"/>
          <w:bottom w:val="single" w:sz="4" w:space="1" w:color="auto"/>
        </w:pBdr>
        <w:rPr>
          <w:b/>
        </w:rPr>
      </w:pPr>
    </w:p>
    <w:p w14:paraId="27B10409" w14:textId="77777777" w:rsidR="00CB7AAD" w:rsidRDefault="00CB7AAD" w:rsidP="00CB7AAD">
      <w:pPr>
        <w:pBdr>
          <w:top w:val="single" w:sz="4" w:space="1" w:color="auto"/>
          <w:bottom w:val="single" w:sz="4" w:space="1" w:color="auto"/>
        </w:pBdr>
        <w:jc w:val="center"/>
        <w:rPr>
          <w:b/>
        </w:rPr>
      </w:pPr>
      <w:r>
        <w:rPr>
          <w:b/>
        </w:rPr>
        <w:t>INITIAL COMMENTS</w:t>
      </w:r>
    </w:p>
    <w:p w14:paraId="4CF489BC" w14:textId="77777777" w:rsidR="00CB7AAD" w:rsidRDefault="00CB7AAD" w:rsidP="00CB7AAD">
      <w:pPr>
        <w:pBdr>
          <w:top w:val="single" w:sz="4" w:space="1" w:color="auto"/>
          <w:bottom w:val="single" w:sz="4" w:space="1" w:color="auto"/>
        </w:pBdr>
        <w:jc w:val="center"/>
        <w:rPr>
          <w:b/>
        </w:rPr>
      </w:pPr>
      <w:r>
        <w:rPr>
          <w:b/>
        </w:rPr>
        <w:t>OF THE</w:t>
      </w:r>
    </w:p>
    <w:p w14:paraId="5C54E18A" w14:textId="77777777" w:rsidR="00CB7AAD" w:rsidRDefault="00CB7AAD" w:rsidP="00CB7AAD">
      <w:pPr>
        <w:pBdr>
          <w:top w:val="single" w:sz="4" w:space="1" w:color="auto"/>
          <w:bottom w:val="single" w:sz="4" w:space="1" w:color="auto"/>
        </w:pBdr>
        <w:jc w:val="center"/>
        <w:rPr>
          <w:b/>
        </w:rPr>
      </w:pPr>
      <w:r>
        <w:rPr>
          <w:b/>
        </w:rPr>
        <w:t xml:space="preserve">OFFICE OF THE </w:t>
      </w:r>
      <w:smartTag w:uri="urn:schemas-microsoft-com:office:smarttags" w:element="State">
        <w:smartTag w:uri="urn:schemas-microsoft-com:office:smarttags" w:element="place">
          <w:r>
            <w:rPr>
              <w:b/>
            </w:rPr>
            <w:t>OHIO</w:t>
          </w:r>
        </w:smartTag>
      </w:smartTag>
      <w:r>
        <w:rPr>
          <w:b/>
        </w:rPr>
        <w:t xml:space="preserve"> CONSUMERS’ COUNSEL</w:t>
      </w:r>
    </w:p>
    <w:p w14:paraId="3F5D48B8" w14:textId="77777777" w:rsidR="00CB7AAD" w:rsidRDefault="00CB7AAD" w:rsidP="00CB7AAD">
      <w:pPr>
        <w:pBdr>
          <w:top w:val="single" w:sz="4" w:space="1" w:color="auto"/>
          <w:bottom w:val="single" w:sz="4" w:space="1" w:color="auto"/>
        </w:pBdr>
        <w:rPr>
          <w:b/>
        </w:rPr>
      </w:pPr>
    </w:p>
    <w:p w14:paraId="78BB8FA9" w14:textId="77777777" w:rsidR="00CB7AAD" w:rsidRDefault="00CB7AAD" w:rsidP="00CB7AAD">
      <w:pPr>
        <w:rPr>
          <w:b/>
        </w:rPr>
      </w:pPr>
    </w:p>
    <w:p w14:paraId="4E8337E9" w14:textId="77777777" w:rsidR="00CB7AAD" w:rsidRDefault="00CB7AAD" w:rsidP="003F092B">
      <w:pPr>
        <w:jc w:val="center"/>
        <w:rPr>
          <w:b/>
        </w:rPr>
      </w:pPr>
    </w:p>
    <w:p w14:paraId="1B04C6AE" w14:textId="77777777" w:rsidR="00CB7AAD" w:rsidRDefault="00CB7AAD" w:rsidP="003F092B">
      <w:pPr>
        <w:jc w:val="center"/>
        <w:rPr>
          <w:b/>
        </w:rPr>
      </w:pPr>
    </w:p>
    <w:p w14:paraId="2146BD4E" w14:textId="77777777" w:rsidR="0061596E" w:rsidRDefault="0061596E" w:rsidP="003F092B">
      <w:pPr>
        <w:jc w:val="center"/>
        <w:rPr>
          <w:b/>
        </w:rPr>
      </w:pPr>
    </w:p>
    <w:p w14:paraId="31D926BD" w14:textId="77777777" w:rsidR="0061596E" w:rsidRDefault="0061596E" w:rsidP="003F092B">
      <w:pPr>
        <w:jc w:val="center"/>
        <w:rPr>
          <w:b/>
        </w:rPr>
      </w:pPr>
    </w:p>
    <w:p w14:paraId="72AFEC7C" w14:textId="77777777" w:rsidR="00CB7AAD" w:rsidRDefault="00CB7AAD" w:rsidP="003F092B">
      <w:pPr>
        <w:jc w:val="center"/>
        <w:rPr>
          <w:b/>
        </w:rPr>
      </w:pPr>
    </w:p>
    <w:p w14:paraId="6BFB0C2D" w14:textId="77777777" w:rsidR="00654100" w:rsidRDefault="00CB7AAD" w:rsidP="00CB7AAD">
      <w:pPr>
        <w:pStyle w:val="Footer"/>
        <w:tabs>
          <w:tab w:val="left" w:pos="4320"/>
        </w:tabs>
        <w:spacing w:before="240"/>
      </w:pPr>
      <w:r>
        <w:tab/>
      </w:r>
    </w:p>
    <w:p w14:paraId="6F55B49D" w14:textId="77777777" w:rsidR="00654100" w:rsidRDefault="00654100" w:rsidP="00CB7AAD">
      <w:pPr>
        <w:pStyle w:val="Footer"/>
        <w:tabs>
          <w:tab w:val="left" w:pos="4320"/>
        </w:tabs>
        <w:spacing w:before="240"/>
      </w:pPr>
    </w:p>
    <w:p w14:paraId="45FEDCED" w14:textId="77777777" w:rsidR="00654100" w:rsidRDefault="00654100" w:rsidP="00CB7AAD">
      <w:pPr>
        <w:pStyle w:val="Footer"/>
        <w:tabs>
          <w:tab w:val="left" w:pos="4320"/>
        </w:tabs>
        <w:spacing w:before="240"/>
      </w:pPr>
    </w:p>
    <w:p w14:paraId="5D6E4D88" w14:textId="77777777" w:rsidR="00654100" w:rsidRDefault="00654100" w:rsidP="00CB7AAD">
      <w:pPr>
        <w:pStyle w:val="Footer"/>
        <w:tabs>
          <w:tab w:val="left" w:pos="4320"/>
        </w:tabs>
        <w:spacing w:before="240"/>
      </w:pPr>
    </w:p>
    <w:p w14:paraId="62104A5B" w14:textId="6BA147A6" w:rsidR="00CB7AAD" w:rsidRDefault="00654100" w:rsidP="00CB7AAD">
      <w:pPr>
        <w:pStyle w:val="Footer"/>
        <w:tabs>
          <w:tab w:val="left" w:pos="4320"/>
        </w:tabs>
        <w:spacing w:before="240"/>
      </w:pPr>
      <w:r>
        <w:tab/>
      </w:r>
      <w:r w:rsidR="00CB7AAD">
        <w:t>BRUCE J. WESTON</w:t>
      </w:r>
    </w:p>
    <w:p w14:paraId="260161E6" w14:textId="77777777" w:rsidR="00CB7AAD" w:rsidRDefault="00CB7AAD" w:rsidP="00CB7AAD">
      <w:pPr>
        <w:tabs>
          <w:tab w:val="left" w:pos="4320"/>
        </w:tabs>
      </w:pPr>
      <w:r>
        <w:tab/>
      </w:r>
      <w:smartTag w:uri="urn:schemas-microsoft-com:office:smarttags" w:element="State">
        <w:smartTag w:uri="urn:schemas-microsoft-com:office:smarttags" w:element="place">
          <w:r>
            <w:t>OHIO</w:t>
          </w:r>
        </w:smartTag>
      </w:smartTag>
      <w:r>
        <w:t xml:space="preserve"> CONSUMERS’ COUNSEL</w:t>
      </w:r>
    </w:p>
    <w:p w14:paraId="1E156A0E" w14:textId="77777777" w:rsidR="00CB7AAD" w:rsidRDefault="00CB7AAD" w:rsidP="00CB7AAD">
      <w:pPr>
        <w:tabs>
          <w:tab w:val="left" w:pos="4320"/>
        </w:tabs>
      </w:pPr>
      <w:r>
        <w:tab/>
      </w:r>
    </w:p>
    <w:p w14:paraId="36926916" w14:textId="77777777" w:rsidR="00CB7AAD" w:rsidRDefault="00CB7AAD" w:rsidP="00A9281E">
      <w:pPr>
        <w:ind w:left="4320"/>
      </w:pPr>
      <w:r>
        <w:t>Joseph P. Serio, Counsel of Record</w:t>
      </w:r>
    </w:p>
    <w:p w14:paraId="29D64E34" w14:textId="77777777" w:rsidR="00CB7AAD" w:rsidRDefault="00CB7AAD" w:rsidP="00A9281E">
      <w:pPr>
        <w:ind w:left="4320"/>
      </w:pPr>
      <w:r>
        <w:t>Assistant Consumers’ Counsel</w:t>
      </w:r>
    </w:p>
    <w:p w14:paraId="1D82F93C" w14:textId="77777777" w:rsidR="00CB7AAD" w:rsidRDefault="00CB7AAD" w:rsidP="00A9281E">
      <w:pPr>
        <w:ind w:left="4320"/>
      </w:pPr>
      <w:r>
        <w:tab/>
      </w:r>
    </w:p>
    <w:p w14:paraId="44A02C31" w14:textId="77777777" w:rsidR="00CB7AAD" w:rsidRPr="00A9281E" w:rsidRDefault="00CB7AAD" w:rsidP="00A9281E">
      <w:pPr>
        <w:ind w:left="4320"/>
        <w:rPr>
          <w:b/>
        </w:rPr>
      </w:pPr>
      <w:r w:rsidRPr="00A9281E">
        <w:rPr>
          <w:b/>
        </w:rPr>
        <w:t xml:space="preserve">Office of the </w:t>
      </w:r>
      <w:smartTag w:uri="urn:schemas-microsoft-com:office:smarttags" w:element="State">
        <w:smartTag w:uri="urn:schemas-microsoft-com:office:smarttags" w:element="place">
          <w:r w:rsidRPr="00A9281E">
            <w:rPr>
              <w:b/>
            </w:rPr>
            <w:t>Ohio</w:t>
          </w:r>
        </w:smartTag>
      </w:smartTag>
      <w:r w:rsidRPr="00A9281E">
        <w:rPr>
          <w:b/>
        </w:rPr>
        <w:t xml:space="preserve"> Consumers’ Counsel</w:t>
      </w:r>
    </w:p>
    <w:p w14:paraId="4FCC32E2" w14:textId="77777777" w:rsidR="00CB7AAD" w:rsidRPr="00A9281E" w:rsidRDefault="00CB7AAD" w:rsidP="00A9281E">
      <w:pPr>
        <w:ind w:left="4320"/>
      </w:pPr>
      <w:smartTag w:uri="urn:schemas-microsoft-com:office:smarttags" w:element="Street">
        <w:smartTag w:uri="urn:schemas-microsoft-com:office:smarttags" w:element="address">
          <w:r w:rsidRPr="00A9281E">
            <w:t>10 West Broad Street, Suite 1800</w:t>
          </w:r>
        </w:smartTag>
      </w:smartTag>
    </w:p>
    <w:p w14:paraId="67C8F532" w14:textId="77777777" w:rsidR="00CB7AAD" w:rsidRPr="00A9281E" w:rsidRDefault="00CB7AAD" w:rsidP="00A9281E">
      <w:pPr>
        <w:ind w:left="4320"/>
      </w:pPr>
      <w:smartTag w:uri="urn:schemas-microsoft-com:office:smarttags" w:element="place">
        <w:smartTag w:uri="urn:schemas-microsoft-com:office:smarttags" w:element="City">
          <w:r w:rsidRPr="00A9281E">
            <w:t>Columbus</w:t>
          </w:r>
        </w:smartTag>
        <w:r w:rsidRPr="00A9281E">
          <w:t xml:space="preserve">, </w:t>
        </w:r>
        <w:smartTag w:uri="urn:schemas-microsoft-com:office:smarttags" w:element="State">
          <w:r w:rsidRPr="00A9281E">
            <w:t>Ohio</w:t>
          </w:r>
        </w:smartTag>
        <w:r w:rsidRPr="00A9281E">
          <w:t xml:space="preserve"> </w:t>
        </w:r>
        <w:smartTag w:uri="urn:schemas-microsoft-com:office:smarttags" w:element="PostalCode">
          <w:r w:rsidRPr="00A9281E">
            <w:t>43215-3485</w:t>
          </w:r>
        </w:smartTag>
      </w:smartTag>
    </w:p>
    <w:p w14:paraId="23736AFD" w14:textId="77777777" w:rsidR="00AD3760" w:rsidRDefault="00CB7AAD" w:rsidP="00E86A17">
      <w:pPr>
        <w:ind w:left="4320"/>
      </w:pPr>
      <w:r>
        <w:t>Telephone:  Serio - (614) 466-9565</w:t>
      </w:r>
    </w:p>
    <w:p w14:paraId="1DDC2E00" w14:textId="4647E51D" w:rsidR="00CB7AAD" w:rsidRDefault="00E868A8" w:rsidP="00654100">
      <w:pPr>
        <w:ind w:left="3600" w:firstLine="720"/>
      </w:pPr>
      <w:hyperlink r:id="rId8" w:history="1">
        <w:r w:rsidR="00CB7AAD">
          <w:rPr>
            <w:rStyle w:val="Hyperlink"/>
          </w:rPr>
          <w:t>serio@occ.state.oh.us</w:t>
        </w:r>
      </w:hyperlink>
    </w:p>
    <w:p w14:paraId="22DD716C" w14:textId="77777777" w:rsidR="0061596E" w:rsidRDefault="0061596E" w:rsidP="003F092B">
      <w:pPr>
        <w:jc w:val="center"/>
        <w:rPr>
          <w:b/>
        </w:rPr>
      </w:pPr>
    </w:p>
    <w:p w14:paraId="630FE708" w14:textId="77777777" w:rsidR="0061596E" w:rsidRPr="0061596E" w:rsidRDefault="0061596E" w:rsidP="0061596E">
      <w:r w:rsidRPr="0061596E">
        <w:t>January 4, 2013</w:t>
      </w:r>
    </w:p>
    <w:p w14:paraId="741F0587" w14:textId="77777777" w:rsidR="0061596E" w:rsidRPr="00654100" w:rsidRDefault="0061596E" w:rsidP="003F092B">
      <w:pPr>
        <w:jc w:val="center"/>
      </w:pPr>
    </w:p>
    <w:p w14:paraId="65241443" w14:textId="77777777" w:rsidR="00CB7AAD" w:rsidRPr="00654100" w:rsidRDefault="00CB7AAD" w:rsidP="003F092B">
      <w:pPr>
        <w:jc w:val="center"/>
        <w:sectPr w:rsidR="00CB7AAD" w:rsidRPr="006541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342A30DF" w14:textId="77777777" w:rsidR="00CB7AAD" w:rsidRDefault="00CB7AAD" w:rsidP="00CB7AAD">
      <w:pPr>
        <w:jc w:val="center"/>
        <w:rPr>
          <w:b/>
        </w:rPr>
      </w:pPr>
      <w:r>
        <w:rPr>
          <w:b/>
        </w:rPr>
        <w:lastRenderedPageBreak/>
        <w:t>TABLE OF CONTENTS</w:t>
      </w:r>
    </w:p>
    <w:p w14:paraId="51A1AF61" w14:textId="77777777" w:rsidR="00CB7AAD" w:rsidRDefault="00CB7AAD" w:rsidP="00CB7AAD">
      <w:pPr>
        <w:jc w:val="center"/>
        <w:rPr>
          <w:b/>
        </w:rPr>
      </w:pPr>
    </w:p>
    <w:p w14:paraId="42D20A4F" w14:textId="30515B40" w:rsidR="00CB7AAD" w:rsidRDefault="00CB7AAD" w:rsidP="00CB7AA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93508A">
        <w:rPr>
          <w:b/>
        </w:rPr>
        <w:tab/>
      </w:r>
      <w:r>
        <w:rPr>
          <w:b/>
        </w:rPr>
        <w:t>PAGE</w:t>
      </w:r>
    </w:p>
    <w:p w14:paraId="0EE24C06" w14:textId="77777777" w:rsidR="000C6687" w:rsidRDefault="000C6687" w:rsidP="00CB7AAD">
      <w:pPr>
        <w:jc w:val="center"/>
        <w:rPr>
          <w:b/>
        </w:rPr>
      </w:pPr>
    </w:p>
    <w:p w14:paraId="5A4D17D3" w14:textId="77777777" w:rsidR="0093508A" w:rsidRDefault="00CB7AAD">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hyperlink w:anchor="_Toc345082964" w:history="1">
        <w:r w:rsidR="0093508A" w:rsidRPr="00B663F2">
          <w:rPr>
            <w:rStyle w:val="Hyperlink"/>
            <w:noProof/>
          </w:rPr>
          <w:t>I.</w:t>
        </w:r>
        <w:r w:rsidR="0093508A">
          <w:rPr>
            <w:rFonts w:asciiTheme="minorHAnsi" w:eastAsiaTheme="minorEastAsia" w:hAnsiTheme="minorHAnsi" w:cstheme="minorBidi"/>
            <w:caps w:val="0"/>
            <w:noProof/>
            <w:sz w:val="22"/>
            <w:szCs w:val="22"/>
          </w:rPr>
          <w:tab/>
        </w:r>
        <w:r w:rsidR="0093508A" w:rsidRPr="00B663F2">
          <w:rPr>
            <w:rStyle w:val="Hyperlink"/>
            <w:noProof/>
          </w:rPr>
          <w:t>INTRODUCTION</w:t>
        </w:r>
        <w:r w:rsidR="0093508A">
          <w:rPr>
            <w:noProof/>
            <w:webHidden/>
          </w:rPr>
          <w:tab/>
        </w:r>
        <w:r w:rsidR="0093508A">
          <w:rPr>
            <w:noProof/>
            <w:webHidden/>
          </w:rPr>
          <w:fldChar w:fldCharType="begin"/>
        </w:r>
        <w:r w:rsidR="0093508A">
          <w:rPr>
            <w:noProof/>
            <w:webHidden/>
          </w:rPr>
          <w:instrText xml:space="preserve"> PAGEREF _Toc345082964 \h </w:instrText>
        </w:r>
        <w:r w:rsidR="0093508A">
          <w:rPr>
            <w:noProof/>
            <w:webHidden/>
          </w:rPr>
        </w:r>
        <w:r w:rsidR="0093508A">
          <w:rPr>
            <w:noProof/>
            <w:webHidden/>
          </w:rPr>
          <w:fldChar w:fldCharType="separate"/>
        </w:r>
        <w:r w:rsidR="005425C5">
          <w:rPr>
            <w:noProof/>
            <w:webHidden/>
          </w:rPr>
          <w:t>1</w:t>
        </w:r>
        <w:r w:rsidR="0093508A">
          <w:rPr>
            <w:noProof/>
            <w:webHidden/>
          </w:rPr>
          <w:fldChar w:fldCharType="end"/>
        </w:r>
      </w:hyperlink>
    </w:p>
    <w:p w14:paraId="5A97EFD0" w14:textId="77777777" w:rsidR="0093508A" w:rsidRDefault="00E868A8">
      <w:pPr>
        <w:pStyle w:val="TOC1"/>
        <w:rPr>
          <w:rFonts w:asciiTheme="minorHAnsi" w:eastAsiaTheme="minorEastAsia" w:hAnsiTheme="minorHAnsi" w:cstheme="minorBidi"/>
          <w:caps w:val="0"/>
          <w:noProof/>
          <w:sz w:val="22"/>
          <w:szCs w:val="22"/>
        </w:rPr>
      </w:pPr>
      <w:hyperlink w:anchor="_Toc345082965" w:history="1">
        <w:r w:rsidR="0093508A" w:rsidRPr="00B663F2">
          <w:rPr>
            <w:rStyle w:val="Hyperlink"/>
            <w:noProof/>
          </w:rPr>
          <w:t>II.</w:t>
        </w:r>
        <w:r w:rsidR="0093508A">
          <w:rPr>
            <w:rFonts w:asciiTheme="minorHAnsi" w:eastAsiaTheme="minorEastAsia" w:hAnsiTheme="minorHAnsi" w:cstheme="minorBidi"/>
            <w:caps w:val="0"/>
            <w:noProof/>
            <w:sz w:val="22"/>
            <w:szCs w:val="22"/>
          </w:rPr>
          <w:tab/>
        </w:r>
        <w:r w:rsidR="0093508A" w:rsidRPr="00B663F2">
          <w:rPr>
            <w:rStyle w:val="Hyperlink"/>
            <w:noProof/>
          </w:rPr>
          <w:t>COMMENTS</w:t>
        </w:r>
        <w:r w:rsidR="0093508A">
          <w:rPr>
            <w:noProof/>
            <w:webHidden/>
          </w:rPr>
          <w:tab/>
        </w:r>
        <w:r w:rsidR="0093508A">
          <w:rPr>
            <w:noProof/>
            <w:webHidden/>
          </w:rPr>
          <w:fldChar w:fldCharType="begin"/>
        </w:r>
        <w:r w:rsidR="0093508A">
          <w:rPr>
            <w:noProof/>
            <w:webHidden/>
          </w:rPr>
          <w:instrText xml:space="preserve"> PAGEREF _Toc345082965 \h </w:instrText>
        </w:r>
        <w:r w:rsidR="0093508A">
          <w:rPr>
            <w:noProof/>
            <w:webHidden/>
          </w:rPr>
        </w:r>
        <w:r w:rsidR="0093508A">
          <w:rPr>
            <w:noProof/>
            <w:webHidden/>
          </w:rPr>
          <w:fldChar w:fldCharType="separate"/>
        </w:r>
        <w:r w:rsidR="005425C5">
          <w:rPr>
            <w:noProof/>
            <w:webHidden/>
          </w:rPr>
          <w:t>3</w:t>
        </w:r>
        <w:r w:rsidR="0093508A">
          <w:rPr>
            <w:noProof/>
            <w:webHidden/>
          </w:rPr>
          <w:fldChar w:fldCharType="end"/>
        </w:r>
      </w:hyperlink>
    </w:p>
    <w:p w14:paraId="11D7E990" w14:textId="77777777" w:rsidR="0093508A" w:rsidRDefault="00E868A8">
      <w:pPr>
        <w:pStyle w:val="TOC2"/>
        <w:tabs>
          <w:tab w:val="left" w:pos="1440"/>
        </w:tabs>
        <w:rPr>
          <w:rFonts w:asciiTheme="minorHAnsi" w:eastAsiaTheme="minorEastAsia" w:hAnsiTheme="minorHAnsi" w:cstheme="minorBidi"/>
          <w:noProof/>
          <w:sz w:val="22"/>
          <w:szCs w:val="22"/>
        </w:rPr>
      </w:pPr>
      <w:hyperlink w:anchor="_Toc345082966" w:history="1">
        <w:r w:rsidR="0093508A" w:rsidRPr="00B663F2">
          <w:rPr>
            <w:rStyle w:val="Hyperlink"/>
            <w:noProof/>
          </w:rPr>
          <w:t>A.</w:t>
        </w:r>
        <w:r w:rsidR="0093508A">
          <w:rPr>
            <w:rFonts w:asciiTheme="minorHAnsi" w:eastAsiaTheme="minorEastAsia" w:hAnsiTheme="minorHAnsi" w:cstheme="minorBidi"/>
            <w:noProof/>
            <w:sz w:val="22"/>
            <w:szCs w:val="22"/>
          </w:rPr>
          <w:tab/>
        </w:r>
        <w:r w:rsidR="0093508A" w:rsidRPr="00B663F2">
          <w:rPr>
            <w:rStyle w:val="Hyperlink"/>
            <w:noProof/>
          </w:rPr>
          <w:t>The PUCO Should Enforce the Stipulations from Case Nos. 09-756-EL-ESS and 11-351-EL-AIR et al, to Ensure That Customers Receive the Benefit of Just and Reasonable Service Reliability Standards Based on Specific Data Agreed Upon In The Stipulation.</w:t>
        </w:r>
        <w:r w:rsidR="0093508A">
          <w:rPr>
            <w:noProof/>
            <w:webHidden/>
          </w:rPr>
          <w:tab/>
        </w:r>
        <w:r w:rsidR="0093508A">
          <w:rPr>
            <w:noProof/>
            <w:webHidden/>
          </w:rPr>
          <w:fldChar w:fldCharType="begin"/>
        </w:r>
        <w:r w:rsidR="0093508A">
          <w:rPr>
            <w:noProof/>
            <w:webHidden/>
          </w:rPr>
          <w:instrText xml:space="preserve"> PAGEREF _Toc345082966 \h </w:instrText>
        </w:r>
        <w:r w:rsidR="0093508A">
          <w:rPr>
            <w:noProof/>
            <w:webHidden/>
          </w:rPr>
        </w:r>
        <w:r w:rsidR="0093508A">
          <w:rPr>
            <w:noProof/>
            <w:webHidden/>
          </w:rPr>
          <w:fldChar w:fldCharType="separate"/>
        </w:r>
        <w:r w:rsidR="005425C5">
          <w:rPr>
            <w:noProof/>
            <w:webHidden/>
          </w:rPr>
          <w:t>3</w:t>
        </w:r>
        <w:r w:rsidR="0093508A">
          <w:rPr>
            <w:noProof/>
            <w:webHidden/>
          </w:rPr>
          <w:fldChar w:fldCharType="end"/>
        </w:r>
      </w:hyperlink>
    </w:p>
    <w:p w14:paraId="2327FB7A" w14:textId="2F074CE5" w:rsidR="0093508A" w:rsidRDefault="00E868A8">
      <w:pPr>
        <w:pStyle w:val="TOC2"/>
        <w:tabs>
          <w:tab w:val="left" w:pos="1440"/>
        </w:tabs>
        <w:rPr>
          <w:rFonts w:asciiTheme="minorHAnsi" w:eastAsiaTheme="minorEastAsia" w:hAnsiTheme="minorHAnsi" w:cstheme="minorBidi"/>
          <w:noProof/>
          <w:sz w:val="22"/>
          <w:szCs w:val="22"/>
        </w:rPr>
      </w:pPr>
      <w:hyperlink w:anchor="_Toc345082967" w:history="1">
        <w:r w:rsidR="0093508A" w:rsidRPr="00B663F2">
          <w:rPr>
            <w:rStyle w:val="Hyperlink"/>
            <w:noProof/>
          </w:rPr>
          <w:t>B.</w:t>
        </w:r>
        <w:r w:rsidR="0093508A">
          <w:rPr>
            <w:rFonts w:asciiTheme="minorHAnsi" w:eastAsiaTheme="minorEastAsia" w:hAnsiTheme="minorHAnsi" w:cstheme="minorBidi"/>
            <w:noProof/>
            <w:sz w:val="22"/>
            <w:szCs w:val="22"/>
          </w:rPr>
          <w:tab/>
        </w:r>
        <w:r w:rsidR="0093508A" w:rsidRPr="00B663F2">
          <w:rPr>
            <w:rStyle w:val="Hyperlink"/>
            <w:noProof/>
          </w:rPr>
          <w:t xml:space="preserve">The PUCO Should Find That AEP Ohio’s Proposal To Amend The PUCO’s 2012 Reliability Standards Violates Ohio Admin. Code 4901:1-10-10(B)(7), Revised Code 4928.11, With Regard To Protecting The Quality Of Electric Service To Customers.  The PUCO Should Order </w:t>
        </w:r>
        <w:r w:rsidR="0093508A">
          <w:rPr>
            <w:rStyle w:val="Hyperlink"/>
            <w:noProof/>
          </w:rPr>
          <w:br/>
        </w:r>
        <w:r w:rsidR="0093508A" w:rsidRPr="00B663F2">
          <w:rPr>
            <w:rStyle w:val="Hyperlink"/>
            <w:noProof/>
          </w:rPr>
          <w:t>AEP Ohio To Re-file its Application.</w:t>
        </w:r>
        <w:r w:rsidR="0093508A">
          <w:rPr>
            <w:noProof/>
            <w:webHidden/>
          </w:rPr>
          <w:tab/>
        </w:r>
        <w:r w:rsidR="0093508A">
          <w:rPr>
            <w:noProof/>
            <w:webHidden/>
          </w:rPr>
          <w:fldChar w:fldCharType="begin"/>
        </w:r>
        <w:r w:rsidR="0093508A">
          <w:rPr>
            <w:noProof/>
            <w:webHidden/>
          </w:rPr>
          <w:instrText xml:space="preserve"> PAGEREF _Toc345082967 \h </w:instrText>
        </w:r>
        <w:r w:rsidR="0093508A">
          <w:rPr>
            <w:noProof/>
            <w:webHidden/>
          </w:rPr>
        </w:r>
        <w:r w:rsidR="0093508A">
          <w:rPr>
            <w:noProof/>
            <w:webHidden/>
          </w:rPr>
          <w:fldChar w:fldCharType="separate"/>
        </w:r>
        <w:r w:rsidR="005425C5">
          <w:rPr>
            <w:noProof/>
            <w:webHidden/>
          </w:rPr>
          <w:t>5</w:t>
        </w:r>
        <w:r w:rsidR="0093508A">
          <w:rPr>
            <w:noProof/>
            <w:webHidden/>
          </w:rPr>
          <w:fldChar w:fldCharType="end"/>
        </w:r>
      </w:hyperlink>
    </w:p>
    <w:p w14:paraId="4FE739B5" w14:textId="461DACBB" w:rsidR="0093508A" w:rsidRDefault="00E868A8">
      <w:pPr>
        <w:pStyle w:val="TOC2"/>
        <w:tabs>
          <w:tab w:val="left" w:pos="1440"/>
        </w:tabs>
        <w:rPr>
          <w:rFonts w:asciiTheme="minorHAnsi" w:eastAsiaTheme="minorEastAsia" w:hAnsiTheme="minorHAnsi" w:cstheme="minorBidi"/>
          <w:noProof/>
          <w:sz w:val="22"/>
          <w:szCs w:val="22"/>
        </w:rPr>
      </w:pPr>
      <w:hyperlink w:anchor="_Toc345082968" w:history="1">
        <w:r w:rsidR="0093508A" w:rsidRPr="00B663F2">
          <w:rPr>
            <w:rStyle w:val="Hyperlink"/>
            <w:noProof/>
          </w:rPr>
          <w:t>C.</w:t>
        </w:r>
        <w:r w:rsidR="0093508A">
          <w:rPr>
            <w:rFonts w:asciiTheme="minorHAnsi" w:eastAsiaTheme="minorEastAsia" w:hAnsiTheme="minorHAnsi" w:cstheme="minorBidi"/>
            <w:noProof/>
            <w:sz w:val="22"/>
            <w:szCs w:val="22"/>
          </w:rPr>
          <w:tab/>
        </w:r>
        <w:r w:rsidR="0093508A" w:rsidRPr="00B663F2">
          <w:rPr>
            <w:rStyle w:val="Hyperlink"/>
            <w:noProof/>
          </w:rPr>
          <w:t xml:space="preserve">AEP Ohio’s Proposal To Amend The 2012 Reliability Standards Disguises A Potential Violation Of The Commission’s Rules For </w:t>
        </w:r>
        <w:r w:rsidR="0093508A">
          <w:rPr>
            <w:rStyle w:val="Hyperlink"/>
            <w:noProof/>
          </w:rPr>
          <w:br/>
        </w:r>
        <w:r w:rsidR="0093508A" w:rsidRPr="00B663F2">
          <w:rPr>
            <w:rStyle w:val="Hyperlink"/>
            <w:noProof/>
          </w:rPr>
          <w:t>Ensuring Quality Electric Service to Ohioans.</w:t>
        </w:r>
        <w:r w:rsidR="0093508A">
          <w:rPr>
            <w:noProof/>
            <w:webHidden/>
          </w:rPr>
          <w:tab/>
        </w:r>
        <w:r w:rsidR="0093508A">
          <w:rPr>
            <w:noProof/>
            <w:webHidden/>
          </w:rPr>
          <w:fldChar w:fldCharType="begin"/>
        </w:r>
        <w:r w:rsidR="0093508A">
          <w:rPr>
            <w:noProof/>
            <w:webHidden/>
          </w:rPr>
          <w:instrText xml:space="preserve"> PAGEREF _Toc345082968 \h </w:instrText>
        </w:r>
        <w:r w:rsidR="0093508A">
          <w:rPr>
            <w:noProof/>
            <w:webHidden/>
          </w:rPr>
        </w:r>
        <w:r w:rsidR="0093508A">
          <w:rPr>
            <w:noProof/>
            <w:webHidden/>
          </w:rPr>
          <w:fldChar w:fldCharType="separate"/>
        </w:r>
        <w:r w:rsidR="005425C5">
          <w:rPr>
            <w:noProof/>
            <w:webHidden/>
          </w:rPr>
          <w:t>8</w:t>
        </w:r>
        <w:r w:rsidR="0093508A">
          <w:rPr>
            <w:noProof/>
            <w:webHidden/>
          </w:rPr>
          <w:fldChar w:fldCharType="end"/>
        </w:r>
      </w:hyperlink>
    </w:p>
    <w:p w14:paraId="749DAC0B" w14:textId="7B785CF8" w:rsidR="0093508A" w:rsidRDefault="00E868A8">
      <w:pPr>
        <w:pStyle w:val="TOC2"/>
        <w:tabs>
          <w:tab w:val="left" w:pos="1440"/>
        </w:tabs>
        <w:rPr>
          <w:rFonts w:asciiTheme="minorHAnsi" w:eastAsiaTheme="minorEastAsia" w:hAnsiTheme="minorHAnsi" w:cstheme="minorBidi"/>
          <w:noProof/>
          <w:sz w:val="22"/>
          <w:szCs w:val="22"/>
        </w:rPr>
      </w:pPr>
      <w:hyperlink w:anchor="_Toc345082969" w:history="1">
        <w:r w:rsidR="0093508A" w:rsidRPr="00B663F2">
          <w:rPr>
            <w:rStyle w:val="Hyperlink"/>
            <w:noProof/>
          </w:rPr>
          <w:t>D.</w:t>
        </w:r>
        <w:r w:rsidR="0093508A">
          <w:rPr>
            <w:rFonts w:asciiTheme="minorHAnsi" w:eastAsiaTheme="minorEastAsia" w:hAnsiTheme="minorHAnsi" w:cstheme="minorBidi"/>
            <w:noProof/>
            <w:sz w:val="22"/>
            <w:szCs w:val="22"/>
          </w:rPr>
          <w:tab/>
        </w:r>
        <w:r w:rsidR="0093508A" w:rsidRPr="00B663F2">
          <w:rPr>
            <w:rStyle w:val="Hyperlink"/>
            <w:noProof/>
          </w:rPr>
          <w:t xml:space="preserve">AEP Ohio’s Proposal To Combine Reliability Standards For Columbus Southern Power Company And Ohio Power Company In 2012 Is Unjust, Unreasonable, And Contradictory To The Argument The Company Presented To The Commission That Approval Of Its Merger Was In </w:t>
        </w:r>
        <w:r w:rsidR="0093508A">
          <w:rPr>
            <w:rStyle w:val="Hyperlink"/>
            <w:noProof/>
          </w:rPr>
          <w:br/>
        </w:r>
        <w:r w:rsidR="0093508A" w:rsidRPr="00B663F2">
          <w:rPr>
            <w:rStyle w:val="Hyperlink"/>
            <w:noProof/>
          </w:rPr>
          <w:t>The Public Interest.</w:t>
        </w:r>
        <w:r w:rsidR="0093508A">
          <w:rPr>
            <w:noProof/>
            <w:webHidden/>
          </w:rPr>
          <w:tab/>
        </w:r>
        <w:r w:rsidR="0093508A">
          <w:rPr>
            <w:noProof/>
            <w:webHidden/>
          </w:rPr>
          <w:fldChar w:fldCharType="begin"/>
        </w:r>
        <w:r w:rsidR="0093508A">
          <w:rPr>
            <w:noProof/>
            <w:webHidden/>
          </w:rPr>
          <w:instrText xml:space="preserve"> PAGEREF _Toc345082969 \h </w:instrText>
        </w:r>
        <w:r w:rsidR="0093508A">
          <w:rPr>
            <w:noProof/>
            <w:webHidden/>
          </w:rPr>
        </w:r>
        <w:r w:rsidR="0093508A">
          <w:rPr>
            <w:noProof/>
            <w:webHidden/>
          </w:rPr>
          <w:fldChar w:fldCharType="separate"/>
        </w:r>
        <w:r w:rsidR="005425C5">
          <w:rPr>
            <w:noProof/>
            <w:webHidden/>
          </w:rPr>
          <w:t>10</w:t>
        </w:r>
        <w:r w:rsidR="0093508A">
          <w:rPr>
            <w:noProof/>
            <w:webHidden/>
          </w:rPr>
          <w:fldChar w:fldCharType="end"/>
        </w:r>
      </w:hyperlink>
    </w:p>
    <w:p w14:paraId="5FDE1349" w14:textId="53938A88" w:rsidR="0093508A" w:rsidRDefault="00E868A8">
      <w:pPr>
        <w:pStyle w:val="TOC2"/>
        <w:tabs>
          <w:tab w:val="left" w:pos="1440"/>
        </w:tabs>
        <w:rPr>
          <w:rFonts w:asciiTheme="minorHAnsi" w:eastAsiaTheme="minorEastAsia" w:hAnsiTheme="minorHAnsi" w:cstheme="minorBidi"/>
          <w:noProof/>
          <w:sz w:val="22"/>
          <w:szCs w:val="22"/>
        </w:rPr>
      </w:pPr>
      <w:hyperlink w:anchor="_Toc345082970" w:history="1">
        <w:r w:rsidR="0093508A" w:rsidRPr="00B663F2">
          <w:rPr>
            <w:rStyle w:val="Hyperlink"/>
            <w:noProof/>
          </w:rPr>
          <w:t>E.</w:t>
        </w:r>
        <w:r w:rsidR="0093508A">
          <w:rPr>
            <w:rFonts w:asciiTheme="minorHAnsi" w:eastAsiaTheme="minorEastAsia" w:hAnsiTheme="minorHAnsi" w:cstheme="minorBidi"/>
            <w:noProof/>
            <w:sz w:val="22"/>
            <w:szCs w:val="22"/>
          </w:rPr>
          <w:tab/>
        </w:r>
        <w:r w:rsidR="0093508A" w:rsidRPr="00B663F2">
          <w:rPr>
            <w:rStyle w:val="Hyperlink"/>
            <w:noProof/>
          </w:rPr>
          <w:t xml:space="preserve">The AEP Ohio Application For A Combined Reliability Standard Is Unjust And Unreasonable Because The Service Area Geography In </w:t>
        </w:r>
        <w:r w:rsidR="0093508A">
          <w:rPr>
            <w:rStyle w:val="Hyperlink"/>
            <w:noProof/>
          </w:rPr>
          <w:br/>
        </w:r>
        <w:r w:rsidR="0093508A" w:rsidRPr="00B663F2">
          <w:rPr>
            <w:rStyle w:val="Hyperlink"/>
            <w:noProof/>
          </w:rPr>
          <w:t>Both Areas Is Uniquely Suited For Having Individual Reliability Standards.</w:t>
        </w:r>
        <w:r w:rsidR="0093508A">
          <w:rPr>
            <w:noProof/>
            <w:webHidden/>
          </w:rPr>
          <w:tab/>
        </w:r>
        <w:r w:rsidR="0093508A">
          <w:rPr>
            <w:noProof/>
            <w:webHidden/>
          </w:rPr>
          <w:fldChar w:fldCharType="begin"/>
        </w:r>
        <w:r w:rsidR="0093508A">
          <w:rPr>
            <w:noProof/>
            <w:webHidden/>
          </w:rPr>
          <w:instrText xml:space="preserve"> PAGEREF _Toc345082970 \h </w:instrText>
        </w:r>
        <w:r w:rsidR="0093508A">
          <w:rPr>
            <w:noProof/>
            <w:webHidden/>
          </w:rPr>
        </w:r>
        <w:r w:rsidR="0093508A">
          <w:rPr>
            <w:noProof/>
            <w:webHidden/>
          </w:rPr>
          <w:fldChar w:fldCharType="separate"/>
        </w:r>
        <w:r w:rsidR="005425C5">
          <w:rPr>
            <w:noProof/>
            <w:webHidden/>
          </w:rPr>
          <w:t>12</w:t>
        </w:r>
        <w:r w:rsidR="0093508A">
          <w:rPr>
            <w:noProof/>
            <w:webHidden/>
          </w:rPr>
          <w:fldChar w:fldCharType="end"/>
        </w:r>
      </w:hyperlink>
    </w:p>
    <w:p w14:paraId="6596C9EF" w14:textId="5E366795" w:rsidR="0093508A" w:rsidRDefault="00E868A8">
      <w:pPr>
        <w:pStyle w:val="TOC2"/>
        <w:tabs>
          <w:tab w:val="left" w:pos="1440"/>
        </w:tabs>
        <w:rPr>
          <w:rFonts w:asciiTheme="minorHAnsi" w:eastAsiaTheme="minorEastAsia" w:hAnsiTheme="minorHAnsi" w:cstheme="minorBidi"/>
          <w:noProof/>
          <w:sz w:val="22"/>
          <w:szCs w:val="22"/>
        </w:rPr>
      </w:pPr>
      <w:hyperlink w:anchor="_Toc345082971" w:history="1">
        <w:r w:rsidR="0093508A" w:rsidRPr="00B663F2">
          <w:rPr>
            <w:rStyle w:val="Hyperlink"/>
            <w:noProof/>
          </w:rPr>
          <w:t>F.</w:t>
        </w:r>
        <w:r w:rsidR="0093508A">
          <w:rPr>
            <w:rFonts w:asciiTheme="minorHAnsi" w:eastAsiaTheme="minorEastAsia" w:hAnsiTheme="minorHAnsi" w:cstheme="minorBidi"/>
            <w:noProof/>
            <w:sz w:val="22"/>
            <w:szCs w:val="22"/>
          </w:rPr>
          <w:tab/>
        </w:r>
        <w:r w:rsidR="0093508A" w:rsidRPr="00B663F2">
          <w:rPr>
            <w:rStyle w:val="Hyperlink"/>
            <w:noProof/>
          </w:rPr>
          <w:t xml:space="preserve">AEP Ohio’s Application And Proposal For Combined Reliability Standards Are Unjust And Unreasonable Because The Distribution </w:t>
        </w:r>
        <w:r w:rsidR="0093508A">
          <w:rPr>
            <w:rStyle w:val="Hyperlink"/>
            <w:noProof/>
          </w:rPr>
          <w:br/>
        </w:r>
        <w:r w:rsidR="0093508A" w:rsidRPr="00B663F2">
          <w:rPr>
            <w:rStyle w:val="Hyperlink"/>
            <w:noProof/>
          </w:rPr>
          <w:t>Rates For Each Operating Area Of The Company Are Different.</w:t>
        </w:r>
        <w:r w:rsidR="0093508A">
          <w:rPr>
            <w:noProof/>
            <w:webHidden/>
          </w:rPr>
          <w:tab/>
        </w:r>
        <w:r w:rsidR="0093508A">
          <w:rPr>
            <w:noProof/>
            <w:webHidden/>
          </w:rPr>
          <w:fldChar w:fldCharType="begin"/>
        </w:r>
        <w:r w:rsidR="0093508A">
          <w:rPr>
            <w:noProof/>
            <w:webHidden/>
          </w:rPr>
          <w:instrText xml:space="preserve"> PAGEREF _Toc345082971 \h </w:instrText>
        </w:r>
        <w:r w:rsidR="0093508A">
          <w:rPr>
            <w:noProof/>
            <w:webHidden/>
          </w:rPr>
        </w:r>
        <w:r w:rsidR="0093508A">
          <w:rPr>
            <w:noProof/>
            <w:webHidden/>
          </w:rPr>
          <w:fldChar w:fldCharType="separate"/>
        </w:r>
        <w:r w:rsidR="005425C5">
          <w:rPr>
            <w:noProof/>
            <w:webHidden/>
          </w:rPr>
          <w:t>18</w:t>
        </w:r>
        <w:r w:rsidR="0093508A">
          <w:rPr>
            <w:noProof/>
            <w:webHidden/>
          </w:rPr>
          <w:fldChar w:fldCharType="end"/>
        </w:r>
      </w:hyperlink>
    </w:p>
    <w:p w14:paraId="64CDBDAC" w14:textId="77777777" w:rsidR="0093508A" w:rsidRDefault="00E868A8">
      <w:pPr>
        <w:pStyle w:val="TOC2"/>
        <w:tabs>
          <w:tab w:val="left" w:pos="1440"/>
        </w:tabs>
        <w:rPr>
          <w:rFonts w:asciiTheme="minorHAnsi" w:eastAsiaTheme="minorEastAsia" w:hAnsiTheme="minorHAnsi" w:cstheme="minorBidi"/>
          <w:noProof/>
          <w:sz w:val="22"/>
          <w:szCs w:val="22"/>
        </w:rPr>
      </w:pPr>
      <w:hyperlink w:anchor="_Toc345082972" w:history="1">
        <w:r w:rsidR="0093508A" w:rsidRPr="00B663F2">
          <w:rPr>
            <w:rStyle w:val="Hyperlink"/>
            <w:noProof/>
          </w:rPr>
          <w:t>G.</w:t>
        </w:r>
        <w:r w:rsidR="0093508A">
          <w:rPr>
            <w:rFonts w:asciiTheme="minorHAnsi" w:eastAsiaTheme="minorEastAsia" w:hAnsiTheme="minorHAnsi" w:cstheme="minorBidi"/>
            <w:noProof/>
            <w:sz w:val="22"/>
            <w:szCs w:val="22"/>
          </w:rPr>
          <w:tab/>
        </w:r>
        <w:r w:rsidR="0093508A" w:rsidRPr="00B663F2">
          <w:rPr>
            <w:rStyle w:val="Hyperlink"/>
            <w:noProof/>
          </w:rPr>
          <w:t>AEP Ohio’s Application Is Unjust And Unreasonable Because It Fails To Adequately Quantify The Adjustments That Must Be Made In The CSP And OPC Reliability Standards To Account For GridSmart And Vegetation Management.</w:t>
        </w:r>
        <w:r w:rsidR="0093508A">
          <w:rPr>
            <w:noProof/>
            <w:webHidden/>
          </w:rPr>
          <w:tab/>
        </w:r>
        <w:r w:rsidR="0093508A">
          <w:rPr>
            <w:noProof/>
            <w:webHidden/>
          </w:rPr>
          <w:fldChar w:fldCharType="begin"/>
        </w:r>
        <w:r w:rsidR="0093508A">
          <w:rPr>
            <w:noProof/>
            <w:webHidden/>
          </w:rPr>
          <w:instrText xml:space="preserve"> PAGEREF _Toc345082972 \h </w:instrText>
        </w:r>
        <w:r w:rsidR="0093508A">
          <w:rPr>
            <w:noProof/>
            <w:webHidden/>
          </w:rPr>
        </w:r>
        <w:r w:rsidR="0093508A">
          <w:rPr>
            <w:noProof/>
            <w:webHidden/>
          </w:rPr>
          <w:fldChar w:fldCharType="separate"/>
        </w:r>
        <w:r w:rsidR="005425C5">
          <w:rPr>
            <w:noProof/>
            <w:webHidden/>
          </w:rPr>
          <w:t>21</w:t>
        </w:r>
        <w:r w:rsidR="0093508A">
          <w:rPr>
            <w:noProof/>
            <w:webHidden/>
          </w:rPr>
          <w:fldChar w:fldCharType="end"/>
        </w:r>
      </w:hyperlink>
    </w:p>
    <w:p w14:paraId="43F2663F" w14:textId="77777777" w:rsidR="0093508A" w:rsidRDefault="00E868A8">
      <w:pPr>
        <w:pStyle w:val="TOC2"/>
        <w:tabs>
          <w:tab w:val="left" w:pos="1440"/>
        </w:tabs>
        <w:rPr>
          <w:rFonts w:asciiTheme="minorHAnsi" w:eastAsiaTheme="minorEastAsia" w:hAnsiTheme="minorHAnsi" w:cstheme="minorBidi"/>
          <w:noProof/>
          <w:sz w:val="22"/>
          <w:szCs w:val="22"/>
        </w:rPr>
      </w:pPr>
      <w:hyperlink w:anchor="_Toc345082973" w:history="1">
        <w:r w:rsidR="0093508A" w:rsidRPr="00B663F2">
          <w:rPr>
            <w:rStyle w:val="Hyperlink"/>
            <w:noProof/>
          </w:rPr>
          <w:t>H.</w:t>
        </w:r>
        <w:r w:rsidR="0093508A">
          <w:rPr>
            <w:rFonts w:asciiTheme="minorHAnsi" w:eastAsiaTheme="minorEastAsia" w:hAnsiTheme="minorHAnsi" w:cstheme="minorBidi"/>
            <w:noProof/>
            <w:sz w:val="22"/>
            <w:szCs w:val="22"/>
          </w:rPr>
          <w:tab/>
        </w:r>
        <w:r w:rsidR="0093508A" w:rsidRPr="00B663F2">
          <w:rPr>
            <w:rStyle w:val="Hyperlink"/>
            <w:noProof/>
          </w:rPr>
          <w:t>The AEP Ohio Application Is Unjust And Unreasonable Because There Are No Proposed Reliability Standards Adjustments Proposed For The Distribution Investment Rider.</w:t>
        </w:r>
        <w:r w:rsidR="0093508A">
          <w:rPr>
            <w:noProof/>
            <w:webHidden/>
          </w:rPr>
          <w:tab/>
        </w:r>
        <w:r w:rsidR="0093508A">
          <w:rPr>
            <w:noProof/>
            <w:webHidden/>
          </w:rPr>
          <w:fldChar w:fldCharType="begin"/>
        </w:r>
        <w:r w:rsidR="0093508A">
          <w:rPr>
            <w:noProof/>
            <w:webHidden/>
          </w:rPr>
          <w:instrText xml:space="preserve"> PAGEREF _Toc345082973 \h </w:instrText>
        </w:r>
        <w:r w:rsidR="0093508A">
          <w:rPr>
            <w:noProof/>
            <w:webHidden/>
          </w:rPr>
        </w:r>
        <w:r w:rsidR="0093508A">
          <w:rPr>
            <w:noProof/>
            <w:webHidden/>
          </w:rPr>
          <w:fldChar w:fldCharType="separate"/>
        </w:r>
        <w:r w:rsidR="005425C5">
          <w:rPr>
            <w:noProof/>
            <w:webHidden/>
          </w:rPr>
          <w:t>23</w:t>
        </w:r>
        <w:r w:rsidR="0093508A">
          <w:rPr>
            <w:noProof/>
            <w:webHidden/>
          </w:rPr>
          <w:fldChar w:fldCharType="end"/>
        </w:r>
      </w:hyperlink>
    </w:p>
    <w:p w14:paraId="454954E8" w14:textId="6830B9B6" w:rsidR="0093508A" w:rsidRDefault="00E868A8">
      <w:pPr>
        <w:pStyle w:val="TOC2"/>
        <w:tabs>
          <w:tab w:val="left" w:pos="1440"/>
        </w:tabs>
        <w:rPr>
          <w:rFonts w:asciiTheme="minorHAnsi" w:eastAsiaTheme="minorEastAsia" w:hAnsiTheme="minorHAnsi" w:cstheme="minorBidi"/>
          <w:noProof/>
          <w:sz w:val="22"/>
          <w:szCs w:val="22"/>
        </w:rPr>
      </w:pPr>
      <w:hyperlink w:anchor="_Toc345082974" w:history="1">
        <w:r w:rsidR="0093508A" w:rsidRPr="00B663F2">
          <w:rPr>
            <w:rStyle w:val="Hyperlink"/>
            <w:noProof/>
          </w:rPr>
          <w:t>I.</w:t>
        </w:r>
        <w:r w:rsidR="0093508A">
          <w:rPr>
            <w:rFonts w:asciiTheme="minorHAnsi" w:eastAsiaTheme="minorEastAsia" w:hAnsiTheme="minorHAnsi" w:cstheme="minorBidi"/>
            <w:noProof/>
            <w:sz w:val="22"/>
            <w:szCs w:val="22"/>
          </w:rPr>
          <w:tab/>
        </w:r>
        <w:r w:rsidR="0093508A" w:rsidRPr="00B663F2">
          <w:rPr>
            <w:rStyle w:val="Hyperlink"/>
            <w:noProof/>
          </w:rPr>
          <w:t xml:space="preserve">The CSP and OPC reliability performance standards should be based on the five year average performance for 2007 through 2011 and be </w:t>
        </w:r>
        <w:r w:rsidR="0093508A">
          <w:rPr>
            <w:rStyle w:val="Hyperlink"/>
            <w:noProof/>
          </w:rPr>
          <w:br/>
        </w:r>
        <w:r w:rsidR="0093508A" w:rsidRPr="00B663F2">
          <w:rPr>
            <w:rStyle w:val="Hyperlink"/>
            <w:noProof/>
          </w:rPr>
          <w:t>adjusted to reflect the impacts of the SmartGrid, Reliability Rider, and DIR.</w:t>
        </w:r>
        <w:r w:rsidR="0093508A">
          <w:rPr>
            <w:noProof/>
            <w:webHidden/>
          </w:rPr>
          <w:tab/>
        </w:r>
        <w:r w:rsidR="0093508A">
          <w:rPr>
            <w:noProof/>
            <w:webHidden/>
          </w:rPr>
          <w:fldChar w:fldCharType="begin"/>
        </w:r>
        <w:r w:rsidR="0093508A">
          <w:rPr>
            <w:noProof/>
            <w:webHidden/>
          </w:rPr>
          <w:instrText xml:space="preserve"> PAGEREF _Toc345082974 \h </w:instrText>
        </w:r>
        <w:r w:rsidR="0093508A">
          <w:rPr>
            <w:noProof/>
            <w:webHidden/>
          </w:rPr>
        </w:r>
        <w:r w:rsidR="0093508A">
          <w:rPr>
            <w:noProof/>
            <w:webHidden/>
          </w:rPr>
          <w:fldChar w:fldCharType="separate"/>
        </w:r>
        <w:r w:rsidR="005425C5">
          <w:rPr>
            <w:noProof/>
            <w:webHidden/>
          </w:rPr>
          <w:t>24</w:t>
        </w:r>
        <w:r w:rsidR="0093508A">
          <w:rPr>
            <w:noProof/>
            <w:webHidden/>
          </w:rPr>
          <w:fldChar w:fldCharType="end"/>
        </w:r>
      </w:hyperlink>
    </w:p>
    <w:p w14:paraId="294B0FD7" w14:textId="77777777" w:rsidR="0093508A" w:rsidRDefault="00E868A8">
      <w:pPr>
        <w:pStyle w:val="TOC2"/>
        <w:tabs>
          <w:tab w:val="left" w:pos="1440"/>
        </w:tabs>
        <w:rPr>
          <w:rFonts w:asciiTheme="minorHAnsi" w:eastAsiaTheme="minorEastAsia" w:hAnsiTheme="minorHAnsi" w:cstheme="minorBidi"/>
          <w:noProof/>
          <w:sz w:val="22"/>
          <w:szCs w:val="22"/>
        </w:rPr>
      </w:pPr>
      <w:hyperlink w:anchor="_Toc345082975" w:history="1">
        <w:r w:rsidR="0093508A" w:rsidRPr="00B663F2">
          <w:rPr>
            <w:rStyle w:val="Hyperlink"/>
            <w:noProof/>
          </w:rPr>
          <w:t>J.</w:t>
        </w:r>
        <w:r w:rsidR="0093508A">
          <w:rPr>
            <w:rFonts w:asciiTheme="minorHAnsi" w:eastAsiaTheme="minorEastAsia" w:hAnsiTheme="minorHAnsi" w:cstheme="minorBidi"/>
            <w:noProof/>
            <w:sz w:val="22"/>
            <w:szCs w:val="22"/>
          </w:rPr>
          <w:tab/>
        </w:r>
        <w:r w:rsidR="0093508A" w:rsidRPr="00B663F2">
          <w:rPr>
            <w:rStyle w:val="Hyperlink"/>
            <w:noProof/>
          </w:rPr>
          <w:t>Summary of Recommendations</w:t>
        </w:r>
        <w:r w:rsidR="0093508A">
          <w:rPr>
            <w:noProof/>
            <w:webHidden/>
          </w:rPr>
          <w:tab/>
        </w:r>
        <w:r w:rsidR="0093508A">
          <w:rPr>
            <w:noProof/>
            <w:webHidden/>
          </w:rPr>
          <w:fldChar w:fldCharType="begin"/>
        </w:r>
        <w:r w:rsidR="0093508A">
          <w:rPr>
            <w:noProof/>
            <w:webHidden/>
          </w:rPr>
          <w:instrText xml:space="preserve"> PAGEREF _Toc345082975 \h </w:instrText>
        </w:r>
        <w:r w:rsidR="0093508A">
          <w:rPr>
            <w:noProof/>
            <w:webHidden/>
          </w:rPr>
        </w:r>
        <w:r w:rsidR="0093508A">
          <w:rPr>
            <w:noProof/>
            <w:webHidden/>
          </w:rPr>
          <w:fldChar w:fldCharType="separate"/>
        </w:r>
        <w:r w:rsidR="005425C5">
          <w:rPr>
            <w:noProof/>
            <w:webHidden/>
          </w:rPr>
          <w:t>27</w:t>
        </w:r>
        <w:r w:rsidR="0093508A">
          <w:rPr>
            <w:noProof/>
            <w:webHidden/>
          </w:rPr>
          <w:fldChar w:fldCharType="end"/>
        </w:r>
      </w:hyperlink>
    </w:p>
    <w:p w14:paraId="3FAB707D" w14:textId="77777777" w:rsidR="0093508A" w:rsidRDefault="00E868A8">
      <w:pPr>
        <w:pStyle w:val="TOC1"/>
        <w:rPr>
          <w:rFonts w:asciiTheme="minorHAnsi" w:eastAsiaTheme="minorEastAsia" w:hAnsiTheme="minorHAnsi" w:cstheme="minorBidi"/>
          <w:caps w:val="0"/>
          <w:noProof/>
          <w:sz w:val="22"/>
          <w:szCs w:val="22"/>
        </w:rPr>
      </w:pPr>
      <w:hyperlink w:anchor="_Toc345082976" w:history="1">
        <w:r w:rsidR="0093508A" w:rsidRPr="00B663F2">
          <w:rPr>
            <w:rStyle w:val="Hyperlink"/>
            <w:noProof/>
          </w:rPr>
          <w:t>III.</w:t>
        </w:r>
        <w:r w:rsidR="0093508A">
          <w:rPr>
            <w:rFonts w:asciiTheme="minorHAnsi" w:eastAsiaTheme="minorEastAsia" w:hAnsiTheme="minorHAnsi" w:cstheme="minorBidi"/>
            <w:caps w:val="0"/>
            <w:noProof/>
            <w:sz w:val="22"/>
            <w:szCs w:val="22"/>
          </w:rPr>
          <w:tab/>
        </w:r>
        <w:r w:rsidR="0093508A" w:rsidRPr="00B663F2">
          <w:rPr>
            <w:rStyle w:val="Hyperlink"/>
            <w:noProof/>
          </w:rPr>
          <w:t>CONCLUSION</w:t>
        </w:r>
        <w:r w:rsidR="0093508A">
          <w:rPr>
            <w:noProof/>
            <w:webHidden/>
          </w:rPr>
          <w:tab/>
        </w:r>
        <w:r w:rsidR="0093508A">
          <w:rPr>
            <w:noProof/>
            <w:webHidden/>
          </w:rPr>
          <w:fldChar w:fldCharType="begin"/>
        </w:r>
        <w:r w:rsidR="0093508A">
          <w:rPr>
            <w:noProof/>
            <w:webHidden/>
          </w:rPr>
          <w:instrText xml:space="preserve"> PAGEREF _Toc345082976 \h </w:instrText>
        </w:r>
        <w:r w:rsidR="0093508A">
          <w:rPr>
            <w:noProof/>
            <w:webHidden/>
          </w:rPr>
        </w:r>
        <w:r w:rsidR="0093508A">
          <w:rPr>
            <w:noProof/>
            <w:webHidden/>
          </w:rPr>
          <w:fldChar w:fldCharType="separate"/>
        </w:r>
        <w:r w:rsidR="005425C5">
          <w:rPr>
            <w:noProof/>
            <w:webHidden/>
          </w:rPr>
          <w:t>28</w:t>
        </w:r>
        <w:r w:rsidR="0093508A">
          <w:rPr>
            <w:noProof/>
            <w:webHidden/>
          </w:rPr>
          <w:fldChar w:fldCharType="end"/>
        </w:r>
      </w:hyperlink>
    </w:p>
    <w:p w14:paraId="251CBB1B" w14:textId="48B0E544" w:rsidR="0061596E" w:rsidRDefault="00CB7AAD" w:rsidP="00CB7AAD">
      <w:pPr>
        <w:jc w:val="center"/>
        <w:rPr>
          <w:b/>
        </w:rPr>
        <w:sectPr w:rsidR="0061596E" w:rsidSect="00A77C58">
          <w:headerReference w:type="even" r:id="rId15"/>
          <w:headerReference w:type="default" r:id="rId16"/>
          <w:footerReference w:type="default" r:id="rId17"/>
          <w:headerReference w:type="first" r:id="rId18"/>
          <w:pgSz w:w="12240" w:h="15840"/>
          <w:pgMar w:top="1440" w:right="1800" w:bottom="1440" w:left="1800" w:header="720" w:footer="720" w:gutter="0"/>
          <w:pgNumType w:fmt="lowerRoman" w:start="1"/>
          <w:cols w:space="720"/>
          <w:docGrid w:linePitch="360"/>
        </w:sectPr>
      </w:pPr>
      <w:r>
        <w:rPr>
          <w:b/>
        </w:rPr>
        <w:fldChar w:fldCharType="end"/>
      </w:r>
    </w:p>
    <w:p w14:paraId="5A42C3B6" w14:textId="77777777" w:rsidR="003F092B" w:rsidRDefault="006A52B1" w:rsidP="003F092B">
      <w:pPr>
        <w:jc w:val="center"/>
        <w:rPr>
          <w:b/>
        </w:rPr>
      </w:pPr>
      <w:r>
        <w:rPr>
          <w:b/>
        </w:rPr>
        <w:lastRenderedPageBreak/>
        <w:t>BEFORE</w:t>
      </w:r>
    </w:p>
    <w:p w14:paraId="4E5B1334" w14:textId="77777777" w:rsidR="006A52B1" w:rsidRDefault="006A52B1" w:rsidP="003F092B">
      <w:pPr>
        <w:jc w:val="center"/>
        <w:rPr>
          <w:b/>
        </w:rPr>
      </w:pPr>
      <w:r>
        <w:rPr>
          <w:b/>
        </w:rPr>
        <w:t xml:space="preserve">THE PUBLIC UTILTIES COMMISSION OF </w:t>
      </w:r>
      <w:smartTag w:uri="urn:schemas-microsoft-com:office:smarttags" w:element="State">
        <w:smartTag w:uri="urn:schemas-microsoft-com:office:smarttags" w:element="place">
          <w:r>
            <w:rPr>
              <w:b/>
            </w:rPr>
            <w:t>OHIO</w:t>
          </w:r>
        </w:smartTag>
      </w:smartTag>
    </w:p>
    <w:p w14:paraId="16FC95EC" w14:textId="77777777" w:rsidR="006A52B1" w:rsidRDefault="006A52B1" w:rsidP="003F092B">
      <w:pPr>
        <w:jc w:val="center"/>
        <w:rPr>
          <w:b/>
        </w:rPr>
      </w:pPr>
    </w:p>
    <w:p w14:paraId="73104504" w14:textId="77777777" w:rsidR="006A52B1" w:rsidRPr="00A467C8" w:rsidRDefault="006A52B1" w:rsidP="006A52B1">
      <w:r w:rsidRPr="00A467C8">
        <w:t>In the Matter of the Establishment of</w:t>
      </w:r>
      <w:r w:rsidRPr="00A467C8">
        <w:tab/>
      </w:r>
      <w:r w:rsidRPr="00A467C8">
        <w:tab/>
        <w:t>)</w:t>
      </w:r>
    </w:p>
    <w:p w14:paraId="523492D4" w14:textId="77777777" w:rsidR="006A52B1" w:rsidRPr="00A467C8" w:rsidRDefault="006A52B1" w:rsidP="006A52B1">
      <w:r w:rsidRPr="00A467C8">
        <w:t>4901:1-10-10(B) Minimum Reliability</w:t>
      </w:r>
      <w:r w:rsidRPr="00A467C8">
        <w:tab/>
        <w:t>)</w:t>
      </w:r>
      <w:r w:rsidRPr="00A467C8">
        <w:tab/>
      </w:r>
      <w:r w:rsidRPr="00A467C8">
        <w:tab/>
        <w:t>Case 12-1945-EL-ESS</w:t>
      </w:r>
    </w:p>
    <w:p w14:paraId="45F1A9E7" w14:textId="77777777" w:rsidR="006A52B1" w:rsidRPr="00A467C8" w:rsidRDefault="006A52B1" w:rsidP="006A52B1">
      <w:r w:rsidRPr="00A467C8">
        <w:t xml:space="preserve">Performance Standards for </w:t>
      </w:r>
      <w:smartTag w:uri="urn:schemas-microsoft-com:office:smarttags" w:element="place">
        <w:smartTag w:uri="urn:schemas-microsoft-com:office:smarttags" w:element="State">
          <w:r w:rsidRPr="00A467C8">
            <w:t>Ohio</w:t>
          </w:r>
        </w:smartTag>
      </w:smartTag>
      <w:r w:rsidRPr="00A467C8">
        <w:t xml:space="preserve"> Power </w:t>
      </w:r>
      <w:r w:rsidRPr="00A467C8">
        <w:tab/>
        <w:t>)</w:t>
      </w:r>
    </w:p>
    <w:p w14:paraId="630FE96B" w14:textId="77777777" w:rsidR="006A52B1" w:rsidRPr="006A52B1" w:rsidRDefault="006A52B1" w:rsidP="006A52B1">
      <w:r w:rsidRPr="00A467C8">
        <w:t>Company.</w:t>
      </w:r>
      <w:r w:rsidRPr="00A467C8">
        <w:tab/>
      </w:r>
      <w:r w:rsidRPr="00A467C8">
        <w:tab/>
      </w:r>
      <w:r w:rsidRPr="00A467C8">
        <w:tab/>
      </w:r>
      <w:r w:rsidRPr="00A467C8">
        <w:tab/>
      </w:r>
      <w:r>
        <w:rPr>
          <w:i/>
        </w:rPr>
        <w:tab/>
      </w:r>
      <w:r>
        <w:t>)</w:t>
      </w:r>
    </w:p>
    <w:p w14:paraId="747A9A4A" w14:textId="77777777" w:rsidR="003F092B" w:rsidRDefault="003F092B" w:rsidP="00F7655D">
      <w:pPr>
        <w:rPr>
          <w:b/>
        </w:rPr>
      </w:pPr>
    </w:p>
    <w:p w14:paraId="1E7E02B8" w14:textId="77777777" w:rsidR="006A52B1" w:rsidRDefault="006A52B1" w:rsidP="006A52B1">
      <w:pPr>
        <w:pBdr>
          <w:top w:val="single" w:sz="4" w:space="1" w:color="auto"/>
          <w:bottom w:val="single" w:sz="4" w:space="1" w:color="auto"/>
        </w:pBdr>
        <w:rPr>
          <w:b/>
        </w:rPr>
      </w:pPr>
    </w:p>
    <w:p w14:paraId="633B0DCE" w14:textId="77777777" w:rsidR="006A52B1" w:rsidRDefault="006A52B1" w:rsidP="006A52B1">
      <w:pPr>
        <w:pBdr>
          <w:top w:val="single" w:sz="4" w:space="1" w:color="auto"/>
          <w:bottom w:val="single" w:sz="4" w:space="1" w:color="auto"/>
        </w:pBdr>
        <w:jc w:val="center"/>
        <w:rPr>
          <w:b/>
        </w:rPr>
      </w:pPr>
      <w:r>
        <w:rPr>
          <w:b/>
        </w:rPr>
        <w:t>INITIAL COMMENTS</w:t>
      </w:r>
    </w:p>
    <w:p w14:paraId="6B8D842E" w14:textId="77777777" w:rsidR="006A52B1" w:rsidRDefault="006A52B1" w:rsidP="006A52B1">
      <w:pPr>
        <w:pBdr>
          <w:top w:val="single" w:sz="4" w:space="1" w:color="auto"/>
          <w:bottom w:val="single" w:sz="4" w:space="1" w:color="auto"/>
        </w:pBdr>
        <w:jc w:val="center"/>
        <w:rPr>
          <w:b/>
        </w:rPr>
      </w:pPr>
      <w:r>
        <w:rPr>
          <w:b/>
        </w:rPr>
        <w:t>OF THE</w:t>
      </w:r>
    </w:p>
    <w:p w14:paraId="2F14CB94" w14:textId="77777777" w:rsidR="006A52B1" w:rsidRDefault="006A52B1" w:rsidP="006A52B1">
      <w:pPr>
        <w:pBdr>
          <w:top w:val="single" w:sz="4" w:space="1" w:color="auto"/>
          <w:bottom w:val="single" w:sz="4" w:space="1" w:color="auto"/>
        </w:pBdr>
        <w:jc w:val="center"/>
        <w:rPr>
          <w:b/>
        </w:rPr>
      </w:pPr>
      <w:r>
        <w:rPr>
          <w:b/>
        </w:rPr>
        <w:t xml:space="preserve">OFFICE OF THE </w:t>
      </w:r>
      <w:smartTag w:uri="urn:schemas-microsoft-com:office:smarttags" w:element="State">
        <w:smartTag w:uri="urn:schemas-microsoft-com:office:smarttags" w:element="place">
          <w:r>
            <w:rPr>
              <w:b/>
            </w:rPr>
            <w:t>OHIO</w:t>
          </w:r>
        </w:smartTag>
      </w:smartTag>
      <w:r>
        <w:rPr>
          <w:b/>
        </w:rPr>
        <w:t xml:space="preserve"> CONSUMERS’ COUNSEL</w:t>
      </w:r>
    </w:p>
    <w:p w14:paraId="4BD2B1C6" w14:textId="77777777" w:rsidR="006A52B1" w:rsidRDefault="006A52B1" w:rsidP="006A52B1">
      <w:pPr>
        <w:pBdr>
          <w:top w:val="single" w:sz="4" w:space="1" w:color="auto"/>
          <w:bottom w:val="single" w:sz="4" w:space="1" w:color="auto"/>
        </w:pBdr>
        <w:rPr>
          <w:b/>
        </w:rPr>
      </w:pPr>
    </w:p>
    <w:p w14:paraId="6CFADDEE" w14:textId="77777777" w:rsidR="006A52B1" w:rsidRDefault="006A52B1" w:rsidP="00F7655D">
      <w:pPr>
        <w:rPr>
          <w:b/>
        </w:rPr>
      </w:pPr>
    </w:p>
    <w:p w14:paraId="6F20EDF7" w14:textId="77777777" w:rsidR="00F7655D" w:rsidRPr="00C647CD" w:rsidRDefault="00F7655D" w:rsidP="00095FCB">
      <w:pPr>
        <w:pStyle w:val="Heading1"/>
      </w:pPr>
      <w:bookmarkStart w:id="1" w:name="_Toc344714689"/>
      <w:bookmarkStart w:id="2" w:name="_Toc345082964"/>
      <w:r w:rsidRPr="00C647CD">
        <w:t>I.</w:t>
      </w:r>
      <w:r w:rsidRPr="00C647CD">
        <w:tab/>
        <w:t>INTRODUCTION</w:t>
      </w:r>
      <w:bookmarkEnd w:id="1"/>
      <w:bookmarkEnd w:id="2"/>
    </w:p>
    <w:p w14:paraId="5D561C55" w14:textId="332F27EF" w:rsidR="00553DB1" w:rsidRDefault="00EB1F73" w:rsidP="00324538">
      <w:pPr>
        <w:spacing w:line="480" w:lineRule="auto"/>
        <w:ind w:firstLine="720"/>
      </w:pPr>
      <w:r>
        <w:t>On June 29, 20</w:t>
      </w:r>
      <w:r w:rsidR="00D95FC1">
        <w:t>12, Ohio Power Company (</w:t>
      </w:r>
      <w:r w:rsidR="00A77C58">
        <w:t>“</w:t>
      </w:r>
      <w:r>
        <w:t>AEP Ohio</w:t>
      </w:r>
      <w:r w:rsidR="00A77C58">
        <w:t>”</w:t>
      </w:r>
      <w:r w:rsidR="00A13472">
        <w:t xml:space="preserve"> or </w:t>
      </w:r>
      <w:r w:rsidR="00A77C58">
        <w:t>“</w:t>
      </w:r>
      <w:r w:rsidR="00A13472">
        <w:t>the Company</w:t>
      </w:r>
      <w:r w:rsidR="00A77C58">
        <w:t>”</w:t>
      </w:r>
      <w:r>
        <w:t xml:space="preserve">) filed an Application </w:t>
      </w:r>
      <w:r w:rsidR="00B64374">
        <w:t>(</w:t>
      </w:r>
      <w:r w:rsidR="00A77C58">
        <w:t>“</w:t>
      </w:r>
      <w:r w:rsidR="00B64374">
        <w:t>Application</w:t>
      </w:r>
      <w:r w:rsidR="00A77C58">
        <w:t>”</w:t>
      </w:r>
      <w:r w:rsidR="00B64374">
        <w:t>)</w:t>
      </w:r>
      <w:r w:rsidR="00BF6DBB">
        <w:rPr>
          <w:rStyle w:val="FootnoteReference"/>
        </w:rPr>
        <w:footnoteReference w:id="2"/>
      </w:r>
      <w:r w:rsidR="00B64374">
        <w:t xml:space="preserve"> </w:t>
      </w:r>
      <w:r>
        <w:t>to establish new reliability standards</w:t>
      </w:r>
      <w:r w:rsidR="00326F6B">
        <w:t xml:space="preserve"> that will affect the quality of service that</w:t>
      </w:r>
      <w:r w:rsidR="00553DB1">
        <w:t xml:space="preserve"> 1.3 million residential</w:t>
      </w:r>
      <w:r w:rsidR="00326F6B">
        <w:t xml:space="preserve"> customers receive from AEP Ohio</w:t>
      </w:r>
      <w:r>
        <w:t xml:space="preserve"> pursuant to Ohio Admin. Code 4901:1-10-10(B).</w:t>
      </w:r>
      <w:r>
        <w:rPr>
          <w:rStyle w:val="FootnoteReference"/>
        </w:rPr>
        <w:footnoteReference w:id="3"/>
      </w:r>
      <w:r>
        <w:t xml:space="preserve"> </w:t>
      </w:r>
      <w:r w:rsidR="004705A1">
        <w:t xml:space="preserve"> </w:t>
      </w:r>
      <w:r w:rsidR="00D95FC1">
        <w:t>AE</w:t>
      </w:r>
      <w:r w:rsidR="004E3908">
        <w:t xml:space="preserve">P </w:t>
      </w:r>
      <w:r w:rsidR="00D95FC1">
        <w:t xml:space="preserve">Ohio </w:t>
      </w:r>
      <w:r w:rsidR="008E3DF0">
        <w:t xml:space="preserve">filed the </w:t>
      </w:r>
      <w:r w:rsidR="004E3908">
        <w:t xml:space="preserve">Application for new reliability standards </w:t>
      </w:r>
      <w:r w:rsidR="00592A3E">
        <w:t xml:space="preserve">as required by </w:t>
      </w:r>
      <w:r w:rsidR="008E3DF0">
        <w:t>an agreement</w:t>
      </w:r>
      <w:r w:rsidR="004B6F45">
        <w:t xml:space="preserve"> (that it, OCC</w:t>
      </w:r>
      <w:r w:rsidR="00D95FC1">
        <w:t>, PUCO Staff and AEP Ohio</w:t>
      </w:r>
      <w:r w:rsidR="004B6F45">
        <w:t xml:space="preserve"> signed)</w:t>
      </w:r>
      <w:r w:rsidR="008E3DF0">
        <w:t xml:space="preserve"> from a previous rel</w:t>
      </w:r>
      <w:r w:rsidR="00227A96">
        <w:t>i</w:t>
      </w:r>
      <w:r w:rsidR="00381E1C">
        <w:t>ability standards case</w:t>
      </w:r>
      <w:r w:rsidR="004B6F45">
        <w:t>,</w:t>
      </w:r>
      <w:r w:rsidR="00381E1C">
        <w:t xml:space="preserve"> which provided for</w:t>
      </w:r>
      <w:r w:rsidR="00A13472">
        <w:t xml:space="preserve"> </w:t>
      </w:r>
      <w:r w:rsidR="008E3DF0">
        <w:t xml:space="preserve">an Application for updated standards </w:t>
      </w:r>
      <w:r w:rsidR="00381E1C">
        <w:t>to</w:t>
      </w:r>
      <w:r w:rsidR="00A13472">
        <w:t xml:space="preserve"> be filed </w:t>
      </w:r>
      <w:r w:rsidR="00227A96">
        <w:t xml:space="preserve">for 2013 </w:t>
      </w:r>
      <w:r w:rsidR="008E3DF0">
        <w:t>by June 30, 2012.</w:t>
      </w:r>
      <w:r w:rsidR="008E3DF0">
        <w:rPr>
          <w:rStyle w:val="FootnoteReference"/>
        </w:rPr>
        <w:footnoteReference w:id="4"/>
      </w:r>
      <w:r w:rsidR="004E3908">
        <w:t xml:space="preserve"> </w:t>
      </w:r>
      <w:r w:rsidR="00227A96">
        <w:t xml:space="preserve"> </w:t>
      </w:r>
    </w:p>
    <w:p w14:paraId="4B89CF9B" w14:textId="18F0D459" w:rsidR="005B0923" w:rsidRDefault="007D6D77" w:rsidP="00654100">
      <w:pPr>
        <w:spacing w:line="480" w:lineRule="auto"/>
        <w:ind w:firstLine="720"/>
      </w:pPr>
      <w:r>
        <w:t>The two reliability standards that are being established in this proceeding are the System Average Interruption Frequency Ind</w:t>
      </w:r>
      <w:r w:rsidR="00845CC9">
        <w:t xml:space="preserve">ex </w:t>
      </w:r>
      <w:r>
        <w:t>(</w:t>
      </w:r>
      <w:r w:rsidR="00A77C58">
        <w:t>“</w:t>
      </w:r>
      <w:r>
        <w:t>SAIFI</w:t>
      </w:r>
      <w:r w:rsidR="00A77C58">
        <w:t>”</w:t>
      </w:r>
      <w:r>
        <w:t>) and the Customer Average Interruption Duration Ind</w:t>
      </w:r>
      <w:r w:rsidR="00845CC9">
        <w:t xml:space="preserve">ex </w:t>
      </w:r>
      <w:r>
        <w:t>(</w:t>
      </w:r>
      <w:r w:rsidR="00A77C58">
        <w:t>“</w:t>
      </w:r>
      <w:r>
        <w:t>CAIDI</w:t>
      </w:r>
      <w:r w:rsidR="00A77C58">
        <w:t>”</w:t>
      </w:r>
      <w:r>
        <w:t xml:space="preserve">).  </w:t>
      </w:r>
      <w:r w:rsidR="00845CC9">
        <w:t>SAIFI indicates how often the average customer experiences a sustained interruption in electric service over a predefined period of time.  CAIDI</w:t>
      </w:r>
      <w:r w:rsidR="00553DB1">
        <w:t xml:space="preserve"> </w:t>
      </w:r>
      <w:r w:rsidR="00845CC9">
        <w:t>represents the average time required to restore electric service.</w:t>
      </w:r>
      <w:r w:rsidR="00845CC9">
        <w:rPr>
          <w:rStyle w:val="FootnoteReference"/>
        </w:rPr>
        <w:footnoteReference w:id="5"/>
      </w:r>
      <w:r w:rsidR="00324538">
        <w:t xml:space="preserve">  The establishment of </w:t>
      </w:r>
      <w:r w:rsidR="000F419D">
        <w:t>SAIFI and</w:t>
      </w:r>
      <w:r w:rsidR="00E74018">
        <w:t xml:space="preserve"> CAIDI reliability standards is</w:t>
      </w:r>
      <w:r w:rsidR="00D95FC1">
        <w:t xml:space="preserve"> required pursuant to</w:t>
      </w:r>
      <w:r w:rsidR="000F419D">
        <w:t xml:space="preserve"> Ohio Admin. Code 4901:1-10-10(B)(1) and (B)(2).  </w:t>
      </w:r>
    </w:p>
    <w:p w14:paraId="00EE4847" w14:textId="4A6CD5B7" w:rsidR="002D7250" w:rsidRDefault="005B0923" w:rsidP="00172287">
      <w:pPr>
        <w:spacing w:line="480" w:lineRule="auto"/>
      </w:pPr>
      <w:r>
        <w:tab/>
      </w:r>
      <w:r w:rsidR="00BD303F">
        <w:t>The reliability standards t</w:t>
      </w:r>
      <w:r w:rsidR="00381E1C">
        <w:t>hat are being established in this</w:t>
      </w:r>
      <w:r w:rsidR="00BD303F">
        <w:t xml:space="preserve"> proceeding are an indication of the quality of </w:t>
      </w:r>
      <w:r w:rsidR="00DB0475">
        <w:t xml:space="preserve">electric </w:t>
      </w:r>
      <w:r w:rsidR="00BD303F">
        <w:t>service customers are receiving during the normal day-to-day operation of the</w:t>
      </w:r>
      <w:r w:rsidR="00324538">
        <w:t xml:space="preserve"> electric distribution system -</w:t>
      </w:r>
      <w:r w:rsidR="00440E37">
        <w:t xml:space="preserve">- sometimes referenced as the </w:t>
      </w:r>
      <w:r w:rsidR="00A77C58">
        <w:t>“</w:t>
      </w:r>
      <w:r w:rsidR="00BD303F">
        <w:t>blue sky</w:t>
      </w:r>
      <w:r w:rsidR="00A77C58">
        <w:t>”</w:t>
      </w:r>
      <w:r w:rsidR="00BD303F">
        <w:t xml:space="preserve"> standards.  </w:t>
      </w:r>
      <w:r w:rsidR="006D4A7A">
        <w:t>I</w:t>
      </w:r>
      <w:r w:rsidR="00DB0475">
        <w:t xml:space="preserve">nclement weather and many other factors can result in </w:t>
      </w:r>
      <w:r w:rsidR="00BD303F">
        <w:t>customers experienc</w:t>
      </w:r>
      <w:r w:rsidR="00DB0475">
        <w:t xml:space="preserve">ing more </w:t>
      </w:r>
      <w:r w:rsidR="00BD303F">
        <w:t>outages</w:t>
      </w:r>
      <w:r w:rsidR="00DB0475">
        <w:t>, and o</w:t>
      </w:r>
      <w:r w:rsidR="00BD303F">
        <w:t xml:space="preserve">utages </w:t>
      </w:r>
      <w:r w:rsidR="00DB0475">
        <w:t>that last much longer than presc</w:t>
      </w:r>
      <w:r w:rsidR="00BD0DC0">
        <w:t>r</w:t>
      </w:r>
      <w:r w:rsidR="00DB0475">
        <w:t>ibed by the</w:t>
      </w:r>
      <w:r w:rsidR="006D4A7A">
        <w:t>se</w:t>
      </w:r>
      <w:r w:rsidR="00046E30">
        <w:t xml:space="preserve"> </w:t>
      </w:r>
      <w:r w:rsidR="00DB0475">
        <w:t>SAIFI a</w:t>
      </w:r>
      <w:r w:rsidR="00D95FC1">
        <w:t>nd CAIDI standards.  However</w:t>
      </w:r>
      <w:r w:rsidR="00DB0475">
        <w:t xml:space="preserve">, the </w:t>
      </w:r>
      <w:r w:rsidR="009F2D45">
        <w:t xml:space="preserve">Public Utilities </w:t>
      </w:r>
      <w:r w:rsidR="00DB0475">
        <w:t xml:space="preserve">Commission </w:t>
      </w:r>
      <w:r w:rsidR="009F2D45">
        <w:t>of Ohio’s (</w:t>
      </w:r>
      <w:r w:rsidR="00A77C58">
        <w:t>“</w:t>
      </w:r>
      <w:r w:rsidR="009F2D45">
        <w:t>Commission</w:t>
      </w:r>
      <w:r w:rsidR="00A77C58">
        <w:t>”</w:t>
      </w:r>
      <w:r w:rsidR="009F2D45">
        <w:t xml:space="preserve"> or </w:t>
      </w:r>
      <w:r w:rsidR="00A77C58">
        <w:t>“</w:t>
      </w:r>
      <w:r w:rsidR="009F2D45">
        <w:t>PUCO</w:t>
      </w:r>
      <w:r w:rsidR="00A77C58">
        <w:t>”</w:t>
      </w:r>
      <w:r w:rsidR="009F2D45">
        <w:t xml:space="preserve">) </w:t>
      </w:r>
      <w:r w:rsidR="00DB0475">
        <w:t xml:space="preserve">rules exclude </w:t>
      </w:r>
      <w:r w:rsidR="00046E30">
        <w:t xml:space="preserve">performance data </w:t>
      </w:r>
      <w:r w:rsidR="00AD3760">
        <w:t xml:space="preserve">for outages that occur </w:t>
      </w:r>
      <w:r w:rsidR="00046E30">
        <w:t xml:space="preserve">during </w:t>
      </w:r>
      <w:r w:rsidR="00DB0475">
        <w:t>major events</w:t>
      </w:r>
      <w:r w:rsidR="00046E30">
        <w:t xml:space="preserve"> and transmission outages from the calculations for each index.</w:t>
      </w:r>
      <w:r w:rsidR="00046E30">
        <w:rPr>
          <w:rStyle w:val="FootnoteReference"/>
        </w:rPr>
        <w:footnoteReference w:id="6"/>
      </w:r>
      <w:r w:rsidR="00046E30">
        <w:t xml:space="preserve">  </w:t>
      </w:r>
      <w:r w:rsidR="00AA2644">
        <w:t>Furth</w:t>
      </w:r>
      <w:r w:rsidR="00BD0DC0">
        <w:t>er</w:t>
      </w:r>
      <w:r w:rsidR="00AA2644">
        <w:t>more, the Commis</w:t>
      </w:r>
      <w:r w:rsidR="00BD0DC0">
        <w:t>s</w:t>
      </w:r>
      <w:r w:rsidR="00AA2644">
        <w:t>ion</w:t>
      </w:r>
      <w:r w:rsidR="00361CD4">
        <w:t>’s</w:t>
      </w:r>
      <w:r w:rsidR="00AA2644">
        <w:t xml:space="preserve"> rules exclude non-sustained outages (or those outages </w:t>
      </w:r>
      <w:r w:rsidR="00245A2C">
        <w:t xml:space="preserve">having </w:t>
      </w:r>
      <w:r w:rsidR="00AA2644">
        <w:t>a duration of under five minutes) from consideration in determining reliability performance</w:t>
      </w:r>
      <w:r w:rsidR="00361CD4">
        <w:t>, even though such outages can be disruptive for customers using electrical devices</w:t>
      </w:r>
      <w:r w:rsidR="00AA2644">
        <w:t>.</w:t>
      </w:r>
      <w:r w:rsidR="00AA2644">
        <w:rPr>
          <w:rStyle w:val="FootnoteReference"/>
        </w:rPr>
        <w:footnoteReference w:id="7"/>
      </w:r>
    </w:p>
    <w:p w14:paraId="50576C89" w14:textId="6542DB76" w:rsidR="00F7655D" w:rsidRDefault="002D7250" w:rsidP="00172287">
      <w:pPr>
        <w:spacing w:line="480" w:lineRule="auto"/>
      </w:pPr>
      <w:r>
        <w:tab/>
        <w:t>By Entry dated June 29, 2012, the A</w:t>
      </w:r>
      <w:r w:rsidR="004705A1">
        <w:t xml:space="preserve">ttorney </w:t>
      </w:r>
      <w:r>
        <w:t>E</w:t>
      </w:r>
      <w:r w:rsidR="004705A1">
        <w:t>xaminer</w:t>
      </w:r>
      <w:r>
        <w:t xml:space="preserve"> established a procedural schedule for this proceeding including a technical conference on December 11, 2012, the opportunity for filing initial comments by January 4, 2013, the filing of</w:t>
      </w:r>
      <w:r w:rsidR="00497CA3">
        <w:t xml:space="preserve"> the PUCO</w:t>
      </w:r>
      <w:r>
        <w:t xml:space="preserve"> Staff</w:t>
      </w:r>
      <w:r w:rsidR="00497CA3">
        <w:t>’s</w:t>
      </w:r>
      <w:r>
        <w:t xml:space="preserve"> comments by January 14, 2013, and </w:t>
      </w:r>
      <w:r w:rsidR="00815767">
        <w:t>the opportunity for reply comments by January 22, 2013.</w:t>
      </w:r>
      <w:r w:rsidR="00815767">
        <w:rPr>
          <w:rStyle w:val="FootnoteReference"/>
        </w:rPr>
        <w:footnoteReference w:id="8"/>
      </w:r>
      <w:r w:rsidR="00815767">
        <w:t xml:space="preserve">  Furthermore, the Entry granted the Office of the Ohio Consumers’ Counsel</w:t>
      </w:r>
      <w:r w:rsidR="00E053B6">
        <w:t>’s</w:t>
      </w:r>
      <w:r w:rsidR="00815767">
        <w:t xml:space="preserve"> (</w:t>
      </w:r>
      <w:r w:rsidR="00A77C58">
        <w:t>“</w:t>
      </w:r>
      <w:r w:rsidR="00815767">
        <w:t>OCC</w:t>
      </w:r>
      <w:r w:rsidR="00A77C58">
        <w:t>”</w:t>
      </w:r>
      <w:r w:rsidR="00815767">
        <w:t>) mo</w:t>
      </w:r>
      <w:r w:rsidR="00440E37">
        <w:t>tion to intervene in the case.</w:t>
      </w:r>
    </w:p>
    <w:p w14:paraId="3593C207" w14:textId="77777777" w:rsidR="00592A3E" w:rsidRDefault="00F7655D" w:rsidP="00172287">
      <w:pPr>
        <w:spacing w:line="480" w:lineRule="auto"/>
        <w:ind w:firstLine="720"/>
      </w:pPr>
      <w:r>
        <w:t>The Commission</w:t>
      </w:r>
      <w:r w:rsidR="00497CA3">
        <w:t>’s</w:t>
      </w:r>
      <w:r>
        <w:t xml:space="preserve"> rules establish a process </w:t>
      </w:r>
      <w:r w:rsidR="00172287">
        <w:t xml:space="preserve">for </w:t>
      </w:r>
      <w:r>
        <w:t xml:space="preserve">a hearing if the proposed </w:t>
      </w:r>
      <w:r w:rsidR="00172287">
        <w:t xml:space="preserve">reliability </w:t>
      </w:r>
      <w:r>
        <w:t xml:space="preserve">standards </w:t>
      </w:r>
      <w:r w:rsidR="00172287">
        <w:t>appear to the Commission to be unjust or unreasonable.</w:t>
      </w:r>
      <w:r w:rsidR="00172287">
        <w:rPr>
          <w:rStyle w:val="FootnoteReference"/>
        </w:rPr>
        <w:footnoteReference w:id="9"/>
      </w:r>
      <w:r w:rsidR="00172287">
        <w:t xml:space="preserve">  </w:t>
      </w:r>
      <w:r w:rsidR="00592A3E">
        <w:t>In the settlement of the prior case, the parties agreed that no party will oppose a request by another party for a hearing in this case.</w:t>
      </w:r>
      <w:r w:rsidR="00592A3E">
        <w:rPr>
          <w:rStyle w:val="FootnoteReference"/>
        </w:rPr>
        <w:footnoteReference w:id="10"/>
      </w:r>
      <w:r w:rsidR="00592A3E">
        <w:t xml:space="preserve">  OCC requests that the PUCO hold such a hearing.  </w:t>
      </w:r>
    </w:p>
    <w:p w14:paraId="44EBAC12" w14:textId="008746E9" w:rsidR="005B0923" w:rsidRDefault="00815767" w:rsidP="00172287">
      <w:pPr>
        <w:spacing w:line="480" w:lineRule="auto"/>
        <w:ind w:firstLine="720"/>
      </w:pPr>
      <w:r>
        <w:t>OCC welcomes the opportunity to file these initial comments on behalf of the approximate 1.3 million residential customers of the Ohio Power Company</w:t>
      </w:r>
      <w:r w:rsidR="006037A4">
        <w:t>.  The</w:t>
      </w:r>
      <w:r w:rsidR="00B64374">
        <w:t>se</w:t>
      </w:r>
      <w:r w:rsidR="006037A4">
        <w:t xml:space="preserve"> comments</w:t>
      </w:r>
      <w:r w:rsidR="00B64374">
        <w:t xml:space="preserve"> </w:t>
      </w:r>
      <w:r w:rsidR="004705A1">
        <w:t>demonstrate</w:t>
      </w:r>
      <w:r w:rsidR="00172287">
        <w:t xml:space="preserve"> </w:t>
      </w:r>
      <w:r w:rsidR="00D95FC1">
        <w:t xml:space="preserve">that </w:t>
      </w:r>
      <w:r w:rsidR="00172287">
        <w:t xml:space="preserve">the reliability standards </w:t>
      </w:r>
      <w:r w:rsidR="00B64374">
        <w:t>proposed by the Company</w:t>
      </w:r>
      <w:r w:rsidR="00D95FC1">
        <w:t xml:space="preserve"> are unjust and unreasonable.  T</w:t>
      </w:r>
      <w:r w:rsidR="00172287">
        <w:t>he Commis</w:t>
      </w:r>
      <w:r w:rsidR="00BD0DC0">
        <w:t>sion</w:t>
      </w:r>
      <w:r w:rsidR="00497CA3">
        <w:t xml:space="preserve"> should</w:t>
      </w:r>
      <w:r w:rsidR="00BD0DC0">
        <w:t xml:space="preserve"> s</w:t>
      </w:r>
      <w:r w:rsidR="00172287">
        <w:t>et this matter for a hearing</w:t>
      </w:r>
      <w:r>
        <w:t>.</w:t>
      </w:r>
    </w:p>
    <w:p w14:paraId="59E59CE6" w14:textId="77777777" w:rsidR="00592A3E" w:rsidRDefault="00592A3E" w:rsidP="00592A3E">
      <w:pPr>
        <w:ind w:firstLine="720"/>
      </w:pPr>
    </w:p>
    <w:p w14:paraId="20350DDA" w14:textId="4A453D23" w:rsidR="00172287" w:rsidRDefault="000A47C0" w:rsidP="00095FCB">
      <w:pPr>
        <w:pStyle w:val="Heading1"/>
      </w:pPr>
      <w:bookmarkStart w:id="3" w:name="_Toc344714690"/>
      <w:bookmarkStart w:id="4" w:name="_Toc345082965"/>
      <w:r>
        <w:t>II.</w:t>
      </w:r>
      <w:r>
        <w:tab/>
      </w:r>
      <w:r w:rsidR="00974342" w:rsidRPr="00C647CD">
        <w:t>COMMENTS</w:t>
      </w:r>
      <w:bookmarkEnd w:id="3"/>
      <w:bookmarkEnd w:id="4"/>
    </w:p>
    <w:p w14:paraId="2E611979" w14:textId="48314694" w:rsidR="005B31EF" w:rsidRPr="005B31EF" w:rsidRDefault="005B31EF" w:rsidP="00654100">
      <w:pPr>
        <w:pStyle w:val="Heading2"/>
      </w:pPr>
      <w:bookmarkStart w:id="5" w:name="_Toc345082966"/>
      <w:r w:rsidRPr="005B31EF">
        <w:t>A.</w:t>
      </w:r>
      <w:r w:rsidRPr="005B31EF">
        <w:tab/>
      </w:r>
      <w:bookmarkStart w:id="6" w:name="_Toc344714691"/>
      <w:r>
        <w:t xml:space="preserve">The PUCO Should Enforce the Stipulations from Case Nos. </w:t>
      </w:r>
      <w:r w:rsidR="00D166A1">
        <w:t xml:space="preserve">09-756-EL-ESS and 11-351-EL-AIR et al, to Ensure That Customers </w:t>
      </w:r>
      <w:r w:rsidR="00C21FCF">
        <w:t>Receive the Benefit of Just and Reasonable Service Reliability Standards Based on Specific Data</w:t>
      </w:r>
      <w:r w:rsidR="00592A3E">
        <w:t xml:space="preserve"> Agreed Upon In The Stipulation</w:t>
      </w:r>
      <w:r w:rsidR="00C21FCF">
        <w:t>.</w:t>
      </w:r>
      <w:bookmarkEnd w:id="5"/>
      <w:r w:rsidR="00C21FCF">
        <w:t xml:space="preserve"> </w:t>
      </w:r>
    </w:p>
    <w:p w14:paraId="5E1AF00D" w14:textId="45B5E0D6" w:rsidR="005B31EF" w:rsidRDefault="00C21FCF" w:rsidP="00C21FCF">
      <w:pPr>
        <w:spacing w:line="480" w:lineRule="auto"/>
      </w:pPr>
      <w:r>
        <w:tab/>
        <w:t>The Company’s last service reliability standards case was resolved by a Stipulation signed by the OCC, PU</w:t>
      </w:r>
      <w:r w:rsidR="00592A3E">
        <w:t>C</w:t>
      </w:r>
      <w:r>
        <w:t>O Staff and the Company.</w:t>
      </w:r>
      <w:r w:rsidR="00474441">
        <w:rPr>
          <w:rStyle w:val="FootnoteReference"/>
        </w:rPr>
        <w:footnoteReference w:id="11"/>
      </w:r>
      <w:r>
        <w:t xml:space="preserve">  </w:t>
      </w:r>
      <w:r w:rsidR="00474441">
        <w:t>That Stipulation not only resolved the then-pending service reliability standards case, but also established specific requirements regarding the Company’s next service reliability case (which is the current case).</w:t>
      </w:r>
      <w:r w:rsidR="00474441">
        <w:rPr>
          <w:rStyle w:val="FootnoteReference"/>
        </w:rPr>
        <w:footnoteReference w:id="12"/>
      </w:r>
      <w:r w:rsidR="00474441">
        <w:t xml:space="preserve">  </w:t>
      </w:r>
      <w:r w:rsidR="001715D3">
        <w:t>Those requirements included:</w:t>
      </w:r>
    </w:p>
    <w:p w14:paraId="4A780C4C" w14:textId="77777777" w:rsidR="001715D3" w:rsidRDefault="001C65AC" w:rsidP="001715D3">
      <w:pPr>
        <w:spacing w:after="240"/>
        <w:ind w:left="1440" w:right="720"/>
      </w:pPr>
      <w:r>
        <w:t>These standards shall be in effect until new standards are set, expected by the Parties to be no later than by the 2013 reporting year pursuant to paragraph 3 below.</w:t>
      </w:r>
      <w:r>
        <w:rPr>
          <w:rStyle w:val="FootnoteReference"/>
        </w:rPr>
        <w:footnoteReference w:id="13"/>
      </w:r>
    </w:p>
    <w:p w14:paraId="7A7C96D3" w14:textId="3282E6B8" w:rsidR="001C65AC" w:rsidRDefault="001C65AC" w:rsidP="00376CAB">
      <w:pPr>
        <w:spacing w:line="480" w:lineRule="auto"/>
      </w:pPr>
      <w:r>
        <w:t xml:space="preserve">Rather than comply with those terms, the Company’s Application is requesting </w:t>
      </w:r>
      <w:r w:rsidR="008C2F3D">
        <w:t>the establishment of</w:t>
      </w:r>
      <w:r>
        <w:t xml:space="preserve"> reliability stand</w:t>
      </w:r>
      <w:r w:rsidR="00376CAB">
        <w:t>ards at different levels -- that is instead of separate standards for Columbus Southern Power Company (</w:t>
      </w:r>
      <w:r w:rsidR="00A77C58">
        <w:t>“</w:t>
      </w:r>
      <w:r w:rsidR="00376CAB">
        <w:t>CSP</w:t>
      </w:r>
      <w:r w:rsidR="00A77C58">
        <w:t>”</w:t>
      </w:r>
      <w:r w:rsidR="00376CAB">
        <w:t>) and Ohio Power Company (</w:t>
      </w:r>
      <w:r w:rsidR="00A77C58">
        <w:t>“</w:t>
      </w:r>
      <w:r w:rsidR="00376CAB">
        <w:t>OP</w:t>
      </w:r>
      <w:r w:rsidR="00A77C58">
        <w:t>”</w:t>
      </w:r>
      <w:r w:rsidR="00376CAB">
        <w:t xml:space="preserve">), the Company has proposed a consolidated </w:t>
      </w:r>
      <w:r w:rsidR="00592A3E">
        <w:t xml:space="preserve">standard for the merged Company </w:t>
      </w:r>
      <w:r w:rsidR="008C2F3D">
        <w:t>for the period 2012 and beyond</w:t>
      </w:r>
      <w:r w:rsidR="00376CAB">
        <w:t xml:space="preserve">.  </w:t>
      </w:r>
    </w:p>
    <w:p w14:paraId="18B306FA" w14:textId="77777777" w:rsidR="00376CAB" w:rsidRDefault="00376CAB" w:rsidP="00376CAB">
      <w:pPr>
        <w:spacing w:line="480" w:lineRule="auto"/>
      </w:pPr>
      <w:r>
        <w:tab/>
        <w:t>This violation of the 09-756 Stipulation and Opinion and Order is then magnified by the Company’s failure to abide by the terms of the Stipulation</w:t>
      </w:r>
      <w:r w:rsidR="00F6581B">
        <w:t xml:space="preserve"> and Opinion and Order in the Company’s last distribution r</w:t>
      </w:r>
      <w:r w:rsidR="006B725A">
        <w:t>a</w:t>
      </w:r>
      <w:r w:rsidR="00F6581B">
        <w:t>te case</w:t>
      </w:r>
      <w:r>
        <w:t>.</w:t>
      </w:r>
      <w:r>
        <w:rPr>
          <w:rStyle w:val="FootnoteReference"/>
        </w:rPr>
        <w:footnoteReference w:id="14"/>
      </w:r>
      <w:r>
        <w:t xml:space="preserve">  </w:t>
      </w:r>
      <w:r w:rsidR="006B725A">
        <w:t>The Joint Stipulation and Recommendation and Opinion and Order both state:</w:t>
      </w:r>
    </w:p>
    <w:p w14:paraId="271F7512" w14:textId="77777777" w:rsidR="006B725A" w:rsidRDefault="006B725A" w:rsidP="00B2684E">
      <w:pPr>
        <w:spacing w:after="240"/>
        <w:ind w:left="1440" w:right="720"/>
      </w:pPr>
      <w:r>
        <w:t>The Signatory Parties agree that the Company will include data related to their DIR investments and their effect on distribution service reliability in their next application(s) to establish new service standards under O.A.C. 4901:1-10-10.  Such data will be considered in establishing reliability performance standards in 2012 through 2015.</w:t>
      </w:r>
      <w:r>
        <w:rPr>
          <w:rStyle w:val="FootnoteReference"/>
        </w:rPr>
        <w:footnoteReference w:id="15"/>
      </w:r>
    </w:p>
    <w:p w14:paraId="7CDAFB9E" w14:textId="605E92A4" w:rsidR="005B31EF" w:rsidRDefault="001C1551" w:rsidP="00B2684E">
      <w:pPr>
        <w:spacing w:line="480" w:lineRule="auto"/>
      </w:pPr>
      <w:r>
        <w:t xml:space="preserve">Despite this </w:t>
      </w:r>
      <w:r w:rsidR="00592A3E">
        <w:t xml:space="preserve">agreed </w:t>
      </w:r>
      <w:r>
        <w:t>requirement</w:t>
      </w:r>
      <w:r w:rsidR="00592A3E">
        <w:t xml:space="preserve"> for DIR-related data</w:t>
      </w:r>
      <w:r>
        <w:t xml:space="preserve">, the Company’s current Application is void of data relating to its DIR investment and the impact of that investment on service reliability.  </w:t>
      </w:r>
    </w:p>
    <w:p w14:paraId="77F3D28F" w14:textId="515DE20C" w:rsidR="001C1551" w:rsidRDefault="001C1551" w:rsidP="00B2684E">
      <w:pPr>
        <w:spacing w:line="480" w:lineRule="auto"/>
      </w:pPr>
      <w:r>
        <w:tab/>
        <w:t>The Company’s failure to abide by terms of the two Stipulations has resulted in a</w:t>
      </w:r>
      <w:r w:rsidR="00592A3E">
        <w:t xml:space="preserve">n </w:t>
      </w:r>
      <w:r>
        <w:t xml:space="preserve"> Application </w:t>
      </w:r>
      <w:r w:rsidR="00592A3E">
        <w:t xml:space="preserve">proposing service reliability </w:t>
      </w:r>
      <w:r>
        <w:t xml:space="preserve">that will degrade </w:t>
      </w:r>
      <w:r w:rsidR="0093508A">
        <w:t>customers’</w:t>
      </w:r>
      <w:r>
        <w:t xml:space="preserve"> service quality by subjecting customers to less stringent reliability standards than would be the case if the Company adhered to the terms of the Stipulations.  Such a result would not only degrade the service reliability standards but would also deny customers the benefit of the bargain from </w:t>
      </w:r>
      <w:r w:rsidR="00A64054">
        <w:t xml:space="preserve">the two Stipulations.  The above-referenced terms were specifically negotiated for and included in the Stipulations as part of the quid pro quo that customers bargained for.  While the Company has received the benefit of the bargain from those cases, customers have not.  The PUCO should reject the Company’s Application and instead enforce the terms of the Stipulations </w:t>
      </w:r>
      <w:r w:rsidR="00592A3E">
        <w:t xml:space="preserve">and of the PUCO’s Opinion and Orders in those cases </w:t>
      </w:r>
      <w:r w:rsidR="00A64054">
        <w:t>by requiring the Company to re</w:t>
      </w:r>
      <w:r w:rsidR="002A55CB">
        <w:t>-</w:t>
      </w:r>
      <w:r w:rsidR="00A64054">
        <w:t>file its Application according to the requirements of the Stipulations.</w:t>
      </w:r>
    </w:p>
    <w:p w14:paraId="5FE1A305" w14:textId="69468036" w:rsidR="002F498C" w:rsidRPr="00A06424" w:rsidRDefault="00A64054" w:rsidP="00654100">
      <w:pPr>
        <w:pStyle w:val="Heading2"/>
      </w:pPr>
      <w:bookmarkStart w:id="7" w:name="_Toc345082967"/>
      <w:r>
        <w:t>B</w:t>
      </w:r>
      <w:r w:rsidR="00322780">
        <w:t>.</w:t>
      </w:r>
      <w:r w:rsidR="00322780">
        <w:tab/>
      </w:r>
      <w:r w:rsidR="00B538EB">
        <w:t xml:space="preserve">The PUCO Should Find That </w:t>
      </w:r>
      <w:r w:rsidR="00C642D4" w:rsidRPr="00A06424">
        <w:t>AEP Ohio</w:t>
      </w:r>
      <w:r w:rsidR="00B538EB">
        <w:t>’s</w:t>
      </w:r>
      <w:r w:rsidR="00C642D4" w:rsidRPr="00A06424">
        <w:t xml:space="preserve"> </w:t>
      </w:r>
      <w:r w:rsidR="001063E1" w:rsidRPr="00A06424">
        <w:t xml:space="preserve">Proposal To </w:t>
      </w:r>
      <w:r w:rsidR="001063E1">
        <w:t>Amend The</w:t>
      </w:r>
      <w:r w:rsidR="00B538EB">
        <w:t xml:space="preserve"> PUCO’s</w:t>
      </w:r>
      <w:r w:rsidR="001063E1">
        <w:t xml:space="preserve"> 2012 Reliability Standards </w:t>
      </w:r>
      <w:r w:rsidR="001063E1" w:rsidRPr="00A06424">
        <w:t>V</w:t>
      </w:r>
      <w:r w:rsidR="00FB499E">
        <w:t>iolates</w:t>
      </w:r>
      <w:r w:rsidR="001063E1" w:rsidRPr="00A06424">
        <w:t xml:space="preserve"> </w:t>
      </w:r>
      <w:r w:rsidR="003E04D3" w:rsidRPr="00A06424">
        <w:t>Ohio Admin</w:t>
      </w:r>
      <w:r w:rsidR="001C0807">
        <w:t>.</w:t>
      </w:r>
      <w:r w:rsidR="003E04D3" w:rsidRPr="00A06424">
        <w:t xml:space="preserve"> Code </w:t>
      </w:r>
      <w:r w:rsidR="001063E1" w:rsidRPr="00A06424">
        <w:t>4901:1-10-10(</w:t>
      </w:r>
      <w:r w:rsidR="003E04D3" w:rsidRPr="00A06424">
        <w:t>B</w:t>
      </w:r>
      <w:r w:rsidR="001063E1" w:rsidRPr="00A06424">
        <w:t>)(7</w:t>
      </w:r>
      <w:bookmarkEnd w:id="6"/>
      <w:r w:rsidR="001063E1" w:rsidRPr="00A06424">
        <w:t>)</w:t>
      </w:r>
      <w:r w:rsidR="00592A3E">
        <w:t>, Revised Code 4928.11,</w:t>
      </w:r>
      <w:r w:rsidR="002649F6">
        <w:t xml:space="preserve"> With Regard To Protecting Th</w:t>
      </w:r>
      <w:r w:rsidR="006B1623">
        <w:t>e Quality Of Electric Service To</w:t>
      </w:r>
      <w:r w:rsidR="002649F6">
        <w:t xml:space="preserve"> Customers</w:t>
      </w:r>
      <w:r w:rsidR="001063E1" w:rsidRPr="00A06424">
        <w:t>.</w:t>
      </w:r>
      <w:r w:rsidR="00B538EB">
        <w:t xml:space="preserve">  The PUCO Should Order AEP Ohio To </w:t>
      </w:r>
      <w:r w:rsidR="00FB499E">
        <w:t>Re-f</w:t>
      </w:r>
      <w:r w:rsidR="00B538EB">
        <w:t xml:space="preserve">ile </w:t>
      </w:r>
      <w:r w:rsidR="00FB499E">
        <w:t>its Application.</w:t>
      </w:r>
      <w:bookmarkEnd w:id="7"/>
    </w:p>
    <w:p w14:paraId="6E37E662" w14:textId="557F2920" w:rsidR="006A52B1" w:rsidRPr="00FB499E" w:rsidRDefault="009E2639" w:rsidP="00654100">
      <w:pPr>
        <w:spacing w:line="480" w:lineRule="auto"/>
        <w:ind w:firstLine="720"/>
      </w:pPr>
      <w:r>
        <w:t xml:space="preserve">The Application proposes </w:t>
      </w:r>
      <w:r w:rsidR="004E3E15">
        <w:t xml:space="preserve">that reliability standards of 1.34 for SAIFI and 152.36 minutes for CAIDI be </w:t>
      </w:r>
      <w:r w:rsidR="00C734F9">
        <w:t xml:space="preserve">adopted </w:t>
      </w:r>
      <w:r w:rsidR="004E3E15">
        <w:t xml:space="preserve">for the </w:t>
      </w:r>
      <w:r w:rsidR="00C1342F">
        <w:t>combined Compan</w:t>
      </w:r>
      <w:r w:rsidR="00AD3760">
        <w:t>y</w:t>
      </w:r>
      <w:r w:rsidR="00DC3810">
        <w:rPr>
          <w:rStyle w:val="FootnoteReference"/>
        </w:rPr>
        <w:footnoteReference w:id="16"/>
      </w:r>
      <w:r w:rsidR="00C1342F">
        <w:t xml:space="preserve"> effective with </w:t>
      </w:r>
      <w:r w:rsidR="0005332B">
        <w:t xml:space="preserve">year </w:t>
      </w:r>
      <w:r w:rsidR="00C1342F">
        <w:t>201</w:t>
      </w:r>
      <w:r w:rsidR="000E4719">
        <w:t>2</w:t>
      </w:r>
      <w:r w:rsidR="00C1342F">
        <w:t xml:space="preserve"> and lasting until new standards are filed by the Company.</w:t>
      </w:r>
      <w:r w:rsidR="00C1342F">
        <w:rPr>
          <w:rStyle w:val="FootnoteReference"/>
        </w:rPr>
        <w:footnoteReference w:id="17"/>
      </w:r>
      <w:r w:rsidR="00381E1C">
        <w:t xml:space="preserve">  In making this proposal AEP Ohio</w:t>
      </w:r>
      <w:r w:rsidR="008E4522">
        <w:t xml:space="preserve"> </w:t>
      </w:r>
      <w:r w:rsidR="00C87D11">
        <w:t>disregard</w:t>
      </w:r>
      <w:r w:rsidR="008E4522">
        <w:t>s</w:t>
      </w:r>
      <w:r w:rsidR="00C87D11">
        <w:t xml:space="preserve"> the </w:t>
      </w:r>
      <w:r w:rsidR="008E4522">
        <w:t xml:space="preserve">reliability </w:t>
      </w:r>
      <w:r w:rsidR="00C87D11">
        <w:t xml:space="preserve">standards that are </w:t>
      </w:r>
      <w:r w:rsidR="00C734F9">
        <w:t xml:space="preserve">currently </w:t>
      </w:r>
      <w:r w:rsidR="00C87D11">
        <w:t>in effect for</w:t>
      </w:r>
      <w:r w:rsidR="00C734F9">
        <w:t xml:space="preserve"> 2012 for </w:t>
      </w:r>
      <w:r w:rsidR="00C87D11">
        <w:t>Columbus Southern Power and Ohio Power Company</w:t>
      </w:r>
      <w:r w:rsidR="00295A6A">
        <w:t xml:space="preserve"> as individual entities</w:t>
      </w:r>
      <w:r w:rsidR="00C734F9">
        <w:t xml:space="preserve">.  </w:t>
      </w:r>
      <w:r w:rsidR="00653584">
        <w:t xml:space="preserve">According to the Opinion and Order in the last reliability standards case, </w:t>
      </w:r>
      <w:r w:rsidR="008E4522">
        <w:t xml:space="preserve">reliability standards </w:t>
      </w:r>
      <w:r w:rsidR="00216504">
        <w:t xml:space="preserve">were </w:t>
      </w:r>
      <w:r w:rsidR="00F4693B">
        <w:t xml:space="preserve">established for </w:t>
      </w:r>
      <w:r w:rsidR="006239CF">
        <w:t xml:space="preserve">the period </w:t>
      </w:r>
      <w:r w:rsidR="00F4693B">
        <w:t xml:space="preserve">2011 and after </w:t>
      </w:r>
      <w:r w:rsidR="00216504">
        <w:t xml:space="preserve">until new standards </w:t>
      </w:r>
      <w:r w:rsidR="000E4719">
        <w:t>were set by the Commission</w:t>
      </w:r>
      <w:r w:rsidR="0005332B">
        <w:t xml:space="preserve"> </w:t>
      </w:r>
      <w:r w:rsidR="000E4719">
        <w:t xml:space="preserve">for 2013 </w:t>
      </w:r>
      <w:r w:rsidR="00310717">
        <w:t>and beyond</w:t>
      </w:r>
      <w:r w:rsidR="0005332B">
        <w:t>.</w:t>
      </w:r>
      <w:r w:rsidR="006239CF">
        <w:rPr>
          <w:rStyle w:val="FootnoteReference"/>
        </w:rPr>
        <w:footnoteReference w:id="18"/>
      </w:r>
      <w:r w:rsidR="0005332B">
        <w:t xml:space="preserve">  </w:t>
      </w:r>
      <w:r w:rsidR="000E4719">
        <w:t>Table</w:t>
      </w:r>
      <w:r w:rsidR="00440E37">
        <w:t>s</w:t>
      </w:r>
      <w:r w:rsidR="000E4719">
        <w:t xml:space="preserve"> 1</w:t>
      </w:r>
      <w:r w:rsidR="007451B0">
        <w:t xml:space="preserve"> and 2 </w:t>
      </w:r>
      <w:r w:rsidR="006239CF">
        <w:t xml:space="preserve">below </w:t>
      </w:r>
      <w:r w:rsidR="00440E37">
        <w:t>provide</w:t>
      </w:r>
      <w:r w:rsidR="00401E9C">
        <w:t xml:space="preserve"> </w:t>
      </w:r>
      <w:r w:rsidR="000E4719">
        <w:t>the current reliability standards for both C</w:t>
      </w:r>
      <w:r w:rsidR="008E4522">
        <w:t xml:space="preserve">olumbus Southern </w:t>
      </w:r>
      <w:r w:rsidR="00653584">
        <w:t>P</w:t>
      </w:r>
      <w:r w:rsidR="008E4522">
        <w:t>ower and Ohio Power Company</w:t>
      </w:r>
      <w:r w:rsidR="00B1717E">
        <w:t xml:space="preserve"> </w:t>
      </w:r>
      <w:r w:rsidR="007451B0">
        <w:t xml:space="preserve">for 2010 through </w:t>
      </w:r>
      <w:r w:rsidR="00A9281E">
        <w:t>2012 that</w:t>
      </w:r>
      <w:r w:rsidR="008C2F3D">
        <w:t xml:space="preserve"> were established in the 09-756</w:t>
      </w:r>
      <w:r w:rsidR="006239CF">
        <w:t>-EL-ESS case</w:t>
      </w:r>
      <w:r w:rsidR="007451B0">
        <w:t>.</w:t>
      </w:r>
    </w:p>
    <w:p w14:paraId="718E2932" w14:textId="50B175CD" w:rsidR="00653584" w:rsidRPr="007451B0" w:rsidRDefault="00653584" w:rsidP="00FB499E">
      <w:pPr>
        <w:ind w:left="720"/>
        <w:jc w:val="center"/>
        <w:rPr>
          <w:b/>
        </w:rPr>
      </w:pPr>
      <w:r w:rsidRPr="007451B0">
        <w:rPr>
          <w:b/>
        </w:rPr>
        <w:t xml:space="preserve">Table 1:  </w:t>
      </w:r>
      <w:r w:rsidR="00CB6D37" w:rsidRPr="007451B0">
        <w:rPr>
          <w:b/>
        </w:rPr>
        <w:t xml:space="preserve">2012 </w:t>
      </w:r>
      <w:r w:rsidR="008E4522" w:rsidRPr="007451B0">
        <w:rPr>
          <w:b/>
        </w:rPr>
        <w:t xml:space="preserve">Reliability Standards for </w:t>
      </w:r>
      <w:r w:rsidR="00DA7EB4" w:rsidRPr="007451B0">
        <w:rPr>
          <w:b/>
        </w:rPr>
        <w:t>Columbus Southern Power</w:t>
      </w:r>
    </w:p>
    <w:p w14:paraId="75CF5D12" w14:textId="77777777" w:rsidR="00653584" w:rsidRPr="007451B0" w:rsidRDefault="00653584" w:rsidP="008E4522">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50"/>
        <w:gridCol w:w="1710"/>
        <w:gridCol w:w="1350"/>
        <w:gridCol w:w="2898"/>
      </w:tblGrid>
      <w:tr w:rsidR="00DA7EB4" w14:paraId="62F39BB6" w14:textId="77777777">
        <w:tc>
          <w:tcPr>
            <w:tcW w:w="1548" w:type="dxa"/>
            <w:shd w:val="clear" w:color="auto" w:fill="auto"/>
          </w:tcPr>
          <w:p w14:paraId="2F3269C3" w14:textId="77777777" w:rsidR="00DA7EB4" w:rsidRDefault="00DA7EB4" w:rsidP="007929B3">
            <w:pPr>
              <w:jc w:val="center"/>
            </w:pPr>
          </w:p>
        </w:tc>
        <w:tc>
          <w:tcPr>
            <w:tcW w:w="1350" w:type="dxa"/>
            <w:shd w:val="clear" w:color="auto" w:fill="auto"/>
          </w:tcPr>
          <w:p w14:paraId="3C1018CF" w14:textId="77777777" w:rsidR="00DA7EB4" w:rsidRDefault="00DA7EB4" w:rsidP="007929B3">
            <w:pPr>
              <w:jc w:val="center"/>
            </w:pPr>
            <w:r>
              <w:t>2010</w:t>
            </w:r>
          </w:p>
          <w:p w14:paraId="5094952A" w14:textId="77777777" w:rsidR="006239CF" w:rsidRDefault="006239CF" w:rsidP="007929B3">
            <w:pPr>
              <w:jc w:val="center"/>
            </w:pPr>
          </w:p>
        </w:tc>
        <w:tc>
          <w:tcPr>
            <w:tcW w:w="1710" w:type="dxa"/>
            <w:shd w:val="clear" w:color="auto" w:fill="auto"/>
          </w:tcPr>
          <w:p w14:paraId="6F2B4F89" w14:textId="77777777" w:rsidR="00DA7EB4" w:rsidRDefault="00DA7EB4" w:rsidP="007929B3">
            <w:pPr>
              <w:jc w:val="center"/>
            </w:pPr>
            <w:r>
              <w:t>2011</w:t>
            </w:r>
          </w:p>
        </w:tc>
        <w:tc>
          <w:tcPr>
            <w:tcW w:w="1350" w:type="dxa"/>
            <w:shd w:val="clear" w:color="auto" w:fill="auto"/>
          </w:tcPr>
          <w:p w14:paraId="6B972E75" w14:textId="77777777" w:rsidR="00DA7EB4" w:rsidRDefault="00DA7EB4" w:rsidP="007929B3">
            <w:pPr>
              <w:jc w:val="center"/>
            </w:pPr>
            <w:r>
              <w:t>2012</w:t>
            </w:r>
          </w:p>
        </w:tc>
        <w:tc>
          <w:tcPr>
            <w:tcW w:w="2898" w:type="dxa"/>
            <w:shd w:val="clear" w:color="auto" w:fill="auto"/>
          </w:tcPr>
          <w:p w14:paraId="21DE29BA" w14:textId="77777777" w:rsidR="00DA7EB4" w:rsidRDefault="00DA7EB4" w:rsidP="007929B3">
            <w:pPr>
              <w:jc w:val="center"/>
            </w:pPr>
            <w:r>
              <w:t>2013</w:t>
            </w:r>
          </w:p>
        </w:tc>
      </w:tr>
      <w:tr w:rsidR="00DA7EB4" w14:paraId="6FF4CAF0" w14:textId="77777777">
        <w:tc>
          <w:tcPr>
            <w:tcW w:w="1548" w:type="dxa"/>
            <w:shd w:val="clear" w:color="auto" w:fill="auto"/>
          </w:tcPr>
          <w:p w14:paraId="36A97879" w14:textId="77777777" w:rsidR="00DA7EB4" w:rsidRDefault="00DA7EB4" w:rsidP="007929B3">
            <w:pPr>
              <w:jc w:val="center"/>
            </w:pPr>
            <w:r>
              <w:t>CSP SAIFI</w:t>
            </w:r>
          </w:p>
        </w:tc>
        <w:tc>
          <w:tcPr>
            <w:tcW w:w="1350" w:type="dxa"/>
            <w:shd w:val="clear" w:color="auto" w:fill="auto"/>
          </w:tcPr>
          <w:p w14:paraId="1E7F8E41" w14:textId="77777777" w:rsidR="00DA7EB4" w:rsidRDefault="00DA7EB4" w:rsidP="007929B3">
            <w:pPr>
              <w:jc w:val="center"/>
            </w:pPr>
            <w:r>
              <w:t>1.59</w:t>
            </w:r>
          </w:p>
        </w:tc>
        <w:tc>
          <w:tcPr>
            <w:tcW w:w="1710" w:type="dxa"/>
            <w:shd w:val="clear" w:color="auto" w:fill="auto"/>
          </w:tcPr>
          <w:p w14:paraId="1E81145B" w14:textId="77777777" w:rsidR="00DA7EB4" w:rsidRDefault="00DA7EB4" w:rsidP="007929B3">
            <w:pPr>
              <w:jc w:val="center"/>
            </w:pPr>
            <w:r>
              <w:t>1.54</w:t>
            </w:r>
          </w:p>
        </w:tc>
        <w:tc>
          <w:tcPr>
            <w:tcW w:w="1350" w:type="dxa"/>
            <w:shd w:val="clear" w:color="auto" w:fill="auto"/>
          </w:tcPr>
          <w:p w14:paraId="58F69823" w14:textId="77777777" w:rsidR="00DA7EB4" w:rsidRDefault="00DA7EB4" w:rsidP="007929B3">
            <w:pPr>
              <w:jc w:val="center"/>
            </w:pPr>
            <w:r>
              <w:t>1.54</w:t>
            </w:r>
          </w:p>
        </w:tc>
        <w:tc>
          <w:tcPr>
            <w:tcW w:w="2898" w:type="dxa"/>
            <w:shd w:val="clear" w:color="auto" w:fill="auto"/>
          </w:tcPr>
          <w:p w14:paraId="07374F95" w14:textId="77777777" w:rsidR="00DA7EB4" w:rsidRDefault="00DA7EB4" w:rsidP="007929B3">
            <w:pPr>
              <w:jc w:val="center"/>
            </w:pPr>
            <w:r>
              <w:t>Being set in current case</w:t>
            </w:r>
          </w:p>
        </w:tc>
      </w:tr>
      <w:tr w:rsidR="00DA7EB4" w14:paraId="3889D30E" w14:textId="77777777">
        <w:tc>
          <w:tcPr>
            <w:tcW w:w="1548" w:type="dxa"/>
            <w:shd w:val="clear" w:color="auto" w:fill="auto"/>
          </w:tcPr>
          <w:p w14:paraId="1D1A41CA" w14:textId="77777777" w:rsidR="00DA7EB4" w:rsidRDefault="00DA7EB4" w:rsidP="007929B3">
            <w:pPr>
              <w:jc w:val="center"/>
            </w:pPr>
            <w:r>
              <w:t>CSP CAIDI</w:t>
            </w:r>
          </w:p>
        </w:tc>
        <w:tc>
          <w:tcPr>
            <w:tcW w:w="1350" w:type="dxa"/>
            <w:shd w:val="clear" w:color="auto" w:fill="auto"/>
          </w:tcPr>
          <w:p w14:paraId="135AABBE" w14:textId="77777777" w:rsidR="00DA7EB4" w:rsidRDefault="00DA7EB4" w:rsidP="007929B3">
            <w:pPr>
              <w:jc w:val="center"/>
            </w:pPr>
            <w:r>
              <w:t>136</w:t>
            </w:r>
          </w:p>
        </w:tc>
        <w:tc>
          <w:tcPr>
            <w:tcW w:w="1710" w:type="dxa"/>
            <w:shd w:val="clear" w:color="auto" w:fill="auto"/>
          </w:tcPr>
          <w:p w14:paraId="187B44D5" w14:textId="77777777" w:rsidR="00DA7EB4" w:rsidRDefault="00DA7EB4" w:rsidP="007929B3">
            <w:pPr>
              <w:jc w:val="center"/>
            </w:pPr>
            <w:r>
              <w:t>135.17</w:t>
            </w:r>
          </w:p>
        </w:tc>
        <w:tc>
          <w:tcPr>
            <w:tcW w:w="1350" w:type="dxa"/>
            <w:shd w:val="clear" w:color="auto" w:fill="auto"/>
          </w:tcPr>
          <w:p w14:paraId="4C0C6AAE" w14:textId="77777777" w:rsidR="00DA7EB4" w:rsidRDefault="00DA7EB4" w:rsidP="007929B3">
            <w:pPr>
              <w:jc w:val="center"/>
            </w:pPr>
            <w:r>
              <w:t>135.17</w:t>
            </w:r>
          </w:p>
        </w:tc>
        <w:tc>
          <w:tcPr>
            <w:tcW w:w="2898" w:type="dxa"/>
            <w:shd w:val="clear" w:color="auto" w:fill="auto"/>
          </w:tcPr>
          <w:p w14:paraId="1365841C" w14:textId="77777777" w:rsidR="00DA7EB4" w:rsidRDefault="00DA7EB4" w:rsidP="007929B3">
            <w:pPr>
              <w:jc w:val="center"/>
            </w:pPr>
            <w:r>
              <w:t>Being set in current case</w:t>
            </w:r>
          </w:p>
        </w:tc>
      </w:tr>
    </w:tbl>
    <w:p w14:paraId="1A72925C" w14:textId="77777777" w:rsidR="00AD3760" w:rsidRDefault="00AD3760" w:rsidP="00654100"/>
    <w:p w14:paraId="2C7E9A00" w14:textId="77777777" w:rsidR="00E86A17" w:rsidRDefault="00E86A17" w:rsidP="00FB499E"/>
    <w:p w14:paraId="0FE6C0C1" w14:textId="77777777" w:rsidR="00DA7EB4" w:rsidRPr="007451B0" w:rsidRDefault="00DA7EB4" w:rsidP="008E4522">
      <w:pPr>
        <w:ind w:left="720"/>
        <w:jc w:val="center"/>
        <w:rPr>
          <w:b/>
        </w:rPr>
      </w:pPr>
      <w:r w:rsidRPr="007451B0">
        <w:rPr>
          <w:b/>
        </w:rPr>
        <w:t>Table 2:  2012 Reliability Standards for Ohio Power Company</w:t>
      </w:r>
    </w:p>
    <w:p w14:paraId="227D5BEB" w14:textId="77777777" w:rsidR="00DA7EB4" w:rsidRPr="007451B0" w:rsidRDefault="00DA7EB4" w:rsidP="008E4522">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350"/>
        <w:gridCol w:w="1710"/>
        <w:gridCol w:w="1350"/>
        <w:gridCol w:w="2880"/>
      </w:tblGrid>
      <w:tr w:rsidR="007451B0" w14:paraId="5636466C" w14:textId="77777777">
        <w:tc>
          <w:tcPr>
            <w:tcW w:w="1548" w:type="dxa"/>
            <w:shd w:val="clear" w:color="auto" w:fill="auto"/>
          </w:tcPr>
          <w:p w14:paraId="3E3C1BDD" w14:textId="77777777" w:rsidR="007451B0" w:rsidRDefault="007451B0" w:rsidP="00654100">
            <w:pPr>
              <w:spacing w:line="480" w:lineRule="auto"/>
              <w:jc w:val="center"/>
            </w:pPr>
          </w:p>
        </w:tc>
        <w:tc>
          <w:tcPr>
            <w:tcW w:w="1350" w:type="dxa"/>
            <w:shd w:val="clear" w:color="auto" w:fill="auto"/>
          </w:tcPr>
          <w:p w14:paraId="2305D0CB" w14:textId="77777777" w:rsidR="007451B0" w:rsidRDefault="007451B0" w:rsidP="00654100">
            <w:pPr>
              <w:spacing w:line="480" w:lineRule="auto"/>
              <w:jc w:val="center"/>
            </w:pPr>
            <w:r>
              <w:t>2010</w:t>
            </w:r>
          </w:p>
        </w:tc>
        <w:tc>
          <w:tcPr>
            <w:tcW w:w="1710" w:type="dxa"/>
            <w:shd w:val="clear" w:color="auto" w:fill="auto"/>
          </w:tcPr>
          <w:p w14:paraId="3127B79D" w14:textId="77777777" w:rsidR="007451B0" w:rsidRDefault="007451B0" w:rsidP="00654100">
            <w:pPr>
              <w:spacing w:line="480" w:lineRule="auto"/>
              <w:jc w:val="center"/>
            </w:pPr>
            <w:r>
              <w:t>2011</w:t>
            </w:r>
          </w:p>
        </w:tc>
        <w:tc>
          <w:tcPr>
            <w:tcW w:w="1350" w:type="dxa"/>
            <w:shd w:val="clear" w:color="auto" w:fill="auto"/>
          </w:tcPr>
          <w:p w14:paraId="5BBBE0E5" w14:textId="77777777" w:rsidR="007451B0" w:rsidRDefault="007451B0" w:rsidP="00654100">
            <w:pPr>
              <w:spacing w:line="480" w:lineRule="auto"/>
              <w:jc w:val="center"/>
            </w:pPr>
            <w:r>
              <w:t>2012</w:t>
            </w:r>
          </w:p>
        </w:tc>
        <w:tc>
          <w:tcPr>
            <w:tcW w:w="2880" w:type="dxa"/>
            <w:shd w:val="clear" w:color="auto" w:fill="auto"/>
          </w:tcPr>
          <w:p w14:paraId="51AF8962" w14:textId="77777777" w:rsidR="007451B0" w:rsidRDefault="007451B0" w:rsidP="00654100">
            <w:pPr>
              <w:spacing w:line="480" w:lineRule="auto"/>
              <w:jc w:val="center"/>
            </w:pPr>
          </w:p>
        </w:tc>
      </w:tr>
      <w:tr w:rsidR="007451B0" w14:paraId="187DD129" w14:textId="77777777">
        <w:tc>
          <w:tcPr>
            <w:tcW w:w="1548" w:type="dxa"/>
            <w:shd w:val="clear" w:color="auto" w:fill="auto"/>
          </w:tcPr>
          <w:p w14:paraId="7B38848F" w14:textId="77777777" w:rsidR="007451B0" w:rsidRDefault="007451B0" w:rsidP="007929B3">
            <w:pPr>
              <w:jc w:val="center"/>
            </w:pPr>
            <w:r>
              <w:t>OP SAIFI</w:t>
            </w:r>
          </w:p>
        </w:tc>
        <w:tc>
          <w:tcPr>
            <w:tcW w:w="1350" w:type="dxa"/>
            <w:shd w:val="clear" w:color="auto" w:fill="auto"/>
          </w:tcPr>
          <w:p w14:paraId="42424E4C" w14:textId="77777777" w:rsidR="007451B0" w:rsidRDefault="007451B0" w:rsidP="007929B3">
            <w:pPr>
              <w:jc w:val="center"/>
            </w:pPr>
            <w:r>
              <w:t>1.23</w:t>
            </w:r>
          </w:p>
        </w:tc>
        <w:tc>
          <w:tcPr>
            <w:tcW w:w="1710" w:type="dxa"/>
            <w:shd w:val="clear" w:color="auto" w:fill="auto"/>
          </w:tcPr>
          <w:p w14:paraId="04C28644" w14:textId="77777777" w:rsidR="007451B0" w:rsidRDefault="007451B0" w:rsidP="007929B3">
            <w:pPr>
              <w:jc w:val="center"/>
            </w:pPr>
            <w:r>
              <w:t>1.19</w:t>
            </w:r>
          </w:p>
        </w:tc>
        <w:tc>
          <w:tcPr>
            <w:tcW w:w="1350" w:type="dxa"/>
            <w:shd w:val="clear" w:color="auto" w:fill="auto"/>
          </w:tcPr>
          <w:p w14:paraId="35A58B36" w14:textId="77777777" w:rsidR="007451B0" w:rsidRDefault="007451B0" w:rsidP="007929B3">
            <w:pPr>
              <w:jc w:val="center"/>
            </w:pPr>
            <w:r>
              <w:t>1.19</w:t>
            </w:r>
          </w:p>
        </w:tc>
        <w:tc>
          <w:tcPr>
            <w:tcW w:w="2880" w:type="dxa"/>
            <w:shd w:val="clear" w:color="auto" w:fill="auto"/>
          </w:tcPr>
          <w:p w14:paraId="2ADA6C69" w14:textId="77777777" w:rsidR="007451B0" w:rsidRDefault="007451B0" w:rsidP="007929B3">
            <w:pPr>
              <w:jc w:val="center"/>
            </w:pPr>
            <w:r>
              <w:t>Being set in current case</w:t>
            </w:r>
          </w:p>
        </w:tc>
      </w:tr>
      <w:tr w:rsidR="007451B0" w14:paraId="68C10827" w14:textId="77777777">
        <w:tc>
          <w:tcPr>
            <w:tcW w:w="1548" w:type="dxa"/>
            <w:shd w:val="clear" w:color="auto" w:fill="auto"/>
          </w:tcPr>
          <w:p w14:paraId="2DCDE3A5" w14:textId="77777777" w:rsidR="007451B0" w:rsidRDefault="007451B0" w:rsidP="007929B3">
            <w:pPr>
              <w:jc w:val="center"/>
            </w:pPr>
            <w:r>
              <w:t>OP CAIDI</w:t>
            </w:r>
          </w:p>
        </w:tc>
        <w:tc>
          <w:tcPr>
            <w:tcW w:w="1350" w:type="dxa"/>
            <w:shd w:val="clear" w:color="auto" w:fill="auto"/>
          </w:tcPr>
          <w:p w14:paraId="4EA2EAEF" w14:textId="77777777" w:rsidR="007451B0" w:rsidRDefault="007451B0" w:rsidP="007929B3">
            <w:pPr>
              <w:jc w:val="center"/>
            </w:pPr>
            <w:r>
              <w:t>170.40</w:t>
            </w:r>
          </w:p>
        </w:tc>
        <w:tc>
          <w:tcPr>
            <w:tcW w:w="1710" w:type="dxa"/>
            <w:shd w:val="clear" w:color="auto" w:fill="auto"/>
          </w:tcPr>
          <w:p w14:paraId="5B1BC34A" w14:textId="77777777" w:rsidR="007451B0" w:rsidRDefault="007451B0" w:rsidP="007929B3">
            <w:pPr>
              <w:jc w:val="center"/>
            </w:pPr>
            <w:r>
              <w:t>169.22</w:t>
            </w:r>
          </w:p>
        </w:tc>
        <w:tc>
          <w:tcPr>
            <w:tcW w:w="1350" w:type="dxa"/>
            <w:shd w:val="clear" w:color="auto" w:fill="auto"/>
          </w:tcPr>
          <w:p w14:paraId="531FE05F" w14:textId="77777777" w:rsidR="007451B0" w:rsidRDefault="007451B0" w:rsidP="007929B3">
            <w:pPr>
              <w:jc w:val="center"/>
            </w:pPr>
            <w:r>
              <w:t>169.22</w:t>
            </w:r>
          </w:p>
        </w:tc>
        <w:tc>
          <w:tcPr>
            <w:tcW w:w="2880" w:type="dxa"/>
            <w:shd w:val="clear" w:color="auto" w:fill="auto"/>
          </w:tcPr>
          <w:p w14:paraId="08EF8B56" w14:textId="77777777" w:rsidR="007451B0" w:rsidRDefault="007451B0" w:rsidP="007929B3">
            <w:pPr>
              <w:jc w:val="center"/>
            </w:pPr>
            <w:r w:rsidRPr="007451B0">
              <w:t>Being set in current case</w:t>
            </w:r>
          </w:p>
        </w:tc>
      </w:tr>
    </w:tbl>
    <w:p w14:paraId="5062BCEC" w14:textId="77777777" w:rsidR="00245A2C" w:rsidRDefault="00245A2C" w:rsidP="00245A2C">
      <w:pPr>
        <w:spacing w:line="480" w:lineRule="auto"/>
        <w:ind w:left="720" w:firstLine="720"/>
      </w:pPr>
    </w:p>
    <w:p w14:paraId="76F69421" w14:textId="2A8EACF8" w:rsidR="00154431" w:rsidRDefault="00B1717E" w:rsidP="006A52B1">
      <w:pPr>
        <w:spacing w:line="480" w:lineRule="auto"/>
        <w:ind w:firstLine="720"/>
      </w:pPr>
      <w:r>
        <w:t xml:space="preserve">AEP Ohio claims that </w:t>
      </w:r>
      <w:r w:rsidR="006239CF">
        <w:t>because</w:t>
      </w:r>
      <w:r w:rsidR="006A52B1">
        <w:t xml:space="preserve"> Columbus Southern Power </w:t>
      </w:r>
      <w:r w:rsidR="00E053B6">
        <w:t>(</w:t>
      </w:r>
      <w:r w:rsidR="00A77C58">
        <w:t>“</w:t>
      </w:r>
      <w:r w:rsidR="00E053B6">
        <w:t>CSP</w:t>
      </w:r>
      <w:r w:rsidR="00A77C58">
        <w:t>”</w:t>
      </w:r>
      <w:r w:rsidR="00E053B6">
        <w:t xml:space="preserve">) </w:t>
      </w:r>
      <w:r>
        <w:t xml:space="preserve">and Ohio Power </w:t>
      </w:r>
      <w:r w:rsidR="00E053B6">
        <w:t>(</w:t>
      </w:r>
      <w:r w:rsidR="00A77C58">
        <w:t>“</w:t>
      </w:r>
      <w:r w:rsidR="00E053B6">
        <w:t>OP</w:t>
      </w:r>
      <w:r w:rsidR="00A77C58">
        <w:t>”</w:t>
      </w:r>
      <w:r w:rsidR="00E053B6">
        <w:t xml:space="preserve">) </w:t>
      </w:r>
      <w:r>
        <w:t xml:space="preserve">merged into one entity </w:t>
      </w:r>
      <w:r w:rsidR="006239CF">
        <w:t>on December 31, 2011,</w:t>
      </w:r>
      <w:r>
        <w:t xml:space="preserve"> the Company is </w:t>
      </w:r>
      <w:r w:rsidR="006239CF">
        <w:t xml:space="preserve">justified in </w:t>
      </w:r>
      <w:r w:rsidR="00703224">
        <w:t xml:space="preserve">filing for a new standards </w:t>
      </w:r>
      <w:r w:rsidR="00E053B6">
        <w:t>based on the</w:t>
      </w:r>
      <w:r w:rsidR="00FB499E">
        <w:t xml:space="preserve"> merger</w:t>
      </w:r>
      <w:r w:rsidR="00703224">
        <w:t xml:space="preserve"> </w:t>
      </w:r>
      <w:r w:rsidR="00E053B6">
        <w:t>of CSP and OP</w:t>
      </w:r>
      <w:r w:rsidR="00703224">
        <w:t xml:space="preserve">.  However, AEP Ohio was required to file an Application for new reliability standards by June 30, 2012 for </w:t>
      </w:r>
      <w:r w:rsidR="00FB499E">
        <w:t xml:space="preserve">the time period </w:t>
      </w:r>
      <w:r w:rsidR="00703224">
        <w:t>2013 and beyond to comply with the Commission</w:t>
      </w:r>
      <w:r w:rsidR="00154431">
        <w:t>’s</w:t>
      </w:r>
      <w:r w:rsidR="00703224">
        <w:t xml:space="preserve"> Order in the last reli</w:t>
      </w:r>
      <w:r w:rsidR="006239CF">
        <w:t xml:space="preserve">ability case.  </w:t>
      </w:r>
    </w:p>
    <w:p w14:paraId="6C9DB37E" w14:textId="49D2B5A1" w:rsidR="00A4347F" w:rsidRDefault="00592A3E" w:rsidP="006A52B1">
      <w:pPr>
        <w:spacing w:line="480" w:lineRule="auto"/>
        <w:ind w:firstLine="720"/>
      </w:pPr>
      <w:r>
        <w:t>Despite the restrictions in the two Stipulations, i</w:t>
      </w:r>
      <w:r w:rsidR="006239CF">
        <w:t xml:space="preserve">f AEP Ohio </w:t>
      </w:r>
      <w:r>
        <w:t xml:space="preserve">had </w:t>
      </w:r>
      <w:r w:rsidR="006239CF">
        <w:t>wanted</w:t>
      </w:r>
      <w:r w:rsidR="00703224">
        <w:t xml:space="preserve"> to </w:t>
      </w:r>
      <w:r w:rsidR="00A4347F">
        <w:t xml:space="preserve">request a </w:t>
      </w:r>
      <w:r w:rsidR="00703224">
        <w:t xml:space="preserve">change </w:t>
      </w:r>
      <w:r w:rsidR="00A4347F">
        <w:t xml:space="preserve">in </w:t>
      </w:r>
      <w:r w:rsidR="00703224">
        <w:t xml:space="preserve">the reliability standards for 2012 to reflect the </w:t>
      </w:r>
      <w:r w:rsidR="009E2639">
        <w:t xml:space="preserve">reliability </w:t>
      </w:r>
      <w:r w:rsidR="001250B2">
        <w:t>that</w:t>
      </w:r>
      <w:r w:rsidR="009E2639">
        <w:t xml:space="preserve"> the </w:t>
      </w:r>
      <w:r w:rsidR="00703224">
        <w:t>merged Company</w:t>
      </w:r>
      <w:r w:rsidR="001250B2">
        <w:t xml:space="preserve"> </w:t>
      </w:r>
      <w:r w:rsidR="001250B2" w:rsidRPr="00B50DAC">
        <w:t>provid</w:t>
      </w:r>
      <w:r w:rsidR="00B50DAC">
        <w:t>es</w:t>
      </w:r>
      <w:r w:rsidR="001250B2" w:rsidRPr="00B50DAC">
        <w:t xml:space="preserve"> to</w:t>
      </w:r>
      <w:r w:rsidR="001250B2">
        <w:t xml:space="preserve"> customers</w:t>
      </w:r>
      <w:r w:rsidR="00703224">
        <w:t>, a</w:t>
      </w:r>
      <w:r w:rsidR="0053363D">
        <w:t xml:space="preserve"> request for revising the approved </w:t>
      </w:r>
      <w:r w:rsidR="00703224">
        <w:t xml:space="preserve">2012 </w:t>
      </w:r>
      <w:r w:rsidR="0053363D">
        <w:t xml:space="preserve">reliability standards </w:t>
      </w:r>
      <w:r w:rsidR="00A4347F">
        <w:t xml:space="preserve">should have been filed </w:t>
      </w:r>
      <w:r w:rsidR="0053363D">
        <w:t xml:space="preserve">with the Commission.  </w:t>
      </w:r>
      <w:r w:rsidR="006239CF">
        <w:t>However</w:t>
      </w:r>
      <w:r w:rsidR="00336ACB">
        <w:t>,</w:t>
      </w:r>
      <w:r w:rsidR="006239CF">
        <w:t xml:space="preserve"> AEP Ohio failed to make such a request.  </w:t>
      </w:r>
      <w:r w:rsidR="0053363D">
        <w:t xml:space="preserve">Ohio Admin. Code 4901:1-10-10(B)(7) </w:t>
      </w:r>
      <w:r w:rsidR="00CB6D37">
        <w:t xml:space="preserve">outlines an explicit </w:t>
      </w:r>
      <w:r w:rsidR="0053363D">
        <w:t>process where electric utilities may request a revision in the authorized performance standards</w:t>
      </w:r>
      <w:r w:rsidR="00336ACB">
        <w:t>.  The rule does not permit the utility to retroactively change the standards by which it was supposed to deliver service to customers in the past.  The rule only allows proposals that could be effective in the future (</w:t>
      </w:r>
      <w:r w:rsidR="00CB6D37">
        <w:t xml:space="preserve">the </w:t>
      </w:r>
      <w:r w:rsidR="0053363D">
        <w:t>next succeeding year</w:t>
      </w:r>
      <w:r w:rsidR="00336ACB">
        <w:t>)</w:t>
      </w:r>
      <w:r w:rsidR="0053363D">
        <w:t xml:space="preserve">.  </w:t>
      </w:r>
    </w:p>
    <w:p w14:paraId="78FBCC33" w14:textId="77777777" w:rsidR="0053363D" w:rsidRPr="00A467C8" w:rsidRDefault="0053363D" w:rsidP="001063E1">
      <w:pPr>
        <w:spacing w:after="240"/>
        <w:ind w:left="1440" w:right="720"/>
        <w:rPr>
          <w:lang w:val="en"/>
        </w:rPr>
      </w:pPr>
      <w:r w:rsidRPr="00A467C8">
        <w:rPr>
          <w:lang w:val="en"/>
        </w:rPr>
        <w:t xml:space="preserve">(7) An electric utility may request to revise its authorized performance standards </w:t>
      </w:r>
      <w:r w:rsidRPr="00A467C8">
        <w:rPr>
          <w:b/>
          <w:lang w:val="en"/>
        </w:rPr>
        <w:t>(starting with the next succeeding calendar year</w:t>
      </w:r>
      <w:r w:rsidRPr="00A467C8">
        <w:rPr>
          <w:lang w:val="en"/>
        </w:rPr>
        <w:t>) by filing its revisions and supporting justification for such revisions with the commission for approval pursuant to paragraph (B)(6) of this rule, unless otherwise ordered by the commission, legal director, deputy legal director, or attorney examiner.</w:t>
      </w:r>
      <w:r w:rsidR="00CB6D37" w:rsidRPr="00A467C8">
        <w:rPr>
          <w:lang w:val="en"/>
        </w:rPr>
        <w:t xml:space="preserve"> (Emphasis added)</w:t>
      </w:r>
      <w:r w:rsidR="00295A6A">
        <w:rPr>
          <w:lang w:val="en"/>
        </w:rPr>
        <w:t>.</w:t>
      </w:r>
      <w:r w:rsidR="006239CF">
        <w:rPr>
          <w:rStyle w:val="FootnoteReference"/>
          <w:lang w:val="en"/>
        </w:rPr>
        <w:footnoteReference w:id="19"/>
      </w:r>
    </w:p>
    <w:p w14:paraId="6ED5C23A" w14:textId="11D0983D" w:rsidR="00EC2955" w:rsidRDefault="007E1866" w:rsidP="001063E1">
      <w:pPr>
        <w:spacing w:line="480" w:lineRule="auto"/>
        <w:ind w:firstLine="720"/>
      </w:pPr>
      <w:r>
        <w:t>By not making t</w:t>
      </w:r>
      <w:r w:rsidR="009768F1">
        <w:t>he required filing</w:t>
      </w:r>
      <w:r>
        <w:t xml:space="preserve"> </w:t>
      </w:r>
      <w:r w:rsidR="00AD3760">
        <w:t>and instead</w:t>
      </w:r>
      <w:r>
        <w:t xml:space="preserve"> requesting the change to reflect the merger, </w:t>
      </w:r>
      <w:r w:rsidR="004B6232">
        <w:t>AEP Ohio is essentially requesting a change</w:t>
      </w:r>
      <w:r w:rsidR="00AD3760">
        <w:t xml:space="preserve"> in the reliability standards that would</w:t>
      </w:r>
      <w:r w:rsidR="004B6232">
        <w:t xml:space="preserve"> be effective in the same year the Application to amend the standards is filed.</w:t>
      </w:r>
      <w:r w:rsidR="00AC260D">
        <w:t xml:space="preserve">  </w:t>
      </w:r>
      <w:r w:rsidR="00AD3760">
        <w:t xml:space="preserve">Such an outcome is not permitted </w:t>
      </w:r>
      <w:r w:rsidR="00AC260D">
        <w:t>under the rule.</w:t>
      </w:r>
      <w:r w:rsidR="00AD3760">
        <w:rPr>
          <w:rStyle w:val="FootnoteReference"/>
        </w:rPr>
        <w:footnoteReference w:id="20"/>
      </w:r>
      <w:r w:rsidR="004B6232">
        <w:t xml:space="preserve">  </w:t>
      </w:r>
    </w:p>
    <w:p w14:paraId="19891519" w14:textId="77777777" w:rsidR="00EB0031" w:rsidRDefault="00EC2955" w:rsidP="001063E1">
      <w:pPr>
        <w:spacing w:line="480" w:lineRule="auto"/>
        <w:ind w:firstLine="720"/>
      </w:pPr>
      <w:r>
        <w:t xml:space="preserve">Furthermore, AEP Ohio’s proposal is not allowed under law.  </w:t>
      </w:r>
      <w:r w:rsidR="004B6232">
        <w:t xml:space="preserve">When asked what reliability standards the Company </w:t>
      </w:r>
      <w:r w:rsidR="000E1557">
        <w:t xml:space="preserve">was required to comply with in 2012, </w:t>
      </w:r>
      <w:r w:rsidR="004B6232">
        <w:t xml:space="preserve">the Company </w:t>
      </w:r>
      <w:r w:rsidR="00EB0031">
        <w:t>respond</w:t>
      </w:r>
      <w:r w:rsidR="000E1557">
        <w:t>e</w:t>
      </w:r>
      <w:r w:rsidR="00EB0031">
        <w:t>d:</w:t>
      </w:r>
    </w:p>
    <w:p w14:paraId="3AFB1475" w14:textId="77777777" w:rsidR="007E1866" w:rsidRDefault="00EB0031" w:rsidP="00EB0031">
      <w:pPr>
        <w:spacing w:after="240"/>
        <w:ind w:left="1440" w:right="1440"/>
      </w:pPr>
      <w:r>
        <w:t>That depends on the outcome of this case.  The Commission may apply the new standard developed for the Company in this case as the applicable standard or apply the standards approved in Case 09-756-EL-ESS.</w:t>
      </w:r>
      <w:r w:rsidR="008079B6">
        <w:rPr>
          <w:rStyle w:val="FootnoteReference"/>
        </w:rPr>
        <w:footnoteReference w:id="21"/>
      </w:r>
      <w:r w:rsidR="003267F1">
        <w:t xml:space="preserve">  </w:t>
      </w:r>
    </w:p>
    <w:p w14:paraId="4D4CA512" w14:textId="5FB1459E" w:rsidR="00154431" w:rsidRDefault="00EB0031" w:rsidP="009D6FE1">
      <w:pPr>
        <w:spacing w:line="480" w:lineRule="auto"/>
      </w:pPr>
      <w:r>
        <w:t>This response contradicts</w:t>
      </w:r>
      <w:r w:rsidR="007E1866">
        <w:t xml:space="preserve"> R.C.</w:t>
      </w:r>
      <w:r w:rsidR="005A57EA">
        <w:t xml:space="preserve"> 4928.1</w:t>
      </w:r>
      <w:r w:rsidR="007A31D4">
        <w:t>1</w:t>
      </w:r>
      <w:r w:rsidR="00154431">
        <w:t>,</w:t>
      </w:r>
      <w:r w:rsidR="005A57EA">
        <w:t xml:space="preserve"> </w:t>
      </w:r>
      <w:r>
        <w:t xml:space="preserve">which </w:t>
      </w:r>
      <w:r w:rsidR="005A57EA">
        <w:t xml:space="preserve">requires the </w:t>
      </w:r>
      <w:r w:rsidR="000E1557">
        <w:t xml:space="preserve">electric utilities to have </w:t>
      </w:r>
      <w:r w:rsidR="00FB499E">
        <w:t xml:space="preserve">actual </w:t>
      </w:r>
      <w:r w:rsidR="000E1557">
        <w:t xml:space="preserve">minimum performance standards for </w:t>
      </w:r>
      <w:r w:rsidR="00FB499E">
        <w:t xml:space="preserve">service </w:t>
      </w:r>
      <w:r w:rsidR="000E1557">
        <w:t>re</w:t>
      </w:r>
      <w:r w:rsidR="006A52B1">
        <w:t>liability</w:t>
      </w:r>
      <w:r w:rsidR="00FB499E">
        <w:t>, and not just proposed standards</w:t>
      </w:r>
      <w:r w:rsidR="000E1557">
        <w:t>.</w:t>
      </w:r>
      <w:r w:rsidR="000E1557">
        <w:rPr>
          <w:rStyle w:val="FootnoteReference"/>
        </w:rPr>
        <w:footnoteReference w:id="22"/>
      </w:r>
      <w:r w:rsidR="000E1557">
        <w:t xml:space="preserve">  </w:t>
      </w:r>
    </w:p>
    <w:p w14:paraId="106571D8" w14:textId="338EC48B" w:rsidR="00245A2C" w:rsidRDefault="005A57EA" w:rsidP="00654100">
      <w:pPr>
        <w:spacing w:line="480" w:lineRule="auto"/>
        <w:ind w:firstLine="720"/>
      </w:pPr>
      <w:r>
        <w:t xml:space="preserve">The Commission </w:t>
      </w:r>
      <w:r w:rsidR="007A31D4">
        <w:t xml:space="preserve">enacted rules in </w:t>
      </w:r>
      <w:r>
        <w:t>Case No. 06-653-EL-ORD</w:t>
      </w:r>
      <w:r w:rsidR="007A31D4">
        <w:t xml:space="preserve"> that require</w:t>
      </w:r>
      <w:r w:rsidR="00067E6D">
        <w:t>d</w:t>
      </w:r>
      <w:r w:rsidR="007A31D4">
        <w:t xml:space="preserve"> the electric utilities to have specific SAIFI and CAIDI performance standards</w:t>
      </w:r>
      <w:r w:rsidR="007E1866">
        <w:t xml:space="preserve"> in place and not just pending</w:t>
      </w:r>
      <w:r w:rsidR="007A31D4">
        <w:t>.</w:t>
      </w:r>
      <w:r w:rsidR="00B64361">
        <w:rPr>
          <w:rStyle w:val="FootnoteReference"/>
        </w:rPr>
        <w:footnoteReference w:id="23"/>
      </w:r>
      <w:r w:rsidR="00C03C05">
        <w:t xml:space="preserve">  </w:t>
      </w:r>
      <w:r w:rsidR="008079B6">
        <w:t>In the event there was any doubt about the Commission</w:t>
      </w:r>
      <w:r w:rsidR="00EC2955">
        <w:t>’s</w:t>
      </w:r>
      <w:r w:rsidR="008079B6">
        <w:t xml:space="preserve"> enforcement of the reliability standards on a going forward basis, </w:t>
      </w:r>
      <w:r w:rsidR="001273B5">
        <w:t xml:space="preserve">the Commission </w:t>
      </w:r>
      <w:r w:rsidR="008079B6">
        <w:t>even ordered a d</w:t>
      </w:r>
      <w:r w:rsidR="001273B5">
        <w:t>ate certain of March 31, 2010</w:t>
      </w:r>
      <w:r w:rsidR="005E482F">
        <w:t>,</w:t>
      </w:r>
      <w:r w:rsidR="001273B5">
        <w:t xml:space="preserve"> where</w:t>
      </w:r>
      <w:r w:rsidR="00067E6D">
        <w:t xml:space="preserve">by </w:t>
      </w:r>
      <w:r w:rsidR="001273B5">
        <w:t xml:space="preserve">either new standards or then-existing reliability targets would continue in effect </w:t>
      </w:r>
      <w:r w:rsidR="00067E6D">
        <w:t>for the electric util</w:t>
      </w:r>
      <w:r w:rsidR="006D4A7A">
        <w:t>i</w:t>
      </w:r>
      <w:r w:rsidR="00067E6D">
        <w:t>ties to demonst</w:t>
      </w:r>
      <w:r w:rsidR="006D4A7A">
        <w:t>r</w:t>
      </w:r>
      <w:r w:rsidR="00067E6D">
        <w:t xml:space="preserve">ate </w:t>
      </w:r>
      <w:r w:rsidR="001273B5">
        <w:t>compliance with Ohio Admin. Code 4901:1-10-10.</w:t>
      </w:r>
      <w:r w:rsidR="001273B5">
        <w:rPr>
          <w:rStyle w:val="FootnoteReference"/>
        </w:rPr>
        <w:footnoteReference w:id="24"/>
      </w:r>
      <w:r w:rsidR="008079B6">
        <w:t xml:space="preserve">  The </w:t>
      </w:r>
      <w:r w:rsidR="00245A2C">
        <w:t xml:space="preserve">Commission </w:t>
      </w:r>
      <w:r w:rsidR="005F2884">
        <w:t xml:space="preserve">approved the reliability standards for the </w:t>
      </w:r>
      <w:r w:rsidR="008079B6">
        <w:t xml:space="preserve">Columbus Southern Power </w:t>
      </w:r>
      <w:r w:rsidR="00245A2C">
        <w:t xml:space="preserve">Company </w:t>
      </w:r>
      <w:r w:rsidR="008079B6">
        <w:t xml:space="preserve">and Ohio Power </w:t>
      </w:r>
      <w:r w:rsidR="009D6FE1">
        <w:t>Company</w:t>
      </w:r>
      <w:r w:rsidR="008079B6">
        <w:t xml:space="preserve"> </w:t>
      </w:r>
      <w:r w:rsidR="005F2884">
        <w:t>on</w:t>
      </w:r>
      <w:r w:rsidR="006D4A7A">
        <w:t xml:space="preserve"> </w:t>
      </w:r>
      <w:r w:rsidR="00245A2C">
        <w:t>September 8, 2010</w:t>
      </w:r>
      <w:r w:rsidR="005F2884">
        <w:t xml:space="preserve"> and th</w:t>
      </w:r>
      <w:r w:rsidR="006D4A7A">
        <w:t xml:space="preserve">ese are the </w:t>
      </w:r>
      <w:r w:rsidR="005F2884">
        <w:t xml:space="preserve">standards </w:t>
      </w:r>
      <w:r w:rsidR="00592A3E">
        <w:t xml:space="preserve">that </w:t>
      </w:r>
      <w:r w:rsidR="005F2884">
        <w:t xml:space="preserve">are in effect until </w:t>
      </w:r>
      <w:r w:rsidR="009D6FE1">
        <w:t>and unless modified</w:t>
      </w:r>
      <w:r w:rsidR="005F2884">
        <w:t xml:space="preserve"> by the Commission</w:t>
      </w:r>
      <w:r w:rsidR="00005B91">
        <w:t xml:space="preserve"> in this case</w:t>
      </w:r>
      <w:r w:rsidR="009D6FE1">
        <w:t xml:space="preserve"> for the period 2013 and beyond</w:t>
      </w:r>
      <w:r w:rsidR="005F2884">
        <w:t>.</w:t>
      </w:r>
      <w:r w:rsidR="00067E6D">
        <w:rPr>
          <w:rStyle w:val="FootnoteReference"/>
        </w:rPr>
        <w:footnoteReference w:id="25"/>
      </w:r>
    </w:p>
    <w:p w14:paraId="1ECD17D4" w14:textId="130055E5" w:rsidR="00245A2C" w:rsidRPr="00A06424" w:rsidRDefault="00A64054" w:rsidP="00654100">
      <w:pPr>
        <w:pStyle w:val="Heading2"/>
      </w:pPr>
      <w:bookmarkStart w:id="8" w:name="_Toc345082968"/>
      <w:r>
        <w:t>C</w:t>
      </w:r>
      <w:r w:rsidR="00322780">
        <w:t>.</w:t>
      </w:r>
      <w:r w:rsidR="00322780">
        <w:tab/>
      </w:r>
      <w:bookmarkStart w:id="9" w:name="_Toc344714692"/>
      <w:r w:rsidR="00245A2C" w:rsidRPr="00A06424">
        <w:t xml:space="preserve">AEP Ohio’s </w:t>
      </w:r>
      <w:r w:rsidR="00CB7AAD" w:rsidRPr="00A06424">
        <w:t xml:space="preserve">Proposal To Amend The 2012 </w:t>
      </w:r>
      <w:r w:rsidR="00CB7AAD">
        <w:t xml:space="preserve">Reliability </w:t>
      </w:r>
      <w:r w:rsidR="00CB7AAD" w:rsidRPr="00A06424">
        <w:t>Standards Disguise</w:t>
      </w:r>
      <w:r w:rsidR="00E053B6">
        <w:t>s</w:t>
      </w:r>
      <w:r w:rsidR="00CB7AAD" w:rsidRPr="00A06424">
        <w:t xml:space="preserve"> A Potential Violation </w:t>
      </w:r>
      <w:r w:rsidR="00106328">
        <w:t>Of</w:t>
      </w:r>
      <w:r w:rsidR="00CB7AAD">
        <w:t xml:space="preserve"> The </w:t>
      </w:r>
      <w:r w:rsidR="00A06424">
        <w:t>Commission</w:t>
      </w:r>
      <w:r w:rsidR="00E51707">
        <w:t>’s</w:t>
      </w:r>
      <w:r w:rsidR="00A06424">
        <w:t xml:space="preserve"> Rules</w:t>
      </w:r>
      <w:r w:rsidR="00106328">
        <w:t xml:space="preserve"> For Ensuring Quality Electric Service to Ohioans</w:t>
      </w:r>
      <w:r w:rsidR="00CB7AAD">
        <w:t>.</w:t>
      </w:r>
      <w:bookmarkEnd w:id="8"/>
      <w:bookmarkEnd w:id="9"/>
      <w:r w:rsidR="00CB7AAD">
        <w:t xml:space="preserve"> </w:t>
      </w:r>
    </w:p>
    <w:p w14:paraId="3D17E7DF" w14:textId="0B9FD9BE" w:rsidR="005A53B3" w:rsidRDefault="006365A9" w:rsidP="00D07DF3">
      <w:pPr>
        <w:spacing w:line="480" w:lineRule="auto"/>
        <w:ind w:firstLine="720"/>
      </w:pPr>
      <w:r>
        <w:t xml:space="preserve">Ohio </w:t>
      </w:r>
      <w:r w:rsidR="00CA2C59">
        <w:t>electric utilities are required</w:t>
      </w:r>
      <w:r w:rsidR="00A64F64">
        <w:t>,</w:t>
      </w:r>
      <w:r w:rsidR="00CA2C59">
        <w:t xml:space="preserve"> pursuant to Ohio Admin. Code 4901:1-10-10(C)</w:t>
      </w:r>
      <w:r w:rsidR="00A64F64">
        <w:t>,</w:t>
      </w:r>
      <w:r w:rsidR="00CA2C59">
        <w:t xml:space="preserve"> to file an annual report that includes information related to the performance for each of the reliability standards.  On April 9, 2012, AEP Ohio filed its annual report with </w:t>
      </w:r>
      <w:r w:rsidR="005A53B3">
        <w:t xml:space="preserve">the </w:t>
      </w:r>
      <w:r w:rsidR="00CA2C59">
        <w:t xml:space="preserve">CAIDI and SAIFI reliability performance </w:t>
      </w:r>
      <w:r w:rsidR="005A53B3">
        <w:t xml:space="preserve">for Columbus Southern Power Company </w:t>
      </w:r>
      <w:r w:rsidR="00CA2C59">
        <w:t>for 2011.</w:t>
      </w:r>
      <w:r w:rsidR="00CA2C59">
        <w:rPr>
          <w:rStyle w:val="FootnoteReference"/>
        </w:rPr>
        <w:footnoteReference w:id="26"/>
      </w:r>
      <w:r w:rsidR="00CA2C59">
        <w:t xml:space="preserve"> </w:t>
      </w:r>
      <w:r w:rsidR="005A53B3">
        <w:t xml:space="preserve">The annual report reflects CSP missing the CAIDI performance standard in 2011 by 4.25 minutes as shown in Table </w:t>
      </w:r>
      <w:r w:rsidR="00401E9C">
        <w:t>3</w:t>
      </w:r>
      <w:r w:rsidR="005A53B3">
        <w:t>.</w:t>
      </w:r>
      <w:r w:rsidR="00235681">
        <w:t xml:space="preserve">  This means th</w:t>
      </w:r>
      <w:r w:rsidR="00B50DAC">
        <w:t>at CSP customers experienced outages with duration longer than permitted by the reliability standards.</w:t>
      </w:r>
      <w:r w:rsidR="00A06424">
        <w:t xml:space="preserve">  A failure to meet performance standards for two consecutive years would constitute a violation of Ohio Admin. Code 4901:1-10-10.</w:t>
      </w:r>
      <w:r w:rsidR="00A06424">
        <w:rPr>
          <w:rStyle w:val="FootnoteReference"/>
        </w:rPr>
        <w:footnoteReference w:id="27"/>
      </w:r>
    </w:p>
    <w:p w14:paraId="20847EEF" w14:textId="77777777" w:rsidR="00CA2C59" w:rsidRPr="007451B0" w:rsidRDefault="005A53B3" w:rsidP="00D07DF3">
      <w:pPr>
        <w:ind w:left="720"/>
        <w:jc w:val="center"/>
        <w:rPr>
          <w:b/>
        </w:rPr>
      </w:pPr>
      <w:r w:rsidRPr="007451B0">
        <w:rPr>
          <w:b/>
        </w:rPr>
        <w:t xml:space="preserve">Table </w:t>
      </w:r>
      <w:r w:rsidR="007451B0">
        <w:rPr>
          <w:b/>
        </w:rPr>
        <w:t>3</w:t>
      </w:r>
      <w:r w:rsidRPr="007451B0">
        <w:rPr>
          <w:b/>
        </w:rPr>
        <w:t>:  CSP Reliability Performance in 2011</w:t>
      </w:r>
      <w:r w:rsidR="00A06424" w:rsidRPr="007451B0">
        <w:rPr>
          <w:rStyle w:val="FootnoteReference"/>
          <w:b/>
        </w:rPr>
        <w:footnoteReference w:id="28"/>
      </w:r>
    </w:p>
    <w:p w14:paraId="16065F35" w14:textId="77777777" w:rsidR="005A53B3" w:rsidRDefault="005A53B3" w:rsidP="005A53B3">
      <w:pPr>
        <w:ind w:left="72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16"/>
        <w:gridCol w:w="2087"/>
        <w:gridCol w:w="2066"/>
      </w:tblGrid>
      <w:tr w:rsidR="005A53B3" w14:paraId="54883530" w14:textId="77777777">
        <w:tc>
          <w:tcPr>
            <w:tcW w:w="2214" w:type="dxa"/>
            <w:shd w:val="clear" w:color="auto" w:fill="auto"/>
          </w:tcPr>
          <w:p w14:paraId="0D7F3991" w14:textId="77777777" w:rsidR="005A53B3" w:rsidRDefault="005A53B3" w:rsidP="007929B3">
            <w:pPr>
              <w:jc w:val="center"/>
            </w:pPr>
          </w:p>
        </w:tc>
        <w:tc>
          <w:tcPr>
            <w:tcW w:w="2214" w:type="dxa"/>
            <w:shd w:val="clear" w:color="auto" w:fill="auto"/>
          </w:tcPr>
          <w:p w14:paraId="64D023D3" w14:textId="77777777" w:rsidR="005A53B3" w:rsidRPr="007929B3" w:rsidRDefault="005A53B3" w:rsidP="007929B3">
            <w:pPr>
              <w:jc w:val="center"/>
              <w:rPr>
                <w:b/>
              </w:rPr>
            </w:pPr>
            <w:r w:rsidRPr="007929B3">
              <w:rPr>
                <w:b/>
              </w:rPr>
              <w:t>2011 Standard</w:t>
            </w:r>
          </w:p>
        </w:tc>
        <w:tc>
          <w:tcPr>
            <w:tcW w:w="2214" w:type="dxa"/>
            <w:shd w:val="clear" w:color="auto" w:fill="auto"/>
          </w:tcPr>
          <w:p w14:paraId="1FFB3FAE" w14:textId="77777777" w:rsidR="005A53B3" w:rsidRPr="007929B3" w:rsidRDefault="005A53B3" w:rsidP="007929B3">
            <w:pPr>
              <w:jc w:val="center"/>
              <w:rPr>
                <w:b/>
              </w:rPr>
            </w:pPr>
            <w:r w:rsidRPr="007929B3">
              <w:rPr>
                <w:b/>
              </w:rPr>
              <w:t>2011 Performance</w:t>
            </w:r>
          </w:p>
        </w:tc>
        <w:tc>
          <w:tcPr>
            <w:tcW w:w="2214" w:type="dxa"/>
            <w:shd w:val="clear" w:color="auto" w:fill="auto"/>
          </w:tcPr>
          <w:p w14:paraId="04C6AA84" w14:textId="77777777" w:rsidR="005A53B3" w:rsidRPr="007929B3" w:rsidRDefault="005A53B3" w:rsidP="007929B3">
            <w:pPr>
              <w:jc w:val="center"/>
              <w:rPr>
                <w:b/>
              </w:rPr>
            </w:pPr>
            <w:r w:rsidRPr="007929B3">
              <w:rPr>
                <w:b/>
              </w:rPr>
              <w:t>Difference</w:t>
            </w:r>
            <w:r w:rsidR="00BD2D58">
              <w:rPr>
                <w:rStyle w:val="FootnoteReference"/>
                <w:b/>
              </w:rPr>
              <w:footnoteReference w:id="29"/>
            </w:r>
          </w:p>
        </w:tc>
      </w:tr>
      <w:tr w:rsidR="005A53B3" w14:paraId="3F6CDC22" w14:textId="77777777" w:rsidTr="00654100">
        <w:tc>
          <w:tcPr>
            <w:tcW w:w="2214" w:type="dxa"/>
            <w:shd w:val="clear" w:color="auto" w:fill="auto"/>
          </w:tcPr>
          <w:p w14:paraId="086D44DD" w14:textId="77777777" w:rsidR="005A53B3" w:rsidRPr="007929B3" w:rsidRDefault="005A53B3" w:rsidP="007929B3">
            <w:pPr>
              <w:jc w:val="center"/>
              <w:rPr>
                <w:b/>
              </w:rPr>
            </w:pPr>
            <w:r w:rsidRPr="007929B3">
              <w:rPr>
                <w:b/>
              </w:rPr>
              <w:t>SAIFI</w:t>
            </w:r>
          </w:p>
        </w:tc>
        <w:tc>
          <w:tcPr>
            <w:tcW w:w="2214" w:type="dxa"/>
            <w:shd w:val="clear" w:color="auto" w:fill="auto"/>
          </w:tcPr>
          <w:p w14:paraId="62F77E44" w14:textId="77777777" w:rsidR="005A53B3" w:rsidRDefault="005A53B3" w:rsidP="007929B3">
            <w:pPr>
              <w:jc w:val="center"/>
            </w:pPr>
            <w:r>
              <w:t>1.54</w:t>
            </w:r>
          </w:p>
        </w:tc>
        <w:tc>
          <w:tcPr>
            <w:tcW w:w="2214" w:type="dxa"/>
            <w:shd w:val="clear" w:color="auto" w:fill="auto"/>
          </w:tcPr>
          <w:p w14:paraId="4BB3E872" w14:textId="77777777" w:rsidR="005A53B3" w:rsidRDefault="005A53B3" w:rsidP="007929B3">
            <w:pPr>
              <w:jc w:val="center"/>
            </w:pPr>
            <w:r>
              <w:t>1.39</w:t>
            </w:r>
          </w:p>
        </w:tc>
        <w:tc>
          <w:tcPr>
            <w:tcW w:w="2214" w:type="dxa"/>
            <w:shd w:val="clear" w:color="auto" w:fill="auto"/>
          </w:tcPr>
          <w:p w14:paraId="4FE92CEA" w14:textId="77777777" w:rsidR="005A53B3" w:rsidRDefault="005A53B3" w:rsidP="007929B3">
            <w:pPr>
              <w:jc w:val="center"/>
            </w:pPr>
            <w:r>
              <w:t>(.15)</w:t>
            </w:r>
          </w:p>
        </w:tc>
      </w:tr>
      <w:tr w:rsidR="005A53B3" w14:paraId="1E13A848" w14:textId="77777777" w:rsidTr="00654100">
        <w:tc>
          <w:tcPr>
            <w:tcW w:w="2214" w:type="dxa"/>
            <w:shd w:val="clear" w:color="auto" w:fill="auto"/>
          </w:tcPr>
          <w:p w14:paraId="4E45D6FF" w14:textId="77777777" w:rsidR="005A53B3" w:rsidRPr="007929B3" w:rsidRDefault="005A53B3" w:rsidP="007929B3">
            <w:pPr>
              <w:jc w:val="center"/>
              <w:rPr>
                <w:b/>
              </w:rPr>
            </w:pPr>
            <w:r w:rsidRPr="007929B3">
              <w:rPr>
                <w:b/>
              </w:rPr>
              <w:t>CAIDI</w:t>
            </w:r>
          </w:p>
        </w:tc>
        <w:tc>
          <w:tcPr>
            <w:tcW w:w="2214" w:type="dxa"/>
            <w:shd w:val="clear" w:color="auto" w:fill="auto"/>
          </w:tcPr>
          <w:p w14:paraId="6855DBE3" w14:textId="77777777" w:rsidR="005A53B3" w:rsidRDefault="005A53B3" w:rsidP="007929B3">
            <w:pPr>
              <w:jc w:val="center"/>
            </w:pPr>
            <w:r>
              <w:t>135.17</w:t>
            </w:r>
          </w:p>
        </w:tc>
        <w:tc>
          <w:tcPr>
            <w:tcW w:w="2214" w:type="dxa"/>
            <w:shd w:val="clear" w:color="auto" w:fill="auto"/>
          </w:tcPr>
          <w:p w14:paraId="40E178D8" w14:textId="77777777" w:rsidR="005A53B3" w:rsidRDefault="00A06424" w:rsidP="007929B3">
            <w:pPr>
              <w:jc w:val="center"/>
            </w:pPr>
            <w:r>
              <w:t>139.42</w:t>
            </w:r>
          </w:p>
        </w:tc>
        <w:tc>
          <w:tcPr>
            <w:tcW w:w="2214" w:type="dxa"/>
            <w:shd w:val="clear" w:color="auto" w:fill="auto"/>
          </w:tcPr>
          <w:p w14:paraId="24E5C718" w14:textId="77777777" w:rsidR="005A53B3" w:rsidRPr="007929B3" w:rsidRDefault="00A06424" w:rsidP="007929B3">
            <w:pPr>
              <w:jc w:val="center"/>
              <w:rPr>
                <w:b/>
              </w:rPr>
            </w:pPr>
            <w:r w:rsidRPr="007929B3">
              <w:rPr>
                <w:b/>
              </w:rPr>
              <w:t>4.25 Minutes</w:t>
            </w:r>
          </w:p>
        </w:tc>
      </w:tr>
    </w:tbl>
    <w:p w14:paraId="732B8D59" w14:textId="77777777" w:rsidR="005A53B3" w:rsidRDefault="005A53B3" w:rsidP="005A53B3">
      <w:pPr>
        <w:ind w:left="720"/>
        <w:jc w:val="center"/>
      </w:pPr>
    </w:p>
    <w:p w14:paraId="68DA7C33" w14:textId="77777777" w:rsidR="00D07DF3" w:rsidRDefault="00D07DF3" w:rsidP="005A53B3">
      <w:pPr>
        <w:ind w:left="720"/>
        <w:jc w:val="center"/>
      </w:pPr>
    </w:p>
    <w:p w14:paraId="20DBADE2" w14:textId="77777777" w:rsidR="000D5C4B" w:rsidRDefault="00440E37" w:rsidP="006A52B1">
      <w:pPr>
        <w:spacing w:line="480" w:lineRule="auto"/>
        <w:ind w:firstLine="720"/>
      </w:pPr>
      <w:r>
        <w:t>If</w:t>
      </w:r>
      <w:r w:rsidR="00EB38F7">
        <w:t xml:space="preserve"> the Commission </w:t>
      </w:r>
      <w:r>
        <w:t xml:space="preserve">were </w:t>
      </w:r>
      <w:r w:rsidR="00EB38F7">
        <w:t xml:space="preserve">to amend the 2012 reliability standards as proposed by AEP Ohio, the Company would not </w:t>
      </w:r>
      <w:r w:rsidR="00D47BBF">
        <w:t xml:space="preserve">be required </w:t>
      </w:r>
      <w:r w:rsidR="00EB38F7">
        <w:t>to provide separate reporting for the reliability performance of Columbus Southern Power and Ohio Power Company in the annual report it must file by March 31, 2013.</w:t>
      </w:r>
      <w:r w:rsidR="00EB38F7">
        <w:rPr>
          <w:rStyle w:val="FootnoteReference"/>
        </w:rPr>
        <w:footnoteReference w:id="30"/>
      </w:r>
      <w:r w:rsidR="00A467C8">
        <w:t xml:space="preserve"> </w:t>
      </w:r>
      <w:r w:rsidR="00EB38F7">
        <w:t xml:space="preserve"> </w:t>
      </w:r>
      <w:r w:rsidR="006E37DA">
        <w:t xml:space="preserve">As a result, the Commission and other stakeholders would not be able to determine the effectiveness of the reliability standards, if CSP customers are experiencing inadequate reliability over time, the effectiveness of the Company action plan(s) in correcting deficiencies, and the </w:t>
      </w:r>
      <w:r w:rsidR="00DA7EB4">
        <w:t>ability to hold AEP Ohio accountable for the quality of service it provides customers.</w:t>
      </w:r>
      <w:r w:rsidR="00D07DF3">
        <w:t xml:space="preserve"> </w:t>
      </w:r>
      <w:r w:rsidR="007E1866">
        <w:t xml:space="preserve"> </w:t>
      </w:r>
    </w:p>
    <w:p w14:paraId="26AA8C86" w14:textId="23053E23" w:rsidR="008E4522" w:rsidRDefault="007E1866" w:rsidP="006A52B1">
      <w:pPr>
        <w:spacing w:line="480" w:lineRule="auto"/>
        <w:ind w:firstLine="720"/>
      </w:pPr>
      <w:r>
        <w:t>OCC</w:t>
      </w:r>
      <w:r w:rsidR="00DA7EB4">
        <w:t xml:space="preserve"> recommends that the Commission reject AEP Ohio’s proposal to amend 2012 reliability standards</w:t>
      </w:r>
      <w:r w:rsidR="000D5C4B">
        <w:t xml:space="preserve">. </w:t>
      </w:r>
      <w:r w:rsidR="00DA7EB4">
        <w:t xml:space="preserve"> </w:t>
      </w:r>
      <w:r w:rsidR="000D5C4B">
        <w:t>A</w:t>
      </w:r>
      <w:r w:rsidR="00DA7EB4">
        <w:t xml:space="preserve">nd </w:t>
      </w:r>
      <w:r w:rsidR="000D5C4B">
        <w:t xml:space="preserve">the Commission should </w:t>
      </w:r>
      <w:r w:rsidR="00DA7EB4">
        <w:t xml:space="preserve">order the Company to file the annual report required pursuant to Ohio Admin. Code 4901:1-10-10(C) reflecting the reliability performance </w:t>
      </w:r>
      <w:r w:rsidR="00FB499E">
        <w:t>for both CSP</w:t>
      </w:r>
      <w:r w:rsidR="00DA7EB4">
        <w:t xml:space="preserve"> and O</w:t>
      </w:r>
      <w:r w:rsidR="00FB499E">
        <w:t>P</w:t>
      </w:r>
      <w:r w:rsidR="00DA7EB4">
        <w:t>.</w:t>
      </w:r>
    </w:p>
    <w:p w14:paraId="77DDA6DA" w14:textId="110852D2" w:rsidR="007451B0" w:rsidRDefault="00A64054" w:rsidP="00654100">
      <w:pPr>
        <w:pStyle w:val="Heading2"/>
      </w:pPr>
      <w:bookmarkStart w:id="10" w:name="_Toc344714693"/>
      <w:bookmarkStart w:id="11" w:name="_Toc345082969"/>
      <w:r>
        <w:t>D</w:t>
      </w:r>
      <w:r w:rsidR="00322780">
        <w:t>.</w:t>
      </w:r>
      <w:r w:rsidR="00322780">
        <w:tab/>
      </w:r>
      <w:r w:rsidR="007E1866">
        <w:t>AEP Ohio</w:t>
      </w:r>
      <w:r w:rsidR="009365F2">
        <w:t>’s</w:t>
      </w:r>
      <w:r w:rsidR="007E1866">
        <w:t xml:space="preserve"> </w:t>
      </w:r>
      <w:r w:rsidR="00CB7AAD">
        <w:t>Proposal To</w:t>
      </w:r>
      <w:r w:rsidR="00CB7AAD" w:rsidRPr="007451B0">
        <w:t xml:space="preserve"> Combine Reliability Standards For </w:t>
      </w:r>
      <w:r w:rsidR="007451B0" w:rsidRPr="007451B0">
        <w:t xml:space="preserve">Columbus Southern Power Company </w:t>
      </w:r>
      <w:r w:rsidR="00CB7AAD" w:rsidRPr="007451B0">
        <w:t xml:space="preserve">And </w:t>
      </w:r>
      <w:r w:rsidR="007451B0" w:rsidRPr="007451B0">
        <w:t xml:space="preserve">Ohio Power Company </w:t>
      </w:r>
      <w:r w:rsidR="00CB7AAD" w:rsidRPr="007451B0">
        <w:t>In 201</w:t>
      </w:r>
      <w:r w:rsidR="00CB7AAD">
        <w:t>2</w:t>
      </w:r>
      <w:r w:rsidR="00CB7AAD" w:rsidRPr="007451B0">
        <w:t xml:space="preserve"> Is Unjust</w:t>
      </w:r>
      <w:r w:rsidR="00CB7AAD">
        <w:t xml:space="preserve">, </w:t>
      </w:r>
      <w:r w:rsidR="00CB7AAD" w:rsidRPr="007451B0">
        <w:t>Unreasonable</w:t>
      </w:r>
      <w:r w:rsidR="00CB7AAD">
        <w:t xml:space="preserve">, And Contradictory To The Argument The </w:t>
      </w:r>
      <w:r w:rsidR="00005B91">
        <w:t xml:space="preserve">Company </w:t>
      </w:r>
      <w:r w:rsidR="0083710B">
        <w:t>P</w:t>
      </w:r>
      <w:r w:rsidR="00CB7AAD">
        <w:t xml:space="preserve">resented To The </w:t>
      </w:r>
      <w:r w:rsidR="00227848">
        <w:t>Commission</w:t>
      </w:r>
      <w:r w:rsidR="0083710B" w:rsidRPr="0083710B">
        <w:t xml:space="preserve"> </w:t>
      </w:r>
      <w:r w:rsidR="0083710B">
        <w:t>That Approval Of Its Merger Was In The Public Interest</w:t>
      </w:r>
      <w:r w:rsidR="00CB7AAD">
        <w:t>.</w:t>
      </w:r>
      <w:bookmarkEnd w:id="10"/>
      <w:bookmarkEnd w:id="11"/>
    </w:p>
    <w:p w14:paraId="0D56DF8D" w14:textId="318CD9D0" w:rsidR="004C3CE6" w:rsidRDefault="008C2F3D" w:rsidP="00D07DF3">
      <w:pPr>
        <w:spacing w:line="480" w:lineRule="auto"/>
        <w:ind w:firstLine="720"/>
      </w:pPr>
      <w:r>
        <w:t>If</w:t>
      </w:r>
      <w:r w:rsidR="00EC0328">
        <w:t xml:space="preserve"> </w:t>
      </w:r>
      <w:r w:rsidR="00A72272">
        <w:t>the Commission were to approve the AEP Ohio</w:t>
      </w:r>
      <w:r w:rsidR="0083710B">
        <w:t>’s</w:t>
      </w:r>
      <w:r w:rsidR="00A72272">
        <w:t xml:space="preserve"> Application to </w:t>
      </w:r>
      <w:r w:rsidR="00401E9C">
        <w:t>combin</w:t>
      </w:r>
      <w:r w:rsidR="00A72272">
        <w:t xml:space="preserve">e the </w:t>
      </w:r>
      <w:r w:rsidR="00401E9C">
        <w:t>reliability standards for the Columbus Southern Power and the Ohio Power service territor</w:t>
      </w:r>
      <w:r w:rsidR="00A72272">
        <w:t>ies, AEP Ohio</w:t>
      </w:r>
      <w:r w:rsidR="004C3CE6">
        <w:t>’s</w:t>
      </w:r>
      <w:r w:rsidR="00A72272">
        <w:t xml:space="preserve"> customers w</w:t>
      </w:r>
      <w:r w:rsidR="00EC0328">
        <w:t xml:space="preserve">ill </w:t>
      </w:r>
      <w:r w:rsidR="00A72272">
        <w:t xml:space="preserve">be subject to </w:t>
      </w:r>
      <w:r w:rsidR="00EC0328">
        <w:t xml:space="preserve">a significant degradation in the reliability </w:t>
      </w:r>
      <w:r w:rsidR="007F6168">
        <w:t xml:space="preserve">standard </w:t>
      </w:r>
      <w:r w:rsidR="00EC0328">
        <w:t xml:space="preserve">of service that AEP Ohio is required to provide customers.  </w:t>
      </w:r>
      <w:r w:rsidR="00401E9C">
        <w:t xml:space="preserve">According to the Application, the </w:t>
      </w:r>
      <w:r w:rsidR="008E5F28">
        <w:t xml:space="preserve">proposed </w:t>
      </w:r>
      <w:r w:rsidR="00401E9C">
        <w:t xml:space="preserve">combined Company </w:t>
      </w:r>
      <w:r w:rsidR="008E5F28">
        <w:t xml:space="preserve">standard is a </w:t>
      </w:r>
      <w:r w:rsidR="00401E9C">
        <w:t xml:space="preserve">SAIFI </w:t>
      </w:r>
      <w:r w:rsidR="008E5F28">
        <w:t xml:space="preserve">of </w:t>
      </w:r>
      <w:r w:rsidR="00401E9C">
        <w:t xml:space="preserve">1.34 and </w:t>
      </w:r>
      <w:r w:rsidR="008E5F28">
        <w:t xml:space="preserve">a </w:t>
      </w:r>
      <w:r w:rsidR="00401E9C">
        <w:t xml:space="preserve">proposed CAIDI </w:t>
      </w:r>
      <w:r w:rsidR="008E5F28">
        <w:t xml:space="preserve">of </w:t>
      </w:r>
      <w:r w:rsidR="00401E9C">
        <w:t>152.36 minutes.</w:t>
      </w:r>
      <w:r w:rsidR="006D4A7A">
        <w:rPr>
          <w:rStyle w:val="FootnoteReference"/>
        </w:rPr>
        <w:footnoteReference w:id="31"/>
      </w:r>
      <w:r w:rsidR="007F6168">
        <w:t xml:space="preserve">  </w:t>
      </w:r>
    </w:p>
    <w:p w14:paraId="58CADC7E" w14:textId="733DD318" w:rsidR="006E4805" w:rsidRDefault="007F6168" w:rsidP="00D07DF3">
      <w:pPr>
        <w:spacing w:line="480" w:lineRule="auto"/>
        <w:ind w:firstLine="720"/>
      </w:pPr>
      <w:r>
        <w:t>T</w:t>
      </w:r>
      <w:r w:rsidR="00401E9C">
        <w:t xml:space="preserve">he Application </w:t>
      </w:r>
      <w:r>
        <w:t>ignores</w:t>
      </w:r>
      <w:r w:rsidR="00401E9C">
        <w:t xml:space="preserve"> that </w:t>
      </w:r>
      <w:r w:rsidR="004C3CE6">
        <w:t xml:space="preserve">its proposed </w:t>
      </w:r>
      <w:r w:rsidR="00401E9C">
        <w:t xml:space="preserve">combined reliability standards result in </w:t>
      </w:r>
      <w:r w:rsidR="006E4805">
        <w:t xml:space="preserve">harm </w:t>
      </w:r>
      <w:r>
        <w:t>to</w:t>
      </w:r>
      <w:r w:rsidR="008E5F28">
        <w:t xml:space="preserve"> all customers </w:t>
      </w:r>
      <w:r>
        <w:t>because</w:t>
      </w:r>
      <w:r w:rsidR="00EC0328">
        <w:t xml:space="preserve"> </w:t>
      </w:r>
      <w:r w:rsidR="00401E9C">
        <w:t xml:space="preserve">Ohio Power Company customers </w:t>
      </w:r>
      <w:r>
        <w:t>could</w:t>
      </w:r>
      <w:r w:rsidR="00EC0328">
        <w:t xml:space="preserve"> </w:t>
      </w:r>
      <w:r w:rsidR="006E4805">
        <w:t>experience more frequent outages and Columbus S</w:t>
      </w:r>
      <w:r>
        <w:t>outhern Power customers could</w:t>
      </w:r>
      <w:r w:rsidR="006E4805">
        <w:t xml:space="preserve"> experience longer duration outages</w:t>
      </w:r>
      <w:r>
        <w:t xml:space="preserve"> under the proposed combined standards</w:t>
      </w:r>
      <w:r w:rsidR="006E4805">
        <w:t xml:space="preserve">.  Table 4 provides a comparison of the current AEP Ohio reliability standards with the </w:t>
      </w:r>
      <w:r w:rsidR="002F42DA">
        <w:t xml:space="preserve">proposed </w:t>
      </w:r>
      <w:r w:rsidR="006E4805">
        <w:t>standards</w:t>
      </w:r>
      <w:r>
        <w:t xml:space="preserve"> and demonstrates the potential degradation of service quality that customers may experience under the Company proposal</w:t>
      </w:r>
      <w:r w:rsidR="006E4805">
        <w:t>.</w:t>
      </w:r>
    </w:p>
    <w:p w14:paraId="7979B76B" w14:textId="77777777" w:rsidR="00401E9C" w:rsidRDefault="006E4805" w:rsidP="00D07DF3">
      <w:pPr>
        <w:ind w:left="720"/>
        <w:jc w:val="center"/>
        <w:rPr>
          <w:b/>
        </w:rPr>
      </w:pPr>
      <w:r w:rsidRPr="006E4805">
        <w:rPr>
          <w:b/>
        </w:rPr>
        <w:t>Table 4:  Comparison of current and proposed reliability standards</w:t>
      </w:r>
    </w:p>
    <w:p w14:paraId="4D7E886B" w14:textId="77777777" w:rsidR="006E4805" w:rsidRDefault="006E4805" w:rsidP="006E4805">
      <w:pPr>
        <w:ind w:left="720"/>
        <w:jc w:val="cente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80"/>
        <w:gridCol w:w="2288"/>
        <w:gridCol w:w="2050"/>
      </w:tblGrid>
      <w:tr w:rsidR="006E4805" w:rsidRPr="007929B3" w14:paraId="0A330E69" w14:textId="77777777">
        <w:tc>
          <w:tcPr>
            <w:tcW w:w="1818" w:type="dxa"/>
            <w:shd w:val="clear" w:color="auto" w:fill="auto"/>
          </w:tcPr>
          <w:p w14:paraId="0A445727" w14:textId="77777777" w:rsidR="006E4805" w:rsidRPr="007929B3" w:rsidRDefault="006E4805" w:rsidP="007929B3">
            <w:pPr>
              <w:jc w:val="center"/>
              <w:rPr>
                <w:b/>
              </w:rPr>
            </w:pPr>
            <w:r w:rsidRPr="007929B3">
              <w:rPr>
                <w:b/>
              </w:rPr>
              <w:t>Standard</w:t>
            </w:r>
          </w:p>
        </w:tc>
        <w:tc>
          <w:tcPr>
            <w:tcW w:w="1980" w:type="dxa"/>
            <w:shd w:val="clear" w:color="auto" w:fill="auto"/>
          </w:tcPr>
          <w:p w14:paraId="7AD02451" w14:textId="77777777" w:rsidR="006E4805" w:rsidRPr="007929B3" w:rsidRDefault="006E4805" w:rsidP="007929B3">
            <w:pPr>
              <w:jc w:val="center"/>
              <w:rPr>
                <w:b/>
              </w:rPr>
            </w:pPr>
            <w:r w:rsidRPr="007929B3">
              <w:rPr>
                <w:b/>
              </w:rPr>
              <w:t>2012 Standard</w:t>
            </w:r>
          </w:p>
        </w:tc>
        <w:tc>
          <w:tcPr>
            <w:tcW w:w="2288" w:type="dxa"/>
            <w:shd w:val="clear" w:color="auto" w:fill="auto"/>
          </w:tcPr>
          <w:p w14:paraId="1E0E3DA0" w14:textId="77777777" w:rsidR="006E4805" w:rsidRPr="007929B3" w:rsidRDefault="006E4805" w:rsidP="007929B3">
            <w:pPr>
              <w:jc w:val="center"/>
              <w:rPr>
                <w:b/>
              </w:rPr>
            </w:pPr>
            <w:r w:rsidRPr="007929B3">
              <w:rPr>
                <w:b/>
              </w:rPr>
              <w:t xml:space="preserve">AEP </w:t>
            </w:r>
            <w:smartTag w:uri="urn:schemas-microsoft-com:office:smarttags" w:element="State">
              <w:smartTag w:uri="urn:schemas-microsoft-com:office:smarttags" w:element="place">
                <w:r w:rsidRPr="007929B3">
                  <w:rPr>
                    <w:b/>
                  </w:rPr>
                  <w:t>Ohio</w:t>
                </w:r>
              </w:smartTag>
            </w:smartTag>
            <w:r w:rsidRPr="007929B3">
              <w:rPr>
                <w:b/>
              </w:rPr>
              <w:t xml:space="preserve"> Proposal</w:t>
            </w:r>
            <w:r w:rsidR="000511C5" w:rsidRPr="007929B3">
              <w:rPr>
                <w:b/>
              </w:rPr>
              <w:t xml:space="preserve"> 2013</w:t>
            </w:r>
          </w:p>
        </w:tc>
        <w:tc>
          <w:tcPr>
            <w:tcW w:w="2050" w:type="dxa"/>
            <w:shd w:val="clear" w:color="auto" w:fill="auto"/>
          </w:tcPr>
          <w:p w14:paraId="235EE2E4" w14:textId="77777777" w:rsidR="006E4805" w:rsidRPr="007929B3" w:rsidRDefault="006E4805" w:rsidP="007929B3">
            <w:pPr>
              <w:jc w:val="center"/>
              <w:rPr>
                <w:b/>
              </w:rPr>
            </w:pPr>
            <w:r w:rsidRPr="007929B3">
              <w:rPr>
                <w:b/>
              </w:rPr>
              <w:t>Difference</w:t>
            </w:r>
          </w:p>
        </w:tc>
      </w:tr>
      <w:tr w:rsidR="006E4805" w:rsidRPr="007929B3" w14:paraId="3DC036C4" w14:textId="77777777">
        <w:tc>
          <w:tcPr>
            <w:tcW w:w="1818" w:type="dxa"/>
            <w:shd w:val="clear" w:color="auto" w:fill="auto"/>
          </w:tcPr>
          <w:p w14:paraId="63BC93DB" w14:textId="77777777" w:rsidR="006E4805" w:rsidRPr="000511C5" w:rsidRDefault="006E4805" w:rsidP="007929B3">
            <w:pPr>
              <w:jc w:val="center"/>
            </w:pPr>
            <w:r w:rsidRPr="000511C5">
              <w:t>CSP SAIFI</w:t>
            </w:r>
          </w:p>
        </w:tc>
        <w:tc>
          <w:tcPr>
            <w:tcW w:w="1980" w:type="dxa"/>
            <w:shd w:val="clear" w:color="auto" w:fill="auto"/>
          </w:tcPr>
          <w:p w14:paraId="54811DDC" w14:textId="77777777" w:rsidR="006E4805" w:rsidRPr="006E4805" w:rsidRDefault="006E4805" w:rsidP="007929B3">
            <w:pPr>
              <w:jc w:val="center"/>
            </w:pPr>
            <w:r w:rsidRPr="006E4805">
              <w:t>1.54</w:t>
            </w:r>
          </w:p>
        </w:tc>
        <w:tc>
          <w:tcPr>
            <w:tcW w:w="2288" w:type="dxa"/>
            <w:shd w:val="clear" w:color="auto" w:fill="auto"/>
          </w:tcPr>
          <w:p w14:paraId="786370F0" w14:textId="77777777" w:rsidR="006E4805" w:rsidRPr="006E4805" w:rsidRDefault="006E4805" w:rsidP="007929B3">
            <w:pPr>
              <w:jc w:val="center"/>
            </w:pPr>
            <w:r w:rsidRPr="006E4805">
              <w:t>1.34</w:t>
            </w:r>
          </w:p>
        </w:tc>
        <w:tc>
          <w:tcPr>
            <w:tcW w:w="2050" w:type="dxa"/>
            <w:shd w:val="clear" w:color="auto" w:fill="auto"/>
          </w:tcPr>
          <w:p w14:paraId="19F0963C" w14:textId="77777777" w:rsidR="006E4805" w:rsidRPr="006E4805" w:rsidRDefault="00E92E12" w:rsidP="007929B3">
            <w:pPr>
              <w:jc w:val="center"/>
            </w:pPr>
            <w:r>
              <w:t>(</w:t>
            </w:r>
            <w:r w:rsidR="006E4805" w:rsidRPr="006E4805">
              <w:t>0.2</w:t>
            </w:r>
            <w:r>
              <w:t>)</w:t>
            </w:r>
          </w:p>
        </w:tc>
      </w:tr>
      <w:tr w:rsidR="006E4805" w:rsidRPr="007929B3" w14:paraId="5A854374" w14:textId="77777777">
        <w:tc>
          <w:tcPr>
            <w:tcW w:w="1818" w:type="dxa"/>
            <w:shd w:val="clear" w:color="auto" w:fill="auto"/>
          </w:tcPr>
          <w:p w14:paraId="1201D52C" w14:textId="77777777" w:rsidR="006E4805" w:rsidRPr="000511C5" w:rsidRDefault="006E4805" w:rsidP="007929B3">
            <w:pPr>
              <w:jc w:val="center"/>
            </w:pPr>
            <w:r w:rsidRPr="000511C5">
              <w:t>CSP CAIDI</w:t>
            </w:r>
          </w:p>
        </w:tc>
        <w:tc>
          <w:tcPr>
            <w:tcW w:w="1980" w:type="dxa"/>
            <w:shd w:val="clear" w:color="auto" w:fill="auto"/>
          </w:tcPr>
          <w:p w14:paraId="6B5BB5E6" w14:textId="77777777" w:rsidR="006E4805" w:rsidRPr="006E4805" w:rsidRDefault="006E4805" w:rsidP="007929B3">
            <w:pPr>
              <w:jc w:val="center"/>
            </w:pPr>
            <w:r w:rsidRPr="006E4805">
              <w:t>135.17</w:t>
            </w:r>
          </w:p>
        </w:tc>
        <w:tc>
          <w:tcPr>
            <w:tcW w:w="2288" w:type="dxa"/>
            <w:shd w:val="clear" w:color="auto" w:fill="auto"/>
          </w:tcPr>
          <w:p w14:paraId="385E2C3F" w14:textId="77777777" w:rsidR="006E4805" w:rsidRPr="006E4805" w:rsidRDefault="006E4805" w:rsidP="007929B3">
            <w:pPr>
              <w:jc w:val="center"/>
            </w:pPr>
            <w:r w:rsidRPr="006E4805">
              <w:t>152.36</w:t>
            </w:r>
          </w:p>
        </w:tc>
        <w:tc>
          <w:tcPr>
            <w:tcW w:w="2050" w:type="dxa"/>
            <w:shd w:val="clear" w:color="auto" w:fill="auto"/>
          </w:tcPr>
          <w:p w14:paraId="0FD431C0" w14:textId="77777777" w:rsidR="006E4805" w:rsidRPr="006E4805" w:rsidRDefault="006E4805" w:rsidP="007929B3">
            <w:pPr>
              <w:jc w:val="center"/>
            </w:pPr>
            <w:r w:rsidRPr="006E4805">
              <w:t>17.19</w:t>
            </w:r>
          </w:p>
        </w:tc>
      </w:tr>
      <w:tr w:rsidR="006E4805" w:rsidRPr="007929B3" w14:paraId="08F4E52A" w14:textId="77777777">
        <w:tc>
          <w:tcPr>
            <w:tcW w:w="1818" w:type="dxa"/>
            <w:shd w:val="clear" w:color="auto" w:fill="auto"/>
          </w:tcPr>
          <w:p w14:paraId="45799587" w14:textId="77777777" w:rsidR="006E4805" w:rsidRPr="000511C5" w:rsidRDefault="006E4805" w:rsidP="007929B3">
            <w:pPr>
              <w:jc w:val="center"/>
            </w:pPr>
            <w:r w:rsidRPr="000511C5">
              <w:t>OP SAIFI</w:t>
            </w:r>
          </w:p>
        </w:tc>
        <w:tc>
          <w:tcPr>
            <w:tcW w:w="1980" w:type="dxa"/>
            <w:shd w:val="clear" w:color="auto" w:fill="auto"/>
          </w:tcPr>
          <w:p w14:paraId="646A3475" w14:textId="77777777" w:rsidR="006E4805" w:rsidRPr="006E4805" w:rsidRDefault="006E4805" w:rsidP="007929B3">
            <w:pPr>
              <w:jc w:val="center"/>
            </w:pPr>
            <w:r w:rsidRPr="006E4805">
              <w:t>1.19</w:t>
            </w:r>
          </w:p>
        </w:tc>
        <w:tc>
          <w:tcPr>
            <w:tcW w:w="2288" w:type="dxa"/>
            <w:shd w:val="clear" w:color="auto" w:fill="auto"/>
          </w:tcPr>
          <w:p w14:paraId="596B533B" w14:textId="77777777" w:rsidR="006E4805" w:rsidRPr="006E4805" w:rsidRDefault="006E4805" w:rsidP="007929B3">
            <w:pPr>
              <w:jc w:val="center"/>
            </w:pPr>
            <w:r w:rsidRPr="006E4805">
              <w:t>1.34</w:t>
            </w:r>
          </w:p>
        </w:tc>
        <w:tc>
          <w:tcPr>
            <w:tcW w:w="2050" w:type="dxa"/>
            <w:shd w:val="clear" w:color="auto" w:fill="auto"/>
          </w:tcPr>
          <w:p w14:paraId="0564D967" w14:textId="77777777" w:rsidR="006E4805" w:rsidRPr="006E4805" w:rsidRDefault="006E4805" w:rsidP="007929B3">
            <w:pPr>
              <w:jc w:val="center"/>
            </w:pPr>
            <w:r w:rsidRPr="006E4805">
              <w:t>0.15</w:t>
            </w:r>
          </w:p>
        </w:tc>
      </w:tr>
      <w:tr w:rsidR="006E4805" w:rsidRPr="007929B3" w14:paraId="7D000923" w14:textId="77777777">
        <w:tc>
          <w:tcPr>
            <w:tcW w:w="1818" w:type="dxa"/>
            <w:shd w:val="clear" w:color="auto" w:fill="auto"/>
          </w:tcPr>
          <w:p w14:paraId="36083E32" w14:textId="77777777" w:rsidR="006E4805" w:rsidRPr="000511C5" w:rsidRDefault="006E4805" w:rsidP="007929B3">
            <w:pPr>
              <w:jc w:val="center"/>
            </w:pPr>
            <w:r w:rsidRPr="000511C5">
              <w:t>OP CAIDI</w:t>
            </w:r>
          </w:p>
        </w:tc>
        <w:tc>
          <w:tcPr>
            <w:tcW w:w="1980" w:type="dxa"/>
            <w:shd w:val="clear" w:color="auto" w:fill="auto"/>
          </w:tcPr>
          <w:p w14:paraId="7546D802" w14:textId="77777777" w:rsidR="006E4805" w:rsidRPr="006E4805" w:rsidRDefault="006E4805" w:rsidP="007929B3">
            <w:pPr>
              <w:jc w:val="center"/>
            </w:pPr>
            <w:r w:rsidRPr="006E4805">
              <w:t>169.22</w:t>
            </w:r>
          </w:p>
        </w:tc>
        <w:tc>
          <w:tcPr>
            <w:tcW w:w="2288" w:type="dxa"/>
            <w:shd w:val="clear" w:color="auto" w:fill="auto"/>
          </w:tcPr>
          <w:p w14:paraId="39D9A862" w14:textId="77777777" w:rsidR="006E4805" w:rsidRPr="006E4805" w:rsidRDefault="006E4805" w:rsidP="007929B3">
            <w:pPr>
              <w:jc w:val="center"/>
            </w:pPr>
            <w:r w:rsidRPr="006E4805">
              <w:t>152.36</w:t>
            </w:r>
          </w:p>
        </w:tc>
        <w:tc>
          <w:tcPr>
            <w:tcW w:w="2050" w:type="dxa"/>
            <w:shd w:val="clear" w:color="auto" w:fill="auto"/>
          </w:tcPr>
          <w:p w14:paraId="6E1D818E" w14:textId="77777777" w:rsidR="006E4805" w:rsidRPr="006E4805" w:rsidRDefault="00E92E12" w:rsidP="007929B3">
            <w:pPr>
              <w:jc w:val="center"/>
            </w:pPr>
            <w:r>
              <w:t>(</w:t>
            </w:r>
            <w:r w:rsidR="006E4805" w:rsidRPr="006E4805">
              <w:t>16.86</w:t>
            </w:r>
            <w:r>
              <w:t>)</w:t>
            </w:r>
          </w:p>
        </w:tc>
      </w:tr>
    </w:tbl>
    <w:p w14:paraId="056B7AEE" w14:textId="77777777" w:rsidR="00D07DF3" w:rsidRPr="00D07DF3" w:rsidRDefault="00D07DF3" w:rsidP="006E4805">
      <w:pPr>
        <w:ind w:left="720"/>
        <w:jc w:val="center"/>
      </w:pPr>
    </w:p>
    <w:p w14:paraId="0757AFA4" w14:textId="0716E749" w:rsidR="006E4805" w:rsidRDefault="0060502F" w:rsidP="006A52B1">
      <w:pPr>
        <w:spacing w:line="480" w:lineRule="auto"/>
        <w:ind w:firstLine="720"/>
      </w:pPr>
      <w:r>
        <w:t>As can be seen above, AEP Ohio is prop</w:t>
      </w:r>
      <w:r w:rsidR="00322780">
        <w:t xml:space="preserve">osing reliability standards </w:t>
      </w:r>
      <w:r w:rsidR="008C2F3D">
        <w:t xml:space="preserve">that </w:t>
      </w:r>
      <w:r w:rsidR="00322780">
        <w:t>can</w:t>
      </w:r>
      <w:r>
        <w:t xml:space="preserve"> result in </w:t>
      </w:r>
      <w:r w:rsidR="00322780">
        <w:t>OP</w:t>
      </w:r>
      <w:r w:rsidR="002F42DA">
        <w:t xml:space="preserve"> customers </w:t>
      </w:r>
      <w:r w:rsidR="00322780">
        <w:t>being subject to reliability standards that would permit</w:t>
      </w:r>
      <w:r>
        <w:t xml:space="preserve"> more frequent outages </w:t>
      </w:r>
      <w:r w:rsidR="006145AF">
        <w:t xml:space="preserve">(by approximately 13%) </w:t>
      </w:r>
      <w:r>
        <w:t xml:space="preserve">and </w:t>
      </w:r>
      <w:r w:rsidR="002F42DA">
        <w:t xml:space="preserve">CSP customers </w:t>
      </w:r>
      <w:r w:rsidR="00322780">
        <w:t>being subject to reliability standards that permit</w:t>
      </w:r>
      <w:r>
        <w:t xml:space="preserve"> longer duration outages</w:t>
      </w:r>
      <w:r w:rsidR="006145AF">
        <w:t xml:space="preserve"> (by approximately 13%)</w:t>
      </w:r>
      <w:r w:rsidR="00906DD9">
        <w:t xml:space="preserve">.  </w:t>
      </w:r>
      <w:r w:rsidR="006145AF">
        <w:t xml:space="preserve">OCC appreciates that the proposed reliability standards result in some improvement over the current standards.  However, an outcome that results in less stringent reliability standards for the OP SAIFI and CSP CAIDI standards from a consolidation of the two service territories </w:t>
      </w:r>
      <w:r w:rsidR="00121328">
        <w:t xml:space="preserve">is unjust and unreasonable and contradictory to the reasoning the Commission used in approving the merger in the first place.  The </w:t>
      </w:r>
      <w:r w:rsidR="00F506AB">
        <w:t xml:space="preserve">Commission approved </w:t>
      </w:r>
      <w:r w:rsidR="00121328">
        <w:t xml:space="preserve">the merger </w:t>
      </w:r>
      <w:r w:rsidR="00F506AB">
        <w:t xml:space="preserve">with the understanding </w:t>
      </w:r>
      <w:r w:rsidR="00355A9C">
        <w:t>from the Application t</w:t>
      </w:r>
      <w:r w:rsidR="00F506AB">
        <w:t xml:space="preserve">hat </w:t>
      </w:r>
      <w:r w:rsidR="00355A9C">
        <w:t>there was no adverse impact in reliability</w:t>
      </w:r>
      <w:r w:rsidR="00355A9C">
        <w:rPr>
          <w:rStyle w:val="FootnoteReference"/>
        </w:rPr>
        <w:footnoteReference w:id="32"/>
      </w:r>
      <w:r w:rsidR="00355A9C">
        <w:t xml:space="preserve"> and that </w:t>
      </w:r>
      <w:r w:rsidR="00121328" w:rsidRPr="00F506AB">
        <w:rPr>
          <w:b/>
        </w:rPr>
        <w:t>public interest would not be compromised</w:t>
      </w:r>
      <w:r w:rsidR="00121328">
        <w:t xml:space="preserve"> because the pre-merger rates, terms and conditions of service that were in effect </w:t>
      </w:r>
      <w:r w:rsidR="00EE0B0F">
        <w:t xml:space="preserve">at the time </w:t>
      </w:r>
      <w:r w:rsidR="00121328">
        <w:t>would not change until otherwise ordered by the Commission.</w:t>
      </w:r>
    </w:p>
    <w:p w14:paraId="49F9DC60" w14:textId="77777777" w:rsidR="00121328" w:rsidRPr="00A467C8" w:rsidRDefault="00227848" w:rsidP="00CB7AAD">
      <w:pPr>
        <w:spacing w:after="240"/>
        <w:ind w:left="1440" w:right="720"/>
      </w:pPr>
      <w:r w:rsidRPr="00A467C8">
        <w:t xml:space="preserve">Further, the Companies reason that the merger will not adversely rates as the pre-merger distribution rates, terms, and </w:t>
      </w:r>
      <w:r w:rsidRPr="00A467C8">
        <w:rPr>
          <w:b/>
        </w:rPr>
        <w:t>conditions of service</w:t>
      </w:r>
      <w:r w:rsidRPr="00A467C8">
        <w:t xml:space="preserve"> presently in effect for each Company will continue until otherwise ordered by the Commission.</w:t>
      </w:r>
      <w:r w:rsidR="00B50DAC" w:rsidRPr="00B50DAC">
        <w:rPr>
          <w:rStyle w:val="FootnoteReference"/>
        </w:rPr>
        <w:t xml:space="preserve"> </w:t>
      </w:r>
      <w:r w:rsidR="00B50DAC">
        <w:rPr>
          <w:rStyle w:val="FootnoteReference"/>
        </w:rPr>
        <w:footnoteReference w:id="33"/>
      </w:r>
      <w:r w:rsidR="00F506AB" w:rsidRPr="00A467C8">
        <w:t xml:space="preserve"> (Emphasis added)</w:t>
      </w:r>
      <w:r w:rsidR="00295A6A">
        <w:t>.</w:t>
      </w:r>
    </w:p>
    <w:p w14:paraId="118838C0" w14:textId="4E815049" w:rsidR="006D4A7A" w:rsidRDefault="00F506AB" w:rsidP="00D07DF3">
      <w:pPr>
        <w:spacing w:line="480" w:lineRule="auto"/>
        <w:ind w:firstLine="720"/>
      </w:pPr>
      <w:r>
        <w:t xml:space="preserve">Yet </w:t>
      </w:r>
      <w:r w:rsidR="00B05A62">
        <w:t xml:space="preserve">the </w:t>
      </w:r>
      <w:r w:rsidR="00CE467E">
        <w:t xml:space="preserve">AEP Ohio </w:t>
      </w:r>
      <w:r w:rsidR="00B05A62">
        <w:t>Appl</w:t>
      </w:r>
      <w:r w:rsidR="00BD2D58">
        <w:t>ication represents a</w:t>
      </w:r>
      <w:r w:rsidR="00B05A62">
        <w:t xml:space="preserve"> degradation </w:t>
      </w:r>
      <w:r w:rsidR="005B0CD7">
        <w:t xml:space="preserve">in the conditions for service </w:t>
      </w:r>
      <w:r w:rsidR="00BD2D58">
        <w:t>given</w:t>
      </w:r>
      <w:r w:rsidR="00B05A62">
        <w:t xml:space="preserve"> </w:t>
      </w:r>
      <w:r w:rsidR="00BD2D58">
        <w:t xml:space="preserve">that </w:t>
      </w:r>
      <w:r w:rsidR="005B0CD7">
        <w:t>C</w:t>
      </w:r>
      <w:r w:rsidR="00EE0B0F">
        <w:t xml:space="preserve">olumbus Southern Power </w:t>
      </w:r>
      <w:r w:rsidR="00BD2D58">
        <w:t xml:space="preserve">customers could experience longer duration outages </w:t>
      </w:r>
      <w:r w:rsidR="00EE0B0F">
        <w:t>and Ohio Power</w:t>
      </w:r>
      <w:r w:rsidR="00CE467E">
        <w:t xml:space="preserve"> customers </w:t>
      </w:r>
      <w:r w:rsidR="00BD2D58">
        <w:t>c</w:t>
      </w:r>
      <w:r w:rsidR="007F6168">
        <w:t xml:space="preserve">ould </w:t>
      </w:r>
      <w:r w:rsidR="00BD2D58">
        <w:t>experience more frequent outages</w:t>
      </w:r>
      <w:r w:rsidR="00B05A62">
        <w:t xml:space="preserve"> b</w:t>
      </w:r>
      <w:r w:rsidR="001B6D6C">
        <w:t xml:space="preserve">ecause the proposed reliability standards are </w:t>
      </w:r>
      <w:r w:rsidR="00BD2D58">
        <w:t xml:space="preserve">less stringent compared to </w:t>
      </w:r>
      <w:r w:rsidR="001B6D6C">
        <w:t xml:space="preserve">the current </w:t>
      </w:r>
      <w:r w:rsidR="00B05A62">
        <w:t>reliability standards</w:t>
      </w:r>
      <w:r w:rsidR="00C563F3">
        <w:t xml:space="preserve">.  </w:t>
      </w:r>
      <w:r w:rsidR="006D4A7A">
        <w:t>Specifically the Application claimed that there would be no detrimental impact in the reliability of service that CSP and OPC customers receive</w:t>
      </w:r>
      <w:r w:rsidR="00E834B1">
        <w:t>:</w:t>
      </w:r>
    </w:p>
    <w:p w14:paraId="31F5EA7A" w14:textId="51F1E632" w:rsidR="006D4A7A" w:rsidRPr="00A467C8" w:rsidRDefault="006D4A7A" w:rsidP="00CB7AAD">
      <w:pPr>
        <w:spacing w:after="240"/>
        <w:ind w:left="1440" w:right="720"/>
      </w:pPr>
      <w:r w:rsidRPr="00A467C8">
        <w:t>The merger of CSP into OPCo will have no detri</w:t>
      </w:r>
      <w:r w:rsidR="008C2F3D">
        <w:t>mental impact on CSP’</w:t>
      </w:r>
      <w:r w:rsidR="007F6168">
        <w:t>s and OPCo’</w:t>
      </w:r>
      <w:r w:rsidRPr="00A467C8">
        <w:t>s customers, either in the cost of obtaining utility service or in the adequacy and reliability of the service that they receive.</w:t>
      </w:r>
      <w:r w:rsidR="00440E37">
        <w:rPr>
          <w:rStyle w:val="FootnoteReference"/>
        </w:rPr>
        <w:footnoteReference w:id="34"/>
      </w:r>
    </w:p>
    <w:p w14:paraId="42312429" w14:textId="77777777" w:rsidR="003731F9" w:rsidRDefault="006D4A7A" w:rsidP="00D07DF3">
      <w:pPr>
        <w:spacing w:line="480" w:lineRule="auto"/>
        <w:ind w:firstLine="720"/>
      </w:pPr>
      <w:r>
        <w:t>T</w:t>
      </w:r>
      <w:r w:rsidR="00B42E4A">
        <w:t xml:space="preserve">his </w:t>
      </w:r>
      <w:r w:rsidR="001C5B21">
        <w:t>statement by AEP Ohio is especially disingenuous considering the Company is now proposing a retroactive change in the reliability standards for even the year 2012.  Given the conditions for reliability of service that the Commission approved in the merger case, the Commission must now find the AEP Ohio proposal</w:t>
      </w:r>
      <w:r w:rsidR="003A49B2">
        <w:t xml:space="preserve"> </w:t>
      </w:r>
      <w:r w:rsidR="001F61D8">
        <w:t>--</w:t>
      </w:r>
      <w:r w:rsidR="003A49B2">
        <w:t xml:space="preserve"> </w:t>
      </w:r>
      <w:r w:rsidR="001C5B21">
        <w:t>to combine reliability standards</w:t>
      </w:r>
      <w:r w:rsidR="003A49B2">
        <w:t xml:space="preserve"> </w:t>
      </w:r>
      <w:r w:rsidR="001F61D8">
        <w:t>--</w:t>
      </w:r>
      <w:r w:rsidR="003A49B2">
        <w:t xml:space="preserve"> </w:t>
      </w:r>
      <w:r w:rsidR="00D07DF3">
        <w:t>to be unjust and unreasonable.</w:t>
      </w:r>
    </w:p>
    <w:p w14:paraId="72450A90" w14:textId="4818F8A9" w:rsidR="003731F9" w:rsidRPr="000A47C0" w:rsidRDefault="000A47C0" w:rsidP="00654100">
      <w:pPr>
        <w:pStyle w:val="Heading2"/>
      </w:pPr>
      <w:bookmarkStart w:id="12" w:name="_Toc345082970"/>
      <w:r w:rsidRPr="000A47C0">
        <w:t>E.</w:t>
      </w:r>
      <w:r w:rsidRPr="000A47C0">
        <w:tab/>
      </w:r>
      <w:bookmarkStart w:id="13" w:name="_Toc344714694"/>
      <w:r w:rsidR="003731F9" w:rsidRPr="000A47C0">
        <w:t xml:space="preserve">The </w:t>
      </w:r>
      <w:r w:rsidR="00FE0555" w:rsidRPr="000A47C0">
        <w:t xml:space="preserve">AEP Ohio Application </w:t>
      </w:r>
      <w:r w:rsidR="00CB7AAD" w:rsidRPr="000A47C0">
        <w:t xml:space="preserve">For A Combined Reliability Standard Is Unjust And Unreasonable Because The Service Area Geography </w:t>
      </w:r>
      <w:r w:rsidR="00C66967" w:rsidRPr="000A47C0">
        <w:t>In Both Areas Is</w:t>
      </w:r>
      <w:r w:rsidR="00CB7AAD" w:rsidRPr="000A47C0">
        <w:t xml:space="preserve"> Uniquely Suited For Having Individual Reliability Standards.</w:t>
      </w:r>
      <w:bookmarkEnd w:id="12"/>
      <w:bookmarkEnd w:id="13"/>
    </w:p>
    <w:p w14:paraId="5DB33610" w14:textId="0667841D" w:rsidR="00351EEE" w:rsidRDefault="000E7D8F" w:rsidP="00D07DF3">
      <w:pPr>
        <w:spacing w:line="480" w:lineRule="auto"/>
        <w:ind w:firstLine="720"/>
      </w:pPr>
      <w:r>
        <w:t>As seen in Table 4, t</w:t>
      </w:r>
      <w:r w:rsidR="00CE467E">
        <w:t>he</w:t>
      </w:r>
      <w:r>
        <w:t xml:space="preserve">re are significant differences in the reliability standards for CSP and OP because there are major differences in the service area geography between the two areas.  </w:t>
      </w:r>
      <w:r w:rsidR="00B96E8C">
        <w:t>Because AEP Ohio operates in all four quadrants of the state,</w:t>
      </w:r>
      <w:r w:rsidR="00B11A1B">
        <w:rPr>
          <w:rStyle w:val="FootnoteReference"/>
        </w:rPr>
        <w:footnoteReference w:id="35"/>
      </w:r>
      <w:r w:rsidR="00B96E8C">
        <w:t xml:space="preserve"> there are </w:t>
      </w:r>
      <w:r w:rsidR="00E7775B">
        <w:t xml:space="preserve">considerable </w:t>
      </w:r>
      <w:r w:rsidR="00B96E8C">
        <w:t xml:space="preserve">variances in weather, forestry, and many other factors that </w:t>
      </w:r>
      <w:r w:rsidR="00FE0555">
        <w:t xml:space="preserve">directly influence the </w:t>
      </w:r>
      <w:r w:rsidR="00B96E8C">
        <w:t xml:space="preserve">reliability </w:t>
      </w:r>
      <w:r w:rsidR="00FE0555">
        <w:t xml:space="preserve">performance in </w:t>
      </w:r>
      <w:r w:rsidR="00E7775B">
        <w:t>each area.</w:t>
      </w:r>
      <w:r w:rsidR="00B50DAC">
        <w:rPr>
          <w:rStyle w:val="FootnoteReference"/>
        </w:rPr>
        <w:footnoteReference w:id="36"/>
      </w:r>
      <w:r w:rsidR="00E7775B">
        <w:t xml:space="preserve">  </w:t>
      </w:r>
      <w:r w:rsidR="00B96E8C">
        <w:t xml:space="preserve">One </w:t>
      </w:r>
      <w:r w:rsidR="00B11A1B">
        <w:t xml:space="preserve">service area has a </w:t>
      </w:r>
      <w:r w:rsidR="00E7775B">
        <w:t xml:space="preserve">preponderance </w:t>
      </w:r>
      <w:r w:rsidR="00B11A1B">
        <w:t xml:space="preserve">of </w:t>
      </w:r>
      <w:r>
        <w:t xml:space="preserve">rural </w:t>
      </w:r>
      <w:r w:rsidR="00E7775B">
        <w:t>territory</w:t>
      </w:r>
      <w:r w:rsidR="007F6168">
        <w:t xml:space="preserve"> (OP)</w:t>
      </w:r>
      <w:r w:rsidR="00E7775B">
        <w:t xml:space="preserve">, </w:t>
      </w:r>
      <w:r>
        <w:t xml:space="preserve">whereas the other area </w:t>
      </w:r>
      <w:r w:rsidR="00E7775B">
        <w:t>is more of a</w:t>
      </w:r>
      <w:r w:rsidR="00D07DF3">
        <w:t>n</w:t>
      </w:r>
      <w:r w:rsidR="00E7775B">
        <w:t xml:space="preserve"> </w:t>
      </w:r>
      <w:r>
        <w:t>urban</w:t>
      </w:r>
      <w:r w:rsidR="00FE0555">
        <w:t xml:space="preserve"> </w:t>
      </w:r>
      <w:r w:rsidR="00B11A1B">
        <w:t>environment</w:t>
      </w:r>
      <w:r w:rsidR="007F6168">
        <w:t xml:space="preserve"> (CSP)</w:t>
      </w:r>
      <w:r w:rsidR="00B11A1B">
        <w:t xml:space="preserve">.  </w:t>
      </w:r>
      <w:r w:rsidR="00755D66">
        <w:t>In fact, the Company discusses the geographic differences in great detail in its prior service reliability standards Application.</w:t>
      </w:r>
      <w:r w:rsidR="00755D66">
        <w:rPr>
          <w:rStyle w:val="FootnoteReference"/>
        </w:rPr>
        <w:footnoteReference w:id="37"/>
      </w:r>
      <w:r w:rsidR="00755D66">
        <w:t xml:space="preserve">  In addition, the Company made references to the operating characteristics of heavily forested, </w:t>
      </w:r>
      <w:r w:rsidR="008C2F3D">
        <w:t>unglaciated</w:t>
      </w:r>
      <w:r w:rsidR="00755D66">
        <w:t xml:space="preserve"> regions of the state.</w:t>
      </w:r>
      <w:r w:rsidR="00755D66">
        <w:rPr>
          <w:rStyle w:val="FootnoteReference"/>
        </w:rPr>
        <w:footnoteReference w:id="38"/>
      </w:r>
      <w:r w:rsidR="00755D66">
        <w:t xml:space="preserve">  Yet at the same time, the central region is densely populated.  </w:t>
      </w:r>
      <w:r w:rsidR="00B11A1B">
        <w:t>Historical</w:t>
      </w:r>
      <w:r w:rsidR="00E7775B">
        <w:t xml:space="preserve">ly, </w:t>
      </w:r>
      <w:r w:rsidR="00B11A1B">
        <w:t xml:space="preserve">reliability performance </w:t>
      </w:r>
      <w:r w:rsidR="00E7775B">
        <w:t>for the two areas tend</w:t>
      </w:r>
      <w:r w:rsidR="006A52B1">
        <w:t>s</w:t>
      </w:r>
      <w:r w:rsidR="00E7775B">
        <w:t xml:space="preserve"> to </w:t>
      </w:r>
      <w:r w:rsidR="00B11A1B">
        <w:t>reflect</w:t>
      </w:r>
      <w:r w:rsidR="00E7775B">
        <w:t xml:space="preserve"> </w:t>
      </w:r>
      <w:r w:rsidR="00AC237A">
        <w:t>OP ha</w:t>
      </w:r>
      <w:r w:rsidR="00FE0555">
        <w:t xml:space="preserve">ving a </w:t>
      </w:r>
      <w:r w:rsidR="00AC237A">
        <w:t>lower SAIFI and higher CAIDI</w:t>
      </w:r>
      <w:r w:rsidR="00BA5CD1">
        <w:t>;</w:t>
      </w:r>
      <w:r w:rsidR="00AC237A">
        <w:t xml:space="preserve"> whereas CSP </w:t>
      </w:r>
      <w:r w:rsidR="00E7775B">
        <w:t xml:space="preserve">tends to have a </w:t>
      </w:r>
      <w:r w:rsidR="00AC237A">
        <w:t>higher SAIFI and lower CAIDI.</w:t>
      </w:r>
      <w:r w:rsidR="00983F82">
        <w:t xml:space="preserve">  Table </w:t>
      </w:r>
      <w:r w:rsidR="00B11A1B">
        <w:t>5</w:t>
      </w:r>
      <w:r w:rsidR="00983F82">
        <w:t xml:space="preserve"> and </w:t>
      </w:r>
      <w:r w:rsidR="00B11A1B">
        <w:t>6</w:t>
      </w:r>
      <w:r w:rsidR="00983F82">
        <w:t xml:space="preserve"> provides a comparison of the SAIFI and CAIDI reliability performance over the last three years. </w:t>
      </w:r>
      <w:r w:rsidR="00AC237A">
        <w:t xml:space="preserve">  </w:t>
      </w:r>
    </w:p>
    <w:p w14:paraId="3F2DF87A" w14:textId="77777777" w:rsidR="00160C77" w:rsidRDefault="00160C77" w:rsidP="006E3EFB"/>
    <w:tbl>
      <w:tblPr>
        <w:tblW w:w="9720" w:type="dxa"/>
        <w:tblInd w:w="-432" w:type="dxa"/>
        <w:tblLayout w:type="fixed"/>
        <w:tblLook w:val="04A0" w:firstRow="1" w:lastRow="0" w:firstColumn="1" w:lastColumn="0" w:noHBand="0" w:noVBand="1"/>
      </w:tblPr>
      <w:tblGrid>
        <w:gridCol w:w="1080"/>
        <w:gridCol w:w="1440"/>
        <w:gridCol w:w="1350"/>
        <w:gridCol w:w="1530"/>
        <w:gridCol w:w="1440"/>
        <w:gridCol w:w="1440"/>
        <w:gridCol w:w="1440"/>
      </w:tblGrid>
      <w:tr w:rsidR="00654100" w:rsidRPr="007249A4" w14:paraId="2170AC58" w14:textId="77777777" w:rsidTr="00592A3E">
        <w:trPr>
          <w:trHeight w:val="315"/>
        </w:trPr>
        <w:tc>
          <w:tcPr>
            <w:tcW w:w="9720" w:type="dxa"/>
            <w:gridSpan w:val="7"/>
            <w:tcBorders>
              <w:top w:val="single" w:sz="8" w:space="0" w:color="auto"/>
              <w:left w:val="single" w:sz="8" w:space="0" w:color="auto"/>
              <w:bottom w:val="single" w:sz="8" w:space="0" w:color="auto"/>
              <w:right w:val="single" w:sz="8" w:space="0" w:color="000000"/>
            </w:tcBorders>
            <w:noWrap/>
            <w:vAlign w:val="bottom"/>
          </w:tcPr>
          <w:p w14:paraId="531A8FA6" w14:textId="77777777" w:rsidR="00654100" w:rsidRPr="007249A4" w:rsidRDefault="00654100">
            <w:pPr>
              <w:jc w:val="center"/>
              <w:rPr>
                <w:b/>
                <w:bCs/>
                <w:color w:val="000000"/>
              </w:rPr>
            </w:pPr>
            <w:r w:rsidRPr="00654100">
              <w:rPr>
                <w:b/>
                <w:color w:val="000000"/>
              </w:rPr>
              <w:t>Table 5</w:t>
            </w:r>
          </w:p>
          <w:p w14:paraId="3D05C559" w14:textId="77777777" w:rsidR="00654100" w:rsidRPr="00654100" w:rsidRDefault="00654100">
            <w:pPr>
              <w:jc w:val="center"/>
              <w:rPr>
                <w:b/>
                <w:color w:val="000000"/>
              </w:rPr>
            </w:pPr>
            <w:r>
              <w:rPr>
                <w:b/>
                <w:bCs/>
                <w:color w:val="000000"/>
              </w:rPr>
              <w:t>CSP and OP</w:t>
            </w:r>
            <w:r w:rsidRPr="007249A4">
              <w:rPr>
                <w:b/>
                <w:bCs/>
                <w:color w:val="000000"/>
              </w:rPr>
              <w:t xml:space="preserve"> SAIFI Performance 2009 - 2011</w:t>
            </w:r>
          </w:p>
        </w:tc>
      </w:tr>
      <w:tr w:rsidR="005D2235" w:rsidRPr="007249A4" w14:paraId="3744A97A" w14:textId="77777777">
        <w:trPr>
          <w:trHeight w:val="1020"/>
        </w:trPr>
        <w:tc>
          <w:tcPr>
            <w:tcW w:w="1080" w:type="dxa"/>
            <w:tcBorders>
              <w:top w:val="nil"/>
              <w:left w:val="single" w:sz="8" w:space="0" w:color="auto"/>
              <w:bottom w:val="single" w:sz="4" w:space="0" w:color="auto"/>
              <w:right w:val="single" w:sz="4" w:space="0" w:color="auto"/>
            </w:tcBorders>
            <w:shd w:val="clear" w:color="auto" w:fill="auto"/>
            <w:vAlign w:val="center"/>
          </w:tcPr>
          <w:p w14:paraId="1E41A324" w14:textId="77777777" w:rsidR="0016155B" w:rsidRPr="007249A4" w:rsidRDefault="0016155B" w:rsidP="008C2F3D">
            <w:pPr>
              <w:jc w:val="center"/>
              <w:rPr>
                <w:color w:val="000000"/>
              </w:rPr>
            </w:pPr>
            <w:r w:rsidRPr="007249A4">
              <w:rPr>
                <w:color w:val="000000"/>
              </w:rPr>
              <w:t>Year</w:t>
            </w:r>
          </w:p>
        </w:tc>
        <w:tc>
          <w:tcPr>
            <w:tcW w:w="1440" w:type="dxa"/>
            <w:tcBorders>
              <w:top w:val="nil"/>
              <w:left w:val="nil"/>
              <w:bottom w:val="single" w:sz="4" w:space="0" w:color="auto"/>
              <w:right w:val="single" w:sz="4" w:space="0" w:color="auto"/>
            </w:tcBorders>
            <w:shd w:val="clear" w:color="auto" w:fill="auto"/>
            <w:vAlign w:val="center"/>
          </w:tcPr>
          <w:p w14:paraId="571C5D1D" w14:textId="77777777" w:rsidR="0016155B" w:rsidRPr="00654100" w:rsidRDefault="0016155B">
            <w:pPr>
              <w:rPr>
                <w:color w:val="000000"/>
              </w:rPr>
            </w:pPr>
            <w:r w:rsidRPr="00654100">
              <w:rPr>
                <w:color w:val="000000"/>
              </w:rPr>
              <w:t>CSP SAIFI (Without Exclusions)</w:t>
            </w:r>
          </w:p>
        </w:tc>
        <w:tc>
          <w:tcPr>
            <w:tcW w:w="1350" w:type="dxa"/>
            <w:tcBorders>
              <w:top w:val="nil"/>
              <w:left w:val="nil"/>
              <w:bottom w:val="single" w:sz="4" w:space="0" w:color="auto"/>
              <w:right w:val="nil"/>
            </w:tcBorders>
            <w:shd w:val="clear" w:color="auto" w:fill="auto"/>
            <w:vAlign w:val="center"/>
          </w:tcPr>
          <w:p w14:paraId="762D14D9" w14:textId="7A906A9B" w:rsidR="0016155B" w:rsidRPr="00654100" w:rsidRDefault="0016155B" w:rsidP="00654100">
            <w:pPr>
              <w:rPr>
                <w:color w:val="000000"/>
              </w:rPr>
            </w:pPr>
            <w:r w:rsidRPr="007249A4">
              <w:rPr>
                <w:color w:val="000000"/>
              </w:rPr>
              <w:t>OP SAIFI (Without Exclusions)</w:t>
            </w:r>
          </w:p>
        </w:tc>
        <w:tc>
          <w:tcPr>
            <w:tcW w:w="1530" w:type="dxa"/>
            <w:tcBorders>
              <w:top w:val="nil"/>
              <w:left w:val="single" w:sz="8" w:space="0" w:color="auto"/>
              <w:bottom w:val="single" w:sz="4" w:space="0" w:color="auto"/>
              <w:right w:val="single" w:sz="8" w:space="0" w:color="auto"/>
            </w:tcBorders>
            <w:shd w:val="clear" w:color="auto" w:fill="auto"/>
            <w:vAlign w:val="center"/>
          </w:tcPr>
          <w:p w14:paraId="3A85B794" w14:textId="1156B6D2" w:rsidR="0016155B" w:rsidRPr="00654100" w:rsidRDefault="0016155B" w:rsidP="00654100">
            <w:pPr>
              <w:rPr>
                <w:b/>
                <w:color w:val="000000"/>
              </w:rPr>
            </w:pPr>
            <w:r w:rsidRPr="007249A4">
              <w:rPr>
                <w:b/>
                <w:bCs/>
                <w:color w:val="000000"/>
              </w:rPr>
              <w:t>CSP-OP SAIFI (Without Exclusions)</w:t>
            </w:r>
          </w:p>
        </w:tc>
        <w:tc>
          <w:tcPr>
            <w:tcW w:w="1440" w:type="dxa"/>
            <w:tcBorders>
              <w:top w:val="nil"/>
              <w:left w:val="nil"/>
              <w:bottom w:val="single" w:sz="4" w:space="0" w:color="auto"/>
              <w:right w:val="single" w:sz="4" w:space="0" w:color="auto"/>
            </w:tcBorders>
            <w:shd w:val="clear" w:color="auto" w:fill="auto"/>
            <w:vAlign w:val="center"/>
          </w:tcPr>
          <w:p w14:paraId="36E06E3A" w14:textId="46B0492A" w:rsidR="0016155B" w:rsidRPr="00654100" w:rsidRDefault="0016155B" w:rsidP="00654100">
            <w:pPr>
              <w:rPr>
                <w:color w:val="000000"/>
              </w:rPr>
            </w:pPr>
            <w:r w:rsidRPr="007249A4">
              <w:rPr>
                <w:color w:val="000000"/>
              </w:rPr>
              <w:t>CSP SAIFI (With Exclusions)</w:t>
            </w:r>
          </w:p>
        </w:tc>
        <w:tc>
          <w:tcPr>
            <w:tcW w:w="1440" w:type="dxa"/>
            <w:tcBorders>
              <w:top w:val="nil"/>
              <w:left w:val="nil"/>
              <w:bottom w:val="single" w:sz="4" w:space="0" w:color="auto"/>
              <w:right w:val="nil"/>
            </w:tcBorders>
            <w:shd w:val="clear" w:color="auto" w:fill="auto"/>
            <w:vAlign w:val="center"/>
          </w:tcPr>
          <w:p w14:paraId="5AF16928" w14:textId="77777777" w:rsidR="0016155B" w:rsidRPr="007249A4" w:rsidRDefault="0016155B" w:rsidP="008C2F3D">
            <w:pPr>
              <w:rPr>
                <w:color w:val="000000"/>
              </w:rPr>
            </w:pPr>
            <w:r w:rsidRPr="007249A4">
              <w:rPr>
                <w:color w:val="000000"/>
              </w:rPr>
              <w:t>OP SAIFI (With Exclusions)</w:t>
            </w:r>
          </w:p>
        </w:tc>
        <w:tc>
          <w:tcPr>
            <w:tcW w:w="1440" w:type="dxa"/>
            <w:tcBorders>
              <w:top w:val="nil"/>
              <w:left w:val="single" w:sz="8" w:space="0" w:color="auto"/>
              <w:bottom w:val="single" w:sz="4" w:space="0" w:color="auto"/>
              <w:right w:val="single" w:sz="8" w:space="0" w:color="auto"/>
            </w:tcBorders>
            <w:shd w:val="clear" w:color="auto" w:fill="auto"/>
            <w:vAlign w:val="center"/>
          </w:tcPr>
          <w:p w14:paraId="7A5C054F" w14:textId="77777777" w:rsidR="0016155B" w:rsidRPr="007249A4" w:rsidRDefault="0016155B" w:rsidP="008C2F3D">
            <w:pPr>
              <w:rPr>
                <w:b/>
                <w:bCs/>
                <w:color w:val="000000"/>
              </w:rPr>
            </w:pPr>
            <w:r w:rsidRPr="007249A4">
              <w:rPr>
                <w:b/>
                <w:bCs/>
                <w:color w:val="000000"/>
              </w:rPr>
              <w:t>CSP-OP SAIFI (With Exclusions)</w:t>
            </w:r>
          </w:p>
        </w:tc>
      </w:tr>
      <w:tr w:rsidR="0016155B" w:rsidRPr="007249A4" w14:paraId="794396C0" w14:textId="77777777">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tcPr>
          <w:p w14:paraId="602677DF" w14:textId="77777777" w:rsidR="0016155B" w:rsidRPr="007249A4" w:rsidRDefault="0016155B" w:rsidP="007249A4">
            <w:pPr>
              <w:jc w:val="center"/>
              <w:rPr>
                <w:color w:val="000000"/>
              </w:rPr>
            </w:pPr>
            <w:r w:rsidRPr="007249A4">
              <w:rPr>
                <w:color w:val="000000"/>
              </w:rPr>
              <w:t>2009</w:t>
            </w:r>
          </w:p>
        </w:tc>
        <w:tc>
          <w:tcPr>
            <w:tcW w:w="1440" w:type="dxa"/>
            <w:tcBorders>
              <w:top w:val="nil"/>
              <w:left w:val="nil"/>
              <w:bottom w:val="single" w:sz="4" w:space="0" w:color="auto"/>
              <w:right w:val="single" w:sz="4" w:space="0" w:color="auto"/>
            </w:tcBorders>
            <w:shd w:val="clear" w:color="auto" w:fill="auto"/>
            <w:noWrap/>
            <w:vAlign w:val="bottom"/>
          </w:tcPr>
          <w:p w14:paraId="3ED19BF3" w14:textId="77777777" w:rsidR="0016155B" w:rsidRPr="007249A4" w:rsidRDefault="0016155B" w:rsidP="007249A4">
            <w:pPr>
              <w:jc w:val="center"/>
              <w:rPr>
                <w:color w:val="000000"/>
              </w:rPr>
            </w:pPr>
            <w:r w:rsidRPr="007249A4">
              <w:rPr>
                <w:color w:val="000000"/>
              </w:rPr>
              <w:t>1.58</w:t>
            </w:r>
          </w:p>
        </w:tc>
        <w:tc>
          <w:tcPr>
            <w:tcW w:w="1350" w:type="dxa"/>
            <w:tcBorders>
              <w:top w:val="nil"/>
              <w:left w:val="nil"/>
              <w:bottom w:val="single" w:sz="4" w:space="0" w:color="auto"/>
              <w:right w:val="nil"/>
            </w:tcBorders>
            <w:shd w:val="clear" w:color="auto" w:fill="auto"/>
            <w:noWrap/>
            <w:vAlign w:val="bottom"/>
          </w:tcPr>
          <w:p w14:paraId="0A588F60" w14:textId="77777777" w:rsidR="0016155B" w:rsidRPr="007249A4" w:rsidRDefault="0016155B" w:rsidP="007249A4">
            <w:pPr>
              <w:jc w:val="center"/>
              <w:rPr>
                <w:color w:val="000000"/>
              </w:rPr>
            </w:pPr>
            <w:r w:rsidRPr="007249A4">
              <w:rPr>
                <w:color w:val="000000"/>
              </w:rPr>
              <w:t>1.25</w:t>
            </w: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0280FE0A" w14:textId="77777777" w:rsidR="0016155B" w:rsidRPr="007249A4" w:rsidRDefault="0016155B">
            <w:pPr>
              <w:jc w:val="right"/>
              <w:rPr>
                <w:b/>
                <w:bCs/>
                <w:color w:val="000000"/>
              </w:rPr>
            </w:pPr>
            <w:r w:rsidRPr="007249A4">
              <w:rPr>
                <w:b/>
                <w:bCs/>
                <w:color w:val="000000"/>
              </w:rPr>
              <w:t>0.33</w:t>
            </w:r>
          </w:p>
        </w:tc>
        <w:tc>
          <w:tcPr>
            <w:tcW w:w="1440" w:type="dxa"/>
            <w:tcBorders>
              <w:top w:val="nil"/>
              <w:left w:val="nil"/>
              <w:bottom w:val="single" w:sz="4" w:space="0" w:color="auto"/>
              <w:right w:val="single" w:sz="4" w:space="0" w:color="auto"/>
            </w:tcBorders>
            <w:shd w:val="clear" w:color="auto" w:fill="auto"/>
            <w:noWrap/>
            <w:vAlign w:val="bottom"/>
          </w:tcPr>
          <w:p w14:paraId="299E86E6" w14:textId="77777777" w:rsidR="0016155B" w:rsidRPr="007249A4" w:rsidRDefault="0016155B" w:rsidP="007249A4">
            <w:pPr>
              <w:jc w:val="center"/>
              <w:rPr>
                <w:color w:val="000000"/>
              </w:rPr>
            </w:pPr>
            <w:r w:rsidRPr="007249A4">
              <w:rPr>
                <w:color w:val="000000"/>
              </w:rPr>
              <w:t>1.31</w:t>
            </w:r>
          </w:p>
        </w:tc>
        <w:tc>
          <w:tcPr>
            <w:tcW w:w="1440" w:type="dxa"/>
            <w:tcBorders>
              <w:top w:val="nil"/>
              <w:left w:val="nil"/>
              <w:bottom w:val="single" w:sz="4" w:space="0" w:color="auto"/>
              <w:right w:val="nil"/>
            </w:tcBorders>
            <w:shd w:val="clear" w:color="auto" w:fill="auto"/>
            <w:noWrap/>
            <w:vAlign w:val="bottom"/>
          </w:tcPr>
          <w:p w14:paraId="41A9E10D" w14:textId="77777777" w:rsidR="0016155B" w:rsidRPr="007249A4" w:rsidRDefault="0016155B" w:rsidP="007249A4">
            <w:pPr>
              <w:jc w:val="center"/>
              <w:rPr>
                <w:color w:val="000000"/>
              </w:rPr>
            </w:pPr>
            <w:r w:rsidRPr="007249A4">
              <w:rPr>
                <w:color w:val="000000"/>
              </w:rPr>
              <w:t>0.91</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2D2B82BF" w14:textId="77777777" w:rsidR="0016155B" w:rsidRPr="007249A4" w:rsidRDefault="0016155B" w:rsidP="007249A4">
            <w:pPr>
              <w:jc w:val="center"/>
              <w:rPr>
                <w:b/>
                <w:bCs/>
                <w:color w:val="000000"/>
              </w:rPr>
            </w:pPr>
            <w:r w:rsidRPr="007249A4">
              <w:rPr>
                <w:b/>
                <w:bCs/>
                <w:color w:val="000000"/>
              </w:rPr>
              <w:t>0.40</w:t>
            </w:r>
          </w:p>
        </w:tc>
      </w:tr>
      <w:tr w:rsidR="0016155B" w:rsidRPr="007249A4" w14:paraId="7248B0E7" w14:textId="77777777">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tcPr>
          <w:p w14:paraId="30FB3AE3" w14:textId="77777777" w:rsidR="0016155B" w:rsidRPr="007249A4" w:rsidRDefault="0016155B" w:rsidP="007249A4">
            <w:pPr>
              <w:jc w:val="center"/>
              <w:rPr>
                <w:color w:val="000000"/>
              </w:rPr>
            </w:pPr>
            <w:r w:rsidRPr="007249A4">
              <w:rPr>
                <w:color w:val="000000"/>
              </w:rPr>
              <w:t>2010</w:t>
            </w:r>
          </w:p>
        </w:tc>
        <w:tc>
          <w:tcPr>
            <w:tcW w:w="1440" w:type="dxa"/>
            <w:tcBorders>
              <w:top w:val="nil"/>
              <w:left w:val="nil"/>
              <w:bottom w:val="single" w:sz="4" w:space="0" w:color="auto"/>
              <w:right w:val="single" w:sz="4" w:space="0" w:color="auto"/>
            </w:tcBorders>
            <w:shd w:val="clear" w:color="auto" w:fill="auto"/>
            <w:noWrap/>
            <w:vAlign w:val="bottom"/>
          </w:tcPr>
          <w:p w14:paraId="310EE91D" w14:textId="77777777" w:rsidR="0016155B" w:rsidRPr="007249A4" w:rsidRDefault="0016155B" w:rsidP="007249A4">
            <w:pPr>
              <w:jc w:val="center"/>
              <w:rPr>
                <w:color w:val="000000"/>
              </w:rPr>
            </w:pPr>
            <w:r w:rsidRPr="007249A4">
              <w:rPr>
                <w:color w:val="000000"/>
              </w:rPr>
              <w:t>1.53</w:t>
            </w:r>
          </w:p>
        </w:tc>
        <w:tc>
          <w:tcPr>
            <w:tcW w:w="1350" w:type="dxa"/>
            <w:tcBorders>
              <w:top w:val="nil"/>
              <w:left w:val="nil"/>
              <w:bottom w:val="single" w:sz="4" w:space="0" w:color="auto"/>
              <w:right w:val="nil"/>
            </w:tcBorders>
            <w:shd w:val="clear" w:color="auto" w:fill="auto"/>
            <w:noWrap/>
            <w:vAlign w:val="bottom"/>
          </w:tcPr>
          <w:p w14:paraId="2411BE6D" w14:textId="77777777" w:rsidR="0016155B" w:rsidRPr="007249A4" w:rsidRDefault="0016155B" w:rsidP="007249A4">
            <w:pPr>
              <w:jc w:val="center"/>
              <w:rPr>
                <w:color w:val="000000"/>
              </w:rPr>
            </w:pPr>
            <w:r w:rsidRPr="007249A4">
              <w:rPr>
                <w:color w:val="000000"/>
              </w:rPr>
              <w:t>1.45</w:t>
            </w: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57C31A9C" w14:textId="77777777" w:rsidR="0016155B" w:rsidRPr="007249A4" w:rsidRDefault="0016155B">
            <w:pPr>
              <w:jc w:val="right"/>
              <w:rPr>
                <w:b/>
                <w:bCs/>
                <w:color w:val="000000"/>
              </w:rPr>
            </w:pPr>
            <w:r w:rsidRPr="007249A4">
              <w:rPr>
                <w:b/>
                <w:bCs/>
                <w:color w:val="000000"/>
              </w:rPr>
              <w:t>0.08</w:t>
            </w:r>
          </w:p>
        </w:tc>
        <w:tc>
          <w:tcPr>
            <w:tcW w:w="1440" w:type="dxa"/>
            <w:tcBorders>
              <w:top w:val="nil"/>
              <w:left w:val="nil"/>
              <w:bottom w:val="single" w:sz="4" w:space="0" w:color="auto"/>
              <w:right w:val="single" w:sz="4" w:space="0" w:color="auto"/>
            </w:tcBorders>
            <w:shd w:val="clear" w:color="auto" w:fill="auto"/>
            <w:noWrap/>
            <w:vAlign w:val="bottom"/>
          </w:tcPr>
          <w:p w14:paraId="72E0C9A8" w14:textId="77777777" w:rsidR="0016155B" w:rsidRPr="007249A4" w:rsidRDefault="0016155B" w:rsidP="007249A4">
            <w:pPr>
              <w:jc w:val="center"/>
              <w:rPr>
                <w:color w:val="000000"/>
              </w:rPr>
            </w:pPr>
            <w:r w:rsidRPr="007249A4">
              <w:rPr>
                <w:color w:val="000000"/>
              </w:rPr>
              <w:t>1.21</w:t>
            </w:r>
          </w:p>
        </w:tc>
        <w:tc>
          <w:tcPr>
            <w:tcW w:w="1440" w:type="dxa"/>
            <w:tcBorders>
              <w:top w:val="nil"/>
              <w:left w:val="nil"/>
              <w:bottom w:val="single" w:sz="4" w:space="0" w:color="auto"/>
              <w:right w:val="nil"/>
            </w:tcBorders>
            <w:shd w:val="clear" w:color="auto" w:fill="auto"/>
            <w:noWrap/>
            <w:vAlign w:val="bottom"/>
          </w:tcPr>
          <w:p w14:paraId="34A51CF4" w14:textId="77777777" w:rsidR="0016155B" w:rsidRPr="007249A4" w:rsidRDefault="0016155B" w:rsidP="007249A4">
            <w:pPr>
              <w:jc w:val="center"/>
              <w:rPr>
                <w:color w:val="000000"/>
              </w:rPr>
            </w:pPr>
            <w:r w:rsidRPr="007249A4">
              <w:rPr>
                <w:color w:val="000000"/>
              </w:rPr>
              <w:t>0.98</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3D549E46" w14:textId="77777777" w:rsidR="0016155B" w:rsidRPr="007249A4" w:rsidRDefault="0016155B" w:rsidP="007249A4">
            <w:pPr>
              <w:jc w:val="center"/>
              <w:rPr>
                <w:b/>
                <w:bCs/>
                <w:color w:val="000000"/>
              </w:rPr>
            </w:pPr>
            <w:r w:rsidRPr="007249A4">
              <w:rPr>
                <w:b/>
                <w:bCs/>
                <w:color w:val="000000"/>
              </w:rPr>
              <w:t>0.23</w:t>
            </w:r>
          </w:p>
        </w:tc>
      </w:tr>
      <w:tr w:rsidR="005D2235" w:rsidRPr="007249A4" w14:paraId="3BE62696" w14:textId="77777777">
        <w:trPr>
          <w:trHeight w:val="315"/>
        </w:trPr>
        <w:tc>
          <w:tcPr>
            <w:tcW w:w="1080" w:type="dxa"/>
            <w:tcBorders>
              <w:top w:val="nil"/>
              <w:left w:val="single" w:sz="8" w:space="0" w:color="auto"/>
              <w:bottom w:val="nil"/>
              <w:right w:val="single" w:sz="4" w:space="0" w:color="auto"/>
            </w:tcBorders>
            <w:shd w:val="clear" w:color="auto" w:fill="auto"/>
            <w:noWrap/>
            <w:vAlign w:val="bottom"/>
          </w:tcPr>
          <w:p w14:paraId="69B78713" w14:textId="73F3B6E8" w:rsidR="0016155B" w:rsidRPr="00654100" w:rsidRDefault="0016155B" w:rsidP="00654100">
            <w:pPr>
              <w:jc w:val="center"/>
              <w:rPr>
                <w:color w:val="000000"/>
              </w:rPr>
            </w:pPr>
            <w:r w:rsidRPr="007249A4">
              <w:rPr>
                <w:color w:val="000000"/>
              </w:rPr>
              <w:t>2011</w:t>
            </w:r>
          </w:p>
        </w:tc>
        <w:tc>
          <w:tcPr>
            <w:tcW w:w="1440" w:type="dxa"/>
            <w:tcBorders>
              <w:top w:val="nil"/>
              <w:left w:val="nil"/>
              <w:bottom w:val="nil"/>
              <w:right w:val="single" w:sz="4" w:space="0" w:color="auto"/>
            </w:tcBorders>
            <w:shd w:val="clear" w:color="auto" w:fill="auto"/>
            <w:noWrap/>
            <w:vAlign w:val="bottom"/>
          </w:tcPr>
          <w:p w14:paraId="40C5D92A" w14:textId="67BCDCA3" w:rsidR="0016155B" w:rsidRPr="00654100" w:rsidRDefault="0016155B" w:rsidP="007249A4">
            <w:pPr>
              <w:jc w:val="center"/>
              <w:rPr>
                <w:color w:val="000000"/>
              </w:rPr>
            </w:pPr>
            <w:r w:rsidRPr="00654100">
              <w:rPr>
                <w:color w:val="000000"/>
              </w:rPr>
              <w:t>1.</w:t>
            </w:r>
            <w:r w:rsidRPr="007249A4">
              <w:rPr>
                <w:color w:val="000000"/>
              </w:rPr>
              <w:t>91</w:t>
            </w:r>
          </w:p>
        </w:tc>
        <w:tc>
          <w:tcPr>
            <w:tcW w:w="1350" w:type="dxa"/>
            <w:tcBorders>
              <w:top w:val="nil"/>
              <w:left w:val="nil"/>
              <w:bottom w:val="nil"/>
              <w:right w:val="nil"/>
            </w:tcBorders>
            <w:shd w:val="clear" w:color="auto" w:fill="auto"/>
            <w:noWrap/>
            <w:vAlign w:val="bottom"/>
          </w:tcPr>
          <w:p w14:paraId="0129045E" w14:textId="53694AE1" w:rsidR="0016155B" w:rsidRPr="00654100" w:rsidRDefault="0016155B" w:rsidP="007249A4">
            <w:pPr>
              <w:jc w:val="center"/>
              <w:rPr>
                <w:color w:val="000000"/>
              </w:rPr>
            </w:pPr>
            <w:r w:rsidRPr="00654100">
              <w:rPr>
                <w:color w:val="000000"/>
              </w:rPr>
              <w:t>1.</w:t>
            </w:r>
            <w:r w:rsidRPr="007249A4">
              <w:rPr>
                <w:color w:val="000000"/>
              </w:rPr>
              <w:t>64</w:t>
            </w:r>
          </w:p>
        </w:tc>
        <w:tc>
          <w:tcPr>
            <w:tcW w:w="1530" w:type="dxa"/>
            <w:tcBorders>
              <w:top w:val="nil"/>
              <w:left w:val="single" w:sz="8" w:space="0" w:color="auto"/>
              <w:bottom w:val="nil"/>
              <w:right w:val="single" w:sz="8" w:space="0" w:color="auto"/>
            </w:tcBorders>
            <w:shd w:val="clear" w:color="auto" w:fill="auto"/>
            <w:noWrap/>
            <w:vAlign w:val="bottom"/>
          </w:tcPr>
          <w:p w14:paraId="1D99310A" w14:textId="77777777" w:rsidR="0016155B" w:rsidRPr="007249A4" w:rsidRDefault="0016155B">
            <w:pPr>
              <w:jc w:val="right"/>
              <w:rPr>
                <w:b/>
                <w:bCs/>
                <w:color w:val="000000"/>
              </w:rPr>
            </w:pPr>
            <w:r w:rsidRPr="007249A4">
              <w:rPr>
                <w:b/>
                <w:bCs/>
                <w:color w:val="000000"/>
              </w:rPr>
              <w:t>0.27</w:t>
            </w:r>
          </w:p>
        </w:tc>
        <w:tc>
          <w:tcPr>
            <w:tcW w:w="1440" w:type="dxa"/>
            <w:tcBorders>
              <w:top w:val="nil"/>
              <w:left w:val="nil"/>
              <w:bottom w:val="nil"/>
              <w:right w:val="single" w:sz="4" w:space="0" w:color="auto"/>
            </w:tcBorders>
            <w:shd w:val="clear" w:color="auto" w:fill="auto"/>
            <w:noWrap/>
            <w:vAlign w:val="bottom"/>
          </w:tcPr>
          <w:p w14:paraId="18FB0A87" w14:textId="77777777" w:rsidR="0016155B" w:rsidRPr="00654100" w:rsidRDefault="0016155B" w:rsidP="007249A4">
            <w:pPr>
              <w:jc w:val="center"/>
              <w:rPr>
                <w:color w:val="000000"/>
              </w:rPr>
            </w:pPr>
            <w:r w:rsidRPr="00654100">
              <w:rPr>
                <w:color w:val="000000"/>
              </w:rPr>
              <w:t>1.39</w:t>
            </w:r>
          </w:p>
        </w:tc>
        <w:tc>
          <w:tcPr>
            <w:tcW w:w="1440" w:type="dxa"/>
            <w:tcBorders>
              <w:top w:val="nil"/>
              <w:left w:val="nil"/>
              <w:bottom w:val="nil"/>
              <w:right w:val="nil"/>
            </w:tcBorders>
            <w:shd w:val="clear" w:color="auto" w:fill="auto"/>
            <w:noWrap/>
            <w:vAlign w:val="bottom"/>
          </w:tcPr>
          <w:p w14:paraId="71CF9D5E" w14:textId="77777777" w:rsidR="0016155B" w:rsidRPr="007249A4" w:rsidRDefault="0016155B" w:rsidP="007249A4">
            <w:pPr>
              <w:jc w:val="center"/>
              <w:rPr>
                <w:color w:val="000000"/>
              </w:rPr>
            </w:pPr>
            <w:r w:rsidRPr="007249A4">
              <w:rPr>
                <w:color w:val="000000"/>
              </w:rPr>
              <w:t>1.06</w:t>
            </w:r>
          </w:p>
        </w:tc>
        <w:tc>
          <w:tcPr>
            <w:tcW w:w="1440" w:type="dxa"/>
            <w:tcBorders>
              <w:top w:val="nil"/>
              <w:left w:val="single" w:sz="8" w:space="0" w:color="auto"/>
              <w:bottom w:val="nil"/>
              <w:right w:val="single" w:sz="8" w:space="0" w:color="auto"/>
            </w:tcBorders>
            <w:shd w:val="clear" w:color="auto" w:fill="auto"/>
            <w:noWrap/>
            <w:vAlign w:val="bottom"/>
          </w:tcPr>
          <w:p w14:paraId="44D509CF" w14:textId="77777777" w:rsidR="0016155B" w:rsidRPr="007249A4" w:rsidRDefault="0016155B" w:rsidP="007249A4">
            <w:pPr>
              <w:jc w:val="center"/>
              <w:rPr>
                <w:b/>
                <w:bCs/>
                <w:color w:val="000000"/>
              </w:rPr>
            </w:pPr>
            <w:r w:rsidRPr="007249A4">
              <w:rPr>
                <w:b/>
                <w:bCs/>
                <w:color w:val="000000"/>
              </w:rPr>
              <w:t>0.33</w:t>
            </w:r>
          </w:p>
        </w:tc>
      </w:tr>
      <w:tr w:rsidR="0016155B" w:rsidRPr="007249A4" w14:paraId="28E59CA0" w14:textId="77777777">
        <w:trPr>
          <w:trHeight w:val="31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76320E9" w14:textId="77777777" w:rsidR="0016155B" w:rsidRPr="007249A4" w:rsidRDefault="0016155B">
            <w:pPr>
              <w:rPr>
                <w:b/>
                <w:bCs/>
                <w:color w:val="000000"/>
              </w:rPr>
            </w:pPr>
            <w:r w:rsidRPr="007249A4">
              <w:rPr>
                <w:b/>
                <w:bCs/>
                <w:color w:val="000000"/>
              </w:rPr>
              <w:t>Average</w:t>
            </w:r>
          </w:p>
        </w:tc>
        <w:tc>
          <w:tcPr>
            <w:tcW w:w="1440" w:type="dxa"/>
            <w:tcBorders>
              <w:top w:val="single" w:sz="8" w:space="0" w:color="auto"/>
              <w:left w:val="nil"/>
              <w:bottom w:val="single" w:sz="8" w:space="0" w:color="auto"/>
              <w:right w:val="single" w:sz="4" w:space="0" w:color="auto"/>
            </w:tcBorders>
            <w:shd w:val="clear" w:color="auto" w:fill="auto"/>
            <w:noWrap/>
            <w:vAlign w:val="bottom"/>
          </w:tcPr>
          <w:p w14:paraId="00F24B03" w14:textId="77777777" w:rsidR="0016155B" w:rsidRPr="007249A4" w:rsidRDefault="0016155B" w:rsidP="007249A4">
            <w:pPr>
              <w:jc w:val="center"/>
              <w:rPr>
                <w:b/>
                <w:bCs/>
                <w:color w:val="000000"/>
              </w:rPr>
            </w:pPr>
            <w:r w:rsidRPr="007249A4">
              <w:rPr>
                <w:b/>
                <w:bCs/>
                <w:color w:val="000000"/>
              </w:rPr>
              <w:t>1.67</w:t>
            </w:r>
          </w:p>
        </w:tc>
        <w:tc>
          <w:tcPr>
            <w:tcW w:w="1350" w:type="dxa"/>
            <w:tcBorders>
              <w:top w:val="single" w:sz="8" w:space="0" w:color="auto"/>
              <w:left w:val="nil"/>
              <w:bottom w:val="single" w:sz="8" w:space="0" w:color="auto"/>
              <w:right w:val="nil"/>
            </w:tcBorders>
            <w:shd w:val="clear" w:color="auto" w:fill="auto"/>
            <w:noWrap/>
            <w:vAlign w:val="bottom"/>
          </w:tcPr>
          <w:p w14:paraId="6A3466B0" w14:textId="77777777" w:rsidR="0016155B" w:rsidRPr="007249A4" w:rsidRDefault="0016155B" w:rsidP="007249A4">
            <w:pPr>
              <w:jc w:val="center"/>
              <w:rPr>
                <w:b/>
                <w:bCs/>
                <w:color w:val="000000"/>
              </w:rPr>
            </w:pPr>
            <w:r w:rsidRPr="007249A4">
              <w:rPr>
                <w:b/>
                <w:bCs/>
                <w:color w:val="000000"/>
              </w:rPr>
              <w:t>1.45</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545B68" w14:textId="77777777" w:rsidR="0016155B" w:rsidRPr="007249A4" w:rsidRDefault="0016155B">
            <w:pPr>
              <w:jc w:val="right"/>
              <w:rPr>
                <w:b/>
                <w:bCs/>
                <w:color w:val="000000"/>
              </w:rPr>
            </w:pPr>
            <w:r w:rsidRPr="007249A4">
              <w:rPr>
                <w:b/>
                <w:bCs/>
                <w:color w:val="000000"/>
              </w:rPr>
              <w:t>0.23</w:t>
            </w:r>
          </w:p>
        </w:tc>
        <w:tc>
          <w:tcPr>
            <w:tcW w:w="1440" w:type="dxa"/>
            <w:tcBorders>
              <w:top w:val="single" w:sz="8" w:space="0" w:color="auto"/>
              <w:left w:val="nil"/>
              <w:bottom w:val="single" w:sz="8" w:space="0" w:color="auto"/>
              <w:right w:val="single" w:sz="4" w:space="0" w:color="auto"/>
            </w:tcBorders>
            <w:shd w:val="clear" w:color="auto" w:fill="auto"/>
            <w:noWrap/>
            <w:vAlign w:val="bottom"/>
          </w:tcPr>
          <w:p w14:paraId="7A43988B" w14:textId="77777777" w:rsidR="0016155B" w:rsidRPr="007249A4" w:rsidRDefault="0016155B" w:rsidP="007249A4">
            <w:pPr>
              <w:jc w:val="center"/>
              <w:rPr>
                <w:b/>
                <w:bCs/>
                <w:color w:val="000000"/>
              </w:rPr>
            </w:pPr>
            <w:r w:rsidRPr="007249A4">
              <w:rPr>
                <w:b/>
                <w:bCs/>
                <w:color w:val="000000"/>
              </w:rPr>
              <w:t>1.30</w:t>
            </w:r>
          </w:p>
        </w:tc>
        <w:tc>
          <w:tcPr>
            <w:tcW w:w="1440" w:type="dxa"/>
            <w:tcBorders>
              <w:top w:val="single" w:sz="8" w:space="0" w:color="auto"/>
              <w:left w:val="nil"/>
              <w:bottom w:val="single" w:sz="8" w:space="0" w:color="auto"/>
              <w:right w:val="nil"/>
            </w:tcBorders>
            <w:shd w:val="clear" w:color="auto" w:fill="auto"/>
            <w:noWrap/>
            <w:vAlign w:val="bottom"/>
          </w:tcPr>
          <w:p w14:paraId="0E3FFEC4" w14:textId="77777777" w:rsidR="0016155B" w:rsidRPr="007249A4" w:rsidRDefault="0016155B" w:rsidP="007249A4">
            <w:pPr>
              <w:jc w:val="center"/>
              <w:rPr>
                <w:b/>
                <w:bCs/>
                <w:color w:val="000000"/>
              </w:rPr>
            </w:pPr>
            <w:r w:rsidRPr="007249A4">
              <w:rPr>
                <w:b/>
                <w:bCs/>
                <w:color w:val="000000"/>
              </w:rPr>
              <w:t>0.98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1D58D4" w14:textId="77777777" w:rsidR="0016155B" w:rsidRPr="007249A4" w:rsidRDefault="0016155B" w:rsidP="007249A4">
            <w:pPr>
              <w:jc w:val="center"/>
              <w:rPr>
                <w:b/>
                <w:bCs/>
                <w:color w:val="000000"/>
              </w:rPr>
            </w:pPr>
            <w:r w:rsidRPr="007249A4">
              <w:rPr>
                <w:b/>
                <w:bCs/>
                <w:color w:val="000000"/>
              </w:rPr>
              <w:t>0.32</w:t>
            </w:r>
          </w:p>
        </w:tc>
      </w:tr>
      <w:tr w:rsidR="0016155B" w:rsidRPr="007249A4" w14:paraId="6BF6C91F" w14:textId="77777777">
        <w:trPr>
          <w:trHeight w:val="315"/>
        </w:trPr>
        <w:tc>
          <w:tcPr>
            <w:tcW w:w="1080" w:type="dxa"/>
            <w:tcBorders>
              <w:top w:val="nil"/>
              <w:left w:val="nil"/>
              <w:bottom w:val="nil"/>
              <w:right w:val="nil"/>
            </w:tcBorders>
            <w:shd w:val="clear" w:color="auto" w:fill="auto"/>
            <w:noWrap/>
            <w:vAlign w:val="bottom"/>
          </w:tcPr>
          <w:p w14:paraId="0BB67747" w14:textId="77777777" w:rsidR="0016155B" w:rsidRPr="007249A4" w:rsidRDefault="0016155B">
            <w:pPr>
              <w:rPr>
                <w:color w:val="000000"/>
              </w:rPr>
            </w:pPr>
          </w:p>
          <w:p w14:paraId="720A8767" w14:textId="77777777" w:rsidR="00C66967" w:rsidRPr="007249A4" w:rsidRDefault="00C66967">
            <w:pPr>
              <w:rPr>
                <w:color w:val="000000"/>
              </w:rPr>
            </w:pPr>
          </w:p>
        </w:tc>
        <w:tc>
          <w:tcPr>
            <w:tcW w:w="1440" w:type="dxa"/>
            <w:tcBorders>
              <w:top w:val="nil"/>
              <w:left w:val="nil"/>
              <w:bottom w:val="nil"/>
              <w:right w:val="nil"/>
            </w:tcBorders>
            <w:shd w:val="clear" w:color="auto" w:fill="auto"/>
            <w:noWrap/>
            <w:vAlign w:val="bottom"/>
          </w:tcPr>
          <w:p w14:paraId="18F9657E" w14:textId="77777777" w:rsidR="0016155B" w:rsidRPr="007249A4" w:rsidRDefault="0016155B">
            <w:pPr>
              <w:rPr>
                <w:color w:val="000000"/>
              </w:rPr>
            </w:pPr>
          </w:p>
        </w:tc>
        <w:tc>
          <w:tcPr>
            <w:tcW w:w="1350" w:type="dxa"/>
            <w:tcBorders>
              <w:top w:val="nil"/>
              <w:left w:val="nil"/>
              <w:bottom w:val="nil"/>
              <w:right w:val="nil"/>
            </w:tcBorders>
            <w:shd w:val="clear" w:color="auto" w:fill="auto"/>
            <w:noWrap/>
            <w:vAlign w:val="bottom"/>
          </w:tcPr>
          <w:p w14:paraId="32B75BFB" w14:textId="77777777" w:rsidR="0016155B" w:rsidRPr="007249A4" w:rsidRDefault="0016155B">
            <w:pPr>
              <w:rPr>
                <w:color w:val="000000"/>
              </w:rPr>
            </w:pPr>
          </w:p>
        </w:tc>
        <w:tc>
          <w:tcPr>
            <w:tcW w:w="1530" w:type="dxa"/>
            <w:tcBorders>
              <w:top w:val="nil"/>
              <w:left w:val="nil"/>
              <w:bottom w:val="nil"/>
              <w:right w:val="nil"/>
            </w:tcBorders>
            <w:shd w:val="clear" w:color="auto" w:fill="auto"/>
            <w:noWrap/>
            <w:vAlign w:val="bottom"/>
          </w:tcPr>
          <w:p w14:paraId="3F50716B" w14:textId="77777777" w:rsidR="0016155B" w:rsidRPr="007249A4" w:rsidRDefault="0016155B">
            <w:pPr>
              <w:rPr>
                <w:color w:val="000000"/>
              </w:rPr>
            </w:pPr>
          </w:p>
        </w:tc>
        <w:tc>
          <w:tcPr>
            <w:tcW w:w="1440" w:type="dxa"/>
            <w:tcBorders>
              <w:top w:val="nil"/>
              <w:left w:val="nil"/>
              <w:bottom w:val="nil"/>
              <w:right w:val="nil"/>
            </w:tcBorders>
            <w:shd w:val="clear" w:color="auto" w:fill="auto"/>
            <w:noWrap/>
            <w:vAlign w:val="bottom"/>
          </w:tcPr>
          <w:p w14:paraId="0C1BE96B" w14:textId="77777777" w:rsidR="0016155B" w:rsidRPr="007249A4" w:rsidRDefault="0016155B">
            <w:pPr>
              <w:rPr>
                <w:color w:val="000000"/>
              </w:rPr>
            </w:pPr>
          </w:p>
        </w:tc>
        <w:tc>
          <w:tcPr>
            <w:tcW w:w="1440" w:type="dxa"/>
            <w:tcBorders>
              <w:top w:val="nil"/>
              <w:left w:val="nil"/>
              <w:bottom w:val="nil"/>
              <w:right w:val="nil"/>
            </w:tcBorders>
            <w:shd w:val="clear" w:color="auto" w:fill="auto"/>
            <w:noWrap/>
            <w:vAlign w:val="bottom"/>
          </w:tcPr>
          <w:p w14:paraId="25D675A8" w14:textId="77777777" w:rsidR="0016155B" w:rsidRPr="007249A4" w:rsidRDefault="0016155B">
            <w:pPr>
              <w:rPr>
                <w:color w:val="000000"/>
              </w:rPr>
            </w:pPr>
          </w:p>
        </w:tc>
        <w:tc>
          <w:tcPr>
            <w:tcW w:w="1440" w:type="dxa"/>
            <w:tcBorders>
              <w:top w:val="nil"/>
              <w:left w:val="nil"/>
              <w:bottom w:val="nil"/>
              <w:right w:val="nil"/>
            </w:tcBorders>
            <w:shd w:val="clear" w:color="auto" w:fill="auto"/>
            <w:noWrap/>
            <w:vAlign w:val="bottom"/>
          </w:tcPr>
          <w:p w14:paraId="2F6C61F5" w14:textId="77777777" w:rsidR="0016155B" w:rsidRPr="007249A4" w:rsidRDefault="0016155B">
            <w:pPr>
              <w:rPr>
                <w:color w:val="000000"/>
              </w:rPr>
            </w:pPr>
          </w:p>
        </w:tc>
      </w:tr>
    </w:tbl>
    <w:p w14:paraId="5A4B3743" w14:textId="77777777" w:rsidR="00B34636" w:rsidRDefault="00B34636">
      <w:r>
        <w:br w:type="page"/>
      </w:r>
    </w:p>
    <w:tbl>
      <w:tblPr>
        <w:tblW w:w="9720" w:type="dxa"/>
        <w:tblInd w:w="-432" w:type="dxa"/>
        <w:tblLayout w:type="fixed"/>
        <w:tblLook w:val="04A0" w:firstRow="1" w:lastRow="0" w:firstColumn="1" w:lastColumn="0" w:noHBand="0" w:noVBand="1"/>
      </w:tblPr>
      <w:tblGrid>
        <w:gridCol w:w="1080"/>
        <w:gridCol w:w="1440"/>
        <w:gridCol w:w="1350"/>
        <w:gridCol w:w="1530"/>
        <w:gridCol w:w="1440"/>
        <w:gridCol w:w="1440"/>
        <w:gridCol w:w="1440"/>
      </w:tblGrid>
      <w:tr w:rsidR="0016155B" w:rsidRPr="007249A4" w14:paraId="3C1323FE" w14:textId="77777777">
        <w:trPr>
          <w:trHeight w:val="315"/>
        </w:trPr>
        <w:tc>
          <w:tcPr>
            <w:tcW w:w="97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758E9149" w14:textId="490184AA" w:rsidR="00C66967" w:rsidRPr="007249A4" w:rsidRDefault="00C66967">
            <w:pPr>
              <w:jc w:val="center"/>
              <w:rPr>
                <w:b/>
                <w:bCs/>
                <w:color w:val="000000"/>
              </w:rPr>
            </w:pPr>
            <w:r w:rsidRPr="007249A4">
              <w:rPr>
                <w:b/>
                <w:bCs/>
                <w:color w:val="000000"/>
              </w:rPr>
              <w:t>Table 6</w:t>
            </w:r>
          </w:p>
          <w:p w14:paraId="7968946D" w14:textId="77777777" w:rsidR="0016155B" w:rsidRPr="007249A4" w:rsidRDefault="0016155B" w:rsidP="008C2F3D">
            <w:pPr>
              <w:jc w:val="center"/>
              <w:rPr>
                <w:b/>
                <w:bCs/>
                <w:color w:val="000000"/>
              </w:rPr>
            </w:pPr>
            <w:r w:rsidRPr="007249A4">
              <w:rPr>
                <w:b/>
                <w:bCs/>
                <w:color w:val="000000"/>
              </w:rPr>
              <w:t>CSP and OP CAIDI Performance 2009 - 2011</w:t>
            </w:r>
          </w:p>
        </w:tc>
      </w:tr>
      <w:tr w:rsidR="005D2235" w:rsidRPr="007249A4" w14:paraId="656EDF6C" w14:textId="77777777">
        <w:trPr>
          <w:trHeight w:val="102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45588DA2" w14:textId="77777777" w:rsidR="0016155B" w:rsidRPr="007249A4" w:rsidRDefault="0016155B">
            <w:pPr>
              <w:rPr>
                <w:color w:val="000000"/>
              </w:rPr>
            </w:pPr>
            <w:r w:rsidRPr="007249A4">
              <w:rPr>
                <w:color w:val="000000"/>
              </w:rPr>
              <w:t>Year</w:t>
            </w:r>
          </w:p>
        </w:tc>
        <w:tc>
          <w:tcPr>
            <w:tcW w:w="1440" w:type="dxa"/>
            <w:tcBorders>
              <w:top w:val="single" w:sz="4" w:space="0" w:color="auto"/>
              <w:left w:val="nil"/>
              <w:bottom w:val="single" w:sz="4" w:space="0" w:color="auto"/>
              <w:right w:val="single" w:sz="4" w:space="0" w:color="auto"/>
            </w:tcBorders>
            <w:shd w:val="clear" w:color="auto" w:fill="auto"/>
            <w:vAlign w:val="center"/>
          </w:tcPr>
          <w:p w14:paraId="713E48D4" w14:textId="77777777" w:rsidR="0016155B" w:rsidRPr="00654100" w:rsidRDefault="0016155B">
            <w:pPr>
              <w:rPr>
                <w:color w:val="000000"/>
              </w:rPr>
            </w:pPr>
            <w:r w:rsidRPr="00654100">
              <w:rPr>
                <w:color w:val="000000"/>
              </w:rPr>
              <w:t>CSP CAIDI (Without Exclusions)</w:t>
            </w:r>
          </w:p>
        </w:tc>
        <w:tc>
          <w:tcPr>
            <w:tcW w:w="1350" w:type="dxa"/>
            <w:tcBorders>
              <w:top w:val="single" w:sz="4" w:space="0" w:color="auto"/>
              <w:left w:val="nil"/>
              <w:bottom w:val="single" w:sz="4" w:space="0" w:color="auto"/>
              <w:right w:val="nil"/>
            </w:tcBorders>
            <w:shd w:val="clear" w:color="auto" w:fill="auto"/>
            <w:vAlign w:val="center"/>
          </w:tcPr>
          <w:p w14:paraId="7D7CEA11" w14:textId="096A88A3" w:rsidR="0016155B" w:rsidRPr="00654100" w:rsidRDefault="0016155B" w:rsidP="00654100">
            <w:pPr>
              <w:rPr>
                <w:color w:val="000000"/>
              </w:rPr>
            </w:pPr>
            <w:r w:rsidRPr="007249A4">
              <w:rPr>
                <w:color w:val="000000"/>
              </w:rPr>
              <w:t>OP CAIDI (Without Exclusions)</w:t>
            </w:r>
          </w:p>
        </w:tc>
        <w:tc>
          <w:tcPr>
            <w:tcW w:w="1530" w:type="dxa"/>
            <w:tcBorders>
              <w:top w:val="nil"/>
              <w:left w:val="single" w:sz="8" w:space="0" w:color="auto"/>
              <w:bottom w:val="single" w:sz="4" w:space="0" w:color="auto"/>
              <w:right w:val="single" w:sz="8" w:space="0" w:color="auto"/>
            </w:tcBorders>
            <w:shd w:val="clear" w:color="auto" w:fill="auto"/>
            <w:vAlign w:val="center"/>
          </w:tcPr>
          <w:p w14:paraId="3C2C9486" w14:textId="57088219" w:rsidR="0016155B" w:rsidRPr="00654100" w:rsidRDefault="0016155B" w:rsidP="00654100">
            <w:pPr>
              <w:rPr>
                <w:b/>
                <w:color w:val="000000"/>
              </w:rPr>
            </w:pPr>
            <w:r w:rsidRPr="007249A4">
              <w:rPr>
                <w:b/>
                <w:bCs/>
                <w:color w:val="000000"/>
              </w:rPr>
              <w:t>CSP-OP CAIDI (Without Exclusions)</w:t>
            </w:r>
          </w:p>
        </w:tc>
        <w:tc>
          <w:tcPr>
            <w:tcW w:w="1440" w:type="dxa"/>
            <w:tcBorders>
              <w:top w:val="single" w:sz="4" w:space="0" w:color="auto"/>
              <w:left w:val="nil"/>
              <w:bottom w:val="single" w:sz="4" w:space="0" w:color="auto"/>
              <w:right w:val="single" w:sz="4" w:space="0" w:color="auto"/>
            </w:tcBorders>
            <w:shd w:val="clear" w:color="auto" w:fill="auto"/>
            <w:vAlign w:val="center"/>
          </w:tcPr>
          <w:p w14:paraId="154AA662" w14:textId="7C73CB5A" w:rsidR="0016155B" w:rsidRPr="00654100" w:rsidRDefault="0016155B" w:rsidP="00654100">
            <w:pPr>
              <w:rPr>
                <w:color w:val="000000"/>
              </w:rPr>
            </w:pPr>
            <w:r w:rsidRPr="007249A4">
              <w:rPr>
                <w:color w:val="000000"/>
              </w:rPr>
              <w:t>CSP CAIDI (With Exclusions)</w:t>
            </w:r>
          </w:p>
        </w:tc>
        <w:tc>
          <w:tcPr>
            <w:tcW w:w="1440" w:type="dxa"/>
            <w:tcBorders>
              <w:top w:val="single" w:sz="4" w:space="0" w:color="auto"/>
              <w:left w:val="nil"/>
              <w:bottom w:val="single" w:sz="4" w:space="0" w:color="auto"/>
              <w:right w:val="nil"/>
            </w:tcBorders>
            <w:shd w:val="clear" w:color="auto" w:fill="auto"/>
            <w:vAlign w:val="center"/>
          </w:tcPr>
          <w:p w14:paraId="6BDDBEF0" w14:textId="77777777" w:rsidR="0016155B" w:rsidRPr="007249A4" w:rsidRDefault="0016155B" w:rsidP="008C2F3D">
            <w:pPr>
              <w:rPr>
                <w:color w:val="000000"/>
              </w:rPr>
            </w:pPr>
            <w:r w:rsidRPr="007249A4">
              <w:rPr>
                <w:color w:val="000000"/>
              </w:rPr>
              <w:t>OP CAIDI (With Exclusions)</w:t>
            </w:r>
          </w:p>
        </w:tc>
        <w:tc>
          <w:tcPr>
            <w:tcW w:w="1440" w:type="dxa"/>
            <w:tcBorders>
              <w:top w:val="nil"/>
              <w:left w:val="single" w:sz="8" w:space="0" w:color="auto"/>
              <w:bottom w:val="single" w:sz="4" w:space="0" w:color="auto"/>
              <w:right w:val="single" w:sz="8" w:space="0" w:color="auto"/>
            </w:tcBorders>
            <w:shd w:val="clear" w:color="auto" w:fill="auto"/>
            <w:vAlign w:val="center"/>
          </w:tcPr>
          <w:p w14:paraId="34F2E603" w14:textId="77777777" w:rsidR="0016155B" w:rsidRPr="007249A4" w:rsidRDefault="0016155B" w:rsidP="008C2F3D">
            <w:pPr>
              <w:rPr>
                <w:b/>
                <w:bCs/>
                <w:color w:val="000000"/>
              </w:rPr>
            </w:pPr>
            <w:r w:rsidRPr="007249A4">
              <w:rPr>
                <w:b/>
                <w:bCs/>
                <w:color w:val="000000"/>
              </w:rPr>
              <w:t>CSP-OP CAIDI (With Exclusions)</w:t>
            </w:r>
          </w:p>
        </w:tc>
      </w:tr>
      <w:tr w:rsidR="0016155B" w:rsidRPr="007249A4" w14:paraId="65FF1FF9" w14:textId="77777777">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tcPr>
          <w:p w14:paraId="697E265F" w14:textId="77777777" w:rsidR="0016155B" w:rsidRPr="007249A4" w:rsidRDefault="0016155B" w:rsidP="007249A4">
            <w:pPr>
              <w:jc w:val="center"/>
              <w:rPr>
                <w:color w:val="000000"/>
              </w:rPr>
            </w:pPr>
            <w:r w:rsidRPr="007249A4">
              <w:rPr>
                <w:color w:val="000000"/>
              </w:rPr>
              <w:t>2009</w:t>
            </w:r>
          </w:p>
        </w:tc>
        <w:tc>
          <w:tcPr>
            <w:tcW w:w="1440" w:type="dxa"/>
            <w:tcBorders>
              <w:top w:val="nil"/>
              <w:left w:val="nil"/>
              <w:bottom w:val="single" w:sz="4" w:space="0" w:color="auto"/>
              <w:right w:val="single" w:sz="4" w:space="0" w:color="auto"/>
            </w:tcBorders>
            <w:shd w:val="clear" w:color="auto" w:fill="auto"/>
            <w:noWrap/>
            <w:vAlign w:val="bottom"/>
          </w:tcPr>
          <w:p w14:paraId="2792F92F" w14:textId="77777777" w:rsidR="0016155B" w:rsidRPr="007249A4" w:rsidRDefault="0016155B" w:rsidP="007249A4">
            <w:pPr>
              <w:jc w:val="center"/>
              <w:rPr>
                <w:color w:val="000000"/>
              </w:rPr>
            </w:pPr>
            <w:r w:rsidRPr="007249A4">
              <w:rPr>
                <w:color w:val="000000"/>
              </w:rPr>
              <w:t>314.94</w:t>
            </w:r>
          </w:p>
        </w:tc>
        <w:tc>
          <w:tcPr>
            <w:tcW w:w="1350" w:type="dxa"/>
            <w:tcBorders>
              <w:top w:val="nil"/>
              <w:left w:val="nil"/>
              <w:bottom w:val="single" w:sz="4" w:space="0" w:color="auto"/>
              <w:right w:val="nil"/>
            </w:tcBorders>
            <w:shd w:val="clear" w:color="auto" w:fill="auto"/>
            <w:noWrap/>
            <w:vAlign w:val="bottom"/>
          </w:tcPr>
          <w:p w14:paraId="4C6E3E6A" w14:textId="77777777" w:rsidR="0016155B" w:rsidRPr="007249A4" w:rsidRDefault="0016155B" w:rsidP="007249A4">
            <w:pPr>
              <w:jc w:val="center"/>
              <w:rPr>
                <w:color w:val="000000"/>
              </w:rPr>
            </w:pPr>
            <w:r w:rsidRPr="007249A4">
              <w:rPr>
                <w:color w:val="000000"/>
              </w:rPr>
              <w:t>356.62</w:t>
            </w: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3C5D4725" w14:textId="77777777" w:rsidR="0016155B" w:rsidRPr="007249A4" w:rsidRDefault="0016155B">
            <w:pPr>
              <w:jc w:val="right"/>
              <w:rPr>
                <w:b/>
                <w:bCs/>
                <w:color w:val="000000"/>
              </w:rPr>
            </w:pPr>
            <w:r w:rsidRPr="007249A4">
              <w:rPr>
                <w:b/>
                <w:bCs/>
                <w:color w:val="000000"/>
              </w:rPr>
              <w:t>-41.68</w:t>
            </w:r>
          </w:p>
        </w:tc>
        <w:tc>
          <w:tcPr>
            <w:tcW w:w="1440" w:type="dxa"/>
            <w:tcBorders>
              <w:top w:val="nil"/>
              <w:left w:val="nil"/>
              <w:bottom w:val="single" w:sz="4" w:space="0" w:color="auto"/>
              <w:right w:val="single" w:sz="4" w:space="0" w:color="auto"/>
            </w:tcBorders>
            <w:shd w:val="clear" w:color="auto" w:fill="auto"/>
            <w:noWrap/>
            <w:vAlign w:val="bottom"/>
          </w:tcPr>
          <w:p w14:paraId="617F19BA" w14:textId="77777777" w:rsidR="0016155B" w:rsidRPr="007249A4" w:rsidRDefault="0016155B" w:rsidP="007249A4">
            <w:pPr>
              <w:jc w:val="center"/>
              <w:rPr>
                <w:color w:val="000000"/>
              </w:rPr>
            </w:pPr>
            <w:r w:rsidRPr="007249A4">
              <w:rPr>
                <w:color w:val="000000"/>
              </w:rPr>
              <w:t>122.60</w:t>
            </w:r>
          </w:p>
        </w:tc>
        <w:tc>
          <w:tcPr>
            <w:tcW w:w="1440" w:type="dxa"/>
            <w:tcBorders>
              <w:top w:val="nil"/>
              <w:left w:val="nil"/>
              <w:bottom w:val="single" w:sz="4" w:space="0" w:color="auto"/>
              <w:right w:val="nil"/>
            </w:tcBorders>
            <w:shd w:val="clear" w:color="auto" w:fill="auto"/>
            <w:noWrap/>
            <w:vAlign w:val="bottom"/>
          </w:tcPr>
          <w:p w14:paraId="640AD2C1" w14:textId="77777777" w:rsidR="0016155B" w:rsidRPr="007249A4" w:rsidRDefault="0016155B" w:rsidP="007249A4">
            <w:pPr>
              <w:jc w:val="center"/>
              <w:rPr>
                <w:color w:val="000000"/>
              </w:rPr>
            </w:pPr>
            <w:r w:rsidRPr="007249A4">
              <w:rPr>
                <w:color w:val="000000"/>
              </w:rPr>
              <w:t>133.37</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0E441C52" w14:textId="77777777" w:rsidR="0016155B" w:rsidRPr="007249A4" w:rsidRDefault="0016155B" w:rsidP="007249A4">
            <w:pPr>
              <w:jc w:val="center"/>
              <w:rPr>
                <w:b/>
                <w:bCs/>
                <w:color w:val="000000"/>
              </w:rPr>
            </w:pPr>
            <w:r w:rsidRPr="007249A4">
              <w:rPr>
                <w:b/>
                <w:bCs/>
                <w:color w:val="000000"/>
              </w:rPr>
              <w:t>-10.77</w:t>
            </w:r>
          </w:p>
        </w:tc>
      </w:tr>
      <w:tr w:rsidR="0016155B" w:rsidRPr="007249A4" w14:paraId="1F38D023" w14:textId="77777777">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tcPr>
          <w:p w14:paraId="077A776A" w14:textId="77777777" w:rsidR="0016155B" w:rsidRPr="007249A4" w:rsidRDefault="0016155B" w:rsidP="007249A4">
            <w:pPr>
              <w:jc w:val="center"/>
              <w:rPr>
                <w:color w:val="000000"/>
              </w:rPr>
            </w:pPr>
            <w:r w:rsidRPr="007249A4">
              <w:rPr>
                <w:color w:val="000000"/>
              </w:rPr>
              <w:t>2010</w:t>
            </w:r>
          </w:p>
        </w:tc>
        <w:tc>
          <w:tcPr>
            <w:tcW w:w="1440" w:type="dxa"/>
            <w:tcBorders>
              <w:top w:val="nil"/>
              <w:left w:val="nil"/>
              <w:bottom w:val="single" w:sz="4" w:space="0" w:color="auto"/>
              <w:right w:val="single" w:sz="4" w:space="0" w:color="auto"/>
            </w:tcBorders>
            <w:shd w:val="clear" w:color="auto" w:fill="auto"/>
            <w:noWrap/>
            <w:vAlign w:val="bottom"/>
          </w:tcPr>
          <w:p w14:paraId="0043DCD4" w14:textId="77777777" w:rsidR="0016155B" w:rsidRPr="007249A4" w:rsidRDefault="0016155B" w:rsidP="007249A4">
            <w:pPr>
              <w:jc w:val="center"/>
              <w:rPr>
                <w:color w:val="000000"/>
              </w:rPr>
            </w:pPr>
            <w:r w:rsidRPr="007249A4">
              <w:rPr>
                <w:color w:val="000000"/>
              </w:rPr>
              <w:t>163.55</w:t>
            </w:r>
          </w:p>
        </w:tc>
        <w:tc>
          <w:tcPr>
            <w:tcW w:w="1350" w:type="dxa"/>
            <w:tcBorders>
              <w:top w:val="nil"/>
              <w:left w:val="nil"/>
              <w:bottom w:val="single" w:sz="4" w:space="0" w:color="auto"/>
              <w:right w:val="nil"/>
            </w:tcBorders>
            <w:shd w:val="clear" w:color="auto" w:fill="auto"/>
            <w:noWrap/>
            <w:vAlign w:val="bottom"/>
          </w:tcPr>
          <w:p w14:paraId="467B50C9" w14:textId="77777777" w:rsidR="0016155B" w:rsidRPr="007249A4" w:rsidRDefault="0016155B" w:rsidP="007249A4">
            <w:pPr>
              <w:jc w:val="center"/>
              <w:rPr>
                <w:color w:val="000000"/>
              </w:rPr>
            </w:pPr>
            <w:r w:rsidRPr="007249A4">
              <w:rPr>
                <w:color w:val="000000"/>
              </w:rPr>
              <w:t>299.44</w:t>
            </w: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03D70977" w14:textId="77777777" w:rsidR="0016155B" w:rsidRPr="007249A4" w:rsidRDefault="0016155B">
            <w:pPr>
              <w:jc w:val="right"/>
              <w:rPr>
                <w:b/>
                <w:bCs/>
                <w:color w:val="000000"/>
              </w:rPr>
            </w:pPr>
            <w:r w:rsidRPr="007249A4">
              <w:rPr>
                <w:b/>
                <w:bCs/>
                <w:color w:val="000000"/>
              </w:rPr>
              <w:t>-135.89</w:t>
            </w:r>
          </w:p>
        </w:tc>
        <w:tc>
          <w:tcPr>
            <w:tcW w:w="1440" w:type="dxa"/>
            <w:tcBorders>
              <w:top w:val="nil"/>
              <w:left w:val="nil"/>
              <w:bottom w:val="single" w:sz="4" w:space="0" w:color="auto"/>
              <w:right w:val="single" w:sz="4" w:space="0" w:color="auto"/>
            </w:tcBorders>
            <w:shd w:val="clear" w:color="auto" w:fill="auto"/>
            <w:noWrap/>
            <w:vAlign w:val="bottom"/>
          </w:tcPr>
          <w:p w14:paraId="6B92BEF1" w14:textId="77777777" w:rsidR="0016155B" w:rsidRPr="007249A4" w:rsidRDefault="0016155B" w:rsidP="007249A4">
            <w:pPr>
              <w:jc w:val="center"/>
              <w:rPr>
                <w:color w:val="000000"/>
              </w:rPr>
            </w:pPr>
            <w:r w:rsidRPr="007249A4">
              <w:rPr>
                <w:color w:val="000000"/>
              </w:rPr>
              <w:t>123.40</w:t>
            </w:r>
          </w:p>
        </w:tc>
        <w:tc>
          <w:tcPr>
            <w:tcW w:w="1440" w:type="dxa"/>
            <w:tcBorders>
              <w:top w:val="nil"/>
              <w:left w:val="nil"/>
              <w:bottom w:val="single" w:sz="4" w:space="0" w:color="auto"/>
              <w:right w:val="nil"/>
            </w:tcBorders>
            <w:shd w:val="clear" w:color="auto" w:fill="auto"/>
            <w:noWrap/>
            <w:vAlign w:val="bottom"/>
          </w:tcPr>
          <w:p w14:paraId="77B423E6" w14:textId="77777777" w:rsidR="0016155B" w:rsidRPr="007249A4" w:rsidRDefault="0016155B" w:rsidP="007249A4">
            <w:pPr>
              <w:jc w:val="center"/>
              <w:rPr>
                <w:color w:val="000000"/>
              </w:rPr>
            </w:pPr>
            <w:r w:rsidRPr="007249A4">
              <w:rPr>
                <w:color w:val="000000"/>
              </w:rPr>
              <w:t>157.51</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54D2349A" w14:textId="77777777" w:rsidR="0016155B" w:rsidRPr="007249A4" w:rsidRDefault="0016155B" w:rsidP="007249A4">
            <w:pPr>
              <w:jc w:val="center"/>
              <w:rPr>
                <w:b/>
                <w:bCs/>
                <w:color w:val="000000"/>
              </w:rPr>
            </w:pPr>
            <w:r w:rsidRPr="007249A4">
              <w:rPr>
                <w:b/>
                <w:bCs/>
                <w:color w:val="000000"/>
              </w:rPr>
              <w:t>-34.11</w:t>
            </w:r>
          </w:p>
        </w:tc>
      </w:tr>
      <w:tr w:rsidR="005D2235" w:rsidRPr="007249A4" w14:paraId="2FAD8C6F" w14:textId="77777777">
        <w:trPr>
          <w:trHeight w:val="315"/>
        </w:trPr>
        <w:tc>
          <w:tcPr>
            <w:tcW w:w="1080" w:type="dxa"/>
            <w:tcBorders>
              <w:top w:val="nil"/>
              <w:left w:val="single" w:sz="8" w:space="0" w:color="auto"/>
              <w:bottom w:val="nil"/>
              <w:right w:val="single" w:sz="4" w:space="0" w:color="auto"/>
            </w:tcBorders>
            <w:shd w:val="clear" w:color="auto" w:fill="auto"/>
            <w:noWrap/>
            <w:vAlign w:val="bottom"/>
          </w:tcPr>
          <w:p w14:paraId="6195A089" w14:textId="07C99D4B" w:rsidR="0016155B" w:rsidRPr="00654100" w:rsidRDefault="0016155B" w:rsidP="00654100">
            <w:pPr>
              <w:jc w:val="center"/>
              <w:rPr>
                <w:color w:val="000000"/>
              </w:rPr>
            </w:pPr>
            <w:r w:rsidRPr="007249A4">
              <w:rPr>
                <w:color w:val="000000"/>
              </w:rPr>
              <w:t>2011</w:t>
            </w:r>
          </w:p>
        </w:tc>
        <w:tc>
          <w:tcPr>
            <w:tcW w:w="1440" w:type="dxa"/>
            <w:tcBorders>
              <w:top w:val="nil"/>
              <w:left w:val="nil"/>
              <w:bottom w:val="nil"/>
              <w:right w:val="single" w:sz="4" w:space="0" w:color="auto"/>
            </w:tcBorders>
            <w:shd w:val="clear" w:color="auto" w:fill="auto"/>
            <w:noWrap/>
            <w:vAlign w:val="bottom"/>
          </w:tcPr>
          <w:p w14:paraId="443C8F19" w14:textId="014D2679" w:rsidR="0016155B" w:rsidRPr="00654100" w:rsidRDefault="0016155B" w:rsidP="007249A4">
            <w:pPr>
              <w:jc w:val="center"/>
              <w:rPr>
                <w:color w:val="000000"/>
              </w:rPr>
            </w:pPr>
            <w:r w:rsidRPr="00654100">
              <w:rPr>
                <w:color w:val="000000"/>
              </w:rPr>
              <w:t>218.26</w:t>
            </w:r>
          </w:p>
        </w:tc>
        <w:tc>
          <w:tcPr>
            <w:tcW w:w="1350" w:type="dxa"/>
            <w:tcBorders>
              <w:top w:val="nil"/>
              <w:left w:val="nil"/>
              <w:bottom w:val="nil"/>
              <w:right w:val="nil"/>
            </w:tcBorders>
            <w:shd w:val="clear" w:color="auto" w:fill="auto"/>
            <w:noWrap/>
            <w:vAlign w:val="bottom"/>
          </w:tcPr>
          <w:p w14:paraId="624A7810" w14:textId="77777777" w:rsidR="0016155B" w:rsidRPr="007249A4" w:rsidRDefault="0016155B" w:rsidP="007249A4">
            <w:pPr>
              <w:jc w:val="center"/>
              <w:rPr>
                <w:color w:val="000000"/>
              </w:rPr>
            </w:pPr>
            <w:r w:rsidRPr="007249A4">
              <w:rPr>
                <w:color w:val="000000"/>
              </w:rPr>
              <w:t>259.01</w:t>
            </w:r>
          </w:p>
        </w:tc>
        <w:tc>
          <w:tcPr>
            <w:tcW w:w="1530" w:type="dxa"/>
            <w:tcBorders>
              <w:top w:val="nil"/>
              <w:left w:val="single" w:sz="8" w:space="0" w:color="auto"/>
              <w:bottom w:val="nil"/>
              <w:right w:val="single" w:sz="8" w:space="0" w:color="auto"/>
            </w:tcBorders>
            <w:shd w:val="clear" w:color="auto" w:fill="auto"/>
            <w:noWrap/>
            <w:vAlign w:val="bottom"/>
          </w:tcPr>
          <w:p w14:paraId="5DECF0AD" w14:textId="5CA3F59A" w:rsidR="0016155B" w:rsidRPr="00654100" w:rsidRDefault="0016155B" w:rsidP="00654100">
            <w:pPr>
              <w:jc w:val="right"/>
              <w:rPr>
                <w:b/>
                <w:color w:val="000000"/>
              </w:rPr>
            </w:pPr>
            <w:r w:rsidRPr="007249A4">
              <w:rPr>
                <w:b/>
                <w:bCs/>
                <w:color w:val="000000"/>
              </w:rPr>
              <w:t>-</w:t>
            </w:r>
            <w:r w:rsidRPr="00654100">
              <w:rPr>
                <w:b/>
                <w:color w:val="000000"/>
              </w:rPr>
              <w:t>40</w:t>
            </w:r>
            <w:r w:rsidRPr="007249A4">
              <w:rPr>
                <w:b/>
                <w:bCs/>
                <w:color w:val="000000"/>
              </w:rPr>
              <w:t>.75</w:t>
            </w:r>
          </w:p>
        </w:tc>
        <w:tc>
          <w:tcPr>
            <w:tcW w:w="1440" w:type="dxa"/>
            <w:tcBorders>
              <w:top w:val="nil"/>
              <w:left w:val="nil"/>
              <w:bottom w:val="nil"/>
              <w:right w:val="single" w:sz="4" w:space="0" w:color="auto"/>
            </w:tcBorders>
            <w:shd w:val="clear" w:color="auto" w:fill="auto"/>
            <w:noWrap/>
            <w:vAlign w:val="bottom"/>
          </w:tcPr>
          <w:p w14:paraId="65DA0825" w14:textId="77777777" w:rsidR="0016155B" w:rsidRPr="00654100" w:rsidRDefault="0016155B" w:rsidP="007249A4">
            <w:pPr>
              <w:jc w:val="center"/>
              <w:rPr>
                <w:color w:val="000000"/>
              </w:rPr>
            </w:pPr>
            <w:r w:rsidRPr="00654100">
              <w:rPr>
                <w:color w:val="000000"/>
              </w:rPr>
              <w:t>139.42</w:t>
            </w:r>
          </w:p>
        </w:tc>
        <w:tc>
          <w:tcPr>
            <w:tcW w:w="1440" w:type="dxa"/>
            <w:tcBorders>
              <w:top w:val="nil"/>
              <w:left w:val="nil"/>
              <w:bottom w:val="nil"/>
              <w:right w:val="nil"/>
            </w:tcBorders>
            <w:shd w:val="clear" w:color="auto" w:fill="auto"/>
            <w:noWrap/>
            <w:vAlign w:val="bottom"/>
          </w:tcPr>
          <w:p w14:paraId="78775179" w14:textId="77777777" w:rsidR="0016155B" w:rsidRPr="007249A4" w:rsidRDefault="0016155B" w:rsidP="007249A4">
            <w:pPr>
              <w:jc w:val="center"/>
              <w:rPr>
                <w:color w:val="000000"/>
              </w:rPr>
            </w:pPr>
            <w:r w:rsidRPr="007249A4">
              <w:rPr>
                <w:color w:val="000000"/>
              </w:rPr>
              <w:t>154.09</w:t>
            </w:r>
          </w:p>
        </w:tc>
        <w:tc>
          <w:tcPr>
            <w:tcW w:w="1440" w:type="dxa"/>
            <w:tcBorders>
              <w:top w:val="nil"/>
              <w:left w:val="single" w:sz="8" w:space="0" w:color="auto"/>
              <w:bottom w:val="nil"/>
              <w:right w:val="single" w:sz="8" w:space="0" w:color="auto"/>
            </w:tcBorders>
            <w:shd w:val="clear" w:color="auto" w:fill="auto"/>
            <w:noWrap/>
            <w:vAlign w:val="bottom"/>
          </w:tcPr>
          <w:p w14:paraId="147D8D97" w14:textId="77777777" w:rsidR="0016155B" w:rsidRPr="007249A4" w:rsidRDefault="0016155B" w:rsidP="007249A4">
            <w:pPr>
              <w:jc w:val="center"/>
              <w:rPr>
                <w:b/>
                <w:bCs/>
                <w:color w:val="000000"/>
              </w:rPr>
            </w:pPr>
            <w:r w:rsidRPr="007249A4">
              <w:rPr>
                <w:b/>
                <w:bCs/>
                <w:color w:val="000000"/>
              </w:rPr>
              <w:t>-14.67</w:t>
            </w:r>
          </w:p>
        </w:tc>
      </w:tr>
      <w:tr w:rsidR="0016155B" w:rsidRPr="007249A4" w14:paraId="22A2994F" w14:textId="77777777">
        <w:trPr>
          <w:trHeight w:val="31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FF1491B" w14:textId="77777777" w:rsidR="0016155B" w:rsidRPr="007249A4" w:rsidRDefault="0016155B">
            <w:pPr>
              <w:rPr>
                <w:b/>
                <w:bCs/>
                <w:color w:val="000000"/>
              </w:rPr>
            </w:pPr>
            <w:r w:rsidRPr="007249A4">
              <w:rPr>
                <w:b/>
                <w:bCs/>
                <w:color w:val="000000"/>
              </w:rPr>
              <w:t>Average</w:t>
            </w:r>
          </w:p>
        </w:tc>
        <w:tc>
          <w:tcPr>
            <w:tcW w:w="1440" w:type="dxa"/>
            <w:tcBorders>
              <w:top w:val="single" w:sz="8" w:space="0" w:color="auto"/>
              <w:left w:val="nil"/>
              <w:bottom w:val="single" w:sz="8" w:space="0" w:color="auto"/>
              <w:right w:val="single" w:sz="4" w:space="0" w:color="auto"/>
            </w:tcBorders>
            <w:shd w:val="clear" w:color="auto" w:fill="auto"/>
            <w:noWrap/>
            <w:vAlign w:val="bottom"/>
          </w:tcPr>
          <w:p w14:paraId="568E4EEC" w14:textId="77777777" w:rsidR="0016155B" w:rsidRPr="007249A4" w:rsidRDefault="0016155B" w:rsidP="007249A4">
            <w:pPr>
              <w:jc w:val="center"/>
              <w:rPr>
                <w:b/>
                <w:bCs/>
                <w:color w:val="000000"/>
              </w:rPr>
            </w:pPr>
            <w:r w:rsidRPr="007249A4">
              <w:rPr>
                <w:b/>
                <w:bCs/>
                <w:color w:val="000000"/>
              </w:rPr>
              <w:t>232.25</w:t>
            </w:r>
          </w:p>
        </w:tc>
        <w:tc>
          <w:tcPr>
            <w:tcW w:w="1350" w:type="dxa"/>
            <w:tcBorders>
              <w:top w:val="single" w:sz="8" w:space="0" w:color="auto"/>
              <w:left w:val="nil"/>
              <w:bottom w:val="single" w:sz="8" w:space="0" w:color="auto"/>
              <w:right w:val="nil"/>
            </w:tcBorders>
            <w:shd w:val="clear" w:color="auto" w:fill="auto"/>
            <w:noWrap/>
            <w:vAlign w:val="bottom"/>
          </w:tcPr>
          <w:p w14:paraId="2C76A3D4" w14:textId="77777777" w:rsidR="0016155B" w:rsidRPr="007249A4" w:rsidRDefault="0016155B" w:rsidP="007249A4">
            <w:pPr>
              <w:jc w:val="center"/>
              <w:rPr>
                <w:b/>
                <w:bCs/>
                <w:color w:val="000000"/>
              </w:rPr>
            </w:pPr>
            <w:r w:rsidRPr="007249A4">
              <w:rPr>
                <w:b/>
                <w:bCs/>
                <w:color w:val="000000"/>
              </w:rPr>
              <w:t>305.02</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77CBAA" w14:textId="77777777" w:rsidR="0016155B" w:rsidRPr="007249A4" w:rsidRDefault="0016155B">
            <w:pPr>
              <w:jc w:val="right"/>
              <w:rPr>
                <w:b/>
                <w:bCs/>
                <w:color w:val="000000"/>
              </w:rPr>
            </w:pPr>
            <w:r w:rsidRPr="007249A4">
              <w:rPr>
                <w:b/>
                <w:bCs/>
                <w:color w:val="000000"/>
              </w:rPr>
              <w:t>-72.77</w:t>
            </w:r>
          </w:p>
        </w:tc>
        <w:tc>
          <w:tcPr>
            <w:tcW w:w="1440" w:type="dxa"/>
            <w:tcBorders>
              <w:top w:val="single" w:sz="8" w:space="0" w:color="auto"/>
              <w:left w:val="nil"/>
              <w:bottom w:val="single" w:sz="8" w:space="0" w:color="auto"/>
              <w:right w:val="single" w:sz="4" w:space="0" w:color="auto"/>
            </w:tcBorders>
            <w:shd w:val="clear" w:color="auto" w:fill="auto"/>
            <w:noWrap/>
            <w:vAlign w:val="bottom"/>
          </w:tcPr>
          <w:p w14:paraId="34CD15D2" w14:textId="77777777" w:rsidR="0016155B" w:rsidRPr="007249A4" w:rsidRDefault="0016155B" w:rsidP="007249A4">
            <w:pPr>
              <w:jc w:val="center"/>
              <w:rPr>
                <w:b/>
                <w:bCs/>
                <w:color w:val="000000"/>
              </w:rPr>
            </w:pPr>
            <w:r w:rsidRPr="007249A4">
              <w:rPr>
                <w:b/>
                <w:bCs/>
                <w:color w:val="000000"/>
              </w:rPr>
              <w:t>128.47</w:t>
            </w:r>
          </w:p>
        </w:tc>
        <w:tc>
          <w:tcPr>
            <w:tcW w:w="1440" w:type="dxa"/>
            <w:tcBorders>
              <w:top w:val="single" w:sz="8" w:space="0" w:color="auto"/>
              <w:left w:val="nil"/>
              <w:bottom w:val="single" w:sz="8" w:space="0" w:color="auto"/>
              <w:right w:val="nil"/>
            </w:tcBorders>
            <w:shd w:val="clear" w:color="auto" w:fill="auto"/>
            <w:noWrap/>
            <w:vAlign w:val="bottom"/>
          </w:tcPr>
          <w:p w14:paraId="3ACAE3B2" w14:textId="77777777" w:rsidR="0016155B" w:rsidRPr="007249A4" w:rsidRDefault="0016155B" w:rsidP="007249A4">
            <w:pPr>
              <w:jc w:val="center"/>
              <w:rPr>
                <w:b/>
                <w:bCs/>
                <w:color w:val="000000"/>
              </w:rPr>
            </w:pPr>
            <w:r w:rsidRPr="007249A4">
              <w:rPr>
                <w:b/>
                <w:bCs/>
                <w:color w:val="000000"/>
              </w:rPr>
              <w:t>148.32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8DE54E" w14:textId="77777777" w:rsidR="0016155B" w:rsidRPr="007249A4" w:rsidRDefault="0016155B" w:rsidP="007249A4">
            <w:pPr>
              <w:jc w:val="center"/>
              <w:rPr>
                <w:b/>
                <w:bCs/>
                <w:color w:val="000000"/>
              </w:rPr>
            </w:pPr>
            <w:r w:rsidRPr="007249A4">
              <w:rPr>
                <w:b/>
                <w:bCs/>
                <w:color w:val="000000"/>
              </w:rPr>
              <w:t>-19.85</w:t>
            </w:r>
          </w:p>
        </w:tc>
      </w:tr>
    </w:tbl>
    <w:p w14:paraId="52E03979" w14:textId="77777777" w:rsidR="00351EEE" w:rsidRDefault="00351EEE" w:rsidP="008E6BE8">
      <w:pPr>
        <w:spacing w:line="480" w:lineRule="auto"/>
        <w:ind w:left="720" w:firstLine="720"/>
      </w:pPr>
    </w:p>
    <w:p w14:paraId="7F09C59F" w14:textId="1293E673" w:rsidR="00E7775B" w:rsidRDefault="00B34F39" w:rsidP="001D4E64">
      <w:pPr>
        <w:spacing w:line="480" w:lineRule="auto"/>
        <w:ind w:firstLine="720"/>
      </w:pPr>
      <w:r>
        <w:t xml:space="preserve">Ohio has adopted the Institute of Electrical and Electronic </w:t>
      </w:r>
      <w:r w:rsidR="00B34636">
        <w:t xml:space="preserve">Engineers </w:t>
      </w:r>
      <w:r>
        <w:t>(</w:t>
      </w:r>
      <w:r w:rsidR="00A77C58">
        <w:t>“</w:t>
      </w:r>
      <w:r>
        <w:t>IEE</w:t>
      </w:r>
      <w:r w:rsidRPr="00C77B6B">
        <w:t>E</w:t>
      </w:r>
      <w:r w:rsidR="00A77C58">
        <w:t>”</w:t>
      </w:r>
      <w:r>
        <w:t xml:space="preserve">) standard 1366-2003 </w:t>
      </w:r>
      <w:r w:rsidR="00C249CF">
        <w:t>for electric power distribution reliability indices.</w:t>
      </w:r>
      <w:r w:rsidR="00C249CF">
        <w:rPr>
          <w:rStyle w:val="FootnoteReference"/>
        </w:rPr>
        <w:footnoteReference w:id="39"/>
      </w:r>
      <w:r w:rsidR="00C249CF">
        <w:t xml:space="preserve">  The use of th</w:t>
      </w:r>
      <w:r w:rsidR="00E7775B">
        <w:t>ese s</w:t>
      </w:r>
      <w:r w:rsidR="00C249CF">
        <w:t>tandard</w:t>
      </w:r>
      <w:r w:rsidR="00E7775B">
        <w:t>s</w:t>
      </w:r>
      <w:r w:rsidR="00C249CF">
        <w:t xml:space="preserve"> result</w:t>
      </w:r>
      <w:r w:rsidR="005C5056">
        <w:t>s</w:t>
      </w:r>
      <w:r w:rsidR="00C249CF">
        <w:t xml:space="preserve"> in the establishment of reliability standards that are </w:t>
      </w:r>
      <w:r w:rsidR="00DD1A21">
        <w:t xml:space="preserve">intended to be </w:t>
      </w:r>
      <w:r w:rsidR="00C249CF">
        <w:t xml:space="preserve">representative of the day to day operation of the distribution system during times where the system is not </w:t>
      </w:r>
      <w:r w:rsidR="00993D2B">
        <w:t xml:space="preserve">being </w:t>
      </w:r>
      <w:r w:rsidR="00C249CF">
        <w:t xml:space="preserve">subjected to </w:t>
      </w:r>
      <w:r w:rsidR="00E7775B">
        <w:t>catastrophic</w:t>
      </w:r>
      <w:r w:rsidR="00C249CF">
        <w:t xml:space="preserve"> </w:t>
      </w:r>
      <w:r w:rsidR="00993D2B">
        <w:t xml:space="preserve">conditions </w:t>
      </w:r>
      <w:r w:rsidR="00DD1A21">
        <w:t xml:space="preserve">which are </w:t>
      </w:r>
      <w:r w:rsidR="00993D2B">
        <w:t>defined as major events.</w:t>
      </w:r>
      <w:r w:rsidR="00993D2B">
        <w:rPr>
          <w:rStyle w:val="FootnoteReference"/>
        </w:rPr>
        <w:footnoteReference w:id="40"/>
      </w:r>
      <w:r w:rsidR="00993D2B">
        <w:t xml:space="preserve"> </w:t>
      </w:r>
      <w:r w:rsidR="00440E37">
        <w:t xml:space="preserve"> </w:t>
      </w:r>
      <w:r w:rsidR="00696EE9">
        <w:t xml:space="preserve">Events such as severe weather result in the designation of major event days where the reliability performance </w:t>
      </w:r>
      <w:r w:rsidR="00B77966">
        <w:t xml:space="preserve">for a period of time </w:t>
      </w:r>
      <w:r w:rsidR="00696EE9">
        <w:t xml:space="preserve">is excluded </w:t>
      </w:r>
      <w:r w:rsidR="00B77966">
        <w:t xml:space="preserve">from </w:t>
      </w:r>
      <w:r w:rsidR="00696EE9">
        <w:t xml:space="preserve">consideration </w:t>
      </w:r>
      <w:r w:rsidR="00B77966">
        <w:t>with normal day to day reliability perform</w:t>
      </w:r>
      <w:r w:rsidR="001C42DA">
        <w:t xml:space="preserve">ance.  </w:t>
      </w:r>
      <w:r w:rsidR="00FE0555">
        <w:t>IEE</w:t>
      </w:r>
      <w:r w:rsidR="00FE0555" w:rsidRPr="00C77B6B">
        <w:t>E</w:t>
      </w:r>
      <w:r w:rsidR="00FE0555">
        <w:t xml:space="preserve"> standards are significant because</w:t>
      </w:r>
      <w:r w:rsidR="009E0840">
        <w:t xml:space="preserve"> they </w:t>
      </w:r>
      <w:r w:rsidR="00DD1A21">
        <w:t xml:space="preserve">attempt to capture </w:t>
      </w:r>
      <w:r w:rsidR="009E0840">
        <w:t>the unique aspects of each service area, maintena</w:t>
      </w:r>
      <w:r w:rsidR="00E7775B">
        <w:t>n</w:t>
      </w:r>
      <w:r w:rsidR="009E0840">
        <w:t xml:space="preserve">ce programs, historical performance, staffing, and </w:t>
      </w:r>
      <w:r w:rsidR="00E7775B">
        <w:t xml:space="preserve">the results of </w:t>
      </w:r>
      <w:r w:rsidR="009E0840">
        <w:t xml:space="preserve">investments </w:t>
      </w:r>
      <w:r w:rsidR="00DD1A21">
        <w:t xml:space="preserve">that are made in </w:t>
      </w:r>
      <w:r w:rsidR="009E0840">
        <w:t xml:space="preserve">reliability </w:t>
      </w:r>
      <w:r w:rsidR="00E7775B">
        <w:t xml:space="preserve">improvements.  </w:t>
      </w:r>
      <w:r w:rsidR="00D930CE">
        <w:t xml:space="preserve">AEP Ohio’s proposal to combine reliability standards </w:t>
      </w:r>
      <w:r w:rsidR="005C5056">
        <w:t>would</w:t>
      </w:r>
      <w:r w:rsidR="00D930CE">
        <w:t xml:space="preserve"> distort </w:t>
      </w:r>
      <w:r w:rsidR="00E7775B">
        <w:t xml:space="preserve">a proper </w:t>
      </w:r>
      <w:r w:rsidR="00D930CE">
        <w:t xml:space="preserve">review of the level of reliability </w:t>
      </w:r>
      <w:r w:rsidR="00E7775B">
        <w:t xml:space="preserve">that </w:t>
      </w:r>
      <w:r w:rsidR="00D930CE">
        <w:t xml:space="preserve">the Company </w:t>
      </w:r>
      <w:r w:rsidR="00E7775B">
        <w:t xml:space="preserve">is responsible for </w:t>
      </w:r>
      <w:r w:rsidR="00D930CE">
        <w:t>provid</w:t>
      </w:r>
      <w:r w:rsidR="00E7775B">
        <w:t xml:space="preserve">ing </w:t>
      </w:r>
      <w:r w:rsidR="005C5056">
        <w:t xml:space="preserve">to </w:t>
      </w:r>
      <w:r w:rsidR="00D930CE">
        <w:t>customers.</w:t>
      </w:r>
    </w:p>
    <w:p w14:paraId="34EF6FD4" w14:textId="1F016EBC" w:rsidR="00160C77" w:rsidRDefault="00D930CE" w:rsidP="002A55CB">
      <w:pPr>
        <w:spacing w:line="480" w:lineRule="auto"/>
        <w:ind w:firstLine="720"/>
      </w:pPr>
      <w:r>
        <w:t>In much the same way that the rel</w:t>
      </w:r>
      <w:r w:rsidR="000A61CF">
        <w:t>i</w:t>
      </w:r>
      <w:r>
        <w:t xml:space="preserve">ability performance for each of the three </w:t>
      </w:r>
      <w:r w:rsidR="009E0840">
        <w:t xml:space="preserve">FirstEnergy </w:t>
      </w:r>
      <w:r>
        <w:t>service areas are reflected in their own unique rel</w:t>
      </w:r>
      <w:r w:rsidR="00F51CAF">
        <w:t xml:space="preserve">iability </w:t>
      </w:r>
      <w:r>
        <w:t>performance standards</w:t>
      </w:r>
      <w:r w:rsidR="004D3382">
        <w:t xml:space="preserve">, </w:t>
      </w:r>
      <w:r w:rsidR="00F51CAF">
        <w:t>the CSP and OP service areas have their own unique reliability performance</w:t>
      </w:r>
      <w:r w:rsidR="00E7775B">
        <w:t xml:space="preserve"> and as such their own unique reliability standards.  </w:t>
      </w:r>
      <w:r w:rsidR="00F51CAF">
        <w:t xml:space="preserve">As shown in Table 7, </w:t>
      </w:r>
      <w:r w:rsidR="00E7775B">
        <w:t xml:space="preserve">trying to combine </w:t>
      </w:r>
      <w:r w:rsidR="00844D2F">
        <w:t>reliability standard</w:t>
      </w:r>
      <w:r w:rsidR="008B4CF6">
        <w:t>s</w:t>
      </w:r>
      <w:r w:rsidR="00844D2F">
        <w:t xml:space="preserve"> for </w:t>
      </w:r>
      <w:r w:rsidR="008B4CF6">
        <w:t xml:space="preserve">the three </w:t>
      </w:r>
      <w:r w:rsidR="00844D2F">
        <w:t>FirstEnergy</w:t>
      </w:r>
      <w:r w:rsidR="008B4CF6">
        <w:t xml:space="preserve"> areas would result in an outcome where the standards are not </w:t>
      </w:r>
      <w:r w:rsidR="00844D2F">
        <w:t xml:space="preserve">reflective of the performance in </w:t>
      </w:r>
      <w:r w:rsidR="008B4CF6">
        <w:t xml:space="preserve">the areas where </w:t>
      </w:r>
      <w:r w:rsidR="008C2F3D">
        <w:t>FirstEnergy</w:t>
      </w:r>
      <w:r w:rsidR="008B4CF6">
        <w:t xml:space="preserve"> operates.</w:t>
      </w:r>
      <w:r w:rsidR="002710B1">
        <w:rPr>
          <w:rStyle w:val="FootnoteReference"/>
        </w:rPr>
        <w:footnoteReference w:id="41"/>
      </w:r>
      <w:r w:rsidR="00844D2F">
        <w:t xml:space="preserve"> </w:t>
      </w:r>
      <w:r w:rsidR="00B34636">
        <w:t xml:space="preserve"> Under this hypothetical case, a</w:t>
      </w:r>
      <w:r w:rsidR="00C66967">
        <w:t xml:space="preserve">n average SAIFI would be 1.14 and an average CAIDI would be 120.57 minutes and both </w:t>
      </w:r>
      <w:r w:rsidR="00B34636">
        <w:t xml:space="preserve">would </w:t>
      </w:r>
      <w:r w:rsidR="00C66967">
        <w:t>represent a degradation in reliability performance standards for Ohio Edison and Toledo Edison (the smaller of the FirstEnergy EDU</w:t>
      </w:r>
      <w:r w:rsidR="008364F9">
        <w:t>’</w:t>
      </w:r>
      <w:r w:rsidR="00C66967">
        <w:t>s) and a reliability improvement for Cleveland Electric Illuminating Company</w:t>
      </w:r>
      <w:r w:rsidR="008364F9">
        <w:t xml:space="preserve">.  Yet there </w:t>
      </w:r>
      <w:r w:rsidR="00B34636">
        <w:t xml:space="preserve">would be </w:t>
      </w:r>
      <w:r w:rsidR="008364F9">
        <w:t xml:space="preserve">no real change in reliability.  </w:t>
      </w:r>
      <w:r w:rsidR="008B4CF6">
        <w:t xml:space="preserve">The AEP Ohio service areas are no different and the </w:t>
      </w:r>
      <w:r w:rsidR="00844D2F">
        <w:t xml:space="preserve">reliability performance </w:t>
      </w:r>
      <w:r w:rsidR="008B4CF6">
        <w:t>is sufficiently different in each area to justify separate reliability performance standards.</w:t>
      </w:r>
    </w:p>
    <w:p w14:paraId="408027F4" w14:textId="3B11F71C" w:rsidR="001C42DA" w:rsidRPr="004D3382" w:rsidRDefault="004D3382" w:rsidP="004D3382">
      <w:pPr>
        <w:spacing w:line="480" w:lineRule="auto"/>
        <w:ind w:firstLine="720"/>
        <w:jc w:val="center"/>
        <w:rPr>
          <w:b/>
        </w:rPr>
      </w:pPr>
      <w:r w:rsidRPr="004D3382">
        <w:rPr>
          <w:b/>
        </w:rPr>
        <w:t>Table 7:  FirstEnergy Reliability Standards</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56"/>
        <w:gridCol w:w="2124"/>
      </w:tblGrid>
      <w:tr w:rsidR="004D3382" w14:paraId="58506AC3" w14:textId="77777777">
        <w:tc>
          <w:tcPr>
            <w:tcW w:w="4248" w:type="dxa"/>
            <w:shd w:val="clear" w:color="auto" w:fill="auto"/>
          </w:tcPr>
          <w:p w14:paraId="0F8999D4" w14:textId="77777777" w:rsidR="004D3382" w:rsidRPr="00932FD7" w:rsidRDefault="004D3382" w:rsidP="00932FD7">
            <w:pPr>
              <w:spacing w:line="480" w:lineRule="auto"/>
              <w:jc w:val="center"/>
              <w:rPr>
                <w:b/>
              </w:rPr>
            </w:pPr>
            <w:r w:rsidRPr="00932FD7">
              <w:rPr>
                <w:b/>
              </w:rPr>
              <w:t>Service Area</w:t>
            </w:r>
          </w:p>
        </w:tc>
        <w:tc>
          <w:tcPr>
            <w:tcW w:w="1656" w:type="dxa"/>
            <w:shd w:val="clear" w:color="auto" w:fill="auto"/>
          </w:tcPr>
          <w:p w14:paraId="2CDF19DB" w14:textId="77777777" w:rsidR="004D3382" w:rsidRPr="00932FD7" w:rsidRDefault="004D3382" w:rsidP="00932FD7">
            <w:pPr>
              <w:spacing w:line="480" w:lineRule="auto"/>
              <w:jc w:val="center"/>
              <w:rPr>
                <w:b/>
              </w:rPr>
            </w:pPr>
            <w:r w:rsidRPr="00932FD7">
              <w:rPr>
                <w:b/>
              </w:rPr>
              <w:t>SAIFI</w:t>
            </w:r>
          </w:p>
        </w:tc>
        <w:tc>
          <w:tcPr>
            <w:tcW w:w="2124" w:type="dxa"/>
            <w:shd w:val="clear" w:color="auto" w:fill="auto"/>
          </w:tcPr>
          <w:p w14:paraId="05EFB71C" w14:textId="77777777" w:rsidR="004D3382" w:rsidRPr="00932FD7" w:rsidRDefault="004D3382" w:rsidP="00932FD7">
            <w:pPr>
              <w:spacing w:line="480" w:lineRule="auto"/>
              <w:jc w:val="center"/>
              <w:rPr>
                <w:b/>
              </w:rPr>
            </w:pPr>
            <w:r w:rsidRPr="00932FD7">
              <w:rPr>
                <w:b/>
              </w:rPr>
              <w:t>CAIDI (Minutes)</w:t>
            </w:r>
          </w:p>
        </w:tc>
      </w:tr>
      <w:tr w:rsidR="004D3382" w14:paraId="0767930A" w14:textId="77777777">
        <w:tc>
          <w:tcPr>
            <w:tcW w:w="4248" w:type="dxa"/>
            <w:shd w:val="clear" w:color="auto" w:fill="auto"/>
          </w:tcPr>
          <w:p w14:paraId="201CA085" w14:textId="77777777" w:rsidR="004D3382" w:rsidRDefault="004D3382" w:rsidP="000A61CF">
            <w:smartTag w:uri="urn:schemas-microsoft-com:office:smarttags" w:element="City">
              <w:smartTag w:uri="urn:schemas-microsoft-com:office:smarttags" w:element="place">
                <w:r>
                  <w:t>Cleveland</w:t>
                </w:r>
              </w:smartTag>
            </w:smartTag>
            <w:r>
              <w:t xml:space="preserve"> Electric Illuminating Company</w:t>
            </w:r>
          </w:p>
        </w:tc>
        <w:tc>
          <w:tcPr>
            <w:tcW w:w="1656" w:type="dxa"/>
            <w:shd w:val="clear" w:color="auto" w:fill="auto"/>
          </w:tcPr>
          <w:p w14:paraId="0546D474" w14:textId="77777777" w:rsidR="004D3382" w:rsidRDefault="004D3382" w:rsidP="00932FD7">
            <w:pPr>
              <w:jc w:val="center"/>
            </w:pPr>
            <w:r>
              <w:t>1.30</w:t>
            </w:r>
          </w:p>
        </w:tc>
        <w:tc>
          <w:tcPr>
            <w:tcW w:w="2124" w:type="dxa"/>
            <w:shd w:val="clear" w:color="auto" w:fill="auto"/>
          </w:tcPr>
          <w:p w14:paraId="09511A38" w14:textId="77777777" w:rsidR="004D3382" w:rsidRDefault="004D3382" w:rsidP="00932FD7">
            <w:pPr>
              <w:jc w:val="center"/>
            </w:pPr>
            <w:r>
              <w:t xml:space="preserve">135 </w:t>
            </w:r>
          </w:p>
        </w:tc>
      </w:tr>
      <w:tr w:rsidR="004D3382" w14:paraId="56D6CB88" w14:textId="77777777">
        <w:tc>
          <w:tcPr>
            <w:tcW w:w="4248" w:type="dxa"/>
            <w:shd w:val="clear" w:color="auto" w:fill="auto"/>
          </w:tcPr>
          <w:p w14:paraId="2B809F0E" w14:textId="77777777" w:rsidR="004D3382" w:rsidRDefault="004D3382" w:rsidP="000A61CF">
            <w:r>
              <w:t>Ohio Edison</w:t>
            </w:r>
            <w:r w:rsidR="000A61CF">
              <w:t xml:space="preserve"> Company</w:t>
            </w:r>
          </w:p>
        </w:tc>
        <w:tc>
          <w:tcPr>
            <w:tcW w:w="1656" w:type="dxa"/>
            <w:shd w:val="clear" w:color="auto" w:fill="auto"/>
          </w:tcPr>
          <w:p w14:paraId="0062AD50" w14:textId="77777777" w:rsidR="004D3382" w:rsidRDefault="004D3382" w:rsidP="00932FD7">
            <w:pPr>
              <w:jc w:val="center"/>
            </w:pPr>
            <w:r>
              <w:t>1.11</w:t>
            </w:r>
          </w:p>
        </w:tc>
        <w:tc>
          <w:tcPr>
            <w:tcW w:w="2124" w:type="dxa"/>
            <w:shd w:val="clear" w:color="auto" w:fill="auto"/>
          </w:tcPr>
          <w:p w14:paraId="649F85A4" w14:textId="77777777" w:rsidR="004D3382" w:rsidRDefault="004D3382" w:rsidP="00932FD7">
            <w:pPr>
              <w:jc w:val="center"/>
            </w:pPr>
            <w:r>
              <w:t>114.37</w:t>
            </w:r>
          </w:p>
        </w:tc>
      </w:tr>
      <w:tr w:rsidR="004D3382" w14:paraId="7852318E" w14:textId="77777777">
        <w:tc>
          <w:tcPr>
            <w:tcW w:w="4248" w:type="dxa"/>
            <w:shd w:val="clear" w:color="auto" w:fill="auto"/>
          </w:tcPr>
          <w:p w14:paraId="094AF84D" w14:textId="77777777" w:rsidR="004D3382" w:rsidRDefault="004D3382" w:rsidP="000A61CF">
            <w:r>
              <w:t>Toledo Edison</w:t>
            </w:r>
            <w:r w:rsidR="000A61CF">
              <w:t xml:space="preserve"> Company</w:t>
            </w:r>
          </w:p>
        </w:tc>
        <w:tc>
          <w:tcPr>
            <w:tcW w:w="1656" w:type="dxa"/>
            <w:shd w:val="clear" w:color="auto" w:fill="auto"/>
          </w:tcPr>
          <w:p w14:paraId="1C2457EC" w14:textId="77777777" w:rsidR="004D3382" w:rsidRDefault="004D3382" w:rsidP="00932FD7">
            <w:pPr>
              <w:jc w:val="center"/>
            </w:pPr>
            <w:r>
              <w:t>1.0</w:t>
            </w:r>
          </w:p>
        </w:tc>
        <w:tc>
          <w:tcPr>
            <w:tcW w:w="2124" w:type="dxa"/>
            <w:shd w:val="clear" w:color="auto" w:fill="auto"/>
          </w:tcPr>
          <w:p w14:paraId="394DCA2F" w14:textId="77777777" w:rsidR="004D3382" w:rsidRDefault="004D3382" w:rsidP="00932FD7">
            <w:pPr>
              <w:jc w:val="center"/>
            </w:pPr>
            <w:r>
              <w:t>112.33</w:t>
            </w:r>
          </w:p>
        </w:tc>
      </w:tr>
    </w:tbl>
    <w:p w14:paraId="0444158B" w14:textId="77777777" w:rsidR="004D3382" w:rsidRDefault="004D3382" w:rsidP="004D3382">
      <w:pPr>
        <w:spacing w:line="480" w:lineRule="auto"/>
        <w:ind w:firstLine="720"/>
        <w:jc w:val="center"/>
      </w:pPr>
    </w:p>
    <w:p w14:paraId="42FB19D6" w14:textId="7306F509" w:rsidR="00BA39F8" w:rsidRDefault="00696EE9" w:rsidP="00993D2B">
      <w:pPr>
        <w:spacing w:line="480" w:lineRule="auto"/>
        <w:ind w:firstLine="720"/>
      </w:pPr>
      <w:r>
        <w:t>Ohio Admin. Code 4901:1-10-10(B)(4) requires electric utilities to justify reliability standards based on historical performance, service area geography, system design, technological advancements and the results of a customer perception survey.</w:t>
      </w:r>
      <w:r>
        <w:rPr>
          <w:rStyle w:val="FootnoteReference"/>
        </w:rPr>
        <w:footnoteReference w:id="42"/>
      </w:r>
      <w:r>
        <w:t xml:space="preserve"> </w:t>
      </w:r>
      <w:r w:rsidR="00440E37">
        <w:t xml:space="preserve"> </w:t>
      </w:r>
      <w:r w:rsidR="008364F9">
        <w:t>Consideration of either the OP</w:t>
      </w:r>
      <w:r w:rsidR="005E5F90">
        <w:t xml:space="preserve"> or CSP reliability performance using data that is not represen</w:t>
      </w:r>
      <w:r w:rsidR="008B4CF6">
        <w:t>t</w:t>
      </w:r>
      <w:r w:rsidR="005E5F90">
        <w:t xml:space="preserve">ative of the normal day to day operation of the actual distribution systems results in a distortion </w:t>
      </w:r>
      <w:r w:rsidR="00336A67">
        <w:t xml:space="preserve">in </w:t>
      </w:r>
      <w:r w:rsidR="005E5F90">
        <w:t>the effectiveness of the reliability standards</w:t>
      </w:r>
      <w:r w:rsidR="00844D2F">
        <w:t xml:space="preserve">.  </w:t>
      </w:r>
      <w:r w:rsidR="008B4CF6">
        <w:t xml:space="preserve">This outcome is radically different from the reason why </w:t>
      </w:r>
      <w:smartTag w:uri="urn:schemas-microsoft-com:office:smarttags" w:element="place">
        <w:smartTag w:uri="urn:schemas-microsoft-com:office:smarttags" w:element="State">
          <w:r w:rsidR="008B4CF6">
            <w:t>Ohio</w:t>
          </w:r>
        </w:smartTag>
      </w:smartTag>
      <w:r w:rsidR="008B4CF6">
        <w:t xml:space="preserve"> adopted the use of reliability standards in the first place.  </w:t>
      </w:r>
    </w:p>
    <w:p w14:paraId="70CD72D8" w14:textId="77777777" w:rsidR="00654100" w:rsidRDefault="00336A67" w:rsidP="00993D2B">
      <w:pPr>
        <w:spacing w:line="480" w:lineRule="auto"/>
        <w:ind w:firstLine="720"/>
      </w:pPr>
      <w:r>
        <w:t xml:space="preserve">By reasonably reflecting the actual </w:t>
      </w:r>
      <w:r w:rsidR="008B4CF6">
        <w:t xml:space="preserve">day to day reliability performance </w:t>
      </w:r>
      <w:r>
        <w:t>of the distribution system</w:t>
      </w:r>
      <w:r w:rsidR="008B4CF6">
        <w:t xml:space="preserve">, the Commission is able to fulfill its statutory mandate in ensuring that customers are provided </w:t>
      </w:r>
      <w:r w:rsidR="00E40EEF">
        <w:t>reliable electric service.</w:t>
      </w:r>
      <w:r w:rsidR="00E40EEF">
        <w:rPr>
          <w:rStyle w:val="FootnoteReference"/>
        </w:rPr>
        <w:footnoteReference w:id="43"/>
      </w:r>
      <w:r w:rsidR="00E40EEF">
        <w:t xml:space="preserve">  Otherwise, the reliability of the distribution systems </w:t>
      </w:r>
      <w:r w:rsidR="005D6E8E">
        <w:t xml:space="preserve">could be left to happenstance where </w:t>
      </w:r>
      <w:r w:rsidR="00204366">
        <w:t>hundred</w:t>
      </w:r>
      <w:r w:rsidR="005D6E8E">
        <w:t>s</w:t>
      </w:r>
      <w:r w:rsidR="00204366">
        <w:t xml:space="preserve"> of millions of dollars </w:t>
      </w:r>
    </w:p>
    <w:p w14:paraId="361B0441" w14:textId="1501E476" w:rsidR="008E6BE8" w:rsidRDefault="005D6E8E" w:rsidP="00654100">
      <w:pPr>
        <w:spacing w:line="480" w:lineRule="auto"/>
      </w:pPr>
      <w:r>
        <w:t>could be spent o</w:t>
      </w:r>
      <w:r w:rsidR="00204366">
        <w:t xml:space="preserve">n </w:t>
      </w:r>
      <w:r>
        <w:t xml:space="preserve">items like the </w:t>
      </w:r>
      <w:r w:rsidR="00204366">
        <w:t>Enhanced Service Reliability Rider</w:t>
      </w:r>
      <w:r>
        <w:t>s</w:t>
      </w:r>
      <w:r w:rsidR="00204366">
        <w:t>,</w:t>
      </w:r>
      <w:r w:rsidR="008364F9">
        <w:rPr>
          <w:rStyle w:val="FootnoteReference"/>
        </w:rPr>
        <w:footnoteReference w:id="44"/>
      </w:r>
      <w:r w:rsidR="00204366">
        <w:t xml:space="preserve"> GridSmart,</w:t>
      </w:r>
      <w:r w:rsidR="003A41D0">
        <w:rPr>
          <w:rStyle w:val="FootnoteReference"/>
        </w:rPr>
        <w:footnoteReference w:id="45"/>
      </w:r>
      <w:r w:rsidR="00204366">
        <w:t xml:space="preserve"> and the Distribution Investment Riders</w:t>
      </w:r>
      <w:r w:rsidR="003A41D0">
        <w:rPr>
          <w:rStyle w:val="FootnoteReference"/>
        </w:rPr>
        <w:footnoteReference w:id="46"/>
      </w:r>
      <w:r w:rsidR="00204366">
        <w:t xml:space="preserve"> </w:t>
      </w:r>
      <w:r w:rsidR="00961EF1">
        <w:t xml:space="preserve">without resulting in </w:t>
      </w:r>
      <w:r>
        <w:t xml:space="preserve">reliability </w:t>
      </w:r>
      <w:r w:rsidR="0028532A">
        <w:t>improvements for customers</w:t>
      </w:r>
      <w:r>
        <w:t>.</w:t>
      </w:r>
      <w:r w:rsidR="00D70C0D">
        <w:rPr>
          <w:rStyle w:val="FootnoteReference"/>
        </w:rPr>
        <w:footnoteReference w:id="47"/>
      </w:r>
      <w:r w:rsidR="003A41D0">
        <w:t xml:space="preserve">  AEP Ohio agreed to propose a single set of distribution tariffs for all rate schedules in their next distribution rate case.</w:t>
      </w:r>
      <w:r w:rsidR="003A41D0">
        <w:rPr>
          <w:rStyle w:val="FootnoteReference"/>
        </w:rPr>
        <w:footnoteReference w:id="48"/>
      </w:r>
      <w:r w:rsidR="00772B1F">
        <w:t xml:space="preserve">  Consideration of combined reliability standards for CSP and OP are premature until that time.  </w:t>
      </w:r>
    </w:p>
    <w:p w14:paraId="457EFF77" w14:textId="43F6184F" w:rsidR="00BA39F8" w:rsidRDefault="005D6E8E" w:rsidP="00BE742E">
      <w:pPr>
        <w:spacing w:line="480" w:lineRule="auto"/>
        <w:ind w:firstLine="720"/>
      </w:pPr>
      <w:r>
        <w:t xml:space="preserve">As mentioned earlier, the </w:t>
      </w:r>
      <w:r w:rsidR="00D3241A">
        <w:t xml:space="preserve">reliability performance </w:t>
      </w:r>
      <w:r w:rsidR="00863A1C">
        <w:t xml:space="preserve">for </w:t>
      </w:r>
      <w:r w:rsidR="00D3241A">
        <w:t xml:space="preserve">the </w:t>
      </w:r>
      <w:r w:rsidR="008364F9">
        <w:t>CSP and OP</w:t>
      </w:r>
      <w:r w:rsidR="00B77966">
        <w:t xml:space="preserve"> </w:t>
      </w:r>
      <w:r w:rsidR="00D3241A">
        <w:t>d</w:t>
      </w:r>
      <w:r w:rsidR="00863A1C">
        <w:t>is</w:t>
      </w:r>
      <w:r w:rsidR="00D3241A">
        <w:t xml:space="preserve">tribution systems </w:t>
      </w:r>
      <w:r>
        <w:t xml:space="preserve">are uniquely </w:t>
      </w:r>
      <w:r w:rsidR="00BA05C4">
        <w:t>impact</w:t>
      </w:r>
      <w:r>
        <w:t xml:space="preserve">ed by weather.  </w:t>
      </w:r>
      <w:r w:rsidR="008E6BE8">
        <w:t>Ta</w:t>
      </w:r>
      <w:r w:rsidR="00D3241A">
        <w:t>b</w:t>
      </w:r>
      <w:r w:rsidR="008E6BE8">
        <w:t xml:space="preserve">le </w:t>
      </w:r>
      <w:r w:rsidR="00863A1C">
        <w:t>8</w:t>
      </w:r>
      <w:r w:rsidR="008E6BE8">
        <w:t xml:space="preserve"> provides a comparison of the days in which major event outages occurred in 2011 </w:t>
      </w:r>
      <w:r w:rsidR="004D02A3">
        <w:t xml:space="preserve">for each of the two service areas.  </w:t>
      </w:r>
      <w:r w:rsidR="00112A6C">
        <w:t xml:space="preserve">While there were </w:t>
      </w:r>
      <w:r w:rsidR="00772B1F">
        <w:t xml:space="preserve">three </w:t>
      </w:r>
      <w:r w:rsidR="00112A6C">
        <w:t xml:space="preserve">days in 2011 where the weather resulted in major event day designations for </w:t>
      </w:r>
      <w:r w:rsidR="00D3241A">
        <w:t xml:space="preserve">both </w:t>
      </w:r>
      <w:r w:rsidR="008364F9">
        <w:t>CSP and OP</w:t>
      </w:r>
      <w:r w:rsidR="00112A6C">
        <w:t xml:space="preserve">, the majority of the major event days were isolated to one </w:t>
      </w:r>
      <w:r w:rsidR="001C42DA">
        <w:t xml:space="preserve">service </w:t>
      </w:r>
      <w:r w:rsidR="00112A6C">
        <w:t xml:space="preserve">area or the other.  </w:t>
      </w:r>
    </w:p>
    <w:p w14:paraId="341B4781" w14:textId="153BD38A" w:rsidR="00160C77" w:rsidRDefault="00B34636" w:rsidP="002A55CB">
      <w:pPr>
        <w:spacing w:line="480" w:lineRule="auto"/>
        <w:ind w:firstLine="720"/>
      </w:pPr>
      <w:r>
        <w:t xml:space="preserve">A </w:t>
      </w:r>
      <w:r w:rsidR="00D3241A">
        <w:t>total of s</w:t>
      </w:r>
      <w:r w:rsidR="00BE742E">
        <w:t>ix major event days were ex</w:t>
      </w:r>
      <w:r w:rsidR="005D6E8E">
        <w:t>c</w:t>
      </w:r>
      <w:r w:rsidR="00BE742E">
        <w:t xml:space="preserve">luded from consideration </w:t>
      </w:r>
      <w:r w:rsidR="00384115">
        <w:t>of the normal day to day rel</w:t>
      </w:r>
      <w:r w:rsidR="005D6E8E">
        <w:t xml:space="preserve">iability </w:t>
      </w:r>
      <w:r w:rsidR="00384115">
        <w:t xml:space="preserve">performance of the </w:t>
      </w:r>
      <w:r w:rsidR="008364F9">
        <w:t>CSP and OP</w:t>
      </w:r>
      <w:r w:rsidR="00D3241A">
        <w:t xml:space="preserve"> </w:t>
      </w:r>
      <w:r w:rsidR="00384115">
        <w:t>distribution</w:t>
      </w:r>
      <w:r w:rsidR="00D3241A">
        <w:t xml:space="preserve"> systems</w:t>
      </w:r>
      <w:r w:rsidR="0028532A">
        <w:t xml:space="preserve"> when considered on an individual company basis</w:t>
      </w:r>
      <w:r w:rsidR="00772B1F">
        <w:t xml:space="preserve">. </w:t>
      </w:r>
      <w:r w:rsidR="00D3241A">
        <w:t xml:space="preserve"> </w:t>
      </w:r>
      <w:r w:rsidR="00772B1F">
        <w:t xml:space="preserve">Differences in the service areas’ geography resulted in no major event days in the CSP service territory from February 2, 2011 through May 22, 2011.  Yet OP experienced two major events.  During June 2011, CSP experienced three major events while OP experienced only one.  Yet </w:t>
      </w:r>
      <w:r w:rsidR="00D3241A">
        <w:t>a c</w:t>
      </w:r>
      <w:r w:rsidR="00384115">
        <w:t xml:space="preserve">ombined </w:t>
      </w:r>
      <w:r w:rsidR="00772B1F">
        <w:t>standard</w:t>
      </w:r>
      <w:r w:rsidR="00384115">
        <w:t xml:space="preserve"> </w:t>
      </w:r>
      <w:r w:rsidR="00D3241A">
        <w:t>result</w:t>
      </w:r>
      <w:r w:rsidR="00772B1F">
        <w:t>ed</w:t>
      </w:r>
      <w:r w:rsidR="00D3241A">
        <w:t xml:space="preserve"> in </w:t>
      </w:r>
      <w:r w:rsidR="0028532A">
        <w:t xml:space="preserve">nine </w:t>
      </w:r>
      <w:r w:rsidR="00384115">
        <w:t>major event day</w:t>
      </w:r>
      <w:r w:rsidR="00033BD7">
        <w:t xml:space="preserve"> exclusions for </w:t>
      </w:r>
      <w:r w:rsidR="00772B1F">
        <w:t>the year</w:t>
      </w:r>
      <w:r w:rsidR="00033BD7">
        <w:t xml:space="preserve">.  </w:t>
      </w:r>
      <w:r w:rsidR="005D6E8E">
        <w:t xml:space="preserve">The unnecessary </w:t>
      </w:r>
      <w:r w:rsidR="00033BD7">
        <w:t xml:space="preserve">exclusion of data </w:t>
      </w:r>
      <w:r w:rsidR="005D6E8E">
        <w:t xml:space="preserve">can distort </w:t>
      </w:r>
      <w:r w:rsidR="00033BD7">
        <w:t xml:space="preserve">the </w:t>
      </w:r>
      <w:r w:rsidR="00B66E85">
        <w:t>Commis</w:t>
      </w:r>
      <w:r w:rsidR="005D6E8E">
        <w:t xml:space="preserve">sion </w:t>
      </w:r>
      <w:r w:rsidR="006060BB">
        <w:t xml:space="preserve">and others </w:t>
      </w:r>
      <w:r w:rsidR="00B66E85">
        <w:t xml:space="preserve">from being able to meaningfully evaluate the </w:t>
      </w:r>
      <w:r w:rsidR="00033BD7">
        <w:t xml:space="preserve">true reliability performance </w:t>
      </w:r>
      <w:r w:rsidR="00B66E85">
        <w:t xml:space="preserve">of the </w:t>
      </w:r>
      <w:r w:rsidR="006060BB">
        <w:t xml:space="preserve">two </w:t>
      </w:r>
      <w:r w:rsidR="00A467C8">
        <w:t>distribution systems.</w:t>
      </w:r>
    </w:p>
    <w:p w14:paraId="24D54DDD" w14:textId="77777777" w:rsidR="004D02A3" w:rsidRPr="008E6BE8" w:rsidRDefault="004D02A3" w:rsidP="008E6BE8">
      <w:pPr>
        <w:spacing w:line="480" w:lineRule="auto"/>
        <w:ind w:left="720"/>
        <w:jc w:val="center"/>
        <w:rPr>
          <w:b/>
        </w:rPr>
      </w:pPr>
      <w:r w:rsidRPr="008E6BE8">
        <w:rPr>
          <w:b/>
        </w:rPr>
        <w:t xml:space="preserve">Table </w:t>
      </w:r>
      <w:r w:rsidR="00863A1C">
        <w:rPr>
          <w:b/>
        </w:rPr>
        <w:t>8</w:t>
      </w:r>
      <w:r w:rsidRPr="008E6BE8">
        <w:rPr>
          <w:b/>
        </w:rPr>
        <w:t>: Major Event Outages CSP and OPC 2011</w:t>
      </w: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431"/>
        <w:gridCol w:w="2512"/>
      </w:tblGrid>
      <w:tr w:rsidR="00FD645C" w14:paraId="32C7DBE0" w14:textId="77777777">
        <w:tc>
          <w:tcPr>
            <w:tcW w:w="1190" w:type="dxa"/>
            <w:shd w:val="clear" w:color="auto" w:fill="auto"/>
          </w:tcPr>
          <w:p w14:paraId="2618D64D" w14:textId="77777777" w:rsidR="00FD645C" w:rsidRDefault="00FD645C" w:rsidP="007929B3">
            <w:pPr>
              <w:jc w:val="center"/>
              <w:rPr>
                <w:b/>
              </w:rPr>
            </w:pPr>
            <w:r w:rsidRPr="00863A1C">
              <w:rPr>
                <w:b/>
              </w:rPr>
              <w:t>Date</w:t>
            </w:r>
          </w:p>
          <w:p w14:paraId="21E21899" w14:textId="77777777" w:rsidR="00D70C0D" w:rsidRPr="00863A1C" w:rsidRDefault="00D70C0D" w:rsidP="007929B3">
            <w:pPr>
              <w:jc w:val="center"/>
              <w:rPr>
                <w:b/>
              </w:rPr>
            </w:pPr>
          </w:p>
        </w:tc>
        <w:tc>
          <w:tcPr>
            <w:tcW w:w="1431" w:type="dxa"/>
            <w:shd w:val="clear" w:color="auto" w:fill="auto"/>
          </w:tcPr>
          <w:p w14:paraId="79D66A23" w14:textId="77777777" w:rsidR="00FD645C" w:rsidRPr="00863A1C" w:rsidRDefault="00FD645C" w:rsidP="007929B3">
            <w:pPr>
              <w:jc w:val="center"/>
              <w:rPr>
                <w:b/>
              </w:rPr>
            </w:pPr>
            <w:r w:rsidRPr="00863A1C">
              <w:rPr>
                <w:b/>
              </w:rPr>
              <w:t>Company</w:t>
            </w:r>
          </w:p>
        </w:tc>
        <w:tc>
          <w:tcPr>
            <w:tcW w:w="2512" w:type="dxa"/>
            <w:shd w:val="clear" w:color="auto" w:fill="auto"/>
          </w:tcPr>
          <w:p w14:paraId="31B2C8A3" w14:textId="77777777" w:rsidR="00FD645C" w:rsidRPr="00863A1C" w:rsidRDefault="00FD645C" w:rsidP="007929B3">
            <w:pPr>
              <w:jc w:val="center"/>
              <w:rPr>
                <w:b/>
              </w:rPr>
            </w:pPr>
            <w:r w:rsidRPr="00863A1C">
              <w:rPr>
                <w:b/>
              </w:rPr>
              <w:t>Description</w:t>
            </w:r>
          </w:p>
        </w:tc>
      </w:tr>
      <w:tr w:rsidR="00FD645C" w14:paraId="1EA5BCAB" w14:textId="77777777">
        <w:tc>
          <w:tcPr>
            <w:tcW w:w="1190" w:type="dxa"/>
            <w:shd w:val="clear" w:color="auto" w:fill="auto"/>
          </w:tcPr>
          <w:p w14:paraId="384ADEDE" w14:textId="77777777" w:rsidR="00FD645C" w:rsidRDefault="00FD645C" w:rsidP="007929B3">
            <w:pPr>
              <w:jc w:val="center"/>
            </w:pPr>
            <w:r>
              <w:t>2/1/2011</w:t>
            </w:r>
          </w:p>
        </w:tc>
        <w:tc>
          <w:tcPr>
            <w:tcW w:w="1431" w:type="dxa"/>
            <w:shd w:val="clear" w:color="auto" w:fill="auto"/>
          </w:tcPr>
          <w:p w14:paraId="2B54B0DC" w14:textId="77777777" w:rsidR="00FD645C" w:rsidRDefault="00FD645C" w:rsidP="007929B3">
            <w:pPr>
              <w:jc w:val="center"/>
            </w:pPr>
            <w:r>
              <w:t>CSP</w:t>
            </w:r>
          </w:p>
        </w:tc>
        <w:tc>
          <w:tcPr>
            <w:tcW w:w="2512" w:type="dxa"/>
            <w:shd w:val="clear" w:color="auto" w:fill="auto"/>
          </w:tcPr>
          <w:p w14:paraId="6B11A2F7" w14:textId="77777777" w:rsidR="00FD645C" w:rsidRDefault="00FD645C" w:rsidP="007929B3">
            <w:pPr>
              <w:jc w:val="center"/>
            </w:pPr>
            <w:r>
              <w:t>Ice/ Snow</w:t>
            </w:r>
          </w:p>
        </w:tc>
      </w:tr>
      <w:tr w:rsidR="00FD645C" w14:paraId="03C07031" w14:textId="77777777">
        <w:tc>
          <w:tcPr>
            <w:tcW w:w="1190" w:type="dxa"/>
            <w:shd w:val="clear" w:color="auto" w:fill="auto"/>
          </w:tcPr>
          <w:p w14:paraId="5743A4FE" w14:textId="77777777" w:rsidR="00FD645C" w:rsidRDefault="00FD645C" w:rsidP="007929B3">
            <w:pPr>
              <w:jc w:val="center"/>
            </w:pPr>
            <w:r>
              <w:t>2/1/2011</w:t>
            </w:r>
          </w:p>
        </w:tc>
        <w:tc>
          <w:tcPr>
            <w:tcW w:w="1431" w:type="dxa"/>
            <w:shd w:val="clear" w:color="auto" w:fill="auto"/>
          </w:tcPr>
          <w:p w14:paraId="591D78F1" w14:textId="77777777" w:rsidR="00FD645C" w:rsidRDefault="00FD645C" w:rsidP="007929B3">
            <w:pPr>
              <w:jc w:val="center"/>
            </w:pPr>
            <w:r>
              <w:t>OPC</w:t>
            </w:r>
          </w:p>
        </w:tc>
        <w:tc>
          <w:tcPr>
            <w:tcW w:w="2512" w:type="dxa"/>
            <w:shd w:val="clear" w:color="auto" w:fill="auto"/>
          </w:tcPr>
          <w:p w14:paraId="5AB59921" w14:textId="77777777" w:rsidR="00FD645C" w:rsidRDefault="00FD645C" w:rsidP="007929B3">
            <w:pPr>
              <w:jc w:val="center"/>
            </w:pPr>
            <w:r>
              <w:t>Ice/ Snow</w:t>
            </w:r>
          </w:p>
        </w:tc>
      </w:tr>
      <w:tr w:rsidR="00FD645C" w14:paraId="4AA51E7F" w14:textId="77777777">
        <w:tc>
          <w:tcPr>
            <w:tcW w:w="1190" w:type="dxa"/>
            <w:shd w:val="clear" w:color="auto" w:fill="auto"/>
          </w:tcPr>
          <w:p w14:paraId="089CBC2E" w14:textId="77777777" w:rsidR="00FD645C" w:rsidRDefault="00FD645C" w:rsidP="007929B3">
            <w:pPr>
              <w:jc w:val="center"/>
            </w:pPr>
            <w:r>
              <w:t>4/20/2011</w:t>
            </w:r>
          </w:p>
        </w:tc>
        <w:tc>
          <w:tcPr>
            <w:tcW w:w="1431" w:type="dxa"/>
            <w:shd w:val="clear" w:color="auto" w:fill="auto"/>
          </w:tcPr>
          <w:p w14:paraId="7FEBE2E9" w14:textId="77777777" w:rsidR="00FD645C" w:rsidRDefault="00FD645C" w:rsidP="007929B3">
            <w:pPr>
              <w:jc w:val="center"/>
            </w:pPr>
            <w:r>
              <w:t>OPC</w:t>
            </w:r>
          </w:p>
        </w:tc>
        <w:tc>
          <w:tcPr>
            <w:tcW w:w="2512" w:type="dxa"/>
            <w:shd w:val="clear" w:color="auto" w:fill="auto"/>
          </w:tcPr>
          <w:p w14:paraId="176CF950" w14:textId="77777777" w:rsidR="00FD645C" w:rsidRDefault="00FD645C" w:rsidP="007929B3">
            <w:pPr>
              <w:jc w:val="center"/>
            </w:pPr>
            <w:r>
              <w:t>Wind/ Rain</w:t>
            </w:r>
          </w:p>
        </w:tc>
      </w:tr>
      <w:tr w:rsidR="00FD645C" w14:paraId="7A7365AC" w14:textId="77777777">
        <w:tc>
          <w:tcPr>
            <w:tcW w:w="1190" w:type="dxa"/>
            <w:shd w:val="clear" w:color="auto" w:fill="auto"/>
          </w:tcPr>
          <w:p w14:paraId="3B8FBCF6" w14:textId="77777777" w:rsidR="00FD645C" w:rsidRDefault="00FD645C" w:rsidP="007929B3">
            <w:pPr>
              <w:jc w:val="center"/>
            </w:pPr>
            <w:r>
              <w:t>4/28/2011</w:t>
            </w:r>
          </w:p>
        </w:tc>
        <w:tc>
          <w:tcPr>
            <w:tcW w:w="1431" w:type="dxa"/>
            <w:shd w:val="clear" w:color="auto" w:fill="auto"/>
          </w:tcPr>
          <w:p w14:paraId="14510682" w14:textId="77777777" w:rsidR="00FD645C" w:rsidRDefault="00FD645C" w:rsidP="007929B3">
            <w:pPr>
              <w:jc w:val="center"/>
            </w:pPr>
            <w:r>
              <w:t>OPC</w:t>
            </w:r>
          </w:p>
        </w:tc>
        <w:tc>
          <w:tcPr>
            <w:tcW w:w="2512" w:type="dxa"/>
            <w:shd w:val="clear" w:color="auto" w:fill="auto"/>
          </w:tcPr>
          <w:p w14:paraId="0373543D" w14:textId="77777777" w:rsidR="00FD645C" w:rsidRDefault="00FD645C" w:rsidP="007929B3">
            <w:pPr>
              <w:jc w:val="center"/>
            </w:pPr>
            <w:r>
              <w:t>Wind</w:t>
            </w:r>
          </w:p>
        </w:tc>
      </w:tr>
      <w:tr w:rsidR="00FD645C" w14:paraId="08716F5F" w14:textId="77777777">
        <w:tc>
          <w:tcPr>
            <w:tcW w:w="1190" w:type="dxa"/>
            <w:shd w:val="clear" w:color="auto" w:fill="auto"/>
          </w:tcPr>
          <w:p w14:paraId="38107C8F" w14:textId="77777777" w:rsidR="00FD645C" w:rsidRDefault="00FD645C" w:rsidP="007929B3">
            <w:pPr>
              <w:jc w:val="center"/>
            </w:pPr>
            <w:r>
              <w:t>5/23/2011</w:t>
            </w:r>
          </w:p>
        </w:tc>
        <w:tc>
          <w:tcPr>
            <w:tcW w:w="1431" w:type="dxa"/>
            <w:shd w:val="clear" w:color="auto" w:fill="auto"/>
          </w:tcPr>
          <w:p w14:paraId="6B874433" w14:textId="77777777" w:rsidR="00FD645C" w:rsidRDefault="00FD645C" w:rsidP="007929B3">
            <w:pPr>
              <w:jc w:val="center"/>
            </w:pPr>
            <w:r>
              <w:t>OPC</w:t>
            </w:r>
          </w:p>
        </w:tc>
        <w:tc>
          <w:tcPr>
            <w:tcW w:w="2512" w:type="dxa"/>
            <w:shd w:val="clear" w:color="auto" w:fill="auto"/>
          </w:tcPr>
          <w:p w14:paraId="3F5058F4" w14:textId="77777777" w:rsidR="00FD645C" w:rsidRDefault="00FD645C" w:rsidP="007929B3">
            <w:pPr>
              <w:jc w:val="center"/>
            </w:pPr>
            <w:r>
              <w:t>Wind</w:t>
            </w:r>
          </w:p>
        </w:tc>
      </w:tr>
      <w:tr w:rsidR="00FD645C" w14:paraId="2C75FC96" w14:textId="77777777">
        <w:tc>
          <w:tcPr>
            <w:tcW w:w="1190" w:type="dxa"/>
            <w:shd w:val="clear" w:color="auto" w:fill="auto"/>
          </w:tcPr>
          <w:p w14:paraId="02CA441E" w14:textId="77777777" w:rsidR="00FD645C" w:rsidRDefault="00FD645C" w:rsidP="007929B3">
            <w:pPr>
              <w:jc w:val="center"/>
            </w:pPr>
            <w:r>
              <w:t>5/23/2011</w:t>
            </w:r>
          </w:p>
        </w:tc>
        <w:tc>
          <w:tcPr>
            <w:tcW w:w="1431" w:type="dxa"/>
            <w:shd w:val="clear" w:color="auto" w:fill="auto"/>
          </w:tcPr>
          <w:p w14:paraId="24A3D3A5" w14:textId="77777777" w:rsidR="00FD645C" w:rsidRDefault="00FD645C" w:rsidP="007929B3">
            <w:pPr>
              <w:jc w:val="center"/>
            </w:pPr>
            <w:r>
              <w:t>CSP</w:t>
            </w:r>
          </w:p>
        </w:tc>
        <w:tc>
          <w:tcPr>
            <w:tcW w:w="2512" w:type="dxa"/>
            <w:shd w:val="clear" w:color="auto" w:fill="auto"/>
          </w:tcPr>
          <w:p w14:paraId="3BFB22E2" w14:textId="77777777" w:rsidR="00FD645C" w:rsidRDefault="00FD645C" w:rsidP="007929B3">
            <w:pPr>
              <w:jc w:val="center"/>
            </w:pPr>
            <w:r>
              <w:t>Wind</w:t>
            </w:r>
          </w:p>
        </w:tc>
      </w:tr>
      <w:tr w:rsidR="00FD645C" w14:paraId="5B812749" w14:textId="77777777">
        <w:tc>
          <w:tcPr>
            <w:tcW w:w="1190" w:type="dxa"/>
            <w:shd w:val="clear" w:color="auto" w:fill="auto"/>
          </w:tcPr>
          <w:p w14:paraId="4567E115" w14:textId="77777777" w:rsidR="00FD645C" w:rsidRDefault="00FD645C" w:rsidP="007929B3">
            <w:pPr>
              <w:jc w:val="center"/>
            </w:pPr>
            <w:r>
              <w:t>6/4/2011</w:t>
            </w:r>
          </w:p>
        </w:tc>
        <w:tc>
          <w:tcPr>
            <w:tcW w:w="1431" w:type="dxa"/>
            <w:shd w:val="clear" w:color="auto" w:fill="auto"/>
          </w:tcPr>
          <w:p w14:paraId="3D32AD42" w14:textId="77777777" w:rsidR="00FD645C" w:rsidRDefault="00FD645C" w:rsidP="007929B3">
            <w:pPr>
              <w:jc w:val="center"/>
            </w:pPr>
            <w:r>
              <w:t>CSP</w:t>
            </w:r>
          </w:p>
        </w:tc>
        <w:tc>
          <w:tcPr>
            <w:tcW w:w="2512" w:type="dxa"/>
            <w:shd w:val="clear" w:color="auto" w:fill="auto"/>
          </w:tcPr>
          <w:p w14:paraId="5C2D9384" w14:textId="77777777" w:rsidR="00FD645C" w:rsidRDefault="00FD645C" w:rsidP="007929B3">
            <w:pPr>
              <w:jc w:val="center"/>
            </w:pPr>
            <w:r>
              <w:t>Lightning</w:t>
            </w:r>
          </w:p>
        </w:tc>
      </w:tr>
      <w:tr w:rsidR="00FD645C" w14:paraId="4FCC909C" w14:textId="77777777">
        <w:tc>
          <w:tcPr>
            <w:tcW w:w="1190" w:type="dxa"/>
            <w:shd w:val="clear" w:color="auto" w:fill="auto"/>
          </w:tcPr>
          <w:p w14:paraId="04CD10C9" w14:textId="77777777" w:rsidR="00FD645C" w:rsidRDefault="00FD645C" w:rsidP="007929B3">
            <w:pPr>
              <w:jc w:val="center"/>
            </w:pPr>
            <w:r>
              <w:t>6/10/2011</w:t>
            </w:r>
          </w:p>
        </w:tc>
        <w:tc>
          <w:tcPr>
            <w:tcW w:w="1431" w:type="dxa"/>
            <w:shd w:val="clear" w:color="auto" w:fill="auto"/>
          </w:tcPr>
          <w:p w14:paraId="4A09ACC3" w14:textId="77777777" w:rsidR="00FD645C" w:rsidRDefault="00FD645C" w:rsidP="007929B3">
            <w:pPr>
              <w:jc w:val="center"/>
            </w:pPr>
            <w:r>
              <w:t>CSP</w:t>
            </w:r>
          </w:p>
        </w:tc>
        <w:tc>
          <w:tcPr>
            <w:tcW w:w="2512" w:type="dxa"/>
            <w:shd w:val="clear" w:color="auto" w:fill="auto"/>
          </w:tcPr>
          <w:p w14:paraId="70358217" w14:textId="77777777" w:rsidR="00FD645C" w:rsidRDefault="00FD645C" w:rsidP="007929B3">
            <w:pPr>
              <w:jc w:val="center"/>
            </w:pPr>
            <w:r>
              <w:t>Lightning</w:t>
            </w:r>
          </w:p>
        </w:tc>
      </w:tr>
      <w:tr w:rsidR="00FD645C" w14:paraId="3F7F4C08" w14:textId="77777777">
        <w:tc>
          <w:tcPr>
            <w:tcW w:w="1190" w:type="dxa"/>
            <w:shd w:val="clear" w:color="auto" w:fill="auto"/>
          </w:tcPr>
          <w:p w14:paraId="75D48C02" w14:textId="77777777" w:rsidR="00FD645C" w:rsidRDefault="00FD645C" w:rsidP="007929B3">
            <w:pPr>
              <w:jc w:val="center"/>
            </w:pPr>
            <w:r>
              <w:t>6/21/201</w:t>
            </w:r>
          </w:p>
        </w:tc>
        <w:tc>
          <w:tcPr>
            <w:tcW w:w="1431" w:type="dxa"/>
            <w:shd w:val="clear" w:color="auto" w:fill="auto"/>
          </w:tcPr>
          <w:p w14:paraId="760C12AC" w14:textId="77777777" w:rsidR="00FD645C" w:rsidRDefault="00FD645C" w:rsidP="007929B3">
            <w:pPr>
              <w:jc w:val="center"/>
            </w:pPr>
            <w:r>
              <w:t>OPC</w:t>
            </w:r>
          </w:p>
        </w:tc>
        <w:tc>
          <w:tcPr>
            <w:tcW w:w="2512" w:type="dxa"/>
            <w:shd w:val="clear" w:color="auto" w:fill="auto"/>
          </w:tcPr>
          <w:p w14:paraId="48354AB1" w14:textId="77777777" w:rsidR="00FD645C" w:rsidRDefault="00FD645C" w:rsidP="007929B3">
            <w:pPr>
              <w:jc w:val="center"/>
            </w:pPr>
            <w:r>
              <w:t>Wind</w:t>
            </w:r>
          </w:p>
        </w:tc>
      </w:tr>
      <w:tr w:rsidR="00FD645C" w14:paraId="4C44D6CC" w14:textId="77777777">
        <w:tc>
          <w:tcPr>
            <w:tcW w:w="1190" w:type="dxa"/>
            <w:shd w:val="clear" w:color="auto" w:fill="auto"/>
          </w:tcPr>
          <w:p w14:paraId="11949FAF" w14:textId="77777777" w:rsidR="00FD645C" w:rsidRDefault="00FD645C" w:rsidP="007929B3">
            <w:pPr>
              <w:jc w:val="center"/>
            </w:pPr>
            <w:r>
              <w:t>7/11/2011</w:t>
            </w:r>
          </w:p>
        </w:tc>
        <w:tc>
          <w:tcPr>
            <w:tcW w:w="1431" w:type="dxa"/>
            <w:shd w:val="clear" w:color="auto" w:fill="auto"/>
          </w:tcPr>
          <w:p w14:paraId="0DBEA8B6" w14:textId="77777777" w:rsidR="00FD645C" w:rsidRDefault="00FD645C" w:rsidP="007929B3">
            <w:pPr>
              <w:jc w:val="center"/>
            </w:pPr>
            <w:r>
              <w:t>CSP</w:t>
            </w:r>
          </w:p>
        </w:tc>
        <w:tc>
          <w:tcPr>
            <w:tcW w:w="2512" w:type="dxa"/>
            <w:shd w:val="clear" w:color="auto" w:fill="auto"/>
          </w:tcPr>
          <w:p w14:paraId="665B0111" w14:textId="77777777" w:rsidR="00FD645C" w:rsidRDefault="00FD645C" w:rsidP="007929B3">
            <w:pPr>
              <w:jc w:val="center"/>
            </w:pPr>
            <w:r>
              <w:t>Wind</w:t>
            </w:r>
          </w:p>
        </w:tc>
      </w:tr>
      <w:tr w:rsidR="00FD645C" w14:paraId="274C3A61" w14:textId="77777777">
        <w:tc>
          <w:tcPr>
            <w:tcW w:w="1190" w:type="dxa"/>
            <w:shd w:val="clear" w:color="auto" w:fill="auto"/>
          </w:tcPr>
          <w:p w14:paraId="07F11FFD" w14:textId="77777777" w:rsidR="00FD645C" w:rsidRDefault="00FD645C" w:rsidP="007929B3">
            <w:pPr>
              <w:jc w:val="center"/>
            </w:pPr>
            <w:r>
              <w:t>7/11/2011</w:t>
            </w:r>
          </w:p>
        </w:tc>
        <w:tc>
          <w:tcPr>
            <w:tcW w:w="1431" w:type="dxa"/>
            <w:shd w:val="clear" w:color="auto" w:fill="auto"/>
          </w:tcPr>
          <w:p w14:paraId="4864D226" w14:textId="77777777" w:rsidR="00FD645C" w:rsidRDefault="00FD645C" w:rsidP="007929B3">
            <w:pPr>
              <w:jc w:val="center"/>
            </w:pPr>
            <w:r>
              <w:t>OPC</w:t>
            </w:r>
          </w:p>
        </w:tc>
        <w:tc>
          <w:tcPr>
            <w:tcW w:w="2512" w:type="dxa"/>
            <w:shd w:val="clear" w:color="auto" w:fill="auto"/>
          </w:tcPr>
          <w:p w14:paraId="5EDEE035" w14:textId="77777777" w:rsidR="00FD645C" w:rsidRDefault="00FD645C" w:rsidP="007929B3">
            <w:pPr>
              <w:jc w:val="center"/>
            </w:pPr>
            <w:r>
              <w:t>Wind</w:t>
            </w:r>
          </w:p>
        </w:tc>
      </w:tr>
      <w:tr w:rsidR="00FD645C" w14:paraId="5205C491" w14:textId="77777777">
        <w:tc>
          <w:tcPr>
            <w:tcW w:w="1190" w:type="dxa"/>
            <w:shd w:val="clear" w:color="auto" w:fill="auto"/>
          </w:tcPr>
          <w:p w14:paraId="32686F02" w14:textId="77777777" w:rsidR="00FD645C" w:rsidRDefault="00FD645C" w:rsidP="007929B3">
            <w:pPr>
              <w:jc w:val="center"/>
            </w:pPr>
            <w:r>
              <w:t>7/24/2011</w:t>
            </w:r>
          </w:p>
        </w:tc>
        <w:tc>
          <w:tcPr>
            <w:tcW w:w="1431" w:type="dxa"/>
            <w:shd w:val="clear" w:color="auto" w:fill="auto"/>
          </w:tcPr>
          <w:p w14:paraId="6B777C69" w14:textId="77777777" w:rsidR="00FD645C" w:rsidRDefault="00FD645C" w:rsidP="007929B3">
            <w:pPr>
              <w:jc w:val="center"/>
            </w:pPr>
            <w:r>
              <w:t>CSP</w:t>
            </w:r>
          </w:p>
        </w:tc>
        <w:tc>
          <w:tcPr>
            <w:tcW w:w="2512" w:type="dxa"/>
            <w:shd w:val="clear" w:color="auto" w:fill="auto"/>
          </w:tcPr>
          <w:p w14:paraId="61ECBC6E" w14:textId="77777777" w:rsidR="00FD645C" w:rsidRDefault="00FD645C" w:rsidP="007929B3">
            <w:pPr>
              <w:jc w:val="center"/>
            </w:pPr>
            <w:r>
              <w:t>Wind/ Thunderstorms</w:t>
            </w:r>
          </w:p>
        </w:tc>
      </w:tr>
    </w:tbl>
    <w:p w14:paraId="4252CB23" w14:textId="77777777" w:rsidR="00C30161" w:rsidRDefault="00C30161" w:rsidP="00654100">
      <w:pPr>
        <w:spacing w:line="480" w:lineRule="auto"/>
        <w:ind w:firstLine="720"/>
      </w:pPr>
    </w:p>
    <w:p w14:paraId="7D47DD18" w14:textId="2DE69D7F" w:rsidR="00B62682" w:rsidRDefault="00B66E85" w:rsidP="006A52B1">
      <w:pPr>
        <w:spacing w:line="480" w:lineRule="auto"/>
        <w:ind w:firstLine="720"/>
      </w:pPr>
      <w:r>
        <w:t xml:space="preserve">Another </w:t>
      </w:r>
      <w:r w:rsidR="00572E52">
        <w:t>majo</w:t>
      </w:r>
      <w:r w:rsidR="00813466">
        <w:t>r difference between CSP and OP</w:t>
      </w:r>
      <w:r w:rsidR="00572E52">
        <w:t xml:space="preserve"> is the impact of </w:t>
      </w:r>
      <w:r w:rsidR="00B62682">
        <w:t xml:space="preserve">forestry and </w:t>
      </w:r>
      <w:r w:rsidR="009F3CF2">
        <w:t xml:space="preserve">vegetation </w:t>
      </w:r>
      <w:r>
        <w:t xml:space="preserve">in each area.  As can be seen in Table </w:t>
      </w:r>
      <w:r w:rsidR="00863A1C">
        <w:t>9</w:t>
      </w:r>
      <w:r>
        <w:t>, the number of tree</w:t>
      </w:r>
      <w:r w:rsidR="00BA39F8">
        <w:t>-</w:t>
      </w:r>
      <w:r>
        <w:t xml:space="preserve">related outages in </w:t>
      </w:r>
      <w:r w:rsidR="007D61B9">
        <w:t>CSP and OP</w:t>
      </w:r>
      <w:r w:rsidR="00DA0FCF">
        <w:t xml:space="preserve"> </w:t>
      </w:r>
      <w:r>
        <w:t>for 2010 and 2011</w:t>
      </w:r>
      <w:r w:rsidR="00B62682">
        <w:t xml:space="preserve"> are significantly different.  Evaluating the reliability performance </w:t>
      </w:r>
      <w:r w:rsidR="006060BB">
        <w:t xml:space="preserve">for the </w:t>
      </w:r>
      <w:r w:rsidR="00B62682">
        <w:t>CSP</w:t>
      </w:r>
      <w:r w:rsidR="00813466">
        <w:t xml:space="preserve"> area using outage data from OP</w:t>
      </w:r>
      <w:r w:rsidR="00B62682">
        <w:t xml:space="preserve">, or vice versa </w:t>
      </w:r>
      <w:r w:rsidR="00572E52">
        <w:t xml:space="preserve">can lead to unrealistic expectations of the reliability performance </w:t>
      </w:r>
      <w:r w:rsidR="006060BB">
        <w:t xml:space="preserve">for </w:t>
      </w:r>
      <w:r w:rsidR="00572E52">
        <w:t xml:space="preserve">each distribution </w:t>
      </w:r>
      <w:r w:rsidR="00B62682">
        <w:t>system.</w:t>
      </w:r>
    </w:p>
    <w:p w14:paraId="48F9EAB0" w14:textId="77777777" w:rsidR="00DA0FCF" w:rsidRPr="00C647CD" w:rsidRDefault="00DA0FCF" w:rsidP="00DA0FCF">
      <w:pPr>
        <w:spacing w:line="480" w:lineRule="auto"/>
        <w:ind w:left="720" w:firstLine="720"/>
        <w:jc w:val="center"/>
        <w:rPr>
          <w:b/>
        </w:rPr>
      </w:pPr>
      <w:r w:rsidRPr="00C647CD">
        <w:rPr>
          <w:b/>
        </w:rPr>
        <w:t xml:space="preserve">Table </w:t>
      </w:r>
      <w:r w:rsidR="00863A1C">
        <w:rPr>
          <w:b/>
        </w:rPr>
        <w:t>9</w:t>
      </w:r>
      <w:r w:rsidRPr="00C647CD">
        <w:rPr>
          <w:b/>
        </w:rPr>
        <w:t>:  Tree caused outages in CSP and OPC 2010 and 2011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490"/>
        <w:gridCol w:w="2053"/>
        <w:gridCol w:w="1875"/>
      </w:tblGrid>
      <w:tr w:rsidR="00C647CD" w14:paraId="03E1AA5E" w14:textId="77777777">
        <w:tc>
          <w:tcPr>
            <w:tcW w:w="2718" w:type="dxa"/>
            <w:shd w:val="clear" w:color="auto" w:fill="auto"/>
          </w:tcPr>
          <w:p w14:paraId="36AD3D47" w14:textId="77777777" w:rsidR="00C647CD" w:rsidRDefault="00C647CD" w:rsidP="007929B3">
            <w:pPr>
              <w:jc w:val="center"/>
              <w:rPr>
                <w:b/>
              </w:rPr>
            </w:pPr>
            <w:r w:rsidRPr="007929B3">
              <w:rPr>
                <w:b/>
              </w:rPr>
              <w:t>Tree Caused Outages</w:t>
            </w:r>
          </w:p>
          <w:p w14:paraId="2F149061" w14:textId="77777777" w:rsidR="00D70C0D" w:rsidRPr="007929B3" w:rsidRDefault="00D70C0D" w:rsidP="007929B3">
            <w:pPr>
              <w:jc w:val="center"/>
              <w:rPr>
                <w:b/>
              </w:rPr>
            </w:pPr>
          </w:p>
        </w:tc>
        <w:tc>
          <w:tcPr>
            <w:tcW w:w="1490" w:type="dxa"/>
            <w:shd w:val="clear" w:color="auto" w:fill="auto"/>
          </w:tcPr>
          <w:p w14:paraId="42F3ACEF" w14:textId="77777777" w:rsidR="00C647CD" w:rsidRPr="007929B3" w:rsidRDefault="00C647CD" w:rsidP="007929B3">
            <w:pPr>
              <w:jc w:val="center"/>
              <w:rPr>
                <w:b/>
              </w:rPr>
            </w:pPr>
            <w:r w:rsidRPr="007929B3">
              <w:rPr>
                <w:b/>
              </w:rPr>
              <w:t>2010</w:t>
            </w:r>
          </w:p>
        </w:tc>
        <w:tc>
          <w:tcPr>
            <w:tcW w:w="2053" w:type="dxa"/>
            <w:shd w:val="clear" w:color="auto" w:fill="auto"/>
          </w:tcPr>
          <w:p w14:paraId="193E228B" w14:textId="77777777" w:rsidR="00C647CD" w:rsidRPr="007929B3" w:rsidRDefault="00C647CD" w:rsidP="007929B3">
            <w:pPr>
              <w:jc w:val="center"/>
              <w:rPr>
                <w:b/>
              </w:rPr>
            </w:pPr>
            <w:r w:rsidRPr="007929B3">
              <w:rPr>
                <w:b/>
              </w:rPr>
              <w:t>2011</w:t>
            </w:r>
          </w:p>
        </w:tc>
        <w:tc>
          <w:tcPr>
            <w:tcW w:w="1875" w:type="dxa"/>
            <w:shd w:val="clear" w:color="auto" w:fill="auto"/>
          </w:tcPr>
          <w:p w14:paraId="7FC0008A" w14:textId="77777777" w:rsidR="00C647CD" w:rsidRPr="007929B3" w:rsidRDefault="00C647CD" w:rsidP="007929B3">
            <w:pPr>
              <w:jc w:val="center"/>
              <w:rPr>
                <w:b/>
              </w:rPr>
            </w:pPr>
            <w:r w:rsidRPr="007929B3">
              <w:rPr>
                <w:b/>
              </w:rPr>
              <w:t>Total</w:t>
            </w:r>
          </w:p>
        </w:tc>
      </w:tr>
      <w:tr w:rsidR="00C647CD" w14:paraId="194DCF9E" w14:textId="77777777">
        <w:tc>
          <w:tcPr>
            <w:tcW w:w="2718" w:type="dxa"/>
            <w:shd w:val="clear" w:color="auto" w:fill="auto"/>
          </w:tcPr>
          <w:p w14:paraId="035191EC" w14:textId="77777777" w:rsidR="00C647CD" w:rsidRDefault="00C647CD" w:rsidP="00C647CD">
            <w:r>
              <w:t>CSP inside right of way</w:t>
            </w:r>
          </w:p>
        </w:tc>
        <w:tc>
          <w:tcPr>
            <w:tcW w:w="1490" w:type="dxa"/>
            <w:shd w:val="clear" w:color="auto" w:fill="auto"/>
          </w:tcPr>
          <w:p w14:paraId="6B57BFEE" w14:textId="77777777" w:rsidR="00C647CD" w:rsidRDefault="00C647CD" w:rsidP="007929B3">
            <w:pPr>
              <w:jc w:val="center"/>
            </w:pPr>
            <w:r>
              <w:t>936</w:t>
            </w:r>
          </w:p>
        </w:tc>
        <w:tc>
          <w:tcPr>
            <w:tcW w:w="2053" w:type="dxa"/>
            <w:shd w:val="clear" w:color="auto" w:fill="auto"/>
          </w:tcPr>
          <w:p w14:paraId="206B0C52" w14:textId="77777777" w:rsidR="00C647CD" w:rsidRDefault="00C647CD" w:rsidP="007929B3">
            <w:pPr>
              <w:jc w:val="center"/>
            </w:pPr>
            <w:r>
              <w:t>931</w:t>
            </w:r>
          </w:p>
        </w:tc>
        <w:tc>
          <w:tcPr>
            <w:tcW w:w="1875" w:type="dxa"/>
            <w:shd w:val="clear" w:color="auto" w:fill="auto"/>
          </w:tcPr>
          <w:p w14:paraId="45C45DC3" w14:textId="77777777" w:rsidR="00C647CD" w:rsidRDefault="00C647CD" w:rsidP="007929B3">
            <w:pPr>
              <w:jc w:val="center"/>
            </w:pPr>
            <w:r>
              <w:t>1,867</w:t>
            </w:r>
          </w:p>
        </w:tc>
      </w:tr>
      <w:tr w:rsidR="00C647CD" w14:paraId="6DB80927" w14:textId="77777777">
        <w:tc>
          <w:tcPr>
            <w:tcW w:w="2718" w:type="dxa"/>
            <w:shd w:val="clear" w:color="auto" w:fill="auto"/>
          </w:tcPr>
          <w:p w14:paraId="5922A8B4" w14:textId="77777777" w:rsidR="00C647CD" w:rsidRDefault="00C647CD" w:rsidP="00C647CD">
            <w:r>
              <w:t>CSP outside right of way</w:t>
            </w:r>
          </w:p>
        </w:tc>
        <w:tc>
          <w:tcPr>
            <w:tcW w:w="1490" w:type="dxa"/>
            <w:shd w:val="clear" w:color="auto" w:fill="auto"/>
          </w:tcPr>
          <w:p w14:paraId="21AEE619" w14:textId="77777777" w:rsidR="00C647CD" w:rsidRDefault="00C647CD" w:rsidP="007929B3">
            <w:pPr>
              <w:jc w:val="center"/>
            </w:pPr>
            <w:r>
              <w:t>1,156</w:t>
            </w:r>
          </w:p>
        </w:tc>
        <w:tc>
          <w:tcPr>
            <w:tcW w:w="2053" w:type="dxa"/>
            <w:shd w:val="clear" w:color="auto" w:fill="auto"/>
          </w:tcPr>
          <w:p w14:paraId="4DBE055A" w14:textId="77777777" w:rsidR="00C647CD" w:rsidRDefault="00C647CD" w:rsidP="007929B3">
            <w:pPr>
              <w:jc w:val="center"/>
            </w:pPr>
            <w:r>
              <w:t>1,508</w:t>
            </w:r>
          </w:p>
        </w:tc>
        <w:tc>
          <w:tcPr>
            <w:tcW w:w="1875" w:type="dxa"/>
            <w:shd w:val="clear" w:color="auto" w:fill="auto"/>
          </w:tcPr>
          <w:p w14:paraId="0DE03759" w14:textId="77777777" w:rsidR="00C647CD" w:rsidRDefault="00C647CD" w:rsidP="007929B3">
            <w:pPr>
              <w:jc w:val="center"/>
            </w:pPr>
            <w:r>
              <w:t>2,664</w:t>
            </w:r>
          </w:p>
        </w:tc>
      </w:tr>
      <w:tr w:rsidR="00C647CD" w14:paraId="4F2354F5" w14:textId="77777777">
        <w:tc>
          <w:tcPr>
            <w:tcW w:w="2718" w:type="dxa"/>
            <w:shd w:val="clear" w:color="auto" w:fill="auto"/>
          </w:tcPr>
          <w:p w14:paraId="4844035F" w14:textId="77777777" w:rsidR="00C647CD" w:rsidRDefault="00C647CD" w:rsidP="00C647CD">
            <w:r>
              <w:t>OPC inside right of way</w:t>
            </w:r>
          </w:p>
        </w:tc>
        <w:tc>
          <w:tcPr>
            <w:tcW w:w="1490" w:type="dxa"/>
            <w:shd w:val="clear" w:color="auto" w:fill="auto"/>
          </w:tcPr>
          <w:p w14:paraId="7442240F" w14:textId="77777777" w:rsidR="00C647CD" w:rsidRDefault="00C647CD" w:rsidP="007929B3">
            <w:pPr>
              <w:jc w:val="center"/>
            </w:pPr>
            <w:r>
              <w:t>1,757</w:t>
            </w:r>
          </w:p>
        </w:tc>
        <w:tc>
          <w:tcPr>
            <w:tcW w:w="2053" w:type="dxa"/>
            <w:shd w:val="clear" w:color="auto" w:fill="auto"/>
          </w:tcPr>
          <w:p w14:paraId="286E3768" w14:textId="77777777" w:rsidR="00C647CD" w:rsidRDefault="00C647CD" w:rsidP="007929B3">
            <w:pPr>
              <w:jc w:val="center"/>
            </w:pPr>
            <w:r>
              <w:t>1,734</w:t>
            </w:r>
          </w:p>
        </w:tc>
        <w:tc>
          <w:tcPr>
            <w:tcW w:w="1875" w:type="dxa"/>
            <w:shd w:val="clear" w:color="auto" w:fill="auto"/>
          </w:tcPr>
          <w:p w14:paraId="2750503F" w14:textId="77777777" w:rsidR="00C647CD" w:rsidRDefault="00C647CD" w:rsidP="007929B3">
            <w:pPr>
              <w:jc w:val="center"/>
            </w:pPr>
            <w:r>
              <w:t>3491</w:t>
            </w:r>
          </w:p>
        </w:tc>
      </w:tr>
      <w:tr w:rsidR="00C647CD" w14:paraId="35616B68" w14:textId="77777777">
        <w:tc>
          <w:tcPr>
            <w:tcW w:w="2718" w:type="dxa"/>
            <w:shd w:val="clear" w:color="auto" w:fill="auto"/>
          </w:tcPr>
          <w:p w14:paraId="197F0D34" w14:textId="77777777" w:rsidR="00C647CD" w:rsidRDefault="00C647CD" w:rsidP="00C647CD">
            <w:r>
              <w:t>OPC outside right of way</w:t>
            </w:r>
          </w:p>
        </w:tc>
        <w:tc>
          <w:tcPr>
            <w:tcW w:w="1490" w:type="dxa"/>
            <w:shd w:val="clear" w:color="auto" w:fill="auto"/>
          </w:tcPr>
          <w:p w14:paraId="3A2A4155" w14:textId="77777777" w:rsidR="00C647CD" w:rsidRDefault="00C647CD" w:rsidP="007929B3">
            <w:pPr>
              <w:jc w:val="center"/>
            </w:pPr>
            <w:r>
              <w:t>2,492</w:t>
            </w:r>
          </w:p>
        </w:tc>
        <w:tc>
          <w:tcPr>
            <w:tcW w:w="2053" w:type="dxa"/>
            <w:shd w:val="clear" w:color="auto" w:fill="auto"/>
          </w:tcPr>
          <w:p w14:paraId="021931A0" w14:textId="77777777" w:rsidR="00C647CD" w:rsidRDefault="00C647CD" w:rsidP="007929B3">
            <w:pPr>
              <w:jc w:val="center"/>
            </w:pPr>
            <w:r>
              <w:t>2,830</w:t>
            </w:r>
          </w:p>
        </w:tc>
        <w:tc>
          <w:tcPr>
            <w:tcW w:w="1875" w:type="dxa"/>
            <w:shd w:val="clear" w:color="auto" w:fill="auto"/>
          </w:tcPr>
          <w:p w14:paraId="1B916F24" w14:textId="77777777" w:rsidR="00C647CD" w:rsidRDefault="00C647CD" w:rsidP="007929B3">
            <w:pPr>
              <w:jc w:val="center"/>
            </w:pPr>
            <w:r>
              <w:t>5,322</w:t>
            </w:r>
          </w:p>
        </w:tc>
      </w:tr>
    </w:tbl>
    <w:p w14:paraId="75624F84" w14:textId="77777777" w:rsidR="00DA0FCF" w:rsidRDefault="00DA0FCF" w:rsidP="00C647CD">
      <w:pPr>
        <w:ind w:left="720" w:firstLine="720"/>
        <w:jc w:val="center"/>
      </w:pPr>
    </w:p>
    <w:p w14:paraId="579179E1" w14:textId="77777777" w:rsidR="00D70C0D" w:rsidRDefault="00D70C0D" w:rsidP="00C647CD">
      <w:pPr>
        <w:ind w:left="720" w:firstLine="720"/>
        <w:jc w:val="center"/>
      </w:pPr>
    </w:p>
    <w:p w14:paraId="02FDA18E" w14:textId="77777777" w:rsidR="00D8040C" w:rsidRPr="00D8040C" w:rsidRDefault="000A47C0" w:rsidP="00654100">
      <w:pPr>
        <w:pStyle w:val="Heading2"/>
      </w:pPr>
      <w:bookmarkStart w:id="14" w:name="_Toc345082971"/>
      <w:r>
        <w:t>F.</w:t>
      </w:r>
      <w:r>
        <w:tab/>
      </w:r>
      <w:bookmarkStart w:id="15" w:name="_Toc344714695"/>
      <w:r w:rsidR="00FD2A6E" w:rsidRPr="00D8040C">
        <w:t xml:space="preserve">AEP Ohio’s Application </w:t>
      </w:r>
      <w:r w:rsidR="00CB7AAD">
        <w:t xml:space="preserve">And Proposal </w:t>
      </w:r>
      <w:r w:rsidR="00CB7AAD" w:rsidRPr="00D8040C">
        <w:t>For Combined Reliability Standards Are Unjust And Unreasonable Because The D</w:t>
      </w:r>
      <w:r w:rsidR="00CB7AAD">
        <w:t xml:space="preserve">istribution Rates </w:t>
      </w:r>
      <w:r w:rsidR="00CB7AAD" w:rsidRPr="00D8040C">
        <w:t xml:space="preserve">For Each Operating </w:t>
      </w:r>
      <w:r w:rsidR="00CB7AAD">
        <w:t xml:space="preserve">Area </w:t>
      </w:r>
      <w:r w:rsidR="00CB7AAD" w:rsidRPr="00D8040C">
        <w:t xml:space="preserve">Of The </w:t>
      </w:r>
      <w:r w:rsidR="00D8040C" w:rsidRPr="00D8040C">
        <w:t>Comp</w:t>
      </w:r>
      <w:r w:rsidR="00D8040C">
        <w:t>a</w:t>
      </w:r>
      <w:r w:rsidR="00D8040C" w:rsidRPr="00D8040C">
        <w:t>ny</w:t>
      </w:r>
      <w:r w:rsidR="00D70C0D">
        <w:t xml:space="preserve"> </w:t>
      </w:r>
      <w:r w:rsidR="00CB7AAD">
        <w:t>Are Different.</w:t>
      </w:r>
      <w:bookmarkEnd w:id="14"/>
      <w:bookmarkEnd w:id="15"/>
    </w:p>
    <w:p w14:paraId="572B7EE1" w14:textId="77777777" w:rsidR="00572E52" w:rsidRDefault="003A2DCF" w:rsidP="00203824">
      <w:pPr>
        <w:spacing w:line="480" w:lineRule="auto"/>
        <w:ind w:firstLine="720"/>
      </w:pPr>
      <w:r w:rsidRPr="00884E47">
        <w:t>The AEP Ohio tariff reflects different d</w:t>
      </w:r>
      <w:r w:rsidR="00863A1C" w:rsidRPr="00884E47">
        <w:t xml:space="preserve">istribution rates </w:t>
      </w:r>
      <w:r w:rsidRPr="00884E47">
        <w:t>for the Columbus Southern Power rate zone</w:t>
      </w:r>
      <w:r w:rsidR="00884E47" w:rsidRPr="00884E47">
        <w:rPr>
          <w:rStyle w:val="FootnoteReference"/>
        </w:rPr>
        <w:footnoteReference w:id="49"/>
      </w:r>
      <w:r w:rsidRPr="00884E47">
        <w:t xml:space="preserve"> and the Ohio Power Company rate zone</w:t>
      </w:r>
      <w:r w:rsidR="00884E47" w:rsidRPr="00884E47">
        <w:t>s.</w:t>
      </w:r>
      <w:r w:rsidR="00884E47" w:rsidRPr="00884E47">
        <w:rPr>
          <w:rStyle w:val="FootnoteReference"/>
        </w:rPr>
        <w:footnoteReference w:id="50"/>
      </w:r>
      <w:r w:rsidR="00884E47" w:rsidRPr="00884E47">
        <w:t xml:space="preserve">  </w:t>
      </w:r>
      <w:r w:rsidR="00572E52">
        <w:t>When rates were last set for each of these zones, the Company expenses in each area were considered along with the capital expenses that the Company sought to recover in rates.  Significant d</w:t>
      </w:r>
      <w:r w:rsidR="00884E47">
        <w:t xml:space="preserve">ifferences in the </w:t>
      </w:r>
      <w:r w:rsidR="00347675">
        <w:t xml:space="preserve">distribution systems </w:t>
      </w:r>
      <w:r w:rsidR="00572E52">
        <w:t xml:space="preserve">for the </w:t>
      </w:r>
      <w:r w:rsidR="00884E47">
        <w:t xml:space="preserve">two service areas </w:t>
      </w:r>
      <w:r w:rsidR="00572E52">
        <w:t xml:space="preserve">resulted in the </w:t>
      </w:r>
      <w:r w:rsidR="00347675">
        <w:t>establishment of d</w:t>
      </w:r>
      <w:r w:rsidR="00884E47">
        <w:t>ifferen</w:t>
      </w:r>
      <w:r w:rsidR="00347675">
        <w:t xml:space="preserve">t </w:t>
      </w:r>
      <w:r w:rsidR="00884E47">
        <w:t>distribution rates.</w:t>
      </w:r>
    </w:p>
    <w:p w14:paraId="3AAF63B8" w14:textId="7DE63894" w:rsidR="00C30161" w:rsidRDefault="00572E52" w:rsidP="00E86A17">
      <w:pPr>
        <w:spacing w:line="480" w:lineRule="auto"/>
        <w:ind w:firstLine="720"/>
      </w:pPr>
      <w:r>
        <w:t>Ohio Admin. Code 4901:1-10-26 requires each electric utility in the state to file an annual system improvement plan report</w:t>
      </w:r>
      <w:r w:rsidR="00557D23">
        <w:t xml:space="preserve"> with the Commission.</w:t>
      </w:r>
      <w:r w:rsidR="00557D23">
        <w:rPr>
          <w:rStyle w:val="FootnoteReference"/>
        </w:rPr>
        <w:footnoteReference w:id="51"/>
      </w:r>
      <w:r>
        <w:t xml:space="preserve"> </w:t>
      </w:r>
      <w:r w:rsidR="00203824">
        <w:t xml:space="preserve"> </w:t>
      </w:r>
      <w:r w:rsidR="00557D23">
        <w:t xml:space="preserve">The annual system improvement plan is required to include information about the </w:t>
      </w:r>
      <w:r w:rsidR="00557D23" w:rsidRPr="00557D23">
        <w:rPr>
          <w:lang w:val="en"/>
        </w:rPr>
        <w:t xml:space="preserve">electric utility’s budgeted and actual reliability-specific capital and maintenance expenditures for the past and current year, </w:t>
      </w:r>
      <w:r w:rsidR="00557D23">
        <w:rPr>
          <w:lang w:val="en"/>
        </w:rPr>
        <w:t>and t</w:t>
      </w:r>
      <w:r w:rsidR="00557D23" w:rsidRPr="00557D23">
        <w:rPr>
          <w:lang w:val="en"/>
        </w:rPr>
        <w:t>he ratio of those expenditures to the electric utility’s total distribution investment</w:t>
      </w:r>
      <w:r w:rsidR="00557D23">
        <w:rPr>
          <w:lang w:val="en"/>
        </w:rPr>
        <w:t>.</w:t>
      </w:r>
      <w:r w:rsidR="00557D23">
        <w:rPr>
          <w:rStyle w:val="FootnoteReference"/>
          <w:lang w:val="en"/>
        </w:rPr>
        <w:footnoteReference w:id="52"/>
      </w:r>
      <w:r w:rsidR="00557D23">
        <w:rPr>
          <w:lang w:val="en"/>
        </w:rPr>
        <w:t xml:space="preserve">  T</w:t>
      </w:r>
      <w:r w:rsidR="001A4B5E">
        <w:t xml:space="preserve">able 10 provides a comparison of the </w:t>
      </w:r>
      <w:r w:rsidR="00557D23">
        <w:t xml:space="preserve">reliability-related expenditures in </w:t>
      </w:r>
      <w:r w:rsidR="001A4B5E">
        <w:t>O</w:t>
      </w:r>
      <w:r w:rsidR="001E3DD7">
        <w:t>perations and Maintenance (</w:t>
      </w:r>
      <w:r w:rsidR="00A77C58">
        <w:t>“</w:t>
      </w:r>
      <w:r w:rsidR="001E3DD7">
        <w:t>O</w:t>
      </w:r>
      <w:r w:rsidR="001A4B5E">
        <w:t>&amp;M</w:t>
      </w:r>
      <w:r w:rsidR="00A77C58">
        <w:t>”</w:t>
      </w:r>
      <w:r w:rsidR="001E3DD7">
        <w:t>)</w:t>
      </w:r>
      <w:r w:rsidR="001A4B5E">
        <w:t xml:space="preserve"> and capital </w:t>
      </w:r>
      <w:r w:rsidR="00557D23">
        <w:t xml:space="preserve">investments </w:t>
      </w:r>
      <w:r w:rsidR="00813466">
        <w:t>as operated by both</w:t>
      </w:r>
      <w:r w:rsidR="001A4B5E">
        <w:t xml:space="preserve"> CSP and</w:t>
      </w:r>
      <w:r w:rsidR="00813466">
        <w:t xml:space="preserve"> OP</w:t>
      </w:r>
      <w:r w:rsidR="001A4B5E">
        <w:t xml:space="preserve"> in 2009, 2010, and 2011.  </w:t>
      </w:r>
    </w:p>
    <w:p w14:paraId="30BE2A14" w14:textId="0253741B" w:rsidR="007F376F" w:rsidRPr="00044381" w:rsidRDefault="007F376F" w:rsidP="007F376F">
      <w:pPr>
        <w:ind w:left="720"/>
        <w:jc w:val="center"/>
        <w:rPr>
          <w:b/>
        </w:rPr>
      </w:pPr>
      <w:r w:rsidRPr="00044381">
        <w:rPr>
          <w:b/>
        </w:rPr>
        <w:t>Table 10: O&amp;M and Capital Expenditures CSP and OPC 2009-2011</w:t>
      </w:r>
    </w:p>
    <w:p w14:paraId="0A610B26" w14:textId="77777777" w:rsidR="007F376F" w:rsidRDefault="007F376F" w:rsidP="007F376F">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854"/>
        <w:gridCol w:w="2214"/>
      </w:tblGrid>
      <w:tr w:rsidR="007F376F" w14:paraId="4617BCFC" w14:textId="77777777">
        <w:tc>
          <w:tcPr>
            <w:tcW w:w="2988" w:type="dxa"/>
            <w:shd w:val="clear" w:color="auto" w:fill="auto"/>
          </w:tcPr>
          <w:p w14:paraId="47F56807" w14:textId="77777777" w:rsidR="007F376F" w:rsidRDefault="007F376F" w:rsidP="00932FD7">
            <w:pPr>
              <w:jc w:val="center"/>
              <w:rPr>
                <w:b/>
              </w:rPr>
            </w:pPr>
            <w:r w:rsidRPr="00395616">
              <w:rPr>
                <w:b/>
              </w:rPr>
              <w:t>Type of Expenditure</w:t>
            </w:r>
          </w:p>
          <w:p w14:paraId="2CA4A95D" w14:textId="77777777" w:rsidR="004705A1" w:rsidRPr="00395616" w:rsidRDefault="004705A1" w:rsidP="00932FD7">
            <w:pPr>
              <w:jc w:val="center"/>
              <w:rPr>
                <w:b/>
              </w:rPr>
            </w:pPr>
          </w:p>
        </w:tc>
        <w:tc>
          <w:tcPr>
            <w:tcW w:w="1800" w:type="dxa"/>
            <w:shd w:val="clear" w:color="auto" w:fill="auto"/>
          </w:tcPr>
          <w:p w14:paraId="44021FF0" w14:textId="77777777" w:rsidR="007F376F" w:rsidRPr="00395616" w:rsidRDefault="007F376F" w:rsidP="00932FD7">
            <w:pPr>
              <w:jc w:val="center"/>
              <w:rPr>
                <w:b/>
              </w:rPr>
            </w:pPr>
            <w:r w:rsidRPr="00395616">
              <w:rPr>
                <w:b/>
              </w:rPr>
              <w:t>2009</w:t>
            </w:r>
            <w:r w:rsidR="00044381" w:rsidRPr="00395616">
              <w:rPr>
                <w:rStyle w:val="FootnoteReference"/>
                <w:b/>
              </w:rPr>
              <w:footnoteReference w:id="53"/>
            </w:r>
          </w:p>
        </w:tc>
        <w:tc>
          <w:tcPr>
            <w:tcW w:w="1854" w:type="dxa"/>
            <w:shd w:val="clear" w:color="auto" w:fill="auto"/>
          </w:tcPr>
          <w:p w14:paraId="20901B26" w14:textId="77777777" w:rsidR="007F376F" w:rsidRPr="00395616" w:rsidRDefault="007F376F" w:rsidP="00932FD7">
            <w:pPr>
              <w:jc w:val="center"/>
              <w:rPr>
                <w:b/>
              </w:rPr>
            </w:pPr>
            <w:r w:rsidRPr="00395616">
              <w:rPr>
                <w:b/>
              </w:rPr>
              <w:t>2010</w:t>
            </w:r>
            <w:r w:rsidR="00044381" w:rsidRPr="00395616">
              <w:rPr>
                <w:rStyle w:val="FootnoteReference"/>
                <w:b/>
              </w:rPr>
              <w:footnoteReference w:id="54"/>
            </w:r>
          </w:p>
        </w:tc>
        <w:tc>
          <w:tcPr>
            <w:tcW w:w="2214" w:type="dxa"/>
            <w:shd w:val="clear" w:color="auto" w:fill="auto"/>
          </w:tcPr>
          <w:p w14:paraId="536E35EE" w14:textId="77777777" w:rsidR="007F376F" w:rsidRPr="00395616" w:rsidRDefault="007F376F" w:rsidP="00932FD7">
            <w:pPr>
              <w:jc w:val="center"/>
              <w:rPr>
                <w:b/>
              </w:rPr>
            </w:pPr>
            <w:r w:rsidRPr="00395616">
              <w:rPr>
                <w:b/>
              </w:rPr>
              <w:t>2011</w:t>
            </w:r>
            <w:r w:rsidR="00C55EB8" w:rsidRPr="00395616">
              <w:rPr>
                <w:rStyle w:val="FootnoteReference"/>
                <w:b/>
              </w:rPr>
              <w:footnoteReference w:id="55"/>
            </w:r>
          </w:p>
        </w:tc>
      </w:tr>
      <w:tr w:rsidR="007F376F" w14:paraId="794126AC" w14:textId="77777777">
        <w:tc>
          <w:tcPr>
            <w:tcW w:w="2988" w:type="dxa"/>
            <w:shd w:val="clear" w:color="auto" w:fill="auto"/>
          </w:tcPr>
          <w:p w14:paraId="17B9DB01" w14:textId="77777777" w:rsidR="007F376F" w:rsidRDefault="007F376F" w:rsidP="00C55EB8">
            <w:r>
              <w:t>CSP O&amp;M</w:t>
            </w:r>
          </w:p>
        </w:tc>
        <w:tc>
          <w:tcPr>
            <w:tcW w:w="1800" w:type="dxa"/>
            <w:shd w:val="clear" w:color="auto" w:fill="auto"/>
          </w:tcPr>
          <w:p w14:paraId="50136577" w14:textId="77777777" w:rsidR="007F376F" w:rsidRDefault="00D70C0D" w:rsidP="00932FD7">
            <w:pPr>
              <w:jc w:val="center"/>
            </w:pPr>
            <w:r>
              <w:t xml:space="preserve">  </w:t>
            </w:r>
            <w:r w:rsidR="006F23FA">
              <w:t>30,954,535</w:t>
            </w:r>
          </w:p>
        </w:tc>
        <w:tc>
          <w:tcPr>
            <w:tcW w:w="1854" w:type="dxa"/>
            <w:shd w:val="clear" w:color="auto" w:fill="auto"/>
          </w:tcPr>
          <w:p w14:paraId="1328779A" w14:textId="77777777" w:rsidR="007F376F" w:rsidRDefault="006F23FA" w:rsidP="00932FD7">
            <w:pPr>
              <w:jc w:val="center"/>
            </w:pPr>
            <w:r>
              <w:t>82,865,557</w:t>
            </w:r>
          </w:p>
        </w:tc>
        <w:tc>
          <w:tcPr>
            <w:tcW w:w="2214" w:type="dxa"/>
            <w:shd w:val="clear" w:color="auto" w:fill="auto"/>
          </w:tcPr>
          <w:p w14:paraId="1280FB9B" w14:textId="77777777" w:rsidR="007F376F" w:rsidRDefault="007F376F" w:rsidP="00932FD7">
            <w:pPr>
              <w:jc w:val="center"/>
            </w:pPr>
            <w:r>
              <w:t>64,653,512</w:t>
            </w:r>
          </w:p>
        </w:tc>
      </w:tr>
      <w:tr w:rsidR="007F376F" w14:paraId="64B85737" w14:textId="77777777">
        <w:tc>
          <w:tcPr>
            <w:tcW w:w="2988" w:type="dxa"/>
            <w:shd w:val="clear" w:color="auto" w:fill="auto"/>
          </w:tcPr>
          <w:p w14:paraId="53758B9F" w14:textId="77777777" w:rsidR="007F376F" w:rsidRDefault="007F376F" w:rsidP="00C55EB8">
            <w:r>
              <w:t>CSP Capital Expenditure</w:t>
            </w:r>
          </w:p>
        </w:tc>
        <w:tc>
          <w:tcPr>
            <w:tcW w:w="1800" w:type="dxa"/>
            <w:shd w:val="clear" w:color="auto" w:fill="auto"/>
          </w:tcPr>
          <w:p w14:paraId="5F7A2568" w14:textId="77777777" w:rsidR="007F376F" w:rsidRDefault="00D70C0D" w:rsidP="00932FD7">
            <w:pPr>
              <w:jc w:val="center"/>
            </w:pPr>
            <w:r>
              <w:t xml:space="preserve">  </w:t>
            </w:r>
            <w:r w:rsidR="006F23FA">
              <w:t>93,095,753</w:t>
            </w:r>
          </w:p>
        </w:tc>
        <w:tc>
          <w:tcPr>
            <w:tcW w:w="1854" w:type="dxa"/>
            <w:shd w:val="clear" w:color="auto" w:fill="auto"/>
          </w:tcPr>
          <w:p w14:paraId="6BF9EE08" w14:textId="77777777" w:rsidR="007F376F" w:rsidRDefault="006F23FA" w:rsidP="00932FD7">
            <w:pPr>
              <w:jc w:val="center"/>
            </w:pPr>
            <w:r>
              <w:t>62,419,068</w:t>
            </w:r>
          </w:p>
        </w:tc>
        <w:tc>
          <w:tcPr>
            <w:tcW w:w="2214" w:type="dxa"/>
            <w:shd w:val="clear" w:color="auto" w:fill="auto"/>
          </w:tcPr>
          <w:p w14:paraId="6E2D8E48" w14:textId="77777777" w:rsidR="007F376F" w:rsidRDefault="007F376F" w:rsidP="00932FD7">
            <w:pPr>
              <w:jc w:val="center"/>
            </w:pPr>
            <w:r>
              <w:t>98,066,926</w:t>
            </w:r>
          </w:p>
        </w:tc>
      </w:tr>
      <w:tr w:rsidR="007F376F" w14:paraId="633DAF1C" w14:textId="77777777">
        <w:tc>
          <w:tcPr>
            <w:tcW w:w="2988" w:type="dxa"/>
            <w:shd w:val="clear" w:color="auto" w:fill="auto"/>
          </w:tcPr>
          <w:p w14:paraId="0EF6CAF3" w14:textId="77777777" w:rsidR="007F376F" w:rsidRDefault="00C55EB8" w:rsidP="00C55EB8">
            <w:r>
              <w:t>OPC O&amp;M</w:t>
            </w:r>
          </w:p>
        </w:tc>
        <w:tc>
          <w:tcPr>
            <w:tcW w:w="1800" w:type="dxa"/>
            <w:shd w:val="clear" w:color="auto" w:fill="auto"/>
          </w:tcPr>
          <w:p w14:paraId="2CD48A52" w14:textId="77777777" w:rsidR="007F376F" w:rsidRDefault="00D70C0D" w:rsidP="00932FD7">
            <w:pPr>
              <w:jc w:val="center"/>
            </w:pPr>
            <w:r>
              <w:t xml:space="preserve">  </w:t>
            </w:r>
            <w:r w:rsidR="001C0A12">
              <w:t>58,036,608</w:t>
            </w:r>
          </w:p>
        </w:tc>
        <w:tc>
          <w:tcPr>
            <w:tcW w:w="1854" w:type="dxa"/>
            <w:shd w:val="clear" w:color="auto" w:fill="auto"/>
          </w:tcPr>
          <w:p w14:paraId="70CB2E8C" w14:textId="77777777" w:rsidR="007F376F" w:rsidRDefault="00705C53" w:rsidP="00932FD7">
            <w:pPr>
              <w:jc w:val="center"/>
            </w:pPr>
            <w:r>
              <w:t>88,866,449</w:t>
            </w:r>
          </w:p>
        </w:tc>
        <w:tc>
          <w:tcPr>
            <w:tcW w:w="2214" w:type="dxa"/>
            <w:shd w:val="clear" w:color="auto" w:fill="auto"/>
          </w:tcPr>
          <w:p w14:paraId="3DC5AAFE" w14:textId="77777777" w:rsidR="007F376F" w:rsidRDefault="00C55EB8" w:rsidP="00932FD7">
            <w:pPr>
              <w:jc w:val="center"/>
            </w:pPr>
            <w:r>
              <w:t>77,262,125</w:t>
            </w:r>
          </w:p>
        </w:tc>
      </w:tr>
      <w:tr w:rsidR="007F376F" w14:paraId="308A0C1C" w14:textId="77777777">
        <w:tc>
          <w:tcPr>
            <w:tcW w:w="2988" w:type="dxa"/>
            <w:shd w:val="clear" w:color="auto" w:fill="auto"/>
          </w:tcPr>
          <w:p w14:paraId="5073A109" w14:textId="77777777" w:rsidR="007F376F" w:rsidRDefault="00C55EB8" w:rsidP="00C55EB8">
            <w:r>
              <w:t>OPC Capital Expenditures</w:t>
            </w:r>
          </w:p>
        </w:tc>
        <w:tc>
          <w:tcPr>
            <w:tcW w:w="1800" w:type="dxa"/>
            <w:shd w:val="clear" w:color="auto" w:fill="auto"/>
          </w:tcPr>
          <w:p w14:paraId="7EF5A444" w14:textId="77777777" w:rsidR="007F376F" w:rsidRDefault="001C0A12" w:rsidP="00932FD7">
            <w:pPr>
              <w:jc w:val="center"/>
            </w:pPr>
            <w:r>
              <w:t>124,380,366</w:t>
            </w:r>
          </w:p>
        </w:tc>
        <w:tc>
          <w:tcPr>
            <w:tcW w:w="1854" w:type="dxa"/>
            <w:shd w:val="clear" w:color="auto" w:fill="auto"/>
          </w:tcPr>
          <w:p w14:paraId="30ABC847" w14:textId="77777777" w:rsidR="007F376F" w:rsidRDefault="00705C53" w:rsidP="00932FD7">
            <w:pPr>
              <w:jc w:val="center"/>
            </w:pPr>
            <w:r>
              <w:t>95,921,729</w:t>
            </w:r>
          </w:p>
        </w:tc>
        <w:tc>
          <w:tcPr>
            <w:tcW w:w="2214" w:type="dxa"/>
            <w:shd w:val="clear" w:color="auto" w:fill="auto"/>
          </w:tcPr>
          <w:p w14:paraId="492F2422" w14:textId="77777777" w:rsidR="007F376F" w:rsidRDefault="00C55EB8" w:rsidP="00932FD7">
            <w:pPr>
              <w:jc w:val="center"/>
            </w:pPr>
            <w:r>
              <w:t>90,950,993</w:t>
            </w:r>
          </w:p>
        </w:tc>
      </w:tr>
    </w:tbl>
    <w:p w14:paraId="3AFF6D42" w14:textId="77777777" w:rsidR="007F376F" w:rsidRDefault="007F376F" w:rsidP="007F376F">
      <w:pPr>
        <w:ind w:left="720"/>
        <w:jc w:val="center"/>
      </w:pPr>
    </w:p>
    <w:p w14:paraId="740F43B5" w14:textId="77777777" w:rsidR="00D70C0D" w:rsidRDefault="00D70C0D" w:rsidP="007F376F">
      <w:pPr>
        <w:ind w:left="720"/>
        <w:jc w:val="center"/>
      </w:pPr>
    </w:p>
    <w:p w14:paraId="08A56294" w14:textId="77777777" w:rsidR="00F952CA" w:rsidRDefault="00557D23" w:rsidP="006A52B1">
      <w:pPr>
        <w:spacing w:line="480" w:lineRule="auto"/>
        <w:ind w:firstLine="720"/>
      </w:pPr>
      <w:r>
        <w:t xml:space="preserve">Because the distribution rates are different and the level of expenditures </w:t>
      </w:r>
      <w:r w:rsidR="00D70C0D">
        <w:t xml:space="preserve">spent in each service area </w:t>
      </w:r>
      <w:r>
        <w:t>are s</w:t>
      </w:r>
      <w:r w:rsidR="00D70C0D">
        <w:t>o different</w:t>
      </w:r>
      <w:r>
        <w:t xml:space="preserve">, the proposal by AEP Ohio to </w:t>
      </w:r>
      <w:r w:rsidR="00884E47">
        <w:t>combine reliability standard</w:t>
      </w:r>
      <w:r>
        <w:t xml:space="preserve">s </w:t>
      </w:r>
      <w:r w:rsidR="00884E47">
        <w:t>is unjust and unreasonable.</w:t>
      </w:r>
      <w:r w:rsidR="006A52B1">
        <w:t xml:space="preserve">  </w:t>
      </w:r>
      <w:r w:rsidR="00F952CA">
        <w:t xml:space="preserve">AEP Ohio’s failure to include budget information in the </w:t>
      </w:r>
      <w:r w:rsidR="00CB1914">
        <w:t xml:space="preserve">annual system improvement plan </w:t>
      </w:r>
      <w:r w:rsidR="00F952CA">
        <w:t xml:space="preserve">report related to </w:t>
      </w:r>
      <w:r w:rsidR="00CB1914">
        <w:t>budget</w:t>
      </w:r>
      <w:r w:rsidR="00F952CA">
        <w:t xml:space="preserve">ary </w:t>
      </w:r>
      <w:r w:rsidR="00CB1914">
        <w:t>information for the reliability-specific capital and maintenance expenditures for Columbus Southern Power</w:t>
      </w:r>
      <w:r w:rsidR="00F952CA">
        <w:t xml:space="preserve"> in 2012 is </w:t>
      </w:r>
      <w:r w:rsidR="00D70C0D">
        <w:t xml:space="preserve">also </w:t>
      </w:r>
      <w:r w:rsidR="00F952CA">
        <w:t>unjust and unreasonable</w:t>
      </w:r>
      <w:r w:rsidR="00CB1914">
        <w:t>.</w:t>
      </w:r>
      <w:r w:rsidR="00CB1914">
        <w:rPr>
          <w:rStyle w:val="FootnoteReference"/>
        </w:rPr>
        <w:footnoteReference w:id="56"/>
      </w:r>
      <w:r w:rsidR="00CB1914">
        <w:t xml:space="preserve">  </w:t>
      </w:r>
      <w:r w:rsidR="00D3380E">
        <w:t xml:space="preserve">The annual system improvement plan includes a </w:t>
      </w:r>
      <w:r w:rsidR="00F952CA">
        <w:t xml:space="preserve">footnote </w:t>
      </w:r>
      <w:r w:rsidR="00D3380E">
        <w:t>stating:</w:t>
      </w:r>
    </w:p>
    <w:p w14:paraId="4BC389ED" w14:textId="041586DF" w:rsidR="00F952CA" w:rsidRPr="00A467C8" w:rsidRDefault="00F952CA" w:rsidP="00CB7AAD">
      <w:pPr>
        <w:spacing w:after="240"/>
        <w:ind w:left="1440" w:right="720"/>
      </w:pPr>
      <w:r w:rsidRPr="00A467C8">
        <w:t>2012 budget reflects the disillusion of the former Columbus Southern Power Company that was merged with Ohio Power Company on January 1, 2012 per PUCO Case No. 10-2376-EL-UNC.</w:t>
      </w:r>
      <w:r w:rsidR="00C77B6B">
        <w:rPr>
          <w:rStyle w:val="FootnoteReference"/>
        </w:rPr>
        <w:footnoteReference w:id="57"/>
      </w:r>
    </w:p>
    <w:p w14:paraId="278F31D9" w14:textId="55FDE24C" w:rsidR="00884E47" w:rsidRDefault="00F952CA" w:rsidP="004705A1">
      <w:pPr>
        <w:spacing w:line="480" w:lineRule="auto"/>
        <w:ind w:firstLine="720"/>
      </w:pPr>
      <w:r>
        <w:t xml:space="preserve">However, the Commission </w:t>
      </w:r>
      <w:r w:rsidR="00D3380E">
        <w:t xml:space="preserve">did not approve a </w:t>
      </w:r>
      <w:r w:rsidR="00BD7EF4">
        <w:t xml:space="preserve">single </w:t>
      </w:r>
      <w:r w:rsidR="00D3380E">
        <w:t>combined distribution system for AEP Ohio</w:t>
      </w:r>
      <w:r w:rsidR="006A52B1">
        <w:t xml:space="preserve"> and it is inappropriate for the Company not to provide reporting about the budgetary plans for this service area</w:t>
      </w:r>
      <w:r w:rsidR="00D3380E">
        <w:t xml:space="preserve">.  In fact, the Commission approved completely different distribution rates </w:t>
      </w:r>
      <w:r w:rsidR="00BD7EF4">
        <w:t xml:space="preserve">for </w:t>
      </w:r>
      <w:r w:rsidR="001E3DD7">
        <w:t>CSP</w:t>
      </w:r>
      <w:r>
        <w:t xml:space="preserve"> </w:t>
      </w:r>
      <w:r w:rsidR="00D70C0D">
        <w:t>compared to</w:t>
      </w:r>
      <w:r w:rsidR="00D3380E">
        <w:t xml:space="preserve"> O</w:t>
      </w:r>
      <w:r w:rsidR="001E3DD7">
        <w:t>P</w:t>
      </w:r>
      <w:r w:rsidR="00D3380E">
        <w:t xml:space="preserve">.  Furthermore, the Commission </w:t>
      </w:r>
      <w:r w:rsidR="00BD7EF4">
        <w:t>approved the merger with the understanding from the Company</w:t>
      </w:r>
      <w:r w:rsidR="00C77B6B">
        <w:t>’s Merger</w:t>
      </w:r>
      <w:r w:rsidR="00BD7EF4">
        <w:t xml:space="preserve"> Application that the merger would have no detrimental impact on the reliability for CSP or OP customers.</w:t>
      </w:r>
      <w:r w:rsidR="00C77B6B">
        <w:rPr>
          <w:rStyle w:val="FootnoteReference"/>
        </w:rPr>
        <w:footnoteReference w:id="58"/>
      </w:r>
      <w:r w:rsidR="00BD7EF4">
        <w:t xml:space="preserve">  Without separate reporting in the annual system improvement plan report for CSP and OP</w:t>
      </w:r>
      <w:r w:rsidR="00952660">
        <w:t>’s</w:t>
      </w:r>
      <w:r w:rsidR="00BD7EF4">
        <w:t xml:space="preserve"> planned capital and maintenance expenditures, </w:t>
      </w:r>
      <w:r w:rsidR="00D70C0D">
        <w:t>i</w:t>
      </w:r>
      <w:r w:rsidR="00BD7EF4">
        <w:t>t</w:t>
      </w:r>
      <w:r w:rsidR="00D70C0D">
        <w:t xml:space="preserve"> would be virtually impossible</w:t>
      </w:r>
      <w:r w:rsidR="00BD7EF4">
        <w:t xml:space="preserve"> to verify that detrimental impacts have not occurred in the reliability provided to consumers.</w:t>
      </w:r>
      <w:r w:rsidR="00353647">
        <w:t xml:space="preserve">  </w:t>
      </w:r>
      <w:r w:rsidR="00D70C0D">
        <w:t>Such a result would not be in the public interest and would contradict the intent of the reliability rules</w:t>
      </w:r>
      <w:r w:rsidR="00813466">
        <w:t xml:space="preserve"> in providing separate data for each operating service territory</w:t>
      </w:r>
      <w:r w:rsidR="00D70C0D">
        <w:t>.</w:t>
      </w:r>
      <w:r w:rsidR="00D70C0D">
        <w:rPr>
          <w:rStyle w:val="FootnoteReference"/>
        </w:rPr>
        <w:footnoteReference w:id="59"/>
      </w:r>
      <w:r w:rsidR="00D70C0D">
        <w:t xml:space="preserve">  </w:t>
      </w:r>
      <w:r w:rsidR="00353647">
        <w:t>The Commission should order AEP Ohio to include reliability-specific budget information for both the CSP rate zone and the O</w:t>
      </w:r>
      <w:r w:rsidR="00232EFB">
        <w:t xml:space="preserve">P </w:t>
      </w:r>
      <w:r w:rsidR="00353647">
        <w:t xml:space="preserve">rate zone in the 2012 report to be filed March 30, 2013. </w:t>
      </w:r>
      <w:r w:rsidR="00BD7EF4">
        <w:t xml:space="preserve"> </w:t>
      </w:r>
    </w:p>
    <w:p w14:paraId="3B782920" w14:textId="77777777" w:rsidR="00353647" w:rsidRDefault="000A47C0" w:rsidP="00654100">
      <w:pPr>
        <w:pStyle w:val="Heading2"/>
      </w:pPr>
      <w:bookmarkStart w:id="16" w:name="_Toc345082972"/>
      <w:r>
        <w:t>G.</w:t>
      </w:r>
      <w:r>
        <w:tab/>
      </w:r>
      <w:bookmarkStart w:id="17" w:name="_Toc344714696"/>
      <w:r w:rsidR="00BD7EF4">
        <w:t xml:space="preserve">AEP Ohio’s </w:t>
      </w:r>
      <w:r w:rsidR="00353647">
        <w:t xml:space="preserve">Application </w:t>
      </w:r>
      <w:r w:rsidR="00CB7AAD">
        <w:t xml:space="preserve">Is Unjust And Unreasonable Because It Fails To Adequately Quantify The Adjustments That Must Be Made In The </w:t>
      </w:r>
      <w:r w:rsidR="00CC3537">
        <w:t xml:space="preserve">CSP </w:t>
      </w:r>
      <w:r w:rsidR="00CB7AAD">
        <w:t xml:space="preserve">And </w:t>
      </w:r>
      <w:r w:rsidR="00CC3537">
        <w:t xml:space="preserve">OPC </w:t>
      </w:r>
      <w:r w:rsidR="00CB7AAD">
        <w:t>Reliability Standards To Account For Grid</w:t>
      </w:r>
      <w:r w:rsidR="00A9281E">
        <w:t>S</w:t>
      </w:r>
      <w:r w:rsidR="00CB7AAD">
        <w:t>mart And Vegetation Management.</w:t>
      </w:r>
      <w:bookmarkEnd w:id="16"/>
      <w:bookmarkEnd w:id="17"/>
    </w:p>
    <w:p w14:paraId="0BCE7B8F" w14:textId="218621C8" w:rsidR="006E42A5" w:rsidRDefault="00353647" w:rsidP="004705A1">
      <w:pPr>
        <w:spacing w:line="480" w:lineRule="auto"/>
        <w:ind w:firstLine="720"/>
      </w:pPr>
      <w:r>
        <w:t xml:space="preserve">The </w:t>
      </w:r>
      <w:r w:rsidR="00CC3537">
        <w:t>PUCO Staff issued guidelines concerning reliability standards applications on the Commission</w:t>
      </w:r>
      <w:r w:rsidR="00AB2856">
        <w:t>’s</w:t>
      </w:r>
      <w:r w:rsidR="00CC3537">
        <w:t xml:space="preserve"> website.</w:t>
      </w:r>
      <w:r w:rsidR="00CC3537">
        <w:rPr>
          <w:rStyle w:val="FootnoteReference"/>
        </w:rPr>
        <w:footnoteReference w:id="60"/>
      </w:r>
      <w:r w:rsidR="00CC3537">
        <w:t xml:space="preserve">  According to the guidelines, the CAIDI and SAIFI reliability standards should be calculated by averaging </w:t>
      </w:r>
      <w:r w:rsidR="006E42A5">
        <w:t xml:space="preserve">a minimum of five years of </w:t>
      </w:r>
      <w:r w:rsidR="00CC3537">
        <w:t xml:space="preserve">historical performance and </w:t>
      </w:r>
      <w:r w:rsidR="006E42A5">
        <w:t xml:space="preserve">then </w:t>
      </w:r>
      <w:r w:rsidR="00CC3537">
        <w:t>using the average as a baseline for further adjustments.  As stated earlier, the AEP Ohio Application proposed combined standards and therefore</w:t>
      </w:r>
      <w:r w:rsidR="006E42A5">
        <w:t xml:space="preserve"> five years of </w:t>
      </w:r>
      <w:r w:rsidR="008026AF">
        <w:t>performance data for CSP and OP</w:t>
      </w:r>
      <w:r w:rsidR="006E42A5">
        <w:t xml:space="preserve"> were not provided in the Application.</w:t>
      </w:r>
    </w:p>
    <w:p w14:paraId="0B66C2A4" w14:textId="77777777" w:rsidR="006E42A5" w:rsidRDefault="00353647" w:rsidP="004705A1">
      <w:pPr>
        <w:spacing w:line="480" w:lineRule="auto"/>
        <w:ind w:firstLine="720"/>
      </w:pPr>
      <w:r>
        <w:t xml:space="preserve">AEP Ohio </w:t>
      </w:r>
      <w:r w:rsidR="006E42A5">
        <w:t>proposed adjustments in the SAIFI and CAIDI combined standard as reflected in Table 11.  One adjustment is related to gridSmart and the other is related to changes in vegetation management practi</w:t>
      </w:r>
      <w:r w:rsidR="00CB3C1E">
        <w:t>ces</w:t>
      </w:r>
      <w:r w:rsidR="006E42A5">
        <w:t>.</w:t>
      </w:r>
    </w:p>
    <w:p w14:paraId="0045CF12" w14:textId="77777777" w:rsidR="006E42A5" w:rsidRPr="00CB3C1E" w:rsidRDefault="006E42A5" w:rsidP="006E42A5">
      <w:pPr>
        <w:ind w:left="720"/>
        <w:jc w:val="center"/>
        <w:rPr>
          <w:b/>
        </w:rPr>
      </w:pPr>
      <w:r w:rsidRPr="00CB3C1E">
        <w:rPr>
          <w:b/>
        </w:rPr>
        <w:t xml:space="preserve">Table 11:  AEP </w:t>
      </w:r>
      <w:smartTag w:uri="urn:schemas-microsoft-com:office:smarttags" w:element="State">
        <w:smartTag w:uri="urn:schemas-microsoft-com:office:smarttags" w:element="place">
          <w:r w:rsidRPr="00CB3C1E">
            <w:rPr>
              <w:b/>
            </w:rPr>
            <w:t>Ohio</w:t>
          </w:r>
        </w:smartTag>
      </w:smartTag>
      <w:r w:rsidRPr="00CB3C1E">
        <w:rPr>
          <w:b/>
        </w:rPr>
        <w:t xml:space="preserve"> Proposed SAIFI and CAIDI Adjustments</w:t>
      </w:r>
    </w:p>
    <w:p w14:paraId="11258F94" w14:textId="77777777" w:rsidR="006E42A5" w:rsidRDefault="006E42A5" w:rsidP="006E42A5">
      <w:pPr>
        <w:ind w:left="720"/>
        <w:jc w:val="center"/>
      </w:pP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1890"/>
      </w:tblGrid>
      <w:tr w:rsidR="006E42A5" w14:paraId="2FE74CDA" w14:textId="77777777">
        <w:tc>
          <w:tcPr>
            <w:tcW w:w="1818" w:type="dxa"/>
            <w:shd w:val="clear" w:color="auto" w:fill="auto"/>
          </w:tcPr>
          <w:p w14:paraId="6901D06B" w14:textId="77777777" w:rsidR="00D70C0D" w:rsidRDefault="00A9281E" w:rsidP="00932FD7">
            <w:pPr>
              <w:jc w:val="center"/>
              <w:rPr>
                <w:b/>
              </w:rPr>
            </w:pPr>
            <w:r w:rsidRPr="00932FD7">
              <w:rPr>
                <w:b/>
              </w:rPr>
              <w:t>Adjustment</w:t>
            </w:r>
          </w:p>
          <w:p w14:paraId="05A5952A" w14:textId="77777777" w:rsidR="006E42A5" w:rsidRPr="00932FD7" w:rsidRDefault="006E42A5" w:rsidP="00932FD7">
            <w:pPr>
              <w:jc w:val="center"/>
              <w:rPr>
                <w:b/>
              </w:rPr>
            </w:pPr>
          </w:p>
        </w:tc>
        <w:tc>
          <w:tcPr>
            <w:tcW w:w="2070" w:type="dxa"/>
            <w:shd w:val="clear" w:color="auto" w:fill="auto"/>
          </w:tcPr>
          <w:p w14:paraId="3C580E5A" w14:textId="77777777" w:rsidR="006E42A5" w:rsidRPr="00932FD7" w:rsidRDefault="006E42A5" w:rsidP="00932FD7">
            <w:pPr>
              <w:jc w:val="center"/>
              <w:rPr>
                <w:b/>
              </w:rPr>
            </w:pPr>
            <w:r w:rsidRPr="00932FD7">
              <w:rPr>
                <w:b/>
              </w:rPr>
              <w:t>SAIFI</w:t>
            </w:r>
          </w:p>
        </w:tc>
        <w:tc>
          <w:tcPr>
            <w:tcW w:w="1890" w:type="dxa"/>
            <w:shd w:val="clear" w:color="auto" w:fill="auto"/>
          </w:tcPr>
          <w:p w14:paraId="192B5EFA" w14:textId="77777777" w:rsidR="006E42A5" w:rsidRPr="00932FD7" w:rsidRDefault="006E42A5" w:rsidP="00932FD7">
            <w:pPr>
              <w:jc w:val="center"/>
              <w:rPr>
                <w:b/>
              </w:rPr>
            </w:pPr>
            <w:r w:rsidRPr="00932FD7">
              <w:rPr>
                <w:b/>
              </w:rPr>
              <w:t>CAIDI</w:t>
            </w:r>
          </w:p>
        </w:tc>
      </w:tr>
      <w:tr w:rsidR="006E42A5" w14:paraId="6C14BDC5" w14:textId="77777777">
        <w:tc>
          <w:tcPr>
            <w:tcW w:w="1818" w:type="dxa"/>
            <w:shd w:val="clear" w:color="auto" w:fill="auto"/>
          </w:tcPr>
          <w:p w14:paraId="577C0B3B" w14:textId="77777777" w:rsidR="006E42A5" w:rsidRDefault="006E42A5" w:rsidP="006E42A5">
            <w:r>
              <w:t>gridSmart</w:t>
            </w:r>
          </w:p>
        </w:tc>
        <w:tc>
          <w:tcPr>
            <w:tcW w:w="2070" w:type="dxa"/>
            <w:shd w:val="clear" w:color="auto" w:fill="auto"/>
          </w:tcPr>
          <w:p w14:paraId="4CC7AD93" w14:textId="77777777" w:rsidR="006E42A5" w:rsidRDefault="006E42A5" w:rsidP="00932FD7">
            <w:pPr>
              <w:jc w:val="center"/>
            </w:pPr>
            <w:r>
              <w:t>0.01</w:t>
            </w:r>
          </w:p>
        </w:tc>
        <w:tc>
          <w:tcPr>
            <w:tcW w:w="1890" w:type="dxa"/>
            <w:shd w:val="clear" w:color="auto" w:fill="auto"/>
          </w:tcPr>
          <w:p w14:paraId="235AC3C2" w14:textId="77777777" w:rsidR="006E42A5" w:rsidRDefault="006E42A5" w:rsidP="00932FD7">
            <w:pPr>
              <w:jc w:val="center"/>
            </w:pPr>
            <w:r>
              <w:t>(0.26) Minutes</w:t>
            </w:r>
          </w:p>
        </w:tc>
      </w:tr>
      <w:tr w:rsidR="006E42A5" w14:paraId="7ECC35C0" w14:textId="77777777">
        <w:tc>
          <w:tcPr>
            <w:tcW w:w="1818" w:type="dxa"/>
            <w:shd w:val="clear" w:color="auto" w:fill="auto"/>
          </w:tcPr>
          <w:p w14:paraId="72C115AA" w14:textId="77777777" w:rsidR="006E42A5" w:rsidRDefault="006E42A5" w:rsidP="006E42A5">
            <w:r>
              <w:t>Forestry</w:t>
            </w:r>
          </w:p>
          <w:p w14:paraId="7469188F" w14:textId="77777777" w:rsidR="00796D0A" w:rsidRDefault="00796D0A" w:rsidP="006E42A5"/>
        </w:tc>
        <w:tc>
          <w:tcPr>
            <w:tcW w:w="2070" w:type="dxa"/>
            <w:shd w:val="clear" w:color="auto" w:fill="auto"/>
          </w:tcPr>
          <w:p w14:paraId="7EE02540" w14:textId="77777777" w:rsidR="006E42A5" w:rsidRDefault="006E42A5" w:rsidP="00932FD7">
            <w:pPr>
              <w:jc w:val="center"/>
            </w:pPr>
            <w:r>
              <w:t>0.06</w:t>
            </w:r>
          </w:p>
        </w:tc>
        <w:tc>
          <w:tcPr>
            <w:tcW w:w="1890" w:type="dxa"/>
            <w:shd w:val="clear" w:color="auto" w:fill="auto"/>
          </w:tcPr>
          <w:p w14:paraId="7801F977" w14:textId="77777777" w:rsidR="006E42A5" w:rsidRDefault="006E42A5" w:rsidP="00932FD7">
            <w:pPr>
              <w:jc w:val="center"/>
            </w:pPr>
            <w:r>
              <w:t>2.48 Minutes</w:t>
            </w:r>
          </w:p>
        </w:tc>
      </w:tr>
      <w:tr w:rsidR="006E42A5" w14:paraId="109D2472" w14:textId="77777777">
        <w:tc>
          <w:tcPr>
            <w:tcW w:w="1818" w:type="dxa"/>
            <w:shd w:val="clear" w:color="auto" w:fill="auto"/>
          </w:tcPr>
          <w:p w14:paraId="7B36F9C3" w14:textId="77777777" w:rsidR="006E42A5" w:rsidRDefault="00796D0A" w:rsidP="00D70C0D">
            <w:r>
              <w:t xml:space="preserve">     </w:t>
            </w:r>
            <w:r w:rsidR="006E42A5">
              <w:t>Total</w:t>
            </w:r>
          </w:p>
        </w:tc>
        <w:tc>
          <w:tcPr>
            <w:tcW w:w="2070" w:type="dxa"/>
            <w:shd w:val="clear" w:color="auto" w:fill="auto"/>
          </w:tcPr>
          <w:p w14:paraId="0718A727" w14:textId="77777777" w:rsidR="006E42A5" w:rsidRDefault="006E42A5" w:rsidP="00932FD7">
            <w:pPr>
              <w:jc w:val="center"/>
            </w:pPr>
            <w:r>
              <w:t>0.07</w:t>
            </w:r>
          </w:p>
        </w:tc>
        <w:tc>
          <w:tcPr>
            <w:tcW w:w="1890" w:type="dxa"/>
            <w:shd w:val="clear" w:color="auto" w:fill="auto"/>
          </w:tcPr>
          <w:p w14:paraId="57D139A4" w14:textId="77777777" w:rsidR="006E42A5" w:rsidRDefault="006E42A5" w:rsidP="00932FD7">
            <w:pPr>
              <w:jc w:val="center"/>
            </w:pPr>
            <w:r>
              <w:t>2.22 Minutes</w:t>
            </w:r>
          </w:p>
        </w:tc>
      </w:tr>
    </w:tbl>
    <w:p w14:paraId="778BD10C" w14:textId="77777777" w:rsidR="006E42A5" w:rsidRDefault="006E42A5" w:rsidP="006E42A5">
      <w:pPr>
        <w:ind w:left="720"/>
        <w:jc w:val="center"/>
      </w:pPr>
    </w:p>
    <w:p w14:paraId="49DFBCEF" w14:textId="77777777" w:rsidR="006E42A5" w:rsidRDefault="006E42A5" w:rsidP="006E42A5">
      <w:pPr>
        <w:ind w:left="720"/>
        <w:jc w:val="center"/>
      </w:pPr>
    </w:p>
    <w:p w14:paraId="275FF52B" w14:textId="578789D5" w:rsidR="00AD12EC" w:rsidRDefault="00B8624E" w:rsidP="006A52B1">
      <w:pPr>
        <w:spacing w:line="480" w:lineRule="auto"/>
        <w:ind w:firstLine="720"/>
      </w:pPr>
      <w:r>
        <w:t>Table 11 further supports why the Company</w:t>
      </w:r>
      <w:r w:rsidR="008D5000">
        <w:t>’s</w:t>
      </w:r>
      <w:r>
        <w:t xml:space="preserve"> proposal to combine reliability standards for CSP and OP </w:t>
      </w:r>
      <w:r w:rsidR="008D5000">
        <w:t xml:space="preserve">is </w:t>
      </w:r>
      <w:r>
        <w:t xml:space="preserve">unjust and unreasonable.  </w:t>
      </w:r>
      <w:r w:rsidR="00CB3C1E">
        <w:t xml:space="preserve">The </w:t>
      </w:r>
      <w:r>
        <w:t xml:space="preserve">majority of the investment that the Company has made in gridSmart </w:t>
      </w:r>
      <w:r w:rsidR="001E378E">
        <w:t xml:space="preserve">Phase 1 </w:t>
      </w:r>
      <w:r>
        <w:t>has been in the CSP service area.</w:t>
      </w:r>
      <w:r w:rsidR="001E378E">
        <w:rPr>
          <w:rStyle w:val="FootnoteReference"/>
        </w:rPr>
        <w:footnoteReference w:id="61"/>
      </w:r>
      <w:r>
        <w:t xml:space="preserve">  The Company has yet to file a plan as required by the Commission </w:t>
      </w:r>
      <w:r w:rsidR="001E378E">
        <w:t>for the gridSmart Phase 2 initiative.  However, t</w:t>
      </w:r>
      <w:r>
        <w:t xml:space="preserve">he meager 0.01 adjustment that the Company is proposing in the SAIFI reliability standard and the 0.26 minute increase in the CAIDI reliability standard </w:t>
      </w:r>
      <w:r w:rsidR="00B2684E">
        <w:t>indicates the need for additional analysis to determine the gridSmart impact on improving reliability performance</w:t>
      </w:r>
      <w:r w:rsidR="00AD12EC">
        <w:t xml:space="preserve">. </w:t>
      </w:r>
      <w:r w:rsidR="00796D0A">
        <w:t xml:space="preserve"> </w:t>
      </w:r>
      <w:r w:rsidR="00AD12EC">
        <w:t>The Commission should require the Company to determine the appropriate gridSmart adjustment in the CSP reliability standards.  In addition, the Commission should require the Company to propose additional adjustments in the SAIFI and CAIDI standards for both CSP and OP when it files its proposed expansion Ph</w:t>
      </w:r>
      <w:r w:rsidR="00295A6A">
        <w:t>ase 2 of the gridSmart program.</w:t>
      </w:r>
    </w:p>
    <w:p w14:paraId="274D2C05" w14:textId="604BC4A0" w:rsidR="000F219B" w:rsidRDefault="00AD12EC" w:rsidP="006A52B1">
      <w:pPr>
        <w:spacing w:line="480" w:lineRule="auto"/>
        <w:ind w:firstLine="720"/>
      </w:pPr>
      <w:r>
        <w:t xml:space="preserve">The second adjustment </w:t>
      </w:r>
      <w:r w:rsidR="00932533">
        <w:t>to the SAIFI and CAIDI reliability performance standards is related to changes mandated by the Commission in the vegetation management practices of the CSP and OP.  The Commission ordered AEP Ohio to transition to a four</w:t>
      </w:r>
      <w:r w:rsidR="005A7C04">
        <w:t>-</w:t>
      </w:r>
      <w:r w:rsidR="00932533">
        <w:t>year cycle-based vegetation management program</w:t>
      </w:r>
      <w:r w:rsidR="000F219B">
        <w:t xml:space="preserve"> funded through an Enhanced Service Reliability Rider (</w:t>
      </w:r>
      <w:r w:rsidR="00A77C58">
        <w:t>“</w:t>
      </w:r>
      <w:r w:rsidR="00B34636">
        <w:t>Reliability Rider</w:t>
      </w:r>
      <w:r w:rsidR="00A77C58">
        <w:t>”</w:t>
      </w:r>
      <w:r w:rsidR="000F219B">
        <w:t>) on customer bills.</w:t>
      </w:r>
      <w:r w:rsidR="000F219B">
        <w:rPr>
          <w:rStyle w:val="FootnoteReference"/>
        </w:rPr>
        <w:footnoteReference w:id="62"/>
      </w:r>
      <w:r w:rsidR="00932533">
        <w:t xml:space="preserve"> </w:t>
      </w:r>
      <w:r w:rsidR="00203824">
        <w:t xml:space="preserve"> </w:t>
      </w:r>
      <w:r w:rsidR="000F219B">
        <w:t xml:space="preserve">In the Opinion and Order approving the </w:t>
      </w:r>
      <w:r w:rsidR="00B34636">
        <w:t xml:space="preserve">Reliability Rider, </w:t>
      </w:r>
      <w:r w:rsidR="000F219B">
        <w:t>the Commission stated:</w:t>
      </w:r>
      <w:r w:rsidR="00EA3A98">
        <w:rPr>
          <w:rStyle w:val="FootnoteReference"/>
        </w:rPr>
        <w:footnoteReference w:id="63"/>
      </w:r>
    </w:p>
    <w:p w14:paraId="569E7489" w14:textId="77777777" w:rsidR="000F219B" w:rsidRPr="00295A6A" w:rsidRDefault="000F219B" w:rsidP="00CB7AAD">
      <w:pPr>
        <w:spacing w:after="240"/>
        <w:ind w:left="1440" w:right="720"/>
      </w:pPr>
      <w:r w:rsidRPr="000A5329">
        <w:t xml:space="preserve">To this end, the Companies have demonstrated in the record that increased spending earmarked for specific vegetation initiatives </w:t>
      </w:r>
      <w:r w:rsidR="00EA3A98" w:rsidRPr="000A5329">
        <w:t>can reduce tree-caused outages, resulting in better reliability</w:t>
      </w:r>
      <w:r w:rsidR="00295A6A">
        <w:rPr>
          <w:i/>
        </w:rPr>
        <w:t>.</w:t>
      </w:r>
    </w:p>
    <w:p w14:paraId="17E998DE" w14:textId="6337FFFC" w:rsidR="00693E1A" w:rsidRDefault="000F219B" w:rsidP="00654100">
      <w:pPr>
        <w:spacing w:line="480" w:lineRule="auto"/>
        <w:ind w:firstLine="720"/>
      </w:pPr>
      <w:r>
        <w:t xml:space="preserve">However, </w:t>
      </w:r>
      <w:r w:rsidR="00EA3A98">
        <w:t>as shown in Table 9, there has been no significant decrease in the number of tree-caused outages between 2010 and 2011.  In fact, the number of tree caused outages outside right</w:t>
      </w:r>
      <w:r w:rsidR="00537D4B">
        <w:t>-</w:t>
      </w:r>
      <w:r w:rsidR="00EA3A98">
        <w:t>of</w:t>
      </w:r>
      <w:r w:rsidR="00537D4B">
        <w:t>-</w:t>
      </w:r>
      <w:r w:rsidR="00EA3A98">
        <w:t xml:space="preserve">way in both CSP and OP service areas significantly increased.  As shown in Table 11, AEP Ohio is proposing an adjustment of 0.06 in SAIFI and a 2.48 minute adjustment in CAIDI.  However, the Company has not provided adjustments specific for CSP and OP reliability standards.  Without this information, the Commission, the PUCO Staff, and other interested parties are unable to discern the impact that the </w:t>
      </w:r>
      <w:r w:rsidR="00B34636">
        <w:t>Reliability Rider</w:t>
      </w:r>
      <w:r w:rsidR="00EA3A98">
        <w:t xml:space="preserve"> is having on improving reliability in each of the service areas.  </w:t>
      </w:r>
      <w:r w:rsidR="00102043">
        <w:t xml:space="preserve">However, there does not appear to be </w:t>
      </w:r>
      <w:r w:rsidR="001D7D37">
        <w:t xml:space="preserve">much of </w:t>
      </w:r>
      <w:r w:rsidR="00102043">
        <w:t xml:space="preserve">a reduction in tree-caused outages as was expected by the Commission.  </w:t>
      </w:r>
    </w:p>
    <w:p w14:paraId="779A421B" w14:textId="179ACAFA" w:rsidR="00E02F9C" w:rsidRDefault="00102043" w:rsidP="00E053B6">
      <w:pPr>
        <w:spacing w:line="480" w:lineRule="auto"/>
        <w:ind w:firstLine="720"/>
      </w:pPr>
      <w:r>
        <w:t xml:space="preserve">The prudence in continuing to </w:t>
      </w:r>
      <w:r w:rsidR="00693E1A">
        <w:t xml:space="preserve">require </w:t>
      </w:r>
      <w:r>
        <w:t xml:space="preserve">customers to pay for the </w:t>
      </w:r>
      <w:r w:rsidR="00B34636">
        <w:t>Reliability Rider</w:t>
      </w:r>
      <w:r>
        <w:t xml:space="preserve"> in light of the dismal improvement in SAIFI should be r</w:t>
      </w:r>
      <w:r w:rsidR="00203824">
        <w:t>e-evaluated by the Commission</w:t>
      </w:r>
      <w:r w:rsidR="00B34636">
        <w:t xml:space="preserve"> toward protecting customers from paying unreasonable rates</w:t>
      </w:r>
      <w:r w:rsidR="00203824">
        <w:t>.</w:t>
      </w:r>
    </w:p>
    <w:p w14:paraId="73E6EE41" w14:textId="77777777" w:rsidR="009F3CF2" w:rsidRDefault="000A47C0" w:rsidP="00654100">
      <w:pPr>
        <w:pStyle w:val="Heading2"/>
      </w:pPr>
      <w:bookmarkStart w:id="18" w:name="_Toc345082973"/>
      <w:r>
        <w:t>H.</w:t>
      </w:r>
      <w:r>
        <w:tab/>
      </w:r>
      <w:bookmarkStart w:id="19" w:name="_Toc344714697"/>
      <w:r w:rsidR="00102043">
        <w:t xml:space="preserve">The AEP Ohio Application </w:t>
      </w:r>
      <w:r w:rsidR="00CB7AAD">
        <w:t xml:space="preserve">Is Unjust And Unreasonable Because There Are No Proposed Reliability Standards Adjustments Proposed For The </w:t>
      </w:r>
      <w:r w:rsidR="00102043">
        <w:t>Distribution Investment Rider</w:t>
      </w:r>
      <w:r w:rsidR="00CB7AAD">
        <w:t>.</w:t>
      </w:r>
      <w:bookmarkEnd w:id="18"/>
      <w:bookmarkEnd w:id="19"/>
    </w:p>
    <w:p w14:paraId="7D4F3BE8" w14:textId="29686ADD" w:rsidR="00FB5A47" w:rsidRDefault="00C21A9A" w:rsidP="00E053B6">
      <w:pPr>
        <w:spacing w:line="480" w:lineRule="auto"/>
        <w:ind w:firstLine="720"/>
      </w:pPr>
      <w:r>
        <w:t>On December 3, 2012, AEP Ohio filed</w:t>
      </w:r>
      <w:r w:rsidR="00D72685">
        <w:t xml:space="preserve"> (in a separate case)</w:t>
      </w:r>
      <w:r>
        <w:t xml:space="preserve"> a Distribution Investment Rider</w:t>
      </w:r>
      <w:r w:rsidR="00C4234B">
        <w:t xml:space="preserve"> (</w:t>
      </w:r>
      <w:r w:rsidR="00A77C58">
        <w:t>“</w:t>
      </w:r>
      <w:r w:rsidR="00C4234B">
        <w:t>DIR</w:t>
      </w:r>
      <w:r w:rsidR="00A77C58">
        <w:t>”</w:t>
      </w:r>
      <w:r w:rsidR="00C4234B">
        <w:t xml:space="preserve">) </w:t>
      </w:r>
      <w:r>
        <w:t xml:space="preserve">Work Plan concerning projects that it </w:t>
      </w:r>
      <w:r w:rsidR="00C4234B">
        <w:t xml:space="preserve">plans </w:t>
      </w:r>
      <w:r>
        <w:t>to undertake in 2013</w:t>
      </w:r>
      <w:r>
        <w:rPr>
          <w:rStyle w:val="FootnoteReference"/>
        </w:rPr>
        <w:footnoteReference w:id="64"/>
      </w:r>
      <w:r w:rsidR="00194652">
        <w:t xml:space="preserve"> with a total cost estimated at more than $186 million.</w:t>
      </w:r>
      <w:r>
        <w:t xml:space="preserve"> </w:t>
      </w:r>
      <w:r w:rsidR="00203824">
        <w:t xml:space="preserve"> </w:t>
      </w:r>
      <w:r w:rsidR="00C4234B">
        <w:t xml:space="preserve">By Commission Entry dated December 12, 2012, a procedural schedule was adopted </w:t>
      </w:r>
      <w:r w:rsidR="00160C77">
        <w:t>for Motions to Intervene</w:t>
      </w:r>
      <w:r w:rsidR="00C4234B">
        <w:t xml:space="preserve"> to be filed by January 11, 2013, initial comments to be filed by January 18, 2013, and reply comments by February 1</w:t>
      </w:r>
      <w:r w:rsidR="002A55CB">
        <w:t xml:space="preserve">, 2013.  OCC intends to </w:t>
      </w:r>
      <w:r w:rsidR="00C4234B">
        <w:t>I</w:t>
      </w:r>
      <w:r w:rsidR="00160C77">
        <w:t>ntervene</w:t>
      </w:r>
      <w:r w:rsidR="00C4234B">
        <w:t xml:space="preserve"> in this case and will reserve specific comments for this docket.  </w:t>
      </w:r>
    </w:p>
    <w:p w14:paraId="63BA1CB4" w14:textId="2F101BC6" w:rsidR="008A671B" w:rsidRDefault="00C4234B" w:rsidP="00E053B6">
      <w:pPr>
        <w:spacing w:line="480" w:lineRule="auto"/>
        <w:ind w:firstLine="720"/>
      </w:pPr>
      <w:r>
        <w:t>However, based on a cursory revi</w:t>
      </w:r>
      <w:r w:rsidR="00796D0A">
        <w:t>ew of the work plan, OCC notes</w:t>
      </w:r>
      <w:r>
        <w:t xml:space="preserve"> that the DIR work plan is not speci</w:t>
      </w:r>
      <w:r w:rsidR="002A55CB">
        <w:t>fic to either the CSP or the OP</w:t>
      </w:r>
      <w:r>
        <w:t xml:space="preserve"> service areas.  </w:t>
      </w:r>
      <w:r w:rsidR="003F092B">
        <w:t xml:space="preserve">The proposed DIR work plan results in </w:t>
      </w:r>
      <w:r w:rsidR="00C77B6B">
        <w:t>no proposed adjustment to the proposed</w:t>
      </w:r>
      <w:r w:rsidR="003F092B">
        <w:t xml:space="preserve"> reliability standards.  The proposed DIR work plan has no specific boundaries concerning baseline spending and incremental spending.  </w:t>
      </w:r>
      <w:r>
        <w:t xml:space="preserve">Without this information, there is no ability for the Commission or others to quantify the </w:t>
      </w:r>
      <w:r w:rsidR="003F092B">
        <w:t xml:space="preserve">cost and </w:t>
      </w:r>
      <w:r>
        <w:t xml:space="preserve">benefits that the DIR </w:t>
      </w:r>
      <w:r w:rsidR="003F092B">
        <w:t xml:space="preserve">will have on </w:t>
      </w:r>
      <w:r>
        <w:t xml:space="preserve">improving reliability.  </w:t>
      </w:r>
      <w:r w:rsidR="001D7D37">
        <w:t>Moreover, the PUCO authorized the DIR concluding that improved service will come with the replacement of aging infrastructure that will facilitate improved service reliability.</w:t>
      </w:r>
      <w:r w:rsidR="001D7D37">
        <w:rPr>
          <w:rStyle w:val="FootnoteReference"/>
        </w:rPr>
        <w:footnoteReference w:id="65"/>
      </w:r>
      <w:r w:rsidR="001D7D37">
        <w:t xml:space="preserve">  The PUCO required the proactive DIR plan to quantify reliability improvements.</w:t>
      </w:r>
      <w:r w:rsidR="001D7D37">
        <w:rPr>
          <w:rStyle w:val="FootnoteReference"/>
        </w:rPr>
        <w:footnoteReference w:id="66"/>
      </w:r>
    </w:p>
    <w:p w14:paraId="75EC151B" w14:textId="16FD9618" w:rsidR="00C21A9A" w:rsidRDefault="008A671B" w:rsidP="00654100">
      <w:pPr>
        <w:spacing w:line="480" w:lineRule="auto"/>
        <w:ind w:firstLine="720"/>
      </w:pPr>
      <w:r>
        <w:t xml:space="preserve">As a final matter, the Company agreed in </w:t>
      </w:r>
      <w:r w:rsidR="00B34636">
        <w:t xml:space="preserve">AEP Ohio’s </w:t>
      </w:r>
      <w:r>
        <w:t>last distribution rate case to include data related to its DIR investments and their effect on distribution service reliability in their Applications for establishment of reliability standards.</w:t>
      </w:r>
      <w:r>
        <w:rPr>
          <w:rStyle w:val="FootnoteReference"/>
        </w:rPr>
        <w:footnoteReference w:id="67"/>
      </w:r>
      <w:r>
        <w:t xml:space="preserve">  However, the Company provided no information in its Application to establish reliability standards related to the impact from the DIR investments on service reliability.  P</w:t>
      </w:r>
      <w:r w:rsidR="003F092B">
        <w:t xml:space="preserve">roviding the Company with a blank check </w:t>
      </w:r>
      <w:r w:rsidR="00BE5679">
        <w:t xml:space="preserve">for </w:t>
      </w:r>
      <w:r w:rsidR="00A77C58">
        <w:t>“</w:t>
      </w:r>
      <w:r w:rsidR="00BE5679">
        <w:t>reliability</w:t>
      </w:r>
      <w:r w:rsidR="00A77C58">
        <w:t>”</w:t>
      </w:r>
      <w:r w:rsidR="00BE5679">
        <w:t xml:space="preserve"> </w:t>
      </w:r>
      <w:r w:rsidR="00796D0A">
        <w:t>is</w:t>
      </w:r>
      <w:r w:rsidR="003F092B">
        <w:t xml:space="preserve"> inconsistent with </w:t>
      </w:r>
      <w:smartTag w:uri="urn:schemas-microsoft-com:office:smarttags" w:element="place">
        <w:smartTag w:uri="urn:schemas-microsoft-com:office:smarttags" w:element="State">
          <w:r w:rsidR="003F092B">
            <w:t>Ohio</w:t>
          </w:r>
        </w:smartTag>
      </w:smartTag>
      <w:r w:rsidR="003F092B">
        <w:t xml:space="preserve"> law and rulings that the Commission has taken in similar cases.</w:t>
      </w:r>
      <w:r w:rsidR="003F092B">
        <w:rPr>
          <w:rStyle w:val="FootnoteReference"/>
        </w:rPr>
        <w:footnoteReference w:id="68"/>
      </w:r>
    </w:p>
    <w:p w14:paraId="7CF2A657" w14:textId="233A69B2" w:rsidR="002213F5" w:rsidRPr="00985DE1" w:rsidRDefault="002213F5" w:rsidP="00654100">
      <w:pPr>
        <w:pStyle w:val="Heading2"/>
      </w:pPr>
      <w:bookmarkStart w:id="20" w:name="_Toc345082974"/>
      <w:r w:rsidRPr="002213F5">
        <w:t>I.</w:t>
      </w:r>
      <w:r>
        <w:tab/>
      </w:r>
      <w:r w:rsidRPr="00985DE1">
        <w:t>The CSP and OPC reliability performance standards should be based on the five year average performance for 2007 through 2011 and be adjusted to reflect the impacts of the Smart</w:t>
      </w:r>
      <w:r w:rsidR="0093508A">
        <w:t>G</w:t>
      </w:r>
      <w:r w:rsidRPr="00985DE1">
        <w:t xml:space="preserve">rid, </w:t>
      </w:r>
      <w:r w:rsidR="0093508A">
        <w:t>Reliability Rider</w:t>
      </w:r>
      <w:r w:rsidRPr="00985DE1">
        <w:t>, and DIR.</w:t>
      </w:r>
      <w:bookmarkEnd w:id="20"/>
    </w:p>
    <w:p w14:paraId="03E4496D" w14:textId="0D316E89" w:rsidR="00C30161" w:rsidRDefault="00AC269F" w:rsidP="009768F1">
      <w:pPr>
        <w:spacing w:line="480" w:lineRule="auto"/>
        <w:ind w:firstLine="720"/>
      </w:pPr>
      <w:r>
        <w:t>The PUCO Staff has provided a document titled Guidelines for Reliability Standards Applications on the PUC</w:t>
      </w:r>
      <w:r w:rsidR="00B34636">
        <w:t>O</w:t>
      </w:r>
      <w:r>
        <w:t xml:space="preserve"> website.</w:t>
      </w:r>
      <w:r>
        <w:rPr>
          <w:rStyle w:val="FootnoteReference"/>
        </w:rPr>
        <w:footnoteReference w:id="69"/>
      </w:r>
      <w:r>
        <w:t xml:space="preserve"> According to the guidelines, historical system performance should include at least five years of reliability performance data adjusted to exclude major events and transmission outages.</w:t>
      </w:r>
      <w:r>
        <w:rPr>
          <w:rStyle w:val="FootnoteReference"/>
        </w:rPr>
        <w:footnoteReference w:id="70"/>
      </w:r>
      <w:r>
        <w:t xml:space="preserve">In addition, the five year average performance is to be adjusted to reflect consideration of the system design, service area geography, technical advancements, and the results of a customer perception survey.  The five year average performance data for 2007 through 2011 for CSP and OP are reflected in </w:t>
      </w:r>
      <w:r w:rsidR="00C30161">
        <w:t>Table 12 and Table 13</w:t>
      </w:r>
      <w:r>
        <w:t>.</w:t>
      </w:r>
    </w:p>
    <w:p w14:paraId="1FD8F0B7" w14:textId="77777777" w:rsidR="00AC269F" w:rsidRPr="00FC0748" w:rsidRDefault="00C30161" w:rsidP="00AC269F">
      <w:pPr>
        <w:jc w:val="center"/>
        <w:rPr>
          <w:b/>
        </w:rPr>
      </w:pPr>
      <w:r>
        <w:rPr>
          <w:b/>
        </w:rPr>
        <w:t>Table 12</w:t>
      </w:r>
      <w:r w:rsidR="00AC269F" w:rsidRPr="00FC0748">
        <w:rPr>
          <w:b/>
        </w:rPr>
        <w:t>:  Five Year Average Performance Data CSP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440"/>
        <w:gridCol w:w="1620"/>
        <w:gridCol w:w="1890"/>
      </w:tblGrid>
      <w:tr w:rsidR="00AC269F" w:rsidRPr="00EA3366" w14:paraId="348A912D" w14:textId="77777777">
        <w:tc>
          <w:tcPr>
            <w:tcW w:w="3348" w:type="dxa"/>
            <w:tcBorders>
              <w:top w:val="single" w:sz="4" w:space="0" w:color="auto"/>
              <w:left w:val="single" w:sz="4" w:space="0" w:color="auto"/>
              <w:bottom w:val="single" w:sz="4" w:space="0" w:color="auto"/>
              <w:right w:val="single" w:sz="4" w:space="0" w:color="auto"/>
            </w:tcBorders>
          </w:tcPr>
          <w:p w14:paraId="60975CCE" w14:textId="77777777" w:rsidR="00AC269F" w:rsidRDefault="00AC269F" w:rsidP="00CA5FB8">
            <w:pPr>
              <w:jc w:val="center"/>
              <w:rPr>
                <w:b/>
              </w:rPr>
            </w:pPr>
            <w:r w:rsidRPr="00EA3366">
              <w:rPr>
                <w:b/>
              </w:rPr>
              <w:t>CSP</w:t>
            </w:r>
          </w:p>
          <w:p w14:paraId="29D0357F" w14:textId="77777777" w:rsidR="00C30161" w:rsidRPr="00EA3366" w:rsidRDefault="00C30161" w:rsidP="00CA5FB8">
            <w:pPr>
              <w:jc w:val="center"/>
              <w:rPr>
                <w:b/>
              </w:rPr>
            </w:pPr>
          </w:p>
        </w:tc>
        <w:tc>
          <w:tcPr>
            <w:tcW w:w="1440" w:type="dxa"/>
            <w:tcBorders>
              <w:top w:val="single" w:sz="4" w:space="0" w:color="auto"/>
              <w:left w:val="single" w:sz="4" w:space="0" w:color="auto"/>
              <w:bottom w:val="single" w:sz="4" w:space="0" w:color="auto"/>
              <w:right w:val="single" w:sz="4" w:space="0" w:color="auto"/>
            </w:tcBorders>
          </w:tcPr>
          <w:p w14:paraId="33A12573" w14:textId="77777777" w:rsidR="00AC269F" w:rsidRPr="00EA3366" w:rsidRDefault="00AC269F" w:rsidP="00CA5FB8">
            <w:pPr>
              <w:jc w:val="center"/>
              <w:rPr>
                <w:b/>
              </w:rPr>
            </w:pPr>
            <w:r w:rsidRPr="00EA3366">
              <w:rPr>
                <w:b/>
              </w:rPr>
              <w:t>Year</w:t>
            </w:r>
          </w:p>
        </w:tc>
        <w:tc>
          <w:tcPr>
            <w:tcW w:w="1620" w:type="dxa"/>
            <w:tcBorders>
              <w:top w:val="single" w:sz="4" w:space="0" w:color="auto"/>
              <w:left w:val="single" w:sz="4" w:space="0" w:color="auto"/>
              <w:bottom w:val="single" w:sz="4" w:space="0" w:color="auto"/>
              <w:right w:val="single" w:sz="4" w:space="0" w:color="auto"/>
            </w:tcBorders>
          </w:tcPr>
          <w:p w14:paraId="48267E39" w14:textId="77777777" w:rsidR="00AC269F" w:rsidRPr="00EA3366" w:rsidRDefault="00AC269F" w:rsidP="00CA5FB8">
            <w:pPr>
              <w:jc w:val="center"/>
              <w:rPr>
                <w:b/>
              </w:rPr>
            </w:pPr>
            <w:r w:rsidRPr="00EA3366">
              <w:rPr>
                <w:b/>
              </w:rPr>
              <w:t>SAIFI</w:t>
            </w:r>
          </w:p>
        </w:tc>
        <w:tc>
          <w:tcPr>
            <w:tcW w:w="1890" w:type="dxa"/>
            <w:tcBorders>
              <w:top w:val="single" w:sz="4" w:space="0" w:color="auto"/>
              <w:left w:val="single" w:sz="4" w:space="0" w:color="auto"/>
              <w:bottom w:val="single" w:sz="4" w:space="0" w:color="auto"/>
              <w:right w:val="single" w:sz="4" w:space="0" w:color="auto"/>
            </w:tcBorders>
          </w:tcPr>
          <w:p w14:paraId="07C53B8F" w14:textId="77777777" w:rsidR="00AC269F" w:rsidRPr="00EA3366" w:rsidRDefault="00AC269F" w:rsidP="00CA5FB8">
            <w:pPr>
              <w:jc w:val="center"/>
              <w:rPr>
                <w:b/>
              </w:rPr>
            </w:pPr>
            <w:r w:rsidRPr="00EA3366">
              <w:rPr>
                <w:b/>
              </w:rPr>
              <w:t>CAIDI</w:t>
            </w:r>
          </w:p>
        </w:tc>
      </w:tr>
      <w:tr w:rsidR="00AC269F" w:rsidRPr="00EA3366" w14:paraId="6EC852FA" w14:textId="77777777">
        <w:tc>
          <w:tcPr>
            <w:tcW w:w="3348" w:type="dxa"/>
            <w:tcBorders>
              <w:top w:val="single" w:sz="4" w:space="0" w:color="auto"/>
              <w:left w:val="single" w:sz="4" w:space="0" w:color="auto"/>
              <w:bottom w:val="single" w:sz="4" w:space="0" w:color="auto"/>
              <w:right w:val="single" w:sz="4" w:space="0" w:color="auto"/>
            </w:tcBorders>
          </w:tcPr>
          <w:p w14:paraId="42F035FA"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14538E5E" w14:textId="77777777" w:rsidR="00AC269F" w:rsidRPr="00EA3366" w:rsidRDefault="00AC269F" w:rsidP="00CA5FB8">
            <w:pPr>
              <w:jc w:val="center"/>
            </w:pPr>
            <w:r w:rsidRPr="00EA3366">
              <w:t>2011</w:t>
            </w:r>
            <w:r w:rsidRPr="00EA3366">
              <w:rPr>
                <w:rStyle w:val="FootnoteReference"/>
              </w:rPr>
              <w:footnoteReference w:id="71"/>
            </w:r>
          </w:p>
        </w:tc>
        <w:tc>
          <w:tcPr>
            <w:tcW w:w="1620" w:type="dxa"/>
            <w:tcBorders>
              <w:top w:val="single" w:sz="4" w:space="0" w:color="auto"/>
              <w:left w:val="single" w:sz="4" w:space="0" w:color="auto"/>
              <w:bottom w:val="single" w:sz="4" w:space="0" w:color="auto"/>
              <w:right w:val="single" w:sz="4" w:space="0" w:color="auto"/>
            </w:tcBorders>
          </w:tcPr>
          <w:p w14:paraId="648957C1" w14:textId="77777777" w:rsidR="00AC269F" w:rsidRPr="00EA3366" w:rsidRDefault="00AC269F" w:rsidP="00CA5FB8">
            <w:pPr>
              <w:jc w:val="center"/>
            </w:pPr>
            <w:r w:rsidRPr="00EA3366">
              <w:t>1.39</w:t>
            </w:r>
          </w:p>
        </w:tc>
        <w:tc>
          <w:tcPr>
            <w:tcW w:w="1890" w:type="dxa"/>
            <w:tcBorders>
              <w:top w:val="single" w:sz="4" w:space="0" w:color="auto"/>
              <w:left w:val="single" w:sz="4" w:space="0" w:color="auto"/>
              <w:bottom w:val="single" w:sz="4" w:space="0" w:color="auto"/>
              <w:right w:val="single" w:sz="4" w:space="0" w:color="auto"/>
            </w:tcBorders>
          </w:tcPr>
          <w:p w14:paraId="03F87C61" w14:textId="77777777" w:rsidR="00AC269F" w:rsidRPr="00EA3366" w:rsidRDefault="00AC269F" w:rsidP="00CA5FB8">
            <w:pPr>
              <w:jc w:val="center"/>
            </w:pPr>
            <w:r w:rsidRPr="00EA3366">
              <w:t>139.42</w:t>
            </w:r>
          </w:p>
        </w:tc>
      </w:tr>
      <w:tr w:rsidR="00AC269F" w:rsidRPr="00EA3366" w14:paraId="2795C8CF" w14:textId="77777777">
        <w:tc>
          <w:tcPr>
            <w:tcW w:w="3348" w:type="dxa"/>
            <w:tcBorders>
              <w:top w:val="single" w:sz="4" w:space="0" w:color="auto"/>
              <w:left w:val="single" w:sz="4" w:space="0" w:color="auto"/>
              <w:bottom w:val="single" w:sz="4" w:space="0" w:color="auto"/>
              <w:right w:val="single" w:sz="4" w:space="0" w:color="auto"/>
            </w:tcBorders>
          </w:tcPr>
          <w:p w14:paraId="16243470"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05FC6AA8" w14:textId="77777777" w:rsidR="00AC269F" w:rsidRPr="00EA3366" w:rsidRDefault="00AC269F" w:rsidP="00CA5FB8">
            <w:pPr>
              <w:jc w:val="center"/>
            </w:pPr>
            <w:r w:rsidRPr="00EA3366">
              <w:t>2010</w:t>
            </w:r>
            <w:r w:rsidRPr="00EA3366">
              <w:rPr>
                <w:rStyle w:val="FootnoteReference"/>
              </w:rPr>
              <w:footnoteReference w:id="72"/>
            </w:r>
          </w:p>
        </w:tc>
        <w:tc>
          <w:tcPr>
            <w:tcW w:w="1620" w:type="dxa"/>
            <w:tcBorders>
              <w:top w:val="single" w:sz="4" w:space="0" w:color="auto"/>
              <w:left w:val="single" w:sz="4" w:space="0" w:color="auto"/>
              <w:bottom w:val="single" w:sz="4" w:space="0" w:color="auto"/>
              <w:right w:val="single" w:sz="4" w:space="0" w:color="auto"/>
            </w:tcBorders>
          </w:tcPr>
          <w:p w14:paraId="3F946AD3" w14:textId="77777777" w:rsidR="00AC269F" w:rsidRPr="00EA3366" w:rsidRDefault="00AC269F" w:rsidP="00CA5FB8">
            <w:pPr>
              <w:jc w:val="center"/>
            </w:pPr>
            <w:r w:rsidRPr="00EA3366">
              <w:t>1.21</w:t>
            </w:r>
          </w:p>
        </w:tc>
        <w:tc>
          <w:tcPr>
            <w:tcW w:w="1890" w:type="dxa"/>
            <w:tcBorders>
              <w:top w:val="single" w:sz="4" w:space="0" w:color="auto"/>
              <w:left w:val="single" w:sz="4" w:space="0" w:color="auto"/>
              <w:bottom w:val="single" w:sz="4" w:space="0" w:color="auto"/>
              <w:right w:val="single" w:sz="4" w:space="0" w:color="auto"/>
            </w:tcBorders>
          </w:tcPr>
          <w:p w14:paraId="3BD2F88B" w14:textId="77777777" w:rsidR="00AC269F" w:rsidRPr="00EA3366" w:rsidRDefault="00AC269F" w:rsidP="00CA5FB8">
            <w:pPr>
              <w:jc w:val="center"/>
            </w:pPr>
            <w:r w:rsidRPr="00EA3366">
              <w:t>123.4</w:t>
            </w:r>
          </w:p>
        </w:tc>
      </w:tr>
      <w:tr w:rsidR="00AC269F" w:rsidRPr="00EA3366" w14:paraId="7A4E5A88" w14:textId="77777777">
        <w:tc>
          <w:tcPr>
            <w:tcW w:w="3348" w:type="dxa"/>
            <w:tcBorders>
              <w:top w:val="single" w:sz="4" w:space="0" w:color="auto"/>
              <w:left w:val="single" w:sz="4" w:space="0" w:color="auto"/>
              <w:bottom w:val="single" w:sz="4" w:space="0" w:color="auto"/>
              <w:right w:val="single" w:sz="4" w:space="0" w:color="auto"/>
            </w:tcBorders>
          </w:tcPr>
          <w:p w14:paraId="38457EA6"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5D186ACA" w14:textId="77777777" w:rsidR="00AC269F" w:rsidRPr="00EA3366" w:rsidRDefault="00AC269F" w:rsidP="00CA5FB8">
            <w:pPr>
              <w:jc w:val="center"/>
            </w:pPr>
            <w:r w:rsidRPr="00EA3366">
              <w:t>2009</w:t>
            </w:r>
            <w:r w:rsidRPr="00EA3366">
              <w:rPr>
                <w:rStyle w:val="FootnoteReference"/>
              </w:rPr>
              <w:footnoteReference w:id="73"/>
            </w:r>
          </w:p>
        </w:tc>
        <w:tc>
          <w:tcPr>
            <w:tcW w:w="1620" w:type="dxa"/>
            <w:tcBorders>
              <w:top w:val="single" w:sz="4" w:space="0" w:color="auto"/>
              <w:left w:val="single" w:sz="4" w:space="0" w:color="auto"/>
              <w:bottom w:val="single" w:sz="4" w:space="0" w:color="auto"/>
              <w:right w:val="single" w:sz="4" w:space="0" w:color="auto"/>
            </w:tcBorders>
          </w:tcPr>
          <w:p w14:paraId="0CC5A1F9" w14:textId="77777777" w:rsidR="00AC269F" w:rsidRPr="00EA3366" w:rsidRDefault="00AC269F" w:rsidP="00CA5FB8">
            <w:pPr>
              <w:jc w:val="center"/>
            </w:pPr>
            <w:r w:rsidRPr="00EA3366">
              <w:t>1.31</w:t>
            </w:r>
          </w:p>
        </w:tc>
        <w:tc>
          <w:tcPr>
            <w:tcW w:w="1890" w:type="dxa"/>
            <w:tcBorders>
              <w:top w:val="single" w:sz="4" w:space="0" w:color="auto"/>
              <w:left w:val="single" w:sz="4" w:space="0" w:color="auto"/>
              <w:bottom w:val="single" w:sz="4" w:space="0" w:color="auto"/>
              <w:right w:val="single" w:sz="4" w:space="0" w:color="auto"/>
            </w:tcBorders>
          </w:tcPr>
          <w:p w14:paraId="14E39817" w14:textId="77777777" w:rsidR="00AC269F" w:rsidRPr="00EA3366" w:rsidRDefault="00AC269F" w:rsidP="00CA5FB8">
            <w:pPr>
              <w:jc w:val="center"/>
            </w:pPr>
            <w:r w:rsidRPr="00EA3366">
              <w:t>122.6</w:t>
            </w:r>
          </w:p>
        </w:tc>
      </w:tr>
      <w:tr w:rsidR="00AC269F" w:rsidRPr="00EA3366" w14:paraId="15A21F76" w14:textId="77777777">
        <w:tc>
          <w:tcPr>
            <w:tcW w:w="3348" w:type="dxa"/>
            <w:tcBorders>
              <w:top w:val="single" w:sz="4" w:space="0" w:color="auto"/>
              <w:left w:val="single" w:sz="4" w:space="0" w:color="auto"/>
              <w:bottom w:val="single" w:sz="4" w:space="0" w:color="auto"/>
              <w:right w:val="single" w:sz="4" w:space="0" w:color="auto"/>
            </w:tcBorders>
          </w:tcPr>
          <w:p w14:paraId="2AF40BBE"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6F734712" w14:textId="77777777" w:rsidR="00AC269F" w:rsidRPr="00EA3366" w:rsidRDefault="00AC269F" w:rsidP="00CA5FB8">
            <w:pPr>
              <w:jc w:val="center"/>
            </w:pPr>
            <w:r w:rsidRPr="00EA3366">
              <w:t>2008</w:t>
            </w:r>
            <w:r w:rsidRPr="00EA3366">
              <w:rPr>
                <w:rStyle w:val="FootnoteReference"/>
              </w:rPr>
              <w:footnoteReference w:id="74"/>
            </w:r>
          </w:p>
        </w:tc>
        <w:tc>
          <w:tcPr>
            <w:tcW w:w="1620" w:type="dxa"/>
            <w:tcBorders>
              <w:top w:val="single" w:sz="4" w:space="0" w:color="auto"/>
              <w:left w:val="single" w:sz="4" w:space="0" w:color="auto"/>
              <w:bottom w:val="single" w:sz="4" w:space="0" w:color="auto"/>
              <w:right w:val="single" w:sz="4" w:space="0" w:color="auto"/>
            </w:tcBorders>
          </w:tcPr>
          <w:p w14:paraId="347A6F95" w14:textId="77777777" w:rsidR="00AC269F" w:rsidRPr="00EA3366" w:rsidRDefault="00AC269F" w:rsidP="00CA5FB8">
            <w:pPr>
              <w:jc w:val="center"/>
            </w:pPr>
            <w:r w:rsidRPr="00EA3366">
              <w:t>1.6</w:t>
            </w:r>
          </w:p>
        </w:tc>
        <w:tc>
          <w:tcPr>
            <w:tcW w:w="1890" w:type="dxa"/>
            <w:tcBorders>
              <w:top w:val="single" w:sz="4" w:space="0" w:color="auto"/>
              <w:left w:val="single" w:sz="4" w:space="0" w:color="auto"/>
              <w:bottom w:val="single" w:sz="4" w:space="0" w:color="auto"/>
              <w:right w:val="single" w:sz="4" w:space="0" w:color="auto"/>
            </w:tcBorders>
          </w:tcPr>
          <w:p w14:paraId="58176C49" w14:textId="77777777" w:rsidR="00AC269F" w:rsidRPr="00EA3366" w:rsidRDefault="00AC269F" w:rsidP="00CA5FB8">
            <w:pPr>
              <w:jc w:val="center"/>
            </w:pPr>
            <w:r w:rsidRPr="00EA3366">
              <w:t>121.00</w:t>
            </w:r>
          </w:p>
        </w:tc>
      </w:tr>
      <w:tr w:rsidR="00AC269F" w:rsidRPr="00EA3366" w14:paraId="4D60F5D5" w14:textId="77777777">
        <w:tc>
          <w:tcPr>
            <w:tcW w:w="3348" w:type="dxa"/>
            <w:tcBorders>
              <w:top w:val="single" w:sz="4" w:space="0" w:color="auto"/>
              <w:left w:val="single" w:sz="4" w:space="0" w:color="auto"/>
              <w:bottom w:val="single" w:sz="4" w:space="0" w:color="auto"/>
              <w:right w:val="single" w:sz="4" w:space="0" w:color="auto"/>
            </w:tcBorders>
          </w:tcPr>
          <w:p w14:paraId="079DBDC6"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4986087B" w14:textId="77777777" w:rsidR="00AC269F" w:rsidRPr="00EA3366" w:rsidRDefault="00AC269F" w:rsidP="00CA5FB8">
            <w:pPr>
              <w:jc w:val="center"/>
            </w:pPr>
            <w:r w:rsidRPr="00EA3366">
              <w:t>2007</w:t>
            </w:r>
            <w:r w:rsidRPr="00EA3366">
              <w:rPr>
                <w:rStyle w:val="FootnoteReference"/>
              </w:rPr>
              <w:footnoteReference w:id="75"/>
            </w:r>
          </w:p>
        </w:tc>
        <w:tc>
          <w:tcPr>
            <w:tcW w:w="1620" w:type="dxa"/>
            <w:tcBorders>
              <w:top w:val="single" w:sz="4" w:space="0" w:color="auto"/>
              <w:left w:val="single" w:sz="4" w:space="0" w:color="auto"/>
              <w:bottom w:val="single" w:sz="4" w:space="0" w:color="auto"/>
              <w:right w:val="single" w:sz="4" w:space="0" w:color="auto"/>
            </w:tcBorders>
          </w:tcPr>
          <w:p w14:paraId="36002F53" w14:textId="77777777" w:rsidR="00AC269F" w:rsidRPr="00EA3366" w:rsidRDefault="00AC269F" w:rsidP="00CA5FB8">
            <w:pPr>
              <w:jc w:val="center"/>
            </w:pPr>
            <w:r w:rsidRPr="00EA3366">
              <w:t>1.63</w:t>
            </w:r>
          </w:p>
        </w:tc>
        <w:tc>
          <w:tcPr>
            <w:tcW w:w="1890" w:type="dxa"/>
            <w:tcBorders>
              <w:top w:val="single" w:sz="4" w:space="0" w:color="auto"/>
              <w:left w:val="single" w:sz="4" w:space="0" w:color="auto"/>
              <w:bottom w:val="single" w:sz="4" w:space="0" w:color="auto"/>
              <w:right w:val="single" w:sz="4" w:space="0" w:color="auto"/>
            </w:tcBorders>
          </w:tcPr>
          <w:p w14:paraId="4024586C" w14:textId="77777777" w:rsidR="00AC269F" w:rsidRPr="00EA3366" w:rsidRDefault="00AC269F" w:rsidP="00CA5FB8">
            <w:pPr>
              <w:jc w:val="center"/>
            </w:pPr>
            <w:r w:rsidRPr="00EA3366">
              <w:t>134.01</w:t>
            </w:r>
          </w:p>
        </w:tc>
      </w:tr>
      <w:tr w:rsidR="00AC269F" w:rsidRPr="00EA3366" w14:paraId="5EF2B3B4" w14:textId="77777777">
        <w:tc>
          <w:tcPr>
            <w:tcW w:w="3348" w:type="dxa"/>
            <w:tcBorders>
              <w:top w:val="single" w:sz="4" w:space="0" w:color="auto"/>
              <w:left w:val="single" w:sz="4" w:space="0" w:color="auto"/>
              <w:bottom w:val="single" w:sz="4" w:space="0" w:color="auto"/>
              <w:right w:val="single" w:sz="4" w:space="0" w:color="auto"/>
            </w:tcBorders>
          </w:tcPr>
          <w:p w14:paraId="1BC3DAFA" w14:textId="77777777" w:rsidR="00AC269F" w:rsidRPr="00EA3366" w:rsidRDefault="00AC269F" w:rsidP="00CA5FB8">
            <w:pPr>
              <w:rPr>
                <w:b/>
              </w:rPr>
            </w:pPr>
            <w:r w:rsidRPr="00EA3366">
              <w:rPr>
                <w:b/>
              </w:rPr>
              <w:t>Five Year Average Performance</w:t>
            </w:r>
          </w:p>
        </w:tc>
        <w:tc>
          <w:tcPr>
            <w:tcW w:w="1440" w:type="dxa"/>
            <w:tcBorders>
              <w:top w:val="single" w:sz="4" w:space="0" w:color="auto"/>
              <w:left w:val="single" w:sz="4" w:space="0" w:color="auto"/>
              <w:bottom w:val="single" w:sz="4" w:space="0" w:color="auto"/>
              <w:right w:val="single" w:sz="4" w:space="0" w:color="auto"/>
            </w:tcBorders>
          </w:tcPr>
          <w:p w14:paraId="43B46031"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79DB1A8E" w14:textId="77777777" w:rsidR="00AC269F" w:rsidRPr="00EA3366" w:rsidRDefault="00AC269F" w:rsidP="00CA5FB8">
            <w:pPr>
              <w:jc w:val="center"/>
              <w:rPr>
                <w:b/>
              </w:rPr>
            </w:pPr>
            <w:r w:rsidRPr="00EA3366">
              <w:rPr>
                <w:b/>
              </w:rPr>
              <w:t>1.43</w:t>
            </w:r>
          </w:p>
        </w:tc>
        <w:tc>
          <w:tcPr>
            <w:tcW w:w="1890" w:type="dxa"/>
            <w:tcBorders>
              <w:top w:val="single" w:sz="4" w:space="0" w:color="auto"/>
              <w:left w:val="single" w:sz="4" w:space="0" w:color="auto"/>
              <w:bottom w:val="single" w:sz="4" w:space="0" w:color="auto"/>
              <w:right w:val="single" w:sz="4" w:space="0" w:color="auto"/>
            </w:tcBorders>
          </w:tcPr>
          <w:p w14:paraId="6596A2DC" w14:textId="77777777" w:rsidR="00AC269F" w:rsidRPr="00EA3366" w:rsidRDefault="00AC269F" w:rsidP="00CA5FB8">
            <w:pPr>
              <w:jc w:val="center"/>
              <w:rPr>
                <w:b/>
              </w:rPr>
            </w:pPr>
            <w:r w:rsidRPr="00EA3366">
              <w:rPr>
                <w:b/>
              </w:rPr>
              <w:t>128.09</w:t>
            </w:r>
          </w:p>
        </w:tc>
      </w:tr>
      <w:tr w:rsidR="00AC269F" w:rsidRPr="00EA3366" w14:paraId="3609E09E" w14:textId="77777777">
        <w:tc>
          <w:tcPr>
            <w:tcW w:w="3348" w:type="dxa"/>
            <w:tcBorders>
              <w:top w:val="single" w:sz="4" w:space="0" w:color="auto"/>
              <w:left w:val="single" w:sz="4" w:space="0" w:color="auto"/>
              <w:bottom w:val="single" w:sz="4" w:space="0" w:color="auto"/>
              <w:right w:val="single" w:sz="4" w:space="0" w:color="auto"/>
            </w:tcBorders>
          </w:tcPr>
          <w:p w14:paraId="1FE4DBCE" w14:textId="7A6C3D82" w:rsidR="00AC269F" w:rsidRPr="00EA3366" w:rsidRDefault="00AC269F" w:rsidP="0093508A">
            <w:r w:rsidRPr="00EA3366">
              <w:t xml:space="preserve">Minus Adjustment for </w:t>
            </w:r>
            <w:r w:rsidR="0093508A">
              <w:t>Reliability Rider</w:t>
            </w:r>
          </w:p>
        </w:tc>
        <w:tc>
          <w:tcPr>
            <w:tcW w:w="1440" w:type="dxa"/>
            <w:tcBorders>
              <w:top w:val="single" w:sz="4" w:space="0" w:color="auto"/>
              <w:left w:val="single" w:sz="4" w:space="0" w:color="auto"/>
              <w:bottom w:val="single" w:sz="4" w:space="0" w:color="auto"/>
              <w:right w:val="single" w:sz="4" w:space="0" w:color="auto"/>
            </w:tcBorders>
          </w:tcPr>
          <w:p w14:paraId="29D13864"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5A6D23E7" w14:textId="77777777" w:rsidR="00AC269F" w:rsidRPr="00EA3366" w:rsidRDefault="00AC269F" w:rsidP="00CA5FB8">
            <w:pPr>
              <w:jc w:val="center"/>
            </w:pPr>
            <w:r w:rsidRPr="00EA3366">
              <w:t>(a)</w:t>
            </w:r>
          </w:p>
        </w:tc>
        <w:tc>
          <w:tcPr>
            <w:tcW w:w="1890" w:type="dxa"/>
            <w:tcBorders>
              <w:top w:val="single" w:sz="4" w:space="0" w:color="auto"/>
              <w:left w:val="single" w:sz="4" w:space="0" w:color="auto"/>
              <w:bottom w:val="single" w:sz="4" w:space="0" w:color="auto"/>
              <w:right w:val="single" w:sz="4" w:space="0" w:color="auto"/>
            </w:tcBorders>
          </w:tcPr>
          <w:p w14:paraId="28072B03" w14:textId="77777777" w:rsidR="00AC269F" w:rsidRPr="00EA3366" w:rsidRDefault="00AC269F" w:rsidP="00CA5FB8">
            <w:pPr>
              <w:jc w:val="center"/>
            </w:pPr>
            <w:r w:rsidRPr="00EA3366">
              <w:t>(a)</w:t>
            </w:r>
          </w:p>
        </w:tc>
      </w:tr>
      <w:tr w:rsidR="00AC269F" w:rsidRPr="00EA3366" w14:paraId="4340B178" w14:textId="77777777">
        <w:tc>
          <w:tcPr>
            <w:tcW w:w="3348" w:type="dxa"/>
            <w:tcBorders>
              <w:top w:val="single" w:sz="4" w:space="0" w:color="auto"/>
              <w:left w:val="single" w:sz="4" w:space="0" w:color="auto"/>
              <w:bottom w:val="single" w:sz="4" w:space="0" w:color="auto"/>
              <w:right w:val="single" w:sz="4" w:space="0" w:color="auto"/>
            </w:tcBorders>
          </w:tcPr>
          <w:p w14:paraId="33FACEA9" w14:textId="77777777" w:rsidR="00AC269F" w:rsidRPr="00EA3366" w:rsidRDefault="00AC269F" w:rsidP="00CA5FB8">
            <w:r w:rsidRPr="00EA3366">
              <w:t>Minus SmartGrid Adjustment</w:t>
            </w:r>
          </w:p>
        </w:tc>
        <w:tc>
          <w:tcPr>
            <w:tcW w:w="1440" w:type="dxa"/>
            <w:tcBorders>
              <w:top w:val="single" w:sz="4" w:space="0" w:color="auto"/>
              <w:left w:val="single" w:sz="4" w:space="0" w:color="auto"/>
              <w:bottom w:val="single" w:sz="4" w:space="0" w:color="auto"/>
              <w:right w:val="single" w:sz="4" w:space="0" w:color="auto"/>
            </w:tcBorders>
          </w:tcPr>
          <w:p w14:paraId="37D70B40"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4FD778A1" w14:textId="77777777" w:rsidR="00AC269F" w:rsidRPr="00EA3366" w:rsidRDefault="00AC269F" w:rsidP="00CA5FB8">
            <w:pPr>
              <w:jc w:val="center"/>
            </w:pPr>
            <w:r w:rsidRPr="00EA3366">
              <w:t>(b)</w:t>
            </w:r>
          </w:p>
        </w:tc>
        <w:tc>
          <w:tcPr>
            <w:tcW w:w="1890" w:type="dxa"/>
            <w:tcBorders>
              <w:top w:val="single" w:sz="4" w:space="0" w:color="auto"/>
              <w:left w:val="single" w:sz="4" w:space="0" w:color="auto"/>
              <w:bottom w:val="single" w:sz="4" w:space="0" w:color="auto"/>
              <w:right w:val="single" w:sz="4" w:space="0" w:color="auto"/>
            </w:tcBorders>
          </w:tcPr>
          <w:p w14:paraId="183BA549" w14:textId="77777777" w:rsidR="00AC269F" w:rsidRPr="00EA3366" w:rsidRDefault="00AC269F" w:rsidP="00CA5FB8">
            <w:pPr>
              <w:jc w:val="center"/>
            </w:pPr>
            <w:r w:rsidRPr="00EA3366">
              <w:t>(b)</w:t>
            </w:r>
          </w:p>
        </w:tc>
      </w:tr>
      <w:tr w:rsidR="00AC269F" w:rsidRPr="00EA3366" w14:paraId="09AE7988" w14:textId="77777777">
        <w:tc>
          <w:tcPr>
            <w:tcW w:w="3348" w:type="dxa"/>
            <w:tcBorders>
              <w:top w:val="single" w:sz="4" w:space="0" w:color="auto"/>
              <w:left w:val="single" w:sz="4" w:space="0" w:color="auto"/>
              <w:bottom w:val="single" w:sz="4" w:space="0" w:color="auto"/>
              <w:right w:val="single" w:sz="4" w:space="0" w:color="auto"/>
            </w:tcBorders>
          </w:tcPr>
          <w:p w14:paraId="23E51B2B" w14:textId="77777777" w:rsidR="00AC269F" w:rsidRPr="00EA3366" w:rsidRDefault="00AC269F" w:rsidP="00CA5FB8">
            <w:r w:rsidRPr="00EA3366">
              <w:t xml:space="preserve">Minus DIR Adjustment </w:t>
            </w:r>
          </w:p>
        </w:tc>
        <w:tc>
          <w:tcPr>
            <w:tcW w:w="1440" w:type="dxa"/>
            <w:tcBorders>
              <w:top w:val="single" w:sz="4" w:space="0" w:color="auto"/>
              <w:left w:val="single" w:sz="4" w:space="0" w:color="auto"/>
              <w:bottom w:val="single" w:sz="4" w:space="0" w:color="auto"/>
              <w:right w:val="single" w:sz="4" w:space="0" w:color="auto"/>
            </w:tcBorders>
          </w:tcPr>
          <w:p w14:paraId="274FFA8B"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424B69A2" w14:textId="77777777" w:rsidR="00AC269F" w:rsidRPr="00EA3366" w:rsidRDefault="00AC269F" w:rsidP="00CA5FB8">
            <w:pPr>
              <w:jc w:val="center"/>
            </w:pPr>
            <w:r w:rsidRPr="00EA3366">
              <w:t>(c)</w:t>
            </w:r>
          </w:p>
        </w:tc>
        <w:tc>
          <w:tcPr>
            <w:tcW w:w="1890" w:type="dxa"/>
            <w:tcBorders>
              <w:top w:val="single" w:sz="4" w:space="0" w:color="auto"/>
              <w:left w:val="single" w:sz="4" w:space="0" w:color="auto"/>
              <w:bottom w:val="single" w:sz="4" w:space="0" w:color="auto"/>
              <w:right w:val="single" w:sz="4" w:space="0" w:color="auto"/>
            </w:tcBorders>
          </w:tcPr>
          <w:p w14:paraId="62203C19" w14:textId="77777777" w:rsidR="00AC269F" w:rsidRPr="00EA3366" w:rsidRDefault="00AC269F" w:rsidP="00CA5FB8">
            <w:pPr>
              <w:jc w:val="center"/>
            </w:pPr>
            <w:r w:rsidRPr="00EA3366">
              <w:t>(c)</w:t>
            </w:r>
          </w:p>
        </w:tc>
      </w:tr>
      <w:tr w:rsidR="00AC269F" w:rsidRPr="00EA3366" w14:paraId="302E92C3" w14:textId="77777777">
        <w:tc>
          <w:tcPr>
            <w:tcW w:w="3348" w:type="dxa"/>
            <w:tcBorders>
              <w:top w:val="single" w:sz="4" w:space="0" w:color="auto"/>
              <w:left w:val="single" w:sz="4" w:space="0" w:color="auto"/>
              <w:bottom w:val="single" w:sz="4" w:space="0" w:color="auto"/>
              <w:right w:val="single" w:sz="4" w:space="0" w:color="auto"/>
            </w:tcBorders>
          </w:tcPr>
          <w:p w14:paraId="0578FFD8" w14:textId="77777777" w:rsidR="00AC269F" w:rsidRPr="00EA3366" w:rsidRDefault="00AC269F" w:rsidP="00CA5FB8">
            <w:pPr>
              <w:rPr>
                <w:b/>
              </w:rPr>
            </w:pPr>
            <w:r w:rsidRPr="00EA3366">
              <w:rPr>
                <w:b/>
              </w:rPr>
              <w:t>Proposed 2013 Standard</w:t>
            </w:r>
          </w:p>
        </w:tc>
        <w:tc>
          <w:tcPr>
            <w:tcW w:w="1440" w:type="dxa"/>
            <w:tcBorders>
              <w:top w:val="single" w:sz="4" w:space="0" w:color="auto"/>
              <w:left w:val="single" w:sz="4" w:space="0" w:color="auto"/>
              <w:bottom w:val="single" w:sz="4" w:space="0" w:color="auto"/>
              <w:right w:val="single" w:sz="4" w:space="0" w:color="auto"/>
            </w:tcBorders>
          </w:tcPr>
          <w:p w14:paraId="0DFBC61B"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0EEBBBF9" w14:textId="77777777" w:rsidR="00AC269F" w:rsidRPr="00EA3366" w:rsidRDefault="00AC269F" w:rsidP="00CA5FB8">
            <w:pPr>
              <w:jc w:val="center"/>
              <w:rPr>
                <w:b/>
              </w:rPr>
            </w:pPr>
            <w:r w:rsidRPr="00EA3366">
              <w:rPr>
                <w:b/>
              </w:rPr>
              <w:t>&lt;1.43</w:t>
            </w:r>
          </w:p>
        </w:tc>
        <w:tc>
          <w:tcPr>
            <w:tcW w:w="1890" w:type="dxa"/>
            <w:tcBorders>
              <w:top w:val="single" w:sz="4" w:space="0" w:color="auto"/>
              <w:left w:val="single" w:sz="4" w:space="0" w:color="auto"/>
              <w:bottom w:val="single" w:sz="4" w:space="0" w:color="auto"/>
              <w:right w:val="single" w:sz="4" w:space="0" w:color="auto"/>
            </w:tcBorders>
          </w:tcPr>
          <w:p w14:paraId="049701D9" w14:textId="77777777" w:rsidR="00AC269F" w:rsidRPr="00EA3366" w:rsidRDefault="00AC269F" w:rsidP="00CA5FB8">
            <w:pPr>
              <w:jc w:val="center"/>
              <w:rPr>
                <w:b/>
              </w:rPr>
            </w:pPr>
            <w:r w:rsidRPr="00EA3366">
              <w:rPr>
                <w:b/>
              </w:rPr>
              <w:t>&lt;128.09 Minutes</w:t>
            </w:r>
          </w:p>
        </w:tc>
      </w:tr>
    </w:tbl>
    <w:p w14:paraId="05C10DC6" w14:textId="77777777" w:rsidR="00AC269F" w:rsidRPr="00AC269F" w:rsidRDefault="00AC269F" w:rsidP="008C2F3D">
      <w:pPr>
        <w:pStyle w:val="ListParagraph"/>
        <w:numPr>
          <w:ilvl w:val="0"/>
          <w:numId w:val="20"/>
        </w:numPr>
        <w:spacing w:after="0"/>
        <w:rPr>
          <w:rFonts w:ascii="Times New Roman" w:hAnsi="Times New Roman"/>
          <w:sz w:val="24"/>
          <w:szCs w:val="24"/>
        </w:rPr>
      </w:pPr>
      <w:r w:rsidRPr="00AC269F">
        <w:rPr>
          <w:rFonts w:ascii="Times New Roman" w:hAnsi="Times New Roman"/>
          <w:sz w:val="24"/>
          <w:szCs w:val="24"/>
        </w:rPr>
        <w:t>Company must provide adjustment specific for CSP service area.</w:t>
      </w:r>
    </w:p>
    <w:p w14:paraId="5A3A0A9E" w14:textId="77777777" w:rsidR="00AC269F" w:rsidRPr="00AC269F" w:rsidRDefault="00AC269F" w:rsidP="008C2F3D">
      <w:pPr>
        <w:pStyle w:val="ListParagraph"/>
        <w:numPr>
          <w:ilvl w:val="0"/>
          <w:numId w:val="20"/>
        </w:numPr>
        <w:spacing w:after="0"/>
        <w:rPr>
          <w:rFonts w:ascii="Times New Roman" w:hAnsi="Times New Roman"/>
          <w:sz w:val="24"/>
          <w:szCs w:val="24"/>
        </w:rPr>
      </w:pPr>
      <w:r w:rsidRPr="00AC269F">
        <w:rPr>
          <w:rFonts w:ascii="Times New Roman" w:hAnsi="Times New Roman"/>
          <w:sz w:val="24"/>
          <w:szCs w:val="24"/>
        </w:rPr>
        <w:t>SmartGrid adjustment is specific to the CSP area.</w:t>
      </w:r>
    </w:p>
    <w:p w14:paraId="7FB6373F" w14:textId="77777777" w:rsidR="00AC269F" w:rsidRDefault="00AC269F" w:rsidP="008C2F3D">
      <w:pPr>
        <w:pStyle w:val="ListParagraph"/>
        <w:numPr>
          <w:ilvl w:val="0"/>
          <w:numId w:val="20"/>
        </w:numPr>
        <w:spacing w:after="0"/>
        <w:rPr>
          <w:rFonts w:ascii="Times New Roman" w:hAnsi="Times New Roman"/>
          <w:sz w:val="24"/>
          <w:szCs w:val="24"/>
        </w:rPr>
      </w:pPr>
      <w:r w:rsidRPr="00AC269F">
        <w:rPr>
          <w:rFonts w:ascii="Times New Roman" w:hAnsi="Times New Roman"/>
          <w:sz w:val="24"/>
          <w:szCs w:val="24"/>
        </w:rPr>
        <w:t>Company must quantify the DIR adjustments for CSP</w:t>
      </w:r>
    </w:p>
    <w:p w14:paraId="0C7262A7" w14:textId="77777777" w:rsidR="00C30161" w:rsidRDefault="00C30161" w:rsidP="009768F1">
      <w:pPr>
        <w:pStyle w:val="ListParagraph"/>
        <w:ind w:left="0"/>
        <w:rPr>
          <w:rFonts w:ascii="Times New Roman" w:hAnsi="Times New Roman"/>
          <w:sz w:val="24"/>
          <w:szCs w:val="24"/>
        </w:rPr>
      </w:pPr>
    </w:p>
    <w:p w14:paraId="4F189BEB" w14:textId="25809200" w:rsidR="00AC269F" w:rsidRPr="00FC0748" w:rsidRDefault="00C30161" w:rsidP="00AC269F">
      <w:pPr>
        <w:jc w:val="center"/>
        <w:rPr>
          <w:b/>
        </w:rPr>
      </w:pPr>
      <w:r>
        <w:rPr>
          <w:b/>
        </w:rPr>
        <w:t>Table 13</w:t>
      </w:r>
      <w:r w:rsidR="00AC269F" w:rsidRPr="00FC0748">
        <w:rPr>
          <w:b/>
        </w:rPr>
        <w:t>:  Five Year Average Performance Data OPC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1440"/>
        <w:gridCol w:w="1620"/>
        <w:gridCol w:w="1890"/>
      </w:tblGrid>
      <w:tr w:rsidR="00AC269F" w:rsidRPr="00EA3366" w14:paraId="65164256" w14:textId="77777777">
        <w:tc>
          <w:tcPr>
            <w:tcW w:w="3330" w:type="dxa"/>
            <w:tcBorders>
              <w:top w:val="single" w:sz="4" w:space="0" w:color="auto"/>
              <w:left w:val="single" w:sz="4" w:space="0" w:color="auto"/>
              <w:bottom w:val="single" w:sz="4" w:space="0" w:color="auto"/>
              <w:right w:val="single" w:sz="4" w:space="0" w:color="auto"/>
            </w:tcBorders>
          </w:tcPr>
          <w:p w14:paraId="7E2259B0" w14:textId="77777777" w:rsidR="00AC269F" w:rsidRDefault="00AC269F" w:rsidP="00CA5FB8">
            <w:pPr>
              <w:jc w:val="center"/>
              <w:rPr>
                <w:b/>
              </w:rPr>
            </w:pPr>
            <w:r w:rsidRPr="00EA3366">
              <w:rPr>
                <w:b/>
              </w:rPr>
              <w:t>OPC</w:t>
            </w:r>
          </w:p>
          <w:p w14:paraId="06D7B48B" w14:textId="77777777" w:rsidR="00C30161" w:rsidRPr="00EA3366" w:rsidRDefault="00C30161" w:rsidP="00CA5FB8">
            <w:pPr>
              <w:jc w:val="center"/>
              <w:rPr>
                <w:b/>
              </w:rPr>
            </w:pPr>
          </w:p>
        </w:tc>
        <w:tc>
          <w:tcPr>
            <w:tcW w:w="1440" w:type="dxa"/>
            <w:tcBorders>
              <w:top w:val="single" w:sz="4" w:space="0" w:color="auto"/>
              <w:left w:val="single" w:sz="4" w:space="0" w:color="auto"/>
              <w:bottom w:val="single" w:sz="4" w:space="0" w:color="auto"/>
              <w:right w:val="single" w:sz="4" w:space="0" w:color="auto"/>
            </w:tcBorders>
          </w:tcPr>
          <w:p w14:paraId="1C35F8DD" w14:textId="77777777" w:rsidR="00AC269F" w:rsidRPr="00EA3366" w:rsidRDefault="00AC269F" w:rsidP="00CA5FB8">
            <w:pPr>
              <w:jc w:val="center"/>
              <w:rPr>
                <w:b/>
              </w:rPr>
            </w:pPr>
            <w:r w:rsidRPr="00EA3366">
              <w:rPr>
                <w:b/>
              </w:rPr>
              <w:t>Year</w:t>
            </w:r>
          </w:p>
        </w:tc>
        <w:tc>
          <w:tcPr>
            <w:tcW w:w="1620" w:type="dxa"/>
            <w:tcBorders>
              <w:top w:val="single" w:sz="4" w:space="0" w:color="auto"/>
              <w:left w:val="single" w:sz="4" w:space="0" w:color="auto"/>
              <w:bottom w:val="single" w:sz="4" w:space="0" w:color="auto"/>
              <w:right w:val="single" w:sz="4" w:space="0" w:color="auto"/>
            </w:tcBorders>
          </w:tcPr>
          <w:p w14:paraId="5D98EAE2" w14:textId="77777777" w:rsidR="00AC269F" w:rsidRPr="00EA3366" w:rsidRDefault="00AC269F" w:rsidP="00CA5FB8">
            <w:pPr>
              <w:jc w:val="center"/>
              <w:rPr>
                <w:b/>
              </w:rPr>
            </w:pPr>
            <w:r w:rsidRPr="00EA3366">
              <w:rPr>
                <w:b/>
              </w:rPr>
              <w:t>SAIFI</w:t>
            </w:r>
          </w:p>
        </w:tc>
        <w:tc>
          <w:tcPr>
            <w:tcW w:w="1890" w:type="dxa"/>
            <w:tcBorders>
              <w:top w:val="single" w:sz="4" w:space="0" w:color="auto"/>
              <w:left w:val="single" w:sz="4" w:space="0" w:color="auto"/>
              <w:bottom w:val="single" w:sz="4" w:space="0" w:color="auto"/>
              <w:right w:val="single" w:sz="4" w:space="0" w:color="auto"/>
            </w:tcBorders>
          </w:tcPr>
          <w:p w14:paraId="4E77CD92" w14:textId="77777777" w:rsidR="00AC269F" w:rsidRPr="00EA3366" w:rsidRDefault="00AC269F" w:rsidP="00CA5FB8">
            <w:pPr>
              <w:jc w:val="center"/>
              <w:rPr>
                <w:b/>
              </w:rPr>
            </w:pPr>
            <w:r w:rsidRPr="00EA3366">
              <w:rPr>
                <w:b/>
              </w:rPr>
              <w:t>CAIDI</w:t>
            </w:r>
          </w:p>
        </w:tc>
      </w:tr>
      <w:tr w:rsidR="00AC269F" w:rsidRPr="00EA3366" w14:paraId="3A09A940" w14:textId="77777777">
        <w:tc>
          <w:tcPr>
            <w:tcW w:w="3330" w:type="dxa"/>
            <w:tcBorders>
              <w:top w:val="single" w:sz="4" w:space="0" w:color="auto"/>
              <w:left w:val="single" w:sz="4" w:space="0" w:color="auto"/>
              <w:bottom w:val="single" w:sz="4" w:space="0" w:color="auto"/>
              <w:right w:val="single" w:sz="4" w:space="0" w:color="auto"/>
            </w:tcBorders>
          </w:tcPr>
          <w:p w14:paraId="21FBD774"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55853A6E" w14:textId="77777777" w:rsidR="00AC269F" w:rsidRPr="00EA3366" w:rsidRDefault="00AC269F" w:rsidP="00CA5FB8">
            <w:pPr>
              <w:jc w:val="center"/>
            </w:pPr>
            <w:r w:rsidRPr="00EA3366">
              <w:t>2011</w:t>
            </w:r>
            <w:r w:rsidRPr="00EA3366">
              <w:rPr>
                <w:rStyle w:val="FootnoteReference"/>
              </w:rPr>
              <w:footnoteReference w:id="76"/>
            </w:r>
          </w:p>
        </w:tc>
        <w:tc>
          <w:tcPr>
            <w:tcW w:w="1620" w:type="dxa"/>
            <w:tcBorders>
              <w:top w:val="single" w:sz="4" w:space="0" w:color="auto"/>
              <w:left w:val="single" w:sz="4" w:space="0" w:color="auto"/>
              <w:bottom w:val="single" w:sz="4" w:space="0" w:color="auto"/>
              <w:right w:val="single" w:sz="4" w:space="0" w:color="auto"/>
            </w:tcBorders>
          </w:tcPr>
          <w:p w14:paraId="731F7E20" w14:textId="77777777" w:rsidR="00AC269F" w:rsidRPr="00EA3366" w:rsidRDefault="00AC269F" w:rsidP="00CA5FB8">
            <w:pPr>
              <w:jc w:val="center"/>
            </w:pPr>
            <w:r w:rsidRPr="00EA3366">
              <w:t>1.06</w:t>
            </w:r>
          </w:p>
        </w:tc>
        <w:tc>
          <w:tcPr>
            <w:tcW w:w="1890" w:type="dxa"/>
            <w:tcBorders>
              <w:top w:val="single" w:sz="4" w:space="0" w:color="auto"/>
              <w:left w:val="single" w:sz="4" w:space="0" w:color="auto"/>
              <w:bottom w:val="single" w:sz="4" w:space="0" w:color="auto"/>
              <w:right w:val="single" w:sz="4" w:space="0" w:color="auto"/>
            </w:tcBorders>
          </w:tcPr>
          <w:p w14:paraId="1A368E9C" w14:textId="77777777" w:rsidR="00AC269F" w:rsidRPr="00EA3366" w:rsidRDefault="00AC269F" w:rsidP="00CA5FB8">
            <w:pPr>
              <w:jc w:val="center"/>
            </w:pPr>
            <w:r w:rsidRPr="00EA3366">
              <w:t>154.09</w:t>
            </w:r>
          </w:p>
        </w:tc>
      </w:tr>
      <w:tr w:rsidR="00AC269F" w:rsidRPr="00EA3366" w14:paraId="184B3F4F" w14:textId="77777777">
        <w:tc>
          <w:tcPr>
            <w:tcW w:w="3330" w:type="dxa"/>
            <w:tcBorders>
              <w:top w:val="single" w:sz="4" w:space="0" w:color="auto"/>
              <w:left w:val="single" w:sz="4" w:space="0" w:color="auto"/>
              <w:bottom w:val="single" w:sz="4" w:space="0" w:color="auto"/>
              <w:right w:val="single" w:sz="4" w:space="0" w:color="auto"/>
            </w:tcBorders>
          </w:tcPr>
          <w:p w14:paraId="1FAEC708"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0F163C06" w14:textId="77777777" w:rsidR="00AC269F" w:rsidRPr="00EA3366" w:rsidRDefault="00AC269F" w:rsidP="00CA5FB8">
            <w:pPr>
              <w:jc w:val="center"/>
            </w:pPr>
            <w:r w:rsidRPr="00EA3366">
              <w:t>2010</w:t>
            </w:r>
            <w:r w:rsidRPr="00EA3366">
              <w:rPr>
                <w:rStyle w:val="FootnoteReference"/>
              </w:rPr>
              <w:footnoteReference w:id="77"/>
            </w:r>
          </w:p>
        </w:tc>
        <w:tc>
          <w:tcPr>
            <w:tcW w:w="1620" w:type="dxa"/>
            <w:tcBorders>
              <w:top w:val="single" w:sz="4" w:space="0" w:color="auto"/>
              <w:left w:val="single" w:sz="4" w:space="0" w:color="auto"/>
              <w:bottom w:val="single" w:sz="4" w:space="0" w:color="auto"/>
              <w:right w:val="single" w:sz="4" w:space="0" w:color="auto"/>
            </w:tcBorders>
          </w:tcPr>
          <w:p w14:paraId="63097BE8" w14:textId="77777777" w:rsidR="00AC269F" w:rsidRPr="00EA3366" w:rsidRDefault="00AC269F" w:rsidP="00CA5FB8">
            <w:pPr>
              <w:jc w:val="center"/>
            </w:pPr>
            <w:r w:rsidRPr="00EA3366">
              <w:t>0.98</w:t>
            </w:r>
          </w:p>
        </w:tc>
        <w:tc>
          <w:tcPr>
            <w:tcW w:w="1890" w:type="dxa"/>
            <w:tcBorders>
              <w:top w:val="single" w:sz="4" w:space="0" w:color="auto"/>
              <w:left w:val="single" w:sz="4" w:space="0" w:color="auto"/>
              <w:bottom w:val="single" w:sz="4" w:space="0" w:color="auto"/>
              <w:right w:val="single" w:sz="4" w:space="0" w:color="auto"/>
            </w:tcBorders>
          </w:tcPr>
          <w:p w14:paraId="7DE3694A" w14:textId="77777777" w:rsidR="00AC269F" w:rsidRPr="00EA3366" w:rsidRDefault="00AC269F" w:rsidP="00CA5FB8">
            <w:pPr>
              <w:jc w:val="center"/>
            </w:pPr>
            <w:r w:rsidRPr="00EA3366">
              <w:t>157.51</w:t>
            </w:r>
          </w:p>
        </w:tc>
      </w:tr>
      <w:tr w:rsidR="00AC269F" w:rsidRPr="00EA3366" w14:paraId="3E85A916" w14:textId="77777777">
        <w:tc>
          <w:tcPr>
            <w:tcW w:w="3330" w:type="dxa"/>
            <w:tcBorders>
              <w:top w:val="single" w:sz="4" w:space="0" w:color="auto"/>
              <w:left w:val="single" w:sz="4" w:space="0" w:color="auto"/>
              <w:bottom w:val="single" w:sz="4" w:space="0" w:color="auto"/>
              <w:right w:val="single" w:sz="4" w:space="0" w:color="auto"/>
            </w:tcBorders>
          </w:tcPr>
          <w:p w14:paraId="19C88441"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3C868130" w14:textId="77777777" w:rsidR="00AC269F" w:rsidRPr="00EA3366" w:rsidRDefault="00AC269F" w:rsidP="00CA5FB8">
            <w:pPr>
              <w:jc w:val="center"/>
            </w:pPr>
            <w:r w:rsidRPr="00EA3366">
              <w:t>2009</w:t>
            </w:r>
            <w:r w:rsidRPr="00EA3366">
              <w:rPr>
                <w:rStyle w:val="FootnoteReference"/>
              </w:rPr>
              <w:footnoteReference w:id="78"/>
            </w:r>
          </w:p>
        </w:tc>
        <w:tc>
          <w:tcPr>
            <w:tcW w:w="1620" w:type="dxa"/>
            <w:tcBorders>
              <w:top w:val="single" w:sz="4" w:space="0" w:color="auto"/>
              <w:left w:val="single" w:sz="4" w:space="0" w:color="auto"/>
              <w:bottom w:val="single" w:sz="4" w:space="0" w:color="auto"/>
              <w:right w:val="single" w:sz="4" w:space="0" w:color="auto"/>
            </w:tcBorders>
          </w:tcPr>
          <w:p w14:paraId="0F16E489" w14:textId="77777777" w:rsidR="00AC269F" w:rsidRPr="00EA3366" w:rsidRDefault="00AC269F" w:rsidP="00CA5FB8">
            <w:pPr>
              <w:jc w:val="center"/>
            </w:pPr>
            <w:r w:rsidRPr="00EA3366">
              <w:t>0.91</w:t>
            </w:r>
          </w:p>
        </w:tc>
        <w:tc>
          <w:tcPr>
            <w:tcW w:w="1890" w:type="dxa"/>
            <w:tcBorders>
              <w:top w:val="single" w:sz="4" w:space="0" w:color="auto"/>
              <w:left w:val="single" w:sz="4" w:space="0" w:color="auto"/>
              <w:bottom w:val="single" w:sz="4" w:space="0" w:color="auto"/>
              <w:right w:val="single" w:sz="4" w:space="0" w:color="auto"/>
            </w:tcBorders>
          </w:tcPr>
          <w:p w14:paraId="7C4A03EE" w14:textId="77777777" w:rsidR="00AC269F" w:rsidRPr="00EA3366" w:rsidRDefault="00AC269F" w:rsidP="00CA5FB8">
            <w:pPr>
              <w:jc w:val="center"/>
            </w:pPr>
            <w:r w:rsidRPr="00EA3366">
              <w:t>133.37</w:t>
            </w:r>
          </w:p>
        </w:tc>
      </w:tr>
      <w:tr w:rsidR="00AC269F" w:rsidRPr="00EA3366" w14:paraId="08903573" w14:textId="77777777">
        <w:tc>
          <w:tcPr>
            <w:tcW w:w="3330" w:type="dxa"/>
            <w:tcBorders>
              <w:top w:val="single" w:sz="4" w:space="0" w:color="auto"/>
              <w:left w:val="single" w:sz="4" w:space="0" w:color="auto"/>
              <w:bottom w:val="single" w:sz="4" w:space="0" w:color="auto"/>
              <w:right w:val="single" w:sz="4" w:space="0" w:color="auto"/>
            </w:tcBorders>
          </w:tcPr>
          <w:p w14:paraId="28B492ED"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32755116" w14:textId="77777777" w:rsidR="00AC269F" w:rsidRPr="00EA3366" w:rsidRDefault="00AC269F" w:rsidP="00CA5FB8">
            <w:pPr>
              <w:jc w:val="center"/>
            </w:pPr>
            <w:r w:rsidRPr="00EA3366">
              <w:t>2008</w:t>
            </w:r>
            <w:r w:rsidRPr="00EA3366">
              <w:rPr>
                <w:rStyle w:val="FootnoteReference"/>
              </w:rPr>
              <w:footnoteReference w:id="79"/>
            </w:r>
          </w:p>
        </w:tc>
        <w:tc>
          <w:tcPr>
            <w:tcW w:w="1620" w:type="dxa"/>
            <w:tcBorders>
              <w:top w:val="single" w:sz="4" w:space="0" w:color="auto"/>
              <w:left w:val="single" w:sz="4" w:space="0" w:color="auto"/>
              <w:bottom w:val="single" w:sz="4" w:space="0" w:color="auto"/>
              <w:right w:val="single" w:sz="4" w:space="0" w:color="auto"/>
            </w:tcBorders>
          </w:tcPr>
          <w:p w14:paraId="59B47B4D" w14:textId="77777777" w:rsidR="00AC269F" w:rsidRPr="00EA3366" w:rsidRDefault="00AC269F" w:rsidP="00CA5FB8">
            <w:pPr>
              <w:jc w:val="center"/>
            </w:pPr>
            <w:r w:rsidRPr="00EA3366">
              <w:t>1.3</w:t>
            </w:r>
          </w:p>
        </w:tc>
        <w:tc>
          <w:tcPr>
            <w:tcW w:w="1890" w:type="dxa"/>
            <w:tcBorders>
              <w:top w:val="single" w:sz="4" w:space="0" w:color="auto"/>
              <w:left w:val="single" w:sz="4" w:space="0" w:color="auto"/>
              <w:bottom w:val="single" w:sz="4" w:space="0" w:color="auto"/>
              <w:right w:val="single" w:sz="4" w:space="0" w:color="auto"/>
            </w:tcBorders>
          </w:tcPr>
          <w:p w14:paraId="7BEB2FA8" w14:textId="77777777" w:rsidR="00AC269F" w:rsidRPr="00EA3366" w:rsidRDefault="00AC269F" w:rsidP="00CA5FB8">
            <w:pPr>
              <w:jc w:val="center"/>
            </w:pPr>
            <w:r w:rsidRPr="00EA3366">
              <w:t>148.26</w:t>
            </w:r>
          </w:p>
        </w:tc>
      </w:tr>
      <w:tr w:rsidR="00AC269F" w:rsidRPr="00EA3366" w14:paraId="6BF6B164" w14:textId="77777777">
        <w:tc>
          <w:tcPr>
            <w:tcW w:w="3330" w:type="dxa"/>
            <w:tcBorders>
              <w:top w:val="single" w:sz="4" w:space="0" w:color="auto"/>
              <w:left w:val="single" w:sz="4" w:space="0" w:color="auto"/>
              <w:bottom w:val="single" w:sz="4" w:space="0" w:color="auto"/>
              <w:right w:val="single" w:sz="4" w:space="0" w:color="auto"/>
            </w:tcBorders>
          </w:tcPr>
          <w:p w14:paraId="1F5F222B" w14:textId="77777777" w:rsidR="00AC269F" w:rsidRPr="00EA3366" w:rsidRDefault="00AC269F" w:rsidP="00CA5FB8">
            <w:pPr>
              <w:jc w:val="center"/>
            </w:pPr>
          </w:p>
        </w:tc>
        <w:tc>
          <w:tcPr>
            <w:tcW w:w="1440" w:type="dxa"/>
            <w:tcBorders>
              <w:top w:val="single" w:sz="4" w:space="0" w:color="auto"/>
              <w:left w:val="single" w:sz="4" w:space="0" w:color="auto"/>
              <w:bottom w:val="single" w:sz="4" w:space="0" w:color="auto"/>
              <w:right w:val="single" w:sz="4" w:space="0" w:color="auto"/>
            </w:tcBorders>
          </w:tcPr>
          <w:p w14:paraId="1FAE979A" w14:textId="77777777" w:rsidR="00AC269F" w:rsidRPr="00EA3366" w:rsidRDefault="00AC269F" w:rsidP="00CA5FB8">
            <w:pPr>
              <w:jc w:val="center"/>
            </w:pPr>
            <w:r w:rsidRPr="00EA3366">
              <w:t>2007</w:t>
            </w:r>
            <w:r w:rsidRPr="00EA3366">
              <w:rPr>
                <w:rStyle w:val="FootnoteReference"/>
              </w:rPr>
              <w:footnoteReference w:id="80"/>
            </w:r>
          </w:p>
        </w:tc>
        <w:tc>
          <w:tcPr>
            <w:tcW w:w="1620" w:type="dxa"/>
            <w:tcBorders>
              <w:top w:val="single" w:sz="4" w:space="0" w:color="auto"/>
              <w:left w:val="single" w:sz="4" w:space="0" w:color="auto"/>
              <w:bottom w:val="single" w:sz="4" w:space="0" w:color="auto"/>
              <w:right w:val="single" w:sz="4" w:space="0" w:color="auto"/>
            </w:tcBorders>
          </w:tcPr>
          <w:p w14:paraId="07FAA978" w14:textId="77777777" w:rsidR="00AC269F" w:rsidRPr="00EA3366" w:rsidRDefault="00AC269F" w:rsidP="00CA5FB8">
            <w:pPr>
              <w:jc w:val="center"/>
            </w:pPr>
            <w:r w:rsidRPr="00EA3366">
              <w:t>1.23</w:t>
            </w:r>
          </w:p>
        </w:tc>
        <w:tc>
          <w:tcPr>
            <w:tcW w:w="1890" w:type="dxa"/>
            <w:tcBorders>
              <w:top w:val="single" w:sz="4" w:space="0" w:color="auto"/>
              <w:left w:val="single" w:sz="4" w:space="0" w:color="auto"/>
              <w:bottom w:val="single" w:sz="4" w:space="0" w:color="auto"/>
              <w:right w:val="single" w:sz="4" w:space="0" w:color="auto"/>
            </w:tcBorders>
          </w:tcPr>
          <w:p w14:paraId="36440EC0" w14:textId="77777777" w:rsidR="00AC269F" w:rsidRPr="00EA3366" w:rsidRDefault="00AC269F" w:rsidP="00CA5FB8">
            <w:pPr>
              <w:jc w:val="center"/>
            </w:pPr>
            <w:r w:rsidRPr="00EA3366">
              <w:t>129.88</w:t>
            </w:r>
          </w:p>
        </w:tc>
      </w:tr>
      <w:tr w:rsidR="00AC269F" w:rsidRPr="00EA3366" w14:paraId="603F5D55" w14:textId="77777777">
        <w:tc>
          <w:tcPr>
            <w:tcW w:w="3330" w:type="dxa"/>
            <w:tcBorders>
              <w:top w:val="single" w:sz="4" w:space="0" w:color="auto"/>
              <w:left w:val="single" w:sz="4" w:space="0" w:color="auto"/>
              <w:bottom w:val="single" w:sz="4" w:space="0" w:color="auto"/>
              <w:right w:val="single" w:sz="4" w:space="0" w:color="auto"/>
            </w:tcBorders>
          </w:tcPr>
          <w:p w14:paraId="72003AC4" w14:textId="77777777" w:rsidR="00AC269F" w:rsidRPr="00EA3366" w:rsidRDefault="00AC269F" w:rsidP="00CA5FB8">
            <w:pPr>
              <w:rPr>
                <w:b/>
              </w:rPr>
            </w:pPr>
            <w:r w:rsidRPr="00EA3366">
              <w:rPr>
                <w:b/>
              </w:rPr>
              <w:t>Five Year Average Performance</w:t>
            </w:r>
          </w:p>
        </w:tc>
        <w:tc>
          <w:tcPr>
            <w:tcW w:w="1440" w:type="dxa"/>
            <w:tcBorders>
              <w:top w:val="single" w:sz="4" w:space="0" w:color="auto"/>
              <w:left w:val="single" w:sz="4" w:space="0" w:color="auto"/>
              <w:bottom w:val="single" w:sz="4" w:space="0" w:color="auto"/>
              <w:right w:val="single" w:sz="4" w:space="0" w:color="auto"/>
            </w:tcBorders>
          </w:tcPr>
          <w:p w14:paraId="0DDB71B5"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36A5F403" w14:textId="77777777" w:rsidR="00AC269F" w:rsidRPr="00EA3366" w:rsidRDefault="00AC269F" w:rsidP="00CA5FB8">
            <w:pPr>
              <w:jc w:val="center"/>
              <w:rPr>
                <w:b/>
              </w:rPr>
            </w:pPr>
            <w:r w:rsidRPr="00EA3366">
              <w:rPr>
                <w:b/>
              </w:rPr>
              <w:t>1.09</w:t>
            </w:r>
          </w:p>
        </w:tc>
        <w:tc>
          <w:tcPr>
            <w:tcW w:w="1890" w:type="dxa"/>
            <w:tcBorders>
              <w:top w:val="single" w:sz="4" w:space="0" w:color="auto"/>
              <w:left w:val="single" w:sz="4" w:space="0" w:color="auto"/>
              <w:bottom w:val="single" w:sz="4" w:space="0" w:color="auto"/>
              <w:right w:val="single" w:sz="4" w:space="0" w:color="auto"/>
            </w:tcBorders>
          </w:tcPr>
          <w:p w14:paraId="178EE6F7" w14:textId="77777777" w:rsidR="00AC269F" w:rsidRPr="00EA3366" w:rsidRDefault="00AC269F" w:rsidP="00CA5FB8">
            <w:pPr>
              <w:jc w:val="center"/>
              <w:rPr>
                <w:b/>
              </w:rPr>
            </w:pPr>
            <w:r w:rsidRPr="00EA3366">
              <w:rPr>
                <w:b/>
              </w:rPr>
              <w:t>144.62</w:t>
            </w:r>
          </w:p>
        </w:tc>
      </w:tr>
      <w:tr w:rsidR="00AC269F" w:rsidRPr="00EA3366" w14:paraId="6CB164B4" w14:textId="77777777">
        <w:tc>
          <w:tcPr>
            <w:tcW w:w="3330" w:type="dxa"/>
            <w:tcBorders>
              <w:top w:val="single" w:sz="4" w:space="0" w:color="auto"/>
              <w:left w:val="single" w:sz="4" w:space="0" w:color="auto"/>
              <w:bottom w:val="single" w:sz="4" w:space="0" w:color="auto"/>
              <w:right w:val="single" w:sz="4" w:space="0" w:color="auto"/>
            </w:tcBorders>
          </w:tcPr>
          <w:p w14:paraId="79EC6A48" w14:textId="3355833A" w:rsidR="00AC269F" w:rsidRPr="00EA3366" w:rsidRDefault="00AC269F" w:rsidP="0093508A">
            <w:r w:rsidRPr="00EA3366">
              <w:t xml:space="preserve">Minus </w:t>
            </w:r>
            <w:r w:rsidR="0093508A">
              <w:t>Reliability Rider</w:t>
            </w:r>
            <w:r w:rsidRPr="00EA3366">
              <w:t xml:space="preserve"> Adjustment</w:t>
            </w:r>
          </w:p>
        </w:tc>
        <w:tc>
          <w:tcPr>
            <w:tcW w:w="1440" w:type="dxa"/>
            <w:tcBorders>
              <w:top w:val="single" w:sz="4" w:space="0" w:color="auto"/>
              <w:left w:val="single" w:sz="4" w:space="0" w:color="auto"/>
              <w:bottom w:val="single" w:sz="4" w:space="0" w:color="auto"/>
              <w:right w:val="single" w:sz="4" w:space="0" w:color="auto"/>
            </w:tcBorders>
          </w:tcPr>
          <w:p w14:paraId="7DB63547"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5226DF00" w14:textId="77777777" w:rsidR="00AC269F" w:rsidRPr="00EA3366" w:rsidRDefault="00AC269F" w:rsidP="00CA5FB8">
            <w:pPr>
              <w:jc w:val="center"/>
            </w:pPr>
            <w:r w:rsidRPr="00EA3366">
              <w:t>(a)</w:t>
            </w:r>
          </w:p>
        </w:tc>
        <w:tc>
          <w:tcPr>
            <w:tcW w:w="1890" w:type="dxa"/>
            <w:tcBorders>
              <w:top w:val="single" w:sz="4" w:space="0" w:color="auto"/>
              <w:left w:val="single" w:sz="4" w:space="0" w:color="auto"/>
              <w:bottom w:val="single" w:sz="4" w:space="0" w:color="auto"/>
              <w:right w:val="single" w:sz="4" w:space="0" w:color="auto"/>
            </w:tcBorders>
          </w:tcPr>
          <w:p w14:paraId="3845E6BB" w14:textId="77777777" w:rsidR="00AC269F" w:rsidRPr="00EA3366" w:rsidRDefault="00AC269F" w:rsidP="00CA5FB8">
            <w:pPr>
              <w:jc w:val="center"/>
            </w:pPr>
            <w:r w:rsidRPr="00EA3366">
              <w:t>(a)</w:t>
            </w:r>
          </w:p>
        </w:tc>
      </w:tr>
      <w:tr w:rsidR="00AC269F" w:rsidRPr="00EA3366" w14:paraId="660D17B9" w14:textId="77777777">
        <w:tc>
          <w:tcPr>
            <w:tcW w:w="3330" w:type="dxa"/>
            <w:tcBorders>
              <w:top w:val="single" w:sz="4" w:space="0" w:color="auto"/>
              <w:left w:val="single" w:sz="4" w:space="0" w:color="auto"/>
              <w:bottom w:val="single" w:sz="4" w:space="0" w:color="auto"/>
              <w:right w:val="single" w:sz="4" w:space="0" w:color="auto"/>
            </w:tcBorders>
          </w:tcPr>
          <w:p w14:paraId="6C71463F" w14:textId="77777777" w:rsidR="00AC269F" w:rsidRPr="00EA3366" w:rsidRDefault="00AC269F" w:rsidP="00CA5FB8">
            <w:r w:rsidRPr="00EA3366">
              <w:t>Minus DIR Adjustment</w:t>
            </w:r>
          </w:p>
        </w:tc>
        <w:tc>
          <w:tcPr>
            <w:tcW w:w="1440" w:type="dxa"/>
            <w:tcBorders>
              <w:top w:val="single" w:sz="4" w:space="0" w:color="auto"/>
              <w:left w:val="single" w:sz="4" w:space="0" w:color="auto"/>
              <w:bottom w:val="single" w:sz="4" w:space="0" w:color="auto"/>
              <w:right w:val="single" w:sz="4" w:space="0" w:color="auto"/>
            </w:tcBorders>
          </w:tcPr>
          <w:p w14:paraId="50A0DEA4"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468A07E1" w14:textId="77777777" w:rsidR="00AC269F" w:rsidRPr="00EA3366" w:rsidRDefault="00AC269F" w:rsidP="00CA5FB8">
            <w:pPr>
              <w:jc w:val="center"/>
            </w:pPr>
            <w:r w:rsidRPr="00EA3366">
              <w:t>(b)</w:t>
            </w:r>
          </w:p>
        </w:tc>
        <w:tc>
          <w:tcPr>
            <w:tcW w:w="1890" w:type="dxa"/>
            <w:tcBorders>
              <w:top w:val="single" w:sz="4" w:space="0" w:color="auto"/>
              <w:left w:val="single" w:sz="4" w:space="0" w:color="auto"/>
              <w:bottom w:val="single" w:sz="4" w:space="0" w:color="auto"/>
              <w:right w:val="single" w:sz="4" w:space="0" w:color="auto"/>
            </w:tcBorders>
          </w:tcPr>
          <w:p w14:paraId="385D1576" w14:textId="77777777" w:rsidR="00AC269F" w:rsidRPr="00EA3366" w:rsidRDefault="00AC269F" w:rsidP="00CA5FB8">
            <w:pPr>
              <w:jc w:val="center"/>
            </w:pPr>
            <w:r w:rsidRPr="00EA3366">
              <w:t>(b)</w:t>
            </w:r>
          </w:p>
        </w:tc>
      </w:tr>
      <w:tr w:rsidR="00AC269F" w:rsidRPr="00EA3366" w14:paraId="7053C406" w14:textId="77777777">
        <w:tc>
          <w:tcPr>
            <w:tcW w:w="3330" w:type="dxa"/>
            <w:tcBorders>
              <w:top w:val="single" w:sz="4" w:space="0" w:color="auto"/>
              <w:left w:val="single" w:sz="4" w:space="0" w:color="auto"/>
              <w:bottom w:val="single" w:sz="4" w:space="0" w:color="auto"/>
              <w:right w:val="single" w:sz="4" w:space="0" w:color="auto"/>
            </w:tcBorders>
          </w:tcPr>
          <w:p w14:paraId="1F53F577" w14:textId="77777777" w:rsidR="00AC269F" w:rsidRPr="00EA3366" w:rsidRDefault="00AC269F" w:rsidP="00CA5FB8">
            <w:pPr>
              <w:rPr>
                <w:b/>
              </w:rPr>
            </w:pPr>
            <w:r w:rsidRPr="00EA3366">
              <w:rPr>
                <w:b/>
              </w:rPr>
              <w:t>Proposed 2013 Standard</w:t>
            </w:r>
          </w:p>
        </w:tc>
        <w:tc>
          <w:tcPr>
            <w:tcW w:w="1440" w:type="dxa"/>
            <w:tcBorders>
              <w:top w:val="single" w:sz="4" w:space="0" w:color="auto"/>
              <w:left w:val="single" w:sz="4" w:space="0" w:color="auto"/>
              <w:bottom w:val="single" w:sz="4" w:space="0" w:color="auto"/>
              <w:right w:val="single" w:sz="4" w:space="0" w:color="auto"/>
            </w:tcBorders>
          </w:tcPr>
          <w:p w14:paraId="72FCA73A" w14:textId="77777777" w:rsidR="00AC269F" w:rsidRPr="00EA3366" w:rsidRDefault="00AC269F" w:rsidP="00CA5FB8">
            <w:pPr>
              <w:jc w:val="center"/>
            </w:pPr>
          </w:p>
        </w:tc>
        <w:tc>
          <w:tcPr>
            <w:tcW w:w="1620" w:type="dxa"/>
            <w:tcBorders>
              <w:top w:val="single" w:sz="4" w:space="0" w:color="auto"/>
              <w:left w:val="single" w:sz="4" w:space="0" w:color="auto"/>
              <w:bottom w:val="single" w:sz="4" w:space="0" w:color="auto"/>
              <w:right w:val="single" w:sz="4" w:space="0" w:color="auto"/>
            </w:tcBorders>
          </w:tcPr>
          <w:p w14:paraId="61A84378" w14:textId="77777777" w:rsidR="00AC269F" w:rsidRPr="00EA3366" w:rsidRDefault="00AC269F" w:rsidP="00CA5FB8">
            <w:pPr>
              <w:jc w:val="center"/>
              <w:rPr>
                <w:b/>
              </w:rPr>
            </w:pPr>
            <w:r w:rsidRPr="00EA3366">
              <w:rPr>
                <w:b/>
              </w:rPr>
              <w:t>&lt;1.09</w:t>
            </w:r>
          </w:p>
        </w:tc>
        <w:tc>
          <w:tcPr>
            <w:tcW w:w="1890" w:type="dxa"/>
            <w:tcBorders>
              <w:top w:val="single" w:sz="4" w:space="0" w:color="auto"/>
              <w:left w:val="single" w:sz="4" w:space="0" w:color="auto"/>
              <w:bottom w:val="single" w:sz="4" w:space="0" w:color="auto"/>
              <w:right w:val="single" w:sz="4" w:space="0" w:color="auto"/>
            </w:tcBorders>
          </w:tcPr>
          <w:p w14:paraId="0F3145E9" w14:textId="77777777" w:rsidR="00AC269F" w:rsidRPr="00EA3366" w:rsidRDefault="00AC269F" w:rsidP="00CA5FB8">
            <w:pPr>
              <w:jc w:val="center"/>
              <w:rPr>
                <w:b/>
              </w:rPr>
            </w:pPr>
            <w:r w:rsidRPr="00EA3366">
              <w:rPr>
                <w:b/>
              </w:rPr>
              <w:t>&lt;144.62 Minutes</w:t>
            </w:r>
          </w:p>
        </w:tc>
      </w:tr>
    </w:tbl>
    <w:p w14:paraId="589405DA" w14:textId="77777777" w:rsidR="00AC269F" w:rsidRPr="00AC269F" w:rsidRDefault="00AC269F" w:rsidP="008C2F3D">
      <w:pPr>
        <w:pStyle w:val="ListParagraph"/>
        <w:numPr>
          <w:ilvl w:val="0"/>
          <w:numId w:val="21"/>
        </w:numPr>
        <w:spacing w:after="0"/>
        <w:rPr>
          <w:rFonts w:ascii="Times New Roman" w:hAnsi="Times New Roman"/>
          <w:sz w:val="24"/>
          <w:szCs w:val="24"/>
        </w:rPr>
      </w:pPr>
      <w:r w:rsidRPr="00AC269F">
        <w:rPr>
          <w:rFonts w:ascii="Times New Roman" w:hAnsi="Times New Roman"/>
          <w:sz w:val="24"/>
          <w:szCs w:val="24"/>
        </w:rPr>
        <w:t>Company must provide adjustment specific for OPC service area.</w:t>
      </w:r>
    </w:p>
    <w:p w14:paraId="41B156C9" w14:textId="77777777" w:rsidR="00AC269F" w:rsidRDefault="00AC269F" w:rsidP="008C2F3D">
      <w:pPr>
        <w:pStyle w:val="ListParagraph"/>
        <w:numPr>
          <w:ilvl w:val="0"/>
          <w:numId w:val="21"/>
        </w:numPr>
        <w:spacing w:after="0"/>
        <w:rPr>
          <w:rFonts w:ascii="Times New Roman" w:hAnsi="Times New Roman"/>
          <w:sz w:val="24"/>
          <w:szCs w:val="24"/>
        </w:rPr>
      </w:pPr>
      <w:r w:rsidRPr="00AC269F">
        <w:rPr>
          <w:rFonts w:ascii="Times New Roman" w:hAnsi="Times New Roman"/>
          <w:sz w:val="24"/>
          <w:szCs w:val="24"/>
        </w:rPr>
        <w:t>Company must quantify the DIR adjustments for OPC</w:t>
      </w:r>
    </w:p>
    <w:p w14:paraId="4B5B27A6" w14:textId="77777777" w:rsidR="00AC269F" w:rsidRPr="00AC269F" w:rsidRDefault="00AC269F" w:rsidP="00AC269F">
      <w:pPr>
        <w:pStyle w:val="ListParagraph"/>
        <w:ind w:left="0"/>
        <w:rPr>
          <w:rFonts w:ascii="Times New Roman" w:hAnsi="Times New Roman"/>
          <w:sz w:val="24"/>
          <w:szCs w:val="24"/>
        </w:rPr>
      </w:pPr>
    </w:p>
    <w:p w14:paraId="030CE1DA" w14:textId="2C33E326" w:rsidR="00AC269F" w:rsidRDefault="00AC269F" w:rsidP="00AC269F">
      <w:pPr>
        <w:spacing w:line="480" w:lineRule="auto"/>
        <w:ind w:firstLine="720"/>
      </w:pPr>
      <w:r>
        <w:t xml:space="preserve">Based on review of the data contained in </w:t>
      </w:r>
      <w:r w:rsidR="00C30161">
        <w:t>Table 12 and Table 13</w:t>
      </w:r>
      <w:r>
        <w:t>, the five</w:t>
      </w:r>
      <w:r w:rsidR="00B34636">
        <w:t>-</w:t>
      </w:r>
      <w:r>
        <w:t>year average performance for CSP is a SAIFI performance of 1.43 and a CAIDI performance of 128.09 minutes.  The five</w:t>
      </w:r>
      <w:r w:rsidR="00B34636">
        <w:t>-</w:t>
      </w:r>
      <w:r>
        <w:t>year average SAIFI performance for OPC is 1.09 and the CAIDI performance is 144.62 minutes.  The reliability standards for OPC based only on the five</w:t>
      </w:r>
      <w:r w:rsidR="00B34636">
        <w:t>-</w:t>
      </w:r>
      <w:r>
        <w:t>year average performance data supports lower SAIFI and CAIDI reliability performance standards th</w:t>
      </w:r>
      <w:r w:rsidR="00B34636">
        <w:t>a</w:t>
      </w:r>
      <w:r>
        <w:t>n proposed by the Company with the combined standard</w:t>
      </w:r>
      <w:r w:rsidR="00B34636">
        <w:t xml:space="preserve"> (meaning there should be better reliability for customers)</w:t>
      </w:r>
      <w:r>
        <w:t>.  The reliability standards for CSP based only on the five year average performance data supports a lower CAIDI reliability performance standard th</w:t>
      </w:r>
      <w:r w:rsidR="00B34636">
        <w:t>a</w:t>
      </w:r>
      <w:r>
        <w:t xml:space="preserve">n proposed by the Company with the combined standard.  However, once adjustments are properly made in the reliability standards to reflect the impact of the </w:t>
      </w:r>
      <w:r w:rsidR="00B34636">
        <w:t>Reliability Rider</w:t>
      </w:r>
      <w:r>
        <w:t xml:space="preserve">, GridSmart, and DIR in each service area, OCC suspects that the SAIFI for CSP and OP and the CAIDI for both areas will be better </w:t>
      </w:r>
      <w:r w:rsidR="00B34636">
        <w:t xml:space="preserve">for customers </w:t>
      </w:r>
      <w:r>
        <w:t>(meaning more stringent) th</w:t>
      </w:r>
      <w:r w:rsidR="00B34636">
        <w:t>a</w:t>
      </w:r>
      <w:r>
        <w:t>n proposed by the Company with the combined standard.</w:t>
      </w:r>
    </w:p>
    <w:p w14:paraId="204113CE" w14:textId="77777777" w:rsidR="002213F5" w:rsidRPr="00D42720" w:rsidRDefault="000A47C0" w:rsidP="00654100">
      <w:pPr>
        <w:pStyle w:val="Heading2"/>
      </w:pPr>
      <w:bookmarkStart w:id="21" w:name="_Toc345082975"/>
      <w:r>
        <w:t>J.</w:t>
      </w:r>
      <w:r>
        <w:tab/>
        <w:t>Summary of Recommendations</w:t>
      </w:r>
      <w:bookmarkEnd w:id="21"/>
    </w:p>
    <w:p w14:paraId="060E64A7" w14:textId="77777777" w:rsidR="00B34636" w:rsidRDefault="002213F5" w:rsidP="002213F5">
      <w:pPr>
        <w:spacing w:line="480" w:lineRule="auto"/>
        <w:ind w:firstLine="720"/>
      </w:pPr>
      <w:r w:rsidRPr="00D42720">
        <w:t>OCC recommends that the Commission enforce the terms of the Stipulation from the previous reliability standards case concerning the 2012 reliability standards.</w:t>
      </w:r>
      <w:r>
        <w:t xml:space="preserve">  </w:t>
      </w:r>
      <w:r w:rsidRPr="00D42720">
        <w:t>The 2012 AEP Ohio reliability standards for CSP are a SAIFI of 1.54 and a CAIDI of 135.17 minutes.  The 2012 AEP Ohio reliability performance standards for OP are a SAIFI of 1.19 and a CAIDI of 169.22 minutes.  In addition, OCC recommends that the Commission reject the Company proposal for combining reliability standards for CSP and OP rate zones for 2013 and beyond because the combined standards</w:t>
      </w:r>
      <w:r>
        <w:t xml:space="preserve"> </w:t>
      </w:r>
      <w:r w:rsidRPr="00D42720">
        <w:t xml:space="preserve">are not beneficial for consumers.  Combining reliability standards should not be considered until the Company proposes combined distribution tariffs in </w:t>
      </w:r>
      <w:r w:rsidR="008C2F3D">
        <w:t>its</w:t>
      </w:r>
      <w:r w:rsidRPr="00D42720">
        <w:t xml:space="preserve"> next distribution rate case</w:t>
      </w:r>
      <w:r w:rsidR="00B34636">
        <w:t xml:space="preserve"> </w:t>
      </w:r>
      <w:r w:rsidR="00B34636" w:rsidRPr="00D42720">
        <w:t xml:space="preserve">as the Company agreed to </w:t>
      </w:r>
      <w:r w:rsidR="00B34636">
        <w:t>do</w:t>
      </w:r>
      <w:r w:rsidRPr="00D42720">
        <w:t xml:space="preserve">.  The Commission should Order AEP Ohio to continue filing separate annual reports pursuant to Ohio Admin. Code 4901:1-10-10 and Ohio Admin. Code 4901:1-10-26 for both CSP and OP.  </w:t>
      </w:r>
    </w:p>
    <w:p w14:paraId="579FA95C" w14:textId="77777777" w:rsidR="0093508A" w:rsidRDefault="002213F5" w:rsidP="002213F5">
      <w:pPr>
        <w:spacing w:line="480" w:lineRule="auto"/>
        <w:ind w:firstLine="720"/>
      </w:pPr>
      <w:r w:rsidRPr="00D42720">
        <w:t>The Commission should require the Company to file an Application for reliability standards for 2013 and beyond that proposes appropriate adjustment</w:t>
      </w:r>
      <w:r w:rsidR="00B34636">
        <w:t>s</w:t>
      </w:r>
      <w:r w:rsidRPr="00D42720">
        <w:t xml:space="preserve"> </w:t>
      </w:r>
      <w:r w:rsidR="00B34636">
        <w:t xml:space="preserve">(meaning benefits for customers) </w:t>
      </w:r>
      <w:r w:rsidRPr="00D42720">
        <w:t>to the five</w:t>
      </w:r>
      <w:r w:rsidR="00B34636">
        <w:t>-</w:t>
      </w:r>
      <w:r w:rsidRPr="00D42720">
        <w:t xml:space="preserve">year average reliability performance for CSP based upon the impact that the </w:t>
      </w:r>
      <w:r w:rsidR="00B34636">
        <w:t>Reliability Rider</w:t>
      </w:r>
      <w:r w:rsidRPr="00D42720">
        <w:t xml:space="preserve">, GridSmart, and DIR are projected to have on the distribution reliability.  The Commission should require the Company to file an Application for reliability standards for </w:t>
      </w:r>
      <w:r w:rsidR="0093508A">
        <w:t xml:space="preserve">the period </w:t>
      </w:r>
      <w:r w:rsidRPr="00D42720">
        <w:t xml:space="preserve">2013 </w:t>
      </w:r>
      <w:r w:rsidR="0093508A">
        <w:t xml:space="preserve">and beyond </w:t>
      </w:r>
      <w:r w:rsidRPr="00D42720">
        <w:t xml:space="preserve">that proposes appropriate adjustments </w:t>
      </w:r>
      <w:r w:rsidR="0093508A">
        <w:t xml:space="preserve">(meaning benefits for customers) </w:t>
      </w:r>
      <w:r w:rsidRPr="00D42720">
        <w:t>to the five</w:t>
      </w:r>
      <w:r w:rsidR="0093508A">
        <w:t>-</w:t>
      </w:r>
      <w:r w:rsidRPr="00D42720">
        <w:t xml:space="preserve">year average reliability performance for OP based on the impact that the </w:t>
      </w:r>
      <w:r w:rsidR="0093508A">
        <w:t>Reliability Rider</w:t>
      </w:r>
      <w:r w:rsidRPr="00D42720">
        <w:t xml:space="preserve"> and DIR have on the distribution reliability.  </w:t>
      </w:r>
    </w:p>
    <w:p w14:paraId="7BA194BC" w14:textId="3BB4268C" w:rsidR="002213F5" w:rsidRDefault="002213F5" w:rsidP="002213F5">
      <w:pPr>
        <w:spacing w:line="480" w:lineRule="auto"/>
        <w:ind w:firstLine="720"/>
      </w:pPr>
      <w:r w:rsidRPr="00D42720">
        <w:t>Finally, the Commission should find that the AEP Ohio proposed reliability standards are unjust and unreasonable and should set this matter for hearing</w:t>
      </w:r>
      <w:r w:rsidR="008C2F3D">
        <w:t xml:space="preserve"> as required by the rules and the Stipulation in Case No. 09-756-EL-ESS</w:t>
      </w:r>
      <w:r w:rsidR="0093508A">
        <w:t>, which also noted that no party could oppose another parties’ request for a hearing in this case</w:t>
      </w:r>
      <w:r w:rsidRPr="00D42720">
        <w:t>.</w:t>
      </w:r>
      <w:r w:rsidR="008C2F3D">
        <w:rPr>
          <w:rStyle w:val="FootnoteReference"/>
        </w:rPr>
        <w:footnoteReference w:id="81"/>
      </w:r>
      <w:r w:rsidRPr="00D42720">
        <w:t xml:space="preserve"> </w:t>
      </w:r>
    </w:p>
    <w:p w14:paraId="00D3EB69" w14:textId="77777777" w:rsidR="000A47C0" w:rsidRPr="00D42720" w:rsidRDefault="000A47C0" w:rsidP="00654100">
      <w:pPr>
        <w:ind w:firstLine="720"/>
      </w:pPr>
    </w:p>
    <w:p w14:paraId="5CFAB90A" w14:textId="77777777" w:rsidR="00932FD7" w:rsidRDefault="00932FD7" w:rsidP="00654100">
      <w:pPr>
        <w:pStyle w:val="Heading1"/>
        <w:spacing w:after="0" w:line="480" w:lineRule="auto"/>
        <w:ind w:left="720" w:hanging="720"/>
      </w:pPr>
      <w:bookmarkStart w:id="22" w:name="_Toc344714698"/>
      <w:bookmarkStart w:id="23" w:name="_Toc345082976"/>
      <w:r>
        <w:t>III.</w:t>
      </w:r>
      <w:r>
        <w:tab/>
        <w:t>CONCLUSION</w:t>
      </w:r>
      <w:bookmarkEnd w:id="22"/>
      <w:bookmarkEnd w:id="23"/>
    </w:p>
    <w:p w14:paraId="1999A0AF" w14:textId="43CF9A07" w:rsidR="00276E07" w:rsidRDefault="00395616" w:rsidP="002213F5">
      <w:pPr>
        <w:spacing w:line="480" w:lineRule="auto"/>
        <w:ind w:firstLine="720"/>
      </w:pPr>
      <w:r w:rsidRPr="00072A6F">
        <w:t>AEP Ohio’s Application for establishing distribution reliability</w:t>
      </w:r>
      <w:r w:rsidR="00BE5679" w:rsidRPr="00072A6F">
        <w:t xml:space="preserve"> standards is unjust and unreasonable because the Company proposes combined reliability standards for both the CSP and the OP even though the characteristics in each area support maintaining different standards</w:t>
      </w:r>
      <w:r w:rsidR="00BE69FE">
        <w:t xml:space="preserve"> to protect Ohio customers</w:t>
      </w:r>
      <w:r w:rsidR="00BE5679" w:rsidRPr="00072A6F">
        <w:t>.  The Company</w:t>
      </w:r>
      <w:r w:rsidR="00721720">
        <w:t>’s</w:t>
      </w:r>
      <w:r w:rsidR="00BE5679" w:rsidRPr="00072A6F">
        <w:t xml:space="preserve"> proposal for combined standards in 2012 violates the terms and conditions of the Commission Order that approved the prior reliability standards for CSP and O</w:t>
      </w:r>
      <w:r w:rsidR="002A55CB">
        <w:t>P</w:t>
      </w:r>
      <w:r w:rsidR="00BE5679" w:rsidRPr="00072A6F">
        <w:t xml:space="preserve">.  </w:t>
      </w:r>
    </w:p>
    <w:p w14:paraId="35B615AB" w14:textId="111FDB1B" w:rsidR="00276E07" w:rsidRDefault="00BE5679" w:rsidP="00072A6F">
      <w:pPr>
        <w:spacing w:line="480" w:lineRule="auto"/>
        <w:ind w:firstLine="720"/>
      </w:pPr>
      <w:r w:rsidRPr="00072A6F">
        <w:t>Furthermore, the Commission approved the Company</w:t>
      </w:r>
      <w:r w:rsidR="00276E07">
        <w:t>’s</w:t>
      </w:r>
      <w:r w:rsidRPr="00072A6F">
        <w:t xml:space="preserve"> Application to merge CSP and OPC with the understanding that reliability would not be negatively affected.  Use of combine</w:t>
      </w:r>
      <w:r w:rsidR="002A55CB">
        <w:t>d standards for both CSP and OP</w:t>
      </w:r>
      <w:r w:rsidRPr="00072A6F">
        <w:t xml:space="preserve"> result</w:t>
      </w:r>
      <w:r w:rsidR="00276E07">
        <w:t>s</w:t>
      </w:r>
      <w:r w:rsidRPr="00072A6F">
        <w:t xml:space="preserve"> in harm to AEP Ohio</w:t>
      </w:r>
      <w:r w:rsidR="00276E07">
        <w:t>’s</w:t>
      </w:r>
      <w:r w:rsidRPr="00072A6F">
        <w:t xml:space="preserve"> customers because either the frequency of outages increase or the duration of outages increase </w:t>
      </w:r>
      <w:r w:rsidR="00550523" w:rsidRPr="00072A6F">
        <w:t xml:space="preserve">compared to the current reliability standards.  AEP Ohio must be ordered to file historical reliability performance data for the years 2007-2011 for both CSP and OPC that are adjusted to reflect exclusions that can be supported with the IEEE-1366-2003 standards.  </w:t>
      </w:r>
    </w:p>
    <w:p w14:paraId="256A0E86" w14:textId="4A585FC0" w:rsidR="00395616" w:rsidRDefault="00550523" w:rsidP="00072A6F">
      <w:pPr>
        <w:spacing w:line="480" w:lineRule="auto"/>
        <w:ind w:firstLine="720"/>
      </w:pPr>
      <w:r w:rsidRPr="00072A6F">
        <w:t>Using the five</w:t>
      </w:r>
      <w:r w:rsidR="00276E07">
        <w:t>-</w:t>
      </w:r>
      <w:r w:rsidRPr="00072A6F">
        <w:t xml:space="preserve">year average performance, the Company must justify exclusions for both CSP and OP to reflect gridSmart and the changes that have been made in the vegetation management practices in each service area.  AEP Ohio has the burden of proof to demonstrate the need for any other variances in calculating the standards.  </w:t>
      </w:r>
      <w:r w:rsidR="00072A6F" w:rsidRPr="00072A6F">
        <w:t xml:space="preserve">In accordance with Ohio Admin. Code 4901:1-10-10(B)(6)(e), the magnitude of the issues with the AEP Ohio Application for proposing new reliability standards reflect that the proposed standards are unjust and unreasonable. </w:t>
      </w:r>
      <w:r w:rsidR="009074B1">
        <w:t xml:space="preserve"> </w:t>
      </w:r>
      <w:r w:rsidR="00072A6F" w:rsidRPr="00072A6F">
        <w:t>OCC requests that the Commission set this matter for hearing.</w:t>
      </w:r>
    </w:p>
    <w:p w14:paraId="70BBF681" w14:textId="3B5E1687" w:rsidR="00CB7AAD" w:rsidRDefault="00CB7AAD" w:rsidP="00CB7AAD">
      <w:pPr>
        <w:pStyle w:val="BodyTextIndent3"/>
        <w:widowControl w:val="0"/>
        <w:ind w:left="3600" w:right="-672"/>
        <w:rPr>
          <w:szCs w:val="24"/>
        </w:rPr>
      </w:pPr>
      <w:r>
        <w:rPr>
          <w:szCs w:val="24"/>
        </w:rPr>
        <w:t>Respectfully submitted,</w:t>
      </w:r>
    </w:p>
    <w:p w14:paraId="75ECAC2B" w14:textId="77777777" w:rsidR="00CB7AAD" w:rsidRDefault="00CB7AAD" w:rsidP="00CB7AAD">
      <w:pPr>
        <w:pStyle w:val="Footer"/>
        <w:tabs>
          <w:tab w:val="left" w:pos="4320"/>
        </w:tabs>
        <w:spacing w:before="240"/>
      </w:pPr>
      <w:r>
        <w:tab/>
        <w:t>BRUCE J. WESTON</w:t>
      </w:r>
    </w:p>
    <w:p w14:paraId="1395F0D3" w14:textId="77777777" w:rsidR="00CB7AAD" w:rsidRDefault="00CB7AAD" w:rsidP="00CB7AAD">
      <w:pPr>
        <w:tabs>
          <w:tab w:val="left" w:pos="4320"/>
        </w:tabs>
      </w:pPr>
      <w:r>
        <w:tab/>
      </w:r>
      <w:smartTag w:uri="urn:schemas-microsoft-com:office:smarttags" w:element="State">
        <w:smartTag w:uri="urn:schemas-microsoft-com:office:smarttags" w:element="place">
          <w:r>
            <w:t>OHIO</w:t>
          </w:r>
        </w:smartTag>
      </w:smartTag>
      <w:r>
        <w:t xml:space="preserve"> CONSUMERS’ COUNSEL</w:t>
      </w:r>
    </w:p>
    <w:p w14:paraId="7A448439" w14:textId="77777777" w:rsidR="00CB7AAD" w:rsidRDefault="00CB7AAD" w:rsidP="00CB7AAD">
      <w:pPr>
        <w:tabs>
          <w:tab w:val="left" w:pos="4320"/>
        </w:tabs>
      </w:pPr>
      <w:r>
        <w:tab/>
      </w:r>
    </w:p>
    <w:p w14:paraId="31917A0A" w14:textId="2393015A" w:rsidR="00CB7AAD" w:rsidRPr="00654100" w:rsidRDefault="00CB7AAD" w:rsidP="00A9281E">
      <w:pPr>
        <w:ind w:left="4320"/>
        <w:rPr>
          <w:u w:val="single"/>
        </w:rPr>
      </w:pPr>
      <w:r w:rsidRPr="00654100">
        <w:rPr>
          <w:u w:val="single"/>
        </w:rPr>
        <w:t>/s/ Joseph P. Serio</w:t>
      </w:r>
      <w:r w:rsidR="00FC16D4">
        <w:rPr>
          <w:u w:val="single"/>
        </w:rPr>
        <w:tab/>
      </w:r>
      <w:r w:rsidR="00FC16D4">
        <w:rPr>
          <w:u w:val="single"/>
        </w:rPr>
        <w:tab/>
      </w:r>
      <w:r w:rsidR="00FC16D4">
        <w:rPr>
          <w:u w:val="single"/>
        </w:rPr>
        <w:tab/>
      </w:r>
    </w:p>
    <w:p w14:paraId="3503AAE0" w14:textId="77777777" w:rsidR="00CB7AAD" w:rsidRDefault="00CB7AAD" w:rsidP="00A9281E">
      <w:pPr>
        <w:ind w:left="4320"/>
      </w:pPr>
      <w:r>
        <w:t>Joseph P. Serio, Counsel of Record</w:t>
      </w:r>
    </w:p>
    <w:p w14:paraId="68BF13A9" w14:textId="77777777" w:rsidR="00CB7AAD" w:rsidRDefault="00CB7AAD" w:rsidP="00A9281E">
      <w:pPr>
        <w:ind w:left="4320"/>
      </w:pPr>
      <w:r>
        <w:t>Assistant Consumers’ Counsel</w:t>
      </w:r>
    </w:p>
    <w:p w14:paraId="056234C2" w14:textId="77777777" w:rsidR="00CB7AAD" w:rsidRDefault="00CB7AAD" w:rsidP="00A9281E">
      <w:pPr>
        <w:ind w:left="4320"/>
      </w:pPr>
      <w:r>
        <w:tab/>
      </w:r>
    </w:p>
    <w:p w14:paraId="238E9B58" w14:textId="77777777" w:rsidR="00CB7AAD" w:rsidRPr="00A9281E" w:rsidRDefault="00CB7AAD" w:rsidP="00A9281E">
      <w:pPr>
        <w:ind w:left="4320"/>
        <w:rPr>
          <w:b/>
        </w:rPr>
      </w:pPr>
      <w:r w:rsidRPr="00A9281E">
        <w:rPr>
          <w:b/>
        </w:rPr>
        <w:t xml:space="preserve">Office of the </w:t>
      </w:r>
      <w:smartTag w:uri="urn:schemas-microsoft-com:office:smarttags" w:element="State">
        <w:smartTag w:uri="urn:schemas-microsoft-com:office:smarttags" w:element="place">
          <w:r w:rsidRPr="00A9281E">
            <w:rPr>
              <w:b/>
            </w:rPr>
            <w:t>Ohio</w:t>
          </w:r>
        </w:smartTag>
      </w:smartTag>
      <w:r w:rsidRPr="00A9281E">
        <w:rPr>
          <w:b/>
        </w:rPr>
        <w:t xml:space="preserve"> Consumers’ Counsel</w:t>
      </w:r>
    </w:p>
    <w:p w14:paraId="30EA4088" w14:textId="77777777" w:rsidR="00CB7AAD" w:rsidRPr="00A9281E" w:rsidRDefault="00CB7AAD" w:rsidP="00A9281E">
      <w:pPr>
        <w:ind w:left="4320"/>
      </w:pPr>
      <w:smartTag w:uri="urn:schemas-microsoft-com:office:smarttags" w:element="Street">
        <w:smartTag w:uri="urn:schemas-microsoft-com:office:smarttags" w:element="address">
          <w:r w:rsidRPr="00A9281E">
            <w:t>10 West Broad Street, Suite 1800</w:t>
          </w:r>
        </w:smartTag>
      </w:smartTag>
    </w:p>
    <w:p w14:paraId="25BA78C6" w14:textId="77777777" w:rsidR="00CB7AAD" w:rsidRPr="00A9281E" w:rsidRDefault="00CB7AAD" w:rsidP="00A9281E">
      <w:pPr>
        <w:ind w:left="4320"/>
      </w:pPr>
      <w:smartTag w:uri="urn:schemas-microsoft-com:office:smarttags" w:element="place">
        <w:smartTag w:uri="urn:schemas-microsoft-com:office:smarttags" w:element="City">
          <w:r w:rsidRPr="00A9281E">
            <w:t>Columbus</w:t>
          </w:r>
        </w:smartTag>
        <w:r w:rsidRPr="00A9281E">
          <w:t xml:space="preserve">, </w:t>
        </w:r>
        <w:smartTag w:uri="urn:schemas-microsoft-com:office:smarttags" w:element="State">
          <w:r w:rsidRPr="00A9281E">
            <w:t>Ohio</w:t>
          </w:r>
        </w:smartTag>
        <w:r w:rsidRPr="00A9281E">
          <w:t xml:space="preserve"> </w:t>
        </w:r>
        <w:smartTag w:uri="urn:schemas-microsoft-com:office:smarttags" w:element="PostalCode">
          <w:r w:rsidRPr="00A9281E">
            <w:t>43215-3485</w:t>
          </w:r>
        </w:smartTag>
      </w:smartTag>
    </w:p>
    <w:p w14:paraId="7DB815D3" w14:textId="77777777" w:rsidR="00CB7AAD" w:rsidRDefault="00CB7AAD" w:rsidP="00A9281E">
      <w:pPr>
        <w:ind w:left="4320"/>
      </w:pPr>
      <w:r>
        <w:t>Telephone:  Serio - (614) 466-9565</w:t>
      </w:r>
    </w:p>
    <w:p w14:paraId="1A2A2DF3" w14:textId="487CA36D" w:rsidR="00C30161" w:rsidRDefault="00E868A8" w:rsidP="00A9281E">
      <w:pPr>
        <w:ind w:left="4320"/>
      </w:pPr>
      <w:hyperlink r:id="rId19" w:history="1">
        <w:r w:rsidR="00CB7AAD">
          <w:rPr>
            <w:rStyle w:val="Hyperlink"/>
          </w:rPr>
          <w:t>serio@occ.state.oh.us</w:t>
        </w:r>
      </w:hyperlink>
    </w:p>
    <w:p w14:paraId="5F318523" w14:textId="0D806FE8" w:rsidR="00CB7AAD" w:rsidRDefault="00C30161" w:rsidP="00A9281E">
      <w:pPr>
        <w:ind w:left="4320"/>
      </w:pPr>
      <w:r>
        <w:br w:type="page"/>
      </w:r>
    </w:p>
    <w:p w14:paraId="09CD82F5" w14:textId="77777777" w:rsidR="00CB7AAD" w:rsidRDefault="00CB7AAD" w:rsidP="00CB7AAD">
      <w:pPr>
        <w:jc w:val="center"/>
        <w:rPr>
          <w:b/>
          <w:bCs/>
          <w:u w:val="single"/>
        </w:rPr>
      </w:pPr>
      <w:r>
        <w:rPr>
          <w:b/>
          <w:bCs/>
          <w:u w:val="single"/>
        </w:rPr>
        <w:t>CERTIFICATE OF SERVICE</w:t>
      </w:r>
    </w:p>
    <w:p w14:paraId="2C25B26B" w14:textId="77777777" w:rsidR="00CB7AAD" w:rsidRDefault="00CB7AAD" w:rsidP="00CB7AAD">
      <w:pPr>
        <w:spacing w:line="480" w:lineRule="atLeast"/>
      </w:pPr>
      <w:r>
        <w:tab/>
        <w:t>I hereby certify that a copy of these Comments was served on the persons stated below via electronic transmission, this 4</w:t>
      </w:r>
      <w:r w:rsidRPr="00CB7AAD">
        <w:rPr>
          <w:vertAlign w:val="superscript"/>
        </w:rPr>
        <w:t>th</w:t>
      </w:r>
      <w:r>
        <w:t xml:space="preserve"> day of January 2013.</w:t>
      </w:r>
    </w:p>
    <w:p w14:paraId="3D3A7C4D" w14:textId="77777777" w:rsidR="00CB7AAD" w:rsidRDefault="00CB7AAD" w:rsidP="00CB7AAD">
      <w:pPr>
        <w:spacing w:line="480" w:lineRule="atLeast"/>
      </w:pPr>
    </w:p>
    <w:p w14:paraId="07BF701D" w14:textId="77777777" w:rsidR="00CB7AAD" w:rsidRDefault="00CB7AAD" w:rsidP="00CB7AAD">
      <w:pPr>
        <w:tabs>
          <w:tab w:val="left" w:pos="4320"/>
        </w:tabs>
      </w:pPr>
      <w:r>
        <w:tab/>
      </w:r>
      <w:r>
        <w:rPr>
          <w:i/>
          <w:u w:val="single"/>
        </w:rPr>
        <w:t>/s/ Joseph P. Serio</w:t>
      </w:r>
      <w:r>
        <w:t>________________</w:t>
      </w:r>
    </w:p>
    <w:p w14:paraId="563CCFB7" w14:textId="77777777" w:rsidR="00CB7AAD" w:rsidRDefault="00CB7AAD" w:rsidP="00CB7AAD">
      <w:pPr>
        <w:tabs>
          <w:tab w:val="left" w:pos="4320"/>
        </w:tabs>
      </w:pPr>
      <w:r>
        <w:tab/>
        <w:t>Joseph P. Serio</w:t>
      </w:r>
    </w:p>
    <w:p w14:paraId="75F98EBF" w14:textId="77777777" w:rsidR="00CB7AAD" w:rsidRDefault="00CB7AAD" w:rsidP="00CB7AAD">
      <w:pPr>
        <w:tabs>
          <w:tab w:val="left" w:pos="4320"/>
        </w:tabs>
      </w:pPr>
      <w:r>
        <w:tab/>
        <w:t>Assistant Consumers’ Counsel</w:t>
      </w:r>
    </w:p>
    <w:p w14:paraId="01E62B7A" w14:textId="77777777" w:rsidR="00CB7AAD" w:rsidRDefault="00CB7AAD" w:rsidP="00CB7AAD">
      <w:pPr>
        <w:pStyle w:val="CommentSubject"/>
      </w:pPr>
    </w:p>
    <w:p w14:paraId="761EA4FC" w14:textId="77777777" w:rsidR="00CB7AAD" w:rsidRDefault="00CB7AAD" w:rsidP="00CB7AAD">
      <w:pPr>
        <w:pStyle w:val="CommentText"/>
      </w:pPr>
    </w:p>
    <w:p w14:paraId="10AC4433" w14:textId="77777777" w:rsidR="00CB7AAD" w:rsidRDefault="00CB7AAD" w:rsidP="00CB7AAD">
      <w:pPr>
        <w:pStyle w:val="CommentText"/>
        <w:jc w:val="center"/>
        <w:rPr>
          <w:b/>
          <w:u w:val="single"/>
        </w:rPr>
      </w:pPr>
      <w:r>
        <w:rPr>
          <w:b/>
          <w:u w:val="single"/>
        </w:rPr>
        <w:t>SERVICE LIST</w:t>
      </w:r>
    </w:p>
    <w:p w14:paraId="3BC10B41" w14:textId="77777777" w:rsidR="00CB7AAD" w:rsidRDefault="00CB7AAD" w:rsidP="00CB7AAD">
      <w:pPr>
        <w:pStyle w:val="BodyText"/>
        <w:rPr>
          <w:b/>
          <w:bCs/>
        </w:rPr>
      </w:pPr>
    </w:p>
    <w:tbl>
      <w:tblPr>
        <w:tblW w:w="0" w:type="auto"/>
        <w:tblLook w:val="01E0" w:firstRow="1" w:lastRow="1" w:firstColumn="1" w:lastColumn="1" w:noHBand="0" w:noVBand="0"/>
      </w:tblPr>
      <w:tblGrid>
        <w:gridCol w:w="4428"/>
        <w:gridCol w:w="4428"/>
      </w:tblGrid>
      <w:tr w:rsidR="00CB7AAD" w:rsidRPr="00A9281E" w14:paraId="1D6BE104" w14:textId="77777777">
        <w:tc>
          <w:tcPr>
            <w:tcW w:w="4428" w:type="dxa"/>
            <w:shd w:val="clear" w:color="auto" w:fill="auto"/>
          </w:tcPr>
          <w:p w14:paraId="77D99553" w14:textId="77777777" w:rsidR="00CB7AAD" w:rsidRPr="00A9281E" w:rsidRDefault="00CB7AAD" w:rsidP="00A9281E">
            <w:pPr>
              <w:autoSpaceDE w:val="0"/>
              <w:autoSpaceDN w:val="0"/>
              <w:adjustRightInd w:val="0"/>
              <w:rPr>
                <w:bCs/>
              </w:rPr>
            </w:pPr>
            <w:r w:rsidRPr="00A9281E">
              <w:rPr>
                <w:bCs/>
              </w:rPr>
              <w:t>William Wright</w:t>
            </w:r>
          </w:p>
          <w:p w14:paraId="714293C0" w14:textId="77777777" w:rsidR="00CB7AAD" w:rsidRPr="00A9281E" w:rsidRDefault="00CB7AAD" w:rsidP="00A9281E">
            <w:pPr>
              <w:autoSpaceDE w:val="0"/>
              <w:autoSpaceDN w:val="0"/>
              <w:adjustRightInd w:val="0"/>
              <w:rPr>
                <w:bCs/>
              </w:rPr>
            </w:pPr>
            <w:r w:rsidRPr="00A9281E">
              <w:rPr>
                <w:bCs/>
              </w:rPr>
              <w:t>Attorney General’s Office</w:t>
            </w:r>
          </w:p>
          <w:p w14:paraId="222B1DAB" w14:textId="77777777" w:rsidR="00CB7AAD" w:rsidRPr="00A9281E" w:rsidRDefault="00CB7AAD" w:rsidP="00A9281E">
            <w:pPr>
              <w:autoSpaceDE w:val="0"/>
              <w:autoSpaceDN w:val="0"/>
              <w:adjustRightInd w:val="0"/>
              <w:rPr>
                <w:bCs/>
              </w:rPr>
            </w:pPr>
            <w:r w:rsidRPr="00A9281E">
              <w:rPr>
                <w:bCs/>
              </w:rPr>
              <w:t xml:space="preserve">Public Utilities Commission of </w:t>
            </w:r>
            <w:smartTag w:uri="urn:schemas-microsoft-com:office:smarttags" w:element="State">
              <w:smartTag w:uri="urn:schemas-microsoft-com:office:smarttags" w:element="place">
                <w:r w:rsidRPr="00A9281E">
                  <w:rPr>
                    <w:bCs/>
                  </w:rPr>
                  <w:t>Ohio</w:t>
                </w:r>
              </w:smartTag>
            </w:smartTag>
          </w:p>
          <w:p w14:paraId="6B1DF8C4" w14:textId="77777777" w:rsidR="00CB7AAD" w:rsidRPr="00A9281E" w:rsidRDefault="00CB7AAD" w:rsidP="00A9281E">
            <w:pPr>
              <w:autoSpaceDE w:val="0"/>
              <w:autoSpaceDN w:val="0"/>
              <w:adjustRightInd w:val="0"/>
              <w:rPr>
                <w:bCs/>
              </w:rPr>
            </w:pPr>
            <w:smartTag w:uri="urn:schemas-microsoft-com:office:smarttags" w:element="Street">
              <w:smartTag w:uri="urn:schemas-microsoft-com:office:smarttags" w:element="address">
                <w:r w:rsidRPr="00A9281E">
                  <w:rPr>
                    <w:bCs/>
                  </w:rPr>
                  <w:t>180 E. Broad St.</w:t>
                </w:r>
              </w:smartTag>
            </w:smartTag>
            <w:r w:rsidRPr="00A9281E">
              <w:rPr>
                <w:bCs/>
              </w:rPr>
              <w:t>, 6</w:t>
            </w:r>
            <w:r w:rsidRPr="00A9281E">
              <w:rPr>
                <w:bCs/>
                <w:vertAlign w:val="superscript"/>
              </w:rPr>
              <w:t>th</w:t>
            </w:r>
            <w:r w:rsidRPr="00A9281E">
              <w:rPr>
                <w:bCs/>
              </w:rPr>
              <w:t xml:space="preserve"> Fl.</w:t>
            </w:r>
          </w:p>
          <w:p w14:paraId="77DD7AA0" w14:textId="77777777" w:rsidR="00CB7AAD" w:rsidRPr="00A9281E" w:rsidRDefault="00CB7AAD" w:rsidP="00A9281E">
            <w:pPr>
              <w:autoSpaceDE w:val="0"/>
              <w:autoSpaceDN w:val="0"/>
              <w:adjustRightInd w:val="0"/>
              <w:rPr>
                <w:bCs/>
              </w:rPr>
            </w:pPr>
            <w:smartTag w:uri="urn:schemas-microsoft-com:office:smarttags" w:element="place">
              <w:smartTag w:uri="urn:schemas-microsoft-com:office:smarttags" w:element="City">
                <w:r w:rsidRPr="00A9281E">
                  <w:rPr>
                    <w:bCs/>
                  </w:rPr>
                  <w:t>Columbus</w:t>
                </w:r>
              </w:smartTag>
              <w:r w:rsidRPr="00A9281E">
                <w:rPr>
                  <w:bCs/>
                </w:rPr>
                <w:t xml:space="preserve">, </w:t>
              </w:r>
              <w:smartTag w:uri="urn:schemas-microsoft-com:office:smarttags" w:element="State">
                <w:r w:rsidRPr="00A9281E">
                  <w:rPr>
                    <w:bCs/>
                  </w:rPr>
                  <w:t>OH</w:t>
                </w:r>
              </w:smartTag>
              <w:r w:rsidRPr="00A9281E">
                <w:rPr>
                  <w:bCs/>
                </w:rPr>
                <w:t xml:space="preserve"> </w:t>
              </w:r>
              <w:smartTag w:uri="urn:schemas-microsoft-com:office:smarttags" w:element="PostalCode">
                <w:r w:rsidRPr="00A9281E">
                  <w:rPr>
                    <w:bCs/>
                  </w:rPr>
                  <w:t>43215</w:t>
                </w:r>
              </w:smartTag>
            </w:smartTag>
          </w:p>
          <w:p w14:paraId="06B63D0C" w14:textId="6AFCC25A" w:rsidR="00CB7AAD" w:rsidRPr="00A9281E" w:rsidRDefault="00E868A8" w:rsidP="00A9281E">
            <w:pPr>
              <w:autoSpaceDE w:val="0"/>
              <w:autoSpaceDN w:val="0"/>
              <w:adjustRightInd w:val="0"/>
              <w:rPr>
                <w:bCs/>
              </w:rPr>
            </w:pPr>
            <w:hyperlink r:id="rId20" w:history="1">
              <w:r w:rsidR="00CB7AAD" w:rsidRPr="00A9281E">
                <w:rPr>
                  <w:rStyle w:val="Hyperlink"/>
                  <w:bCs/>
                </w:rPr>
                <w:t>William.wright@puc.state.oh.us</w:t>
              </w:r>
            </w:hyperlink>
          </w:p>
          <w:p w14:paraId="18509EA6" w14:textId="77777777" w:rsidR="00CB7AAD" w:rsidRPr="00A9281E" w:rsidRDefault="00CB7AAD" w:rsidP="00A9281E">
            <w:pPr>
              <w:autoSpaceDE w:val="0"/>
              <w:autoSpaceDN w:val="0"/>
              <w:adjustRightInd w:val="0"/>
              <w:rPr>
                <w:bCs/>
              </w:rPr>
            </w:pPr>
          </w:p>
          <w:p w14:paraId="67E2FD00" w14:textId="77777777" w:rsidR="00CB7AAD" w:rsidRPr="00A9281E" w:rsidRDefault="00CB7AAD" w:rsidP="00A9281E">
            <w:pPr>
              <w:autoSpaceDE w:val="0"/>
              <w:autoSpaceDN w:val="0"/>
              <w:adjustRightInd w:val="0"/>
              <w:rPr>
                <w:bCs/>
              </w:rPr>
            </w:pPr>
          </w:p>
          <w:p w14:paraId="0A10D9C5" w14:textId="07D94056" w:rsidR="00CB7AAD" w:rsidRPr="00A9281E" w:rsidRDefault="00E868A8" w:rsidP="00A9281E">
            <w:pPr>
              <w:autoSpaceDE w:val="0"/>
              <w:autoSpaceDN w:val="0"/>
              <w:adjustRightInd w:val="0"/>
              <w:rPr>
                <w:bCs/>
              </w:rPr>
            </w:pPr>
            <w:hyperlink r:id="rId21" w:history="1">
              <w:r w:rsidR="00CB7AAD" w:rsidRPr="00A9281E">
                <w:rPr>
                  <w:rStyle w:val="Hyperlink"/>
                  <w:bCs/>
                </w:rPr>
                <w:t>Bryce.mckenney@puc.state.oh.us</w:t>
              </w:r>
            </w:hyperlink>
          </w:p>
          <w:p w14:paraId="437F1C34" w14:textId="77777777" w:rsidR="00CB7AAD" w:rsidRPr="00A9281E" w:rsidRDefault="00CB7AAD" w:rsidP="00A9281E">
            <w:pPr>
              <w:autoSpaceDE w:val="0"/>
              <w:autoSpaceDN w:val="0"/>
              <w:adjustRightInd w:val="0"/>
              <w:rPr>
                <w:bCs/>
              </w:rPr>
            </w:pPr>
          </w:p>
        </w:tc>
        <w:tc>
          <w:tcPr>
            <w:tcW w:w="4428" w:type="dxa"/>
            <w:shd w:val="clear" w:color="auto" w:fill="auto"/>
          </w:tcPr>
          <w:p w14:paraId="7E69D539" w14:textId="77777777" w:rsidR="00CB7AAD" w:rsidRPr="00A9281E" w:rsidRDefault="00CB7AAD" w:rsidP="00467A4C">
            <w:pPr>
              <w:pStyle w:val="BodyText"/>
              <w:rPr>
                <w:bCs/>
              </w:rPr>
            </w:pPr>
            <w:r w:rsidRPr="00A9281E">
              <w:rPr>
                <w:bCs/>
              </w:rPr>
              <w:t>Matthew J. Satterwhite</w:t>
            </w:r>
          </w:p>
          <w:p w14:paraId="3D25DFD9" w14:textId="77777777" w:rsidR="00CB7AAD" w:rsidRPr="00A9281E" w:rsidRDefault="00CB7AAD" w:rsidP="00467A4C">
            <w:pPr>
              <w:pStyle w:val="BodyText"/>
              <w:rPr>
                <w:bCs/>
              </w:rPr>
            </w:pPr>
            <w:r w:rsidRPr="00A9281E">
              <w:rPr>
                <w:bCs/>
              </w:rPr>
              <w:t>Yazen Alami</w:t>
            </w:r>
          </w:p>
          <w:p w14:paraId="71095049" w14:textId="77777777" w:rsidR="00CB7AAD" w:rsidRPr="00A9281E" w:rsidRDefault="00CB7AAD" w:rsidP="00467A4C">
            <w:pPr>
              <w:pStyle w:val="BodyText"/>
              <w:rPr>
                <w:bCs/>
              </w:rPr>
            </w:pPr>
            <w:r w:rsidRPr="00A9281E">
              <w:rPr>
                <w:bCs/>
              </w:rPr>
              <w:t>Steven T. Nourse</w:t>
            </w:r>
          </w:p>
          <w:p w14:paraId="0D59F32A" w14:textId="77777777" w:rsidR="00CB7AAD" w:rsidRPr="00A9281E" w:rsidRDefault="00CB7AAD" w:rsidP="00467A4C">
            <w:pPr>
              <w:pStyle w:val="BodyText"/>
              <w:rPr>
                <w:bCs/>
              </w:rPr>
            </w:pPr>
            <w:r w:rsidRPr="00A9281E">
              <w:rPr>
                <w:bCs/>
              </w:rPr>
              <w:t>AEP Service Corporation</w:t>
            </w:r>
          </w:p>
          <w:p w14:paraId="4ED24270" w14:textId="77777777" w:rsidR="00CB7AAD" w:rsidRPr="00A9281E" w:rsidRDefault="00CB7AAD" w:rsidP="00467A4C">
            <w:pPr>
              <w:pStyle w:val="BodyText"/>
              <w:rPr>
                <w:bCs/>
              </w:rPr>
            </w:pPr>
            <w:r w:rsidRPr="00A9281E">
              <w:rPr>
                <w:bCs/>
              </w:rPr>
              <w:t xml:space="preserve">1 </w:t>
            </w:r>
            <w:smartTag w:uri="urn:schemas-microsoft-com:office:smarttags" w:element="place">
              <w:r w:rsidRPr="00A9281E">
                <w:rPr>
                  <w:bCs/>
                </w:rPr>
                <w:t>Riverside</w:t>
              </w:r>
            </w:smartTag>
            <w:r w:rsidRPr="00A9281E">
              <w:rPr>
                <w:bCs/>
              </w:rPr>
              <w:t xml:space="preserve"> Plaza, 29</w:t>
            </w:r>
            <w:r w:rsidRPr="00A9281E">
              <w:rPr>
                <w:bCs/>
                <w:vertAlign w:val="superscript"/>
              </w:rPr>
              <w:t>th</w:t>
            </w:r>
            <w:r w:rsidRPr="00A9281E">
              <w:rPr>
                <w:bCs/>
              </w:rPr>
              <w:t xml:space="preserve"> Fl.</w:t>
            </w:r>
          </w:p>
          <w:p w14:paraId="734B94A8" w14:textId="77777777" w:rsidR="00CB7AAD" w:rsidRPr="00A9281E" w:rsidRDefault="00CB7AAD" w:rsidP="00467A4C">
            <w:pPr>
              <w:pStyle w:val="BodyText"/>
              <w:rPr>
                <w:bCs/>
              </w:rPr>
            </w:pPr>
            <w:smartTag w:uri="urn:schemas-microsoft-com:office:smarttags" w:element="place">
              <w:smartTag w:uri="urn:schemas-microsoft-com:office:smarttags" w:element="City">
                <w:r w:rsidRPr="00A9281E">
                  <w:rPr>
                    <w:bCs/>
                  </w:rPr>
                  <w:t>Columbus</w:t>
                </w:r>
              </w:smartTag>
              <w:r w:rsidRPr="00A9281E">
                <w:rPr>
                  <w:bCs/>
                </w:rPr>
                <w:t xml:space="preserve">, </w:t>
              </w:r>
              <w:smartTag w:uri="urn:schemas-microsoft-com:office:smarttags" w:element="State">
                <w:r w:rsidRPr="00A9281E">
                  <w:rPr>
                    <w:bCs/>
                  </w:rPr>
                  <w:t>OH</w:t>
                </w:r>
              </w:smartTag>
              <w:r w:rsidRPr="00A9281E">
                <w:rPr>
                  <w:bCs/>
                </w:rPr>
                <w:t xml:space="preserve"> </w:t>
              </w:r>
              <w:smartTag w:uri="urn:schemas-microsoft-com:office:smarttags" w:element="PostalCode">
                <w:r w:rsidRPr="00A9281E">
                  <w:rPr>
                    <w:bCs/>
                  </w:rPr>
                  <w:t>43215</w:t>
                </w:r>
              </w:smartTag>
            </w:smartTag>
          </w:p>
          <w:p w14:paraId="3592E64C" w14:textId="3AA5454E" w:rsidR="00CB7AAD" w:rsidRPr="00A9281E" w:rsidRDefault="00E868A8" w:rsidP="00467A4C">
            <w:pPr>
              <w:pStyle w:val="BodyText"/>
              <w:rPr>
                <w:bCs/>
              </w:rPr>
            </w:pPr>
            <w:hyperlink r:id="rId22" w:history="1">
              <w:r w:rsidR="00CB7AAD" w:rsidRPr="00A9281E">
                <w:rPr>
                  <w:rStyle w:val="Hyperlink"/>
                  <w:bCs/>
                </w:rPr>
                <w:t>mjsatterwhite@aep.com</w:t>
              </w:r>
            </w:hyperlink>
          </w:p>
          <w:p w14:paraId="5F99AF6C" w14:textId="40C76BE2" w:rsidR="00CB7AAD" w:rsidRPr="00A9281E" w:rsidRDefault="00E868A8" w:rsidP="00467A4C">
            <w:pPr>
              <w:pStyle w:val="BodyText"/>
              <w:rPr>
                <w:bCs/>
              </w:rPr>
            </w:pPr>
            <w:hyperlink r:id="rId23" w:history="1">
              <w:r w:rsidR="00CB7AAD" w:rsidRPr="00A9281E">
                <w:rPr>
                  <w:rStyle w:val="Hyperlink"/>
                  <w:bCs/>
                </w:rPr>
                <w:t>yalami@aep.com</w:t>
              </w:r>
            </w:hyperlink>
          </w:p>
          <w:p w14:paraId="25EBBCD2" w14:textId="13557353" w:rsidR="00CB7AAD" w:rsidRPr="00A9281E" w:rsidRDefault="00E868A8" w:rsidP="00467A4C">
            <w:pPr>
              <w:pStyle w:val="BodyText"/>
              <w:rPr>
                <w:bCs/>
              </w:rPr>
            </w:pPr>
            <w:hyperlink r:id="rId24" w:history="1">
              <w:r w:rsidR="00CB7AAD" w:rsidRPr="00A9281E">
                <w:rPr>
                  <w:rStyle w:val="Hyperlink"/>
                  <w:bCs/>
                </w:rPr>
                <w:t>stnourse@aep.com</w:t>
              </w:r>
            </w:hyperlink>
          </w:p>
          <w:p w14:paraId="5FB77E0F" w14:textId="77777777" w:rsidR="00CB7AAD" w:rsidRPr="00A9281E" w:rsidRDefault="00CB7AAD" w:rsidP="00467A4C">
            <w:pPr>
              <w:pStyle w:val="BodyText"/>
              <w:rPr>
                <w:bCs/>
              </w:rPr>
            </w:pPr>
          </w:p>
        </w:tc>
      </w:tr>
    </w:tbl>
    <w:p w14:paraId="4EA40894" w14:textId="77777777" w:rsidR="00CB7AAD" w:rsidRDefault="00CB7AAD" w:rsidP="00CB7AAD">
      <w:pPr>
        <w:pStyle w:val="BodyText"/>
        <w:rPr>
          <w:b/>
          <w:bCs/>
        </w:rPr>
      </w:pPr>
    </w:p>
    <w:p w14:paraId="05EA0377" w14:textId="77777777" w:rsidR="00CB7AAD" w:rsidRPr="00072A6F" w:rsidRDefault="00CB7AAD" w:rsidP="00072A6F">
      <w:pPr>
        <w:spacing w:line="480" w:lineRule="auto"/>
        <w:ind w:firstLine="720"/>
      </w:pPr>
    </w:p>
    <w:sectPr w:rsidR="00CB7AAD" w:rsidRPr="00072A6F" w:rsidSect="00654100">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28987" w14:textId="77777777" w:rsidR="001F3AE2" w:rsidRDefault="001F3AE2">
      <w:r>
        <w:separator/>
      </w:r>
    </w:p>
  </w:endnote>
  <w:endnote w:type="continuationSeparator" w:id="0">
    <w:p w14:paraId="403851F7" w14:textId="77777777" w:rsidR="001F3AE2" w:rsidRDefault="001F3AE2">
      <w:r>
        <w:continuationSeparator/>
      </w:r>
    </w:p>
  </w:endnote>
  <w:endnote w:type="continuationNotice" w:id="1">
    <w:p w14:paraId="51C21855" w14:textId="77777777" w:rsidR="001F3AE2" w:rsidRDefault="001F3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CF0D" w14:textId="77777777" w:rsidR="005425C5" w:rsidRDefault="00542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FDA9" w14:textId="77777777" w:rsidR="005425C5" w:rsidRDefault="00542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DAFA" w14:textId="77777777" w:rsidR="005425C5" w:rsidRDefault="00542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0BBF" w14:textId="77777777" w:rsidR="00592A3E" w:rsidRDefault="00592A3E">
    <w:pPr>
      <w:pStyle w:val="Footer"/>
      <w:jc w:val="center"/>
    </w:pPr>
    <w:r>
      <w:fldChar w:fldCharType="begin"/>
    </w:r>
    <w:r>
      <w:instrText xml:space="preserve"> PAGE   \* MERGEFORMAT </w:instrText>
    </w:r>
    <w:r>
      <w:fldChar w:fldCharType="separate"/>
    </w:r>
    <w:r w:rsidR="00E868A8">
      <w:rPr>
        <w:noProof/>
      </w:rPr>
      <w:t>i</w:t>
    </w:r>
    <w:r>
      <w:rPr>
        <w:noProof/>
      </w:rPr>
      <w:fldChar w:fldCharType="end"/>
    </w:r>
  </w:p>
  <w:p w14:paraId="5D0F7800" w14:textId="77777777" w:rsidR="00592A3E" w:rsidRDefault="00592A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45F1" w14:textId="77777777" w:rsidR="00592A3E" w:rsidRDefault="00592A3E">
    <w:pPr>
      <w:pStyle w:val="Footer"/>
      <w:jc w:val="center"/>
    </w:pPr>
    <w:r>
      <w:fldChar w:fldCharType="begin"/>
    </w:r>
    <w:r>
      <w:instrText xml:space="preserve"> PAGE   \* MERGEFORMAT </w:instrText>
    </w:r>
    <w:r>
      <w:fldChar w:fldCharType="separate"/>
    </w:r>
    <w:r w:rsidR="005425C5">
      <w:rPr>
        <w:noProof/>
      </w:rPr>
      <w:t>30</w:t>
    </w:r>
    <w:r>
      <w:rPr>
        <w:noProof/>
      </w:rPr>
      <w:fldChar w:fldCharType="end"/>
    </w:r>
  </w:p>
  <w:p w14:paraId="793211FB" w14:textId="77777777" w:rsidR="00592A3E" w:rsidRDefault="00592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87E0B" w14:textId="77777777" w:rsidR="001F3AE2" w:rsidRDefault="001F3AE2">
      <w:r>
        <w:separator/>
      </w:r>
    </w:p>
  </w:footnote>
  <w:footnote w:type="continuationSeparator" w:id="0">
    <w:p w14:paraId="3FAC603D" w14:textId="77777777" w:rsidR="001F3AE2" w:rsidRDefault="001F3AE2">
      <w:r>
        <w:continuationSeparator/>
      </w:r>
    </w:p>
  </w:footnote>
  <w:footnote w:type="continuationNotice" w:id="1">
    <w:p w14:paraId="1848A86A" w14:textId="77777777" w:rsidR="001F3AE2" w:rsidRDefault="001F3AE2"/>
  </w:footnote>
  <w:footnote w:id="2">
    <w:p w14:paraId="7D939CB5" w14:textId="77777777" w:rsidR="00592A3E" w:rsidRDefault="00592A3E" w:rsidP="00A2253B">
      <w:pPr>
        <w:pStyle w:val="FootnoteText"/>
        <w:spacing w:after="120"/>
      </w:pPr>
      <w:r>
        <w:rPr>
          <w:rStyle w:val="FootnoteReference"/>
        </w:rPr>
        <w:footnoteRef/>
      </w:r>
      <w:r>
        <w:t xml:space="preserve"> The Application was filed pursuant to Ohio Admin. Code 4901:1-10-10(B).</w:t>
      </w:r>
    </w:p>
  </w:footnote>
  <w:footnote w:id="3">
    <w:p w14:paraId="22EFB99A" w14:textId="77777777" w:rsidR="00592A3E" w:rsidRPr="004E3908" w:rsidRDefault="00592A3E" w:rsidP="00A2253B">
      <w:pPr>
        <w:pStyle w:val="FootnoteText"/>
        <w:spacing w:after="120"/>
      </w:pPr>
      <w:r>
        <w:rPr>
          <w:rStyle w:val="FootnoteReference"/>
        </w:rPr>
        <w:footnoteRef/>
      </w:r>
      <w:r>
        <w:t xml:space="preserve"> </w:t>
      </w:r>
      <w:r>
        <w:rPr>
          <w:i/>
        </w:rPr>
        <w:t xml:space="preserve">In the Matter of the Establishment of 4901:1-10-10(B) Minimum Reliability Performance Standards for Ohio Power Company, </w:t>
      </w:r>
      <w:r>
        <w:t>Case No. 12-1945-EL-ESS, Application (June 29, 2012).</w:t>
      </w:r>
    </w:p>
  </w:footnote>
  <w:footnote w:id="4">
    <w:p w14:paraId="61B00782" w14:textId="17507B5E" w:rsidR="00592A3E" w:rsidRPr="00227A96" w:rsidRDefault="00592A3E" w:rsidP="00A2253B">
      <w:pPr>
        <w:pStyle w:val="FootnoteText"/>
        <w:spacing w:after="120"/>
      </w:pPr>
      <w:r>
        <w:rPr>
          <w:rStyle w:val="FootnoteReference"/>
        </w:rPr>
        <w:footnoteRef/>
      </w:r>
      <w:r>
        <w:t xml:space="preserve"> </w:t>
      </w:r>
      <w:r>
        <w:rPr>
          <w:i/>
        </w:rPr>
        <w:t xml:space="preserve">In the Matter of the Establishment of 4901:1-10-10(B) Minimum Reliability Performance Standards for Columbus Southern Power Company and Ohio Power Company, </w:t>
      </w:r>
      <w:r w:rsidRPr="00227A96">
        <w:t>Case No. 09-756-EL-ESS, Stipulation and Recommendatio</w:t>
      </w:r>
      <w:r>
        <w:t xml:space="preserve">n at </w:t>
      </w:r>
      <w:r w:rsidRPr="00227A96">
        <w:t>5</w:t>
      </w:r>
      <w:r>
        <w:t xml:space="preserve"> (July 22, 2010).</w:t>
      </w:r>
    </w:p>
  </w:footnote>
  <w:footnote w:id="5">
    <w:p w14:paraId="391CF9C4" w14:textId="458A02BE" w:rsidR="00592A3E" w:rsidRDefault="00592A3E" w:rsidP="00A2253B">
      <w:pPr>
        <w:pStyle w:val="FootnoteText"/>
        <w:spacing w:after="120"/>
      </w:pPr>
      <w:r>
        <w:rPr>
          <w:rStyle w:val="FootnoteReference"/>
        </w:rPr>
        <w:footnoteRef/>
      </w:r>
      <w:r>
        <w:t xml:space="preserve"> Institute of Electrical and Electr</w:t>
      </w:r>
      <w:r w:rsidR="00B34636">
        <w:t xml:space="preserve">onic </w:t>
      </w:r>
      <w:r>
        <w:t>Engineers (“IEE</w:t>
      </w:r>
      <w:r w:rsidRPr="00B50DAC">
        <w:t>E</w:t>
      </w:r>
      <w:r>
        <w:t>”) Guide for Electric Power Distribution Reliability Indices, IEEE Std 1366-2012, (Revision of IEE</w:t>
      </w:r>
      <w:r w:rsidRPr="00B50DAC">
        <w:t>E</w:t>
      </w:r>
      <w:r>
        <w:t xml:space="preserve"> Std 1366-2003) at 5 (May 31, 2012).</w:t>
      </w:r>
    </w:p>
  </w:footnote>
  <w:footnote w:id="6">
    <w:p w14:paraId="27A6B17E" w14:textId="77777777" w:rsidR="00592A3E" w:rsidRDefault="00592A3E" w:rsidP="00A2253B">
      <w:pPr>
        <w:pStyle w:val="FootnoteText"/>
        <w:spacing w:after="120"/>
      </w:pPr>
      <w:r>
        <w:rPr>
          <w:rStyle w:val="FootnoteReference"/>
        </w:rPr>
        <w:footnoteRef/>
      </w:r>
      <w:r>
        <w:t xml:space="preserve"> Ohio Admin. Code 4901:1-10-10(B)(4)(c).</w:t>
      </w:r>
    </w:p>
  </w:footnote>
  <w:footnote w:id="7">
    <w:p w14:paraId="40F3E7B8" w14:textId="77777777" w:rsidR="00592A3E" w:rsidRDefault="00592A3E" w:rsidP="00A2253B">
      <w:pPr>
        <w:pStyle w:val="FootnoteText"/>
        <w:spacing w:after="120"/>
      </w:pPr>
      <w:r>
        <w:rPr>
          <w:rStyle w:val="FootnoteReference"/>
        </w:rPr>
        <w:footnoteRef/>
      </w:r>
      <w:r>
        <w:t xml:space="preserve"> Ohio Admin. Code 4901:1-10-01 Sustained Outage.</w:t>
      </w:r>
    </w:p>
  </w:footnote>
  <w:footnote w:id="8">
    <w:p w14:paraId="680D597B" w14:textId="77777777" w:rsidR="00592A3E" w:rsidRDefault="00592A3E" w:rsidP="00592A3E">
      <w:pPr>
        <w:pStyle w:val="FootnoteText"/>
        <w:spacing w:after="120"/>
      </w:pPr>
      <w:r>
        <w:rPr>
          <w:rStyle w:val="FootnoteReference"/>
        </w:rPr>
        <w:footnoteRef/>
      </w:r>
      <w:r>
        <w:t xml:space="preserve"> Case No. 12-19445-EL-ESS, Entry at 1 (June 29. 2012).</w:t>
      </w:r>
    </w:p>
  </w:footnote>
  <w:footnote w:id="9">
    <w:p w14:paraId="632EA324" w14:textId="77777777" w:rsidR="00592A3E" w:rsidRDefault="00592A3E" w:rsidP="00592A3E">
      <w:pPr>
        <w:pStyle w:val="FootnoteText"/>
        <w:spacing w:after="120"/>
      </w:pPr>
      <w:r>
        <w:rPr>
          <w:rStyle w:val="FootnoteReference"/>
        </w:rPr>
        <w:footnoteRef/>
      </w:r>
      <w:r>
        <w:t xml:space="preserve"> Ohio Admin. Code 4901:1-10-10(6)(e).</w:t>
      </w:r>
    </w:p>
  </w:footnote>
  <w:footnote w:id="10">
    <w:p w14:paraId="6B4B76AD" w14:textId="210863B3" w:rsidR="00592A3E" w:rsidRDefault="00592A3E" w:rsidP="00592A3E">
      <w:pPr>
        <w:pStyle w:val="FootnoteText"/>
        <w:spacing w:after="120"/>
      </w:pPr>
      <w:r>
        <w:rPr>
          <w:rStyle w:val="FootnoteReference"/>
        </w:rPr>
        <w:footnoteRef/>
      </w:r>
      <w:r>
        <w:t xml:space="preserve"> Case No. 09-756-EL-ESS, Stipulation (July 22, 2010) and Opinion and Order (July 22, 2010).</w:t>
      </w:r>
    </w:p>
  </w:footnote>
  <w:footnote w:id="11">
    <w:p w14:paraId="0F3585A8" w14:textId="58EB77BD" w:rsidR="00592A3E" w:rsidRDefault="00592A3E" w:rsidP="00592A3E">
      <w:pPr>
        <w:pStyle w:val="FootnoteText"/>
        <w:spacing w:after="120"/>
      </w:pPr>
      <w:r>
        <w:rPr>
          <w:rStyle w:val="FootnoteReference"/>
        </w:rPr>
        <w:footnoteRef/>
      </w:r>
      <w:r>
        <w:t xml:space="preserve"> Id.</w:t>
      </w:r>
    </w:p>
  </w:footnote>
  <w:footnote w:id="12">
    <w:p w14:paraId="13552EE3" w14:textId="77777777" w:rsidR="00592A3E" w:rsidRDefault="00592A3E" w:rsidP="00592A3E">
      <w:pPr>
        <w:pStyle w:val="FootnoteText"/>
        <w:spacing w:after="120"/>
      </w:pPr>
      <w:r>
        <w:rPr>
          <w:rStyle w:val="FootnoteReference"/>
        </w:rPr>
        <w:footnoteRef/>
      </w:r>
      <w:r>
        <w:t xml:space="preserve"> Case No. 09-756-EL-ESS, Stipulation at 5 (July 22, 2010) and Opinion and Order at 7 (July 22, 2010). </w:t>
      </w:r>
    </w:p>
  </w:footnote>
  <w:footnote w:id="13">
    <w:p w14:paraId="45F47E6D" w14:textId="77777777" w:rsidR="00592A3E" w:rsidRDefault="00592A3E" w:rsidP="00A2253B">
      <w:pPr>
        <w:pStyle w:val="FootnoteText"/>
        <w:spacing w:after="120"/>
      </w:pPr>
      <w:r>
        <w:rPr>
          <w:rStyle w:val="FootnoteReference"/>
        </w:rPr>
        <w:footnoteRef/>
      </w:r>
      <w:r>
        <w:t xml:space="preserve"> Id.</w:t>
      </w:r>
    </w:p>
  </w:footnote>
  <w:footnote w:id="14">
    <w:p w14:paraId="4FA2EBC5" w14:textId="77777777" w:rsidR="00592A3E" w:rsidRPr="00F6581B" w:rsidRDefault="00592A3E" w:rsidP="00A2253B">
      <w:pPr>
        <w:pStyle w:val="FootnoteText"/>
        <w:spacing w:after="120"/>
      </w:pPr>
      <w:r>
        <w:rPr>
          <w:rStyle w:val="FootnoteReference"/>
        </w:rPr>
        <w:footnoteRef/>
      </w:r>
      <w:r>
        <w:t xml:space="preserve"> </w:t>
      </w:r>
      <w:r>
        <w:rPr>
          <w:i/>
        </w:rPr>
        <w:t xml:space="preserve">In the Matter of the Application of Columbus Southern Power Company and Ohio Power Company, Individually and, if Their Proposed Merger is Approved, as a Merged Company (collectively, AEP Ohio) for an Increase in Electric Distribution Rates, </w:t>
      </w:r>
      <w:r>
        <w:t xml:space="preserve">Case Nos. 11-351-EL-AIR et al, Joint Stipulation and Recommendation at 10-11 (November 23, 2011) and Opinion and Order at 7-8 (December 14, 2011). </w:t>
      </w:r>
    </w:p>
  </w:footnote>
  <w:footnote w:id="15">
    <w:p w14:paraId="383BCC0B" w14:textId="77777777" w:rsidR="00592A3E" w:rsidRDefault="00592A3E" w:rsidP="00A2253B">
      <w:pPr>
        <w:pStyle w:val="FootnoteText"/>
        <w:spacing w:after="120"/>
      </w:pPr>
      <w:r>
        <w:rPr>
          <w:rStyle w:val="FootnoteReference"/>
        </w:rPr>
        <w:footnoteRef/>
      </w:r>
      <w:r>
        <w:t xml:space="preserve"> Id.</w:t>
      </w:r>
    </w:p>
  </w:footnote>
  <w:footnote w:id="16">
    <w:p w14:paraId="690F95EA" w14:textId="2EDBA5AB" w:rsidR="00592A3E" w:rsidRDefault="00592A3E" w:rsidP="00A2253B">
      <w:pPr>
        <w:pStyle w:val="FootnoteText"/>
        <w:spacing w:after="120"/>
      </w:pPr>
      <w:r>
        <w:rPr>
          <w:rStyle w:val="FootnoteReference"/>
        </w:rPr>
        <w:footnoteRef/>
      </w:r>
      <w:r>
        <w:t xml:space="preserve"> For purposes of these comments, Combined Company reflects the entity resulting </w:t>
      </w:r>
      <w:r w:rsidR="0093508A">
        <w:t>from</w:t>
      </w:r>
      <w:r>
        <w:t xml:space="preserve"> the merger of Columbus Southern Power Company and Ohio Power Company. </w:t>
      </w:r>
    </w:p>
  </w:footnote>
  <w:footnote w:id="17">
    <w:p w14:paraId="15F71CA2" w14:textId="77777777" w:rsidR="00592A3E" w:rsidRDefault="00592A3E" w:rsidP="00A2253B">
      <w:pPr>
        <w:pStyle w:val="FootnoteText"/>
        <w:spacing w:after="120"/>
      </w:pPr>
      <w:r>
        <w:rPr>
          <w:rStyle w:val="FootnoteReference"/>
        </w:rPr>
        <w:footnoteRef/>
      </w:r>
      <w:r>
        <w:t xml:space="preserve"> Case No. 12-1945-EL-ESS, Application at 16 (June 29, 2012).</w:t>
      </w:r>
    </w:p>
  </w:footnote>
  <w:footnote w:id="18">
    <w:p w14:paraId="44123889" w14:textId="3858C5CE" w:rsidR="00592A3E" w:rsidRPr="00DC3810" w:rsidRDefault="00592A3E" w:rsidP="00654100">
      <w:pPr>
        <w:pStyle w:val="FootnoteText"/>
        <w:spacing w:after="120"/>
      </w:pPr>
      <w:r>
        <w:rPr>
          <w:rStyle w:val="FootnoteReference"/>
        </w:rPr>
        <w:footnoteRef/>
      </w:r>
      <w:r>
        <w:rPr>
          <w:i/>
        </w:rPr>
        <w:t xml:space="preserve"> </w:t>
      </w:r>
      <w:r>
        <w:t>Case No. 09-756-EL-ESS, Opinion and Order at 7 (July 22, 2010).</w:t>
      </w:r>
    </w:p>
  </w:footnote>
  <w:footnote w:id="19">
    <w:p w14:paraId="0A0FB6C4" w14:textId="77777777" w:rsidR="00592A3E" w:rsidRDefault="00592A3E" w:rsidP="00A2253B">
      <w:pPr>
        <w:pStyle w:val="FootnoteText"/>
        <w:spacing w:after="120"/>
      </w:pPr>
      <w:r>
        <w:rPr>
          <w:rStyle w:val="FootnoteReference"/>
        </w:rPr>
        <w:footnoteRef/>
      </w:r>
      <w:r>
        <w:t xml:space="preserve"> Ohio Admin. Code 4901:1-10-10(B)(7).</w:t>
      </w:r>
    </w:p>
  </w:footnote>
  <w:footnote w:id="20">
    <w:p w14:paraId="17E32C43" w14:textId="77777777" w:rsidR="00592A3E" w:rsidRDefault="00592A3E" w:rsidP="00A2253B">
      <w:pPr>
        <w:pStyle w:val="FootnoteText"/>
        <w:spacing w:after="120"/>
      </w:pPr>
      <w:r>
        <w:rPr>
          <w:rStyle w:val="FootnoteReference"/>
        </w:rPr>
        <w:footnoteRef/>
      </w:r>
      <w:r>
        <w:t xml:space="preserve"> Id.</w:t>
      </w:r>
    </w:p>
  </w:footnote>
  <w:footnote w:id="21">
    <w:p w14:paraId="0125BC84" w14:textId="77777777" w:rsidR="00592A3E" w:rsidRDefault="00592A3E" w:rsidP="00A2253B">
      <w:pPr>
        <w:pStyle w:val="FootnoteText"/>
        <w:spacing w:after="120"/>
      </w:pPr>
      <w:r>
        <w:rPr>
          <w:rStyle w:val="FootnoteReference"/>
        </w:rPr>
        <w:footnoteRef/>
      </w:r>
      <w:r>
        <w:t xml:space="preserve"> AEP </w:t>
      </w:r>
      <w:smartTag w:uri="urn:schemas-microsoft-com:office:smarttags" w:element="place">
        <w:smartTag w:uri="urn:schemas-microsoft-com:office:smarttags" w:element="State">
          <w:r>
            <w:t>Ohio</w:t>
          </w:r>
        </w:smartTag>
      </w:smartTag>
      <w:r>
        <w:t xml:space="preserve"> Response to OCC Interrogatory No. 2-54.</w:t>
      </w:r>
    </w:p>
  </w:footnote>
  <w:footnote w:id="22">
    <w:p w14:paraId="1FBDD3F2" w14:textId="77777777" w:rsidR="00592A3E" w:rsidRPr="00A467C8" w:rsidRDefault="00592A3E" w:rsidP="00A2253B">
      <w:pPr>
        <w:pStyle w:val="FootnoteText"/>
        <w:spacing w:after="120"/>
        <w:rPr>
          <w:lang w:val="en"/>
        </w:rPr>
      </w:pPr>
      <w:r>
        <w:rPr>
          <w:rStyle w:val="FootnoteReference"/>
        </w:rPr>
        <w:footnoteRef/>
      </w:r>
      <w:r>
        <w:t xml:space="preserve"> R.C. 4928.11(A) required the Commission to establish rules that that </w:t>
      </w:r>
      <w:r w:rsidRPr="007A31D4">
        <w:rPr>
          <w:lang w:val="en"/>
        </w:rPr>
        <w:t>specify minimum service quality, safety, and reliability requirements for noncompetitive retail electric services supplied by an electric utility in this state</w:t>
      </w:r>
      <w:r>
        <w:rPr>
          <w:lang w:val="en"/>
        </w:rPr>
        <w:t>.</w:t>
      </w:r>
    </w:p>
  </w:footnote>
  <w:footnote w:id="23">
    <w:p w14:paraId="5078A309" w14:textId="399BE219" w:rsidR="00592A3E" w:rsidRDefault="00592A3E" w:rsidP="00A2253B">
      <w:pPr>
        <w:pStyle w:val="FootnoteText"/>
        <w:spacing w:after="120"/>
      </w:pPr>
      <w:r>
        <w:rPr>
          <w:rStyle w:val="FootnoteReference"/>
        </w:rPr>
        <w:footnoteRef/>
      </w:r>
      <w:r>
        <w:t xml:space="preserve"> </w:t>
      </w:r>
      <w:r>
        <w:rPr>
          <w:i/>
        </w:rPr>
        <w:t>In the Matter of the Commission</w:t>
      </w:r>
      <w:r>
        <w:t>’</w:t>
      </w:r>
      <w:r w:rsidRPr="00C03C05">
        <w:rPr>
          <w:i/>
        </w:rPr>
        <w:t>s Review of  Chapters 4901:1-9,4901:1-10,4901:1-21, 4901:1-22, 4901:1-23,4901:1-24, and 4901:1-25 of the Ohio Administrative Code</w:t>
      </w:r>
      <w:r>
        <w:rPr>
          <w:i/>
        </w:rPr>
        <w:t xml:space="preserve">, </w:t>
      </w:r>
      <w:r>
        <w:t>Case No. 06-653-EL-ORD, Finding and Order (November 5, 2008)</w:t>
      </w:r>
      <w:r w:rsidRPr="00C03C05">
        <w:t>.</w:t>
      </w:r>
    </w:p>
  </w:footnote>
  <w:footnote w:id="24">
    <w:p w14:paraId="3F13777C" w14:textId="77777777" w:rsidR="00592A3E" w:rsidRDefault="00592A3E" w:rsidP="00A2253B">
      <w:pPr>
        <w:pStyle w:val="FootnoteText"/>
        <w:spacing w:after="120"/>
      </w:pPr>
      <w:r>
        <w:rPr>
          <w:rStyle w:val="FootnoteReference"/>
        </w:rPr>
        <w:footnoteRef/>
      </w:r>
      <w:r>
        <w:t xml:space="preserve"> Case No. 06-653-EL-ORD, Entry on Rehearing at 9 (May 6, 2009).</w:t>
      </w:r>
    </w:p>
  </w:footnote>
  <w:footnote w:id="25">
    <w:p w14:paraId="68DB9EB8" w14:textId="77777777" w:rsidR="00592A3E" w:rsidRDefault="00592A3E" w:rsidP="00A2253B">
      <w:pPr>
        <w:pStyle w:val="FootnoteText"/>
        <w:spacing w:after="120"/>
      </w:pPr>
      <w:r>
        <w:rPr>
          <w:rStyle w:val="FootnoteReference"/>
        </w:rPr>
        <w:footnoteRef/>
      </w:r>
      <w:r>
        <w:t xml:space="preserve"> Case No. 09-756-EL-ESS, Opinion and Order at 6-7 (September 8, 2010).</w:t>
      </w:r>
    </w:p>
  </w:footnote>
  <w:footnote w:id="26">
    <w:p w14:paraId="4C64EE68" w14:textId="77777777" w:rsidR="00592A3E" w:rsidRPr="00A467C8" w:rsidRDefault="00592A3E" w:rsidP="00A2253B">
      <w:pPr>
        <w:pStyle w:val="FootnoteText"/>
        <w:spacing w:after="120"/>
      </w:pPr>
      <w:r>
        <w:rPr>
          <w:rStyle w:val="FootnoteReference"/>
        </w:rPr>
        <w:footnoteRef/>
      </w:r>
      <w:r>
        <w:t xml:space="preserve"> </w:t>
      </w:r>
      <w:r>
        <w:rPr>
          <w:i/>
        </w:rPr>
        <w:t xml:space="preserve">In the Matter of the Annual Report of the Columbus Southern Power Company Pursuant to Rule 10 of the Electric Service and Safety Standards, Ohio Administrative Code 4901:1-10-10, </w:t>
      </w:r>
      <w:r>
        <w:t>Case No. 12-1132-EL-ESS, Corrected Annual Report</w:t>
      </w:r>
      <w:r>
        <w:rPr>
          <w:i/>
        </w:rPr>
        <w:t xml:space="preserve"> </w:t>
      </w:r>
      <w:r>
        <w:t>(April 9, 2012).</w:t>
      </w:r>
    </w:p>
  </w:footnote>
  <w:footnote w:id="27">
    <w:p w14:paraId="571AE565" w14:textId="77777777" w:rsidR="00592A3E" w:rsidRDefault="00592A3E" w:rsidP="00A2253B">
      <w:pPr>
        <w:pStyle w:val="FootnoteText"/>
        <w:spacing w:after="120"/>
      </w:pPr>
      <w:r>
        <w:rPr>
          <w:rStyle w:val="FootnoteReference"/>
        </w:rPr>
        <w:footnoteRef/>
      </w:r>
      <w:r>
        <w:t xml:space="preserve"> Ohio Admin. Code 4901:1-10-10(E).</w:t>
      </w:r>
    </w:p>
  </w:footnote>
  <w:footnote w:id="28">
    <w:p w14:paraId="3DDF36D2" w14:textId="292B1623" w:rsidR="00592A3E" w:rsidRDefault="00592A3E" w:rsidP="00A2253B">
      <w:pPr>
        <w:pStyle w:val="FootnoteText"/>
        <w:spacing w:after="120"/>
      </w:pPr>
      <w:r>
        <w:rPr>
          <w:rStyle w:val="FootnoteReference"/>
        </w:rPr>
        <w:footnoteRef/>
      </w:r>
      <w:r>
        <w:t xml:space="preserve"> Case No. 12-1132-EL-ESS, CSP Annual Report at 2 of 35 (April 8, 2012</w:t>
      </w:r>
      <w:r w:rsidRPr="00B50DAC">
        <w:t xml:space="preserve">).  </w:t>
      </w:r>
      <w:r>
        <w:t xml:space="preserve">Table 3 demonstrates that </w:t>
      </w:r>
      <w:r w:rsidRPr="00B50DAC">
        <w:t>CSP reliability performance for SAIFI exceeds the standard.  Reliability performance for CAIDI was worse than the standards.</w:t>
      </w:r>
      <w:r>
        <w:t xml:space="preserve"> </w:t>
      </w:r>
    </w:p>
  </w:footnote>
  <w:footnote w:id="29">
    <w:p w14:paraId="3746FC0B" w14:textId="77777777" w:rsidR="00592A3E" w:rsidRDefault="00592A3E" w:rsidP="00A2253B">
      <w:pPr>
        <w:pStyle w:val="FootnoteText"/>
        <w:spacing w:after="120"/>
      </w:pPr>
      <w:r>
        <w:rPr>
          <w:rStyle w:val="FootnoteReference"/>
        </w:rPr>
        <w:footnoteRef/>
      </w:r>
      <w:r>
        <w:t xml:space="preserve"> Negative numbers represent an improvement compared to the current standard, while positive numbers reflect a decline in reliability compared to the current standard.</w:t>
      </w:r>
    </w:p>
  </w:footnote>
  <w:footnote w:id="30">
    <w:p w14:paraId="393FFF19" w14:textId="77777777" w:rsidR="00592A3E" w:rsidRDefault="00592A3E" w:rsidP="00A2253B">
      <w:pPr>
        <w:pStyle w:val="FootnoteText"/>
        <w:spacing w:after="120"/>
      </w:pPr>
      <w:r>
        <w:rPr>
          <w:rStyle w:val="FootnoteReference"/>
        </w:rPr>
        <w:footnoteRef/>
      </w:r>
      <w:r>
        <w:t xml:space="preserve"> Ohio Admin. Code 4901:1-10-10(C).</w:t>
      </w:r>
    </w:p>
  </w:footnote>
  <w:footnote w:id="31">
    <w:p w14:paraId="672A3866" w14:textId="4029AF40" w:rsidR="00592A3E" w:rsidRDefault="00592A3E" w:rsidP="00654100">
      <w:pPr>
        <w:pStyle w:val="FootnoteText"/>
        <w:spacing w:after="120"/>
      </w:pPr>
      <w:r>
        <w:rPr>
          <w:rStyle w:val="FootnoteReference"/>
        </w:rPr>
        <w:footnoteRef/>
      </w:r>
      <w:r>
        <w:t xml:space="preserve"> Case No. 12-945EL-ESS, Application at 16 (June 29, 2012).</w:t>
      </w:r>
    </w:p>
  </w:footnote>
  <w:footnote w:id="32">
    <w:p w14:paraId="59C2847C" w14:textId="60AD1D65" w:rsidR="00592A3E" w:rsidRDefault="00592A3E" w:rsidP="00A2253B">
      <w:pPr>
        <w:pStyle w:val="FootnoteText"/>
        <w:spacing w:after="120"/>
      </w:pPr>
      <w:r>
        <w:rPr>
          <w:rStyle w:val="FootnoteReference"/>
        </w:rPr>
        <w:footnoteRef/>
      </w:r>
      <w:r>
        <w:t xml:space="preserve"> Case No. 10-2376-EL-UNC, Application at 4 (</w:t>
      </w:r>
      <w:r w:rsidRPr="007D61B9">
        <w:t>October 18, 2010</w:t>
      </w:r>
      <w:r>
        <w:t>).</w:t>
      </w:r>
    </w:p>
  </w:footnote>
  <w:footnote w:id="33">
    <w:p w14:paraId="16616450" w14:textId="77777777" w:rsidR="00592A3E" w:rsidRDefault="00592A3E" w:rsidP="00A2253B">
      <w:pPr>
        <w:pStyle w:val="FootnoteText"/>
        <w:spacing w:after="120"/>
      </w:pPr>
      <w:r>
        <w:rPr>
          <w:rStyle w:val="FootnoteReference"/>
        </w:rPr>
        <w:footnoteRef/>
      </w:r>
      <w:r>
        <w:t xml:space="preserve"> Case No. 10-2376-EL-UNC, Opinion and Order at 56 (December 14, 2011).</w:t>
      </w:r>
    </w:p>
  </w:footnote>
  <w:footnote w:id="34">
    <w:p w14:paraId="31520DAE" w14:textId="77777777" w:rsidR="00592A3E" w:rsidRDefault="00592A3E" w:rsidP="00A2253B">
      <w:pPr>
        <w:pStyle w:val="FootnoteText"/>
        <w:spacing w:after="120"/>
      </w:pPr>
      <w:r>
        <w:rPr>
          <w:rStyle w:val="FootnoteReference"/>
        </w:rPr>
        <w:footnoteRef/>
      </w:r>
      <w:r>
        <w:t xml:space="preserve"> Case No. 10-2376-EL-UNC, Application at 4 (October 18, 2010).</w:t>
      </w:r>
    </w:p>
  </w:footnote>
  <w:footnote w:id="35">
    <w:p w14:paraId="33E3A407" w14:textId="6C4D8408" w:rsidR="00592A3E" w:rsidRDefault="00592A3E" w:rsidP="00654100">
      <w:pPr>
        <w:pStyle w:val="FootnoteText"/>
        <w:spacing w:after="120"/>
      </w:pPr>
      <w:r>
        <w:rPr>
          <w:rStyle w:val="FootnoteReference"/>
        </w:rPr>
        <w:footnoteRef/>
      </w:r>
      <w:r>
        <w:t xml:space="preserve"> Case No. 12-945-EL-ESS, Application at 2 (June 29, 2012).</w:t>
      </w:r>
    </w:p>
  </w:footnote>
  <w:footnote w:id="36">
    <w:p w14:paraId="3F1875E3" w14:textId="77777777" w:rsidR="00592A3E" w:rsidRDefault="00592A3E" w:rsidP="00A2253B">
      <w:pPr>
        <w:pStyle w:val="FootnoteText"/>
        <w:spacing w:after="120"/>
      </w:pPr>
      <w:r>
        <w:rPr>
          <w:rStyle w:val="FootnoteReference"/>
        </w:rPr>
        <w:footnoteRef/>
      </w:r>
      <w:r>
        <w:t xml:space="preserve"> Case No. 09-756-EL-ESS, Application at 4 (August 27, 2009).</w:t>
      </w:r>
    </w:p>
  </w:footnote>
  <w:footnote w:id="37">
    <w:p w14:paraId="286F5B09" w14:textId="77777777" w:rsidR="00592A3E" w:rsidRDefault="00592A3E" w:rsidP="00A2253B">
      <w:pPr>
        <w:pStyle w:val="FootnoteText"/>
        <w:spacing w:after="120"/>
      </w:pPr>
      <w:r>
        <w:rPr>
          <w:rStyle w:val="FootnoteReference"/>
        </w:rPr>
        <w:footnoteRef/>
      </w:r>
      <w:r>
        <w:t xml:space="preserve"> Id.</w:t>
      </w:r>
    </w:p>
  </w:footnote>
  <w:footnote w:id="38">
    <w:p w14:paraId="53042C61" w14:textId="77777777" w:rsidR="00592A3E" w:rsidRDefault="00592A3E" w:rsidP="00A2253B">
      <w:pPr>
        <w:pStyle w:val="FootnoteText"/>
        <w:spacing w:after="120"/>
      </w:pPr>
      <w:r>
        <w:rPr>
          <w:rStyle w:val="FootnoteReference"/>
        </w:rPr>
        <w:footnoteRef/>
      </w:r>
      <w:r>
        <w:t xml:space="preserve"> Id.</w:t>
      </w:r>
    </w:p>
  </w:footnote>
  <w:footnote w:id="39">
    <w:p w14:paraId="62276359" w14:textId="77777777" w:rsidR="00592A3E" w:rsidRDefault="00592A3E" w:rsidP="00A2253B">
      <w:pPr>
        <w:pStyle w:val="FootnoteText"/>
        <w:spacing w:after="120"/>
      </w:pPr>
      <w:r>
        <w:rPr>
          <w:rStyle w:val="FootnoteReference"/>
        </w:rPr>
        <w:footnoteRef/>
      </w:r>
      <w:r>
        <w:t xml:space="preserve"> Ohio Admin. Code 4901:1-10-01.</w:t>
      </w:r>
    </w:p>
  </w:footnote>
  <w:footnote w:id="40">
    <w:p w14:paraId="1C1B2C92" w14:textId="77777777" w:rsidR="00592A3E" w:rsidRDefault="00592A3E" w:rsidP="00A2253B">
      <w:pPr>
        <w:pStyle w:val="FootnoteText"/>
        <w:spacing w:after="120"/>
      </w:pPr>
      <w:r>
        <w:rPr>
          <w:rStyle w:val="FootnoteReference"/>
        </w:rPr>
        <w:footnoteRef/>
      </w:r>
      <w:r>
        <w:t xml:space="preserve"> According to the IEE</w:t>
      </w:r>
      <w:r w:rsidRPr="00C77B6B">
        <w:t>E</w:t>
      </w:r>
      <w:r>
        <w:t xml:space="preserve"> standard, a major event designates an event that exceeds the reasonable design and or operational limits of the distribution system.</w:t>
      </w:r>
    </w:p>
  </w:footnote>
  <w:footnote w:id="41">
    <w:p w14:paraId="59898B58" w14:textId="77777777" w:rsidR="00592A3E" w:rsidRPr="00A467C8" w:rsidRDefault="00592A3E" w:rsidP="00A2253B">
      <w:pPr>
        <w:pStyle w:val="FootnoteText"/>
        <w:spacing w:after="120"/>
      </w:pPr>
      <w:r>
        <w:rPr>
          <w:rStyle w:val="FootnoteReference"/>
        </w:rPr>
        <w:footnoteRef/>
      </w:r>
      <w:r>
        <w:t xml:space="preserve"> </w:t>
      </w:r>
      <w:r>
        <w:rPr>
          <w:i/>
        </w:rPr>
        <w:t xml:space="preserve">In the Matter of the Annual Report of the Cleveland Electric Illuminating Company, the Ohio Edison, and the Toledo Edison Pursuant to Rule 10 of the Electric Service and Safety Standards, Ohio Admin. Code 4901:1-10-10, </w:t>
      </w:r>
      <w:r>
        <w:t>Case No. 12-0451-EL-ESS (March 30, 2012).</w:t>
      </w:r>
    </w:p>
  </w:footnote>
  <w:footnote w:id="42">
    <w:p w14:paraId="0CB3928D" w14:textId="77777777" w:rsidR="00592A3E" w:rsidRDefault="00592A3E" w:rsidP="00A2253B">
      <w:pPr>
        <w:pStyle w:val="FootnoteText"/>
        <w:spacing w:after="120"/>
      </w:pPr>
      <w:r>
        <w:rPr>
          <w:rStyle w:val="FootnoteReference"/>
        </w:rPr>
        <w:footnoteRef/>
      </w:r>
      <w:r>
        <w:t xml:space="preserve"> Ohio Admin. Code 4901:1-10-10(B)(4)(a).</w:t>
      </w:r>
    </w:p>
  </w:footnote>
  <w:footnote w:id="43">
    <w:p w14:paraId="6009EE0F" w14:textId="77777777" w:rsidR="00592A3E" w:rsidRDefault="00592A3E" w:rsidP="00A2253B">
      <w:pPr>
        <w:pStyle w:val="FootnoteText"/>
        <w:spacing w:after="120"/>
      </w:pPr>
      <w:r>
        <w:rPr>
          <w:rStyle w:val="FootnoteReference"/>
        </w:rPr>
        <w:footnoteRef/>
      </w:r>
      <w:r>
        <w:t xml:space="preserve"> Ohio Admin. Code 4928.11.</w:t>
      </w:r>
    </w:p>
  </w:footnote>
  <w:footnote w:id="44">
    <w:p w14:paraId="77FE902F" w14:textId="77777777" w:rsidR="00592A3E" w:rsidRPr="008364F9" w:rsidRDefault="00592A3E" w:rsidP="00A2253B">
      <w:pPr>
        <w:pStyle w:val="FootnoteText"/>
        <w:spacing w:after="120"/>
      </w:pPr>
      <w:r>
        <w:rPr>
          <w:rStyle w:val="FootnoteReference"/>
        </w:rPr>
        <w:footnoteRef/>
      </w:r>
      <w:r>
        <w:t xml:space="preserve"> </w:t>
      </w:r>
      <w:r>
        <w:rPr>
          <w:i/>
        </w:rPr>
        <w:t xml:space="preserve">In the Matter of Columbus Southern Power Company and Ohio Power Company for Authority to Establish a Standard Service Offer Pursuant to 4928.143 Ohio Rev. Code in the Form of an Electric Security Plan, </w:t>
      </w:r>
      <w:r>
        <w:t>Case No. 11-346-EL-SSO, Direct Testimony of Thomas Kirkpatrick at 8 (March 30, 2012).</w:t>
      </w:r>
    </w:p>
  </w:footnote>
  <w:footnote w:id="45">
    <w:p w14:paraId="7BEE5A00" w14:textId="77777777" w:rsidR="00592A3E" w:rsidRDefault="00592A3E" w:rsidP="00A2253B">
      <w:pPr>
        <w:pStyle w:val="FootnoteText"/>
        <w:spacing w:after="120"/>
      </w:pPr>
      <w:r>
        <w:rPr>
          <w:rStyle w:val="FootnoteReference"/>
        </w:rPr>
        <w:footnoteRef/>
      </w:r>
      <w:r>
        <w:t xml:space="preserve"> Case No. 11-346-EL-SSO, Opinion and Order at 61-63 (August 8, 2012)</w:t>
      </w:r>
    </w:p>
  </w:footnote>
  <w:footnote w:id="46">
    <w:p w14:paraId="01FFA6D1" w14:textId="77777777" w:rsidR="00592A3E" w:rsidRDefault="00592A3E" w:rsidP="00A2253B">
      <w:pPr>
        <w:pStyle w:val="FootnoteText"/>
        <w:spacing w:after="120"/>
      </w:pPr>
      <w:r>
        <w:rPr>
          <w:rStyle w:val="FootnoteReference"/>
        </w:rPr>
        <w:footnoteRef/>
      </w:r>
      <w:r>
        <w:t xml:space="preserve"> Id. at 42-44. </w:t>
      </w:r>
    </w:p>
  </w:footnote>
  <w:footnote w:id="47">
    <w:p w14:paraId="47AF5A4B" w14:textId="77777777" w:rsidR="00592A3E" w:rsidRPr="003A41D0" w:rsidRDefault="00592A3E" w:rsidP="00A2253B">
      <w:pPr>
        <w:pStyle w:val="FootnoteText"/>
        <w:spacing w:after="120"/>
      </w:pPr>
      <w:r>
        <w:rPr>
          <w:rStyle w:val="FootnoteReference"/>
        </w:rPr>
        <w:footnoteRef/>
      </w:r>
      <w:r>
        <w:t xml:space="preserve"> Case No. 11-351-EL-AIR, Opinion and Order at 8 (December 14, 2011).</w:t>
      </w:r>
    </w:p>
  </w:footnote>
  <w:footnote w:id="48">
    <w:p w14:paraId="2D27DC32" w14:textId="77777777" w:rsidR="00592A3E" w:rsidRDefault="00592A3E" w:rsidP="00A2253B">
      <w:pPr>
        <w:pStyle w:val="FootnoteText"/>
        <w:spacing w:after="120"/>
      </w:pPr>
      <w:r>
        <w:rPr>
          <w:rStyle w:val="FootnoteReference"/>
        </w:rPr>
        <w:footnoteRef/>
      </w:r>
      <w:r>
        <w:t xml:space="preserve"> Id. at 8. </w:t>
      </w:r>
    </w:p>
  </w:footnote>
  <w:footnote w:id="49">
    <w:p w14:paraId="6D3738B0" w14:textId="77777777" w:rsidR="00592A3E" w:rsidRDefault="00592A3E" w:rsidP="00A2253B">
      <w:pPr>
        <w:pStyle w:val="FootnoteText"/>
        <w:spacing w:after="120"/>
      </w:pPr>
      <w:r>
        <w:rPr>
          <w:rStyle w:val="FootnoteReference"/>
        </w:rPr>
        <w:footnoteRef/>
      </w:r>
      <w:r>
        <w:t xml:space="preserve"> PUCO No. 20, Sheet 310-1D.</w:t>
      </w:r>
    </w:p>
  </w:footnote>
  <w:footnote w:id="50">
    <w:p w14:paraId="7A869F8F" w14:textId="77777777" w:rsidR="00592A3E" w:rsidRDefault="00592A3E" w:rsidP="00A2253B">
      <w:pPr>
        <w:pStyle w:val="FootnoteText"/>
        <w:spacing w:after="120"/>
      </w:pPr>
      <w:r>
        <w:rPr>
          <w:rStyle w:val="FootnoteReference"/>
        </w:rPr>
        <w:footnoteRef/>
      </w:r>
      <w:r>
        <w:t xml:space="preserve"> PUCO No. 20, Sheet 210-1D.</w:t>
      </w:r>
    </w:p>
  </w:footnote>
  <w:footnote w:id="51">
    <w:p w14:paraId="19A4393F" w14:textId="77777777" w:rsidR="00592A3E" w:rsidRDefault="00592A3E" w:rsidP="00A2253B">
      <w:pPr>
        <w:pStyle w:val="FootnoteText"/>
        <w:spacing w:after="120"/>
      </w:pPr>
      <w:r>
        <w:rPr>
          <w:rStyle w:val="FootnoteReference"/>
        </w:rPr>
        <w:footnoteRef/>
      </w:r>
      <w:r>
        <w:t xml:space="preserve"> Ohio Admin. Code 4901:1-10-26(B).</w:t>
      </w:r>
    </w:p>
  </w:footnote>
  <w:footnote w:id="52">
    <w:p w14:paraId="4C34E8F2" w14:textId="77777777" w:rsidR="00592A3E" w:rsidRDefault="00592A3E" w:rsidP="00A2253B">
      <w:pPr>
        <w:pStyle w:val="FootnoteText"/>
        <w:spacing w:after="120"/>
      </w:pPr>
      <w:r>
        <w:rPr>
          <w:rStyle w:val="FootnoteReference"/>
        </w:rPr>
        <w:footnoteRef/>
      </w:r>
      <w:r>
        <w:t xml:space="preserve"> Ohio Admin. Code 4901:1-10-26(B)(3)(d).</w:t>
      </w:r>
    </w:p>
  </w:footnote>
  <w:footnote w:id="53">
    <w:p w14:paraId="24D97B8F" w14:textId="77777777" w:rsidR="00592A3E" w:rsidRDefault="00592A3E" w:rsidP="00A2253B">
      <w:pPr>
        <w:pStyle w:val="FootnoteText"/>
        <w:spacing w:after="120"/>
      </w:pPr>
      <w:r>
        <w:rPr>
          <w:rStyle w:val="FootnoteReference"/>
        </w:rPr>
        <w:footnoteRef/>
      </w:r>
      <w:r>
        <w:t xml:space="preserve"> </w:t>
      </w:r>
      <w:r>
        <w:rPr>
          <w:i/>
        </w:rPr>
        <w:t xml:space="preserve">In the Matter of the Annual Report of Ohio Power Company and Columbus Southern Power Company Pursuant to Rule 26 of the Electric Service and Safety Standards, Ohio Administrative Code 4901:1-10-26, </w:t>
      </w:r>
      <w:r>
        <w:t>Case No. 10-996-EL-ESS (March 30, 2010).</w:t>
      </w:r>
    </w:p>
  </w:footnote>
  <w:footnote w:id="54">
    <w:p w14:paraId="4665E927" w14:textId="77777777" w:rsidR="00592A3E" w:rsidRDefault="00592A3E" w:rsidP="00A2253B">
      <w:pPr>
        <w:pStyle w:val="FootnoteText"/>
        <w:spacing w:after="120"/>
      </w:pPr>
      <w:r>
        <w:rPr>
          <w:rStyle w:val="FootnoteReference"/>
        </w:rPr>
        <w:footnoteRef/>
      </w:r>
      <w:r>
        <w:t xml:space="preserve"> </w:t>
      </w:r>
      <w:r>
        <w:rPr>
          <w:i/>
        </w:rPr>
        <w:t xml:space="preserve">In the Matter of the Annual Report of Ohio Power Company and Columbus Southern Power Company Pursuant to Rule 26 of the Electric Service and Safety Standards, Ohio Administrative Code 4901:1-10-26, </w:t>
      </w:r>
      <w:r>
        <w:t>Case No. 11-996-EL-ESS (March 30, 2011).</w:t>
      </w:r>
    </w:p>
  </w:footnote>
  <w:footnote w:id="55">
    <w:p w14:paraId="4EAE4C97" w14:textId="77777777" w:rsidR="00592A3E" w:rsidRPr="00044381" w:rsidRDefault="00592A3E" w:rsidP="00A2253B">
      <w:pPr>
        <w:pStyle w:val="FootnoteText"/>
        <w:spacing w:after="120"/>
      </w:pPr>
      <w:r>
        <w:rPr>
          <w:rStyle w:val="FootnoteReference"/>
        </w:rPr>
        <w:footnoteRef/>
      </w:r>
      <w:r>
        <w:t xml:space="preserve"> </w:t>
      </w:r>
      <w:r>
        <w:rPr>
          <w:i/>
        </w:rPr>
        <w:t xml:space="preserve">In the Matter of the Annual Report of Ohio Power Company and Columbus Southern Power Company Pursuant to Rule 26 of the Electric Service and Safety Standards, Ohio Administrative Code 4901:1-10-26, </w:t>
      </w:r>
      <w:r>
        <w:t>Case No. 12-996-EL-ESS (March 30, 2012).</w:t>
      </w:r>
    </w:p>
  </w:footnote>
  <w:footnote w:id="56">
    <w:p w14:paraId="0FBD2B61" w14:textId="16A5DD99" w:rsidR="00592A3E" w:rsidRDefault="00592A3E" w:rsidP="00A2253B">
      <w:pPr>
        <w:pStyle w:val="FootnoteText"/>
        <w:spacing w:after="120"/>
      </w:pPr>
      <w:r>
        <w:rPr>
          <w:rStyle w:val="FootnoteReference"/>
        </w:rPr>
        <w:footnoteRef/>
      </w:r>
      <w:r>
        <w:t xml:space="preserve"> Case No. 12-996-EL-ESS, Annual Report of Columbus Southern Power Company at 34 (March 30, 2012).</w:t>
      </w:r>
    </w:p>
  </w:footnote>
  <w:footnote w:id="57">
    <w:p w14:paraId="6735D8A4" w14:textId="77777777" w:rsidR="00592A3E" w:rsidRDefault="00592A3E" w:rsidP="00A2253B">
      <w:pPr>
        <w:pStyle w:val="FootnoteText"/>
        <w:spacing w:after="120"/>
      </w:pPr>
      <w:r>
        <w:rPr>
          <w:rStyle w:val="FootnoteReference"/>
        </w:rPr>
        <w:footnoteRef/>
      </w:r>
      <w:r>
        <w:t xml:space="preserve"> Id. </w:t>
      </w:r>
    </w:p>
  </w:footnote>
  <w:footnote w:id="58">
    <w:p w14:paraId="17C4F275" w14:textId="77777777" w:rsidR="00592A3E" w:rsidRPr="006E3EFB" w:rsidRDefault="00592A3E" w:rsidP="00A2253B">
      <w:pPr>
        <w:autoSpaceDE w:val="0"/>
        <w:autoSpaceDN w:val="0"/>
        <w:adjustRightInd w:val="0"/>
        <w:spacing w:after="120"/>
        <w:rPr>
          <w:sz w:val="20"/>
          <w:szCs w:val="20"/>
        </w:rPr>
      </w:pPr>
      <w:r w:rsidRPr="006E3EFB">
        <w:rPr>
          <w:rStyle w:val="FootnoteReference"/>
          <w:sz w:val="20"/>
          <w:szCs w:val="20"/>
        </w:rPr>
        <w:footnoteRef/>
      </w:r>
      <w:r w:rsidRPr="006E3EFB">
        <w:rPr>
          <w:sz w:val="20"/>
          <w:szCs w:val="20"/>
        </w:rPr>
        <w:t xml:space="preserve"> Case No. 10-2376-EL-UNC, Application at 4 (October 18, 2010).</w:t>
      </w:r>
    </w:p>
  </w:footnote>
  <w:footnote w:id="59">
    <w:p w14:paraId="79963509" w14:textId="04F9B3AF" w:rsidR="00592A3E" w:rsidRDefault="00592A3E" w:rsidP="00A2253B">
      <w:pPr>
        <w:pStyle w:val="FootnoteText"/>
        <w:spacing w:after="120"/>
      </w:pPr>
      <w:r>
        <w:rPr>
          <w:rStyle w:val="FootnoteReference"/>
        </w:rPr>
        <w:footnoteRef/>
      </w:r>
      <w:r>
        <w:t xml:space="preserve"> Ohio Admin. Code 4901:1-10-26.</w:t>
      </w:r>
    </w:p>
  </w:footnote>
  <w:footnote w:id="60">
    <w:p w14:paraId="127DA5DD" w14:textId="57CB7778" w:rsidR="00592A3E" w:rsidRDefault="00592A3E" w:rsidP="00A2253B">
      <w:pPr>
        <w:pStyle w:val="FootnoteText"/>
        <w:spacing w:after="120"/>
      </w:pPr>
      <w:r>
        <w:rPr>
          <w:rStyle w:val="FootnoteReference"/>
        </w:rPr>
        <w:footnoteRef/>
      </w:r>
      <w:r>
        <w:t xml:space="preserve"> </w:t>
      </w:r>
      <w:hyperlink r:id="rId1" w:history="1">
        <w:r w:rsidRPr="00D619A5">
          <w:rPr>
            <w:rStyle w:val="Hyperlink"/>
          </w:rPr>
          <w:t>http://www.puco.ohio.gov/puco/index.cfm/rules/pending-rules/rule-49011-10-10b-guidelines-for-reliability-standards-applications/</w:t>
        </w:r>
      </w:hyperlink>
      <w:r>
        <w:t xml:space="preserve"> </w:t>
      </w:r>
    </w:p>
  </w:footnote>
  <w:footnote w:id="61">
    <w:p w14:paraId="7950D20B" w14:textId="2B91E6BD" w:rsidR="00592A3E" w:rsidRPr="000A5329" w:rsidRDefault="00592A3E" w:rsidP="00A2253B">
      <w:pPr>
        <w:pStyle w:val="FootnoteText"/>
        <w:spacing w:after="120"/>
        <w:rPr>
          <w:i/>
        </w:rPr>
      </w:pPr>
      <w:r>
        <w:rPr>
          <w:rStyle w:val="FootnoteReference"/>
        </w:rPr>
        <w:footnoteRef/>
      </w:r>
      <w:r>
        <w:t xml:space="preserve"> Case No. 11-346-EL-SSO, Opinion and Order at 61 (August 8, 2012).</w:t>
      </w:r>
    </w:p>
  </w:footnote>
  <w:footnote w:id="62">
    <w:p w14:paraId="2C96EA21" w14:textId="77777777" w:rsidR="00592A3E" w:rsidRDefault="00592A3E" w:rsidP="00A2253B">
      <w:pPr>
        <w:pStyle w:val="FootnoteText"/>
        <w:spacing w:after="120"/>
      </w:pPr>
      <w:r>
        <w:rPr>
          <w:rStyle w:val="FootnoteReference"/>
        </w:rPr>
        <w:footnoteRef/>
      </w:r>
      <w:r>
        <w:t xml:space="preserve"> </w:t>
      </w:r>
      <w:r w:rsidRPr="000A5329">
        <w:rPr>
          <w:i/>
        </w:rPr>
        <w:t>In the Matter of the Application of Columbus Southern Power Company and Ohio Power Company for Approval of an Electric Security Plan; an Amendment to its Corporate Separation Plan; and the Sale or Transfer of Certain Generating Assets</w:t>
      </w:r>
      <w:r>
        <w:t>, Case 08-917-EL-SSO and 08-918-EL-SSO, Opinion and Order at 34 (March 18, 2009).</w:t>
      </w:r>
    </w:p>
  </w:footnote>
  <w:footnote w:id="63">
    <w:p w14:paraId="34A0D0D3" w14:textId="77777777" w:rsidR="00592A3E" w:rsidRDefault="00592A3E" w:rsidP="00A2253B">
      <w:pPr>
        <w:pStyle w:val="FootnoteText"/>
        <w:spacing w:after="120"/>
      </w:pPr>
      <w:r>
        <w:rPr>
          <w:rStyle w:val="FootnoteReference"/>
        </w:rPr>
        <w:footnoteRef/>
      </w:r>
      <w:r>
        <w:t xml:space="preserve"> Id. at 33.</w:t>
      </w:r>
    </w:p>
  </w:footnote>
  <w:footnote w:id="64">
    <w:p w14:paraId="18780A84" w14:textId="26F961E4" w:rsidR="00592A3E" w:rsidRPr="00C21A9A" w:rsidRDefault="00592A3E" w:rsidP="00A2253B">
      <w:pPr>
        <w:pStyle w:val="FootnoteText"/>
        <w:spacing w:after="120"/>
        <w:rPr>
          <w:i/>
        </w:rPr>
      </w:pPr>
      <w:r>
        <w:rPr>
          <w:rStyle w:val="FootnoteReference"/>
        </w:rPr>
        <w:footnoteRef/>
      </w:r>
      <w:r w:rsidRPr="00654100">
        <w:t xml:space="preserve"> Case No. 11-346-EL-SSO et al,</w:t>
      </w:r>
      <w:r>
        <w:rPr>
          <w:i/>
        </w:rPr>
        <w:t xml:space="preserve"> </w:t>
      </w:r>
      <w:r>
        <w:t>Case No. 12-3129-EL-UNC, Work Plan (December 3, 2012)</w:t>
      </w:r>
      <w:r>
        <w:rPr>
          <w:i/>
        </w:rPr>
        <w:t>.</w:t>
      </w:r>
    </w:p>
  </w:footnote>
  <w:footnote w:id="65">
    <w:p w14:paraId="503837F4" w14:textId="77777777" w:rsidR="00592A3E" w:rsidRDefault="00592A3E" w:rsidP="00A2253B">
      <w:pPr>
        <w:pStyle w:val="FootnoteText"/>
        <w:spacing w:after="120"/>
      </w:pPr>
      <w:r>
        <w:rPr>
          <w:rStyle w:val="FootnoteReference"/>
        </w:rPr>
        <w:footnoteRef/>
      </w:r>
      <w:r>
        <w:t xml:space="preserve"> Case No. 11-346-EL-SSO, Opinion and Order at 46 (August 8, 2012). </w:t>
      </w:r>
    </w:p>
  </w:footnote>
  <w:footnote w:id="66">
    <w:p w14:paraId="17C768DB" w14:textId="77777777" w:rsidR="00592A3E" w:rsidRDefault="00592A3E" w:rsidP="00A2253B">
      <w:pPr>
        <w:pStyle w:val="FootnoteText"/>
        <w:spacing w:after="120"/>
      </w:pPr>
      <w:r>
        <w:rPr>
          <w:rStyle w:val="FootnoteReference"/>
        </w:rPr>
        <w:footnoteRef/>
      </w:r>
      <w:r>
        <w:t xml:space="preserve"> Id. at 47. </w:t>
      </w:r>
    </w:p>
  </w:footnote>
  <w:footnote w:id="67">
    <w:p w14:paraId="580E4B89" w14:textId="77777777" w:rsidR="00592A3E" w:rsidRDefault="00592A3E" w:rsidP="00A2253B">
      <w:pPr>
        <w:pStyle w:val="FootnoteText"/>
        <w:spacing w:after="120"/>
      </w:pPr>
      <w:r>
        <w:rPr>
          <w:rStyle w:val="FootnoteReference"/>
        </w:rPr>
        <w:footnoteRef/>
      </w:r>
      <w:r>
        <w:t xml:space="preserve"> Case No. 11-351-EL-AIR, Opinion and Order at 7 (December 14, 2011).</w:t>
      </w:r>
    </w:p>
  </w:footnote>
  <w:footnote w:id="68">
    <w:p w14:paraId="3774A687" w14:textId="77777777" w:rsidR="00592A3E" w:rsidRDefault="00592A3E" w:rsidP="00A2253B">
      <w:pPr>
        <w:pStyle w:val="FootnoteText"/>
        <w:spacing w:after="120"/>
      </w:pPr>
      <w:r>
        <w:rPr>
          <w:rStyle w:val="FootnoteReference"/>
        </w:rPr>
        <w:footnoteRef/>
      </w:r>
      <w:r>
        <w:t xml:space="preserve"> Case No. 08-917-EL-SSO, Opinion and Order at 32 (March 18, 2009).</w:t>
      </w:r>
    </w:p>
  </w:footnote>
  <w:footnote w:id="69">
    <w:p w14:paraId="11256821" w14:textId="5E223635" w:rsidR="00592A3E" w:rsidRDefault="00592A3E" w:rsidP="00A2253B">
      <w:pPr>
        <w:pStyle w:val="FootnoteText"/>
        <w:spacing w:after="120"/>
      </w:pPr>
      <w:r>
        <w:rPr>
          <w:rStyle w:val="FootnoteReference"/>
        </w:rPr>
        <w:footnoteRef/>
      </w:r>
      <w:hyperlink r:id="rId2" w:history="1">
        <w:r w:rsidRPr="00F46A01">
          <w:rPr>
            <w:rStyle w:val="Hyperlink"/>
          </w:rPr>
          <w:t>http://www.puco.ohio.gov/puco/index.cfm/rules/pending-rules/rule-49011-10-10b-guidelines-for-reliability-standards-applications/</w:t>
        </w:r>
      </w:hyperlink>
    </w:p>
  </w:footnote>
  <w:footnote w:id="70">
    <w:p w14:paraId="631880B8" w14:textId="77777777" w:rsidR="00592A3E" w:rsidRDefault="00592A3E" w:rsidP="00A2253B">
      <w:pPr>
        <w:pStyle w:val="FootnoteText"/>
        <w:spacing w:after="120"/>
      </w:pPr>
      <w:r>
        <w:rPr>
          <w:rStyle w:val="FootnoteReference"/>
        </w:rPr>
        <w:footnoteRef/>
      </w:r>
      <w:r>
        <w:t xml:space="preserve"> Staff Guidelines at paragraph 2.</w:t>
      </w:r>
    </w:p>
  </w:footnote>
  <w:footnote w:id="71">
    <w:p w14:paraId="3E0EFEAA" w14:textId="77777777" w:rsidR="00592A3E" w:rsidRPr="00AC269F" w:rsidRDefault="00592A3E" w:rsidP="00A2253B">
      <w:pPr>
        <w:pStyle w:val="FootnoteText"/>
        <w:spacing w:after="120"/>
        <w:rPr>
          <w:i/>
        </w:rPr>
      </w:pPr>
      <w:r>
        <w:rPr>
          <w:rStyle w:val="FootnoteReference"/>
        </w:rPr>
        <w:footnoteRef/>
      </w:r>
      <w:r>
        <w:rPr>
          <w:i/>
        </w:rPr>
        <w:t xml:space="preserve"> In the Matter of the Annual Report of Columbus Southern Power Pursuant to Rule 10 of the Electric Service and Safety Standards, Ohio Administrative Code 4901:1-10-10, </w:t>
      </w:r>
      <w:r>
        <w:t>Case 12-1132-EL-ESS, at 2 (April 9, 2012).</w:t>
      </w:r>
    </w:p>
  </w:footnote>
  <w:footnote w:id="72">
    <w:p w14:paraId="604CA835" w14:textId="77777777" w:rsidR="00592A3E" w:rsidRDefault="00592A3E" w:rsidP="00A2253B">
      <w:pPr>
        <w:pStyle w:val="FootnoteText"/>
        <w:spacing w:after="120"/>
      </w:pPr>
      <w:r>
        <w:rPr>
          <w:rStyle w:val="FootnoteReference"/>
        </w:rPr>
        <w:footnoteRef/>
      </w:r>
      <w:r w:rsidRPr="00AE0E50">
        <w:rPr>
          <w:i/>
        </w:rPr>
        <w:t xml:space="preserve">In the Matter of the Annual Report of Columbus Southern Power Pursuant to Rule 10 of the Electric Service and Safety Standards, Ohio Administrative Code 4901:1-10-10, </w:t>
      </w:r>
      <w:r w:rsidRPr="00AE0E50">
        <w:t>Case 1</w:t>
      </w:r>
      <w:r>
        <w:t>1</w:t>
      </w:r>
      <w:r w:rsidRPr="00AE0E50">
        <w:t>-1</w:t>
      </w:r>
      <w:r>
        <w:t>914-</w:t>
      </w:r>
      <w:r w:rsidRPr="00AE0E50">
        <w:t>EL-ESS,</w:t>
      </w:r>
      <w:r>
        <w:t xml:space="preserve"> at 2 (August 31, 2011).</w:t>
      </w:r>
    </w:p>
  </w:footnote>
  <w:footnote w:id="73">
    <w:p w14:paraId="77DDDB08" w14:textId="77777777" w:rsidR="00592A3E" w:rsidRDefault="00592A3E" w:rsidP="00A2253B">
      <w:pPr>
        <w:pStyle w:val="FootnoteText"/>
        <w:spacing w:after="120"/>
      </w:pPr>
      <w:r>
        <w:rPr>
          <w:rStyle w:val="FootnoteReference"/>
        </w:rPr>
        <w:footnoteRef/>
      </w:r>
      <w:r>
        <w:rPr>
          <w:i/>
        </w:rPr>
        <w:t xml:space="preserve"> </w:t>
      </w:r>
      <w:r w:rsidRPr="00AE0E50">
        <w:rPr>
          <w:i/>
        </w:rPr>
        <w:t xml:space="preserve">In the Matter of the Annual Report of Columbus Southern Power Pursuant to Rule 10 of the Electric Service and Safety Standards, Ohio Administrative Code 4901:1-10-10, </w:t>
      </w:r>
      <w:r w:rsidRPr="00AE0E50">
        <w:t>Case 1</w:t>
      </w:r>
      <w:r>
        <w:t>0-439-EL-</w:t>
      </w:r>
      <w:r w:rsidRPr="00AE0E50">
        <w:t xml:space="preserve">ESS, </w:t>
      </w:r>
      <w:r>
        <w:t>at 1 (</w:t>
      </w:r>
      <w:r w:rsidRPr="00AE0E50">
        <w:t xml:space="preserve">April </w:t>
      </w:r>
      <w:r>
        <w:t>5, 2010).</w:t>
      </w:r>
    </w:p>
  </w:footnote>
  <w:footnote w:id="74">
    <w:p w14:paraId="1528C3AF" w14:textId="77777777" w:rsidR="00592A3E" w:rsidRPr="00AC269F" w:rsidRDefault="00592A3E" w:rsidP="00A2253B">
      <w:pPr>
        <w:pStyle w:val="FootnoteText"/>
        <w:spacing w:after="120"/>
        <w:rPr>
          <w:i/>
        </w:rPr>
      </w:pPr>
      <w:r>
        <w:rPr>
          <w:rStyle w:val="FootnoteReference"/>
        </w:rPr>
        <w:footnoteRef/>
      </w:r>
      <w:r>
        <w:rPr>
          <w:i/>
        </w:rPr>
        <w:t xml:space="preserve"> </w:t>
      </w:r>
      <w:r>
        <w:t>Case No. 09-756-EL-ESS, Application, at page 18 (August 27, 2009).</w:t>
      </w:r>
    </w:p>
  </w:footnote>
  <w:footnote w:id="75">
    <w:p w14:paraId="57E7DB20" w14:textId="77777777" w:rsidR="00592A3E" w:rsidRDefault="00592A3E" w:rsidP="00A2253B">
      <w:pPr>
        <w:pStyle w:val="FootnoteText"/>
        <w:spacing w:after="120"/>
      </w:pPr>
      <w:r>
        <w:rPr>
          <w:rStyle w:val="FootnoteReference"/>
        </w:rPr>
        <w:footnoteRef/>
      </w:r>
      <w:r>
        <w:t xml:space="preserve"> Id.</w:t>
      </w:r>
    </w:p>
  </w:footnote>
  <w:footnote w:id="76">
    <w:p w14:paraId="74CE508F" w14:textId="77777777" w:rsidR="00592A3E" w:rsidRPr="00AC269F" w:rsidRDefault="00592A3E" w:rsidP="00A2253B">
      <w:pPr>
        <w:pStyle w:val="FootnoteText"/>
        <w:spacing w:after="120"/>
        <w:rPr>
          <w:i/>
        </w:rPr>
      </w:pPr>
      <w:r>
        <w:rPr>
          <w:rStyle w:val="FootnoteReference"/>
        </w:rPr>
        <w:footnoteRef/>
      </w:r>
      <w:r>
        <w:rPr>
          <w:i/>
        </w:rPr>
        <w:t xml:space="preserve"> </w:t>
      </w:r>
      <w:r w:rsidRPr="00FE3407">
        <w:rPr>
          <w:i/>
        </w:rPr>
        <w:t xml:space="preserve">In the Matter of the Annual Report of </w:t>
      </w:r>
      <w:r>
        <w:rPr>
          <w:i/>
        </w:rPr>
        <w:t xml:space="preserve">The Ohio Power Company </w:t>
      </w:r>
      <w:r w:rsidRPr="00FE3407">
        <w:rPr>
          <w:i/>
        </w:rPr>
        <w:t xml:space="preserve">Pursuant to Rule 10 of the Electric Service and Safety Standards, Ohio Administrative Code 4901:1-10-10, </w:t>
      </w:r>
      <w:r w:rsidRPr="00FE3407">
        <w:t xml:space="preserve">Case </w:t>
      </w:r>
      <w:r>
        <w:t xml:space="preserve">No. </w:t>
      </w:r>
      <w:r w:rsidRPr="00FE3407">
        <w:t>12-1132-EL-ESS,</w:t>
      </w:r>
      <w:r>
        <w:t xml:space="preserve"> at 12 (March 30, </w:t>
      </w:r>
      <w:r w:rsidRPr="00FE3407">
        <w:t>2012</w:t>
      </w:r>
      <w:r>
        <w:t>)</w:t>
      </w:r>
      <w:r w:rsidRPr="00FE3407">
        <w:t>.</w:t>
      </w:r>
    </w:p>
  </w:footnote>
  <w:footnote w:id="77">
    <w:p w14:paraId="29F57A68" w14:textId="77777777" w:rsidR="00592A3E" w:rsidRDefault="00592A3E" w:rsidP="00A2253B">
      <w:pPr>
        <w:pStyle w:val="FootnoteText"/>
        <w:spacing w:after="120"/>
      </w:pPr>
      <w:r>
        <w:rPr>
          <w:rStyle w:val="FootnoteReference"/>
        </w:rPr>
        <w:footnoteRef/>
      </w:r>
      <w:r>
        <w:rPr>
          <w:i/>
        </w:rPr>
        <w:t xml:space="preserve"> </w:t>
      </w:r>
      <w:r w:rsidRPr="00FE3407">
        <w:rPr>
          <w:i/>
        </w:rPr>
        <w:t xml:space="preserve">In the Matter of the Annual Report of </w:t>
      </w:r>
      <w:r>
        <w:rPr>
          <w:i/>
        </w:rPr>
        <w:t xml:space="preserve">The Ohio Power Company </w:t>
      </w:r>
      <w:r w:rsidRPr="00FE3407">
        <w:rPr>
          <w:i/>
        </w:rPr>
        <w:t xml:space="preserve">Pursuant to Rule 10 of the Electric Service and Safety Standards, Ohio Administrative Code 4901:1-10-10, </w:t>
      </w:r>
      <w:r w:rsidRPr="00FE3407">
        <w:t>Case 11-1914-EL-ESS,</w:t>
      </w:r>
      <w:r>
        <w:t xml:space="preserve"> at 2 (September 1, 2011)</w:t>
      </w:r>
      <w:r w:rsidRPr="00FE3407">
        <w:t>.</w:t>
      </w:r>
    </w:p>
  </w:footnote>
  <w:footnote w:id="78">
    <w:p w14:paraId="4965B661" w14:textId="77777777" w:rsidR="00592A3E" w:rsidRDefault="00592A3E" w:rsidP="00A2253B">
      <w:pPr>
        <w:pStyle w:val="FootnoteText"/>
        <w:spacing w:after="120"/>
      </w:pPr>
      <w:r>
        <w:rPr>
          <w:rStyle w:val="FootnoteReference"/>
        </w:rPr>
        <w:footnoteRef/>
      </w:r>
      <w:r>
        <w:rPr>
          <w:i/>
        </w:rPr>
        <w:t xml:space="preserve"> </w:t>
      </w:r>
      <w:r w:rsidRPr="00FE3407">
        <w:rPr>
          <w:i/>
        </w:rPr>
        <w:t xml:space="preserve">In the Matter of the Annual Report of </w:t>
      </w:r>
      <w:r>
        <w:rPr>
          <w:i/>
        </w:rPr>
        <w:t xml:space="preserve">The Ohio Power Company </w:t>
      </w:r>
      <w:r w:rsidRPr="00FE3407">
        <w:rPr>
          <w:i/>
        </w:rPr>
        <w:t xml:space="preserve">Pursuant to Rule 10 of the Electric Service and Safety Standards, Ohio Administrative Code 4901:1-10-10, </w:t>
      </w:r>
      <w:r w:rsidRPr="00FE3407">
        <w:t>Case 10-439-EL</w:t>
      </w:r>
      <w:r>
        <w:t>-ESS, at 1 (April 5, 2010).</w:t>
      </w:r>
    </w:p>
  </w:footnote>
  <w:footnote w:id="79">
    <w:p w14:paraId="5E1295D5" w14:textId="77777777" w:rsidR="00592A3E" w:rsidRDefault="00592A3E" w:rsidP="00A2253B">
      <w:pPr>
        <w:pStyle w:val="FootnoteText"/>
        <w:spacing w:after="120"/>
      </w:pPr>
      <w:r>
        <w:rPr>
          <w:rStyle w:val="FootnoteReference"/>
        </w:rPr>
        <w:footnoteRef/>
      </w:r>
      <w:r>
        <w:t xml:space="preserve"> Case </w:t>
      </w:r>
      <w:r w:rsidRPr="00FE3407">
        <w:t>No. 09-</w:t>
      </w:r>
      <w:r>
        <w:t>756-EL-ESS, Application at</w:t>
      </w:r>
      <w:r w:rsidRPr="00FE3407">
        <w:t xml:space="preserve"> 18</w:t>
      </w:r>
      <w:r>
        <w:t xml:space="preserve"> (August 27, 2009).</w:t>
      </w:r>
    </w:p>
  </w:footnote>
  <w:footnote w:id="80">
    <w:p w14:paraId="0A0AEA1E" w14:textId="77777777" w:rsidR="00592A3E" w:rsidRDefault="00592A3E" w:rsidP="00A2253B">
      <w:pPr>
        <w:pStyle w:val="FootnoteText"/>
        <w:spacing w:after="120"/>
      </w:pPr>
      <w:r>
        <w:rPr>
          <w:rStyle w:val="FootnoteReference"/>
        </w:rPr>
        <w:footnoteRef/>
      </w:r>
      <w:r>
        <w:t xml:space="preserve"> Id.</w:t>
      </w:r>
    </w:p>
  </w:footnote>
  <w:footnote w:id="81">
    <w:p w14:paraId="5FC43D4A" w14:textId="77777777" w:rsidR="00592A3E" w:rsidRDefault="00592A3E" w:rsidP="00A2253B">
      <w:pPr>
        <w:pStyle w:val="FootnoteText"/>
        <w:spacing w:after="120"/>
      </w:pPr>
      <w:r>
        <w:rPr>
          <w:rStyle w:val="FootnoteReference"/>
        </w:rPr>
        <w:footnoteRef/>
      </w:r>
      <w:r>
        <w:t xml:space="preserve"> Case No. 09-756-EL-ESS, Stipulation at 6 (July 22, 2010), Opinion and Order at 7 (September 4,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69B1" w14:textId="77777777" w:rsidR="005425C5" w:rsidRDefault="00542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8795" w14:textId="77777777" w:rsidR="005425C5" w:rsidRDefault="00542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AD58" w14:textId="77777777" w:rsidR="005425C5" w:rsidRDefault="005425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2929" w14:textId="77777777" w:rsidR="00592A3E" w:rsidRDefault="00592A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899B" w14:textId="77777777" w:rsidR="00592A3E" w:rsidRDefault="00592A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86BD" w14:textId="77777777" w:rsidR="00592A3E" w:rsidRDefault="00592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6B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462F90"/>
    <w:lvl w:ilvl="0">
      <w:start w:val="1"/>
      <w:numFmt w:val="decimal"/>
      <w:lvlText w:val="%1."/>
      <w:lvlJc w:val="left"/>
      <w:pPr>
        <w:tabs>
          <w:tab w:val="num" w:pos="1800"/>
        </w:tabs>
        <w:ind w:left="1800" w:hanging="360"/>
      </w:pPr>
    </w:lvl>
  </w:abstractNum>
  <w:abstractNum w:abstractNumId="2">
    <w:nsid w:val="FFFFFF7D"/>
    <w:multiLevelType w:val="singleLevel"/>
    <w:tmpl w:val="492EF982"/>
    <w:lvl w:ilvl="0">
      <w:start w:val="1"/>
      <w:numFmt w:val="decimal"/>
      <w:lvlText w:val="%1."/>
      <w:lvlJc w:val="left"/>
      <w:pPr>
        <w:tabs>
          <w:tab w:val="num" w:pos="1440"/>
        </w:tabs>
        <w:ind w:left="1440" w:hanging="360"/>
      </w:pPr>
    </w:lvl>
  </w:abstractNum>
  <w:abstractNum w:abstractNumId="3">
    <w:nsid w:val="FFFFFF7E"/>
    <w:multiLevelType w:val="singleLevel"/>
    <w:tmpl w:val="25FED77C"/>
    <w:lvl w:ilvl="0">
      <w:start w:val="1"/>
      <w:numFmt w:val="decimal"/>
      <w:lvlText w:val="%1."/>
      <w:lvlJc w:val="left"/>
      <w:pPr>
        <w:tabs>
          <w:tab w:val="num" w:pos="1080"/>
        </w:tabs>
        <w:ind w:left="1080" w:hanging="360"/>
      </w:pPr>
    </w:lvl>
  </w:abstractNum>
  <w:abstractNum w:abstractNumId="4">
    <w:nsid w:val="FFFFFF7F"/>
    <w:multiLevelType w:val="singleLevel"/>
    <w:tmpl w:val="037E3BE4"/>
    <w:lvl w:ilvl="0">
      <w:start w:val="1"/>
      <w:numFmt w:val="decimal"/>
      <w:lvlText w:val="%1."/>
      <w:lvlJc w:val="left"/>
      <w:pPr>
        <w:tabs>
          <w:tab w:val="num" w:pos="720"/>
        </w:tabs>
        <w:ind w:left="720" w:hanging="360"/>
      </w:pPr>
    </w:lvl>
  </w:abstractNum>
  <w:abstractNum w:abstractNumId="5">
    <w:nsid w:val="FFFFFF80"/>
    <w:multiLevelType w:val="singleLevel"/>
    <w:tmpl w:val="CC74FA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A98AA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089C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DCBC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88A616"/>
    <w:lvl w:ilvl="0">
      <w:start w:val="1"/>
      <w:numFmt w:val="decimal"/>
      <w:lvlText w:val="%1."/>
      <w:lvlJc w:val="left"/>
      <w:pPr>
        <w:tabs>
          <w:tab w:val="num" w:pos="360"/>
        </w:tabs>
        <w:ind w:left="360" w:hanging="360"/>
      </w:pPr>
    </w:lvl>
  </w:abstractNum>
  <w:abstractNum w:abstractNumId="10">
    <w:nsid w:val="FFFFFF89"/>
    <w:multiLevelType w:val="singleLevel"/>
    <w:tmpl w:val="0308A922"/>
    <w:lvl w:ilvl="0">
      <w:start w:val="1"/>
      <w:numFmt w:val="bullet"/>
      <w:lvlText w:val=""/>
      <w:lvlJc w:val="left"/>
      <w:pPr>
        <w:tabs>
          <w:tab w:val="num" w:pos="360"/>
        </w:tabs>
        <w:ind w:left="360" w:hanging="360"/>
      </w:pPr>
      <w:rPr>
        <w:rFonts w:ascii="Symbol" w:hAnsi="Symbol" w:hint="default"/>
      </w:rPr>
    </w:lvl>
  </w:abstractNum>
  <w:abstractNum w:abstractNumId="11">
    <w:nsid w:val="13C51BD4"/>
    <w:multiLevelType w:val="hybridMultilevel"/>
    <w:tmpl w:val="EB001050"/>
    <w:lvl w:ilvl="0" w:tplc="3E803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923C1B"/>
    <w:multiLevelType w:val="hybridMultilevel"/>
    <w:tmpl w:val="F1166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4A364D"/>
    <w:multiLevelType w:val="hybridMultilevel"/>
    <w:tmpl w:val="8FF2A8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D541AA"/>
    <w:multiLevelType w:val="hybridMultilevel"/>
    <w:tmpl w:val="19042774"/>
    <w:lvl w:ilvl="0" w:tplc="E6FA928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0FC1D0E"/>
    <w:multiLevelType w:val="hybridMultilevel"/>
    <w:tmpl w:val="BACA78EE"/>
    <w:lvl w:ilvl="0" w:tplc="9ECCA25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E502B8"/>
    <w:multiLevelType w:val="hybridMultilevel"/>
    <w:tmpl w:val="9F5C3E86"/>
    <w:lvl w:ilvl="0" w:tplc="B4B65F5C">
      <w:start w:val="5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F0671"/>
    <w:multiLevelType w:val="hybridMultilevel"/>
    <w:tmpl w:val="5284E9E0"/>
    <w:lvl w:ilvl="0" w:tplc="0538971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0E9328B"/>
    <w:multiLevelType w:val="hybridMultilevel"/>
    <w:tmpl w:val="DBEA5616"/>
    <w:lvl w:ilvl="0" w:tplc="214A8ED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8A38CC"/>
    <w:multiLevelType w:val="hybridMultilevel"/>
    <w:tmpl w:val="1E90C296"/>
    <w:lvl w:ilvl="0" w:tplc="E83E3D10">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0"/>
  </w:num>
  <w:num w:numId="15">
    <w:abstractNumId w:val="18"/>
  </w:num>
  <w:num w:numId="16">
    <w:abstractNumId w:val="19"/>
  </w:num>
  <w:num w:numId="17">
    <w:abstractNumId w:val="16"/>
  </w:num>
  <w:num w:numId="18">
    <w:abstractNumId w:val="15"/>
  </w:num>
  <w:num w:numId="19">
    <w:abstractNumId w:val="15"/>
    <w:lvlOverride w:ilvl="0">
      <w:startOverride w:val="5"/>
    </w:lvlOverride>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F73"/>
    <w:rsid w:val="00000D3F"/>
    <w:rsid w:val="00005B91"/>
    <w:rsid w:val="0001581B"/>
    <w:rsid w:val="000177BB"/>
    <w:rsid w:val="00033BD7"/>
    <w:rsid w:val="00044381"/>
    <w:rsid w:val="00046E30"/>
    <w:rsid w:val="000511C5"/>
    <w:rsid w:val="0005332B"/>
    <w:rsid w:val="00057B3D"/>
    <w:rsid w:val="00067E6D"/>
    <w:rsid w:val="00072A6F"/>
    <w:rsid w:val="00095FCB"/>
    <w:rsid w:val="000A47C0"/>
    <w:rsid w:val="000A5329"/>
    <w:rsid w:val="000A61CF"/>
    <w:rsid w:val="000B6CDA"/>
    <w:rsid w:val="000C6687"/>
    <w:rsid w:val="000C7875"/>
    <w:rsid w:val="000D5C4B"/>
    <w:rsid w:val="000E1557"/>
    <w:rsid w:val="000E4719"/>
    <w:rsid w:val="000E7D8F"/>
    <w:rsid w:val="000F219B"/>
    <w:rsid w:val="000F419D"/>
    <w:rsid w:val="00102043"/>
    <w:rsid w:val="0010596D"/>
    <w:rsid w:val="00106328"/>
    <w:rsid w:val="001063E1"/>
    <w:rsid w:val="00112A6C"/>
    <w:rsid w:val="00120DB2"/>
    <w:rsid w:val="00121328"/>
    <w:rsid w:val="001228B0"/>
    <w:rsid w:val="001250B2"/>
    <w:rsid w:val="001273B5"/>
    <w:rsid w:val="00154431"/>
    <w:rsid w:val="00160C77"/>
    <w:rsid w:val="0016155B"/>
    <w:rsid w:val="001715D3"/>
    <w:rsid w:val="00172287"/>
    <w:rsid w:val="00194652"/>
    <w:rsid w:val="001A4B5E"/>
    <w:rsid w:val="001B6D6C"/>
    <w:rsid w:val="001C0807"/>
    <w:rsid w:val="001C0A12"/>
    <w:rsid w:val="001C1551"/>
    <w:rsid w:val="001C352E"/>
    <w:rsid w:val="001C42DA"/>
    <w:rsid w:val="001C5B21"/>
    <w:rsid w:val="001C65AC"/>
    <w:rsid w:val="001D4E64"/>
    <w:rsid w:val="001D7D37"/>
    <w:rsid w:val="001E378E"/>
    <w:rsid w:val="001E3DD7"/>
    <w:rsid w:val="001E5BC0"/>
    <w:rsid w:val="001F3AE2"/>
    <w:rsid w:val="001F61D8"/>
    <w:rsid w:val="001F6B64"/>
    <w:rsid w:val="00203824"/>
    <w:rsid w:val="00204366"/>
    <w:rsid w:val="002067C4"/>
    <w:rsid w:val="00216504"/>
    <w:rsid w:val="002213F5"/>
    <w:rsid w:val="00227848"/>
    <w:rsid w:val="00227A96"/>
    <w:rsid w:val="002300EE"/>
    <w:rsid w:val="00232EFB"/>
    <w:rsid w:val="00235681"/>
    <w:rsid w:val="00245A2C"/>
    <w:rsid w:val="00245AAB"/>
    <w:rsid w:val="002649F6"/>
    <w:rsid w:val="002710B1"/>
    <w:rsid w:val="00276E07"/>
    <w:rsid w:val="00277F7E"/>
    <w:rsid w:val="0028325C"/>
    <w:rsid w:val="0028532A"/>
    <w:rsid w:val="00295278"/>
    <w:rsid w:val="00295A6A"/>
    <w:rsid w:val="002A55CB"/>
    <w:rsid w:val="002C5D8B"/>
    <w:rsid w:val="002D7250"/>
    <w:rsid w:val="002F42DA"/>
    <w:rsid w:val="002F498C"/>
    <w:rsid w:val="00300AEB"/>
    <w:rsid w:val="00301F1A"/>
    <w:rsid w:val="00305204"/>
    <w:rsid w:val="00310717"/>
    <w:rsid w:val="00322780"/>
    <w:rsid w:val="00324538"/>
    <w:rsid w:val="003267F1"/>
    <w:rsid w:val="00326F6B"/>
    <w:rsid w:val="00335871"/>
    <w:rsid w:val="00336A67"/>
    <w:rsid w:val="00336ACB"/>
    <w:rsid w:val="00347675"/>
    <w:rsid w:val="0034768E"/>
    <w:rsid w:val="00351EEE"/>
    <w:rsid w:val="00353647"/>
    <w:rsid w:val="00355A9C"/>
    <w:rsid w:val="00361CD4"/>
    <w:rsid w:val="003731F9"/>
    <w:rsid w:val="003760B2"/>
    <w:rsid w:val="00376CAB"/>
    <w:rsid w:val="00381A9F"/>
    <w:rsid w:val="00381E1C"/>
    <w:rsid w:val="00384115"/>
    <w:rsid w:val="00385314"/>
    <w:rsid w:val="003878F1"/>
    <w:rsid w:val="00395616"/>
    <w:rsid w:val="003A2DCF"/>
    <w:rsid w:val="003A41D0"/>
    <w:rsid w:val="003A49B2"/>
    <w:rsid w:val="003B68E4"/>
    <w:rsid w:val="003E04D3"/>
    <w:rsid w:val="003E387F"/>
    <w:rsid w:val="003F092B"/>
    <w:rsid w:val="00401E9C"/>
    <w:rsid w:val="0040584C"/>
    <w:rsid w:val="00406267"/>
    <w:rsid w:val="00434A70"/>
    <w:rsid w:val="00440E37"/>
    <w:rsid w:val="00461447"/>
    <w:rsid w:val="00467A4C"/>
    <w:rsid w:val="004705A1"/>
    <w:rsid w:val="00474441"/>
    <w:rsid w:val="00496E14"/>
    <w:rsid w:val="00497CA3"/>
    <w:rsid w:val="004A1B2D"/>
    <w:rsid w:val="004B2890"/>
    <w:rsid w:val="004B6232"/>
    <w:rsid w:val="004B6F45"/>
    <w:rsid w:val="004C3CE6"/>
    <w:rsid w:val="004D02A3"/>
    <w:rsid w:val="004D3382"/>
    <w:rsid w:val="004E3908"/>
    <w:rsid w:val="004E3E15"/>
    <w:rsid w:val="004F5125"/>
    <w:rsid w:val="005107F8"/>
    <w:rsid w:val="00510CBE"/>
    <w:rsid w:val="00522B1B"/>
    <w:rsid w:val="0053363D"/>
    <w:rsid w:val="00537D4B"/>
    <w:rsid w:val="005425C5"/>
    <w:rsid w:val="00550523"/>
    <w:rsid w:val="00553DB1"/>
    <w:rsid w:val="00557D23"/>
    <w:rsid w:val="00561600"/>
    <w:rsid w:val="00572E52"/>
    <w:rsid w:val="005771C9"/>
    <w:rsid w:val="00582923"/>
    <w:rsid w:val="00592A3E"/>
    <w:rsid w:val="0059478A"/>
    <w:rsid w:val="005A07FC"/>
    <w:rsid w:val="005A53B3"/>
    <w:rsid w:val="005A57EA"/>
    <w:rsid w:val="005A7C04"/>
    <w:rsid w:val="005B0923"/>
    <w:rsid w:val="005B0CD7"/>
    <w:rsid w:val="005B31EF"/>
    <w:rsid w:val="005C2DF8"/>
    <w:rsid w:val="005C5056"/>
    <w:rsid w:val="005D2235"/>
    <w:rsid w:val="005D6E8E"/>
    <w:rsid w:val="005E482F"/>
    <w:rsid w:val="005E5F90"/>
    <w:rsid w:val="005F2163"/>
    <w:rsid w:val="005F2884"/>
    <w:rsid w:val="006037A4"/>
    <w:rsid w:val="0060502F"/>
    <w:rsid w:val="006060BB"/>
    <w:rsid w:val="006145AF"/>
    <w:rsid w:val="0061596E"/>
    <w:rsid w:val="006239CF"/>
    <w:rsid w:val="00631ECC"/>
    <w:rsid w:val="006365A9"/>
    <w:rsid w:val="00653584"/>
    <w:rsid w:val="00654100"/>
    <w:rsid w:val="00681867"/>
    <w:rsid w:val="00690E34"/>
    <w:rsid w:val="00693E1A"/>
    <w:rsid w:val="00696EE9"/>
    <w:rsid w:val="006A52B1"/>
    <w:rsid w:val="006B1623"/>
    <w:rsid w:val="006B725A"/>
    <w:rsid w:val="006D4A7A"/>
    <w:rsid w:val="006E2FFE"/>
    <w:rsid w:val="006E37DA"/>
    <w:rsid w:val="006E3EFB"/>
    <w:rsid w:val="006E42A5"/>
    <w:rsid w:val="006E4805"/>
    <w:rsid w:val="006F23FA"/>
    <w:rsid w:val="006F693E"/>
    <w:rsid w:val="00703029"/>
    <w:rsid w:val="00703224"/>
    <w:rsid w:val="00705C53"/>
    <w:rsid w:val="00716DCB"/>
    <w:rsid w:val="00721720"/>
    <w:rsid w:val="007249A4"/>
    <w:rsid w:val="007451B0"/>
    <w:rsid w:val="00755D66"/>
    <w:rsid w:val="00772B1F"/>
    <w:rsid w:val="007929B3"/>
    <w:rsid w:val="00796D0A"/>
    <w:rsid w:val="007A31D4"/>
    <w:rsid w:val="007B598C"/>
    <w:rsid w:val="007D61B9"/>
    <w:rsid w:val="007D6D77"/>
    <w:rsid w:val="007E1866"/>
    <w:rsid w:val="007F376F"/>
    <w:rsid w:val="007F6168"/>
    <w:rsid w:val="007F792C"/>
    <w:rsid w:val="008026AF"/>
    <w:rsid w:val="0080286E"/>
    <w:rsid w:val="008079B6"/>
    <w:rsid w:val="00813466"/>
    <w:rsid w:val="00815767"/>
    <w:rsid w:val="008246B2"/>
    <w:rsid w:val="008364F9"/>
    <w:rsid w:val="0083710B"/>
    <w:rsid w:val="00844D2F"/>
    <w:rsid w:val="00845CC9"/>
    <w:rsid w:val="008517FE"/>
    <w:rsid w:val="00863A1C"/>
    <w:rsid w:val="00884E47"/>
    <w:rsid w:val="008903D0"/>
    <w:rsid w:val="00892D70"/>
    <w:rsid w:val="008A671B"/>
    <w:rsid w:val="008B4CF6"/>
    <w:rsid w:val="008C2F3D"/>
    <w:rsid w:val="008D5000"/>
    <w:rsid w:val="008E3DF0"/>
    <w:rsid w:val="008E4522"/>
    <w:rsid w:val="008E5F28"/>
    <w:rsid w:val="008E6BE8"/>
    <w:rsid w:val="00906DD9"/>
    <w:rsid w:val="009074B1"/>
    <w:rsid w:val="009131DA"/>
    <w:rsid w:val="00925386"/>
    <w:rsid w:val="00932533"/>
    <w:rsid w:val="00932FD7"/>
    <w:rsid w:val="0093508A"/>
    <w:rsid w:val="009365F2"/>
    <w:rsid w:val="00941290"/>
    <w:rsid w:val="00946D9A"/>
    <w:rsid w:val="00952660"/>
    <w:rsid w:val="00961EF1"/>
    <w:rsid w:val="00974342"/>
    <w:rsid w:val="009768F1"/>
    <w:rsid w:val="00983F82"/>
    <w:rsid w:val="00993D2B"/>
    <w:rsid w:val="009D6FE1"/>
    <w:rsid w:val="009E0840"/>
    <w:rsid w:val="009E2639"/>
    <w:rsid w:val="009F2D45"/>
    <w:rsid w:val="009F3CF2"/>
    <w:rsid w:val="00A06424"/>
    <w:rsid w:val="00A13472"/>
    <w:rsid w:val="00A16C9C"/>
    <w:rsid w:val="00A2253B"/>
    <w:rsid w:val="00A2749A"/>
    <w:rsid w:val="00A41561"/>
    <w:rsid w:val="00A4347F"/>
    <w:rsid w:val="00A467C8"/>
    <w:rsid w:val="00A51E87"/>
    <w:rsid w:val="00A64054"/>
    <w:rsid w:val="00A64F64"/>
    <w:rsid w:val="00A72272"/>
    <w:rsid w:val="00A77C58"/>
    <w:rsid w:val="00A9281E"/>
    <w:rsid w:val="00AA2644"/>
    <w:rsid w:val="00AB2856"/>
    <w:rsid w:val="00AB41A3"/>
    <w:rsid w:val="00AB5532"/>
    <w:rsid w:val="00AC237A"/>
    <w:rsid w:val="00AC260D"/>
    <w:rsid w:val="00AC269F"/>
    <w:rsid w:val="00AD12EC"/>
    <w:rsid w:val="00AD3760"/>
    <w:rsid w:val="00AE66D2"/>
    <w:rsid w:val="00B05A62"/>
    <w:rsid w:val="00B06949"/>
    <w:rsid w:val="00B11A1B"/>
    <w:rsid w:val="00B1717E"/>
    <w:rsid w:val="00B241E0"/>
    <w:rsid w:val="00B2684E"/>
    <w:rsid w:val="00B34636"/>
    <w:rsid w:val="00B34F39"/>
    <w:rsid w:val="00B42E4A"/>
    <w:rsid w:val="00B50DAC"/>
    <w:rsid w:val="00B538EB"/>
    <w:rsid w:val="00B62682"/>
    <w:rsid w:val="00B64361"/>
    <w:rsid w:val="00B64374"/>
    <w:rsid w:val="00B66E85"/>
    <w:rsid w:val="00B74592"/>
    <w:rsid w:val="00B77966"/>
    <w:rsid w:val="00B8624E"/>
    <w:rsid w:val="00B867D2"/>
    <w:rsid w:val="00B96E8C"/>
    <w:rsid w:val="00BA05C4"/>
    <w:rsid w:val="00BA39F8"/>
    <w:rsid w:val="00BA5CD1"/>
    <w:rsid w:val="00BC673D"/>
    <w:rsid w:val="00BD0DC0"/>
    <w:rsid w:val="00BD2D58"/>
    <w:rsid w:val="00BD303F"/>
    <w:rsid w:val="00BD7EF4"/>
    <w:rsid w:val="00BE53B5"/>
    <w:rsid w:val="00BE5679"/>
    <w:rsid w:val="00BE69FE"/>
    <w:rsid w:val="00BE742E"/>
    <w:rsid w:val="00BF6DBB"/>
    <w:rsid w:val="00C03C05"/>
    <w:rsid w:val="00C05E69"/>
    <w:rsid w:val="00C1342F"/>
    <w:rsid w:val="00C20B15"/>
    <w:rsid w:val="00C212B0"/>
    <w:rsid w:val="00C21A9A"/>
    <w:rsid w:val="00C21FCF"/>
    <w:rsid w:val="00C249CF"/>
    <w:rsid w:val="00C30161"/>
    <w:rsid w:val="00C33A9B"/>
    <w:rsid w:val="00C4234B"/>
    <w:rsid w:val="00C55EB8"/>
    <w:rsid w:val="00C563F3"/>
    <w:rsid w:val="00C642D4"/>
    <w:rsid w:val="00C647CD"/>
    <w:rsid w:val="00C66967"/>
    <w:rsid w:val="00C734F9"/>
    <w:rsid w:val="00C77B6B"/>
    <w:rsid w:val="00C87D11"/>
    <w:rsid w:val="00C91BFF"/>
    <w:rsid w:val="00CA2C59"/>
    <w:rsid w:val="00CA5FB8"/>
    <w:rsid w:val="00CA75E7"/>
    <w:rsid w:val="00CB1914"/>
    <w:rsid w:val="00CB3C1E"/>
    <w:rsid w:val="00CB6D37"/>
    <w:rsid w:val="00CB7AAD"/>
    <w:rsid w:val="00CC3537"/>
    <w:rsid w:val="00CD311D"/>
    <w:rsid w:val="00CE099D"/>
    <w:rsid w:val="00CE467E"/>
    <w:rsid w:val="00D07DF3"/>
    <w:rsid w:val="00D166A1"/>
    <w:rsid w:val="00D17CCA"/>
    <w:rsid w:val="00D3241A"/>
    <w:rsid w:val="00D3380E"/>
    <w:rsid w:val="00D47BBF"/>
    <w:rsid w:val="00D70C0D"/>
    <w:rsid w:val="00D72685"/>
    <w:rsid w:val="00D8040C"/>
    <w:rsid w:val="00D930CE"/>
    <w:rsid w:val="00D95FC1"/>
    <w:rsid w:val="00DA0FCF"/>
    <w:rsid w:val="00DA7EB4"/>
    <w:rsid w:val="00DB0475"/>
    <w:rsid w:val="00DB3671"/>
    <w:rsid w:val="00DC3810"/>
    <w:rsid w:val="00DD1A21"/>
    <w:rsid w:val="00DF4EF1"/>
    <w:rsid w:val="00E02F9C"/>
    <w:rsid w:val="00E053B6"/>
    <w:rsid w:val="00E2707E"/>
    <w:rsid w:val="00E32868"/>
    <w:rsid w:val="00E36C3E"/>
    <w:rsid w:val="00E40EEF"/>
    <w:rsid w:val="00E51707"/>
    <w:rsid w:val="00E74018"/>
    <w:rsid w:val="00E7775B"/>
    <w:rsid w:val="00E834B1"/>
    <w:rsid w:val="00E868A8"/>
    <w:rsid w:val="00E86A17"/>
    <w:rsid w:val="00E92E12"/>
    <w:rsid w:val="00E93E0A"/>
    <w:rsid w:val="00EA08B8"/>
    <w:rsid w:val="00EA3A98"/>
    <w:rsid w:val="00EB0031"/>
    <w:rsid w:val="00EB1F73"/>
    <w:rsid w:val="00EB343B"/>
    <w:rsid w:val="00EB38F7"/>
    <w:rsid w:val="00EC0328"/>
    <w:rsid w:val="00EC2955"/>
    <w:rsid w:val="00EE0B0F"/>
    <w:rsid w:val="00F22FD2"/>
    <w:rsid w:val="00F4693B"/>
    <w:rsid w:val="00F506AB"/>
    <w:rsid w:val="00F51CAF"/>
    <w:rsid w:val="00F6221C"/>
    <w:rsid w:val="00F6581B"/>
    <w:rsid w:val="00F7655D"/>
    <w:rsid w:val="00F85AD8"/>
    <w:rsid w:val="00F92C0F"/>
    <w:rsid w:val="00F92D88"/>
    <w:rsid w:val="00F938CB"/>
    <w:rsid w:val="00F952CA"/>
    <w:rsid w:val="00FB0D3C"/>
    <w:rsid w:val="00FB499E"/>
    <w:rsid w:val="00FB5A47"/>
    <w:rsid w:val="00FC16D4"/>
    <w:rsid w:val="00FC25A0"/>
    <w:rsid w:val="00FC74CF"/>
    <w:rsid w:val="00FD2A6E"/>
    <w:rsid w:val="00FD645C"/>
    <w:rsid w:val="00F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E1"/>
    <w:rPr>
      <w:sz w:val="24"/>
      <w:szCs w:val="24"/>
    </w:rPr>
  </w:style>
  <w:style w:type="paragraph" w:styleId="Heading1">
    <w:name w:val="heading 1"/>
    <w:basedOn w:val="Normal"/>
    <w:next w:val="Normal"/>
    <w:link w:val="Heading1Char"/>
    <w:autoRedefine/>
    <w:qFormat/>
    <w:rsid w:val="005D2235"/>
    <w:pPr>
      <w:keepNext/>
      <w:spacing w:after="240"/>
      <w:outlineLvl w:val="0"/>
    </w:pPr>
    <w:rPr>
      <w:rFonts w:ascii="Times New Roman Bold" w:hAnsi="Times New Roman Bold"/>
      <w:b/>
      <w:bCs/>
      <w:caps/>
      <w:kern w:val="32"/>
      <w:szCs w:val="32"/>
    </w:rPr>
  </w:style>
  <w:style w:type="paragraph" w:styleId="Heading2">
    <w:name w:val="heading 2"/>
    <w:basedOn w:val="Normal"/>
    <w:next w:val="Normal"/>
    <w:link w:val="Heading2Char"/>
    <w:autoRedefine/>
    <w:qFormat/>
    <w:rsid w:val="00654100"/>
    <w:pPr>
      <w:keepNext/>
      <w:spacing w:after="240"/>
      <w:ind w:left="1440" w:right="720" w:hanging="720"/>
      <w:outlineLvl w:val="1"/>
    </w:pPr>
    <w:rPr>
      <w:rFonts w:ascii="Times New Roman Bold" w:hAnsi="Times New Roman Bold"/>
      <w:b/>
      <w:bCs/>
      <w:iCs/>
      <w:szCs w:val="28"/>
    </w:rPr>
  </w:style>
  <w:style w:type="paragraph" w:styleId="Heading3">
    <w:name w:val="heading 3"/>
    <w:basedOn w:val="Normal"/>
    <w:next w:val="Normal"/>
    <w:link w:val="Heading3Char"/>
    <w:autoRedefine/>
    <w:qFormat/>
    <w:rsid w:val="001063E1"/>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47C0"/>
    <w:rPr>
      <w:rFonts w:ascii="Times New Roman Bold" w:hAnsi="Times New Roman Bold"/>
      <w:b/>
      <w:bCs/>
      <w:caps/>
      <w:kern w:val="32"/>
      <w:sz w:val="24"/>
      <w:szCs w:val="32"/>
    </w:rPr>
  </w:style>
  <w:style w:type="character" w:customStyle="1" w:styleId="Heading2Char">
    <w:name w:val="Heading 2 Char"/>
    <w:link w:val="Heading2"/>
    <w:rsid w:val="00654100"/>
    <w:rPr>
      <w:rFonts w:ascii="Times New Roman Bold" w:hAnsi="Times New Roman Bold"/>
      <w:b/>
      <w:bCs/>
      <w:iCs/>
      <w:sz w:val="24"/>
      <w:szCs w:val="28"/>
    </w:rPr>
  </w:style>
  <w:style w:type="character" w:customStyle="1" w:styleId="Heading3Char">
    <w:name w:val="Heading 3 Char"/>
    <w:link w:val="Heading3"/>
    <w:semiHidden/>
    <w:rsid w:val="001063E1"/>
    <w:rPr>
      <w:rFonts w:ascii="Times New Roman Bold" w:eastAsia="Times New Roman" w:hAnsi="Times New Roman Bold" w:cs="Times New Roman"/>
      <w:b/>
      <w:bCs/>
      <w:sz w:val="24"/>
      <w:szCs w:val="26"/>
    </w:rPr>
  </w:style>
  <w:style w:type="paragraph" w:styleId="FootnoteText">
    <w:name w:val="footnote text"/>
    <w:basedOn w:val="Normal"/>
    <w:link w:val="FootnoteTextChar"/>
    <w:semiHidden/>
    <w:rsid w:val="00EB1F73"/>
    <w:rPr>
      <w:sz w:val="20"/>
      <w:szCs w:val="20"/>
    </w:rPr>
  </w:style>
  <w:style w:type="character" w:styleId="FootnoteReference">
    <w:name w:val="footnote reference"/>
    <w:semiHidden/>
    <w:rsid w:val="00EB1F73"/>
    <w:rPr>
      <w:vertAlign w:val="superscript"/>
    </w:rPr>
  </w:style>
  <w:style w:type="table" w:styleId="TableGrid">
    <w:name w:val="Table Grid"/>
    <w:basedOn w:val="TableNormal"/>
    <w:rsid w:val="00653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B64361"/>
    <w:rPr>
      <w:sz w:val="20"/>
      <w:szCs w:val="20"/>
    </w:rPr>
  </w:style>
  <w:style w:type="character" w:customStyle="1" w:styleId="EndnoteTextChar">
    <w:name w:val="Endnote Text Char"/>
    <w:basedOn w:val="DefaultParagraphFont"/>
    <w:link w:val="EndnoteText"/>
    <w:rsid w:val="00B64361"/>
  </w:style>
  <w:style w:type="character" w:styleId="EndnoteReference">
    <w:name w:val="endnote reference"/>
    <w:rsid w:val="00B64361"/>
    <w:rPr>
      <w:vertAlign w:val="superscript"/>
    </w:rPr>
  </w:style>
  <w:style w:type="character" w:styleId="Hyperlink">
    <w:name w:val="Hyperlink"/>
    <w:uiPriority w:val="99"/>
    <w:rsid w:val="00CC3537"/>
    <w:rPr>
      <w:color w:val="0000FF"/>
      <w:u w:val="single"/>
    </w:rPr>
  </w:style>
  <w:style w:type="paragraph" w:styleId="Header">
    <w:name w:val="header"/>
    <w:basedOn w:val="Normal"/>
    <w:link w:val="HeaderChar"/>
    <w:rsid w:val="00932FD7"/>
    <w:pPr>
      <w:tabs>
        <w:tab w:val="center" w:pos="4680"/>
        <w:tab w:val="right" w:pos="9360"/>
      </w:tabs>
    </w:pPr>
  </w:style>
  <w:style w:type="character" w:customStyle="1" w:styleId="HeaderChar">
    <w:name w:val="Header Char"/>
    <w:link w:val="Header"/>
    <w:rsid w:val="00932FD7"/>
    <w:rPr>
      <w:sz w:val="24"/>
      <w:szCs w:val="24"/>
    </w:rPr>
  </w:style>
  <w:style w:type="paragraph" w:styleId="Footer">
    <w:name w:val="footer"/>
    <w:basedOn w:val="Normal"/>
    <w:link w:val="FooterChar"/>
    <w:uiPriority w:val="99"/>
    <w:rsid w:val="00932FD7"/>
    <w:pPr>
      <w:tabs>
        <w:tab w:val="center" w:pos="4680"/>
        <w:tab w:val="right" w:pos="9360"/>
      </w:tabs>
    </w:pPr>
  </w:style>
  <w:style w:type="character" w:customStyle="1" w:styleId="FooterChar">
    <w:name w:val="Footer Char"/>
    <w:link w:val="Footer"/>
    <w:uiPriority w:val="99"/>
    <w:rsid w:val="00932FD7"/>
    <w:rPr>
      <w:sz w:val="24"/>
      <w:szCs w:val="24"/>
    </w:rPr>
  </w:style>
  <w:style w:type="paragraph" w:styleId="BalloonText">
    <w:name w:val="Balloon Text"/>
    <w:basedOn w:val="Normal"/>
    <w:link w:val="BalloonTextChar"/>
    <w:rsid w:val="00395616"/>
    <w:rPr>
      <w:rFonts w:ascii="Tahoma" w:hAnsi="Tahoma" w:cs="Tahoma"/>
      <w:sz w:val="16"/>
      <w:szCs w:val="16"/>
    </w:rPr>
  </w:style>
  <w:style w:type="character" w:customStyle="1" w:styleId="BalloonTextChar">
    <w:name w:val="Balloon Text Char"/>
    <w:link w:val="BalloonText"/>
    <w:rsid w:val="00395616"/>
    <w:rPr>
      <w:rFonts w:ascii="Tahoma" w:hAnsi="Tahoma" w:cs="Tahoma"/>
      <w:sz w:val="16"/>
      <w:szCs w:val="16"/>
    </w:rPr>
  </w:style>
  <w:style w:type="paragraph" w:styleId="BodyTextIndent3">
    <w:name w:val="Body Text Indent 3"/>
    <w:basedOn w:val="Normal"/>
    <w:link w:val="BodyTextIndent3Char"/>
    <w:rsid w:val="00CB7AAD"/>
    <w:pPr>
      <w:spacing w:line="480" w:lineRule="atLeast"/>
      <w:ind w:firstLine="720"/>
    </w:pPr>
    <w:rPr>
      <w:szCs w:val="20"/>
    </w:rPr>
  </w:style>
  <w:style w:type="character" w:customStyle="1" w:styleId="BodyTextIndent3Char">
    <w:name w:val="Body Text Indent 3 Char"/>
    <w:link w:val="BodyTextIndent3"/>
    <w:rsid w:val="00CB7AAD"/>
    <w:rPr>
      <w:sz w:val="24"/>
    </w:rPr>
  </w:style>
  <w:style w:type="paragraph" w:styleId="BodyText">
    <w:name w:val="Body Text"/>
    <w:basedOn w:val="Normal"/>
    <w:link w:val="BodyTextChar"/>
    <w:rsid w:val="00CB7AAD"/>
    <w:pPr>
      <w:jc w:val="both"/>
    </w:pPr>
    <w:rPr>
      <w:szCs w:val="20"/>
    </w:rPr>
  </w:style>
  <w:style w:type="character" w:customStyle="1" w:styleId="BodyTextChar">
    <w:name w:val="Body Text Char"/>
    <w:link w:val="BodyText"/>
    <w:rsid w:val="00CB7AAD"/>
    <w:rPr>
      <w:sz w:val="24"/>
    </w:rPr>
  </w:style>
  <w:style w:type="paragraph" w:styleId="CommentText">
    <w:name w:val="annotation text"/>
    <w:basedOn w:val="Normal"/>
    <w:link w:val="CommentTextChar"/>
    <w:rsid w:val="00CB7AAD"/>
  </w:style>
  <w:style w:type="character" w:customStyle="1" w:styleId="CommentTextChar">
    <w:name w:val="Comment Text Char"/>
    <w:link w:val="CommentText"/>
    <w:rsid w:val="00CB7AAD"/>
    <w:rPr>
      <w:sz w:val="24"/>
      <w:szCs w:val="24"/>
    </w:rPr>
  </w:style>
  <w:style w:type="paragraph" w:styleId="CommentSubject">
    <w:name w:val="annotation subject"/>
    <w:basedOn w:val="CommentText"/>
    <w:next w:val="CommentText"/>
    <w:link w:val="CommentSubjectChar"/>
    <w:rsid w:val="00CB7AAD"/>
    <w:rPr>
      <w:szCs w:val="20"/>
    </w:rPr>
  </w:style>
  <w:style w:type="character" w:customStyle="1" w:styleId="CommentSubjectChar">
    <w:name w:val="Comment Subject Char"/>
    <w:basedOn w:val="CommentTextChar"/>
    <w:link w:val="CommentSubject"/>
    <w:rsid w:val="00CB7AAD"/>
    <w:rPr>
      <w:sz w:val="24"/>
      <w:szCs w:val="24"/>
    </w:rPr>
  </w:style>
  <w:style w:type="paragraph" w:styleId="TOC1">
    <w:name w:val="toc 1"/>
    <w:basedOn w:val="Normal"/>
    <w:next w:val="Normal"/>
    <w:autoRedefine/>
    <w:uiPriority w:val="39"/>
    <w:qFormat/>
    <w:rsid w:val="00CB7AAD"/>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CB7AAD"/>
    <w:pPr>
      <w:tabs>
        <w:tab w:val="left" w:pos="720"/>
        <w:tab w:val="decimal" w:leader="dot" w:pos="8640"/>
      </w:tabs>
      <w:spacing w:after="240"/>
      <w:ind w:left="1440" w:hanging="720"/>
    </w:pPr>
  </w:style>
  <w:style w:type="character" w:styleId="CommentReference">
    <w:name w:val="annotation reference"/>
    <w:rsid w:val="00C05E69"/>
    <w:rPr>
      <w:sz w:val="16"/>
      <w:szCs w:val="16"/>
    </w:rPr>
  </w:style>
  <w:style w:type="character" w:customStyle="1" w:styleId="FootnoteTextChar">
    <w:name w:val="Footnote Text Char"/>
    <w:link w:val="FootnoteText"/>
    <w:semiHidden/>
    <w:locked/>
    <w:rsid w:val="00AC269F"/>
    <w:rPr>
      <w:lang w:val="en-US" w:eastAsia="en-US" w:bidi="ar-SA"/>
    </w:rPr>
  </w:style>
  <w:style w:type="paragraph" w:styleId="ListParagraph">
    <w:name w:val="List Paragraph"/>
    <w:basedOn w:val="Normal"/>
    <w:qFormat/>
    <w:rsid w:val="00AC269F"/>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E1"/>
    <w:rPr>
      <w:sz w:val="24"/>
      <w:szCs w:val="24"/>
    </w:rPr>
  </w:style>
  <w:style w:type="paragraph" w:styleId="Heading1">
    <w:name w:val="heading 1"/>
    <w:basedOn w:val="Normal"/>
    <w:next w:val="Normal"/>
    <w:link w:val="Heading1Char"/>
    <w:autoRedefine/>
    <w:qFormat/>
    <w:rsid w:val="005D2235"/>
    <w:pPr>
      <w:keepNext/>
      <w:spacing w:after="240"/>
      <w:outlineLvl w:val="0"/>
    </w:pPr>
    <w:rPr>
      <w:rFonts w:ascii="Times New Roman Bold" w:hAnsi="Times New Roman Bold"/>
      <w:b/>
      <w:bCs/>
      <w:caps/>
      <w:kern w:val="32"/>
      <w:szCs w:val="32"/>
    </w:rPr>
  </w:style>
  <w:style w:type="paragraph" w:styleId="Heading2">
    <w:name w:val="heading 2"/>
    <w:basedOn w:val="Normal"/>
    <w:next w:val="Normal"/>
    <w:link w:val="Heading2Char"/>
    <w:autoRedefine/>
    <w:qFormat/>
    <w:rsid w:val="00654100"/>
    <w:pPr>
      <w:keepNext/>
      <w:spacing w:after="240"/>
      <w:ind w:left="1440" w:right="720" w:hanging="720"/>
      <w:outlineLvl w:val="1"/>
    </w:pPr>
    <w:rPr>
      <w:rFonts w:ascii="Times New Roman Bold" w:hAnsi="Times New Roman Bold"/>
      <w:b/>
      <w:bCs/>
      <w:iCs/>
      <w:szCs w:val="28"/>
    </w:rPr>
  </w:style>
  <w:style w:type="paragraph" w:styleId="Heading3">
    <w:name w:val="heading 3"/>
    <w:basedOn w:val="Normal"/>
    <w:next w:val="Normal"/>
    <w:link w:val="Heading3Char"/>
    <w:autoRedefine/>
    <w:qFormat/>
    <w:rsid w:val="001063E1"/>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47C0"/>
    <w:rPr>
      <w:rFonts w:ascii="Times New Roman Bold" w:hAnsi="Times New Roman Bold"/>
      <w:b/>
      <w:bCs/>
      <w:caps/>
      <w:kern w:val="32"/>
      <w:sz w:val="24"/>
      <w:szCs w:val="32"/>
    </w:rPr>
  </w:style>
  <w:style w:type="character" w:customStyle="1" w:styleId="Heading2Char">
    <w:name w:val="Heading 2 Char"/>
    <w:link w:val="Heading2"/>
    <w:rsid w:val="00654100"/>
    <w:rPr>
      <w:rFonts w:ascii="Times New Roman Bold" w:hAnsi="Times New Roman Bold"/>
      <w:b/>
      <w:bCs/>
      <w:iCs/>
      <w:sz w:val="24"/>
      <w:szCs w:val="28"/>
    </w:rPr>
  </w:style>
  <w:style w:type="character" w:customStyle="1" w:styleId="Heading3Char">
    <w:name w:val="Heading 3 Char"/>
    <w:link w:val="Heading3"/>
    <w:semiHidden/>
    <w:rsid w:val="001063E1"/>
    <w:rPr>
      <w:rFonts w:ascii="Times New Roman Bold" w:eastAsia="Times New Roman" w:hAnsi="Times New Roman Bold" w:cs="Times New Roman"/>
      <w:b/>
      <w:bCs/>
      <w:sz w:val="24"/>
      <w:szCs w:val="26"/>
    </w:rPr>
  </w:style>
  <w:style w:type="paragraph" w:styleId="FootnoteText">
    <w:name w:val="footnote text"/>
    <w:basedOn w:val="Normal"/>
    <w:link w:val="FootnoteTextChar"/>
    <w:semiHidden/>
    <w:rsid w:val="00EB1F73"/>
    <w:rPr>
      <w:sz w:val="20"/>
      <w:szCs w:val="20"/>
    </w:rPr>
  </w:style>
  <w:style w:type="character" w:styleId="FootnoteReference">
    <w:name w:val="footnote reference"/>
    <w:semiHidden/>
    <w:rsid w:val="00EB1F73"/>
    <w:rPr>
      <w:vertAlign w:val="superscript"/>
    </w:rPr>
  </w:style>
  <w:style w:type="table" w:styleId="TableGrid">
    <w:name w:val="Table Grid"/>
    <w:basedOn w:val="TableNormal"/>
    <w:rsid w:val="00653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B64361"/>
    <w:rPr>
      <w:sz w:val="20"/>
      <w:szCs w:val="20"/>
    </w:rPr>
  </w:style>
  <w:style w:type="character" w:customStyle="1" w:styleId="EndnoteTextChar">
    <w:name w:val="Endnote Text Char"/>
    <w:basedOn w:val="DefaultParagraphFont"/>
    <w:link w:val="EndnoteText"/>
    <w:rsid w:val="00B64361"/>
  </w:style>
  <w:style w:type="character" w:styleId="EndnoteReference">
    <w:name w:val="endnote reference"/>
    <w:rsid w:val="00B64361"/>
    <w:rPr>
      <w:vertAlign w:val="superscript"/>
    </w:rPr>
  </w:style>
  <w:style w:type="character" w:styleId="Hyperlink">
    <w:name w:val="Hyperlink"/>
    <w:uiPriority w:val="99"/>
    <w:rsid w:val="00CC3537"/>
    <w:rPr>
      <w:color w:val="0000FF"/>
      <w:u w:val="single"/>
    </w:rPr>
  </w:style>
  <w:style w:type="paragraph" w:styleId="Header">
    <w:name w:val="header"/>
    <w:basedOn w:val="Normal"/>
    <w:link w:val="HeaderChar"/>
    <w:rsid w:val="00932FD7"/>
    <w:pPr>
      <w:tabs>
        <w:tab w:val="center" w:pos="4680"/>
        <w:tab w:val="right" w:pos="9360"/>
      </w:tabs>
    </w:pPr>
  </w:style>
  <w:style w:type="character" w:customStyle="1" w:styleId="HeaderChar">
    <w:name w:val="Header Char"/>
    <w:link w:val="Header"/>
    <w:rsid w:val="00932FD7"/>
    <w:rPr>
      <w:sz w:val="24"/>
      <w:szCs w:val="24"/>
    </w:rPr>
  </w:style>
  <w:style w:type="paragraph" w:styleId="Footer">
    <w:name w:val="footer"/>
    <w:basedOn w:val="Normal"/>
    <w:link w:val="FooterChar"/>
    <w:uiPriority w:val="99"/>
    <w:rsid w:val="00932FD7"/>
    <w:pPr>
      <w:tabs>
        <w:tab w:val="center" w:pos="4680"/>
        <w:tab w:val="right" w:pos="9360"/>
      </w:tabs>
    </w:pPr>
  </w:style>
  <w:style w:type="character" w:customStyle="1" w:styleId="FooterChar">
    <w:name w:val="Footer Char"/>
    <w:link w:val="Footer"/>
    <w:uiPriority w:val="99"/>
    <w:rsid w:val="00932FD7"/>
    <w:rPr>
      <w:sz w:val="24"/>
      <w:szCs w:val="24"/>
    </w:rPr>
  </w:style>
  <w:style w:type="paragraph" w:styleId="BalloonText">
    <w:name w:val="Balloon Text"/>
    <w:basedOn w:val="Normal"/>
    <w:link w:val="BalloonTextChar"/>
    <w:rsid w:val="00395616"/>
    <w:rPr>
      <w:rFonts w:ascii="Tahoma" w:hAnsi="Tahoma" w:cs="Tahoma"/>
      <w:sz w:val="16"/>
      <w:szCs w:val="16"/>
    </w:rPr>
  </w:style>
  <w:style w:type="character" w:customStyle="1" w:styleId="BalloonTextChar">
    <w:name w:val="Balloon Text Char"/>
    <w:link w:val="BalloonText"/>
    <w:rsid w:val="00395616"/>
    <w:rPr>
      <w:rFonts w:ascii="Tahoma" w:hAnsi="Tahoma" w:cs="Tahoma"/>
      <w:sz w:val="16"/>
      <w:szCs w:val="16"/>
    </w:rPr>
  </w:style>
  <w:style w:type="paragraph" w:styleId="BodyTextIndent3">
    <w:name w:val="Body Text Indent 3"/>
    <w:basedOn w:val="Normal"/>
    <w:link w:val="BodyTextIndent3Char"/>
    <w:rsid w:val="00CB7AAD"/>
    <w:pPr>
      <w:spacing w:line="480" w:lineRule="atLeast"/>
      <w:ind w:firstLine="720"/>
    </w:pPr>
    <w:rPr>
      <w:szCs w:val="20"/>
    </w:rPr>
  </w:style>
  <w:style w:type="character" w:customStyle="1" w:styleId="BodyTextIndent3Char">
    <w:name w:val="Body Text Indent 3 Char"/>
    <w:link w:val="BodyTextIndent3"/>
    <w:rsid w:val="00CB7AAD"/>
    <w:rPr>
      <w:sz w:val="24"/>
    </w:rPr>
  </w:style>
  <w:style w:type="paragraph" w:styleId="BodyText">
    <w:name w:val="Body Text"/>
    <w:basedOn w:val="Normal"/>
    <w:link w:val="BodyTextChar"/>
    <w:rsid w:val="00CB7AAD"/>
    <w:pPr>
      <w:jc w:val="both"/>
    </w:pPr>
    <w:rPr>
      <w:szCs w:val="20"/>
    </w:rPr>
  </w:style>
  <w:style w:type="character" w:customStyle="1" w:styleId="BodyTextChar">
    <w:name w:val="Body Text Char"/>
    <w:link w:val="BodyText"/>
    <w:rsid w:val="00CB7AAD"/>
    <w:rPr>
      <w:sz w:val="24"/>
    </w:rPr>
  </w:style>
  <w:style w:type="paragraph" w:styleId="CommentText">
    <w:name w:val="annotation text"/>
    <w:basedOn w:val="Normal"/>
    <w:link w:val="CommentTextChar"/>
    <w:rsid w:val="00CB7AAD"/>
  </w:style>
  <w:style w:type="character" w:customStyle="1" w:styleId="CommentTextChar">
    <w:name w:val="Comment Text Char"/>
    <w:link w:val="CommentText"/>
    <w:rsid w:val="00CB7AAD"/>
    <w:rPr>
      <w:sz w:val="24"/>
      <w:szCs w:val="24"/>
    </w:rPr>
  </w:style>
  <w:style w:type="paragraph" w:styleId="CommentSubject">
    <w:name w:val="annotation subject"/>
    <w:basedOn w:val="CommentText"/>
    <w:next w:val="CommentText"/>
    <w:link w:val="CommentSubjectChar"/>
    <w:rsid w:val="00CB7AAD"/>
    <w:rPr>
      <w:szCs w:val="20"/>
    </w:rPr>
  </w:style>
  <w:style w:type="character" w:customStyle="1" w:styleId="CommentSubjectChar">
    <w:name w:val="Comment Subject Char"/>
    <w:basedOn w:val="CommentTextChar"/>
    <w:link w:val="CommentSubject"/>
    <w:rsid w:val="00CB7AAD"/>
    <w:rPr>
      <w:sz w:val="24"/>
      <w:szCs w:val="24"/>
    </w:rPr>
  </w:style>
  <w:style w:type="paragraph" w:styleId="TOC1">
    <w:name w:val="toc 1"/>
    <w:basedOn w:val="Normal"/>
    <w:next w:val="Normal"/>
    <w:autoRedefine/>
    <w:uiPriority w:val="39"/>
    <w:qFormat/>
    <w:rsid w:val="00CB7AAD"/>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CB7AAD"/>
    <w:pPr>
      <w:tabs>
        <w:tab w:val="left" w:pos="720"/>
        <w:tab w:val="decimal" w:leader="dot" w:pos="8640"/>
      </w:tabs>
      <w:spacing w:after="240"/>
      <w:ind w:left="1440" w:hanging="720"/>
    </w:pPr>
  </w:style>
  <w:style w:type="character" w:styleId="CommentReference">
    <w:name w:val="annotation reference"/>
    <w:rsid w:val="00C05E69"/>
    <w:rPr>
      <w:sz w:val="16"/>
      <w:szCs w:val="16"/>
    </w:rPr>
  </w:style>
  <w:style w:type="character" w:customStyle="1" w:styleId="FootnoteTextChar">
    <w:name w:val="Footnote Text Char"/>
    <w:link w:val="FootnoteText"/>
    <w:semiHidden/>
    <w:locked/>
    <w:rsid w:val="00AC269F"/>
    <w:rPr>
      <w:lang w:val="en-US" w:eastAsia="en-US" w:bidi="ar-SA"/>
    </w:rPr>
  </w:style>
  <w:style w:type="paragraph" w:styleId="ListParagraph">
    <w:name w:val="List Paragraph"/>
    <w:basedOn w:val="Normal"/>
    <w:qFormat/>
    <w:rsid w:val="00AC269F"/>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1062">
      <w:bodyDiv w:val="1"/>
      <w:marLeft w:val="0"/>
      <w:marRight w:val="0"/>
      <w:marTop w:val="0"/>
      <w:marBottom w:val="0"/>
      <w:divBdr>
        <w:top w:val="none" w:sz="0" w:space="0" w:color="auto"/>
        <w:left w:val="none" w:sz="0" w:space="0" w:color="auto"/>
        <w:bottom w:val="none" w:sz="0" w:space="0" w:color="auto"/>
        <w:right w:val="none" w:sz="0" w:space="0" w:color="auto"/>
      </w:divBdr>
    </w:div>
    <w:div w:id="1233393804">
      <w:bodyDiv w:val="1"/>
      <w:marLeft w:val="0"/>
      <w:marRight w:val="0"/>
      <w:marTop w:val="0"/>
      <w:marBottom w:val="0"/>
      <w:divBdr>
        <w:top w:val="none" w:sz="0" w:space="0" w:color="auto"/>
        <w:left w:val="none" w:sz="0" w:space="0" w:color="auto"/>
        <w:bottom w:val="none" w:sz="0" w:space="0" w:color="auto"/>
        <w:right w:val="none" w:sz="0" w:space="0" w:color="auto"/>
      </w:divBdr>
    </w:div>
    <w:div w:id="1673220243">
      <w:bodyDiv w:val="1"/>
      <w:marLeft w:val="0"/>
      <w:marRight w:val="0"/>
      <w:marTop w:val="0"/>
      <w:marBottom w:val="0"/>
      <w:divBdr>
        <w:top w:val="none" w:sz="0" w:space="0" w:color="auto"/>
        <w:left w:val="none" w:sz="0" w:space="0" w:color="auto"/>
        <w:bottom w:val="none" w:sz="0" w:space="0" w:color="auto"/>
        <w:right w:val="none" w:sz="0" w:space="0" w:color="auto"/>
      </w:divBdr>
      <w:divsChild>
        <w:div w:id="184711796">
          <w:marLeft w:val="0"/>
          <w:marRight w:val="-5040"/>
          <w:marTop w:val="0"/>
          <w:marBottom w:val="0"/>
          <w:divBdr>
            <w:top w:val="none" w:sz="0" w:space="0" w:color="auto"/>
            <w:left w:val="none" w:sz="0" w:space="0" w:color="auto"/>
            <w:bottom w:val="none" w:sz="0" w:space="0" w:color="auto"/>
            <w:right w:val="none" w:sz="0" w:space="0" w:color="auto"/>
          </w:divBdr>
          <w:divsChild>
            <w:div w:id="1924676886">
              <w:marLeft w:val="0"/>
              <w:marRight w:val="5040"/>
              <w:marTop w:val="0"/>
              <w:marBottom w:val="0"/>
              <w:divBdr>
                <w:top w:val="none" w:sz="0" w:space="0" w:color="auto"/>
                <w:left w:val="none" w:sz="0" w:space="0" w:color="auto"/>
                <w:bottom w:val="none" w:sz="0" w:space="0" w:color="auto"/>
                <w:right w:val="none" w:sz="0" w:space="0" w:color="auto"/>
              </w:divBdr>
              <w:divsChild>
                <w:div w:id="1327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986">
      <w:bodyDiv w:val="1"/>
      <w:marLeft w:val="0"/>
      <w:marRight w:val="0"/>
      <w:marTop w:val="0"/>
      <w:marBottom w:val="0"/>
      <w:divBdr>
        <w:top w:val="none" w:sz="0" w:space="0" w:color="auto"/>
        <w:left w:val="none" w:sz="0" w:space="0" w:color="auto"/>
        <w:bottom w:val="none" w:sz="0" w:space="0" w:color="auto"/>
        <w:right w:val="none" w:sz="0" w:space="0" w:color="auto"/>
      </w:divBdr>
      <w:divsChild>
        <w:div w:id="1555968500">
          <w:marLeft w:val="0"/>
          <w:marRight w:val="-5040"/>
          <w:marTop w:val="0"/>
          <w:marBottom w:val="0"/>
          <w:divBdr>
            <w:top w:val="none" w:sz="0" w:space="0" w:color="auto"/>
            <w:left w:val="none" w:sz="0" w:space="0" w:color="auto"/>
            <w:bottom w:val="none" w:sz="0" w:space="0" w:color="auto"/>
            <w:right w:val="none" w:sz="0" w:space="0" w:color="auto"/>
          </w:divBdr>
          <w:divsChild>
            <w:div w:id="699932893">
              <w:marLeft w:val="0"/>
              <w:marRight w:val="5040"/>
              <w:marTop w:val="0"/>
              <w:marBottom w:val="0"/>
              <w:divBdr>
                <w:top w:val="none" w:sz="0" w:space="0" w:color="auto"/>
                <w:left w:val="none" w:sz="0" w:space="0" w:color="auto"/>
                <w:bottom w:val="none" w:sz="0" w:space="0" w:color="auto"/>
                <w:right w:val="none" w:sz="0" w:space="0" w:color="auto"/>
              </w:divBdr>
              <w:divsChild>
                <w:div w:id="13562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William.wrigh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tnourse@aep.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yalami@aep.com" TargetMode="External"/><Relationship Id="rId10" Type="http://schemas.openxmlformats.org/officeDocument/2006/relationships/header" Target="header2.xml"/><Relationship Id="rId19" Type="http://schemas.openxmlformats.org/officeDocument/2006/relationships/hyperlink" Target="mailto:serio@oc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jsatterwhite@aep.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co.ohio.gov/puco/index.cfm/rules/pending-rules/rule-49011-10-10b-guidelines-for-reliability-standards-applications/" TargetMode="External"/><Relationship Id="rId1" Type="http://schemas.openxmlformats.org/officeDocument/2006/relationships/hyperlink" Target="http://www.puco.ohio.gov/puco/index.cfm/rules/pending-rules/rule-49011-10-10b-guidelines-for-reliability-standards-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6793</Words>
  <Characters>37538</Characters>
  <Application>Microsoft Office Word</Application>
  <DocSecurity>0</DocSecurity>
  <Lines>1056</Lines>
  <Paragraphs>469</Paragraphs>
  <ScaleCrop>false</ScaleCrop>
  <HeadingPairs>
    <vt:vector size="2" baseType="variant">
      <vt:variant>
        <vt:lpstr>Title</vt:lpstr>
      </vt:variant>
      <vt:variant>
        <vt:i4>1</vt:i4>
      </vt:variant>
    </vt:vector>
  </HeadingPairs>
  <TitlesOfParts>
    <vt:vector size="1" baseType="lpstr">
      <vt:lpstr>I</vt:lpstr>
    </vt:vector>
  </TitlesOfParts>
  <Manager/>
  <Company/>
  <LinksUpToDate>false</LinksUpToDate>
  <CharactersWithSpaces>44118</CharactersWithSpaces>
  <SharedDoc>false</SharedDoc>
  <HyperlinkBase> </HyperlinkBase>
  <HLinks>
    <vt:vector size="132" baseType="variant">
      <vt:variant>
        <vt:i4>1900596</vt:i4>
      </vt:variant>
      <vt:variant>
        <vt:i4>99</vt:i4>
      </vt:variant>
      <vt:variant>
        <vt:i4>0</vt:i4>
      </vt:variant>
      <vt:variant>
        <vt:i4>5</vt:i4>
      </vt:variant>
      <vt:variant>
        <vt:lpwstr>mailto:stnourse@aep.com</vt:lpwstr>
      </vt:variant>
      <vt:variant>
        <vt:lpwstr/>
      </vt:variant>
      <vt:variant>
        <vt:i4>8257617</vt:i4>
      </vt:variant>
      <vt:variant>
        <vt:i4>96</vt:i4>
      </vt:variant>
      <vt:variant>
        <vt:i4>0</vt:i4>
      </vt:variant>
      <vt:variant>
        <vt:i4>5</vt:i4>
      </vt:variant>
      <vt:variant>
        <vt:lpwstr>mailto:yalami@aep.com</vt:lpwstr>
      </vt:variant>
      <vt:variant>
        <vt:lpwstr/>
      </vt:variant>
      <vt:variant>
        <vt:i4>589887</vt:i4>
      </vt:variant>
      <vt:variant>
        <vt:i4>93</vt:i4>
      </vt:variant>
      <vt:variant>
        <vt:i4>0</vt:i4>
      </vt:variant>
      <vt:variant>
        <vt:i4>5</vt:i4>
      </vt:variant>
      <vt:variant>
        <vt:lpwstr>mailto:mjsatterwhite@aep.com</vt:lpwstr>
      </vt:variant>
      <vt:variant>
        <vt:lpwstr/>
      </vt:variant>
      <vt:variant>
        <vt:i4>3735617</vt:i4>
      </vt:variant>
      <vt:variant>
        <vt:i4>90</vt:i4>
      </vt:variant>
      <vt:variant>
        <vt:i4>0</vt:i4>
      </vt:variant>
      <vt:variant>
        <vt:i4>5</vt:i4>
      </vt:variant>
      <vt:variant>
        <vt:lpwstr>mailto:Bryce.mckenney@puc.state.oh.us</vt:lpwstr>
      </vt:variant>
      <vt:variant>
        <vt:lpwstr/>
      </vt:variant>
      <vt:variant>
        <vt:i4>2293828</vt:i4>
      </vt:variant>
      <vt:variant>
        <vt:i4>87</vt:i4>
      </vt:variant>
      <vt:variant>
        <vt:i4>0</vt:i4>
      </vt:variant>
      <vt:variant>
        <vt:i4>5</vt:i4>
      </vt:variant>
      <vt:variant>
        <vt:lpwstr>mailto:William.wright@puc.state.oh.us</vt:lpwstr>
      </vt:variant>
      <vt:variant>
        <vt:lpwstr/>
      </vt:variant>
      <vt:variant>
        <vt:i4>4522104</vt:i4>
      </vt:variant>
      <vt:variant>
        <vt:i4>84</vt:i4>
      </vt:variant>
      <vt:variant>
        <vt:i4>0</vt:i4>
      </vt:variant>
      <vt:variant>
        <vt:i4>5</vt:i4>
      </vt:variant>
      <vt:variant>
        <vt:lpwstr>mailto:serio@occ.state.oh.us</vt:lpwstr>
      </vt:variant>
      <vt:variant>
        <vt:lpwstr/>
      </vt:variant>
      <vt:variant>
        <vt:i4>1507383</vt:i4>
      </vt:variant>
      <vt:variant>
        <vt:i4>77</vt:i4>
      </vt:variant>
      <vt:variant>
        <vt:i4>0</vt:i4>
      </vt:variant>
      <vt:variant>
        <vt:i4>5</vt:i4>
      </vt:variant>
      <vt:variant>
        <vt:lpwstr/>
      </vt:variant>
      <vt:variant>
        <vt:lpwstr>_Toc345073679</vt:lpwstr>
      </vt:variant>
      <vt:variant>
        <vt:i4>1507383</vt:i4>
      </vt:variant>
      <vt:variant>
        <vt:i4>71</vt:i4>
      </vt:variant>
      <vt:variant>
        <vt:i4>0</vt:i4>
      </vt:variant>
      <vt:variant>
        <vt:i4>5</vt:i4>
      </vt:variant>
      <vt:variant>
        <vt:lpwstr/>
      </vt:variant>
      <vt:variant>
        <vt:lpwstr>_Toc345073678</vt:lpwstr>
      </vt:variant>
      <vt:variant>
        <vt:i4>1507383</vt:i4>
      </vt:variant>
      <vt:variant>
        <vt:i4>65</vt:i4>
      </vt:variant>
      <vt:variant>
        <vt:i4>0</vt:i4>
      </vt:variant>
      <vt:variant>
        <vt:i4>5</vt:i4>
      </vt:variant>
      <vt:variant>
        <vt:lpwstr/>
      </vt:variant>
      <vt:variant>
        <vt:lpwstr>_Toc345073677</vt:lpwstr>
      </vt:variant>
      <vt:variant>
        <vt:i4>1507383</vt:i4>
      </vt:variant>
      <vt:variant>
        <vt:i4>59</vt:i4>
      </vt:variant>
      <vt:variant>
        <vt:i4>0</vt:i4>
      </vt:variant>
      <vt:variant>
        <vt:i4>5</vt:i4>
      </vt:variant>
      <vt:variant>
        <vt:lpwstr/>
      </vt:variant>
      <vt:variant>
        <vt:lpwstr>_Toc345073676</vt:lpwstr>
      </vt:variant>
      <vt:variant>
        <vt:i4>1507383</vt:i4>
      </vt:variant>
      <vt:variant>
        <vt:i4>53</vt:i4>
      </vt:variant>
      <vt:variant>
        <vt:i4>0</vt:i4>
      </vt:variant>
      <vt:variant>
        <vt:i4>5</vt:i4>
      </vt:variant>
      <vt:variant>
        <vt:lpwstr/>
      </vt:variant>
      <vt:variant>
        <vt:lpwstr>_Toc345073675</vt:lpwstr>
      </vt:variant>
      <vt:variant>
        <vt:i4>1507383</vt:i4>
      </vt:variant>
      <vt:variant>
        <vt:i4>47</vt:i4>
      </vt:variant>
      <vt:variant>
        <vt:i4>0</vt:i4>
      </vt:variant>
      <vt:variant>
        <vt:i4>5</vt:i4>
      </vt:variant>
      <vt:variant>
        <vt:lpwstr/>
      </vt:variant>
      <vt:variant>
        <vt:lpwstr>_Toc345073674</vt:lpwstr>
      </vt:variant>
      <vt:variant>
        <vt:i4>1507383</vt:i4>
      </vt:variant>
      <vt:variant>
        <vt:i4>41</vt:i4>
      </vt:variant>
      <vt:variant>
        <vt:i4>0</vt:i4>
      </vt:variant>
      <vt:variant>
        <vt:i4>5</vt:i4>
      </vt:variant>
      <vt:variant>
        <vt:lpwstr/>
      </vt:variant>
      <vt:variant>
        <vt:lpwstr>_Toc345073673</vt:lpwstr>
      </vt:variant>
      <vt:variant>
        <vt:i4>1507383</vt:i4>
      </vt:variant>
      <vt:variant>
        <vt:i4>35</vt:i4>
      </vt:variant>
      <vt:variant>
        <vt:i4>0</vt:i4>
      </vt:variant>
      <vt:variant>
        <vt:i4>5</vt:i4>
      </vt:variant>
      <vt:variant>
        <vt:lpwstr/>
      </vt:variant>
      <vt:variant>
        <vt:lpwstr>_Toc345073672</vt:lpwstr>
      </vt:variant>
      <vt:variant>
        <vt:i4>1507383</vt:i4>
      </vt:variant>
      <vt:variant>
        <vt:i4>29</vt:i4>
      </vt:variant>
      <vt:variant>
        <vt:i4>0</vt:i4>
      </vt:variant>
      <vt:variant>
        <vt:i4>5</vt:i4>
      </vt:variant>
      <vt:variant>
        <vt:lpwstr/>
      </vt:variant>
      <vt:variant>
        <vt:lpwstr>_Toc345073671</vt:lpwstr>
      </vt:variant>
      <vt:variant>
        <vt:i4>1507383</vt:i4>
      </vt:variant>
      <vt:variant>
        <vt:i4>23</vt:i4>
      </vt:variant>
      <vt:variant>
        <vt:i4>0</vt:i4>
      </vt:variant>
      <vt:variant>
        <vt:i4>5</vt:i4>
      </vt:variant>
      <vt:variant>
        <vt:lpwstr/>
      </vt:variant>
      <vt:variant>
        <vt:lpwstr>_Toc345073670</vt:lpwstr>
      </vt:variant>
      <vt:variant>
        <vt:i4>1441847</vt:i4>
      </vt:variant>
      <vt:variant>
        <vt:i4>17</vt:i4>
      </vt:variant>
      <vt:variant>
        <vt:i4>0</vt:i4>
      </vt:variant>
      <vt:variant>
        <vt:i4>5</vt:i4>
      </vt:variant>
      <vt:variant>
        <vt:lpwstr/>
      </vt:variant>
      <vt:variant>
        <vt:lpwstr>_Toc345073669</vt:lpwstr>
      </vt:variant>
      <vt:variant>
        <vt:i4>1441847</vt:i4>
      </vt:variant>
      <vt:variant>
        <vt:i4>11</vt:i4>
      </vt:variant>
      <vt:variant>
        <vt:i4>0</vt:i4>
      </vt:variant>
      <vt:variant>
        <vt:i4>5</vt:i4>
      </vt:variant>
      <vt:variant>
        <vt:lpwstr/>
      </vt:variant>
      <vt:variant>
        <vt:lpwstr>_Toc345073668</vt:lpwstr>
      </vt:variant>
      <vt:variant>
        <vt:i4>1441847</vt:i4>
      </vt:variant>
      <vt:variant>
        <vt:i4>5</vt:i4>
      </vt:variant>
      <vt:variant>
        <vt:i4>0</vt:i4>
      </vt:variant>
      <vt:variant>
        <vt:i4>5</vt:i4>
      </vt:variant>
      <vt:variant>
        <vt:lpwstr/>
      </vt:variant>
      <vt:variant>
        <vt:lpwstr>_Toc345073667</vt:lpwstr>
      </vt:variant>
      <vt:variant>
        <vt:i4>4522104</vt:i4>
      </vt:variant>
      <vt:variant>
        <vt:i4>0</vt:i4>
      </vt:variant>
      <vt:variant>
        <vt:i4>0</vt:i4>
      </vt:variant>
      <vt:variant>
        <vt:i4>5</vt:i4>
      </vt:variant>
      <vt:variant>
        <vt:lpwstr>mailto:serio@occ.state.oh.us</vt:lpwstr>
      </vt:variant>
      <vt:variant>
        <vt:lpwstr/>
      </vt:variant>
      <vt:variant>
        <vt:i4>131152</vt:i4>
      </vt:variant>
      <vt:variant>
        <vt:i4>3</vt:i4>
      </vt:variant>
      <vt:variant>
        <vt:i4>0</vt:i4>
      </vt:variant>
      <vt:variant>
        <vt:i4>5</vt:i4>
      </vt:variant>
      <vt:variant>
        <vt:lpwstr>http://www.puco.ohio.gov/puco/index.cfm/rules/pending-rules/rule-49011-10-10b-guidelines-for-reliability-standards-applications/</vt:lpwstr>
      </vt:variant>
      <vt:variant>
        <vt:lpwstr/>
      </vt:variant>
      <vt:variant>
        <vt:i4>131152</vt:i4>
      </vt:variant>
      <vt:variant>
        <vt:i4>0</vt:i4>
      </vt:variant>
      <vt:variant>
        <vt:i4>0</vt:i4>
      </vt:variant>
      <vt:variant>
        <vt:i4>5</vt:i4>
      </vt:variant>
      <vt:variant>
        <vt:lpwstr>http://www.puco.ohio.gov/puco/index.cfm/rules/pending-rules/rule-49011-10-10b-guidelines-for-reliability-standards-applications/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2013-01-04T21:18:00Z</cp:lastPrinted>
  <dcterms:created xsi:type="dcterms:W3CDTF">2013-01-04T22:16:00Z</dcterms:created>
  <dcterms:modified xsi:type="dcterms:W3CDTF">2013-01-04T22:16:00Z</dcterms:modified>
  <cp:category> </cp:category>
  <cp:contentStatus> </cp:contentStatus>
</cp:coreProperties>
</file>