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065FF4">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065FF4">
      <w:pPr>
        <w:pStyle w:val="HTMLPreformatted"/>
        <w:jc w:val="center"/>
        <w:rPr>
          <w:rFonts w:ascii="Times New Roman" w:hAnsi="Times New Roman"/>
          <w:sz w:val="24"/>
        </w:rPr>
      </w:pPr>
      <w:r>
        <w:rPr>
          <w:rFonts w:ascii="Times New Roman" w:hAnsi="Times New Roman"/>
          <w:b/>
          <w:bCs/>
          <w:sz w:val="24"/>
        </w:rPr>
        <w:t>THE PUBLIC UTILITIES COMMISSION OF OHIO</w:t>
      </w:r>
    </w:p>
    <w:p w:rsidR="00065FF4">
      <w:pPr>
        <w:pStyle w:val="HTMLPreformatted"/>
        <w:rPr>
          <w:rFonts w:ascii="Times New Roman" w:hAnsi="Times New Roman"/>
          <w:sz w:val="24"/>
        </w:rPr>
      </w:pPr>
    </w:p>
    <w:tbl>
      <w:tblPr>
        <w:tblW w:w="9458" w:type="dxa"/>
        <w:tblInd w:w="0" w:type="dxa"/>
        <w:tblCellMar>
          <w:top w:w="0" w:type="dxa"/>
          <w:left w:w="108" w:type="dxa"/>
          <w:bottom w:w="0" w:type="dxa"/>
          <w:right w:w="108" w:type="dxa"/>
        </w:tblCellMar>
        <w:tblLook w:val="01E0"/>
      </w:tblPr>
      <w:tblGrid>
        <w:gridCol w:w="3708"/>
        <w:gridCol w:w="1350"/>
        <w:gridCol w:w="4400"/>
      </w:tblGrid>
      <w:tr w:rsidTr="00065FF4">
        <w:tblPrEx>
          <w:tblW w:w="9458" w:type="dxa"/>
          <w:tblInd w:w="0" w:type="dxa"/>
          <w:tblCellMar>
            <w:top w:w="0" w:type="dxa"/>
            <w:left w:w="108" w:type="dxa"/>
            <w:bottom w:w="0" w:type="dxa"/>
            <w:right w:w="108" w:type="dxa"/>
          </w:tblCellMar>
          <w:tblLook w:val="01E0"/>
        </w:tblPrEx>
        <w:trPr>
          <w:trHeight w:val="807"/>
        </w:trPr>
        <w:tc>
          <w:tcPr>
            <w:tcW w:w="3708" w:type="dxa"/>
            <w:shd w:val="clear" w:color="auto" w:fill="auto"/>
          </w:tcPr>
          <w:p w:rsidR="00065FF4" w:rsidRPr="00A044B5" w:rsidP="00065FF4">
            <w:pPr>
              <w:rPr>
                <w:rStyle w:val="DefaultParagraphFont"/>
                <w:sz w:val="24"/>
                <w:szCs w:val="24"/>
                <w:lang w:val="en-US" w:eastAsia="en-US" w:bidi="ar-SA"/>
              </w:rPr>
            </w:pPr>
            <w:r w:rsidRPr="00A044B5">
              <w:rPr>
                <w:sz w:val="24"/>
                <w:lang w:val="en-US" w:eastAsia="en-US" w:bidi="ar-SA"/>
              </w:rPr>
              <w:t>In the Matter of</w:t>
            </w:r>
            <w:r>
              <w:rPr>
                <w:sz w:val="24"/>
                <w:lang w:val="en-US" w:eastAsia="en-US" w:bidi="ar-SA"/>
              </w:rPr>
              <w:t xml:space="preserve"> the Commission’s Investigation into Verde Energy USA Ohio, LLC’s Compliance with the Ohio Administrative Code and Potential Remedial Actions for Non-Compliance.</w:t>
            </w:r>
          </w:p>
        </w:tc>
        <w:tc>
          <w:tcPr>
            <w:tcW w:w="1350" w:type="dxa"/>
            <w:shd w:val="clear" w:color="auto" w:fill="auto"/>
          </w:tcPr>
          <w:p w:rsidR="00065FF4" w:rsidRPr="00A044B5" w:rsidP="00065FF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65FF4" w:rsidRPr="00A044B5" w:rsidP="00065FF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65FF4" w:rsidRPr="00A044B5" w:rsidP="00065FF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65FF4" w:rsidP="00065FF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65FF4" w:rsidP="00065FF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065FF4" w:rsidRPr="00A044B5" w:rsidP="00065FF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4400" w:type="dxa"/>
            <w:shd w:val="clear" w:color="auto" w:fill="auto"/>
          </w:tcPr>
          <w:p w:rsidR="00065FF4"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065FF4" w:rsidRPr="00A044B5" w:rsidP="00065FF4">
            <w:pPr>
              <w:rPr>
                <w:rStyle w:val="DefaultParagraphFont"/>
                <w:sz w:val="24"/>
                <w:lang w:val="en-US" w:eastAsia="en-US" w:bidi="ar-SA"/>
              </w:rPr>
            </w:pPr>
            <w:r w:rsidRPr="00A044B5">
              <w:rPr>
                <w:sz w:val="24"/>
                <w:lang w:val="en-US" w:eastAsia="en-US" w:bidi="ar-SA"/>
              </w:rPr>
              <w:t xml:space="preserve">Case No. </w:t>
            </w:r>
            <w:r>
              <w:rPr>
                <w:sz w:val="24"/>
                <w:lang w:val="en-US" w:eastAsia="en-US" w:bidi="ar-SA"/>
              </w:rPr>
              <w:t>19-</w:t>
            </w:r>
            <w:r w:rsidR="00E30220">
              <w:rPr>
                <w:sz w:val="24"/>
                <w:lang w:val="en-US" w:eastAsia="en-US" w:bidi="ar-SA"/>
              </w:rPr>
              <w:t>0</w:t>
            </w:r>
            <w:r>
              <w:rPr>
                <w:sz w:val="24"/>
                <w:lang w:val="en-US" w:eastAsia="en-US" w:bidi="ar-SA"/>
              </w:rPr>
              <w:t>958-GE-COI</w:t>
            </w:r>
          </w:p>
          <w:p w:rsidR="00065FF4"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065FF4"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065FF4">
      <w:pPr>
        <w:pStyle w:val="HTMLPreformatted"/>
        <w:rPr>
          <w:rFonts w:ascii="Times New Roman" w:hAnsi="Times New Roman"/>
          <w:sz w:val="24"/>
        </w:rPr>
      </w:pPr>
      <w:r>
        <w:rPr>
          <w:rFonts w:ascii="Times New Roman" w:hAnsi="Times New Roman"/>
          <w:sz w:val="24"/>
        </w:rPr>
        <w:tab/>
      </w:r>
    </w:p>
    <w:p w:rsidR="00065FF4">
      <w:pPr>
        <w:pStyle w:val="HTMLPreformatted"/>
        <w:pBdr>
          <w:top w:val="single" w:sz="12" w:space="1" w:color="auto"/>
        </w:pBdr>
        <w:rPr>
          <w:rFonts w:ascii="Times New Roman" w:hAnsi="Times New Roman"/>
          <w:sz w:val="24"/>
        </w:rPr>
      </w:pPr>
    </w:p>
    <w:p w:rsidR="00065FF4">
      <w:pPr>
        <w:jc w:val="center"/>
        <w:rPr>
          <w:b/>
          <w:bCs/>
        </w:rPr>
      </w:pPr>
      <w:r>
        <w:rPr>
          <w:b/>
          <w:bCs/>
        </w:rPr>
        <w:t xml:space="preserve">MEMORANDUM CONTRA </w:t>
      </w:r>
      <w:r w:rsidR="00350615">
        <w:rPr>
          <w:b/>
          <w:bCs/>
        </w:rPr>
        <w:t xml:space="preserve">VERDE’S </w:t>
      </w:r>
      <w:r>
        <w:rPr>
          <w:b/>
          <w:bCs/>
        </w:rPr>
        <w:t xml:space="preserve">MOTION </w:t>
      </w:r>
      <w:r w:rsidR="00350615">
        <w:rPr>
          <w:b/>
          <w:bCs/>
        </w:rPr>
        <w:t xml:space="preserve">FOR </w:t>
      </w:r>
      <w:r w:rsidR="00F125D8">
        <w:rPr>
          <w:b/>
          <w:bCs/>
        </w:rPr>
        <w:t xml:space="preserve">A </w:t>
      </w:r>
      <w:r w:rsidR="00350615">
        <w:rPr>
          <w:b/>
          <w:bCs/>
        </w:rPr>
        <w:t>SEVEN-DAY</w:t>
      </w:r>
      <w:r>
        <w:rPr>
          <w:b/>
          <w:bCs/>
        </w:rPr>
        <w:t xml:space="preserve"> </w:t>
      </w:r>
      <w:r w:rsidR="00350615">
        <w:rPr>
          <w:b/>
          <w:bCs/>
        </w:rPr>
        <w:t xml:space="preserve">EXTENSION FOR RESPONDING TO OCC’S SECOND SET OF </w:t>
      </w:r>
      <w:r>
        <w:rPr>
          <w:b/>
          <w:bCs/>
        </w:rPr>
        <w:t>DISCOVERY</w:t>
      </w:r>
    </w:p>
    <w:p w:rsidR="00065FF4">
      <w:pPr>
        <w:jc w:val="center"/>
        <w:rPr>
          <w:b/>
          <w:bCs/>
        </w:rPr>
      </w:pPr>
      <w:r>
        <w:rPr>
          <w:b/>
          <w:bCs/>
        </w:rPr>
        <w:t>BY</w:t>
      </w:r>
    </w:p>
    <w:p w:rsidR="00065FF4">
      <w:pPr>
        <w:jc w:val="center"/>
        <w:rPr>
          <w:b/>
          <w:bCs/>
        </w:rPr>
      </w:pPr>
      <w:r>
        <w:rPr>
          <w:b/>
          <w:bCs/>
        </w:rPr>
        <w:t>THE OFFICE OF THE OHIO CONSUMERS’ COUNSEL</w:t>
      </w:r>
    </w:p>
    <w:p w:rsidR="00065FF4">
      <w:pPr>
        <w:pBdr>
          <w:bottom w:val="single" w:sz="12" w:space="1" w:color="auto"/>
        </w:pBdr>
        <w:tabs>
          <w:tab w:val="left" w:pos="4320"/>
        </w:tabs>
      </w:pPr>
    </w:p>
    <w:p w:rsidR="00065FF4">
      <w:pPr>
        <w:tabs>
          <w:tab w:val="left" w:pos="4320"/>
        </w:tabs>
      </w:pPr>
    </w:p>
    <w:p w:rsidR="009B0755" w:rsidRPr="0027780C" w:rsidP="005E3D69">
      <w:pPr>
        <w:numPr>
          <w:ilvl w:val="0"/>
          <w:numId w:val="12"/>
        </w:numPr>
        <w:spacing w:before="240" w:line="480" w:lineRule="auto"/>
        <w:ind w:left="720"/>
        <w:rPr>
          <w:b/>
        </w:rPr>
      </w:pPr>
      <w:r w:rsidRPr="0027780C">
        <w:rPr>
          <w:b/>
        </w:rPr>
        <w:t>INTRODUCTION</w:t>
      </w:r>
    </w:p>
    <w:p w:rsidR="004F4A3F" w:rsidRPr="00350615" w:rsidP="00352704">
      <w:pPr>
        <w:pStyle w:val="BodyTextIndent3"/>
        <w:suppressAutoHyphens/>
        <w:spacing w:line="480" w:lineRule="auto"/>
        <w:rPr>
          <w:szCs w:val="24"/>
        </w:rPr>
      </w:pPr>
      <w:r>
        <w:t xml:space="preserve">This case involves alleged misleading and deceptive practices by Verde Energy USA Ohio, LLC (“Verde”) in its marketing of electricity and natural gas to Ohioans. </w:t>
      </w:r>
      <w:r w:rsidR="00065FF4">
        <w:t xml:space="preserve">The </w:t>
      </w:r>
      <w:r>
        <w:t xml:space="preserve">allegations were made by the </w:t>
      </w:r>
      <w:r w:rsidR="00065FF4">
        <w:t>Staff</w:t>
      </w:r>
      <w:r w:rsidR="00A46DE1">
        <w:t xml:space="preserve"> of the </w:t>
      </w:r>
      <w:r w:rsidRPr="00234A20" w:rsidR="00065FF4">
        <w:t>Public Utilities Commission of Ohio (“PUCO”)</w:t>
      </w:r>
      <w:r>
        <w:t>.</w:t>
      </w:r>
      <w:r>
        <w:rPr>
          <w:rStyle w:val="FootnoteReference"/>
        </w:rPr>
        <w:footnoteReference w:id="2"/>
      </w:r>
      <w:r w:rsidR="00065FF4">
        <w:t xml:space="preserve"> </w:t>
      </w:r>
      <w:r>
        <w:t xml:space="preserve"> </w:t>
      </w:r>
      <w:r>
        <w:rPr>
          <w:szCs w:val="24"/>
        </w:rPr>
        <w:t>Verde is accused of at least 231 instances of false, misleading, and deceptive marketing practices in telephonic marketing of utility service to residential consumers</w:t>
      </w:r>
      <w:r w:rsidRPr="00350615" w:rsidR="00350615">
        <w:t xml:space="preserve"> </w:t>
      </w:r>
      <w:r w:rsidR="00350615">
        <w:t>between October 1, 2018 and April 12, 2019</w:t>
      </w:r>
      <w:r>
        <w:rPr>
          <w:szCs w:val="24"/>
        </w:rPr>
        <w:t>.</w:t>
      </w:r>
      <w:r>
        <w:rPr>
          <w:rStyle w:val="FootnoteReference"/>
          <w:szCs w:val="24"/>
        </w:rPr>
        <w:footnoteReference w:id="3"/>
      </w:r>
      <w:r>
        <w:rPr>
          <w:szCs w:val="24"/>
        </w:rPr>
        <w:t xml:space="preserve">  </w:t>
      </w:r>
      <w:r>
        <w:t>This represents more than half of the customer contacts with the PUCO concerning Verde and 18% of the complaints against energy marketers during that timeframe.</w:t>
      </w:r>
      <w:r>
        <w:rPr>
          <w:rStyle w:val="FootnoteReference"/>
        </w:rPr>
        <w:footnoteReference w:id="4"/>
      </w:r>
      <w:r>
        <w:t xml:space="preserve">  </w:t>
      </w:r>
      <w:r w:rsidR="0012604E">
        <w:t xml:space="preserve">Per the conclusions in the Staff Report, </w:t>
      </w:r>
      <w:r>
        <w:rPr>
          <w:szCs w:val="24"/>
        </w:rPr>
        <w:t>Verde’s practices violate not only Ohio law and PUCO rules but also federal law and rules of the Federal Communications Commission.</w:t>
      </w:r>
      <w:r>
        <w:rPr>
          <w:rStyle w:val="FootnoteReference"/>
          <w:szCs w:val="24"/>
        </w:rPr>
        <w:footnoteReference w:id="5"/>
      </w:r>
      <w:r w:rsidR="00B2041F">
        <w:rPr>
          <w:szCs w:val="24"/>
        </w:rPr>
        <w:t xml:space="preserve">  The PUCO Staff recommended that </w:t>
      </w:r>
      <w:r w:rsidR="00B2041F">
        <w:rPr>
          <w:szCs w:val="24"/>
        </w:rPr>
        <w:t>the PUCO consider suspending or rescinding Verde’s certificates to market utility service in Ohio.</w:t>
      </w:r>
      <w:r>
        <w:rPr>
          <w:rStyle w:val="FootnoteReference"/>
          <w:szCs w:val="24"/>
        </w:rPr>
        <w:footnoteReference w:id="6"/>
      </w:r>
    </w:p>
    <w:p w:rsidR="00AB27CD" w:rsidP="00065FF4">
      <w:pPr>
        <w:pStyle w:val="BodyTextIndent3"/>
        <w:suppressAutoHyphens/>
        <w:spacing w:line="480" w:lineRule="auto"/>
      </w:pPr>
      <w:r>
        <w:t>On May 6, 2019</w:t>
      </w:r>
      <w:r w:rsidR="00352704">
        <w:t>,</w:t>
      </w:r>
      <w:r>
        <w:t xml:space="preserve"> the </w:t>
      </w:r>
      <w:r>
        <w:t>PUCO issued an Entry that amended a previously</w:t>
      </w:r>
      <w:r w:rsidR="007B68F4">
        <w:t xml:space="preserve"> </w:t>
      </w:r>
      <w:r>
        <w:t>ordered procedural schedule</w:t>
      </w:r>
      <w:r w:rsidR="0012604E">
        <w:t xml:space="preserve"> (“May 6 Entry”)</w:t>
      </w:r>
      <w:r w:rsidR="00352704">
        <w:t>.</w:t>
      </w:r>
      <w:r w:rsidR="0069769A">
        <w:t xml:space="preserve"> The entry extended the testimony deadlines and rescheduled the evidentiary hearing</w:t>
      </w:r>
      <w:r>
        <w:t xml:space="preserve">.  </w:t>
      </w:r>
      <w:r w:rsidR="0069769A">
        <w:t>Importantly, t</w:t>
      </w:r>
      <w:r>
        <w:t>he Entry also shortened the time for discovery responses to seven days</w:t>
      </w:r>
      <w:r w:rsidR="00137ED0">
        <w:t>,</w:t>
      </w:r>
      <w:r>
        <w:rPr>
          <w:rStyle w:val="FootnoteReference"/>
        </w:rPr>
        <w:footnoteReference w:id="7"/>
      </w:r>
      <w:r w:rsidR="00BE16FA">
        <w:t xml:space="preserve"> </w:t>
      </w:r>
      <w:r w:rsidR="00137ED0">
        <w:t xml:space="preserve">despite a request by Verde to stay discovery so that pending negotiations could continue.  The Entry also expedited the pleading cycle by ruling that </w:t>
      </w:r>
      <w:r w:rsidR="00BE16FA">
        <w:t xml:space="preserve">the filing of a memorandum contra a motion </w:t>
      </w:r>
      <w:r w:rsidR="00137ED0">
        <w:t xml:space="preserve">would be </w:t>
      </w:r>
      <w:r w:rsidR="00352704">
        <w:t>in</w:t>
      </w:r>
      <w:r w:rsidR="00BE16FA">
        <w:t xml:space="preserve"> five business days, with no reply to a memorandum contra allowed.</w:t>
      </w:r>
      <w:r>
        <w:rPr>
          <w:rStyle w:val="FootnoteReference"/>
        </w:rPr>
        <w:footnoteReference w:id="8"/>
      </w:r>
      <w:r>
        <w:t xml:space="preserve">  The procedural schedule was further modified by PUCO Entries dated May 16, 2019, May 30, 2019, and July 9, 2019.  Because of settlement talks, the PUCO suspended the procedural schedule by Entry dated August 5, 2019.</w:t>
      </w:r>
      <w:r w:rsidR="0069769A">
        <w:t xml:space="preserve"> None of these Entries however, changed the expedited discovery process that the PUCO established in its May 6, 2019 Entry.  </w:t>
      </w:r>
    </w:p>
    <w:p w:rsidR="00AB27CD" w:rsidP="00065FF4">
      <w:pPr>
        <w:pStyle w:val="BodyTextIndent3"/>
        <w:suppressAutoHyphens/>
        <w:spacing w:line="480" w:lineRule="auto"/>
      </w:pPr>
      <w:r>
        <w:t xml:space="preserve">The Office of the Ohio Consumers’ Counsel (“OCC”) </w:t>
      </w:r>
      <w:r>
        <w:t>served discovery on Verde on August 2</w:t>
      </w:r>
      <w:r w:rsidR="00BE16FA">
        <w:t>2</w:t>
      </w:r>
      <w:r>
        <w:t>, 2019</w:t>
      </w:r>
      <w:r w:rsidR="00BE16FA">
        <w:t>, which makes responses due on August 29</w:t>
      </w:r>
      <w:r w:rsidRPr="00BE16FA" w:rsidR="00BE16FA">
        <w:rPr>
          <w:vertAlign w:val="superscript"/>
        </w:rPr>
        <w:t>th</w:t>
      </w:r>
      <w:r w:rsidR="00BE16FA">
        <w:t xml:space="preserve"> under the May 6 Entry</w:t>
      </w:r>
      <w:r>
        <w:t xml:space="preserve">.  The next day Verde contacted OCC’s counsel and asked for a seven-day extension of the due date for responding to OCC’s discovery.  </w:t>
      </w:r>
      <w:r w:rsidR="00BE16FA">
        <w:t>OCC’s</w:t>
      </w:r>
      <w:r w:rsidR="00855621">
        <w:t xml:space="preserve"> counsel</w:t>
      </w:r>
      <w:r w:rsidR="00BE16FA">
        <w:t xml:space="preserve"> replied that </w:t>
      </w:r>
      <w:r w:rsidR="0069769A">
        <w:t xml:space="preserve">it would agree to </w:t>
      </w:r>
      <w:r w:rsidR="00BE16FA">
        <w:t>a two-day extension of the deadline.  Under the PUCO’s computation of time rules,</w:t>
      </w:r>
      <w:r>
        <w:rPr>
          <w:rStyle w:val="FootnoteReference"/>
        </w:rPr>
        <w:footnoteReference w:id="9"/>
      </w:r>
      <w:r w:rsidR="00BE16FA">
        <w:t xml:space="preserve"> a two-day extension would actually be a five-day extension, to September 2</w:t>
      </w:r>
      <w:r w:rsidRPr="00BE16FA" w:rsidR="00BE16FA">
        <w:rPr>
          <w:vertAlign w:val="superscript"/>
        </w:rPr>
        <w:t>nd</w:t>
      </w:r>
      <w:r w:rsidR="00BE16FA">
        <w:t xml:space="preserve">, because of the Labor Day holiday.  Verde </w:t>
      </w:r>
      <w:r w:rsidR="0069769A">
        <w:t xml:space="preserve">subsequently </w:t>
      </w:r>
      <w:r w:rsidR="00BE16FA">
        <w:t xml:space="preserve">declined this offer and filed a motion with </w:t>
      </w:r>
      <w:r w:rsidR="00BE16FA">
        <w:t>the PUCO seeking a seven-day extension of the deadline for filing the discovery responses.</w:t>
      </w:r>
      <w:r w:rsidR="0069769A">
        <w:t xml:space="preserve"> </w:t>
      </w:r>
    </w:p>
    <w:p w:rsidR="00855621" w:rsidP="00065FF4">
      <w:pPr>
        <w:pStyle w:val="BodyTextIndent3"/>
        <w:suppressAutoHyphens/>
        <w:spacing w:line="480" w:lineRule="auto"/>
      </w:pPr>
      <w:r>
        <w:t>Verde also seeks an expedited ruling on its motion.</w:t>
      </w:r>
      <w:r>
        <w:rPr>
          <w:rStyle w:val="FootnoteReference"/>
        </w:rPr>
        <w:footnoteReference w:id="10"/>
      </w:r>
      <w:r>
        <w:t xml:space="preserve">  In such cases, an immediate ruling may be issued without the filing of memoranda only if the motion requests an extension of time to file pleadings or other papers of five days or less</w:t>
      </w:r>
      <w:r w:rsidR="0012604E">
        <w:t xml:space="preserve"> or all parties consent to an immediate ruling</w:t>
      </w:r>
      <w:r w:rsidR="00BB0139">
        <w:t xml:space="preserve"> without the filing of memoranda</w:t>
      </w:r>
      <w:r>
        <w:t>.</w:t>
      </w:r>
      <w:r>
        <w:rPr>
          <w:rStyle w:val="FootnoteReference"/>
        </w:rPr>
        <w:footnoteReference w:id="11"/>
      </w:r>
      <w:r w:rsidR="00C416B7">
        <w:t xml:space="preserve">  Verde’s request for a seven-day extension does not qualify for a PUCO ruling without the filing of memoranda.</w:t>
      </w:r>
    </w:p>
    <w:p w:rsidR="00BE16FA" w:rsidP="00065FF4">
      <w:pPr>
        <w:pStyle w:val="BodyTextIndent3"/>
        <w:suppressAutoHyphens/>
        <w:spacing w:line="480" w:lineRule="auto"/>
      </w:pPr>
      <w:r>
        <w:t>Verde has not shown good cause to extend the deadline to respond to OCC’s August 22</w:t>
      </w:r>
      <w:r w:rsidRPr="00BE16FA">
        <w:rPr>
          <w:vertAlign w:val="superscript"/>
        </w:rPr>
        <w:t>nd</w:t>
      </w:r>
      <w:r>
        <w:t xml:space="preserve"> discovery</w:t>
      </w:r>
      <w:r w:rsidR="00BB0139">
        <w:t xml:space="preserve"> and will be prejudicial to OCC</w:t>
      </w:r>
      <w:r>
        <w:t>.  The PUCO should deny Verde’s motion.</w:t>
      </w:r>
    </w:p>
    <w:p w:rsidR="0027780C" w:rsidRPr="00EF53AB" w:rsidP="007579BB">
      <w:pPr>
        <w:keepNext/>
        <w:suppressAutoHyphens/>
        <w:spacing w:before="240" w:line="480" w:lineRule="auto"/>
        <w:rPr>
          <w:b/>
          <w:szCs w:val="24"/>
        </w:rPr>
      </w:pPr>
      <w:r>
        <w:rPr>
          <w:b/>
          <w:szCs w:val="24"/>
        </w:rPr>
        <w:t>II.</w:t>
      </w:r>
      <w:r>
        <w:rPr>
          <w:b/>
          <w:szCs w:val="24"/>
        </w:rPr>
        <w:tab/>
        <w:t>STANDARD OF REVIEW</w:t>
      </w:r>
    </w:p>
    <w:p w:rsidR="0027780C" w:rsidP="0027780C">
      <w:pPr>
        <w:pStyle w:val="BodyTextIndent3"/>
        <w:suppressAutoHyphens/>
        <w:spacing w:line="480" w:lineRule="auto"/>
      </w:pPr>
      <w:r>
        <w:rPr>
          <w:szCs w:val="24"/>
        </w:rPr>
        <w:t xml:space="preserve">Under </w:t>
      </w:r>
      <w:r w:rsidRPr="00E53E6E">
        <w:rPr>
          <w:szCs w:val="24"/>
        </w:rPr>
        <w:t xml:space="preserve">Ohio Adm. </w:t>
      </w:r>
      <w:r>
        <w:rPr>
          <w:szCs w:val="24"/>
        </w:rPr>
        <w:t xml:space="preserve">Code 4901-1-13, the PUCO may grant </w:t>
      </w:r>
      <w:r>
        <w:t>extensions of time to file pleadings or other papers upon motion of any party for good cause shown</w:t>
      </w:r>
      <w:r>
        <w:rPr>
          <w:szCs w:val="24"/>
        </w:rPr>
        <w:t>.  As discussed below, the motion does not provide good cause and the PUCO should deny the motion.</w:t>
      </w:r>
      <w:r w:rsidR="0069769A">
        <w:rPr>
          <w:szCs w:val="24"/>
        </w:rPr>
        <w:t xml:space="preserve">  </w:t>
      </w:r>
    </w:p>
    <w:p w:rsidR="00760792" w:rsidP="005E3D69">
      <w:pPr>
        <w:pStyle w:val="BodyTextIndent3"/>
        <w:numPr>
          <w:ilvl w:val="0"/>
          <w:numId w:val="13"/>
        </w:numPr>
        <w:suppressAutoHyphens/>
        <w:spacing w:before="240" w:after="240" w:line="240" w:lineRule="auto"/>
        <w:ind w:left="720"/>
        <w:rPr>
          <w:b/>
        </w:rPr>
      </w:pPr>
      <w:r>
        <w:rPr>
          <w:b/>
        </w:rPr>
        <w:t>ARGUMENT</w:t>
      </w:r>
    </w:p>
    <w:p w:rsidR="00600102" w:rsidRPr="00600102" w:rsidP="00E30220">
      <w:pPr>
        <w:pStyle w:val="BodyTextIndent3"/>
        <w:numPr>
          <w:ilvl w:val="0"/>
          <w:numId w:val="14"/>
        </w:numPr>
        <w:suppressAutoHyphens/>
        <w:spacing w:after="240" w:line="240" w:lineRule="auto"/>
        <w:ind w:left="1440" w:hanging="720"/>
        <w:rPr>
          <w:b/>
        </w:rPr>
      </w:pPr>
      <w:r>
        <w:rPr>
          <w:b/>
        </w:rPr>
        <w:t>Verde has not shown good cause for an extension of the seven-day deadline for responding to discovery in this case</w:t>
      </w:r>
      <w:r w:rsidR="005E3D69">
        <w:rPr>
          <w:b/>
        </w:rPr>
        <w:t>.</w:t>
      </w:r>
    </w:p>
    <w:p w:rsidR="00B75A11" w:rsidP="00B75A11">
      <w:pPr>
        <w:suppressAutoHyphens/>
        <w:spacing w:line="480" w:lineRule="auto"/>
        <w:ind w:firstLine="720"/>
      </w:pPr>
      <w:bookmarkStart w:id="1" w:name="_Hlk6908367"/>
      <w:r>
        <w:t>Verde asserts that there is good cause to grant its motion because of the scope of OCC’s discovery.</w:t>
      </w:r>
      <w:r>
        <w:rPr>
          <w:rStyle w:val="FootnoteReference"/>
        </w:rPr>
        <w:footnoteReference w:id="12"/>
      </w:r>
      <w:r>
        <w:t xml:space="preserve">  Verde points to the ten interrogatories (with a total of 32 subparts) and 11 requests for production of documents in OCC’s discovery.</w:t>
      </w:r>
      <w:r>
        <w:rPr>
          <w:rStyle w:val="FootnoteReference"/>
        </w:rPr>
        <w:footnoteReference w:id="13"/>
      </w:r>
      <w:r>
        <w:t xml:space="preserve">  However, responding to OCC’s discovery should not be burdensome for Verde.  Only three of the interrogatories have subparts and they ask questions concerning the number of Verde’s customers in Ohio, the current variable rate Verde charges, and Verde’s corporate structure.</w:t>
      </w:r>
      <w:r>
        <w:rPr>
          <w:rStyle w:val="FootnoteReference"/>
        </w:rPr>
        <w:footnoteReference w:id="14"/>
      </w:r>
      <w:r>
        <w:t xml:space="preserve">  This information should be relatively easy for Verde to compile.</w:t>
      </w:r>
    </w:p>
    <w:p w:rsidR="00DA1714" w:rsidP="00A469FA">
      <w:pPr>
        <w:suppressAutoHyphens/>
        <w:spacing w:line="480" w:lineRule="auto"/>
        <w:ind w:firstLine="720"/>
      </w:pPr>
      <w:r>
        <w:t xml:space="preserve">Verde </w:t>
      </w:r>
      <w:r w:rsidR="00B75A11">
        <w:t xml:space="preserve">also </w:t>
      </w:r>
      <w:r>
        <w:t>asserts that there is good cause for the seven-day extension to respond to OCC’s discovery because there is no longer a hearing scheduled in this case.</w:t>
      </w:r>
      <w:r>
        <w:rPr>
          <w:rStyle w:val="FootnoteReference"/>
        </w:rPr>
        <w:footnoteReference w:id="15"/>
      </w:r>
      <w:r w:rsidR="00B75A11">
        <w:t xml:space="preserve">  That </w:t>
      </w:r>
      <w:r w:rsidR="00BB0139">
        <w:t>fact does not constitute good cause</w:t>
      </w:r>
      <w:r w:rsidR="00B75A11">
        <w:t xml:space="preserve"> to grant the extension.  </w:t>
      </w:r>
      <w:r w:rsidR="009C3B8D">
        <w:t>The PUCO often quickly moves to hearing once a settlement is filed in a case.  For example, in the PALMco case, the settlement was filed on July 31, 2019 and the PUCO scheduled a hearing for September 18, 2019 – about seven weeks after the settlement was filed.</w:t>
      </w:r>
      <w:r>
        <w:rPr>
          <w:rStyle w:val="FootnoteReference"/>
        </w:rPr>
        <w:footnoteReference w:id="16"/>
      </w:r>
      <w:r w:rsidR="009C3B8D">
        <w:t xml:space="preserve">  Testimony is currently due on September 4, 2019, just five weeks after the settlement was filed.</w:t>
      </w:r>
      <w:r>
        <w:rPr>
          <w:rStyle w:val="FootnoteReference"/>
        </w:rPr>
        <w:footnoteReference w:id="17"/>
      </w:r>
      <w:r w:rsidR="009C3B8D">
        <w:t xml:space="preserve">  The absence of a current procedural schedule </w:t>
      </w:r>
      <w:r w:rsidR="00BB0139">
        <w:t xml:space="preserve">does not constitute </w:t>
      </w:r>
      <w:r w:rsidR="009C3B8D">
        <w:t xml:space="preserve">good </w:t>
      </w:r>
      <w:r w:rsidR="00BB0139">
        <w:t>cause</w:t>
      </w:r>
      <w:r w:rsidR="009C3B8D">
        <w:t xml:space="preserve"> for extending the deadline for discovery.</w:t>
      </w:r>
    </w:p>
    <w:p w:rsidR="00DA1714" w:rsidP="00A469FA">
      <w:pPr>
        <w:suppressAutoHyphens/>
        <w:spacing w:line="480" w:lineRule="auto"/>
        <w:ind w:firstLine="720"/>
      </w:pPr>
      <w:r>
        <w:t>Verde also contends that</w:t>
      </w:r>
      <w:r>
        <w:t xml:space="preserve"> OCC would not be </w:t>
      </w:r>
      <w:r>
        <w:t>prejudiced by the extension.</w:t>
      </w:r>
      <w:r>
        <w:rPr>
          <w:rStyle w:val="FootnoteReference"/>
        </w:rPr>
        <w:footnoteReference w:id="18"/>
      </w:r>
      <w:r>
        <w:t xml:space="preserve">  That is not true.  The information OCC seeks is necessary to develop its position in this cas</w:t>
      </w:r>
      <w:r w:rsidR="00BB0139">
        <w:t>e, value settlement proposals, and draft testimony if settlement cannot be reached</w:t>
      </w:r>
      <w:r>
        <w:t>.  The extension would impede OCC’s preparation for all aspects of this case, including but not limited to a hearing.</w:t>
      </w:r>
      <w:r w:rsidR="00281D3D">
        <w:t xml:space="preserve"> </w:t>
      </w:r>
    </w:p>
    <w:p w:rsidR="009C3B8D" w:rsidP="00A469FA">
      <w:pPr>
        <w:suppressAutoHyphens/>
        <w:spacing w:line="480" w:lineRule="auto"/>
        <w:ind w:firstLine="720"/>
      </w:pPr>
      <w:r>
        <w:t>Further, Verde mischaracterized the May 6 Entry establishing the procedural schedule.  Verde gives the impression that the shortened discovery time was necessitated “in light of the time frame for this proceeding.”</w:t>
      </w:r>
      <w:r>
        <w:rPr>
          <w:rStyle w:val="FootnoteReference"/>
        </w:rPr>
        <w:footnoteReference w:id="19"/>
      </w:r>
      <w:r w:rsidR="00965187">
        <w:t xml:space="preserve">  But Verde misquoted the Entry.  The phrase “in light of the time frame for this proceeding” was used to introduce a paragraph discussing the need for amending the response times for motions.  The paragraph discussing shortened response times for discovery actually states, in full:</w:t>
      </w:r>
    </w:p>
    <w:p w:rsidR="00965187" w:rsidP="00E30220">
      <w:pPr>
        <w:autoSpaceDE w:val="0"/>
        <w:autoSpaceDN w:val="0"/>
        <w:adjustRightInd w:val="0"/>
        <w:spacing w:after="240"/>
        <w:ind w:left="720" w:right="720"/>
        <w:jc w:val="both"/>
      </w:pPr>
      <w:r w:rsidRPr="00A0217B">
        <w:t>In addition, the attorney examiner finds that, for all discovery requests served after the issuance of this Entry, the response time for discovery shall be shortened to seven calendar days. Unless otherwise agreed to by the parties, discovery requests and replies shall be served by hand delivery, facsimile, or e-mail. An attorney serving a discovery request shall attempt to contact the attorney upon whom the discovery request will be served in advance to advise him/her that a request will be forthcoming</w:t>
      </w:r>
      <w:r>
        <w:t>.</w:t>
      </w:r>
      <w:r>
        <w:rPr>
          <w:rStyle w:val="FootnoteReference"/>
        </w:rPr>
        <w:footnoteReference w:id="20"/>
      </w:r>
    </w:p>
    <w:p w:rsidR="00965187" w:rsidP="00965187">
      <w:pPr>
        <w:suppressAutoHyphens/>
        <w:spacing w:line="480" w:lineRule="auto"/>
      </w:pPr>
      <w:r>
        <w:t xml:space="preserve">The Entry doesn’t have the context that Verde </w:t>
      </w:r>
      <w:r w:rsidR="00BB0139">
        <w:t>claims that</w:t>
      </w:r>
      <w:r>
        <w:t xml:space="preserve"> it does.</w:t>
      </w:r>
    </w:p>
    <w:p w:rsidR="008B47BA" w:rsidRPr="00577800" w:rsidP="00A469FA">
      <w:pPr>
        <w:suppressAutoHyphens/>
        <w:spacing w:line="480" w:lineRule="auto"/>
        <w:ind w:firstLine="720"/>
        <w:rPr>
          <w:i/>
        </w:rPr>
      </w:pPr>
      <w:r>
        <w:t>Verde has not shown good cause for the motion as required by the PUCO’s rules</w:t>
      </w:r>
      <w:r w:rsidR="00BB0139">
        <w:t xml:space="preserve"> and prejudice to OCC will occur</w:t>
      </w:r>
      <w:r>
        <w:t>.</w:t>
      </w:r>
      <w:r w:rsidR="00A469FA">
        <w:t xml:space="preserve">  Accordingly, t</w:t>
      </w:r>
      <w:r>
        <w:t xml:space="preserve">he PUCO should </w:t>
      </w:r>
      <w:r w:rsidR="007579BB">
        <w:t xml:space="preserve">deny </w:t>
      </w:r>
      <w:r>
        <w:t>the motion.</w:t>
      </w:r>
    </w:p>
    <w:p w:rsidR="001D1C67" w:rsidRPr="001D1C67" w:rsidP="00E30220">
      <w:pPr>
        <w:keepNext/>
        <w:numPr>
          <w:ilvl w:val="0"/>
          <w:numId w:val="14"/>
        </w:numPr>
        <w:suppressAutoHyphens/>
        <w:spacing w:after="240"/>
        <w:ind w:left="1440" w:hanging="720"/>
        <w:rPr>
          <w:b/>
        </w:rPr>
      </w:pPr>
      <w:r>
        <w:rPr>
          <w:b/>
        </w:rPr>
        <w:t>OCC’s counteroffer to five Verde up to two days extra to respond to the discovery serves nearly the same purpose as Verde’s motion and is reasonable</w:t>
      </w:r>
      <w:r>
        <w:rPr>
          <w:b/>
        </w:rPr>
        <w:t>.</w:t>
      </w:r>
    </w:p>
    <w:p w:rsidR="00065FF4" w:rsidP="00065FF4">
      <w:pPr>
        <w:suppressAutoHyphens/>
        <w:spacing w:line="480" w:lineRule="auto"/>
        <w:ind w:firstLine="720"/>
      </w:pPr>
      <w:bookmarkEnd w:id="1"/>
      <w:r>
        <w:t>As Verde noted, OCC countered Verde’s seven-day request with an offer of up to two additional days for Verde to respond to the discovery.</w:t>
      </w:r>
      <w:r>
        <w:rPr>
          <w:rStyle w:val="FootnoteReference"/>
        </w:rPr>
        <w:footnoteReference w:id="21"/>
      </w:r>
      <w:r>
        <w:t xml:space="preserve">  Under the PUCO’s computation of time rules, a two-day extension provides nearly the same amount of time for Verde to respond to the discovery.</w:t>
      </w:r>
    </w:p>
    <w:p w:rsidR="006378B9" w:rsidP="00065FF4">
      <w:pPr>
        <w:suppressAutoHyphens/>
        <w:spacing w:line="480" w:lineRule="auto"/>
        <w:ind w:firstLine="720"/>
      </w:pPr>
      <w:r>
        <w:t>Verde’s discovery responses are currently due on Thursday, August 29</w:t>
      </w:r>
      <w:r w:rsidRPr="00BD05B4">
        <w:rPr>
          <w:vertAlign w:val="superscript"/>
        </w:rPr>
        <w:t>th</w:t>
      </w:r>
      <w:r>
        <w:t>.  A two-day extension would move the date to Saturday, August 31</w:t>
      </w:r>
      <w:r w:rsidRPr="00BD05B4">
        <w:rPr>
          <w:vertAlign w:val="superscript"/>
        </w:rPr>
        <w:t>st</w:t>
      </w:r>
      <w:r>
        <w:t>.  The PUCO’s rules state that if a deadline falls on a Saturday, Sunday, or legal holiday the deadline becomes the next business day.</w:t>
      </w:r>
      <w:r>
        <w:rPr>
          <w:rStyle w:val="FootnoteReference"/>
        </w:rPr>
        <w:footnoteReference w:id="22"/>
      </w:r>
      <w:r>
        <w:t xml:space="preserve">  Monday, September 2</w:t>
      </w:r>
      <w:r w:rsidRPr="00BD05B4">
        <w:rPr>
          <w:vertAlign w:val="superscript"/>
        </w:rPr>
        <w:t>nd</w:t>
      </w:r>
      <w:r>
        <w:t xml:space="preserve"> is a legal holiday (Labor Day), so with a two-day extension the deadline would be Tuesday, September 3</w:t>
      </w:r>
      <w:r w:rsidRPr="00BD05B4">
        <w:rPr>
          <w:vertAlign w:val="superscript"/>
        </w:rPr>
        <w:t>rd</w:t>
      </w:r>
      <w:r>
        <w:t>.  Thus, the two-day extension would actually result in a five-day extension.</w:t>
      </w:r>
    </w:p>
    <w:p w:rsidR="00BD05B4" w:rsidP="00065FF4">
      <w:pPr>
        <w:suppressAutoHyphens/>
        <w:spacing w:line="480" w:lineRule="auto"/>
        <w:ind w:firstLine="720"/>
      </w:pPr>
      <w:r>
        <w:t>OCC’s counteroffer of a two-day extension (in reality, a five-day extension) is reasonable.  The PUCO should deny Verde’s motion.</w:t>
      </w:r>
    </w:p>
    <w:p w:rsidR="002B344F" w:rsidRPr="002B344F" w:rsidP="002B344F">
      <w:pPr>
        <w:numPr>
          <w:ilvl w:val="0"/>
          <w:numId w:val="13"/>
        </w:numPr>
        <w:suppressAutoHyphens/>
        <w:spacing w:before="240" w:line="480" w:lineRule="auto"/>
        <w:ind w:left="720"/>
        <w:rPr>
          <w:b/>
        </w:rPr>
      </w:pPr>
      <w:r>
        <w:rPr>
          <w:b/>
        </w:rPr>
        <w:t>CONCLUSION</w:t>
      </w:r>
    </w:p>
    <w:p w:rsidR="00065FF4" w:rsidP="00B02BF9">
      <w:pPr>
        <w:suppressAutoHyphens/>
        <w:spacing w:line="480" w:lineRule="auto"/>
        <w:ind w:firstLine="720"/>
        <w:rPr>
          <w:szCs w:val="24"/>
        </w:rPr>
      </w:pPr>
      <w:r>
        <w:t xml:space="preserve">Verde </w:t>
      </w:r>
      <w:r w:rsidR="00BD05B4">
        <w:t xml:space="preserve">has </w:t>
      </w:r>
      <w:r>
        <w:t>not show</w:t>
      </w:r>
      <w:r w:rsidR="00BD05B4">
        <w:t>n</w:t>
      </w:r>
      <w:r>
        <w:t xml:space="preserve"> good cause </w:t>
      </w:r>
      <w:r w:rsidR="00BD05B4">
        <w:t xml:space="preserve">for its motion </w:t>
      </w:r>
      <w:r>
        <w:t xml:space="preserve">as required by </w:t>
      </w:r>
      <w:r w:rsidRPr="00E53E6E" w:rsidR="00B02BF9">
        <w:rPr>
          <w:szCs w:val="24"/>
        </w:rPr>
        <w:t xml:space="preserve">Ohio Adm. </w:t>
      </w:r>
      <w:r w:rsidR="00B02BF9">
        <w:rPr>
          <w:szCs w:val="24"/>
        </w:rPr>
        <w:t xml:space="preserve">Code 4901-1-13.  The PUCO </w:t>
      </w:r>
      <w:r w:rsidR="00BB0139">
        <w:rPr>
          <w:szCs w:val="24"/>
        </w:rPr>
        <w:t>sh</w:t>
      </w:r>
      <w:r w:rsidR="00FC0ED9">
        <w:rPr>
          <w:szCs w:val="24"/>
        </w:rPr>
        <w:t xml:space="preserve">ould </w:t>
      </w:r>
      <w:r w:rsidR="00BD05B4">
        <w:rPr>
          <w:szCs w:val="24"/>
        </w:rPr>
        <w:t>deny Verde’s motion for a seven-day extension of the deadline for responding to OCC’s discovery</w:t>
      </w:r>
      <w:r w:rsidR="00B02BF9">
        <w:rPr>
          <w:szCs w:val="24"/>
        </w:rPr>
        <w:t>.</w:t>
      </w:r>
    </w:p>
    <w:p w:rsidR="00065FF4" w:rsidP="00065FF4">
      <w:pPr>
        <w:pStyle w:val="BodyTextIndent3"/>
        <w:widowControl w:val="0"/>
        <w:spacing w:line="480" w:lineRule="auto"/>
        <w:ind w:left="3600" w:right="-672"/>
        <w:rPr>
          <w:szCs w:val="24"/>
        </w:rPr>
      </w:pPr>
      <w:r>
        <w:rPr>
          <w:szCs w:val="24"/>
        </w:rPr>
        <w:t>Respectfully submitted,</w:t>
      </w:r>
    </w:p>
    <w:p w:rsidR="00065FF4" w:rsidP="00065FF4">
      <w:pPr>
        <w:pStyle w:val="Footer"/>
        <w:tabs>
          <w:tab w:val="left" w:pos="4320"/>
          <w:tab w:val="clear" w:pos="8640"/>
        </w:tabs>
        <w:ind w:left="4320"/>
        <w:rPr>
          <w:sz w:val="24"/>
          <w:szCs w:val="24"/>
        </w:rPr>
      </w:pPr>
      <w:r>
        <w:rPr>
          <w:sz w:val="24"/>
          <w:szCs w:val="24"/>
        </w:rPr>
        <w:t>Bruce Weston (0016973)</w:t>
      </w:r>
    </w:p>
    <w:p w:rsidR="00065FF4" w:rsidP="00065FF4">
      <w:pPr>
        <w:tabs>
          <w:tab w:val="left" w:pos="4320"/>
        </w:tabs>
        <w:ind w:left="4320"/>
        <w:rPr>
          <w:szCs w:val="24"/>
        </w:rPr>
      </w:pPr>
      <w:r>
        <w:rPr>
          <w:szCs w:val="24"/>
        </w:rPr>
        <w:t>Ohio Consumers’ Counsel</w:t>
      </w:r>
    </w:p>
    <w:p w:rsidR="00065FF4" w:rsidRPr="00E53E6E" w:rsidP="00065FF4">
      <w:pPr>
        <w:tabs>
          <w:tab w:val="left" w:pos="4320"/>
        </w:tabs>
        <w:spacing w:before="240"/>
        <w:ind w:left="4320"/>
        <w:rPr>
          <w:szCs w:val="24"/>
        </w:rPr>
      </w:pPr>
      <w:r w:rsidRPr="00E53E6E">
        <w:rPr>
          <w:i/>
          <w:szCs w:val="24"/>
          <w:u w:val="single"/>
        </w:rPr>
        <w:t>/s/ Terry L. Etter</w:t>
      </w:r>
      <w:r>
        <w:rPr>
          <w:i/>
          <w:szCs w:val="24"/>
          <w:u w:val="single"/>
        </w:rPr>
        <w:tab/>
      </w:r>
      <w:r>
        <w:rPr>
          <w:i/>
          <w:szCs w:val="24"/>
          <w:u w:val="single"/>
        </w:rPr>
        <w:tab/>
      </w:r>
    </w:p>
    <w:p w:rsidR="00065FF4" w:rsidP="00065FF4">
      <w:pPr>
        <w:tabs>
          <w:tab w:val="left" w:pos="4320"/>
        </w:tabs>
        <w:ind w:left="4320"/>
        <w:rPr>
          <w:szCs w:val="24"/>
        </w:rPr>
      </w:pPr>
      <w:r>
        <w:rPr>
          <w:szCs w:val="24"/>
        </w:rPr>
        <w:t xml:space="preserve">Terry L. Etter (0067445), Counsel of Record </w:t>
      </w:r>
    </w:p>
    <w:p w:rsidR="00065FF4" w:rsidP="00065FF4">
      <w:pPr>
        <w:tabs>
          <w:tab w:val="left" w:pos="4320"/>
        </w:tabs>
        <w:ind w:left="4320"/>
        <w:rPr>
          <w:szCs w:val="24"/>
        </w:rPr>
      </w:pPr>
      <w:r>
        <w:rPr>
          <w:szCs w:val="24"/>
        </w:rPr>
        <w:t>Angela O’Brien (</w:t>
      </w:r>
      <w:r w:rsidRPr="00F50850">
        <w:rPr>
          <w:szCs w:val="24"/>
        </w:rPr>
        <w:t>0097579</w:t>
      </w:r>
      <w:r>
        <w:rPr>
          <w:szCs w:val="24"/>
        </w:rPr>
        <w:t>)</w:t>
      </w:r>
    </w:p>
    <w:p w:rsidR="00065FF4" w:rsidP="00065FF4">
      <w:pPr>
        <w:tabs>
          <w:tab w:val="left" w:pos="4320"/>
        </w:tabs>
        <w:ind w:left="4320"/>
        <w:rPr>
          <w:szCs w:val="24"/>
        </w:rPr>
      </w:pPr>
      <w:r>
        <w:rPr>
          <w:szCs w:val="24"/>
        </w:rPr>
        <w:t>Assistant Consumers’ Counsel</w:t>
      </w:r>
    </w:p>
    <w:p w:rsidR="00065FF4" w:rsidP="00065FF4">
      <w:pPr>
        <w:pStyle w:val="Heading1"/>
        <w:ind w:left="4320" w:right="-648"/>
        <w:rPr>
          <w:u w:val="none"/>
        </w:rPr>
      </w:pPr>
    </w:p>
    <w:p w:rsidR="00065FF4" w:rsidP="00065FF4">
      <w:pPr>
        <w:pStyle w:val="Heading1"/>
        <w:ind w:left="4320" w:right="-648"/>
        <w:rPr>
          <w:u w:val="none"/>
        </w:rPr>
      </w:pPr>
      <w:r>
        <w:rPr>
          <w:u w:val="none"/>
        </w:rPr>
        <w:t>Office of the Ohio Consumers’ Counsel</w:t>
      </w:r>
    </w:p>
    <w:p w:rsidR="00065FF4" w:rsidP="00065FF4">
      <w:pPr>
        <w:pStyle w:val="Heading1"/>
        <w:ind w:left="4320" w:right="-648"/>
        <w:rPr>
          <w:b w:val="0"/>
          <w:u w:val="none"/>
        </w:rPr>
      </w:pPr>
      <w:r>
        <w:rPr>
          <w:b w:val="0"/>
          <w:u w:val="none"/>
        </w:rPr>
        <w:t>65 East State Street, 7</w:t>
      </w:r>
      <w:r w:rsidRPr="006C5841">
        <w:rPr>
          <w:b w:val="0"/>
          <w:u w:val="none"/>
          <w:vertAlign w:val="superscript"/>
        </w:rPr>
        <w:t>th</w:t>
      </w:r>
      <w:r>
        <w:rPr>
          <w:b w:val="0"/>
          <w:u w:val="none"/>
        </w:rPr>
        <w:t xml:space="preserve"> Floor</w:t>
      </w:r>
    </w:p>
    <w:p w:rsidR="00065FF4" w:rsidP="00065FF4">
      <w:pPr>
        <w:pStyle w:val="Heading1"/>
        <w:ind w:left="4320" w:right="-648"/>
        <w:rPr>
          <w:b w:val="0"/>
          <w:u w:val="none"/>
        </w:rPr>
      </w:pPr>
      <w:r>
        <w:rPr>
          <w:b w:val="0"/>
          <w:u w:val="none"/>
        </w:rPr>
        <w:t>Columbus, Ohio 43215</w:t>
      </w:r>
    </w:p>
    <w:p w:rsidR="00065FF4" w:rsidP="00065FF4">
      <w:pPr>
        <w:autoSpaceDE w:val="0"/>
        <w:autoSpaceDN w:val="0"/>
        <w:adjustRightInd w:val="0"/>
        <w:ind w:left="4320"/>
        <w:rPr>
          <w:szCs w:val="24"/>
        </w:rPr>
      </w:pPr>
      <w:r>
        <w:rPr>
          <w:szCs w:val="24"/>
        </w:rPr>
        <w:t>Telephone [Etter]: (614) 466-7964</w:t>
      </w:r>
    </w:p>
    <w:p w:rsidR="00065FF4" w:rsidP="00065FF4">
      <w:pPr>
        <w:autoSpaceDE w:val="0"/>
        <w:autoSpaceDN w:val="0"/>
        <w:adjustRightInd w:val="0"/>
        <w:ind w:left="4320"/>
        <w:rPr>
          <w:szCs w:val="24"/>
        </w:rPr>
      </w:pPr>
      <w:r>
        <w:rPr>
          <w:szCs w:val="24"/>
        </w:rPr>
        <w:t>Telephone [O’Brien]: (614) 466-9531</w:t>
      </w:r>
    </w:p>
    <w:p w:rsidR="00065FF4" w:rsidP="00065FF4">
      <w:pPr>
        <w:ind w:left="4320"/>
        <w:rPr>
          <w:szCs w:val="24"/>
        </w:rPr>
      </w:pPr>
      <w:r>
        <w:fldChar w:fldCharType="begin"/>
      </w:r>
      <w:r>
        <w:instrText xml:space="preserve"> HYPERLINK "mailto:Terry.etter@occ.ohio.gov" </w:instrText>
      </w:r>
      <w:r>
        <w:fldChar w:fldCharType="separate"/>
      </w:r>
      <w:r w:rsidRPr="0084240D">
        <w:rPr>
          <w:rStyle w:val="Hyperlink"/>
          <w:szCs w:val="24"/>
        </w:rPr>
        <w:t>Terry.etter@occ.ohio.gov</w:t>
      </w:r>
      <w:r>
        <w:fldChar w:fldCharType="end"/>
      </w:r>
    </w:p>
    <w:p w:rsidR="00065FF4" w:rsidP="00065FF4">
      <w:pPr>
        <w:ind w:left="4320"/>
        <w:rPr>
          <w:szCs w:val="24"/>
        </w:rPr>
      </w:pPr>
      <w:r>
        <w:fldChar w:fldCharType="begin"/>
      </w:r>
      <w:r>
        <w:instrText xml:space="preserve"> HYPERLINK "mailto:angela.obrien@occ.ohio.gov" </w:instrText>
      </w:r>
      <w:r>
        <w:fldChar w:fldCharType="separate"/>
      </w:r>
      <w:r w:rsidRPr="0084240D">
        <w:rPr>
          <w:rStyle w:val="Hyperlink"/>
          <w:szCs w:val="24"/>
        </w:rPr>
        <w:t>angela.obrien@occ.ohio.gov</w:t>
      </w:r>
      <w:r>
        <w:fldChar w:fldCharType="end"/>
      </w:r>
    </w:p>
    <w:p w:rsidR="00065FF4" w:rsidP="00065FF4">
      <w:pPr>
        <w:ind w:left="4320"/>
        <w:rPr>
          <w:szCs w:val="24"/>
        </w:rPr>
      </w:pPr>
      <w:r>
        <w:rPr>
          <w:szCs w:val="24"/>
        </w:rPr>
        <w:t>(</w:t>
      </w:r>
      <w:r w:rsidR="00BD05B4">
        <w:rPr>
          <w:szCs w:val="24"/>
        </w:rPr>
        <w:t>w</w:t>
      </w:r>
      <w:r>
        <w:rPr>
          <w:szCs w:val="24"/>
        </w:rPr>
        <w:t>ill</w:t>
      </w:r>
      <w:r w:rsidR="00E30220">
        <w:rPr>
          <w:szCs w:val="24"/>
        </w:rPr>
        <w:t>ing to</w:t>
      </w:r>
      <w:r>
        <w:rPr>
          <w:szCs w:val="24"/>
        </w:rPr>
        <w:t xml:space="preserve"> accept service </w:t>
      </w:r>
      <w:r w:rsidR="00E30220">
        <w:rPr>
          <w:szCs w:val="24"/>
        </w:rPr>
        <w:t>by</w:t>
      </w:r>
      <w:r>
        <w:rPr>
          <w:szCs w:val="24"/>
        </w:rPr>
        <w:t xml:space="preserve"> e</w:t>
      </w:r>
      <w:r w:rsidR="00E30220">
        <w:rPr>
          <w:szCs w:val="24"/>
        </w:rPr>
        <w:t>-</w:t>
      </w:r>
      <w:r>
        <w:rPr>
          <w:szCs w:val="24"/>
        </w:rPr>
        <w:t>mail)</w:t>
      </w:r>
    </w:p>
    <w:p w:rsidR="00065FF4">
      <w:pPr>
        <w:rPr>
          <w:szCs w:val="24"/>
        </w:rPr>
      </w:pPr>
    </w:p>
    <w:p w:rsidR="00E30220">
      <w:pPr>
        <w:rPr>
          <w:szCs w:val="24"/>
        </w:rPr>
      </w:pPr>
      <w:r>
        <w:rPr>
          <w:szCs w:val="24"/>
        </w:rPr>
        <w:br w:type="page"/>
      </w:r>
    </w:p>
    <w:p w:rsidR="00BD05B4" w:rsidRPr="003D4A9D" w:rsidP="00BD05B4">
      <w:pPr>
        <w:ind w:left="4320"/>
      </w:pPr>
      <w:r w:rsidRPr="003D4A9D">
        <w:t>Kimberly W. Bojko</w:t>
      </w:r>
      <w:r>
        <w:t xml:space="preserve"> </w:t>
      </w:r>
      <w:r>
        <w:rPr>
          <w:szCs w:val="24"/>
        </w:rPr>
        <w:t>(0069402)</w:t>
      </w:r>
    </w:p>
    <w:p w:rsidR="00BD05B4" w:rsidRPr="003D4A9D" w:rsidP="00BD05B4">
      <w:pPr>
        <w:ind w:left="4320"/>
      </w:pPr>
      <w:r w:rsidRPr="003D4A9D">
        <w:t>Carpenter Lipps &amp; Leland LLP</w:t>
      </w:r>
    </w:p>
    <w:p w:rsidR="00BD05B4" w:rsidRPr="003D4A9D" w:rsidP="00BD05B4">
      <w:pPr>
        <w:ind w:left="4320"/>
      </w:pPr>
      <w:r w:rsidRPr="003D4A9D">
        <w:t>280 Plaza, Suite 1300</w:t>
      </w:r>
    </w:p>
    <w:p w:rsidR="00BD05B4" w:rsidRPr="003D4A9D" w:rsidP="00BD05B4">
      <w:pPr>
        <w:ind w:left="4320"/>
      </w:pPr>
      <w:r w:rsidRPr="003D4A9D">
        <w:t>280 North High Street</w:t>
      </w:r>
    </w:p>
    <w:p w:rsidR="00BD05B4" w:rsidRPr="003D4A9D" w:rsidP="00BD05B4">
      <w:pPr>
        <w:ind w:left="4320"/>
      </w:pPr>
      <w:r w:rsidRPr="003D4A9D">
        <w:t>Columbus, Ohio 43215</w:t>
      </w:r>
    </w:p>
    <w:p w:rsidR="00BD05B4" w:rsidRPr="003D4A9D" w:rsidP="00BD05B4">
      <w:pPr>
        <w:ind w:left="4320"/>
      </w:pPr>
      <w:r>
        <w:fldChar w:fldCharType="begin"/>
      </w:r>
      <w:r>
        <w:instrText xml:space="preserve"> HYPERLINK "mailto:bojko@carpenterlipps.com" </w:instrText>
      </w:r>
      <w:r>
        <w:fldChar w:fldCharType="separate"/>
      </w:r>
      <w:r w:rsidRPr="003D4A9D">
        <w:rPr>
          <w:rStyle w:val="Hyperlink"/>
        </w:rPr>
        <w:t>bojko@carpenterlipps.com</w:t>
      </w:r>
      <w:r>
        <w:fldChar w:fldCharType="end"/>
      </w:r>
      <w:r w:rsidRPr="003D4A9D">
        <w:t xml:space="preserve"> </w:t>
      </w:r>
    </w:p>
    <w:p w:rsidR="00BD05B4" w:rsidP="00BD05B4">
      <w:pPr>
        <w:ind w:left="4320"/>
        <w:rPr>
          <w:szCs w:val="24"/>
        </w:rPr>
      </w:pPr>
      <w:r>
        <w:rPr>
          <w:szCs w:val="24"/>
        </w:rPr>
        <w:t>(will</w:t>
      </w:r>
      <w:r w:rsidR="00E30220">
        <w:rPr>
          <w:szCs w:val="24"/>
        </w:rPr>
        <w:t>ing to</w:t>
      </w:r>
      <w:r>
        <w:rPr>
          <w:szCs w:val="24"/>
        </w:rPr>
        <w:t xml:space="preserve"> accept service </w:t>
      </w:r>
      <w:r w:rsidR="00E30220">
        <w:rPr>
          <w:szCs w:val="24"/>
        </w:rPr>
        <w:t>by</w:t>
      </w:r>
      <w:r>
        <w:rPr>
          <w:szCs w:val="24"/>
        </w:rPr>
        <w:t xml:space="preserve"> e</w:t>
      </w:r>
      <w:r w:rsidR="00E30220">
        <w:rPr>
          <w:szCs w:val="24"/>
        </w:rPr>
        <w:t>-</w:t>
      </w:r>
      <w:r>
        <w:rPr>
          <w:szCs w:val="24"/>
        </w:rPr>
        <w:t>mail)</w:t>
      </w:r>
    </w:p>
    <w:p w:rsidR="00DB2690" w:rsidP="00BD05B4">
      <w:pPr>
        <w:ind w:left="4320"/>
        <w:rPr>
          <w:szCs w:val="24"/>
        </w:rPr>
      </w:pPr>
    </w:p>
    <w:p w:rsidR="00DB2690" w:rsidP="00BD05B4">
      <w:pPr>
        <w:ind w:left="4320"/>
        <w:rPr>
          <w:i/>
          <w:iCs/>
          <w:szCs w:val="24"/>
        </w:rPr>
      </w:pPr>
      <w:r>
        <w:rPr>
          <w:i/>
          <w:iCs/>
          <w:szCs w:val="24"/>
        </w:rPr>
        <w:t xml:space="preserve">Outside </w:t>
      </w:r>
      <w:r w:rsidR="00352704">
        <w:rPr>
          <w:i/>
          <w:iCs/>
          <w:szCs w:val="24"/>
        </w:rPr>
        <w:t>C</w:t>
      </w:r>
      <w:r>
        <w:rPr>
          <w:i/>
          <w:iCs/>
          <w:szCs w:val="24"/>
        </w:rPr>
        <w:t>ounsel for</w:t>
      </w:r>
    </w:p>
    <w:p w:rsidR="00DB2690" w:rsidRPr="00DB2690" w:rsidP="00BD05B4">
      <w:pPr>
        <w:ind w:left="4320"/>
        <w:rPr>
          <w:i/>
          <w:iCs/>
          <w:szCs w:val="24"/>
        </w:rPr>
      </w:pPr>
      <w:r>
        <w:rPr>
          <w:i/>
          <w:iCs/>
          <w:szCs w:val="24"/>
        </w:rPr>
        <w:t>The Office of the Ohio Consumers’ Counsel</w:t>
      </w:r>
    </w:p>
    <w:p w:rsidR="00065FF4">
      <w:pPr>
        <w:rPr>
          <w:szCs w:val="24"/>
        </w:rPr>
      </w:pPr>
      <w:r>
        <w:rPr>
          <w:szCs w:val="24"/>
        </w:rPr>
        <w:tab/>
      </w:r>
      <w:r>
        <w:rPr>
          <w:szCs w:val="24"/>
        </w:rPr>
        <w:tab/>
      </w:r>
      <w:r>
        <w:rPr>
          <w:szCs w:val="24"/>
        </w:rPr>
        <w:tab/>
      </w:r>
      <w:r>
        <w:rPr>
          <w:szCs w:val="24"/>
        </w:rPr>
        <w:tab/>
      </w:r>
      <w:r>
        <w:rPr>
          <w:szCs w:val="24"/>
        </w:rPr>
        <w:tab/>
      </w:r>
      <w:r>
        <w:rPr>
          <w:szCs w:val="24"/>
        </w:rPr>
        <w:tab/>
      </w:r>
    </w:p>
    <w:p w:rsidR="00065FF4">
      <w:pPr>
        <w:jc w:val="center"/>
        <w:rPr>
          <w:b/>
          <w:bCs/>
          <w:u w:val="single"/>
        </w:rPr>
      </w:pPr>
      <w:r>
        <w:br w:type="page"/>
      </w:r>
      <w:r>
        <w:rPr>
          <w:b/>
          <w:bCs/>
          <w:u w:val="single"/>
        </w:rPr>
        <w:t>CERTIFICATE OF SERVICE</w:t>
      </w:r>
    </w:p>
    <w:p w:rsidR="00065FF4">
      <w:pPr>
        <w:spacing w:line="480" w:lineRule="atLeast"/>
      </w:pPr>
      <w:r>
        <w:tab/>
        <w:t xml:space="preserve">I hereby certify that a copy of </w:t>
      </w:r>
      <w:r w:rsidR="00A755BB">
        <w:t>this Memorandum Contra</w:t>
      </w:r>
      <w:r w:rsidRPr="00E9763A">
        <w:t xml:space="preserve"> </w:t>
      </w:r>
      <w:r>
        <w:t xml:space="preserve">was served on the persons stated below </w:t>
      </w:r>
      <w:r w:rsidRPr="00E9763A">
        <w:t>via</w:t>
      </w:r>
      <w:r>
        <w:t xml:space="preserve"> electronic transmission, this </w:t>
      </w:r>
      <w:r w:rsidR="00BD05B4">
        <w:t>28</w:t>
      </w:r>
      <w:r w:rsidRPr="00AE0023">
        <w:rPr>
          <w:vertAlign w:val="superscript"/>
        </w:rPr>
        <w:t>th</w:t>
      </w:r>
      <w:r>
        <w:t xml:space="preserve"> day of </w:t>
      </w:r>
      <w:r w:rsidR="00BD05B4">
        <w:t xml:space="preserve">August </w:t>
      </w:r>
      <w:r>
        <w:t>2019.</w:t>
      </w:r>
    </w:p>
    <w:p w:rsidR="00065FF4">
      <w:pPr>
        <w:spacing w:line="480" w:lineRule="atLeast"/>
      </w:pPr>
    </w:p>
    <w:p w:rsidR="00065FF4" w:rsidRPr="00E53E6E" w:rsidP="00065FF4">
      <w:pPr>
        <w:tabs>
          <w:tab w:val="left" w:pos="4320"/>
        </w:tabs>
        <w:spacing w:before="240"/>
        <w:ind w:left="4320"/>
        <w:rPr>
          <w:szCs w:val="24"/>
        </w:rPr>
      </w:pPr>
      <w:r w:rsidRPr="00E53E6E">
        <w:rPr>
          <w:i/>
          <w:szCs w:val="24"/>
          <w:u w:val="single"/>
        </w:rPr>
        <w:t>/s/ Terry L. Etter</w:t>
      </w:r>
      <w:r>
        <w:rPr>
          <w:i/>
          <w:szCs w:val="24"/>
          <w:u w:val="single"/>
        </w:rPr>
        <w:tab/>
      </w:r>
      <w:r>
        <w:rPr>
          <w:i/>
          <w:szCs w:val="24"/>
          <w:u w:val="single"/>
        </w:rPr>
        <w:tab/>
      </w:r>
    </w:p>
    <w:p w:rsidR="00065FF4">
      <w:pPr>
        <w:tabs>
          <w:tab w:val="left" w:pos="4320"/>
        </w:tabs>
      </w:pPr>
      <w:r>
        <w:tab/>
        <w:t>Terry L. Etter</w:t>
      </w:r>
    </w:p>
    <w:p w:rsidR="00065FF4">
      <w:pPr>
        <w:tabs>
          <w:tab w:val="left" w:pos="4320"/>
        </w:tabs>
      </w:pPr>
      <w:r>
        <w:tab/>
        <w:t>Assistant Consumers’ Counsel</w:t>
      </w:r>
    </w:p>
    <w:p w:rsidR="00065FF4">
      <w:pPr>
        <w:pStyle w:val="CommentSubject"/>
      </w:pPr>
    </w:p>
    <w:p w:rsidR="00065FF4">
      <w:pPr>
        <w:pStyle w:val="CommentText"/>
      </w:pPr>
    </w:p>
    <w:p w:rsidR="00065FF4">
      <w:pPr>
        <w:pStyle w:val="CommentText"/>
        <w:jc w:val="center"/>
        <w:rPr>
          <w:b/>
          <w:u w:val="single"/>
        </w:rPr>
      </w:pPr>
      <w:r>
        <w:rPr>
          <w:b/>
          <w:u w:val="single"/>
        </w:rPr>
        <w:t>SERVICE LIST</w:t>
      </w:r>
    </w:p>
    <w:p w:rsidR="00065FF4">
      <w:pPr>
        <w:pStyle w:val="BodyText"/>
        <w:rPr>
          <w:b/>
          <w:bCs/>
        </w:rPr>
      </w:pPr>
    </w:p>
    <w:tbl>
      <w:tblPr>
        <w:tblW w:w="0" w:type="auto"/>
        <w:tblInd w:w="0" w:type="dxa"/>
        <w:tblCellMar>
          <w:top w:w="0" w:type="dxa"/>
          <w:left w:w="108" w:type="dxa"/>
          <w:bottom w:w="0" w:type="dxa"/>
          <w:right w:w="108" w:type="dxa"/>
        </w:tblCellMar>
        <w:tblLook w:val="01E0"/>
      </w:tblPr>
      <w:tblGrid>
        <w:gridCol w:w="4426"/>
        <w:gridCol w:w="4214"/>
      </w:tblGrid>
      <w:tr w:rsidTr="00065FF4">
        <w:tblPrEx>
          <w:tblW w:w="0" w:type="auto"/>
          <w:tblInd w:w="0" w:type="dxa"/>
          <w:tblCellMar>
            <w:top w:w="0" w:type="dxa"/>
            <w:left w:w="108" w:type="dxa"/>
            <w:bottom w:w="0" w:type="dxa"/>
            <w:right w:w="108" w:type="dxa"/>
          </w:tblCellMar>
          <w:tblLook w:val="01E0"/>
        </w:tblPrEx>
        <w:tc>
          <w:tcPr>
            <w:tcW w:w="4428" w:type="dxa"/>
            <w:shd w:val="clear" w:color="auto" w:fill="auto"/>
          </w:tcPr>
          <w:p w:rsidR="00065FF4" w:rsidRPr="00A044B5" w:rsidP="00065FF4">
            <w:pPr>
              <w:autoSpaceDE w:val="0"/>
              <w:autoSpaceDN w:val="0"/>
              <w:adjustRightInd w:val="0"/>
              <w:rPr>
                <w:rStyle w:val="DefaultParagraphFont"/>
                <w:bCs/>
                <w:sz w:val="24"/>
                <w:lang w:val="en-US" w:eastAsia="en-US" w:bidi="ar-SA"/>
              </w:rPr>
            </w:pPr>
          </w:p>
        </w:tc>
        <w:tc>
          <w:tcPr>
            <w:tcW w:w="4428" w:type="dxa"/>
            <w:shd w:val="clear" w:color="auto" w:fill="auto"/>
          </w:tcPr>
          <w:p w:rsidR="00065FF4" w:rsidRPr="00A044B5">
            <w:pPr>
              <w:pStyle w:val="BodyText"/>
              <w:jc w:val="both"/>
              <w:rPr>
                <w:rStyle w:val="DefaultParagraphFont"/>
                <w:bCs/>
                <w:sz w:val="24"/>
                <w:lang w:val="en-US" w:eastAsia="en-US" w:bidi="ar-SA"/>
              </w:rPr>
            </w:pPr>
          </w:p>
        </w:tc>
      </w:tr>
      <w:tr w:rsidTr="00065FF4">
        <w:tblPrEx>
          <w:tblW w:w="0" w:type="auto"/>
          <w:tblInd w:w="0" w:type="dxa"/>
          <w:tblCellMar>
            <w:top w:w="0" w:type="dxa"/>
            <w:left w:w="108" w:type="dxa"/>
            <w:bottom w:w="0" w:type="dxa"/>
            <w:right w:w="108" w:type="dxa"/>
          </w:tblCellMar>
          <w:tblLook w:val="01E0"/>
        </w:tblPrEx>
        <w:tc>
          <w:tcPr>
            <w:tcW w:w="4428" w:type="dxa"/>
            <w:shd w:val="clear" w:color="auto" w:fill="auto"/>
          </w:tcPr>
          <w:p w:rsidR="00065FF4">
            <w:pPr>
              <w:rPr>
                <w:rStyle w:val="DefaultParagraphFont"/>
                <w:sz w:val="24"/>
                <w:szCs w:val="24"/>
                <w:lang w:val="en-US" w:eastAsia="en-US" w:bidi="ar-SA"/>
              </w:rPr>
            </w:pPr>
            <w:r>
              <w:fldChar w:fldCharType="begin"/>
            </w:r>
            <w:r>
              <w:rPr>
                <w:sz w:val="24"/>
                <w:lang w:val="en-US" w:eastAsia="en-US" w:bidi="ar-SA"/>
              </w:rPr>
              <w:instrText xml:space="preserve"> HYPERLINK "mailto:Thomas.lindgren@ohioattorneygeneral.gov" </w:instrText>
            </w:r>
            <w:r>
              <w:fldChar w:fldCharType="separate"/>
            </w:r>
            <w:r w:rsidRPr="00DC70FD">
              <w:rPr>
                <w:rStyle w:val="Hyperlink"/>
                <w:color w:val="0000FF"/>
                <w:sz w:val="24"/>
                <w:szCs w:val="24"/>
                <w:u w:val="single"/>
                <w:lang w:val="en-US" w:eastAsia="en-US" w:bidi="ar-SA"/>
              </w:rPr>
              <w:t>Thomas.lindgren@ohioattorneygeneral.gov</w:t>
            </w:r>
            <w:r>
              <w:fldChar w:fldCharType="end"/>
            </w:r>
          </w:p>
          <w:p w:rsidR="00E30220" w:rsidP="00E30220">
            <w:pPr>
              <w:autoSpaceDE w:val="0"/>
              <w:autoSpaceDN w:val="0"/>
              <w:adjustRightInd w:val="0"/>
              <w:rPr>
                <w:rStyle w:val="DefaultParagraphFont"/>
                <w:rFonts w:ascii="Times-Roman" w:hAnsi="Times-Roman" w:cs="Times-Roman"/>
                <w:color w:val="0000FF"/>
                <w:sz w:val="24"/>
                <w:szCs w:val="24"/>
                <w:lang w:val="en-US" w:eastAsia="en-US" w:bidi="ar-SA"/>
              </w:rPr>
            </w:pPr>
            <w:r>
              <w:fldChar w:fldCharType="begin"/>
            </w:r>
            <w:r>
              <w:rPr>
                <w:sz w:val="24"/>
                <w:lang w:val="en-US" w:eastAsia="en-US" w:bidi="ar-SA"/>
              </w:rPr>
              <w:instrText xml:space="preserve"> HYPERLINK "mailto:dproano@bakerlaw.com" </w:instrText>
            </w:r>
            <w:r>
              <w:fldChar w:fldCharType="separate"/>
            </w:r>
            <w:r w:rsidRPr="002B69B5">
              <w:rPr>
                <w:rStyle w:val="Hyperlink"/>
                <w:rFonts w:ascii="Times-Roman" w:hAnsi="Times-Roman" w:cs="Times-Roman"/>
                <w:color w:val="0000FF"/>
                <w:sz w:val="24"/>
                <w:szCs w:val="24"/>
                <w:u w:val="single"/>
                <w:lang w:val="en-US" w:eastAsia="en-US" w:bidi="ar-SA"/>
              </w:rPr>
              <w:t>dproano@bakerlaw.com</w:t>
            </w:r>
            <w:r>
              <w:fldChar w:fldCharType="end"/>
            </w:r>
          </w:p>
          <w:p w:rsidR="00E30220" w:rsidP="00E30220">
            <w:pPr>
              <w:autoSpaceDE w:val="0"/>
              <w:autoSpaceDN w:val="0"/>
              <w:adjustRightInd w:val="0"/>
              <w:rPr>
                <w:rStyle w:val="DefaultParagraphFont"/>
                <w:rFonts w:ascii="Times-Roman" w:hAnsi="Times-Roman" w:cs="Times-Roman"/>
                <w:color w:val="0000FF"/>
                <w:sz w:val="24"/>
                <w:szCs w:val="24"/>
                <w:lang w:val="en-US" w:eastAsia="en-US" w:bidi="ar-SA"/>
              </w:rPr>
            </w:pPr>
            <w:r>
              <w:fldChar w:fldCharType="begin"/>
            </w:r>
            <w:r>
              <w:rPr>
                <w:sz w:val="24"/>
                <w:lang w:val="en-US" w:eastAsia="en-US" w:bidi="ar-SA"/>
              </w:rPr>
              <w:instrText xml:space="preserve"> HYPERLINK "mailto:kkash@bakerlaw.com" </w:instrText>
            </w:r>
            <w:r>
              <w:fldChar w:fldCharType="separate"/>
            </w:r>
            <w:r w:rsidRPr="002B69B5">
              <w:rPr>
                <w:rStyle w:val="Hyperlink"/>
                <w:rFonts w:ascii="Times-Roman" w:hAnsi="Times-Roman" w:cs="Times-Roman"/>
                <w:color w:val="0000FF"/>
                <w:sz w:val="24"/>
                <w:szCs w:val="24"/>
                <w:u w:val="single"/>
                <w:lang w:val="en-US" w:eastAsia="en-US" w:bidi="ar-SA"/>
              </w:rPr>
              <w:t>kkash@bakerlaw.com</w:t>
            </w:r>
            <w:r>
              <w:fldChar w:fldCharType="end"/>
            </w:r>
          </w:p>
          <w:p w:rsidR="00E30220" w:rsidP="00E30220">
            <w:pPr>
              <w:autoSpaceDE w:val="0"/>
              <w:autoSpaceDN w:val="0"/>
              <w:adjustRightInd w:val="0"/>
              <w:rPr>
                <w:rStyle w:val="DefaultParagraphFont"/>
                <w:rFonts w:ascii="Times-Roman" w:hAnsi="Times-Roman" w:cs="Times-Roman"/>
                <w:color w:val="0000FF"/>
                <w:sz w:val="24"/>
                <w:szCs w:val="24"/>
                <w:lang w:val="en-US" w:eastAsia="en-US" w:bidi="ar-SA"/>
              </w:rPr>
            </w:pPr>
            <w:r>
              <w:fldChar w:fldCharType="begin"/>
            </w:r>
            <w:r>
              <w:rPr>
                <w:sz w:val="24"/>
                <w:lang w:val="en-US" w:eastAsia="en-US" w:bidi="ar-SA"/>
              </w:rPr>
              <w:instrText xml:space="preserve"> HYPERLINK "mailto:dlemon@bakerlaw.com" </w:instrText>
            </w:r>
            <w:r>
              <w:fldChar w:fldCharType="separate"/>
            </w:r>
            <w:r w:rsidRPr="002B69B5">
              <w:rPr>
                <w:rStyle w:val="Hyperlink"/>
                <w:rFonts w:ascii="Times-Roman" w:hAnsi="Times-Roman" w:cs="Times-Roman"/>
                <w:color w:val="0000FF"/>
                <w:sz w:val="24"/>
                <w:szCs w:val="24"/>
                <w:u w:val="single"/>
                <w:lang w:val="en-US" w:eastAsia="en-US" w:bidi="ar-SA"/>
              </w:rPr>
              <w:t>dlemon@bakerlaw.com</w:t>
            </w:r>
            <w:r>
              <w:fldChar w:fldCharType="end"/>
            </w:r>
          </w:p>
          <w:p w:rsidR="00E30220" w:rsidP="00E30220">
            <w:pPr>
              <w:autoSpaceDE w:val="0"/>
              <w:autoSpaceDN w:val="0"/>
              <w:adjustRightInd w:val="0"/>
              <w:rPr>
                <w:rStyle w:val="DefaultParagraphFont"/>
                <w:rFonts w:ascii="Times-Roman" w:hAnsi="Times-Roman" w:cs="Times-Roman"/>
                <w:color w:val="0000FF"/>
                <w:sz w:val="24"/>
                <w:szCs w:val="24"/>
                <w:lang w:val="en-US" w:eastAsia="en-US" w:bidi="ar-SA"/>
              </w:rPr>
            </w:pPr>
            <w:r>
              <w:fldChar w:fldCharType="begin"/>
            </w:r>
            <w:r>
              <w:rPr>
                <w:sz w:val="24"/>
                <w:lang w:val="en-US" w:eastAsia="en-US" w:bidi="ar-SA"/>
              </w:rPr>
              <w:instrText xml:space="preserve"> HYPERLINK "mailto:tathompson@bakerlaw.com" </w:instrText>
            </w:r>
            <w:r>
              <w:fldChar w:fldCharType="separate"/>
            </w:r>
            <w:r w:rsidRPr="002B69B5">
              <w:rPr>
                <w:rStyle w:val="Hyperlink"/>
                <w:rFonts w:ascii="Times-Roman" w:hAnsi="Times-Roman" w:cs="Times-Roman"/>
                <w:color w:val="0000FF"/>
                <w:sz w:val="24"/>
                <w:szCs w:val="24"/>
                <w:u w:val="single"/>
                <w:lang w:val="en-US" w:eastAsia="en-US" w:bidi="ar-SA"/>
              </w:rPr>
              <w:t>tathompson@bakerlaw.com</w:t>
            </w:r>
            <w:r>
              <w:fldChar w:fldCharType="end"/>
            </w:r>
          </w:p>
          <w:p w:rsidR="00E30220" w:rsidP="00E30220">
            <w:pPr>
              <w:autoSpaceDE w:val="0"/>
              <w:autoSpaceDN w:val="0"/>
              <w:adjustRightInd w:val="0"/>
              <w:rPr>
                <w:rStyle w:val="DefaultParagraphFont"/>
                <w:rFonts w:ascii="Times-Roman" w:hAnsi="Times-Roman" w:cs="Times-Roman"/>
                <w:color w:val="0000FF"/>
                <w:sz w:val="24"/>
                <w:szCs w:val="24"/>
                <w:lang w:val="en-US" w:eastAsia="en-US" w:bidi="ar-SA"/>
              </w:rPr>
            </w:pPr>
            <w:r>
              <w:fldChar w:fldCharType="begin"/>
            </w:r>
            <w:r>
              <w:rPr>
                <w:sz w:val="24"/>
                <w:lang w:val="en-US" w:eastAsia="en-US" w:bidi="ar-SA"/>
              </w:rPr>
              <w:instrText xml:space="preserve"> HYPERLINK "mailto:Joe.Oliker@igs.com" </w:instrText>
            </w:r>
            <w:r>
              <w:fldChar w:fldCharType="separate"/>
            </w:r>
            <w:r w:rsidRPr="002B69B5">
              <w:rPr>
                <w:rStyle w:val="Hyperlink"/>
                <w:rFonts w:ascii="Times-Roman" w:hAnsi="Times-Roman" w:cs="Times-Roman"/>
                <w:color w:val="0000FF"/>
                <w:sz w:val="24"/>
                <w:szCs w:val="24"/>
                <w:u w:val="single"/>
                <w:lang w:val="en-US" w:eastAsia="en-US" w:bidi="ar-SA"/>
              </w:rPr>
              <w:t>Joe.Oliker@igs.com</w:t>
            </w:r>
            <w:r>
              <w:fldChar w:fldCharType="end"/>
            </w:r>
          </w:p>
          <w:p w:rsidR="00E30220" w:rsidP="00E30220">
            <w:pPr>
              <w:autoSpaceDE w:val="0"/>
              <w:autoSpaceDN w:val="0"/>
              <w:adjustRightInd w:val="0"/>
              <w:rPr>
                <w:rStyle w:val="DefaultParagraphFont"/>
                <w:rFonts w:ascii="Times-Roman" w:hAnsi="Times-Roman" w:cs="Times-Roman"/>
                <w:color w:val="0000FF"/>
                <w:sz w:val="24"/>
                <w:szCs w:val="24"/>
                <w:lang w:val="en-US" w:eastAsia="en-US" w:bidi="ar-SA"/>
              </w:rPr>
            </w:pPr>
            <w:r>
              <w:fldChar w:fldCharType="begin"/>
            </w:r>
            <w:r>
              <w:rPr>
                <w:sz w:val="24"/>
                <w:lang w:val="en-US" w:eastAsia="en-US" w:bidi="ar-SA"/>
              </w:rPr>
              <w:instrText xml:space="preserve"> HYPERLINK "mailto:Michael.Nugent@igs.com" </w:instrText>
            </w:r>
            <w:r>
              <w:fldChar w:fldCharType="separate"/>
            </w:r>
            <w:r w:rsidRPr="002B69B5">
              <w:rPr>
                <w:rStyle w:val="Hyperlink"/>
                <w:rFonts w:ascii="Times-Roman" w:hAnsi="Times-Roman" w:cs="Times-Roman"/>
                <w:color w:val="0000FF"/>
                <w:sz w:val="24"/>
                <w:szCs w:val="24"/>
                <w:u w:val="single"/>
                <w:lang w:val="en-US" w:eastAsia="en-US" w:bidi="ar-SA"/>
              </w:rPr>
              <w:t>Michael.Nugent@igs.com</w:t>
            </w:r>
            <w:r>
              <w:fldChar w:fldCharType="end"/>
            </w:r>
          </w:p>
          <w:p w:rsidR="00E30220" w:rsidP="00E30220">
            <w:pPr>
              <w:autoSpaceDE w:val="0"/>
              <w:autoSpaceDN w:val="0"/>
              <w:adjustRightInd w:val="0"/>
              <w:rPr>
                <w:rStyle w:val="DefaultParagraphFont"/>
                <w:rFonts w:ascii="Times-Roman" w:hAnsi="Times-Roman" w:cs="Times-Roman"/>
                <w:color w:val="0000FF"/>
                <w:sz w:val="24"/>
                <w:szCs w:val="24"/>
                <w:lang w:val="en-US" w:eastAsia="en-US" w:bidi="ar-SA"/>
              </w:rPr>
            </w:pPr>
            <w:r>
              <w:fldChar w:fldCharType="begin"/>
            </w:r>
            <w:r>
              <w:rPr>
                <w:sz w:val="24"/>
                <w:lang w:val="en-US" w:eastAsia="en-US" w:bidi="ar-SA"/>
              </w:rPr>
              <w:instrText xml:space="preserve"> HYPERLINK "mailto:Bethany.Allen@igs.com" </w:instrText>
            </w:r>
            <w:r>
              <w:fldChar w:fldCharType="separate"/>
            </w:r>
            <w:r w:rsidRPr="002B69B5">
              <w:rPr>
                <w:rStyle w:val="Hyperlink"/>
                <w:rFonts w:ascii="Times-Roman" w:hAnsi="Times-Roman" w:cs="Times-Roman"/>
                <w:color w:val="0000FF"/>
                <w:sz w:val="24"/>
                <w:szCs w:val="24"/>
                <w:u w:val="single"/>
                <w:lang w:val="en-US" w:eastAsia="en-US" w:bidi="ar-SA"/>
              </w:rPr>
              <w:t>Bethany.Allen@igs.com</w:t>
            </w:r>
            <w:r>
              <w:fldChar w:fldCharType="end"/>
            </w:r>
          </w:p>
          <w:p w:rsidR="00065FF4" w:rsidP="00E30220">
            <w:pPr>
              <w:rPr>
                <w:rStyle w:val="DefaultParagraphFont"/>
                <w:rFonts w:ascii="Times-Roman" w:hAnsi="Times-Roman" w:cs="Times-Roman"/>
                <w:color w:val="0000FF"/>
                <w:sz w:val="24"/>
                <w:szCs w:val="24"/>
                <w:lang w:val="en-US" w:eastAsia="en-US" w:bidi="ar-SA"/>
              </w:rPr>
            </w:pPr>
            <w:r>
              <w:fldChar w:fldCharType="begin"/>
            </w:r>
            <w:r>
              <w:rPr>
                <w:sz w:val="24"/>
                <w:lang w:val="en-US" w:eastAsia="en-US" w:bidi="ar-SA"/>
              </w:rPr>
              <w:instrText xml:space="preserve"> HYPERLINK "mailto:rhooper@bakerlaw.com" </w:instrText>
            </w:r>
            <w:r>
              <w:fldChar w:fldCharType="separate"/>
            </w:r>
            <w:r w:rsidRPr="002B69B5" w:rsidR="00E30220">
              <w:rPr>
                <w:rStyle w:val="Hyperlink"/>
                <w:rFonts w:ascii="Times-Roman" w:hAnsi="Times-Roman" w:cs="Times-Roman"/>
                <w:color w:val="0000FF"/>
                <w:sz w:val="24"/>
                <w:szCs w:val="24"/>
                <w:u w:val="single"/>
                <w:lang w:val="en-US" w:eastAsia="en-US" w:bidi="ar-SA"/>
              </w:rPr>
              <w:t>rhooper@bakerlaw.com</w:t>
            </w:r>
            <w:r>
              <w:fldChar w:fldCharType="end"/>
            </w:r>
          </w:p>
          <w:p w:rsidR="00065FF4">
            <w:pPr>
              <w:rPr>
                <w:rStyle w:val="DefaultParagraphFont"/>
                <w:sz w:val="24"/>
                <w:szCs w:val="24"/>
                <w:lang w:val="en-US" w:eastAsia="en-US" w:bidi="ar-SA"/>
              </w:rPr>
            </w:pPr>
          </w:p>
          <w:p w:rsidR="00065FF4">
            <w:pPr>
              <w:rPr>
                <w:rStyle w:val="DefaultParagraphFont"/>
                <w:sz w:val="24"/>
                <w:szCs w:val="24"/>
                <w:lang w:val="en-US" w:eastAsia="en-US" w:bidi="ar-SA"/>
              </w:rPr>
            </w:pPr>
          </w:p>
          <w:p w:rsidR="00065FF4">
            <w:pPr>
              <w:rPr>
                <w:rStyle w:val="DefaultParagraphFont"/>
                <w:sz w:val="24"/>
                <w:szCs w:val="24"/>
                <w:lang w:val="en-US" w:eastAsia="en-US" w:bidi="ar-SA"/>
              </w:rPr>
            </w:pPr>
          </w:p>
          <w:p w:rsidR="00065FF4" w:rsidP="00065FF4">
            <w:pPr>
              <w:rPr>
                <w:rStyle w:val="DefaultParagraphFont"/>
                <w:sz w:val="24"/>
                <w:szCs w:val="24"/>
                <w:lang w:val="en-US" w:eastAsia="en-US" w:bidi="ar-SA"/>
              </w:rPr>
            </w:pPr>
            <w:r>
              <w:rPr>
                <w:sz w:val="24"/>
                <w:szCs w:val="24"/>
                <w:lang w:val="en-US" w:eastAsia="en-US" w:bidi="ar-SA"/>
              </w:rPr>
              <w:t>Attorney Examiners:</w:t>
            </w:r>
          </w:p>
          <w:p w:rsidR="00065FF4" w:rsidP="00065FF4">
            <w:pPr>
              <w:rPr>
                <w:rStyle w:val="DefaultParagraphFont"/>
                <w:sz w:val="24"/>
                <w:szCs w:val="24"/>
                <w:lang w:val="en-US" w:eastAsia="en-US" w:bidi="ar-SA"/>
              </w:rPr>
            </w:pPr>
          </w:p>
          <w:p w:rsidR="00065FF4" w:rsidP="00065FF4">
            <w:pPr>
              <w:rPr>
                <w:rStyle w:val="DefaultParagraphFont"/>
                <w:sz w:val="24"/>
                <w:szCs w:val="24"/>
                <w:lang w:val="en-US" w:eastAsia="en-US" w:bidi="ar-SA"/>
              </w:rPr>
            </w:pPr>
            <w:r>
              <w:fldChar w:fldCharType="begin"/>
            </w:r>
            <w:r>
              <w:rPr>
                <w:sz w:val="24"/>
                <w:lang w:val="en-US" w:eastAsia="en-US" w:bidi="ar-SA"/>
              </w:rPr>
              <w:instrText xml:space="preserve"> HYPERLINK "mailto:Stacie.Cathcart@puco.ohio.gov" </w:instrText>
            </w:r>
            <w:r>
              <w:fldChar w:fldCharType="separate"/>
            </w:r>
            <w:r w:rsidRPr="006447B1">
              <w:rPr>
                <w:rStyle w:val="Hyperlink"/>
                <w:color w:val="0000FF"/>
                <w:sz w:val="24"/>
                <w:szCs w:val="24"/>
                <w:u w:val="single"/>
                <w:lang w:val="en-US" w:eastAsia="en-US" w:bidi="ar-SA"/>
              </w:rPr>
              <w:t>Stacie.Cathcart@puco.ohio.gov</w:t>
            </w:r>
            <w:r>
              <w:fldChar w:fldCharType="end"/>
            </w:r>
            <w:r>
              <w:rPr>
                <w:sz w:val="24"/>
                <w:szCs w:val="24"/>
                <w:lang w:val="en-US" w:eastAsia="en-US" w:bidi="ar-SA"/>
              </w:rPr>
              <w:t xml:space="preserve"> </w:t>
            </w:r>
          </w:p>
          <w:p w:rsidR="00065FF4" w:rsidRPr="00A044B5" w:rsidP="00065FF4">
            <w:pPr>
              <w:rPr>
                <w:rStyle w:val="DefaultParagraphFont"/>
                <w:sz w:val="24"/>
                <w:szCs w:val="24"/>
                <w:lang w:val="en-US" w:eastAsia="en-US" w:bidi="ar-SA"/>
              </w:rPr>
            </w:pPr>
            <w:r>
              <w:fldChar w:fldCharType="begin"/>
            </w:r>
            <w:r>
              <w:rPr>
                <w:sz w:val="24"/>
                <w:lang w:val="en-US" w:eastAsia="en-US" w:bidi="ar-SA"/>
              </w:rPr>
              <w:instrText xml:space="preserve"> HYPERLINK "mailto:Anna.Sanyal@puco.ohio.gov" </w:instrText>
            </w:r>
            <w:r>
              <w:fldChar w:fldCharType="separate"/>
            </w:r>
            <w:r w:rsidRPr="006447B1">
              <w:rPr>
                <w:rStyle w:val="Hyperlink"/>
                <w:color w:val="0000FF"/>
                <w:sz w:val="24"/>
                <w:szCs w:val="24"/>
                <w:u w:val="single"/>
                <w:lang w:val="en-US" w:eastAsia="en-US" w:bidi="ar-SA"/>
              </w:rPr>
              <w:t>Anna.Sanyal@puco.ohio.gov</w:t>
            </w:r>
            <w:r>
              <w:fldChar w:fldCharType="end"/>
            </w:r>
            <w:r>
              <w:rPr>
                <w:sz w:val="24"/>
                <w:szCs w:val="24"/>
                <w:lang w:val="en-US" w:eastAsia="en-US" w:bidi="ar-SA"/>
              </w:rPr>
              <w:t xml:space="preserve"> </w:t>
            </w:r>
          </w:p>
        </w:tc>
        <w:tc>
          <w:tcPr>
            <w:tcW w:w="4428" w:type="dxa"/>
            <w:shd w:val="clear" w:color="auto" w:fill="auto"/>
          </w:tcPr>
          <w:p w:rsidR="00065FF4" w:rsidP="00065FF4">
            <w:pPr>
              <w:autoSpaceDE w:val="0"/>
              <w:autoSpaceDN w:val="0"/>
              <w:adjustRightInd w:val="0"/>
              <w:rPr>
                <w:rStyle w:val="DefaultParagraphFont"/>
                <w:sz w:val="24"/>
                <w:lang w:val="en-US" w:eastAsia="en-US" w:bidi="ar-SA"/>
              </w:rPr>
            </w:pPr>
            <w:r>
              <w:rPr>
                <w:sz w:val="24"/>
                <w:lang w:val="en-US" w:eastAsia="en-US" w:bidi="ar-SA"/>
              </w:rPr>
              <w:t>C. Alexis Keene</w:t>
            </w:r>
          </w:p>
          <w:p w:rsidR="00065FF4" w:rsidP="00065FF4">
            <w:pPr>
              <w:autoSpaceDE w:val="0"/>
              <w:autoSpaceDN w:val="0"/>
              <w:adjustRightInd w:val="0"/>
              <w:rPr>
                <w:rStyle w:val="DefaultParagraphFont"/>
                <w:sz w:val="24"/>
                <w:lang w:val="en-US" w:eastAsia="en-US" w:bidi="ar-SA"/>
              </w:rPr>
            </w:pPr>
            <w:r>
              <w:rPr>
                <w:sz w:val="24"/>
                <w:lang w:val="en-US" w:eastAsia="en-US" w:bidi="ar-SA"/>
              </w:rPr>
              <w:t>Interim General Counsel and Corporate</w:t>
            </w:r>
          </w:p>
          <w:p w:rsidR="00065FF4" w:rsidP="00065FF4">
            <w:pPr>
              <w:autoSpaceDE w:val="0"/>
              <w:autoSpaceDN w:val="0"/>
              <w:adjustRightInd w:val="0"/>
              <w:rPr>
                <w:rStyle w:val="DefaultParagraphFont"/>
                <w:sz w:val="24"/>
                <w:lang w:val="en-US" w:eastAsia="en-US" w:bidi="ar-SA"/>
              </w:rPr>
            </w:pPr>
            <w:r>
              <w:rPr>
                <w:sz w:val="24"/>
                <w:lang w:val="en-US" w:eastAsia="en-US" w:bidi="ar-SA"/>
              </w:rPr>
              <w:t>Secretary</w:t>
            </w:r>
          </w:p>
          <w:p w:rsidR="00065FF4" w:rsidP="00065FF4">
            <w:pPr>
              <w:autoSpaceDE w:val="0"/>
              <w:autoSpaceDN w:val="0"/>
              <w:adjustRightInd w:val="0"/>
              <w:rPr>
                <w:rStyle w:val="DefaultParagraphFont"/>
                <w:sz w:val="24"/>
                <w:lang w:val="en-US" w:eastAsia="en-US" w:bidi="ar-SA"/>
              </w:rPr>
            </w:pPr>
            <w:r>
              <w:rPr>
                <w:sz w:val="24"/>
                <w:lang w:val="en-US" w:eastAsia="en-US" w:bidi="ar-SA"/>
              </w:rPr>
              <w:t>Verde Energy USA Ohio, LLC</w:t>
            </w:r>
          </w:p>
          <w:p w:rsidR="00065FF4" w:rsidP="00065FF4">
            <w:pPr>
              <w:autoSpaceDE w:val="0"/>
              <w:autoSpaceDN w:val="0"/>
              <w:adjustRightInd w:val="0"/>
              <w:rPr>
                <w:rStyle w:val="DefaultParagraphFont"/>
                <w:sz w:val="24"/>
                <w:lang w:val="en-US" w:eastAsia="en-US" w:bidi="ar-SA"/>
              </w:rPr>
            </w:pPr>
            <w:r>
              <w:rPr>
                <w:sz w:val="24"/>
                <w:lang w:val="en-US" w:eastAsia="en-US" w:bidi="ar-SA"/>
              </w:rPr>
              <w:t>12140 Wickchester Ln., Suite 100</w:t>
            </w:r>
          </w:p>
          <w:p w:rsidR="00065FF4" w:rsidP="00065FF4">
            <w:pPr>
              <w:pStyle w:val="BodyText"/>
              <w:jc w:val="both"/>
              <w:rPr>
                <w:rStyle w:val="DefaultParagraphFont"/>
                <w:sz w:val="24"/>
                <w:lang w:val="en-US" w:eastAsia="en-US" w:bidi="ar-SA"/>
              </w:rPr>
            </w:pPr>
            <w:r>
              <w:rPr>
                <w:sz w:val="24"/>
                <w:lang w:val="en-US" w:eastAsia="en-US" w:bidi="ar-SA"/>
              </w:rPr>
              <w:t>Houston, TX 77079</w:t>
            </w:r>
          </w:p>
          <w:p w:rsidR="00065FF4" w:rsidP="00065FF4">
            <w:pPr>
              <w:rPr>
                <w:rStyle w:val="Hyperlink"/>
                <w:bCs/>
                <w:color w:val="0000FF"/>
                <w:sz w:val="24"/>
                <w:u w:val="single"/>
                <w:lang w:val="en-US" w:eastAsia="en-US" w:bidi="ar-SA"/>
              </w:rPr>
            </w:pPr>
            <w:r>
              <w:fldChar w:fldCharType="begin"/>
            </w:r>
            <w:r>
              <w:rPr>
                <w:sz w:val="24"/>
                <w:lang w:val="en-US" w:eastAsia="en-US" w:bidi="ar-SA"/>
              </w:rPr>
              <w:instrText xml:space="preserve"> HYPERLINK "mailto:akeene@sparkenergy.com" </w:instrText>
            </w:r>
            <w:r>
              <w:fldChar w:fldCharType="separate"/>
            </w:r>
            <w:r w:rsidRPr="00BF55E0">
              <w:rPr>
                <w:rStyle w:val="Hyperlink"/>
                <w:bCs/>
                <w:color w:val="0000FF"/>
                <w:sz w:val="24"/>
                <w:u w:val="single"/>
                <w:lang w:val="en-US" w:eastAsia="en-US" w:bidi="ar-SA"/>
              </w:rPr>
              <w:t>akeene@sparkenergy.com</w:t>
            </w:r>
            <w:r>
              <w:fldChar w:fldCharType="end"/>
            </w:r>
          </w:p>
          <w:p w:rsidR="00065FF4" w:rsidP="00065FF4">
            <w:pPr>
              <w:rPr>
                <w:rStyle w:val="Hyperlink"/>
                <w:bCs/>
                <w:color w:val="0000FF"/>
                <w:sz w:val="24"/>
                <w:u w:val="single"/>
                <w:lang w:val="en-US" w:eastAsia="en-US" w:bidi="ar-SA"/>
              </w:rPr>
            </w:pPr>
          </w:p>
          <w:p w:rsidR="00065FF4" w:rsidP="00065FF4">
            <w:pPr>
              <w:autoSpaceDE w:val="0"/>
              <w:autoSpaceDN w:val="0"/>
              <w:adjustRightInd w:val="0"/>
              <w:rPr>
                <w:rStyle w:val="DefaultParagraphFont"/>
                <w:sz w:val="24"/>
                <w:lang w:val="en-US" w:eastAsia="en-US" w:bidi="ar-SA"/>
              </w:rPr>
            </w:pPr>
            <w:r>
              <w:rPr>
                <w:sz w:val="24"/>
                <w:lang w:val="en-US" w:eastAsia="en-US" w:bidi="ar-SA"/>
              </w:rPr>
              <w:t>Karen White</w:t>
            </w:r>
          </w:p>
          <w:p w:rsidR="00065FF4" w:rsidP="00065FF4">
            <w:pPr>
              <w:autoSpaceDE w:val="0"/>
              <w:autoSpaceDN w:val="0"/>
              <w:adjustRightInd w:val="0"/>
              <w:rPr>
                <w:rStyle w:val="DefaultParagraphFont"/>
                <w:sz w:val="24"/>
                <w:lang w:val="en-US" w:eastAsia="en-US" w:bidi="ar-SA"/>
              </w:rPr>
            </w:pPr>
            <w:r>
              <w:rPr>
                <w:sz w:val="24"/>
                <w:lang w:val="en-US" w:eastAsia="en-US" w:bidi="ar-SA"/>
              </w:rPr>
              <w:t>Verde Energy USA Ohio, LLC</w:t>
            </w:r>
          </w:p>
          <w:p w:rsidR="00065FF4" w:rsidP="00065FF4">
            <w:pPr>
              <w:autoSpaceDE w:val="0"/>
              <w:autoSpaceDN w:val="0"/>
              <w:adjustRightInd w:val="0"/>
              <w:rPr>
                <w:rStyle w:val="DefaultParagraphFont"/>
                <w:sz w:val="24"/>
                <w:lang w:val="en-US" w:eastAsia="en-US" w:bidi="ar-SA"/>
              </w:rPr>
            </w:pPr>
            <w:r>
              <w:rPr>
                <w:sz w:val="24"/>
                <w:lang w:val="en-US" w:eastAsia="en-US" w:bidi="ar-SA"/>
              </w:rPr>
              <w:t>12140 Wickchester Ln., Suite 100</w:t>
            </w:r>
          </w:p>
          <w:p w:rsidR="00065FF4" w:rsidP="00065FF4">
            <w:pPr>
              <w:pStyle w:val="BodyText"/>
              <w:jc w:val="both"/>
              <w:rPr>
                <w:rStyle w:val="DefaultParagraphFont"/>
                <w:sz w:val="24"/>
                <w:lang w:val="en-US" w:eastAsia="en-US" w:bidi="ar-SA"/>
              </w:rPr>
            </w:pPr>
            <w:r>
              <w:rPr>
                <w:sz w:val="24"/>
                <w:lang w:val="en-US" w:eastAsia="en-US" w:bidi="ar-SA"/>
              </w:rPr>
              <w:t>Houston, TX 77079</w:t>
            </w:r>
          </w:p>
          <w:p w:rsidR="00065FF4" w:rsidRPr="00AE0023" w:rsidP="00065FF4">
            <w:pPr>
              <w:rPr>
                <w:rStyle w:val="DefaultParagraphFont"/>
                <w:bCs/>
                <w:sz w:val="24"/>
                <w:szCs w:val="24"/>
                <w:lang w:val="en-US" w:eastAsia="en-US" w:bidi="ar-SA"/>
              </w:rPr>
            </w:pPr>
            <w:r>
              <w:fldChar w:fldCharType="begin"/>
            </w:r>
            <w:r>
              <w:rPr>
                <w:sz w:val="24"/>
                <w:lang w:val="en-US" w:eastAsia="en-US" w:bidi="ar-SA"/>
              </w:rPr>
              <w:instrText xml:space="preserve"> HYPERLINK "mailto:kwhite@sparkenergy.com" </w:instrText>
            </w:r>
            <w:r>
              <w:fldChar w:fldCharType="separate"/>
            </w:r>
            <w:r w:rsidRPr="00DC70FD">
              <w:rPr>
                <w:rStyle w:val="Hyperlink"/>
                <w:color w:val="0000FF"/>
                <w:sz w:val="24"/>
                <w:szCs w:val="24"/>
                <w:u w:val="single"/>
                <w:lang w:val="en-US" w:eastAsia="en-US" w:bidi="ar-SA"/>
              </w:rPr>
              <w:t>kwhite@sparkenergy.com</w:t>
            </w:r>
            <w:r>
              <w:fldChar w:fldCharType="end"/>
            </w:r>
            <w:r>
              <w:rPr>
                <w:sz w:val="24"/>
                <w:szCs w:val="24"/>
                <w:lang w:val="en-US" w:eastAsia="en-US" w:bidi="ar-SA"/>
              </w:rPr>
              <w:t xml:space="preserve"> </w:t>
            </w:r>
          </w:p>
        </w:tc>
      </w:tr>
    </w:tbl>
    <w:p w:rsidR="00065FF4">
      <w:pPr>
        <w:pStyle w:val="BodyText"/>
        <w:rPr>
          <w:b/>
          <w:bCs/>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7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FF4">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FC0ED9">
      <w:rPr>
        <w:rStyle w:val="PageNumber"/>
        <w:noProof/>
        <w:sz w:val="24"/>
        <w:szCs w:val="24"/>
      </w:rPr>
      <w:t>7</w:t>
    </w:r>
    <w:r>
      <w:rPr>
        <w:rStyle w:val="PageNumber"/>
        <w:sz w:val="24"/>
        <w:szCs w:val="24"/>
      </w:rPr>
      <w:fldChar w:fldCharType="end"/>
    </w:r>
  </w:p>
  <w:p w:rsidR="00065FF4">
    <w:pPr>
      <w:pStyle w:val="Footer"/>
      <w:framePr w:wrap="around" w:vAnchor="text" w:hAnchor="margin" w:xAlign="center" w:y="1"/>
      <w:rPr>
        <w:rStyle w:val="PageNumber"/>
      </w:rPr>
    </w:pPr>
  </w:p>
  <w:p w:rsidR="00065F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7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74F7">
      <w:r>
        <w:separator/>
      </w:r>
    </w:p>
  </w:footnote>
  <w:footnote w:type="continuationSeparator" w:id="1">
    <w:p w:rsidR="007D74F7">
      <w:r>
        <w:continuationSeparator/>
      </w:r>
    </w:p>
  </w:footnote>
  <w:footnote w:id="2">
    <w:p w:rsidR="004F4A3F">
      <w:pPr>
        <w:pStyle w:val="FootnoteText"/>
      </w:pPr>
      <w:r>
        <w:rPr>
          <w:rStyle w:val="FootnoteReference"/>
        </w:rPr>
        <w:footnoteRef/>
      </w:r>
      <w:r>
        <w:t xml:space="preserve"> </w:t>
      </w:r>
      <w:r w:rsidR="00350615">
        <w:t xml:space="preserve">Corrected </w:t>
      </w:r>
      <w:r>
        <w:t xml:space="preserve">PUCO Staff </w:t>
      </w:r>
      <w:r w:rsidR="00350615">
        <w:t xml:space="preserve">Report </w:t>
      </w:r>
      <w:r>
        <w:t>(</w:t>
      </w:r>
      <w:r w:rsidR="00350615">
        <w:t>May 29</w:t>
      </w:r>
      <w:r>
        <w:t>, 2019).</w:t>
      </w:r>
    </w:p>
  </w:footnote>
  <w:footnote w:id="3">
    <w:p w:rsidR="004F4A3F" w:rsidRPr="002D08D5" w:rsidP="004F4A3F">
      <w:pPr>
        <w:pStyle w:val="FootnoteText"/>
      </w:pPr>
      <w:r>
        <w:rPr>
          <w:rStyle w:val="FootnoteReference"/>
        </w:rPr>
        <w:footnoteRef/>
      </w:r>
      <w:r>
        <w:t xml:space="preserve"> </w:t>
      </w:r>
      <w:r>
        <w:rPr>
          <w:i/>
        </w:rPr>
        <w:t>Id</w:t>
      </w:r>
      <w:r w:rsidR="00FD2076">
        <w:rPr>
          <w:i/>
        </w:rPr>
        <w:t>.</w:t>
      </w:r>
      <w:r>
        <w:t xml:space="preserve"> at </w:t>
      </w:r>
      <w:r w:rsidR="00350615">
        <w:t>9</w:t>
      </w:r>
      <w:r>
        <w:t>.</w:t>
      </w:r>
    </w:p>
  </w:footnote>
  <w:footnote w:id="4">
    <w:p w:rsidR="004F4A3F" w:rsidRPr="00FD2076" w:rsidP="004F4A3F">
      <w:pPr>
        <w:pStyle w:val="FootnoteText"/>
        <w:rPr>
          <w:iCs/>
        </w:rPr>
      </w:pPr>
      <w:r>
        <w:rPr>
          <w:rStyle w:val="FootnoteReference"/>
        </w:rPr>
        <w:footnoteRef/>
      </w:r>
      <w:r>
        <w:t xml:space="preserve"> </w:t>
      </w:r>
      <w:r w:rsidR="00FD2076">
        <w:rPr>
          <w:i/>
          <w:iCs/>
        </w:rPr>
        <w:t>See i</w:t>
      </w:r>
      <w:r>
        <w:rPr>
          <w:i/>
        </w:rPr>
        <w:t>d.</w:t>
      </w:r>
      <w:r w:rsidR="00FD2076">
        <w:rPr>
          <w:iCs/>
        </w:rPr>
        <w:t>; Staff Letter (April 16, 2019) at 1.</w:t>
      </w:r>
    </w:p>
  </w:footnote>
  <w:footnote w:id="5">
    <w:p w:rsidR="004F4A3F" w:rsidP="004F4A3F">
      <w:pPr>
        <w:pStyle w:val="FootnoteText"/>
      </w:pPr>
      <w:r>
        <w:rPr>
          <w:rStyle w:val="FootnoteReference"/>
        </w:rPr>
        <w:footnoteRef/>
      </w:r>
      <w:r>
        <w:t xml:space="preserve"> </w:t>
      </w:r>
      <w:r>
        <w:rPr>
          <w:i/>
        </w:rPr>
        <w:t xml:space="preserve">See </w:t>
      </w:r>
      <w:r>
        <w:t>47 U.S.C. §§227(b) and (e); 47 C.F.R. §§64.1200(a) and (b), 64.1604.</w:t>
      </w:r>
    </w:p>
  </w:footnote>
  <w:footnote w:id="6">
    <w:p w:rsidR="00B2041F" w:rsidRPr="00B2041F">
      <w:pPr>
        <w:pStyle w:val="FootnoteText"/>
      </w:pPr>
      <w:r>
        <w:rPr>
          <w:rStyle w:val="FootnoteReference"/>
        </w:rPr>
        <w:footnoteRef/>
      </w:r>
      <w:r>
        <w:t xml:space="preserve"> </w:t>
      </w:r>
      <w:r w:rsidR="004A23F7">
        <w:t>Staff Letter</w:t>
      </w:r>
      <w:r>
        <w:t xml:space="preserve"> at 2.</w:t>
      </w:r>
    </w:p>
  </w:footnote>
  <w:footnote w:id="7">
    <w:p w:rsidR="00AB27CD">
      <w:pPr>
        <w:pStyle w:val="FootnoteText"/>
      </w:pPr>
      <w:r>
        <w:rPr>
          <w:rStyle w:val="FootnoteReference"/>
        </w:rPr>
        <w:footnoteRef/>
      </w:r>
      <w:r>
        <w:t xml:space="preserve"> Entry, ¶11.</w:t>
      </w:r>
    </w:p>
  </w:footnote>
  <w:footnote w:id="8">
    <w:p w:rsidR="00BE16FA" w:rsidRPr="00BE16FA">
      <w:pPr>
        <w:pStyle w:val="FootnoteText"/>
      </w:pPr>
      <w:r>
        <w:rPr>
          <w:rStyle w:val="FootnoteReference"/>
        </w:rPr>
        <w:footnoteRef/>
      </w:r>
      <w:r>
        <w:t xml:space="preserve"> </w:t>
      </w:r>
      <w:r>
        <w:rPr>
          <w:i/>
          <w:iCs/>
        </w:rPr>
        <w:t>Id.</w:t>
      </w:r>
      <w:r>
        <w:t>, ¶9.</w:t>
      </w:r>
    </w:p>
  </w:footnote>
  <w:footnote w:id="9">
    <w:p w:rsidR="00855621">
      <w:pPr>
        <w:pStyle w:val="FootnoteText"/>
      </w:pPr>
      <w:r>
        <w:rPr>
          <w:rStyle w:val="FootnoteReference"/>
        </w:rPr>
        <w:footnoteRef/>
      </w:r>
      <w:r>
        <w:t xml:space="preserve"> Ohio Adm. Code 4901-1-07(A).</w:t>
      </w:r>
    </w:p>
  </w:footnote>
  <w:footnote w:id="10">
    <w:p w:rsidR="00855621">
      <w:pPr>
        <w:pStyle w:val="FootnoteText"/>
      </w:pPr>
      <w:r>
        <w:rPr>
          <w:rStyle w:val="FootnoteReference"/>
        </w:rPr>
        <w:footnoteRef/>
      </w:r>
      <w:r>
        <w:t xml:space="preserve"> Motion at 3.</w:t>
      </w:r>
    </w:p>
  </w:footnote>
  <w:footnote w:id="11">
    <w:p w:rsidR="00855621">
      <w:pPr>
        <w:pStyle w:val="FootnoteText"/>
      </w:pPr>
      <w:r>
        <w:rPr>
          <w:rStyle w:val="FootnoteReference"/>
        </w:rPr>
        <w:footnoteRef/>
      </w:r>
      <w:r>
        <w:t xml:space="preserve"> Ohio Adm. Code 4901-1-12(C).</w:t>
      </w:r>
    </w:p>
  </w:footnote>
  <w:footnote w:id="12">
    <w:p w:rsidR="00B75A11">
      <w:pPr>
        <w:pStyle w:val="FootnoteText"/>
      </w:pPr>
      <w:r>
        <w:rPr>
          <w:rStyle w:val="FootnoteReference"/>
        </w:rPr>
        <w:footnoteRef/>
      </w:r>
      <w:r>
        <w:t xml:space="preserve"> Motion at 5.</w:t>
      </w:r>
    </w:p>
  </w:footnote>
  <w:footnote w:id="13">
    <w:p w:rsidR="00DA1714" w:rsidRPr="00B75A11">
      <w:pPr>
        <w:pStyle w:val="FootnoteText"/>
      </w:pPr>
      <w:r>
        <w:rPr>
          <w:rStyle w:val="FootnoteReference"/>
        </w:rPr>
        <w:footnoteRef/>
      </w:r>
      <w:r>
        <w:t xml:space="preserve"> </w:t>
      </w:r>
      <w:r w:rsidR="00B75A11">
        <w:rPr>
          <w:i/>
          <w:iCs/>
        </w:rPr>
        <w:t>Id.</w:t>
      </w:r>
      <w:r w:rsidR="00B75A11">
        <w:t xml:space="preserve"> at 4.</w:t>
      </w:r>
    </w:p>
  </w:footnote>
  <w:footnote w:id="14">
    <w:p w:rsidR="00B75A11" w:rsidRPr="00B75A11">
      <w:pPr>
        <w:pStyle w:val="FootnoteText"/>
      </w:pPr>
      <w:r>
        <w:rPr>
          <w:rStyle w:val="FootnoteReference"/>
        </w:rPr>
        <w:footnoteRef/>
      </w:r>
      <w:r>
        <w:t xml:space="preserve"> </w:t>
      </w:r>
      <w:r>
        <w:rPr>
          <w:i/>
          <w:iCs/>
        </w:rPr>
        <w:t>See id.</w:t>
      </w:r>
      <w:r>
        <w:t>, Exhibit 1 at 10-12.</w:t>
      </w:r>
    </w:p>
  </w:footnote>
  <w:footnote w:id="15">
    <w:p w:rsidR="00DA1714">
      <w:pPr>
        <w:pStyle w:val="FootnoteText"/>
      </w:pPr>
      <w:r>
        <w:rPr>
          <w:rStyle w:val="FootnoteReference"/>
        </w:rPr>
        <w:footnoteRef/>
      </w:r>
      <w:r>
        <w:t xml:space="preserve"> </w:t>
      </w:r>
      <w:r w:rsidR="009C3B8D">
        <w:rPr>
          <w:i/>
          <w:iCs/>
        </w:rPr>
        <w:t>Id.</w:t>
      </w:r>
      <w:r>
        <w:t xml:space="preserve"> at 5.</w:t>
      </w:r>
    </w:p>
  </w:footnote>
  <w:footnote w:id="16">
    <w:p w:rsidR="009C3B8D">
      <w:pPr>
        <w:pStyle w:val="FootnoteText"/>
      </w:pPr>
      <w:r>
        <w:rPr>
          <w:rStyle w:val="FootnoteReference"/>
        </w:rPr>
        <w:footnoteRef/>
      </w:r>
      <w:r>
        <w:t xml:space="preserve"> Case No. 19-957-GE-COI, Entry (August 14, 2019), ¶10.</w:t>
      </w:r>
    </w:p>
  </w:footnote>
  <w:footnote w:id="17">
    <w:p w:rsidR="009C3B8D" w:rsidRPr="009C3B8D">
      <w:pPr>
        <w:pStyle w:val="FootnoteText"/>
        <w:rPr>
          <w:i/>
          <w:iCs/>
        </w:rPr>
      </w:pPr>
      <w:r>
        <w:rPr>
          <w:rStyle w:val="FootnoteReference"/>
        </w:rPr>
        <w:footnoteRef/>
      </w:r>
      <w:r>
        <w:t xml:space="preserve"> </w:t>
      </w:r>
      <w:r>
        <w:rPr>
          <w:i/>
          <w:iCs/>
        </w:rPr>
        <w:t>Id.</w:t>
      </w:r>
    </w:p>
  </w:footnote>
  <w:footnote w:id="18">
    <w:p w:rsidR="009C3B8D">
      <w:pPr>
        <w:pStyle w:val="FootnoteText"/>
      </w:pPr>
      <w:r>
        <w:rPr>
          <w:rStyle w:val="FootnoteReference"/>
        </w:rPr>
        <w:footnoteRef/>
      </w:r>
      <w:r>
        <w:t xml:space="preserve"> Motion at 5.</w:t>
      </w:r>
    </w:p>
  </w:footnote>
  <w:footnote w:id="19">
    <w:p w:rsidR="009C3B8D" w:rsidRPr="00965187">
      <w:pPr>
        <w:pStyle w:val="FootnoteText"/>
      </w:pPr>
      <w:r>
        <w:rPr>
          <w:rStyle w:val="FootnoteReference"/>
        </w:rPr>
        <w:footnoteRef/>
      </w:r>
      <w:r>
        <w:t xml:space="preserve"> </w:t>
      </w:r>
      <w:r w:rsidR="00965187">
        <w:rPr>
          <w:i/>
          <w:iCs/>
        </w:rPr>
        <w:t>Id.</w:t>
      </w:r>
      <w:r w:rsidR="00965187">
        <w:t xml:space="preserve"> at 4 quoting Entry, ¶9.  </w:t>
      </w:r>
    </w:p>
  </w:footnote>
  <w:footnote w:id="20">
    <w:p w:rsidR="00965187">
      <w:pPr>
        <w:pStyle w:val="FootnoteText"/>
      </w:pPr>
      <w:r>
        <w:rPr>
          <w:rStyle w:val="FootnoteReference"/>
        </w:rPr>
        <w:footnoteRef/>
      </w:r>
      <w:r>
        <w:t xml:space="preserve"> Entry, ¶11.</w:t>
      </w:r>
    </w:p>
  </w:footnote>
  <w:footnote w:id="21">
    <w:p w:rsidR="006378B9">
      <w:pPr>
        <w:pStyle w:val="FootnoteText"/>
      </w:pPr>
      <w:r>
        <w:rPr>
          <w:rStyle w:val="FootnoteReference"/>
        </w:rPr>
        <w:footnoteRef/>
      </w:r>
      <w:r>
        <w:t xml:space="preserve"> Motion at 5.</w:t>
      </w:r>
    </w:p>
  </w:footnote>
  <w:footnote w:id="22">
    <w:p w:rsidR="00BD05B4">
      <w:pPr>
        <w:pStyle w:val="FootnoteText"/>
      </w:pPr>
      <w:r>
        <w:rPr>
          <w:rStyle w:val="FootnoteReference"/>
        </w:rPr>
        <w:footnoteRef/>
      </w:r>
      <w:r>
        <w:t xml:space="preserve"> </w:t>
      </w:r>
      <w:r>
        <w:rPr>
          <w:i/>
          <w:iCs/>
        </w:rPr>
        <w:t xml:space="preserve">See </w:t>
      </w:r>
      <w:r>
        <w:t>Ohio Adm. Code 4901-1-07(A).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7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7E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7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5EE78BD"/>
    <w:multiLevelType w:val="hybridMultilevel"/>
    <w:tmpl w:val="661C9912"/>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8371BFE"/>
    <w:multiLevelType w:val="hybridMultilevel"/>
    <w:tmpl w:val="FB78CED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4DE6831"/>
    <w:multiLevelType w:val="hybridMultilevel"/>
    <w:tmpl w:val="77849DA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DB20D8A"/>
    <w:multiLevelType w:val="hybridMultilevel"/>
    <w:tmpl w:val="213C68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96E2756"/>
    <w:multiLevelType w:val="hybridMultilevel"/>
    <w:tmpl w:val="0562BCB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D3456DE"/>
    <w:multiLevelType w:val="hybridMultilevel"/>
    <w:tmpl w:val="8BF0FC1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
    <w:nsid w:val="6DC6151C"/>
    <w:multiLevelType w:val="hybridMultilevel"/>
    <w:tmpl w:val="8E780AB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71011294"/>
    <w:multiLevelType w:val="hybridMultilevel"/>
    <w:tmpl w:val="7DA2577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nsid w:val="7EAC66FB"/>
    <w:multiLevelType w:val="hybridMultilevel"/>
    <w:tmpl w:val="39D055F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9"/>
  </w:num>
  <w:num w:numId="5">
    <w:abstractNumId w:val="0"/>
  </w:num>
  <w:num w:numId="6">
    <w:abstractNumId w:val="13"/>
  </w:num>
  <w:num w:numId="7">
    <w:abstractNumId w:val="12"/>
  </w:num>
  <w:num w:numId="8">
    <w:abstractNumId w:val="3"/>
  </w:num>
  <w:num w:numId="9">
    <w:abstractNumId w:val="14"/>
  </w:num>
  <w:num w:numId="10">
    <w:abstractNumId w:val="2"/>
  </w:num>
  <w:num w:numId="11">
    <w:abstractNumId w:val="8"/>
  </w:num>
  <w:num w:numId="12">
    <w:abstractNumId w:val="6"/>
  </w:num>
  <w:num w:numId="13">
    <w:abstractNumId w:val="1"/>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6A9"/>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sid w:val="00915486"/>
    <w:pPr>
      <w:spacing w:after="120"/>
    </w:pPr>
    <w:rPr>
      <w:sz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
    <w:name w:val="Unresolved Mention"/>
    <w:uiPriority w:val="99"/>
    <w:semiHidden/>
    <w:unhideWhenUsed/>
    <w:rsid w:val="00CB69AA"/>
    <w:rPr>
      <w:color w:val="605E5C"/>
      <w:shd w:val="clear" w:color="auto" w:fill="E1DFDD"/>
    </w:rPr>
  </w:style>
  <w:style w:type="character" w:customStyle="1" w:styleId="BodyTextChar">
    <w:name w:val="Body Text Char"/>
    <w:link w:val="BodyText"/>
    <w:rsid w:val="007A26A9"/>
    <w:rPr>
      <w:sz w:val="24"/>
    </w:rPr>
  </w:style>
  <w:style w:type="character" w:customStyle="1" w:styleId="BodyTextIndentChar">
    <w:name w:val="Body Text Indent Char"/>
    <w:link w:val="BodyTextIndent"/>
    <w:rsid w:val="007A26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Memo Contra discovery extension (kwb rev) (773687).DOC</vt:lpstr>
    </vt:vector>
  </TitlesOfParts>
  <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2019-08-28T21:23:36Z</dcterms:created>
  <dcterms:modified xsi:type="dcterms:W3CDTF">2019-08-28T21:23:36Z</dcterms:modified>
</cp:coreProperties>
</file>