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51A7D" w:rsidRPr="002C77AE" w:rsidP="00A32401" w14:paraId="755105D1" w14:textId="205CC2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2C77AE">
        <w:rPr>
          <w:rFonts w:ascii="Times New Roman" w:hAnsi="Times New Roman" w:cs="Times New Roman"/>
          <w:b/>
          <w:bCs/>
          <w:sz w:val="24"/>
          <w:szCs w:val="24"/>
        </w:rPr>
        <w:t>BEFORE</w:t>
      </w:r>
    </w:p>
    <w:p w:rsidR="00D51A7D" w:rsidRPr="002C77AE" w:rsidP="00A32401" w14:paraId="40591BA3" w14:textId="77777777">
      <w:pPr>
        <w:pStyle w:val="HTMLPreformatted"/>
        <w:jc w:val="center"/>
        <w:rPr>
          <w:rFonts w:ascii="Times New Roman" w:hAnsi="Times New Roman" w:cs="Times New Roman"/>
          <w:b/>
          <w:bCs/>
          <w:sz w:val="24"/>
          <w:szCs w:val="24"/>
        </w:rPr>
      </w:pPr>
      <w:r w:rsidRPr="002C77AE">
        <w:rPr>
          <w:rFonts w:ascii="Times New Roman" w:hAnsi="Times New Roman" w:cs="Times New Roman"/>
          <w:b/>
          <w:bCs/>
          <w:sz w:val="24"/>
          <w:szCs w:val="24"/>
        </w:rPr>
        <w:t>THE PUBLIC UTILITIES COMMISSION OF OHIO</w:t>
      </w:r>
    </w:p>
    <w:p w:rsidR="00D51A7D" w:rsidRPr="002C77AE" w:rsidP="00A32401" w14:paraId="35861E99"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2699B441"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6268AC" w:rsidRPr="002C77AE" w:rsidP="00A32401" w14:paraId="6AC594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6268AC" w:rsidRPr="002C77AE" w:rsidP="00A32401" w14:paraId="38E8034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6268AC" w:rsidRPr="002C77AE" w:rsidP="00A32401" w14:paraId="37D3AF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6268AC" w:rsidRPr="002C77AE" w:rsidP="00A32401" w14:paraId="4F0E73A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6268AC" w:rsidRPr="002C77AE" w:rsidP="00A32401" w14:paraId="787864C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6268AC" w:rsidRPr="002C77AE" w:rsidP="00A32401" w14:paraId="3DBEF13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6268AC" w:rsidRPr="002C77AE" w:rsidP="00A32401" w14:paraId="6138E3C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6268AC" w:rsidRPr="002C77AE" w:rsidP="00A32401" w14:paraId="5E8671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tc>
        <w:tc>
          <w:tcPr>
            <w:tcW w:w="4056" w:type="dxa"/>
            <w:shd w:val="clear" w:color="auto" w:fill="auto"/>
          </w:tcPr>
          <w:p w:rsidR="006268AC" w:rsidRPr="002C77AE" w:rsidP="00A32401" w14:paraId="66B673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2C77AE" w:rsidP="00A32401" w14:paraId="0089AE0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2C77AE" w:rsidP="00A32401" w14:paraId="3CE60A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Case No. 23-301-EL-SSO</w:t>
            </w:r>
          </w:p>
          <w:p w:rsidR="006268AC" w:rsidRPr="002C77AE" w:rsidP="00A32401" w14:paraId="601E4C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2C77AE" w:rsidP="00A32401" w14:paraId="05764DF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D51A7D" w:rsidRPr="002C77AE" w:rsidP="00A32401" w14:paraId="50A2A5EA" w14:textId="77777777">
      <w:pPr>
        <w:pStyle w:val="HTMLPreformatted"/>
        <w:jc w:val="center"/>
        <w:rPr>
          <w:rFonts w:ascii="Times New Roman" w:hAnsi="Times New Roman" w:cs="Times New Roman"/>
          <w:b/>
          <w:bCs/>
          <w:sz w:val="24"/>
          <w:szCs w:val="24"/>
        </w:rPr>
      </w:pPr>
    </w:p>
    <w:p w:rsidR="00D51A7D" w:rsidRPr="002C77AE" w:rsidP="00A32401" w14:paraId="0AC3EDAF" w14:textId="77777777">
      <w:pPr>
        <w:pStyle w:val="HTMLPreformatted"/>
        <w:pBdr>
          <w:top w:val="single" w:sz="12" w:space="1" w:color="auto"/>
        </w:pBdr>
        <w:rPr>
          <w:rFonts w:ascii="Times New Roman" w:hAnsi="Times New Roman" w:cs="Times New Roman"/>
          <w:sz w:val="24"/>
          <w:szCs w:val="24"/>
        </w:rPr>
      </w:pPr>
    </w:p>
    <w:p w:rsidR="00307AEB" w:rsidRPr="002C77AE" w:rsidP="00A32401" w14:paraId="5634006E" w14:textId="4F898886">
      <w:pPr>
        <w:tabs>
          <w:tab w:val="left" w:pos="4770"/>
          <w:tab w:val="left" w:pos="6480"/>
        </w:tabs>
        <w:jc w:val="center"/>
        <w:rPr>
          <w:rFonts w:cs="Times New Roman"/>
          <w:b/>
          <w:bCs/>
          <w:szCs w:val="24"/>
          <w:lang w:bidi="en-US"/>
        </w:rPr>
      </w:pPr>
      <w:r w:rsidRPr="002C77AE">
        <w:rPr>
          <w:rFonts w:cs="Times New Roman"/>
          <w:b/>
          <w:bCs/>
          <w:szCs w:val="24"/>
          <w:lang w:bidi="en-US"/>
        </w:rPr>
        <w:t>REPLY BRIEF FOR CONSUMER PROTECTION</w:t>
      </w:r>
    </w:p>
    <w:p w:rsidR="00307AEB" w:rsidRPr="002C77AE" w:rsidP="00A32401" w14:paraId="2622320B" w14:textId="10A46FBB">
      <w:pPr>
        <w:tabs>
          <w:tab w:val="left" w:pos="4770"/>
          <w:tab w:val="left" w:pos="6480"/>
        </w:tabs>
        <w:jc w:val="center"/>
        <w:rPr>
          <w:rFonts w:cs="Times New Roman"/>
          <w:b/>
          <w:szCs w:val="24"/>
          <w:lang w:bidi="en-US"/>
        </w:rPr>
      </w:pPr>
      <w:r w:rsidRPr="002C77AE">
        <w:rPr>
          <w:rFonts w:cs="Times New Roman"/>
          <w:b/>
          <w:szCs w:val="24"/>
          <w:lang w:bidi="en-US"/>
        </w:rPr>
        <w:t>BY</w:t>
      </w:r>
    </w:p>
    <w:p w:rsidR="00D51A7D" w:rsidRPr="002C77AE" w:rsidP="00A32401" w14:paraId="008F9F1A" w14:textId="3A2808D6">
      <w:pPr>
        <w:jc w:val="center"/>
        <w:rPr>
          <w:rFonts w:cs="Times New Roman"/>
          <w:b/>
          <w:szCs w:val="24"/>
        </w:rPr>
      </w:pPr>
      <w:r w:rsidRPr="002C77AE">
        <w:rPr>
          <w:rFonts w:cs="Times New Roman"/>
          <w:b/>
          <w:szCs w:val="24"/>
        </w:rPr>
        <w:t>OFFICE OF THE OHIO CONSUMERS</w:t>
      </w:r>
      <w:r w:rsidR="002C77AE">
        <w:rPr>
          <w:rFonts w:cs="Times New Roman"/>
          <w:b/>
          <w:szCs w:val="24"/>
        </w:rPr>
        <w:t>’</w:t>
      </w:r>
      <w:r w:rsidRPr="002C77AE">
        <w:rPr>
          <w:rFonts w:cs="Times New Roman"/>
          <w:b/>
          <w:szCs w:val="24"/>
        </w:rPr>
        <w:t xml:space="preserve"> COUNSEL</w:t>
      </w:r>
    </w:p>
    <w:p w:rsidR="00D51A7D" w:rsidRPr="002C77AE" w:rsidP="00A32401" w14:paraId="20D753AE" w14:textId="77777777">
      <w:pPr>
        <w:pBdr>
          <w:bottom w:val="single" w:sz="12" w:space="1" w:color="auto"/>
        </w:pBdr>
        <w:autoSpaceDE w:val="0"/>
        <w:autoSpaceDN w:val="0"/>
        <w:adjustRightInd w:val="0"/>
        <w:jc w:val="center"/>
        <w:rPr>
          <w:rFonts w:eastAsia="Calibri" w:cs="Times New Roman"/>
          <w:b/>
          <w:bCs/>
          <w:szCs w:val="24"/>
        </w:rPr>
      </w:pPr>
    </w:p>
    <w:p w:rsidR="00104F2D" w:rsidRPr="002C77AE" w:rsidP="00A32401" w14:paraId="3A338BB7" w14:textId="77777777">
      <w:pPr>
        <w:tabs>
          <w:tab w:val="left" w:pos="4836"/>
        </w:tabs>
        <w:rPr>
          <w:rFonts w:eastAsia="Calibri" w:cs="Times New Roman"/>
          <w:b/>
          <w:bCs/>
          <w:szCs w:val="24"/>
        </w:rPr>
      </w:pPr>
    </w:p>
    <w:p w:rsidR="00307AEB" w:rsidRPr="002C77AE" w:rsidP="00A32401" w14:paraId="695DBF23" w14:textId="77777777">
      <w:pPr>
        <w:rPr>
          <w:rFonts w:cs="Times New Roman"/>
          <w:szCs w:val="24"/>
        </w:rPr>
      </w:pPr>
    </w:p>
    <w:p w:rsidR="00307AEB" w:rsidRPr="002C77AE" w:rsidP="00A32401" w14:paraId="2F90F311" w14:textId="3102764A">
      <w:pPr>
        <w:tabs>
          <w:tab w:val="left" w:pos="2776"/>
        </w:tabs>
        <w:ind w:left="4140" w:right="339"/>
        <w:rPr>
          <w:rFonts w:cs="Times New Roman"/>
          <w:szCs w:val="24"/>
        </w:rPr>
      </w:pPr>
      <w:r w:rsidRPr="002C77AE">
        <w:rPr>
          <w:rFonts w:eastAsia="Times New Roman" w:cs="Times New Roman"/>
          <w:szCs w:val="24"/>
        </w:rPr>
        <w:t>Maureen R. Willis (0020847)</w:t>
      </w:r>
    </w:p>
    <w:p w:rsidR="00307AEB" w:rsidRPr="002C77AE" w:rsidP="00A32401" w14:paraId="66C99410" w14:textId="3F102303">
      <w:pPr>
        <w:tabs>
          <w:tab w:val="left" w:pos="2776"/>
        </w:tabs>
        <w:ind w:left="4140" w:right="339"/>
        <w:rPr>
          <w:rFonts w:cs="Times New Roman"/>
          <w:szCs w:val="24"/>
        </w:rPr>
      </w:pPr>
      <w:r w:rsidRPr="002C77AE">
        <w:rPr>
          <w:rFonts w:eastAsia="Times New Roman" w:cs="Times New Roman"/>
          <w:szCs w:val="24"/>
        </w:rPr>
        <w:t>Ohio Consumers</w:t>
      </w:r>
      <w:r w:rsidR="002C77AE">
        <w:rPr>
          <w:rFonts w:eastAsia="Times New Roman" w:cs="Times New Roman"/>
          <w:szCs w:val="24"/>
        </w:rPr>
        <w:t>’</w:t>
      </w:r>
      <w:r w:rsidRPr="002C77AE">
        <w:rPr>
          <w:rFonts w:eastAsia="Times New Roman" w:cs="Times New Roman"/>
          <w:szCs w:val="24"/>
        </w:rPr>
        <w:t xml:space="preserve"> Counsel</w:t>
      </w:r>
    </w:p>
    <w:p w:rsidR="00307AEB" w:rsidRPr="002C77AE" w:rsidP="00A32401" w14:paraId="5E420F30" w14:textId="77777777">
      <w:pPr>
        <w:tabs>
          <w:tab w:val="left" w:pos="2776"/>
        </w:tabs>
        <w:ind w:left="4140" w:right="339"/>
        <w:rPr>
          <w:rFonts w:cs="Times New Roman"/>
          <w:szCs w:val="24"/>
        </w:rPr>
      </w:pPr>
      <w:r w:rsidRPr="002C77AE">
        <w:rPr>
          <w:rFonts w:eastAsia="Times New Roman" w:cs="Times New Roman"/>
          <w:szCs w:val="24"/>
        </w:rPr>
        <w:t xml:space="preserve"> </w:t>
      </w:r>
    </w:p>
    <w:p w:rsidR="00307AEB" w:rsidRPr="002C77AE" w:rsidP="00A32401" w14:paraId="274D9B6D" w14:textId="77777777">
      <w:pPr>
        <w:tabs>
          <w:tab w:val="left" w:pos="2776"/>
        </w:tabs>
        <w:ind w:left="4140" w:right="339"/>
        <w:rPr>
          <w:rFonts w:cs="Times New Roman"/>
          <w:szCs w:val="24"/>
        </w:rPr>
      </w:pPr>
      <w:r w:rsidRPr="002C77AE">
        <w:rPr>
          <w:rFonts w:eastAsia="Times New Roman" w:cs="Times New Roman"/>
          <w:szCs w:val="24"/>
        </w:rPr>
        <w:t>John Finnigan (0018689)</w:t>
      </w:r>
    </w:p>
    <w:p w:rsidR="00307AEB" w:rsidRPr="002C77AE" w:rsidP="00A32401" w14:paraId="67506928" w14:textId="77777777">
      <w:pPr>
        <w:tabs>
          <w:tab w:val="left" w:pos="2776"/>
        </w:tabs>
        <w:ind w:left="4140" w:right="339"/>
        <w:rPr>
          <w:rFonts w:cs="Times New Roman"/>
          <w:szCs w:val="24"/>
        </w:rPr>
      </w:pPr>
      <w:r w:rsidRPr="002C77AE">
        <w:rPr>
          <w:rFonts w:eastAsia="Times New Roman" w:cs="Times New Roman"/>
          <w:szCs w:val="24"/>
        </w:rPr>
        <w:t>Counsel of Record</w:t>
      </w:r>
    </w:p>
    <w:p w:rsidR="00307AEB" w:rsidRPr="002C77AE" w:rsidP="00A32401" w14:paraId="12DF0517" w14:textId="77777777">
      <w:pPr>
        <w:tabs>
          <w:tab w:val="left" w:pos="2776"/>
        </w:tabs>
        <w:ind w:left="4140" w:right="339"/>
        <w:rPr>
          <w:rFonts w:cs="Times New Roman"/>
          <w:szCs w:val="24"/>
        </w:rPr>
      </w:pPr>
      <w:r w:rsidRPr="002C77AE">
        <w:rPr>
          <w:rFonts w:eastAsia="Times New Roman" w:cs="Times New Roman"/>
          <w:szCs w:val="24"/>
        </w:rPr>
        <w:t>Robert Eubanks (0073386)</w:t>
      </w:r>
    </w:p>
    <w:p w:rsidR="00307AEB" w:rsidRPr="002C77AE" w:rsidP="00A32401" w14:paraId="10D309DE" w14:textId="77777777">
      <w:pPr>
        <w:tabs>
          <w:tab w:val="left" w:pos="2776"/>
        </w:tabs>
        <w:ind w:left="4140" w:right="339"/>
        <w:rPr>
          <w:rFonts w:cs="Times New Roman"/>
          <w:szCs w:val="24"/>
        </w:rPr>
      </w:pPr>
      <w:r w:rsidRPr="002C77AE">
        <w:rPr>
          <w:rFonts w:eastAsia="Times New Roman" w:cs="Times New Roman"/>
          <w:szCs w:val="24"/>
        </w:rPr>
        <w:t>William J. Michael (0070921)</w:t>
      </w:r>
    </w:p>
    <w:p w:rsidR="00307AEB" w:rsidRPr="002C77AE" w:rsidP="00A32401" w14:paraId="0B2E3A35" w14:textId="73AFC90B">
      <w:pPr>
        <w:tabs>
          <w:tab w:val="left" w:pos="2776"/>
        </w:tabs>
        <w:ind w:left="4140" w:right="339"/>
        <w:rPr>
          <w:rFonts w:cs="Times New Roman"/>
          <w:szCs w:val="24"/>
        </w:rPr>
      </w:pPr>
      <w:r w:rsidRPr="002C77AE">
        <w:rPr>
          <w:rFonts w:eastAsia="Times New Roman" w:cs="Times New Roman"/>
          <w:szCs w:val="24"/>
        </w:rPr>
        <w:t>Assistant Consumers</w:t>
      </w:r>
      <w:r w:rsidR="002C77AE">
        <w:rPr>
          <w:rFonts w:eastAsia="Times New Roman" w:cs="Times New Roman"/>
          <w:szCs w:val="24"/>
        </w:rPr>
        <w:t>’</w:t>
      </w:r>
      <w:r w:rsidRPr="002C77AE">
        <w:rPr>
          <w:rFonts w:eastAsia="Times New Roman" w:cs="Times New Roman"/>
          <w:szCs w:val="24"/>
        </w:rPr>
        <w:t xml:space="preserve"> Counsel</w:t>
      </w:r>
    </w:p>
    <w:p w:rsidR="00307AEB" w:rsidRPr="002C77AE" w:rsidP="00A32401" w14:paraId="077BAB58" w14:textId="77777777">
      <w:pPr>
        <w:tabs>
          <w:tab w:val="left" w:pos="2776"/>
        </w:tabs>
        <w:ind w:left="4140" w:right="339"/>
        <w:rPr>
          <w:rFonts w:cs="Times New Roman"/>
          <w:szCs w:val="24"/>
        </w:rPr>
      </w:pPr>
      <w:r w:rsidRPr="002C77AE">
        <w:rPr>
          <w:rFonts w:eastAsia="Times New Roman" w:cs="Times New Roman"/>
          <w:szCs w:val="24"/>
        </w:rPr>
        <w:t>Alex Hickey</w:t>
      </w:r>
    </w:p>
    <w:p w:rsidR="00307AEB" w:rsidRPr="002C77AE" w:rsidP="00A32401" w14:paraId="2E690944" w14:textId="77777777">
      <w:pPr>
        <w:tabs>
          <w:tab w:val="left" w:pos="2776"/>
        </w:tabs>
        <w:ind w:left="4140" w:right="339"/>
        <w:rPr>
          <w:rFonts w:cs="Times New Roman"/>
          <w:szCs w:val="24"/>
        </w:rPr>
      </w:pPr>
      <w:r w:rsidRPr="002C77AE">
        <w:rPr>
          <w:rFonts w:eastAsia="Times New Roman" w:cs="Times New Roman"/>
          <w:szCs w:val="24"/>
        </w:rPr>
        <w:t>Thomas Zuehlke</w:t>
      </w:r>
    </w:p>
    <w:p w:rsidR="00307AEB" w:rsidRPr="002C77AE" w:rsidP="00A32401" w14:paraId="0E953552" w14:textId="77777777">
      <w:pPr>
        <w:tabs>
          <w:tab w:val="left" w:pos="2776"/>
        </w:tabs>
        <w:ind w:left="4140" w:right="339"/>
        <w:rPr>
          <w:rFonts w:cs="Times New Roman"/>
          <w:szCs w:val="24"/>
        </w:rPr>
      </w:pPr>
      <w:r w:rsidRPr="002C77AE">
        <w:rPr>
          <w:rFonts w:eastAsia="Times New Roman" w:cs="Times New Roman"/>
          <w:szCs w:val="24"/>
        </w:rPr>
        <w:t>Certified Legal Interns</w:t>
      </w:r>
    </w:p>
    <w:p w:rsidR="00307AEB" w:rsidRPr="002C77AE" w:rsidP="00A32401" w14:paraId="0D2B466F" w14:textId="77777777">
      <w:pPr>
        <w:tabs>
          <w:tab w:val="left" w:pos="2776"/>
        </w:tabs>
        <w:ind w:left="4140" w:right="339"/>
        <w:rPr>
          <w:rFonts w:cs="Times New Roman"/>
          <w:szCs w:val="24"/>
        </w:rPr>
      </w:pPr>
    </w:p>
    <w:p w:rsidR="00307AEB" w:rsidRPr="002C77AE" w:rsidP="00A32401" w14:paraId="5039DA47" w14:textId="2D35AF24">
      <w:pPr>
        <w:tabs>
          <w:tab w:val="left" w:pos="2776"/>
        </w:tabs>
        <w:ind w:left="4140" w:right="339"/>
        <w:rPr>
          <w:rFonts w:cs="Times New Roman"/>
          <w:b/>
          <w:bCs/>
          <w:szCs w:val="24"/>
        </w:rPr>
      </w:pPr>
      <w:r w:rsidRPr="002C77AE">
        <w:rPr>
          <w:rFonts w:eastAsia="Times New Roman" w:cs="Times New Roman"/>
          <w:b/>
          <w:bCs/>
          <w:szCs w:val="24"/>
        </w:rPr>
        <w:t>Office of the Ohio Consumers</w:t>
      </w:r>
      <w:r w:rsidR="002C77AE">
        <w:rPr>
          <w:rFonts w:eastAsia="Times New Roman" w:cs="Times New Roman"/>
          <w:b/>
          <w:bCs/>
          <w:szCs w:val="24"/>
        </w:rPr>
        <w:t>’</w:t>
      </w:r>
      <w:r w:rsidRPr="002C77AE">
        <w:rPr>
          <w:rFonts w:eastAsia="Times New Roman" w:cs="Times New Roman"/>
          <w:b/>
          <w:bCs/>
          <w:szCs w:val="24"/>
        </w:rPr>
        <w:t xml:space="preserve"> Counsel</w:t>
      </w:r>
    </w:p>
    <w:p w:rsidR="00307AEB" w:rsidRPr="002C77AE" w:rsidP="00A32401" w14:paraId="5677BA58" w14:textId="77777777">
      <w:pPr>
        <w:tabs>
          <w:tab w:val="left" w:pos="2776"/>
        </w:tabs>
        <w:ind w:left="4140" w:right="339"/>
        <w:rPr>
          <w:rFonts w:cs="Times New Roman"/>
          <w:szCs w:val="24"/>
        </w:rPr>
      </w:pPr>
      <w:r w:rsidRPr="002C77AE">
        <w:rPr>
          <w:rFonts w:eastAsia="Times New Roman" w:cs="Times New Roman"/>
          <w:szCs w:val="24"/>
        </w:rPr>
        <w:t>65 East State Street, Suite 700</w:t>
      </w:r>
    </w:p>
    <w:p w:rsidR="00307AEB" w:rsidRPr="002C77AE" w:rsidP="00A32401" w14:paraId="4A34B908" w14:textId="77777777">
      <w:pPr>
        <w:tabs>
          <w:tab w:val="left" w:pos="2776"/>
        </w:tabs>
        <w:ind w:left="4140" w:right="339"/>
        <w:rPr>
          <w:rFonts w:cs="Times New Roman"/>
          <w:szCs w:val="24"/>
        </w:rPr>
      </w:pPr>
      <w:r w:rsidRPr="002C77AE">
        <w:rPr>
          <w:rFonts w:eastAsia="Times New Roman" w:cs="Times New Roman"/>
          <w:szCs w:val="24"/>
        </w:rPr>
        <w:t>Columbus, Ohio 43215</w:t>
      </w:r>
    </w:p>
    <w:p w:rsidR="00307AEB" w:rsidRPr="002C77AE" w:rsidP="00A32401" w14:paraId="63AB336F" w14:textId="77777777">
      <w:pPr>
        <w:tabs>
          <w:tab w:val="left" w:pos="2776"/>
        </w:tabs>
        <w:ind w:left="4140" w:right="339"/>
        <w:rPr>
          <w:rFonts w:cs="Times New Roman"/>
          <w:szCs w:val="24"/>
        </w:rPr>
      </w:pPr>
      <w:r w:rsidRPr="002C77AE">
        <w:rPr>
          <w:rFonts w:eastAsia="Times New Roman" w:cs="Times New Roman"/>
          <w:szCs w:val="24"/>
        </w:rPr>
        <w:t>Telephone [Finnigan]: (614) 466-9585</w:t>
      </w:r>
    </w:p>
    <w:p w:rsidR="00307AEB" w:rsidRPr="002C77AE" w:rsidP="00A32401" w14:paraId="39E106C3" w14:textId="77777777">
      <w:pPr>
        <w:tabs>
          <w:tab w:val="left" w:pos="2776"/>
        </w:tabs>
        <w:ind w:left="4140" w:right="339"/>
        <w:rPr>
          <w:rFonts w:cs="Times New Roman"/>
          <w:szCs w:val="24"/>
        </w:rPr>
      </w:pPr>
      <w:r w:rsidRPr="002C77AE">
        <w:rPr>
          <w:rFonts w:eastAsia="Times New Roman" w:cs="Times New Roman"/>
          <w:szCs w:val="24"/>
        </w:rPr>
        <w:t>Telephone [Eubanks]: (614) 466-1292</w:t>
      </w:r>
    </w:p>
    <w:p w:rsidR="00307AEB" w:rsidRPr="002C77AE" w:rsidP="00A32401" w14:paraId="08CD2DBA" w14:textId="77777777">
      <w:pPr>
        <w:tabs>
          <w:tab w:val="left" w:pos="2776"/>
        </w:tabs>
        <w:ind w:left="4140" w:right="339"/>
        <w:rPr>
          <w:rFonts w:cs="Times New Roman"/>
          <w:szCs w:val="24"/>
        </w:rPr>
      </w:pPr>
      <w:r w:rsidRPr="002C77AE">
        <w:rPr>
          <w:rFonts w:eastAsia="Times New Roman" w:cs="Times New Roman"/>
          <w:szCs w:val="24"/>
        </w:rPr>
        <w:t>Telephone [Michael]: (614) 466-1291</w:t>
      </w:r>
    </w:p>
    <w:p w:rsidR="00307AEB" w:rsidRPr="002C77AE" w:rsidP="00A32401" w14:paraId="425FE59A" w14:textId="77777777">
      <w:pPr>
        <w:tabs>
          <w:tab w:val="left" w:pos="2776"/>
        </w:tabs>
        <w:ind w:left="4140" w:right="339"/>
        <w:rPr>
          <w:rFonts w:cs="Times New Roman"/>
          <w:szCs w:val="24"/>
        </w:rPr>
      </w:pPr>
      <w:r w:rsidRPr="002C77AE">
        <w:rPr>
          <w:rFonts w:eastAsia="Times New Roman" w:cs="Times New Roman"/>
          <w:szCs w:val="24"/>
        </w:rPr>
        <w:t>Telephone [Hickey]: (614) 466-9549</w:t>
      </w:r>
    </w:p>
    <w:p w:rsidR="00307AEB" w:rsidRPr="002C77AE" w:rsidP="00A32401" w14:paraId="73F82527" w14:textId="77777777">
      <w:pPr>
        <w:tabs>
          <w:tab w:val="left" w:pos="2776"/>
        </w:tabs>
        <w:ind w:left="4140" w:right="339"/>
        <w:rPr>
          <w:rFonts w:cs="Times New Roman"/>
          <w:szCs w:val="24"/>
        </w:rPr>
      </w:pPr>
      <w:r w:rsidRPr="002C77AE">
        <w:rPr>
          <w:rFonts w:eastAsia="Times New Roman" w:cs="Times New Roman"/>
          <w:szCs w:val="24"/>
        </w:rPr>
        <w:t>Telephone [Zuehlke]: (614) 466-9569</w:t>
      </w:r>
    </w:p>
    <w:p w:rsidR="00307AEB" w:rsidRPr="002C77AE" w:rsidP="00A32401" w14:paraId="11B62BB4" w14:textId="77777777">
      <w:pPr>
        <w:tabs>
          <w:tab w:val="left" w:pos="2776"/>
        </w:tabs>
        <w:ind w:left="4140" w:right="339"/>
        <w:rPr>
          <w:rFonts w:cs="Times New Roman"/>
          <w:color w:val="0000FF"/>
          <w:szCs w:val="24"/>
        </w:rPr>
      </w:pPr>
      <w:hyperlink r:id="rId6" w:history="1">
        <w:r w:rsidRPr="002C77AE" w:rsidR="0049119C">
          <w:rPr>
            <w:rStyle w:val="Hyperlink"/>
            <w:rFonts w:eastAsia="Times New Roman" w:cs="Times New Roman"/>
            <w:szCs w:val="24"/>
          </w:rPr>
          <w:t>john.finnigan@occ.ohio.gov</w:t>
        </w:r>
      </w:hyperlink>
    </w:p>
    <w:p w:rsidR="00307AEB" w:rsidRPr="002C77AE" w:rsidP="00A32401" w14:paraId="14B74679" w14:textId="77777777">
      <w:pPr>
        <w:tabs>
          <w:tab w:val="left" w:pos="2776"/>
        </w:tabs>
        <w:ind w:left="4140" w:right="339"/>
        <w:rPr>
          <w:rFonts w:cs="Times New Roman"/>
          <w:color w:val="0000FF"/>
          <w:szCs w:val="24"/>
        </w:rPr>
      </w:pPr>
      <w:hyperlink r:id="rId7" w:history="1">
        <w:r w:rsidRPr="002C77AE" w:rsidR="0049119C">
          <w:rPr>
            <w:rStyle w:val="Hyperlink"/>
            <w:rFonts w:eastAsia="Times New Roman" w:cs="Times New Roman"/>
            <w:szCs w:val="24"/>
          </w:rPr>
          <w:t>robert.eubanks@occ.ohio.gov</w:t>
        </w:r>
      </w:hyperlink>
    </w:p>
    <w:p w:rsidR="00307AEB" w:rsidRPr="002C77AE" w:rsidP="00A32401" w14:paraId="56175EA1" w14:textId="77777777">
      <w:pPr>
        <w:tabs>
          <w:tab w:val="left" w:pos="2776"/>
        </w:tabs>
        <w:ind w:left="4140" w:right="339"/>
        <w:rPr>
          <w:rFonts w:cs="Times New Roman"/>
          <w:color w:val="0000FF"/>
          <w:szCs w:val="24"/>
        </w:rPr>
      </w:pPr>
      <w:hyperlink r:id="rId8" w:history="1">
        <w:r w:rsidRPr="002C77AE" w:rsidR="0049119C">
          <w:rPr>
            <w:rStyle w:val="Hyperlink"/>
            <w:rFonts w:eastAsia="Times New Roman" w:cs="Times New Roman"/>
            <w:szCs w:val="24"/>
          </w:rPr>
          <w:t>william.michael@occ.ohio.gov</w:t>
        </w:r>
      </w:hyperlink>
    </w:p>
    <w:p w:rsidR="00307AEB" w:rsidRPr="002C77AE" w:rsidP="00A32401" w14:paraId="59963C0D" w14:textId="77777777">
      <w:pPr>
        <w:tabs>
          <w:tab w:val="left" w:pos="2776"/>
        </w:tabs>
        <w:ind w:left="4140" w:right="339"/>
        <w:rPr>
          <w:rFonts w:cs="Times New Roman"/>
          <w:color w:val="0000FF"/>
          <w:szCs w:val="24"/>
        </w:rPr>
      </w:pPr>
      <w:hyperlink r:id="rId9" w:history="1">
        <w:r w:rsidRPr="002C77AE" w:rsidR="0049119C">
          <w:rPr>
            <w:rStyle w:val="Hyperlink"/>
            <w:rFonts w:eastAsia="Times New Roman" w:cs="Times New Roman"/>
            <w:szCs w:val="24"/>
          </w:rPr>
          <w:t>alex.hickey@occ.ohio.gov</w:t>
        </w:r>
      </w:hyperlink>
    </w:p>
    <w:p w:rsidR="00307AEB" w:rsidRPr="002C77AE" w:rsidP="00A32401" w14:paraId="738A9856" w14:textId="77777777">
      <w:pPr>
        <w:tabs>
          <w:tab w:val="left" w:pos="2776"/>
        </w:tabs>
        <w:ind w:left="4140" w:right="339"/>
        <w:rPr>
          <w:rFonts w:cs="Times New Roman"/>
          <w:color w:val="0000FF"/>
          <w:szCs w:val="24"/>
        </w:rPr>
      </w:pPr>
      <w:hyperlink r:id="rId10" w:history="1">
        <w:r w:rsidRPr="002C77AE" w:rsidR="0049119C">
          <w:rPr>
            <w:rStyle w:val="Hyperlink"/>
            <w:rFonts w:eastAsia="Times New Roman" w:cs="Times New Roman"/>
            <w:szCs w:val="24"/>
          </w:rPr>
          <w:t>thomas.zuehlke@occ.ohio.gov</w:t>
        </w:r>
      </w:hyperlink>
    </w:p>
    <w:p w:rsidR="00307AEB" w:rsidRPr="002C77AE" w:rsidP="00A32401" w14:paraId="17326B17" w14:textId="53B2D385">
      <w:pPr>
        <w:tabs>
          <w:tab w:val="left" w:pos="1182"/>
        </w:tabs>
        <w:ind w:left="4140" w:hanging="4140"/>
        <w:rPr>
          <w:rFonts w:eastAsia="Calibri" w:cs="Times New Roman"/>
          <w:b/>
          <w:bCs/>
          <w:szCs w:val="24"/>
        </w:rPr>
      </w:pPr>
      <w:r w:rsidRPr="002C77AE">
        <w:rPr>
          <w:rFonts w:eastAsia="Times New Roman" w:cs="Times New Roman"/>
          <w:szCs w:val="24"/>
        </w:rPr>
        <w:t>February 9</w:t>
      </w:r>
      <w:r w:rsidRPr="002C77AE" w:rsidR="00881738">
        <w:rPr>
          <w:rFonts w:eastAsia="Times New Roman" w:cs="Times New Roman"/>
          <w:szCs w:val="24"/>
        </w:rPr>
        <w:t>, 2024</w:t>
      </w:r>
      <w:r w:rsidRPr="002C77AE" w:rsidR="00881738">
        <w:rPr>
          <w:rFonts w:eastAsia="Times New Roman" w:cs="Times New Roman"/>
          <w:szCs w:val="24"/>
        </w:rPr>
        <w:tab/>
      </w:r>
      <w:r w:rsidRPr="002C77AE">
        <w:rPr>
          <w:rFonts w:eastAsia="Times New Roman" w:cs="Times New Roman"/>
          <w:szCs w:val="24"/>
        </w:rPr>
        <w:t>(willing to accept service by e-mail)</w:t>
      </w:r>
    </w:p>
    <w:p w:rsidR="00307AEB" w:rsidRPr="002C77AE" w:rsidP="00A32401" w14:paraId="024A3E9F" w14:textId="6BBF340C">
      <w:pPr>
        <w:tabs>
          <w:tab w:val="left" w:pos="1182"/>
        </w:tabs>
        <w:rPr>
          <w:rFonts w:cs="Times New Roman"/>
          <w:szCs w:val="24"/>
        </w:rPr>
        <w:sectPr w:rsidSect="00A6343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60"/>
        </w:sectPr>
      </w:pPr>
      <w:r w:rsidRPr="002C77AE">
        <w:rPr>
          <w:rFonts w:cs="Times New Roman"/>
          <w:szCs w:val="24"/>
        </w:rPr>
        <w:tab/>
      </w:r>
    </w:p>
    <w:p w:rsidR="00D841A1" w:rsidP="00D841A1" w14:paraId="3440131A" w14:textId="77777777">
      <w:pPr>
        <w:jc w:val="center"/>
        <w:rPr>
          <w:rFonts w:eastAsia="Times New Roman" w:cs="Times New Roman"/>
          <w:b/>
          <w:bCs/>
          <w:szCs w:val="24"/>
          <w:u w:val="single"/>
        </w:rPr>
      </w:pPr>
      <w:bookmarkStart w:id="0" w:name="_Toc128394973"/>
      <w:r w:rsidRPr="002C77AE">
        <w:rPr>
          <w:rFonts w:eastAsia="Times New Roman" w:cs="Times New Roman"/>
          <w:b/>
          <w:bCs/>
          <w:szCs w:val="24"/>
          <w:u w:val="single"/>
        </w:rPr>
        <w:t>TABLE OF CONTENTS</w:t>
      </w:r>
    </w:p>
    <w:p w:rsidR="00C5070A" w:rsidRPr="002C77AE" w:rsidP="00D841A1" w14:paraId="3306E80C" w14:textId="77777777">
      <w:pPr>
        <w:jc w:val="center"/>
        <w:rPr>
          <w:rFonts w:eastAsia="Times New Roman" w:cs="Times New Roman"/>
          <w:b/>
          <w:bCs/>
          <w:szCs w:val="24"/>
          <w:u w:val="single"/>
        </w:rPr>
      </w:pPr>
    </w:p>
    <w:p w:rsidR="0033457D" w:rsidRPr="00666C08" w:rsidP="00CB4242" w14:paraId="088D487F" w14:textId="5BF150E2">
      <w:pPr>
        <w:jc w:val="right"/>
        <w:rPr>
          <w:rFonts w:eastAsia="Times New Roman" w:cs="Times New Roman"/>
          <w:b/>
          <w:bCs/>
          <w:szCs w:val="24"/>
        </w:rPr>
      </w:pPr>
      <w:r w:rsidRPr="00666C08">
        <w:rPr>
          <w:rFonts w:eastAsia="Times New Roman" w:cs="Times New Roman"/>
          <w:b/>
          <w:bCs/>
          <w:szCs w:val="24"/>
        </w:rPr>
        <w:t>PAGE</w:t>
      </w:r>
    </w:p>
    <w:p w:rsidR="0033457D" w:rsidRPr="002C77AE" w:rsidP="0033457D" w14:paraId="28244D24" w14:textId="77777777">
      <w:pPr>
        <w:rPr>
          <w:rFonts w:eastAsia="Times New Roman" w:cs="Times New Roman"/>
          <w:szCs w:val="24"/>
        </w:rPr>
      </w:pPr>
    </w:p>
    <w:p w:rsidR="00B41E1F" w14:paraId="1202D9D9" w14:textId="34A927FD">
      <w:pPr>
        <w:pStyle w:val="TOC1"/>
        <w:rPr>
          <w:rFonts w:asciiTheme="minorHAnsi" w:eastAsiaTheme="minorEastAsia" w:hAnsiTheme="minorHAnsi"/>
          <w:noProof/>
          <w:kern w:val="2"/>
          <w:sz w:val="22"/>
          <w14:ligatures w14:val="standardContextual"/>
        </w:rPr>
      </w:pPr>
      <w:r>
        <w:rPr>
          <w:rFonts w:eastAsia="Times New Roman" w:cs="Times New Roman"/>
          <w:caps/>
          <w:szCs w:val="24"/>
        </w:rPr>
        <w:fldChar w:fldCharType="begin"/>
      </w:r>
      <w:r>
        <w:rPr>
          <w:rFonts w:eastAsia="Times New Roman" w:cs="Times New Roman"/>
          <w:caps/>
          <w:szCs w:val="24"/>
        </w:rPr>
        <w:instrText xml:space="preserve"> TOC \o "1-3" \h \z \u </w:instrText>
      </w:r>
      <w:r>
        <w:rPr>
          <w:rFonts w:eastAsia="Times New Roman" w:cs="Times New Roman"/>
          <w:caps/>
          <w:szCs w:val="24"/>
        </w:rPr>
        <w:fldChar w:fldCharType="separate"/>
      </w:r>
      <w:hyperlink w:anchor="_Toc158373165" w:history="1">
        <w:r w:rsidRPr="00041C35">
          <w:rPr>
            <w:rStyle w:val="Hyperlink"/>
            <w:noProof/>
          </w:rPr>
          <w:t>I.</w:t>
        </w:r>
        <w:r>
          <w:rPr>
            <w:rFonts w:asciiTheme="minorHAnsi" w:eastAsiaTheme="minorEastAsia" w:hAnsiTheme="minorHAnsi"/>
            <w:noProof/>
            <w:kern w:val="2"/>
            <w:sz w:val="22"/>
            <w14:ligatures w14:val="standardContextual"/>
          </w:rPr>
          <w:tab/>
        </w:r>
        <w:r w:rsidRPr="00041C35">
          <w:rPr>
            <w:rStyle w:val="Hyperlink"/>
            <w:noProof/>
          </w:rPr>
          <w:t>INTRODUCTION</w:t>
        </w:r>
        <w:r>
          <w:rPr>
            <w:noProof/>
            <w:webHidden/>
          </w:rPr>
          <w:tab/>
        </w:r>
        <w:r>
          <w:rPr>
            <w:noProof/>
            <w:webHidden/>
          </w:rPr>
          <w:fldChar w:fldCharType="begin"/>
        </w:r>
        <w:r>
          <w:rPr>
            <w:noProof/>
            <w:webHidden/>
          </w:rPr>
          <w:instrText xml:space="preserve"> PAGEREF _Toc158373165 \h </w:instrText>
        </w:r>
        <w:r>
          <w:rPr>
            <w:noProof/>
            <w:webHidden/>
          </w:rPr>
          <w:fldChar w:fldCharType="separate"/>
        </w:r>
        <w:r>
          <w:rPr>
            <w:noProof/>
            <w:webHidden/>
          </w:rPr>
          <w:t>1</w:t>
        </w:r>
        <w:r>
          <w:rPr>
            <w:noProof/>
            <w:webHidden/>
          </w:rPr>
          <w:fldChar w:fldCharType="end"/>
        </w:r>
      </w:hyperlink>
    </w:p>
    <w:p w:rsidR="00B41E1F" w14:paraId="126C11BB" w14:textId="3E932F07">
      <w:pPr>
        <w:pStyle w:val="TOC1"/>
        <w:rPr>
          <w:rFonts w:asciiTheme="minorHAnsi" w:eastAsiaTheme="minorEastAsia" w:hAnsiTheme="minorHAnsi"/>
          <w:noProof/>
          <w:kern w:val="2"/>
          <w:sz w:val="22"/>
          <w14:ligatures w14:val="standardContextual"/>
        </w:rPr>
      </w:pPr>
      <w:hyperlink w:anchor="_Toc158373166" w:history="1">
        <w:r w:rsidRPr="00041C35">
          <w:rPr>
            <w:rStyle w:val="Hyperlink"/>
            <w:noProof/>
          </w:rPr>
          <w:t>II.</w:t>
        </w:r>
        <w:r>
          <w:rPr>
            <w:rFonts w:asciiTheme="minorHAnsi" w:eastAsiaTheme="minorEastAsia" w:hAnsiTheme="minorHAnsi"/>
            <w:noProof/>
            <w:kern w:val="2"/>
            <w:sz w:val="22"/>
            <w14:ligatures w14:val="standardContextual"/>
          </w:rPr>
          <w:tab/>
        </w:r>
        <w:r w:rsidRPr="00041C35">
          <w:rPr>
            <w:rStyle w:val="Hyperlink"/>
            <w:noProof/>
          </w:rPr>
          <w:t>RECOMMENDATIONS</w:t>
        </w:r>
        <w:r>
          <w:rPr>
            <w:noProof/>
            <w:webHidden/>
          </w:rPr>
          <w:tab/>
        </w:r>
        <w:r>
          <w:rPr>
            <w:noProof/>
            <w:webHidden/>
          </w:rPr>
          <w:fldChar w:fldCharType="begin"/>
        </w:r>
        <w:r>
          <w:rPr>
            <w:noProof/>
            <w:webHidden/>
          </w:rPr>
          <w:instrText xml:space="preserve"> PAGEREF _Toc158373166 \h </w:instrText>
        </w:r>
        <w:r>
          <w:rPr>
            <w:noProof/>
            <w:webHidden/>
          </w:rPr>
          <w:fldChar w:fldCharType="separate"/>
        </w:r>
        <w:r>
          <w:rPr>
            <w:noProof/>
            <w:webHidden/>
          </w:rPr>
          <w:t>2</w:t>
        </w:r>
        <w:r>
          <w:rPr>
            <w:noProof/>
            <w:webHidden/>
          </w:rPr>
          <w:fldChar w:fldCharType="end"/>
        </w:r>
      </w:hyperlink>
    </w:p>
    <w:p w:rsidR="00B41E1F" w14:paraId="56F0F9BD" w14:textId="247682CE">
      <w:pPr>
        <w:pStyle w:val="TOC2"/>
        <w:rPr>
          <w:rFonts w:asciiTheme="minorHAnsi" w:eastAsiaTheme="minorEastAsia" w:hAnsiTheme="minorHAnsi"/>
          <w:noProof/>
          <w:kern w:val="2"/>
          <w:sz w:val="22"/>
          <w14:ligatures w14:val="standardContextual"/>
        </w:rPr>
      </w:pPr>
      <w:hyperlink w:anchor="_Toc158373167" w:history="1">
        <w:r w:rsidRPr="00041C35">
          <w:rPr>
            <w:rStyle w:val="Hyperlink"/>
            <w:noProof/>
          </w:rPr>
          <w:t>A.</w:t>
        </w:r>
        <w:r>
          <w:rPr>
            <w:rFonts w:asciiTheme="minorHAnsi" w:eastAsiaTheme="minorEastAsia" w:hAnsiTheme="minorHAnsi"/>
            <w:noProof/>
            <w:kern w:val="2"/>
            <w:sz w:val="22"/>
            <w14:ligatures w14:val="standardContextual"/>
          </w:rPr>
          <w:tab/>
        </w:r>
        <w:r w:rsidRPr="00041C35">
          <w:rPr>
            <w:rStyle w:val="Hyperlink"/>
            <w:noProof/>
          </w:rPr>
          <w:t>FirstEnergy failed to sustain its burden of proof that the $6.2 billion in electric security plan and rider charges would be just and reasonable to charge its consumers.</w:t>
        </w:r>
        <w:r>
          <w:rPr>
            <w:noProof/>
            <w:webHidden/>
          </w:rPr>
          <w:tab/>
        </w:r>
        <w:r>
          <w:rPr>
            <w:noProof/>
            <w:webHidden/>
          </w:rPr>
          <w:fldChar w:fldCharType="begin"/>
        </w:r>
        <w:r>
          <w:rPr>
            <w:noProof/>
            <w:webHidden/>
          </w:rPr>
          <w:instrText xml:space="preserve"> PAGEREF _Toc158373167 \h </w:instrText>
        </w:r>
        <w:r>
          <w:rPr>
            <w:noProof/>
            <w:webHidden/>
          </w:rPr>
          <w:fldChar w:fldCharType="separate"/>
        </w:r>
        <w:r>
          <w:rPr>
            <w:noProof/>
            <w:webHidden/>
          </w:rPr>
          <w:t>2</w:t>
        </w:r>
        <w:r>
          <w:rPr>
            <w:noProof/>
            <w:webHidden/>
          </w:rPr>
          <w:fldChar w:fldCharType="end"/>
        </w:r>
      </w:hyperlink>
    </w:p>
    <w:p w:rsidR="00B41E1F" w14:paraId="75A9BA73" w14:textId="0F6CB8B7">
      <w:pPr>
        <w:pStyle w:val="TOC2"/>
        <w:rPr>
          <w:rFonts w:asciiTheme="minorHAnsi" w:eastAsiaTheme="minorEastAsia" w:hAnsiTheme="minorHAnsi"/>
          <w:noProof/>
          <w:kern w:val="2"/>
          <w:sz w:val="22"/>
          <w14:ligatures w14:val="standardContextual"/>
        </w:rPr>
      </w:pPr>
      <w:hyperlink w:anchor="_Toc158373168" w:history="1">
        <w:r w:rsidRPr="00041C35">
          <w:rPr>
            <w:rStyle w:val="Hyperlink"/>
            <w:noProof/>
          </w:rPr>
          <w:t xml:space="preserve">B. </w:t>
        </w:r>
        <w:r>
          <w:rPr>
            <w:rFonts w:asciiTheme="minorHAnsi" w:eastAsiaTheme="minorEastAsia" w:hAnsiTheme="minorHAnsi"/>
            <w:noProof/>
            <w:kern w:val="2"/>
            <w:sz w:val="22"/>
            <w14:ligatures w14:val="standardContextual"/>
          </w:rPr>
          <w:tab/>
        </w:r>
        <w:r w:rsidRPr="00041C35">
          <w:rPr>
            <w:rStyle w:val="Hyperlink"/>
            <w:noProof/>
          </w:rPr>
          <w:t>FirstEnergy’s proposed eight-year electric security plan is not just and reasonable for charging consumers. If, however, the PUCO approves an electric security plan, the PUCO should limit the electric security plan’s duration to four years.</w:t>
        </w:r>
        <w:r>
          <w:rPr>
            <w:noProof/>
            <w:webHidden/>
          </w:rPr>
          <w:tab/>
        </w:r>
        <w:r>
          <w:rPr>
            <w:noProof/>
            <w:webHidden/>
          </w:rPr>
          <w:fldChar w:fldCharType="begin"/>
        </w:r>
        <w:r>
          <w:rPr>
            <w:noProof/>
            <w:webHidden/>
          </w:rPr>
          <w:instrText xml:space="preserve"> PAGEREF _Toc158373168 \h </w:instrText>
        </w:r>
        <w:r>
          <w:rPr>
            <w:noProof/>
            <w:webHidden/>
          </w:rPr>
          <w:fldChar w:fldCharType="separate"/>
        </w:r>
        <w:r>
          <w:rPr>
            <w:noProof/>
            <w:webHidden/>
          </w:rPr>
          <w:t>4</w:t>
        </w:r>
        <w:r>
          <w:rPr>
            <w:noProof/>
            <w:webHidden/>
          </w:rPr>
          <w:fldChar w:fldCharType="end"/>
        </w:r>
      </w:hyperlink>
    </w:p>
    <w:p w:rsidR="00B41E1F" w14:paraId="0B62B21C" w14:textId="6D1E6438">
      <w:pPr>
        <w:pStyle w:val="TOC2"/>
        <w:rPr>
          <w:rFonts w:asciiTheme="minorHAnsi" w:eastAsiaTheme="minorEastAsia" w:hAnsiTheme="minorHAnsi"/>
          <w:noProof/>
          <w:kern w:val="2"/>
          <w:sz w:val="22"/>
          <w14:ligatures w14:val="standardContextual"/>
        </w:rPr>
      </w:pPr>
      <w:hyperlink w:anchor="_Toc158373169" w:history="1">
        <w:r w:rsidRPr="00041C35">
          <w:rPr>
            <w:rStyle w:val="Hyperlink"/>
            <w:noProof/>
          </w:rPr>
          <w:t>C.</w:t>
        </w:r>
        <w:r>
          <w:rPr>
            <w:rFonts w:asciiTheme="minorHAnsi" w:eastAsiaTheme="minorEastAsia" w:hAnsiTheme="minorHAnsi"/>
            <w:noProof/>
            <w:kern w:val="2"/>
            <w:sz w:val="22"/>
            <w14:ligatures w14:val="standardContextual"/>
          </w:rPr>
          <w:tab/>
        </w:r>
        <w:r w:rsidRPr="00041C35">
          <w:rPr>
            <w:rStyle w:val="Hyperlink"/>
            <w:noProof/>
          </w:rPr>
          <w:t>FirstEnergy’s SSO auction proposal is unjust and unreasonable because it does not provide for separate SSO auctions for residential consumers.</w:t>
        </w:r>
        <w:r>
          <w:rPr>
            <w:noProof/>
            <w:webHidden/>
          </w:rPr>
          <w:tab/>
        </w:r>
        <w:r>
          <w:rPr>
            <w:noProof/>
            <w:webHidden/>
          </w:rPr>
          <w:fldChar w:fldCharType="begin"/>
        </w:r>
        <w:r>
          <w:rPr>
            <w:noProof/>
            <w:webHidden/>
          </w:rPr>
          <w:instrText xml:space="preserve"> PAGEREF _Toc158373169 \h </w:instrText>
        </w:r>
        <w:r>
          <w:rPr>
            <w:noProof/>
            <w:webHidden/>
          </w:rPr>
          <w:fldChar w:fldCharType="separate"/>
        </w:r>
        <w:r>
          <w:rPr>
            <w:noProof/>
            <w:webHidden/>
          </w:rPr>
          <w:t>6</w:t>
        </w:r>
        <w:r>
          <w:rPr>
            <w:noProof/>
            <w:webHidden/>
          </w:rPr>
          <w:fldChar w:fldCharType="end"/>
        </w:r>
      </w:hyperlink>
    </w:p>
    <w:p w:rsidR="00B41E1F" w14:paraId="6457980A" w14:textId="4A07F489">
      <w:pPr>
        <w:pStyle w:val="TOC2"/>
        <w:rPr>
          <w:rFonts w:asciiTheme="minorHAnsi" w:eastAsiaTheme="minorEastAsia" w:hAnsiTheme="minorHAnsi"/>
          <w:noProof/>
          <w:kern w:val="2"/>
          <w:sz w:val="22"/>
          <w14:ligatures w14:val="standardContextual"/>
        </w:rPr>
      </w:pPr>
      <w:hyperlink w:anchor="_Toc158373170" w:history="1">
        <w:r w:rsidRPr="00041C35">
          <w:rPr>
            <w:rStyle w:val="Hyperlink"/>
            <w:noProof/>
          </w:rPr>
          <w:t>D.</w:t>
        </w:r>
        <w:r>
          <w:rPr>
            <w:rFonts w:asciiTheme="minorHAnsi" w:eastAsiaTheme="minorEastAsia" w:hAnsiTheme="minorHAnsi"/>
            <w:noProof/>
            <w:kern w:val="2"/>
            <w:sz w:val="22"/>
            <w14:ligatures w14:val="standardContextual"/>
          </w:rPr>
          <w:tab/>
        </w:r>
        <w:r w:rsidRPr="00041C35">
          <w:rPr>
            <w:rStyle w:val="Hyperlink"/>
            <w:noProof/>
          </w:rPr>
          <w:t>The sheer number of riders proposed by FirstEnergy is excessive, which harms consumers by reducing the incentive for FirstEnergy to control costs. The PUCO should therefore reject FirstEnergy’s proposals to establish new riders or expand existing riders.</w:t>
        </w:r>
        <w:r>
          <w:rPr>
            <w:noProof/>
            <w:webHidden/>
          </w:rPr>
          <w:tab/>
        </w:r>
        <w:r>
          <w:rPr>
            <w:noProof/>
            <w:webHidden/>
          </w:rPr>
          <w:fldChar w:fldCharType="begin"/>
        </w:r>
        <w:r>
          <w:rPr>
            <w:noProof/>
            <w:webHidden/>
          </w:rPr>
          <w:instrText xml:space="preserve"> PAGEREF _Toc158373170 \h </w:instrText>
        </w:r>
        <w:r>
          <w:rPr>
            <w:noProof/>
            <w:webHidden/>
          </w:rPr>
          <w:fldChar w:fldCharType="separate"/>
        </w:r>
        <w:r>
          <w:rPr>
            <w:noProof/>
            <w:webHidden/>
          </w:rPr>
          <w:t>7</w:t>
        </w:r>
        <w:r>
          <w:rPr>
            <w:noProof/>
            <w:webHidden/>
          </w:rPr>
          <w:fldChar w:fldCharType="end"/>
        </w:r>
      </w:hyperlink>
    </w:p>
    <w:p w:rsidR="00B41E1F" w14:paraId="0F70967F" w14:textId="4D1D30B2">
      <w:pPr>
        <w:pStyle w:val="TOC2"/>
        <w:rPr>
          <w:rFonts w:asciiTheme="minorHAnsi" w:eastAsiaTheme="minorEastAsia" w:hAnsiTheme="minorHAnsi"/>
          <w:noProof/>
          <w:kern w:val="2"/>
          <w:sz w:val="22"/>
          <w14:ligatures w14:val="standardContextual"/>
        </w:rPr>
      </w:pPr>
      <w:hyperlink w:anchor="_Toc158373171" w:history="1">
        <w:r w:rsidRPr="00041C35">
          <w:rPr>
            <w:rStyle w:val="Hyperlink"/>
            <w:noProof/>
          </w:rPr>
          <w:t>E.</w:t>
        </w:r>
        <w:r>
          <w:rPr>
            <w:rFonts w:asciiTheme="minorHAnsi" w:eastAsiaTheme="minorEastAsia" w:hAnsiTheme="minorHAnsi"/>
            <w:noProof/>
            <w:kern w:val="2"/>
            <w:sz w:val="22"/>
            <w14:ligatures w14:val="standardContextual"/>
          </w:rPr>
          <w:tab/>
        </w:r>
        <w:r w:rsidRPr="00041C35">
          <w:rPr>
            <w:rStyle w:val="Hyperlink"/>
            <w:noProof/>
          </w:rPr>
          <w:t>FirstEnergy’s proposal to continue and expand the Rider DCR charges to consumers is unjust and unreasonable.</w:t>
        </w:r>
        <w:r>
          <w:rPr>
            <w:noProof/>
            <w:webHidden/>
          </w:rPr>
          <w:tab/>
        </w:r>
        <w:r>
          <w:rPr>
            <w:noProof/>
            <w:webHidden/>
          </w:rPr>
          <w:fldChar w:fldCharType="begin"/>
        </w:r>
        <w:r>
          <w:rPr>
            <w:noProof/>
            <w:webHidden/>
          </w:rPr>
          <w:instrText xml:space="preserve"> PAGEREF _Toc158373171 \h </w:instrText>
        </w:r>
        <w:r>
          <w:rPr>
            <w:noProof/>
            <w:webHidden/>
          </w:rPr>
          <w:fldChar w:fldCharType="separate"/>
        </w:r>
        <w:r>
          <w:rPr>
            <w:noProof/>
            <w:webHidden/>
          </w:rPr>
          <w:t>9</w:t>
        </w:r>
        <w:r>
          <w:rPr>
            <w:noProof/>
            <w:webHidden/>
          </w:rPr>
          <w:fldChar w:fldCharType="end"/>
        </w:r>
      </w:hyperlink>
    </w:p>
    <w:p w:rsidR="00B41E1F" w14:paraId="6D4A37F6" w14:textId="3BFA83DF">
      <w:pPr>
        <w:pStyle w:val="TOC2"/>
        <w:rPr>
          <w:rFonts w:asciiTheme="minorHAnsi" w:eastAsiaTheme="minorEastAsia" w:hAnsiTheme="minorHAnsi"/>
          <w:noProof/>
          <w:kern w:val="2"/>
          <w:sz w:val="22"/>
          <w14:ligatures w14:val="standardContextual"/>
        </w:rPr>
      </w:pPr>
      <w:hyperlink w:anchor="_Toc158373172" w:history="1">
        <w:r w:rsidRPr="00041C35">
          <w:rPr>
            <w:rStyle w:val="Hyperlink"/>
            <w:noProof/>
          </w:rPr>
          <w:t>F.</w:t>
        </w:r>
        <w:r>
          <w:rPr>
            <w:rFonts w:asciiTheme="minorHAnsi" w:eastAsiaTheme="minorEastAsia" w:hAnsiTheme="minorHAnsi"/>
            <w:noProof/>
            <w:kern w:val="2"/>
            <w:sz w:val="22"/>
            <w14:ligatures w14:val="standardContextual"/>
          </w:rPr>
          <w:tab/>
        </w:r>
        <w:r w:rsidRPr="00041C35">
          <w:rPr>
            <w:rStyle w:val="Hyperlink"/>
            <w:noProof/>
          </w:rPr>
          <w:t>FirstEnergy’s Rider AMI proposal is unjust and unreasonable because FirstEnergy would collect excessive profits without the constraint of a revenue cap, to the detriment of FirstEnergy consumers.</w:t>
        </w:r>
        <w:r>
          <w:rPr>
            <w:noProof/>
            <w:webHidden/>
          </w:rPr>
          <w:tab/>
        </w:r>
        <w:r>
          <w:rPr>
            <w:noProof/>
            <w:webHidden/>
          </w:rPr>
          <w:fldChar w:fldCharType="begin"/>
        </w:r>
        <w:r>
          <w:rPr>
            <w:noProof/>
            <w:webHidden/>
          </w:rPr>
          <w:instrText xml:space="preserve"> PAGEREF _Toc158373172 \h </w:instrText>
        </w:r>
        <w:r>
          <w:rPr>
            <w:noProof/>
            <w:webHidden/>
          </w:rPr>
          <w:fldChar w:fldCharType="separate"/>
        </w:r>
        <w:r>
          <w:rPr>
            <w:noProof/>
            <w:webHidden/>
          </w:rPr>
          <w:t>13</w:t>
        </w:r>
        <w:r>
          <w:rPr>
            <w:noProof/>
            <w:webHidden/>
          </w:rPr>
          <w:fldChar w:fldCharType="end"/>
        </w:r>
      </w:hyperlink>
    </w:p>
    <w:p w:rsidR="00B41E1F" w14:paraId="5351D08D" w14:textId="71E2D872">
      <w:pPr>
        <w:pStyle w:val="TOC2"/>
        <w:rPr>
          <w:rFonts w:asciiTheme="minorHAnsi" w:eastAsiaTheme="minorEastAsia" w:hAnsiTheme="minorHAnsi"/>
          <w:noProof/>
          <w:kern w:val="2"/>
          <w:sz w:val="22"/>
          <w14:ligatures w14:val="standardContextual"/>
        </w:rPr>
      </w:pPr>
      <w:hyperlink w:anchor="_Toc158373173" w:history="1">
        <w:r w:rsidRPr="00041C35">
          <w:rPr>
            <w:rStyle w:val="Hyperlink"/>
            <w:noProof/>
          </w:rPr>
          <w:t>G.</w:t>
        </w:r>
        <w:r>
          <w:rPr>
            <w:rFonts w:asciiTheme="minorHAnsi" w:eastAsiaTheme="minorEastAsia" w:hAnsiTheme="minorHAnsi"/>
            <w:noProof/>
            <w:kern w:val="2"/>
            <w:sz w:val="22"/>
            <w14:ligatures w14:val="standardContextual"/>
          </w:rPr>
          <w:tab/>
        </w:r>
        <w:r w:rsidRPr="00041C35">
          <w:rPr>
            <w:rStyle w:val="Hyperlink"/>
            <w:noProof/>
          </w:rPr>
          <w:t>FirstEnergy’s Storm Cost Recovery Rider (“Rider SCR”) proposal to charge consumers charges is unjust and unreasonable.</w:t>
        </w:r>
        <w:r>
          <w:rPr>
            <w:noProof/>
            <w:webHidden/>
          </w:rPr>
          <w:tab/>
        </w:r>
        <w:r>
          <w:rPr>
            <w:noProof/>
            <w:webHidden/>
          </w:rPr>
          <w:fldChar w:fldCharType="begin"/>
        </w:r>
        <w:r>
          <w:rPr>
            <w:noProof/>
            <w:webHidden/>
          </w:rPr>
          <w:instrText xml:space="preserve"> PAGEREF _Toc158373173 \h </w:instrText>
        </w:r>
        <w:r>
          <w:rPr>
            <w:noProof/>
            <w:webHidden/>
          </w:rPr>
          <w:fldChar w:fldCharType="separate"/>
        </w:r>
        <w:r>
          <w:rPr>
            <w:noProof/>
            <w:webHidden/>
          </w:rPr>
          <w:t>14</w:t>
        </w:r>
        <w:r>
          <w:rPr>
            <w:noProof/>
            <w:webHidden/>
          </w:rPr>
          <w:fldChar w:fldCharType="end"/>
        </w:r>
      </w:hyperlink>
    </w:p>
    <w:p w:rsidR="00B41E1F" w14:paraId="04BA988D" w14:textId="096327DE">
      <w:pPr>
        <w:pStyle w:val="TOC2"/>
        <w:rPr>
          <w:rFonts w:asciiTheme="minorHAnsi" w:eastAsiaTheme="minorEastAsia" w:hAnsiTheme="minorHAnsi"/>
          <w:noProof/>
          <w:kern w:val="2"/>
          <w:sz w:val="22"/>
          <w14:ligatures w14:val="standardContextual"/>
        </w:rPr>
      </w:pPr>
      <w:hyperlink w:anchor="_Toc158373174" w:history="1">
        <w:r w:rsidRPr="00041C35">
          <w:rPr>
            <w:rStyle w:val="Hyperlink"/>
            <w:noProof/>
          </w:rPr>
          <w:t>H.</w:t>
        </w:r>
        <w:r>
          <w:rPr>
            <w:rFonts w:asciiTheme="minorHAnsi" w:eastAsiaTheme="minorEastAsia" w:hAnsiTheme="minorHAnsi"/>
            <w:noProof/>
            <w:kern w:val="2"/>
            <w:sz w:val="22"/>
            <w14:ligatures w14:val="standardContextual"/>
          </w:rPr>
          <w:tab/>
        </w:r>
        <w:r w:rsidRPr="00041C35">
          <w:rPr>
            <w:rStyle w:val="Hyperlink"/>
            <w:noProof/>
          </w:rPr>
          <w:t>FirstEnergy’s Vegetation Management Cost Rider (“Rider VMC”) proposal is unjust and unreasonable.</w:t>
        </w:r>
        <w:r>
          <w:rPr>
            <w:noProof/>
            <w:webHidden/>
          </w:rPr>
          <w:tab/>
        </w:r>
        <w:r>
          <w:rPr>
            <w:noProof/>
            <w:webHidden/>
          </w:rPr>
          <w:fldChar w:fldCharType="begin"/>
        </w:r>
        <w:r>
          <w:rPr>
            <w:noProof/>
            <w:webHidden/>
          </w:rPr>
          <w:instrText xml:space="preserve"> PAGEREF _Toc158373174 \h </w:instrText>
        </w:r>
        <w:r>
          <w:rPr>
            <w:noProof/>
            <w:webHidden/>
          </w:rPr>
          <w:fldChar w:fldCharType="separate"/>
        </w:r>
        <w:r>
          <w:rPr>
            <w:noProof/>
            <w:webHidden/>
          </w:rPr>
          <w:t>15</w:t>
        </w:r>
        <w:r>
          <w:rPr>
            <w:noProof/>
            <w:webHidden/>
          </w:rPr>
          <w:fldChar w:fldCharType="end"/>
        </w:r>
      </w:hyperlink>
    </w:p>
    <w:p w:rsidR="00B41E1F" w14:paraId="057B1F36" w14:textId="17B02C10">
      <w:pPr>
        <w:pStyle w:val="TOC2"/>
        <w:rPr>
          <w:rFonts w:asciiTheme="minorHAnsi" w:eastAsiaTheme="minorEastAsia" w:hAnsiTheme="minorHAnsi"/>
          <w:noProof/>
          <w:kern w:val="2"/>
          <w:sz w:val="22"/>
          <w14:ligatures w14:val="standardContextual"/>
        </w:rPr>
      </w:pPr>
      <w:hyperlink w:anchor="_Toc158373175" w:history="1">
        <w:r w:rsidRPr="00041C35">
          <w:rPr>
            <w:rStyle w:val="Hyperlink"/>
            <w:noProof/>
          </w:rPr>
          <w:t>I.</w:t>
        </w:r>
        <w:r>
          <w:rPr>
            <w:rFonts w:asciiTheme="minorHAnsi" w:eastAsiaTheme="minorEastAsia" w:hAnsiTheme="minorHAnsi"/>
            <w:noProof/>
            <w:kern w:val="2"/>
            <w:sz w:val="22"/>
            <w14:ligatures w14:val="standardContextual"/>
          </w:rPr>
          <w:tab/>
        </w:r>
        <w:r w:rsidRPr="00041C35">
          <w:rPr>
            <w:rStyle w:val="Hyperlink"/>
            <w:noProof/>
          </w:rPr>
          <w:t>FirstEnergy’s Economic Load Response Program (“Rider ELR”) proposal is unjust and unreasonable.</w:t>
        </w:r>
        <w:r>
          <w:rPr>
            <w:noProof/>
            <w:webHidden/>
          </w:rPr>
          <w:tab/>
        </w:r>
        <w:r>
          <w:rPr>
            <w:noProof/>
            <w:webHidden/>
          </w:rPr>
          <w:fldChar w:fldCharType="begin"/>
        </w:r>
        <w:r>
          <w:rPr>
            <w:noProof/>
            <w:webHidden/>
          </w:rPr>
          <w:instrText xml:space="preserve"> PAGEREF _Toc158373175 \h </w:instrText>
        </w:r>
        <w:r>
          <w:rPr>
            <w:noProof/>
            <w:webHidden/>
          </w:rPr>
          <w:fldChar w:fldCharType="separate"/>
        </w:r>
        <w:r>
          <w:rPr>
            <w:noProof/>
            <w:webHidden/>
          </w:rPr>
          <w:t>16</w:t>
        </w:r>
        <w:r>
          <w:rPr>
            <w:noProof/>
            <w:webHidden/>
          </w:rPr>
          <w:fldChar w:fldCharType="end"/>
        </w:r>
      </w:hyperlink>
    </w:p>
    <w:p w:rsidR="00B41E1F" w14:paraId="5F6900C1" w14:textId="4F581224">
      <w:pPr>
        <w:pStyle w:val="TOC2"/>
        <w:rPr>
          <w:rFonts w:asciiTheme="minorHAnsi" w:eastAsiaTheme="minorEastAsia" w:hAnsiTheme="minorHAnsi"/>
          <w:noProof/>
          <w:kern w:val="2"/>
          <w:sz w:val="22"/>
          <w14:ligatures w14:val="standardContextual"/>
        </w:rPr>
      </w:pPr>
      <w:hyperlink w:anchor="_Toc158373176" w:history="1">
        <w:r w:rsidRPr="00041C35">
          <w:rPr>
            <w:rStyle w:val="Hyperlink"/>
            <w:noProof/>
          </w:rPr>
          <w:t>J.</w:t>
        </w:r>
        <w:r>
          <w:rPr>
            <w:rFonts w:asciiTheme="minorHAnsi" w:eastAsiaTheme="minorEastAsia" w:hAnsiTheme="minorHAnsi"/>
            <w:noProof/>
            <w:kern w:val="2"/>
            <w:sz w:val="22"/>
            <w14:ligatures w14:val="standardContextual"/>
          </w:rPr>
          <w:tab/>
        </w:r>
        <w:r w:rsidRPr="00041C35">
          <w:rPr>
            <w:rStyle w:val="Hyperlink"/>
            <w:noProof/>
          </w:rPr>
          <w:t>FirstEnergy’s Rider NMB proposal is unjust and unreasonable because it would improperly shift costs to the residential class and is contrary to the PUCO-appointed auditor’s recommendation to eliminate the program.</w:t>
        </w:r>
        <w:r>
          <w:rPr>
            <w:noProof/>
            <w:webHidden/>
          </w:rPr>
          <w:tab/>
        </w:r>
        <w:r>
          <w:rPr>
            <w:noProof/>
            <w:webHidden/>
          </w:rPr>
          <w:fldChar w:fldCharType="begin"/>
        </w:r>
        <w:r>
          <w:rPr>
            <w:noProof/>
            <w:webHidden/>
          </w:rPr>
          <w:instrText xml:space="preserve"> PAGEREF _Toc158373176 \h </w:instrText>
        </w:r>
        <w:r>
          <w:rPr>
            <w:noProof/>
            <w:webHidden/>
          </w:rPr>
          <w:fldChar w:fldCharType="separate"/>
        </w:r>
        <w:r>
          <w:rPr>
            <w:noProof/>
            <w:webHidden/>
          </w:rPr>
          <w:t>24</w:t>
        </w:r>
        <w:r>
          <w:rPr>
            <w:noProof/>
            <w:webHidden/>
          </w:rPr>
          <w:fldChar w:fldCharType="end"/>
        </w:r>
      </w:hyperlink>
    </w:p>
    <w:p w:rsidR="00B41E1F" w14:paraId="5A4ED769" w14:textId="723DFC1D">
      <w:pPr>
        <w:pStyle w:val="TOC2"/>
        <w:rPr>
          <w:rFonts w:asciiTheme="minorHAnsi" w:eastAsiaTheme="minorEastAsia" w:hAnsiTheme="minorHAnsi"/>
          <w:noProof/>
          <w:kern w:val="2"/>
          <w:sz w:val="22"/>
          <w14:ligatures w14:val="standardContextual"/>
        </w:rPr>
      </w:pPr>
      <w:hyperlink w:anchor="_Toc158373177" w:history="1">
        <w:r w:rsidRPr="00041C35">
          <w:rPr>
            <w:rStyle w:val="Hyperlink"/>
            <w:noProof/>
          </w:rPr>
          <w:t>K.</w:t>
        </w:r>
        <w:r>
          <w:rPr>
            <w:rFonts w:asciiTheme="minorHAnsi" w:eastAsiaTheme="minorEastAsia" w:hAnsiTheme="minorHAnsi"/>
            <w:noProof/>
            <w:kern w:val="2"/>
            <w:sz w:val="22"/>
            <w14:ligatures w14:val="standardContextual"/>
          </w:rPr>
          <w:tab/>
        </w:r>
        <w:r w:rsidRPr="00041C35">
          <w:rPr>
            <w:rStyle w:val="Hyperlink"/>
            <w:noProof/>
          </w:rPr>
          <w:t>FirstEnergy’s Energy Efficiency Cost Recovery Rider (“Rider EEC”) proposal is unjust and unreasonable because it unlawfully imposes costs on customers who do not enroll and charges customers for non-low-income programs.</w:t>
        </w:r>
        <w:r>
          <w:rPr>
            <w:noProof/>
            <w:webHidden/>
          </w:rPr>
          <w:tab/>
        </w:r>
        <w:r>
          <w:rPr>
            <w:noProof/>
            <w:webHidden/>
          </w:rPr>
          <w:fldChar w:fldCharType="begin"/>
        </w:r>
        <w:r>
          <w:rPr>
            <w:noProof/>
            <w:webHidden/>
          </w:rPr>
          <w:instrText xml:space="preserve"> PAGEREF _Toc158373177 \h </w:instrText>
        </w:r>
        <w:r>
          <w:rPr>
            <w:noProof/>
            <w:webHidden/>
          </w:rPr>
          <w:fldChar w:fldCharType="separate"/>
        </w:r>
        <w:r>
          <w:rPr>
            <w:noProof/>
            <w:webHidden/>
          </w:rPr>
          <w:t>25</w:t>
        </w:r>
        <w:r>
          <w:rPr>
            <w:noProof/>
            <w:webHidden/>
          </w:rPr>
          <w:fldChar w:fldCharType="end"/>
        </w:r>
      </w:hyperlink>
    </w:p>
    <w:p w:rsidR="00B41E1F" w14:paraId="1DAAB52F" w14:textId="26F0912A">
      <w:pPr>
        <w:pStyle w:val="TOC2"/>
        <w:rPr>
          <w:rFonts w:asciiTheme="minorHAnsi" w:eastAsiaTheme="minorEastAsia" w:hAnsiTheme="minorHAnsi"/>
          <w:noProof/>
          <w:kern w:val="2"/>
          <w:sz w:val="22"/>
          <w14:ligatures w14:val="standardContextual"/>
        </w:rPr>
      </w:pPr>
      <w:hyperlink w:anchor="_Toc158373178" w:history="1">
        <w:r w:rsidRPr="00041C35">
          <w:rPr>
            <w:rStyle w:val="Hyperlink"/>
            <w:noProof/>
          </w:rPr>
          <w:t>L.</w:t>
        </w:r>
        <w:r>
          <w:rPr>
            <w:rFonts w:asciiTheme="minorHAnsi" w:eastAsiaTheme="minorEastAsia" w:hAnsiTheme="minorHAnsi"/>
            <w:noProof/>
            <w:kern w:val="2"/>
            <w:sz w:val="22"/>
            <w14:ligatures w14:val="standardContextual"/>
          </w:rPr>
          <w:tab/>
        </w:r>
        <w:r w:rsidRPr="00041C35">
          <w:rPr>
            <w:rStyle w:val="Hyperlink"/>
            <w:noProof/>
          </w:rPr>
          <w:t>The PUCO should reject FirstEnergy’s proposed electric security plan and approve a market-rate option because the electric security plan fails to meet the “more favorable in the aggregate” standard.</w:t>
        </w:r>
        <w:r>
          <w:rPr>
            <w:noProof/>
            <w:webHidden/>
          </w:rPr>
          <w:tab/>
        </w:r>
        <w:r>
          <w:rPr>
            <w:noProof/>
            <w:webHidden/>
          </w:rPr>
          <w:fldChar w:fldCharType="begin"/>
        </w:r>
        <w:r>
          <w:rPr>
            <w:noProof/>
            <w:webHidden/>
          </w:rPr>
          <w:instrText xml:space="preserve"> PAGEREF _Toc158373178 \h </w:instrText>
        </w:r>
        <w:r>
          <w:rPr>
            <w:noProof/>
            <w:webHidden/>
          </w:rPr>
          <w:fldChar w:fldCharType="separate"/>
        </w:r>
        <w:r>
          <w:rPr>
            <w:noProof/>
            <w:webHidden/>
          </w:rPr>
          <w:t>26</w:t>
        </w:r>
        <w:r>
          <w:rPr>
            <w:noProof/>
            <w:webHidden/>
          </w:rPr>
          <w:fldChar w:fldCharType="end"/>
        </w:r>
      </w:hyperlink>
    </w:p>
    <w:p w:rsidR="00B41E1F" w14:paraId="38F57DFA" w14:textId="265D54D4">
      <w:pPr>
        <w:pStyle w:val="TOC1"/>
        <w:rPr>
          <w:rFonts w:asciiTheme="minorHAnsi" w:eastAsiaTheme="minorEastAsia" w:hAnsiTheme="minorHAnsi"/>
          <w:noProof/>
          <w:kern w:val="2"/>
          <w:sz w:val="22"/>
          <w14:ligatures w14:val="standardContextual"/>
        </w:rPr>
      </w:pPr>
      <w:hyperlink w:anchor="_Toc158373179" w:history="1">
        <w:r w:rsidRPr="00041C35">
          <w:rPr>
            <w:rStyle w:val="Hyperlink"/>
            <w:noProof/>
          </w:rPr>
          <w:t>III.</w:t>
        </w:r>
        <w:r>
          <w:rPr>
            <w:rFonts w:asciiTheme="minorHAnsi" w:eastAsiaTheme="minorEastAsia" w:hAnsiTheme="minorHAnsi"/>
            <w:noProof/>
            <w:kern w:val="2"/>
            <w:sz w:val="22"/>
            <w14:ligatures w14:val="standardContextual"/>
          </w:rPr>
          <w:tab/>
        </w:r>
        <w:r w:rsidRPr="00041C35">
          <w:rPr>
            <w:rStyle w:val="Hyperlink"/>
            <w:noProof/>
          </w:rPr>
          <w:t>CONCLUSION</w:t>
        </w:r>
        <w:r>
          <w:rPr>
            <w:noProof/>
            <w:webHidden/>
          </w:rPr>
          <w:tab/>
        </w:r>
        <w:r>
          <w:rPr>
            <w:noProof/>
            <w:webHidden/>
          </w:rPr>
          <w:fldChar w:fldCharType="begin"/>
        </w:r>
        <w:r>
          <w:rPr>
            <w:noProof/>
            <w:webHidden/>
          </w:rPr>
          <w:instrText xml:space="preserve"> PAGEREF _Toc158373179 \h </w:instrText>
        </w:r>
        <w:r>
          <w:rPr>
            <w:noProof/>
            <w:webHidden/>
          </w:rPr>
          <w:fldChar w:fldCharType="separate"/>
        </w:r>
        <w:r>
          <w:rPr>
            <w:noProof/>
            <w:webHidden/>
          </w:rPr>
          <w:t>28</w:t>
        </w:r>
        <w:r>
          <w:rPr>
            <w:noProof/>
            <w:webHidden/>
          </w:rPr>
          <w:fldChar w:fldCharType="end"/>
        </w:r>
      </w:hyperlink>
    </w:p>
    <w:p w:rsidR="0033457D" w:rsidRPr="002C77AE" w:rsidP="0033457D" w14:paraId="2E578169" w14:textId="3CEEB89C">
      <w:pPr>
        <w:rPr>
          <w:rFonts w:eastAsia="Times New Roman" w:cs="Times New Roman"/>
          <w:szCs w:val="24"/>
        </w:rPr>
      </w:pPr>
      <w:r>
        <w:rPr>
          <w:rFonts w:eastAsia="Times New Roman" w:cs="Times New Roman"/>
          <w:caps/>
          <w:szCs w:val="24"/>
        </w:rPr>
        <w:fldChar w:fldCharType="end"/>
      </w:r>
    </w:p>
    <w:p w:rsidR="0033457D" w:rsidRPr="002C77AE" w:rsidP="0033457D" w14:paraId="6B0948BB" w14:textId="77777777">
      <w:pPr>
        <w:rPr>
          <w:rFonts w:eastAsia="Times New Roman" w:cs="Times New Roman"/>
          <w:szCs w:val="24"/>
        </w:rPr>
      </w:pPr>
    </w:p>
    <w:p w:rsidR="00D841A1" w:rsidRPr="002C77AE" w:rsidP="0033457D" w14:paraId="2834F9CB" w14:textId="13B02616">
      <w:pPr>
        <w:rPr>
          <w:rFonts w:cs="Times New Roman"/>
          <w:b/>
          <w:bCs/>
          <w:szCs w:val="24"/>
        </w:rPr>
        <w:sectPr w:rsidSect="00A63438">
          <w:headerReference w:type="default" r:id="rId17"/>
          <w:footerReference w:type="default" r:id="rId18"/>
          <w:pgSz w:w="12240" w:h="15840"/>
          <w:pgMar w:top="1440" w:right="1800" w:bottom="1440" w:left="1800" w:header="720" w:footer="720" w:gutter="0"/>
          <w:pgNumType w:fmt="lowerRoman" w:start="1"/>
          <w:cols w:space="720"/>
          <w:docGrid w:linePitch="360"/>
        </w:sectPr>
      </w:pPr>
    </w:p>
    <w:p w:rsidR="00EA521C" w:rsidRPr="002C77AE" w:rsidP="00EA521C" w14:paraId="016822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2C77AE">
        <w:rPr>
          <w:rFonts w:ascii="Times New Roman" w:hAnsi="Times New Roman" w:cs="Times New Roman"/>
          <w:b/>
          <w:bCs/>
          <w:sz w:val="24"/>
          <w:szCs w:val="24"/>
        </w:rPr>
        <w:t>BEFORE</w:t>
      </w:r>
    </w:p>
    <w:p w:rsidR="00EA521C" w:rsidRPr="002C77AE" w:rsidP="00EA521C" w14:paraId="12F1188A" w14:textId="77777777">
      <w:pPr>
        <w:pStyle w:val="HTMLPreformatted"/>
        <w:jc w:val="center"/>
        <w:rPr>
          <w:rFonts w:ascii="Times New Roman" w:hAnsi="Times New Roman" w:cs="Times New Roman"/>
          <w:b/>
          <w:bCs/>
          <w:sz w:val="24"/>
          <w:szCs w:val="24"/>
        </w:rPr>
      </w:pPr>
      <w:r w:rsidRPr="002C77AE">
        <w:rPr>
          <w:rFonts w:ascii="Times New Roman" w:hAnsi="Times New Roman" w:cs="Times New Roman"/>
          <w:b/>
          <w:bCs/>
          <w:sz w:val="24"/>
          <w:szCs w:val="24"/>
        </w:rPr>
        <w:t>THE PUBLIC UTILITIES COMMISSION OF OHIO</w:t>
      </w:r>
    </w:p>
    <w:p w:rsidR="00EA521C" w:rsidRPr="002C77AE" w:rsidP="00EA521C" w14:paraId="4647187C"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5B47AD80"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F87BD8" w:rsidRPr="002C77AE" w:rsidP="001F6180" w14:paraId="66CC38F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F87BD8" w:rsidRPr="002C77AE" w:rsidP="001F6180" w14:paraId="43B28F7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F87BD8" w:rsidRPr="002C77AE" w:rsidP="001F6180" w14:paraId="3437588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F87BD8" w:rsidRPr="002C77AE" w:rsidP="001F6180" w14:paraId="4A4BC3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F87BD8" w:rsidRPr="002C77AE" w:rsidP="001F6180" w14:paraId="57904A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F87BD8" w:rsidRPr="002C77AE" w:rsidP="001F6180" w14:paraId="559153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F87BD8" w:rsidRPr="002C77AE" w:rsidP="001F6180" w14:paraId="434464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p w:rsidR="00F87BD8" w:rsidRPr="002C77AE" w:rsidP="001F6180" w14:paraId="31DF9CD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w:t>
            </w:r>
          </w:p>
        </w:tc>
        <w:tc>
          <w:tcPr>
            <w:tcW w:w="4056" w:type="dxa"/>
            <w:shd w:val="clear" w:color="auto" w:fill="auto"/>
          </w:tcPr>
          <w:p w:rsidR="00F87BD8" w:rsidRPr="002C77AE" w:rsidP="001F6180" w14:paraId="6A91341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2C77AE" w:rsidP="001F6180" w14:paraId="5F88D2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2C77AE" w:rsidP="001F6180" w14:paraId="1F05A7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2C77AE">
              <w:rPr>
                <w:rFonts w:ascii="Times New Roman" w:eastAsia="Courier New" w:hAnsi="Times New Roman" w:cs="Times New Roman"/>
                <w:sz w:val="24"/>
                <w:szCs w:val="24"/>
                <w:lang w:val="en-US" w:eastAsia="en-US" w:bidi="ar-SA"/>
              </w:rPr>
              <w:t>Case No. 23-301-EL-SSO</w:t>
            </w:r>
          </w:p>
          <w:p w:rsidR="00F87BD8" w:rsidRPr="002C77AE" w:rsidP="001F6180" w14:paraId="36F611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2C77AE" w:rsidP="001F6180" w14:paraId="18FA742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EA521C" w:rsidRPr="002C77AE" w:rsidP="00EA521C" w14:paraId="36E7877F" w14:textId="77777777">
      <w:pPr>
        <w:pStyle w:val="HTMLPreformatted"/>
        <w:jc w:val="center"/>
        <w:rPr>
          <w:rFonts w:ascii="Times New Roman" w:hAnsi="Times New Roman" w:cs="Times New Roman"/>
          <w:b/>
          <w:bCs/>
          <w:sz w:val="24"/>
          <w:szCs w:val="24"/>
        </w:rPr>
      </w:pPr>
    </w:p>
    <w:p w:rsidR="00EA521C" w:rsidRPr="002C77AE" w:rsidP="00EA521C" w14:paraId="6B45E149" w14:textId="77777777">
      <w:pPr>
        <w:pStyle w:val="HTMLPreformatted"/>
        <w:pBdr>
          <w:top w:val="single" w:sz="12" w:space="1" w:color="auto"/>
        </w:pBdr>
        <w:rPr>
          <w:rFonts w:ascii="Times New Roman" w:hAnsi="Times New Roman" w:cs="Times New Roman"/>
          <w:sz w:val="24"/>
          <w:szCs w:val="24"/>
        </w:rPr>
      </w:pPr>
    </w:p>
    <w:p w:rsidR="00AE3570" w:rsidRPr="002C77AE" w:rsidP="00AE3570" w14:paraId="0F9B5D99" w14:textId="04631430">
      <w:pPr>
        <w:tabs>
          <w:tab w:val="left" w:pos="4770"/>
          <w:tab w:val="left" w:pos="6480"/>
        </w:tabs>
        <w:jc w:val="center"/>
        <w:rPr>
          <w:rFonts w:cs="Times New Roman"/>
          <w:b/>
          <w:szCs w:val="24"/>
          <w:lang w:bidi="en-US"/>
        </w:rPr>
      </w:pPr>
      <w:r w:rsidRPr="002C77AE">
        <w:rPr>
          <w:rFonts w:cs="Times New Roman"/>
          <w:b/>
          <w:szCs w:val="24"/>
          <w:lang w:bidi="en-US"/>
        </w:rPr>
        <w:t>REPLY BRIEF FOR CONSUMER PROTECTION</w:t>
      </w:r>
    </w:p>
    <w:p w:rsidR="00AE3570" w:rsidRPr="002C77AE" w:rsidP="00AE3570" w14:paraId="56626CFB" w14:textId="77777777">
      <w:pPr>
        <w:tabs>
          <w:tab w:val="left" w:pos="4770"/>
          <w:tab w:val="left" w:pos="6480"/>
        </w:tabs>
        <w:jc w:val="center"/>
        <w:rPr>
          <w:rFonts w:cs="Times New Roman"/>
          <w:b/>
          <w:szCs w:val="24"/>
          <w:lang w:bidi="en-US"/>
        </w:rPr>
      </w:pPr>
      <w:r w:rsidRPr="002C77AE">
        <w:rPr>
          <w:rFonts w:cs="Times New Roman"/>
          <w:b/>
          <w:szCs w:val="24"/>
          <w:lang w:bidi="en-US"/>
        </w:rPr>
        <w:t>BY</w:t>
      </w:r>
    </w:p>
    <w:p w:rsidR="00EA521C" w:rsidRPr="002C77AE" w:rsidP="00EA521C" w14:paraId="72E098AA" w14:textId="476B6A36">
      <w:pPr>
        <w:jc w:val="center"/>
        <w:rPr>
          <w:rFonts w:cs="Times New Roman"/>
          <w:b/>
          <w:szCs w:val="24"/>
        </w:rPr>
      </w:pPr>
      <w:r w:rsidRPr="002C77AE">
        <w:rPr>
          <w:rFonts w:cs="Times New Roman"/>
          <w:b/>
          <w:szCs w:val="24"/>
        </w:rPr>
        <w:t>OFFICE OF THE OHIO CONSUMERS</w:t>
      </w:r>
      <w:r w:rsidR="002C77AE">
        <w:rPr>
          <w:rFonts w:cs="Times New Roman"/>
          <w:b/>
          <w:szCs w:val="24"/>
        </w:rPr>
        <w:t>’</w:t>
      </w:r>
      <w:r w:rsidRPr="002C77AE">
        <w:rPr>
          <w:rFonts w:cs="Times New Roman"/>
          <w:b/>
          <w:szCs w:val="24"/>
        </w:rPr>
        <w:t xml:space="preserve"> COUNSEL</w:t>
      </w:r>
    </w:p>
    <w:p w:rsidR="00EA521C" w:rsidRPr="002C77AE" w:rsidP="00EA521C" w14:paraId="2D4DA85F" w14:textId="77777777">
      <w:pPr>
        <w:pBdr>
          <w:bottom w:val="single" w:sz="12" w:space="1" w:color="auto"/>
        </w:pBdr>
        <w:autoSpaceDE w:val="0"/>
        <w:autoSpaceDN w:val="0"/>
        <w:adjustRightInd w:val="0"/>
        <w:jc w:val="center"/>
        <w:rPr>
          <w:rFonts w:eastAsia="Calibri" w:cs="Times New Roman"/>
          <w:b/>
          <w:bCs/>
          <w:szCs w:val="24"/>
        </w:rPr>
      </w:pPr>
    </w:p>
    <w:p w:rsidR="00EA521C" w:rsidRPr="002C77AE" w:rsidP="00EA521C" w14:paraId="699A3557" w14:textId="77777777">
      <w:pPr>
        <w:ind w:left="2880" w:firstLine="720"/>
        <w:rPr>
          <w:rFonts w:cs="Times New Roman"/>
          <w:szCs w:val="24"/>
        </w:rPr>
      </w:pPr>
    </w:p>
    <w:p w:rsidR="00DC0C60" w:rsidRPr="002C77AE" w:rsidP="00504FBE" w14:paraId="187069BF" w14:textId="3314DE05">
      <w:pPr>
        <w:pStyle w:val="Heading1"/>
        <w:rPr>
          <w:rFonts w:ascii="Times New Roman" w:hAnsi="Times New Roman"/>
        </w:rPr>
      </w:pPr>
      <w:bookmarkStart w:id="1" w:name="_Toc147415794"/>
      <w:bookmarkStart w:id="2" w:name="_Toc151468345"/>
      <w:bookmarkStart w:id="3" w:name="_Toc156561519"/>
      <w:bookmarkStart w:id="4" w:name="_Toc158373165"/>
      <w:r w:rsidRPr="002C77AE">
        <w:rPr>
          <w:rFonts w:ascii="Times New Roman" w:hAnsi="Times New Roman"/>
        </w:rPr>
        <w:t>I.</w:t>
      </w:r>
      <w:r w:rsidRPr="002C77AE" w:rsidR="00832C9F">
        <w:rPr>
          <w:rFonts w:ascii="Times New Roman" w:hAnsi="Times New Roman"/>
        </w:rPr>
        <w:tab/>
      </w:r>
      <w:r w:rsidRPr="002C77AE">
        <w:rPr>
          <w:rFonts w:ascii="Times New Roman" w:hAnsi="Times New Roman"/>
        </w:rPr>
        <w:t>INTRODUCTION</w:t>
      </w:r>
      <w:bookmarkEnd w:id="0"/>
      <w:bookmarkEnd w:id="1"/>
      <w:bookmarkEnd w:id="2"/>
      <w:bookmarkEnd w:id="3"/>
      <w:bookmarkEnd w:id="4"/>
    </w:p>
    <w:p w:rsidR="00CA715D" w:rsidRPr="002C77AE" w:rsidP="00AD7570" w14:paraId="1C7F8BA6" w14:textId="4F53252B">
      <w:pPr>
        <w:spacing w:line="480" w:lineRule="auto"/>
        <w:rPr>
          <w:rFonts w:cs="Times New Roman"/>
          <w:szCs w:val="24"/>
        </w:rPr>
      </w:pPr>
      <w:r w:rsidRPr="002C77AE">
        <w:rPr>
          <w:rFonts w:cs="Times New Roman"/>
          <w:szCs w:val="24"/>
        </w:rPr>
        <w:tab/>
      </w:r>
      <w:r w:rsidRPr="002C77AE" w:rsidR="00517C50">
        <w:rPr>
          <w:rFonts w:cs="Times New Roman"/>
          <w:szCs w:val="24"/>
        </w:rPr>
        <w:t>FirstEnergy</w:t>
      </w:r>
      <w:r w:rsidR="002C77AE">
        <w:rPr>
          <w:rFonts w:cs="Times New Roman"/>
          <w:szCs w:val="24"/>
        </w:rPr>
        <w:t>’</w:t>
      </w:r>
      <w:r w:rsidRPr="002C77AE" w:rsidR="00517C50">
        <w:rPr>
          <w:rFonts w:cs="Times New Roman"/>
          <w:szCs w:val="24"/>
        </w:rPr>
        <w:t xml:space="preserve">s proposed electric security </w:t>
      </w:r>
      <w:r w:rsidRPr="002C77AE" w:rsidR="00ED5F40">
        <w:rPr>
          <w:rFonts w:cs="Times New Roman"/>
          <w:szCs w:val="24"/>
        </w:rPr>
        <w:t>plan</w:t>
      </w:r>
      <w:r w:rsidRPr="002C77AE" w:rsidR="009A7F22">
        <w:rPr>
          <w:rFonts w:cs="Times New Roman"/>
          <w:szCs w:val="24"/>
        </w:rPr>
        <w:t xml:space="preserve"> (</w:t>
      </w:r>
      <w:r w:rsidR="002C77AE">
        <w:rPr>
          <w:rFonts w:cs="Times New Roman"/>
          <w:szCs w:val="24"/>
        </w:rPr>
        <w:t>“</w:t>
      </w:r>
      <w:r w:rsidRPr="002C77AE" w:rsidR="009A7F22">
        <w:rPr>
          <w:rFonts w:cs="Times New Roman"/>
          <w:szCs w:val="24"/>
        </w:rPr>
        <w:t>ESP V</w:t>
      </w:r>
      <w:r w:rsidR="002C77AE">
        <w:rPr>
          <w:rFonts w:cs="Times New Roman"/>
          <w:szCs w:val="24"/>
        </w:rPr>
        <w:t>”</w:t>
      </w:r>
      <w:r w:rsidRPr="002C77AE" w:rsidR="009A7F22">
        <w:rPr>
          <w:rFonts w:cs="Times New Roman"/>
          <w:szCs w:val="24"/>
        </w:rPr>
        <w:t>)</w:t>
      </w:r>
      <w:r w:rsidRPr="002C77AE" w:rsidR="00ED5F40">
        <w:rPr>
          <w:rFonts w:cs="Times New Roman"/>
          <w:szCs w:val="24"/>
        </w:rPr>
        <w:t xml:space="preserve"> would </w:t>
      </w:r>
      <w:r w:rsidRPr="002C77AE" w:rsidR="0014231B">
        <w:rPr>
          <w:rFonts w:cs="Times New Roman"/>
          <w:szCs w:val="24"/>
        </w:rPr>
        <w:t xml:space="preserve">impose astronomical charges on Ohioans. The </w:t>
      </w:r>
      <w:r w:rsidRPr="002C77AE" w:rsidR="00ED5F40">
        <w:rPr>
          <w:rFonts w:cs="Times New Roman"/>
          <w:szCs w:val="24"/>
        </w:rPr>
        <w:t xml:space="preserve">cost </w:t>
      </w:r>
      <w:r w:rsidRPr="002C77AE" w:rsidR="0014231B">
        <w:rPr>
          <w:rFonts w:cs="Times New Roman"/>
          <w:szCs w:val="24"/>
        </w:rPr>
        <w:t>to consumers for ESP V alone (without FirstEnergy</w:t>
      </w:r>
      <w:r w:rsidR="002C77AE">
        <w:rPr>
          <w:rFonts w:cs="Times New Roman"/>
          <w:szCs w:val="24"/>
        </w:rPr>
        <w:t>’</w:t>
      </w:r>
      <w:r w:rsidRPr="002C77AE" w:rsidR="0014231B">
        <w:rPr>
          <w:rFonts w:cs="Times New Roman"/>
          <w:szCs w:val="24"/>
        </w:rPr>
        <w:t xml:space="preserve">s proposed riders) is </w:t>
      </w:r>
      <w:r w:rsidRPr="002C77AE" w:rsidR="00ED5F40">
        <w:rPr>
          <w:rFonts w:cs="Times New Roman"/>
          <w:szCs w:val="24"/>
        </w:rPr>
        <w:t xml:space="preserve">approximately </w:t>
      </w:r>
      <w:r w:rsidRPr="002C77AE" w:rsidR="00ED5F40">
        <w:rPr>
          <w:rFonts w:cs="Times New Roman"/>
          <w:b/>
          <w:bCs/>
          <w:i/>
          <w:iCs/>
          <w:szCs w:val="24"/>
        </w:rPr>
        <w:t>$1.4 billion</w:t>
      </w:r>
      <w:r w:rsidRPr="002C77AE" w:rsidR="00ED5F40">
        <w:rPr>
          <w:rFonts w:cs="Times New Roman"/>
          <w:szCs w:val="24"/>
        </w:rPr>
        <w:t xml:space="preserve"> over eight years.</w:t>
      </w:r>
      <w:r>
        <w:rPr>
          <w:rStyle w:val="FootnoteReference"/>
          <w:rFonts w:cs="Times New Roman"/>
          <w:szCs w:val="24"/>
        </w:rPr>
        <w:footnoteReference w:id="3"/>
      </w:r>
      <w:r w:rsidRPr="002C77AE" w:rsidR="00321DF0">
        <w:rPr>
          <w:rStyle w:val="CommentReference"/>
          <w:rFonts w:cs="Times New Roman"/>
          <w:sz w:val="24"/>
          <w:szCs w:val="24"/>
        </w:rPr>
        <w:t xml:space="preserve"> </w:t>
      </w:r>
      <w:r w:rsidRPr="002C77AE" w:rsidR="0014231B">
        <w:rPr>
          <w:rFonts w:cs="Times New Roman"/>
          <w:szCs w:val="24"/>
        </w:rPr>
        <w:t>When F</w:t>
      </w:r>
      <w:r w:rsidRPr="002C77AE" w:rsidR="009A7F22">
        <w:rPr>
          <w:rFonts w:cs="Times New Roman"/>
          <w:szCs w:val="24"/>
        </w:rPr>
        <w:t>irstEnergy</w:t>
      </w:r>
      <w:r w:rsidR="002C77AE">
        <w:rPr>
          <w:rFonts w:cs="Times New Roman"/>
          <w:szCs w:val="24"/>
        </w:rPr>
        <w:t>’</w:t>
      </w:r>
      <w:r w:rsidRPr="002C77AE" w:rsidR="009A7F22">
        <w:rPr>
          <w:rFonts w:cs="Times New Roman"/>
          <w:szCs w:val="24"/>
        </w:rPr>
        <w:t>s</w:t>
      </w:r>
      <w:r w:rsidR="002C77AE">
        <w:rPr>
          <w:rFonts w:cs="Times New Roman"/>
          <w:szCs w:val="24"/>
        </w:rPr>
        <w:t xml:space="preserve"> </w:t>
      </w:r>
      <w:r w:rsidRPr="002C77AE" w:rsidR="009A7F22">
        <w:rPr>
          <w:rFonts w:cs="Times New Roman"/>
          <w:szCs w:val="24"/>
        </w:rPr>
        <w:t xml:space="preserve">other </w:t>
      </w:r>
      <w:r w:rsidRPr="002C77AE" w:rsidR="0014231B">
        <w:rPr>
          <w:rFonts w:cs="Times New Roman"/>
          <w:szCs w:val="24"/>
        </w:rPr>
        <w:t xml:space="preserve">proposed </w:t>
      </w:r>
      <w:r w:rsidRPr="002C77AE" w:rsidR="009A7F22">
        <w:rPr>
          <w:rFonts w:cs="Times New Roman"/>
          <w:szCs w:val="24"/>
        </w:rPr>
        <w:t>riders</w:t>
      </w:r>
      <w:r w:rsidRPr="002C77AE" w:rsidR="0014231B">
        <w:rPr>
          <w:rFonts w:cs="Times New Roman"/>
          <w:szCs w:val="24"/>
        </w:rPr>
        <w:t xml:space="preserve"> (</w:t>
      </w:r>
      <w:r w:rsidRPr="002C77AE" w:rsidR="009A7F22">
        <w:rPr>
          <w:rFonts w:cs="Times New Roman"/>
          <w:szCs w:val="24"/>
        </w:rPr>
        <w:t>the Delivery Capital Recovery Rider, Advanced Metering Infrastructure Rider, and Vegetation Management Rider</w:t>
      </w:r>
      <w:r w:rsidRPr="002C77AE" w:rsidR="0014231B">
        <w:rPr>
          <w:rFonts w:cs="Times New Roman"/>
          <w:szCs w:val="24"/>
        </w:rPr>
        <w:t>) are included, the</w:t>
      </w:r>
      <w:r w:rsidRPr="002C77AE" w:rsidR="00321DF0">
        <w:rPr>
          <w:rFonts w:cs="Times New Roman"/>
          <w:szCs w:val="24"/>
        </w:rPr>
        <w:t xml:space="preserve"> </w:t>
      </w:r>
      <w:r w:rsidRPr="002C77AE" w:rsidR="009A7F22">
        <w:rPr>
          <w:rFonts w:cs="Times New Roman"/>
          <w:szCs w:val="24"/>
        </w:rPr>
        <w:t xml:space="preserve">total consumer charges </w:t>
      </w:r>
      <w:r w:rsidRPr="002C77AE" w:rsidR="0014231B">
        <w:rPr>
          <w:rFonts w:cs="Times New Roman"/>
          <w:szCs w:val="24"/>
        </w:rPr>
        <w:t xml:space="preserve">balloon </w:t>
      </w:r>
      <w:r w:rsidRPr="002C77AE" w:rsidR="009A7F22">
        <w:rPr>
          <w:rFonts w:cs="Times New Roman"/>
          <w:szCs w:val="24"/>
        </w:rPr>
        <w:t xml:space="preserve">to an astounding </w:t>
      </w:r>
      <w:r w:rsidRPr="002C77AE" w:rsidR="009A7F22">
        <w:rPr>
          <w:rFonts w:cs="Times New Roman"/>
          <w:b/>
          <w:bCs/>
          <w:i/>
          <w:iCs/>
          <w:szCs w:val="24"/>
        </w:rPr>
        <w:t>$6.2 billion</w:t>
      </w:r>
      <w:r w:rsidRPr="002C77AE" w:rsidR="009A7F22">
        <w:rPr>
          <w:rFonts w:cs="Times New Roman"/>
          <w:szCs w:val="24"/>
        </w:rPr>
        <w:t>.</w:t>
      </w:r>
      <w:r>
        <w:rPr>
          <w:rStyle w:val="FootnoteReference"/>
          <w:rFonts w:cs="Times New Roman"/>
          <w:szCs w:val="24"/>
        </w:rPr>
        <w:footnoteReference w:id="4"/>
      </w:r>
      <w:r w:rsidRPr="002C77AE" w:rsidR="00321DF0">
        <w:rPr>
          <w:rFonts w:cs="Times New Roman"/>
          <w:szCs w:val="24"/>
        </w:rPr>
        <w:t xml:space="preserve"> </w:t>
      </w:r>
      <w:r w:rsidRPr="002C77AE" w:rsidR="009A7F22">
        <w:rPr>
          <w:rFonts w:cs="Times New Roman"/>
          <w:szCs w:val="24"/>
        </w:rPr>
        <w:t>This would be devastating for</w:t>
      </w:r>
      <w:r w:rsidRPr="002C77AE" w:rsidR="00321DF0">
        <w:rPr>
          <w:rFonts w:cs="Times New Roman"/>
          <w:szCs w:val="24"/>
        </w:rPr>
        <w:t xml:space="preserve"> </w:t>
      </w:r>
      <w:r w:rsidRPr="002C77AE" w:rsidR="009A7F22">
        <w:rPr>
          <w:rFonts w:cs="Times New Roman"/>
          <w:szCs w:val="24"/>
        </w:rPr>
        <w:t>FirstEnergy</w:t>
      </w:r>
      <w:r w:rsidR="002C77AE">
        <w:rPr>
          <w:rFonts w:cs="Times New Roman"/>
          <w:szCs w:val="24"/>
        </w:rPr>
        <w:t>’</w:t>
      </w:r>
      <w:r w:rsidRPr="002C77AE" w:rsidR="009A7F22">
        <w:rPr>
          <w:rFonts w:cs="Times New Roman"/>
          <w:szCs w:val="24"/>
        </w:rPr>
        <w:t xml:space="preserve"> consumers, </w:t>
      </w:r>
      <w:r w:rsidRPr="002C77AE" w:rsidR="001B3AEF">
        <w:rPr>
          <w:rFonts w:cs="Times New Roman"/>
          <w:szCs w:val="24"/>
        </w:rPr>
        <w:t xml:space="preserve">many of </w:t>
      </w:r>
      <w:r w:rsidRPr="002C77AE" w:rsidR="009A7F22">
        <w:rPr>
          <w:rFonts w:cs="Times New Roman"/>
          <w:szCs w:val="24"/>
        </w:rPr>
        <w:t>who</w:t>
      </w:r>
      <w:r w:rsidRPr="002C77AE" w:rsidR="001B3AEF">
        <w:rPr>
          <w:rFonts w:cs="Times New Roman"/>
          <w:szCs w:val="24"/>
        </w:rPr>
        <w:t>m</w:t>
      </w:r>
      <w:r w:rsidRPr="002C77AE" w:rsidR="009A7F22">
        <w:rPr>
          <w:rFonts w:cs="Times New Roman"/>
          <w:szCs w:val="24"/>
        </w:rPr>
        <w:t xml:space="preserve"> have already been decimated by inflation, the financial fallout from the coronavirus pandemic, and rising charges for other utility services.</w:t>
      </w:r>
      <w:r w:rsidRPr="002C77AE">
        <w:rPr>
          <w:rFonts w:cs="Times New Roman"/>
          <w:szCs w:val="24"/>
        </w:rPr>
        <w:t xml:space="preserve"> </w:t>
      </w:r>
      <w:r w:rsidRPr="002C77AE" w:rsidR="00ED5F40">
        <w:rPr>
          <w:rFonts w:cs="Times New Roman"/>
          <w:szCs w:val="24"/>
        </w:rPr>
        <w:t xml:space="preserve">The </w:t>
      </w:r>
      <w:r w:rsidRPr="002C77AE" w:rsidR="00F23228">
        <w:rPr>
          <w:rFonts w:cs="Times New Roman"/>
          <w:szCs w:val="24"/>
        </w:rPr>
        <w:t>PUCO Staff</w:t>
      </w:r>
      <w:r w:rsidRPr="002C77AE" w:rsidR="00ED5F40">
        <w:rPr>
          <w:rFonts w:cs="Times New Roman"/>
          <w:szCs w:val="24"/>
        </w:rPr>
        <w:t>, OCC,</w:t>
      </w:r>
      <w:r w:rsidRPr="002C77AE" w:rsidR="00F23228">
        <w:rPr>
          <w:rFonts w:cs="Times New Roman"/>
          <w:szCs w:val="24"/>
        </w:rPr>
        <w:t xml:space="preserve"> and </w:t>
      </w:r>
      <w:r w:rsidRPr="002C77AE" w:rsidR="00ED5F40">
        <w:rPr>
          <w:rFonts w:cs="Times New Roman"/>
          <w:szCs w:val="24"/>
        </w:rPr>
        <w:t xml:space="preserve">other </w:t>
      </w:r>
      <w:r w:rsidRPr="002C77AE" w:rsidR="00F23228">
        <w:rPr>
          <w:rFonts w:cs="Times New Roman"/>
          <w:szCs w:val="24"/>
        </w:rPr>
        <w:t>intervenors</w:t>
      </w:r>
      <w:r w:rsidRPr="002C77AE" w:rsidR="00ED5F40">
        <w:rPr>
          <w:rFonts w:cs="Times New Roman"/>
          <w:szCs w:val="24"/>
        </w:rPr>
        <w:t xml:space="preserve"> </w:t>
      </w:r>
      <w:r w:rsidR="005926BB">
        <w:rPr>
          <w:rFonts w:cs="Times New Roman"/>
          <w:szCs w:val="24"/>
        </w:rPr>
        <w:t>generally</w:t>
      </w:r>
      <w:r w:rsidRPr="002C77AE" w:rsidR="00F23228">
        <w:rPr>
          <w:rFonts w:cs="Times New Roman"/>
          <w:szCs w:val="24"/>
        </w:rPr>
        <w:t xml:space="preserve"> </w:t>
      </w:r>
      <w:r w:rsidRPr="002C77AE">
        <w:rPr>
          <w:rFonts w:cs="Times New Roman"/>
          <w:szCs w:val="24"/>
        </w:rPr>
        <w:t>agree</w:t>
      </w:r>
      <w:r w:rsidRPr="002C77AE" w:rsidR="00F23228">
        <w:rPr>
          <w:rFonts w:cs="Times New Roman"/>
          <w:szCs w:val="24"/>
        </w:rPr>
        <w:t xml:space="preserve"> that </w:t>
      </w:r>
      <w:r w:rsidRPr="002C77AE" w:rsidR="0051150C">
        <w:rPr>
          <w:rFonts w:cs="Times New Roman"/>
          <w:szCs w:val="24"/>
        </w:rPr>
        <w:t>FirstEnergy</w:t>
      </w:r>
      <w:r w:rsidR="002C77AE">
        <w:rPr>
          <w:rFonts w:cs="Times New Roman"/>
          <w:szCs w:val="24"/>
        </w:rPr>
        <w:t>’</w:t>
      </w:r>
      <w:r w:rsidRPr="002C77AE" w:rsidR="0051150C">
        <w:rPr>
          <w:rFonts w:cs="Times New Roman"/>
          <w:szCs w:val="24"/>
        </w:rPr>
        <w:t xml:space="preserve">s </w:t>
      </w:r>
      <w:r w:rsidRPr="002C77AE" w:rsidR="00F23228">
        <w:rPr>
          <w:rFonts w:cs="Times New Roman"/>
          <w:szCs w:val="24"/>
        </w:rPr>
        <w:t>as-filed</w:t>
      </w:r>
      <w:r w:rsidRPr="002C77AE">
        <w:rPr>
          <w:rFonts w:cs="Times New Roman"/>
          <w:szCs w:val="24"/>
        </w:rPr>
        <w:t xml:space="preserve"> electric security</w:t>
      </w:r>
      <w:r w:rsidRPr="002C77AE" w:rsidR="0051150C">
        <w:rPr>
          <w:rFonts w:cs="Times New Roman"/>
          <w:szCs w:val="24"/>
        </w:rPr>
        <w:t xml:space="preserve"> plan should be rejected.</w:t>
      </w:r>
    </w:p>
    <w:p w:rsidR="00CA715D" w:rsidRPr="002C77AE" w:rsidP="00504FBE" w14:paraId="5249D07B" w14:textId="037B300E">
      <w:pPr>
        <w:spacing w:line="480" w:lineRule="auto"/>
        <w:ind w:firstLine="720"/>
        <w:rPr>
          <w:rFonts w:cs="Times New Roman"/>
          <w:szCs w:val="24"/>
        </w:rPr>
      </w:pPr>
    </w:p>
    <w:p w:rsidR="00504FBE" w:rsidRPr="002C77AE" w:rsidP="00504FBE" w14:paraId="6E8947F7" w14:textId="1CD334D2">
      <w:pPr>
        <w:spacing w:line="480" w:lineRule="auto"/>
        <w:ind w:firstLine="720"/>
        <w:rPr>
          <w:rFonts w:cs="Times New Roman"/>
          <w:szCs w:val="24"/>
        </w:rPr>
      </w:pPr>
      <w:r w:rsidRPr="002C77AE">
        <w:rPr>
          <w:rFonts w:cs="Times New Roman"/>
          <w:szCs w:val="24"/>
        </w:rPr>
        <w:t xml:space="preserve">FirstEnergy </w:t>
      </w:r>
      <w:r w:rsidRPr="002C77AE" w:rsidR="000D3132">
        <w:rPr>
          <w:rFonts w:cs="Times New Roman"/>
          <w:szCs w:val="24"/>
        </w:rPr>
        <w:t xml:space="preserve">mistakenly </w:t>
      </w:r>
      <w:r w:rsidRPr="002C77AE">
        <w:rPr>
          <w:rFonts w:cs="Times New Roman"/>
          <w:szCs w:val="24"/>
        </w:rPr>
        <w:t xml:space="preserve">claims </w:t>
      </w:r>
      <w:r w:rsidRPr="002C77AE" w:rsidR="005B5789">
        <w:rPr>
          <w:rFonts w:cs="Times New Roman"/>
          <w:szCs w:val="24"/>
        </w:rPr>
        <w:t>that</w:t>
      </w:r>
      <w:r w:rsidRPr="002C77AE" w:rsidR="00BA6F99">
        <w:rPr>
          <w:rFonts w:cs="Times New Roman"/>
          <w:szCs w:val="24"/>
        </w:rPr>
        <w:t xml:space="preserve"> </w:t>
      </w:r>
      <w:r w:rsidR="002C77AE">
        <w:rPr>
          <w:rFonts w:cs="Times New Roman"/>
          <w:szCs w:val="24"/>
        </w:rPr>
        <w:t>“</w:t>
      </w:r>
      <w:r w:rsidRPr="002C77AE" w:rsidR="009110F6">
        <w:rPr>
          <w:rFonts w:cs="Times New Roman"/>
          <w:szCs w:val="24"/>
        </w:rPr>
        <w:t>(t)he evidentiary record shows that ESP V benefits customers more than an MRO</w:t>
      </w:r>
      <w:r w:rsidRPr="002C77AE">
        <w:rPr>
          <w:rFonts w:cs="Times New Roman"/>
          <w:szCs w:val="24"/>
        </w:rPr>
        <w:t>.</w:t>
      </w:r>
      <w:r w:rsidR="002C77AE">
        <w:rPr>
          <w:rFonts w:cs="Times New Roman"/>
          <w:szCs w:val="24"/>
        </w:rPr>
        <w:t>”</w:t>
      </w:r>
      <w:r>
        <w:rPr>
          <w:rStyle w:val="FootnoteReference"/>
          <w:rFonts w:cs="Times New Roman"/>
          <w:szCs w:val="24"/>
        </w:rPr>
        <w:footnoteReference w:id="5"/>
      </w:r>
      <w:r w:rsidRPr="002C77AE" w:rsidR="00B53887">
        <w:rPr>
          <w:rFonts w:cs="Times New Roman"/>
          <w:szCs w:val="24"/>
        </w:rPr>
        <w:t xml:space="preserve"> </w:t>
      </w:r>
      <w:r w:rsidRPr="002C77AE" w:rsidR="00F23228">
        <w:rPr>
          <w:rFonts w:cs="Times New Roman"/>
          <w:szCs w:val="24"/>
        </w:rPr>
        <w:t xml:space="preserve">But </w:t>
      </w:r>
      <w:r w:rsidRPr="002C77AE" w:rsidR="001908AB">
        <w:rPr>
          <w:rFonts w:cs="Times New Roman"/>
          <w:szCs w:val="24"/>
        </w:rPr>
        <w:t>FirstEnergy</w:t>
      </w:r>
      <w:r w:rsidRPr="002C77AE">
        <w:rPr>
          <w:rFonts w:cs="Times New Roman"/>
          <w:szCs w:val="24"/>
        </w:rPr>
        <w:t xml:space="preserve"> </w:t>
      </w:r>
      <w:r w:rsidRPr="002C77AE" w:rsidR="000D3132">
        <w:rPr>
          <w:rFonts w:cs="Times New Roman"/>
          <w:szCs w:val="24"/>
        </w:rPr>
        <w:t xml:space="preserve">incorrectly </w:t>
      </w:r>
      <w:r w:rsidRPr="002C77AE">
        <w:rPr>
          <w:rFonts w:cs="Times New Roman"/>
          <w:szCs w:val="24"/>
        </w:rPr>
        <w:t xml:space="preserve">applied </w:t>
      </w:r>
      <w:r w:rsidRPr="002C77AE" w:rsidR="001908AB">
        <w:rPr>
          <w:rFonts w:cs="Times New Roman"/>
          <w:szCs w:val="24"/>
        </w:rPr>
        <w:t xml:space="preserve">the </w:t>
      </w:r>
      <w:r w:rsidR="002C77AE">
        <w:rPr>
          <w:rFonts w:cs="Times New Roman"/>
          <w:szCs w:val="24"/>
        </w:rPr>
        <w:t>“</w:t>
      </w:r>
      <w:r w:rsidRPr="002C77AE" w:rsidR="000D3132">
        <w:rPr>
          <w:rFonts w:cs="Times New Roman"/>
          <w:szCs w:val="24"/>
        </w:rPr>
        <w:t>ESP</w:t>
      </w:r>
      <w:r w:rsidRPr="002C77AE" w:rsidR="007744F6">
        <w:rPr>
          <w:rFonts w:cs="Times New Roman"/>
          <w:szCs w:val="24"/>
        </w:rPr>
        <w:t xml:space="preserve"> versus MRO</w:t>
      </w:r>
      <w:r w:rsidR="002C77AE">
        <w:rPr>
          <w:rFonts w:cs="Times New Roman"/>
          <w:szCs w:val="24"/>
        </w:rPr>
        <w:t>”</w:t>
      </w:r>
      <w:r w:rsidRPr="002C77AE" w:rsidR="000D3132">
        <w:rPr>
          <w:rFonts w:cs="Times New Roman"/>
          <w:szCs w:val="24"/>
        </w:rPr>
        <w:t xml:space="preserve"> </w:t>
      </w:r>
      <w:r w:rsidRPr="002C77AE" w:rsidR="001908AB">
        <w:rPr>
          <w:rFonts w:cs="Times New Roman"/>
          <w:szCs w:val="24"/>
        </w:rPr>
        <w:t>test</w:t>
      </w:r>
      <w:r w:rsidRPr="002C77AE" w:rsidR="00422B13">
        <w:rPr>
          <w:rFonts w:cs="Times New Roman"/>
          <w:szCs w:val="24"/>
        </w:rPr>
        <w:t xml:space="preserve">. </w:t>
      </w:r>
    </w:p>
    <w:p w:rsidR="00504FBE" w:rsidP="00504FBE" w14:paraId="23A85074" w14:textId="5425F848">
      <w:pPr>
        <w:spacing w:line="480" w:lineRule="auto"/>
        <w:ind w:firstLine="720"/>
        <w:rPr>
          <w:rFonts w:cs="Times New Roman"/>
          <w:szCs w:val="24"/>
        </w:rPr>
      </w:pPr>
      <w:r w:rsidRPr="002C77AE">
        <w:rPr>
          <w:rFonts w:cs="Times New Roman"/>
          <w:szCs w:val="24"/>
        </w:rPr>
        <w:t xml:space="preserve">The PUCO Staff and some intervenors proposed various changes to the electric security plan in order to satisfy the </w:t>
      </w:r>
      <w:r w:rsidR="002C77AE">
        <w:rPr>
          <w:rFonts w:cs="Times New Roman"/>
          <w:szCs w:val="24"/>
        </w:rPr>
        <w:t>“</w:t>
      </w:r>
      <w:r w:rsidRPr="002C77AE">
        <w:rPr>
          <w:rFonts w:cs="Times New Roman"/>
          <w:szCs w:val="24"/>
        </w:rPr>
        <w:t>ESP versus MRO</w:t>
      </w:r>
      <w:r w:rsidR="002C77AE">
        <w:rPr>
          <w:rFonts w:cs="Times New Roman"/>
          <w:szCs w:val="24"/>
        </w:rPr>
        <w:t>”</w:t>
      </w:r>
      <w:r w:rsidRPr="002C77AE">
        <w:rPr>
          <w:rFonts w:cs="Times New Roman"/>
          <w:szCs w:val="24"/>
        </w:rPr>
        <w:t xml:space="preserve"> test. These changes are insufficient to overcome the electric security plan</w:t>
      </w:r>
      <w:r w:rsidR="002C77AE">
        <w:rPr>
          <w:rFonts w:cs="Times New Roman"/>
          <w:szCs w:val="24"/>
        </w:rPr>
        <w:t>’</w:t>
      </w:r>
      <w:r w:rsidRPr="002C77AE">
        <w:rPr>
          <w:rFonts w:cs="Times New Roman"/>
          <w:szCs w:val="24"/>
        </w:rPr>
        <w:t xml:space="preserve">s flaws. Even with the proposed changes, the electric security plan would still fail the </w:t>
      </w:r>
      <w:r w:rsidR="002C77AE">
        <w:rPr>
          <w:rFonts w:cs="Times New Roman"/>
          <w:szCs w:val="24"/>
        </w:rPr>
        <w:t>“</w:t>
      </w:r>
      <w:r w:rsidRPr="002C77AE">
        <w:rPr>
          <w:rFonts w:cs="Times New Roman"/>
          <w:szCs w:val="24"/>
        </w:rPr>
        <w:t>ESP versus MRO</w:t>
      </w:r>
      <w:r w:rsidR="002C77AE">
        <w:rPr>
          <w:rFonts w:cs="Times New Roman"/>
          <w:szCs w:val="24"/>
        </w:rPr>
        <w:t>”</w:t>
      </w:r>
      <w:r w:rsidRPr="002C77AE">
        <w:rPr>
          <w:rFonts w:cs="Times New Roman"/>
          <w:szCs w:val="24"/>
        </w:rPr>
        <w:t xml:space="preserve"> test. The PUCO should therefore reject the electric security plan and order FirstEnergy to submit a market-rate option plan.</w:t>
      </w:r>
    </w:p>
    <w:p w:rsidR="00752AF9" w:rsidRPr="002C77AE" w:rsidP="00752AF9" w14:paraId="6D08A6C4" w14:textId="77777777">
      <w:pPr>
        <w:ind w:firstLine="720"/>
        <w:rPr>
          <w:rFonts w:cs="Times New Roman"/>
          <w:szCs w:val="24"/>
        </w:rPr>
      </w:pPr>
    </w:p>
    <w:p w:rsidR="0048038A" w:rsidRPr="002C77AE" w:rsidP="00504FBE" w14:paraId="01F3A6A0" w14:textId="7568126E">
      <w:pPr>
        <w:pStyle w:val="Heading1"/>
        <w:rPr>
          <w:rFonts w:ascii="Times New Roman" w:hAnsi="Times New Roman"/>
        </w:rPr>
      </w:pPr>
      <w:bookmarkStart w:id="5" w:name="_Toc156561520"/>
      <w:bookmarkStart w:id="6" w:name="_Toc158373166"/>
      <w:r w:rsidRPr="002C77AE">
        <w:rPr>
          <w:rFonts w:ascii="Times New Roman" w:hAnsi="Times New Roman"/>
        </w:rPr>
        <w:t>II.</w:t>
      </w:r>
      <w:r w:rsidRPr="002C77AE" w:rsidR="0080379E">
        <w:rPr>
          <w:rFonts w:ascii="Times New Roman" w:hAnsi="Times New Roman"/>
        </w:rPr>
        <w:tab/>
      </w:r>
      <w:bookmarkStart w:id="7" w:name="_Toc156561521"/>
      <w:bookmarkEnd w:id="5"/>
      <w:r w:rsidRPr="002C77AE">
        <w:rPr>
          <w:rFonts w:ascii="Times New Roman" w:hAnsi="Times New Roman"/>
        </w:rPr>
        <w:t>RECOMMENDATIONS</w:t>
      </w:r>
      <w:bookmarkStart w:id="8" w:name="_Toc156561522"/>
      <w:bookmarkEnd w:id="7"/>
      <w:bookmarkEnd w:id="6"/>
    </w:p>
    <w:p w:rsidR="00586F7E" w:rsidRPr="002C77AE" w:rsidP="00A5445D" w14:paraId="0D59DD87" w14:textId="6922E3D2">
      <w:pPr>
        <w:pStyle w:val="Heading2"/>
      </w:pPr>
      <w:bookmarkStart w:id="9" w:name="_Toc158373167"/>
      <w:bookmarkStart w:id="10" w:name="_Toc156561523"/>
      <w:bookmarkEnd w:id="8"/>
      <w:r w:rsidRPr="002C77AE">
        <w:t>A</w:t>
      </w:r>
      <w:r w:rsidRPr="002C77AE" w:rsidR="0049119C">
        <w:t>.</w:t>
      </w:r>
      <w:r w:rsidRPr="002C77AE" w:rsidR="0049119C">
        <w:tab/>
        <w:t xml:space="preserve">FirstEnergy failed to sustain its burden of proof that the </w:t>
      </w:r>
      <w:r w:rsidRPr="002C77AE" w:rsidR="00C80364">
        <w:t xml:space="preserve">$6.2 billion in </w:t>
      </w:r>
      <w:r w:rsidRPr="002C77AE" w:rsidR="0049119C">
        <w:t xml:space="preserve">electric security plan </w:t>
      </w:r>
      <w:r w:rsidRPr="002C77AE" w:rsidR="00C80364">
        <w:t xml:space="preserve">and rider </w:t>
      </w:r>
      <w:r w:rsidRPr="002C77AE" w:rsidR="0049119C">
        <w:t>charges would be just and reasonable</w:t>
      </w:r>
      <w:r w:rsidRPr="002C77AE" w:rsidR="0060664F">
        <w:t xml:space="preserve"> to charge its consumers</w:t>
      </w:r>
      <w:r w:rsidRPr="002C77AE" w:rsidR="0049119C">
        <w:t>.</w:t>
      </w:r>
      <w:bookmarkEnd w:id="9"/>
    </w:p>
    <w:p w:rsidR="00A6390F" w:rsidRPr="002C77AE" w:rsidP="00AD77B2" w14:paraId="5FCF2364" w14:textId="3AD5CF13">
      <w:pPr>
        <w:spacing w:line="480" w:lineRule="auto"/>
        <w:ind w:firstLine="720"/>
        <w:rPr>
          <w:rFonts w:cs="Times New Roman"/>
          <w:szCs w:val="24"/>
        </w:rPr>
      </w:pPr>
      <w:r w:rsidRPr="002C77AE">
        <w:rPr>
          <w:rFonts w:cs="Times New Roman"/>
          <w:szCs w:val="24"/>
        </w:rPr>
        <w:t>FirstEnergy</w:t>
      </w:r>
      <w:r w:rsidRPr="002C77AE" w:rsidR="00586F7E">
        <w:rPr>
          <w:rFonts w:cs="Times New Roman"/>
          <w:szCs w:val="24"/>
        </w:rPr>
        <w:t xml:space="preserve"> has the burden of proof to establish that its electric security plan </w:t>
      </w:r>
      <w:r w:rsidRPr="002C77AE" w:rsidR="00C80364">
        <w:rPr>
          <w:rFonts w:cs="Times New Roman"/>
          <w:szCs w:val="24"/>
        </w:rPr>
        <w:t xml:space="preserve">and rider </w:t>
      </w:r>
      <w:r w:rsidRPr="002C77AE" w:rsidR="00586F7E">
        <w:rPr>
          <w:rFonts w:cs="Times New Roman"/>
          <w:szCs w:val="24"/>
        </w:rPr>
        <w:t>charges are just and reasonable.</w:t>
      </w:r>
      <w:r>
        <w:rPr>
          <w:rStyle w:val="FootnoteReference"/>
          <w:rFonts w:cs="Times New Roman"/>
          <w:szCs w:val="24"/>
        </w:rPr>
        <w:footnoteReference w:id="6"/>
      </w:r>
      <w:r w:rsidRPr="002C77AE" w:rsidR="00321DF0">
        <w:rPr>
          <w:rFonts w:cs="Times New Roman"/>
          <w:szCs w:val="24"/>
        </w:rPr>
        <w:t xml:space="preserve"> </w:t>
      </w:r>
      <w:r w:rsidRPr="002C77AE">
        <w:rPr>
          <w:rFonts w:cs="Times New Roman"/>
          <w:szCs w:val="24"/>
        </w:rPr>
        <w:t xml:space="preserve">FirstEnergy </w:t>
      </w:r>
      <w:r w:rsidRPr="002C77AE">
        <w:rPr>
          <w:rFonts w:cs="Times New Roman"/>
          <w:szCs w:val="24"/>
        </w:rPr>
        <w:t xml:space="preserve">has </w:t>
      </w:r>
      <w:r w:rsidRPr="002C77AE">
        <w:rPr>
          <w:rFonts w:cs="Times New Roman"/>
          <w:szCs w:val="24"/>
        </w:rPr>
        <w:t>failed to</w:t>
      </w:r>
      <w:r w:rsidRPr="002C77AE">
        <w:rPr>
          <w:rFonts w:cs="Times New Roman"/>
          <w:szCs w:val="24"/>
        </w:rPr>
        <w:t xml:space="preserve"> justify charging </w:t>
      </w:r>
      <w:r w:rsidRPr="002C77AE" w:rsidR="008236A1">
        <w:rPr>
          <w:rFonts w:cs="Times New Roman"/>
          <w:szCs w:val="24"/>
        </w:rPr>
        <w:t xml:space="preserve">its </w:t>
      </w:r>
      <w:r w:rsidRPr="002C77AE">
        <w:rPr>
          <w:rFonts w:cs="Times New Roman"/>
          <w:szCs w:val="24"/>
        </w:rPr>
        <w:t xml:space="preserve">consumers a total of $6.2 </w:t>
      </w:r>
      <w:r w:rsidRPr="002C77AE" w:rsidR="008236A1">
        <w:rPr>
          <w:rFonts w:cs="Times New Roman"/>
          <w:szCs w:val="24"/>
        </w:rPr>
        <w:t>b</w:t>
      </w:r>
      <w:r w:rsidRPr="002C77AE">
        <w:rPr>
          <w:rFonts w:cs="Times New Roman"/>
          <w:szCs w:val="24"/>
        </w:rPr>
        <w:t>illion</w:t>
      </w:r>
      <w:r w:rsidRPr="002C77AE" w:rsidR="008236A1">
        <w:rPr>
          <w:rFonts w:cs="Times New Roman"/>
          <w:szCs w:val="24"/>
        </w:rPr>
        <w:t xml:space="preserve"> as it proposes under its filing</w:t>
      </w:r>
      <w:r w:rsidRPr="002C77AE">
        <w:rPr>
          <w:rFonts w:cs="Times New Roman"/>
          <w:szCs w:val="24"/>
        </w:rPr>
        <w:t>.</w:t>
      </w:r>
    </w:p>
    <w:p w:rsidR="009D4363" w:rsidRPr="002C77AE" w:rsidP="00AD77B2" w14:paraId="6B54735A" w14:textId="20A4D1DE">
      <w:pPr>
        <w:spacing w:line="480" w:lineRule="auto"/>
        <w:ind w:firstLine="720"/>
        <w:rPr>
          <w:rFonts w:cs="Times New Roman"/>
          <w:szCs w:val="24"/>
        </w:rPr>
      </w:pPr>
      <w:r w:rsidRPr="002C77AE">
        <w:rPr>
          <w:rFonts w:cs="Times New Roman"/>
          <w:szCs w:val="24"/>
        </w:rPr>
        <w:t>Under FirstEnergy</w:t>
      </w:r>
      <w:r w:rsidR="002C77AE">
        <w:rPr>
          <w:rFonts w:cs="Times New Roman"/>
          <w:szCs w:val="24"/>
        </w:rPr>
        <w:t>’</w:t>
      </w:r>
      <w:r w:rsidRPr="002C77AE">
        <w:rPr>
          <w:rFonts w:cs="Times New Roman"/>
          <w:szCs w:val="24"/>
        </w:rPr>
        <w:t>s proposal,</w:t>
      </w:r>
      <w:r w:rsidR="002C77AE">
        <w:rPr>
          <w:rFonts w:cs="Times New Roman"/>
          <w:szCs w:val="24"/>
        </w:rPr>
        <w:t xml:space="preserve"> </w:t>
      </w:r>
      <w:r w:rsidRPr="002C77AE">
        <w:rPr>
          <w:rFonts w:cs="Times New Roman"/>
          <w:szCs w:val="24"/>
        </w:rPr>
        <w:t>t</w:t>
      </w:r>
      <w:r w:rsidRPr="002C77AE" w:rsidR="0049119C">
        <w:rPr>
          <w:rFonts w:cs="Times New Roman"/>
          <w:szCs w:val="24"/>
        </w:rPr>
        <w:t xml:space="preserve">he electric security plan </w:t>
      </w:r>
      <w:r w:rsidRPr="002C77AE">
        <w:rPr>
          <w:rFonts w:cs="Times New Roman"/>
          <w:szCs w:val="24"/>
        </w:rPr>
        <w:t>alone</w:t>
      </w:r>
      <w:r w:rsidRPr="002C77AE" w:rsidR="00C80364">
        <w:rPr>
          <w:rFonts w:cs="Times New Roman"/>
          <w:szCs w:val="24"/>
        </w:rPr>
        <w:t xml:space="preserve"> </w:t>
      </w:r>
      <w:r w:rsidRPr="002C77AE" w:rsidR="0049119C">
        <w:rPr>
          <w:rFonts w:cs="Times New Roman"/>
          <w:szCs w:val="24"/>
        </w:rPr>
        <w:t xml:space="preserve">would impose </w:t>
      </w:r>
      <w:r w:rsidRPr="002C77AE" w:rsidR="00586F7E">
        <w:rPr>
          <w:rFonts w:cs="Times New Roman"/>
          <w:szCs w:val="24"/>
        </w:rPr>
        <w:t xml:space="preserve">$1.4 billion </w:t>
      </w:r>
      <w:r w:rsidRPr="002C77AE" w:rsidR="00AD77B2">
        <w:rPr>
          <w:rFonts w:cs="Times New Roman"/>
          <w:szCs w:val="24"/>
        </w:rPr>
        <w:t xml:space="preserve">in </w:t>
      </w:r>
      <w:r w:rsidRPr="002C77AE" w:rsidR="00586F7E">
        <w:rPr>
          <w:rFonts w:cs="Times New Roman"/>
          <w:szCs w:val="24"/>
        </w:rPr>
        <w:t xml:space="preserve">new charges </w:t>
      </w:r>
      <w:r w:rsidRPr="002C77AE" w:rsidR="0049119C">
        <w:rPr>
          <w:rFonts w:cs="Times New Roman"/>
          <w:szCs w:val="24"/>
        </w:rPr>
        <w:t>on consumers.</w:t>
      </w:r>
      <w:r>
        <w:rPr>
          <w:rStyle w:val="FootnoteReference"/>
          <w:rFonts w:cs="Times New Roman"/>
          <w:szCs w:val="24"/>
        </w:rPr>
        <w:footnoteReference w:id="7"/>
      </w:r>
      <w:r w:rsidRPr="002C77AE" w:rsidR="00321DF0">
        <w:rPr>
          <w:rFonts w:cs="Times New Roman"/>
          <w:szCs w:val="24"/>
        </w:rPr>
        <w:t xml:space="preserve"> </w:t>
      </w:r>
      <w:r w:rsidRPr="002C77AE" w:rsidR="0049119C">
        <w:rPr>
          <w:rFonts w:cs="Times New Roman"/>
          <w:szCs w:val="24"/>
        </w:rPr>
        <w:t>FirstEnergy</w:t>
      </w:r>
      <w:r w:rsidR="002C77AE">
        <w:rPr>
          <w:rFonts w:cs="Times New Roman"/>
          <w:szCs w:val="24"/>
        </w:rPr>
        <w:t>’</w:t>
      </w:r>
      <w:r w:rsidRPr="002C77AE" w:rsidR="00C80364">
        <w:rPr>
          <w:rFonts w:cs="Times New Roman"/>
          <w:szCs w:val="24"/>
        </w:rPr>
        <w:t>s</w:t>
      </w:r>
      <w:r w:rsidRPr="002C77AE" w:rsidR="0049119C">
        <w:rPr>
          <w:rFonts w:cs="Times New Roman"/>
          <w:szCs w:val="24"/>
        </w:rPr>
        <w:t xml:space="preserve"> </w:t>
      </w:r>
      <w:r w:rsidRPr="002C77AE">
        <w:rPr>
          <w:rFonts w:cs="Times New Roman"/>
          <w:szCs w:val="24"/>
        </w:rPr>
        <w:t xml:space="preserve">Delivery Capital Recovery </w:t>
      </w:r>
      <w:r w:rsidRPr="002C77AE" w:rsidR="0049119C">
        <w:rPr>
          <w:rFonts w:cs="Times New Roman"/>
          <w:szCs w:val="24"/>
        </w:rPr>
        <w:t xml:space="preserve">Rider </w:t>
      </w:r>
      <w:r w:rsidRPr="002C77AE">
        <w:rPr>
          <w:rFonts w:cs="Times New Roman"/>
          <w:szCs w:val="24"/>
        </w:rPr>
        <w:t>(</w:t>
      </w:r>
      <w:r w:rsidR="002C77AE">
        <w:rPr>
          <w:rFonts w:cs="Times New Roman"/>
          <w:szCs w:val="24"/>
        </w:rPr>
        <w:t>“</w:t>
      </w:r>
      <w:r w:rsidRPr="002C77AE">
        <w:rPr>
          <w:rFonts w:cs="Times New Roman"/>
          <w:szCs w:val="24"/>
        </w:rPr>
        <w:t xml:space="preserve">Rider </w:t>
      </w:r>
      <w:r w:rsidRPr="002C77AE" w:rsidR="0049119C">
        <w:rPr>
          <w:rFonts w:cs="Times New Roman"/>
          <w:szCs w:val="24"/>
        </w:rPr>
        <w:t>DCR</w:t>
      </w:r>
      <w:r w:rsidR="002C77AE">
        <w:rPr>
          <w:rFonts w:cs="Times New Roman"/>
          <w:szCs w:val="24"/>
        </w:rPr>
        <w:t>”</w:t>
      </w:r>
      <w:r w:rsidRPr="002C77AE">
        <w:rPr>
          <w:rFonts w:cs="Times New Roman"/>
          <w:szCs w:val="24"/>
        </w:rPr>
        <w:t>)</w:t>
      </w:r>
      <w:r w:rsidRPr="002C77AE" w:rsidR="0049119C">
        <w:rPr>
          <w:rFonts w:cs="Times New Roman"/>
          <w:szCs w:val="24"/>
        </w:rPr>
        <w:t xml:space="preserve"> proposal </w:t>
      </w:r>
      <w:r w:rsidRPr="002C77AE">
        <w:rPr>
          <w:rFonts w:cs="Times New Roman"/>
          <w:szCs w:val="24"/>
        </w:rPr>
        <w:t>would</w:t>
      </w:r>
      <w:r w:rsidRPr="002C77AE" w:rsidR="00F06BF2">
        <w:rPr>
          <w:rFonts w:cs="Times New Roman"/>
          <w:szCs w:val="24"/>
        </w:rPr>
        <w:t xml:space="preserve"> then</w:t>
      </w:r>
      <w:r w:rsidRPr="002C77AE">
        <w:rPr>
          <w:rFonts w:cs="Times New Roman"/>
          <w:szCs w:val="24"/>
        </w:rPr>
        <w:t xml:space="preserve"> </w:t>
      </w:r>
      <w:r w:rsidRPr="002C77AE" w:rsidR="00F06BF2">
        <w:rPr>
          <w:rFonts w:cs="Times New Roman"/>
          <w:szCs w:val="24"/>
        </w:rPr>
        <w:t>impose on</w:t>
      </w:r>
      <w:r w:rsidRPr="002C77AE">
        <w:rPr>
          <w:rFonts w:cs="Times New Roman"/>
          <w:szCs w:val="24"/>
        </w:rPr>
        <w:t xml:space="preserve"> consumers</w:t>
      </w:r>
      <w:r w:rsidRPr="002C77AE" w:rsidR="0049119C">
        <w:rPr>
          <w:rFonts w:cs="Times New Roman"/>
          <w:szCs w:val="24"/>
        </w:rPr>
        <w:t xml:space="preserve"> </w:t>
      </w:r>
      <w:r w:rsidRPr="002C77AE" w:rsidR="0049119C">
        <w:rPr>
          <w:rFonts w:cs="Times New Roman"/>
          <w:i/>
          <w:iCs/>
          <w:szCs w:val="24"/>
        </w:rPr>
        <w:t>an additional</w:t>
      </w:r>
      <w:r w:rsidRPr="002C77AE" w:rsidR="00586F7E">
        <w:rPr>
          <w:rFonts w:cs="Times New Roman"/>
          <w:szCs w:val="24"/>
        </w:rPr>
        <w:t xml:space="preserve"> $3.876 billion</w:t>
      </w:r>
      <w:r w:rsidRPr="002C77AE" w:rsidR="00F06BF2">
        <w:rPr>
          <w:rFonts w:cs="Times New Roman"/>
          <w:szCs w:val="24"/>
        </w:rPr>
        <w:t xml:space="preserve"> in charges</w:t>
      </w:r>
      <w:r w:rsidRPr="002C77AE" w:rsidR="0049119C">
        <w:rPr>
          <w:rFonts w:cs="Times New Roman"/>
          <w:szCs w:val="24"/>
        </w:rPr>
        <w:t>.</w:t>
      </w:r>
      <w:r>
        <w:rPr>
          <w:rStyle w:val="FootnoteReference"/>
          <w:rFonts w:cs="Times New Roman"/>
          <w:szCs w:val="24"/>
        </w:rPr>
        <w:footnoteReference w:id="8"/>
      </w:r>
      <w:r w:rsidRPr="002C77AE" w:rsidR="00321DF0">
        <w:rPr>
          <w:rFonts w:cs="Times New Roman"/>
          <w:szCs w:val="24"/>
        </w:rPr>
        <w:t xml:space="preserve"> </w:t>
      </w:r>
      <w:r w:rsidRPr="002C77AE" w:rsidR="0049119C">
        <w:rPr>
          <w:rFonts w:cs="Times New Roman"/>
          <w:szCs w:val="24"/>
        </w:rPr>
        <w:t xml:space="preserve">FirstEnergy proposes to use </w:t>
      </w:r>
      <w:r w:rsidRPr="002C77AE">
        <w:rPr>
          <w:rFonts w:cs="Times New Roman"/>
          <w:szCs w:val="24"/>
        </w:rPr>
        <w:t>its Advanced Metering Infrastructure (</w:t>
      </w:r>
      <w:r w:rsidR="002C77AE">
        <w:rPr>
          <w:rFonts w:cs="Times New Roman"/>
          <w:szCs w:val="24"/>
        </w:rPr>
        <w:t>“</w:t>
      </w:r>
      <w:r w:rsidRPr="002C77AE" w:rsidR="00586F7E">
        <w:rPr>
          <w:rFonts w:cs="Times New Roman"/>
          <w:szCs w:val="24"/>
        </w:rPr>
        <w:t>Rider AMI</w:t>
      </w:r>
      <w:r w:rsidR="002C77AE">
        <w:rPr>
          <w:rFonts w:cs="Times New Roman"/>
          <w:szCs w:val="24"/>
        </w:rPr>
        <w:t>”</w:t>
      </w:r>
      <w:r w:rsidRPr="002C77AE">
        <w:rPr>
          <w:rFonts w:cs="Times New Roman"/>
          <w:szCs w:val="24"/>
        </w:rPr>
        <w:t>)</w:t>
      </w:r>
      <w:r w:rsidRPr="002C77AE" w:rsidR="00586F7E">
        <w:rPr>
          <w:rFonts w:cs="Times New Roman"/>
          <w:szCs w:val="24"/>
        </w:rPr>
        <w:t xml:space="preserve"> </w:t>
      </w:r>
      <w:r w:rsidRPr="002C77AE" w:rsidR="0049119C">
        <w:rPr>
          <w:rFonts w:cs="Times New Roman"/>
          <w:szCs w:val="24"/>
        </w:rPr>
        <w:t xml:space="preserve">to collect </w:t>
      </w:r>
      <w:r w:rsidRPr="002C77AE" w:rsidR="00586F7E">
        <w:rPr>
          <w:rFonts w:cs="Times New Roman"/>
          <w:szCs w:val="24"/>
        </w:rPr>
        <w:t xml:space="preserve">Grid Mod II </w:t>
      </w:r>
      <w:r w:rsidRPr="002C77AE" w:rsidR="0049119C">
        <w:rPr>
          <w:rFonts w:cs="Times New Roman"/>
          <w:szCs w:val="24"/>
        </w:rPr>
        <w:t>costs</w:t>
      </w:r>
      <w:r w:rsidRPr="002C77AE">
        <w:rPr>
          <w:rFonts w:cs="Times New Roman"/>
          <w:szCs w:val="24"/>
        </w:rPr>
        <w:t xml:space="preserve"> (even though FirstEnergy cannot even demonstrate the benefits from Grid Mod I investment)</w:t>
      </w:r>
      <w:r w:rsidRPr="002C77AE" w:rsidR="00F06BF2">
        <w:rPr>
          <w:rFonts w:cs="Times New Roman"/>
          <w:szCs w:val="24"/>
        </w:rPr>
        <w:t>.</w:t>
      </w:r>
      <w:r>
        <w:rPr>
          <w:rStyle w:val="FootnoteReference"/>
          <w:rFonts w:cs="Times New Roman"/>
          <w:szCs w:val="24"/>
        </w:rPr>
        <w:footnoteReference w:id="9"/>
      </w:r>
      <w:r w:rsidRPr="002C77AE" w:rsidR="0049119C">
        <w:rPr>
          <w:rFonts w:cs="Times New Roman"/>
          <w:szCs w:val="24"/>
        </w:rPr>
        <w:t xml:space="preserve"> </w:t>
      </w:r>
      <w:r w:rsidRPr="002C77AE" w:rsidR="00F06BF2">
        <w:rPr>
          <w:rFonts w:cs="Times New Roman"/>
          <w:szCs w:val="24"/>
        </w:rPr>
        <w:t>That</w:t>
      </w:r>
      <w:r w:rsidRPr="002C77AE" w:rsidR="0049119C">
        <w:rPr>
          <w:rFonts w:cs="Times New Roman"/>
          <w:szCs w:val="24"/>
        </w:rPr>
        <w:t xml:space="preserve"> would add </w:t>
      </w:r>
      <w:r w:rsidRPr="002C77AE" w:rsidR="0049119C">
        <w:rPr>
          <w:rFonts w:cs="Times New Roman"/>
          <w:i/>
          <w:iCs/>
          <w:szCs w:val="24"/>
        </w:rPr>
        <w:t>an additional</w:t>
      </w:r>
      <w:r w:rsidRPr="002C77AE" w:rsidR="0049119C">
        <w:rPr>
          <w:rFonts w:cs="Times New Roman"/>
          <w:szCs w:val="24"/>
        </w:rPr>
        <w:t xml:space="preserve"> </w:t>
      </w:r>
      <w:r w:rsidRPr="002C77AE" w:rsidR="00586F7E">
        <w:rPr>
          <w:rFonts w:cs="Times New Roman"/>
          <w:szCs w:val="24"/>
        </w:rPr>
        <w:t>$626 million</w:t>
      </w:r>
      <w:r w:rsidRPr="002C77AE" w:rsidR="0049119C">
        <w:rPr>
          <w:rFonts w:cs="Times New Roman"/>
          <w:szCs w:val="24"/>
        </w:rPr>
        <w:t xml:space="preserve"> in costs</w:t>
      </w:r>
      <w:r w:rsidRPr="002C77AE" w:rsidR="00586F7E">
        <w:rPr>
          <w:rFonts w:cs="Times New Roman"/>
          <w:szCs w:val="24"/>
        </w:rPr>
        <w:t>.</w:t>
      </w:r>
      <w:r>
        <w:rPr>
          <w:rStyle w:val="FootnoteReference"/>
          <w:rFonts w:cs="Times New Roman"/>
          <w:szCs w:val="24"/>
        </w:rPr>
        <w:footnoteReference w:id="10"/>
      </w:r>
      <w:r w:rsidRPr="002C77AE" w:rsidR="00321DF0">
        <w:rPr>
          <w:rFonts w:cs="Times New Roman"/>
          <w:szCs w:val="24"/>
        </w:rPr>
        <w:t xml:space="preserve"> </w:t>
      </w:r>
      <w:r w:rsidRPr="002C77AE" w:rsidR="0049119C">
        <w:rPr>
          <w:rFonts w:cs="Times New Roman"/>
          <w:szCs w:val="24"/>
        </w:rPr>
        <w:t>FirstEnergy also proposes</w:t>
      </w:r>
      <w:r w:rsidRPr="002C77AE" w:rsidR="00F06BF2">
        <w:rPr>
          <w:rFonts w:cs="Times New Roman"/>
          <w:szCs w:val="24"/>
        </w:rPr>
        <w:t xml:space="preserve"> to charge consumers</w:t>
      </w:r>
      <w:r w:rsidRPr="002C77AE" w:rsidR="0049119C">
        <w:rPr>
          <w:rFonts w:cs="Times New Roman"/>
          <w:szCs w:val="24"/>
        </w:rPr>
        <w:t xml:space="preserve"> approximately </w:t>
      </w:r>
      <w:r w:rsidRPr="002C77AE" w:rsidR="0049119C">
        <w:rPr>
          <w:rFonts w:cs="Times New Roman"/>
          <w:i/>
          <w:iCs/>
          <w:szCs w:val="24"/>
        </w:rPr>
        <w:t>an additional</w:t>
      </w:r>
      <w:r w:rsidRPr="002C77AE" w:rsidR="0049119C">
        <w:rPr>
          <w:rFonts w:cs="Times New Roman"/>
          <w:szCs w:val="24"/>
        </w:rPr>
        <w:t xml:space="preserve"> $300 million in new</w:t>
      </w:r>
      <w:r w:rsidRPr="002C77AE" w:rsidR="00F06BF2">
        <w:rPr>
          <w:rFonts w:cs="Times New Roman"/>
          <w:szCs w:val="24"/>
        </w:rPr>
        <w:t xml:space="preserve"> costs</w:t>
      </w:r>
      <w:r w:rsidRPr="002C77AE" w:rsidR="0049119C">
        <w:rPr>
          <w:rFonts w:cs="Times New Roman"/>
          <w:szCs w:val="24"/>
        </w:rPr>
        <w:t xml:space="preserve"> </w:t>
      </w:r>
      <w:r w:rsidRPr="002C77AE" w:rsidR="00F06BF2">
        <w:rPr>
          <w:rFonts w:cs="Times New Roman"/>
          <w:szCs w:val="24"/>
        </w:rPr>
        <w:t xml:space="preserve">for </w:t>
      </w:r>
      <w:r w:rsidRPr="002C77AE" w:rsidR="0049119C">
        <w:rPr>
          <w:rFonts w:cs="Times New Roman"/>
          <w:szCs w:val="24"/>
        </w:rPr>
        <w:t>vegetation management.</w:t>
      </w:r>
      <w:r>
        <w:rPr>
          <w:rStyle w:val="FootnoteReference"/>
          <w:rFonts w:cs="Times New Roman"/>
          <w:szCs w:val="24"/>
        </w:rPr>
        <w:footnoteReference w:id="11"/>
      </w:r>
    </w:p>
    <w:p w:rsidR="00586F7E" w:rsidRPr="002C77AE" w:rsidP="00AD77B2" w14:paraId="1541FC42" w14:textId="114614E1">
      <w:pPr>
        <w:spacing w:line="480" w:lineRule="auto"/>
        <w:ind w:firstLine="720"/>
        <w:rPr>
          <w:rFonts w:cs="Times New Roman"/>
          <w:szCs w:val="24"/>
        </w:rPr>
      </w:pPr>
      <w:r w:rsidRPr="002C77AE">
        <w:rPr>
          <w:rFonts w:cs="Times New Roman"/>
          <w:szCs w:val="24"/>
        </w:rPr>
        <w:t>These</w:t>
      </w:r>
      <w:r w:rsidRPr="002C77AE" w:rsidR="00BC3240">
        <w:rPr>
          <w:rFonts w:cs="Times New Roman"/>
          <w:szCs w:val="24"/>
        </w:rPr>
        <w:t xml:space="preserve"> total</w:t>
      </w:r>
      <w:r w:rsidRPr="002C77AE">
        <w:rPr>
          <w:rFonts w:cs="Times New Roman"/>
          <w:szCs w:val="24"/>
        </w:rPr>
        <w:t xml:space="preserve"> costs </w:t>
      </w:r>
      <w:r w:rsidRPr="002C77AE" w:rsidR="00BC3240">
        <w:rPr>
          <w:rFonts w:cs="Times New Roman"/>
          <w:szCs w:val="24"/>
        </w:rPr>
        <w:t>to consumers of FirstEnergy</w:t>
      </w:r>
      <w:r w:rsidR="002C77AE">
        <w:rPr>
          <w:rFonts w:cs="Times New Roman"/>
          <w:szCs w:val="24"/>
        </w:rPr>
        <w:t>’</w:t>
      </w:r>
      <w:r w:rsidRPr="002C77AE" w:rsidR="00BC3240">
        <w:rPr>
          <w:rFonts w:cs="Times New Roman"/>
          <w:szCs w:val="24"/>
        </w:rPr>
        <w:t xml:space="preserve">s ESP V </w:t>
      </w:r>
      <w:r w:rsidRPr="002C77AE">
        <w:rPr>
          <w:rFonts w:cs="Times New Roman"/>
          <w:szCs w:val="24"/>
        </w:rPr>
        <w:t>are summed below:</w:t>
      </w:r>
    </w:p>
    <w:p w:rsidR="00AD77B2" w:rsidRPr="002C77AE" w:rsidP="00AD77B2" w14:paraId="698EC032" w14:textId="492E46BE">
      <w:pPr>
        <w:spacing w:line="480" w:lineRule="auto"/>
        <w:jc w:val="center"/>
        <w:rPr>
          <w:rFonts w:cs="Times New Roman"/>
          <w:b/>
          <w:bCs/>
          <w:szCs w:val="24"/>
        </w:rPr>
      </w:pPr>
      <w:r w:rsidRPr="002C77AE">
        <w:rPr>
          <w:rFonts w:cs="Times New Roman"/>
          <w:b/>
          <w:bCs/>
          <w:szCs w:val="24"/>
        </w:rPr>
        <w:t>Table 1: Sum of New ESP V and Rider Charges</w:t>
      </w:r>
    </w:p>
    <w:tbl>
      <w:tblPr>
        <w:tblStyle w:val="TableGrid"/>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790"/>
        <w:gridCol w:w="3060"/>
      </w:tblGrid>
      <w:tr w14:paraId="7BDF3F65" w14:textId="77777777" w:rsidTr="004B31C2">
        <w:tblPrEx>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790" w:type="dxa"/>
          </w:tcPr>
          <w:p w:rsidR="00AD77B2" w:rsidRPr="002C77AE" w:rsidP="00AD77B2" w14:paraId="1776A55B" w14:textId="3E23BBCB">
            <w:pPr>
              <w:spacing w:after="0" w:line="240" w:lineRule="auto"/>
              <w:jc w:val="center"/>
              <w:rPr>
                <w:rFonts w:ascii="Times New Roman" w:eastAsia="Times New Roman" w:hAnsi="Times New Roman" w:cs="Times New Roman"/>
                <w:b/>
                <w:bCs/>
                <w:sz w:val="24"/>
                <w:szCs w:val="24"/>
                <w:u w:val="single"/>
                <w:lang w:val="en-US" w:eastAsia="en-US" w:bidi="ar-SA"/>
              </w:rPr>
            </w:pPr>
            <w:r w:rsidRPr="002C77AE">
              <w:rPr>
                <w:rFonts w:ascii="Times New Roman" w:eastAsia="Times New Roman" w:hAnsi="Times New Roman" w:cs="Times New Roman"/>
                <w:b/>
                <w:bCs/>
                <w:sz w:val="24"/>
                <w:szCs w:val="24"/>
                <w:u w:val="single"/>
                <w:lang w:val="en-US" w:eastAsia="en-US" w:bidi="ar-SA"/>
              </w:rPr>
              <w:t>Description</w:t>
            </w:r>
          </w:p>
        </w:tc>
        <w:tc>
          <w:tcPr>
            <w:tcW w:w="3060" w:type="dxa"/>
          </w:tcPr>
          <w:p w:rsidR="00AD77B2" w:rsidRPr="002C77AE" w:rsidP="00AD77B2" w14:paraId="3DB24A75" w14:textId="29CC742C">
            <w:pPr>
              <w:spacing w:after="0" w:line="240" w:lineRule="auto"/>
              <w:jc w:val="center"/>
              <w:rPr>
                <w:rFonts w:ascii="Times New Roman" w:eastAsia="Times New Roman" w:hAnsi="Times New Roman" w:cs="Times New Roman"/>
                <w:b/>
                <w:bCs/>
                <w:sz w:val="24"/>
                <w:szCs w:val="24"/>
                <w:u w:val="single"/>
                <w:lang w:val="en-US" w:eastAsia="en-US" w:bidi="ar-SA"/>
              </w:rPr>
            </w:pPr>
            <w:r w:rsidRPr="002C77AE">
              <w:rPr>
                <w:rFonts w:ascii="Times New Roman" w:eastAsia="Times New Roman" w:hAnsi="Times New Roman" w:cs="Times New Roman"/>
                <w:b/>
                <w:bCs/>
                <w:sz w:val="24"/>
                <w:szCs w:val="24"/>
                <w:u w:val="single"/>
                <w:lang w:val="en-US" w:eastAsia="en-US" w:bidi="ar-SA"/>
              </w:rPr>
              <w:t>Amount</w:t>
            </w:r>
          </w:p>
        </w:tc>
      </w:tr>
      <w:tr w14:paraId="49C9A3F0" w14:textId="77777777" w:rsidTr="004B31C2">
        <w:tblPrEx>
          <w:tblW w:w="0" w:type="auto"/>
          <w:tblInd w:w="1525" w:type="dxa"/>
          <w:tblCellMar>
            <w:top w:w="0" w:type="dxa"/>
            <w:left w:w="108" w:type="dxa"/>
            <w:bottom w:w="0" w:type="dxa"/>
            <w:right w:w="108" w:type="dxa"/>
          </w:tblCellMar>
          <w:tblLook w:val="04A0"/>
        </w:tblPrEx>
        <w:tc>
          <w:tcPr>
            <w:tcW w:w="2790" w:type="dxa"/>
          </w:tcPr>
          <w:p w:rsidR="00AD77B2" w:rsidRPr="002C77AE" w:rsidP="00AD77B2" w14:paraId="3E8FFE2D" w14:textId="38F63A00">
            <w:pPr>
              <w:spacing w:after="0" w:line="240" w:lineRule="auto"/>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New ESP V Charges</w:t>
            </w:r>
          </w:p>
        </w:tc>
        <w:tc>
          <w:tcPr>
            <w:tcW w:w="3060" w:type="dxa"/>
          </w:tcPr>
          <w:p w:rsidR="00AD77B2" w:rsidRPr="002C77AE" w:rsidP="004B31C2" w14:paraId="3516E12F" w14:textId="7454A382">
            <w:pPr>
              <w:spacing w:after="0" w:line="240" w:lineRule="auto"/>
              <w:jc w:val="center"/>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$1.4</w:t>
            </w:r>
            <w:r w:rsidRPr="002C77AE" w:rsidR="004B31C2">
              <w:rPr>
                <w:rFonts w:ascii="Times New Roman" w:eastAsia="Times New Roman" w:hAnsi="Times New Roman" w:cs="Times New Roman"/>
                <w:sz w:val="24"/>
                <w:szCs w:val="24"/>
                <w:lang w:val="en-US" w:eastAsia="en-US" w:bidi="ar-SA"/>
              </w:rPr>
              <w:t>00</w:t>
            </w:r>
            <w:r w:rsidRPr="002C77AE">
              <w:rPr>
                <w:rFonts w:ascii="Times New Roman" w:eastAsia="Times New Roman" w:hAnsi="Times New Roman" w:cs="Times New Roman"/>
                <w:sz w:val="24"/>
                <w:szCs w:val="24"/>
                <w:lang w:val="en-US" w:eastAsia="en-US" w:bidi="ar-SA"/>
              </w:rPr>
              <w:t xml:space="preserve"> billion</w:t>
            </w:r>
          </w:p>
        </w:tc>
      </w:tr>
      <w:tr w14:paraId="1286AAA6" w14:textId="77777777" w:rsidTr="004B31C2">
        <w:tblPrEx>
          <w:tblW w:w="0" w:type="auto"/>
          <w:tblInd w:w="1525" w:type="dxa"/>
          <w:tblCellMar>
            <w:top w:w="0" w:type="dxa"/>
            <w:left w:w="108" w:type="dxa"/>
            <w:bottom w:w="0" w:type="dxa"/>
            <w:right w:w="108" w:type="dxa"/>
          </w:tblCellMar>
          <w:tblLook w:val="04A0"/>
        </w:tblPrEx>
        <w:tc>
          <w:tcPr>
            <w:tcW w:w="2790" w:type="dxa"/>
          </w:tcPr>
          <w:p w:rsidR="00AD77B2" w:rsidRPr="002C77AE" w:rsidP="00AD77B2" w14:paraId="57A2FC30" w14:textId="4DFB14FC">
            <w:pPr>
              <w:spacing w:after="0" w:line="240" w:lineRule="auto"/>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New Rider DCR Charges</w:t>
            </w:r>
          </w:p>
        </w:tc>
        <w:tc>
          <w:tcPr>
            <w:tcW w:w="3060" w:type="dxa"/>
          </w:tcPr>
          <w:p w:rsidR="00AD77B2" w:rsidRPr="002C77AE" w:rsidP="004B31C2" w14:paraId="22B19AA7" w14:textId="3E38E02A">
            <w:pPr>
              <w:spacing w:after="0" w:line="240" w:lineRule="auto"/>
              <w:jc w:val="center"/>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$3.876 billion</w:t>
            </w:r>
          </w:p>
        </w:tc>
      </w:tr>
      <w:tr w14:paraId="45D43C44" w14:textId="77777777" w:rsidTr="004B31C2">
        <w:tblPrEx>
          <w:tblW w:w="0" w:type="auto"/>
          <w:tblInd w:w="1525" w:type="dxa"/>
          <w:tblCellMar>
            <w:top w:w="0" w:type="dxa"/>
            <w:left w:w="108" w:type="dxa"/>
            <w:bottom w:w="0" w:type="dxa"/>
            <w:right w:w="108" w:type="dxa"/>
          </w:tblCellMar>
          <w:tblLook w:val="04A0"/>
        </w:tblPrEx>
        <w:tc>
          <w:tcPr>
            <w:tcW w:w="2790" w:type="dxa"/>
          </w:tcPr>
          <w:p w:rsidR="00AD77B2" w:rsidRPr="002C77AE" w:rsidP="00AD77B2" w14:paraId="534D5BB3" w14:textId="74837B2E">
            <w:pPr>
              <w:spacing w:after="0" w:line="240" w:lineRule="auto"/>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New Rider AMI Charges</w:t>
            </w:r>
          </w:p>
        </w:tc>
        <w:tc>
          <w:tcPr>
            <w:tcW w:w="3060" w:type="dxa"/>
          </w:tcPr>
          <w:p w:rsidR="00AD77B2" w:rsidRPr="002C77AE" w:rsidP="004B31C2" w14:paraId="59C3C11C" w14:textId="5AF44ADD">
            <w:pPr>
              <w:spacing w:after="0" w:line="240" w:lineRule="auto"/>
              <w:jc w:val="center"/>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$0.626 billion</w:t>
            </w:r>
          </w:p>
        </w:tc>
      </w:tr>
      <w:tr w14:paraId="2B8B7B70" w14:textId="77777777" w:rsidTr="004B31C2">
        <w:tblPrEx>
          <w:tblW w:w="0" w:type="auto"/>
          <w:tblInd w:w="1525" w:type="dxa"/>
          <w:tblCellMar>
            <w:top w:w="0" w:type="dxa"/>
            <w:left w:w="108" w:type="dxa"/>
            <w:bottom w:w="0" w:type="dxa"/>
            <w:right w:w="108" w:type="dxa"/>
          </w:tblCellMar>
          <w:tblLook w:val="04A0"/>
        </w:tblPrEx>
        <w:tc>
          <w:tcPr>
            <w:tcW w:w="2790" w:type="dxa"/>
          </w:tcPr>
          <w:p w:rsidR="009D4363" w:rsidRPr="002C77AE" w:rsidP="00AD77B2" w14:paraId="4611A361" w14:textId="562CEE57">
            <w:pPr>
              <w:spacing w:after="0" w:line="240" w:lineRule="auto"/>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New Veg. Mgmt. Charges</w:t>
            </w:r>
          </w:p>
        </w:tc>
        <w:tc>
          <w:tcPr>
            <w:tcW w:w="3060" w:type="dxa"/>
          </w:tcPr>
          <w:p w:rsidR="009D4363" w:rsidRPr="002C77AE" w:rsidP="004B31C2" w14:paraId="2DB59E6D" w14:textId="4DD9404D">
            <w:pPr>
              <w:spacing w:after="0" w:line="240" w:lineRule="auto"/>
              <w:jc w:val="center"/>
              <w:rPr>
                <w:rFonts w:ascii="Times New Roman" w:eastAsia="Times New Roman" w:hAnsi="Times New Roman" w:cs="Times New Roman"/>
                <w:sz w:val="24"/>
                <w:szCs w:val="24"/>
                <w:u w:val="single"/>
                <w:lang w:val="en-US" w:eastAsia="en-US" w:bidi="ar-SA"/>
              </w:rPr>
            </w:pPr>
            <w:r w:rsidRPr="002C77AE">
              <w:rPr>
                <w:rFonts w:ascii="Times New Roman" w:eastAsia="Times New Roman" w:hAnsi="Times New Roman" w:cs="Times New Roman"/>
                <w:sz w:val="24"/>
                <w:szCs w:val="24"/>
                <w:u w:val="single"/>
                <w:lang w:val="en-US" w:eastAsia="en-US" w:bidi="ar-SA"/>
              </w:rPr>
              <w:t>$0.300 billion</w:t>
            </w:r>
          </w:p>
        </w:tc>
      </w:tr>
      <w:tr w14:paraId="3471E4EC" w14:textId="77777777" w:rsidTr="004B31C2">
        <w:tblPrEx>
          <w:tblW w:w="0" w:type="auto"/>
          <w:tblInd w:w="1525" w:type="dxa"/>
          <w:tblCellMar>
            <w:top w:w="0" w:type="dxa"/>
            <w:left w:w="108" w:type="dxa"/>
            <w:bottom w:w="0" w:type="dxa"/>
            <w:right w:w="108" w:type="dxa"/>
          </w:tblCellMar>
          <w:tblLook w:val="04A0"/>
        </w:tblPrEx>
        <w:tc>
          <w:tcPr>
            <w:tcW w:w="2790" w:type="dxa"/>
          </w:tcPr>
          <w:p w:rsidR="00AD77B2" w:rsidRPr="002C77AE" w:rsidP="004B31C2" w14:paraId="7A18E886" w14:textId="4EED8679">
            <w:pPr>
              <w:spacing w:after="0" w:line="240" w:lineRule="auto"/>
              <w:jc w:val="right"/>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Total:</w:t>
            </w:r>
          </w:p>
        </w:tc>
        <w:tc>
          <w:tcPr>
            <w:tcW w:w="3060" w:type="dxa"/>
          </w:tcPr>
          <w:p w:rsidR="00AD77B2" w:rsidRPr="002C77AE" w:rsidP="004B31C2" w14:paraId="289D4522" w14:textId="460893F9">
            <w:pPr>
              <w:spacing w:after="0" w:line="240" w:lineRule="auto"/>
              <w:jc w:val="center"/>
              <w:rPr>
                <w:rFonts w:ascii="Times New Roman" w:eastAsia="Times New Roman" w:hAnsi="Times New Roman" w:cs="Times New Roman"/>
                <w:sz w:val="24"/>
                <w:szCs w:val="24"/>
                <w:lang w:val="en-US" w:eastAsia="en-US" w:bidi="ar-SA"/>
              </w:rPr>
            </w:pPr>
            <w:r w:rsidRPr="002C77AE">
              <w:rPr>
                <w:rFonts w:ascii="Times New Roman" w:eastAsia="Times New Roman" w:hAnsi="Times New Roman" w:cs="Times New Roman"/>
                <w:sz w:val="24"/>
                <w:szCs w:val="24"/>
                <w:lang w:val="en-US" w:eastAsia="en-US" w:bidi="ar-SA"/>
              </w:rPr>
              <w:t>$</w:t>
            </w:r>
            <w:r w:rsidRPr="002C77AE" w:rsidR="009D4363">
              <w:rPr>
                <w:rFonts w:ascii="Times New Roman" w:eastAsia="Times New Roman" w:hAnsi="Times New Roman" w:cs="Times New Roman"/>
                <w:sz w:val="24"/>
                <w:szCs w:val="24"/>
                <w:lang w:val="en-US" w:eastAsia="en-US" w:bidi="ar-SA"/>
              </w:rPr>
              <w:t>6</w:t>
            </w:r>
            <w:r w:rsidRPr="002C77AE">
              <w:rPr>
                <w:rFonts w:ascii="Times New Roman" w:eastAsia="Times New Roman" w:hAnsi="Times New Roman" w:cs="Times New Roman"/>
                <w:sz w:val="24"/>
                <w:szCs w:val="24"/>
                <w:lang w:val="en-US" w:eastAsia="en-US" w:bidi="ar-SA"/>
              </w:rPr>
              <w:t>.</w:t>
            </w:r>
            <w:r w:rsidRPr="002C77AE" w:rsidR="009D4363">
              <w:rPr>
                <w:rFonts w:ascii="Times New Roman" w:eastAsia="Times New Roman" w:hAnsi="Times New Roman" w:cs="Times New Roman"/>
                <w:sz w:val="24"/>
                <w:szCs w:val="24"/>
                <w:lang w:val="en-US" w:eastAsia="en-US" w:bidi="ar-SA"/>
              </w:rPr>
              <w:t>2</w:t>
            </w:r>
            <w:r w:rsidRPr="002C77AE">
              <w:rPr>
                <w:rFonts w:ascii="Times New Roman" w:eastAsia="Times New Roman" w:hAnsi="Times New Roman" w:cs="Times New Roman"/>
                <w:sz w:val="24"/>
                <w:szCs w:val="24"/>
                <w:lang w:val="en-US" w:eastAsia="en-US" w:bidi="ar-SA"/>
              </w:rPr>
              <w:t>02 billion</w:t>
            </w:r>
          </w:p>
        </w:tc>
      </w:tr>
    </w:tbl>
    <w:p w:rsidR="00AD77B2" w:rsidRPr="002C77AE" w:rsidP="008C72BB" w14:paraId="1D23242F" w14:textId="77777777">
      <w:pPr>
        <w:rPr>
          <w:rFonts w:cs="Times New Roman"/>
          <w:szCs w:val="24"/>
        </w:rPr>
      </w:pPr>
    </w:p>
    <w:p w:rsidR="00AD77B2" w:rsidRPr="002C77AE" w:rsidP="00AD77B2" w14:paraId="1095BB67" w14:textId="79A7E546">
      <w:pPr>
        <w:spacing w:line="480" w:lineRule="auto"/>
        <w:rPr>
          <w:rFonts w:cs="Times New Roman"/>
          <w:szCs w:val="24"/>
        </w:rPr>
      </w:pPr>
      <w:r w:rsidRPr="002C77AE">
        <w:rPr>
          <w:rFonts w:cs="Times New Roman"/>
          <w:szCs w:val="24"/>
        </w:rPr>
        <w:tab/>
      </w:r>
      <w:r w:rsidRPr="002C77AE" w:rsidR="00321DF0">
        <w:rPr>
          <w:rFonts w:cs="Times New Roman"/>
          <w:szCs w:val="24"/>
        </w:rPr>
        <w:t xml:space="preserve"> </w:t>
      </w:r>
      <w:r w:rsidRPr="002C77AE">
        <w:rPr>
          <w:rFonts w:cs="Times New Roman"/>
          <w:szCs w:val="24"/>
        </w:rPr>
        <w:t xml:space="preserve">FirstEnergy </w:t>
      </w:r>
      <w:r w:rsidRPr="002C77AE" w:rsidR="00BC3240">
        <w:rPr>
          <w:rFonts w:cs="Times New Roman"/>
          <w:szCs w:val="24"/>
        </w:rPr>
        <w:t>claims that the $6.2 billion in new charges under</w:t>
      </w:r>
      <w:r w:rsidR="002C77AE">
        <w:rPr>
          <w:rFonts w:cs="Times New Roman"/>
          <w:szCs w:val="24"/>
        </w:rPr>
        <w:t xml:space="preserve"> </w:t>
      </w:r>
      <w:r w:rsidRPr="002C77AE" w:rsidR="00C80364">
        <w:rPr>
          <w:rFonts w:cs="Times New Roman"/>
          <w:szCs w:val="24"/>
        </w:rPr>
        <w:t xml:space="preserve">the electric security plan </w:t>
      </w:r>
      <w:r w:rsidRPr="002C77AE" w:rsidR="00BC3240">
        <w:rPr>
          <w:rFonts w:cs="Times New Roman"/>
          <w:szCs w:val="24"/>
        </w:rPr>
        <w:t>are necessary to</w:t>
      </w:r>
      <w:r w:rsidRPr="002C77AE" w:rsidR="00C80364">
        <w:rPr>
          <w:rFonts w:cs="Times New Roman"/>
          <w:szCs w:val="24"/>
        </w:rPr>
        <w:t xml:space="preserve"> improve</w:t>
      </w:r>
      <w:r w:rsidRPr="002C77AE">
        <w:rPr>
          <w:rFonts w:cs="Times New Roman"/>
          <w:szCs w:val="24"/>
        </w:rPr>
        <w:t xml:space="preserve"> </w:t>
      </w:r>
      <w:r w:rsidRPr="002C77AE" w:rsidR="00C80364">
        <w:rPr>
          <w:rFonts w:cs="Times New Roman"/>
          <w:szCs w:val="24"/>
        </w:rPr>
        <w:t>reliability</w:t>
      </w:r>
      <w:r w:rsidRPr="002C77AE">
        <w:rPr>
          <w:rFonts w:cs="Times New Roman"/>
          <w:szCs w:val="24"/>
        </w:rPr>
        <w:t>.</w:t>
      </w:r>
      <w:r>
        <w:rPr>
          <w:rStyle w:val="FootnoteReference"/>
          <w:rFonts w:cs="Times New Roman"/>
          <w:szCs w:val="24"/>
        </w:rPr>
        <w:footnoteReference w:id="12"/>
      </w:r>
      <w:r w:rsidRPr="002C77AE" w:rsidR="00321DF0">
        <w:rPr>
          <w:rFonts w:cs="Times New Roman"/>
          <w:szCs w:val="24"/>
        </w:rPr>
        <w:t xml:space="preserve"> </w:t>
      </w:r>
      <w:r w:rsidRPr="002C77AE" w:rsidR="00237044">
        <w:rPr>
          <w:rFonts w:cs="Times New Roman"/>
          <w:szCs w:val="24"/>
        </w:rPr>
        <w:t>Yet FirstEnergy already meets its reliability targets, as OELC pointed out in its Initial Brief:</w:t>
      </w:r>
    </w:p>
    <w:p w:rsidR="00237044" w:rsidRPr="002C77AE" w:rsidP="008C72BB" w14:paraId="6BA60E4C" w14:textId="7568C3E9">
      <w:pPr>
        <w:ind w:left="1440" w:right="1440"/>
        <w:rPr>
          <w:rFonts w:cs="Times New Roman"/>
          <w:szCs w:val="24"/>
        </w:rPr>
      </w:pPr>
      <w:r w:rsidRPr="002C77AE">
        <w:rPr>
          <w:rFonts w:cs="Times New Roman"/>
          <w:szCs w:val="24"/>
        </w:rPr>
        <w:t>Since 2010, FirstEnergy has calculated its reliability performance using the System Average Interruption Frequency Index (SAIFI) and Customer Average Interruption Duration Index (CAIDI).</w:t>
      </w:r>
      <w:r w:rsidRPr="002C77AE" w:rsidR="00321DF0">
        <w:rPr>
          <w:rFonts w:cs="Times New Roman"/>
          <w:szCs w:val="24"/>
        </w:rPr>
        <w:t xml:space="preserve"> </w:t>
      </w:r>
      <w:r w:rsidRPr="002C77AE">
        <w:rPr>
          <w:rFonts w:cs="Times New Roman"/>
          <w:szCs w:val="24"/>
        </w:rPr>
        <w:t xml:space="preserve">Against these metrics, FirstEnergy </w:t>
      </w:r>
      <w:r w:rsidR="002C77AE">
        <w:rPr>
          <w:rFonts w:cs="Times New Roman"/>
          <w:szCs w:val="24"/>
        </w:rPr>
        <w:t>‘</w:t>
      </w:r>
      <w:r w:rsidRPr="002C77AE">
        <w:rPr>
          <w:rFonts w:cs="Times New Roman"/>
          <w:szCs w:val="24"/>
        </w:rPr>
        <w:t>has mostly outperformed (i.e. been lower than) their reliability standards from 2016 through 2022</w:t>
      </w:r>
      <w:r w:rsidR="002C77AE">
        <w:rPr>
          <w:rFonts w:cs="Times New Roman"/>
          <w:szCs w:val="24"/>
        </w:rPr>
        <w:t>’</w:t>
      </w:r>
      <w:r w:rsidRPr="002C77AE">
        <w:rPr>
          <w:rFonts w:cs="Times New Roman"/>
          <w:szCs w:val="24"/>
        </w:rPr>
        <w:t xml:space="preserve"> with only one exception—Ohio Edison in 2019. And although FirstEnergy claims that meeting the reliability standards does not necessarily equate to meeting customers </w:t>
      </w:r>
      <w:r w:rsidRPr="002C77AE" w:rsidR="00C80364">
        <w:rPr>
          <w:rFonts w:cs="Times New Roman"/>
          <w:szCs w:val="24"/>
        </w:rPr>
        <w:t>[sic]</w:t>
      </w:r>
      <w:r w:rsidR="006B25D4">
        <w:rPr>
          <w:rFonts w:cs="Times New Roman"/>
          <w:szCs w:val="24"/>
        </w:rPr>
        <w:t xml:space="preserve"> </w:t>
      </w:r>
      <w:r w:rsidRPr="002C77AE">
        <w:rPr>
          <w:rFonts w:cs="Times New Roman"/>
          <w:szCs w:val="24"/>
        </w:rPr>
        <w:t>reliability expectations, FirstEnergy</w:t>
      </w:r>
      <w:r w:rsidR="002C77AE">
        <w:rPr>
          <w:rFonts w:cs="Times New Roman"/>
          <w:szCs w:val="24"/>
        </w:rPr>
        <w:t>’</w:t>
      </w:r>
      <w:r w:rsidRPr="002C77AE">
        <w:rPr>
          <w:rFonts w:cs="Times New Roman"/>
          <w:szCs w:val="24"/>
        </w:rPr>
        <w:t xml:space="preserve">s </w:t>
      </w:r>
      <w:r w:rsidR="002C77AE">
        <w:rPr>
          <w:rFonts w:cs="Times New Roman"/>
          <w:szCs w:val="24"/>
        </w:rPr>
        <w:t>‘</w:t>
      </w:r>
      <w:r w:rsidRPr="002C77AE">
        <w:rPr>
          <w:rFonts w:cs="Times New Roman"/>
          <w:szCs w:val="24"/>
        </w:rPr>
        <w:t>reliability performance aligns with customer expectations.</w:t>
      </w:r>
      <w:r w:rsidR="002C77AE">
        <w:rPr>
          <w:rFonts w:cs="Times New Roman"/>
          <w:szCs w:val="24"/>
        </w:rPr>
        <w:t>’</w:t>
      </w:r>
      <w:r w:rsidRPr="002C77AE">
        <w:rPr>
          <w:rFonts w:cs="Times New Roman"/>
          <w:szCs w:val="24"/>
        </w:rPr>
        <w:t xml:space="preserve"> Specifically, FirstEnergy</w:t>
      </w:r>
      <w:r w:rsidR="002C77AE">
        <w:rPr>
          <w:rFonts w:cs="Times New Roman"/>
          <w:szCs w:val="24"/>
        </w:rPr>
        <w:t>’</w:t>
      </w:r>
      <w:r w:rsidRPr="002C77AE">
        <w:rPr>
          <w:rFonts w:cs="Times New Roman"/>
          <w:szCs w:val="24"/>
        </w:rPr>
        <w:t xml:space="preserve">s </w:t>
      </w:r>
      <w:r w:rsidR="002C77AE">
        <w:rPr>
          <w:rFonts w:cs="Times New Roman"/>
          <w:szCs w:val="24"/>
        </w:rPr>
        <w:t>‘</w:t>
      </w:r>
      <w:r w:rsidRPr="002C77AE">
        <w:rPr>
          <w:rFonts w:cs="Times New Roman"/>
          <w:szCs w:val="24"/>
        </w:rPr>
        <w:t>SAIFI standards and performance thereunder exceed (i.e. are lower than) customer expectations.</w:t>
      </w:r>
      <w:r w:rsidR="002C77AE">
        <w:rPr>
          <w:rFonts w:cs="Times New Roman"/>
          <w:szCs w:val="24"/>
        </w:rPr>
        <w:t>’</w:t>
      </w:r>
      <w:r w:rsidRPr="002C77AE" w:rsidR="00321DF0">
        <w:rPr>
          <w:rFonts w:cs="Times New Roman"/>
          <w:szCs w:val="24"/>
        </w:rPr>
        <w:t xml:space="preserve"> </w:t>
      </w:r>
      <w:r w:rsidRPr="002C77AE">
        <w:rPr>
          <w:rFonts w:cs="Times New Roman"/>
          <w:szCs w:val="24"/>
        </w:rPr>
        <w:t>And FirstEnergy</w:t>
      </w:r>
      <w:r w:rsidR="002C77AE">
        <w:rPr>
          <w:rFonts w:cs="Times New Roman"/>
          <w:szCs w:val="24"/>
        </w:rPr>
        <w:t>’</w:t>
      </w:r>
      <w:r w:rsidRPr="002C77AE">
        <w:rPr>
          <w:rFonts w:cs="Times New Roman"/>
          <w:szCs w:val="24"/>
        </w:rPr>
        <w:t xml:space="preserve">s </w:t>
      </w:r>
      <w:r w:rsidR="002C77AE">
        <w:rPr>
          <w:rFonts w:cs="Times New Roman"/>
          <w:szCs w:val="24"/>
        </w:rPr>
        <w:t>‘</w:t>
      </w:r>
      <w:r w:rsidRPr="002C77AE">
        <w:rPr>
          <w:rFonts w:cs="Times New Roman"/>
          <w:szCs w:val="24"/>
        </w:rPr>
        <w:t>CAIDI standards and performance thereunder are also well within the range of customer expectations[.]</w:t>
      </w:r>
      <w:r w:rsidR="002C77AE">
        <w:rPr>
          <w:rFonts w:cs="Times New Roman"/>
          <w:szCs w:val="24"/>
        </w:rPr>
        <w:t>’</w:t>
      </w:r>
      <w:r>
        <w:rPr>
          <w:rStyle w:val="FootnoteReference"/>
          <w:rFonts w:cs="Times New Roman"/>
          <w:szCs w:val="24"/>
        </w:rPr>
        <w:footnoteReference w:id="13"/>
      </w:r>
    </w:p>
    <w:p w:rsidR="00237044" w:rsidRPr="002C77AE" w:rsidP="00237044" w14:paraId="687C094D" w14:textId="77777777">
      <w:pPr>
        <w:ind w:right="1440"/>
        <w:rPr>
          <w:rFonts w:cs="Times New Roman"/>
          <w:szCs w:val="24"/>
        </w:rPr>
      </w:pPr>
    </w:p>
    <w:p w:rsidR="00340BB0" w:rsidRPr="002C77AE" w:rsidP="005B55B0" w14:paraId="5B5F650F" w14:textId="6311771B">
      <w:pPr>
        <w:spacing w:line="480" w:lineRule="auto"/>
        <w:rPr>
          <w:rFonts w:cs="Times New Roman"/>
          <w:szCs w:val="24"/>
        </w:rPr>
      </w:pPr>
      <w:r w:rsidRPr="002C77AE">
        <w:rPr>
          <w:rFonts w:cs="Times New Roman"/>
          <w:szCs w:val="24"/>
        </w:rPr>
        <w:tab/>
        <w:t>FirstEnergy is required by law to provide reliable service.</w:t>
      </w:r>
      <w:r>
        <w:rPr>
          <w:rStyle w:val="FootnoteReference"/>
          <w:rFonts w:cs="Times New Roman"/>
          <w:szCs w:val="24"/>
        </w:rPr>
        <w:footnoteReference w:id="14"/>
      </w:r>
      <w:r w:rsidRPr="002C77AE" w:rsidR="00321DF0">
        <w:rPr>
          <w:rFonts w:cs="Times New Roman"/>
          <w:szCs w:val="24"/>
        </w:rPr>
        <w:t xml:space="preserve"> </w:t>
      </w:r>
      <w:r w:rsidRPr="002C77AE">
        <w:rPr>
          <w:rFonts w:cs="Times New Roman"/>
          <w:szCs w:val="24"/>
        </w:rPr>
        <w:t>FirstEnergy</w:t>
      </w:r>
      <w:r w:rsidR="002C77AE">
        <w:rPr>
          <w:rFonts w:cs="Times New Roman"/>
          <w:szCs w:val="24"/>
        </w:rPr>
        <w:t>’</w:t>
      </w:r>
      <w:r w:rsidRPr="002C77AE">
        <w:rPr>
          <w:rFonts w:cs="Times New Roman"/>
          <w:szCs w:val="24"/>
        </w:rPr>
        <w:t>s reliability performance is already acceptable.</w:t>
      </w:r>
      <w:r w:rsidRPr="002C77AE" w:rsidR="00321DF0">
        <w:rPr>
          <w:rFonts w:cs="Times New Roman"/>
          <w:szCs w:val="24"/>
        </w:rPr>
        <w:t xml:space="preserve"> </w:t>
      </w:r>
      <w:r w:rsidRPr="002C77AE" w:rsidR="00BD073B">
        <w:rPr>
          <w:rFonts w:cs="Times New Roman"/>
          <w:szCs w:val="24"/>
        </w:rPr>
        <w:t xml:space="preserve">FirstEnergy utterly failed to prove how </w:t>
      </w:r>
      <w:r w:rsidRPr="002C77AE" w:rsidR="001427C5">
        <w:rPr>
          <w:rFonts w:cs="Times New Roman"/>
          <w:szCs w:val="24"/>
        </w:rPr>
        <w:t xml:space="preserve">charging consumers </w:t>
      </w:r>
      <w:r w:rsidRPr="002C77AE" w:rsidR="00BD073B">
        <w:rPr>
          <w:rFonts w:cs="Times New Roman"/>
          <w:szCs w:val="24"/>
        </w:rPr>
        <w:t>an additional $6.2 billion</w:t>
      </w:r>
      <w:r w:rsidR="002C77AE">
        <w:rPr>
          <w:rFonts w:cs="Times New Roman"/>
          <w:szCs w:val="24"/>
        </w:rPr>
        <w:t xml:space="preserve"> </w:t>
      </w:r>
      <w:r w:rsidRPr="002C77AE" w:rsidR="001427C5">
        <w:rPr>
          <w:rFonts w:cs="Times New Roman"/>
          <w:szCs w:val="24"/>
        </w:rPr>
        <w:t>is necessary</w:t>
      </w:r>
      <w:r w:rsidRPr="002C77AE" w:rsidR="008236A1">
        <w:rPr>
          <w:rFonts w:cs="Times New Roman"/>
          <w:szCs w:val="24"/>
        </w:rPr>
        <w:t xml:space="preserve"> in order to provide adequate electric distribution service</w:t>
      </w:r>
      <w:r w:rsidRPr="002C77AE" w:rsidR="00BD073B">
        <w:rPr>
          <w:rFonts w:cs="Times New Roman"/>
          <w:szCs w:val="24"/>
        </w:rPr>
        <w:t>.</w:t>
      </w:r>
      <w:r w:rsidRPr="002C77AE" w:rsidR="00321DF0">
        <w:rPr>
          <w:rFonts w:cs="Times New Roman"/>
          <w:szCs w:val="24"/>
        </w:rPr>
        <w:t xml:space="preserve"> </w:t>
      </w:r>
      <w:r w:rsidRPr="002C77AE" w:rsidR="00BD073B">
        <w:rPr>
          <w:rFonts w:cs="Times New Roman"/>
          <w:szCs w:val="24"/>
        </w:rPr>
        <w:t>The PUCO should reject FirstEnergy</w:t>
      </w:r>
      <w:r w:rsidR="002C77AE">
        <w:rPr>
          <w:rFonts w:cs="Times New Roman"/>
          <w:szCs w:val="24"/>
        </w:rPr>
        <w:t>’</w:t>
      </w:r>
      <w:r w:rsidRPr="002C77AE" w:rsidR="00BD073B">
        <w:rPr>
          <w:rFonts w:cs="Times New Roman"/>
          <w:szCs w:val="24"/>
        </w:rPr>
        <w:t xml:space="preserve">s electric security plan because FirstEnergy failed to sustain its burden of proof to establish that the $6.2 billion in </w:t>
      </w:r>
      <w:r w:rsidRPr="002C77AE" w:rsidR="00176C7B">
        <w:rPr>
          <w:rFonts w:cs="Times New Roman"/>
          <w:szCs w:val="24"/>
        </w:rPr>
        <w:t xml:space="preserve">new </w:t>
      </w:r>
      <w:r w:rsidRPr="002C77AE" w:rsidR="00BD073B">
        <w:rPr>
          <w:rFonts w:cs="Times New Roman"/>
          <w:szCs w:val="24"/>
        </w:rPr>
        <w:t>charges would be just and reasonable.</w:t>
      </w:r>
    </w:p>
    <w:p w:rsidR="00340BB0" w:rsidRPr="002C77AE" w:rsidP="00340BB0" w14:paraId="7DF6E684" w14:textId="01AC2F67">
      <w:pPr>
        <w:pStyle w:val="Heading2"/>
        <w:rPr>
          <w:highlight w:val="green"/>
        </w:rPr>
      </w:pPr>
      <w:bookmarkStart w:id="11" w:name="_Toc158373168"/>
      <w:r w:rsidRPr="002C77AE">
        <w:t>B</w:t>
      </w:r>
      <w:r w:rsidRPr="002C77AE" w:rsidR="0049119C">
        <w:t xml:space="preserve">. </w:t>
      </w:r>
      <w:r w:rsidRPr="002C77AE" w:rsidR="004A31CA">
        <w:tab/>
      </w:r>
      <w:bookmarkEnd w:id="10"/>
      <w:r w:rsidRPr="002C77AE" w:rsidR="005B55B0">
        <w:t>FirstEnergy</w:t>
      </w:r>
      <w:r w:rsidR="002C77AE">
        <w:t>’</w:t>
      </w:r>
      <w:r w:rsidRPr="002C77AE" w:rsidR="005B55B0">
        <w:t xml:space="preserve">s </w:t>
      </w:r>
      <w:r w:rsidRPr="002C77AE" w:rsidR="00176C7B">
        <w:t xml:space="preserve">proposed eight-year </w:t>
      </w:r>
      <w:r w:rsidRPr="002C77AE" w:rsidR="005B55B0">
        <w:t>electric security pla</w:t>
      </w:r>
      <w:r w:rsidRPr="002C77AE" w:rsidR="00176C7B">
        <w:t>n</w:t>
      </w:r>
      <w:r w:rsidRPr="002C77AE" w:rsidR="005B55B0">
        <w:t xml:space="preserve"> is not just and reasonable</w:t>
      </w:r>
      <w:r w:rsidRPr="002C77AE" w:rsidR="0060664F">
        <w:t xml:space="preserve"> for charging consumers</w:t>
      </w:r>
      <w:r w:rsidRPr="002C77AE" w:rsidR="005B55B0">
        <w:t>.</w:t>
      </w:r>
      <w:r w:rsidRPr="002C77AE" w:rsidR="00321DF0">
        <w:t xml:space="preserve"> </w:t>
      </w:r>
      <w:r w:rsidRPr="002C77AE" w:rsidR="005B55B0">
        <w:t xml:space="preserve">If, however, the PUCO approves an electric security plan, the PUCO </w:t>
      </w:r>
      <w:r w:rsidRPr="002C77AE" w:rsidR="0049119C">
        <w:t>should limit the electric security plan</w:t>
      </w:r>
      <w:r w:rsidR="002C77AE">
        <w:t>’</w:t>
      </w:r>
      <w:r w:rsidRPr="002C77AE" w:rsidR="00176C7B">
        <w:t>s duration</w:t>
      </w:r>
      <w:r w:rsidRPr="002C77AE" w:rsidR="0049119C">
        <w:t xml:space="preserve"> to four years.</w:t>
      </w:r>
      <w:bookmarkEnd w:id="11"/>
      <w:r w:rsidRPr="002C77AE" w:rsidR="00321DF0">
        <w:t xml:space="preserve"> </w:t>
      </w:r>
    </w:p>
    <w:p w:rsidR="00340BB0" w:rsidRPr="002C77AE" w:rsidP="00340BB0" w14:paraId="03F64C92" w14:textId="345912EE">
      <w:pPr>
        <w:spacing w:line="480" w:lineRule="auto"/>
        <w:rPr>
          <w:rFonts w:cs="Times New Roman"/>
          <w:szCs w:val="24"/>
        </w:rPr>
      </w:pPr>
      <w:r w:rsidRPr="002C77AE">
        <w:rPr>
          <w:rFonts w:cs="Times New Roman"/>
          <w:szCs w:val="24"/>
        </w:rPr>
        <w:tab/>
        <w:t>OCC</w:t>
      </w:r>
      <w:r w:rsidR="002C77AE">
        <w:rPr>
          <w:rFonts w:cs="Times New Roman"/>
          <w:szCs w:val="24"/>
        </w:rPr>
        <w:t>’</w:t>
      </w:r>
      <w:r w:rsidRPr="002C77AE" w:rsidR="005B55B0">
        <w:rPr>
          <w:rFonts w:cs="Times New Roman"/>
          <w:szCs w:val="24"/>
        </w:rPr>
        <w:t xml:space="preserve">s </w:t>
      </w:r>
      <w:r w:rsidRPr="002C77AE">
        <w:rPr>
          <w:rFonts w:cs="Times New Roman"/>
          <w:szCs w:val="24"/>
        </w:rPr>
        <w:t xml:space="preserve">Initial Brief </w:t>
      </w:r>
      <w:r w:rsidRPr="002C77AE" w:rsidR="008062EB">
        <w:rPr>
          <w:rFonts w:cs="Times New Roman"/>
          <w:szCs w:val="24"/>
        </w:rPr>
        <w:t>explained</w:t>
      </w:r>
      <w:r w:rsidRPr="002C77AE" w:rsidR="005B55B0">
        <w:rPr>
          <w:rFonts w:cs="Times New Roman"/>
          <w:szCs w:val="24"/>
        </w:rPr>
        <w:t xml:space="preserve"> </w:t>
      </w:r>
      <w:r w:rsidRPr="002C77AE">
        <w:rPr>
          <w:rFonts w:cs="Times New Roman"/>
          <w:szCs w:val="24"/>
        </w:rPr>
        <w:t xml:space="preserve">that </w:t>
      </w:r>
      <w:r w:rsidRPr="002C77AE" w:rsidR="005B55B0">
        <w:rPr>
          <w:rFonts w:cs="Times New Roman"/>
          <w:szCs w:val="24"/>
        </w:rPr>
        <w:t>an</w:t>
      </w:r>
      <w:r w:rsidRPr="002C77AE">
        <w:rPr>
          <w:rFonts w:cs="Times New Roman"/>
          <w:szCs w:val="24"/>
        </w:rPr>
        <w:t xml:space="preserve"> eight</w:t>
      </w:r>
      <w:r w:rsidRPr="002C77AE" w:rsidR="005B55B0">
        <w:rPr>
          <w:rFonts w:cs="Times New Roman"/>
          <w:szCs w:val="24"/>
        </w:rPr>
        <w:t>-</w:t>
      </w:r>
      <w:r w:rsidRPr="002C77AE">
        <w:rPr>
          <w:rFonts w:cs="Times New Roman"/>
          <w:szCs w:val="24"/>
        </w:rPr>
        <w:t>year</w:t>
      </w:r>
      <w:r w:rsidRPr="002C77AE" w:rsidR="005B55B0">
        <w:rPr>
          <w:rFonts w:cs="Times New Roman"/>
          <w:szCs w:val="24"/>
        </w:rPr>
        <w:t xml:space="preserve"> electric security plan</w:t>
      </w:r>
      <w:r w:rsidRPr="002C77AE">
        <w:rPr>
          <w:rFonts w:cs="Times New Roman"/>
          <w:szCs w:val="24"/>
        </w:rPr>
        <w:t xml:space="preserve"> would be unjust and unreasonable </w:t>
      </w:r>
      <w:r w:rsidRPr="002C77AE" w:rsidR="005B55B0">
        <w:rPr>
          <w:rFonts w:cs="Times New Roman"/>
          <w:szCs w:val="24"/>
        </w:rPr>
        <w:t>and</w:t>
      </w:r>
      <w:r w:rsidRPr="002C77AE">
        <w:rPr>
          <w:rFonts w:cs="Times New Roman"/>
          <w:szCs w:val="24"/>
        </w:rPr>
        <w:t xml:space="preserve"> inconsistent with recent PUCO precedent limiting plans to four years</w:t>
      </w:r>
      <w:r w:rsidRPr="002C77AE" w:rsidR="005B55B0">
        <w:rPr>
          <w:rFonts w:cs="Times New Roman"/>
          <w:szCs w:val="24"/>
        </w:rPr>
        <w:t>.</w:t>
      </w:r>
      <w:r>
        <w:rPr>
          <w:rStyle w:val="FootnoteReference"/>
          <w:rFonts w:cs="Times New Roman"/>
          <w:szCs w:val="24"/>
        </w:rPr>
        <w:footnoteReference w:id="15"/>
      </w:r>
      <w:r w:rsidRPr="002C77AE" w:rsidR="00321DF0">
        <w:rPr>
          <w:rFonts w:cs="Times New Roman"/>
          <w:szCs w:val="24"/>
        </w:rPr>
        <w:t xml:space="preserve"> </w:t>
      </w:r>
      <w:r w:rsidRPr="002C77AE" w:rsidR="005B55B0">
        <w:rPr>
          <w:rFonts w:cs="Times New Roman"/>
          <w:szCs w:val="24"/>
        </w:rPr>
        <w:t>As OCC noted, the electric security plan would</w:t>
      </w:r>
      <w:r w:rsidRPr="002C77AE">
        <w:rPr>
          <w:rFonts w:cs="Times New Roman"/>
          <w:szCs w:val="24"/>
        </w:rPr>
        <w:t xml:space="preserve"> subject First Energy to a relaxed </w:t>
      </w:r>
      <w:r w:rsidR="002C77AE">
        <w:rPr>
          <w:rFonts w:cs="Times New Roman"/>
          <w:szCs w:val="24"/>
        </w:rPr>
        <w:t>“</w:t>
      </w:r>
      <w:r w:rsidRPr="002C77AE">
        <w:rPr>
          <w:rFonts w:cs="Times New Roman"/>
          <w:szCs w:val="24"/>
        </w:rPr>
        <w:t>significantly excessive earnings</w:t>
      </w:r>
      <w:r w:rsidR="002C77AE">
        <w:rPr>
          <w:rFonts w:cs="Times New Roman"/>
          <w:szCs w:val="24"/>
        </w:rPr>
        <w:t>”</w:t>
      </w:r>
      <w:r w:rsidRPr="002C77AE">
        <w:rPr>
          <w:rFonts w:cs="Times New Roman"/>
          <w:szCs w:val="24"/>
        </w:rPr>
        <w:t xml:space="preserve"> test.</w:t>
      </w:r>
      <w:r>
        <w:rPr>
          <w:rStyle w:val="FootnoteReference"/>
          <w:rFonts w:cs="Times New Roman"/>
          <w:szCs w:val="24"/>
        </w:rPr>
        <w:footnoteReference w:id="16"/>
      </w:r>
      <w:r w:rsidRPr="002C77AE">
        <w:rPr>
          <w:rFonts w:cs="Times New Roman"/>
          <w:szCs w:val="24"/>
        </w:rPr>
        <w:t xml:space="preserve"> Th</w:t>
      </w:r>
      <w:r w:rsidRPr="002C77AE" w:rsidR="005B55B0">
        <w:rPr>
          <w:rFonts w:cs="Times New Roman"/>
          <w:szCs w:val="24"/>
        </w:rPr>
        <w:t>e electric security plan (if approved)</w:t>
      </w:r>
      <w:r w:rsidRPr="002C77AE">
        <w:rPr>
          <w:rFonts w:cs="Times New Roman"/>
          <w:szCs w:val="24"/>
        </w:rPr>
        <w:t xml:space="preserve"> should be limited to no longer than four years</w:t>
      </w:r>
      <w:r w:rsidRPr="002C77AE" w:rsidR="005B55B0">
        <w:rPr>
          <w:rFonts w:cs="Times New Roman"/>
          <w:szCs w:val="24"/>
        </w:rPr>
        <w:t>.</w:t>
      </w:r>
      <w:r w:rsidRPr="002C77AE" w:rsidR="00321DF0">
        <w:rPr>
          <w:rFonts w:cs="Times New Roman"/>
          <w:szCs w:val="24"/>
        </w:rPr>
        <w:t xml:space="preserve"> </w:t>
      </w:r>
      <w:r w:rsidRPr="002C77AE" w:rsidR="005B55B0">
        <w:rPr>
          <w:rFonts w:cs="Times New Roman"/>
          <w:szCs w:val="24"/>
        </w:rPr>
        <w:t>FirstEnergy</w:t>
      </w:r>
      <w:r w:rsidRPr="002C77AE">
        <w:rPr>
          <w:rFonts w:cs="Times New Roman"/>
          <w:szCs w:val="24"/>
        </w:rPr>
        <w:t xml:space="preserve"> should be required to file a new distribution </w:t>
      </w:r>
      <w:r w:rsidRPr="002C77AE" w:rsidR="005B55B0">
        <w:rPr>
          <w:rFonts w:cs="Times New Roman"/>
          <w:szCs w:val="24"/>
        </w:rPr>
        <w:t xml:space="preserve">base </w:t>
      </w:r>
      <w:r w:rsidRPr="002C77AE">
        <w:rPr>
          <w:rFonts w:cs="Times New Roman"/>
          <w:szCs w:val="24"/>
        </w:rPr>
        <w:t>rate case at the end of that term.</w:t>
      </w:r>
    </w:p>
    <w:p w:rsidR="00340BB0" w:rsidRPr="002C77AE" w:rsidP="00340BB0" w14:paraId="1AE41ED6" w14:textId="4487637C">
      <w:pPr>
        <w:spacing w:line="480" w:lineRule="auto"/>
        <w:rPr>
          <w:rFonts w:cs="Times New Roman"/>
          <w:szCs w:val="24"/>
        </w:rPr>
      </w:pPr>
      <w:r w:rsidRPr="002C77AE">
        <w:rPr>
          <w:rFonts w:cs="Times New Roman"/>
          <w:szCs w:val="24"/>
        </w:rPr>
        <w:tab/>
        <w:t>The PUCO Staff and other intervenors support shortening the term of FirstEnergy</w:t>
      </w:r>
      <w:r w:rsidR="002C77AE">
        <w:rPr>
          <w:rFonts w:cs="Times New Roman"/>
          <w:szCs w:val="24"/>
        </w:rPr>
        <w:t>’</w:t>
      </w:r>
      <w:r w:rsidRPr="002C77AE">
        <w:rPr>
          <w:rFonts w:cs="Times New Roman"/>
          <w:szCs w:val="24"/>
        </w:rPr>
        <w:t>s ESP as well.</w:t>
      </w:r>
      <w:r w:rsidRPr="002C77AE" w:rsidR="00321DF0">
        <w:rPr>
          <w:rFonts w:cs="Times New Roman"/>
          <w:szCs w:val="24"/>
        </w:rPr>
        <w:t xml:space="preserve"> </w:t>
      </w:r>
      <w:r w:rsidRPr="002C77AE">
        <w:rPr>
          <w:rFonts w:cs="Times New Roman"/>
          <w:szCs w:val="24"/>
        </w:rPr>
        <w:t>The</w:t>
      </w:r>
      <w:r w:rsidR="002C77AE">
        <w:rPr>
          <w:rFonts w:cs="Times New Roman"/>
          <w:szCs w:val="24"/>
        </w:rPr>
        <w:t>’</w:t>
      </w:r>
      <w:r w:rsidRPr="002C77AE" w:rsidR="00321DF0">
        <w:rPr>
          <w:rFonts w:cs="Times New Roman"/>
          <w:szCs w:val="24"/>
        </w:rPr>
        <w:t xml:space="preserve"> </w:t>
      </w:r>
      <w:r w:rsidRPr="002C77AE" w:rsidR="0049119C">
        <w:rPr>
          <w:rFonts w:cs="Times New Roman"/>
          <w:szCs w:val="24"/>
        </w:rPr>
        <w:t>PUCO Staff</w:t>
      </w:r>
      <w:r w:rsidR="002C77AE">
        <w:rPr>
          <w:rFonts w:cs="Times New Roman"/>
          <w:szCs w:val="24"/>
        </w:rPr>
        <w:t>’</w:t>
      </w:r>
      <w:r w:rsidRPr="002C77AE" w:rsidR="0049119C">
        <w:rPr>
          <w:rFonts w:cs="Times New Roman"/>
          <w:szCs w:val="24"/>
        </w:rPr>
        <w:t xml:space="preserve"> recommend</w:t>
      </w:r>
      <w:r w:rsidRPr="002C77AE">
        <w:rPr>
          <w:rFonts w:cs="Times New Roman"/>
          <w:szCs w:val="24"/>
        </w:rPr>
        <w:t>s a</w:t>
      </w:r>
      <w:r w:rsidRPr="002C77AE" w:rsidR="0049119C">
        <w:rPr>
          <w:rFonts w:cs="Times New Roman"/>
          <w:szCs w:val="24"/>
        </w:rPr>
        <w:t xml:space="preserve"> reduc</w:t>
      </w:r>
      <w:r w:rsidRPr="002C77AE">
        <w:rPr>
          <w:rFonts w:cs="Times New Roman"/>
          <w:szCs w:val="24"/>
        </w:rPr>
        <w:t>ing</w:t>
      </w:r>
      <w:r w:rsidRPr="002C77AE" w:rsidR="0049119C">
        <w:rPr>
          <w:rFonts w:cs="Times New Roman"/>
          <w:szCs w:val="24"/>
        </w:rPr>
        <w:t xml:space="preserve"> the </w:t>
      </w:r>
      <w:r w:rsidRPr="002C77AE" w:rsidR="005B55B0">
        <w:rPr>
          <w:rFonts w:cs="Times New Roman"/>
          <w:szCs w:val="24"/>
        </w:rPr>
        <w:t xml:space="preserve">electric security plan </w:t>
      </w:r>
      <w:r w:rsidRPr="002C77AE" w:rsidR="0049119C">
        <w:rPr>
          <w:rFonts w:cs="Times New Roman"/>
          <w:szCs w:val="24"/>
        </w:rPr>
        <w:t>to six years.</w:t>
      </w:r>
      <w:r>
        <w:rPr>
          <w:rStyle w:val="FootnoteReference"/>
          <w:rFonts w:cs="Times New Roman"/>
          <w:szCs w:val="24"/>
        </w:rPr>
        <w:footnoteReference w:id="17"/>
      </w:r>
      <w:r w:rsidRPr="002C77AE" w:rsidR="0049119C">
        <w:rPr>
          <w:rFonts w:cs="Times New Roman"/>
          <w:szCs w:val="24"/>
        </w:rPr>
        <w:t xml:space="preserve"> Other intervenors supported a shorter plan, in alignment with OCC</w:t>
      </w:r>
      <w:r w:rsidR="002C77AE">
        <w:rPr>
          <w:rFonts w:cs="Times New Roman"/>
          <w:szCs w:val="24"/>
        </w:rPr>
        <w:t>’</w:t>
      </w:r>
      <w:r w:rsidRPr="002C77AE" w:rsidR="0049119C">
        <w:rPr>
          <w:rFonts w:cs="Times New Roman"/>
          <w:szCs w:val="24"/>
        </w:rPr>
        <w:t>s recommendation.</w:t>
      </w:r>
      <w:r w:rsidRPr="002C77AE" w:rsidR="00321DF0">
        <w:rPr>
          <w:rFonts w:cs="Times New Roman"/>
          <w:szCs w:val="24"/>
        </w:rPr>
        <w:t xml:space="preserve"> </w:t>
      </w:r>
      <w:r w:rsidRPr="002C77AE" w:rsidR="0049119C">
        <w:rPr>
          <w:rFonts w:cs="Times New Roman"/>
          <w:szCs w:val="24"/>
        </w:rPr>
        <w:t>For example:</w:t>
      </w:r>
    </w:p>
    <w:p w:rsidR="00340BB0" w:rsidRPr="002C77AE" w:rsidP="00561E7E" w14:paraId="3C7FA825" w14:textId="7D352AF6">
      <w:pPr>
        <w:pStyle w:val="ListParagraph"/>
        <w:numPr>
          <w:ilvl w:val="0"/>
          <w:numId w:val="4"/>
        </w:numPr>
        <w:ind w:left="1080"/>
        <w:rPr>
          <w:rFonts w:cs="Times New Roman"/>
          <w:szCs w:val="24"/>
        </w:rPr>
      </w:pPr>
      <w:r w:rsidRPr="002C77AE">
        <w:rPr>
          <w:rFonts w:cs="Times New Roman"/>
          <w:szCs w:val="24"/>
        </w:rPr>
        <w:t xml:space="preserve">OEG recommended </w:t>
      </w:r>
      <w:r w:rsidRPr="002C77AE" w:rsidR="005B55B0">
        <w:rPr>
          <w:rFonts w:cs="Times New Roman"/>
          <w:szCs w:val="24"/>
        </w:rPr>
        <w:t xml:space="preserve">reducing </w:t>
      </w:r>
      <w:r w:rsidRPr="002C77AE">
        <w:rPr>
          <w:rFonts w:cs="Times New Roman"/>
          <w:szCs w:val="24"/>
        </w:rPr>
        <w:t xml:space="preserve">the </w:t>
      </w:r>
      <w:r w:rsidRPr="002C77AE" w:rsidR="005B55B0">
        <w:rPr>
          <w:rFonts w:cs="Times New Roman"/>
          <w:szCs w:val="24"/>
        </w:rPr>
        <w:t xml:space="preserve">electric security plan </w:t>
      </w:r>
      <w:r w:rsidRPr="002C77AE">
        <w:rPr>
          <w:rFonts w:cs="Times New Roman"/>
          <w:szCs w:val="24"/>
        </w:rPr>
        <w:t>term to four years.</w:t>
      </w:r>
      <w:r>
        <w:rPr>
          <w:rStyle w:val="FootnoteReference"/>
          <w:rFonts w:cs="Times New Roman"/>
          <w:szCs w:val="24"/>
        </w:rPr>
        <w:footnoteReference w:id="18"/>
      </w:r>
    </w:p>
    <w:p w:rsidR="008062EB" w:rsidRPr="002C77AE" w:rsidP="00561E7E" w14:paraId="6894BB96" w14:textId="77777777">
      <w:pPr>
        <w:pStyle w:val="ListParagraph"/>
        <w:ind w:left="1080" w:hanging="360"/>
        <w:rPr>
          <w:rFonts w:cs="Times New Roman"/>
          <w:szCs w:val="24"/>
        </w:rPr>
      </w:pPr>
    </w:p>
    <w:p w:rsidR="00340BB0" w:rsidRPr="002C77AE" w:rsidP="00561E7E" w14:paraId="08627A52" w14:textId="1B5B564A">
      <w:pPr>
        <w:pStyle w:val="ListParagraph"/>
        <w:numPr>
          <w:ilvl w:val="0"/>
          <w:numId w:val="4"/>
        </w:numPr>
        <w:ind w:left="1080"/>
        <w:rPr>
          <w:rFonts w:cs="Times New Roman"/>
          <w:b/>
          <w:bCs/>
          <w:szCs w:val="24"/>
        </w:rPr>
      </w:pPr>
      <w:r>
        <w:rPr>
          <w:rFonts w:cs="Times New Roman"/>
          <w:szCs w:val="24"/>
        </w:rPr>
        <w:t>“</w:t>
      </w:r>
      <w:r w:rsidRPr="002C77AE" w:rsidR="0049119C">
        <w:rPr>
          <w:rFonts w:cs="Times New Roman"/>
          <w:szCs w:val="24"/>
        </w:rPr>
        <w:t>OMAEG recommends and proposes a three or four-year term.</w:t>
      </w:r>
      <w:r>
        <w:rPr>
          <w:rFonts w:cs="Times New Roman"/>
          <w:szCs w:val="24"/>
        </w:rPr>
        <w:t>”</w:t>
      </w:r>
      <w:r>
        <w:rPr>
          <w:rStyle w:val="FootnoteReference"/>
          <w:rFonts w:cs="Times New Roman"/>
          <w:szCs w:val="24"/>
        </w:rPr>
        <w:footnoteReference w:id="19"/>
      </w:r>
      <w:r w:rsidRPr="002C77AE" w:rsidR="0049119C">
        <w:rPr>
          <w:rFonts w:cs="Times New Roman"/>
          <w:szCs w:val="24"/>
        </w:rPr>
        <w:t xml:space="preserve"> </w:t>
      </w:r>
    </w:p>
    <w:p w:rsidR="00340BB0" w:rsidRPr="002C77AE" w:rsidP="00561E7E" w14:paraId="44FB5E53" w14:textId="77777777">
      <w:pPr>
        <w:pStyle w:val="ListParagraph"/>
        <w:ind w:left="1080" w:hanging="360"/>
        <w:rPr>
          <w:rFonts w:cs="Times New Roman"/>
          <w:szCs w:val="24"/>
        </w:rPr>
      </w:pPr>
    </w:p>
    <w:p w:rsidR="001427C5" w:rsidRPr="002C77AE" w:rsidP="00561E7E" w14:paraId="18D5905E" w14:textId="789106FF">
      <w:pPr>
        <w:pStyle w:val="ListParagraph"/>
        <w:numPr>
          <w:ilvl w:val="0"/>
          <w:numId w:val="4"/>
        </w:numPr>
        <w:ind w:left="1080"/>
        <w:rPr>
          <w:rFonts w:cs="Times New Roman"/>
          <w:szCs w:val="24"/>
        </w:rPr>
      </w:pPr>
      <w:r w:rsidRPr="002C77AE">
        <w:rPr>
          <w:rFonts w:cs="Times New Roman"/>
          <w:szCs w:val="24"/>
        </w:rPr>
        <w:t xml:space="preserve">Kroger stated: </w:t>
      </w:r>
      <w:r w:rsidR="002C77AE">
        <w:rPr>
          <w:rFonts w:cs="Times New Roman"/>
          <w:szCs w:val="24"/>
        </w:rPr>
        <w:t>“</w:t>
      </w:r>
      <w:r w:rsidRPr="002C77AE">
        <w:rPr>
          <w:rFonts w:cs="Times New Roman"/>
          <w:szCs w:val="24"/>
        </w:rPr>
        <w:t>[t]herefore, if the Commission approves a version of the proposed ESP V, it should decrease the ESP term in order to conform with prior precedent, to mitigate the rate impacts on customers, and allow for greater flexibility to account for changing market conditions.</w:t>
      </w:r>
      <w:r w:rsidR="002C77AE">
        <w:rPr>
          <w:rFonts w:cs="Times New Roman"/>
          <w:szCs w:val="24"/>
        </w:rPr>
        <w:t>”</w:t>
      </w:r>
      <w:r>
        <w:rPr>
          <w:rStyle w:val="FootnoteReference"/>
          <w:rFonts w:cs="Times New Roman"/>
          <w:szCs w:val="24"/>
        </w:rPr>
        <w:footnoteReference w:id="20"/>
      </w:r>
      <w:r w:rsidRPr="002C77AE">
        <w:rPr>
          <w:rFonts w:cs="Times New Roman"/>
          <w:szCs w:val="24"/>
        </w:rPr>
        <w:t xml:space="preserve"> </w:t>
      </w:r>
    </w:p>
    <w:p w:rsidR="00BA6C3F" w:rsidRPr="002C77AE" w:rsidP="00BA6C3F" w14:paraId="1F13339E" w14:textId="77777777">
      <w:pPr>
        <w:rPr>
          <w:rFonts w:cs="Times New Roman"/>
          <w:szCs w:val="24"/>
        </w:rPr>
      </w:pPr>
    </w:p>
    <w:p w:rsidR="00340BB0" w:rsidRPr="002C77AE" w:rsidP="00340BB0" w14:paraId="20F9E0D6" w14:textId="1FE8A76A">
      <w:pPr>
        <w:spacing w:line="480" w:lineRule="auto"/>
        <w:ind w:firstLine="720"/>
        <w:rPr>
          <w:rFonts w:cs="Times New Roman"/>
          <w:szCs w:val="24"/>
        </w:rPr>
      </w:pPr>
      <w:r w:rsidRPr="002C77AE">
        <w:rPr>
          <w:rFonts w:cs="Times New Roman"/>
          <w:szCs w:val="24"/>
        </w:rPr>
        <w:t>OCC</w:t>
      </w:r>
      <w:r w:rsidR="002C77AE">
        <w:rPr>
          <w:rFonts w:cs="Times New Roman"/>
          <w:szCs w:val="24"/>
        </w:rPr>
        <w:t>’</w:t>
      </w:r>
      <w:r w:rsidRPr="002C77AE" w:rsidR="00E0530C">
        <w:rPr>
          <w:rFonts w:cs="Times New Roman"/>
          <w:szCs w:val="24"/>
        </w:rPr>
        <w:t xml:space="preserve">s </w:t>
      </w:r>
      <w:r w:rsidRPr="002C77AE">
        <w:rPr>
          <w:rFonts w:cs="Times New Roman"/>
          <w:szCs w:val="24"/>
        </w:rPr>
        <w:t xml:space="preserve">Initial Brief </w:t>
      </w:r>
      <w:r w:rsidRPr="002C77AE" w:rsidR="00E0530C">
        <w:rPr>
          <w:rFonts w:cs="Times New Roman"/>
          <w:szCs w:val="24"/>
        </w:rPr>
        <w:t xml:space="preserve">explained </w:t>
      </w:r>
      <w:r w:rsidRPr="002C77AE">
        <w:rPr>
          <w:rFonts w:cs="Times New Roman"/>
          <w:szCs w:val="24"/>
        </w:rPr>
        <w:t>that in recent cases, the PUCO has approved electric security plans with shorter durations.</w:t>
      </w:r>
      <w:r w:rsidRPr="002C77AE" w:rsidR="00321DF0">
        <w:rPr>
          <w:rFonts w:cs="Times New Roman"/>
          <w:szCs w:val="24"/>
        </w:rPr>
        <w:t xml:space="preserve"> </w:t>
      </w:r>
      <w:r w:rsidRPr="002C77AE">
        <w:rPr>
          <w:rFonts w:cs="Times New Roman"/>
          <w:szCs w:val="24"/>
        </w:rPr>
        <w:t>In the pending AEP electric security plan</w:t>
      </w:r>
      <w:r w:rsidRPr="002C77AE" w:rsidR="00E0530C">
        <w:rPr>
          <w:rFonts w:cs="Times New Roman"/>
          <w:szCs w:val="24"/>
        </w:rPr>
        <w:t xml:space="preserve">, </w:t>
      </w:r>
      <w:r w:rsidRPr="002C77AE">
        <w:rPr>
          <w:rFonts w:cs="Times New Roman"/>
          <w:szCs w:val="24"/>
        </w:rPr>
        <w:t xml:space="preserve">PUCO Staff supports the settlement agreement </w:t>
      </w:r>
      <w:r w:rsidRPr="002C77AE" w:rsidR="00E0530C">
        <w:rPr>
          <w:rFonts w:cs="Times New Roman"/>
          <w:szCs w:val="24"/>
        </w:rPr>
        <w:t>calling</w:t>
      </w:r>
      <w:r w:rsidRPr="002C77AE">
        <w:rPr>
          <w:rFonts w:cs="Times New Roman"/>
          <w:szCs w:val="24"/>
        </w:rPr>
        <w:t xml:space="preserve"> for a four-year electric security plan.</w:t>
      </w:r>
      <w:r>
        <w:rPr>
          <w:rStyle w:val="FootnoteReference"/>
          <w:rFonts w:cs="Times New Roman"/>
          <w:szCs w:val="24"/>
        </w:rPr>
        <w:footnoteReference w:id="21"/>
      </w:r>
      <w:r w:rsidRPr="002C77AE">
        <w:rPr>
          <w:rFonts w:cs="Times New Roman"/>
          <w:szCs w:val="24"/>
        </w:rPr>
        <w:t xml:space="preserve"> The PUCO approved a three-year electric security plan for AES Ohio.</w:t>
      </w:r>
      <w:r>
        <w:rPr>
          <w:rStyle w:val="FootnoteReference"/>
          <w:rFonts w:cs="Times New Roman"/>
          <w:szCs w:val="24"/>
        </w:rPr>
        <w:footnoteReference w:id="22"/>
      </w:r>
      <w:r w:rsidRPr="002C77AE" w:rsidR="00321DF0">
        <w:rPr>
          <w:rFonts w:cs="Times New Roman"/>
          <w:szCs w:val="24"/>
        </w:rPr>
        <w:t xml:space="preserve"> </w:t>
      </w:r>
      <w:r w:rsidRPr="002C77AE" w:rsidR="001427C5">
        <w:rPr>
          <w:rFonts w:cs="Times New Roman"/>
          <w:szCs w:val="24"/>
        </w:rPr>
        <w:t>If the PUCO approves an electric security plan for FirstEnergy, t</w:t>
      </w:r>
      <w:r w:rsidRPr="002C77AE">
        <w:rPr>
          <w:rFonts w:cs="Times New Roman"/>
          <w:szCs w:val="24"/>
        </w:rPr>
        <w:t>he PUCO should follow the</w:t>
      </w:r>
      <w:r w:rsidRPr="002C77AE" w:rsidR="00E0530C">
        <w:rPr>
          <w:rFonts w:cs="Times New Roman"/>
          <w:szCs w:val="24"/>
        </w:rPr>
        <w:t xml:space="preserve"> </w:t>
      </w:r>
      <w:r w:rsidRPr="002C77AE">
        <w:rPr>
          <w:rFonts w:cs="Times New Roman"/>
          <w:szCs w:val="24"/>
        </w:rPr>
        <w:t xml:space="preserve">recommendations </w:t>
      </w:r>
      <w:r w:rsidRPr="002C77AE" w:rsidR="001427C5">
        <w:rPr>
          <w:rFonts w:cs="Times New Roman"/>
          <w:szCs w:val="24"/>
        </w:rPr>
        <w:t xml:space="preserve">of OCC and other intervenors, </w:t>
      </w:r>
      <w:r w:rsidRPr="002C77AE">
        <w:rPr>
          <w:rFonts w:cs="Times New Roman"/>
          <w:szCs w:val="24"/>
        </w:rPr>
        <w:t xml:space="preserve">and its </w:t>
      </w:r>
      <w:r w:rsidRPr="002C77AE" w:rsidR="00E0530C">
        <w:rPr>
          <w:rFonts w:cs="Times New Roman"/>
          <w:szCs w:val="24"/>
        </w:rPr>
        <w:t>own</w:t>
      </w:r>
      <w:r w:rsidRPr="002C77AE" w:rsidR="001427C5">
        <w:rPr>
          <w:rFonts w:cs="Times New Roman"/>
          <w:szCs w:val="24"/>
        </w:rPr>
        <w:t xml:space="preserve"> past</w:t>
      </w:r>
      <w:r w:rsidRPr="002C77AE" w:rsidR="00E0530C">
        <w:rPr>
          <w:rFonts w:cs="Times New Roman"/>
          <w:szCs w:val="24"/>
        </w:rPr>
        <w:t xml:space="preserve"> </w:t>
      </w:r>
      <w:r w:rsidRPr="002C77AE">
        <w:rPr>
          <w:rFonts w:cs="Times New Roman"/>
          <w:szCs w:val="24"/>
        </w:rPr>
        <w:t>precedent</w:t>
      </w:r>
      <w:r w:rsidRPr="002C77AE" w:rsidR="001427C5">
        <w:rPr>
          <w:rFonts w:cs="Times New Roman"/>
          <w:szCs w:val="24"/>
        </w:rPr>
        <w:t>,</w:t>
      </w:r>
      <w:r w:rsidRPr="002C77AE">
        <w:rPr>
          <w:rFonts w:cs="Times New Roman"/>
          <w:szCs w:val="24"/>
        </w:rPr>
        <w:t xml:space="preserve"> to limit </w:t>
      </w:r>
      <w:r w:rsidRPr="002C77AE" w:rsidR="00E0530C">
        <w:rPr>
          <w:rFonts w:cs="Times New Roman"/>
          <w:szCs w:val="24"/>
        </w:rPr>
        <w:t>the</w:t>
      </w:r>
      <w:r w:rsidRPr="002C77AE">
        <w:rPr>
          <w:rFonts w:cs="Times New Roman"/>
          <w:szCs w:val="24"/>
        </w:rPr>
        <w:t xml:space="preserve"> electric security plan</w:t>
      </w:r>
      <w:r w:rsidRPr="002C77AE" w:rsidR="00E0530C">
        <w:rPr>
          <w:rFonts w:cs="Times New Roman"/>
          <w:szCs w:val="24"/>
        </w:rPr>
        <w:t xml:space="preserve"> (</w:t>
      </w:r>
      <w:r w:rsidRPr="002C77AE">
        <w:rPr>
          <w:rFonts w:cs="Times New Roman"/>
          <w:szCs w:val="24"/>
        </w:rPr>
        <w:t>if approved</w:t>
      </w:r>
      <w:r w:rsidRPr="002C77AE" w:rsidR="00E0530C">
        <w:rPr>
          <w:rFonts w:cs="Times New Roman"/>
          <w:szCs w:val="24"/>
        </w:rPr>
        <w:t>)</w:t>
      </w:r>
      <w:r w:rsidRPr="002C77AE">
        <w:rPr>
          <w:rFonts w:cs="Times New Roman"/>
          <w:szCs w:val="24"/>
        </w:rPr>
        <w:t xml:space="preserve"> to four years.</w:t>
      </w:r>
    </w:p>
    <w:p w:rsidR="009F0C4A" w:rsidRPr="002C77AE" w14:paraId="06844058" w14:textId="77777777">
      <w:pPr>
        <w:spacing w:after="200" w:line="276" w:lineRule="auto"/>
        <w:rPr>
          <w:rFonts w:cs="Times New Roman"/>
          <w:b/>
          <w:bCs/>
          <w:szCs w:val="24"/>
        </w:rPr>
      </w:pPr>
      <w:bookmarkStart w:id="12" w:name="_Toc156561524"/>
      <w:r w:rsidRPr="002C77AE">
        <w:rPr>
          <w:rFonts w:cs="Times New Roman"/>
          <w:szCs w:val="24"/>
        </w:rPr>
        <w:br w:type="page"/>
      </w:r>
    </w:p>
    <w:p w:rsidR="003312EB" w:rsidRPr="002C77AE" w:rsidP="61C474A6" w14:paraId="2BCE762A" w14:textId="5087024B">
      <w:pPr>
        <w:pStyle w:val="Heading2"/>
        <w:rPr>
          <w:highlight w:val="green"/>
        </w:rPr>
      </w:pPr>
      <w:bookmarkStart w:id="13" w:name="_Toc158373169"/>
      <w:r w:rsidRPr="002C77AE">
        <w:t>C</w:t>
      </w:r>
      <w:r w:rsidRPr="002C77AE" w:rsidR="0049119C">
        <w:t>.</w:t>
      </w:r>
      <w:r w:rsidRPr="002C77AE" w:rsidR="004A31CA">
        <w:tab/>
      </w:r>
      <w:r w:rsidRPr="002C77AE" w:rsidR="0049119C">
        <w:t>FirstEnergy</w:t>
      </w:r>
      <w:r w:rsidR="002C77AE">
        <w:t>’</w:t>
      </w:r>
      <w:r w:rsidRPr="002C77AE" w:rsidR="0049119C">
        <w:t>s SSO auction proposal is unjust and unreasonable because it does not provide for separate SSO auctions for residential consumers.</w:t>
      </w:r>
      <w:bookmarkEnd w:id="12"/>
      <w:bookmarkEnd w:id="13"/>
    </w:p>
    <w:p w:rsidR="0079559F" w:rsidRPr="002C77AE" w:rsidP="003F0760" w14:paraId="6581B135" w14:textId="755ABDC4">
      <w:pPr>
        <w:spacing w:line="480" w:lineRule="auto"/>
        <w:ind w:firstLine="720"/>
        <w:rPr>
          <w:rFonts w:eastAsia="Calibri" w:cs="Times New Roman"/>
          <w:szCs w:val="24"/>
        </w:rPr>
      </w:pPr>
      <w:r w:rsidRPr="002C77AE">
        <w:rPr>
          <w:rFonts w:eastAsia="Calibri" w:cs="Times New Roman"/>
          <w:szCs w:val="24"/>
        </w:rPr>
        <w:t>OCC</w:t>
      </w:r>
      <w:r w:rsidR="002C77AE">
        <w:rPr>
          <w:rFonts w:eastAsia="Calibri" w:cs="Times New Roman"/>
          <w:szCs w:val="24"/>
        </w:rPr>
        <w:t>’</w:t>
      </w:r>
      <w:r w:rsidRPr="002C77AE" w:rsidR="00366341">
        <w:rPr>
          <w:rFonts w:eastAsia="Calibri" w:cs="Times New Roman"/>
          <w:szCs w:val="24"/>
        </w:rPr>
        <w:t>s Initial Brief</w:t>
      </w:r>
      <w:r w:rsidRPr="002C77AE">
        <w:rPr>
          <w:rFonts w:eastAsia="Calibri" w:cs="Times New Roman"/>
          <w:szCs w:val="24"/>
        </w:rPr>
        <w:t xml:space="preserve"> argued that</w:t>
      </w:r>
      <w:r w:rsidRPr="002C77AE" w:rsidR="00083241">
        <w:rPr>
          <w:rFonts w:eastAsia="Calibri" w:cs="Times New Roman"/>
          <w:szCs w:val="24"/>
        </w:rPr>
        <w:t xml:space="preserve"> h</w:t>
      </w:r>
      <w:r w:rsidRPr="002C77AE" w:rsidR="003312EB">
        <w:rPr>
          <w:rFonts w:eastAsia="Calibri" w:cs="Times New Roman"/>
          <w:szCs w:val="24"/>
        </w:rPr>
        <w:t xml:space="preserve">olding separate auctions for different consumer classes would </w:t>
      </w:r>
      <w:r w:rsidRPr="002C77AE" w:rsidR="00366341">
        <w:rPr>
          <w:rFonts w:eastAsia="Calibri" w:cs="Times New Roman"/>
          <w:szCs w:val="24"/>
        </w:rPr>
        <w:t xml:space="preserve">make the SSO auctions more efficient and would </w:t>
      </w:r>
      <w:r w:rsidRPr="002C77AE" w:rsidR="00F35DE2">
        <w:rPr>
          <w:rFonts w:eastAsia="Calibri" w:cs="Times New Roman"/>
          <w:szCs w:val="24"/>
        </w:rPr>
        <w:t>benefit c</w:t>
      </w:r>
      <w:r w:rsidRPr="002C77AE" w:rsidR="00366341">
        <w:rPr>
          <w:rFonts w:eastAsia="Calibri" w:cs="Times New Roman"/>
          <w:szCs w:val="24"/>
        </w:rPr>
        <w:t>onsumers</w:t>
      </w:r>
      <w:r w:rsidRPr="002C77AE" w:rsidR="00F35DE2">
        <w:rPr>
          <w:rFonts w:eastAsia="Calibri" w:cs="Times New Roman"/>
          <w:szCs w:val="24"/>
        </w:rPr>
        <w:t xml:space="preserve"> by eliminating</w:t>
      </w:r>
      <w:r w:rsidRPr="002C77AE" w:rsidR="001329EA">
        <w:rPr>
          <w:rFonts w:eastAsia="Calibri" w:cs="Times New Roman"/>
          <w:szCs w:val="24"/>
        </w:rPr>
        <w:t xml:space="preserve"> </w:t>
      </w:r>
      <w:r w:rsidRPr="002C77AE" w:rsidR="00366341">
        <w:rPr>
          <w:rFonts w:eastAsia="Calibri" w:cs="Times New Roman"/>
          <w:szCs w:val="24"/>
        </w:rPr>
        <w:t>subsidies to</w:t>
      </w:r>
      <w:r w:rsidRPr="002C77AE" w:rsidR="00D85614">
        <w:rPr>
          <w:rFonts w:eastAsia="Calibri" w:cs="Times New Roman"/>
          <w:szCs w:val="24"/>
        </w:rPr>
        <w:t xml:space="preserve"> higher-cost consumer classes</w:t>
      </w:r>
      <w:r w:rsidRPr="002C77AE" w:rsidR="003312EB">
        <w:rPr>
          <w:rFonts w:eastAsia="Calibri" w:cs="Times New Roman"/>
          <w:szCs w:val="24"/>
        </w:rPr>
        <w:t>.</w:t>
      </w:r>
      <w:r>
        <w:rPr>
          <w:rStyle w:val="FootnoteReference"/>
          <w:rFonts w:eastAsia="Calibri" w:cs="Times New Roman"/>
          <w:szCs w:val="24"/>
        </w:rPr>
        <w:footnoteReference w:id="23"/>
      </w:r>
      <w:r w:rsidRPr="002C77AE" w:rsidR="00080018">
        <w:rPr>
          <w:rFonts w:eastAsia="Calibri" w:cs="Times New Roman"/>
          <w:szCs w:val="24"/>
        </w:rPr>
        <w:t xml:space="preserve"> This approach </w:t>
      </w:r>
      <w:r w:rsidRPr="002C77AE" w:rsidR="00366341">
        <w:rPr>
          <w:rFonts w:eastAsia="Calibri" w:cs="Times New Roman"/>
          <w:szCs w:val="24"/>
        </w:rPr>
        <w:t>has been</w:t>
      </w:r>
      <w:r w:rsidRPr="002C77AE" w:rsidR="00080018">
        <w:rPr>
          <w:rFonts w:eastAsia="Calibri" w:cs="Times New Roman"/>
          <w:szCs w:val="24"/>
        </w:rPr>
        <w:t xml:space="preserve"> </w:t>
      </w:r>
      <w:r w:rsidRPr="002C77AE" w:rsidR="00E76A1E">
        <w:rPr>
          <w:rFonts w:eastAsia="Calibri" w:cs="Times New Roman"/>
          <w:szCs w:val="24"/>
        </w:rPr>
        <w:t xml:space="preserve">utilized </w:t>
      </w:r>
      <w:r w:rsidRPr="002C77AE" w:rsidR="00366341">
        <w:rPr>
          <w:rFonts w:eastAsia="Calibri" w:cs="Times New Roman"/>
          <w:szCs w:val="24"/>
        </w:rPr>
        <w:t xml:space="preserve">for many years </w:t>
      </w:r>
      <w:r w:rsidRPr="002C77AE" w:rsidR="00E76A1E">
        <w:rPr>
          <w:rFonts w:eastAsia="Calibri" w:cs="Times New Roman"/>
          <w:szCs w:val="24"/>
        </w:rPr>
        <w:t xml:space="preserve">in other states such as </w:t>
      </w:r>
      <w:r w:rsidRPr="002C77AE" w:rsidR="003312EB">
        <w:rPr>
          <w:rFonts w:eastAsia="Calibri" w:cs="Times New Roman"/>
          <w:szCs w:val="24"/>
        </w:rPr>
        <w:t>New Jersey, Maryland, the District of Columbia, and Illinois</w:t>
      </w:r>
      <w:r w:rsidRPr="002C77AE" w:rsidR="00366341">
        <w:rPr>
          <w:rFonts w:eastAsia="Calibri" w:cs="Times New Roman"/>
          <w:szCs w:val="24"/>
        </w:rPr>
        <w:t>.</w:t>
      </w:r>
      <w:r w:rsidRPr="002C77AE" w:rsidR="00321DF0">
        <w:rPr>
          <w:rFonts w:eastAsia="Calibri" w:cs="Times New Roman"/>
          <w:szCs w:val="24"/>
        </w:rPr>
        <w:t xml:space="preserve"> </w:t>
      </w:r>
      <w:r w:rsidRPr="002C77AE" w:rsidR="00366341">
        <w:rPr>
          <w:rFonts w:eastAsia="Calibri" w:cs="Times New Roman"/>
          <w:szCs w:val="24"/>
        </w:rPr>
        <w:t>These states hold</w:t>
      </w:r>
      <w:r w:rsidRPr="002C77AE" w:rsidR="003312EB">
        <w:rPr>
          <w:rFonts w:eastAsia="Calibri" w:cs="Times New Roman"/>
          <w:szCs w:val="24"/>
        </w:rPr>
        <w:t xml:space="preserve"> </w:t>
      </w:r>
      <w:r w:rsidRPr="002C77AE" w:rsidR="00D2769F">
        <w:rPr>
          <w:rFonts w:eastAsia="Calibri" w:cs="Times New Roman"/>
          <w:szCs w:val="24"/>
        </w:rPr>
        <w:t xml:space="preserve">SSO </w:t>
      </w:r>
      <w:r w:rsidRPr="002C77AE" w:rsidR="00381684">
        <w:rPr>
          <w:rFonts w:eastAsia="Calibri" w:cs="Times New Roman"/>
          <w:szCs w:val="24"/>
        </w:rPr>
        <w:t>auction</w:t>
      </w:r>
      <w:r w:rsidRPr="002C77AE" w:rsidR="00997D79">
        <w:rPr>
          <w:rFonts w:eastAsia="Calibri" w:cs="Times New Roman"/>
          <w:szCs w:val="24"/>
        </w:rPr>
        <w:t xml:space="preserve">s </w:t>
      </w:r>
      <w:r w:rsidRPr="002C77AE" w:rsidR="00D2769F">
        <w:rPr>
          <w:rFonts w:eastAsia="Calibri" w:cs="Times New Roman"/>
          <w:szCs w:val="24"/>
        </w:rPr>
        <w:t xml:space="preserve">with </w:t>
      </w:r>
      <w:r w:rsidRPr="002C77AE" w:rsidR="00997D79">
        <w:rPr>
          <w:rFonts w:eastAsia="Calibri" w:cs="Times New Roman"/>
          <w:szCs w:val="24"/>
        </w:rPr>
        <w:t xml:space="preserve">a </w:t>
      </w:r>
      <w:r w:rsidRPr="002C77AE" w:rsidR="00D2769F">
        <w:rPr>
          <w:rFonts w:eastAsia="Calibri" w:cs="Times New Roman"/>
          <w:szCs w:val="24"/>
        </w:rPr>
        <w:t xml:space="preserve">separate </w:t>
      </w:r>
      <w:r w:rsidRPr="002C77AE" w:rsidR="00997D79">
        <w:rPr>
          <w:rFonts w:eastAsia="Calibri" w:cs="Times New Roman"/>
          <w:szCs w:val="24"/>
        </w:rPr>
        <w:t xml:space="preserve">class </w:t>
      </w:r>
      <w:r w:rsidRPr="002C77AE" w:rsidR="00D2769F">
        <w:rPr>
          <w:rFonts w:eastAsia="Calibri" w:cs="Times New Roman"/>
          <w:szCs w:val="24"/>
        </w:rPr>
        <w:t>for</w:t>
      </w:r>
      <w:r w:rsidRPr="002C77AE" w:rsidR="00997D79">
        <w:rPr>
          <w:rFonts w:eastAsia="Calibri" w:cs="Times New Roman"/>
          <w:szCs w:val="24"/>
        </w:rPr>
        <w:t xml:space="preserve"> </w:t>
      </w:r>
      <w:r w:rsidRPr="002C77AE" w:rsidR="003312EB">
        <w:rPr>
          <w:rFonts w:eastAsia="Calibri" w:cs="Times New Roman"/>
          <w:szCs w:val="24"/>
        </w:rPr>
        <w:t xml:space="preserve">residential </w:t>
      </w:r>
      <w:r w:rsidRPr="002C77AE" w:rsidR="002B1BD9">
        <w:rPr>
          <w:rFonts w:eastAsia="Calibri" w:cs="Times New Roman"/>
          <w:szCs w:val="24"/>
        </w:rPr>
        <w:t>and</w:t>
      </w:r>
      <w:r w:rsidRPr="002C77AE" w:rsidR="003312EB">
        <w:rPr>
          <w:rFonts w:eastAsia="Calibri" w:cs="Times New Roman"/>
          <w:szCs w:val="24"/>
        </w:rPr>
        <w:t xml:space="preserve"> small commercial consumers</w:t>
      </w:r>
      <w:r w:rsidRPr="002C77AE" w:rsidR="00997D79">
        <w:rPr>
          <w:rFonts w:eastAsia="Calibri" w:cs="Times New Roman"/>
          <w:szCs w:val="24"/>
        </w:rPr>
        <w:t>.</w:t>
      </w:r>
      <w:r>
        <w:rPr>
          <w:rStyle w:val="FootnoteReference"/>
          <w:rFonts w:eastAsia="Calibri" w:cs="Times New Roman"/>
          <w:szCs w:val="24"/>
        </w:rPr>
        <w:footnoteReference w:id="24"/>
      </w:r>
      <w:r w:rsidRPr="002C77AE" w:rsidR="003312EB">
        <w:rPr>
          <w:rFonts w:eastAsia="Calibri" w:cs="Times New Roman"/>
          <w:szCs w:val="24"/>
        </w:rPr>
        <w:t xml:space="preserve"> Pennsylvania, Delaware and Massachusetts </w:t>
      </w:r>
      <w:r w:rsidRPr="002C77AE" w:rsidR="00997D79">
        <w:rPr>
          <w:rFonts w:eastAsia="Calibri" w:cs="Times New Roman"/>
          <w:szCs w:val="24"/>
        </w:rPr>
        <w:t>also hold separate auctions, but for a class comprised of r</w:t>
      </w:r>
      <w:r w:rsidRPr="002C77AE" w:rsidR="003312EB">
        <w:rPr>
          <w:rFonts w:eastAsia="Calibri" w:cs="Times New Roman"/>
          <w:szCs w:val="24"/>
        </w:rPr>
        <w:t xml:space="preserve">esidential consumers </w:t>
      </w:r>
      <w:r w:rsidRPr="002C77AE" w:rsidR="00997D79">
        <w:rPr>
          <w:rFonts w:eastAsia="Calibri" w:cs="Times New Roman"/>
          <w:szCs w:val="24"/>
        </w:rPr>
        <w:t>only</w:t>
      </w:r>
      <w:r w:rsidRPr="002C77AE" w:rsidR="003312EB">
        <w:rPr>
          <w:rFonts w:eastAsia="Calibri" w:cs="Times New Roman"/>
          <w:szCs w:val="24"/>
        </w:rPr>
        <w:t>.</w:t>
      </w:r>
      <w:r>
        <w:rPr>
          <w:rStyle w:val="FootnoteReference"/>
          <w:rFonts w:eastAsia="Calibri" w:cs="Times New Roman"/>
          <w:szCs w:val="24"/>
        </w:rPr>
        <w:footnoteReference w:id="25"/>
      </w:r>
      <w:r w:rsidRPr="002C77AE" w:rsidR="003312EB">
        <w:rPr>
          <w:rFonts w:eastAsia="Calibri" w:cs="Times New Roman"/>
          <w:szCs w:val="24"/>
        </w:rPr>
        <w:t xml:space="preserve"> </w:t>
      </w:r>
    </w:p>
    <w:p w:rsidR="00D2769F" w:rsidRPr="002C77AE" w:rsidP="003F0760" w14:paraId="14F4D411" w14:textId="2E012B49">
      <w:pPr>
        <w:spacing w:line="480" w:lineRule="auto"/>
        <w:ind w:firstLine="720"/>
        <w:rPr>
          <w:rFonts w:eastAsia="Calibri" w:cs="Times New Roman"/>
          <w:szCs w:val="24"/>
        </w:rPr>
      </w:pPr>
      <w:r w:rsidRPr="002C77AE">
        <w:rPr>
          <w:rFonts w:eastAsia="Calibri" w:cs="Times New Roman"/>
          <w:szCs w:val="24"/>
        </w:rPr>
        <w:t xml:space="preserve">Constellation New Energy supports this approach, </w:t>
      </w:r>
      <w:r w:rsidRPr="002C77AE" w:rsidR="00185BF9">
        <w:rPr>
          <w:rFonts w:eastAsia="Calibri" w:cs="Times New Roman"/>
          <w:szCs w:val="24"/>
        </w:rPr>
        <w:t xml:space="preserve">correctly </w:t>
      </w:r>
      <w:r w:rsidRPr="002C77AE">
        <w:rPr>
          <w:rFonts w:eastAsia="Calibri" w:cs="Times New Roman"/>
          <w:szCs w:val="24"/>
        </w:rPr>
        <w:t>noting that</w:t>
      </w:r>
      <w:r w:rsidRPr="002C77AE" w:rsidR="00130A6C">
        <w:rPr>
          <w:rFonts w:eastAsia="Calibri" w:cs="Times New Roman"/>
          <w:szCs w:val="24"/>
        </w:rPr>
        <w:t xml:space="preserve"> </w:t>
      </w:r>
      <w:r w:rsidR="002C77AE">
        <w:rPr>
          <w:rFonts w:eastAsia="Calibri" w:cs="Times New Roman"/>
          <w:szCs w:val="24"/>
        </w:rPr>
        <w:t>“</w:t>
      </w:r>
      <w:r w:rsidRPr="002C77AE" w:rsidR="00A81329">
        <w:rPr>
          <w:rFonts w:eastAsia="Calibri" w:cs="Times New Roman"/>
          <w:szCs w:val="24"/>
        </w:rPr>
        <w:t>class-based auctions will result in better prices for customers by properly allocating risks and costs.</w:t>
      </w:r>
      <w:r w:rsidR="002C77AE">
        <w:rPr>
          <w:rFonts w:eastAsia="Calibri" w:cs="Times New Roman"/>
          <w:szCs w:val="24"/>
        </w:rPr>
        <w:t>”</w:t>
      </w:r>
      <w:r>
        <w:rPr>
          <w:rStyle w:val="FootnoteReference"/>
          <w:rFonts w:eastAsia="Calibri" w:cs="Times New Roman"/>
          <w:szCs w:val="24"/>
        </w:rPr>
        <w:footnoteReference w:id="26"/>
      </w:r>
      <w:r w:rsidRPr="002C77AE" w:rsidR="006B1C43">
        <w:rPr>
          <w:rFonts w:eastAsia="Calibri" w:cs="Times New Roman"/>
          <w:szCs w:val="24"/>
        </w:rPr>
        <w:t xml:space="preserve"> </w:t>
      </w:r>
      <w:r w:rsidRPr="002C77AE">
        <w:rPr>
          <w:rFonts w:eastAsia="Calibri" w:cs="Times New Roman"/>
          <w:szCs w:val="24"/>
        </w:rPr>
        <w:t xml:space="preserve">Constellation New Energy has wide experience </w:t>
      </w:r>
      <w:r w:rsidRPr="002C77AE" w:rsidR="00185BF9">
        <w:rPr>
          <w:rFonts w:eastAsia="Calibri" w:cs="Times New Roman"/>
          <w:szCs w:val="24"/>
        </w:rPr>
        <w:t>with</w:t>
      </w:r>
      <w:r w:rsidRPr="002C77AE">
        <w:rPr>
          <w:rFonts w:eastAsia="Calibri" w:cs="Times New Roman"/>
          <w:szCs w:val="24"/>
        </w:rPr>
        <w:t xml:space="preserve"> SSO auctions in several states over many years.</w:t>
      </w:r>
      <w:r w:rsidRPr="002C77AE" w:rsidR="00321DF0">
        <w:rPr>
          <w:rFonts w:eastAsia="Calibri" w:cs="Times New Roman"/>
          <w:szCs w:val="24"/>
        </w:rPr>
        <w:t xml:space="preserve"> </w:t>
      </w:r>
      <w:r w:rsidRPr="002C77AE" w:rsidR="0079559F">
        <w:rPr>
          <w:rFonts w:eastAsia="Calibri" w:cs="Times New Roman"/>
          <w:szCs w:val="24"/>
        </w:rPr>
        <w:t xml:space="preserve">Separating the SSO auctions by consumer class </w:t>
      </w:r>
      <w:r w:rsidRPr="002C77AE">
        <w:rPr>
          <w:rFonts w:eastAsia="Calibri" w:cs="Times New Roman"/>
          <w:szCs w:val="24"/>
        </w:rPr>
        <w:t xml:space="preserve">would </w:t>
      </w:r>
      <w:r w:rsidRPr="002C77AE" w:rsidR="00185BF9">
        <w:rPr>
          <w:rFonts w:eastAsia="Calibri" w:cs="Times New Roman"/>
          <w:szCs w:val="24"/>
        </w:rPr>
        <w:t xml:space="preserve">also </w:t>
      </w:r>
      <w:r w:rsidRPr="002C77AE">
        <w:rPr>
          <w:rFonts w:eastAsia="Calibri" w:cs="Times New Roman"/>
          <w:szCs w:val="24"/>
        </w:rPr>
        <w:t xml:space="preserve">be consistent with </w:t>
      </w:r>
      <w:r w:rsidRPr="002C77AE" w:rsidR="0079559F">
        <w:rPr>
          <w:rFonts w:eastAsia="Calibri" w:cs="Times New Roman"/>
          <w:szCs w:val="24"/>
        </w:rPr>
        <w:t xml:space="preserve">the following </w:t>
      </w:r>
      <w:r w:rsidRPr="002C77AE">
        <w:rPr>
          <w:rFonts w:eastAsia="Calibri" w:cs="Times New Roman"/>
          <w:szCs w:val="24"/>
        </w:rPr>
        <w:t>Ohio energy polic</w:t>
      </w:r>
      <w:r w:rsidRPr="002C77AE" w:rsidR="0079559F">
        <w:rPr>
          <w:rFonts w:eastAsia="Calibri" w:cs="Times New Roman"/>
          <w:szCs w:val="24"/>
        </w:rPr>
        <w:t>ies</w:t>
      </w:r>
      <w:r w:rsidRPr="002C77AE">
        <w:rPr>
          <w:rFonts w:eastAsia="Calibri" w:cs="Times New Roman"/>
          <w:szCs w:val="24"/>
        </w:rPr>
        <w:t>:</w:t>
      </w:r>
    </w:p>
    <w:p w:rsidR="00D2769F" w:rsidRPr="002C77AE" w:rsidP="00B03B90" w14:paraId="5216A5A5" w14:textId="5FF21207">
      <w:pPr>
        <w:pStyle w:val="ListParagraph"/>
        <w:numPr>
          <w:ilvl w:val="0"/>
          <w:numId w:val="5"/>
        </w:numPr>
        <w:ind w:left="1080"/>
        <w:rPr>
          <w:rFonts w:cs="Times New Roman"/>
          <w:color w:val="333333"/>
          <w:szCs w:val="24"/>
          <w:shd w:val="clear" w:color="auto" w:fill="FFFFFF"/>
        </w:rPr>
      </w:pPr>
      <w:r>
        <w:rPr>
          <w:rFonts w:cs="Times New Roman"/>
          <w:color w:val="333333"/>
          <w:szCs w:val="24"/>
          <w:shd w:val="clear" w:color="auto" w:fill="FFFFFF"/>
        </w:rPr>
        <w:t>“</w:t>
      </w:r>
      <w:r w:rsidRPr="002C77AE" w:rsidR="0049119C">
        <w:rPr>
          <w:rFonts w:cs="Times New Roman"/>
          <w:color w:val="333333"/>
          <w:szCs w:val="24"/>
          <w:shd w:val="clear" w:color="auto" w:fill="FFFFFF"/>
        </w:rPr>
        <w:t>Ensure the availability to consumers of … efficient … and reasonably priced retail electric service;</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27"/>
      </w:r>
    </w:p>
    <w:p w:rsidR="0079559F" w:rsidRPr="002C77AE" w:rsidP="00B03B90" w14:paraId="4ECD0B68" w14:textId="77777777">
      <w:pPr>
        <w:pStyle w:val="ListParagraph"/>
        <w:ind w:left="1080" w:hanging="360"/>
        <w:rPr>
          <w:rFonts w:cs="Times New Roman"/>
          <w:color w:val="333333"/>
          <w:szCs w:val="24"/>
          <w:shd w:val="clear" w:color="auto" w:fill="FFFFFF"/>
        </w:rPr>
      </w:pPr>
    </w:p>
    <w:p w:rsidR="00D2769F" w:rsidRPr="002C77AE" w:rsidP="00B03B90" w14:paraId="6E0A42E4" w14:textId="35ED0DD0">
      <w:pPr>
        <w:pStyle w:val="ListParagraph"/>
        <w:numPr>
          <w:ilvl w:val="0"/>
          <w:numId w:val="5"/>
        </w:numPr>
        <w:ind w:left="1080"/>
        <w:rPr>
          <w:rFonts w:cs="Times New Roman"/>
          <w:color w:val="333333"/>
          <w:szCs w:val="24"/>
          <w:shd w:val="clear" w:color="auto" w:fill="FFFFFF"/>
        </w:rPr>
      </w:pPr>
      <w:r>
        <w:rPr>
          <w:rFonts w:cs="Times New Roman"/>
          <w:color w:val="333333"/>
          <w:szCs w:val="24"/>
          <w:shd w:val="clear" w:color="auto" w:fill="FFFFFF"/>
        </w:rPr>
        <w:t>“</w:t>
      </w:r>
      <w:r w:rsidRPr="002C77AE" w:rsidR="0049119C">
        <w:rPr>
          <w:rFonts w:cs="Times New Roman"/>
          <w:color w:val="333333"/>
          <w:szCs w:val="24"/>
          <w:shd w:val="clear" w:color="auto" w:fill="FFFFFF"/>
        </w:rPr>
        <w:t>Ensure the availability of … retail electric service that provides consumers with the … price, terms, [and] conditions, … they elect to meet their respective needs;</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28"/>
      </w:r>
    </w:p>
    <w:p w:rsidR="0079559F" w:rsidRPr="002C77AE" w:rsidP="00B03B90" w14:paraId="2506794B" w14:textId="77777777">
      <w:pPr>
        <w:ind w:left="1080" w:hanging="360"/>
        <w:rPr>
          <w:rFonts w:cs="Times New Roman"/>
          <w:color w:val="333333"/>
          <w:szCs w:val="24"/>
          <w:shd w:val="clear" w:color="auto" w:fill="FFFFFF"/>
        </w:rPr>
      </w:pPr>
    </w:p>
    <w:p w:rsidR="00D2769F" w:rsidRPr="002C77AE" w:rsidP="00B03B90" w14:paraId="6F8ED8A8" w14:textId="166CD4DE">
      <w:pPr>
        <w:pStyle w:val="ListParagraph"/>
        <w:numPr>
          <w:ilvl w:val="0"/>
          <w:numId w:val="5"/>
        </w:numPr>
        <w:ind w:left="1080"/>
        <w:rPr>
          <w:rFonts w:cs="Times New Roman"/>
          <w:color w:val="333333"/>
          <w:szCs w:val="24"/>
          <w:shd w:val="clear" w:color="auto" w:fill="FFFFFF"/>
        </w:rPr>
      </w:pPr>
      <w:r>
        <w:rPr>
          <w:rFonts w:cs="Times New Roman"/>
          <w:color w:val="333333"/>
          <w:szCs w:val="24"/>
          <w:shd w:val="clear" w:color="auto" w:fill="FFFFFF"/>
        </w:rPr>
        <w:t>“</w:t>
      </w:r>
      <w:r w:rsidRPr="002C77AE" w:rsidR="0049119C">
        <w:rPr>
          <w:rFonts w:cs="Times New Roman"/>
          <w:color w:val="333333"/>
          <w:szCs w:val="24"/>
          <w:shd w:val="clear" w:color="auto" w:fill="FFFFFF"/>
        </w:rPr>
        <w:t>Ensure diversity of electricity supplies and suppliers, by giving consumers effective choices over the selection of those supplies and suppliers;</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29"/>
      </w:r>
    </w:p>
    <w:p w:rsidR="0079559F" w:rsidRPr="002C77AE" w:rsidP="00B03B90" w14:paraId="587AF6D2" w14:textId="77777777">
      <w:pPr>
        <w:ind w:left="1080" w:hanging="360"/>
        <w:rPr>
          <w:rFonts w:cs="Times New Roman"/>
          <w:color w:val="333333"/>
          <w:szCs w:val="24"/>
          <w:shd w:val="clear" w:color="auto" w:fill="FFFFFF"/>
        </w:rPr>
      </w:pPr>
    </w:p>
    <w:p w:rsidR="00D2769F" w:rsidRPr="002C77AE" w:rsidP="00B03B90" w14:paraId="609CBA18" w14:textId="243C33B2">
      <w:pPr>
        <w:pStyle w:val="ListParagraph"/>
        <w:numPr>
          <w:ilvl w:val="0"/>
          <w:numId w:val="5"/>
        </w:numPr>
        <w:ind w:left="1080"/>
        <w:rPr>
          <w:rFonts w:cs="Times New Roman"/>
          <w:color w:val="333333"/>
          <w:szCs w:val="24"/>
          <w:shd w:val="clear" w:color="auto" w:fill="FFFFFF"/>
        </w:rPr>
      </w:pPr>
      <w:r>
        <w:rPr>
          <w:rFonts w:cs="Times New Roman"/>
          <w:color w:val="333333"/>
          <w:szCs w:val="24"/>
          <w:shd w:val="clear" w:color="auto" w:fill="FFFFFF"/>
        </w:rPr>
        <w:t>“</w:t>
      </w:r>
      <w:r w:rsidRPr="002C77AE" w:rsidR="0049119C">
        <w:rPr>
          <w:rFonts w:cs="Times New Roman"/>
          <w:color w:val="333333"/>
          <w:szCs w:val="24"/>
          <w:shd w:val="clear" w:color="auto" w:fill="FFFFFF"/>
        </w:rPr>
        <w:t>Encourage innovation and market access for cost-effective supply- and demand-side retail electric service;</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30"/>
      </w:r>
    </w:p>
    <w:p w:rsidR="0079559F" w:rsidRPr="002C77AE" w:rsidP="00B03B90" w14:paraId="66C291D0" w14:textId="05C0E3B7">
      <w:pPr>
        <w:ind w:left="1080" w:hanging="360"/>
        <w:rPr>
          <w:rFonts w:cs="Times New Roman"/>
          <w:color w:val="333333"/>
          <w:szCs w:val="24"/>
          <w:shd w:val="clear" w:color="auto" w:fill="FFFFFF"/>
        </w:rPr>
      </w:pPr>
    </w:p>
    <w:p w:rsidR="00D2769F" w:rsidRPr="002C77AE" w:rsidP="00B03B90" w14:paraId="54CC4962" w14:textId="5B5420F1">
      <w:pPr>
        <w:pStyle w:val="ListParagraph"/>
        <w:numPr>
          <w:ilvl w:val="0"/>
          <w:numId w:val="5"/>
        </w:numPr>
        <w:ind w:left="1080"/>
        <w:rPr>
          <w:rFonts w:cs="Times New Roman"/>
          <w:color w:val="333333"/>
          <w:szCs w:val="24"/>
          <w:shd w:val="clear" w:color="auto" w:fill="FFFFFF"/>
        </w:rPr>
      </w:pPr>
      <w:r>
        <w:rPr>
          <w:rFonts w:cs="Times New Roman"/>
          <w:color w:val="333333"/>
          <w:szCs w:val="24"/>
          <w:shd w:val="clear" w:color="auto" w:fill="FFFFFF"/>
        </w:rPr>
        <w:t>“</w:t>
      </w:r>
      <w:r w:rsidRPr="002C77AE" w:rsidR="0079559F">
        <w:rPr>
          <w:rFonts w:cs="Times New Roman"/>
          <w:color w:val="333333"/>
          <w:szCs w:val="24"/>
          <w:shd w:val="clear" w:color="auto" w:fill="FFFFFF"/>
        </w:rPr>
        <w:t>Recognize the continuing emergence of competitive electricity markets through the development and implementation of flexible regulatory treatment</w:t>
      </w:r>
      <w:r w:rsidRPr="002C77AE" w:rsidR="0049119C">
        <w:rPr>
          <w:rFonts w:cs="Times New Roman"/>
          <w:color w:val="333333"/>
          <w:szCs w:val="24"/>
          <w:shd w:val="clear" w:color="auto" w:fill="FFFFFF"/>
        </w:rPr>
        <w:t>;</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31"/>
      </w:r>
    </w:p>
    <w:p w:rsidR="0079559F" w:rsidRPr="002C77AE" w:rsidP="00B03B90" w14:paraId="1DDC30AA" w14:textId="77777777">
      <w:pPr>
        <w:ind w:left="1080" w:hanging="360"/>
        <w:rPr>
          <w:rFonts w:cs="Times New Roman"/>
          <w:color w:val="333333"/>
          <w:szCs w:val="24"/>
          <w:shd w:val="clear" w:color="auto" w:fill="FFFFFF"/>
        </w:rPr>
      </w:pPr>
    </w:p>
    <w:p w:rsidR="0079559F" w:rsidRPr="002C77AE" w:rsidP="00B03B90" w14:paraId="3B2BCEA0" w14:textId="630E03AB">
      <w:pPr>
        <w:pStyle w:val="ListParagraph"/>
        <w:numPr>
          <w:ilvl w:val="0"/>
          <w:numId w:val="5"/>
        </w:numPr>
        <w:ind w:left="1080"/>
        <w:rPr>
          <w:rFonts w:cs="Times New Roman"/>
          <w:color w:val="333333"/>
          <w:szCs w:val="24"/>
          <w:shd w:val="clear" w:color="auto" w:fill="FFFFFF"/>
        </w:rPr>
      </w:pPr>
      <w:r>
        <w:rPr>
          <w:rFonts w:cs="Times New Roman"/>
          <w:color w:val="333333"/>
          <w:szCs w:val="24"/>
          <w:shd w:val="clear" w:color="auto" w:fill="FFFFFF"/>
        </w:rPr>
        <w:t>“</w:t>
      </w:r>
      <w:r w:rsidRPr="002C77AE" w:rsidR="0049119C">
        <w:rPr>
          <w:rFonts w:cs="Times New Roman"/>
          <w:color w:val="333333"/>
          <w:szCs w:val="24"/>
          <w:shd w:val="clear" w:color="auto" w:fill="FFFFFF"/>
        </w:rPr>
        <w:t>Ensure effective competition in the provision of retail electric service by avoiding anticompetitive subsidies….;</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32"/>
      </w:r>
    </w:p>
    <w:p w:rsidR="0079559F" w:rsidRPr="002C77AE" w:rsidP="00B03B90" w14:paraId="1834D999" w14:textId="77777777">
      <w:pPr>
        <w:ind w:left="1080" w:hanging="360"/>
        <w:rPr>
          <w:rFonts w:cs="Times New Roman"/>
          <w:color w:val="333333"/>
          <w:szCs w:val="24"/>
          <w:shd w:val="clear" w:color="auto" w:fill="FFFFFF"/>
        </w:rPr>
      </w:pPr>
    </w:p>
    <w:p w:rsidR="0079559F" w:rsidRPr="002C77AE" w:rsidP="00B03B90" w14:paraId="49D0F6A4" w14:textId="7F790A27">
      <w:pPr>
        <w:pStyle w:val="ListParagraph"/>
        <w:numPr>
          <w:ilvl w:val="0"/>
          <w:numId w:val="5"/>
        </w:numPr>
        <w:ind w:left="1080"/>
        <w:rPr>
          <w:rFonts w:cs="Times New Roman"/>
          <w:color w:val="333333"/>
          <w:szCs w:val="24"/>
          <w:shd w:val="clear" w:color="auto" w:fill="FFFFFF"/>
        </w:rPr>
      </w:pPr>
      <w:r>
        <w:rPr>
          <w:rFonts w:cs="Times New Roman"/>
          <w:color w:val="333333"/>
          <w:szCs w:val="24"/>
          <w:shd w:val="clear" w:color="auto" w:fill="FFFFFF"/>
        </w:rPr>
        <w:t>“</w:t>
      </w:r>
      <w:r w:rsidRPr="002C77AE" w:rsidR="0049119C">
        <w:rPr>
          <w:rFonts w:cs="Times New Roman"/>
          <w:color w:val="333333"/>
          <w:szCs w:val="24"/>
          <w:shd w:val="clear" w:color="auto" w:fill="FFFFFF"/>
        </w:rPr>
        <w:t>Ensure retail electric service consumers protection against … market deficiencies, and market power;</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33"/>
      </w:r>
      <w:r w:rsidRPr="002C77AE" w:rsidR="0049119C">
        <w:rPr>
          <w:rFonts w:cs="Times New Roman"/>
          <w:color w:val="333333"/>
          <w:szCs w:val="24"/>
          <w:shd w:val="clear" w:color="auto" w:fill="FFFFFF"/>
        </w:rPr>
        <w:t xml:space="preserve"> and</w:t>
      </w:r>
    </w:p>
    <w:p w:rsidR="0079559F" w:rsidRPr="002C77AE" w:rsidP="00B03B90" w14:paraId="490C3E3A" w14:textId="77777777">
      <w:pPr>
        <w:ind w:left="1080" w:hanging="360"/>
        <w:rPr>
          <w:rFonts w:cs="Times New Roman"/>
          <w:color w:val="333333"/>
          <w:szCs w:val="24"/>
          <w:shd w:val="clear" w:color="auto" w:fill="FFFFFF"/>
        </w:rPr>
      </w:pPr>
    </w:p>
    <w:p w:rsidR="0079559F" w:rsidRPr="002C77AE" w:rsidP="00B03B90" w14:paraId="407CCFC4" w14:textId="2C6C7EEA">
      <w:pPr>
        <w:pStyle w:val="ListParagraph"/>
        <w:numPr>
          <w:ilvl w:val="0"/>
          <w:numId w:val="5"/>
        </w:numPr>
        <w:ind w:left="1080"/>
        <w:rPr>
          <w:rFonts w:eastAsia="Calibri" w:cs="Times New Roman"/>
          <w:szCs w:val="24"/>
        </w:rPr>
      </w:pPr>
      <w:r>
        <w:rPr>
          <w:rFonts w:cs="Times New Roman"/>
          <w:color w:val="333333"/>
          <w:szCs w:val="24"/>
          <w:shd w:val="clear" w:color="auto" w:fill="FFFFFF"/>
        </w:rPr>
        <w:t>“</w:t>
      </w:r>
      <w:r w:rsidRPr="002C77AE" w:rsidR="0049119C">
        <w:rPr>
          <w:rFonts w:cs="Times New Roman"/>
          <w:color w:val="333333"/>
          <w:szCs w:val="24"/>
          <w:shd w:val="clear" w:color="auto" w:fill="FFFFFF"/>
        </w:rPr>
        <w:t>Protect at-risk populations….</w:t>
      </w:r>
      <w:r>
        <w:rPr>
          <w:rFonts w:cs="Times New Roman"/>
          <w:color w:val="333333"/>
          <w:szCs w:val="24"/>
          <w:shd w:val="clear" w:color="auto" w:fill="FFFFFF"/>
        </w:rPr>
        <w:t>”</w:t>
      </w:r>
      <w:r>
        <w:rPr>
          <w:rStyle w:val="FootnoteReference"/>
          <w:rFonts w:cs="Times New Roman"/>
          <w:color w:val="333333"/>
          <w:szCs w:val="24"/>
          <w:shd w:val="clear" w:color="auto" w:fill="FFFFFF"/>
        </w:rPr>
        <w:footnoteReference w:id="34"/>
      </w:r>
    </w:p>
    <w:p w:rsidR="0079559F" w:rsidRPr="002C77AE" w:rsidP="0079559F" w14:paraId="0FB283CE" w14:textId="77777777">
      <w:pPr>
        <w:ind w:right="1350"/>
        <w:rPr>
          <w:rFonts w:eastAsia="Calibri" w:cs="Times New Roman"/>
          <w:szCs w:val="24"/>
        </w:rPr>
      </w:pPr>
    </w:p>
    <w:p w:rsidR="002B10A5" w:rsidRPr="002C77AE" w:rsidP="003F0760" w14:paraId="0B23262D" w14:textId="5BFF4409">
      <w:pPr>
        <w:spacing w:line="480" w:lineRule="auto"/>
        <w:ind w:firstLine="720"/>
        <w:rPr>
          <w:rFonts w:cs="Times New Roman"/>
          <w:szCs w:val="24"/>
        </w:rPr>
      </w:pPr>
      <w:r w:rsidRPr="002C77AE">
        <w:rPr>
          <w:rFonts w:eastAsia="Calibri" w:cs="Times New Roman"/>
          <w:szCs w:val="24"/>
        </w:rPr>
        <w:t xml:space="preserve">The PUCO should </w:t>
      </w:r>
      <w:r w:rsidRPr="002C77AE" w:rsidR="00F76AC0">
        <w:rPr>
          <w:rFonts w:eastAsia="Calibri" w:cs="Times New Roman"/>
          <w:szCs w:val="24"/>
        </w:rPr>
        <w:t xml:space="preserve">protect customers </w:t>
      </w:r>
      <w:r w:rsidRPr="002C77AE" w:rsidR="008062EB">
        <w:rPr>
          <w:rFonts w:eastAsia="Calibri" w:cs="Times New Roman"/>
          <w:szCs w:val="24"/>
        </w:rPr>
        <w:t xml:space="preserve">and eliminate subsidies to higher-risk consumer classes </w:t>
      </w:r>
      <w:r w:rsidRPr="002C77AE" w:rsidR="00F76AC0">
        <w:rPr>
          <w:rFonts w:eastAsia="Calibri" w:cs="Times New Roman"/>
          <w:szCs w:val="24"/>
        </w:rPr>
        <w:t xml:space="preserve">by </w:t>
      </w:r>
      <w:r w:rsidRPr="002C77AE">
        <w:rPr>
          <w:rFonts w:eastAsia="Calibri" w:cs="Times New Roman"/>
          <w:szCs w:val="24"/>
        </w:rPr>
        <w:t>requir</w:t>
      </w:r>
      <w:r w:rsidRPr="002C77AE" w:rsidR="00F76AC0">
        <w:rPr>
          <w:rFonts w:eastAsia="Calibri" w:cs="Times New Roman"/>
          <w:szCs w:val="24"/>
        </w:rPr>
        <w:t>ing</w:t>
      </w:r>
      <w:r w:rsidRPr="002C77AE">
        <w:rPr>
          <w:rFonts w:eastAsia="Calibri" w:cs="Times New Roman"/>
          <w:szCs w:val="24"/>
        </w:rPr>
        <w:t xml:space="preserve"> FirstEnergy to </w:t>
      </w:r>
      <w:r w:rsidRPr="002C77AE" w:rsidR="00F76AC0">
        <w:rPr>
          <w:rFonts w:eastAsia="Calibri" w:cs="Times New Roman"/>
          <w:szCs w:val="24"/>
        </w:rPr>
        <w:t>hold</w:t>
      </w:r>
      <w:r w:rsidRPr="002C77AE" w:rsidR="006A4BD6">
        <w:rPr>
          <w:rFonts w:eastAsia="Calibri" w:cs="Times New Roman"/>
          <w:szCs w:val="24"/>
        </w:rPr>
        <w:t xml:space="preserve"> </w:t>
      </w:r>
      <w:r w:rsidRPr="002C77AE" w:rsidR="00412C10">
        <w:rPr>
          <w:rFonts w:eastAsia="Calibri" w:cs="Times New Roman"/>
          <w:szCs w:val="24"/>
        </w:rPr>
        <w:t xml:space="preserve">separate </w:t>
      </w:r>
      <w:r w:rsidRPr="002C77AE" w:rsidR="008D2D3A">
        <w:rPr>
          <w:rFonts w:eastAsia="Calibri" w:cs="Times New Roman"/>
          <w:szCs w:val="24"/>
        </w:rPr>
        <w:t xml:space="preserve">SSO </w:t>
      </w:r>
      <w:r w:rsidRPr="002C77AE" w:rsidR="006A4BD6">
        <w:rPr>
          <w:rFonts w:eastAsia="Calibri" w:cs="Times New Roman"/>
          <w:szCs w:val="24"/>
        </w:rPr>
        <w:t xml:space="preserve">auctions </w:t>
      </w:r>
      <w:r w:rsidRPr="002C77AE" w:rsidR="00FF510A">
        <w:rPr>
          <w:rFonts w:eastAsia="Calibri" w:cs="Times New Roman"/>
          <w:szCs w:val="24"/>
        </w:rPr>
        <w:t xml:space="preserve">for different </w:t>
      </w:r>
      <w:r w:rsidRPr="002C77AE" w:rsidR="006A4BD6">
        <w:rPr>
          <w:rFonts w:eastAsia="Calibri" w:cs="Times New Roman"/>
          <w:szCs w:val="24"/>
        </w:rPr>
        <w:t>c</w:t>
      </w:r>
      <w:r w:rsidRPr="002C77AE" w:rsidR="008D2D3A">
        <w:rPr>
          <w:rFonts w:eastAsia="Calibri" w:cs="Times New Roman"/>
          <w:szCs w:val="24"/>
        </w:rPr>
        <w:t xml:space="preserve">onsumer </w:t>
      </w:r>
      <w:r w:rsidRPr="002C77AE" w:rsidR="00F76AC0">
        <w:rPr>
          <w:rFonts w:eastAsia="Calibri" w:cs="Times New Roman"/>
          <w:szCs w:val="24"/>
        </w:rPr>
        <w:t>class</w:t>
      </w:r>
      <w:r w:rsidRPr="002C77AE" w:rsidR="00412C10">
        <w:rPr>
          <w:rFonts w:eastAsia="Calibri" w:cs="Times New Roman"/>
          <w:szCs w:val="24"/>
        </w:rPr>
        <w:t>es.</w:t>
      </w:r>
    </w:p>
    <w:p w:rsidR="00C26925" w:rsidRPr="002C77AE" w:rsidP="00C26925" w14:paraId="2009F15C" w14:textId="68A74C6C">
      <w:pPr>
        <w:pStyle w:val="Heading2"/>
      </w:pPr>
      <w:bookmarkStart w:id="14" w:name="_Toc158373170"/>
      <w:r w:rsidRPr="002C77AE">
        <w:t>D</w:t>
      </w:r>
      <w:r w:rsidRPr="002C77AE" w:rsidR="0049119C">
        <w:t>.</w:t>
      </w:r>
      <w:r w:rsidRPr="002C77AE" w:rsidR="0049119C">
        <w:tab/>
        <w:t xml:space="preserve">The sheer number of riders proposed by FirstEnergy is excessive, which </w:t>
      </w:r>
      <w:r w:rsidRPr="002C77AE" w:rsidR="0060664F">
        <w:t xml:space="preserve">harms consumers </w:t>
      </w:r>
      <w:r w:rsidRPr="002C77AE" w:rsidR="0049119C">
        <w:t>by reducing the incentive for FirstEnergy to control costs. The PUCO should therefore reject FirstEnergy</w:t>
      </w:r>
      <w:r w:rsidR="002C77AE">
        <w:t>’</w:t>
      </w:r>
      <w:r w:rsidRPr="002C77AE" w:rsidR="0049119C">
        <w:t>s proposals to establish new riders or expand existing riders.</w:t>
      </w:r>
      <w:bookmarkEnd w:id="14"/>
    </w:p>
    <w:p w:rsidR="008D2D3A" w:rsidRPr="002C77AE" w:rsidP="00C26925" w14:paraId="7FF223C0" w14:textId="08F57D7C">
      <w:pPr>
        <w:tabs>
          <w:tab w:val="left" w:pos="5040"/>
        </w:tabs>
        <w:spacing w:line="480" w:lineRule="auto"/>
        <w:ind w:firstLine="720"/>
        <w:rPr>
          <w:rFonts w:cs="Times New Roman"/>
          <w:szCs w:val="24"/>
        </w:rPr>
      </w:pPr>
      <w:r w:rsidRPr="002C77AE">
        <w:rPr>
          <w:rFonts w:cs="Times New Roman"/>
          <w:szCs w:val="24"/>
        </w:rPr>
        <w:t xml:space="preserve">FirstEnergy argues throughout its Initial Brief that </w:t>
      </w:r>
      <w:r w:rsidRPr="002C77AE" w:rsidR="00185BF9">
        <w:rPr>
          <w:rFonts w:cs="Times New Roman"/>
          <w:szCs w:val="24"/>
        </w:rPr>
        <w:t xml:space="preserve">its proposed </w:t>
      </w:r>
      <w:r w:rsidRPr="002C77AE">
        <w:rPr>
          <w:rFonts w:cs="Times New Roman"/>
          <w:szCs w:val="24"/>
        </w:rPr>
        <w:t xml:space="preserve">riders provide </w:t>
      </w:r>
      <w:r w:rsidR="002C77AE">
        <w:rPr>
          <w:rFonts w:cs="Times New Roman"/>
          <w:szCs w:val="24"/>
        </w:rPr>
        <w:t>“</w:t>
      </w:r>
      <w:r w:rsidRPr="002C77AE">
        <w:rPr>
          <w:rFonts w:cs="Times New Roman"/>
          <w:szCs w:val="24"/>
        </w:rPr>
        <w:t>customer protections that would not otherwise be available</w:t>
      </w:r>
      <w:r w:rsidR="002C77AE">
        <w:rPr>
          <w:rFonts w:cs="Times New Roman"/>
          <w:szCs w:val="24"/>
        </w:rPr>
        <w:t>”</w:t>
      </w:r>
      <w:r w:rsidRPr="002C77AE">
        <w:rPr>
          <w:rFonts w:cs="Times New Roman"/>
          <w:szCs w:val="24"/>
        </w:rPr>
        <w:t xml:space="preserve"> because of annual audits </w:t>
      </w:r>
      <w:r w:rsidRPr="002C77AE" w:rsidR="008062EB">
        <w:rPr>
          <w:rFonts w:cs="Times New Roman"/>
          <w:szCs w:val="24"/>
        </w:rPr>
        <w:t>which</w:t>
      </w:r>
      <w:r w:rsidRPr="002C77AE">
        <w:rPr>
          <w:rFonts w:cs="Times New Roman"/>
          <w:szCs w:val="24"/>
        </w:rPr>
        <w:t xml:space="preserve"> review the costs for reasonableness.</w:t>
      </w:r>
      <w:r>
        <w:rPr>
          <w:rStyle w:val="FootnoteReference"/>
          <w:rFonts w:cs="Times New Roman"/>
          <w:szCs w:val="24"/>
        </w:rPr>
        <w:footnoteReference w:id="35"/>
      </w:r>
      <w:r w:rsidRPr="002C77AE" w:rsidR="00321DF0">
        <w:rPr>
          <w:rFonts w:cs="Times New Roman"/>
          <w:szCs w:val="24"/>
        </w:rPr>
        <w:t xml:space="preserve"> </w:t>
      </w:r>
      <w:r w:rsidRPr="002C77AE">
        <w:rPr>
          <w:rFonts w:cs="Times New Roman"/>
          <w:szCs w:val="24"/>
        </w:rPr>
        <w:t>However, OCC witness Meyer testified that riders can harm consumers because the charges to consumers receive less regulatory scrutiny.</w:t>
      </w:r>
      <w:r>
        <w:rPr>
          <w:rFonts w:cs="Times New Roman"/>
          <w:szCs w:val="24"/>
          <w:vertAlign w:val="superscript"/>
        </w:rPr>
        <w:footnoteReference w:id="36"/>
      </w:r>
      <w:r w:rsidRPr="002C77AE">
        <w:rPr>
          <w:rFonts w:cs="Times New Roman"/>
          <w:szCs w:val="24"/>
        </w:rPr>
        <w:t xml:space="preserve"> </w:t>
      </w:r>
    </w:p>
    <w:p w:rsidR="00C26925" w:rsidRPr="002C77AE" w:rsidP="00C26925" w14:paraId="387D23C0" w14:textId="0B262492">
      <w:pPr>
        <w:tabs>
          <w:tab w:val="left" w:pos="5040"/>
        </w:tabs>
        <w:spacing w:line="480" w:lineRule="auto"/>
        <w:ind w:firstLine="720"/>
        <w:rPr>
          <w:rFonts w:cs="Times New Roman"/>
          <w:szCs w:val="24"/>
        </w:rPr>
      </w:pPr>
      <w:r w:rsidRPr="002C77AE">
        <w:rPr>
          <w:rFonts w:cs="Times New Roman"/>
          <w:szCs w:val="24"/>
        </w:rPr>
        <w:t>Mr. Meyer testified that utilities often benefit from the decline in legacy rate base once rates are established in a rate case, and it is imperative to capture this decline in rate base if other aspects of the rate base are to be singled out for recovery outside the context of a rate case.</w:t>
      </w:r>
      <w:r>
        <w:rPr>
          <w:rFonts w:cs="Times New Roman"/>
          <w:szCs w:val="24"/>
          <w:vertAlign w:val="superscript"/>
        </w:rPr>
        <w:footnoteReference w:id="37"/>
      </w:r>
      <w:r w:rsidRPr="002C77AE">
        <w:rPr>
          <w:rFonts w:cs="Times New Roman"/>
          <w:szCs w:val="24"/>
        </w:rPr>
        <w:t xml:space="preserve"> If such offsets are not captured, the utility</w:t>
      </w:r>
      <w:r w:rsidR="002C77AE">
        <w:rPr>
          <w:rFonts w:cs="Times New Roman"/>
          <w:szCs w:val="24"/>
        </w:rPr>
        <w:t>’</w:t>
      </w:r>
      <w:r w:rsidRPr="002C77AE">
        <w:rPr>
          <w:rFonts w:cs="Times New Roman"/>
          <w:szCs w:val="24"/>
        </w:rPr>
        <w:t>s profits would be greatly enhanced with no corresponding benefit provided to consumers.</w:t>
      </w:r>
      <w:r>
        <w:rPr>
          <w:rFonts w:cs="Times New Roman"/>
          <w:szCs w:val="24"/>
          <w:vertAlign w:val="superscript"/>
        </w:rPr>
        <w:footnoteReference w:id="38"/>
      </w:r>
      <w:r w:rsidRPr="002C77AE" w:rsidR="00321DF0">
        <w:rPr>
          <w:rFonts w:cs="Times New Roman"/>
          <w:szCs w:val="24"/>
        </w:rPr>
        <w:t xml:space="preserve"> </w:t>
      </w:r>
      <w:r w:rsidRPr="002C77AE">
        <w:rPr>
          <w:rFonts w:cs="Times New Roman"/>
          <w:szCs w:val="24"/>
        </w:rPr>
        <w:t>This is exactly what would happen under FirstEnergy</w:t>
      </w:r>
      <w:r w:rsidR="002C77AE">
        <w:rPr>
          <w:rFonts w:cs="Times New Roman"/>
          <w:szCs w:val="24"/>
        </w:rPr>
        <w:t>’</w:t>
      </w:r>
      <w:r w:rsidRPr="002C77AE">
        <w:rPr>
          <w:rFonts w:cs="Times New Roman"/>
          <w:szCs w:val="24"/>
        </w:rPr>
        <w:t xml:space="preserve">s </w:t>
      </w:r>
      <w:r w:rsidRPr="002C77AE" w:rsidR="00185BF9">
        <w:rPr>
          <w:rFonts w:cs="Times New Roman"/>
          <w:szCs w:val="24"/>
        </w:rPr>
        <w:t xml:space="preserve">proposed </w:t>
      </w:r>
      <w:r w:rsidRPr="002C77AE">
        <w:rPr>
          <w:rFonts w:cs="Times New Roman"/>
          <w:szCs w:val="24"/>
        </w:rPr>
        <w:t>electric security plan.</w:t>
      </w:r>
      <w:r w:rsidRPr="002C77AE" w:rsidR="00321DF0">
        <w:rPr>
          <w:rFonts w:cs="Times New Roman"/>
          <w:szCs w:val="24"/>
        </w:rPr>
        <w:t xml:space="preserve"> </w:t>
      </w:r>
    </w:p>
    <w:p w:rsidR="00C26925" w:rsidRPr="002C77AE" w:rsidP="00C26925" w14:paraId="33D1419C" w14:textId="45E41C69">
      <w:pPr>
        <w:spacing w:line="480" w:lineRule="auto"/>
        <w:ind w:firstLine="720"/>
        <w:rPr>
          <w:rFonts w:cs="Times New Roman"/>
          <w:szCs w:val="24"/>
        </w:rPr>
      </w:pPr>
      <w:r w:rsidRPr="002C77AE">
        <w:rPr>
          <w:rFonts w:cs="Times New Roman"/>
          <w:szCs w:val="24"/>
        </w:rPr>
        <w:t>Mr. Meyer further explained how an excessive number of trackers, riders and other special regulatory mechanisms decreases a utility</w:t>
      </w:r>
      <w:r w:rsidR="002C77AE">
        <w:rPr>
          <w:rFonts w:cs="Times New Roman"/>
          <w:szCs w:val="24"/>
        </w:rPr>
        <w:t>’</w:t>
      </w:r>
      <w:r w:rsidRPr="002C77AE">
        <w:rPr>
          <w:rFonts w:cs="Times New Roman"/>
          <w:szCs w:val="24"/>
        </w:rPr>
        <w:t>s incentive to manage all aspects of its business in a cost-effective manner.</w:t>
      </w:r>
      <w:r>
        <w:rPr>
          <w:rFonts w:cs="Times New Roman"/>
          <w:szCs w:val="24"/>
          <w:vertAlign w:val="superscript"/>
        </w:rPr>
        <w:footnoteReference w:id="39"/>
      </w:r>
      <w:r w:rsidRPr="002C77AE">
        <w:rPr>
          <w:rFonts w:cs="Times New Roman"/>
          <w:szCs w:val="24"/>
        </w:rPr>
        <w:t xml:space="preserve"> FirstEnergy has an average of 54 riders and nine tariff provisions for each of its Ohio utilities and proposes to add three additional new riders in ESP V.</w:t>
      </w:r>
      <w:r>
        <w:rPr>
          <w:rFonts w:cs="Times New Roman"/>
          <w:szCs w:val="24"/>
          <w:vertAlign w:val="superscript"/>
        </w:rPr>
        <w:footnoteReference w:id="40"/>
      </w:r>
      <w:r w:rsidRPr="002C77AE">
        <w:rPr>
          <w:rFonts w:cs="Times New Roman"/>
          <w:szCs w:val="24"/>
        </w:rPr>
        <w:t xml:space="preserve"> </w:t>
      </w:r>
      <w:r w:rsidRPr="002C77AE" w:rsidR="00185BF9">
        <w:rPr>
          <w:rFonts w:cs="Times New Roman"/>
          <w:szCs w:val="24"/>
        </w:rPr>
        <w:t>According to</w:t>
      </w:r>
      <w:r w:rsidRPr="002C77AE">
        <w:rPr>
          <w:rFonts w:cs="Times New Roman"/>
          <w:szCs w:val="24"/>
        </w:rPr>
        <w:t xml:space="preserve"> Mr. Meyer, </w:t>
      </w:r>
      <w:r w:rsidRPr="002C77AE" w:rsidR="00185BF9">
        <w:rPr>
          <w:rFonts w:cs="Times New Roman"/>
          <w:szCs w:val="24"/>
        </w:rPr>
        <w:t xml:space="preserve">this large number </w:t>
      </w:r>
      <w:r w:rsidRPr="002C77AE">
        <w:rPr>
          <w:rFonts w:cs="Times New Roman"/>
          <w:szCs w:val="24"/>
        </w:rPr>
        <w:t>of riders is more beneficial to shareholders than consumers because it undermines FirstEnergy</w:t>
      </w:r>
      <w:r w:rsidR="002C77AE">
        <w:rPr>
          <w:rFonts w:cs="Times New Roman"/>
          <w:szCs w:val="24"/>
        </w:rPr>
        <w:t>’</w:t>
      </w:r>
      <w:r w:rsidRPr="002C77AE">
        <w:rPr>
          <w:rFonts w:cs="Times New Roman"/>
          <w:szCs w:val="24"/>
        </w:rPr>
        <w:t>s incentive to control costs.</w:t>
      </w:r>
      <w:r>
        <w:rPr>
          <w:rFonts w:cs="Times New Roman"/>
          <w:szCs w:val="24"/>
          <w:vertAlign w:val="superscript"/>
        </w:rPr>
        <w:footnoteReference w:id="41"/>
      </w:r>
    </w:p>
    <w:p w:rsidR="008D2D3A" w:rsidRPr="002C77AE" w:rsidP="00C26925" w14:paraId="0FAF5ADA" w14:textId="19492E49">
      <w:pPr>
        <w:spacing w:line="480" w:lineRule="auto"/>
        <w:ind w:firstLine="720"/>
        <w:rPr>
          <w:rFonts w:cs="Times New Roman"/>
          <w:szCs w:val="24"/>
        </w:rPr>
      </w:pPr>
      <w:r w:rsidRPr="002C77AE">
        <w:rPr>
          <w:rFonts w:cs="Times New Roman"/>
          <w:szCs w:val="24"/>
        </w:rPr>
        <w:t xml:space="preserve">Other intervenors </w:t>
      </w:r>
      <w:r w:rsidRPr="002C77AE" w:rsidR="00185BF9">
        <w:rPr>
          <w:rFonts w:cs="Times New Roman"/>
          <w:szCs w:val="24"/>
        </w:rPr>
        <w:t xml:space="preserve">also </w:t>
      </w:r>
      <w:r w:rsidRPr="002C77AE">
        <w:rPr>
          <w:rFonts w:cs="Times New Roman"/>
          <w:szCs w:val="24"/>
        </w:rPr>
        <w:t>recommend restricting FirstEnergy</w:t>
      </w:r>
      <w:r w:rsidR="002C77AE">
        <w:rPr>
          <w:rFonts w:cs="Times New Roman"/>
          <w:szCs w:val="24"/>
        </w:rPr>
        <w:t>’</w:t>
      </w:r>
      <w:r w:rsidRPr="002C77AE">
        <w:rPr>
          <w:rFonts w:cs="Times New Roman"/>
          <w:szCs w:val="24"/>
        </w:rPr>
        <w:t>s proposed riders, as follows:</w:t>
      </w:r>
    </w:p>
    <w:p w:rsidR="00F4344B" w:rsidRPr="002C77AE" w:rsidP="00076EE0" w14:paraId="6B5B6914" w14:textId="5AB9A2B4">
      <w:pPr>
        <w:pStyle w:val="ListParagraph"/>
        <w:numPr>
          <w:ilvl w:val="0"/>
          <w:numId w:val="7"/>
        </w:numPr>
        <w:ind w:left="1080"/>
        <w:rPr>
          <w:rFonts w:cs="Times New Roman"/>
          <w:szCs w:val="24"/>
        </w:rPr>
      </w:pPr>
      <w:r w:rsidRPr="002C77AE">
        <w:rPr>
          <w:rFonts w:cs="Times New Roman"/>
          <w:szCs w:val="24"/>
        </w:rPr>
        <w:t xml:space="preserve">OMAEG stated: </w:t>
      </w:r>
      <w:r w:rsidR="002C77AE">
        <w:rPr>
          <w:rFonts w:cs="Times New Roman"/>
          <w:szCs w:val="24"/>
        </w:rPr>
        <w:t>“</w:t>
      </w:r>
      <w:r w:rsidRPr="002C77AE">
        <w:rPr>
          <w:rFonts w:cs="Times New Roman"/>
          <w:szCs w:val="24"/>
        </w:rPr>
        <w:t>[I]f the Commission approves an ESP V for FirstEnergy, the Commission should modify FirstEnergy</w:t>
      </w:r>
      <w:r w:rsidR="002C77AE">
        <w:rPr>
          <w:rFonts w:cs="Times New Roman"/>
          <w:szCs w:val="24"/>
        </w:rPr>
        <w:t>’</w:t>
      </w:r>
      <w:r w:rsidRPr="002C77AE">
        <w:rPr>
          <w:rFonts w:cs="Times New Roman"/>
          <w:szCs w:val="24"/>
        </w:rPr>
        <w:t>s proposal to explicitly deny FirstEnergy</w:t>
      </w:r>
      <w:r w:rsidR="002C77AE">
        <w:rPr>
          <w:rFonts w:cs="Times New Roman"/>
          <w:szCs w:val="24"/>
        </w:rPr>
        <w:t>’</w:t>
      </w:r>
      <w:r w:rsidRPr="002C77AE">
        <w:rPr>
          <w:rFonts w:cs="Times New Roman"/>
          <w:szCs w:val="24"/>
        </w:rPr>
        <w:t>s requests to (1) continue the Delivery Capital Recovery Rider (Rider DCR) with significantly increased caps, (2) establish a new Vegetation Management Cost Recovery Rider (Rider VMC), (3) establish a new Storm Cost Recovery Rider (Rider SCR), (4) establish a new Energy Efficiency Cost Recovery Rider (Rider EEC), (5) implement new and costly Energy Efficiency and Peak Demand Reduction (EE/PDR) Programs, (6) continue the Advanced Metering Infrastructure / Modern Grid Rider (Rider AMI), (7) continue the current Economic Load Response Program Rider (Rider ELR) without implementing modifications to the ELR program, including expanding participation eligibility, and (8) implement an ESP term of eight years.</w:t>
      </w:r>
      <w:r w:rsidR="002C77AE">
        <w:rPr>
          <w:rFonts w:cs="Times New Roman"/>
          <w:szCs w:val="24"/>
        </w:rPr>
        <w:t>”</w:t>
      </w:r>
      <w:r>
        <w:rPr>
          <w:rStyle w:val="FootnoteReference"/>
          <w:rFonts w:cs="Times New Roman"/>
          <w:szCs w:val="24"/>
        </w:rPr>
        <w:footnoteReference w:id="42"/>
      </w:r>
      <w:r w:rsidRPr="002C77AE" w:rsidR="00321DF0">
        <w:rPr>
          <w:rFonts w:cs="Times New Roman"/>
          <w:szCs w:val="24"/>
        </w:rPr>
        <w:t xml:space="preserve"> </w:t>
      </w:r>
    </w:p>
    <w:p w:rsidR="00F4344B" w:rsidRPr="002C77AE" w:rsidP="00076EE0" w14:paraId="2B5F0523" w14:textId="77777777">
      <w:pPr>
        <w:pStyle w:val="ListParagraph"/>
        <w:ind w:left="1080" w:hanging="360"/>
        <w:rPr>
          <w:rFonts w:cs="Times New Roman"/>
          <w:szCs w:val="24"/>
        </w:rPr>
      </w:pPr>
    </w:p>
    <w:p w:rsidR="008D2D3A" w:rsidRPr="002C77AE" w:rsidP="00076EE0" w14:paraId="6935B85F" w14:textId="08B51C8C">
      <w:pPr>
        <w:pStyle w:val="ListParagraph"/>
        <w:numPr>
          <w:ilvl w:val="0"/>
          <w:numId w:val="6"/>
        </w:numPr>
        <w:ind w:left="1080"/>
        <w:rPr>
          <w:rFonts w:cs="Times New Roman"/>
          <w:szCs w:val="24"/>
        </w:rPr>
      </w:pPr>
      <w:r w:rsidRPr="002C77AE">
        <w:rPr>
          <w:rFonts w:cs="Times New Roman"/>
          <w:szCs w:val="24"/>
        </w:rPr>
        <w:t xml:space="preserve">NOAC recommended: </w:t>
      </w:r>
      <w:r w:rsidR="002C77AE">
        <w:rPr>
          <w:rFonts w:cs="Times New Roman"/>
          <w:szCs w:val="24"/>
        </w:rPr>
        <w:t>“</w:t>
      </w:r>
      <w:r w:rsidRPr="002C77AE">
        <w:rPr>
          <w:rFonts w:cs="Times New Roman"/>
          <w:szCs w:val="24"/>
        </w:rPr>
        <w:t>[c]ustomer affordability is NOAC</w:t>
      </w:r>
      <w:r w:rsidR="002C77AE">
        <w:rPr>
          <w:rFonts w:cs="Times New Roman"/>
          <w:szCs w:val="24"/>
        </w:rPr>
        <w:t>’</w:t>
      </w:r>
      <w:r w:rsidRPr="002C77AE">
        <w:rPr>
          <w:rFonts w:cs="Times New Roman"/>
          <w:szCs w:val="24"/>
        </w:rPr>
        <w:t>s primary goal. That is best achieved through an MRO/base rate case. This approach would eliminate all the riders to include Rider ELR, a non-distribution rider.</w:t>
      </w:r>
      <w:r w:rsidR="002C77AE">
        <w:rPr>
          <w:rFonts w:cs="Times New Roman"/>
          <w:szCs w:val="24"/>
        </w:rPr>
        <w:t>”</w:t>
      </w:r>
      <w:r>
        <w:rPr>
          <w:rStyle w:val="FootnoteReference"/>
          <w:rFonts w:cs="Times New Roman"/>
          <w:szCs w:val="24"/>
        </w:rPr>
        <w:footnoteReference w:id="43"/>
      </w:r>
    </w:p>
    <w:p w:rsidR="00F4344B" w:rsidRPr="002C77AE" w:rsidP="00076EE0" w14:paraId="07562911" w14:textId="77777777">
      <w:pPr>
        <w:pStyle w:val="ListParagraph"/>
        <w:ind w:left="1080" w:hanging="360"/>
        <w:rPr>
          <w:rFonts w:cs="Times New Roman"/>
          <w:szCs w:val="24"/>
        </w:rPr>
      </w:pPr>
    </w:p>
    <w:p w:rsidR="00F4344B" w:rsidRPr="002C77AE" w:rsidP="00076EE0" w14:paraId="22AC45CA" w14:textId="33132BFF">
      <w:pPr>
        <w:pStyle w:val="ListParagraph"/>
        <w:numPr>
          <w:ilvl w:val="0"/>
          <w:numId w:val="6"/>
        </w:numPr>
        <w:ind w:left="1080"/>
        <w:rPr>
          <w:rFonts w:cs="Times New Roman"/>
          <w:szCs w:val="24"/>
        </w:rPr>
      </w:pPr>
      <w:r w:rsidRPr="002C77AE">
        <w:rPr>
          <w:rFonts w:cs="Times New Roman"/>
          <w:szCs w:val="24"/>
        </w:rPr>
        <w:t xml:space="preserve">Kroger argued that </w:t>
      </w:r>
      <w:r w:rsidR="002C77AE">
        <w:rPr>
          <w:rFonts w:cs="Times New Roman"/>
          <w:szCs w:val="24"/>
        </w:rPr>
        <w:t>“</w:t>
      </w:r>
      <w:r w:rsidRPr="002C77AE">
        <w:rPr>
          <w:rFonts w:cs="Times New Roman"/>
          <w:szCs w:val="24"/>
        </w:rPr>
        <w:t>Riders DCR, VMC, and SCR… would result in significant above-market charges being imposed on customers without the protections offered by a base rate case.</w:t>
      </w:r>
      <w:r w:rsidR="002C77AE">
        <w:rPr>
          <w:rFonts w:cs="Times New Roman"/>
          <w:szCs w:val="24"/>
        </w:rPr>
        <w:t>”</w:t>
      </w:r>
      <w:r>
        <w:rPr>
          <w:rStyle w:val="FootnoteReference"/>
          <w:rFonts w:cs="Times New Roman"/>
          <w:szCs w:val="24"/>
        </w:rPr>
        <w:footnoteReference w:id="44"/>
      </w:r>
      <w:r w:rsidRPr="002C77AE" w:rsidR="00321DF0">
        <w:rPr>
          <w:rFonts w:cs="Times New Roman"/>
          <w:szCs w:val="24"/>
        </w:rPr>
        <w:t xml:space="preserve"> </w:t>
      </w:r>
    </w:p>
    <w:p w:rsidR="0033457D" w:rsidRPr="002C77AE" w:rsidP="00076EE0" w14:paraId="6D3343DD" w14:textId="77777777">
      <w:pPr>
        <w:pStyle w:val="ListParagraph"/>
        <w:ind w:left="1080" w:hanging="360"/>
        <w:rPr>
          <w:rFonts w:cs="Times New Roman"/>
          <w:szCs w:val="24"/>
        </w:rPr>
      </w:pPr>
    </w:p>
    <w:p w:rsidR="008D2D3A" w:rsidRPr="002C77AE" w:rsidP="00076EE0" w14:paraId="78A938D8" w14:textId="67552666">
      <w:pPr>
        <w:pStyle w:val="ListParagraph"/>
        <w:numPr>
          <w:ilvl w:val="0"/>
          <w:numId w:val="6"/>
        </w:numPr>
        <w:ind w:left="1080"/>
        <w:rPr>
          <w:rFonts w:cs="Times New Roman"/>
          <w:szCs w:val="24"/>
        </w:rPr>
      </w:pPr>
      <w:r w:rsidRPr="002C77AE">
        <w:rPr>
          <w:rFonts w:cs="Times New Roman"/>
          <w:szCs w:val="24"/>
        </w:rPr>
        <w:t xml:space="preserve">Wal-Mart recommended that </w:t>
      </w:r>
      <w:r w:rsidR="002C77AE">
        <w:rPr>
          <w:rFonts w:cs="Times New Roman"/>
          <w:szCs w:val="24"/>
        </w:rPr>
        <w:t>“</w:t>
      </w:r>
      <w:r w:rsidRPr="002C77AE">
        <w:rPr>
          <w:rFonts w:cs="Times New Roman"/>
          <w:szCs w:val="24"/>
        </w:rPr>
        <w:t>[t]he Commission should take steps to reduce the number of riders employed by the companies.</w:t>
      </w:r>
      <w:r w:rsidR="002C77AE">
        <w:rPr>
          <w:rFonts w:cs="Times New Roman"/>
          <w:szCs w:val="24"/>
        </w:rPr>
        <w:t>”</w:t>
      </w:r>
      <w:r>
        <w:rPr>
          <w:rStyle w:val="FootnoteReference"/>
          <w:rFonts w:cs="Times New Roman"/>
          <w:szCs w:val="24"/>
        </w:rPr>
        <w:footnoteReference w:id="45"/>
      </w:r>
      <w:r w:rsidRPr="002C77AE">
        <w:rPr>
          <w:rFonts w:cs="Times New Roman"/>
          <w:szCs w:val="24"/>
        </w:rPr>
        <w:t xml:space="preserve"> </w:t>
      </w:r>
    </w:p>
    <w:p w:rsidR="00F4344B" w:rsidRPr="002C77AE" w:rsidP="00F4344B" w14:paraId="4A0DC441" w14:textId="77777777">
      <w:pPr>
        <w:pStyle w:val="ListParagraph"/>
        <w:ind w:left="1440" w:right="1440"/>
        <w:rPr>
          <w:rFonts w:cs="Times New Roman"/>
          <w:szCs w:val="24"/>
        </w:rPr>
      </w:pPr>
    </w:p>
    <w:p w:rsidR="00C26925" w:rsidRPr="002C77AE" w:rsidP="00C26925" w14:paraId="7DCED4BC" w14:textId="5061E59A">
      <w:pPr>
        <w:spacing w:line="480" w:lineRule="auto"/>
        <w:ind w:firstLine="720"/>
        <w:rPr>
          <w:rFonts w:cs="Times New Roman"/>
          <w:szCs w:val="24"/>
        </w:rPr>
      </w:pPr>
      <w:r w:rsidRPr="002C77AE">
        <w:rPr>
          <w:rFonts w:cs="Times New Roman"/>
          <w:szCs w:val="24"/>
        </w:rPr>
        <w:t>Given the excessive number of FirstEnergy</w:t>
      </w:r>
      <w:r w:rsidR="002C77AE">
        <w:rPr>
          <w:rFonts w:cs="Times New Roman"/>
          <w:szCs w:val="24"/>
        </w:rPr>
        <w:t>’</w:t>
      </w:r>
      <w:r w:rsidRPr="002C77AE">
        <w:rPr>
          <w:rFonts w:cs="Times New Roman"/>
          <w:szCs w:val="24"/>
        </w:rPr>
        <w:t xml:space="preserve">s existing riders, </w:t>
      </w:r>
      <w:r w:rsidRPr="002C77AE" w:rsidR="0060664F">
        <w:rPr>
          <w:rFonts w:cs="Times New Roman"/>
          <w:szCs w:val="24"/>
        </w:rPr>
        <w:t xml:space="preserve">and the charges to consumers under the riders, </w:t>
      </w:r>
      <w:r w:rsidRPr="002C77AE">
        <w:rPr>
          <w:rFonts w:cs="Times New Roman"/>
          <w:szCs w:val="24"/>
        </w:rPr>
        <w:t>it would be unjust and unreasonable for the PUCO to approve FirstEnergy</w:t>
      </w:r>
      <w:r w:rsidR="002C77AE">
        <w:rPr>
          <w:rFonts w:cs="Times New Roman"/>
          <w:szCs w:val="24"/>
        </w:rPr>
        <w:t>’</w:t>
      </w:r>
      <w:r w:rsidRPr="002C77AE">
        <w:rPr>
          <w:rFonts w:cs="Times New Roman"/>
          <w:szCs w:val="24"/>
        </w:rPr>
        <w:t xml:space="preserve">s proposed new riders or </w:t>
      </w:r>
      <w:r w:rsidRPr="002C77AE" w:rsidR="00F4344B">
        <w:rPr>
          <w:rFonts w:cs="Times New Roman"/>
          <w:szCs w:val="24"/>
        </w:rPr>
        <w:t>expand any</w:t>
      </w:r>
      <w:r w:rsidRPr="002C77AE">
        <w:rPr>
          <w:rFonts w:cs="Times New Roman"/>
          <w:szCs w:val="24"/>
        </w:rPr>
        <w:t xml:space="preserve"> existing riders.</w:t>
      </w:r>
    </w:p>
    <w:p w:rsidR="61C474A6" w:rsidRPr="002C77AE" w:rsidP="61C474A6" w14:paraId="662F1DA2" w14:textId="0AE00548">
      <w:pPr>
        <w:pStyle w:val="Heading2"/>
        <w:rPr>
          <w:highlight w:val="green"/>
        </w:rPr>
      </w:pPr>
      <w:bookmarkStart w:id="15" w:name="_Toc156561526"/>
      <w:bookmarkStart w:id="16" w:name="_Toc158373171"/>
      <w:r w:rsidRPr="002C77AE">
        <w:t>E.</w:t>
      </w:r>
      <w:r w:rsidRPr="002C77AE">
        <w:tab/>
      </w:r>
      <w:bookmarkEnd w:id="15"/>
      <w:r w:rsidRPr="002C77AE" w:rsidR="00B96BA5">
        <w:t>FirstEnergy</w:t>
      </w:r>
      <w:r w:rsidR="002C77AE">
        <w:t>’</w:t>
      </w:r>
      <w:r w:rsidRPr="002C77AE" w:rsidR="00B96BA5">
        <w:t>s proposal to continue and expand the Rider DCR</w:t>
      </w:r>
      <w:r w:rsidRPr="002C77AE" w:rsidR="0060664F">
        <w:t xml:space="preserve"> charges to consumers </w:t>
      </w:r>
      <w:r w:rsidRPr="002C77AE" w:rsidR="00B96BA5">
        <w:t>is unjust and unreasonable.</w:t>
      </w:r>
      <w:bookmarkEnd w:id="16"/>
      <w:r w:rsidRPr="002C77AE">
        <w:t xml:space="preserve"> </w:t>
      </w:r>
    </w:p>
    <w:p w:rsidR="0193C65F" w:rsidRPr="002C77AE" w:rsidP="507D67DA" w14:paraId="056DC1F8" w14:textId="0619BE7E">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 xml:space="preserve">s Rider DCR proposal is </w:t>
      </w:r>
      <w:r w:rsidRPr="002C77AE" w:rsidR="00B96BA5">
        <w:rPr>
          <w:rFonts w:cs="Times New Roman"/>
          <w:szCs w:val="24"/>
        </w:rPr>
        <w:t xml:space="preserve">unjust and </w:t>
      </w:r>
      <w:r w:rsidRPr="002C77AE">
        <w:rPr>
          <w:rFonts w:cs="Times New Roman"/>
          <w:szCs w:val="24"/>
        </w:rPr>
        <w:t>unreasonable</w:t>
      </w:r>
      <w:r w:rsidRPr="002C77AE" w:rsidR="00B96BA5">
        <w:rPr>
          <w:rFonts w:cs="Times New Roman"/>
          <w:szCs w:val="24"/>
        </w:rPr>
        <w:t>.</w:t>
      </w:r>
      <w:r w:rsidRPr="002C77AE" w:rsidR="00321DF0">
        <w:rPr>
          <w:rFonts w:cs="Times New Roman"/>
          <w:szCs w:val="24"/>
        </w:rPr>
        <w:t xml:space="preserve"> </w:t>
      </w:r>
      <w:r w:rsidRPr="002C77AE" w:rsidR="00B96BA5">
        <w:rPr>
          <w:rFonts w:cs="Times New Roman"/>
          <w:szCs w:val="24"/>
        </w:rPr>
        <w:t xml:space="preserve">As OCC pointed out in its Initial Brief, FirstEnergy proposes to </w:t>
      </w:r>
      <w:r w:rsidRPr="002C77AE">
        <w:rPr>
          <w:rFonts w:cs="Times New Roman"/>
          <w:szCs w:val="24"/>
        </w:rPr>
        <w:t xml:space="preserve">include inappropriate </w:t>
      </w:r>
      <w:r w:rsidRPr="002C77AE" w:rsidR="00B96BA5">
        <w:rPr>
          <w:rFonts w:cs="Times New Roman"/>
          <w:szCs w:val="24"/>
        </w:rPr>
        <w:t xml:space="preserve">costs </w:t>
      </w:r>
      <w:r w:rsidRPr="002C77AE">
        <w:rPr>
          <w:rFonts w:cs="Times New Roman"/>
          <w:szCs w:val="24"/>
        </w:rPr>
        <w:t xml:space="preserve">and </w:t>
      </w:r>
      <w:r w:rsidRPr="002C77AE" w:rsidR="00B96BA5">
        <w:rPr>
          <w:rFonts w:cs="Times New Roman"/>
          <w:szCs w:val="24"/>
        </w:rPr>
        <w:t xml:space="preserve">to </w:t>
      </w:r>
      <w:r w:rsidRPr="002C77AE">
        <w:rPr>
          <w:rFonts w:cs="Times New Roman"/>
          <w:szCs w:val="24"/>
        </w:rPr>
        <w:t xml:space="preserve">use </w:t>
      </w:r>
      <w:r w:rsidRPr="002C77AE" w:rsidR="00B96BA5">
        <w:rPr>
          <w:rFonts w:cs="Times New Roman"/>
          <w:szCs w:val="24"/>
        </w:rPr>
        <w:t>projected plant-in-service amounts.</w:t>
      </w:r>
      <w:r>
        <w:rPr>
          <w:rStyle w:val="FootnoteReference"/>
          <w:rFonts w:cs="Times New Roman"/>
          <w:szCs w:val="24"/>
        </w:rPr>
        <w:footnoteReference w:id="46"/>
      </w:r>
      <w:r w:rsidRPr="002C77AE" w:rsidR="00321DF0">
        <w:rPr>
          <w:rFonts w:cs="Times New Roman"/>
          <w:szCs w:val="24"/>
        </w:rPr>
        <w:t xml:space="preserve"> </w:t>
      </w:r>
      <w:r w:rsidRPr="002C77AE" w:rsidR="00B96BA5">
        <w:rPr>
          <w:rFonts w:cs="Times New Roman"/>
          <w:szCs w:val="24"/>
        </w:rPr>
        <w:t xml:space="preserve">FirstEnergy seeks approval for higher spending in exchange for </w:t>
      </w:r>
      <w:r w:rsidRPr="002C77AE">
        <w:rPr>
          <w:rFonts w:cs="Times New Roman"/>
          <w:szCs w:val="24"/>
        </w:rPr>
        <w:t>meeting reliability standards</w:t>
      </w:r>
      <w:r w:rsidRPr="002C77AE" w:rsidR="00B96BA5">
        <w:rPr>
          <w:rFonts w:cs="Times New Roman"/>
          <w:szCs w:val="24"/>
        </w:rPr>
        <w:t xml:space="preserve"> which FirstEnergy</w:t>
      </w:r>
      <w:r w:rsidRPr="002C77AE">
        <w:rPr>
          <w:rFonts w:cs="Times New Roman"/>
          <w:szCs w:val="24"/>
        </w:rPr>
        <w:t xml:space="preserve"> is </w:t>
      </w:r>
      <w:r w:rsidRPr="002C77AE" w:rsidR="00185BF9">
        <w:rPr>
          <w:rFonts w:cs="Times New Roman"/>
          <w:szCs w:val="24"/>
        </w:rPr>
        <w:t xml:space="preserve">already </w:t>
      </w:r>
      <w:r w:rsidRPr="002C77AE">
        <w:rPr>
          <w:rFonts w:cs="Times New Roman"/>
          <w:szCs w:val="24"/>
        </w:rPr>
        <w:t xml:space="preserve">required to meet </w:t>
      </w:r>
      <w:r w:rsidRPr="002C77AE" w:rsidR="00B96BA5">
        <w:rPr>
          <w:rFonts w:cs="Times New Roman"/>
          <w:szCs w:val="24"/>
        </w:rPr>
        <w:t xml:space="preserve">and which it </w:t>
      </w:r>
      <w:r w:rsidRPr="002C77AE" w:rsidR="00185BF9">
        <w:rPr>
          <w:rFonts w:cs="Times New Roman"/>
          <w:szCs w:val="24"/>
        </w:rPr>
        <w:t>in fact does</w:t>
      </w:r>
      <w:r w:rsidRPr="002C77AE" w:rsidR="00EC3EEC">
        <w:rPr>
          <w:rFonts w:cs="Times New Roman"/>
          <w:szCs w:val="24"/>
        </w:rPr>
        <w:t xml:space="preserve"> meet </w:t>
      </w:r>
      <w:r w:rsidRPr="002C77AE" w:rsidR="00B96BA5">
        <w:rPr>
          <w:rFonts w:cs="Times New Roman"/>
          <w:szCs w:val="24"/>
        </w:rPr>
        <w:t>under current spending levels.</w:t>
      </w:r>
      <w:r>
        <w:rPr>
          <w:rStyle w:val="FootnoteReference"/>
          <w:rFonts w:cs="Times New Roman"/>
          <w:szCs w:val="24"/>
        </w:rPr>
        <w:footnoteReference w:id="47"/>
      </w:r>
      <w:r w:rsidRPr="002C77AE">
        <w:rPr>
          <w:rFonts w:cs="Times New Roman"/>
          <w:szCs w:val="24"/>
        </w:rPr>
        <w:t xml:space="preserve"> Finally, FirstEnergy seeks </w:t>
      </w:r>
      <w:r w:rsidRPr="002C77AE" w:rsidR="00B96BA5">
        <w:rPr>
          <w:rFonts w:cs="Times New Roman"/>
          <w:szCs w:val="24"/>
        </w:rPr>
        <w:t xml:space="preserve">to </w:t>
      </w:r>
      <w:r w:rsidRPr="002C77AE" w:rsidR="00185BF9">
        <w:rPr>
          <w:rFonts w:cs="Times New Roman"/>
          <w:szCs w:val="24"/>
        </w:rPr>
        <w:t>remove protective</w:t>
      </w:r>
      <w:r w:rsidR="002C77AE">
        <w:rPr>
          <w:rFonts w:cs="Times New Roman"/>
          <w:szCs w:val="24"/>
        </w:rPr>
        <w:t xml:space="preserve"> </w:t>
      </w:r>
      <w:r w:rsidRPr="002C77AE" w:rsidR="00B96BA5">
        <w:rPr>
          <w:rFonts w:cs="Times New Roman"/>
          <w:szCs w:val="24"/>
        </w:rPr>
        <w:t xml:space="preserve">rate caps by rolling any excess spending forward into </w:t>
      </w:r>
      <w:r w:rsidRPr="002C77AE" w:rsidR="00EC3EEC">
        <w:rPr>
          <w:rFonts w:cs="Times New Roman"/>
          <w:szCs w:val="24"/>
        </w:rPr>
        <w:t>future</w:t>
      </w:r>
      <w:r w:rsidRPr="002C77AE" w:rsidR="00B96BA5">
        <w:rPr>
          <w:rFonts w:cs="Times New Roman"/>
          <w:szCs w:val="24"/>
        </w:rPr>
        <w:t xml:space="preserve"> rate period</w:t>
      </w:r>
      <w:r w:rsidRPr="002C77AE" w:rsidR="00EC3EEC">
        <w:rPr>
          <w:rFonts w:cs="Times New Roman"/>
          <w:szCs w:val="24"/>
        </w:rPr>
        <w:t>s</w:t>
      </w:r>
      <w:r w:rsidRPr="002C77AE" w:rsidR="00B96BA5">
        <w:rPr>
          <w:rFonts w:cs="Times New Roman"/>
          <w:szCs w:val="24"/>
        </w:rPr>
        <w:t>.</w:t>
      </w:r>
      <w:r>
        <w:rPr>
          <w:rStyle w:val="FootnoteReference"/>
          <w:rFonts w:cs="Times New Roman"/>
          <w:szCs w:val="24"/>
        </w:rPr>
        <w:footnoteReference w:id="48"/>
      </w:r>
      <w:r w:rsidRPr="002C77AE" w:rsidR="00B96BA5">
        <w:rPr>
          <w:rFonts w:cs="Times New Roman"/>
          <w:szCs w:val="24"/>
        </w:rPr>
        <w:t xml:space="preserve"> </w:t>
      </w:r>
      <w:r w:rsidRPr="002C77AE" w:rsidR="00185BF9">
        <w:rPr>
          <w:rFonts w:cs="Times New Roman"/>
          <w:szCs w:val="24"/>
        </w:rPr>
        <w:t>This would harm consumers.</w:t>
      </w:r>
      <w:r w:rsidRPr="002C77AE" w:rsidR="00B96BA5">
        <w:rPr>
          <w:rFonts w:cs="Times New Roman"/>
          <w:szCs w:val="24"/>
        </w:rPr>
        <w:t xml:space="preserve"> </w:t>
      </w:r>
    </w:p>
    <w:p w:rsidR="00EC3EEC" w:rsidRPr="002C77AE" w:rsidP="004F079F" w14:paraId="79F6F3F1" w14:textId="02999EB9">
      <w:pPr>
        <w:spacing w:line="480" w:lineRule="auto"/>
        <w:rPr>
          <w:rFonts w:cs="Times New Roman"/>
          <w:szCs w:val="24"/>
        </w:rPr>
      </w:pPr>
      <w:r w:rsidRPr="002C77AE">
        <w:rPr>
          <w:rFonts w:cs="Times New Roman"/>
          <w:szCs w:val="24"/>
        </w:rPr>
        <w:tab/>
      </w:r>
      <w:r w:rsidRPr="002C77AE" w:rsidR="00984F5F">
        <w:rPr>
          <w:rFonts w:cs="Times New Roman"/>
          <w:szCs w:val="24"/>
        </w:rPr>
        <w:t>FirstEnergy</w:t>
      </w:r>
      <w:r w:rsidRPr="002C77AE" w:rsidR="00185BF9">
        <w:rPr>
          <w:rFonts w:cs="Times New Roman"/>
          <w:szCs w:val="24"/>
        </w:rPr>
        <w:t xml:space="preserve"> argues in its</w:t>
      </w:r>
      <w:r w:rsidRPr="002C77AE" w:rsidR="008062EB">
        <w:rPr>
          <w:rFonts w:cs="Times New Roman"/>
          <w:szCs w:val="24"/>
        </w:rPr>
        <w:t xml:space="preserve"> Initial Brief</w:t>
      </w:r>
      <w:r w:rsidRPr="002C77AE" w:rsidR="00984F5F">
        <w:rPr>
          <w:rFonts w:cs="Times New Roman"/>
          <w:szCs w:val="24"/>
        </w:rPr>
        <w:t xml:space="preserve"> that Rider DCR should continue in its current</w:t>
      </w:r>
      <w:r w:rsidRPr="002C77AE" w:rsidR="009E111C">
        <w:rPr>
          <w:rFonts w:cs="Times New Roman"/>
          <w:szCs w:val="24"/>
        </w:rPr>
        <w:t xml:space="preserve"> form, which</w:t>
      </w:r>
      <w:r w:rsidRPr="002C77AE" w:rsidR="00984F5F">
        <w:rPr>
          <w:rFonts w:cs="Times New Roman"/>
          <w:szCs w:val="24"/>
        </w:rPr>
        <w:t xml:space="preserve"> include</w:t>
      </w:r>
      <w:r w:rsidRPr="002C77AE" w:rsidR="009E111C">
        <w:rPr>
          <w:rFonts w:cs="Times New Roman"/>
          <w:szCs w:val="24"/>
        </w:rPr>
        <w:t>s</w:t>
      </w:r>
      <w:r w:rsidRPr="002C77AE" w:rsidR="00984F5F">
        <w:rPr>
          <w:rFonts w:cs="Times New Roman"/>
          <w:szCs w:val="24"/>
        </w:rPr>
        <w:t xml:space="preserve"> charges </w:t>
      </w:r>
      <w:r w:rsidRPr="002C77AE" w:rsidR="00E633C8">
        <w:rPr>
          <w:rFonts w:cs="Times New Roman"/>
          <w:szCs w:val="24"/>
        </w:rPr>
        <w:t xml:space="preserve">from specific accounts </w:t>
      </w:r>
      <w:r w:rsidRPr="002C77AE" w:rsidR="009E111C">
        <w:rPr>
          <w:rFonts w:cs="Times New Roman"/>
          <w:szCs w:val="24"/>
        </w:rPr>
        <w:t>classified as transmission, general, and intangible plant</w:t>
      </w:r>
      <w:r w:rsidRPr="002C77AE" w:rsidR="00984F5F">
        <w:rPr>
          <w:rFonts w:cs="Times New Roman"/>
          <w:szCs w:val="24"/>
        </w:rPr>
        <w:t>.</w:t>
      </w:r>
      <w:r>
        <w:rPr>
          <w:rStyle w:val="FootnoteReference"/>
          <w:rFonts w:cs="Times New Roman"/>
          <w:szCs w:val="24"/>
        </w:rPr>
        <w:footnoteReference w:id="49"/>
      </w:r>
      <w:r w:rsidRPr="002C77AE" w:rsidR="00984F5F">
        <w:rPr>
          <w:rFonts w:cs="Times New Roman"/>
          <w:szCs w:val="24"/>
        </w:rPr>
        <w:t xml:space="preserve"> </w:t>
      </w:r>
      <w:r w:rsidRPr="002C77AE" w:rsidR="00E54572">
        <w:rPr>
          <w:rFonts w:cs="Times New Roman"/>
          <w:szCs w:val="24"/>
        </w:rPr>
        <w:t xml:space="preserve">However, </w:t>
      </w:r>
      <w:r w:rsidRPr="002C77AE" w:rsidR="00EE2003">
        <w:rPr>
          <w:rFonts w:cs="Times New Roman"/>
          <w:szCs w:val="24"/>
        </w:rPr>
        <w:t xml:space="preserve">excluding these accounts </w:t>
      </w:r>
      <w:r w:rsidRPr="002C77AE" w:rsidR="00E54572">
        <w:rPr>
          <w:rFonts w:cs="Times New Roman"/>
          <w:szCs w:val="24"/>
        </w:rPr>
        <w:t>would reduce</w:t>
      </w:r>
      <w:r w:rsidR="002C77AE">
        <w:rPr>
          <w:rFonts w:cs="Times New Roman"/>
          <w:szCs w:val="24"/>
        </w:rPr>
        <w:t xml:space="preserve"> </w:t>
      </w:r>
      <w:r w:rsidRPr="002C77AE" w:rsidR="00EE2003">
        <w:rPr>
          <w:rFonts w:cs="Times New Roman"/>
          <w:szCs w:val="24"/>
        </w:rPr>
        <w:t xml:space="preserve">the total amount of Rider DCR revenue </w:t>
      </w:r>
      <w:r w:rsidRPr="002C77AE" w:rsidR="00E54572">
        <w:rPr>
          <w:rFonts w:cs="Times New Roman"/>
          <w:szCs w:val="24"/>
        </w:rPr>
        <w:t xml:space="preserve">by </w:t>
      </w:r>
      <w:r w:rsidRPr="002C77AE" w:rsidR="00EE2003">
        <w:rPr>
          <w:rFonts w:cs="Times New Roman"/>
          <w:szCs w:val="24"/>
        </w:rPr>
        <w:t>$51 million</w:t>
      </w:r>
      <w:r w:rsidRPr="002C77AE" w:rsidR="00145877">
        <w:rPr>
          <w:rFonts w:cs="Times New Roman"/>
          <w:szCs w:val="24"/>
        </w:rPr>
        <w:t xml:space="preserve"> annually</w:t>
      </w:r>
      <w:r w:rsidRPr="002C77AE" w:rsidR="005E111D">
        <w:rPr>
          <w:rFonts w:cs="Times New Roman"/>
          <w:szCs w:val="24"/>
        </w:rPr>
        <w:t>.</w:t>
      </w:r>
      <w:r>
        <w:rPr>
          <w:rStyle w:val="FootnoteReference"/>
          <w:rFonts w:cs="Times New Roman"/>
          <w:szCs w:val="24"/>
        </w:rPr>
        <w:footnoteReference w:id="50"/>
      </w:r>
      <w:r w:rsidRPr="002C77AE" w:rsidR="00EE2003">
        <w:rPr>
          <w:rFonts w:cs="Times New Roman"/>
          <w:szCs w:val="24"/>
        </w:rPr>
        <w:t xml:space="preserve"> </w:t>
      </w:r>
      <w:r w:rsidRPr="002C77AE" w:rsidR="003A03F5">
        <w:rPr>
          <w:rFonts w:cs="Times New Roman"/>
          <w:szCs w:val="24"/>
        </w:rPr>
        <w:t xml:space="preserve">This is </w:t>
      </w:r>
      <w:r w:rsidRPr="002C77AE" w:rsidR="00145877">
        <w:rPr>
          <w:rFonts w:cs="Times New Roman"/>
          <w:szCs w:val="24"/>
        </w:rPr>
        <w:t xml:space="preserve">another good reason why the PUCO should </w:t>
      </w:r>
      <w:r w:rsidRPr="002C77AE" w:rsidR="00145877">
        <w:rPr>
          <w:rFonts w:cs="Times New Roman"/>
          <w:i/>
          <w:iCs/>
          <w:szCs w:val="24"/>
        </w:rPr>
        <w:t>eliminate</w:t>
      </w:r>
      <w:r w:rsidRPr="002C77AE" w:rsidR="00145877">
        <w:rPr>
          <w:rFonts w:cs="Times New Roman"/>
          <w:szCs w:val="24"/>
        </w:rPr>
        <w:t xml:space="preserve"> these FERC accounts from Rider DCR.</w:t>
      </w:r>
    </w:p>
    <w:p w:rsidR="00892FEA" w:rsidRPr="002C77AE" w:rsidP="00EC3EEC" w14:paraId="39E1A2E3" w14:textId="376A2245">
      <w:pPr>
        <w:spacing w:line="480" w:lineRule="auto"/>
        <w:ind w:firstLine="720"/>
        <w:rPr>
          <w:rFonts w:cs="Times New Roman"/>
          <w:szCs w:val="24"/>
        </w:rPr>
      </w:pPr>
      <w:r w:rsidRPr="002C77AE">
        <w:rPr>
          <w:rFonts w:cs="Times New Roman"/>
          <w:szCs w:val="24"/>
        </w:rPr>
        <w:t xml:space="preserve">In addition, </w:t>
      </w:r>
      <w:r w:rsidRPr="002C77AE" w:rsidR="0049119C">
        <w:rPr>
          <w:rFonts w:cs="Times New Roman"/>
          <w:szCs w:val="24"/>
        </w:rPr>
        <w:t>PUCO Staff Witness Mackey testified that these accounts</w:t>
      </w:r>
      <w:r w:rsidRPr="002C77AE" w:rsidR="00984F5F">
        <w:rPr>
          <w:rFonts w:cs="Times New Roman"/>
          <w:szCs w:val="24"/>
        </w:rPr>
        <w:t xml:space="preserve"> </w:t>
      </w:r>
      <w:r w:rsidRPr="002C77AE" w:rsidR="003C0245">
        <w:rPr>
          <w:rFonts w:cs="Times New Roman"/>
          <w:szCs w:val="24"/>
        </w:rPr>
        <w:t xml:space="preserve">do not directly relate to maintaining the reliability of the distribution grid, which is the purpose of </w:t>
      </w:r>
      <w:r w:rsidRPr="002C77AE" w:rsidR="00145877">
        <w:rPr>
          <w:rFonts w:cs="Times New Roman"/>
          <w:szCs w:val="24"/>
        </w:rPr>
        <w:t>Rider</w:t>
      </w:r>
      <w:r w:rsidRPr="002C77AE" w:rsidR="003C0245">
        <w:rPr>
          <w:rFonts w:cs="Times New Roman"/>
          <w:szCs w:val="24"/>
        </w:rPr>
        <w:t xml:space="preserve"> DCR.</w:t>
      </w:r>
      <w:r>
        <w:rPr>
          <w:rStyle w:val="FootnoteReference"/>
          <w:rFonts w:cs="Times New Roman"/>
          <w:szCs w:val="24"/>
        </w:rPr>
        <w:footnoteReference w:id="51"/>
      </w:r>
      <w:r w:rsidRPr="002C77AE" w:rsidR="00984F5F">
        <w:rPr>
          <w:rFonts w:cs="Times New Roman"/>
          <w:szCs w:val="24"/>
        </w:rPr>
        <w:t xml:space="preserve"> OCC</w:t>
      </w:r>
      <w:r w:rsidR="002C77AE">
        <w:rPr>
          <w:rFonts w:cs="Times New Roman"/>
          <w:szCs w:val="24"/>
        </w:rPr>
        <w:t>’</w:t>
      </w:r>
      <w:r w:rsidRPr="002C77AE" w:rsidR="00EC3EEC">
        <w:rPr>
          <w:rFonts w:cs="Times New Roman"/>
          <w:szCs w:val="24"/>
        </w:rPr>
        <w:t>s I</w:t>
      </w:r>
      <w:r w:rsidRPr="002C77AE" w:rsidR="00984F5F">
        <w:rPr>
          <w:rFonts w:cs="Times New Roman"/>
          <w:szCs w:val="24"/>
        </w:rPr>
        <w:t xml:space="preserve">nitial </w:t>
      </w:r>
      <w:r w:rsidRPr="002C77AE" w:rsidR="00EC3EEC">
        <w:rPr>
          <w:rFonts w:cs="Times New Roman"/>
          <w:szCs w:val="24"/>
        </w:rPr>
        <w:t>B</w:t>
      </w:r>
      <w:r w:rsidRPr="002C77AE" w:rsidR="00984F5F">
        <w:rPr>
          <w:rFonts w:cs="Times New Roman"/>
          <w:szCs w:val="24"/>
        </w:rPr>
        <w:t xml:space="preserve">rief </w:t>
      </w:r>
      <w:r w:rsidRPr="002C77AE" w:rsidR="00EC3EEC">
        <w:rPr>
          <w:rFonts w:cs="Times New Roman"/>
          <w:szCs w:val="24"/>
        </w:rPr>
        <w:t xml:space="preserve">explained </w:t>
      </w:r>
      <w:r w:rsidRPr="002C77AE" w:rsidR="00984F5F">
        <w:rPr>
          <w:rFonts w:cs="Times New Roman"/>
          <w:szCs w:val="24"/>
        </w:rPr>
        <w:t xml:space="preserve">that equipment is classified based on the </w:t>
      </w:r>
      <w:r w:rsidRPr="002C77AE" w:rsidR="00EC3EEC">
        <w:rPr>
          <w:rFonts w:cs="Times New Roman"/>
          <w:szCs w:val="24"/>
        </w:rPr>
        <w:t>equipment</w:t>
      </w:r>
      <w:r w:rsidR="002C77AE">
        <w:rPr>
          <w:rFonts w:cs="Times New Roman"/>
          <w:szCs w:val="24"/>
        </w:rPr>
        <w:t>’</w:t>
      </w:r>
      <w:r w:rsidRPr="002C77AE" w:rsidR="00EC3EEC">
        <w:rPr>
          <w:rFonts w:cs="Times New Roman"/>
          <w:szCs w:val="24"/>
        </w:rPr>
        <w:t xml:space="preserve">s </w:t>
      </w:r>
      <w:r w:rsidRPr="002C77AE" w:rsidR="00984F5F">
        <w:rPr>
          <w:rFonts w:cs="Times New Roman"/>
          <w:szCs w:val="24"/>
        </w:rPr>
        <w:t>primary purpose, so e</w:t>
      </w:r>
      <w:r w:rsidRPr="002C77AE" w:rsidR="0049119C">
        <w:rPr>
          <w:rFonts w:cs="Times New Roman"/>
          <w:szCs w:val="24"/>
        </w:rPr>
        <w:t xml:space="preserve">quipment classified under </w:t>
      </w:r>
      <w:r w:rsidRPr="002C77AE" w:rsidR="00EC3EEC">
        <w:rPr>
          <w:rFonts w:cs="Times New Roman"/>
          <w:szCs w:val="24"/>
        </w:rPr>
        <w:t xml:space="preserve">these </w:t>
      </w:r>
      <w:r w:rsidRPr="002C77AE" w:rsidR="0049119C">
        <w:rPr>
          <w:rFonts w:cs="Times New Roman"/>
          <w:szCs w:val="24"/>
        </w:rPr>
        <w:t>other accounts would not be primarily related to distribution</w:t>
      </w:r>
      <w:r w:rsidRPr="002C77AE" w:rsidR="00EE2003">
        <w:rPr>
          <w:rFonts w:cs="Times New Roman"/>
          <w:szCs w:val="24"/>
        </w:rPr>
        <w:t>. OMAEG</w:t>
      </w:r>
      <w:r>
        <w:rPr>
          <w:rStyle w:val="FootnoteReference"/>
          <w:rFonts w:cs="Times New Roman"/>
          <w:szCs w:val="24"/>
        </w:rPr>
        <w:footnoteReference w:id="52"/>
      </w:r>
      <w:r w:rsidRPr="002C77AE" w:rsidR="00EE2003">
        <w:rPr>
          <w:rFonts w:cs="Times New Roman"/>
          <w:szCs w:val="24"/>
        </w:rPr>
        <w:t xml:space="preserve"> and Kroger</w:t>
      </w:r>
      <w:r>
        <w:rPr>
          <w:rStyle w:val="FootnoteReference"/>
          <w:rFonts w:cs="Times New Roman"/>
          <w:szCs w:val="24"/>
        </w:rPr>
        <w:footnoteReference w:id="53"/>
      </w:r>
      <w:r w:rsidRPr="002C77AE" w:rsidR="00EE2003">
        <w:rPr>
          <w:rFonts w:cs="Times New Roman"/>
          <w:szCs w:val="24"/>
        </w:rPr>
        <w:t xml:space="preserve"> join OCC in asking the PUCO to exclude these accounts from Rider DCR.</w:t>
      </w:r>
    </w:p>
    <w:p w:rsidR="00EC3EEC" w:rsidRPr="002C77AE" w:rsidP="1581347A" w14:paraId="1C26EBCD" w14:textId="6B4C857F">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s electric security plan would</w:t>
      </w:r>
      <w:r w:rsidRPr="002C77AE" w:rsidR="00E54572">
        <w:rPr>
          <w:rFonts w:cs="Times New Roman"/>
          <w:szCs w:val="24"/>
        </w:rPr>
        <w:t xml:space="preserve"> also</w:t>
      </w:r>
      <w:r w:rsidRPr="002C77AE">
        <w:rPr>
          <w:rFonts w:cs="Times New Roman"/>
          <w:szCs w:val="24"/>
        </w:rPr>
        <w:t xml:space="preserve"> allow it to earn excess profits because projected plant-in-service balances are used to determine the Rider DCR revenue requirement and Rider DCR fails to include a depreciation offset. Using </w:t>
      </w:r>
      <w:r w:rsidRPr="002C77AE" w:rsidR="008062EB">
        <w:rPr>
          <w:rFonts w:cs="Times New Roman"/>
          <w:szCs w:val="24"/>
        </w:rPr>
        <w:t xml:space="preserve">projected </w:t>
      </w:r>
      <w:r w:rsidRPr="002C77AE">
        <w:rPr>
          <w:rFonts w:cs="Times New Roman"/>
          <w:szCs w:val="24"/>
        </w:rPr>
        <w:t xml:space="preserve">plant-in-service </w:t>
      </w:r>
      <w:r w:rsidRPr="002C77AE" w:rsidR="008062EB">
        <w:rPr>
          <w:rFonts w:cs="Times New Roman"/>
          <w:szCs w:val="24"/>
        </w:rPr>
        <w:t>balances</w:t>
      </w:r>
      <w:r w:rsidRPr="002C77AE">
        <w:rPr>
          <w:rFonts w:cs="Times New Roman"/>
          <w:szCs w:val="24"/>
        </w:rPr>
        <w:t xml:space="preserve"> allows FirstEnergy to recover investments almost immediately,</w:t>
      </w:r>
      <w:r w:rsidRPr="002C77AE" w:rsidR="00E54572">
        <w:rPr>
          <w:rFonts w:cs="Times New Roman"/>
          <w:szCs w:val="24"/>
        </w:rPr>
        <w:t xml:space="preserve"> and</w:t>
      </w:r>
      <w:r w:rsidRPr="002C77AE">
        <w:rPr>
          <w:rFonts w:cs="Times New Roman"/>
          <w:szCs w:val="24"/>
        </w:rPr>
        <w:t xml:space="preserve"> in some cases before the investment is even placed in service</w:t>
      </w:r>
      <w:r w:rsidRPr="002C77AE" w:rsidR="008062EB">
        <w:rPr>
          <w:rFonts w:cs="Times New Roman"/>
          <w:szCs w:val="24"/>
        </w:rPr>
        <w:t xml:space="preserve"> (</w:t>
      </w:r>
      <w:r w:rsidRPr="002C77AE" w:rsidR="008062EB">
        <w:rPr>
          <w:rFonts w:cs="Times New Roman"/>
          <w:i/>
          <w:iCs/>
          <w:szCs w:val="24"/>
        </w:rPr>
        <w:t xml:space="preserve">i.e., </w:t>
      </w:r>
      <w:r w:rsidRPr="002C77AE" w:rsidR="008062EB">
        <w:rPr>
          <w:rFonts w:cs="Times New Roman"/>
          <w:szCs w:val="24"/>
        </w:rPr>
        <w:t>used and useful)</w:t>
      </w:r>
      <w:r w:rsidRPr="002C77AE">
        <w:rPr>
          <w:rFonts w:cs="Times New Roman"/>
          <w:szCs w:val="24"/>
        </w:rPr>
        <w:t xml:space="preserve"> and systematically over-estimates revenue requirements for Rider DCR. </w:t>
      </w:r>
    </w:p>
    <w:p w:rsidR="00EC3EEC" w:rsidRPr="002C77AE" w:rsidP="1581347A" w14:paraId="310FEECA" w14:textId="78BB56B0">
      <w:pPr>
        <w:spacing w:line="480" w:lineRule="auto"/>
        <w:ind w:firstLine="720"/>
        <w:rPr>
          <w:rFonts w:cs="Times New Roman"/>
          <w:szCs w:val="24"/>
        </w:rPr>
      </w:pPr>
      <w:r w:rsidRPr="002C77AE">
        <w:rPr>
          <w:rFonts w:cs="Times New Roman"/>
          <w:szCs w:val="24"/>
        </w:rPr>
        <w:t>PUCO Staff Witness Mac</w:t>
      </w:r>
      <w:r w:rsidRPr="002C77AE" w:rsidR="00705B22">
        <w:rPr>
          <w:rFonts w:cs="Times New Roman"/>
          <w:szCs w:val="24"/>
        </w:rPr>
        <w:t>key</w:t>
      </w:r>
      <w:r w:rsidR="002C77AE">
        <w:rPr>
          <w:rFonts w:cs="Times New Roman"/>
          <w:szCs w:val="24"/>
        </w:rPr>
        <w:t>’</w:t>
      </w:r>
      <w:r w:rsidRPr="002C77AE" w:rsidR="00705B22">
        <w:rPr>
          <w:rFonts w:cs="Times New Roman"/>
          <w:szCs w:val="24"/>
        </w:rPr>
        <w:t>s testimony</w:t>
      </w:r>
      <w:r w:rsidRPr="002C77AE">
        <w:rPr>
          <w:rFonts w:cs="Times New Roman"/>
          <w:szCs w:val="24"/>
        </w:rPr>
        <w:t xml:space="preserve"> supports OCC</w:t>
      </w:r>
      <w:r w:rsidR="002C77AE">
        <w:rPr>
          <w:rFonts w:cs="Times New Roman"/>
          <w:szCs w:val="24"/>
        </w:rPr>
        <w:t>’</w:t>
      </w:r>
      <w:r w:rsidRPr="002C77AE">
        <w:rPr>
          <w:rFonts w:cs="Times New Roman"/>
          <w:szCs w:val="24"/>
        </w:rPr>
        <w:t>s position.</w:t>
      </w:r>
      <w:r w:rsidRPr="002C77AE" w:rsidR="00321DF0">
        <w:rPr>
          <w:rFonts w:cs="Times New Roman"/>
          <w:szCs w:val="24"/>
        </w:rPr>
        <w:t xml:space="preserve"> </w:t>
      </w:r>
      <w:r w:rsidRPr="002C77AE">
        <w:rPr>
          <w:rFonts w:cs="Times New Roman"/>
          <w:szCs w:val="24"/>
        </w:rPr>
        <w:t>He explained that using projected plant-in-service balances violates PUCO precedent and should be prohibited.</w:t>
      </w:r>
      <w:r>
        <w:rPr>
          <w:rStyle w:val="FootnoteReference"/>
          <w:rFonts w:cs="Times New Roman"/>
          <w:szCs w:val="24"/>
        </w:rPr>
        <w:footnoteReference w:id="54"/>
      </w:r>
      <w:r w:rsidRPr="002C77AE" w:rsidR="00321DF0">
        <w:rPr>
          <w:rFonts w:cs="Times New Roman"/>
          <w:szCs w:val="24"/>
        </w:rPr>
        <w:t xml:space="preserve"> </w:t>
      </w:r>
      <w:r w:rsidRPr="002C77AE" w:rsidR="008062EB">
        <w:rPr>
          <w:rFonts w:cs="Times New Roman"/>
          <w:szCs w:val="24"/>
        </w:rPr>
        <w:t>H</w:t>
      </w:r>
      <w:r w:rsidRPr="002C77AE">
        <w:rPr>
          <w:rFonts w:cs="Times New Roman"/>
          <w:szCs w:val="24"/>
        </w:rPr>
        <w:t xml:space="preserve">e noted that eliminating the projected plant-in-service balances is necessary to </w:t>
      </w:r>
      <w:r w:rsidR="002C77AE">
        <w:rPr>
          <w:rFonts w:cs="Times New Roman"/>
          <w:szCs w:val="24"/>
        </w:rPr>
        <w:t>“</w:t>
      </w:r>
      <w:r w:rsidRPr="002C77AE">
        <w:rPr>
          <w:rFonts w:cs="Times New Roman"/>
          <w:szCs w:val="24"/>
        </w:rPr>
        <w:t>conform the [FirstEnergy] DCR calculation to similar distribution riders that the Commission has approved for AEP Ohio, AES Ohio, and Duke Energy Ohio, which only recover actual, not projected, plant balances in their riders.</w:t>
      </w:r>
      <w:r w:rsidR="002C77AE">
        <w:rPr>
          <w:rFonts w:cs="Times New Roman"/>
          <w:szCs w:val="24"/>
        </w:rPr>
        <w:t>”</w:t>
      </w:r>
      <w:r>
        <w:rPr>
          <w:rStyle w:val="FootnoteReference"/>
          <w:rFonts w:cs="Times New Roman"/>
          <w:szCs w:val="24"/>
        </w:rPr>
        <w:footnoteReference w:id="55"/>
      </w:r>
      <w:r w:rsidRPr="002C77AE" w:rsidR="00321DF0">
        <w:rPr>
          <w:rFonts w:cs="Times New Roman"/>
          <w:szCs w:val="24"/>
        </w:rPr>
        <w:t xml:space="preserve"> </w:t>
      </w:r>
      <w:r w:rsidRPr="002C77AE" w:rsidR="00E54572">
        <w:rPr>
          <w:rFonts w:cs="Times New Roman"/>
          <w:szCs w:val="24"/>
        </w:rPr>
        <w:t xml:space="preserve">The </w:t>
      </w:r>
      <w:r w:rsidRPr="002C77AE" w:rsidR="00705B22">
        <w:rPr>
          <w:rFonts w:cs="Times New Roman"/>
          <w:szCs w:val="24"/>
        </w:rPr>
        <w:t>PUCO Staff</w:t>
      </w:r>
      <w:r w:rsidR="002C77AE">
        <w:rPr>
          <w:rFonts w:cs="Times New Roman"/>
          <w:szCs w:val="24"/>
        </w:rPr>
        <w:t>’</w:t>
      </w:r>
      <w:r w:rsidRPr="002C77AE" w:rsidR="00705B22">
        <w:rPr>
          <w:rFonts w:cs="Times New Roman"/>
          <w:szCs w:val="24"/>
        </w:rPr>
        <w:t>s Initial Brief discusses Mr. Mackey</w:t>
      </w:r>
      <w:r w:rsidR="002C77AE">
        <w:rPr>
          <w:rFonts w:cs="Times New Roman"/>
          <w:szCs w:val="24"/>
        </w:rPr>
        <w:t>’</w:t>
      </w:r>
      <w:r w:rsidRPr="002C77AE" w:rsidR="00705B22">
        <w:rPr>
          <w:rFonts w:cs="Times New Roman"/>
          <w:szCs w:val="24"/>
        </w:rPr>
        <w:t>s testimony and is consistent with OCC</w:t>
      </w:r>
      <w:r w:rsidR="002C77AE">
        <w:rPr>
          <w:rFonts w:cs="Times New Roman"/>
          <w:szCs w:val="24"/>
        </w:rPr>
        <w:t>’</w:t>
      </w:r>
      <w:r w:rsidRPr="002C77AE" w:rsidR="00705B22">
        <w:rPr>
          <w:rFonts w:cs="Times New Roman"/>
          <w:szCs w:val="24"/>
        </w:rPr>
        <w:t>s position on these points.</w:t>
      </w:r>
      <w:r>
        <w:rPr>
          <w:rStyle w:val="FootnoteReference"/>
          <w:rFonts w:cs="Times New Roman"/>
          <w:szCs w:val="24"/>
        </w:rPr>
        <w:footnoteReference w:id="56"/>
      </w:r>
    </w:p>
    <w:p w:rsidR="006F45D8" w:rsidRPr="002C77AE" w:rsidP="00FE3FB6" w14:paraId="1B1C150F" w14:textId="293F8010">
      <w:pPr>
        <w:spacing w:line="480" w:lineRule="auto"/>
        <w:rPr>
          <w:rFonts w:cs="Times New Roman"/>
          <w:szCs w:val="24"/>
        </w:rPr>
      </w:pPr>
      <w:r w:rsidRPr="002C77AE">
        <w:rPr>
          <w:rFonts w:cs="Times New Roman"/>
          <w:szCs w:val="24"/>
        </w:rPr>
        <w:tab/>
      </w:r>
      <w:r w:rsidRPr="002C77AE" w:rsidR="00983030">
        <w:rPr>
          <w:rFonts w:cs="Times New Roman"/>
          <w:szCs w:val="24"/>
        </w:rPr>
        <w:t>FirstEnergy</w:t>
      </w:r>
      <w:r w:rsidRPr="002C77AE" w:rsidR="00FF3096">
        <w:rPr>
          <w:rFonts w:cs="Times New Roman"/>
          <w:szCs w:val="24"/>
        </w:rPr>
        <w:t xml:space="preserve"> </w:t>
      </w:r>
      <w:r w:rsidRPr="002C77AE" w:rsidR="00983030">
        <w:rPr>
          <w:rFonts w:cs="Times New Roman"/>
          <w:szCs w:val="24"/>
        </w:rPr>
        <w:t xml:space="preserve">argues that </w:t>
      </w:r>
      <w:r w:rsidR="002C77AE">
        <w:rPr>
          <w:rFonts w:cs="Times New Roman"/>
          <w:szCs w:val="24"/>
        </w:rPr>
        <w:t>“</w:t>
      </w:r>
      <w:r w:rsidRPr="002C77AE" w:rsidR="00FF3096">
        <w:rPr>
          <w:rFonts w:cs="Times New Roman"/>
          <w:szCs w:val="24"/>
        </w:rPr>
        <w:t>Rider DCR supports distribution investments to maintain safe and reliable service to customers as well as the Companies</w:t>
      </w:r>
      <w:r w:rsidR="002C77AE">
        <w:rPr>
          <w:rFonts w:cs="Times New Roman"/>
          <w:szCs w:val="24"/>
        </w:rPr>
        <w:t>’</w:t>
      </w:r>
      <w:r w:rsidRPr="002C77AE" w:rsidR="00FF3096">
        <w:rPr>
          <w:rFonts w:cs="Times New Roman"/>
          <w:szCs w:val="24"/>
        </w:rPr>
        <w:t xml:space="preserve"> continuing ability to meet customer expectations regarding reliability.</w:t>
      </w:r>
      <w:r w:rsidR="002C77AE">
        <w:rPr>
          <w:rFonts w:cs="Times New Roman"/>
          <w:szCs w:val="24"/>
        </w:rPr>
        <w:t>”</w:t>
      </w:r>
      <w:r>
        <w:rPr>
          <w:rStyle w:val="FootnoteReference"/>
          <w:rFonts w:cs="Times New Roman"/>
          <w:szCs w:val="24"/>
        </w:rPr>
        <w:footnoteReference w:id="57"/>
      </w:r>
      <w:r w:rsidRPr="002C77AE" w:rsidR="00690BDE">
        <w:rPr>
          <w:rFonts w:cs="Times New Roman"/>
          <w:szCs w:val="24"/>
        </w:rPr>
        <w:t xml:space="preserve"> </w:t>
      </w:r>
      <w:r w:rsidRPr="002C77AE" w:rsidR="00FF3096">
        <w:rPr>
          <w:rFonts w:cs="Times New Roman"/>
          <w:szCs w:val="24"/>
        </w:rPr>
        <w:t>E</w:t>
      </w:r>
      <w:r w:rsidRPr="002C77AE" w:rsidR="00690BDE">
        <w:rPr>
          <w:rFonts w:cs="Times New Roman"/>
          <w:szCs w:val="24"/>
        </w:rPr>
        <w:t>lectric distribution utilities</w:t>
      </w:r>
      <w:r w:rsidRPr="002C77AE" w:rsidR="00FF3096">
        <w:rPr>
          <w:rFonts w:cs="Times New Roman"/>
          <w:szCs w:val="24"/>
        </w:rPr>
        <w:t>, however,</w:t>
      </w:r>
      <w:r w:rsidRPr="002C77AE" w:rsidR="00690BDE">
        <w:rPr>
          <w:rFonts w:cs="Times New Roman"/>
          <w:szCs w:val="24"/>
        </w:rPr>
        <w:t xml:space="preserve"> are already required to meet these specific standards, the </w:t>
      </w:r>
      <w:r w:rsidRPr="002C77AE" w:rsidR="00690BDE">
        <w:rPr>
          <w:rFonts w:cs="Times New Roman"/>
          <w:color w:val="333333"/>
          <w:szCs w:val="24"/>
          <w:shd w:val="clear" w:color="auto" w:fill="FFFFFF"/>
        </w:rPr>
        <w:t>customer average interruption duration index</w:t>
      </w:r>
      <w:r w:rsidRPr="002C77AE" w:rsidR="00690BDE">
        <w:rPr>
          <w:rFonts w:cs="Times New Roman"/>
          <w:szCs w:val="24"/>
        </w:rPr>
        <w:t xml:space="preserve"> (</w:t>
      </w:r>
      <w:r w:rsidR="002C77AE">
        <w:rPr>
          <w:rFonts w:cs="Times New Roman"/>
          <w:szCs w:val="24"/>
        </w:rPr>
        <w:t>“</w:t>
      </w:r>
      <w:r w:rsidRPr="002C77AE" w:rsidR="00690BDE">
        <w:rPr>
          <w:rFonts w:cs="Times New Roman"/>
          <w:szCs w:val="24"/>
        </w:rPr>
        <w:t>CAIDI</w:t>
      </w:r>
      <w:r w:rsidR="002C77AE">
        <w:rPr>
          <w:rFonts w:cs="Times New Roman"/>
          <w:szCs w:val="24"/>
        </w:rPr>
        <w:t>”</w:t>
      </w:r>
      <w:r w:rsidRPr="002C77AE" w:rsidR="00690BDE">
        <w:rPr>
          <w:rFonts w:cs="Times New Roman"/>
          <w:szCs w:val="24"/>
        </w:rPr>
        <w:t xml:space="preserve">) and the </w:t>
      </w:r>
      <w:r w:rsidRPr="002C77AE" w:rsidR="00690BDE">
        <w:rPr>
          <w:rFonts w:cs="Times New Roman"/>
          <w:color w:val="333333"/>
          <w:szCs w:val="24"/>
          <w:shd w:val="clear" w:color="auto" w:fill="FFFFFF"/>
        </w:rPr>
        <w:t>system average interruption frequency index</w:t>
      </w:r>
      <w:r w:rsidRPr="002C77AE" w:rsidR="00690BDE">
        <w:rPr>
          <w:rFonts w:cs="Times New Roman"/>
          <w:szCs w:val="24"/>
        </w:rPr>
        <w:t xml:space="preserve"> (</w:t>
      </w:r>
      <w:r w:rsidR="002C77AE">
        <w:rPr>
          <w:rFonts w:cs="Times New Roman"/>
          <w:szCs w:val="24"/>
        </w:rPr>
        <w:t>“</w:t>
      </w:r>
      <w:r w:rsidRPr="002C77AE" w:rsidR="00690BDE">
        <w:rPr>
          <w:rFonts w:cs="Times New Roman"/>
          <w:szCs w:val="24"/>
        </w:rPr>
        <w:t>SAIFI</w:t>
      </w:r>
      <w:r w:rsidR="002C77AE">
        <w:rPr>
          <w:rFonts w:cs="Times New Roman"/>
          <w:szCs w:val="24"/>
        </w:rPr>
        <w:t>”</w:t>
      </w:r>
      <w:r w:rsidRPr="002C77AE" w:rsidR="00690BDE">
        <w:rPr>
          <w:rFonts w:cs="Times New Roman"/>
          <w:szCs w:val="24"/>
        </w:rPr>
        <w:t>)</w:t>
      </w:r>
      <w:r w:rsidRPr="002C77AE" w:rsidR="00681464">
        <w:rPr>
          <w:rFonts w:cs="Times New Roman"/>
          <w:szCs w:val="24"/>
        </w:rPr>
        <w:t xml:space="preserve"> under PUCO rules.</w:t>
      </w:r>
      <w:r>
        <w:rPr>
          <w:rStyle w:val="FootnoteReference"/>
          <w:rFonts w:cs="Times New Roman"/>
          <w:szCs w:val="24"/>
        </w:rPr>
        <w:footnoteReference w:id="58"/>
      </w:r>
      <w:r w:rsidRPr="002C77AE" w:rsidR="00690BDE">
        <w:rPr>
          <w:rFonts w:cs="Times New Roman"/>
          <w:szCs w:val="24"/>
        </w:rPr>
        <w:t xml:space="preserve"> </w:t>
      </w:r>
      <w:r w:rsidRPr="002C77AE" w:rsidR="00FF3096">
        <w:rPr>
          <w:rFonts w:cs="Times New Roman"/>
          <w:szCs w:val="24"/>
        </w:rPr>
        <w:t>FirstEnergy</w:t>
      </w:r>
      <w:r w:rsidR="002C77AE">
        <w:rPr>
          <w:rFonts w:cs="Times New Roman"/>
          <w:szCs w:val="24"/>
        </w:rPr>
        <w:t>’</w:t>
      </w:r>
      <w:r w:rsidRPr="002C77AE" w:rsidR="00FF3096">
        <w:rPr>
          <w:rFonts w:cs="Times New Roman"/>
          <w:szCs w:val="24"/>
        </w:rPr>
        <w:t xml:space="preserve">s proposal that higher levels of Rider DCR spending are needed to meet </w:t>
      </w:r>
      <w:r w:rsidRPr="002C77AE" w:rsidR="00681464">
        <w:rPr>
          <w:rFonts w:cs="Times New Roman"/>
          <w:szCs w:val="24"/>
        </w:rPr>
        <w:t xml:space="preserve">standards </w:t>
      </w:r>
      <w:r w:rsidRPr="002C77AE" w:rsidR="00575AFA">
        <w:rPr>
          <w:rFonts w:cs="Times New Roman"/>
          <w:szCs w:val="24"/>
        </w:rPr>
        <w:t xml:space="preserve">which </w:t>
      </w:r>
      <w:r w:rsidRPr="002C77AE" w:rsidR="00FF3096">
        <w:rPr>
          <w:rFonts w:cs="Times New Roman"/>
          <w:szCs w:val="24"/>
        </w:rPr>
        <w:t xml:space="preserve">FirstEnergy </w:t>
      </w:r>
      <w:r w:rsidRPr="002C77AE" w:rsidR="00681464">
        <w:rPr>
          <w:rFonts w:cs="Times New Roman"/>
          <w:szCs w:val="24"/>
        </w:rPr>
        <w:t xml:space="preserve">is already required to meet </w:t>
      </w:r>
      <w:r w:rsidRPr="002C77AE" w:rsidR="00FF3096">
        <w:rPr>
          <w:rFonts w:cs="Times New Roman"/>
          <w:i/>
          <w:szCs w:val="24"/>
        </w:rPr>
        <w:t xml:space="preserve">(and is already meeting under current spending levels) </w:t>
      </w:r>
      <w:r w:rsidRPr="002C77AE" w:rsidR="00681464">
        <w:rPr>
          <w:rFonts w:cs="Times New Roman"/>
          <w:szCs w:val="24"/>
        </w:rPr>
        <w:t>is unjust and unreasonable.</w:t>
      </w:r>
    </w:p>
    <w:p w:rsidR="00892FEA" w:rsidRPr="002C77AE" w:rsidP="61C474A6" w14:paraId="733222C5" w14:textId="685A020F">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 xml:space="preserve">s proposed Rider DCR spending </w:t>
      </w:r>
      <w:r w:rsidR="002C77AE">
        <w:rPr>
          <w:rFonts w:cs="Times New Roman"/>
          <w:szCs w:val="24"/>
        </w:rPr>
        <w:t>“</w:t>
      </w:r>
      <w:r w:rsidRPr="002C77AE">
        <w:rPr>
          <w:rFonts w:cs="Times New Roman"/>
          <w:szCs w:val="24"/>
        </w:rPr>
        <w:t>caps</w:t>
      </w:r>
      <w:r w:rsidR="002C77AE">
        <w:rPr>
          <w:rFonts w:cs="Times New Roman"/>
          <w:szCs w:val="24"/>
        </w:rPr>
        <w:t>”</w:t>
      </w:r>
      <w:r w:rsidRPr="002C77AE">
        <w:rPr>
          <w:rFonts w:cs="Times New Roman"/>
          <w:szCs w:val="24"/>
        </w:rPr>
        <w:t xml:space="preserve"> would</w:t>
      </w:r>
      <w:r w:rsidRPr="002C77AE" w:rsidR="00E54572">
        <w:rPr>
          <w:rFonts w:cs="Times New Roman"/>
          <w:szCs w:val="24"/>
        </w:rPr>
        <w:t xml:space="preserve"> also</w:t>
      </w:r>
      <w:r w:rsidRPr="002C77AE">
        <w:rPr>
          <w:rFonts w:cs="Times New Roman"/>
          <w:szCs w:val="24"/>
        </w:rPr>
        <w:t xml:space="preserve"> allow it to carry</w:t>
      </w:r>
      <w:r w:rsidRPr="002C77AE" w:rsidR="00E54572">
        <w:rPr>
          <w:rFonts w:cs="Times New Roman"/>
          <w:szCs w:val="24"/>
        </w:rPr>
        <w:t xml:space="preserve"> </w:t>
      </w:r>
      <w:r w:rsidRPr="002C77AE">
        <w:rPr>
          <w:rFonts w:cs="Times New Roman"/>
          <w:szCs w:val="24"/>
        </w:rPr>
        <w:t xml:space="preserve">forward any </w:t>
      </w:r>
      <w:r w:rsidRPr="002C77AE" w:rsidR="00FE7196">
        <w:rPr>
          <w:rFonts w:cs="Times New Roman"/>
          <w:szCs w:val="24"/>
        </w:rPr>
        <w:t xml:space="preserve">excess Rider DCR spending and collect the excess revenue in the following year or </w:t>
      </w:r>
      <w:r w:rsidRPr="002C77AE" w:rsidR="00E54572">
        <w:rPr>
          <w:rFonts w:cs="Times New Roman"/>
          <w:szCs w:val="24"/>
        </w:rPr>
        <w:t xml:space="preserve">in </w:t>
      </w:r>
      <w:r w:rsidRPr="002C77AE" w:rsidR="00FE7196">
        <w:rPr>
          <w:rFonts w:cs="Times New Roman"/>
          <w:szCs w:val="24"/>
        </w:rPr>
        <w:t>the next rate case.</w:t>
      </w:r>
      <w:r w:rsidRPr="002C77AE" w:rsidR="00E54572">
        <w:rPr>
          <w:rFonts w:cs="Times New Roman"/>
          <w:szCs w:val="24"/>
        </w:rPr>
        <w:t xml:space="preserve"> That is unreasonable and harmful to </w:t>
      </w:r>
      <w:r w:rsidRPr="002C77AE" w:rsidR="008416E1">
        <w:rPr>
          <w:rFonts w:cs="Times New Roman"/>
          <w:szCs w:val="24"/>
        </w:rPr>
        <w:t>consumers</w:t>
      </w:r>
      <w:r w:rsidR="002C77AE">
        <w:rPr>
          <w:rFonts w:cs="Times New Roman"/>
          <w:szCs w:val="24"/>
        </w:rPr>
        <w:t xml:space="preserve"> </w:t>
      </w:r>
      <w:r w:rsidRPr="002C77AE" w:rsidR="00E54572">
        <w:rPr>
          <w:rFonts w:cs="Times New Roman"/>
          <w:szCs w:val="24"/>
        </w:rPr>
        <w:t xml:space="preserve">because </w:t>
      </w:r>
      <w:r w:rsidRPr="002C77AE" w:rsidR="00FE7196">
        <w:rPr>
          <w:rFonts w:cs="Times New Roman"/>
          <w:szCs w:val="24"/>
        </w:rPr>
        <w:t xml:space="preserve">the </w:t>
      </w:r>
      <w:r w:rsidRPr="002C77AE" w:rsidR="008062EB">
        <w:rPr>
          <w:rFonts w:cs="Times New Roman"/>
          <w:szCs w:val="24"/>
        </w:rPr>
        <w:t>so-called</w:t>
      </w:r>
      <w:r w:rsidRPr="002C77AE" w:rsidR="00FE7196">
        <w:rPr>
          <w:rFonts w:cs="Times New Roman"/>
          <w:szCs w:val="24"/>
        </w:rPr>
        <w:t xml:space="preserve"> </w:t>
      </w:r>
      <w:r w:rsidR="002C77AE">
        <w:rPr>
          <w:rFonts w:cs="Times New Roman"/>
          <w:szCs w:val="24"/>
        </w:rPr>
        <w:t>“</w:t>
      </w:r>
      <w:r w:rsidRPr="002C77AE" w:rsidR="00FE7196">
        <w:rPr>
          <w:rFonts w:cs="Times New Roman"/>
          <w:szCs w:val="24"/>
        </w:rPr>
        <w:t>caps</w:t>
      </w:r>
      <w:r w:rsidR="002C77AE">
        <w:rPr>
          <w:rFonts w:cs="Times New Roman"/>
          <w:szCs w:val="24"/>
        </w:rPr>
        <w:t>”</w:t>
      </w:r>
      <w:r w:rsidRPr="002C77AE" w:rsidR="00FE7196">
        <w:rPr>
          <w:rFonts w:cs="Times New Roman"/>
          <w:szCs w:val="24"/>
        </w:rPr>
        <w:t xml:space="preserve"> do not function as </w:t>
      </w:r>
      <w:r w:rsidRPr="002C77AE" w:rsidR="008062EB">
        <w:rPr>
          <w:rFonts w:cs="Times New Roman"/>
          <w:szCs w:val="24"/>
        </w:rPr>
        <w:t xml:space="preserve">actual hard </w:t>
      </w:r>
      <w:r w:rsidRPr="002C77AE" w:rsidR="00FE7196">
        <w:rPr>
          <w:rFonts w:cs="Times New Roman"/>
          <w:szCs w:val="24"/>
        </w:rPr>
        <w:t>caps on the amount consumers must pay. OCC</w:t>
      </w:r>
      <w:r w:rsidR="002C77AE">
        <w:rPr>
          <w:rFonts w:cs="Times New Roman"/>
          <w:szCs w:val="24"/>
        </w:rPr>
        <w:t>’</w:t>
      </w:r>
      <w:r w:rsidRPr="002C77AE" w:rsidR="008062EB">
        <w:rPr>
          <w:rFonts w:cs="Times New Roman"/>
          <w:szCs w:val="24"/>
        </w:rPr>
        <w:t>s Initial B</w:t>
      </w:r>
      <w:r w:rsidRPr="002C77AE" w:rsidR="00FE7196">
        <w:rPr>
          <w:rFonts w:cs="Times New Roman"/>
          <w:szCs w:val="24"/>
        </w:rPr>
        <w:t xml:space="preserve">rief </w:t>
      </w:r>
      <w:r w:rsidRPr="002C77AE" w:rsidR="008062EB">
        <w:rPr>
          <w:rFonts w:cs="Times New Roman"/>
          <w:szCs w:val="24"/>
        </w:rPr>
        <w:t xml:space="preserve">explained </w:t>
      </w:r>
      <w:r w:rsidRPr="002C77AE" w:rsidR="00FE7196">
        <w:rPr>
          <w:rFonts w:cs="Times New Roman"/>
          <w:szCs w:val="24"/>
        </w:rPr>
        <w:t xml:space="preserve">that the PUCO </w:t>
      </w:r>
      <w:r w:rsidRPr="002C77AE" w:rsidR="007B40FB">
        <w:rPr>
          <w:rFonts w:cs="Times New Roman"/>
          <w:szCs w:val="24"/>
        </w:rPr>
        <w:t>prohibits</w:t>
      </w:r>
      <w:r w:rsidRPr="002C77AE" w:rsidR="00FE7196">
        <w:rPr>
          <w:rFonts w:cs="Times New Roman"/>
          <w:szCs w:val="24"/>
        </w:rPr>
        <w:t xml:space="preserve"> other utilities </w:t>
      </w:r>
      <w:r w:rsidRPr="002C77AE" w:rsidR="007B40FB">
        <w:rPr>
          <w:rFonts w:cs="Times New Roman"/>
          <w:szCs w:val="24"/>
        </w:rPr>
        <w:t>from carrying</w:t>
      </w:r>
      <w:r w:rsidRPr="002C77AE" w:rsidR="00FE7196">
        <w:rPr>
          <w:rFonts w:cs="Times New Roman"/>
          <w:szCs w:val="24"/>
        </w:rPr>
        <w:t xml:space="preserve"> revenue into the following year or the next rate case</w:t>
      </w:r>
      <w:r w:rsidRPr="002C77AE" w:rsidR="008062EB">
        <w:rPr>
          <w:rFonts w:cs="Times New Roman"/>
          <w:szCs w:val="24"/>
        </w:rPr>
        <w:t>.</w:t>
      </w:r>
      <w:r>
        <w:rPr>
          <w:rStyle w:val="FootnoteReference"/>
          <w:rFonts w:cs="Times New Roman"/>
          <w:szCs w:val="24"/>
        </w:rPr>
        <w:footnoteReference w:id="59"/>
      </w:r>
      <w:r w:rsidRPr="002C77AE" w:rsidR="00321DF0">
        <w:rPr>
          <w:rFonts w:cs="Times New Roman"/>
          <w:szCs w:val="24"/>
        </w:rPr>
        <w:t xml:space="preserve"> </w:t>
      </w:r>
      <w:r w:rsidRPr="002C77AE" w:rsidR="008062EB">
        <w:rPr>
          <w:rFonts w:cs="Times New Roman"/>
          <w:szCs w:val="24"/>
        </w:rPr>
        <w:t>T</w:t>
      </w:r>
      <w:r w:rsidRPr="002C77AE" w:rsidR="00FE7196">
        <w:rPr>
          <w:rFonts w:cs="Times New Roman"/>
          <w:szCs w:val="24"/>
        </w:rPr>
        <w:t xml:space="preserve">he PUCO </w:t>
      </w:r>
      <w:r w:rsidRPr="002C77AE" w:rsidR="008062EB">
        <w:rPr>
          <w:rFonts w:cs="Times New Roman"/>
          <w:szCs w:val="24"/>
        </w:rPr>
        <w:t>should</w:t>
      </w:r>
      <w:r w:rsidRPr="002C77AE" w:rsidR="00FE7196">
        <w:rPr>
          <w:rFonts w:cs="Times New Roman"/>
          <w:szCs w:val="24"/>
        </w:rPr>
        <w:t xml:space="preserve"> follow its own precedent and impose an effective hard cap on </w:t>
      </w:r>
      <w:r w:rsidRPr="002C77AE" w:rsidR="007B40FB">
        <w:rPr>
          <w:rFonts w:cs="Times New Roman"/>
          <w:szCs w:val="24"/>
        </w:rPr>
        <w:t>FirstEnergy</w:t>
      </w:r>
      <w:r w:rsidR="002C77AE">
        <w:rPr>
          <w:rFonts w:cs="Times New Roman"/>
          <w:szCs w:val="24"/>
        </w:rPr>
        <w:t>’</w:t>
      </w:r>
      <w:r w:rsidRPr="002C77AE" w:rsidR="007B40FB">
        <w:rPr>
          <w:rFonts w:cs="Times New Roman"/>
          <w:szCs w:val="24"/>
        </w:rPr>
        <w:t xml:space="preserve">s </w:t>
      </w:r>
      <w:r w:rsidRPr="002C77AE" w:rsidR="00FE7196">
        <w:rPr>
          <w:rFonts w:cs="Times New Roman"/>
          <w:szCs w:val="24"/>
        </w:rPr>
        <w:t>Rider DCR revenue.</w:t>
      </w:r>
    </w:p>
    <w:p w:rsidR="00575AFA" w:rsidRPr="002C77AE" w:rsidP="61C474A6" w14:paraId="34C8846A" w14:textId="0FB15590">
      <w:pPr>
        <w:spacing w:line="480" w:lineRule="auto"/>
        <w:ind w:firstLine="720"/>
        <w:rPr>
          <w:rFonts w:cs="Times New Roman"/>
          <w:szCs w:val="24"/>
        </w:rPr>
      </w:pPr>
      <w:r w:rsidRPr="002C77AE">
        <w:rPr>
          <w:rFonts w:cs="Times New Roman"/>
          <w:szCs w:val="24"/>
        </w:rPr>
        <w:t>PUCO Staff</w:t>
      </w:r>
      <w:r w:rsidR="002C77AE">
        <w:rPr>
          <w:rFonts w:cs="Times New Roman"/>
          <w:szCs w:val="24"/>
        </w:rPr>
        <w:t>’</w:t>
      </w:r>
      <w:r w:rsidRPr="002C77AE">
        <w:rPr>
          <w:rFonts w:cs="Times New Roman"/>
          <w:szCs w:val="24"/>
        </w:rPr>
        <w:t xml:space="preserve">s Initial Brief also proposed </w:t>
      </w:r>
      <w:r w:rsidRPr="002C77AE" w:rsidR="008416E1">
        <w:rPr>
          <w:rFonts w:cs="Times New Roman"/>
          <w:szCs w:val="24"/>
        </w:rPr>
        <w:t xml:space="preserve">hard caps for </w:t>
      </w:r>
      <w:r w:rsidRPr="002C77AE">
        <w:rPr>
          <w:rFonts w:cs="Times New Roman"/>
          <w:szCs w:val="24"/>
        </w:rPr>
        <w:t>Rider DCR:</w:t>
      </w:r>
    </w:p>
    <w:p w:rsidR="00575AFA" w:rsidRPr="002C77AE" w:rsidP="00FF2EF1" w14:paraId="5E09777A" w14:textId="5A5F53F7">
      <w:pPr>
        <w:ind w:left="1440" w:right="1440"/>
        <w:rPr>
          <w:rFonts w:cs="Times New Roman"/>
          <w:szCs w:val="24"/>
        </w:rPr>
      </w:pPr>
      <w:r w:rsidRPr="002C77AE">
        <w:rPr>
          <w:rFonts w:cs="Times New Roman"/>
          <w:szCs w:val="24"/>
        </w:rPr>
        <w:t>Currently, if the Companies are under the cap in one year, they can roll the unused cap space over to the next year, thereby increasing the next year</w:t>
      </w:r>
      <w:r w:rsidR="002C77AE">
        <w:rPr>
          <w:rFonts w:cs="Times New Roman"/>
          <w:szCs w:val="24"/>
        </w:rPr>
        <w:t>’</w:t>
      </w:r>
      <w:r w:rsidRPr="002C77AE">
        <w:rPr>
          <w:rFonts w:cs="Times New Roman"/>
          <w:szCs w:val="24"/>
        </w:rPr>
        <w:t>s cap. Likewise, if the Companies go over their approved cap, they can carry the overage to the next year and recover it if it falls under the next year</w:t>
      </w:r>
      <w:r w:rsidR="002C77AE">
        <w:rPr>
          <w:rFonts w:cs="Times New Roman"/>
          <w:szCs w:val="24"/>
        </w:rPr>
        <w:t>’</w:t>
      </w:r>
      <w:r w:rsidRPr="002C77AE">
        <w:rPr>
          <w:rFonts w:cs="Times New Roman"/>
          <w:szCs w:val="24"/>
        </w:rPr>
        <w:t>s cap. None of Ohio</w:t>
      </w:r>
      <w:r w:rsidR="002C77AE">
        <w:rPr>
          <w:rFonts w:cs="Times New Roman"/>
          <w:szCs w:val="24"/>
        </w:rPr>
        <w:t>’</w:t>
      </w:r>
      <w:r w:rsidRPr="002C77AE">
        <w:rPr>
          <w:rFonts w:cs="Times New Roman"/>
          <w:szCs w:val="24"/>
        </w:rPr>
        <w:t>s other electric utilities are allowed to do either of these things. The Companies</w:t>
      </w:r>
      <w:r w:rsidR="002C77AE">
        <w:rPr>
          <w:rFonts w:cs="Times New Roman"/>
          <w:szCs w:val="24"/>
        </w:rPr>
        <w:t>’</w:t>
      </w:r>
      <w:r w:rsidRPr="002C77AE">
        <w:rPr>
          <w:rFonts w:cs="Times New Roman"/>
          <w:szCs w:val="24"/>
        </w:rPr>
        <w:t xml:space="preserve"> Rider DCR should therefore be modified. If the Companies are under their cap in one year, it should have no impact on the following year</w:t>
      </w:r>
      <w:r w:rsidR="002C77AE">
        <w:rPr>
          <w:rFonts w:cs="Times New Roman"/>
          <w:szCs w:val="24"/>
        </w:rPr>
        <w:t>’</w:t>
      </w:r>
      <w:r w:rsidRPr="002C77AE">
        <w:rPr>
          <w:rFonts w:cs="Times New Roman"/>
          <w:szCs w:val="24"/>
        </w:rPr>
        <w:t>s cap. And if the Companies are over the cap, the amount over the cap should not be rolled forward and should be excluded from the DCR.</w:t>
      </w:r>
      <w:r>
        <w:rPr>
          <w:rStyle w:val="FootnoteReference"/>
          <w:rFonts w:cs="Times New Roman"/>
          <w:szCs w:val="24"/>
        </w:rPr>
        <w:footnoteReference w:id="60"/>
      </w:r>
    </w:p>
    <w:p w:rsidR="00575AFA" w:rsidRPr="002C77AE" w:rsidP="00575AFA" w14:paraId="361798D3" w14:textId="77777777">
      <w:pPr>
        <w:ind w:left="1440" w:right="1440"/>
        <w:rPr>
          <w:rFonts w:cs="Times New Roman"/>
          <w:szCs w:val="24"/>
        </w:rPr>
      </w:pPr>
    </w:p>
    <w:p w:rsidR="00CD3E44" w:rsidP="00CB6FCD" w14:paraId="5998A3D7" w14:textId="46A7FEC1">
      <w:pPr>
        <w:spacing w:line="480" w:lineRule="auto"/>
        <w:rPr>
          <w:rFonts w:cs="Times New Roman"/>
          <w:szCs w:val="24"/>
        </w:rPr>
      </w:pPr>
      <w:r w:rsidRPr="002C77AE">
        <w:rPr>
          <w:rFonts w:cs="Times New Roman"/>
          <w:szCs w:val="24"/>
        </w:rPr>
        <w:tab/>
      </w:r>
      <w:r w:rsidRPr="002C77AE" w:rsidR="002854A4">
        <w:rPr>
          <w:rFonts w:cs="Times New Roman"/>
          <w:szCs w:val="24"/>
        </w:rPr>
        <w:t>Accordingly</w:t>
      </w:r>
      <w:r w:rsidRPr="002C77AE" w:rsidR="00CB6FCD">
        <w:rPr>
          <w:rFonts w:cs="Times New Roman"/>
          <w:szCs w:val="24"/>
        </w:rPr>
        <w:t xml:space="preserve">, </w:t>
      </w:r>
      <w:r w:rsidRPr="002C77AE">
        <w:rPr>
          <w:rFonts w:cs="Times New Roman"/>
          <w:szCs w:val="24"/>
        </w:rPr>
        <w:t>the PUCO</w:t>
      </w:r>
      <w:r w:rsidRPr="002C77AE" w:rsidR="002854A4">
        <w:rPr>
          <w:rFonts w:cs="Times New Roman"/>
          <w:szCs w:val="24"/>
        </w:rPr>
        <w:t xml:space="preserve"> should</w:t>
      </w:r>
      <w:r w:rsidRPr="002C77AE">
        <w:rPr>
          <w:rFonts w:cs="Times New Roman"/>
          <w:szCs w:val="24"/>
        </w:rPr>
        <w:t xml:space="preserve"> adopt </w:t>
      </w:r>
      <w:r w:rsidRPr="002C77AE" w:rsidR="00CB6FCD">
        <w:rPr>
          <w:rFonts w:cs="Times New Roman"/>
          <w:szCs w:val="24"/>
        </w:rPr>
        <w:t>OCC</w:t>
      </w:r>
      <w:r w:rsidR="002C77AE">
        <w:rPr>
          <w:rFonts w:cs="Times New Roman"/>
          <w:szCs w:val="24"/>
        </w:rPr>
        <w:t>’</w:t>
      </w:r>
      <w:r w:rsidRPr="002C77AE" w:rsidR="00CB6FCD">
        <w:rPr>
          <w:rFonts w:cs="Times New Roman"/>
          <w:szCs w:val="24"/>
        </w:rPr>
        <w:t>s</w:t>
      </w:r>
      <w:r w:rsidRPr="002C77AE">
        <w:rPr>
          <w:rFonts w:cs="Times New Roman"/>
          <w:szCs w:val="24"/>
        </w:rPr>
        <w:t xml:space="preserve"> recommendations </w:t>
      </w:r>
      <w:r w:rsidRPr="002C77AE" w:rsidR="00CB6FCD">
        <w:rPr>
          <w:rFonts w:cs="Times New Roman"/>
          <w:szCs w:val="24"/>
        </w:rPr>
        <w:t>regarding Rider DCR.</w:t>
      </w:r>
    </w:p>
    <w:p w:rsidR="00CD3E44" w14:paraId="35E51B77" w14:textId="77777777">
      <w:pPr>
        <w:spacing w:after="200" w:line="276" w:lineRule="auto"/>
        <w:rPr>
          <w:rFonts w:cs="Times New Roman"/>
          <w:szCs w:val="24"/>
        </w:rPr>
      </w:pPr>
      <w:r>
        <w:rPr>
          <w:rFonts w:cs="Times New Roman"/>
          <w:szCs w:val="24"/>
        </w:rPr>
        <w:br w:type="page"/>
      </w:r>
    </w:p>
    <w:p w:rsidR="00955ABA" w:rsidRPr="002C77AE" w:rsidP="61C474A6" w14:paraId="512396D2" w14:textId="1602D7DA">
      <w:pPr>
        <w:pStyle w:val="Heading2"/>
        <w:rPr>
          <w:highlight w:val="green"/>
        </w:rPr>
      </w:pPr>
      <w:bookmarkStart w:id="17" w:name="_Toc156561531"/>
      <w:bookmarkStart w:id="18" w:name="_Toc158373172"/>
      <w:r w:rsidRPr="002C77AE">
        <w:t>F.</w:t>
      </w:r>
      <w:r w:rsidRPr="002C77AE" w:rsidR="004A31CA">
        <w:tab/>
      </w:r>
      <w:r w:rsidRPr="002C77AE">
        <w:t>FirstEnergy</w:t>
      </w:r>
      <w:r w:rsidR="002C77AE">
        <w:t>’</w:t>
      </w:r>
      <w:r w:rsidRPr="002C77AE">
        <w:t xml:space="preserve">s Rider AMI proposal is unjust and unreasonable because </w:t>
      </w:r>
      <w:bookmarkEnd w:id="17"/>
      <w:r w:rsidRPr="002C77AE" w:rsidR="004227BA">
        <w:t>FirstEnergy</w:t>
      </w:r>
      <w:r w:rsidRPr="002C77AE">
        <w:t xml:space="preserve"> w</w:t>
      </w:r>
      <w:r w:rsidRPr="002C77AE" w:rsidR="004227BA">
        <w:t>ould</w:t>
      </w:r>
      <w:r w:rsidRPr="002C77AE">
        <w:t xml:space="preserve"> collect excessive </w:t>
      </w:r>
      <w:r w:rsidRPr="002C77AE" w:rsidR="004227BA">
        <w:t>profits</w:t>
      </w:r>
      <w:r w:rsidRPr="002C77AE">
        <w:t xml:space="preserve"> without the constraint of a revenue cap</w:t>
      </w:r>
      <w:r w:rsidRPr="002C77AE" w:rsidR="0060664F">
        <w:t>, to the detriment of FirstEnergy consumers</w:t>
      </w:r>
      <w:r w:rsidRPr="002C77AE" w:rsidR="00061F35">
        <w:t>.</w:t>
      </w:r>
      <w:bookmarkEnd w:id="18"/>
    </w:p>
    <w:p w:rsidR="003A04A9" w:rsidRPr="002C77AE" w:rsidP="00955ABA" w14:paraId="036E86E6" w14:textId="138E8117">
      <w:pPr>
        <w:spacing w:line="480" w:lineRule="auto"/>
        <w:rPr>
          <w:rFonts w:cs="Times New Roman"/>
          <w:szCs w:val="24"/>
        </w:rPr>
      </w:pPr>
      <w:r w:rsidRPr="002C77AE">
        <w:rPr>
          <w:rFonts w:cs="Times New Roman"/>
          <w:szCs w:val="24"/>
        </w:rPr>
        <w:tab/>
        <w:t xml:space="preserve">FirstEnergy proposes </w:t>
      </w:r>
      <w:r w:rsidRPr="002C77AE" w:rsidR="000E3D80">
        <w:rPr>
          <w:rFonts w:cs="Times New Roman"/>
          <w:szCs w:val="24"/>
        </w:rPr>
        <w:t xml:space="preserve">to continue Rider AMI in its current form until all costs of </w:t>
      </w:r>
      <w:r w:rsidRPr="002C77AE" w:rsidR="003224D2">
        <w:rPr>
          <w:rFonts w:cs="Times New Roman"/>
          <w:szCs w:val="24"/>
        </w:rPr>
        <w:t>FirstEnergy</w:t>
      </w:r>
      <w:r w:rsidR="002C77AE">
        <w:rPr>
          <w:rFonts w:cs="Times New Roman"/>
          <w:szCs w:val="24"/>
        </w:rPr>
        <w:t>’</w:t>
      </w:r>
      <w:r w:rsidRPr="002C77AE" w:rsidR="003224D2">
        <w:rPr>
          <w:rFonts w:cs="Times New Roman"/>
          <w:szCs w:val="24"/>
        </w:rPr>
        <w:t xml:space="preserve">s </w:t>
      </w:r>
      <w:r w:rsidRPr="002C77AE" w:rsidR="004227BA">
        <w:rPr>
          <w:rFonts w:cs="Times New Roman"/>
          <w:szCs w:val="24"/>
        </w:rPr>
        <w:t>G</w:t>
      </w:r>
      <w:r w:rsidRPr="002C77AE" w:rsidR="000E3D80">
        <w:rPr>
          <w:rFonts w:cs="Times New Roman"/>
          <w:szCs w:val="24"/>
        </w:rPr>
        <w:t xml:space="preserve">rid </w:t>
      </w:r>
      <w:r w:rsidRPr="002C77AE" w:rsidR="004227BA">
        <w:rPr>
          <w:rFonts w:cs="Times New Roman"/>
          <w:szCs w:val="24"/>
        </w:rPr>
        <w:t>M</w:t>
      </w:r>
      <w:r w:rsidRPr="002C77AE" w:rsidR="000E3D80">
        <w:rPr>
          <w:rFonts w:cs="Times New Roman"/>
          <w:szCs w:val="24"/>
        </w:rPr>
        <w:t xml:space="preserve">odernization </w:t>
      </w:r>
      <w:r w:rsidRPr="002C77AE" w:rsidR="004227BA">
        <w:rPr>
          <w:rFonts w:cs="Times New Roman"/>
          <w:szCs w:val="24"/>
        </w:rPr>
        <w:t xml:space="preserve">I and II </w:t>
      </w:r>
      <w:r w:rsidRPr="002C77AE" w:rsidR="000E3D80">
        <w:rPr>
          <w:rFonts w:cs="Times New Roman"/>
          <w:szCs w:val="24"/>
        </w:rPr>
        <w:t xml:space="preserve">business plan are fully </w:t>
      </w:r>
      <w:r w:rsidRPr="002C77AE" w:rsidR="004227BA">
        <w:rPr>
          <w:rFonts w:cs="Times New Roman"/>
          <w:szCs w:val="24"/>
        </w:rPr>
        <w:t>collected.</w:t>
      </w:r>
      <w:r>
        <w:rPr>
          <w:rStyle w:val="FootnoteReference"/>
          <w:rFonts w:cs="Times New Roman"/>
          <w:szCs w:val="24"/>
        </w:rPr>
        <w:footnoteReference w:id="61"/>
      </w:r>
      <w:r w:rsidRPr="002C77AE" w:rsidR="00321DF0">
        <w:rPr>
          <w:rFonts w:cs="Times New Roman"/>
          <w:szCs w:val="24"/>
        </w:rPr>
        <w:t xml:space="preserve"> </w:t>
      </w:r>
      <w:r w:rsidRPr="002C77AE" w:rsidR="004227BA">
        <w:rPr>
          <w:rFonts w:cs="Times New Roman"/>
          <w:szCs w:val="24"/>
        </w:rPr>
        <w:t>FirstEnergy</w:t>
      </w:r>
      <w:r w:rsidR="002C77AE">
        <w:rPr>
          <w:rFonts w:cs="Times New Roman"/>
          <w:szCs w:val="24"/>
        </w:rPr>
        <w:t>’</w:t>
      </w:r>
      <w:r w:rsidRPr="002C77AE" w:rsidR="003224D2">
        <w:rPr>
          <w:rFonts w:cs="Times New Roman"/>
          <w:szCs w:val="24"/>
        </w:rPr>
        <w:t xml:space="preserve">s Initial Brief </w:t>
      </w:r>
      <w:r w:rsidRPr="002C77AE" w:rsidR="0025491B">
        <w:rPr>
          <w:rFonts w:cs="Times New Roman"/>
          <w:szCs w:val="24"/>
        </w:rPr>
        <w:t xml:space="preserve">asserts that </w:t>
      </w:r>
      <w:r w:rsidRPr="002C77AE" w:rsidR="004227BA">
        <w:rPr>
          <w:rFonts w:cs="Times New Roman"/>
          <w:szCs w:val="24"/>
        </w:rPr>
        <w:t>Rider AMI</w:t>
      </w:r>
      <w:r w:rsidRPr="002C77AE" w:rsidR="009B626E">
        <w:rPr>
          <w:rFonts w:cs="Times New Roman"/>
          <w:szCs w:val="24"/>
        </w:rPr>
        <w:t xml:space="preserve"> includes consumer protections and benefits</w:t>
      </w:r>
      <w:r w:rsidRPr="002C77AE" w:rsidR="00411F0B">
        <w:rPr>
          <w:rFonts w:cs="Times New Roman"/>
          <w:szCs w:val="24"/>
        </w:rPr>
        <w:t>.</w:t>
      </w:r>
      <w:r>
        <w:rPr>
          <w:rStyle w:val="FootnoteReference"/>
          <w:rFonts w:cs="Times New Roman"/>
          <w:szCs w:val="24"/>
        </w:rPr>
        <w:footnoteReference w:id="62"/>
      </w:r>
      <w:r w:rsidRPr="002C77AE" w:rsidR="008E49D3">
        <w:rPr>
          <w:rFonts w:cs="Times New Roman"/>
          <w:szCs w:val="24"/>
        </w:rPr>
        <w:t xml:space="preserve"> </w:t>
      </w:r>
      <w:r w:rsidRPr="002C77AE" w:rsidR="004227BA">
        <w:rPr>
          <w:rFonts w:cs="Times New Roman"/>
          <w:szCs w:val="24"/>
        </w:rPr>
        <w:t>FirstEnergy</w:t>
      </w:r>
      <w:r w:rsidR="002C77AE">
        <w:rPr>
          <w:rFonts w:cs="Times New Roman"/>
          <w:szCs w:val="24"/>
        </w:rPr>
        <w:t>’</w:t>
      </w:r>
      <w:r w:rsidRPr="002C77AE" w:rsidR="004227BA">
        <w:rPr>
          <w:rFonts w:cs="Times New Roman"/>
          <w:szCs w:val="24"/>
        </w:rPr>
        <w:t>s</w:t>
      </w:r>
      <w:r w:rsidRPr="002C77AE" w:rsidR="002854A4">
        <w:rPr>
          <w:rFonts w:cs="Times New Roman"/>
          <w:szCs w:val="24"/>
        </w:rPr>
        <w:t xml:space="preserve"> argument should be rejected</w:t>
      </w:r>
      <w:r w:rsidRPr="002C77AE" w:rsidR="004227BA">
        <w:rPr>
          <w:rFonts w:cs="Times New Roman"/>
          <w:szCs w:val="24"/>
        </w:rPr>
        <w:t>.</w:t>
      </w:r>
      <w:r w:rsidRPr="002C77AE" w:rsidR="002854A4">
        <w:rPr>
          <w:rFonts w:cs="Times New Roman"/>
          <w:szCs w:val="24"/>
        </w:rPr>
        <w:t xml:space="preserve"> To begin, FirstEnergy can</w:t>
      </w:r>
      <w:r w:rsidR="002C77AE">
        <w:rPr>
          <w:rFonts w:cs="Times New Roman"/>
          <w:szCs w:val="24"/>
        </w:rPr>
        <w:t>’</w:t>
      </w:r>
      <w:r w:rsidRPr="002C77AE" w:rsidR="002854A4">
        <w:rPr>
          <w:rFonts w:cs="Times New Roman"/>
          <w:szCs w:val="24"/>
        </w:rPr>
        <w:t>t even demonstrate actual benefits from Grid Mod I,</w:t>
      </w:r>
      <w:r>
        <w:rPr>
          <w:rStyle w:val="FootnoteReference"/>
          <w:rFonts w:cs="Times New Roman"/>
          <w:szCs w:val="24"/>
        </w:rPr>
        <w:footnoteReference w:id="63"/>
      </w:r>
      <w:r w:rsidRPr="002C77AE" w:rsidR="002854A4">
        <w:rPr>
          <w:rFonts w:cs="Times New Roman"/>
          <w:szCs w:val="24"/>
        </w:rPr>
        <w:t xml:space="preserve"> so continuing to charge consumers under Rider AMI is unreasonable.</w:t>
      </w:r>
      <w:r w:rsidRPr="002C77AE" w:rsidR="00321DF0">
        <w:rPr>
          <w:rFonts w:cs="Times New Roman"/>
          <w:szCs w:val="24"/>
        </w:rPr>
        <w:t xml:space="preserve"> </w:t>
      </w:r>
      <w:r w:rsidRPr="002C77AE" w:rsidR="002854A4">
        <w:rPr>
          <w:rFonts w:cs="Times New Roman"/>
          <w:szCs w:val="24"/>
        </w:rPr>
        <w:t>In addition, a</w:t>
      </w:r>
      <w:r w:rsidRPr="002C77AE" w:rsidR="00B75224">
        <w:rPr>
          <w:rFonts w:cs="Times New Roman"/>
          <w:szCs w:val="24"/>
        </w:rPr>
        <w:t xml:space="preserve">s explained in </w:t>
      </w:r>
      <w:r w:rsidRPr="002C77AE" w:rsidR="004227BA">
        <w:rPr>
          <w:rFonts w:cs="Times New Roman"/>
          <w:szCs w:val="24"/>
        </w:rPr>
        <w:t>OCC</w:t>
      </w:r>
      <w:r w:rsidR="002C77AE">
        <w:rPr>
          <w:rFonts w:cs="Times New Roman"/>
          <w:szCs w:val="24"/>
        </w:rPr>
        <w:t>’</w:t>
      </w:r>
      <w:r w:rsidRPr="002C77AE" w:rsidR="004227BA">
        <w:rPr>
          <w:rFonts w:cs="Times New Roman"/>
          <w:szCs w:val="24"/>
        </w:rPr>
        <w:t>s Initial B</w:t>
      </w:r>
      <w:r w:rsidRPr="002C77AE" w:rsidR="00B75224">
        <w:rPr>
          <w:rFonts w:cs="Times New Roman"/>
          <w:szCs w:val="24"/>
        </w:rPr>
        <w:t>rief, t</w:t>
      </w:r>
      <w:r w:rsidRPr="002C77AE" w:rsidR="008E49D3">
        <w:rPr>
          <w:rFonts w:cs="Times New Roman"/>
          <w:szCs w:val="24"/>
        </w:rPr>
        <w:t>h</w:t>
      </w:r>
      <w:r w:rsidRPr="002C77AE" w:rsidR="004227BA">
        <w:rPr>
          <w:rFonts w:cs="Times New Roman"/>
          <w:szCs w:val="24"/>
        </w:rPr>
        <w:t>e</w:t>
      </w:r>
      <w:r w:rsidRPr="002C77AE" w:rsidR="008E49D3">
        <w:rPr>
          <w:rFonts w:cs="Times New Roman"/>
          <w:szCs w:val="24"/>
        </w:rPr>
        <w:t xml:space="preserve"> lack of </w:t>
      </w:r>
      <w:r w:rsidRPr="002C77AE" w:rsidR="009553C2">
        <w:rPr>
          <w:rFonts w:cs="Times New Roman"/>
          <w:szCs w:val="24"/>
        </w:rPr>
        <w:t xml:space="preserve">a </w:t>
      </w:r>
      <w:r w:rsidRPr="002C77AE" w:rsidR="008E49D3">
        <w:rPr>
          <w:rFonts w:cs="Times New Roman"/>
          <w:szCs w:val="24"/>
        </w:rPr>
        <w:t>revenue cap is inconsistent with FirstEnergy</w:t>
      </w:r>
      <w:r w:rsidR="002C77AE">
        <w:rPr>
          <w:rFonts w:cs="Times New Roman"/>
          <w:szCs w:val="24"/>
        </w:rPr>
        <w:t>’</w:t>
      </w:r>
      <w:r w:rsidRPr="002C77AE" w:rsidR="008E49D3">
        <w:rPr>
          <w:rFonts w:cs="Times New Roman"/>
          <w:szCs w:val="24"/>
        </w:rPr>
        <w:t xml:space="preserve">s own Rider DCR proposal and </w:t>
      </w:r>
      <w:r w:rsidRPr="002C77AE" w:rsidR="003224D2">
        <w:rPr>
          <w:rFonts w:cs="Times New Roman"/>
          <w:szCs w:val="24"/>
        </w:rPr>
        <w:t xml:space="preserve">also inconsistent </w:t>
      </w:r>
      <w:r w:rsidRPr="002C77AE" w:rsidR="008E49D3">
        <w:rPr>
          <w:rFonts w:cs="Times New Roman"/>
          <w:szCs w:val="24"/>
        </w:rPr>
        <w:t xml:space="preserve">with PUCO precedent for other </w:t>
      </w:r>
      <w:r w:rsidRPr="002C77AE" w:rsidR="003224D2">
        <w:rPr>
          <w:rFonts w:cs="Times New Roman"/>
          <w:szCs w:val="24"/>
        </w:rPr>
        <w:t>utilities</w:t>
      </w:r>
      <w:r w:rsidR="002C77AE">
        <w:rPr>
          <w:rFonts w:cs="Times New Roman"/>
          <w:szCs w:val="24"/>
        </w:rPr>
        <w:t>’</w:t>
      </w:r>
      <w:r w:rsidRPr="002C77AE" w:rsidR="008E49D3">
        <w:rPr>
          <w:rFonts w:cs="Times New Roman"/>
          <w:szCs w:val="24"/>
        </w:rPr>
        <w:t xml:space="preserve"> capital </w:t>
      </w:r>
      <w:r w:rsidRPr="002C77AE" w:rsidR="003224D2">
        <w:rPr>
          <w:rFonts w:cs="Times New Roman"/>
          <w:szCs w:val="24"/>
        </w:rPr>
        <w:t>expense riders</w:t>
      </w:r>
      <w:r w:rsidRPr="002C77AE" w:rsidR="008E49D3">
        <w:rPr>
          <w:rFonts w:cs="Times New Roman"/>
          <w:szCs w:val="24"/>
        </w:rPr>
        <w:t>.</w:t>
      </w:r>
      <w:r>
        <w:rPr>
          <w:rFonts w:cs="Times New Roman"/>
          <w:szCs w:val="24"/>
          <w:vertAlign w:val="superscript"/>
        </w:rPr>
        <w:footnoteReference w:id="64"/>
      </w:r>
    </w:p>
    <w:p w:rsidR="00DF2A21" w:rsidRPr="002C77AE" w:rsidP="61C474A6" w14:paraId="6F0CF61A" w14:textId="1791AA72">
      <w:pPr>
        <w:spacing w:line="480" w:lineRule="auto"/>
        <w:ind w:firstLine="720"/>
        <w:rPr>
          <w:rFonts w:cs="Times New Roman"/>
          <w:szCs w:val="24"/>
        </w:rPr>
      </w:pPr>
      <w:r w:rsidRPr="002C77AE">
        <w:rPr>
          <w:rFonts w:cs="Times New Roman"/>
          <w:szCs w:val="24"/>
        </w:rPr>
        <w:t>Other aspects of the Rider AMI are also unfair to consumers</w:t>
      </w:r>
      <w:r w:rsidRPr="002C77AE" w:rsidR="008E665C">
        <w:rPr>
          <w:rFonts w:cs="Times New Roman"/>
          <w:szCs w:val="24"/>
        </w:rPr>
        <w:t xml:space="preserve">. </w:t>
      </w:r>
      <w:r w:rsidRPr="002C77AE" w:rsidR="00EA0816">
        <w:rPr>
          <w:rFonts w:cs="Times New Roman"/>
          <w:szCs w:val="24"/>
        </w:rPr>
        <w:t>For example, similar to</w:t>
      </w:r>
      <w:r w:rsidRPr="002C77AE" w:rsidR="004227BA">
        <w:rPr>
          <w:rFonts w:cs="Times New Roman"/>
          <w:szCs w:val="24"/>
        </w:rPr>
        <w:t xml:space="preserve"> Rider DCR, </w:t>
      </w:r>
      <w:r w:rsidRPr="002C77AE" w:rsidR="008E665C">
        <w:rPr>
          <w:rFonts w:cs="Times New Roman"/>
          <w:szCs w:val="24"/>
        </w:rPr>
        <w:t>FirstEnergy again proposes to</w:t>
      </w:r>
      <w:r w:rsidRPr="002C77AE" w:rsidR="00F16E0F">
        <w:rPr>
          <w:rFonts w:cs="Times New Roman"/>
          <w:szCs w:val="24"/>
        </w:rPr>
        <w:t xml:space="preserve"> use projected plant</w:t>
      </w:r>
      <w:r w:rsidRPr="002C77AE" w:rsidR="004227BA">
        <w:rPr>
          <w:rFonts w:cs="Times New Roman"/>
          <w:szCs w:val="24"/>
        </w:rPr>
        <w:t>-</w:t>
      </w:r>
      <w:r w:rsidRPr="002C77AE" w:rsidR="00F16E0F">
        <w:rPr>
          <w:rFonts w:cs="Times New Roman"/>
          <w:szCs w:val="24"/>
        </w:rPr>
        <w:t>in</w:t>
      </w:r>
      <w:r w:rsidRPr="002C77AE" w:rsidR="004227BA">
        <w:rPr>
          <w:rFonts w:cs="Times New Roman"/>
          <w:szCs w:val="24"/>
        </w:rPr>
        <w:t>-</w:t>
      </w:r>
      <w:r w:rsidRPr="002C77AE" w:rsidR="00F16E0F">
        <w:rPr>
          <w:rFonts w:cs="Times New Roman"/>
          <w:szCs w:val="24"/>
        </w:rPr>
        <w:t xml:space="preserve">service </w:t>
      </w:r>
      <w:r w:rsidRPr="002C77AE" w:rsidR="003224D2">
        <w:rPr>
          <w:rFonts w:cs="Times New Roman"/>
          <w:szCs w:val="24"/>
        </w:rPr>
        <w:t xml:space="preserve">balances </w:t>
      </w:r>
      <w:r w:rsidRPr="002C77AE" w:rsidR="00F16E0F">
        <w:rPr>
          <w:rFonts w:cs="Times New Roman"/>
          <w:szCs w:val="24"/>
        </w:rPr>
        <w:t xml:space="preserve">to determine </w:t>
      </w:r>
      <w:r w:rsidRPr="002C77AE" w:rsidR="00DA20E0">
        <w:rPr>
          <w:rFonts w:cs="Times New Roman"/>
          <w:szCs w:val="24"/>
        </w:rPr>
        <w:t>the rider</w:t>
      </w:r>
      <w:r w:rsidR="002C77AE">
        <w:rPr>
          <w:rFonts w:cs="Times New Roman"/>
          <w:szCs w:val="24"/>
        </w:rPr>
        <w:t>’</w:t>
      </w:r>
      <w:r w:rsidRPr="002C77AE" w:rsidR="00DA20E0">
        <w:rPr>
          <w:rFonts w:cs="Times New Roman"/>
          <w:szCs w:val="24"/>
        </w:rPr>
        <w:t xml:space="preserve">s </w:t>
      </w:r>
      <w:r w:rsidRPr="002C77AE" w:rsidR="00F16E0F">
        <w:rPr>
          <w:rFonts w:cs="Times New Roman"/>
          <w:szCs w:val="24"/>
        </w:rPr>
        <w:t xml:space="preserve">revenue </w:t>
      </w:r>
      <w:r w:rsidRPr="002C77AE" w:rsidR="00D150FE">
        <w:rPr>
          <w:rFonts w:cs="Times New Roman"/>
          <w:szCs w:val="24"/>
        </w:rPr>
        <w:t>requirement</w:t>
      </w:r>
      <w:r w:rsidRPr="002C77AE" w:rsidR="004227BA">
        <w:rPr>
          <w:rFonts w:cs="Times New Roman"/>
          <w:szCs w:val="24"/>
        </w:rPr>
        <w:t>.</w:t>
      </w:r>
      <w:r>
        <w:rPr>
          <w:rStyle w:val="FootnoteReference"/>
          <w:rFonts w:cs="Times New Roman"/>
          <w:szCs w:val="24"/>
        </w:rPr>
        <w:footnoteReference w:id="65"/>
      </w:r>
      <w:r w:rsidRPr="002C77AE" w:rsidR="00321DF0">
        <w:rPr>
          <w:rFonts w:cs="Times New Roman"/>
          <w:szCs w:val="24"/>
        </w:rPr>
        <w:t xml:space="preserve"> </w:t>
      </w:r>
      <w:r w:rsidRPr="002C77AE" w:rsidR="004227BA">
        <w:rPr>
          <w:rFonts w:cs="Times New Roman"/>
          <w:szCs w:val="24"/>
        </w:rPr>
        <w:t>FirstEnergy also</w:t>
      </w:r>
      <w:r w:rsidRPr="002C77AE" w:rsidR="00E736A9">
        <w:rPr>
          <w:rFonts w:cs="Times New Roman"/>
          <w:szCs w:val="24"/>
        </w:rPr>
        <w:t xml:space="preserve"> </w:t>
      </w:r>
      <w:r w:rsidRPr="002C77AE" w:rsidR="008E665C">
        <w:rPr>
          <w:rFonts w:cs="Times New Roman"/>
          <w:szCs w:val="24"/>
        </w:rPr>
        <w:t>seeks to earn a return on stranded assets.</w:t>
      </w:r>
      <w:r>
        <w:rPr>
          <w:rStyle w:val="FootnoteReference"/>
          <w:rFonts w:cs="Times New Roman"/>
          <w:szCs w:val="24"/>
        </w:rPr>
        <w:footnoteReference w:id="66"/>
      </w:r>
      <w:r w:rsidRPr="002C77AE" w:rsidR="008E665C">
        <w:rPr>
          <w:rFonts w:cs="Times New Roman"/>
          <w:szCs w:val="24"/>
        </w:rPr>
        <w:t xml:space="preserve"> </w:t>
      </w:r>
      <w:r w:rsidRPr="002C77AE" w:rsidR="00053364">
        <w:rPr>
          <w:rFonts w:cs="Times New Roman"/>
          <w:szCs w:val="24"/>
        </w:rPr>
        <w:t xml:space="preserve">PUCO </w:t>
      </w:r>
      <w:r w:rsidRPr="002C77AE" w:rsidR="004227BA">
        <w:rPr>
          <w:rFonts w:cs="Times New Roman"/>
          <w:szCs w:val="24"/>
        </w:rPr>
        <w:t xml:space="preserve">Staff </w:t>
      </w:r>
      <w:r w:rsidRPr="002C77AE" w:rsidR="00053364">
        <w:rPr>
          <w:rFonts w:cs="Times New Roman"/>
          <w:szCs w:val="24"/>
        </w:rPr>
        <w:t>Witness</w:t>
      </w:r>
      <w:r w:rsidRPr="002C77AE" w:rsidR="008E665C">
        <w:rPr>
          <w:rFonts w:cs="Times New Roman"/>
          <w:szCs w:val="24"/>
        </w:rPr>
        <w:t xml:space="preserve"> </w:t>
      </w:r>
      <w:r w:rsidRPr="002C77AE">
        <w:rPr>
          <w:rFonts w:cs="Times New Roman"/>
          <w:szCs w:val="24"/>
        </w:rPr>
        <w:t>Mackey recommended that the PUCO reject FirstEnergy</w:t>
      </w:r>
      <w:r w:rsidR="002C77AE">
        <w:rPr>
          <w:rFonts w:cs="Times New Roman"/>
          <w:szCs w:val="24"/>
        </w:rPr>
        <w:t>’</w:t>
      </w:r>
      <w:r w:rsidRPr="002C77AE">
        <w:rPr>
          <w:rFonts w:cs="Times New Roman"/>
          <w:szCs w:val="24"/>
        </w:rPr>
        <w:t>s proposal to use projected plant-in-service balances in calculating the revenue requirement for Rider AMI</w:t>
      </w:r>
      <w:r w:rsidRPr="002C77AE" w:rsidR="003224D2">
        <w:rPr>
          <w:rFonts w:cs="Times New Roman"/>
          <w:szCs w:val="24"/>
        </w:rPr>
        <w:t>, based on</w:t>
      </w:r>
      <w:r w:rsidRPr="002C77AE" w:rsidR="00053364">
        <w:rPr>
          <w:rFonts w:cs="Times New Roman"/>
          <w:szCs w:val="24"/>
        </w:rPr>
        <w:t xml:space="preserve"> the same reasons </w:t>
      </w:r>
      <w:r w:rsidRPr="002C77AE" w:rsidR="003224D2">
        <w:rPr>
          <w:rFonts w:cs="Times New Roman"/>
          <w:szCs w:val="24"/>
        </w:rPr>
        <w:t xml:space="preserve">why </w:t>
      </w:r>
      <w:r w:rsidRPr="002C77AE" w:rsidR="008C7B61">
        <w:rPr>
          <w:rFonts w:cs="Times New Roman"/>
          <w:szCs w:val="24"/>
        </w:rPr>
        <w:t xml:space="preserve">it </w:t>
      </w:r>
      <w:r w:rsidRPr="002C77AE" w:rsidR="003224D2">
        <w:rPr>
          <w:rFonts w:cs="Times New Roman"/>
          <w:szCs w:val="24"/>
        </w:rPr>
        <w:t>i</w:t>
      </w:r>
      <w:r w:rsidRPr="002C77AE" w:rsidR="008C7B61">
        <w:rPr>
          <w:rFonts w:cs="Times New Roman"/>
          <w:szCs w:val="24"/>
        </w:rPr>
        <w:t>s inappropriate</w:t>
      </w:r>
      <w:r w:rsidRPr="002C77AE" w:rsidR="00AE5F34">
        <w:rPr>
          <w:rFonts w:cs="Times New Roman"/>
          <w:szCs w:val="24"/>
        </w:rPr>
        <w:t xml:space="preserve"> </w:t>
      </w:r>
      <w:r w:rsidRPr="002C77AE" w:rsidR="008C7B61">
        <w:rPr>
          <w:rFonts w:cs="Times New Roman"/>
          <w:szCs w:val="24"/>
        </w:rPr>
        <w:t>for Rider DCR</w:t>
      </w:r>
      <w:r w:rsidRPr="002C77AE" w:rsidR="00E736A9">
        <w:rPr>
          <w:rFonts w:cs="Times New Roman"/>
          <w:szCs w:val="24"/>
        </w:rPr>
        <w:t>.</w:t>
      </w:r>
      <w:r>
        <w:rPr>
          <w:rFonts w:cs="Times New Roman"/>
          <w:szCs w:val="24"/>
          <w:vertAlign w:val="superscript"/>
        </w:rPr>
        <w:footnoteReference w:id="67"/>
      </w:r>
      <w:r w:rsidRPr="002C77AE" w:rsidR="00E736A9">
        <w:rPr>
          <w:rFonts w:cs="Times New Roman"/>
          <w:szCs w:val="24"/>
        </w:rPr>
        <w:t xml:space="preserve"> </w:t>
      </w:r>
      <w:r w:rsidRPr="002C77AE" w:rsidR="0028183A">
        <w:rPr>
          <w:rFonts w:cs="Times New Roman"/>
          <w:szCs w:val="24"/>
        </w:rPr>
        <w:t xml:space="preserve">OCC Witness Meyer testified that </w:t>
      </w:r>
      <w:r w:rsidRPr="002C77AE" w:rsidR="000830C2">
        <w:rPr>
          <w:rFonts w:cs="Times New Roman"/>
          <w:szCs w:val="24"/>
        </w:rPr>
        <w:t>FirstEnergy</w:t>
      </w:r>
      <w:r w:rsidRPr="002C77AE" w:rsidR="009D6127">
        <w:rPr>
          <w:rFonts w:cs="Times New Roman"/>
          <w:szCs w:val="24"/>
        </w:rPr>
        <w:t xml:space="preserve"> proposes to earn a return on </w:t>
      </w:r>
      <w:r w:rsidRPr="002C77AE" w:rsidR="0028183A">
        <w:rPr>
          <w:rFonts w:cs="Times New Roman"/>
          <w:szCs w:val="24"/>
        </w:rPr>
        <w:t xml:space="preserve">meters and equipment </w:t>
      </w:r>
      <w:r w:rsidRPr="002C77AE" w:rsidR="009D6127">
        <w:rPr>
          <w:rFonts w:cs="Times New Roman"/>
          <w:szCs w:val="24"/>
        </w:rPr>
        <w:t>that is</w:t>
      </w:r>
      <w:r w:rsidRPr="002C77AE" w:rsidR="0028183A">
        <w:rPr>
          <w:rFonts w:cs="Times New Roman"/>
          <w:szCs w:val="24"/>
        </w:rPr>
        <w:t xml:space="preserve"> </w:t>
      </w:r>
      <w:r w:rsidRPr="002C77AE" w:rsidR="003224D2">
        <w:rPr>
          <w:rFonts w:cs="Times New Roman"/>
          <w:szCs w:val="24"/>
        </w:rPr>
        <w:t>taken out of</w:t>
      </w:r>
      <w:r w:rsidRPr="002C77AE" w:rsidR="0028183A">
        <w:rPr>
          <w:rFonts w:cs="Times New Roman"/>
          <w:szCs w:val="24"/>
        </w:rPr>
        <w:t xml:space="preserve"> service and thus </w:t>
      </w:r>
      <w:r w:rsidRPr="002C77AE" w:rsidR="003224D2">
        <w:rPr>
          <w:rFonts w:cs="Times New Roman"/>
          <w:szCs w:val="24"/>
        </w:rPr>
        <w:t>is</w:t>
      </w:r>
      <w:r w:rsidRPr="002C77AE" w:rsidR="0028183A">
        <w:rPr>
          <w:rFonts w:cs="Times New Roman"/>
          <w:szCs w:val="24"/>
        </w:rPr>
        <w:t xml:space="preserve"> not </w:t>
      </w:r>
      <w:r w:rsidR="002C77AE">
        <w:rPr>
          <w:rFonts w:cs="Times New Roman"/>
          <w:szCs w:val="24"/>
        </w:rPr>
        <w:t>“</w:t>
      </w:r>
      <w:r w:rsidRPr="002C77AE" w:rsidR="0028183A">
        <w:rPr>
          <w:rFonts w:cs="Times New Roman"/>
          <w:szCs w:val="24"/>
        </w:rPr>
        <w:t>used and useful.</w:t>
      </w:r>
      <w:r w:rsidR="002C77AE">
        <w:rPr>
          <w:rFonts w:cs="Times New Roman"/>
          <w:szCs w:val="24"/>
        </w:rPr>
        <w:t>”</w:t>
      </w:r>
      <w:r>
        <w:rPr>
          <w:rFonts w:cs="Times New Roman"/>
          <w:szCs w:val="24"/>
          <w:vertAlign w:val="superscript"/>
        </w:rPr>
        <w:footnoteReference w:id="68"/>
      </w:r>
    </w:p>
    <w:p w:rsidR="00BB43EA" w:rsidRPr="002C77AE" w:rsidP="61C474A6" w14:paraId="0CF8ED61" w14:textId="7F5C73A5">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 xml:space="preserve">s proposal to continue Rider AMI is unjust and unreasonable </w:t>
      </w:r>
      <w:r w:rsidRPr="002C77AE" w:rsidR="00AE5F34">
        <w:rPr>
          <w:rFonts w:cs="Times New Roman"/>
          <w:szCs w:val="24"/>
        </w:rPr>
        <w:t>as explained in OCC</w:t>
      </w:r>
      <w:r w:rsidR="002C77AE">
        <w:rPr>
          <w:rFonts w:cs="Times New Roman"/>
          <w:szCs w:val="24"/>
        </w:rPr>
        <w:t>’</w:t>
      </w:r>
      <w:r w:rsidRPr="002C77AE" w:rsidR="00AE5F34">
        <w:rPr>
          <w:rFonts w:cs="Times New Roman"/>
          <w:szCs w:val="24"/>
        </w:rPr>
        <w:t>s Initial Brief.</w:t>
      </w:r>
      <w:r w:rsidRPr="002C77AE" w:rsidR="00321DF0">
        <w:rPr>
          <w:rFonts w:cs="Times New Roman"/>
          <w:szCs w:val="24"/>
        </w:rPr>
        <w:t xml:space="preserve"> </w:t>
      </w:r>
      <w:r w:rsidRPr="002C77AE" w:rsidR="00AE5F34">
        <w:rPr>
          <w:rFonts w:cs="Times New Roman"/>
          <w:szCs w:val="24"/>
        </w:rPr>
        <w:t>The PUCO should adopt OCC</w:t>
      </w:r>
      <w:r w:rsidR="002C77AE">
        <w:rPr>
          <w:rFonts w:cs="Times New Roman"/>
          <w:szCs w:val="24"/>
        </w:rPr>
        <w:t>’</w:t>
      </w:r>
      <w:r w:rsidRPr="002C77AE" w:rsidR="00AE5F34">
        <w:rPr>
          <w:rFonts w:cs="Times New Roman"/>
          <w:szCs w:val="24"/>
        </w:rPr>
        <w:t>s recommendations concerning FirstEnergy</w:t>
      </w:r>
      <w:r w:rsidR="002C77AE">
        <w:rPr>
          <w:rFonts w:cs="Times New Roman"/>
          <w:szCs w:val="24"/>
        </w:rPr>
        <w:t>’</w:t>
      </w:r>
      <w:r w:rsidRPr="002C77AE" w:rsidR="00AE5F34">
        <w:rPr>
          <w:rFonts w:cs="Times New Roman"/>
          <w:szCs w:val="24"/>
        </w:rPr>
        <w:t>s Rider AMI proposal.</w:t>
      </w:r>
    </w:p>
    <w:p w:rsidR="0033305E" w:rsidRPr="002C77AE" w:rsidP="0DEE27A0" w14:paraId="7241D4B6" w14:textId="2122001F">
      <w:pPr>
        <w:pStyle w:val="Heading2"/>
        <w:rPr>
          <w:highlight w:val="green"/>
        </w:rPr>
      </w:pPr>
      <w:bookmarkStart w:id="19" w:name="_Toc156561535"/>
      <w:bookmarkStart w:id="20" w:name="_Toc158373173"/>
      <w:r w:rsidRPr="002C77AE">
        <w:t>G</w:t>
      </w:r>
      <w:r w:rsidRPr="002C77AE" w:rsidR="0DEE27A0">
        <w:t>.</w:t>
      </w:r>
      <w:r w:rsidRPr="002C77AE" w:rsidR="00B30CAA">
        <w:tab/>
      </w:r>
      <w:bookmarkStart w:id="21" w:name="_Toc156561536"/>
      <w:bookmarkEnd w:id="19"/>
      <w:r w:rsidRPr="002C77AE" w:rsidR="0DEE27A0">
        <w:t>FirstEnergy</w:t>
      </w:r>
      <w:r w:rsidR="002C77AE">
        <w:t>’</w:t>
      </w:r>
      <w:r w:rsidRPr="002C77AE" w:rsidR="0DEE27A0">
        <w:t>s Storm Cost Recovery Rider (</w:t>
      </w:r>
      <w:r w:rsidR="002C77AE">
        <w:t>“</w:t>
      </w:r>
      <w:r w:rsidRPr="002C77AE" w:rsidR="0DEE27A0">
        <w:t>Rider SCR</w:t>
      </w:r>
      <w:r w:rsidR="002C77AE">
        <w:t>”</w:t>
      </w:r>
      <w:r w:rsidRPr="002C77AE" w:rsidR="0DEE27A0">
        <w:t xml:space="preserve">) </w:t>
      </w:r>
      <w:bookmarkEnd w:id="21"/>
      <w:r w:rsidRPr="002C77AE" w:rsidR="00AE5F34">
        <w:t xml:space="preserve">proposal </w:t>
      </w:r>
      <w:r w:rsidRPr="002C77AE" w:rsidR="0060664F">
        <w:t xml:space="preserve">to charge consumers charges is </w:t>
      </w:r>
      <w:r w:rsidRPr="002C77AE" w:rsidR="00AE5F34">
        <w:t>unjust and unreasonable.</w:t>
      </w:r>
      <w:bookmarkEnd w:id="20"/>
    </w:p>
    <w:p w:rsidR="003224D2" w:rsidRPr="002C77AE" w:rsidP="0DEE27A0" w14:paraId="02BC7DC2" w14:textId="28BAB808">
      <w:pPr>
        <w:spacing w:line="480" w:lineRule="auto"/>
        <w:ind w:firstLine="720"/>
        <w:rPr>
          <w:rFonts w:eastAsia="Calibri" w:cs="Times New Roman"/>
          <w:szCs w:val="24"/>
        </w:rPr>
      </w:pPr>
      <w:r w:rsidRPr="002C77AE">
        <w:rPr>
          <w:rFonts w:eastAsia="Calibri" w:cs="Times New Roman"/>
          <w:szCs w:val="24"/>
        </w:rPr>
        <w:t>The PUCO should reject FirstEnergy</w:t>
      </w:r>
      <w:r w:rsidR="002C77AE">
        <w:rPr>
          <w:rFonts w:eastAsia="Calibri" w:cs="Times New Roman"/>
          <w:szCs w:val="24"/>
        </w:rPr>
        <w:t>’</w:t>
      </w:r>
      <w:r w:rsidRPr="002C77AE">
        <w:rPr>
          <w:rFonts w:eastAsia="Calibri" w:cs="Times New Roman"/>
          <w:szCs w:val="24"/>
        </w:rPr>
        <w:t>s proposal to implement Rider SCR. FirstEnergy</w:t>
      </w:r>
      <w:r w:rsidR="002C77AE">
        <w:rPr>
          <w:rFonts w:eastAsia="Calibri" w:cs="Times New Roman"/>
          <w:szCs w:val="24"/>
        </w:rPr>
        <w:t>’</w:t>
      </w:r>
      <w:r w:rsidRPr="002C77AE">
        <w:rPr>
          <w:rFonts w:eastAsia="Calibri" w:cs="Times New Roman"/>
          <w:szCs w:val="24"/>
        </w:rPr>
        <w:t>s</w:t>
      </w:r>
      <w:r w:rsidRPr="002C77AE" w:rsidR="61C474A6">
        <w:rPr>
          <w:rFonts w:eastAsia="Calibri" w:cs="Times New Roman"/>
          <w:szCs w:val="24"/>
        </w:rPr>
        <w:t xml:space="preserve"> arguments </w:t>
      </w:r>
      <w:r w:rsidRPr="002C77AE">
        <w:rPr>
          <w:rFonts w:eastAsia="Calibri" w:cs="Times New Roman"/>
          <w:szCs w:val="24"/>
        </w:rPr>
        <w:t xml:space="preserve">in favor of Rider SCR </w:t>
      </w:r>
      <w:r w:rsidRPr="002C77AE" w:rsidR="61C474A6">
        <w:rPr>
          <w:rFonts w:eastAsia="Calibri" w:cs="Times New Roman"/>
          <w:szCs w:val="24"/>
        </w:rPr>
        <w:t>ignore</w:t>
      </w:r>
      <w:r w:rsidRPr="002C77AE" w:rsidR="00145877">
        <w:rPr>
          <w:rFonts w:eastAsia="Calibri" w:cs="Times New Roman"/>
          <w:szCs w:val="24"/>
        </w:rPr>
        <w:t xml:space="preserve"> the fact that FirstEnergy can establish an updated level of storm restoration expenses in its upcoming rate case</w:t>
      </w:r>
      <w:r w:rsidRPr="002C77AE" w:rsidR="00EA0816">
        <w:rPr>
          <w:rFonts w:eastAsia="Calibri" w:cs="Times New Roman"/>
          <w:szCs w:val="24"/>
        </w:rPr>
        <w:t>, due to be filed later this year</w:t>
      </w:r>
      <w:r w:rsidRPr="002C77AE" w:rsidR="61C474A6">
        <w:rPr>
          <w:rFonts w:eastAsia="Calibri" w:cs="Times New Roman"/>
          <w:szCs w:val="24"/>
        </w:rPr>
        <w:t>.</w:t>
      </w:r>
      <w:r w:rsidRPr="002C77AE" w:rsidR="00321DF0">
        <w:rPr>
          <w:rFonts w:eastAsia="Calibri" w:cs="Times New Roman"/>
          <w:szCs w:val="24"/>
        </w:rPr>
        <w:t xml:space="preserve"> </w:t>
      </w:r>
    </w:p>
    <w:p w:rsidR="00A82749" w:rsidRPr="002C77AE" w:rsidP="0DEE27A0" w14:paraId="51F5C799" w14:textId="26C63D5E">
      <w:pPr>
        <w:spacing w:line="480" w:lineRule="auto"/>
        <w:ind w:firstLine="720"/>
        <w:rPr>
          <w:rFonts w:eastAsia="Calibri" w:cs="Times New Roman"/>
          <w:szCs w:val="24"/>
        </w:rPr>
      </w:pPr>
      <w:r w:rsidRPr="002C77AE">
        <w:rPr>
          <w:rFonts w:eastAsia="Calibri" w:cs="Times New Roman"/>
          <w:szCs w:val="24"/>
        </w:rPr>
        <w:t>FirstEnergy</w:t>
      </w:r>
      <w:r w:rsidR="002C77AE">
        <w:rPr>
          <w:rFonts w:eastAsia="Calibri" w:cs="Times New Roman"/>
          <w:szCs w:val="24"/>
        </w:rPr>
        <w:t>’</w:t>
      </w:r>
      <w:r w:rsidRPr="002C77AE" w:rsidR="00EA0816">
        <w:rPr>
          <w:rFonts w:eastAsia="Calibri" w:cs="Times New Roman"/>
          <w:szCs w:val="24"/>
        </w:rPr>
        <w:t>s</w:t>
      </w:r>
      <w:r w:rsidRPr="002C77AE">
        <w:rPr>
          <w:rFonts w:eastAsia="Calibri" w:cs="Times New Roman"/>
          <w:szCs w:val="24"/>
        </w:rPr>
        <w:t xml:space="preserve"> vague definition of </w:t>
      </w:r>
      <w:r w:rsidR="002C77AE">
        <w:rPr>
          <w:rFonts w:eastAsia="Calibri" w:cs="Times New Roman"/>
          <w:szCs w:val="24"/>
        </w:rPr>
        <w:t>“</w:t>
      </w:r>
      <w:r w:rsidRPr="002C77AE">
        <w:rPr>
          <w:rFonts w:eastAsia="Calibri" w:cs="Times New Roman"/>
          <w:szCs w:val="24"/>
        </w:rPr>
        <w:t>major storms</w:t>
      </w:r>
      <w:r w:rsidR="002C77AE">
        <w:rPr>
          <w:rFonts w:eastAsia="Calibri" w:cs="Times New Roman"/>
          <w:szCs w:val="24"/>
        </w:rPr>
        <w:t>”</w:t>
      </w:r>
      <w:r w:rsidRPr="002C77AE">
        <w:rPr>
          <w:rFonts w:eastAsia="Calibri" w:cs="Times New Roman"/>
          <w:szCs w:val="24"/>
        </w:rPr>
        <w:t xml:space="preserve"> would allow </w:t>
      </w:r>
      <w:r w:rsidRPr="002C77AE" w:rsidR="00145877">
        <w:rPr>
          <w:rFonts w:eastAsia="Calibri" w:cs="Times New Roman"/>
          <w:szCs w:val="24"/>
        </w:rPr>
        <w:t xml:space="preserve">it </w:t>
      </w:r>
      <w:r w:rsidRPr="002C77AE">
        <w:rPr>
          <w:rFonts w:eastAsia="Calibri" w:cs="Times New Roman"/>
          <w:szCs w:val="24"/>
        </w:rPr>
        <w:t xml:space="preserve">to </w:t>
      </w:r>
      <w:r w:rsidRPr="002C77AE" w:rsidR="00EA0816">
        <w:rPr>
          <w:rFonts w:eastAsia="Calibri" w:cs="Times New Roman"/>
          <w:szCs w:val="24"/>
        </w:rPr>
        <w:t>charge consumers</w:t>
      </w:r>
      <w:r w:rsidRPr="002C77AE" w:rsidR="00321DF0">
        <w:rPr>
          <w:rFonts w:eastAsia="Calibri" w:cs="Times New Roman"/>
          <w:szCs w:val="24"/>
        </w:rPr>
        <w:t xml:space="preserve"> </w:t>
      </w:r>
      <w:r w:rsidRPr="002C77AE" w:rsidR="00145877">
        <w:rPr>
          <w:rFonts w:eastAsia="Calibri" w:cs="Times New Roman"/>
          <w:szCs w:val="24"/>
        </w:rPr>
        <w:t>unreasonably</w:t>
      </w:r>
      <w:r w:rsidRPr="002C77AE" w:rsidR="00EA0816">
        <w:rPr>
          <w:rFonts w:eastAsia="Calibri" w:cs="Times New Roman"/>
          <w:szCs w:val="24"/>
        </w:rPr>
        <w:t xml:space="preserve"> all sorts</w:t>
      </w:r>
      <w:r w:rsidRPr="002C77AE">
        <w:rPr>
          <w:rFonts w:eastAsia="Calibri" w:cs="Times New Roman"/>
          <w:szCs w:val="24"/>
        </w:rPr>
        <w:t xml:space="preserve"> of</w:t>
      </w:r>
      <w:r w:rsidRPr="002C77AE" w:rsidR="00EA0816">
        <w:rPr>
          <w:rFonts w:eastAsia="Calibri" w:cs="Times New Roman"/>
          <w:szCs w:val="24"/>
        </w:rPr>
        <w:t xml:space="preserve"> different</w:t>
      </w:r>
      <w:r w:rsidRPr="002C77AE">
        <w:rPr>
          <w:rFonts w:eastAsia="Calibri" w:cs="Times New Roman"/>
          <w:szCs w:val="24"/>
        </w:rPr>
        <w:t xml:space="preserve"> </w:t>
      </w:r>
      <w:r w:rsidRPr="002C77AE" w:rsidR="00145877">
        <w:rPr>
          <w:rFonts w:eastAsia="Calibri" w:cs="Times New Roman"/>
          <w:szCs w:val="24"/>
        </w:rPr>
        <w:t xml:space="preserve">storm </w:t>
      </w:r>
      <w:r w:rsidRPr="002C77AE">
        <w:rPr>
          <w:rFonts w:eastAsia="Calibri" w:cs="Times New Roman"/>
          <w:szCs w:val="24"/>
        </w:rPr>
        <w:t>events</w:t>
      </w:r>
      <w:r w:rsidRPr="002C77AE" w:rsidR="00145877">
        <w:rPr>
          <w:rFonts w:eastAsia="Calibri" w:cs="Times New Roman"/>
          <w:szCs w:val="24"/>
        </w:rPr>
        <w:t xml:space="preserve">. </w:t>
      </w:r>
      <w:r w:rsidRPr="002C77AE" w:rsidR="00EA0816">
        <w:rPr>
          <w:rFonts w:eastAsia="Calibri" w:cs="Times New Roman"/>
          <w:szCs w:val="24"/>
        </w:rPr>
        <w:t>According to the</w:t>
      </w:r>
      <w:r w:rsidRPr="002C77AE" w:rsidR="00321DF0">
        <w:rPr>
          <w:rFonts w:eastAsia="Calibri" w:cs="Times New Roman"/>
          <w:szCs w:val="24"/>
        </w:rPr>
        <w:t xml:space="preserve"> </w:t>
      </w:r>
      <w:r w:rsidRPr="002C77AE">
        <w:rPr>
          <w:rFonts w:eastAsia="Calibri" w:cs="Times New Roman"/>
          <w:szCs w:val="24"/>
        </w:rPr>
        <w:t xml:space="preserve">PUCO </w:t>
      </w:r>
      <w:r w:rsidRPr="002C77AE" w:rsidR="00145877">
        <w:rPr>
          <w:rFonts w:eastAsia="Calibri" w:cs="Times New Roman"/>
          <w:szCs w:val="24"/>
        </w:rPr>
        <w:t>S</w:t>
      </w:r>
      <w:r w:rsidRPr="002C77AE">
        <w:rPr>
          <w:rFonts w:eastAsia="Calibri" w:cs="Times New Roman"/>
          <w:szCs w:val="24"/>
        </w:rPr>
        <w:t>taff</w:t>
      </w:r>
      <w:r w:rsidRPr="002C77AE" w:rsidR="00EA0816">
        <w:rPr>
          <w:rFonts w:eastAsia="Calibri" w:cs="Times New Roman"/>
          <w:szCs w:val="24"/>
        </w:rPr>
        <w:t>, FirstEnergy</w:t>
      </w:r>
      <w:r w:rsidR="002C77AE">
        <w:rPr>
          <w:rFonts w:eastAsia="Calibri" w:cs="Times New Roman"/>
          <w:szCs w:val="24"/>
        </w:rPr>
        <w:t>’</w:t>
      </w:r>
      <w:r w:rsidRPr="002C77AE" w:rsidR="00EA0816">
        <w:rPr>
          <w:rFonts w:eastAsia="Calibri" w:cs="Times New Roman"/>
          <w:szCs w:val="24"/>
        </w:rPr>
        <w:t>s</w:t>
      </w:r>
      <w:r w:rsidRPr="002C77AE">
        <w:rPr>
          <w:rFonts w:eastAsia="Calibri" w:cs="Times New Roman"/>
          <w:szCs w:val="24"/>
        </w:rPr>
        <w:t xml:space="preserve"> vague definition of </w:t>
      </w:r>
      <w:r w:rsidR="002C77AE">
        <w:rPr>
          <w:rFonts w:eastAsia="Calibri" w:cs="Times New Roman"/>
          <w:szCs w:val="24"/>
        </w:rPr>
        <w:t>“</w:t>
      </w:r>
      <w:r w:rsidRPr="002C77AE">
        <w:rPr>
          <w:rFonts w:eastAsia="Calibri" w:cs="Times New Roman"/>
          <w:szCs w:val="24"/>
        </w:rPr>
        <w:t>major storms</w:t>
      </w:r>
      <w:r w:rsidR="002C77AE">
        <w:rPr>
          <w:rFonts w:eastAsia="Calibri" w:cs="Times New Roman"/>
          <w:szCs w:val="24"/>
        </w:rPr>
        <w:t>”</w:t>
      </w:r>
      <w:r w:rsidRPr="002C77AE" w:rsidR="00EA0816">
        <w:rPr>
          <w:rFonts w:eastAsia="Calibri" w:cs="Times New Roman"/>
          <w:szCs w:val="24"/>
        </w:rPr>
        <w:t xml:space="preserve"> under Rider SCR</w:t>
      </w:r>
      <w:r w:rsidRPr="002C77AE">
        <w:rPr>
          <w:rFonts w:eastAsia="Calibri" w:cs="Times New Roman"/>
          <w:szCs w:val="24"/>
        </w:rPr>
        <w:t xml:space="preserve"> </w:t>
      </w:r>
      <w:r w:rsidRPr="002C77AE" w:rsidR="00145877">
        <w:rPr>
          <w:rFonts w:eastAsia="Calibri" w:cs="Times New Roman"/>
          <w:szCs w:val="24"/>
        </w:rPr>
        <w:t xml:space="preserve">would </w:t>
      </w:r>
      <w:r w:rsidRPr="002C77AE">
        <w:rPr>
          <w:rFonts w:eastAsia="Calibri" w:cs="Times New Roman"/>
          <w:szCs w:val="24"/>
        </w:rPr>
        <w:t xml:space="preserve">expand the number of storms </w:t>
      </w:r>
      <w:r w:rsidRPr="002C77AE" w:rsidR="00EA0816">
        <w:rPr>
          <w:rFonts w:eastAsia="Calibri" w:cs="Times New Roman"/>
          <w:szCs w:val="24"/>
        </w:rPr>
        <w:t xml:space="preserve">FirstEnergy could charge consumers for </w:t>
      </w:r>
      <w:r w:rsidRPr="002C77AE">
        <w:rPr>
          <w:rFonts w:eastAsia="Calibri" w:cs="Times New Roman"/>
          <w:szCs w:val="24"/>
        </w:rPr>
        <w:t>by more than 300%</w:t>
      </w:r>
      <w:r w:rsidRPr="002C77AE" w:rsidR="00EA0816">
        <w:rPr>
          <w:rFonts w:eastAsia="Calibri" w:cs="Times New Roman"/>
          <w:szCs w:val="24"/>
        </w:rPr>
        <w:t>, from</w:t>
      </w:r>
      <w:r w:rsidRPr="002C77AE" w:rsidR="00321DF0">
        <w:rPr>
          <w:rFonts w:eastAsia="Calibri" w:cs="Times New Roman"/>
          <w:szCs w:val="24"/>
        </w:rPr>
        <w:t xml:space="preserve"> </w:t>
      </w:r>
      <w:r w:rsidRPr="002C77AE">
        <w:rPr>
          <w:rFonts w:eastAsia="Calibri" w:cs="Times New Roman"/>
          <w:szCs w:val="24"/>
        </w:rPr>
        <w:t xml:space="preserve">those classified </w:t>
      </w:r>
      <w:r w:rsidRPr="002C77AE" w:rsidR="00EA0816">
        <w:rPr>
          <w:rFonts w:eastAsia="Calibri" w:cs="Times New Roman"/>
          <w:szCs w:val="24"/>
        </w:rPr>
        <w:t xml:space="preserve">as </w:t>
      </w:r>
      <w:r w:rsidR="002C77AE">
        <w:rPr>
          <w:rFonts w:eastAsia="Calibri" w:cs="Times New Roman"/>
          <w:szCs w:val="24"/>
        </w:rPr>
        <w:t>“</w:t>
      </w:r>
      <w:r w:rsidRPr="002C77AE" w:rsidR="00EA0816">
        <w:rPr>
          <w:rFonts w:eastAsia="Calibri" w:cs="Times New Roman"/>
          <w:szCs w:val="24"/>
        </w:rPr>
        <w:t>major events</w:t>
      </w:r>
      <w:r w:rsidR="002C77AE">
        <w:rPr>
          <w:rFonts w:eastAsia="Calibri" w:cs="Times New Roman"/>
          <w:szCs w:val="24"/>
        </w:rPr>
        <w:t>”</w:t>
      </w:r>
      <w:r w:rsidRPr="002C77AE" w:rsidR="00EA0816">
        <w:rPr>
          <w:rFonts w:eastAsia="Calibri" w:cs="Times New Roman"/>
          <w:szCs w:val="24"/>
        </w:rPr>
        <w:t xml:space="preserve"> under</w:t>
      </w:r>
      <w:r w:rsidR="002C77AE">
        <w:rPr>
          <w:rFonts w:eastAsia="Calibri" w:cs="Times New Roman"/>
          <w:szCs w:val="24"/>
        </w:rPr>
        <w:t xml:space="preserve"> </w:t>
      </w:r>
      <w:r w:rsidRPr="002C77AE" w:rsidR="0DEE27A0">
        <w:rPr>
          <w:rFonts w:eastAsia="Times New Roman" w:cs="Times New Roman"/>
          <w:szCs w:val="24"/>
        </w:rPr>
        <w:t>O</w:t>
      </w:r>
      <w:r w:rsidRPr="002C77AE" w:rsidR="00EA0816">
        <w:rPr>
          <w:rFonts w:eastAsia="Times New Roman" w:cs="Times New Roman"/>
          <w:szCs w:val="24"/>
        </w:rPr>
        <w:t>.</w:t>
      </w:r>
      <w:r w:rsidRPr="002C77AE" w:rsidR="0DEE27A0">
        <w:rPr>
          <w:rFonts w:eastAsia="Times New Roman" w:cs="Times New Roman"/>
          <w:szCs w:val="24"/>
        </w:rPr>
        <w:t>A</w:t>
      </w:r>
      <w:r w:rsidRPr="002C77AE" w:rsidR="00EA0816">
        <w:rPr>
          <w:rFonts w:eastAsia="Times New Roman" w:cs="Times New Roman"/>
          <w:szCs w:val="24"/>
        </w:rPr>
        <w:t>.</w:t>
      </w:r>
      <w:r w:rsidRPr="002C77AE" w:rsidR="0DEE27A0">
        <w:rPr>
          <w:rFonts w:eastAsia="Times New Roman" w:cs="Times New Roman"/>
          <w:szCs w:val="24"/>
        </w:rPr>
        <w:t>C</w:t>
      </w:r>
      <w:r w:rsidRPr="002C77AE" w:rsidR="00EA0816">
        <w:rPr>
          <w:rFonts w:eastAsia="Times New Roman" w:cs="Times New Roman"/>
          <w:szCs w:val="24"/>
        </w:rPr>
        <w:t>.</w:t>
      </w:r>
      <w:r w:rsidRPr="002C77AE" w:rsidR="0DEE27A0">
        <w:rPr>
          <w:rFonts w:eastAsia="Times New Roman" w:cs="Times New Roman"/>
          <w:szCs w:val="24"/>
        </w:rPr>
        <w:t xml:space="preserve"> 4901:1-10-01(T)</w:t>
      </w:r>
      <w:r w:rsidRPr="002C77AE" w:rsidR="00EA0816">
        <w:rPr>
          <w:rFonts w:eastAsia="Calibri" w:cs="Times New Roman"/>
          <w:szCs w:val="24"/>
        </w:rPr>
        <w:t>.</w:t>
      </w:r>
      <w:r>
        <w:rPr>
          <w:rFonts w:eastAsia="Calibri" w:cs="Times New Roman"/>
          <w:szCs w:val="24"/>
          <w:vertAlign w:val="superscript"/>
        </w:rPr>
        <w:footnoteReference w:id="69"/>
      </w:r>
      <w:r w:rsidRPr="002C77AE" w:rsidR="0DEE27A0">
        <w:rPr>
          <w:rFonts w:eastAsia="Calibri" w:cs="Times New Roman"/>
          <w:szCs w:val="24"/>
        </w:rPr>
        <w:t xml:space="preserve"> </w:t>
      </w:r>
      <w:r w:rsidRPr="002C77AE" w:rsidR="00145877">
        <w:rPr>
          <w:rFonts w:eastAsia="Calibri" w:cs="Times New Roman"/>
          <w:szCs w:val="24"/>
        </w:rPr>
        <w:t>FirstEnergy</w:t>
      </w:r>
      <w:r w:rsidR="002C77AE">
        <w:rPr>
          <w:rFonts w:eastAsia="Calibri" w:cs="Times New Roman"/>
          <w:szCs w:val="24"/>
        </w:rPr>
        <w:t>’</w:t>
      </w:r>
      <w:r w:rsidRPr="002C77AE" w:rsidR="00145877">
        <w:rPr>
          <w:rFonts w:eastAsia="Calibri" w:cs="Times New Roman"/>
          <w:szCs w:val="24"/>
        </w:rPr>
        <w:t xml:space="preserve">s Rider SCR proposal is therefore unjust and </w:t>
      </w:r>
      <w:r w:rsidRPr="002C77AE" w:rsidR="00D07541">
        <w:rPr>
          <w:rFonts w:eastAsia="Calibri" w:cs="Times New Roman"/>
          <w:szCs w:val="24"/>
        </w:rPr>
        <w:t>unreasonable,</w:t>
      </w:r>
      <w:r w:rsidRPr="002C77AE" w:rsidR="00EA0816">
        <w:rPr>
          <w:rFonts w:eastAsia="Calibri" w:cs="Times New Roman"/>
          <w:szCs w:val="24"/>
        </w:rPr>
        <w:t xml:space="preserve"> and it should be rejected</w:t>
      </w:r>
      <w:r w:rsidRPr="002C77AE" w:rsidR="00145877">
        <w:rPr>
          <w:rFonts w:eastAsia="Calibri" w:cs="Times New Roman"/>
          <w:szCs w:val="24"/>
        </w:rPr>
        <w:t>.</w:t>
      </w:r>
    </w:p>
    <w:p w:rsidR="00A82749" w:rsidRPr="002C77AE" w:rsidP="0DEE27A0" w14:paraId="7BF99DBA" w14:textId="549C28F1">
      <w:pPr>
        <w:spacing w:line="480" w:lineRule="auto"/>
        <w:ind w:firstLine="720"/>
        <w:rPr>
          <w:rFonts w:eastAsia="Calibri" w:cs="Times New Roman"/>
          <w:szCs w:val="24"/>
        </w:rPr>
      </w:pPr>
      <w:r w:rsidRPr="002C77AE">
        <w:rPr>
          <w:rFonts w:eastAsia="Calibri" w:cs="Times New Roman"/>
          <w:szCs w:val="24"/>
        </w:rPr>
        <w:t xml:space="preserve">PUCO </w:t>
      </w:r>
      <w:r w:rsidRPr="002C77AE" w:rsidR="00145877">
        <w:rPr>
          <w:rFonts w:eastAsia="Calibri" w:cs="Times New Roman"/>
          <w:szCs w:val="24"/>
        </w:rPr>
        <w:t>S</w:t>
      </w:r>
      <w:r w:rsidRPr="002C77AE">
        <w:rPr>
          <w:rFonts w:eastAsia="Calibri" w:cs="Times New Roman"/>
          <w:szCs w:val="24"/>
        </w:rPr>
        <w:t>taff</w:t>
      </w:r>
      <w:r w:rsidR="002C77AE">
        <w:rPr>
          <w:rFonts w:eastAsia="Calibri" w:cs="Times New Roman"/>
          <w:szCs w:val="24"/>
        </w:rPr>
        <w:t>’</w:t>
      </w:r>
      <w:r w:rsidRPr="002C77AE" w:rsidR="00145877">
        <w:rPr>
          <w:rFonts w:eastAsia="Calibri" w:cs="Times New Roman"/>
          <w:szCs w:val="24"/>
        </w:rPr>
        <w:t>s Initial Brief recommended approval of Rider SCR, subject to major changes proposed by Staff.</w:t>
      </w:r>
      <w:r>
        <w:rPr>
          <w:rFonts w:eastAsia="Calibri" w:cs="Times New Roman"/>
          <w:szCs w:val="24"/>
          <w:vertAlign w:val="superscript"/>
        </w:rPr>
        <w:footnoteReference w:id="70"/>
      </w:r>
      <w:r w:rsidRPr="002C77AE" w:rsidR="00321DF0">
        <w:rPr>
          <w:rFonts w:eastAsia="Calibri" w:cs="Times New Roman"/>
          <w:szCs w:val="24"/>
        </w:rPr>
        <w:t xml:space="preserve"> </w:t>
      </w:r>
      <w:r w:rsidRPr="002C77AE" w:rsidR="0DEE27A0">
        <w:rPr>
          <w:rFonts w:eastAsia="Calibri" w:cs="Times New Roman"/>
          <w:szCs w:val="24"/>
        </w:rPr>
        <w:t>Multiple intervenors</w:t>
      </w:r>
      <w:r w:rsidRPr="002C77AE" w:rsidR="00E91730">
        <w:rPr>
          <w:rFonts w:eastAsia="Calibri" w:cs="Times New Roman"/>
          <w:szCs w:val="24"/>
        </w:rPr>
        <w:t>,</w:t>
      </w:r>
      <w:r w:rsidRPr="002C77AE" w:rsidR="0DEE27A0">
        <w:rPr>
          <w:rFonts w:eastAsia="Calibri" w:cs="Times New Roman"/>
          <w:szCs w:val="24"/>
        </w:rPr>
        <w:t xml:space="preserve"> including OMAEG</w:t>
      </w:r>
      <w:r>
        <w:rPr>
          <w:rFonts w:eastAsia="Calibri" w:cs="Times New Roman"/>
          <w:szCs w:val="24"/>
          <w:vertAlign w:val="superscript"/>
        </w:rPr>
        <w:footnoteReference w:id="71"/>
      </w:r>
      <w:r w:rsidRPr="002C77AE" w:rsidR="0DEE27A0">
        <w:rPr>
          <w:rFonts w:eastAsia="Calibri" w:cs="Times New Roman"/>
          <w:szCs w:val="24"/>
        </w:rPr>
        <w:t xml:space="preserve"> </w:t>
      </w:r>
      <w:r w:rsidRPr="002C77AE" w:rsidR="00E91730">
        <w:rPr>
          <w:rFonts w:eastAsia="Calibri" w:cs="Times New Roman"/>
          <w:szCs w:val="24"/>
        </w:rPr>
        <w:t>and Kroger,</w:t>
      </w:r>
      <w:r>
        <w:rPr>
          <w:rFonts w:eastAsia="Calibri" w:cs="Times New Roman"/>
          <w:szCs w:val="24"/>
          <w:vertAlign w:val="superscript"/>
        </w:rPr>
        <w:footnoteReference w:id="72"/>
      </w:r>
      <w:r w:rsidRPr="002C77AE" w:rsidR="00E91730">
        <w:rPr>
          <w:rFonts w:eastAsia="Calibri" w:cs="Times New Roman"/>
          <w:szCs w:val="24"/>
        </w:rPr>
        <w:t xml:space="preserve"> </w:t>
      </w:r>
      <w:r w:rsidRPr="002C77AE" w:rsidR="003224D2">
        <w:rPr>
          <w:rFonts w:eastAsia="Calibri" w:cs="Times New Roman"/>
          <w:szCs w:val="24"/>
        </w:rPr>
        <w:t xml:space="preserve">argue </w:t>
      </w:r>
      <w:r w:rsidRPr="002C77AE" w:rsidR="00E91730">
        <w:rPr>
          <w:rFonts w:eastAsia="Calibri" w:cs="Times New Roman"/>
          <w:szCs w:val="24"/>
        </w:rPr>
        <w:t>for</w:t>
      </w:r>
      <w:r w:rsidRPr="002C77AE" w:rsidR="00321DF0">
        <w:rPr>
          <w:rFonts w:eastAsia="Calibri" w:cs="Times New Roman"/>
          <w:szCs w:val="24"/>
        </w:rPr>
        <w:t xml:space="preserve"> </w:t>
      </w:r>
      <w:r w:rsidRPr="002C77AE" w:rsidR="00E91730">
        <w:rPr>
          <w:rFonts w:eastAsia="Calibri" w:cs="Times New Roman"/>
          <w:szCs w:val="24"/>
        </w:rPr>
        <w:t>rejection of Rider SCR, while supporting Staff</w:t>
      </w:r>
      <w:r w:rsidR="002C77AE">
        <w:rPr>
          <w:rFonts w:eastAsia="Calibri" w:cs="Times New Roman"/>
          <w:szCs w:val="24"/>
        </w:rPr>
        <w:t>’</w:t>
      </w:r>
      <w:r w:rsidRPr="002C77AE" w:rsidR="00E91730">
        <w:rPr>
          <w:rFonts w:eastAsia="Calibri" w:cs="Times New Roman"/>
          <w:szCs w:val="24"/>
        </w:rPr>
        <w:t>s recommended changes if Rider SCR is adopted</w:t>
      </w:r>
      <w:r w:rsidRPr="002C77AE" w:rsidR="0DEE27A0">
        <w:rPr>
          <w:rFonts w:eastAsia="Calibri" w:cs="Times New Roman"/>
          <w:szCs w:val="24"/>
        </w:rPr>
        <w:t>. Further, OMAEG</w:t>
      </w:r>
      <w:r w:rsidR="002C77AE">
        <w:rPr>
          <w:rFonts w:eastAsia="Calibri" w:cs="Times New Roman"/>
          <w:szCs w:val="24"/>
        </w:rPr>
        <w:t>’</w:t>
      </w:r>
      <w:r w:rsidRPr="002C77AE" w:rsidR="003224D2">
        <w:rPr>
          <w:rFonts w:eastAsia="Calibri" w:cs="Times New Roman"/>
          <w:szCs w:val="24"/>
        </w:rPr>
        <w:t>s Initial Brief</w:t>
      </w:r>
      <w:r w:rsidRPr="002C77AE" w:rsidR="0DEE27A0">
        <w:rPr>
          <w:rFonts w:eastAsia="Calibri" w:cs="Times New Roman"/>
          <w:szCs w:val="24"/>
        </w:rPr>
        <w:t xml:space="preserve"> explains that approving Rider SCR through </w:t>
      </w:r>
      <w:r w:rsidRPr="002C77AE" w:rsidR="00E91730">
        <w:rPr>
          <w:rFonts w:eastAsia="Calibri" w:cs="Times New Roman"/>
          <w:szCs w:val="24"/>
        </w:rPr>
        <w:t>the electric security plan should be rejected as</w:t>
      </w:r>
      <w:r w:rsidRPr="002C77AE" w:rsidR="0DEE27A0">
        <w:rPr>
          <w:rFonts w:eastAsia="Calibri" w:cs="Times New Roman"/>
          <w:szCs w:val="24"/>
        </w:rPr>
        <w:t xml:space="preserve"> single-issue ratemaking.</w:t>
      </w:r>
      <w:r>
        <w:rPr>
          <w:rFonts w:eastAsia="Calibri" w:cs="Times New Roman"/>
          <w:szCs w:val="24"/>
          <w:vertAlign w:val="superscript"/>
        </w:rPr>
        <w:footnoteReference w:id="73"/>
      </w:r>
      <w:r w:rsidRPr="002C77AE" w:rsidR="0DEE27A0">
        <w:rPr>
          <w:rFonts w:eastAsia="Calibri" w:cs="Times New Roman"/>
          <w:szCs w:val="24"/>
        </w:rPr>
        <w:t xml:space="preserve"> OCC</w:t>
      </w:r>
      <w:r w:rsidRPr="002C77AE" w:rsidR="00E91730">
        <w:rPr>
          <w:rFonts w:eastAsia="Calibri" w:cs="Times New Roman"/>
          <w:szCs w:val="24"/>
        </w:rPr>
        <w:t xml:space="preserve"> joins these other parties in </w:t>
      </w:r>
      <w:r w:rsidRPr="002C77AE" w:rsidR="003224D2">
        <w:rPr>
          <w:rFonts w:eastAsia="Calibri" w:cs="Times New Roman"/>
          <w:szCs w:val="24"/>
        </w:rPr>
        <w:t>urging</w:t>
      </w:r>
      <w:r w:rsidRPr="002C77AE" w:rsidR="00E91730">
        <w:rPr>
          <w:rFonts w:eastAsia="Calibri" w:cs="Times New Roman"/>
          <w:szCs w:val="24"/>
        </w:rPr>
        <w:t xml:space="preserve"> rejection of Rider SCR, but </w:t>
      </w:r>
      <w:r w:rsidRPr="002C77AE" w:rsidR="003224D2">
        <w:rPr>
          <w:rFonts w:eastAsia="Calibri" w:cs="Times New Roman"/>
          <w:szCs w:val="24"/>
        </w:rPr>
        <w:t>recommending</w:t>
      </w:r>
      <w:r w:rsidRPr="002C77AE" w:rsidR="00E91730">
        <w:rPr>
          <w:rFonts w:eastAsia="Calibri" w:cs="Times New Roman"/>
          <w:szCs w:val="24"/>
        </w:rPr>
        <w:t xml:space="preserve"> the adoption of PUCO Staff</w:t>
      </w:r>
      <w:r w:rsidR="002C77AE">
        <w:rPr>
          <w:rFonts w:eastAsia="Calibri" w:cs="Times New Roman"/>
          <w:szCs w:val="24"/>
        </w:rPr>
        <w:t>’</w:t>
      </w:r>
      <w:r w:rsidRPr="002C77AE" w:rsidR="00E91730">
        <w:rPr>
          <w:rFonts w:eastAsia="Calibri" w:cs="Times New Roman"/>
          <w:szCs w:val="24"/>
        </w:rPr>
        <w:t xml:space="preserve">s </w:t>
      </w:r>
      <w:r w:rsidRPr="002C77AE" w:rsidR="003224D2">
        <w:rPr>
          <w:rFonts w:eastAsia="Calibri" w:cs="Times New Roman"/>
          <w:szCs w:val="24"/>
        </w:rPr>
        <w:t>proposed</w:t>
      </w:r>
      <w:r w:rsidRPr="002C77AE" w:rsidR="00E91730">
        <w:rPr>
          <w:rFonts w:eastAsia="Calibri" w:cs="Times New Roman"/>
          <w:szCs w:val="24"/>
        </w:rPr>
        <w:t xml:space="preserve"> changes if Rider SCR is approved.</w:t>
      </w:r>
    </w:p>
    <w:p w:rsidR="00B231BE" w:rsidRPr="002C77AE" w:rsidP="0DEE27A0" w14:paraId="264C62FD" w14:textId="3E46149C">
      <w:pPr>
        <w:spacing w:line="480" w:lineRule="auto"/>
        <w:ind w:firstLine="720"/>
        <w:rPr>
          <w:rFonts w:eastAsia="Calibri" w:cs="Times New Roman"/>
          <w:szCs w:val="24"/>
        </w:rPr>
      </w:pPr>
      <w:r w:rsidRPr="002C77AE">
        <w:rPr>
          <w:rFonts w:eastAsia="Calibri" w:cs="Times New Roman"/>
          <w:szCs w:val="24"/>
        </w:rPr>
        <w:t xml:space="preserve">The better approach, however, would be to reject Rider SCR in its entirety. The </w:t>
      </w:r>
      <w:r w:rsidRPr="002C77AE" w:rsidR="00CB2910">
        <w:rPr>
          <w:rFonts w:eastAsia="Calibri" w:cs="Times New Roman"/>
          <w:szCs w:val="24"/>
        </w:rPr>
        <w:t xml:space="preserve">PUCO should follow this logic used by the </w:t>
      </w:r>
      <w:r w:rsidRPr="002C77AE">
        <w:rPr>
          <w:rFonts w:eastAsia="Calibri" w:cs="Times New Roman"/>
          <w:szCs w:val="24"/>
        </w:rPr>
        <w:t>Pennsylvania Public Utilit</w:t>
      </w:r>
      <w:r w:rsidRPr="002C77AE" w:rsidR="00CB2910">
        <w:rPr>
          <w:rFonts w:eastAsia="Calibri" w:cs="Times New Roman"/>
          <w:szCs w:val="24"/>
        </w:rPr>
        <w:t>y</w:t>
      </w:r>
      <w:r w:rsidRPr="002C77AE">
        <w:rPr>
          <w:rFonts w:eastAsia="Calibri" w:cs="Times New Roman"/>
          <w:szCs w:val="24"/>
        </w:rPr>
        <w:t xml:space="preserve"> Commission </w:t>
      </w:r>
      <w:r w:rsidRPr="002C77AE" w:rsidR="00CB2910">
        <w:rPr>
          <w:rFonts w:eastAsia="Calibri" w:cs="Times New Roman"/>
          <w:szCs w:val="24"/>
        </w:rPr>
        <w:t>in</w:t>
      </w:r>
      <w:r w:rsidRPr="002C77AE">
        <w:rPr>
          <w:rFonts w:eastAsia="Calibri" w:cs="Times New Roman"/>
          <w:szCs w:val="24"/>
        </w:rPr>
        <w:t xml:space="preserve"> rejecting a </w:t>
      </w:r>
      <w:r w:rsidRPr="002C77AE" w:rsidR="00CB2910">
        <w:rPr>
          <w:rFonts w:eastAsia="Calibri" w:cs="Times New Roman"/>
          <w:szCs w:val="24"/>
        </w:rPr>
        <w:t xml:space="preserve">similar </w:t>
      </w:r>
      <w:r w:rsidRPr="002C77AE">
        <w:rPr>
          <w:rFonts w:eastAsia="Calibri" w:cs="Times New Roman"/>
          <w:szCs w:val="24"/>
        </w:rPr>
        <w:t>storm rider proposed by FirstEnergy subsidiaries Metropolitan Edison Company (Met-Ed) and Pennsylvania Electric Company:</w:t>
      </w:r>
    </w:p>
    <w:p w:rsidR="00B231BE" w:rsidRPr="002C77AE" w:rsidP="00B231BE" w14:paraId="11B9CCA1" w14:textId="117B348F">
      <w:pPr>
        <w:ind w:left="1440" w:right="1440"/>
        <w:rPr>
          <w:rFonts w:eastAsia="Calibri" w:cs="Times New Roman"/>
          <w:szCs w:val="24"/>
        </w:rPr>
      </w:pPr>
      <w:r w:rsidRPr="002C77AE">
        <w:rPr>
          <w:rFonts w:eastAsia="Calibri" w:cs="Times New Roman"/>
          <w:szCs w:val="24"/>
        </w:rPr>
        <w:t>The Commission has long approved inclusion of normal storm damage expense in base rate cases. Abnormal storm damage expense, such as that occasioned by a hurricane for instance, is dealt with by filing a petition with the Commission for deferred accounting and subsequently seeking recovery of the expense in the utility</w:t>
      </w:r>
      <w:r w:rsidR="002C77AE">
        <w:rPr>
          <w:rFonts w:eastAsia="Calibri" w:cs="Times New Roman"/>
          <w:szCs w:val="24"/>
        </w:rPr>
        <w:t>’</w:t>
      </w:r>
      <w:r w:rsidRPr="002C77AE">
        <w:rPr>
          <w:rFonts w:eastAsia="Calibri" w:cs="Times New Roman"/>
          <w:szCs w:val="24"/>
        </w:rPr>
        <w:t>s next base rate filing. Traditional ratemaking permits a utility the opportunity to recover reasonable and</w:t>
      </w:r>
      <w:bookmarkStart w:id="22" w:name="PAGE_7387"/>
      <w:hyperlink r:id="rId19" w:history="1">
        <w:r w:rsidRPr="002C77AE">
          <w:rPr>
            <w:rFonts w:eastAsia="Calibri" w:cs="Times New Roman"/>
            <w:szCs w:val="24"/>
          </w:rPr>
          <w:t> [*316] </w:t>
        </w:r>
      </w:hyperlink>
      <w:bookmarkEnd w:id="22"/>
      <w:r w:rsidRPr="002C77AE">
        <w:rPr>
          <w:rFonts w:eastAsia="Calibri" w:cs="Times New Roman"/>
          <w:szCs w:val="24"/>
        </w:rPr>
        <w:t> prudently incurred expenses, but does not permit the utility a return on those expenses. The Companies</w:t>
      </w:r>
      <w:r w:rsidR="002C77AE">
        <w:rPr>
          <w:rFonts w:eastAsia="Calibri" w:cs="Times New Roman"/>
          <w:szCs w:val="24"/>
        </w:rPr>
        <w:t>’</w:t>
      </w:r>
      <w:r w:rsidRPr="002C77AE">
        <w:rPr>
          <w:rFonts w:eastAsia="Calibri" w:cs="Times New Roman"/>
          <w:szCs w:val="24"/>
        </w:rPr>
        <w:t xml:space="preserve"> </w:t>
      </w:r>
      <w:r w:rsidRPr="002C77AE" w:rsidR="003659EF">
        <w:rPr>
          <w:rFonts w:eastAsia="Calibri" w:cs="Times New Roman"/>
          <w:szCs w:val="24"/>
        </w:rPr>
        <w:t xml:space="preserve">[sic] </w:t>
      </w:r>
      <w:r w:rsidRPr="002C77AE">
        <w:rPr>
          <w:rFonts w:eastAsia="Calibri" w:cs="Times New Roman"/>
          <w:szCs w:val="24"/>
        </w:rPr>
        <w:t>have not proven by a preponderance of the evidence that the Commission</w:t>
      </w:r>
      <w:r w:rsidR="002C77AE">
        <w:rPr>
          <w:rFonts w:eastAsia="Calibri" w:cs="Times New Roman"/>
          <w:szCs w:val="24"/>
        </w:rPr>
        <w:t>’</w:t>
      </w:r>
      <w:r w:rsidRPr="002C77AE">
        <w:rPr>
          <w:rFonts w:eastAsia="Calibri" w:cs="Times New Roman"/>
          <w:szCs w:val="24"/>
        </w:rPr>
        <w:t>s past practices should be abandoned. Specifically, the Companies have not established that adoption of their proposed SDR is just or reasonable or in the public interest.</w:t>
      </w:r>
      <w:r>
        <w:rPr>
          <w:rStyle w:val="FootnoteReference"/>
          <w:rFonts w:eastAsia="Calibri" w:cs="Times New Roman"/>
          <w:szCs w:val="24"/>
        </w:rPr>
        <w:footnoteReference w:id="74"/>
      </w:r>
      <w:r w:rsidRPr="002C77AE">
        <w:rPr>
          <w:rFonts w:eastAsia="Calibri" w:cs="Times New Roman"/>
          <w:szCs w:val="24"/>
        </w:rPr>
        <w:t> </w:t>
      </w:r>
    </w:p>
    <w:p w:rsidR="00B231BE" w:rsidRPr="002C77AE" w:rsidP="00590877" w14:paraId="46675E97" w14:textId="77777777">
      <w:pPr>
        <w:ind w:left="1440" w:right="1440"/>
        <w:rPr>
          <w:rFonts w:eastAsia="Calibri" w:cs="Times New Roman"/>
          <w:szCs w:val="24"/>
        </w:rPr>
      </w:pPr>
    </w:p>
    <w:p w:rsidR="00A82749" w:rsidRPr="002C77AE" w:rsidP="0DEE27A0" w14:paraId="26A4EDA6" w14:textId="00EDF923">
      <w:pPr>
        <w:pStyle w:val="Heading2"/>
      </w:pPr>
      <w:bookmarkStart w:id="23" w:name="_Toc156561537"/>
      <w:bookmarkStart w:id="24" w:name="_Toc158373174"/>
      <w:r w:rsidRPr="002C77AE">
        <w:t>H</w:t>
      </w:r>
      <w:r w:rsidRPr="002C77AE" w:rsidR="0DEE27A0">
        <w:t>.</w:t>
      </w:r>
      <w:r w:rsidRPr="002C77AE" w:rsidR="001360DB">
        <w:tab/>
      </w:r>
      <w:r w:rsidRPr="002C77AE" w:rsidR="0DEE27A0">
        <w:t>FirstEnergy</w:t>
      </w:r>
      <w:r w:rsidR="002C77AE">
        <w:t>’</w:t>
      </w:r>
      <w:r w:rsidRPr="002C77AE" w:rsidR="0DEE27A0">
        <w:t>s Vegetation Management Cost Rider (</w:t>
      </w:r>
      <w:r w:rsidR="002C77AE">
        <w:t>“</w:t>
      </w:r>
      <w:r w:rsidRPr="002C77AE" w:rsidR="0DEE27A0">
        <w:t>Rider VMC</w:t>
      </w:r>
      <w:r w:rsidR="002C77AE">
        <w:t>”</w:t>
      </w:r>
      <w:r w:rsidRPr="002C77AE" w:rsidR="0DEE27A0">
        <w:t>) proposal is unjust and unreasonable</w:t>
      </w:r>
      <w:bookmarkEnd w:id="23"/>
      <w:r w:rsidRPr="002C77AE" w:rsidR="00D56390">
        <w:t>.</w:t>
      </w:r>
      <w:bookmarkEnd w:id="24"/>
    </w:p>
    <w:p w:rsidR="00E91730" w:rsidRPr="002C77AE" w:rsidP="00CC1D3B" w14:paraId="3311C885" w14:textId="00DEAB03">
      <w:pPr>
        <w:spacing w:line="480" w:lineRule="auto"/>
        <w:ind w:firstLine="720"/>
        <w:rPr>
          <w:rFonts w:cs="Times New Roman"/>
          <w:szCs w:val="24"/>
        </w:rPr>
      </w:pPr>
      <w:r w:rsidRPr="002C77AE">
        <w:rPr>
          <w:rFonts w:cs="Times New Roman"/>
          <w:szCs w:val="24"/>
        </w:rPr>
        <w:t>F</w:t>
      </w:r>
      <w:r w:rsidRPr="002C77AE" w:rsidR="0DEE27A0">
        <w:rPr>
          <w:rFonts w:cs="Times New Roman"/>
          <w:szCs w:val="24"/>
        </w:rPr>
        <w:t>irstEnergy</w:t>
      </w:r>
      <w:r w:rsidR="002C77AE">
        <w:rPr>
          <w:rFonts w:cs="Times New Roman"/>
          <w:szCs w:val="24"/>
        </w:rPr>
        <w:t>’</w:t>
      </w:r>
      <w:r w:rsidRPr="002C77AE" w:rsidR="0DEE27A0">
        <w:rPr>
          <w:rFonts w:cs="Times New Roman"/>
          <w:szCs w:val="24"/>
        </w:rPr>
        <w:t xml:space="preserve">s Rider VMC proposal </w:t>
      </w:r>
      <w:r w:rsidRPr="002C77AE">
        <w:rPr>
          <w:rFonts w:cs="Times New Roman"/>
          <w:szCs w:val="24"/>
        </w:rPr>
        <w:t xml:space="preserve">is unjust and unreasonable </w:t>
      </w:r>
      <w:r w:rsidRPr="002C77AE" w:rsidR="0DEE27A0">
        <w:rPr>
          <w:rFonts w:cs="Times New Roman"/>
          <w:szCs w:val="24"/>
        </w:rPr>
        <w:t>because it is unnecessary and fails to pass cost-savings to consumers. First-Energy failed to demonstrate the need for Rider VMC.</w:t>
      </w:r>
      <w:r>
        <w:rPr>
          <w:rFonts w:cs="Times New Roman"/>
          <w:szCs w:val="24"/>
          <w:vertAlign w:val="superscript"/>
        </w:rPr>
        <w:footnoteReference w:id="75"/>
      </w:r>
      <w:r w:rsidRPr="002C77AE" w:rsidR="0DEE27A0">
        <w:rPr>
          <w:rFonts w:cs="Times New Roman"/>
          <w:szCs w:val="24"/>
        </w:rPr>
        <w:t xml:space="preserve"> More troubling, FirstEnergy identifies cost-savings attributable to the program, achieved by reducing regulatory lag,</w:t>
      </w:r>
      <w:r>
        <w:rPr>
          <w:rFonts w:cs="Times New Roman"/>
          <w:szCs w:val="24"/>
          <w:vertAlign w:val="superscript"/>
        </w:rPr>
        <w:footnoteReference w:id="76"/>
      </w:r>
      <w:r w:rsidRPr="002C77AE" w:rsidR="0DEE27A0">
        <w:rPr>
          <w:rFonts w:cs="Times New Roman"/>
          <w:szCs w:val="24"/>
          <w:vertAlign w:val="superscript"/>
        </w:rPr>
        <w:t xml:space="preserve"> </w:t>
      </w:r>
      <w:r w:rsidRPr="002C77AE" w:rsidR="0DEE27A0">
        <w:rPr>
          <w:rFonts w:cs="Times New Roman"/>
          <w:szCs w:val="24"/>
        </w:rPr>
        <w:t>yet the proposal does not pass the</w:t>
      </w:r>
      <w:r w:rsidRPr="002C77AE">
        <w:rPr>
          <w:rFonts w:cs="Times New Roman"/>
          <w:szCs w:val="24"/>
        </w:rPr>
        <w:t xml:space="preserve"> cost</w:t>
      </w:r>
      <w:r w:rsidRPr="002C77AE" w:rsidR="0DEE27A0">
        <w:rPr>
          <w:rFonts w:cs="Times New Roman"/>
          <w:szCs w:val="24"/>
        </w:rPr>
        <w:t xml:space="preserve"> savings along to c</w:t>
      </w:r>
      <w:r w:rsidRPr="002C77AE">
        <w:rPr>
          <w:rFonts w:cs="Times New Roman"/>
          <w:szCs w:val="24"/>
        </w:rPr>
        <w:t>onsumers</w:t>
      </w:r>
      <w:r w:rsidRPr="002C77AE" w:rsidR="0DEE27A0">
        <w:rPr>
          <w:rFonts w:cs="Times New Roman"/>
          <w:szCs w:val="24"/>
        </w:rPr>
        <w:t xml:space="preserve">. </w:t>
      </w:r>
    </w:p>
    <w:p w:rsidR="00E91730" w:rsidRPr="002C77AE" w:rsidP="00CC1D3B" w14:paraId="42893FE3" w14:textId="3F9D109D">
      <w:pPr>
        <w:spacing w:line="480" w:lineRule="auto"/>
        <w:ind w:firstLine="720"/>
        <w:rPr>
          <w:rFonts w:cs="Times New Roman"/>
          <w:szCs w:val="24"/>
        </w:rPr>
      </w:pPr>
      <w:r w:rsidRPr="002C77AE">
        <w:rPr>
          <w:rFonts w:cs="Times New Roman"/>
          <w:szCs w:val="24"/>
        </w:rPr>
        <w:t xml:space="preserve">Several other parties </w:t>
      </w:r>
      <w:r w:rsidRPr="002C77AE" w:rsidR="00EA0816">
        <w:rPr>
          <w:rFonts w:cs="Times New Roman"/>
          <w:szCs w:val="24"/>
        </w:rPr>
        <w:t xml:space="preserve">also oppose </w:t>
      </w:r>
      <w:r w:rsidRPr="002C77AE">
        <w:rPr>
          <w:rFonts w:cs="Times New Roman"/>
          <w:szCs w:val="24"/>
        </w:rPr>
        <w:t>Rider VMC</w:t>
      </w:r>
      <w:r w:rsidRPr="002C77AE" w:rsidR="00EA0816">
        <w:rPr>
          <w:rFonts w:cs="Times New Roman"/>
          <w:szCs w:val="24"/>
        </w:rPr>
        <w:t xml:space="preserve"> for good reason</w:t>
      </w:r>
      <w:r w:rsidRPr="002C77AE">
        <w:rPr>
          <w:rFonts w:cs="Times New Roman"/>
          <w:szCs w:val="24"/>
        </w:rPr>
        <w:t>:</w:t>
      </w:r>
    </w:p>
    <w:p w:rsidR="00E91730" w:rsidRPr="002C77AE" w:rsidP="004C2CC8" w14:paraId="2F81A204" w14:textId="1FF9A526">
      <w:pPr>
        <w:pStyle w:val="ListParagraph"/>
        <w:numPr>
          <w:ilvl w:val="0"/>
          <w:numId w:val="8"/>
        </w:numPr>
        <w:ind w:left="1080"/>
        <w:rPr>
          <w:rFonts w:cs="Times New Roman"/>
          <w:szCs w:val="24"/>
        </w:rPr>
      </w:pPr>
      <w:r w:rsidRPr="002C77AE">
        <w:rPr>
          <w:rFonts w:cs="Times New Roman"/>
          <w:szCs w:val="24"/>
        </w:rPr>
        <w:t>OMAEG argued that Rider VMC is improper single-issue ratemaking and is unneeded because FirstEnergy is already meeting its reliability targets;</w:t>
      </w:r>
      <w:r>
        <w:rPr>
          <w:rStyle w:val="FootnoteReference"/>
          <w:rFonts w:cs="Times New Roman"/>
          <w:szCs w:val="24"/>
        </w:rPr>
        <w:footnoteReference w:id="77"/>
      </w:r>
    </w:p>
    <w:p w:rsidR="007815E2" w:rsidRPr="002C77AE" w:rsidP="004C2CC8" w14:paraId="0324104C" w14:textId="77777777">
      <w:pPr>
        <w:ind w:left="1080" w:hanging="360"/>
        <w:rPr>
          <w:rFonts w:cs="Times New Roman"/>
          <w:szCs w:val="24"/>
        </w:rPr>
      </w:pPr>
    </w:p>
    <w:p w:rsidR="007815E2" w:rsidRPr="002C77AE" w:rsidP="004C2CC8" w14:paraId="192E0DD9" w14:textId="000A479C">
      <w:pPr>
        <w:pStyle w:val="ListParagraph"/>
        <w:numPr>
          <w:ilvl w:val="0"/>
          <w:numId w:val="8"/>
        </w:numPr>
        <w:ind w:left="1080"/>
        <w:rPr>
          <w:rFonts w:cs="Times New Roman"/>
          <w:szCs w:val="24"/>
        </w:rPr>
      </w:pPr>
      <w:r w:rsidRPr="002C77AE">
        <w:rPr>
          <w:rFonts w:cs="Times New Roman"/>
          <w:szCs w:val="24"/>
        </w:rPr>
        <w:t xml:space="preserve">Kroger points out: </w:t>
      </w:r>
      <w:r w:rsidR="002C77AE">
        <w:rPr>
          <w:rFonts w:cs="Times New Roman"/>
          <w:szCs w:val="24"/>
        </w:rPr>
        <w:t>“</w:t>
      </w:r>
      <w:r w:rsidRPr="002C77AE">
        <w:rPr>
          <w:rFonts w:cs="Times New Roman"/>
          <w:szCs w:val="24"/>
        </w:rPr>
        <w:t>[a]s with Rider DCR, FirstEnergy has failed to demonstrate the need for these increased expenditures, or the benefits to customers/improvements to reliability as a result of these increased expenditures;</w:t>
      </w:r>
      <w:r w:rsidR="002C77AE">
        <w:rPr>
          <w:rFonts w:cs="Times New Roman"/>
          <w:szCs w:val="24"/>
        </w:rPr>
        <w:t>”</w:t>
      </w:r>
      <w:r>
        <w:rPr>
          <w:rStyle w:val="FootnoteReference"/>
          <w:rFonts w:cs="Times New Roman"/>
          <w:szCs w:val="24"/>
        </w:rPr>
        <w:footnoteReference w:id="78"/>
      </w:r>
      <w:r w:rsidRPr="002C77AE">
        <w:rPr>
          <w:rFonts w:cs="Times New Roman"/>
          <w:szCs w:val="24"/>
        </w:rPr>
        <w:t xml:space="preserve"> and</w:t>
      </w:r>
    </w:p>
    <w:p w:rsidR="007815E2" w:rsidRPr="002C77AE" w:rsidP="004C2CC8" w14:paraId="6FB50E77" w14:textId="77777777">
      <w:pPr>
        <w:pStyle w:val="ListParagraph"/>
        <w:ind w:left="1080" w:hanging="360"/>
        <w:rPr>
          <w:rFonts w:cs="Times New Roman"/>
          <w:szCs w:val="24"/>
        </w:rPr>
      </w:pPr>
    </w:p>
    <w:p w:rsidR="000113D7" w:rsidRPr="002C77AE" w:rsidP="004C2CC8" w14:paraId="3115DDFA" w14:textId="30C1C06C">
      <w:pPr>
        <w:pStyle w:val="ListParagraph"/>
        <w:numPr>
          <w:ilvl w:val="0"/>
          <w:numId w:val="8"/>
        </w:numPr>
        <w:ind w:left="1080"/>
        <w:rPr>
          <w:rFonts w:cs="Times New Roman"/>
          <w:szCs w:val="24"/>
        </w:rPr>
      </w:pPr>
      <w:r w:rsidRPr="002C77AE">
        <w:rPr>
          <w:rFonts w:cs="Times New Roman"/>
          <w:szCs w:val="24"/>
        </w:rPr>
        <w:t xml:space="preserve">OELC argues that </w:t>
      </w:r>
      <w:r w:rsidR="002C77AE">
        <w:rPr>
          <w:rFonts w:cs="Times New Roman"/>
          <w:szCs w:val="24"/>
        </w:rPr>
        <w:t>“</w:t>
      </w:r>
      <w:r w:rsidRPr="002C77AE">
        <w:rPr>
          <w:rFonts w:cs="Times New Roman"/>
          <w:szCs w:val="24"/>
        </w:rPr>
        <w:t>[t]he Commission should reject FirstEnergy</w:t>
      </w:r>
      <w:r w:rsidR="002C77AE">
        <w:rPr>
          <w:rFonts w:cs="Times New Roman"/>
          <w:szCs w:val="24"/>
        </w:rPr>
        <w:t>’</w:t>
      </w:r>
      <w:r w:rsidRPr="002C77AE">
        <w:rPr>
          <w:rFonts w:cs="Times New Roman"/>
          <w:szCs w:val="24"/>
        </w:rPr>
        <w:t>s Enhance Vegetation Management Rider proposal because it seeks excessive reliability improvements at ratepayers</w:t>
      </w:r>
      <w:r w:rsidR="002C77AE">
        <w:rPr>
          <w:rFonts w:cs="Times New Roman"/>
          <w:szCs w:val="24"/>
        </w:rPr>
        <w:t>’</w:t>
      </w:r>
      <w:r w:rsidRPr="002C77AE">
        <w:rPr>
          <w:rFonts w:cs="Times New Roman"/>
          <w:szCs w:val="24"/>
        </w:rPr>
        <w:t xml:space="preserve"> expense</w:t>
      </w:r>
      <w:r w:rsidRPr="002C77AE" w:rsidR="003224D2">
        <w:rPr>
          <w:rFonts w:cs="Times New Roman"/>
          <w:szCs w:val="24"/>
        </w:rPr>
        <w:t>.</w:t>
      </w:r>
      <w:r w:rsidR="002C77AE">
        <w:rPr>
          <w:rFonts w:cs="Times New Roman"/>
          <w:szCs w:val="24"/>
        </w:rPr>
        <w:t>”</w:t>
      </w:r>
      <w:r>
        <w:rPr>
          <w:rStyle w:val="FootnoteReference"/>
          <w:rFonts w:cs="Times New Roman"/>
          <w:szCs w:val="24"/>
        </w:rPr>
        <w:footnoteReference w:id="79"/>
      </w:r>
    </w:p>
    <w:p w:rsidR="007815E2" w:rsidRPr="002C77AE" w:rsidP="009F0C4A" w14:paraId="726461AA" w14:textId="77777777">
      <w:pPr>
        <w:ind w:right="720"/>
        <w:rPr>
          <w:rFonts w:cs="Times New Roman"/>
          <w:szCs w:val="24"/>
        </w:rPr>
      </w:pPr>
    </w:p>
    <w:p w:rsidR="00674542" w:rsidRPr="002C77AE" w:rsidP="00CC1D3B" w14:paraId="61D5CCA7" w14:textId="21629C12">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 xml:space="preserve">s Rider </w:t>
      </w:r>
      <w:r w:rsidRPr="002C77AE" w:rsidR="009A3AF2">
        <w:rPr>
          <w:rFonts w:cs="Times New Roman"/>
          <w:szCs w:val="24"/>
        </w:rPr>
        <w:t>VMC</w:t>
      </w:r>
      <w:r w:rsidRPr="002C77AE">
        <w:rPr>
          <w:rFonts w:cs="Times New Roman"/>
          <w:szCs w:val="24"/>
        </w:rPr>
        <w:t xml:space="preserve"> is </w:t>
      </w:r>
      <w:r w:rsidRPr="002C77AE" w:rsidR="0DEE27A0">
        <w:rPr>
          <w:rFonts w:cs="Times New Roman"/>
          <w:szCs w:val="24"/>
        </w:rPr>
        <w:t>unjust</w:t>
      </w:r>
      <w:r w:rsidRPr="002C77AE">
        <w:rPr>
          <w:rFonts w:cs="Times New Roman"/>
          <w:szCs w:val="24"/>
        </w:rPr>
        <w:t xml:space="preserve"> </w:t>
      </w:r>
      <w:r w:rsidRPr="002C77AE" w:rsidR="0DEE27A0">
        <w:rPr>
          <w:rFonts w:cs="Times New Roman"/>
          <w:szCs w:val="24"/>
        </w:rPr>
        <w:t>and unreasonable</w:t>
      </w:r>
      <w:r w:rsidRPr="002C77AE">
        <w:rPr>
          <w:rFonts w:cs="Times New Roman"/>
          <w:szCs w:val="24"/>
        </w:rPr>
        <w:t xml:space="preserve"> because it increases consumer charges without providing corresponding benefits</w:t>
      </w:r>
      <w:r w:rsidRPr="002C77AE" w:rsidR="009A3AF2">
        <w:rPr>
          <w:rFonts w:cs="Times New Roman"/>
          <w:szCs w:val="24"/>
        </w:rPr>
        <w:t>.</w:t>
      </w:r>
      <w:r w:rsidRPr="002C77AE">
        <w:rPr>
          <w:rFonts w:cs="Times New Roman"/>
          <w:szCs w:val="24"/>
        </w:rPr>
        <w:t xml:space="preserve"> </w:t>
      </w:r>
      <w:r w:rsidRPr="002C77AE" w:rsidR="009A3AF2">
        <w:rPr>
          <w:rFonts w:cs="Times New Roman"/>
          <w:szCs w:val="24"/>
        </w:rPr>
        <w:t xml:space="preserve">It is also </w:t>
      </w:r>
      <w:r w:rsidRPr="002C77AE" w:rsidR="006C6E34">
        <w:rPr>
          <w:rFonts w:cs="Times New Roman"/>
          <w:szCs w:val="24"/>
        </w:rPr>
        <w:t>unnecessary</w:t>
      </w:r>
      <w:r w:rsidRPr="002C77AE">
        <w:rPr>
          <w:rFonts w:cs="Times New Roman"/>
          <w:szCs w:val="24"/>
        </w:rPr>
        <w:t xml:space="preserve"> because FirstEnergy is </w:t>
      </w:r>
      <w:r w:rsidRPr="002C77AE" w:rsidR="009A3AF2">
        <w:rPr>
          <w:rFonts w:cs="Times New Roman"/>
          <w:szCs w:val="24"/>
        </w:rPr>
        <w:t xml:space="preserve">already </w:t>
      </w:r>
      <w:r w:rsidRPr="002C77AE">
        <w:rPr>
          <w:rFonts w:cs="Times New Roman"/>
          <w:szCs w:val="24"/>
        </w:rPr>
        <w:t>meeting the PUCO</w:t>
      </w:r>
      <w:r w:rsidR="002C77AE">
        <w:rPr>
          <w:rFonts w:cs="Times New Roman"/>
          <w:szCs w:val="24"/>
        </w:rPr>
        <w:t>’</w:t>
      </w:r>
      <w:r w:rsidRPr="002C77AE">
        <w:rPr>
          <w:rFonts w:cs="Times New Roman"/>
          <w:szCs w:val="24"/>
        </w:rPr>
        <w:t>s reliability standards.</w:t>
      </w:r>
      <w:r w:rsidRPr="002C77AE" w:rsidR="00321DF0">
        <w:rPr>
          <w:rFonts w:cs="Times New Roman"/>
          <w:szCs w:val="24"/>
        </w:rPr>
        <w:t xml:space="preserve"> </w:t>
      </w:r>
      <w:r w:rsidRPr="002C77AE">
        <w:rPr>
          <w:rFonts w:cs="Times New Roman"/>
          <w:szCs w:val="24"/>
        </w:rPr>
        <w:t>The PUCO should therefore reject FirstEnergy</w:t>
      </w:r>
      <w:r w:rsidR="002C77AE">
        <w:rPr>
          <w:rFonts w:cs="Times New Roman"/>
          <w:szCs w:val="24"/>
        </w:rPr>
        <w:t>’</w:t>
      </w:r>
      <w:r w:rsidRPr="002C77AE">
        <w:rPr>
          <w:rFonts w:cs="Times New Roman"/>
          <w:szCs w:val="24"/>
        </w:rPr>
        <w:t xml:space="preserve">s Rider </w:t>
      </w:r>
      <w:r w:rsidRPr="002C77AE" w:rsidR="009A3AF2">
        <w:rPr>
          <w:rFonts w:cs="Times New Roman"/>
          <w:szCs w:val="24"/>
        </w:rPr>
        <w:t>VMC</w:t>
      </w:r>
      <w:r w:rsidRPr="002C77AE">
        <w:rPr>
          <w:rFonts w:cs="Times New Roman"/>
          <w:szCs w:val="24"/>
        </w:rPr>
        <w:t xml:space="preserve"> proposal.</w:t>
      </w:r>
      <w:r w:rsidRPr="002C77AE" w:rsidR="0DEE27A0">
        <w:rPr>
          <w:rFonts w:cs="Times New Roman"/>
          <w:szCs w:val="24"/>
        </w:rPr>
        <w:t xml:space="preserve"> </w:t>
      </w:r>
    </w:p>
    <w:p w:rsidR="0044306A" w:rsidRPr="002C77AE" w:rsidP="00674542" w14:paraId="75A51A81" w14:textId="24B78335">
      <w:pPr>
        <w:pStyle w:val="Heading2"/>
        <w:rPr>
          <w:highlight w:val="yellow"/>
        </w:rPr>
      </w:pPr>
      <w:bookmarkStart w:id="25" w:name="_Toc156561538"/>
      <w:bookmarkStart w:id="26" w:name="_Toc158373175"/>
      <w:r w:rsidRPr="002C77AE">
        <w:t>I</w:t>
      </w:r>
      <w:r w:rsidRPr="002C77AE" w:rsidR="0DEE27A0">
        <w:t>.</w:t>
      </w:r>
      <w:r w:rsidRPr="002C77AE" w:rsidR="00674542">
        <w:tab/>
      </w:r>
      <w:r w:rsidRPr="002C77AE" w:rsidR="0DEE27A0">
        <w:t>FirstEnergy</w:t>
      </w:r>
      <w:r w:rsidR="002C77AE">
        <w:t>’</w:t>
      </w:r>
      <w:r w:rsidRPr="002C77AE" w:rsidR="0DEE27A0">
        <w:t>s Economic Load Response Program (</w:t>
      </w:r>
      <w:r w:rsidR="002C77AE">
        <w:t>“</w:t>
      </w:r>
      <w:r w:rsidRPr="002C77AE" w:rsidR="0DEE27A0">
        <w:t>Rider ELR</w:t>
      </w:r>
      <w:r w:rsidR="002C77AE">
        <w:t>”</w:t>
      </w:r>
      <w:r w:rsidRPr="002C77AE" w:rsidR="0DEE27A0">
        <w:t>) proposal</w:t>
      </w:r>
      <w:r w:rsidRPr="002C77AE" w:rsidR="007218DC">
        <w:t xml:space="preserve"> is unjust</w:t>
      </w:r>
      <w:r w:rsidRPr="002C77AE" w:rsidR="00EC1192">
        <w:t xml:space="preserve"> a</w:t>
      </w:r>
      <w:r w:rsidRPr="002C77AE" w:rsidR="007218DC">
        <w:t>nd unreasonable</w:t>
      </w:r>
      <w:bookmarkEnd w:id="25"/>
      <w:r w:rsidRPr="002C77AE" w:rsidR="007815E2">
        <w:t>.</w:t>
      </w:r>
      <w:bookmarkEnd w:id="26"/>
    </w:p>
    <w:p w:rsidR="00955ABA" w:rsidRPr="002C77AE" w:rsidP="00D100EC" w14:paraId="62F975AC" w14:textId="003FB279">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 xml:space="preserve">s Rider ELR proposal is unjust and unreasonable because </w:t>
      </w:r>
      <w:r w:rsidRPr="002C77AE" w:rsidR="00FD3D85">
        <w:rPr>
          <w:rFonts w:cs="Times New Roman"/>
          <w:szCs w:val="24"/>
        </w:rPr>
        <w:t xml:space="preserve">it forces </w:t>
      </w:r>
      <w:r w:rsidRPr="002C77AE" w:rsidR="0060664F">
        <w:rPr>
          <w:rFonts w:cs="Times New Roman"/>
          <w:szCs w:val="24"/>
        </w:rPr>
        <w:t xml:space="preserve">all </w:t>
      </w:r>
      <w:r w:rsidRPr="002C77AE" w:rsidR="00FD3D85">
        <w:rPr>
          <w:rFonts w:cs="Times New Roman"/>
          <w:szCs w:val="24"/>
        </w:rPr>
        <w:t>consumers</w:t>
      </w:r>
      <w:r w:rsidRPr="002C77AE" w:rsidR="0060664F">
        <w:rPr>
          <w:rFonts w:cs="Times New Roman"/>
          <w:szCs w:val="24"/>
        </w:rPr>
        <w:t>, including residential consumers,</w:t>
      </w:r>
      <w:r w:rsidR="002C77AE">
        <w:rPr>
          <w:rFonts w:cs="Times New Roman"/>
          <w:szCs w:val="24"/>
        </w:rPr>
        <w:t xml:space="preserve"> </w:t>
      </w:r>
      <w:r w:rsidRPr="002C77AE" w:rsidR="00FD3D85">
        <w:rPr>
          <w:rFonts w:cs="Times New Roman"/>
          <w:szCs w:val="24"/>
        </w:rPr>
        <w:t>to subsidize large industrial customers for interruptible service</w:t>
      </w:r>
      <w:r w:rsidRPr="002C77AE" w:rsidR="00327254">
        <w:rPr>
          <w:rFonts w:cs="Times New Roman"/>
          <w:szCs w:val="24"/>
        </w:rPr>
        <w:t xml:space="preserve"> – even though FirstEnergy </w:t>
      </w:r>
      <w:r w:rsidRPr="002C77AE" w:rsidR="005E38A3">
        <w:rPr>
          <w:rFonts w:cs="Times New Roman"/>
          <w:szCs w:val="24"/>
        </w:rPr>
        <w:t xml:space="preserve">may </w:t>
      </w:r>
      <w:r w:rsidRPr="002C77AE" w:rsidR="00327254">
        <w:rPr>
          <w:rFonts w:cs="Times New Roman"/>
          <w:szCs w:val="24"/>
        </w:rPr>
        <w:t>never actually interrupt their service.</w:t>
      </w:r>
      <w:r w:rsidRPr="002C77AE" w:rsidR="00CE2F18">
        <w:rPr>
          <w:rFonts w:cs="Times New Roman"/>
          <w:szCs w:val="24"/>
        </w:rPr>
        <w:t xml:space="preserve"> </w:t>
      </w:r>
      <w:r w:rsidRPr="002C77AE" w:rsidR="00327254">
        <w:rPr>
          <w:rFonts w:cs="Times New Roman"/>
          <w:szCs w:val="24"/>
        </w:rPr>
        <w:t>It is the responsibility of PJM, not FirstEnergy, to curtail service in the event of electric emergencies.</w:t>
      </w:r>
      <w:r w:rsidRPr="002C77AE" w:rsidR="00CE2F18">
        <w:rPr>
          <w:rFonts w:cs="Times New Roman"/>
          <w:szCs w:val="24"/>
        </w:rPr>
        <w:t xml:space="preserve"> </w:t>
      </w:r>
      <w:r w:rsidRPr="002C77AE" w:rsidR="00327254">
        <w:rPr>
          <w:rFonts w:cs="Times New Roman"/>
          <w:szCs w:val="24"/>
        </w:rPr>
        <w:t>Duke and AES Ohio consumers are similarly situated to FirstEnergy consumers because all three utilities belong to PJM</w:t>
      </w:r>
      <w:r w:rsidRPr="002C77AE" w:rsidR="003224D2">
        <w:rPr>
          <w:rFonts w:cs="Times New Roman"/>
          <w:szCs w:val="24"/>
        </w:rPr>
        <w:t xml:space="preserve">; however, </w:t>
      </w:r>
      <w:r w:rsidRPr="002C77AE" w:rsidR="00327254">
        <w:rPr>
          <w:rFonts w:cs="Times New Roman"/>
          <w:szCs w:val="24"/>
        </w:rPr>
        <w:t xml:space="preserve">Duke and AES Ohio consumers are not required to </w:t>
      </w:r>
      <w:r w:rsidRPr="002C77AE" w:rsidR="00F83639">
        <w:rPr>
          <w:rFonts w:cs="Times New Roman"/>
          <w:szCs w:val="24"/>
        </w:rPr>
        <w:t xml:space="preserve">pay </w:t>
      </w:r>
      <w:r w:rsidRPr="002C77AE" w:rsidR="00327254">
        <w:rPr>
          <w:rFonts w:cs="Times New Roman"/>
          <w:szCs w:val="24"/>
        </w:rPr>
        <w:t>subsidies to large industrial customers under an interruptible service tariff.</w:t>
      </w:r>
      <w:r w:rsidRPr="002C77AE" w:rsidR="00CE2F18">
        <w:rPr>
          <w:rFonts w:cs="Times New Roman"/>
          <w:szCs w:val="24"/>
        </w:rPr>
        <w:t xml:space="preserve"> </w:t>
      </w:r>
      <w:r w:rsidRPr="002C77AE" w:rsidR="00327254">
        <w:rPr>
          <w:rFonts w:cs="Times New Roman"/>
          <w:szCs w:val="24"/>
        </w:rPr>
        <w:t>The PUCO should reject FirstEnergy</w:t>
      </w:r>
      <w:r w:rsidR="002C77AE">
        <w:rPr>
          <w:rFonts w:cs="Times New Roman"/>
          <w:szCs w:val="24"/>
        </w:rPr>
        <w:t>’</w:t>
      </w:r>
      <w:r w:rsidRPr="002C77AE" w:rsidR="00327254">
        <w:rPr>
          <w:rFonts w:cs="Times New Roman"/>
          <w:szCs w:val="24"/>
        </w:rPr>
        <w:t xml:space="preserve">s Rider ELR proposal. </w:t>
      </w:r>
    </w:p>
    <w:p w:rsidR="00623117" w:rsidRPr="002C77AE" w:rsidP="0019653F" w14:paraId="5D9BDE95" w14:textId="1B18F872">
      <w:pPr>
        <w:spacing w:line="480" w:lineRule="auto"/>
        <w:ind w:firstLine="720"/>
        <w:rPr>
          <w:rFonts w:cs="Times New Roman"/>
          <w:szCs w:val="24"/>
        </w:rPr>
      </w:pPr>
      <w:r w:rsidRPr="002C77AE">
        <w:rPr>
          <w:rFonts w:cs="Times New Roman"/>
          <w:szCs w:val="24"/>
        </w:rPr>
        <w:t xml:space="preserve">Rider ELR </w:t>
      </w:r>
      <w:r w:rsidRPr="002C77AE" w:rsidR="005475A2">
        <w:rPr>
          <w:rFonts w:cs="Times New Roman"/>
          <w:szCs w:val="24"/>
        </w:rPr>
        <w:t>pays</w:t>
      </w:r>
      <w:r w:rsidRPr="002C77AE" w:rsidR="001834FA">
        <w:rPr>
          <w:rFonts w:cs="Times New Roman"/>
          <w:szCs w:val="24"/>
        </w:rPr>
        <w:t xml:space="preserve"> </w:t>
      </w:r>
      <w:r w:rsidRPr="002C77AE" w:rsidR="005475A2">
        <w:rPr>
          <w:rFonts w:cs="Times New Roman"/>
          <w:szCs w:val="24"/>
        </w:rPr>
        <w:t>rate</w:t>
      </w:r>
      <w:r w:rsidRPr="002C77AE" w:rsidR="00C2279B">
        <w:rPr>
          <w:rFonts w:cs="Times New Roman"/>
          <w:szCs w:val="24"/>
        </w:rPr>
        <w:t xml:space="preserve"> credits of $10 per kW </w:t>
      </w:r>
      <w:r w:rsidRPr="002C77AE" w:rsidR="00A70FB4">
        <w:rPr>
          <w:rFonts w:cs="Times New Roman"/>
          <w:szCs w:val="24"/>
        </w:rPr>
        <w:t xml:space="preserve">in exchange </w:t>
      </w:r>
      <w:r w:rsidRPr="002C77AE" w:rsidR="005475A2">
        <w:rPr>
          <w:rFonts w:cs="Times New Roman"/>
          <w:szCs w:val="24"/>
        </w:rPr>
        <w:t xml:space="preserve">for curtailing service when </w:t>
      </w:r>
      <w:r w:rsidRPr="002C77AE" w:rsidR="001834FA">
        <w:rPr>
          <w:rFonts w:cs="Times New Roman"/>
          <w:szCs w:val="24"/>
        </w:rPr>
        <w:t xml:space="preserve">emergency events </w:t>
      </w:r>
      <w:r w:rsidRPr="002C77AE" w:rsidR="005475A2">
        <w:rPr>
          <w:rFonts w:cs="Times New Roman"/>
          <w:szCs w:val="24"/>
        </w:rPr>
        <w:t xml:space="preserve">are </w:t>
      </w:r>
      <w:r w:rsidRPr="002C77AE" w:rsidR="001834FA">
        <w:rPr>
          <w:rFonts w:cs="Times New Roman"/>
          <w:szCs w:val="24"/>
        </w:rPr>
        <w:t xml:space="preserve">called </w:t>
      </w:r>
      <w:r w:rsidRPr="002C77AE" w:rsidR="005475A2">
        <w:rPr>
          <w:rFonts w:cs="Times New Roman"/>
          <w:szCs w:val="24"/>
        </w:rPr>
        <w:t xml:space="preserve">by </w:t>
      </w:r>
      <w:r w:rsidRPr="002C77AE" w:rsidR="001834FA">
        <w:rPr>
          <w:rFonts w:cs="Times New Roman"/>
          <w:szCs w:val="24"/>
        </w:rPr>
        <w:t>PJM</w:t>
      </w:r>
      <w:r w:rsidRPr="002C77AE" w:rsidR="005475A2">
        <w:rPr>
          <w:rFonts w:cs="Times New Roman"/>
          <w:szCs w:val="24"/>
        </w:rPr>
        <w:t xml:space="preserve"> or FirstEnergy</w:t>
      </w:r>
      <w:r w:rsidRPr="002C77AE" w:rsidR="00A70FB4">
        <w:rPr>
          <w:rFonts w:cs="Times New Roman"/>
          <w:szCs w:val="24"/>
        </w:rPr>
        <w:t>.</w:t>
      </w:r>
      <w:r>
        <w:rPr>
          <w:rStyle w:val="FootnoteReference"/>
          <w:rFonts w:cs="Times New Roman"/>
          <w:szCs w:val="24"/>
        </w:rPr>
        <w:footnoteReference w:id="80"/>
      </w:r>
      <w:r w:rsidRPr="002C77AE" w:rsidR="00C93394">
        <w:rPr>
          <w:rFonts w:cs="Times New Roman"/>
          <w:szCs w:val="24"/>
        </w:rPr>
        <w:t xml:space="preserve"> </w:t>
      </w:r>
      <w:r w:rsidRPr="002C77AE" w:rsidR="00842817">
        <w:rPr>
          <w:rFonts w:cs="Times New Roman"/>
          <w:szCs w:val="24"/>
        </w:rPr>
        <w:t xml:space="preserve">Rider </w:t>
      </w:r>
      <w:r w:rsidRPr="002C77AE" w:rsidR="00D100EC">
        <w:rPr>
          <w:rFonts w:cs="Times New Roman"/>
          <w:szCs w:val="24"/>
        </w:rPr>
        <w:t>ELR</w:t>
      </w:r>
      <w:r w:rsidRPr="002C77AE">
        <w:rPr>
          <w:rFonts w:cs="Times New Roman"/>
          <w:szCs w:val="24"/>
        </w:rPr>
        <w:t xml:space="preserve"> </w:t>
      </w:r>
      <w:r w:rsidRPr="002C77AE" w:rsidR="00D100EC">
        <w:rPr>
          <w:rFonts w:cs="Times New Roman"/>
          <w:szCs w:val="24"/>
        </w:rPr>
        <w:t xml:space="preserve">is </w:t>
      </w:r>
      <w:r w:rsidRPr="002C77AE" w:rsidR="005475A2">
        <w:rPr>
          <w:rFonts w:cs="Times New Roman"/>
          <w:szCs w:val="24"/>
        </w:rPr>
        <w:t>limited to</w:t>
      </w:r>
      <w:r w:rsidRPr="002C77AE" w:rsidR="0013548E">
        <w:rPr>
          <w:rFonts w:cs="Times New Roman"/>
          <w:szCs w:val="24"/>
        </w:rPr>
        <w:t xml:space="preserve"> </w:t>
      </w:r>
      <w:r w:rsidRPr="002C77AE" w:rsidR="007A6D6B">
        <w:rPr>
          <w:rFonts w:cs="Times New Roman"/>
          <w:szCs w:val="24"/>
        </w:rPr>
        <w:t xml:space="preserve">24 </w:t>
      </w:r>
      <w:r w:rsidRPr="002C77AE" w:rsidR="0013548E">
        <w:rPr>
          <w:rFonts w:cs="Times New Roman"/>
          <w:szCs w:val="24"/>
        </w:rPr>
        <w:t>large industrial customers</w:t>
      </w:r>
      <w:r w:rsidRPr="002C77AE" w:rsidR="005475A2">
        <w:rPr>
          <w:rFonts w:cs="Times New Roman"/>
          <w:szCs w:val="24"/>
        </w:rPr>
        <w:t>.</w:t>
      </w:r>
      <w:r>
        <w:rPr>
          <w:rStyle w:val="FootnoteReference"/>
          <w:rFonts w:cs="Times New Roman"/>
          <w:szCs w:val="24"/>
        </w:rPr>
        <w:footnoteReference w:id="81"/>
      </w:r>
      <w:r w:rsidRPr="002C77AE" w:rsidR="00321DF0">
        <w:rPr>
          <w:rFonts w:cs="Times New Roman"/>
          <w:szCs w:val="24"/>
        </w:rPr>
        <w:t xml:space="preserve"> </w:t>
      </w:r>
      <w:r w:rsidRPr="002C77AE" w:rsidR="005475A2">
        <w:rPr>
          <w:rFonts w:cs="Times New Roman"/>
          <w:szCs w:val="24"/>
        </w:rPr>
        <w:t>Th</w:t>
      </w:r>
      <w:r w:rsidRPr="002C77AE">
        <w:rPr>
          <w:rFonts w:cs="Times New Roman"/>
          <w:szCs w:val="24"/>
        </w:rPr>
        <w:t>ey</w:t>
      </w:r>
      <w:r w:rsidRPr="002C77AE" w:rsidR="005475A2">
        <w:rPr>
          <w:rFonts w:cs="Times New Roman"/>
          <w:szCs w:val="24"/>
        </w:rPr>
        <w:t xml:space="preserve"> received</w:t>
      </w:r>
      <w:r w:rsidRPr="002C77AE" w:rsidR="0013548E">
        <w:rPr>
          <w:rFonts w:cs="Times New Roman"/>
          <w:szCs w:val="24"/>
        </w:rPr>
        <w:t xml:space="preserve"> </w:t>
      </w:r>
      <w:r w:rsidRPr="002C77AE" w:rsidR="007A6D6B">
        <w:rPr>
          <w:rFonts w:cs="Times New Roman"/>
          <w:szCs w:val="24"/>
        </w:rPr>
        <w:t xml:space="preserve">massive </w:t>
      </w:r>
      <w:r w:rsidRPr="002C77AE" w:rsidR="0013548E">
        <w:rPr>
          <w:rFonts w:cs="Times New Roman"/>
          <w:szCs w:val="24"/>
        </w:rPr>
        <w:t>rate credits</w:t>
      </w:r>
      <w:r w:rsidRPr="002C77AE" w:rsidR="00E66FEC">
        <w:rPr>
          <w:rFonts w:cs="Times New Roman"/>
          <w:szCs w:val="24"/>
        </w:rPr>
        <w:t xml:space="preserve"> </w:t>
      </w:r>
      <w:r w:rsidRPr="002C77AE" w:rsidR="005475A2">
        <w:rPr>
          <w:rFonts w:cs="Times New Roman"/>
          <w:szCs w:val="24"/>
        </w:rPr>
        <w:t>(</w:t>
      </w:r>
      <w:r w:rsidRPr="002C77AE" w:rsidR="00561FF2">
        <w:rPr>
          <w:rFonts w:cs="Times New Roman"/>
          <w:szCs w:val="24"/>
        </w:rPr>
        <w:t>$437</w:t>
      </w:r>
      <w:r w:rsidRPr="002C77AE" w:rsidR="005475A2">
        <w:rPr>
          <w:rFonts w:cs="Times New Roman"/>
          <w:szCs w:val="24"/>
        </w:rPr>
        <w:t xml:space="preserve"> million</w:t>
      </w:r>
      <w:r w:rsidRPr="002C77AE" w:rsidR="00EE3C92">
        <w:rPr>
          <w:rFonts w:cs="Times New Roman"/>
          <w:szCs w:val="24"/>
        </w:rPr>
        <w:t xml:space="preserve"> during the past seven years of ESP IV</w:t>
      </w:r>
      <w:r w:rsidRPr="002C77AE" w:rsidR="005475A2">
        <w:rPr>
          <w:rFonts w:cs="Times New Roman"/>
          <w:szCs w:val="24"/>
        </w:rPr>
        <w:t>)</w:t>
      </w:r>
      <w:r>
        <w:rPr>
          <w:rFonts w:cs="Times New Roman"/>
          <w:szCs w:val="24"/>
          <w:vertAlign w:val="superscript"/>
        </w:rPr>
        <w:footnoteReference w:id="82"/>
      </w:r>
      <w:r w:rsidRPr="002C77AE" w:rsidR="00561FF2">
        <w:rPr>
          <w:rFonts w:cs="Times New Roman"/>
          <w:szCs w:val="24"/>
        </w:rPr>
        <w:t xml:space="preserve"> </w:t>
      </w:r>
      <w:r w:rsidRPr="002C77AE" w:rsidR="007A6D6B">
        <w:rPr>
          <w:rFonts w:cs="Times New Roman"/>
          <w:i/>
          <w:iCs/>
          <w:szCs w:val="24"/>
        </w:rPr>
        <w:t xml:space="preserve">even though FirstEnergy </w:t>
      </w:r>
      <w:r w:rsidRPr="002C77AE" w:rsidR="005475A2">
        <w:rPr>
          <w:rFonts w:cs="Times New Roman"/>
          <w:i/>
          <w:iCs/>
          <w:szCs w:val="24"/>
        </w:rPr>
        <w:t>never</w:t>
      </w:r>
      <w:r w:rsidRPr="002C77AE" w:rsidR="007A6D6B">
        <w:rPr>
          <w:rFonts w:cs="Times New Roman"/>
          <w:i/>
          <w:iCs/>
          <w:szCs w:val="24"/>
        </w:rPr>
        <w:t xml:space="preserve"> </w:t>
      </w:r>
      <w:r w:rsidRPr="002C77AE">
        <w:rPr>
          <w:rFonts w:cs="Times New Roman"/>
          <w:i/>
          <w:iCs/>
          <w:szCs w:val="24"/>
        </w:rPr>
        <w:t>declared an emergency</w:t>
      </w:r>
      <w:r w:rsidRPr="002C77AE">
        <w:rPr>
          <w:rFonts w:cs="Times New Roman"/>
          <w:szCs w:val="24"/>
        </w:rPr>
        <w:t>.</w:t>
      </w:r>
      <w:r>
        <w:rPr>
          <w:rStyle w:val="FootnoteReference"/>
          <w:rFonts w:cs="Times New Roman"/>
          <w:szCs w:val="24"/>
        </w:rPr>
        <w:footnoteReference w:id="83"/>
      </w:r>
      <w:r w:rsidRPr="002C77AE" w:rsidR="00CE2F18">
        <w:rPr>
          <w:rFonts w:cs="Times New Roman"/>
          <w:szCs w:val="24"/>
        </w:rPr>
        <w:t xml:space="preserve"> </w:t>
      </w:r>
    </w:p>
    <w:p w:rsidR="0067062F" w:rsidRPr="002C77AE" w:rsidP="0019653F" w14:paraId="52BB7021" w14:textId="589900F2">
      <w:pPr>
        <w:spacing w:line="480" w:lineRule="auto"/>
        <w:ind w:firstLine="720"/>
        <w:rPr>
          <w:rFonts w:cs="Times New Roman"/>
          <w:szCs w:val="24"/>
        </w:rPr>
      </w:pPr>
      <w:r w:rsidRPr="002C77AE">
        <w:rPr>
          <w:rFonts w:cs="Times New Roman"/>
          <w:szCs w:val="24"/>
        </w:rPr>
        <w:t xml:space="preserve">The fact that FirstEnergy never declares an emergency shows that Rider ELR is </w:t>
      </w:r>
      <w:r w:rsidRPr="002C77AE" w:rsidR="003224D2">
        <w:rPr>
          <w:rFonts w:cs="Times New Roman"/>
          <w:szCs w:val="24"/>
        </w:rPr>
        <w:t>un</w:t>
      </w:r>
      <w:r w:rsidRPr="002C77AE" w:rsidR="00101502">
        <w:rPr>
          <w:rFonts w:cs="Times New Roman"/>
          <w:szCs w:val="24"/>
        </w:rPr>
        <w:t>n</w:t>
      </w:r>
      <w:r w:rsidRPr="002C77AE" w:rsidR="003224D2">
        <w:rPr>
          <w:rFonts w:cs="Times New Roman"/>
          <w:szCs w:val="24"/>
        </w:rPr>
        <w:t>ecessary</w:t>
      </w:r>
      <w:r w:rsidRPr="002C77AE">
        <w:rPr>
          <w:rFonts w:cs="Times New Roman"/>
          <w:szCs w:val="24"/>
        </w:rPr>
        <w:t>.</w:t>
      </w:r>
      <w:r w:rsidRPr="002C77AE" w:rsidR="00321DF0">
        <w:rPr>
          <w:rFonts w:cs="Times New Roman"/>
          <w:szCs w:val="24"/>
        </w:rPr>
        <w:t xml:space="preserve"> </w:t>
      </w:r>
      <w:r w:rsidRPr="002C77AE">
        <w:rPr>
          <w:rFonts w:cs="Times New Roman"/>
          <w:szCs w:val="24"/>
        </w:rPr>
        <w:t>Even so, there were two plausible reasons why Rider ELR could be justified under ESP IV.</w:t>
      </w:r>
      <w:r w:rsidRPr="002C77AE" w:rsidR="00321DF0">
        <w:rPr>
          <w:rFonts w:cs="Times New Roman"/>
          <w:szCs w:val="24"/>
        </w:rPr>
        <w:t xml:space="preserve"> </w:t>
      </w:r>
      <w:r w:rsidRPr="002C77AE">
        <w:rPr>
          <w:rFonts w:cs="Times New Roman"/>
          <w:szCs w:val="24"/>
        </w:rPr>
        <w:t xml:space="preserve">FirstEnergy, however, proposes to eliminate </w:t>
      </w:r>
      <w:r w:rsidRPr="002C77AE" w:rsidR="00101502">
        <w:rPr>
          <w:rFonts w:cs="Times New Roman"/>
          <w:szCs w:val="24"/>
        </w:rPr>
        <w:t xml:space="preserve">both of </w:t>
      </w:r>
      <w:r w:rsidRPr="002C77AE">
        <w:rPr>
          <w:rFonts w:cs="Times New Roman"/>
          <w:szCs w:val="24"/>
        </w:rPr>
        <w:t>these justifications for Rider ELR.</w:t>
      </w:r>
      <w:r w:rsidRPr="002C77AE" w:rsidR="00321DF0">
        <w:rPr>
          <w:rFonts w:cs="Times New Roman"/>
          <w:szCs w:val="24"/>
        </w:rPr>
        <w:t xml:space="preserve"> </w:t>
      </w:r>
      <w:r w:rsidRPr="002C77AE">
        <w:rPr>
          <w:rFonts w:cs="Times New Roman"/>
          <w:szCs w:val="24"/>
        </w:rPr>
        <w:t>This would render Rider ELR totall</w:t>
      </w:r>
      <w:r w:rsidRPr="002C77AE" w:rsidR="007A6D6B">
        <w:rPr>
          <w:rFonts w:cs="Times New Roman"/>
          <w:szCs w:val="24"/>
        </w:rPr>
        <w:t>y</w:t>
      </w:r>
      <w:r w:rsidRPr="002C77AE">
        <w:rPr>
          <w:rFonts w:cs="Times New Roman"/>
          <w:szCs w:val="24"/>
        </w:rPr>
        <w:t xml:space="preserve"> superfluous and eliminate any possible reason for implementing the tariff</w:t>
      </w:r>
      <w:r w:rsidRPr="002C77AE" w:rsidR="007A6D6B">
        <w:rPr>
          <w:rFonts w:cs="Times New Roman"/>
          <w:szCs w:val="24"/>
        </w:rPr>
        <w:t xml:space="preserve"> – other than to force consumers to</w:t>
      </w:r>
      <w:r w:rsidRPr="002C77AE" w:rsidR="00440F09">
        <w:rPr>
          <w:rFonts w:cs="Times New Roman"/>
          <w:szCs w:val="24"/>
        </w:rPr>
        <w:t xml:space="preserve"> continue</w:t>
      </w:r>
      <w:r w:rsidRPr="002C77AE" w:rsidR="007A6D6B">
        <w:rPr>
          <w:rFonts w:cs="Times New Roman"/>
          <w:szCs w:val="24"/>
        </w:rPr>
        <w:t xml:space="preserve"> pay</w:t>
      </w:r>
      <w:r w:rsidRPr="002C77AE" w:rsidR="00440F09">
        <w:rPr>
          <w:rFonts w:cs="Times New Roman"/>
          <w:szCs w:val="24"/>
        </w:rPr>
        <w:t>ing</w:t>
      </w:r>
      <w:r w:rsidRPr="002C77AE" w:rsidR="007A6D6B">
        <w:rPr>
          <w:rFonts w:cs="Times New Roman"/>
          <w:szCs w:val="24"/>
        </w:rPr>
        <w:t xml:space="preserve"> </w:t>
      </w:r>
      <w:r w:rsidRPr="002C77AE">
        <w:rPr>
          <w:rFonts w:cs="Times New Roman"/>
          <w:szCs w:val="24"/>
        </w:rPr>
        <w:t>unjust and unreasonable</w:t>
      </w:r>
      <w:r w:rsidRPr="002C77AE" w:rsidR="007A6D6B">
        <w:rPr>
          <w:rFonts w:cs="Times New Roman"/>
          <w:szCs w:val="24"/>
        </w:rPr>
        <w:t xml:space="preserve"> subsid</w:t>
      </w:r>
      <w:r w:rsidRPr="002C77AE" w:rsidR="00440F09">
        <w:rPr>
          <w:rFonts w:cs="Times New Roman"/>
          <w:szCs w:val="24"/>
        </w:rPr>
        <w:t>ies</w:t>
      </w:r>
      <w:r w:rsidRPr="002C77AE" w:rsidR="007A6D6B">
        <w:rPr>
          <w:rFonts w:cs="Times New Roman"/>
          <w:szCs w:val="24"/>
        </w:rPr>
        <w:t xml:space="preserve"> to 24 large industrial companies.</w:t>
      </w:r>
    </w:p>
    <w:p w:rsidR="007A6D6B" w:rsidRPr="002C77AE" w:rsidP="00D100EC" w14:paraId="54211A06" w14:textId="0EE2DC6F">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s</w:t>
      </w:r>
      <w:r w:rsidRPr="002C77AE" w:rsidR="0067062F">
        <w:rPr>
          <w:rFonts w:cs="Times New Roman"/>
          <w:szCs w:val="24"/>
        </w:rPr>
        <w:t xml:space="preserve"> first proposed </w:t>
      </w:r>
      <w:r w:rsidRPr="002C77AE" w:rsidR="00440F09">
        <w:rPr>
          <w:rFonts w:cs="Times New Roman"/>
          <w:szCs w:val="24"/>
        </w:rPr>
        <w:t xml:space="preserve">Rider ELR </w:t>
      </w:r>
      <w:r w:rsidRPr="002C77AE" w:rsidR="0067062F">
        <w:rPr>
          <w:rFonts w:cs="Times New Roman"/>
          <w:szCs w:val="24"/>
        </w:rPr>
        <w:t xml:space="preserve">change is to </w:t>
      </w:r>
      <w:r w:rsidRPr="002C77AE" w:rsidR="002C63D6">
        <w:rPr>
          <w:rFonts w:cs="Times New Roman"/>
          <w:szCs w:val="24"/>
        </w:rPr>
        <w:t>no longer require</w:t>
      </w:r>
      <w:r w:rsidRPr="002C77AE" w:rsidR="0067062F">
        <w:rPr>
          <w:rFonts w:cs="Times New Roman"/>
          <w:szCs w:val="24"/>
        </w:rPr>
        <w:t xml:space="preserve"> participating industrial customers to commit their peak demand response capabilities to FirstEnergy.</w:t>
      </w:r>
      <w:r>
        <w:rPr>
          <w:rStyle w:val="FootnoteReference"/>
          <w:rFonts w:cs="Times New Roman"/>
          <w:szCs w:val="24"/>
        </w:rPr>
        <w:footnoteReference w:id="84"/>
      </w:r>
      <w:r w:rsidRPr="002C77AE" w:rsidR="00CE2F18">
        <w:rPr>
          <w:rFonts w:cs="Times New Roman"/>
          <w:szCs w:val="24"/>
        </w:rPr>
        <w:t xml:space="preserve"> </w:t>
      </w:r>
      <w:r w:rsidRPr="002C77AE" w:rsidR="002E420A">
        <w:rPr>
          <w:rFonts w:cs="Times New Roman"/>
          <w:szCs w:val="24"/>
        </w:rPr>
        <w:t>FirstEnergy claims this change w</w:t>
      </w:r>
      <w:r w:rsidRPr="002C77AE">
        <w:rPr>
          <w:rFonts w:cs="Times New Roman"/>
          <w:szCs w:val="24"/>
        </w:rPr>
        <w:t>ould</w:t>
      </w:r>
      <w:r w:rsidRPr="002C77AE" w:rsidR="002E420A">
        <w:rPr>
          <w:rFonts w:cs="Times New Roman"/>
          <w:szCs w:val="24"/>
        </w:rPr>
        <w:t xml:space="preserve"> improve administrative efficiency and promote customer choice</w:t>
      </w:r>
      <w:r w:rsidRPr="002C77AE">
        <w:rPr>
          <w:rFonts w:cs="Times New Roman"/>
          <w:szCs w:val="24"/>
        </w:rPr>
        <w:t xml:space="preserve"> (for the large industrial customers, who already have robust customer choice options).</w:t>
      </w:r>
      <w:r>
        <w:rPr>
          <w:rStyle w:val="FootnoteReference"/>
          <w:rFonts w:cs="Times New Roman"/>
          <w:szCs w:val="24"/>
        </w:rPr>
        <w:footnoteReference w:id="85"/>
      </w:r>
      <w:r w:rsidRPr="002C77AE" w:rsidR="00054F58">
        <w:rPr>
          <w:rFonts w:cs="Times New Roman"/>
          <w:szCs w:val="24"/>
        </w:rPr>
        <w:t xml:space="preserve"> </w:t>
      </w:r>
      <w:r w:rsidRPr="002C77AE">
        <w:rPr>
          <w:rFonts w:cs="Times New Roman"/>
          <w:szCs w:val="24"/>
        </w:rPr>
        <w:t>In fact, t</w:t>
      </w:r>
      <w:r w:rsidRPr="002C77AE" w:rsidR="00145ED9">
        <w:rPr>
          <w:rFonts w:cs="Times New Roman"/>
          <w:szCs w:val="24"/>
        </w:rPr>
        <w:t xml:space="preserve">his </w:t>
      </w:r>
      <w:r w:rsidRPr="002C77AE" w:rsidR="000B79EF">
        <w:rPr>
          <w:rFonts w:cs="Times New Roman"/>
          <w:szCs w:val="24"/>
        </w:rPr>
        <w:t xml:space="preserve">requirement </w:t>
      </w:r>
      <w:r w:rsidRPr="002C77AE" w:rsidR="00E87CAC">
        <w:rPr>
          <w:rFonts w:cs="Times New Roman"/>
          <w:szCs w:val="24"/>
        </w:rPr>
        <w:t>is no longer needed.</w:t>
      </w:r>
      <w:r w:rsidRPr="002C77AE" w:rsidR="00321DF0">
        <w:rPr>
          <w:rFonts w:cs="Times New Roman"/>
          <w:szCs w:val="24"/>
        </w:rPr>
        <w:t xml:space="preserve"> </w:t>
      </w:r>
      <w:r w:rsidRPr="002C77AE" w:rsidR="00E87CAC">
        <w:rPr>
          <w:rFonts w:cs="Times New Roman"/>
          <w:szCs w:val="24"/>
        </w:rPr>
        <w:t xml:space="preserve">This provision </w:t>
      </w:r>
      <w:r w:rsidRPr="002C77AE" w:rsidR="000B79EF">
        <w:rPr>
          <w:rFonts w:cs="Times New Roman"/>
          <w:szCs w:val="24"/>
        </w:rPr>
        <w:t xml:space="preserve">was related to </w:t>
      </w:r>
      <w:r w:rsidRPr="002C77AE" w:rsidR="00132CA9">
        <w:rPr>
          <w:rFonts w:cs="Times New Roman"/>
          <w:szCs w:val="24"/>
        </w:rPr>
        <w:t>peak demand reduction targets, formerly required by Ohio law</w:t>
      </w:r>
      <w:r w:rsidRPr="002C77AE" w:rsidR="00E87CAC">
        <w:rPr>
          <w:rFonts w:cs="Times New Roman"/>
          <w:szCs w:val="24"/>
        </w:rPr>
        <w:t>.</w:t>
      </w:r>
      <w:r w:rsidRPr="002C77AE" w:rsidR="00321DF0">
        <w:rPr>
          <w:rFonts w:cs="Times New Roman"/>
          <w:szCs w:val="24"/>
        </w:rPr>
        <w:t xml:space="preserve"> </w:t>
      </w:r>
      <w:r w:rsidRPr="002C77AE" w:rsidR="00E87CAC">
        <w:rPr>
          <w:rFonts w:cs="Times New Roman"/>
          <w:szCs w:val="24"/>
        </w:rPr>
        <w:t>These requirements were</w:t>
      </w:r>
      <w:r w:rsidRPr="002C77AE" w:rsidR="00913700">
        <w:rPr>
          <w:rFonts w:cs="Times New Roman"/>
          <w:szCs w:val="24"/>
        </w:rPr>
        <w:t xml:space="preserve"> effectively</w:t>
      </w:r>
      <w:r w:rsidRPr="002C77AE" w:rsidR="00990263">
        <w:rPr>
          <w:rFonts w:cs="Times New Roman"/>
          <w:szCs w:val="24"/>
        </w:rPr>
        <w:t xml:space="preserve"> repealed by H.B. 6 in 2019.</w:t>
      </w:r>
      <w:r w:rsidRPr="002C77AE" w:rsidR="00CE2F18">
        <w:rPr>
          <w:rFonts w:cs="Times New Roman"/>
          <w:szCs w:val="24"/>
        </w:rPr>
        <w:t xml:space="preserve"> </w:t>
      </w:r>
      <w:r w:rsidRPr="002C77AE" w:rsidR="00D376AF">
        <w:rPr>
          <w:rFonts w:cs="Times New Roman"/>
          <w:szCs w:val="24"/>
        </w:rPr>
        <w:t>So,</w:t>
      </w:r>
      <w:r w:rsidRPr="002C77AE">
        <w:rPr>
          <w:rFonts w:cs="Times New Roman"/>
          <w:szCs w:val="24"/>
        </w:rPr>
        <w:t xml:space="preserve"> this reason for having an interruptible tariff no longer exists.</w:t>
      </w:r>
      <w:r>
        <w:rPr>
          <w:rStyle w:val="FootnoteReference"/>
          <w:rFonts w:cs="Times New Roman"/>
          <w:szCs w:val="24"/>
        </w:rPr>
        <w:footnoteReference w:id="86"/>
      </w:r>
    </w:p>
    <w:p w:rsidR="00101502" w:rsidRPr="002C77AE" w:rsidP="00101502" w14:paraId="480D6715" w14:textId="1F442F6C">
      <w:pPr>
        <w:spacing w:line="480" w:lineRule="auto"/>
        <w:ind w:firstLine="720"/>
        <w:rPr>
          <w:rFonts w:cs="Times New Roman"/>
          <w:szCs w:val="24"/>
        </w:rPr>
      </w:pPr>
      <w:r w:rsidRPr="002C77AE">
        <w:rPr>
          <w:rFonts w:cs="Times New Roman"/>
          <w:szCs w:val="24"/>
        </w:rPr>
        <w:t xml:space="preserve">The second proposed </w:t>
      </w:r>
      <w:r w:rsidRPr="002C77AE" w:rsidR="00440F09">
        <w:rPr>
          <w:rFonts w:cs="Times New Roman"/>
          <w:szCs w:val="24"/>
        </w:rPr>
        <w:t xml:space="preserve">Rider ELR </w:t>
      </w:r>
      <w:r w:rsidRPr="002C77AE">
        <w:rPr>
          <w:rFonts w:cs="Times New Roman"/>
          <w:szCs w:val="24"/>
        </w:rPr>
        <w:t>change is to eliminate FirstEnergy</w:t>
      </w:r>
      <w:r w:rsidR="002C77AE">
        <w:rPr>
          <w:rFonts w:cs="Times New Roman"/>
          <w:szCs w:val="24"/>
        </w:rPr>
        <w:t>’</w:t>
      </w:r>
      <w:r w:rsidRPr="002C77AE">
        <w:rPr>
          <w:rFonts w:cs="Times New Roman"/>
          <w:szCs w:val="24"/>
        </w:rPr>
        <w:t>s role as a Curtailment Service Provider.</w:t>
      </w:r>
      <w:r>
        <w:rPr>
          <w:rStyle w:val="FootnoteReference"/>
          <w:rFonts w:cs="Times New Roman"/>
          <w:szCs w:val="24"/>
        </w:rPr>
        <w:footnoteReference w:id="87"/>
      </w:r>
      <w:r w:rsidRPr="002C77AE">
        <w:rPr>
          <w:rFonts w:cs="Times New Roman"/>
          <w:szCs w:val="24"/>
        </w:rPr>
        <w:t xml:space="preserve"> </w:t>
      </w:r>
      <w:r w:rsidRPr="002C77AE" w:rsidR="00341FB9">
        <w:rPr>
          <w:rFonts w:cs="Times New Roman"/>
          <w:szCs w:val="24"/>
        </w:rPr>
        <w:t>F</w:t>
      </w:r>
      <w:r w:rsidRPr="002C77AE" w:rsidR="00A378A0">
        <w:rPr>
          <w:rFonts w:cs="Times New Roman"/>
          <w:szCs w:val="24"/>
        </w:rPr>
        <w:t xml:space="preserve">irstEnergy </w:t>
      </w:r>
      <w:r w:rsidRPr="002C77AE" w:rsidR="00E87CAC">
        <w:rPr>
          <w:rFonts w:cs="Times New Roman"/>
          <w:szCs w:val="24"/>
        </w:rPr>
        <w:t xml:space="preserve">once again </w:t>
      </w:r>
      <w:r w:rsidRPr="002C77AE" w:rsidR="00A378A0">
        <w:rPr>
          <w:rFonts w:cs="Times New Roman"/>
          <w:szCs w:val="24"/>
        </w:rPr>
        <w:t>claims this change w</w:t>
      </w:r>
      <w:r w:rsidRPr="002C77AE" w:rsidR="00E87CAC">
        <w:rPr>
          <w:rFonts w:cs="Times New Roman"/>
          <w:szCs w:val="24"/>
        </w:rPr>
        <w:t>ould</w:t>
      </w:r>
      <w:r w:rsidRPr="002C77AE" w:rsidR="00A378A0">
        <w:rPr>
          <w:rFonts w:cs="Times New Roman"/>
          <w:szCs w:val="24"/>
        </w:rPr>
        <w:t xml:space="preserve"> </w:t>
      </w:r>
      <w:r w:rsidRPr="002C77AE" w:rsidR="00B7733D">
        <w:rPr>
          <w:rFonts w:cs="Times New Roman"/>
          <w:szCs w:val="24"/>
        </w:rPr>
        <w:t>promote customer choice</w:t>
      </w:r>
      <w:r w:rsidRPr="002C77AE" w:rsidR="00E87CAC">
        <w:rPr>
          <w:rFonts w:cs="Times New Roman"/>
          <w:szCs w:val="24"/>
        </w:rPr>
        <w:t>.</w:t>
      </w:r>
      <w:r>
        <w:rPr>
          <w:rStyle w:val="FootnoteReference"/>
          <w:rFonts w:cs="Times New Roman"/>
          <w:szCs w:val="24"/>
        </w:rPr>
        <w:footnoteReference w:id="88"/>
      </w:r>
      <w:r w:rsidRPr="002C77AE" w:rsidR="00321DF0">
        <w:rPr>
          <w:rFonts w:cs="Times New Roman"/>
          <w:szCs w:val="24"/>
        </w:rPr>
        <w:t xml:space="preserve"> </w:t>
      </w:r>
      <w:r w:rsidRPr="002C77AE" w:rsidR="009729E0">
        <w:rPr>
          <w:rFonts w:cs="Times New Roman"/>
          <w:szCs w:val="24"/>
        </w:rPr>
        <w:t>B</w:t>
      </w:r>
      <w:r w:rsidRPr="002C77AE">
        <w:rPr>
          <w:rFonts w:cs="Times New Roman"/>
          <w:szCs w:val="24"/>
        </w:rPr>
        <w:t>ut this change would result in</w:t>
      </w:r>
      <w:r w:rsidRPr="002C77AE" w:rsidR="00F72CF0">
        <w:rPr>
          <w:rFonts w:cs="Times New Roman"/>
          <w:szCs w:val="24"/>
        </w:rPr>
        <w:t xml:space="preserve"> FirstEnergy no longer earn</w:t>
      </w:r>
      <w:r w:rsidRPr="002C77AE">
        <w:rPr>
          <w:rFonts w:cs="Times New Roman"/>
          <w:szCs w:val="24"/>
        </w:rPr>
        <w:t>ing</w:t>
      </w:r>
      <w:r w:rsidRPr="002C77AE" w:rsidR="00F72CF0">
        <w:rPr>
          <w:rFonts w:cs="Times New Roman"/>
          <w:szCs w:val="24"/>
        </w:rPr>
        <w:t xml:space="preserve"> capacity market revenues to help offset the cost of Rider ELR</w:t>
      </w:r>
      <w:r w:rsidRPr="002C77AE">
        <w:rPr>
          <w:rFonts w:cs="Times New Roman"/>
          <w:szCs w:val="24"/>
        </w:rPr>
        <w:t>.</w:t>
      </w:r>
      <w:r>
        <w:rPr>
          <w:rStyle w:val="FootnoteReference"/>
          <w:rFonts w:cs="Times New Roman"/>
          <w:szCs w:val="24"/>
        </w:rPr>
        <w:footnoteReference w:id="89"/>
      </w:r>
      <w:r w:rsidRPr="002C77AE" w:rsidR="00321DF0">
        <w:rPr>
          <w:rFonts w:cs="Times New Roman"/>
          <w:szCs w:val="24"/>
        </w:rPr>
        <w:t xml:space="preserve"> </w:t>
      </w:r>
      <w:r w:rsidRPr="002C77AE">
        <w:rPr>
          <w:rFonts w:cs="Times New Roman"/>
          <w:szCs w:val="24"/>
        </w:rPr>
        <w:t xml:space="preserve">So </w:t>
      </w:r>
      <w:r w:rsidRPr="002C77AE" w:rsidR="009729E0">
        <w:rPr>
          <w:rFonts w:cs="Times New Roman"/>
          <w:szCs w:val="24"/>
        </w:rPr>
        <w:t>this</w:t>
      </w:r>
      <w:r w:rsidRPr="002C77AE" w:rsidR="00F72CF0">
        <w:rPr>
          <w:rFonts w:cs="Times New Roman"/>
          <w:szCs w:val="24"/>
        </w:rPr>
        <w:t xml:space="preserve"> reason for having an interruptible tariff no longer exists.</w:t>
      </w:r>
    </w:p>
    <w:p w:rsidR="00A84254" w:rsidRPr="002C77AE" w:rsidP="00101502" w14:paraId="6F8AA82D" w14:textId="5A33B1C7">
      <w:pPr>
        <w:spacing w:line="480" w:lineRule="auto"/>
        <w:ind w:firstLine="720"/>
        <w:rPr>
          <w:rFonts w:cs="Times New Roman"/>
          <w:szCs w:val="24"/>
        </w:rPr>
      </w:pPr>
      <w:r w:rsidRPr="002C77AE">
        <w:rPr>
          <w:rFonts w:cs="Times New Roman"/>
          <w:szCs w:val="24"/>
        </w:rPr>
        <w:t xml:space="preserve">With these two grounds for Rider ELR eliminated, FirstEnergy now proposes a new rationale for Rider ELR – to allow FirstEnergy to interrupt service in the event of a </w:t>
      </w:r>
      <w:r w:rsidR="002C77AE">
        <w:rPr>
          <w:rFonts w:cs="Times New Roman"/>
          <w:szCs w:val="24"/>
        </w:rPr>
        <w:t>“</w:t>
      </w:r>
      <w:r w:rsidRPr="002C77AE">
        <w:rPr>
          <w:rFonts w:cs="Times New Roman"/>
          <w:szCs w:val="24"/>
        </w:rPr>
        <w:t>distribution emergency</w:t>
      </w:r>
      <w:r w:rsidR="002C77AE">
        <w:rPr>
          <w:rFonts w:cs="Times New Roman"/>
          <w:szCs w:val="24"/>
        </w:rPr>
        <w:t>”</w:t>
      </w:r>
      <w:r w:rsidRPr="002C77AE">
        <w:rPr>
          <w:rFonts w:cs="Times New Roman"/>
          <w:szCs w:val="24"/>
        </w:rPr>
        <w:t xml:space="preserve"> </w:t>
      </w:r>
      <w:r w:rsidRPr="002C77AE" w:rsidR="00101502">
        <w:rPr>
          <w:rFonts w:cs="Times New Roman"/>
          <w:szCs w:val="24"/>
        </w:rPr>
        <w:t xml:space="preserve">or </w:t>
      </w:r>
      <w:r w:rsidR="002C77AE">
        <w:rPr>
          <w:rFonts w:cs="Times New Roman"/>
          <w:szCs w:val="24"/>
        </w:rPr>
        <w:t>“</w:t>
      </w:r>
      <w:r w:rsidRPr="002C77AE" w:rsidR="00101502">
        <w:rPr>
          <w:rFonts w:cs="Times New Roman"/>
          <w:szCs w:val="24"/>
        </w:rPr>
        <w:t>local emergency.</w:t>
      </w:r>
      <w:r w:rsidR="002C77AE">
        <w:rPr>
          <w:rFonts w:cs="Times New Roman"/>
          <w:szCs w:val="24"/>
        </w:rPr>
        <w:t>”</w:t>
      </w:r>
      <w:r>
        <w:rPr>
          <w:rStyle w:val="FootnoteReference"/>
          <w:rFonts w:cs="Times New Roman"/>
          <w:szCs w:val="24"/>
        </w:rPr>
        <w:footnoteReference w:id="90"/>
      </w:r>
      <w:r w:rsidR="002C77AE">
        <w:rPr>
          <w:rFonts w:cs="Times New Roman"/>
          <w:szCs w:val="24"/>
        </w:rPr>
        <w:t xml:space="preserve"> </w:t>
      </w:r>
      <w:r w:rsidRPr="002C77AE" w:rsidR="00D259C9">
        <w:rPr>
          <w:rFonts w:cs="Times New Roman"/>
          <w:szCs w:val="24"/>
        </w:rPr>
        <w:t>FirstEnergy</w:t>
      </w:r>
      <w:r w:rsidR="002C77AE">
        <w:rPr>
          <w:rFonts w:cs="Times New Roman"/>
          <w:szCs w:val="24"/>
        </w:rPr>
        <w:t>’</w:t>
      </w:r>
      <w:r w:rsidRPr="002C77AE" w:rsidR="00D259C9">
        <w:rPr>
          <w:rFonts w:cs="Times New Roman"/>
          <w:szCs w:val="24"/>
        </w:rPr>
        <w:t xml:space="preserve">s </w:t>
      </w:r>
      <w:r w:rsidRPr="002C77AE" w:rsidR="00101502">
        <w:rPr>
          <w:rFonts w:cs="Times New Roman"/>
          <w:szCs w:val="24"/>
        </w:rPr>
        <w:t>argument</w:t>
      </w:r>
      <w:r w:rsidRPr="002C77AE" w:rsidR="00D259C9">
        <w:rPr>
          <w:rFonts w:cs="Times New Roman"/>
          <w:szCs w:val="24"/>
        </w:rPr>
        <w:t xml:space="preserve"> is that PJM </w:t>
      </w:r>
      <w:r w:rsidRPr="002C77AE" w:rsidR="00101502">
        <w:rPr>
          <w:rFonts w:cs="Times New Roman"/>
          <w:szCs w:val="24"/>
        </w:rPr>
        <w:t>handles</w:t>
      </w:r>
      <w:r w:rsidRPr="002C77AE" w:rsidR="00D259C9">
        <w:rPr>
          <w:rFonts w:cs="Times New Roman"/>
          <w:szCs w:val="24"/>
        </w:rPr>
        <w:t xml:space="preserve"> electric emergencies on the so-called </w:t>
      </w:r>
      <w:r w:rsidR="002C77AE">
        <w:rPr>
          <w:rFonts w:cs="Times New Roman"/>
          <w:szCs w:val="24"/>
        </w:rPr>
        <w:t>“</w:t>
      </w:r>
      <w:r w:rsidRPr="002C77AE" w:rsidR="00D259C9">
        <w:rPr>
          <w:rFonts w:cs="Times New Roman"/>
          <w:szCs w:val="24"/>
        </w:rPr>
        <w:t>grid</w:t>
      </w:r>
      <w:r w:rsidRPr="002C77AE" w:rsidR="00101502">
        <w:rPr>
          <w:rFonts w:cs="Times New Roman"/>
          <w:szCs w:val="24"/>
        </w:rPr>
        <w:t>,</w:t>
      </w:r>
      <w:r w:rsidR="002C77AE">
        <w:rPr>
          <w:rFonts w:cs="Times New Roman"/>
          <w:szCs w:val="24"/>
        </w:rPr>
        <w:t>”</w:t>
      </w:r>
      <w:r w:rsidRPr="002C77AE" w:rsidR="00321DF0">
        <w:rPr>
          <w:rFonts w:cs="Times New Roman"/>
          <w:szCs w:val="24"/>
        </w:rPr>
        <w:t xml:space="preserve"> </w:t>
      </w:r>
      <w:r w:rsidRPr="002C77AE" w:rsidR="00101502">
        <w:rPr>
          <w:rFonts w:cs="Times New Roman"/>
          <w:szCs w:val="24"/>
        </w:rPr>
        <w:t xml:space="preserve">while </w:t>
      </w:r>
      <w:r w:rsidRPr="002C77AE" w:rsidR="00D259C9">
        <w:rPr>
          <w:rFonts w:cs="Times New Roman"/>
          <w:szCs w:val="24"/>
        </w:rPr>
        <w:t xml:space="preserve">FirstEnergy </w:t>
      </w:r>
      <w:r w:rsidRPr="002C77AE" w:rsidR="00101502">
        <w:rPr>
          <w:rFonts w:cs="Times New Roman"/>
          <w:szCs w:val="24"/>
        </w:rPr>
        <w:t>c</w:t>
      </w:r>
      <w:r w:rsidRPr="002C77AE" w:rsidR="00D259C9">
        <w:rPr>
          <w:rFonts w:cs="Times New Roman"/>
          <w:szCs w:val="24"/>
        </w:rPr>
        <w:t xml:space="preserve">ould </w:t>
      </w:r>
      <w:r w:rsidRPr="002C77AE" w:rsidR="00101502">
        <w:rPr>
          <w:rFonts w:cs="Times New Roman"/>
          <w:szCs w:val="24"/>
        </w:rPr>
        <w:t xml:space="preserve">handle emergencies in the event of </w:t>
      </w:r>
      <w:r w:rsidRPr="002C77AE" w:rsidR="00D259C9">
        <w:rPr>
          <w:rFonts w:cs="Times New Roman"/>
          <w:szCs w:val="24"/>
        </w:rPr>
        <w:t xml:space="preserve">a </w:t>
      </w:r>
      <w:r w:rsidR="002C77AE">
        <w:rPr>
          <w:rFonts w:cs="Times New Roman"/>
          <w:szCs w:val="24"/>
        </w:rPr>
        <w:t>“</w:t>
      </w:r>
      <w:r w:rsidRPr="002C77AE" w:rsidR="00D259C9">
        <w:rPr>
          <w:rFonts w:cs="Times New Roman"/>
          <w:szCs w:val="24"/>
        </w:rPr>
        <w:t>distribution emergency</w:t>
      </w:r>
      <w:r w:rsidR="002C77AE">
        <w:rPr>
          <w:rFonts w:cs="Times New Roman"/>
          <w:szCs w:val="24"/>
        </w:rPr>
        <w:t>”</w:t>
      </w:r>
      <w:r w:rsidRPr="002C77AE" w:rsidR="00D259C9">
        <w:rPr>
          <w:rFonts w:cs="Times New Roman"/>
          <w:szCs w:val="24"/>
        </w:rPr>
        <w:t xml:space="preserve"> </w:t>
      </w:r>
      <w:r w:rsidRPr="002C77AE" w:rsidR="00061283">
        <w:rPr>
          <w:rFonts w:cs="Times New Roman"/>
          <w:szCs w:val="24"/>
        </w:rPr>
        <w:t xml:space="preserve">or a </w:t>
      </w:r>
      <w:r w:rsidR="002C77AE">
        <w:rPr>
          <w:rFonts w:cs="Times New Roman"/>
          <w:szCs w:val="24"/>
        </w:rPr>
        <w:t>“</w:t>
      </w:r>
      <w:r w:rsidRPr="002C77AE" w:rsidR="00061283">
        <w:rPr>
          <w:rFonts w:cs="Times New Roman"/>
          <w:szCs w:val="24"/>
        </w:rPr>
        <w:t>local emergency.</w:t>
      </w:r>
      <w:r w:rsidR="002C77AE">
        <w:rPr>
          <w:rFonts w:cs="Times New Roman"/>
          <w:szCs w:val="24"/>
        </w:rPr>
        <w:t>”</w:t>
      </w:r>
      <w:r>
        <w:rPr>
          <w:rStyle w:val="FootnoteReference"/>
          <w:rFonts w:cs="Times New Roman"/>
          <w:szCs w:val="24"/>
        </w:rPr>
        <w:footnoteReference w:id="91"/>
      </w:r>
      <w:r w:rsidRPr="002C77AE" w:rsidR="00D259C9">
        <w:rPr>
          <w:rFonts w:cs="Times New Roman"/>
          <w:szCs w:val="24"/>
        </w:rPr>
        <w:t xml:space="preserve"> This is pure f</w:t>
      </w:r>
      <w:r w:rsidRPr="002C77AE" w:rsidR="00623C9C">
        <w:rPr>
          <w:rFonts w:cs="Times New Roman"/>
          <w:szCs w:val="24"/>
        </w:rPr>
        <w:t>antasy</w:t>
      </w:r>
      <w:r w:rsidRPr="002C77AE" w:rsidR="00D259C9">
        <w:rPr>
          <w:rFonts w:cs="Times New Roman"/>
          <w:szCs w:val="24"/>
        </w:rPr>
        <w:t>.</w:t>
      </w:r>
      <w:r w:rsidRPr="002C77AE" w:rsidR="00321DF0">
        <w:rPr>
          <w:rFonts w:cs="Times New Roman"/>
          <w:szCs w:val="24"/>
        </w:rPr>
        <w:t xml:space="preserve"> </w:t>
      </w:r>
      <w:r w:rsidRPr="002C77AE" w:rsidR="00D259C9">
        <w:rPr>
          <w:rFonts w:cs="Times New Roman"/>
          <w:szCs w:val="24"/>
        </w:rPr>
        <w:t xml:space="preserve">There is no such thing as a </w:t>
      </w:r>
      <w:r w:rsidR="002C77AE">
        <w:rPr>
          <w:rFonts w:cs="Times New Roman"/>
          <w:szCs w:val="24"/>
        </w:rPr>
        <w:t>“</w:t>
      </w:r>
      <w:r w:rsidRPr="002C77AE" w:rsidR="00D259C9">
        <w:rPr>
          <w:rFonts w:cs="Times New Roman"/>
          <w:szCs w:val="24"/>
        </w:rPr>
        <w:t>distribution emergency</w:t>
      </w:r>
      <w:r w:rsidR="002C77AE">
        <w:rPr>
          <w:rFonts w:cs="Times New Roman"/>
          <w:szCs w:val="24"/>
        </w:rPr>
        <w:t>”</w:t>
      </w:r>
      <w:r w:rsidRPr="002C77AE" w:rsidR="008F58CA">
        <w:rPr>
          <w:rFonts w:cs="Times New Roman"/>
          <w:szCs w:val="24"/>
        </w:rPr>
        <w:t xml:space="preserve"> or a </w:t>
      </w:r>
      <w:r w:rsidR="002C77AE">
        <w:rPr>
          <w:rFonts w:cs="Times New Roman"/>
          <w:szCs w:val="24"/>
        </w:rPr>
        <w:t>“</w:t>
      </w:r>
      <w:r w:rsidRPr="002C77AE" w:rsidR="008F58CA">
        <w:rPr>
          <w:rFonts w:cs="Times New Roman"/>
          <w:szCs w:val="24"/>
        </w:rPr>
        <w:t>local emergency</w:t>
      </w:r>
      <w:r w:rsidR="002C77AE">
        <w:rPr>
          <w:rFonts w:cs="Times New Roman"/>
          <w:szCs w:val="24"/>
        </w:rPr>
        <w:t>”</w:t>
      </w:r>
      <w:r w:rsidRPr="002C77AE" w:rsidR="00D259C9">
        <w:rPr>
          <w:rFonts w:cs="Times New Roman"/>
          <w:szCs w:val="24"/>
        </w:rPr>
        <w:t xml:space="preserve"> </w:t>
      </w:r>
      <w:r w:rsidRPr="002C77AE" w:rsidR="0048039D">
        <w:rPr>
          <w:rFonts w:cs="Times New Roman"/>
          <w:szCs w:val="24"/>
        </w:rPr>
        <w:t>which would allow FirstEnergy to declare an electric emergency independently from PJM.</w:t>
      </w:r>
      <w:r w:rsidRPr="002C77AE" w:rsidR="005067EC">
        <w:rPr>
          <w:rFonts w:cs="Times New Roman"/>
          <w:szCs w:val="24"/>
        </w:rPr>
        <w:t xml:space="preserve"> </w:t>
      </w:r>
      <w:r w:rsidRPr="002C77AE" w:rsidR="00D259C9">
        <w:rPr>
          <w:rFonts w:cs="Times New Roman"/>
          <w:szCs w:val="24"/>
        </w:rPr>
        <w:t>This is clear from PJM</w:t>
      </w:r>
      <w:r w:rsidR="002C77AE">
        <w:rPr>
          <w:rFonts w:cs="Times New Roman"/>
          <w:szCs w:val="24"/>
        </w:rPr>
        <w:t>’</w:t>
      </w:r>
      <w:r w:rsidRPr="002C77AE" w:rsidR="00D259C9">
        <w:rPr>
          <w:rFonts w:cs="Times New Roman"/>
          <w:szCs w:val="24"/>
        </w:rPr>
        <w:t>s governing documents</w:t>
      </w:r>
      <w:r w:rsidRPr="002C77AE" w:rsidR="00623C9C">
        <w:rPr>
          <w:rFonts w:cs="Times New Roman"/>
          <w:szCs w:val="24"/>
        </w:rPr>
        <w:t>.</w:t>
      </w:r>
    </w:p>
    <w:p w:rsidR="00623C9C" w:rsidRPr="002C77AE" w:rsidP="00A84254" w14:paraId="4A83479B" w14:textId="5AB39B24">
      <w:pPr>
        <w:spacing w:line="480" w:lineRule="auto"/>
        <w:rPr>
          <w:rFonts w:cs="Times New Roman"/>
          <w:szCs w:val="24"/>
        </w:rPr>
      </w:pPr>
      <w:r w:rsidRPr="002C77AE">
        <w:rPr>
          <w:rFonts w:cs="Times New Roman"/>
          <w:szCs w:val="24"/>
        </w:rPr>
        <w:tab/>
        <w:t xml:space="preserve">FirstEnergy </w:t>
      </w:r>
      <w:r w:rsidRPr="002C77AE" w:rsidR="008F58CA">
        <w:rPr>
          <w:rFonts w:cs="Times New Roman"/>
          <w:szCs w:val="24"/>
        </w:rPr>
        <w:t>explain</w:t>
      </w:r>
      <w:r w:rsidRPr="002C77AE" w:rsidR="005F140A">
        <w:rPr>
          <w:rFonts w:cs="Times New Roman"/>
          <w:szCs w:val="24"/>
        </w:rPr>
        <w:t>ed</w:t>
      </w:r>
      <w:r w:rsidRPr="002C77AE">
        <w:rPr>
          <w:rFonts w:cs="Times New Roman"/>
          <w:szCs w:val="24"/>
        </w:rPr>
        <w:t xml:space="preserve"> this fictional concept of a </w:t>
      </w:r>
      <w:r w:rsidR="002C77AE">
        <w:rPr>
          <w:rFonts w:cs="Times New Roman"/>
          <w:szCs w:val="24"/>
        </w:rPr>
        <w:t>“</w:t>
      </w:r>
      <w:r w:rsidRPr="002C77AE">
        <w:rPr>
          <w:rFonts w:cs="Times New Roman"/>
          <w:szCs w:val="24"/>
        </w:rPr>
        <w:t>distribution emergency</w:t>
      </w:r>
      <w:r w:rsidR="002C77AE">
        <w:rPr>
          <w:rFonts w:cs="Times New Roman"/>
          <w:szCs w:val="24"/>
        </w:rPr>
        <w:t>”</w:t>
      </w:r>
      <w:r w:rsidRPr="002C77AE">
        <w:rPr>
          <w:rFonts w:cs="Times New Roman"/>
          <w:szCs w:val="24"/>
        </w:rPr>
        <w:t xml:space="preserve"> </w:t>
      </w:r>
      <w:r w:rsidRPr="002C77AE" w:rsidR="008F58CA">
        <w:rPr>
          <w:rFonts w:cs="Times New Roman"/>
          <w:szCs w:val="24"/>
        </w:rPr>
        <w:t xml:space="preserve">or </w:t>
      </w:r>
      <w:r w:rsidR="002C77AE">
        <w:rPr>
          <w:rFonts w:cs="Times New Roman"/>
          <w:szCs w:val="24"/>
        </w:rPr>
        <w:t>“</w:t>
      </w:r>
      <w:r w:rsidRPr="002C77AE" w:rsidR="008F58CA">
        <w:rPr>
          <w:rFonts w:cs="Times New Roman"/>
          <w:szCs w:val="24"/>
        </w:rPr>
        <w:t>local emergency</w:t>
      </w:r>
      <w:r w:rsidR="002C77AE">
        <w:rPr>
          <w:rFonts w:cs="Times New Roman"/>
          <w:szCs w:val="24"/>
        </w:rPr>
        <w:t>”</w:t>
      </w:r>
      <w:r w:rsidRPr="002C77AE" w:rsidR="008F58CA">
        <w:rPr>
          <w:rFonts w:cs="Times New Roman"/>
          <w:szCs w:val="24"/>
        </w:rPr>
        <w:t xml:space="preserve"> </w:t>
      </w:r>
      <w:r w:rsidRPr="002C77AE" w:rsidR="00101502">
        <w:rPr>
          <w:rFonts w:cs="Times New Roman"/>
          <w:szCs w:val="24"/>
        </w:rPr>
        <w:t>in</w:t>
      </w:r>
      <w:r w:rsidRPr="002C77AE">
        <w:rPr>
          <w:rFonts w:cs="Times New Roman"/>
          <w:szCs w:val="24"/>
        </w:rPr>
        <w:t xml:space="preserve"> Mr. Stein</w:t>
      </w:r>
      <w:r w:rsidR="002C77AE">
        <w:rPr>
          <w:rFonts w:cs="Times New Roman"/>
          <w:szCs w:val="24"/>
        </w:rPr>
        <w:t>’</w:t>
      </w:r>
      <w:r w:rsidRPr="002C77AE">
        <w:rPr>
          <w:rFonts w:cs="Times New Roman"/>
          <w:szCs w:val="24"/>
        </w:rPr>
        <w:t>s testimony, as follows:</w:t>
      </w:r>
    </w:p>
    <w:p w:rsidR="008F58CA" w:rsidRPr="002C77AE" w:rsidP="005067EC" w14:paraId="7BB8F54E" w14:textId="5F76E2E2">
      <w:pPr>
        <w:ind w:left="2160" w:right="1440" w:hanging="720"/>
        <w:rPr>
          <w:rFonts w:cs="Times New Roman"/>
          <w:szCs w:val="24"/>
        </w:rPr>
      </w:pPr>
      <w:r w:rsidRPr="002C77AE">
        <w:rPr>
          <w:rFonts w:cs="Times New Roman"/>
          <w:szCs w:val="24"/>
        </w:rPr>
        <w:t>Q.</w:t>
      </w:r>
      <w:r w:rsidRPr="002C77AE" w:rsidR="005067EC">
        <w:rPr>
          <w:rFonts w:cs="Times New Roman"/>
          <w:szCs w:val="24"/>
        </w:rPr>
        <w:tab/>
      </w:r>
      <w:r w:rsidRPr="002C77AE">
        <w:rPr>
          <w:rFonts w:cs="Times New Roman"/>
          <w:szCs w:val="24"/>
        </w:rPr>
        <w:t>Okay.</w:t>
      </w:r>
      <w:r w:rsidRPr="002C77AE" w:rsidR="00321DF0">
        <w:rPr>
          <w:rFonts w:cs="Times New Roman"/>
          <w:szCs w:val="24"/>
        </w:rPr>
        <w:t xml:space="preserve"> </w:t>
      </w:r>
      <w:r w:rsidRPr="002C77AE">
        <w:rPr>
          <w:rFonts w:cs="Times New Roman"/>
          <w:szCs w:val="24"/>
        </w:rPr>
        <w:t xml:space="preserve">Under your proposal, if there was a </w:t>
      </w:r>
      <w:r w:rsidRPr="002C77AE">
        <w:rPr>
          <w:rFonts w:cs="Times New Roman"/>
          <w:i/>
          <w:iCs/>
          <w:szCs w:val="24"/>
        </w:rPr>
        <w:t>distribution system emergency</w:t>
      </w:r>
      <w:r w:rsidRPr="002C77AE">
        <w:rPr>
          <w:rFonts w:cs="Times New Roman"/>
          <w:szCs w:val="24"/>
        </w:rPr>
        <w:t>, you would give notice to the ELR customer, and they would be required to get to the firm baseline level within two hours, correct?</w:t>
      </w:r>
      <w:r w:rsidRPr="002C77AE" w:rsidR="00321DF0">
        <w:rPr>
          <w:rFonts w:cs="Times New Roman"/>
          <w:szCs w:val="24"/>
        </w:rPr>
        <w:t xml:space="preserve"> </w:t>
      </w:r>
    </w:p>
    <w:p w:rsidR="008F58CA" w:rsidRPr="002C77AE" w:rsidP="005067EC" w14:paraId="1AB17D1B" w14:textId="77777777">
      <w:pPr>
        <w:ind w:left="2160" w:right="1440" w:hanging="720"/>
        <w:rPr>
          <w:rFonts w:cs="Times New Roman"/>
          <w:szCs w:val="24"/>
        </w:rPr>
      </w:pPr>
    </w:p>
    <w:p w:rsidR="00623C9C" w:rsidRPr="002C77AE" w:rsidP="005067EC" w14:paraId="5D6EDE1B" w14:textId="2871C8DF">
      <w:pPr>
        <w:ind w:left="2160" w:right="1440" w:hanging="720"/>
        <w:rPr>
          <w:rFonts w:cs="Times New Roman"/>
          <w:szCs w:val="24"/>
        </w:rPr>
      </w:pPr>
      <w:r w:rsidRPr="002C77AE">
        <w:rPr>
          <w:rFonts w:cs="Times New Roman"/>
          <w:szCs w:val="24"/>
        </w:rPr>
        <w:t>A.</w:t>
      </w:r>
      <w:r w:rsidRPr="002C77AE" w:rsidR="005067EC">
        <w:rPr>
          <w:rFonts w:cs="Times New Roman"/>
          <w:szCs w:val="24"/>
        </w:rPr>
        <w:tab/>
      </w:r>
      <w:r w:rsidRPr="002C77AE">
        <w:rPr>
          <w:rFonts w:cs="Times New Roman"/>
          <w:szCs w:val="24"/>
        </w:rPr>
        <w:t xml:space="preserve">I would term it more as a </w:t>
      </w:r>
      <w:r w:rsidRPr="002C77AE">
        <w:rPr>
          <w:rFonts w:cs="Times New Roman"/>
          <w:i/>
          <w:iCs/>
          <w:szCs w:val="24"/>
        </w:rPr>
        <w:t>local emergency</w:t>
      </w:r>
      <w:r w:rsidRPr="002C77AE">
        <w:rPr>
          <w:rFonts w:cs="Times New Roman"/>
          <w:szCs w:val="24"/>
        </w:rPr>
        <w:t xml:space="preserve"> but, yes.</w:t>
      </w:r>
      <w:r>
        <w:rPr>
          <w:rStyle w:val="FootnoteReference"/>
          <w:rFonts w:cs="Times New Roman"/>
          <w:szCs w:val="24"/>
        </w:rPr>
        <w:footnoteReference w:id="92"/>
      </w:r>
    </w:p>
    <w:p w:rsidR="008F58CA" w:rsidRPr="002C77AE" w:rsidP="008F58CA" w14:paraId="064547CC" w14:textId="77777777">
      <w:pPr>
        <w:rPr>
          <w:rFonts w:cs="Times New Roman"/>
          <w:szCs w:val="24"/>
        </w:rPr>
      </w:pPr>
    </w:p>
    <w:p w:rsidR="005F140A" w:rsidRPr="002C77AE" w:rsidP="00101502" w14:paraId="25DD5991" w14:textId="3B3A68AD">
      <w:pPr>
        <w:spacing w:line="480" w:lineRule="auto"/>
        <w:rPr>
          <w:rFonts w:cs="Times New Roman"/>
          <w:szCs w:val="24"/>
        </w:rPr>
      </w:pPr>
      <w:r w:rsidRPr="002C77AE">
        <w:rPr>
          <w:rFonts w:cs="Times New Roman"/>
          <w:szCs w:val="24"/>
        </w:rPr>
        <w:tab/>
        <w:t>Mr. Stein admitted that FirstEnergy is subject to the PJM Reliability Assurance Agreement.</w:t>
      </w:r>
      <w:r>
        <w:rPr>
          <w:rStyle w:val="FootnoteReference"/>
          <w:rFonts w:cs="Times New Roman"/>
          <w:szCs w:val="24"/>
        </w:rPr>
        <w:footnoteReference w:id="93"/>
      </w:r>
      <w:r w:rsidRPr="002C77AE" w:rsidR="00321DF0">
        <w:rPr>
          <w:rFonts w:cs="Times New Roman"/>
          <w:szCs w:val="24"/>
        </w:rPr>
        <w:t xml:space="preserve"> </w:t>
      </w:r>
      <w:r w:rsidRPr="002C77AE">
        <w:rPr>
          <w:rFonts w:cs="Times New Roman"/>
          <w:szCs w:val="24"/>
        </w:rPr>
        <w:t>He further admitted that FirstEnergy must take direction from PJM in the event of an electric emergency.</w:t>
      </w:r>
      <w:r>
        <w:rPr>
          <w:rStyle w:val="FootnoteReference"/>
          <w:rFonts w:cs="Times New Roman"/>
          <w:szCs w:val="24"/>
        </w:rPr>
        <w:footnoteReference w:id="94"/>
      </w:r>
      <w:r w:rsidRPr="002C77AE" w:rsidR="00321DF0">
        <w:rPr>
          <w:rFonts w:cs="Times New Roman"/>
          <w:szCs w:val="24"/>
        </w:rPr>
        <w:t xml:space="preserve"> </w:t>
      </w:r>
      <w:r w:rsidRPr="002C77AE">
        <w:rPr>
          <w:rFonts w:cs="Times New Roman"/>
          <w:szCs w:val="24"/>
        </w:rPr>
        <w:t>But when questioned on PJM</w:t>
      </w:r>
      <w:r w:rsidR="002C77AE">
        <w:rPr>
          <w:rFonts w:cs="Times New Roman"/>
          <w:szCs w:val="24"/>
        </w:rPr>
        <w:t>’</w:t>
      </w:r>
      <w:r w:rsidRPr="002C77AE">
        <w:rPr>
          <w:rFonts w:cs="Times New Roman"/>
          <w:szCs w:val="24"/>
        </w:rPr>
        <w:t xml:space="preserve">s definition of an </w:t>
      </w:r>
      <w:r w:rsidR="002C77AE">
        <w:rPr>
          <w:rFonts w:cs="Times New Roman"/>
          <w:szCs w:val="24"/>
        </w:rPr>
        <w:t>“</w:t>
      </w:r>
      <w:r w:rsidRPr="002C77AE">
        <w:rPr>
          <w:rFonts w:cs="Times New Roman"/>
          <w:szCs w:val="24"/>
        </w:rPr>
        <w:t>emergency,</w:t>
      </w:r>
      <w:r w:rsidR="002C77AE">
        <w:rPr>
          <w:rFonts w:cs="Times New Roman"/>
          <w:szCs w:val="24"/>
        </w:rPr>
        <w:t>”</w:t>
      </w:r>
      <w:r w:rsidRPr="002C77AE">
        <w:rPr>
          <w:rFonts w:cs="Times New Roman"/>
          <w:szCs w:val="24"/>
        </w:rPr>
        <w:t xml:space="preserve"> he couldn</w:t>
      </w:r>
      <w:r w:rsidR="002C77AE">
        <w:rPr>
          <w:rFonts w:cs="Times New Roman"/>
          <w:szCs w:val="24"/>
        </w:rPr>
        <w:t>’</w:t>
      </w:r>
      <w:r w:rsidRPr="002C77AE">
        <w:rPr>
          <w:rFonts w:cs="Times New Roman"/>
          <w:szCs w:val="24"/>
        </w:rPr>
        <w:t>t explain it – as shown below:</w:t>
      </w:r>
    </w:p>
    <w:p w:rsidR="005F140A" w:rsidRPr="002C77AE" w:rsidP="009D0C75" w14:paraId="20614465" w14:textId="728F4280">
      <w:pPr>
        <w:ind w:left="2160" w:right="1440" w:hanging="720"/>
        <w:rPr>
          <w:rFonts w:cs="Times New Roman"/>
          <w:szCs w:val="24"/>
        </w:rPr>
      </w:pPr>
      <w:r w:rsidRPr="002C77AE">
        <w:rPr>
          <w:rFonts w:cs="Times New Roman"/>
          <w:szCs w:val="24"/>
        </w:rPr>
        <w:t>Q.</w:t>
      </w:r>
      <w:r w:rsidRPr="002C77AE" w:rsidR="009D0C75">
        <w:rPr>
          <w:rFonts w:cs="Times New Roman"/>
          <w:szCs w:val="24"/>
        </w:rPr>
        <w:tab/>
      </w:r>
      <w:r w:rsidRPr="002C77AE">
        <w:rPr>
          <w:rFonts w:cs="Times New Roman"/>
          <w:szCs w:val="24"/>
        </w:rPr>
        <w:t xml:space="preserve">Do you know generally whether load-serving entities like the Ohio utilities are required to take direction from PJM during an electric emergency? </w:t>
      </w:r>
    </w:p>
    <w:p w:rsidR="005F140A" w:rsidRPr="002C77AE" w:rsidP="009D0C75" w14:paraId="1123FBA7" w14:textId="77777777">
      <w:pPr>
        <w:ind w:left="2160" w:right="1440" w:hanging="720"/>
        <w:rPr>
          <w:rFonts w:cs="Times New Roman"/>
          <w:szCs w:val="24"/>
        </w:rPr>
      </w:pPr>
    </w:p>
    <w:p w:rsidR="005F140A" w:rsidRPr="002C77AE" w:rsidP="009D0C75" w14:paraId="7D347499" w14:textId="77F4CA63">
      <w:pPr>
        <w:ind w:left="2160" w:right="1440" w:hanging="720"/>
        <w:rPr>
          <w:rFonts w:cs="Times New Roman"/>
          <w:szCs w:val="24"/>
        </w:rPr>
      </w:pPr>
      <w:r w:rsidRPr="002C77AE">
        <w:rPr>
          <w:rFonts w:cs="Times New Roman"/>
          <w:szCs w:val="24"/>
        </w:rPr>
        <w:t>A.</w:t>
      </w:r>
      <w:r w:rsidRPr="002C77AE" w:rsidR="009D0C75">
        <w:rPr>
          <w:rFonts w:cs="Times New Roman"/>
          <w:szCs w:val="24"/>
        </w:rPr>
        <w:tab/>
      </w:r>
      <w:r w:rsidRPr="002C77AE">
        <w:rPr>
          <w:rFonts w:cs="Times New Roman"/>
          <w:szCs w:val="24"/>
        </w:rPr>
        <w:t>Can you -- can I have that question again, please?</w:t>
      </w:r>
    </w:p>
    <w:p w:rsidR="005F140A" w:rsidRPr="002C77AE" w:rsidP="009D0C75" w14:paraId="5FAF23F9" w14:textId="77777777">
      <w:pPr>
        <w:ind w:left="2160" w:right="1440" w:hanging="720"/>
        <w:rPr>
          <w:rFonts w:cs="Times New Roman"/>
          <w:szCs w:val="24"/>
        </w:rPr>
      </w:pPr>
    </w:p>
    <w:p w:rsidR="005F140A" w:rsidRPr="002C77AE" w:rsidP="009D0C75" w14:paraId="32061C3F" w14:textId="32AD9B77">
      <w:pPr>
        <w:ind w:left="2160" w:right="1440" w:hanging="720"/>
        <w:rPr>
          <w:rFonts w:cs="Times New Roman"/>
          <w:szCs w:val="24"/>
        </w:rPr>
      </w:pPr>
      <w:r w:rsidRPr="002C77AE">
        <w:rPr>
          <w:rFonts w:cs="Times New Roman"/>
          <w:szCs w:val="24"/>
        </w:rPr>
        <w:t>MR. FINNIGAN:</w:t>
      </w:r>
      <w:r w:rsidRPr="002C77AE" w:rsidR="00321DF0">
        <w:rPr>
          <w:rFonts w:cs="Times New Roman"/>
          <w:szCs w:val="24"/>
        </w:rPr>
        <w:t xml:space="preserve"> </w:t>
      </w:r>
      <w:r w:rsidRPr="002C77AE">
        <w:rPr>
          <w:rFonts w:cs="Times New Roman"/>
          <w:szCs w:val="24"/>
        </w:rPr>
        <w:t>Sure.</w:t>
      </w:r>
      <w:r w:rsidRPr="002C77AE" w:rsidR="00321DF0">
        <w:rPr>
          <w:rFonts w:cs="Times New Roman"/>
          <w:szCs w:val="24"/>
        </w:rPr>
        <w:t xml:space="preserve"> </w:t>
      </w:r>
      <w:r w:rsidRPr="002C77AE">
        <w:rPr>
          <w:rFonts w:cs="Times New Roman"/>
          <w:szCs w:val="24"/>
        </w:rPr>
        <w:t xml:space="preserve">Could you read it back, please? </w:t>
      </w:r>
    </w:p>
    <w:p w:rsidR="005F140A" w:rsidRPr="002C77AE" w:rsidP="009D0C75" w14:paraId="5AF37A77" w14:textId="77777777">
      <w:pPr>
        <w:ind w:left="2160" w:right="1440" w:hanging="720"/>
        <w:rPr>
          <w:rFonts w:cs="Times New Roman"/>
          <w:szCs w:val="24"/>
        </w:rPr>
      </w:pPr>
    </w:p>
    <w:p w:rsidR="005F140A" w:rsidRPr="002C77AE" w:rsidP="009D0C75" w14:paraId="006C0FBD" w14:textId="1D5750F0">
      <w:pPr>
        <w:ind w:left="2160" w:right="1440" w:hanging="720"/>
        <w:rPr>
          <w:rFonts w:cs="Times New Roman"/>
          <w:szCs w:val="24"/>
        </w:rPr>
      </w:pPr>
      <w:r w:rsidRPr="002C77AE">
        <w:rPr>
          <w:rFonts w:cs="Times New Roman"/>
          <w:szCs w:val="24"/>
        </w:rPr>
        <w:t>EXAMINER ADDISON:</w:t>
      </w:r>
      <w:r w:rsidRPr="002C77AE" w:rsidR="00321DF0">
        <w:rPr>
          <w:rFonts w:cs="Times New Roman"/>
          <w:szCs w:val="24"/>
        </w:rPr>
        <w:t xml:space="preserve"> </w:t>
      </w:r>
      <w:r w:rsidRPr="002C77AE">
        <w:rPr>
          <w:rFonts w:cs="Times New Roman"/>
          <w:szCs w:val="24"/>
        </w:rPr>
        <w:t>Please. (Record read.)</w:t>
      </w:r>
    </w:p>
    <w:p w:rsidR="005F140A" w:rsidRPr="002C77AE" w:rsidP="009D0C75" w14:paraId="3800AC72" w14:textId="77777777">
      <w:pPr>
        <w:ind w:left="2160" w:right="1440" w:hanging="720"/>
        <w:rPr>
          <w:rFonts w:cs="Times New Roman"/>
          <w:szCs w:val="24"/>
        </w:rPr>
      </w:pPr>
    </w:p>
    <w:p w:rsidR="005F140A" w:rsidRPr="002C77AE" w:rsidP="009D0C75" w14:paraId="6AD1A058" w14:textId="3517209E">
      <w:pPr>
        <w:ind w:left="2160" w:right="1440" w:hanging="720"/>
        <w:rPr>
          <w:rFonts w:cs="Times New Roman"/>
          <w:szCs w:val="24"/>
        </w:rPr>
      </w:pPr>
      <w:r w:rsidRPr="002C77AE">
        <w:rPr>
          <w:rFonts w:cs="Times New Roman"/>
          <w:szCs w:val="24"/>
        </w:rPr>
        <w:t>A.</w:t>
      </w:r>
      <w:r w:rsidRPr="002C77AE" w:rsidR="009D0C75">
        <w:rPr>
          <w:rFonts w:cs="Times New Roman"/>
          <w:szCs w:val="24"/>
        </w:rPr>
        <w:tab/>
      </w:r>
      <w:r w:rsidRPr="002C77AE">
        <w:rPr>
          <w:rFonts w:cs="Times New Roman"/>
          <w:szCs w:val="24"/>
        </w:rPr>
        <w:t>So PJM does issue direction.</w:t>
      </w:r>
      <w:r w:rsidRPr="002C77AE" w:rsidR="00321DF0">
        <w:rPr>
          <w:rFonts w:cs="Times New Roman"/>
          <w:szCs w:val="24"/>
        </w:rPr>
        <w:t xml:space="preserve"> </w:t>
      </w:r>
      <w:r w:rsidRPr="002C77AE">
        <w:rPr>
          <w:rFonts w:cs="Times New Roman"/>
          <w:szCs w:val="24"/>
        </w:rPr>
        <w:t>I think one of the most recent cases was where PJM was requesting customers of the distribution companies</w:t>
      </w:r>
      <w:r w:rsidR="002C77AE">
        <w:rPr>
          <w:rFonts w:cs="Times New Roman"/>
          <w:szCs w:val="24"/>
        </w:rPr>
        <w:t>’</w:t>
      </w:r>
      <w:r w:rsidRPr="002C77AE">
        <w:rPr>
          <w:rFonts w:cs="Times New Roman"/>
          <w:szCs w:val="24"/>
        </w:rPr>
        <w:t xml:space="preserve"> curtail load, if that</w:t>
      </w:r>
      <w:r w:rsidR="002C77AE">
        <w:rPr>
          <w:rFonts w:cs="Times New Roman"/>
          <w:szCs w:val="24"/>
        </w:rPr>
        <w:t>’</w:t>
      </w:r>
      <w:r w:rsidRPr="002C77AE">
        <w:rPr>
          <w:rFonts w:cs="Times New Roman"/>
          <w:szCs w:val="24"/>
        </w:rPr>
        <w:t>s what you are alluding to with -- with direction.</w:t>
      </w:r>
    </w:p>
    <w:p w:rsidR="005F140A" w:rsidRPr="002C77AE" w:rsidP="009D0C75" w14:paraId="55347EC6" w14:textId="77777777">
      <w:pPr>
        <w:ind w:left="2160" w:right="1440" w:hanging="720"/>
        <w:rPr>
          <w:rFonts w:cs="Times New Roman"/>
          <w:szCs w:val="24"/>
        </w:rPr>
      </w:pPr>
    </w:p>
    <w:p w:rsidR="005F140A" w:rsidRPr="002C77AE" w:rsidP="009D0C75" w14:paraId="449B9A61" w14:textId="6C2F3A90">
      <w:pPr>
        <w:ind w:left="2160" w:right="1440" w:hanging="720"/>
        <w:rPr>
          <w:rFonts w:cs="Times New Roman"/>
          <w:szCs w:val="24"/>
        </w:rPr>
      </w:pPr>
      <w:r w:rsidRPr="002C77AE">
        <w:rPr>
          <w:rFonts w:cs="Times New Roman"/>
          <w:szCs w:val="24"/>
        </w:rPr>
        <w:t>Q.</w:t>
      </w:r>
      <w:r w:rsidRPr="002C77AE" w:rsidR="009D0C75">
        <w:rPr>
          <w:rFonts w:cs="Times New Roman"/>
          <w:szCs w:val="24"/>
        </w:rPr>
        <w:tab/>
      </w:r>
      <w:r w:rsidRPr="002C77AE">
        <w:rPr>
          <w:rFonts w:cs="Times New Roman"/>
          <w:szCs w:val="24"/>
        </w:rPr>
        <w:t>Okay.</w:t>
      </w:r>
      <w:r w:rsidRPr="002C77AE" w:rsidR="00321DF0">
        <w:rPr>
          <w:rFonts w:cs="Times New Roman"/>
          <w:szCs w:val="24"/>
        </w:rPr>
        <w:t xml:space="preserve"> </w:t>
      </w:r>
      <w:r w:rsidRPr="002C77AE">
        <w:rPr>
          <w:rFonts w:cs="Times New Roman"/>
          <w:szCs w:val="24"/>
        </w:rPr>
        <w:t>And do the PJM-governing documents define what an emergency is?</w:t>
      </w:r>
    </w:p>
    <w:p w:rsidR="005F140A" w:rsidRPr="002C77AE" w:rsidP="009D0C75" w14:paraId="2936B614" w14:textId="77777777">
      <w:pPr>
        <w:ind w:left="2160" w:right="1440" w:hanging="720"/>
        <w:rPr>
          <w:rFonts w:cs="Times New Roman"/>
          <w:szCs w:val="24"/>
        </w:rPr>
      </w:pPr>
    </w:p>
    <w:p w:rsidR="008F58CA" w:rsidRPr="002C77AE" w:rsidP="009D0C75" w14:paraId="6E7F17F7" w14:textId="01618C8C">
      <w:pPr>
        <w:ind w:left="2160" w:right="1440" w:hanging="720"/>
        <w:rPr>
          <w:rFonts w:cs="Times New Roman"/>
          <w:szCs w:val="24"/>
        </w:rPr>
      </w:pPr>
      <w:r w:rsidRPr="002C77AE">
        <w:rPr>
          <w:rFonts w:cs="Times New Roman"/>
          <w:szCs w:val="24"/>
        </w:rPr>
        <w:t>A.</w:t>
      </w:r>
      <w:r w:rsidRPr="002C77AE" w:rsidR="009D0C75">
        <w:rPr>
          <w:rFonts w:cs="Times New Roman"/>
          <w:szCs w:val="24"/>
        </w:rPr>
        <w:tab/>
      </w:r>
      <w:r w:rsidRPr="002C77AE">
        <w:rPr>
          <w:rFonts w:cs="Times New Roman"/>
          <w:szCs w:val="24"/>
        </w:rPr>
        <w:t>I -- again, without specifics, I don</w:t>
      </w:r>
      <w:r w:rsidR="002C77AE">
        <w:rPr>
          <w:rFonts w:cs="Times New Roman"/>
          <w:szCs w:val="24"/>
        </w:rPr>
        <w:t>’</w:t>
      </w:r>
      <w:r w:rsidRPr="002C77AE">
        <w:rPr>
          <w:rFonts w:cs="Times New Roman"/>
          <w:szCs w:val="24"/>
        </w:rPr>
        <w:t>t know.</w:t>
      </w:r>
      <w:r>
        <w:rPr>
          <w:rStyle w:val="FootnoteReference"/>
          <w:rFonts w:cs="Times New Roman"/>
          <w:szCs w:val="24"/>
        </w:rPr>
        <w:footnoteReference w:id="95"/>
      </w:r>
    </w:p>
    <w:p w:rsidR="00BB1038" w:rsidRPr="002C77AE" w:rsidP="00BB1038" w14:paraId="7BA41966" w14:textId="77777777">
      <w:pPr>
        <w:ind w:right="1440"/>
        <w:rPr>
          <w:rFonts w:cs="Times New Roman"/>
          <w:szCs w:val="24"/>
        </w:rPr>
      </w:pPr>
    </w:p>
    <w:p w:rsidR="0081354E" w:rsidRPr="002C77AE" w:rsidP="00BB1038" w14:paraId="61075951" w14:textId="5C5EBBB9">
      <w:pPr>
        <w:spacing w:line="480" w:lineRule="auto"/>
        <w:rPr>
          <w:rFonts w:cs="Times New Roman"/>
          <w:szCs w:val="24"/>
        </w:rPr>
      </w:pPr>
      <w:r w:rsidRPr="002C77AE">
        <w:rPr>
          <w:rFonts w:cs="Times New Roman"/>
          <w:szCs w:val="24"/>
        </w:rPr>
        <w:tab/>
      </w:r>
      <w:r w:rsidRPr="002C77AE" w:rsidR="005B3158">
        <w:rPr>
          <w:rFonts w:cs="Times New Roman"/>
          <w:szCs w:val="24"/>
        </w:rPr>
        <w:t>As a</w:t>
      </w:r>
      <w:r w:rsidRPr="002C77AE" w:rsidR="00101502">
        <w:rPr>
          <w:rFonts w:cs="Times New Roman"/>
          <w:szCs w:val="24"/>
        </w:rPr>
        <w:t xml:space="preserve"> matter of fact, t</w:t>
      </w:r>
      <w:r w:rsidRPr="002C77AE">
        <w:rPr>
          <w:rFonts w:cs="Times New Roman"/>
          <w:szCs w:val="24"/>
        </w:rPr>
        <w:t>he PJM Reliability Assurance Agreement states:</w:t>
      </w:r>
    </w:p>
    <w:p w:rsidR="0081354E" w:rsidRPr="002C77AE" w:rsidP="008E3FDF" w14:paraId="488BE940" w14:textId="7DF23992">
      <w:pPr>
        <w:pStyle w:val="NormalWeb"/>
        <w:shd w:val="clear" w:color="auto" w:fill="FFFFFF"/>
        <w:spacing w:before="0" w:beforeAutospacing="0" w:after="0" w:afterAutospacing="0"/>
        <w:ind w:left="1440" w:right="1440"/>
        <w:rPr>
          <w:rFonts w:eastAsiaTheme="minorHAnsi"/>
        </w:rPr>
      </w:pPr>
      <w:r w:rsidRPr="002C77AE">
        <w:rPr>
          <w:rFonts w:eastAsiaTheme="minorHAnsi"/>
        </w:rPr>
        <w:t>ARTICLE 1 – DEFINITIONS</w:t>
      </w:r>
    </w:p>
    <w:p w:rsidR="0081354E" w:rsidRPr="002C77AE" w:rsidP="008E3FDF" w14:paraId="4405E066" w14:textId="77777777">
      <w:pPr>
        <w:pStyle w:val="NormalWeb"/>
        <w:shd w:val="clear" w:color="auto" w:fill="FFFFFF"/>
        <w:spacing w:before="0" w:beforeAutospacing="0" w:after="0" w:afterAutospacing="0"/>
        <w:ind w:left="1440" w:right="1440"/>
        <w:rPr>
          <w:rFonts w:eastAsiaTheme="minorHAnsi"/>
        </w:rPr>
      </w:pPr>
    </w:p>
    <w:p w:rsidR="0081354E" w:rsidRPr="002C77AE" w:rsidP="008E3FDF" w14:paraId="617A2522" w14:textId="405208E8">
      <w:pPr>
        <w:pStyle w:val="NormalWeb"/>
        <w:shd w:val="clear" w:color="auto" w:fill="FFFFFF"/>
        <w:spacing w:before="0" w:beforeAutospacing="0" w:after="0" w:afterAutospacing="0"/>
        <w:ind w:left="1440" w:right="1440"/>
        <w:rPr>
          <w:rFonts w:eastAsiaTheme="minorHAnsi"/>
        </w:rPr>
      </w:pPr>
      <w:r w:rsidRPr="002C77AE">
        <w:rPr>
          <w:rFonts w:eastAsiaTheme="minorHAnsi"/>
        </w:rPr>
        <w:t xml:space="preserve"> * * *</w:t>
      </w:r>
    </w:p>
    <w:p w:rsidR="0081354E" w:rsidRPr="002C77AE" w:rsidP="008E3FDF" w14:paraId="61B9410C" w14:textId="77777777">
      <w:pPr>
        <w:pStyle w:val="NormalWeb"/>
        <w:shd w:val="clear" w:color="auto" w:fill="FFFFFF"/>
        <w:spacing w:before="0" w:beforeAutospacing="0" w:after="0" w:afterAutospacing="0"/>
        <w:ind w:left="1440" w:right="1440"/>
        <w:rPr>
          <w:rFonts w:eastAsiaTheme="minorHAnsi"/>
        </w:rPr>
      </w:pPr>
    </w:p>
    <w:p w:rsidR="0081354E" w:rsidRPr="002C77AE" w:rsidP="008E3FDF" w14:paraId="738A53A2" w14:textId="3A802932">
      <w:pPr>
        <w:pStyle w:val="NormalWeb"/>
        <w:shd w:val="clear" w:color="auto" w:fill="FFFFFF"/>
        <w:spacing w:before="0" w:beforeAutospacing="0" w:after="0" w:afterAutospacing="0"/>
        <w:ind w:left="1440" w:right="1440"/>
        <w:rPr>
          <w:rFonts w:eastAsiaTheme="minorHAnsi"/>
        </w:rPr>
      </w:pPr>
      <w:r w:rsidRPr="002C77AE">
        <w:rPr>
          <w:rFonts w:eastAsiaTheme="minorHAnsi"/>
        </w:rPr>
        <w:t>Emergency:</w:t>
      </w:r>
    </w:p>
    <w:p w:rsidR="0081354E" w:rsidRPr="002C77AE" w:rsidP="008E3FDF" w14:paraId="4B935DA5" w14:textId="77777777">
      <w:pPr>
        <w:pStyle w:val="NormalWeb"/>
        <w:shd w:val="clear" w:color="auto" w:fill="FFFFFF"/>
        <w:spacing w:before="0" w:beforeAutospacing="0" w:after="0" w:afterAutospacing="0"/>
        <w:ind w:left="1440" w:right="1440"/>
        <w:rPr>
          <w:rFonts w:eastAsiaTheme="minorHAnsi"/>
        </w:rPr>
      </w:pPr>
    </w:p>
    <w:p w:rsidR="0081354E" w:rsidRPr="002C77AE" w:rsidP="008E3FDF" w14:paraId="1CB76776" w14:textId="75C87972">
      <w:pPr>
        <w:pStyle w:val="NormalWeb"/>
        <w:shd w:val="clear" w:color="auto" w:fill="FFFFFF"/>
        <w:spacing w:before="0" w:beforeAutospacing="0" w:after="0" w:afterAutospacing="0"/>
        <w:ind w:left="1440" w:right="1440"/>
        <w:rPr>
          <w:rFonts w:eastAsiaTheme="minorHAnsi"/>
        </w:rPr>
      </w:pPr>
      <w:r>
        <w:rPr>
          <w:rFonts w:eastAsiaTheme="minorHAnsi"/>
        </w:rPr>
        <w:t>“</w:t>
      </w:r>
      <w:r w:rsidRPr="002C77AE" w:rsidR="0049119C">
        <w:rPr>
          <w:rFonts w:eastAsiaTheme="minorHAnsi"/>
        </w:rPr>
        <w:t>Emergency</w:t>
      </w:r>
      <w:r>
        <w:rPr>
          <w:rFonts w:eastAsiaTheme="minorHAnsi"/>
        </w:rPr>
        <w:t>”</w:t>
      </w:r>
      <w:r w:rsidRPr="002C77AE" w:rsidR="0049119C">
        <w:rPr>
          <w:rFonts w:eastAsiaTheme="minorHAnsi"/>
        </w:rPr>
        <w:t xml:space="preserve"> shall mean (i) </w:t>
      </w:r>
      <w:r w:rsidRPr="002C77AE" w:rsidR="0049119C">
        <w:rPr>
          <w:rFonts w:eastAsiaTheme="minorHAnsi"/>
          <w:i/>
          <w:iCs/>
        </w:rPr>
        <w:t>an abnormal system condition</w:t>
      </w:r>
      <w:r w:rsidRPr="002C77AE" w:rsidR="0049119C">
        <w:rPr>
          <w:rFonts w:eastAsiaTheme="minorHAnsi"/>
        </w:rPr>
        <w:t xml:space="preserve"> requiring manual or automatic action to maintain system frequency, or to prevent loss of firm load, equipment damage, or tripping of system elements </w:t>
      </w:r>
      <w:r w:rsidRPr="002C77AE" w:rsidR="0049119C">
        <w:rPr>
          <w:rFonts w:eastAsiaTheme="minorHAnsi"/>
          <w:i/>
          <w:iCs/>
        </w:rPr>
        <w:t>that could adversely affect the reliability of an electric system</w:t>
      </w:r>
      <w:r w:rsidRPr="002C77AE" w:rsidR="0049119C">
        <w:rPr>
          <w:rFonts w:eastAsiaTheme="minorHAnsi"/>
        </w:rPr>
        <w:t xml:space="preserve"> or the safety of persons or property; or (ii) a fuel shortage requiring departure from normal operating procedures in order to minimize the use of such scarce fuel; or (iii) a condition that requires implementation of emergency procedures as defined in the PJM Manual.</w:t>
      </w:r>
      <w:r>
        <w:rPr>
          <w:rStyle w:val="FootnoteReference"/>
          <w:rFonts w:eastAsiaTheme="minorHAnsi"/>
        </w:rPr>
        <w:footnoteReference w:id="96"/>
      </w:r>
    </w:p>
    <w:p w:rsidR="00101502" w:rsidRPr="002C77AE" w:rsidP="0081354E" w14:paraId="6A6BC13F" w14:textId="77777777">
      <w:pPr>
        <w:pStyle w:val="NormalWeb"/>
        <w:shd w:val="clear" w:color="auto" w:fill="FFFFFF"/>
        <w:spacing w:before="0" w:beforeAutospacing="0" w:after="0" w:afterAutospacing="0"/>
        <w:ind w:left="1440" w:right="1440"/>
        <w:rPr>
          <w:rFonts w:eastAsiaTheme="minorHAnsi"/>
        </w:rPr>
      </w:pPr>
    </w:p>
    <w:p w:rsidR="005B70F1" w:rsidRPr="002C77AE" w:rsidP="008F5E0A" w14:paraId="7174A605" w14:textId="7C5A1232">
      <w:pPr>
        <w:spacing w:line="480" w:lineRule="auto"/>
        <w:rPr>
          <w:rFonts w:cs="Times New Roman"/>
          <w:szCs w:val="24"/>
        </w:rPr>
      </w:pPr>
      <w:r w:rsidRPr="002C77AE">
        <w:rPr>
          <w:rFonts w:cs="Times New Roman"/>
          <w:szCs w:val="24"/>
        </w:rPr>
        <w:tab/>
        <w:t xml:space="preserve">The PJM Reliability Assurance Agreement defines </w:t>
      </w:r>
      <w:r w:rsidR="002C77AE">
        <w:rPr>
          <w:rFonts w:cs="Times New Roman"/>
          <w:szCs w:val="24"/>
        </w:rPr>
        <w:t>“</w:t>
      </w:r>
      <w:r w:rsidRPr="002C77AE">
        <w:rPr>
          <w:rFonts w:cs="Times New Roman"/>
          <w:szCs w:val="24"/>
        </w:rPr>
        <w:t>emergency</w:t>
      </w:r>
      <w:r w:rsidR="002C77AE">
        <w:rPr>
          <w:rFonts w:cs="Times New Roman"/>
          <w:szCs w:val="24"/>
        </w:rPr>
        <w:t>”</w:t>
      </w:r>
      <w:r w:rsidRPr="002C77AE">
        <w:rPr>
          <w:rFonts w:cs="Times New Roman"/>
          <w:szCs w:val="24"/>
        </w:rPr>
        <w:t xml:space="preserve"> as </w:t>
      </w:r>
      <w:r w:rsidR="002C77AE">
        <w:rPr>
          <w:rFonts w:cs="Times New Roman"/>
          <w:szCs w:val="24"/>
        </w:rPr>
        <w:t>“</w:t>
      </w:r>
      <w:r w:rsidRPr="002C77AE">
        <w:rPr>
          <w:rFonts w:cs="Times New Roman"/>
          <w:szCs w:val="24"/>
        </w:rPr>
        <w:t>any</w:t>
      </w:r>
      <w:r w:rsidRPr="002C77AE">
        <w:rPr>
          <w:rFonts w:cs="Times New Roman"/>
          <w:i/>
          <w:iCs/>
          <w:szCs w:val="24"/>
        </w:rPr>
        <w:t xml:space="preserve"> abnormal </w:t>
      </w:r>
      <w:r w:rsidRPr="002C77AE" w:rsidR="00A86511">
        <w:rPr>
          <w:rFonts w:cs="Times New Roman"/>
          <w:i/>
          <w:iCs/>
          <w:szCs w:val="24"/>
        </w:rPr>
        <w:t xml:space="preserve">system </w:t>
      </w:r>
      <w:r w:rsidRPr="002C77AE">
        <w:rPr>
          <w:rFonts w:cs="Times New Roman"/>
          <w:i/>
          <w:iCs/>
          <w:szCs w:val="24"/>
        </w:rPr>
        <w:t xml:space="preserve">condition </w:t>
      </w:r>
      <w:r w:rsidRPr="002C77AE" w:rsidR="00A86511">
        <w:rPr>
          <w:rFonts w:cs="Times New Roman"/>
          <w:i/>
          <w:iCs/>
          <w:szCs w:val="24"/>
        </w:rPr>
        <w:t>…that</w:t>
      </w:r>
      <w:r w:rsidRPr="002C77AE">
        <w:rPr>
          <w:rFonts w:cs="Times New Roman"/>
          <w:i/>
          <w:iCs/>
          <w:szCs w:val="24"/>
        </w:rPr>
        <w:t xml:space="preserve"> could adversely affect the reliability of the electric system</w:t>
      </w:r>
      <w:r w:rsidRPr="002C77AE">
        <w:rPr>
          <w:rFonts w:cs="Times New Roman"/>
          <w:szCs w:val="24"/>
        </w:rPr>
        <w:t>.</w:t>
      </w:r>
      <w:r w:rsidR="002C77AE">
        <w:rPr>
          <w:rFonts w:cs="Times New Roman"/>
          <w:szCs w:val="24"/>
        </w:rPr>
        <w:t>”</w:t>
      </w:r>
      <w:r>
        <w:rPr>
          <w:rStyle w:val="FootnoteReference"/>
          <w:rFonts w:cs="Times New Roman"/>
          <w:szCs w:val="24"/>
        </w:rPr>
        <w:footnoteReference w:id="97"/>
      </w:r>
      <w:r w:rsidRPr="002C77AE" w:rsidR="00321DF0">
        <w:rPr>
          <w:rFonts w:cs="Times New Roman"/>
          <w:szCs w:val="24"/>
        </w:rPr>
        <w:t xml:space="preserve"> </w:t>
      </w:r>
      <w:r w:rsidRPr="002C77AE">
        <w:rPr>
          <w:rFonts w:cs="Times New Roman"/>
          <w:szCs w:val="24"/>
        </w:rPr>
        <w:t>PJM</w:t>
      </w:r>
      <w:r w:rsidR="002C77AE">
        <w:rPr>
          <w:rFonts w:cs="Times New Roman"/>
          <w:szCs w:val="24"/>
        </w:rPr>
        <w:t>’</w:t>
      </w:r>
      <w:r w:rsidRPr="002C77AE">
        <w:rPr>
          <w:rFonts w:cs="Times New Roman"/>
          <w:szCs w:val="24"/>
        </w:rPr>
        <w:t>s definition of an emergency could not possibly be</w:t>
      </w:r>
      <w:r w:rsidRPr="002C77AE" w:rsidR="00784254">
        <w:rPr>
          <w:rFonts w:cs="Times New Roman"/>
          <w:szCs w:val="24"/>
        </w:rPr>
        <w:t xml:space="preserve"> any</w:t>
      </w:r>
      <w:r w:rsidRPr="002C77AE">
        <w:rPr>
          <w:rFonts w:cs="Times New Roman"/>
          <w:szCs w:val="24"/>
        </w:rPr>
        <w:t xml:space="preserve"> broader.</w:t>
      </w:r>
      <w:r w:rsidRPr="002C77AE" w:rsidR="00321DF0">
        <w:rPr>
          <w:rFonts w:cs="Times New Roman"/>
          <w:szCs w:val="24"/>
        </w:rPr>
        <w:t xml:space="preserve"> </w:t>
      </w:r>
      <w:r w:rsidRPr="002C77AE" w:rsidR="0048039D">
        <w:rPr>
          <w:rFonts w:cs="Times New Roman"/>
          <w:szCs w:val="24"/>
        </w:rPr>
        <w:t xml:space="preserve">By defining </w:t>
      </w:r>
      <w:r w:rsidR="002C77AE">
        <w:rPr>
          <w:rFonts w:cs="Times New Roman"/>
          <w:szCs w:val="24"/>
        </w:rPr>
        <w:t>“</w:t>
      </w:r>
      <w:r w:rsidRPr="002C77AE" w:rsidR="0048039D">
        <w:rPr>
          <w:rFonts w:cs="Times New Roman"/>
          <w:szCs w:val="24"/>
        </w:rPr>
        <w:t>emergency</w:t>
      </w:r>
      <w:r w:rsidR="002C77AE">
        <w:rPr>
          <w:rFonts w:cs="Times New Roman"/>
          <w:szCs w:val="24"/>
        </w:rPr>
        <w:t>”</w:t>
      </w:r>
      <w:r w:rsidRPr="002C77AE" w:rsidR="0048039D">
        <w:rPr>
          <w:rFonts w:cs="Times New Roman"/>
          <w:szCs w:val="24"/>
        </w:rPr>
        <w:t xml:space="preserve"> as </w:t>
      </w:r>
      <w:r w:rsidR="002C77AE">
        <w:rPr>
          <w:rFonts w:cs="Times New Roman"/>
          <w:szCs w:val="24"/>
        </w:rPr>
        <w:t>“</w:t>
      </w:r>
      <w:r w:rsidRPr="002C77AE" w:rsidR="0048039D">
        <w:rPr>
          <w:rFonts w:cs="Times New Roman"/>
          <w:i/>
          <w:iCs/>
          <w:szCs w:val="24"/>
        </w:rPr>
        <w:t>any abnormal system condition</w:t>
      </w:r>
      <w:r w:rsidRPr="002C77AE">
        <w:rPr>
          <w:rFonts w:cs="Times New Roman"/>
          <w:i/>
          <w:iCs/>
          <w:szCs w:val="24"/>
        </w:rPr>
        <w:t xml:space="preserve"> …</w:t>
      </w:r>
      <w:r w:rsidRPr="002C77AE" w:rsidR="0048039D">
        <w:rPr>
          <w:rFonts w:cs="Times New Roman"/>
          <w:i/>
          <w:iCs/>
          <w:szCs w:val="24"/>
        </w:rPr>
        <w:t xml:space="preserve"> </w:t>
      </w:r>
      <w:r w:rsidRPr="002C77AE">
        <w:rPr>
          <w:rFonts w:cs="Times New Roman"/>
          <w:i/>
          <w:iCs/>
          <w:szCs w:val="24"/>
        </w:rPr>
        <w:t xml:space="preserve">that could adversely </w:t>
      </w:r>
      <w:r w:rsidRPr="002C77AE" w:rsidR="0048039D">
        <w:rPr>
          <w:rFonts w:cs="Times New Roman"/>
          <w:i/>
          <w:iCs/>
          <w:szCs w:val="24"/>
        </w:rPr>
        <w:t>affect reliability</w:t>
      </w:r>
      <w:r w:rsidRPr="002C77AE" w:rsidR="0048039D">
        <w:rPr>
          <w:rFonts w:cs="Times New Roman"/>
          <w:szCs w:val="24"/>
        </w:rPr>
        <w:t>,</w:t>
      </w:r>
      <w:r w:rsidR="002C77AE">
        <w:rPr>
          <w:rFonts w:cs="Times New Roman"/>
          <w:szCs w:val="24"/>
        </w:rPr>
        <w:t>”</w:t>
      </w:r>
      <w:r w:rsidRPr="002C77AE" w:rsidR="0048039D">
        <w:rPr>
          <w:rFonts w:cs="Times New Roman"/>
          <w:szCs w:val="24"/>
        </w:rPr>
        <w:t xml:space="preserve"> this rules out </w:t>
      </w:r>
      <w:r w:rsidRPr="002C77AE">
        <w:rPr>
          <w:rFonts w:cs="Times New Roman"/>
          <w:szCs w:val="24"/>
        </w:rPr>
        <w:t>any</w:t>
      </w:r>
      <w:r w:rsidRPr="002C77AE" w:rsidR="0048039D">
        <w:rPr>
          <w:rFonts w:cs="Times New Roman"/>
          <w:szCs w:val="24"/>
        </w:rPr>
        <w:t xml:space="preserve"> possibility that there could be any such thing a</w:t>
      </w:r>
      <w:r w:rsidRPr="002C77AE">
        <w:rPr>
          <w:rFonts w:cs="Times New Roman"/>
          <w:szCs w:val="24"/>
        </w:rPr>
        <w:t xml:space="preserve">s a </w:t>
      </w:r>
      <w:r w:rsidR="002C77AE">
        <w:rPr>
          <w:rFonts w:cs="Times New Roman"/>
          <w:szCs w:val="24"/>
        </w:rPr>
        <w:t>“</w:t>
      </w:r>
      <w:r w:rsidRPr="002C77AE">
        <w:rPr>
          <w:rFonts w:cs="Times New Roman"/>
          <w:szCs w:val="24"/>
        </w:rPr>
        <w:t>distribution emergency</w:t>
      </w:r>
      <w:r w:rsidR="002C77AE">
        <w:rPr>
          <w:rFonts w:cs="Times New Roman"/>
          <w:szCs w:val="24"/>
        </w:rPr>
        <w:t xml:space="preserve">” </w:t>
      </w:r>
      <w:r w:rsidRPr="002C77AE" w:rsidR="0048039D">
        <w:rPr>
          <w:rFonts w:cs="Times New Roman"/>
          <w:szCs w:val="24"/>
        </w:rPr>
        <w:t xml:space="preserve">or </w:t>
      </w:r>
      <w:r w:rsidRPr="002C77AE">
        <w:rPr>
          <w:rFonts w:cs="Times New Roman"/>
          <w:szCs w:val="24"/>
        </w:rPr>
        <w:t xml:space="preserve">a </w:t>
      </w:r>
      <w:r w:rsidR="002C77AE">
        <w:rPr>
          <w:rFonts w:cs="Times New Roman"/>
          <w:szCs w:val="24"/>
        </w:rPr>
        <w:t>“</w:t>
      </w:r>
      <w:r w:rsidRPr="002C77AE">
        <w:rPr>
          <w:rFonts w:cs="Times New Roman"/>
          <w:szCs w:val="24"/>
        </w:rPr>
        <w:t>local emergency</w:t>
      </w:r>
      <w:r w:rsidR="002C77AE">
        <w:rPr>
          <w:rFonts w:cs="Times New Roman"/>
          <w:szCs w:val="24"/>
        </w:rPr>
        <w:t>”</w:t>
      </w:r>
      <w:r w:rsidRPr="002C77AE">
        <w:rPr>
          <w:rFonts w:cs="Times New Roman"/>
          <w:szCs w:val="24"/>
        </w:rPr>
        <w:t xml:space="preserve"> that affects electric system reliability</w:t>
      </w:r>
      <w:r w:rsidR="00712992">
        <w:rPr>
          <w:rFonts w:cs="Times New Roman"/>
          <w:szCs w:val="24"/>
        </w:rPr>
        <w:t>,</w:t>
      </w:r>
      <w:r w:rsidRPr="002C77AE">
        <w:rPr>
          <w:rFonts w:cs="Times New Roman"/>
          <w:szCs w:val="24"/>
        </w:rPr>
        <w:t xml:space="preserve"> which would not be under PJM</w:t>
      </w:r>
      <w:r w:rsidR="002C77AE">
        <w:rPr>
          <w:rFonts w:cs="Times New Roman"/>
          <w:szCs w:val="24"/>
        </w:rPr>
        <w:t>’</w:t>
      </w:r>
      <w:r w:rsidRPr="002C77AE">
        <w:rPr>
          <w:rFonts w:cs="Times New Roman"/>
          <w:szCs w:val="24"/>
        </w:rPr>
        <w:t>s control.</w:t>
      </w:r>
      <w:r w:rsidRPr="002C77AE" w:rsidR="00321DF0">
        <w:rPr>
          <w:rFonts w:cs="Times New Roman"/>
          <w:szCs w:val="24"/>
        </w:rPr>
        <w:t xml:space="preserve"> </w:t>
      </w:r>
      <w:r w:rsidRPr="002C77AE" w:rsidR="002234B1">
        <w:rPr>
          <w:rFonts w:cs="Times New Roman"/>
          <w:b/>
          <w:bCs/>
          <w:i/>
          <w:iCs/>
          <w:szCs w:val="24"/>
        </w:rPr>
        <w:t>Every</w:t>
      </w:r>
      <w:r w:rsidRPr="002C77AE" w:rsidR="00101502">
        <w:rPr>
          <w:rFonts w:cs="Times New Roman"/>
          <w:b/>
          <w:bCs/>
          <w:i/>
          <w:iCs/>
          <w:szCs w:val="24"/>
        </w:rPr>
        <w:t xml:space="preserve"> possible </w:t>
      </w:r>
      <w:r w:rsidRPr="002C77AE" w:rsidR="00A86511">
        <w:rPr>
          <w:rFonts w:cs="Times New Roman"/>
          <w:b/>
          <w:bCs/>
          <w:i/>
          <w:iCs/>
          <w:szCs w:val="24"/>
        </w:rPr>
        <w:t xml:space="preserve">abnormal system condition that </w:t>
      </w:r>
      <w:r w:rsidRPr="002C77AE">
        <w:rPr>
          <w:rFonts w:cs="Times New Roman"/>
          <w:b/>
          <w:bCs/>
          <w:i/>
          <w:iCs/>
          <w:szCs w:val="24"/>
        </w:rPr>
        <w:t>could adversely affect the reliability of the electric system</w:t>
      </w:r>
      <w:r w:rsidRPr="002C77AE" w:rsidR="00101502">
        <w:rPr>
          <w:rFonts w:cs="Times New Roman"/>
          <w:b/>
          <w:bCs/>
          <w:i/>
          <w:iCs/>
          <w:szCs w:val="24"/>
        </w:rPr>
        <w:t xml:space="preserve"> is </w:t>
      </w:r>
      <w:r w:rsidRPr="002C77AE">
        <w:rPr>
          <w:rFonts w:cs="Times New Roman"/>
          <w:b/>
          <w:bCs/>
          <w:i/>
          <w:iCs/>
          <w:szCs w:val="24"/>
        </w:rPr>
        <w:t xml:space="preserve">under </w:t>
      </w:r>
      <w:r w:rsidRPr="002C77AE" w:rsidR="00101502">
        <w:rPr>
          <w:rFonts w:cs="Times New Roman"/>
          <w:b/>
          <w:bCs/>
          <w:i/>
          <w:iCs/>
          <w:szCs w:val="24"/>
        </w:rPr>
        <w:t>PJM</w:t>
      </w:r>
      <w:r w:rsidR="002C77AE">
        <w:rPr>
          <w:rFonts w:cs="Times New Roman"/>
          <w:b/>
          <w:bCs/>
          <w:i/>
          <w:iCs/>
          <w:szCs w:val="24"/>
        </w:rPr>
        <w:t>’</w:t>
      </w:r>
      <w:r w:rsidRPr="002C77AE" w:rsidR="00101502">
        <w:rPr>
          <w:rFonts w:cs="Times New Roman"/>
          <w:b/>
          <w:bCs/>
          <w:i/>
          <w:iCs/>
          <w:szCs w:val="24"/>
        </w:rPr>
        <w:t>s</w:t>
      </w:r>
      <w:r w:rsidRPr="002C77AE">
        <w:rPr>
          <w:rFonts w:cs="Times New Roman"/>
          <w:b/>
          <w:bCs/>
          <w:i/>
          <w:iCs/>
          <w:szCs w:val="24"/>
        </w:rPr>
        <w:t xml:space="preserve"> control – not the local utility</w:t>
      </w:r>
      <w:r w:rsidR="002C77AE">
        <w:rPr>
          <w:rFonts w:cs="Times New Roman"/>
          <w:b/>
          <w:bCs/>
          <w:i/>
          <w:iCs/>
          <w:szCs w:val="24"/>
        </w:rPr>
        <w:t>’</w:t>
      </w:r>
      <w:r w:rsidRPr="002C77AE">
        <w:rPr>
          <w:rFonts w:cs="Times New Roman"/>
          <w:b/>
          <w:bCs/>
          <w:i/>
          <w:iCs/>
          <w:szCs w:val="24"/>
        </w:rPr>
        <w:t>s control</w:t>
      </w:r>
      <w:r w:rsidRPr="002C77AE">
        <w:rPr>
          <w:rFonts w:cs="Times New Roman"/>
          <w:b/>
          <w:bCs/>
          <w:i/>
          <w:iCs/>
          <w:szCs w:val="24"/>
        </w:rPr>
        <w:t>.</w:t>
      </w:r>
      <w:r w:rsidRPr="002C77AE" w:rsidR="00321DF0">
        <w:rPr>
          <w:rFonts w:cs="Times New Roman"/>
          <w:szCs w:val="24"/>
        </w:rPr>
        <w:t xml:space="preserve"> </w:t>
      </w:r>
      <w:r w:rsidRPr="002C77AE">
        <w:rPr>
          <w:rFonts w:cs="Times New Roman"/>
          <w:szCs w:val="24"/>
        </w:rPr>
        <w:t>Imagine the chaos which would ensue if every electric distribution utility started shedding load on their own in response to some perceived event within their service area.</w:t>
      </w:r>
      <w:r w:rsidRPr="002C77AE" w:rsidR="00321DF0">
        <w:rPr>
          <w:rFonts w:cs="Times New Roman"/>
          <w:szCs w:val="24"/>
        </w:rPr>
        <w:t xml:space="preserve"> </w:t>
      </w:r>
    </w:p>
    <w:p w:rsidR="008F5E0A" w:rsidRPr="002C77AE" w:rsidP="00590877" w14:paraId="720522A9" w14:textId="6FD50D50">
      <w:pPr>
        <w:spacing w:line="480" w:lineRule="auto"/>
        <w:ind w:firstLine="720"/>
        <w:rPr>
          <w:rFonts w:cs="Times New Roman"/>
          <w:szCs w:val="24"/>
        </w:rPr>
      </w:pPr>
      <w:r w:rsidRPr="002C77AE">
        <w:rPr>
          <w:rFonts w:cs="Times New Roman"/>
          <w:szCs w:val="24"/>
        </w:rPr>
        <w:t>PJM</w:t>
      </w:r>
      <w:r w:rsidR="002C77AE">
        <w:rPr>
          <w:rFonts w:cs="Times New Roman"/>
          <w:szCs w:val="24"/>
        </w:rPr>
        <w:t>’</w:t>
      </w:r>
      <w:r w:rsidRPr="002C77AE">
        <w:rPr>
          <w:rFonts w:cs="Times New Roman"/>
          <w:szCs w:val="24"/>
        </w:rPr>
        <w:t xml:space="preserve">s all-encompassing definition of </w:t>
      </w:r>
      <w:r w:rsidR="002C77AE">
        <w:rPr>
          <w:rFonts w:cs="Times New Roman"/>
          <w:szCs w:val="24"/>
        </w:rPr>
        <w:t>“</w:t>
      </w:r>
      <w:r w:rsidRPr="002C77AE">
        <w:rPr>
          <w:rFonts w:cs="Times New Roman"/>
          <w:szCs w:val="24"/>
        </w:rPr>
        <w:t>emergency</w:t>
      </w:r>
      <w:r w:rsidR="002C77AE">
        <w:rPr>
          <w:rFonts w:cs="Times New Roman"/>
          <w:szCs w:val="24"/>
        </w:rPr>
        <w:t>”</w:t>
      </w:r>
      <w:r w:rsidRPr="002C77AE" w:rsidR="0049119C">
        <w:rPr>
          <w:rFonts w:cs="Times New Roman"/>
          <w:szCs w:val="24"/>
        </w:rPr>
        <w:t xml:space="preserve"> leaves no </w:t>
      </w:r>
      <w:r w:rsidRPr="002C77AE" w:rsidR="00A86511">
        <w:rPr>
          <w:rFonts w:cs="Times New Roman"/>
          <w:szCs w:val="24"/>
        </w:rPr>
        <w:t>daylight</w:t>
      </w:r>
      <w:r w:rsidRPr="002C77AE" w:rsidR="0049119C">
        <w:rPr>
          <w:rFonts w:cs="Times New Roman"/>
          <w:szCs w:val="24"/>
        </w:rPr>
        <w:t xml:space="preserve"> for FirstEnergy</w:t>
      </w:r>
      <w:r w:rsidR="002C77AE">
        <w:rPr>
          <w:rFonts w:cs="Times New Roman"/>
          <w:szCs w:val="24"/>
        </w:rPr>
        <w:t>’</w:t>
      </w:r>
      <w:r w:rsidRPr="002C77AE" w:rsidR="0049119C">
        <w:rPr>
          <w:rFonts w:cs="Times New Roman"/>
          <w:szCs w:val="24"/>
        </w:rPr>
        <w:t xml:space="preserve">s fictional concept of a </w:t>
      </w:r>
      <w:r w:rsidR="002C77AE">
        <w:rPr>
          <w:rFonts w:cs="Times New Roman"/>
          <w:szCs w:val="24"/>
        </w:rPr>
        <w:t>“</w:t>
      </w:r>
      <w:r w:rsidRPr="002C77AE" w:rsidR="0049119C">
        <w:rPr>
          <w:rFonts w:cs="Times New Roman"/>
          <w:szCs w:val="24"/>
        </w:rPr>
        <w:t>distribution emergency</w:t>
      </w:r>
      <w:r w:rsidR="002C77AE">
        <w:rPr>
          <w:rFonts w:cs="Times New Roman"/>
          <w:szCs w:val="24"/>
        </w:rPr>
        <w:t>”</w:t>
      </w:r>
      <w:r w:rsidRPr="002C77AE" w:rsidR="0049119C">
        <w:rPr>
          <w:rFonts w:cs="Times New Roman"/>
          <w:szCs w:val="24"/>
        </w:rPr>
        <w:t xml:space="preserve"> or </w:t>
      </w:r>
      <w:r w:rsidR="002C77AE">
        <w:rPr>
          <w:rFonts w:cs="Times New Roman"/>
          <w:szCs w:val="24"/>
        </w:rPr>
        <w:t>“</w:t>
      </w:r>
      <w:r w:rsidRPr="002C77AE" w:rsidR="0049119C">
        <w:rPr>
          <w:rFonts w:cs="Times New Roman"/>
          <w:szCs w:val="24"/>
        </w:rPr>
        <w:t>local emergency.</w:t>
      </w:r>
      <w:r w:rsidR="002C77AE">
        <w:rPr>
          <w:rFonts w:cs="Times New Roman"/>
          <w:szCs w:val="24"/>
        </w:rPr>
        <w:t>”</w:t>
      </w:r>
      <w:r w:rsidRPr="002C77AE" w:rsidR="00321DF0">
        <w:rPr>
          <w:rFonts w:cs="Times New Roman"/>
          <w:szCs w:val="24"/>
        </w:rPr>
        <w:t xml:space="preserve"> </w:t>
      </w:r>
      <w:r w:rsidRPr="002C77AE" w:rsidR="0049119C">
        <w:rPr>
          <w:rFonts w:cs="Times New Roman"/>
          <w:szCs w:val="24"/>
        </w:rPr>
        <w:t xml:space="preserve">This also </w:t>
      </w:r>
      <w:r w:rsidRPr="002C77AE" w:rsidR="00613A0D">
        <w:rPr>
          <w:rFonts w:cs="Times New Roman"/>
          <w:szCs w:val="24"/>
        </w:rPr>
        <w:t xml:space="preserve">probably </w:t>
      </w:r>
      <w:r w:rsidRPr="002C77AE" w:rsidR="0049119C">
        <w:rPr>
          <w:rFonts w:cs="Times New Roman"/>
          <w:szCs w:val="24"/>
        </w:rPr>
        <w:t xml:space="preserve">explains why FirstEnergy never called an electric emergency during ESP IV – because </w:t>
      </w:r>
      <w:r w:rsidRPr="002C77AE" w:rsidR="00A86511">
        <w:rPr>
          <w:rFonts w:cs="Times New Roman"/>
          <w:szCs w:val="24"/>
        </w:rPr>
        <w:t>FirstEnergy</w:t>
      </w:r>
      <w:r w:rsidRPr="002C77AE" w:rsidR="0049119C">
        <w:rPr>
          <w:rFonts w:cs="Times New Roman"/>
          <w:szCs w:val="24"/>
        </w:rPr>
        <w:t xml:space="preserve"> </w:t>
      </w:r>
      <w:r w:rsidRPr="002C77AE" w:rsidR="00613A0D">
        <w:rPr>
          <w:rFonts w:cs="Times New Roman"/>
          <w:szCs w:val="24"/>
        </w:rPr>
        <w:t>was not authorized</w:t>
      </w:r>
      <w:r w:rsidRPr="002C77AE" w:rsidR="0049119C">
        <w:rPr>
          <w:rFonts w:cs="Times New Roman"/>
          <w:szCs w:val="24"/>
        </w:rPr>
        <w:t xml:space="preserve"> to do so under the PJM Reliability Assurance Agreement.</w:t>
      </w:r>
    </w:p>
    <w:p w:rsidR="002234B1" w:rsidRPr="002C77AE" w:rsidP="008F5E0A" w14:paraId="459FAFF1" w14:textId="21BC3175">
      <w:pPr>
        <w:spacing w:line="480" w:lineRule="auto"/>
        <w:rPr>
          <w:rFonts w:cs="Times New Roman"/>
          <w:szCs w:val="24"/>
        </w:rPr>
      </w:pPr>
      <w:r w:rsidRPr="002C77AE">
        <w:rPr>
          <w:rFonts w:cs="Times New Roman"/>
          <w:szCs w:val="24"/>
        </w:rPr>
        <w:tab/>
      </w:r>
      <w:r w:rsidRPr="002C77AE" w:rsidR="005B70F1">
        <w:rPr>
          <w:rFonts w:cs="Times New Roman"/>
          <w:szCs w:val="24"/>
        </w:rPr>
        <w:t>From a logical standpoint, FirstEnergy</w:t>
      </w:r>
      <w:r w:rsidR="002C77AE">
        <w:rPr>
          <w:rFonts w:cs="Times New Roman"/>
          <w:szCs w:val="24"/>
        </w:rPr>
        <w:t>’</w:t>
      </w:r>
      <w:r w:rsidRPr="002C77AE" w:rsidR="005B70F1">
        <w:rPr>
          <w:rFonts w:cs="Times New Roman"/>
          <w:szCs w:val="24"/>
        </w:rPr>
        <w:t xml:space="preserve">s concept of a </w:t>
      </w:r>
      <w:r w:rsidR="002C77AE">
        <w:rPr>
          <w:rFonts w:cs="Times New Roman"/>
          <w:szCs w:val="24"/>
        </w:rPr>
        <w:t>“</w:t>
      </w:r>
      <w:r w:rsidRPr="002C77AE" w:rsidR="005B70F1">
        <w:rPr>
          <w:rFonts w:cs="Times New Roman"/>
          <w:szCs w:val="24"/>
        </w:rPr>
        <w:t>distribution emergency</w:t>
      </w:r>
      <w:r w:rsidR="002C77AE">
        <w:rPr>
          <w:rFonts w:cs="Times New Roman"/>
          <w:szCs w:val="24"/>
        </w:rPr>
        <w:t>”</w:t>
      </w:r>
      <w:r w:rsidRPr="002C77AE" w:rsidR="005B70F1">
        <w:rPr>
          <w:rFonts w:cs="Times New Roman"/>
          <w:szCs w:val="24"/>
        </w:rPr>
        <w:t xml:space="preserve"> or </w:t>
      </w:r>
      <w:r w:rsidR="002C77AE">
        <w:rPr>
          <w:rFonts w:cs="Times New Roman"/>
          <w:szCs w:val="24"/>
        </w:rPr>
        <w:t>“</w:t>
      </w:r>
      <w:r w:rsidRPr="002C77AE" w:rsidR="005B70F1">
        <w:rPr>
          <w:rFonts w:cs="Times New Roman"/>
          <w:szCs w:val="24"/>
        </w:rPr>
        <w:t>local emergency</w:t>
      </w:r>
      <w:r w:rsidR="002C77AE">
        <w:rPr>
          <w:rFonts w:cs="Times New Roman"/>
          <w:szCs w:val="24"/>
        </w:rPr>
        <w:t>”</w:t>
      </w:r>
      <w:r w:rsidRPr="002C77AE" w:rsidR="005B70F1">
        <w:rPr>
          <w:rFonts w:cs="Times New Roman"/>
          <w:szCs w:val="24"/>
        </w:rPr>
        <w:t xml:space="preserve"> cannot be reconciled with PJM</w:t>
      </w:r>
      <w:r w:rsidR="002C77AE">
        <w:rPr>
          <w:rFonts w:cs="Times New Roman"/>
          <w:szCs w:val="24"/>
        </w:rPr>
        <w:t>’</w:t>
      </w:r>
      <w:r w:rsidRPr="002C77AE" w:rsidR="005B70F1">
        <w:rPr>
          <w:rFonts w:cs="Times New Roman"/>
          <w:szCs w:val="24"/>
        </w:rPr>
        <w:t xml:space="preserve">s broad definition of </w:t>
      </w:r>
      <w:r w:rsidR="002C77AE">
        <w:rPr>
          <w:rFonts w:cs="Times New Roman"/>
          <w:szCs w:val="24"/>
        </w:rPr>
        <w:t>“</w:t>
      </w:r>
      <w:r w:rsidRPr="002C77AE" w:rsidR="005B70F1">
        <w:rPr>
          <w:rFonts w:cs="Times New Roman"/>
          <w:szCs w:val="24"/>
        </w:rPr>
        <w:t>emergency</w:t>
      </w:r>
      <w:r w:rsidR="002C77AE">
        <w:rPr>
          <w:rFonts w:cs="Times New Roman"/>
          <w:szCs w:val="24"/>
        </w:rPr>
        <w:t>”</w:t>
      </w:r>
      <w:r w:rsidRPr="002C77AE" w:rsidR="005B70F1">
        <w:rPr>
          <w:rFonts w:cs="Times New Roman"/>
          <w:szCs w:val="24"/>
        </w:rPr>
        <w:t xml:space="preserve"> in the Reliability Assurance Agreement.</w:t>
      </w:r>
      <w:r w:rsidRPr="002C77AE" w:rsidR="00321DF0">
        <w:rPr>
          <w:rFonts w:cs="Times New Roman"/>
          <w:szCs w:val="24"/>
        </w:rPr>
        <w:t xml:space="preserve"> </w:t>
      </w:r>
      <w:r w:rsidRPr="002C77AE">
        <w:rPr>
          <w:rFonts w:cs="Times New Roman"/>
          <w:szCs w:val="24"/>
        </w:rPr>
        <w:t xml:space="preserve">If FirstEnergy argues that a so-called </w:t>
      </w:r>
      <w:r w:rsidR="002C77AE">
        <w:rPr>
          <w:rFonts w:cs="Times New Roman"/>
          <w:szCs w:val="24"/>
        </w:rPr>
        <w:t>“</w:t>
      </w:r>
      <w:r w:rsidRPr="002C77AE">
        <w:rPr>
          <w:rFonts w:cs="Times New Roman"/>
          <w:szCs w:val="24"/>
        </w:rPr>
        <w:t>distribution emergency</w:t>
      </w:r>
      <w:r w:rsidR="002C77AE">
        <w:rPr>
          <w:rFonts w:cs="Times New Roman"/>
          <w:szCs w:val="24"/>
        </w:rPr>
        <w:t>”</w:t>
      </w:r>
      <w:r w:rsidRPr="002C77AE">
        <w:rPr>
          <w:rFonts w:cs="Times New Roman"/>
          <w:szCs w:val="24"/>
        </w:rPr>
        <w:t xml:space="preserve"> or </w:t>
      </w:r>
      <w:r w:rsidR="002C77AE">
        <w:rPr>
          <w:rFonts w:cs="Times New Roman"/>
          <w:szCs w:val="24"/>
        </w:rPr>
        <w:t>“</w:t>
      </w:r>
      <w:r w:rsidRPr="002C77AE">
        <w:rPr>
          <w:rFonts w:cs="Times New Roman"/>
          <w:szCs w:val="24"/>
        </w:rPr>
        <w:t>local emergency</w:t>
      </w:r>
      <w:r w:rsidR="002C77AE">
        <w:rPr>
          <w:rFonts w:cs="Times New Roman"/>
          <w:szCs w:val="24"/>
        </w:rPr>
        <w:t>”</w:t>
      </w:r>
      <w:r w:rsidRPr="002C77AE">
        <w:rPr>
          <w:rFonts w:cs="Times New Roman"/>
          <w:szCs w:val="24"/>
        </w:rPr>
        <w:t xml:space="preserve"> would </w:t>
      </w:r>
      <w:r w:rsidR="002C77AE">
        <w:rPr>
          <w:rFonts w:cs="Times New Roman"/>
          <w:szCs w:val="24"/>
        </w:rPr>
        <w:t>“</w:t>
      </w:r>
      <w:r w:rsidRPr="002C77AE">
        <w:rPr>
          <w:rFonts w:cs="Times New Roman"/>
          <w:b/>
          <w:bCs/>
          <w:i/>
          <w:iCs/>
          <w:szCs w:val="24"/>
        </w:rPr>
        <w:t>adversely affect the reliability of the electric system,</w:t>
      </w:r>
      <w:r w:rsidR="002C77AE">
        <w:rPr>
          <w:rFonts w:cs="Times New Roman"/>
          <w:szCs w:val="24"/>
        </w:rPr>
        <w:t>”</w:t>
      </w:r>
      <w:r w:rsidRPr="002C77AE">
        <w:rPr>
          <w:rFonts w:cs="Times New Roman"/>
          <w:szCs w:val="24"/>
        </w:rPr>
        <w:t xml:space="preserve"> then </w:t>
      </w:r>
      <w:r w:rsidRPr="002C77AE" w:rsidR="00EA79C1">
        <w:rPr>
          <w:rFonts w:cs="Times New Roman"/>
          <w:szCs w:val="24"/>
        </w:rPr>
        <w:t xml:space="preserve">(per the Reliability Assurance Agreement) </w:t>
      </w:r>
      <w:r w:rsidRPr="002C77AE">
        <w:rPr>
          <w:rFonts w:cs="Times New Roman"/>
          <w:szCs w:val="24"/>
        </w:rPr>
        <w:t>such emergency event is within PJM</w:t>
      </w:r>
      <w:r w:rsidR="002C77AE">
        <w:rPr>
          <w:rFonts w:cs="Times New Roman"/>
          <w:szCs w:val="24"/>
        </w:rPr>
        <w:t>’</w:t>
      </w:r>
      <w:r w:rsidRPr="002C77AE">
        <w:rPr>
          <w:rFonts w:cs="Times New Roman"/>
          <w:szCs w:val="24"/>
        </w:rPr>
        <w:t xml:space="preserve">s sole control and </w:t>
      </w:r>
      <w:r w:rsidRPr="002C77AE" w:rsidR="002478EE">
        <w:rPr>
          <w:rFonts w:cs="Times New Roman"/>
          <w:szCs w:val="24"/>
        </w:rPr>
        <w:t xml:space="preserve">PJM would be solely authorized to decide whether to </w:t>
      </w:r>
      <w:r w:rsidRPr="002C77AE">
        <w:rPr>
          <w:rFonts w:cs="Times New Roman"/>
          <w:szCs w:val="24"/>
        </w:rPr>
        <w:t xml:space="preserve">interrupt service </w:t>
      </w:r>
      <w:r w:rsidRPr="002C77AE" w:rsidR="002478EE">
        <w:rPr>
          <w:rFonts w:cs="Times New Roman"/>
          <w:szCs w:val="24"/>
        </w:rPr>
        <w:t>in response to</w:t>
      </w:r>
      <w:r w:rsidRPr="002C77AE">
        <w:rPr>
          <w:rFonts w:cs="Times New Roman"/>
          <w:szCs w:val="24"/>
        </w:rPr>
        <w:t xml:space="preserve"> the emergency.</w:t>
      </w:r>
      <w:r w:rsidRPr="002C77AE" w:rsidR="00321DF0">
        <w:rPr>
          <w:rFonts w:cs="Times New Roman"/>
          <w:szCs w:val="24"/>
        </w:rPr>
        <w:t xml:space="preserve"> </w:t>
      </w:r>
      <w:r w:rsidRPr="002C77AE" w:rsidR="002478EE">
        <w:rPr>
          <w:rFonts w:cs="Times New Roman"/>
          <w:szCs w:val="24"/>
        </w:rPr>
        <w:t>Hence there would be no need for Rider ELR.</w:t>
      </w:r>
      <w:r w:rsidRPr="002C77AE" w:rsidR="00321DF0">
        <w:rPr>
          <w:rFonts w:cs="Times New Roman"/>
          <w:szCs w:val="24"/>
        </w:rPr>
        <w:t xml:space="preserve"> </w:t>
      </w:r>
      <w:r w:rsidRPr="002C77AE" w:rsidR="002478EE">
        <w:rPr>
          <w:rFonts w:cs="Times New Roman"/>
          <w:szCs w:val="24"/>
        </w:rPr>
        <w:t xml:space="preserve">On the other hand, if FirstEnergy argues that a so-called </w:t>
      </w:r>
      <w:r w:rsidR="002C77AE">
        <w:rPr>
          <w:rFonts w:cs="Times New Roman"/>
          <w:szCs w:val="24"/>
        </w:rPr>
        <w:t>“</w:t>
      </w:r>
      <w:r w:rsidRPr="002C77AE" w:rsidR="002478EE">
        <w:rPr>
          <w:rFonts w:cs="Times New Roman"/>
          <w:szCs w:val="24"/>
        </w:rPr>
        <w:t>distribution emergency</w:t>
      </w:r>
      <w:r w:rsidR="002C77AE">
        <w:rPr>
          <w:rFonts w:cs="Times New Roman"/>
          <w:szCs w:val="24"/>
        </w:rPr>
        <w:t>”</w:t>
      </w:r>
      <w:r w:rsidRPr="002C77AE" w:rsidR="002478EE">
        <w:rPr>
          <w:rFonts w:cs="Times New Roman"/>
          <w:szCs w:val="24"/>
        </w:rPr>
        <w:t xml:space="preserve"> or </w:t>
      </w:r>
      <w:r w:rsidR="002C77AE">
        <w:rPr>
          <w:rFonts w:cs="Times New Roman"/>
          <w:szCs w:val="24"/>
        </w:rPr>
        <w:t>“</w:t>
      </w:r>
      <w:r w:rsidRPr="002C77AE" w:rsidR="002478EE">
        <w:rPr>
          <w:rFonts w:cs="Times New Roman"/>
          <w:szCs w:val="24"/>
        </w:rPr>
        <w:t>local emergency</w:t>
      </w:r>
      <w:r w:rsidR="002C77AE">
        <w:rPr>
          <w:rFonts w:cs="Times New Roman"/>
          <w:szCs w:val="24"/>
        </w:rPr>
        <w:t>”</w:t>
      </w:r>
      <w:r w:rsidRPr="002C77AE" w:rsidR="002478EE">
        <w:rPr>
          <w:rFonts w:cs="Times New Roman"/>
          <w:szCs w:val="24"/>
        </w:rPr>
        <w:t xml:space="preserve"> is an event that does not </w:t>
      </w:r>
      <w:r w:rsidR="002C77AE">
        <w:rPr>
          <w:rFonts w:cs="Times New Roman"/>
          <w:szCs w:val="24"/>
        </w:rPr>
        <w:t>“</w:t>
      </w:r>
      <w:r w:rsidRPr="002C77AE" w:rsidR="002478EE">
        <w:rPr>
          <w:rFonts w:cs="Times New Roman"/>
          <w:b/>
          <w:bCs/>
          <w:i/>
          <w:iCs/>
          <w:szCs w:val="24"/>
        </w:rPr>
        <w:t>adversely affect the reliability of the electric system,</w:t>
      </w:r>
      <w:r w:rsidR="002C77AE">
        <w:rPr>
          <w:rFonts w:cs="Times New Roman"/>
          <w:szCs w:val="24"/>
        </w:rPr>
        <w:t>”</w:t>
      </w:r>
      <w:r w:rsidRPr="002C77AE" w:rsidR="002478EE">
        <w:rPr>
          <w:rFonts w:cs="Times New Roman"/>
          <w:szCs w:val="24"/>
        </w:rPr>
        <w:t xml:space="preserve"> then there would be no need for FirstEnergy to interrupt anyone</w:t>
      </w:r>
      <w:r w:rsidR="002C77AE">
        <w:rPr>
          <w:rFonts w:cs="Times New Roman"/>
          <w:szCs w:val="24"/>
        </w:rPr>
        <w:t>’</w:t>
      </w:r>
      <w:r w:rsidRPr="002C77AE" w:rsidR="002478EE">
        <w:rPr>
          <w:rFonts w:cs="Times New Roman"/>
          <w:szCs w:val="24"/>
        </w:rPr>
        <w:t>s service and hence no need for Rider ELR.</w:t>
      </w:r>
    </w:p>
    <w:p w:rsidR="00752F38" w:rsidRPr="002C77AE" w:rsidP="000C22F6" w14:paraId="48704539" w14:textId="054DAA53">
      <w:pPr>
        <w:spacing w:line="480" w:lineRule="auto"/>
        <w:rPr>
          <w:rFonts w:cs="Times New Roman"/>
          <w:szCs w:val="24"/>
        </w:rPr>
      </w:pPr>
      <w:r w:rsidRPr="002C77AE">
        <w:rPr>
          <w:rFonts w:cs="Times New Roman"/>
          <w:szCs w:val="24"/>
        </w:rPr>
        <w:tab/>
      </w:r>
      <w:r w:rsidRPr="002C77AE" w:rsidR="002478EE">
        <w:rPr>
          <w:rFonts w:cs="Times New Roman"/>
          <w:szCs w:val="24"/>
        </w:rPr>
        <w:t xml:space="preserve">As a result of the foregoing discussion, </w:t>
      </w:r>
      <w:r w:rsidRPr="002C77AE">
        <w:rPr>
          <w:rFonts w:cs="Times New Roman"/>
          <w:szCs w:val="24"/>
        </w:rPr>
        <w:t>FirstEnergy</w:t>
      </w:r>
      <w:r w:rsidR="002C77AE">
        <w:rPr>
          <w:rFonts w:cs="Times New Roman"/>
          <w:szCs w:val="24"/>
        </w:rPr>
        <w:t>’</w:t>
      </w:r>
      <w:r w:rsidRPr="002C77AE">
        <w:rPr>
          <w:rFonts w:cs="Times New Roman"/>
          <w:szCs w:val="24"/>
        </w:rPr>
        <w:t>s proposed rationale for Rider ELR</w:t>
      </w:r>
      <w:r w:rsidRPr="002C77AE" w:rsidR="00791E38">
        <w:rPr>
          <w:rFonts w:cs="Times New Roman"/>
          <w:szCs w:val="24"/>
        </w:rPr>
        <w:t xml:space="preserve"> should be rejected</w:t>
      </w:r>
      <w:r w:rsidRPr="002C77AE">
        <w:rPr>
          <w:rFonts w:cs="Times New Roman"/>
          <w:szCs w:val="24"/>
        </w:rPr>
        <w:t>.</w:t>
      </w:r>
      <w:r w:rsidRPr="002C77AE" w:rsidR="00321DF0">
        <w:rPr>
          <w:rFonts w:cs="Times New Roman"/>
          <w:szCs w:val="24"/>
        </w:rPr>
        <w:t xml:space="preserve"> </w:t>
      </w:r>
      <w:r w:rsidRPr="002C77AE">
        <w:rPr>
          <w:rFonts w:cs="Times New Roman"/>
          <w:szCs w:val="24"/>
        </w:rPr>
        <w:t xml:space="preserve">In addition, Rider ELR is discriminatory. It would </w:t>
      </w:r>
      <w:r w:rsidRPr="002C77AE" w:rsidR="00D55EE0">
        <w:rPr>
          <w:rFonts w:cs="Times New Roman"/>
          <w:szCs w:val="24"/>
        </w:rPr>
        <w:t xml:space="preserve">improperly </w:t>
      </w:r>
      <w:r w:rsidRPr="002C77AE" w:rsidR="00301A62">
        <w:rPr>
          <w:rFonts w:cs="Times New Roman"/>
          <w:szCs w:val="24"/>
        </w:rPr>
        <w:t>cause</w:t>
      </w:r>
      <w:r w:rsidRPr="002C77AE" w:rsidR="00EC12D7">
        <w:rPr>
          <w:rFonts w:cs="Times New Roman"/>
          <w:szCs w:val="24"/>
        </w:rPr>
        <w:t xml:space="preserve"> FirstEnergy</w:t>
      </w:r>
      <w:r w:rsidR="002C77AE">
        <w:rPr>
          <w:rFonts w:cs="Times New Roman"/>
          <w:szCs w:val="24"/>
        </w:rPr>
        <w:t>’</w:t>
      </w:r>
      <w:r w:rsidRPr="002C77AE" w:rsidR="00EC12D7">
        <w:rPr>
          <w:rFonts w:cs="Times New Roman"/>
          <w:szCs w:val="24"/>
        </w:rPr>
        <w:t xml:space="preserve">s consumers </w:t>
      </w:r>
      <w:r w:rsidRPr="002C77AE" w:rsidR="00301A62">
        <w:rPr>
          <w:rFonts w:cs="Times New Roman"/>
          <w:szCs w:val="24"/>
        </w:rPr>
        <w:t xml:space="preserve">to be treated </w:t>
      </w:r>
      <w:r w:rsidRPr="002C77AE" w:rsidR="00EC12D7">
        <w:rPr>
          <w:rFonts w:cs="Times New Roman"/>
          <w:szCs w:val="24"/>
        </w:rPr>
        <w:t>differently from consumers of Duke and AES Ohio.</w:t>
      </w:r>
      <w:r w:rsidRPr="002C77AE" w:rsidR="00CE2F18">
        <w:rPr>
          <w:rFonts w:cs="Times New Roman"/>
          <w:szCs w:val="24"/>
        </w:rPr>
        <w:t xml:space="preserve"> </w:t>
      </w:r>
      <w:r w:rsidRPr="002C77AE" w:rsidR="00301A62">
        <w:rPr>
          <w:rFonts w:cs="Times New Roman"/>
          <w:szCs w:val="24"/>
        </w:rPr>
        <w:t>Duke and AES Ohio do not have any interruptible tariff.</w:t>
      </w:r>
      <w:r>
        <w:rPr>
          <w:rStyle w:val="FootnoteReference"/>
          <w:rFonts w:cs="Times New Roman"/>
          <w:szCs w:val="24"/>
        </w:rPr>
        <w:footnoteReference w:id="98"/>
      </w:r>
      <w:r w:rsidRPr="002C77AE" w:rsidR="00CE2F18">
        <w:rPr>
          <w:rFonts w:cs="Times New Roman"/>
          <w:szCs w:val="24"/>
        </w:rPr>
        <w:t xml:space="preserve"> </w:t>
      </w:r>
      <w:r w:rsidRPr="002C77AE" w:rsidR="001A5A33">
        <w:rPr>
          <w:rFonts w:cs="Times New Roman"/>
          <w:szCs w:val="24"/>
        </w:rPr>
        <w:t>All three utilities are members of PJM.</w:t>
      </w:r>
      <w:r w:rsidRPr="002C77AE" w:rsidR="00CE2F18">
        <w:rPr>
          <w:rFonts w:cs="Times New Roman"/>
          <w:szCs w:val="24"/>
        </w:rPr>
        <w:t xml:space="preserve"> </w:t>
      </w:r>
      <w:r w:rsidRPr="002C77AE" w:rsidR="001A5A33">
        <w:rPr>
          <w:rFonts w:cs="Times New Roman"/>
          <w:szCs w:val="24"/>
        </w:rPr>
        <w:t>PJM is the reliability coordinator for its member utilities, meaning that PJM is the entity responsible for balancing supply and load and managing emergency electric events.</w:t>
      </w:r>
      <w:r>
        <w:rPr>
          <w:rStyle w:val="FootnoteReference"/>
          <w:rFonts w:cs="Times New Roman"/>
          <w:szCs w:val="24"/>
        </w:rPr>
        <w:footnoteReference w:id="99"/>
      </w:r>
      <w:r w:rsidRPr="002C77AE" w:rsidR="00BF6632">
        <w:rPr>
          <w:rFonts w:cs="Times New Roman"/>
          <w:szCs w:val="24"/>
        </w:rPr>
        <w:t xml:space="preserve"> </w:t>
      </w:r>
    </w:p>
    <w:p w:rsidR="00D02008" w:rsidRPr="002C77AE" w:rsidP="008F5E0A" w14:paraId="7AA09EBC" w14:textId="4CE8DCAF">
      <w:pPr>
        <w:spacing w:line="480" w:lineRule="auto"/>
        <w:ind w:firstLine="720"/>
        <w:rPr>
          <w:rFonts w:cs="Times New Roman"/>
          <w:szCs w:val="24"/>
        </w:rPr>
      </w:pPr>
      <w:r w:rsidRPr="002C77AE">
        <w:rPr>
          <w:rFonts w:cs="Times New Roman"/>
          <w:szCs w:val="24"/>
        </w:rPr>
        <w:t>The PUCO should also reject Rider ELR because the tariff is applied in a totally arbitrary manner.</w:t>
      </w:r>
      <w:r w:rsidRPr="002C77AE" w:rsidR="00321DF0">
        <w:rPr>
          <w:rFonts w:cs="Times New Roman"/>
          <w:szCs w:val="24"/>
        </w:rPr>
        <w:t xml:space="preserve"> </w:t>
      </w:r>
      <w:r w:rsidRPr="002C77AE">
        <w:rPr>
          <w:rFonts w:cs="Times New Roman"/>
          <w:szCs w:val="24"/>
        </w:rPr>
        <w:t>We know that the tariff is limited to 24 large industrial customers who enrolled in the tariff during ESP IV.</w:t>
      </w:r>
      <w:r w:rsidRPr="002C77AE" w:rsidR="00321DF0">
        <w:rPr>
          <w:rFonts w:cs="Times New Roman"/>
          <w:szCs w:val="24"/>
        </w:rPr>
        <w:t xml:space="preserve"> </w:t>
      </w:r>
      <w:r w:rsidRPr="002C77AE">
        <w:rPr>
          <w:rFonts w:cs="Times New Roman"/>
          <w:szCs w:val="24"/>
        </w:rPr>
        <w:t xml:space="preserve">No evidence was presented as to </w:t>
      </w:r>
      <w:r w:rsidRPr="002C77AE" w:rsidR="005D6713">
        <w:rPr>
          <w:rFonts w:cs="Times New Roman"/>
          <w:szCs w:val="24"/>
        </w:rPr>
        <w:t>the customers</w:t>
      </w:r>
      <w:r w:rsidR="002C77AE">
        <w:rPr>
          <w:rFonts w:cs="Times New Roman"/>
          <w:szCs w:val="24"/>
        </w:rPr>
        <w:t>’</w:t>
      </w:r>
      <w:r w:rsidRPr="002C77AE" w:rsidR="005D6713">
        <w:rPr>
          <w:rFonts w:cs="Times New Roman"/>
          <w:szCs w:val="24"/>
        </w:rPr>
        <w:t xml:space="preserve"> energy profile</w:t>
      </w:r>
      <w:r w:rsidR="00A873A3">
        <w:rPr>
          <w:rFonts w:cs="Times New Roman"/>
          <w:szCs w:val="24"/>
        </w:rPr>
        <w:t xml:space="preserve"> and operating characteristics</w:t>
      </w:r>
      <w:r w:rsidRPr="002C77AE" w:rsidR="005D6713">
        <w:rPr>
          <w:rFonts w:cs="Times New Roman"/>
          <w:szCs w:val="24"/>
        </w:rPr>
        <w:t xml:space="preserve">, </w:t>
      </w:r>
      <w:r w:rsidR="000D4E5B">
        <w:rPr>
          <w:rFonts w:cs="Times New Roman"/>
          <w:szCs w:val="24"/>
        </w:rPr>
        <w:t>FirstEnergy’s avoided cost</w:t>
      </w:r>
      <w:r w:rsidR="00A873A3">
        <w:rPr>
          <w:rFonts w:cs="Times New Roman"/>
          <w:szCs w:val="24"/>
        </w:rPr>
        <w:t xml:space="preserve">, priority of service, </w:t>
      </w:r>
      <w:r w:rsidRPr="002C77AE" w:rsidR="005D6713">
        <w:rPr>
          <w:rFonts w:cs="Times New Roman"/>
          <w:szCs w:val="24"/>
        </w:rPr>
        <w:t>whether the customers have back-up generation, how an interruption would impact their operations</w:t>
      </w:r>
      <w:r w:rsidRPr="002C77AE" w:rsidR="00847ECF">
        <w:rPr>
          <w:rFonts w:cs="Times New Roman"/>
          <w:szCs w:val="24"/>
        </w:rPr>
        <w:t>, how quickly an interruption could be implemented</w:t>
      </w:r>
      <w:r w:rsidRPr="002C77AE" w:rsidR="005D6713">
        <w:rPr>
          <w:rFonts w:cs="Times New Roman"/>
          <w:szCs w:val="24"/>
        </w:rPr>
        <w:t xml:space="preserve"> or how many megawatts would be subject to interruption.</w:t>
      </w:r>
      <w:r w:rsidRPr="002C77AE" w:rsidR="00321DF0">
        <w:rPr>
          <w:rFonts w:cs="Times New Roman"/>
          <w:szCs w:val="24"/>
        </w:rPr>
        <w:t xml:space="preserve"> </w:t>
      </w:r>
      <w:r w:rsidRPr="002C77AE" w:rsidR="005D6713">
        <w:rPr>
          <w:rFonts w:cs="Times New Roman"/>
          <w:szCs w:val="24"/>
        </w:rPr>
        <w:t xml:space="preserve">Other </w:t>
      </w:r>
      <w:r w:rsidRPr="002C77AE" w:rsidR="00553006">
        <w:rPr>
          <w:rFonts w:cs="Times New Roman"/>
          <w:szCs w:val="24"/>
        </w:rPr>
        <w:t xml:space="preserve">similarly situated </w:t>
      </w:r>
      <w:r w:rsidRPr="002C77AE" w:rsidR="005D6713">
        <w:rPr>
          <w:rFonts w:cs="Times New Roman"/>
          <w:szCs w:val="24"/>
        </w:rPr>
        <w:t>industrial customers have no opportunity to participate in the tariff.</w:t>
      </w:r>
      <w:r w:rsidRPr="002C77AE" w:rsidR="00321DF0">
        <w:rPr>
          <w:rFonts w:cs="Times New Roman"/>
          <w:szCs w:val="24"/>
        </w:rPr>
        <w:t xml:space="preserve"> </w:t>
      </w:r>
    </w:p>
    <w:p w:rsidR="00EA79C1" w:rsidRPr="002C77AE" w:rsidP="008F5E0A" w14:paraId="7CD77CCD" w14:textId="2B7CC468">
      <w:pPr>
        <w:spacing w:line="480" w:lineRule="auto"/>
        <w:ind w:firstLine="720"/>
        <w:rPr>
          <w:rFonts w:cs="Times New Roman"/>
          <w:szCs w:val="24"/>
        </w:rPr>
      </w:pPr>
      <w:r w:rsidRPr="002C77AE">
        <w:rPr>
          <w:rFonts w:cs="Times New Roman"/>
          <w:szCs w:val="24"/>
        </w:rPr>
        <w:t xml:space="preserve">Approving interruptible service through Rider ELR for this select group of 24 industrial customers </w:t>
      </w:r>
      <w:r w:rsidRPr="002C77AE" w:rsidR="00AA68CA">
        <w:rPr>
          <w:rFonts w:cs="Times New Roman"/>
          <w:szCs w:val="24"/>
        </w:rPr>
        <w:t>instead of requiring them to apply for</w:t>
      </w:r>
      <w:r w:rsidRPr="002C77AE">
        <w:rPr>
          <w:rFonts w:cs="Times New Roman"/>
          <w:szCs w:val="24"/>
        </w:rPr>
        <w:t xml:space="preserve"> a reasonable arrangement under R.C. 4905.31 </w:t>
      </w:r>
      <w:r w:rsidRPr="002C77AE" w:rsidR="00371282">
        <w:rPr>
          <w:rFonts w:cs="Times New Roman"/>
          <w:szCs w:val="24"/>
        </w:rPr>
        <w:t>also violates</w:t>
      </w:r>
      <w:r w:rsidRPr="002C77AE">
        <w:rPr>
          <w:rFonts w:cs="Times New Roman"/>
          <w:szCs w:val="24"/>
        </w:rPr>
        <w:t xml:space="preserve"> </w:t>
      </w:r>
      <w:r w:rsidRPr="002C77AE" w:rsidR="00E10783">
        <w:rPr>
          <w:rFonts w:cs="Times New Roman"/>
          <w:szCs w:val="24"/>
        </w:rPr>
        <w:t xml:space="preserve">PUCO </w:t>
      </w:r>
      <w:r w:rsidRPr="002C77AE">
        <w:rPr>
          <w:rFonts w:cs="Times New Roman"/>
          <w:szCs w:val="24"/>
        </w:rPr>
        <w:t>precedent.</w:t>
      </w:r>
      <w:r>
        <w:rPr>
          <w:rStyle w:val="FootnoteReference"/>
          <w:rFonts w:cs="Times New Roman"/>
          <w:szCs w:val="24"/>
        </w:rPr>
        <w:footnoteReference w:id="100"/>
      </w:r>
      <w:r w:rsidRPr="002C77AE" w:rsidR="00321DF0">
        <w:rPr>
          <w:rFonts w:cs="Times New Roman"/>
          <w:szCs w:val="24"/>
        </w:rPr>
        <w:t xml:space="preserve"> </w:t>
      </w:r>
      <w:r w:rsidRPr="002C77AE" w:rsidR="00371282">
        <w:rPr>
          <w:rFonts w:cs="Times New Roman"/>
          <w:szCs w:val="24"/>
        </w:rPr>
        <w:t>For example, the PUCO approved interruptible service for AK Steel in Duke</w:t>
      </w:r>
      <w:r w:rsidR="002C77AE">
        <w:rPr>
          <w:rFonts w:cs="Times New Roman"/>
          <w:szCs w:val="24"/>
        </w:rPr>
        <w:t>’</w:t>
      </w:r>
      <w:r w:rsidRPr="002C77AE" w:rsidR="00371282">
        <w:rPr>
          <w:rFonts w:cs="Times New Roman"/>
          <w:szCs w:val="24"/>
        </w:rPr>
        <w:t>s service area through a reasonable arrangement.</w:t>
      </w:r>
      <w:r>
        <w:rPr>
          <w:rStyle w:val="FootnoteReference"/>
          <w:rFonts w:cs="Times New Roman"/>
          <w:szCs w:val="24"/>
        </w:rPr>
        <w:footnoteReference w:id="101"/>
      </w:r>
      <w:r w:rsidRPr="002C77AE" w:rsidR="00321DF0">
        <w:rPr>
          <w:rFonts w:cs="Times New Roman"/>
          <w:szCs w:val="24"/>
        </w:rPr>
        <w:t xml:space="preserve"> </w:t>
      </w:r>
      <w:r w:rsidRPr="002C77AE" w:rsidR="00AA68CA">
        <w:rPr>
          <w:rFonts w:cs="Times New Roman"/>
          <w:szCs w:val="24"/>
        </w:rPr>
        <w:t>Requiring industrial customers to seek approval of interruptible service through a reasonable arrangement would at least allow the PUCO to scrutinize whether any need exists for the service and whether the applicant can fulfill the need.</w:t>
      </w:r>
      <w:r w:rsidRPr="002C77AE" w:rsidR="00321DF0">
        <w:rPr>
          <w:rFonts w:cs="Times New Roman"/>
          <w:szCs w:val="24"/>
        </w:rPr>
        <w:t xml:space="preserve"> </w:t>
      </w:r>
      <w:r w:rsidRPr="002C77AE" w:rsidR="00AA68CA">
        <w:rPr>
          <w:rFonts w:cs="Times New Roman"/>
          <w:szCs w:val="24"/>
        </w:rPr>
        <w:t xml:space="preserve">Using a reasonable arrangement approach would also level the playing field </w:t>
      </w:r>
      <w:r w:rsidRPr="002C77AE" w:rsidR="00D02008">
        <w:rPr>
          <w:rFonts w:cs="Times New Roman"/>
          <w:szCs w:val="24"/>
        </w:rPr>
        <w:t xml:space="preserve">in </w:t>
      </w:r>
      <w:r w:rsidRPr="002C77AE" w:rsidR="00AA68CA">
        <w:rPr>
          <w:rFonts w:cs="Times New Roman"/>
          <w:szCs w:val="24"/>
        </w:rPr>
        <w:t xml:space="preserve">that any </w:t>
      </w:r>
      <w:r w:rsidRPr="002C77AE" w:rsidR="00E10783">
        <w:rPr>
          <w:rFonts w:cs="Times New Roman"/>
          <w:szCs w:val="24"/>
        </w:rPr>
        <w:t xml:space="preserve">industrial </w:t>
      </w:r>
      <w:r w:rsidRPr="002C77AE" w:rsidR="00AA68CA">
        <w:rPr>
          <w:rFonts w:cs="Times New Roman"/>
          <w:szCs w:val="24"/>
        </w:rPr>
        <w:t xml:space="preserve">customer </w:t>
      </w:r>
      <w:r w:rsidRPr="002C77AE" w:rsidR="00E10783">
        <w:rPr>
          <w:rFonts w:cs="Times New Roman"/>
          <w:szCs w:val="24"/>
        </w:rPr>
        <w:t>would have an equal opportunity to</w:t>
      </w:r>
      <w:r w:rsidRPr="002C77AE" w:rsidR="00AA68CA">
        <w:rPr>
          <w:rFonts w:cs="Times New Roman"/>
          <w:szCs w:val="24"/>
        </w:rPr>
        <w:t xml:space="preserve"> apply for a reasonable arrangement.</w:t>
      </w:r>
      <w:r w:rsidR="002C77AE">
        <w:rPr>
          <w:rFonts w:cs="Times New Roman"/>
          <w:szCs w:val="24"/>
        </w:rPr>
        <w:t xml:space="preserve"> </w:t>
      </w:r>
    </w:p>
    <w:p w:rsidR="00597A6B" w:rsidP="00A50CCF" w14:paraId="495B088A" w14:textId="77777777">
      <w:pPr>
        <w:pStyle w:val="BodyTextIndent3"/>
        <w:widowControl w:val="0"/>
        <w:spacing w:line="480" w:lineRule="auto"/>
        <w:rPr>
          <w:szCs w:val="24"/>
        </w:rPr>
      </w:pPr>
      <w:r w:rsidRPr="002C77AE">
        <w:rPr>
          <w:szCs w:val="24"/>
        </w:rPr>
        <w:t>Finally, t</w:t>
      </w:r>
      <w:r w:rsidRPr="002C77AE" w:rsidR="00754ACD">
        <w:rPr>
          <w:szCs w:val="24"/>
        </w:rPr>
        <w:t xml:space="preserve">he PUCO should also reject Rider ELR because it </w:t>
      </w:r>
      <w:r w:rsidRPr="002C77AE" w:rsidR="00606BE9">
        <w:rPr>
          <w:szCs w:val="24"/>
        </w:rPr>
        <w:t xml:space="preserve">appears to be an integral part of </w:t>
      </w:r>
      <w:r w:rsidRPr="002C77AE" w:rsidR="00754ACD">
        <w:rPr>
          <w:szCs w:val="24"/>
        </w:rPr>
        <w:t>FirstEnergy</w:t>
      </w:r>
      <w:r w:rsidR="002C77AE">
        <w:rPr>
          <w:szCs w:val="24"/>
        </w:rPr>
        <w:t>’</w:t>
      </w:r>
      <w:r w:rsidRPr="002C77AE" w:rsidR="00754ACD">
        <w:rPr>
          <w:szCs w:val="24"/>
        </w:rPr>
        <w:t>s corrupt H.B. 6 bribery scheme</w:t>
      </w:r>
      <w:r w:rsidRPr="002C77AE" w:rsidR="0056050D">
        <w:rPr>
          <w:szCs w:val="24"/>
        </w:rPr>
        <w:t xml:space="preserve"> </w:t>
      </w:r>
      <w:r w:rsidRPr="002C77AE" w:rsidR="00BB41CF">
        <w:rPr>
          <w:szCs w:val="24"/>
        </w:rPr>
        <w:t xml:space="preserve">– an </w:t>
      </w:r>
      <w:r w:rsidR="002C77AE">
        <w:rPr>
          <w:szCs w:val="24"/>
        </w:rPr>
        <w:t>“</w:t>
      </w:r>
      <w:r w:rsidRPr="002C77AE" w:rsidR="00BB41CF">
        <w:rPr>
          <w:szCs w:val="24"/>
        </w:rPr>
        <w:t>interruptible tariff</w:t>
      </w:r>
      <w:r w:rsidR="002C77AE">
        <w:rPr>
          <w:szCs w:val="24"/>
        </w:rPr>
        <w:t>”</w:t>
      </w:r>
      <w:r w:rsidRPr="002C77AE" w:rsidR="00BB41CF">
        <w:rPr>
          <w:szCs w:val="24"/>
        </w:rPr>
        <w:t xml:space="preserve"> limited to 24 certain large industrial companies which pays them $437 million in exchange for the right</w:t>
      </w:r>
      <w:r w:rsidRPr="002C77AE" w:rsidR="009963FB">
        <w:rPr>
          <w:szCs w:val="24"/>
        </w:rPr>
        <w:t xml:space="preserve"> of FirstEnergy</w:t>
      </w:r>
      <w:r w:rsidRPr="002C77AE" w:rsidR="00BB41CF">
        <w:rPr>
          <w:szCs w:val="24"/>
        </w:rPr>
        <w:t xml:space="preserve"> to interrupt their electrical service during an emergency – even though their service never actually gets interrupted.</w:t>
      </w:r>
      <w:r w:rsidRPr="002C77AE" w:rsidR="00CE2F18">
        <w:rPr>
          <w:szCs w:val="24"/>
        </w:rPr>
        <w:t xml:space="preserve"> </w:t>
      </w:r>
      <w:r w:rsidRPr="002C77AE" w:rsidR="00D378E3">
        <w:rPr>
          <w:szCs w:val="24"/>
        </w:rPr>
        <w:t>The PUCO noted the connection between the H.B. 6 bribery scheme and FirstEnergy</w:t>
      </w:r>
      <w:r w:rsidR="002C77AE">
        <w:rPr>
          <w:szCs w:val="24"/>
        </w:rPr>
        <w:t>’</w:t>
      </w:r>
      <w:r w:rsidRPr="002C77AE" w:rsidR="00D378E3">
        <w:rPr>
          <w:szCs w:val="24"/>
        </w:rPr>
        <w:t xml:space="preserve">s ESP IV settlement when it opened an investigation in Case No. 20-1629-EL-RDR regarding whether FirstEnergy improperly failed to disclose a </w:t>
      </w:r>
      <w:r w:rsidR="002C77AE">
        <w:rPr>
          <w:szCs w:val="24"/>
        </w:rPr>
        <w:t>“</w:t>
      </w:r>
      <w:r w:rsidRPr="002C77AE" w:rsidR="00D378E3">
        <w:rPr>
          <w:szCs w:val="24"/>
        </w:rPr>
        <w:t>side deal</w:t>
      </w:r>
      <w:r w:rsidR="002C77AE">
        <w:rPr>
          <w:szCs w:val="24"/>
        </w:rPr>
        <w:t>”</w:t>
      </w:r>
      <w:r w:rsidRPr="002C77AE" w:rsidR="00D378E3">
        <w:rPr>
          <w:szCs w:val="24"/>
        </w:rPr>
        <w:t xml:space="preserve"> with Mr. Randazzo</w:t>
      </w:r>
      <w:r w:rsidR="002C77AE">
        <w:rPr>
          <w:szCs w:val="24"/>
        </w:rPr>
        <w:t>’</w:t>
      </w:r>
      <w:r w:rsidRPr="002C77AE" w:rsidR="00D378E3">
        <w:rPr>
          <w:szCs w:val="24"/>
        </w:rPr>
        <w:t>s consulting firm in the ESP IV case.</w:t>
      </w:r>
      <w:r>
        <w:rPr>
          <w:rStyle w:val="FootnoteReference"/>
          <w:szCs w:val="24"/>
        </w:rPr>
        <w:footnoteReference w:id="102"/>
      </w:r>
      <w:r w:rsidR="002C77AE">
        <w:rPr>
          <w:szCs w:val="24"/>
        </w:rPr>
        <w:t xml:space="preserve"> </w:t>
      </w:r>
      <w:r w:rsidRPr="002C77AE" w:rsidR="00FA753B">
        <w:rPr>
          <w:szCs w:val="24"/>
        </w:rPr>
        <w:t>OCC and other stakeholders have been barred from investigating this issue for the past 18 months due to stays of the H.B. 6 investigation cases requested by the U.S. Attorney.</w:t>
      </w:r>
      <w:r>
        <w:rPr>
          <w:rStyle w:val="FootnoteReference"/>
          <w:szCs w:val="24"/>
        </w:rPr>
        <w:footnoteReference w:id="103"/>
      </w:r>
      <w:r w:rsidRPr="002C77AE" w:rsidR="00CE2F18">
        <w:rPr>
          <w:szCs w:val="24"/>
        </w:rPr>
        <w:t xml:space="preserve"> </w:t>
      </w:r>
      <w:r w:rsidRPr="002C77AE" w:rsidR="00F81A29">
        <w:rPr>
          <w:szCs w:val="24"/>
        </w:rPr>
        <w:t>FirstEnergy actively supported the stay orders,</w:t>
      </w:r>
      <w:r>
        <w:rPr>
          <w:rStyle w:val="FootnoteReference"/>
          <w:szCs w:val="24"/>
        </w:rPr>
        <w:footnoteReference w:id="104"/>
      </w:r>
      <w:r w:rsidRPr="002C77AE" w:rsidR="00F81A29">
        <w:rPr>
          <w:szCs w:val="24"/>
        </w:rPr>
        <w:t xml:space="preserve"> </w:t>
      </w:r>
    </w:p>
    <w:p w:rsidR="00597A6B" w14:paraId="386936FF" w14:textId="77777777">
      <w:pPr>
        <w:spacing w:after="200" w:line="276" w:lineRule="auto"/>
        <w:rPr>
          <w:rFonts w:eastAsia="Times New Roman" w:cs="Times New Roman"/>
          <w:szCs w:val="24"/>
        </w:rPr>
      </w:pPr>
      <w:r>
        <w:rPr>
          <w:szCs w:val="24"/>
        </w:rPr>
        <w:br w:type="page"/>
      </w:r>
    </w:p>
    <w:p w:rsidR="0013548E" w:rsidRPr="002C77AE" w:rsidP="00597A6B" w14:paraId="54F3B502" w14:textId="4463816E">
      <w:pPr>
        <w:pStyle w:val="BodyTextIndent3"/>
        <w:widowControl w:val="0"/>
        <w:spacing w:line="480" w:lineRule="auto"/>
        <w:ind w:firstLine="0"/>
        <w:rPr>
          <w:szCs w:val="24"/>
        </w:rPr>
      </w:pPr>
      <w:r w:rsidRPr="002C77AE">
        <w:rPr>
          <w:szCs w:val="24"/>
        </w:rPr>
        <w:t xml:space="preserve">but it continues </w:t>
      </w:r>
      <w:r w:rsidRPr="002C77AE" w:rsidR="004012CF">
        <w:rPr>
          <w:szCs w:val="24"/>
        </w:rPr>
        <w:t>seeking</w:t>
      </w:r>
      <w:r w:rsidRPr="002C77AE">
        <w:rPr>
          <w:szCs w:val="24"/>
        </w:rPr>
        <w:t xml:space="preserve"> to collect billions of dollars in new revenues under ESP V and other cases</w:t>
      </w:r>
      <w:r w:rsidRPr="002C77AE" w:rsidR="00F52AC0">
        <w:rPr>
          <w:szCs w:val="24"/>
        </w:rPr>
        <w:t>.</w:t>
      </w:r>
    </w:p>
    <w:p w:rsidR="008F5E0A" w:rsidRPr="002C77AE" w:rsidP="00A50CCF" w14:paraId="56516FA9" w14:textId="793E9678">
      <w:pPr>
        <w:pStyle w:val="BodyTextIndent3"/>
        <w:widowControl w:val="0"/>
        <w:spacing w:line="480" w:lineRule="auto"/>
        <w:rPr>
          <w:szCs w:val="24"/>
        </w:rPr>
      </w:pPr>
      <w:r w:rsidRPr="002C77AE">
        <w:rPr>
          <w:szCs w:val="24"/>
        </w:rPr>
        <w:t>FirstEnergy</w:t>
      </w:r>
      <w:r w:rsidR="002C77AE">
        <w:rPr>
          <w:szCs w:val="24"/>
        </w:rPr>
        <w:t>’</w:t>
      </w:r>
      <w:r w:rsidRPr="002C77AE">
        <w:rPr>
          <w:szCs w:val="24"/>
        </w:rPr>
        <w:t>s Rider ELR proposal is unjust and unreasonable.</w:t>
      </w:r>
      <w:r w:rsidRPr="002C77AE" w:rsidR="00321DF0">
        <w:rPr>
          <w:szCs w:val="24"/>
        </w:rPr>
        <w:t xml:space="preserve"> </w:t>
      </w:r>
      <w:r w:rsidRPr="002C77AE">
        <w:rPr>
          <w:szCs w:val="24"/>
        </w:rPr>
        <w:t>The PUCO should therefore reject this proposal.</w:t>
      </w:r>
    </w:p>
    <w:p w:rsidR="00CB1150" w:rsidRPr="002C77AE" w:rsidP="00C13EAB" w14:paraId="77C5B3AD" w14:textId="772E0588">
      <w:pPr>
        <w:pStyle w:val="Heading2"/>
        <w:rPr>
          <w:highlight w:val="yellow"/>
        </w:rPr>
      </w:pPr>
      <w:bookmarkStart w:id="27" w:name="_Toc156561539"/>
      <w:bookmarkStart w:id="28" w:name="_Toc158373176"/>
      <w:r w:rsidRPr="002C77AE">
        <w:t>J</w:t>
      </w:r>
      <w:r w:rsidRPr="002C77AE" w:rsidR="0DEE27A0">
        <w:t>.</w:t>
      </w:r>
      <w:r w:rsidRPr="002C77AE" w:rsidR="00C13EAB">
        <w:tab/>
      </w:r>
      <w:r w:rsidRPr="002C77AE" w:rsidR="0DEE27A0">
        <w:t>FirstEnergy</w:t>
      </w:r>
      <w:r w:rsidR="002C77AE">
        <w:t>’</w:t>
      </w:r>
      <w:r w:rsidRPr="002C77AE" w:rsidR="0DEE27A0">
        <w:t xml:space="preserve">s Rider NMB proposal is unjust and unreasonable because it would improperly shift costs to the residential class and is contrary to the PUCO-appointed </w:t>
      </w:r>
      <w:r w:rsidRPr="002C77AE" w:rsidR="008F5E0A">
        <w:t>a</w:t>
      </w:r>
      <w:r w:rsidRPr="002C77AE" w:rsidR="0DEE27A0">
        <w:t>uditor</w:t>
      </w:r>
      <w:r w:rsidR="002C77AE">
        <w:t>’</w:t>
      </w:r>
      <w:r w:rsidRPr="002C77AE" w:rsidR="0DEE27A0">
        <w:t>s recommendation to eliminate the program.</w:t>
      </w:r>
      <w:bookmarkEnd w:id="27"/>
      <w:bookmarkEnd w:id="28"/>
    </w:p>
    <w:p w:rsidR="000779F6" w:rsidRPr="002C77AE" w:rsidP="004759EF" w14:paraId="3FCFD2A8" w14:textId="2797565F">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s Rider NMB proposal is unjust and unreasonable because it</w:t>
      </w:r>
      <w:r w:rsidRPr="002C77AE" w:rsidR="00200D8F">
        <w:rPr>
          <w:rFonts w:cs="Times New Roman"/>
          <w:szCs w:val="24"/>
        </w:rPr>
        <w:t xml:space="preserve"> would</w:t>
      </w:r>
      <w:r w:rsidRPr="002C77AE">
        <w:rPr>
          <w:rFonts w:cs="Times New Roman"/>
          <w:szCs w:val="24"/>
        </w:rPr>
        <w:t xml:space="preserve"> improperly shift transmission costs to residential </w:t>
      </w:r>
      <w:r w:rsidRPr="002C77AE" w:rsidR="00200D8F">
        <w:rPr>
          <w:rFonts w:cs="Times New Roman"/>
          <w:szCs w:val="24"/>
        </w:rPr>
        <w:t>consumers. A</w:t>
      </w:r>
      <w:r w:rsidR="002C77AE">
        <w:rPr>
          <w:rFonts w:cs="Times New Roman"/>
          <w:szCs w:val="24"/>
        </w:rPr>
        <w:t xml:space="preserve"> </w:t>
      </w:r>
      <w:r w:rsidRPr="002C77AE">
        <w:rPr>
          <w:rFonts w:cs="Times New Roman"/>
          <w:szCs w:val="24"/>
        </w:rPr>
        <w:t>PUCO-appointed auditor</w:t>
      </w:r>
      <w:r w:rsidRPr="002C77AE" w:rsidR="00200D8F">
        <w:rPr>
          <w:rFonts w:cs="Times New Roman"/>
          <w:szCs w:val="24"/>
        </w:rPr>
        <w:t xml:space="preserve"> determined that FirstEnergy</w:t>
      </w:r>
      <w:r w:rsidR="002C77AE">
        <w:rPr>
          <w:rFonts w:cs="Times New Roman"/>
          <w:szCs w:val="24"/>
        </w:rPr>
        <w:t>’</w:t>
      </w:r>
      <w:r w:rsidRPr="002C77AE" w:rsidR="00200D8F">
        <w:rPr>
          <w:rFonts w:cs="Times New Roman"/>
          <w:szCs w:val="24"/>
        </w:rPr>
        <w:t>s Rider NMB pilot program, which allows certain industrial consumers to opt-out of paying transmission costs under Rider NMB, improperly shifted about $1 million to residential consumers who have no choice but to pay Rider NMB.</w:t>
      </w:r>
      <w:r w:rsidRPr="002C77AE" w:rsidR="00321DF0">
        <w:rPr>
          <w:rFonts w:cs="Times New Roman"/>
          <w:szCs w:val="24"/>
        </w:rPr>
        <w:t xml:space="preserve"> </w:t>
      </w:r>
      <w:r w:rsidRPr="002C77AE" w:rsidR="00200D8F">
        <w:rPr>
          <w:rFonts w:cs="Times New Roman"/>
          <w:szCs w:val="24"/>
        </w:rPr>
        <w:t xml:space="preserve">The auditor </w:t>
      </w:r>
      <w:r w:rsidRPr="002C77AE">
        <w:rPr>
          <w:rFonts w:cs="Times New Roman"/>
          <w:szCs w:val="24"/>
        </w:rPr>
        <w:t>recommend</w:t>
      </w:r>
      <w:r w:rsidRPr="002C77AE" w:rsidR="00200D8F">
        <w:rPr>
          <w:rFonts w:cs="Times New Roman"/>
          <w:szCs w:val="24"/>
        </w:rPr>
        <w:t>ed</w:t>
      </w:r>
      <w:r w:rsidRPr="002C77AE">
        <w:rPr>
          <w:rFonts w:cs="Times New Roman"/>
          <w:szCs w:val="24"/>
        </w:rPr>
        <w:t xml:space="preserve"> eliminat</w:t>
      </w:r>
      <w:r w:rsidRPr="002C77AE" w:rsidR="00200D8F">
        <w:rPr>
          <w:rFonts w:cs="Times New Roman"/>
          <w:szCs w:val="24"/>
        </w:rPr>
        <w:t>ing</w:t>
      </w:r>
      <w:r w:rsidRPr="002C77AE">
        <w:rPr>
          <w:rFonts w:cs="Times New Roman"/>
          <w:szCs w:val="24"/>
        </w:rPr>
        <w:t xml:space="preserve"> the Rider NMB pilot program</w:t>
      </w:r>
      <w:r w:rsidRPr="002C77AE" w:rsidR="00A86511">
        <w:rPr>
          <w:rFonts w:cs="Times New Roman"/>
          <w:szCs w:val="24"/>
        </w:rPr>
        <w:t>.</w:t>
      </w:r>
      <w:r w:rsidRPr="002C77AE" w:rsidR="00200D8F">
        <w:rPr>
          <w:rFonts w:cs="Times New Roman"/>
          <w:szCs w:val="24"/>
        </w:rPr>
        <w:t xml:space="preserve"> FirstEnergy</w:t>
      </w:r>
      <w:r w:rsidRPr="002C77AE" w:rsidR="00A86511">
        <w:rPr>
          <w:rFonts w:cs="Times New Roman"/>
          <w:szCs w:val="24"/>
        </w:rPr>
        <w:t>, however,</w:t>
      </w:r>
      <w:r w:rsidRPr="002C77AE" w:rsidR="00200D8F">
        <w:rPr>
          <w:rFonts w:cs="Times New Roman"/>
          <w:szCs w:val="24"/>
        </w:rPr>
        <w:t xml:space="preserve"> now proposes to expand it</w:t>
      </w:r>
      <w:r w:rsidRPr="002C77AE">
        <w:rPr>
          <w:rFonts w:cs="Times New Roman"/>
          <w:szCs w:val="24"/>
        </w:rPr>
        <w:t>.</w:t>
      </w:r>
      <w:r w:rsidRPr="002C77AE" w:rsidR="00321DF0">
        <w:rPr>
          <w:rFonts w:cs="Times New Roman"/>
          <w:szCs w:val="24"/>
        </w:rPr>
        <w:t xml:space="preserve"> </w:t>
      </w:r>
      <w:r w:rsidRPr="002C77AE">
        <w:rPr>
          <w:rFonts w:cs="Times New Roman"/>
          <w:szCs w:val="24"/>
        </w:rPr>
        <w:t xml:space="preserve">Exeter Associates, Inc. </w:t>
      </w:r>
      <w:r w:rsidRPr="002C77AE" w:rsidR="00FA73E0">
        <w:rPr>
          <w:rFonts w:cs="Times New Roman"/>
          <w:szCs w:val="24"/>
        </w:rPr>
        <w:t xml:space="preserve">(the PUCO-appointed auditor) </w:t>
      </w:r>
      <w:r w:rsidRPr="002C77AE" w:rsidR="00587E91">
        <w:rPr>
          <w:rFonts w:cs="Times New Roman"/>
          <w:szCs w:val="24"/>
        </w:rPr>
        <w:t xml:space="preserve">concluded that the pilot </w:t>
      </w:r>
      <w:r w:rsidRPr="002C77AE" w:rsidR="00FA73E0">
        <w:rPr>
          <w:rFonts w:cs="Times New Roman"/>
          <w:szCs w:val="24"/>
        </w:rPr>
        <w:t xml:space="preserve">Rider NMB </w:t>
      </w:r>
      <w:r w:rsidRPr="002C77AE" w:rsidR="00587E91">
        <w:rPr>
          <w:rFonts w:cs="Times New Roman"/>
          <w:szCs w:val="24"/>
        </w:rPr>
        <w:t>program</w:t>
      </w:r>
      <w:r w:rsidRPr="002C77AE" w:rsidR="00AF32C4">
        <w:rPr>
          <w:rFonts w:cs="Times New Roman"/>
          <w:szCs w:val="24"/>
        </w:rPr>
        <w:t xml:space="preserve"> shifts costs to residential customers who cannot participate</w:t>
      </w:r>
      <w:r w:rsidRPr="002C77AE" w:rsidR="002C59CA">
        <w:rPr>
          <w:rFonts w:cs="Times New Roman"/>
          <w:szCs w:val="24"/>
        </w:rPr>
        <w:t xml:space="preserve">, including </w:t>
      </w:r>
      <w:r w:rsidR="002C77AE">
        <w:rPr>
          <w:rFonts w:cs="Times New Roman"/>
          <w:szCs w:val="24"/>
        </w:rPr>
        <w:t>“</w:t>
      </w:r>
      <w:r w:rsidRPr="002C77AE" w:rsidR="002C59CA">
        <w:rPr>
          <w:rFonts w:cs="Times New Roman"/>
          <w:szCs w:val="24"/>
        </w:rPr>
        <w:t>a $107.7 million cost shift paid by non-participants [of all customer classes] over seven years</w:t>
      </w:r>
      <w:r w:rsidRPr="002C77AE" w:rsidR="004759EF">
        <w:rPr>
          <w:rFonts w:cs="Times New Roman"/>
          <w:szCs w:val="24"/>
        </w:rPr>
        <w:t>.</w:t>
      </w:r>
      <w:r w:rsidR="002C77AE">
        <w:rPr>
          <w:rFonts w:cs="Times New Roman"/>
          <w:szCs w:val="24"/>
        </w:rPr>
        <w:t>”</w:t>
      </w:r>
      <w:r>
        <w:rPr>
          <w:rStyle w:val="FootnoteReference"/>
          <w:rFonts w:cs="Times New Roman"/>
          <w:szCs w:val="24"/>
        </w:rPr>
        <w:footnoteReference w:id="105"/>
      </w:r>
      <w:r w:rsidRPr="002C77AE" w:rsidR="00321DF0">
        <w:rPr>
          <w:rFonts w:cs="Times New Roman"/>
          <w:szCs w:val="24"/>
        </w:rPr>
        <w:t xml:space="preserve"> </w:t>
      </w:r>
      <w:r w:rsidRPr="002C77AE" w:rsidR="004759EF">
        <w:rPr>
          <w:rFonts w:cs="Times New Roman"/>
          <w:szCs w:val="24"/>
        </w:rPr>
        <w:t xml:space="preserve">Per </w:t>
      </w:r>
      <w:r w:rsidRPr="002C77AE" w:rsidR="006C6E34">
        <w:rPr>
          <w:rFonts w:cs="Times New Roman"/>
          <w:szCs w:val="24"/>
        </w:rPr>
        <w:t>Exeter</w:t>
      </w:r>
      <w:r w:rsidR="002C77AE">
        <w:rPr>
          <w:rFonts w:cs="Times New Roman"/>
          <w:szCs w:val="24"/>
        </w:rPr>
        <w:t>’</w:t>
      </w:r>
      <w:r w:rsidRPr="002C77AE" w:rsidR="006C6E34">
        <w:rPr>
          <w:rFonts w:cs="Times New Roman"/>
          <w:szCs w:val="24"/>
        </w:rPr>
        <w:t>s</w:t>
      </w:r>
      <w:r w:rsidRPr="002C77AE" w:rsidR="004759EF">
        <w:rPr>
          <w:rFonts w:cs="Times New Roman"/>
          <w:szCs w:val="24"/>
        </w:rPr>
        <w:t xml:space="preserve"> audit report, Rider NMB</w:t>
      </w:r>
      <w:r w:rsidR="002C77AE">
        <w:rPr>
          <w:rFonts w:cs="Times New Roman"/>
          <w:szCs w:val="24"/>
        </w:rPr>
        <w:t xml:space="preserve"> </w:t>
      </w:r>
      <w:r w:rsidRPr="002C77AE" w:rsidR="00587E91">
        <w:rPr>
          <w:rFonts w:cs="Times New Roman"/>
          <w:szCs w:val="24"/>
        </w:rPr>
        <w:t xml:space="preserve">is </w:t>
      </w:r>
      <w:r w:rsidR="002C77AE">
        <w:rPr>
          <w:rFonts w:cs="Times New Roman"/>
          <w:szCs w:val="24"/>
        </w:rPr>
        <w:t>“</w:t>
      </w:r>
      <w:r w:rsidRPr="002C77AE" w:rsidR="00587E91">
        <w:rPr>
          <w:rFonts w:cs="Times New Roman"/>
          <w:szCs w:val="24"/>
        </w:rPr>
        <w:t>unlikely to provide direct reliability benefits</w:t>
      </w:r>
      <w:r w:rsidR="002C77AE">
        <w:rPr>
          <w:rFonts w:cs="Times New Roman"/>
          <w:szCs w:val="24"/>
        </w:rPr>
        <w:t>”</w:t>
      </w:r>
      <w:r w:rsidRPr="002C77AE" w:rsidR="00587E91">
        <w:rPr>
          <w:rFonts w:cs="Times New Roman"/>
          <w:szCs w:val="24"/>
        </w:rPr>
        <w:t xml:space="preserve"> and that the pilot program </w:t>
      </w:r>
      <w:r w:rsidR="002C77AE">
        <w:rPr>
          <w:rFonts w:cs="Times New Roman"/>
          <w:szCs w:val="24"/>
        </w:rPr>
        <w:t>“</w:t>
      </w:r>
      <w:r w:rsidRPr="002C77AE" w:rsidR="00587E91">
        <w:rPr>
          <w:rFonts w:cs="Times New Roman"/>
          <w:szCs w:val="24"/>
        </w:rPr>
        <w:t>does not resolve the typical causes of grid stress</w:t>
      </w:r>
      <w:r w:rsidR="002C77AE">
        <w:rPr>
          <w:rFonts w:cs="Times New Roman"/>
          <w:szCs w:val="24"/>
        </w:rPr>
        <w:t>”</w:t>
      </w:r>
      <w:r w:rsidRPr="002C77AE" w:rsidR="00DC2EB9">
        <w:rPr>
          <w:rFonts w:cs="Times New Roman"/>
          <w:szCs w:val="24"/>
        </w:rPr>
        <w:t xml:space="preserve"> and should thus be eliminated.</w:t>
      </w:r>
      <w:r>
        <w:rPr>
          <w:rFonts w:cs="Times New Roman"/>
          <w:szCs w:val="24"/>
          <w:vertAlign w:val="superscript"/>
        </w:rPr>
        <w:footnoteReference w:id="106"/>
      </w:r>
    </w:p>
    <w:p w:rsidR="00A0017F" w:rsidRPr="002C77AE" w:rsidP="00C622CE" w14:paraId="25C0AC17" w14:textId="236E38E6">
      <w:pPr>
        <w:spacing w:line="480" w:lineRule="auto"/>
        <w:ind w:firstLine="720"/>
        <w:rPr>
          <w:rFonts w:cs="Times New Roman"/>
          <w:szCs w:val="24"/>
        </w:rPr>
      </w:pPr>
      <w:r w:rsidRPr="002C77AE">
        <w:rPr>
          <w:rFonts w:cs="Times New Roman"/>
          <w:szCs w:val="24"/>
        </w:rPr>
        <w:t>As explained in OCC</w:t>
      </w:r>
      <w:r w:rsidR="002C77AE">
        <w:rPr>
          <w:rFonts w:cs="Times New Roman"/>
          <w:szCs w:val="24"/>
        </w:rPr>
        <w:t>’</w:t>
      </w:r>
      <w:r w:rsidRPr="002C77AE">
        <w:rPr>
          <w:rFonts w:cs="Times New Roman"/>
          <w:szCs w:val="24"/>
        </w:rPr>
        <w:t>s Initial Brief and in Exeter</w:t>
      </w:r>
      <w:r w:rsidR="002C77AE">
        <w:rPr>
          <w:rFonts w:cs="Times New Roman"/>
          <w:szCs w:val="24"/>
        </w:rPr>
        <w:t>’</w:t>
      </w:r>
      <w:r w:rsidRPr="002C77AE">
        <w:rPr>
          <w:rFonts w:cs="Times New Roman"/>
          <w:szCs w:val="24"/>
        </w:rPr>
        <w:t>s Audit Report, FirstEnergy</w:t>
      </w:r>
      <w:r w:rsidR="002C77AE">
        <w:rPr>
          <w:rFonts w:cs="Times New Roman"/>
          <w:szCs w:val="24"/>
        </w:rPr>
        <w:t>’</w:t>
      </w:r>
      <w:r w:rsidRPr="002C77AE">
        <w:rPr>
          <w:rFonts w:cs="Times New Roman"/>
          <w:szCs w:val="24"/>
        </w:rPr>
        <w:t>s Rider NMB proposal is unjust and unreasonable due to the improper shifting of transmission costs.</w:t>
      </w:r>
      <w:r w:rsidRPr="002C77AE" w:rsidR="00CE2F18">
        <w:rPr>
          <w:rFonts w:cs="Times New Roman"/>
          <w:szCs w:val="24"/>
        </w:rPr>
        <w:t xml:space="preserve"> </w:t>
      </w:r>
      <w:r w:rsidRPr="002C77AE">
        <w:rPr>
          <w:rFonts w:cs="Times New Roman"/>
          <w:szCs w:val="24"/>
        </w:rPr>
        <w:t>The PUCO should therefore reject FirstEnergy</w:t>
      </w:r>
      <w:r w:rsidR="002C77AE">
        <w:rPr>
          <w:rFonts w:cs="Times New Roman"/>
          <w:szCs w:val="24"/>
        </w:rPr>
        <w:t>’</w:t>
      </w:r>
      <w:r w:rsidRPr="002C77AE">
        <w:rPr>
          <w:rFonts w:cs="Times New Roman"/>
          <w:szCs w:val="24"/>
        </w:rPr>
        <w:t>s Rider NMB proposal.</w:t>
      </w:r>
    </w:p>
    <w:p w:rsidR="00D94DBC" w:rsidRPr="002C77AE" w:rsidP="00C56ED2" w14:paraId="474214EF" w14:textId="790966CF">
      <w:pPr>
        <w:pStyle w:val="Heading2"/>
        <w:rPr>
          <w:highlight w:val="yellow"/>
        </w:rPr>
      </w:pPr>
      <w:bookmarkStart w:id="29" w:name="_Toc156561540"/>
      <w:bookmarkStart w:id="30" w:name="_Toc158373177"/>
      <w:r w:rsidRPr="002C77AE">
        <w:t>K</w:t>
      </w:r>
      <w:r w:rsidRPr="002C77AE" w:rsidR="0DEE27A0">
        <w:t>.</w:t>
      </w:r>
      <w:r w:rsidRPr="002C77AE" w:rsidR="00C56ED2">
        <w:tab/>
      </w:r>
      <w:r w:rsidRPr="002C77AE" w:rsidR="0DEE27A0">
        <w:t>FirstEnergy</w:t>
      </w:r>
      <w:r w:rsidR="002C77AE">
        <w:t>’</w:t>
      </w:r>
      <w:r w:rsidRPr="002C77AE" w:rsidR="0DEE27A0">
        <w:t>s Energy Efficiency Cost Recovery Rider (</w:t>
      </w:r>
      <w:r w:rsidR="002C77AE">
        <w:t>“</w:t>
      </w:r>
      <w:r w:rsidRPr="002C77AE" w:rsidR="0DEE27A0">
        <w:t>Rider EEC</w:t>
      </w:r>
      <w:r w:rsidR="002C77AE">
        <w:t>”</w:t>
      </w:r>
      <w:r w:rsidRPr="002C77AE" w:rsidR="0DEE27A0">
        <w:t xml:space="preserve">) proposal is unjust and unreasonable </w:t>
      </w:r>
      <w:r w:rsidRPr="002C77AE" w:rsidR="00013315">
        <w:t xml:space="preserve">because it </w:t>
      </w:r>
      <w:r w:rsidRPr="002C77AE" w:rsidR="003903BC">
        <w:t xml:space="preserve">unlawfully imposes costs on customers who </w:t>
      </w:r>
      <w:r w:rsidRPr="002C77AE" w:rsidR="00970A81">
        <w:t xml:space="preserve">do not enroll and </w:t>
      </w:r>
      <w:r w:rsidRPr="002C77AE" w:rsidR="00AD25BA">
        <w:t>charges customers for non</w:t>
      </w:r>
      <w:r w:rsidRPr="002C77AE" w:rsidR="00FA73E0">
        <w:t>-</w:t>
      </w:r>
      <w:r w:rsidRPr="002C77AE" w:rsidR="00AD25BA">
        <w:t>low</w:t>
      </w:r>
      <w:r w:rsidRPr="002C77AE" w:rsidR="00C75BF1">
        <w:t>-</w:t>
      </w:r>
      <w:r w:rsidRPr="002C77AE" w:rsidR="00AD25BA">
        <w:t>income programs.</w:t>
      </w:r>
      <w:bookmarkEnd w:id="29"/>
      <w:bookmarkEnd w:id="30"/>
    </w:p>
    <w:p w:rsidR="00FA73E0" w:rsidRPr="002C77AE" w:rsidP="007F04D4" w14:paraId="1B014BFB" w14:textId="0E0C7FEE">
      <w:pPr>
        <w:spacing w:line="480" w:lineRule="auto"/>
        <w:ind w:firstLine="720"/>
        <w:rPr>
          <w:rFonts w:cs="Times New Roman"/>
          <w:szCs w:val="24"/>
        </w:rPr>
      </w:pPr>
      <w:r w:rsidRPr="002C77AE">
        <w:rPr>
          <w:rFonts w:cs="Times New Roman"/>
          <w:szCs w:val="24"/>
        </w:rPr>
        <w:t>First Energy</w:t>
      </w:r>
      <w:r w:rsidR="002C77AE">
        <w:rPr>
          <w:rFonts w:cs="Times New Roman"/>
          <w:szCs w:val="24"/>
        </w:rPr>
        <w:t>’</w:t>
      </w:r>
      <w:r w:rsidRPr="002C77AE" w:rsidR="00613A0D">
        <w:rPr>
          <w:rFonts w:cs="Times New Roman"/>
          <w:szCs w:val="24"/>
        </w:rPr>
        <w:t>s Initial Brief</w:t>
      </w:r>
      <w:r w:rsidRPr="002C77AE">
        <w:rPr>
          <w:rFonts w:cs="Times New Roman"/>
          <w:szCs w:val="24"/>
        </w:rPr>
        <w:t xml:space="preserve"> argues</w:t>
      </w:r>
      <w:r w:rsidRPr="002C77AE" w:rsidR="00E627D2">
        <w:rPr>
          <w:rFonts w:cs="Times New Roman"/>
          <w:szCs w:val="24"/>
        </w:rPr>
        <w:t xml:space="preserve"> that </w:t>
      </w:r>
      <w:r w:rsidRPr="002C77AE">
        <w:rPr>
          <w:rFonts w:cs="Times New Roman"/>
          <w:szCs w:val="24"/>
        </w:rPr>
        <w:t xml:space="preserve">Rider EEC </w:t>
      </w:r>
      <w:r w:rsidRPr="002C77AE" w:rsidR="00A331C7">
        <w:rPr>
          <w:rFonts w:cs="Times New Roman"/>
          <w:szCs w:val="24"/>
        </w:rPr>
        <w:t>benefit</w:t>
      </w:r>
      <w:r w:rsidRPr="002C77AE">
        <w:rPr>
          <w:rFonts w:cs="Times New Roman"/>
          <w:szCs w:val="24"/>
        </w:rPr>
        <w:t>s</w:t>
      </w:r>
      <w:r w:rsidRPr="002C77AE" w:rsidR="00A331C7">
        <w:rPr>
          <w:rFonts w:cs="Times New Roman"/>
          <w:szCs w:val="24"/>
        </w:rPr>
        <w:t xml:space="preserve"> consumer</w:t>
      </w:r>
      <w:r w:rsidRPr="002C77AE" w:rsidR="00D45656">
        <w:rPr>
          <w:rFonts w:cs="Times New Roman"/>
          <w:szCs w:val="24"/>
        </w:rPr>
        <w:t>s</w:t>
      </w:r>
      <w:r w:rsidRPr="002C77AE" w:rsidR="002A02E1">
        <w:rPr>
          <w:rFonts w:cs="Times New Roman"/>
          <w:szCs w:val="24"/>
        </w:rPr>
        <w:t xml:space="preserve"> </w:t>
      </w:r>
      <w:r w:rsidRPr="002C77AE">
        <w:rPr>
          <w:rFonts w:cs="Times New Roman"/>
          <w:szCs w:val="24"/>
        </w:rPr>
        <w:t xml:space="preserve">by </w:t>
      </w:r>
      <w:r w:rsidRPr="002C77AE" w:rsidR="00CA31A0">
        <w:rPr>
          <w:rFonts w:cs="Times New Roman"/>
          <w:szCs w:val="24"/>
        </w:rPr>
        <w:t xml:space="preserve">charging them for </w:t>
      </w:r>
      <w:r w:rsidRPr="002C77AE">
        <w:rPr>
          <w:rFonts w:cs="Times New Roman"/>
          <w:szCs w:val="24"/>
        </w:rPr>
        <w:t>energy efficiency and demand response programs</w:t>
      </w:r>
      <w:r w:rsidRPr="002C77AE" w:rsidR="00D45656">
        <w:rPr>
          <w:rFonts w:cs="Times New Roman"/>
          <w:szCs w:val="24"/>
        </w:rPr>
        <w:t>.</w:t>
      </w:r>
      <w:r>
        <w:rPr>
          <w:rStyle w:val="FootnoteReference"/>
          <w:rFonts w:cs="Times New Roman"/>
          <w:szCs w:val="24"/>
        </w:rPr>
        <w:footnoteReference w:id="107"/>
      </w:r>
      <w:r w:rsidRPr="002C77AE" w:rsidR="004E0552">
        <w:rPr>
          <w:rFonts w:cs="Times New Roman"/>
          <w:szCs w:val="24"/>
        </w:rPr>
        <w:t xml:space="preserve"> </w:t>
      </w:r>
      <w:r w:rsidRPr="002C77AE" w:rsidR="00CA31A0">
        <w:rPr>
          <w:rFonts w:cs="Times New Roman"/>
          <w:szCs w:val="24"/>
        </w:rPr>
        <w:t xml:space="preserve">FirstEnergy is wrong. </w:t>
      </w:r>
      <w:r w:rsidRPr="002C77AE">
        <w:rPr>
          <w:rFonts w:cs="Times New Roman"/>
          <w:szCs w:val="24"/>
        </w:rPr>
        <w:t xml:space="preserve">In fact, </w:t>
      </w:r>
      <w:r w:rsidRPr="002C77AE" w:rsidR="00EC468D">
        <w:rPr>
          <w:rFonts w:cs="Times New Roman"/>
          <w:szCs w:val="24"/>
        </w:rPr>
        <w:t xml:space="preserve">the programs </w:t>
      </w:r>
      <w:r w:rsidRPr="002C77AE" w:rsidR="000C634D">
        <w:rPr>
          <w:rFonts w:cs="Times New Roman"/>
          <w:szCs w:val="24"/>
        </w:rPr>
        <w:t xml:space="preserve">do not benefit </w:t>
      </w:r>
      <w:r w:rsidRPr="002C77AE" w:rsidR="00FF6E34">
        <w:rPr>
          <w:rFonts w:cs="Times New Roman"/>
          <w:szCs w:val="24"/>
        </w:rPr>
        <w:t xml:space="preserve">consumers, </w:t>
      </w:r>
      <w:r w:rsidRPr="002C77AE" w:rsidR="00F86984">
        <w:rPr>
          <w:rFonts w:cs="Times New Roman"/>
          <w:szCs w:val="24"/>
        </w:rPr>
        <w:t>are less preferable than market</w:t>
      </w:r>
      <w:r w:rsidRPr="002C77AE">
        <w:rPr>
          <w:rFonts w:cs="Times New Roman"/>
          <w:szCs w:val="24"/>
        </w:rPr>
        <w:t>-</w:t>
      </w:r>
      <w:r w:rsidRPr="002C77AE" w:rsidR="00F86984">
        <w:rPr>
          <w:rFonts w:cs="Times New Roman"/>
          <w:szCs w:val="24"/>
        </w:rPr>
        <w:t xml:space="preserve">driven programs </w:t>
      </w:r>
      <w:r w:rsidRPr="002C77AE" w:rsidR="00807B15">
        <w:rPr>
          <w:rFonts w:cs="Times New Roman"/>
          <w:szCs w:val="24"/>
        </w:rPr>
        <w:t>and are unlawful</w:t>
      </w:r>
      <w:r w:rsidRPr="002C77AE">
        <w:rPr>
          <w:rFonts w:cs="Times New Roman"/>
          <w:szCs w:val="24"/>
        </w:rPr>
        <w:t>, unjust and unreasonable</w:t>
      </w:r>
      <w:r w:rsidRPr="002C77AE" w:rsidR="00807B15">
        <w:rPr>
          <w:rFonts w:cs="Times New Roman"/>
          <w:szCs w:val="24"/>
        </w:rPr>
        <w:t>.</w:t>
      </w:r>
      <w:r>
        <w:rPr>
          <w:rStyle w:val="FootnoteReference"/>
          <w:rFonts w:cs="Times New Roman"/>
          <w:szCs w:val="24"/>
        </w:rPr>
        <w:footnoteReference w:id="108"/>
      </w:r>
      <w:r w:rsidRPr="002C77AE" w:rsidR="00807B15">
        <w:rPr>
          <w:rFonts w:cs="Times New Roman"/>
          <w:szCs w:val="24"/>
        </w:rPr>
        <w:t xml:space="preserve"> </w:t>
      </w:r>
      <w:r w:rsidRPr="002C77AE">
        <w:rPr>
          <w:rFonts w:cs="Times New Roman"/>
          <w:szCs w:val="24"/>
        </w:rPr>
        <w:t>The PUCO should therefore reject FirstEnergy</w:t>
      </w:r>
      <w:r w:rsidR="002C77AE">
        <w:rPr>
          <w:rFonts w:cs="Times New Roman"/>
          <w:szCs w:val="24"/>
        </w:rPr>
        <w:t>’</w:t>
      </w:r>
      <w:r w:rsidRPr="002C77AE">
        <w:rPr>
          <w:rFonts w:cs="Times New Roman"/>
          <w:szCs w:val="24"/>
        </w:rPr>
        <w:t>s Rider EEC proposal.</w:t>
      </w:r>
    </w:p>
    <w:p w:rsidR="003C6021" w:rsidRPr="002C77AE" w:rsidP="009E29DC" w14:paraId="464625BA" w14:textId="2A3D7EB8">
      <w:pPr>
        <w:spacing w:line="480" w:lineRule="auto"/>
        <w:ind w:firstLine="720"/>
        <w:rPr>
          <w:rFonts w:cs="Times New Roman"/>
          <w:szCs w:val="24"/>
        </w:rPr>
      </w:pPr>
      <w:r w:rsidRPr="002C77AE">
        <w:rPr>
          <w:rFonts w:cs="Times New Roman"/>
          <w:szCs w:val="24"/>
        </w:rPr>
        <w:t xml:space="preserve">Rider EEC </w:t>
      </w:r>
      <w:r w:rsidRPr="002C77AE" w:rsidR="009C16A2">
        <w:rPr>
          <w:rFonts w:cs="Times New Roman"/>
          <w:szCs w:val="24"/>
        </w:rPr>
        <w:t>is unnecessary</w:t>
      </w:r>
      <w:r w:rsidRPr="002C77AE" w:rsidR="00FC256E">
        <w:rPr>
          <w:rFonts w:cs="Times New Roman"/>
          <w:szCs w:val="24"/>
        </w:rPr>
        <w:t xml:space="preserve"> because it</w:t>
      </w:r>
      <w:r w:rsidRPr="002C77AE" w:rsidR="009C16A2">
        <w:rPr>
          <w:rFonts w:cs="Times New Roman"/>
          <w:szCs w:val="24"/>
        </w:rPr>
        <w:t xml:space="preserve"> </w:t>
      </w:r>
      <w:r w:rsidRPr="002C77AE">
        <w:rPr>
          <w:rFonts w:cs="Times New Roman"/>
          <w:szCs w:val="24"/>
        </w:rPr>
        <w:t xml:space="preserve">interferes </w:t>
      </w:r>
      <w:r w:rsidRPr="002C77AE" w:rsidR="00C41123">
        <w:rPr>
          <w:rFonts w:cs="Times New Roman"/>
          <w:szCs w:val="24"/>
        </w:rPr>
        <w:t xml:space="preserve">with </w:t>
      </w:r>
      <w:r w:rsidRPr="002C77AE" w:rsidR="00827DA3">
        <w:rPr>
          <w:rFonts w:cs="Times New Roman"/>
          <w:szCs w:val="24"/>
        </w:rPr>
        <w:t xml:space="preserve">programs offered by </w:t>
      </w:r>
      <w:r w:rsidRPr="002C77AE" w:rsidR="002B5C8C">
        <w:rPr>
          <w:rFonts w:cs="Times New Roman"/>
          <w:szCs w:val="24"/>
        </w:rPr>
        <w:t>the competitive market</w:t>
      </w:r>
      <w:r w:rsidRPr="002C77AE" w:rsidR="00614AB0">
        <w:rPr>
          <w:rFonts w:cs="Times New Roman"/>
          <w:szCs w:val="24"/>
        </w:rPr>
        <w:t xml:space="preserve">. </w:t>
      </w:r>
      <w:r w:rsidRPr="002C77AE" w:rsidR="00805496">
        <w:rPr>
          <w:rFonts w:cs="Times New Roman"/>
          <w:szCs w:val="24"/>
        </w:rPr>
        <w:t>M</w:t>
      </w:r>
      <w:r w:rsidRPr="002C77AE" w:rsidR="00632C9E">
        <w:rPr>
          <w:rFonts w:cs="Times New Roman"/>
          <w:szCs w:val="24"/>
        </w:rPr>
        <w:t xml:space="preserve">ajor chain retailers </w:t>
      </w:r>
      <w:r w:rsidR="002C77AE">
        <w:rPr>
          <w:rFonts w:cs="Times New Roman"/>
          <w:szCs w:val="24"/>
        </w:rPr>
        <w:t>“</w:t>
      </w:r>
      <w:r w:rsidRPr="002C77AE" w:rsidR="000C592D">
        <w:rPr>
          <w:rFonts w:cs="Times New Roman"/>
          <w:szCs w:val="24"/>
        </w:rPr>
        <w:t>offer non-subsidized energy efficient products and services</w:t>
      </w:r>
      <w:r w:rsidRPr="002C77AE" w:rsidR="00613A0D">
        <w:rPr>
          <w:rFonts w:cs="Times New Roman"/>
          <w:szCs w:val="24"/>
        </w:rPr>
        <w:t xml:space="preserve"> where </w:t>
      </w:r>
      <w:r w:rsidRPr="002C77AE" w:rsidR="000C592D">
        <w:rPr>
          <w:rFonts w:cs="Times New Roman"/>
          <w:szCs w:val="24"/>
        </w:rPr>
        <w:t>only the participant pays</w:t>
      </w:r>
      <w:r w:rsidRPr="002C77AE" w:rsidR="004122AA">
        <w:rPr>
          <w:rFonts w:cs="Times New Roman"/>
          <w:szCs w:val="24"/>
        </w:rPr>
        <w:t>.</w:t>
      </w:r>
      <w:r w:rsidR="002C77AE">
        <w:rPr>
          <w:rFonts w:cs="Times New Roman"/>
          <w:szCs w:val="24"/>
        </w:rPr>
        <w:t>”</w:t>
      </w:r>
      <w:r>
        <w:rPr>
          <w:rStyle w:val="FootnoteReference"/>
          <w:rFonts w:cs="Times New Roman"/>
          <w:szCs w:val="24"/>
        </w:rPr>
        <w:footnoteReference w:id="109"/>
      </w:r>
      <w:r w:rsidRPr="002C77AE" w:rsidR="009E29DC">
        <w:rPr>
          <w:rFonts w:cs="Times New Roman"/>
          <w:szCs w:val="24"/>
        </w:rPr>
        <w:t xml:space="preserve"> </w:t>
      </w:r>
      <w:r w:rsidRPr="002C77AE" w:rsidR="0047739C">
        <w:rPr>
          <w:rFonts w:cs="Times New Roman"/>
          <w:szCs w:val="24"/>
        </w:rPr>
        <w:t xml:space="preserve">As explained by OCC Witness </w:t>
      </w:r>
      <w:r w:rsidRPr="002C77AE" w:rsidR="00D01E48">
        <w:rPr>
          <w:rFonts w:cs="Times New Roman"/>
          <w:szCs w:val="24"/>
        </w:rPr>
        <w:t xml:space="preserve">Shutrump, </w:t>
      </w:r>
      <w:r w:rsidRPr="002C77AE" w:rsidR="002B5C8C">
        <w:rPr>
          <w:rFonts w:cs="Times New Roman"/>
          <w:szCs w:val="24"/>
        </w:rPr>
        <w:t>FirstEnergy</w:t>
      </w:r>
      <w:r w:rsidR="002C77AE">
        <w:rPr>
          <w:rFonts w:cs="Times New Roman"/>
          <w:szCs w:val="24"/>
        </w:rPr>
        <w:t>’</w:t>
      </w:r>
      <w:r w:rsidRPr="002C77AE" w:rsidR="002B5C8C">
        <w:rPr>
          <w:rFonts w:cs="Times New Roman"/>
          <w:szCs w:val="24"/>
        </w:rPr>
        <w:t xml:space="preserve">s proposal is inconsistent with recent </w:t>
      </w:r>
      <w:r w:rsidRPr="002C77AE" w:rsidR="00CC3E1E">
        <w:rPr>
          <w:rFonts w:cs="Times New Roman"/>
          <w:szCs w:val="24"/>
        </w:rPr>
        <w:t xml:space="preserve">PUCO rulings </w:t>
      </w:r>
      <w:r w:rsidRPr="002C77AE" w:rsidR="002B5C8C">
        <w:rPr>
          <w:rFonts w:cs="Times New Roman"/>
          <w:szCs w:val="24"/>
        </w:rPr>
        <w:t xml:space="preserve">which have rejected utility proposals for </w:t>
      </w:r>
      <w:r w:rsidRPr="002C77AE" w:rsidR="00FE4A49">
        <w:rPr>
          <w:rFonts w:cs="Times New Roman"/>
          <w:szCs w:val="24"/>
        </w:rPr>
        <w:t>non-low-income energy efficiency/demand response</w:t>
      </w:r>
      <w:r w:rsidRPr="002C77AE" w:rsidR="002B5C8C">
        <w:rPr>
          <w:rFonts w:cs="Times New Roman"/>
          <w:szCs w:val="24"/>
        </w:rPr>
        <w:t xml:space="preserve"> programs.</w:t>
      </w:r>
      <w:r>
        <w:rPr>
          <w:rFonts w:cs="Times New Roman"/>
          <w:szCs w:val="24"/>
          <w:vertAlign w:val="superscript"/>
        </w:rPr>
        <w:footnoteReference w:id="110"/>
      </w:r>
      <w:r w:rsidRPr="002C77AE" w:rsidR="009E29DC">
        <w:rPr>
          <w:rFonts w:cs="Times New Roman"/>
          <w:szCs w:val="24"/>
        </w:rPr>
        <w:t xml:space="preserve"> </w:t>
      </w:r>
    </w:p>
    <w:p w:rsidR="00EF7AE1" w:rsidRPr="002C77AE" w:rsidP="007F04D4" w14:paraId="00970C9E" w14:textId="648FA916">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sidR="002B5C8C">
        <w:rPr>
          <w:rFonts w:cs="Times New Roman"/>
          <w:szCs w:val="24"/>
        </w:rPr>
        <w:t xml:space="preserve">s Initial </w:t>
      </w:r>
      <w:r w:rsidRPr="002C77AE">
        <w:rPr>
          <w:rFonts w:cs="Times New Roman"/>
          <w:szCs w:val="24"/>
        </w:rPr>
        <w:t xml:space="preserve">Brief </w:t>
      </w:r>
      <w:r w:rsidRPr="002C77AE" w:rsidR="002B5C8C">
        <w:rPr>
          <w:rFonts w:cs="Times New Roman"/>
          <w:szCs w:val="24"/>
        </w:rPr>
        <w:t xml:space="preserve">argues </w:t>
      </w:r>
      <w:r w:rsidRPr="002C77AE">
        <w:rPr>
          <w:rFonts w:cs="Times New Roman"/>
          <w:szCs w:val="24"/>
        </w:rPr>
        <w:t>that Rider EEC w</w:t>
      </w:r>
      <w:r w:rsidRPr="002C77AE" w:rsidR="00613A0D">
        <w:rPr>
          <w:rFonts w:cs="Times New Roman"/>
          <w:szCs w:val="24"/>
        </w:rPr>
        <w:t>ould</w:t>
      </w:r>
      <w:r w:rsidRPr="002C77AE">
        <w:rPr>
          <w:rFonts w:cs="Times New Roman"/>
          <w:szCs w:val="24"/>
        </w:rPr>
        <w:t xml:space="preserve"> yield $637.9 million in benefits over the life of the program</w:t>
      </w:r>
      <w:r>
        <w:rPr>
          <w:rFonts w:cs="Times New Roman"/>
          <w:szCs w:val="24"/>
          <w:vertAlign w:val="superscript"/>
        </w:rPr>
        <w:footnoteReference w:id="111"/>
      </w:r>
      <w:r w:rsidRPr="002C77AE">
        <w:rPr>
          <w:rFonts w:cs="Times New Roman"/>
          <w:szCs w:val="24"/>
        </w:rPr>
        <w:t xml:space="preserve"> and reduce overall PJM capacity prices</w:t>
      </w:r>
      <w:r w:rsidRPr="002C77AE" w:rsidR="002B5C8C">
        <w:rPr>
          <w:rFonts w:cs="Times New Roman"/>
          <w:szCs w:val="24"/>
        </w:rPr>
        <w:t xml:space="preserve"> for all consumers.</w:t>
      </w:r>
      <w:r>
        <w:rPr>
          <w:rFonts w:cs="Times New Roman"/>
          <w:szCs w:val="24"/>
          <w:vertAlign w:val="superscript"/>
        </w:rPr>
        <w:footnoteReference w:id="112"/>
      </w:r>
      <w:r w:rsidRPr="002C77AE">
        <w:rPr>
          <w:rFonts w:cs="Times New Roman"/>
          <w:szCs w:val="24"/>
        </w:rPr>
        <w:t xml:space="preserve"> </w:t>
      </w:r>
      <w:r w:rsidRPr="002C77AE" w:rsidR="002B5C8C">
        <w:rPr>
          <w:rFonts w:cs="Times New Roman"/>
          <w:szCs w:val="24"/>
        </w:rPr>
        <w:t xml:space="preserve">This </w:t>
      </w:r>
      <w:r w:rsidRPr="002C77AE" w:rsidR="00613A0D">
        <w:rPr>
          <w:rFonts w:cs="Times New Roman"/>
          <w:szCs w:val="24"/>
        </w:rPr>
        <w:t xml:space="preserve">argument has </w:t>
      </w:r>
      <w:r w:rsidRPr="002C77AE" w:rsidR="00CA31A0">
        <w:rPr>
          <w:rFonts w:cs="Times New Roman"/>
          <w:szCs w:val="24"/>
        </w:rPr>
        <w:t>little</w:t>
      </w:r>
      <w:r w:rsidRPr="002C77AE" w:rsidR="00613A0D">
        <w:rPr>
          <w:rFonts w:cs="Times New Roman"/>
          <w:szCs w:val="24"/>
        </w:rPr>
        <w:t xml:space="preserve"> merit.</w:t>
      </w:r>
      <w:r w:rsidRPr="002C77AE" w:rsidR="00BF4764">
        <w:rPr>
          <w:rFonts w:cs="Times New Roman"/>
          <w:szCs w:val="24"/>
        </w:rPr>
        <w:t xml:space="preserve"> First, </w:t>
      </w:r>
      <w:r w:rsidR="002C77AE">
        <w:rPr>
          <w:rFonts w:cs="Times New Roman"/>
          <w:szCs w:val="24"/>
        </w:rPr>
        <w:t>“</w:t>
      </w:r>
      <w:r w:rsidRPr="002C77AE" w:rsidR="00BF4764">
        <w:rPr>
          <w:rFonts w:cs="Times New Roman"/>
          <w:szCs w:val="24"/>
        </w:rPr>
        <w:t>non-participating consumers will not benefit because 100% of the EEC charge on their bill goes to support</w:t>
      </w:r>
      <w:r w:rsidRPr="002C77AE" w:rsidR="00CA31A0">
        <w:rPr>
          <w:rFonts w:cs="Times New Roman"/>
          <w:szCs w:val="24"/>
        </w:rPr>
        <w:t xml:space="preserve"> only those consumers who participate in the program.</w:t>
      </w:r>
      <w:r w:rsidR="002C77AE">
        <w:rPr>
          <w:rFonts w:cs="Times New Roman"/>
          <w:szCs w:val="24"/>
        </w:rPr>
        <w:t>”</w:t>
      </w:r>
      <w:r>
        <w:rPr>
          <w:rFonts w:cs="Times New Roman"/>
          <w:szCs w:val="24"/>
          <w:vertAlign w:val="superscript"/>
        </w:rPr>
        <w:footnoteReference w:id="113"/>
      </w:r>
      <w:r w:rsidRPr="002C77AE" w:rsidR="00E25EB3">
        <w:rPr>
          <w:rFonts w:cs="Times New Roman"/>
          <w:szCs w:val="24"/>
        </w:rPr>
        <w:t xml:space="preserve"> </w:t>
      </w:r>
      <w:r w:rsidRPr="002C77AE" w:rsidR="00613A0D">
        <w:rPr>
          <w:rFonts w:cs="Times New Roman"/>
          <w:szCs w:val="24"/>
        </w:rPr>
        <w:t xml:space="preserve">Second, as </w:t>
      </w:r>
      <w:r w:rsidRPr="002C77AE" w:rsidR="006B00F6">
        <w:rPr>
          <w:rFonts w:cs="Times New Roman"/>
          <w:szCs w:val="24"/>
        </w:rPr>
        <w:t>RESA</w:t>
      </w:r>
      <w:r w:rsidR="002C77AE">
        <w:rPr>
          <w:rFonts w:cs="Times New Roman"/>
          <w:szCs w:val="24"/>
        </w:rPr>
        <w:t>’</w:t>
      </w:r>
      <w:r w:rsidRPr="002C77AE" w:rsidR="002B5C8C">
        <w:rPr>
          <w:rFonts w:cs="Times New Roman"/>
          <w:szCs w:val="24"/>
        </w:rPr>
        <w:t xml:space="preserve">s Initial </w:t>
      </w:r>
      <w:r w:rsidRPr="002C77AE" w:rsidR="006B00F6">
        <w:rPr>
          <w:rFonts w:cs="Times New Roman"/>
          <w:szCs w:val="24"/>
        </w:rPr>
        <w:t>Brief</w:t>
      </w:r>
      <w:r w:rsidRPr="002C77AE" w:rsidR="001626F0">
        <w:rPr>
          <w:rFonts w:cs="Times New Roman"/>
          <w:szCs w:val="24"/>
        </w:rPr>
        <w:t xml:space="preserve"> </w:t>
      </w:r>
      <w:r w:rsidRPr="002C77AE" w:rsidR="002B5C8C">
        <w:rPr>
          <w:rFonts w:cs="Times New Roman"/>
          <w:szCs w:val="24"/>
        </w:rPr>
        <w:t>explains</w:t>
      </w:r>
      <w:r w:rsidRPr="002C77AE" w:rsidR="00613A0D">
        <w:rPr>
          <w:rFonts w:cs="Times New Roman"/>
          <w:szCs w:val="24"/>
        </w:rPr>
        <w:t>,</w:t>
      </w:r>
      <w:r w:rsidRPr="002C77AE" w:rsidR="002B5C8C">
        <w:rPr>
          <w:rFonts w:cs="Times New Roman"/>
          <w:szCs w:val="24"/>
        </w:rPr>
        <w:t xml:space="preserve"> </w:t>
      </w:r>
      <w:r w:rsidRPr="002C77AE" w:rsidR="001626F0">
        <w:rPr>
          <w:rFonts w:cs="Times New Roman"/>
          <w:szCs w:val="24"/>
        </w:rPr>
        <w:t xml:space="preserve">the analysis used by FirstEnergy to arrive at the lifetime benefits is </w:t>
      </w:r>
      <w:r w:rsidRPr="002C77AE" w:rsidR="00E75623">
        <w:rPr>
          <w:rFonts w:cs="Times New Roman"/>
          <w:szCs w:val="24"/>
        </w:rPr>
        <w:t>flawed and speculative</w:t>
      </w:r>
      <w:r w:rsidRPr="002C77AE" w:rsidR="003E05B7">
        <w:rPr>
          <w:rFonts w:cs="Times New Roman"/>
          <w:szCs w:val="24"/>
        </w:rPr>
        <w:t>.</w:t>
      </w:r>
      <w:r>
        <w:rPr>
          <w:rStyle w:val="FootnoteReference"/>
          <w:rFonts w:cs="Times New Roman"/>
          <w:szCs w:val="24"/>
        </w:rPr>
        <w:footnoteReference w:id="114"/>
      </w:r>
      <w:r w:rsidRPr="002C77AE" w:rsidR="003E05B7">
        <w:rPr>
          <w:rFonts w:cs="Times New Roman"/>
          <w:szCs w:val="24"/>
        </w:rPr>
        <w:t xml:space="preserve"> </w:t>
      </w:r>
      <w:r w:rsidRPr="002C77AE" w:rsidR="00613A0D">
        <w:rPr>
          <w:rFonts w:cs="Times New Roman"/>
          <w:szCs w:val="24"/>
        </w:rPr>
        <w:t>FirstEnergy</w:t>
      </w:r>
      <w:r w:rsidR="002C77AE">
        <w:rPr>
          <w:rFonts w:cs="Times New Roman"/>
          <w:szCs w:val="24"/>
        </w:rPr>
        <w:t>’</w:t>
      </w:r>
      <w:r w:rsidRPr="002C77AE" w:rsidR="00613A0D">
        <w:rPr>
          <w:rFonts w:cs="Times New Roman"/>
          <w:szCs w:val="24"/>
        </w:rPr>
        <w:t>s use of e</w:t>
      </w:r>
      <w:r w:rsidRPr="002C77AE" w:rsidR="00517B3D">
        <w:rPr>
          <w:rFonts w:cs="Times New Roman"/>
          <w:szCs w:val="24"/>
        </w:rPr>
        <w:t xml:space="preserve">xisting resource capability </w:t>
      </w:r>
      <w:r w:rsidRPr="002C77AE" w:rsidR="00613A0D">
        <w:rPr>
          <w:rFonts w:cs="Times New Roman"/>
          <w:szCs w:val="24"/>
        </w:rPr>
        <w:t>to calculate benefits</w:t>
      </w:r>
      <w:r w:rsidRPr="002C77AE" w:rsidR="00C001A4">
        <w:rPr>
          <w:rFonts w:cs="Times New Roman"/>
          <w:szCs w:val="24"/>
        </w:rPr>
        <w:t xml:space="preserve"> </w:t>
      </w:r>
      <w:r w:rsidRPr="002C77AE" w:rsidR="00C14F01">
        <w:rPr>
          <w:rFonts w:cs="Times New Roman"/>
          <w:szCs w:val="24"/>
        </w:rPr>
        <w:t xml:space="preserve">means </w:t>
      </w:r>
      <w:r w:rsidRPr="002C77AE" w:rsidR="00522225">
        <w:rPr>
          <w:rFonts w:cs="Times New Roman"/>
          <w:szCs w:val="24"/>
        </w:rPr>
        <w:t xml:space="preserve">that </w:t>
      </w:r>
      <w:r w:rsidRPr="002C77AE" w:rsidR="009A33B3">
        <w:rPr>
          <w:rFonts w:cs="Times New Roman"/>
          <w:szCs w:val="24"/>
        </w:rPr>
        <w:t xml:space="preserve">any </w:t>
      </w:r>
      <w:r w:rsidRPr="002C77AE" w:rsidR="006157B0">
        <w:rPr>
          <w:rFonts w:cs="Times New Roman"/>
          <w:szCs w:val="24"/>
        </w:rPr>
        <w:t xml:space="preserve">demand reductions </w:t>
      </w:r>
      <w:r w:rsidRPr="002C77AE" w:rsidR="009A33B3">
        <w:rPr>
          <w:rFonts w:cs="Times New Roman"/>
          <w:szCs w:val="24"/>
        </w:rPr>
        <w:t xml:space="preserve">from Rider EES </w:t>
      </w:r>
      <w:r w:rsidRPr="002C77AE" w:rsidR="006157B0">
        <w:rPr>
          <w:rFonts w:cs="Times New Roman"/>
          <w:szCs w:val="24"/>
        </w:rPr>
        <w:t>w</w:t>
      </w:r>
      <w:r w:rsidRPr="002C77AE" w:rsidR="002B5C8C">
        <w:rPr>
          <w:rFonts w:cs="Times New Roman"/>
          <w:szCs w:val="24"/>
        </w:rPr>
        <w:t>ould</w:t>
      </w:r>
      <w:r w:rsidRPr="002C77AE" w:rsidR="006157B0">
        <w:rPr>
          <w:rFonts w:cs="Times New Roman"/>
          <w:szCs w:val="24"/>
        </w:rPr>
        <w:t xml:space="preserve"> do little to </w:t>
      </w:r>
      <w:r w:rsidRPr="002C77AE" w:rsidR="00B5785D">
        <w:rPr>
          <w:rFonts w:cs="Times New Roman"/>
          <w:szCs w:val="24"/>
        </w:rPr>
        <w:t>impact</w:t>
      </w:r>
      <w:r w:rsidRPr="002C77AE" w:rsidR="006157B0">
        <w:rPr>
          <w:rFonts w:cs="Times New Roman"/>
          <w:szCs w:val="24"/>
        </w:rPr>
        <w:t xml:space="preserve"> PJM </w:t>
      </w:r>
      <w:r w:rsidRPr="002C77AE" w:rsidR="00B5785D">
        <w:rPr>
          <w:rFonts w:cs="Times New Roman"/>
          <w:szCs w:val="24"/>
        </w:rPr>
        <w:t xml:space="preserve">prices and </w:t>
      </w:r>
      <w:r w:rsidRPr="002C77AE" w:rsidR="009A33B3">
        <w:rPr>
          <w:rFonts w:cs="Times New Roman"/>
          <w:szCs w:val="24"/>
        </w:rPr>
        <w:t>reliability</w:t>
      </w:r>
      <w:r w:rsidRPr="002C77AE" w:rsidR="00EA2FBD">
        <w:rPr>
          <w:rFonts w:cs="Times New Roman"/>
          <w:szCs w:val="24"/>
        </w:rPr>
        <w:t>.</w:t>
      </w:r>
      <w:r>
        <w:rPr>
          <w:rStyle w:val="FootnoteReference"/>
          <w:rFonts w:cs="Times New Roman"/>
          <w:szCs w:val="24"/>
        </w:rPr>
        <w:footnoteReference w:id="115"/>
      </w:r>
      <w:r w:rsidRPr="002C77AE" w:rsidR="00321DF0">
        <w:rPr>
          <w:rFonts w:cs="Times New Roman"/>
          <w:szCs w:val="24"/>
        </w:rPr>
        <w:t xml:space="preserve"> </w:t>
      </w:r>
      <w:r w:rsidRPr="002C77AE" w:rsidR="00EA2FBD">
        <w:rPr>
          <w:rFonts w:cs="Times New Roman"/>
          <w:szCs w:val="24"/>
        </w:rPr>
        <w:t xml:space="preserve">With little to no </w:t>
      </w:r>
      <w:r w:rsidRPr="002C77AE" w:rsidR="00ED40DC">
        <w:rPr>
          <w:rFonts w:cs="Times New Roman"/>
          <w:szCs w:val="24"/>
        </w:rPr>
        <w:t>c</w:t>
      </w:r>
      <w:r w:rsidRPr="002C77AE" w:rsidR="00613A0D">
        <w:rPr>
          <w:rFonts w:cs="Times New Roman"/>
          <w:szCs w:val="24"/>
        </w:rPr>
        <w:t>onsu</w:t>
      </w:r>
      <w:r w:rsidRPr="002C77AE" w:rsidR="00ED40DC">
        <w:rPr>
          <w:rFonts w:cs="Times New Roman"/>
          <w:szCs w:val="24"/>
        </w:rPr>
        <w:t xml:space="preserve">mer </w:t>
      </w:r>
      <w:r w:rsidRPr="002C77AE" w:rsidR="00560EFC">
        <w:rPr>
          <w:rFonts w:cs="Times New Roman"/>
          <w:szCs w:val="24"/>
        </w:rPr>
        <w:t>savings</w:t>
      </w:r>
      <w:r w:rsidRPr="002C77AE" w:rsidR="00ED40DC">
        <w:rPr>
          <w:rFonts w:cs="Times New Roman"/>
          <w:szCs w:val="24"/>
        </w:rPr>
        <w:t>,</w:t>
      </w:r>
      <w:r w:rsidRPr="002C77AE" w:rsidR="00560EFC">
        <w:rPr>
          <w:rFonts w:cs="Times New Roman"/>
          <w:szCs w:val="24"/>
        </w:rPr>
        <w:t xml:space="preserve"> </w:t>
      </w:r>
      <w:r w:rsidRPr="002C77AE" w:rsidR="00ED40DC">
        <w:rPr>
          <w:rFonts w:cs="Times New Roman"/>
          <w:szCs w:val="24"/>
        </w:rPr>
        <w:t>Rider EEC</w:t>
      </w:r>
      <w:r w:rsidRPr="002C77AE" w:rsidR="00613A0D">
        <w:rPr>
          <w:rFonts w:cs="Times New Roman"/>
          <w:szCs w:val="24"/>
        </w:rPr>
        <w:t xml:space="preserve"> would not</w:t>
      </w:r>
      <w:r w:rsidRPr="002C77AE" w:rsidR="00446C7E">
        <w:rPr>
          <w:rFonts w:cs="Times New Roman"/>
          <w:szCs w:val="24"/>
        </w:rPr>
        <w:t xml:space="preserve"> </w:t>
      </w:r>
      <w:r w:rsidR="002C77AE">
        <w:rPr>
          <w:rFonts w:cs="Times New Roman"/>
          <w:szCs w:val="24"/>
        </w:rPr>
        <w:t>“</w:t>
      </w:r>
      <w:r w:rsidRPr="002C77AE" w:rsidR="00446C7E">
        <w:rPr>
          <w:rFonts w:cs="Times New Roman"/>
          <w:szCs w:val="24"/>
        </w:rPr>
        <w:t>add net demonstrable costs to the overall costs of the ESP</w:t>
      </w:r>
      <w:r w:rsidRPr="002C77AE" w:rsidR="007A4366">
        <w:rPr>
          <w:rFonts w:cs="Times New Roman"/>
          <w:szCs w:val="24"/>
        </w:rPr>
        <w:t>.</w:t>
      </w:r>
      <w:r w:rsidR="002C77AE">
        <w:rPr>
          <w:rFonts w:cs="Times New Roman"/>
          <w:szCs w:val="24"/>
        </w:rPr>
        <w:t>”</w:t>
      </w:r>
      <w:r>
        <w:rPr>
          <w:rStyle w:val="FootnoteReference"/>
          <w:rFonts w:cs="Times New Roman"/>
          <w:szCs w:val="24"/>
        </w:rPr>
        <w:footnoteReference w:id="116"/>
      </w:r>
      <w:r w:rsidRPr="002C77AE" w:rsidR="003B757E">
        <w:rPr>
          <w:rFonts w:cs="Times New Roman"/>
          <w:szCs w:val="24"/>
        </w:rPr>
        <w:t xml:space="preserve"> </w:t>
      </w:r>
    </w:p>
    <w:p w:rsidR="002B5C8C" w:rsidRPr="002C77AE" w:rsidP="007F04D4" w14:paraId="09171516" w14:textId="79784E90">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s Rider EEC proposal is inconsistent with PUCO precedent and is unjust and unreasonable due to FirstEnergy</w:t>
      </w:r>
      <w:r w:rsidR="002C77AE">
        <w:rPr>
          <w:rFonts w:cs="Times New Roman"/>
          <w:szCs w:val="24"/>
        </w:rPr>
        <w:t>’</w:t>
      </w:r>
      <w:r w:rsidRPr="002C77AE">
        <w:rPr>
          <w:rFonts w:cs="Times New Roman"/>
          <w:szCs w:val="24"/>
        </w:rPr>
        <w:t>s flawed financial analysis.</w:t>
      </w:r>
      <w:r w:rsidRPr="002C77AE" w:rsidR="00321DF0">
        <w:rPr>
          <w:rFonts w:cs="Times New Roman"/>
          <w:szCs w:val="24"/>
        </w:rPr>
        <w:t xml:space="preserve"> </w:t>
      </w:r>
      <w:r w:rsidRPr="002C77AE">
        <w:rPr>
          <w:rFonts w:cs="Times New Roman"/>
          <w:szCs w:val="24"/>
        </w:rPr>
        <w:t>The PUCO should therefore reject FirstEnergy</w:t>
      </w:r>
      <w:r w:rsidR="002C77AE">
        <w:rPr>
          <w:rFonts w:cs="Times New Roman"/>
          <w:szCs w:val="24"/>
        </w:rPr>
        <w:t>’</w:t>
      </w:r>
      <w:r w:rsidRPr="002C77AE">
        <w:rPr>
          <w:rFonts w:cs="Times New Roman"/>
          <w:szCs w:val="24"/>
        </w:rPr>
        <w:t>s Rider EEC proposal.</w:t>
      </w:r>
    </w:p>
    <w:p w:rsidR="00D757B9" w:rsidRPr="002C77AE" w:rsidP="00215C8B" w14:paraId="5091788C" w14:textId="7A520B87">
      <w:pPr>
        <w:pStyle w:val="Heading2"/>
        <w:rPr>
          <w:highlight w:val="yellow"/>
        </w:rPr>
      </w:pPr>
      <w:bookmarkStart w:id="31" w:name="_Toc156561542"/>
      <w:bookmarkStart w:id="32" w:name="_Toc158373178"/>
      <w:r w:rsidRPr="002C77AE">
        <w:t>L</w:t>
      </w:r>
      <w:r w:rsidRPr="002C77AE" w:rsidR="0DEE27A0">
        <w:t>.</w:t>
      </w:r>
      <w:r w:rsidRPr="002C77AE" w:rsidR="00215C8B">
        <w:tab/>
      </w:r>
      <w:r w:rsidRPr="002C77AE" w:rsidR="0DEE27A0">
        <w:t>The PUCO should reject FirstEnergy</w:t>
      </w:r>
      <w:r w:rsidR="002C77AE">
        <w:t>’</w:t>
      </w:r>
      <w:r w:rsidRPr="002C77AE" w:rsidR="0DEE27A0">
        <w:t>s proposed electric security plan and approve a market</w:t>
      </w:r>
      <w:r w:rsidRPr="002C77AE">
        <w:t>-</w:t>
      </w:r>
      <w:r w:rsidRPr="002C77AE" w:rsidR="0DEE27A0">
        <w:t xml:space="preserve">rate option because the electric security plan fails to meet the </w:t>
      </w:r>
      <w:r w:rsidR="002C77AE">
        <w:t>“</w:t>
      </w:r>
      <w:r w:rsidRPr="002C77AE" w:rsidR="0DEE27A0">
        <w:t>more favorable in the aggregate</w:t>
      </w:r>
      <w:r w:rsidR="002C77AE">
        <w:t>”</w:t>
      </w:r>
      <w:r w:rsidRPr="002C77AE" w:rsidR="0DEE27A0">
        <w:t xml:space="preserve"> standard.</w:t>
      </w:r>
      <w:bookmarkEnd w:id="31"/>
      <w:bookmarkEnd w:id="32"/>
    </w:p>
    <w:p w:rsidR="002D5232" w:rsidRPr="002C77AE" w:rsidP="002D5232" w14:paraId="3FEEACEB" w14:textId="4B93A243">
      <w:pPr>
        <w:spacing w:line="480" w:lineRule="auto"/>
        <w:ind w:firstLine="720"/>
        <w:rPr>
          <w:rFonts w:cs="Times New Roman"/>
          <w:szCs w:val="24"/>
        </w:rPr>
      </w:pPr>
      <w:r w:rsidRPr="002C77AE">
        <w:rPr>
          <w:rFonts w:cs="Times New Roman"/>
          <w:szCs w:val="24"/>
        </w:rPr>
        <w:t>The PUCO should reject FirstEnergy</w:t>
      </w:r>
      <w:r w:rsidR="002C77AE">
        <w:rPr>
          <w:rFonts w:cs="Times New Roman"/>
          <w:szCs w:val="24"/>
        </w:rPr>
        <w:t>’</w:t>
      </w:r>
      <w:r w:rsidRPr="002C77AE">
        <w:rPr>
          <w:rFonts w:cs="Times New Roman"/>
          <w:szCs w:val="24"/>
        </w:rPr>
        <w:t>s electric security plan because it i</w:t>
      </w:r>
      <w:r w:rsidRPr="002C77AE" w:rsidR="00F91C58">
        <w:rPr>
          <w:rFonts w:cs="Times New Roman"/>
          <w:szCs w:val="24"/>
        </w:rPr>
        <w:t xml:space="preserve">s less favorable </w:t>
      </w:r>
      <w:r w:rsidRPr="002C77AE" w:rsidR="00613A0D">
        <w:rPr>
          <w:rFonts w:cs="Times New Roman"/>
          <w:szCs w:val="24"/>
        </w:rPr>
        <w:t xml:space="preserve">in the aggregate </w:t>
      </w:r>
      <w:r w:rsidRPr="002C77AE" w:rsidR="00F91C58">
        <w:rPr>
          <w:rFonts w:cs="Times New Roman"/>
          <w:szCs w:val="24"/>
        </w:rPr>
        <w:t xml:space="preserve">than </w:t>
      </w:r>
      <w:r w:rsidRPr="002C77AE" w:rsidR="00613A0D">
        <w:rPr>
          <w:rFonts w:cs="Times New Roman"/>
          <w:szCs w:val="24"/>
        </w:rPr>
        <w:t>a</w:t>
      </w:r>
      <w:r w:rsidRPr="002C77AE" w:rsidR="00F91C58">
        <w:rPr>
          <w:rFonts w:cs="Times New Roman"/>
          <w:szCs w:val="24"/>
        </w:rPr>
        <w:t xml:space="preserve"> market</w:t>
      </w:r>
      <w:r w:rsidRPr="002C77AE">
        <w:rPr>
          <w:rFonts w:cs="Times New Roman"/>
          <w:szCs w:val="24"/>
        </w:rPr>
        <w:t>-</w:t>
      </w:r>
      <w:r w:rsidRPr="002C77AE" w:rsidR="00F91C58">
        <w:rPr>
          <w:rFonts w:cs="Times New Roman"/>
          <w:szCs w:val="24"/>
        </w:rPr>
        <w:t>rate option</w:t>
      </w:r>
      <w:r w:rsidRPr="002C77AE">
        <w:rPr>
          <w:rFonts w:cs="Times New Roman"/>
          <w:szCs w:val="24"/>
        </w:rPr>
        <w:t>.</w:t>
      </w:r>
    </w:p>
    <w:p w:rsidR="00466FD9" w:rsidRPr="002C77AE" w:rsidP="00B56596" w14:paraId="1C83A2F6" w14:textId="06560E1F">
      <w:pPr>
        <w:spacing w:line="480" w:lineRule="auto"/>
        <w:ind w:firstLine="720"/>
        <w:rPr>
          <w:rFonts w:cs="Times New Roman"/>
          <w:szCs w:val="24"/>
        </w:rPr>
      </w:pPr>
      <w:r w:rsidRPr="002C77AE">
        <w:rPr>
          <w:rFonts w:cs="Times New Roman"/>
          <w:szCs w:val="24"/>
        </w:rPr>
        <w:t>FirstEnergy</w:t>
      </w:r>
      <w:r w:rsidR="002C77AE">
        <w:rPr>
          <w:rFonts w:cs="Times New Roman"/>
          <w:szCs w:val="24"/>
        </w:rPr>
        <w:t>’</w:t>
      </w:r>
      <w:r w:rsidRPr="002C77AE">
        <w:rPr>
          <w:rFonts w:cs="Times New Roman"/>
          <w:szCs w:val="24"/>
        </w:rPr>
        <w:t>s Initial Brief tries to characterize the electric security plan</w:t>
      </w:r>
      <w:r w:rsidR="002C77AE">
        <w:rPr>
          <w:rFonts w:cs="Times New Roman"/>
          <w:szCs w:val="24"/>
        </w:rPr>
        <w:t>’</w:t>
      </w:r>
      <w:r w:rsidRPr="002C77AE">
        <w:rPr>
          <w:rFonts w:cs="Times New Roman"/>
          <w:szCs w:val="24"/>
        </w:rPr>
        <w:t>s riders as consumer-protection measures because they are accompanied by frequent audits.</w:t>
      </w:r>
      <w:r>
        <w:rPr>
          <w:rFonts w:cs="Times New Roman"/>
          <w:szCs w:val="24"/>
          <w:vertAlign w:val="superscript"/>
        </w:rPr>
        <w:footnoteReference w:id="117"/>
      </w:r>
      <w:r w:rsidRPr="002C77AE">
        <w:rPr>
          <w:rFonts w:cs="Times New Roman"/>
          <w:szCs w:val="24"/>
        </w:rPr>
        <w:t xml:space="preserve"> FirstEnergy</w:t>
      </w:r>
      <w:r w:rsidR="002C77AE">
        <w:rPr>
          <w:rFonts w:cs="Times New Roman"/>
          <w:szCs w:val="24"/>
        </w:rPr>
        <w:t>’</w:t>
      </w:r>
      <w:r w:rsidRPr="002C77AE" w:rsidR="00613A0D">
        <w:rPr>
          <w:rFonts w:cs="Times New Roman"/>
          <w:szCs w:val="24"/>
        </w:rPr>
        <w:t>s Initial Brief</w:t>
      </w:r>
      <w:r w:rsidRPr="002C77AE">
        <w:rPr>
          <w:rFonts w:cs="Times New Roman"/>
          <w:szCs w:val="24"/>
        </w:rPr>
        <w:t xml:space="preserve"> also argues that the electric security plan benefits consumers because it </w:t>
      </w:r>
      <w:r w:rsidRPr="002C77AE" w:rsidR="00613A0D">
        <w:rPr>
          <w:rFonts w:cs="Times New Roman"/>
          <w:szCs w:val="24"/>
        </w:rPr>
        <w:t xml:space="preserve">eliminates </w:t>
      </w:r>
      <w:r w:rsidRPr="002C77AE">
        <w:rPr>
          <w:rFonts w:cs="Times New Roman"/>
          <w:szCs w:val="24"/>
        </w:rPr>
        <w:t>eighteen existing riders and tariff provisions while only adding three new riders.</w:t>
      </w:r>
      <w:r>
        <w:rPr>
          <w:rFonts w:cs="Times New Roman"/>
          <w:szCs w:val="24"/>
          <w:vertAlign w:val="superscript"/>
        </w:rPr>
        <w:footnoteReference w:id="118"/>
      </w:r>
      <w:r w:rsidRPr="002C77AE">
        <w:rPr>
          <w:rFonts w:cs="Times New Roman"/>
          <w:szCs w:val="24"/>
        </w:rPr>
        <w:t xml:space="preserve"> </w:t>
      </w:r>
    </w:p>
    <w:p w:rsidR="00B56596" w:rsidRPr="002C77AE" w:rsidP="00466FD9" w14:paraId="4B3AB070" w14:textId="657CE6B1">
      <w:pPr>
        <w:spacing w:line="480" w:lineRule="auto"/>
        <w:ind w:firstLine="720"/>
        <w:rPr>
          <w:rFonts w:cs="Times New Roman"/>
          <w:szCs w:val="24"/>
        </w:rPr>
      </w:pPr>
      <w:r w:rsidRPr="002C77AE">
        <w:rPr>
          <w:rFonts w:cs="Times New Roman"/>
          <w:szCs w:val="24"/>
        </w:rPr>
        <w:t>Once again, FirstEnergy</w:t>
      </w:r>
      <w:r w:rsidR="002C77AE">
        <w:rPr>
          <w:rFonts w:cs="Times New Roman"/>
          <w:szCs w:val="24"/>
        </w:rPr>
        <w:t>’</w:t>
      </w:r>
      <w:r w:rsidRPr="002C77AE">
        <w:rPr>
          <w:rFonts w:cs="Times New Roman"/>
          <w:szCs w:val="24"/>
        </w:rPr>
        <w:t xml:space="preserve">s analysis is </w:t>
      </w:r>
      <w:r w:rsidRPr="002C77AE" w:rsidR="00466FD9">
        <w:rPr>
          <w:rFonts w:cs="Times New Roman"/>
          <w:szCs w:val="24"/>
        </w:rPr>
        <w:t xml:space="preserve">fatally </w:t>
      </w:r>
      <w:r w:rsidRPr="002C77AE">
        <w:rPr>
          <w:rFonts w:cs="Times New Roman"/>
          <w:szCs w:val="24"/>
        </w:rPr>
        <w:t>flawed.</w:t>
      </w:r>
      <w:r w:rsidRPr="002C77AE" w:rsidR="00321DF0">
        <w:rPr>
          <w:rFonts w:cs="Times New Roman"/>
          <w:szCs w:val="24"/>
        </w:rPr>
        <w:t xml:space="preserve"> </w:t>
      </w:r>
      <w:r w:rsidRPr="002C77AE">
        <w:rPr>
          <w:rFonts w:cs="Times New Roman"/>
          <w:szCs w:val="24"/>
        </w:rPr>
        <w:t xml:space="preserve">Whether the electric security plan is reasonable should be decided </w:t>
      </w:r>
      <w:r w:rsidRPr="002C77AE" w:rsidR="00466FD9">
        <w:rPr>
          <w:rFonts w:cs="Times New Roman"/>
          <w:szCs w:val="24"/>
        </w:rPr>
        <w:t xml:space="preserve">based </w:t>
      </w:r>
      <w:r w:rsidRPr="002C77AE">
        <w:rPr>
          <w:rFonts w:cs="Times New Roman"/>
          <w:szCs w:val="24"/>
        </w:rPr>
        <w:t xml:space="preserve">on the amount of </w:t>
      </w:r>
      <w:r w:rsidRPr="002C77AE" w:rsidR="00613A0D">
        <w:rPr>
          <w:rFonts w:cs="Times New Roman"/>
          <w:szCs w:val="24"/>
        </w:rPr>
        <w:t xml:space="preserve">quantifiable and qualitative </w:t>
      </w:r>
      <w:r w:rsidRPr="002C77AE" w:rsidR="00466FD9">
        <w:rPr>
          <w:rFonts w:cs="Times New Roman"/>
          <w:szCs w:val="24"/>
        </w:rPr>
        <w:t xml:space="preserve">benefits and </w:t>
      </w:r>
      <w:r w:rsidRPr="002C77AE">
        <w:rPr>
          <w:rFonts w:cs="Times New Roman"/>
          <w:szCs w:val="24"/>
        </w:rPr>
        <w:t>costs, not the number of riders.</w:t>
      </w:r>
      <w:r w:rsidRPr="002C77AE" w:rsidR="00321DF0">
        <w:rPr>
          <w:rFonts w:cs="Times New Roman"/>
          <w:szCs w:val="24"/>
        </w:rPr>
        <w:t xml:space="preserve"> </w:t>
      </w:r>
      <w:r w:rsidRPr="002C77AE">
        <w:rPr>
          <w:rFonts w:cs="Times New Roman"/>
          <w:szCs w:val="24"/>
        </w:rPr>
        <w:t xml:space="preserve">As noted in </w:t>
      </w:r>
      <w:r w:rsidRPr="006E584E">
        <w:rPr>
          <w:rFonts w:cs="Times New Roman"/>
          <w:szCs w:val="24"/>
        </w:rPr>
        <w:t>Section II(</w:t>
      </w:r>
      <w:r w:rsidRPr="006E584E" w:rsidR="001501CA">
        <w:rPr>
          <w:rFonts w:cs="Times New Roman"/>
          <w:szCs w:val="24"/>
        </w:rPr>
        <w:t>A</w:t>
      </w:r>
      <w:r w:rsidRPr="006E584E">
        <w:rPr>
          <w:rFonts w:cs="Times New Roman"/>
          <w:szCs w:val="24"/>
        </w:rPr>
        <w:t>)</w:t>
      </w:r>
      <w:r w:rsidRPr="002C77AE">
        <w:rPr>
          <w:rFonts w:cs="Times New Roman"/>
          <w:b/>
          <w:bCs/>
          <w:szCs w:val="24"/>
        </w:rPr>
        <w:t xml:space="preserve"> </w:t>
      </w:r>
      <w:r w:rsidRPr="002C77AE">
        <w:rPr>
          <w:rFonts w:cs="Times New Roman"/>
          <w:szCs w:val="24"/>
        </w:rPr>
        <w:t>above, the electric security plan and riders would add $6.2 billion in new charges without providing corresponding benefits.</w:t>
      </w:r>
      <w:r w:rsidRPr="002C77AE" w:rsidR="00321DF0">
        <w:rPr>
          <w:rFonts w:cs="Times New Roman"/>
          <w:szCs w:val="24"/>
        </w:rPr>
        <w:t xml:space="preserve"> </w:t>
      </w:r>
      <w:r w:rsidRPr="002C77AE">
        <w:rPr>
          <w:rFonts w:cs="Times New Roman"/>
          <w:szCs w:val="24"/>
        </w:rPr>
        <w:t>OCC agrees with Kroger</w:t>
      </w:r>
      <w:r w:rsidRPr="002C77AE" w:rsidR="00E3180A">
        <w:rPr>
          <w:rFonts w:cs="Times New Roman"/>
          <w:szCs w:val="24"/>
        </w:rPr>
        <w:t xml:space="preserve"> </w:t>
      </w:r>
      <w:r w:rsidRPr="002C77AE" w:rsidR="006E12C6">
        <w:rPr>
          <w:rFonts w:cs="Times New Roman"/>
          <w:szCs w:val="24"/>
        </w:rPr>
        <w:t xml:space="preserve">that </w:t>
      </w:r>
      <w:r w:rsidR="002C77AE">
        <w:rPr>
          <w:rFonts w:cs="Times New Roman"/>
          <w:szCs w:val="24"/>
        </w:rPr>
        <w:t>“</w:t>
      </w:r>
      <w:r w:rsidRPr="002C77AE" w:rsidR="006E12C6">
        <w:rPr>
          <w:rFonts w:cs="Times New Roman"/>
          <w:szCs w:val="24"/>
        </w:rPr>
        <w:t>the fact that FirstEnergy ignored the costs of its above-market riders in its analysis for the MRO test is both telling and glaring.</w:t>
      </w:r>
      <w:r w:rsidR="002C77AE">
        <w:rPr>
          <w:rFonts w:cs="Times New Roman"/>
          <w:szCs w:val="24"/>
        </w:rPr>
        <w:t>”</w:t>
      </w:r>
      <w:r>
        <w:rPr>
          <w:rStyle w:val="FootnoteReference"/>
          <w:rFonts w:cs="Times New Roman"/>
          <w:szCs w:val="24"/>
        </w:rPr>
        <w:footnoteReference w:id="119"/>
      </w:r>
      <w:r w:rsidRPr="002C77AE" w:rsidR="003D4961">
        <w:rPr>
          <w:rFonts w:cs="Times New Roman"/>
          <w:szCs w:val="24"/>
        </w:rPr>
        <w:t xml:space="preserve"> </w:t>
      </w:r>
    </w:p>
    <w:p w:rsidR="00B56596" w:rsidRPr="002C77AE" w:rsidP="009D6558" w14:paraId="0F963AFC" w14:textId="44945B15">
      <w:pPr>
        <w:spacing w:line="480" w:lineRule="auto"/>
        <w:ind w:firstLine="720"/>
        <w:rPr>
          <w:rFonts w:cs="Times New Roman"/>
          <w:szCs w:val="24"/>
        </w:rPr>
      </w:pPr>
      <w:r w:rsidRPr="002C77AE">
        <w:rPr>
          <w:rFonts w:cs="Times New Roman"/>
          <w:szCs w:val="24"/>
        </w:rPr>
        <w:t>Many other intervenors agreed that FirstEnergy</w:t>
      </w:r>
      <w:r w:rsidR="002C77AE">
        <w:rPr>
          <w:rFonts w:cs="Times New Roman"/>
          <w:szCs w:val="24"/>
        </w:rPr>
        <w:t>’</w:t>
      </w:r>
      <w:r w:rsidRPr="002C77AE">
        <w:rPr>
          <w:rFonts w:cs="Times New Roman"/>
          <w:szCs w:val="24"/>
        </w:rPr>
        <w:t xml:space="preserve">s electric security plan failed the </w:t>
      </w:r>
      <w:r w:rsidR="002C77AE">
        <w:rPr>
          <w:rFonts w:cs="Times New Roman"/>
          <w:szCs w:val="24"/>
        </w:rPr>
        <w:t>“</w:t>
      </w:r>
      <w:r w:rsidRPr="002C77AE">
        <w:rPr>
          <w:rFonts w:cs="Times New Roman"/>
          <w:szCs w:val="24"/>
        </w:rPr>
        <w:t>ESP versus MRO</w:t>
      </w:r>
      <w:r w:rsidR="002C77AE">
        <w:rPr>
          <w:rFonts w:cs="Times New Roman"/>
          <w:szCs w:val="24"/>
        </w:rPr>
        <w:t>”</w:t>
      </w:r>
      <w:r w:rsidRPr="002C77AE">
        <w:rPr>
          <w:rFonts w:cs="Times New Roman"/>
          <w:szCs w:val="24"/>
        </w:rPr>
        <w:t xml:space="preserve"> test:</w:t>
      </w:r>
    </w:p>
    <w:p w:rsidR="00E3180A" w:rsidRPr="002C77AE" w:rsidP="004F6C28" w14:paraId="3D1D55D7" w14:textId="559EE859">
      <w:pPr>
        <w:pStyle w:val="ListParagraph"/>
        <w:numPr>
          <w:ilvl w:val="0"/>
          <w:numId w:val="9"/>
        </w:numPr>
        <w:ind w:left="1080"/>
        <w:rPr>
          <w:rFonts w:cs="Times New Roman"/>
          <w:szCs w:val="24"/>
        </w:rPr>
      </w:pPr>
      <w:r w:rsidRPr="002C77AE">
        <w:rPr>
          <w:rFonts w:cs="Times New Roman"/>
          <w:szCs w:val="24"/>
        </w:rPr>
        <w:t xml:space="preserve">OMAEG stated: </w:t>
      </w:r>
      <w:r w:rsidR="002C77AE">
        <w:rPr>
          <w:rFonts w:cs="Times New Roman"/>
          <w:szCs w:val="24"/>
        </w:rPr>
        <w:t>“</w:t>
      </w:r>
      <w:r w:rsidRPr="002C77AE">
        <w:rPr>
          <w:rFonts w:cs="Times New Roman"/>
          <w:szCs w:val="24"/>
        </w:rPr>
        <w:t>FirstEnergy</w:t>
      </w:r>
      <w:r w:rsidR="002C77AE">
        <w:rPr>
          <w:rFonts w:cs="Times New Roman"/>
          <w:szCs w:val="24"/>
        </w:rPr>
        <w:t>’</w:t>
      </w:r>
      <w:r w:rsidRPr="002C77AE">
        <w:rPr>
          <w:rFonts w:cs="Times New Roman"/>
          <w:szCs w:val="24"/>
        </w:rPr>
        <w:t>s claims and analysis are flawed and the record is devoid of any record support for such claims.</w:t>
      </w:r>
      <w:r w:rsidRPr="002C77AE" w:rsidR="00321DF0">
        <w:rPr>
          <w:rFonts w:cs="Times New Roman"/>
          <w:szCs w:val="24"/>
        </w:rPr>
        <w:t xml:space="preserve"> </w:t>
      </w:r>
      <w:r w:rsidRPr="002C77AE">
        <w:rPr>
          <w:rFonts w:cs="Times New Roman"/>
          <w:szCs w:val="24"/>
        </w:rPr>
        <w:t>By its own admissions, FirstEnergy</w:t>
      </w:r>
      <w:r w:rsidR="002C77AE">
        <w:rPr>
          <w:rFonts w:cs="Times New Roman"/>
          <w:szCs w:val="24"/>
        </w:rPr>
        <w:t>’</w:t>
      </w:r>
      <w:r w:rsidRPr="002C77AE">
        <w:rPr>
          <w:rFonts w:cs="Times New Roman"/>
          <w:szCs w:val="24"/>
        </w:rPr>
        <w:t>s analysis of the proposed ESP V did not consider the effects of the 2024 rate case on bill impacts or revenue requirement allocations, nor did it consider several other pending cases that will inevitably alter the bill impacts of ESP V on customers.</w:t>
      </w:r>
      <w:r w:rsidR="002C77AE">
        <w:rPr>
          <w:rFonts w:cs="Times New Roman"/>
          <w:szCs w:val="24"/>
        </w:rPr>
        <w:t>”</w:t>
      </w:r>
      <w:r>
        <w:rPr>
          <w:rStyle w:val="FootnoteReference"/>
          <w:rFonts w:cs="Times New Roman"/>
          <w:szCs w:val="24"/>
        </w:rPr>
        <w:footnoteReference w:id="120"/>
      </w:r>
    </w:p>
    <w:p w:rsidR="00022326" w:rsidRPr="002C77AE" w:rsidP="004F6C28" w14:paraId="224B5221" w14:textId="77777777">
      <w:pPr>
        <w:pStyle w:val="ListParagraph"/>
        <w:ind w:left="1080" w:hanging="360"/>
        <w:rPr>
          <w:rFonts w:cs="Times New Roman"/>
          <w:szCs w:val="24"/>
        </w:rPr>
      </w:pPr>
    </w:p>
    <w:p w:rsidR="00E3180A" w:rsidRPr="002C77AE" w:rsidP="004F6C28" w14:paraId="36586832" w14:textId="604D7B0F">
      <w:pPr>
        <w:pStyle w:val="ListParagraph"/>
        <w:numPr>
          <w:ilvl w:val="0"/>
          <w:numId w:val="9"/>
        </w:numPr>
        <w:ind w:left="1080"/>
        <w:rPr>
          <w:rFonts w:cs="Times New Roman"/>
          <w:szCs w:val="24"/>
        </w:rPr>
      </w:pPr>
      <w:r w:rsidRPr="002C77AE">
        <w:rPr>
          <w:rFonts w:cs="Times New Roman"/>
          <w:szCs w:val="24"/>
        </w:rPr>
        <w:t xml:space="preserve">Kroger explained: </w:t>
      </w:r>
      <w:r w:rsidR="002C77AE">
        <w:rPr>
          <w:rFonts w:cs="Times New Roman"/>
          <w:szCs w:val="24"/>
        </w:rPr>
        <w:t>“</w:t>
      </w:r>
      <w:r w:rsidRPr="002C77AE">
        <w:rPr>
          <w:rFonts w:cs="Times New Roman"/>
          <w:szCs w:val="24"/>
        </w:rPr>
        <w:t xml:space="preserve">In short, as noted by OCC witness Meyer, </w:t>
      </w:r>
      <w:r w:rsidR="002C77AE">
        <w:rPr>
          <w:rFonts w:cs="Times New Roman"/>
          <w:szCs w:val="24"/>
        </w:rPr>
        <w:t>‘</w:t>
      </w:r>
      <w:r w:rsidRPr="002C77AE">
        <w:rPr>
          <w:rFonts w:cs="Times New Roman"/>
          <w:szCs w:val="24"/>
        </w:rPr>
        <w:t>if all factors including rate impacts are considered, the ESP V vs. MRO test fails, contrary to the position of FirstEnergy.</w:t>
      </w:r>
      <w:r w:rsidR="002C77AE">
        <w:rPr>
          <w:rFonts w:cs="Times New Roman"/>
          <w:szCs w:val="24"/>
        </w:rPr>
        <w:t>’”</w:t>
      </w:r>
      <w:r>
        <w:rPr>
          <w:rStyle w:val="FootnoteReference"/>
          <w:rFonts w:cs="Times New Roman"/>
          <w:szCs w:val="24"/>
        </w:rPr>
        <w:footnoteReference w:id="121"/>
      </w:r>
    </w:p>
    <w:p w:rsidR="00022326" w:rsidRPr="002C77AE" w:rsidP="004F6C28" w14:paraId="18075F5F" w14:textId="77777777">
      <w:pPr>
        <w:pStyle w:val="ListParagraph"/>
        <w:ind w:left="1080" w:hanging="360"/>
        <w:rPr>
          <w:rFonts w:cs="Times New Roman"/>
          <w:szCs w:val="24"/>
        </w:rPr>
      </w:pPr>
    </w:p>
    <w:p w:rsidR="00022326" w:rsidRPr="002C77AE" w:rsidP="004F6C28" w14:paraId="539F8B3C" w14:textId="0D50601B">
      <w:pPr>
        <w:pStyle w:val="ListParagraph"/>
        <w:numPr>
          <w:ilvl w:val="0"/>
          <w:numId w:val="9"/>
        </w:numPr>
        <w:ind w:left="1080"/>
        <w:rPr>
          <w:rFonts w:cs="Times New Roman"/>
          <w:szCs w:val="24"/>
        </w:rPr>
      </w:pPr>
      <w:r w:rsidRPr="002C77AE">
        <w:rPr>
          <w:rFonts w:cs="Times New Roman"/>
          <w:szCs w:val="24"/>
        </w:rPr>
        <w:t xml:space="preserve">NOAC argued: </w:t>
      </w:r>
      <w:r w:rsidR="002C77AE">
        <w:rPr>
          <w:rFonts w:cs="Times New Roman"/>
          <w:szCs w:val="24"/>
        </w:rPr>
        <w:t>“</w:t>
      </w:r>
      <w:r w:rsidRPr="002C77AE">
        <w:rPr>
          <w:rFonts w:cs="Times New Roman"/>
          <w:szCs w:val="24"/>
        </w:rPr>
        <w:t>The MRO/base rate case also would provide an enormous qualitative/quantitative benefit by stopping FE Corp/Companies abuse of the ESP/rider system.</w:t>
      </w:r>
      <w:r w:rsidR="002C77AE">
        <w:rPr>
          <w:rFonts w:cs="Times New Roman"/>
          <w:szCs w:val="24"/>
        </w:rPr>
        <w:t>”</w:t>
      </w:r>
      <w:r>
        <w:rPr>
          <w:rStyle w:val="FootnoteReference"/>
          <w:rFonts w:cs="Times New Roman"/>
          <w:szCs w:val="24"/>
        </w:rPr>
        <w:footnoteReference w:id="122"/>
      </w:r>
    </w:p>
    <w:p w:rsidR="00CA31A0" w:rsidRPr="002C77AE" w:rsidP="001E1D98" w14:paraId="69CA556C" w14:textId="77777777">
      <w:pPr>
        <w:ind w:firstLine="720"/>
        <w:rPr>
          <w:rFonts w:cs="Times New Roman"/>
          <w:szCs w:val="24"/>
        </w:rPr>
      </w:pPr>
    </w:p>
    <w:p w:rsidR="00466FD9" w:rsidRPr="002C77AE" w:rsidP="009D6558" w14:paraId="6FCCBAB5" w14:textId="02ABA1E3">
      <w:pPr>
        <w:spacing w:line="480" w:lineRule="auto"/>
        <w:ind w:firstLine="720"/>
        <w:rPr>
          <w:rFonts w:cs="Times New Roman"/>
          <w:szCs w:val="24"/>
        </w:rPr>
      </w:pPr>
      <w:r w:rsidRPr="002C77AE">
        <w:rPr>
          <w:rFonts w:cs="Times New Roman"/>
          <w:szCs w:val="24"/>
        </w:rPr>
        <w:t xml:space="preserve">PUCO Staff and </w:t>
      </w:r>
      <w:r w:rsidRPr="002C77AE" w:rsidR="00613A0D">
        <w:rPr>
          <w:rFonts w:cs="Times New Roman"/>
          <w:szCs w:val="24"/>
        </w:rPr>
        <w:t>some</w:t>
      </w:r>
      <w:r w:rsidRPr="002C77AE">
        <w:rPr>
          <w:rFonts w:cs="Times New Roman"/>
          <w:szCs w:val="24"/>
        </w:rPr>
        <w:t xml:space="preserve"> intervenors proposed various modifications to the electric security plan.</w:t>
      </w:r>
      <w:r w:rsidRPr="002C77AE" w:rsidR="00321DF0">
        <w:rPr>
          <w:rFonts w:cs="Times New Roman"/>
          <w:szCs w:val="24"/>
        </w:rPr>
        <w:t xml:space="preserve"> </w:t>
      </w:r>
      <w:r w:rsidRPr="002C77AE" w:rsidR="00CA31A0">
        <w:rPr>
          <w:rFonts w:cs="Times New Roman"/>
          <w:szCs w:val="24"/>
        </w:rPr>
        <w:t>However,</w:t>
      </w:r>
      <w:r w:rsidR="002C77AE">
        <w:rPr>
          <w:rFonts w:cs="Times New Roman"/>
          <w:szCs w:val="24"/>
        </w:rPr>
        <w:t xml:space="preserve"> </w:t>
      </w:r>
      <w:r w:rsidRPr="002C77AE">
        <w:rPr>
          <w:rFonts w:cs="Times New Roman"/>
          <w:szCs w:val="24"/>
        </w:rPr>
        <w:t xml:space="preserve">the electric security plan </w:t>
      </w:r>
      <w:r w:rsidRPr="002C77AE" w:rsidR="000D0AF3">
        <w:rPr>
          <w:rFonts w:cs="Times New Roman"/>
          <w:szCs w:val="24"/>
        </w:rPr>
        <w:t xml:space="preserve">will </w:t>
      </w:r>
      <w:r w:rsidRPr="002C77AE">
        <w:rPr>
          <w:rFonts w:cs="Times New Roman"/>
          <w:szCs w:val="24"/>
        </w:rPr>
        <w:t xml:space="preserve">fail the </w:t>
      </w:r>
      <w:r w:rsidR="002C77AE">
        <w:rPr>
          <w:rFonts w:cs="Times New Roman"/>
          <w:szCs w:val="24"/>
        </w:rPr>
        <w:t>“</w:t>
      </w:r>
      <w:r w:rsidRPr="002C77AE">
        <w:rPr>
          <w:rFonts w:cs="Times New Roman"/>
          <w:szCs w:val="24"/>
        </w:rPr>
        <w:t>ESP versus MRO</w:t>
      </w:r>
      <w:r w:rsidR="002C77AE">
        <w:rPr>
          <w:rFonts w:cs="Times New Roman"/>
          <w:szCs w:val="24"/>
        </w:rPr>
        <w:t>”</w:t>
      </w:r>
      <w:r w:rsidRPr="002C77AE">
        <w:rPr>
          <w:rFonts w:cs="Times New Roman"/>
          <w:szCs w:val="24"/>
        </w:rPr>
        <w:t xml:space="preserve"> test</w:t>
      </w:r>
      <w:r w:rsidRPr="002C77AE" w:rsidR="000D0AF3">
        <w:rPr>
          <w:rFonts w:cs="Times New Roman"/>
          <w:szCs w:val="24"/>
        </w:rPr>
        <w:t xml:space="preserve"> regardless of the proposed changes</w:t>
      </w:r>
      <w:r w:rsidRPr="002C77AE">
        <w:rPr>
          <w:rFonts w:cs="Times New Roman"/>
          <w:szCs w:val="24"/>
        </w:rPr>
        <w:t>.</w:t>
      </w:r>
    </w:p>
    <w:p w:rsidR="009D6558" w:rsidRPr="002C77AE" w:rsidP="009D6558" w14:paraId="19F864CA" w14:textId="1AE6CBC7">
      <w:pPr>
        <w:spacing w:line="480" w:lineRule="auto"/>
        <w:ind w:firstLine="720"/>
        <w:rPr>
          <w:rFonts w:cs="Times New Roman"/>
          <w:szCs w:val="24"/>
        </w:rPr>
      </w:pPr>
      <w:r w:rsidRPr="002C77AE">
        <w:rPr>
          <w:rFonts w:cs="Times New Roman"/>
          <w:szCs w:val="24"/>
        </w:rPr>
        <w:t xml:space="preserve">A market-rate offer </w:t>
      </w:r>
      <w:r w:rsidRPr="002C77AE" w:rsidR="00466FD9">
        <w:rPr>
          <w:rFonts w:cs="Times New Roman"/>
          <w:szCs w:val="24"/>
        </w:rPr>
        <w:t xml:space="preserve">would comply with the </w:t>
      </w:r>
      <w:r w:rsidRPr="002C77AE">
        <w:rPr>
          <w:rFonts w:cs="Times New Roman"/>
          <w:szCs w:val="24"/>
        </w:rPr>
        <w:t>PUCO</w:t>
      </w:r>
      <w:r w:rsidR="002C77AE">
        <w:rPr>
          <w:rFonts w:cs="Times New Roman"/>
          <w:szCs w:val="24"/>
        </w:rPr>
        <w:t>’</w:t>
      </w:r>
      <w:r w:rsidRPr="002C77AE" w:rsidR="00466FD9">
        <w:rPr>
          <w:rFonts w:cs="Times New Roman"/>
          <w:szCs w:val="24"/>
        </w:rPr>
        <w:t xml:space="preserve">s </w:t>
      </w:r>
      <w:r w:rsidRPr="002C77AE">
        <w:rPr>
          <w:rFonts w:cs="Times New Roman"/>
          <w:szCs w:val="24"/>
        </w:rPr>
        <w:t xml:space="preserve">mission of assuring </w:t>
      </w:r>
      <w:r w:rsidR="002C77AE">
        <w:rPr>
          <w:rFonts w:cs="Times New Roman"/>
          <w:szCs w:val="24"/>
        </w:rPr>
        <w:t>“</w:t>
      </w:r>
      <w:r w:rsidRPr="002C77AE">
        <w:rPr>
          <w:rFonts w:cs="Times New Roman"/>
          <w:szCs w:val="24"/>
        </w:rPr>
        <w:t>all residential and business consumers access to adequate, safe and reliable utility services at fair prices, while facilitating an environment that provides competitive choices.</w:t>
      </w:r>
      <w:r w:rsidR="002C77AE">
        <w:rPr>
          <w:rFonts w:cs="Times New Roman"/>
          <w:szCs w:val="24"/>
        </w:rPr>
        <w:t>”</w:t>
      </w:r>
      <w:r>
        <w:rPr>
          <w:rFonts w:cs="Times New Roman"/>
          <w:szCs w:val="24"/>
          <w:vertAlign w:val="superscript"/>
        </w:rPr>
        <w:footnoteReference w:id="123"/>
      </w:r>
      <w:r w:rsidRPr="002C77AE">
        <w:rPr>
          <w:rFonts w:cs="Times New Roman"/>
          <w:szCs w:val="24"/>
        </w:rPr>
        <w:t xml:space="preserve"> A market-rate offer would </w:t>
      </w:r>
      <w:r w:rsidRPr="002C77AE" w:rsidR="00466FD9">
        <w:rPr>
          <w:rFonts w:cs="Times New Roman"/>
          <w:szCs w:val="24"/>
        </w:rPr>
        <w:t>fairly balance all parties</w:t>
      </w:r>
      <w:r w:rsidR="002C77AE">
        <w:rPr>
          <w:rFonts w:cs="Times New Roman"/>
          <w:szCs w:val="24"/>
        </w:rPr>
        <w:t>’</w:t>
      </w:r>
      <w:r w:rsidRPr="002C77AE" w:rsidR="00466FD9">
        <w:rPr>
          <w:rFonts w:cs="Times New Roman"/>
          <w:szCs w:val="24"/>
        </w:rPr>
        <w:t xml:space="preserve"> interests as well as the public interest.</w:t>
      </w:r>
    </w:p>
    <w:p w:rsidR="0033457D" w:rsidRPr="002C77AE" w:rsidP="00766C2A" w14:paraId="40F98B87" w14:textId="77777777">
      <w:pPr>
        <w:ind w:firstLine="720"/>
        <w:rPr>
          <w:rFonts w:cs="Times New Roman"/>
          <w:szCs w:val="24"/>
        </w:rPr>
      </w:pPr>
    </w:p>
    <w:p w:rsidR="00115C2B" w:rsidRPr="002C77AE" w:rsidP="00504FBE" w14:paraId="3A61258F" w14:textId="7041FFD8">
      <w:pPr>
        <w:pStyle w:val="Heading1"/>
        <w:rPr>
          <w:rFonts w:ascii="Times New Roman" w:hAnsi="Times New Roman"/>
        </w:rPr>
      </w:pPr>
      <w:bookmarkStart w:id="33" w:name="_Toc156561543"/>
      <w:bookmarkStart w:id="34" w:name="_Toc158373179"/>
      <w:r w:rsidRPr="002C77AE">
        <w:rPr>
          <w:rFonts w:ascii="Times New Roman" w:hAnsi="Times New Roman"/>
        </w:rPr>
        <w:t>I</w:t>
      </w:r>
      <w:r w:rsidRPr="002C77AE" w:rsidR="00222538">
        <w:rPr>
          <w:rFonts w:ascii="Times New Roman" w:hAnsi="Times New Roman"/>
        </w:rPr>
        <w:t>II</w:t>
      </w:r>
      <w:r w:rsidRPr="002C77AE">
        <w:rPr>
          <w:rFonts w:ascii="Times New Roman" w:hAnsi="Times New Roman"/>
        </w:rPr>
        <w:t>.</w:t>
      </w:r>
      <w:r w:rsidRPr="002C77AE" w:rsidR="00485140">
        <w:rPr>
          <w:rFonts w:ascii="Times New Roman" w:hAnsi="Times New Roman"/>
        </w:rPr>
        <w:tab/>
      </w:r>
      <w:r w:rsidRPr="002C77AE">
        <w:rPr>
          <w:rFonts w:ascii="Times New Roman" w:hAnsi="Times New Roman"/>
        </w:rPr>
        <w:t>CONCLUSION</w:t>
      </w:r>
      <w:bookmarkEnd w:id="33"/>
      <w:bookmarkEnd w:id="34"/>
    </w:p>
    <w:p w:rsidR="00C72672" w:rsidRPr="002C77AE" w:rsidP="00C72672" w14:paraId="1F105A83" w14:textId="37B59FC3">
      <w:pPr>
        <w:spacing w:line="480" w:lineRule="auto"/>
        <w:ind w:firstLine="720"/>
        <w:rPr>
          <w:rFonts w:eastAsia="Calibri" w:cs="Times New Roman"/>
          <w:szCs w:val="24"/>
        </w:rPr>
      </w:pPr>
      <w:r w:rsidRPr="002C77AE">
        <w:rPr>
          <w:rFonts w:eastAsia="Calibri" w:cs="Times New Roman"/>
          <w:szCs w:val="24"/>
        </w:rPr>
        <w:t>The PUCO should protect consumers by rejecting FirstEnergy</w:t>
      </w:r>
      <w:r w:rsidR="002C77AE">
        <w:rPr>
          <w:rFonts w:eastAsia="Calibri" w:cs="Times New Roman"/>
          <w:szCs w:val="24"/>
        </w:rPr>
        <w:t>’</w:t>
      </w:r>
      <w:r w:rsidRPr="002C77AE">
        <w:rPr>
          <w:rFonts w:eastAsia="Calibri" w:cs="Times New Roman"/>
          <w:szCs w:val="24"/>
        </w:rPr>
        <w:t xml:space="preserve">s proposed ESP V. </w:t>
      </w:r>
      <w:r w:rsidRPr="002C77AE" w:rsidR="0049119C">
        <w:rPr>
          <w:rFonts w:eastAsia="Calibri" w:cs="Times New Roman"/>
          <w:szCs w:val="24"/>
        </w:rPr>
        <w:t>FirstEnergy</w:t>
      </w:r>
      <w:r w:rsidR="002C77AE">
        <w:rPr>
          <w:rFonts w:eastAsia="Calibri" w:cs="Times New Roman"/>
          <w:szCs w:val="24"/>
        </w:rPr>
        <w:t>’</w:t>
      </w:r>
      <w:r w:rsidRPr="002C77AE" w:rsidR="0049119C">
        <w:rPr>
          <w:rFonts w:eastAsia="Calibri" w:cs="Times New Roman"/>
          <w:szCs w:val="24"/>
        </w:rPr>
        <w:t xml:space="preserve">s electric security plan is unlawful, </w:t>
      </w:r>
      <w:r w:rsidRPr="002C77AE" w:rsidR="00D312D4">
        <w:rPr>
          <w:rFonts w:eastAsia="Calibri" w:cs="Times New Roman"/>
          <w:szCs w:val="24"/>
        </w:rPr>
        <w:t>unjust and unreasonable</w:t>
      </w:r>
      <w:r w:rsidRPr="002C77AE" w:rsidR="0049119C">
        <w:rPr>
          <w:rFonts w:eastAsia="Calibri" w:cs="Times New Roman"/>
          <w:szCs w:val="24"/>
        </w:rPr>
        <w:t xml:space="preserve"> and inconsistent with PUCO precedent.</w:t>
      </w:r>
      <w:r w:rsidRPr="002C77AE" w:rsidR="00321DF0">
        <w:rPr>
          <w:rFonts w:eastAsia="Calibri" w:cs="Times New Roman"/>
          <w:szCs w:val="24"/>
        </w:rPr>
        <w:t xml:space="preserve"> </w:t>
      </w:r>
      <w:r w:rsidRPr="002C77AE" w:rsidR="0049119C">
        <w:rPr>
          <w:rFonts w:eastAsia="Calibri" w:cs="Times New Roman"/>
          <w:szCs w:val="24"/>
        </w:rPr>
        <w:t>The electric security plan and riders</w:t>
      </w:r>
      <w:r w:rsidRPr="002C77AE" w:rsidR="00A82749">
        <w:rPr>
          <w:rFonts w:eastAsia="Calibri" w:cs="Times New Roman"/>
          <w:szCs w:val="24"/>
        </w:rPr>
        <w:t xml:space="preserve"> w</w:t>
      </w:r>
      <w:r w:rsidRPr="002C77AE" w:rsidR="00E75BF5">
        <w:rPr>
          <w:rFonts w:eastAsia="Calibri" w:cs="Times New Roman"/>
          <w:szCs w:val="24"/>
        </w:rPr>
        <w:t>ould</w:t>
      </w:r>
      <w:r w:rsidRPr="002C77AE" w:rsidR="00A82749">
        <w:rPr>
          <w:rFonts w:eastAsia="Calibri" w:cs="Times New Roman"/>
          <w:szCs w:val="24"/>
        </w:rPr>
        <w:t xml:space="preserve"> increase the cost of consumers</w:t>
      </w:r>
      <w:r w:rsidR="002C77AE">
        <w:rPr>
          <w:rFonts w:eastAsia="Calibri" w:cs="Times New Roman"/>
          <w:szCs w:val="24"/>
        </w:rPr>
        <w:t>’</w:t>
      </w:r>
      <w:r w:rsidRPr="002C77AE" w:rsidR="00A82749">
        <w:rPr>
          <w:rFonts w:eastAsia="Calibri" w:cs="Times New Roman"/>
          <w:szCs w:val="24"/>
        </w:rPr>
        <w:t xml:space="preserve"> electric service by $</w:t>
      </w:r>
      <w:r w:rsidRPr="002C77AE" w:rsidR="00466FD9">
        <w:rPr>
          <w:rFonts w:eastAsia="Calibri" w:cs="Times New Roman"/>
          <w:szCs w:val="24"/>
        </w:rPr>
        <w:t>6</w:t>
      </w:r>
      <w:r w:rsidRPr="002C77AE" w:rsidR="00A82749">
        <w:rPr>
          <w:rFonts w:eastAsia="Calibri" w:cs="Times New Roman"/>
          <w:szCs w:val="24"/>
        </w:rPr>
        <w:t>.</w:t>
      </w:r>
      <w:r w:rsidRPr="002C77AE" w:rsidR="00466FD9">
        <w:rPr>
          <w:rFonts w:eastAsia="Calibri" w:cs="Times New Roman"/>
          <w:szCs w:val="24"/>
        </w:rPr>
        <w:t>2</w:t>
      </w:r>
      <w:r w:rsidRPr="002C77AE" w:rsidR="00A82749">
        <w:rPr>
          <w:rFonts w:eastAsia="Calibri" w:cs="Times New Roman"/>
          <w:szCs w:val="24"/>
        </w:rPr>
        <w:t xml:space="preserve"> billion</w:t>
      </w:r>
      <w:r w:rsidRPr="002C77AE">
        <w:rPr>
          <w:rFonts w:eastAsia="Calibri" w:cs="Times New Roman"/>
          <w:szCs w:val="24"/>
        </w:rPr>
        <w:t xml:space="preserve"> and the benefits to consumers are entirely unclear.</w:t>
      </w:r>
      <w:r w:rsidRPr="002C77AE" w:rsidR="00A82749">
        <w:rPr>
          <w:rFonts w:eastAsia="Calibri" w:cs="Times New Roman"/>
          <w:szCs w:val="24"/>
        </w:rPr>
        <w:t xml:space="preserve"> </w:t>
      </w:r>
    </w:p>
    <w:p w:rsidR="004C46CD" w:rsidRPr="002C77AE" w:rsidP="00C72672" w14:paraId="181DC031" w14:textId="36A14229">
      <w:pPr>
        <w:spacing w:line="480" w:lineRule="auto"/>
        <w:ind w:firstLine="720"/>
        <w:rPr>
          <w:rFonts w:eastAsia="Calibri" w:cs="Times New Roman"/>
          <w:szCs w:val="24"/>
        </w:rPr>
      </w:pPr>
      <w:r w:rsidRPr="002C77AE">
        <w:rPr>
          <w:rFonts w:eastAsia="Calibri" w:cs="Times New Roman"/>
          <w:szCs w:val="24"/>
        </w:rPr>
        <w:t xml:space="preserve">In addition, </w:t>
      </w:r>
      <w:r w:rsidRPr="002C77AE" w:rsidR="0049119C">
        <w:rPr>
          <w:rFonts w:eastAsia="Calibri" w:cs="Times New Roman"/>
          <w:szCs w:val="24"/>
        </w:rPr>
        <w:t xml:space="preserve">FirstEnergy has failed to demonstrate that </w:t>
      </w:r>
      <w:r w:rsidRPr="002C77AE">
        <w:rPr>
          <w:rFonts w:eastAsia="Calibri" w:cs="Times New Roman"/>
          <w:szCs w:val="24"/>
        </w:rPr>
        <w:t>its proposed</w:t>
      </w:r>
      <w:r w:rsidRPr="002C77AE" w:rsidR="00321DF0">
        <w:rPr>
          <w:rFonts w:eastAsia="Calibri" w:cs="Times New Roman"/>
          <w:szCs w:val="24"/>
        </w:rPr>
        <w:t xml:space="preserve"> </w:t>
      </w:r>
      <w:r w:rsidRPr="002C77AE" w:rsidR="0049119C">
        <w:rPr>
          <w:rFonts w:eastAsia="Calibri" w:cs="Times New Roman"/>
          <w:szCs w:val="24"/>
        </w:rPr>
        <w:t>ESP</w:t>
      </w:r>
      <w:r w:rsidRPr="002C77AE">
        <w:rPr>
          <w:rFonts w:eastAsia="Calibri" w:cs="Times New Roman"/>
          <w:szCs w:val="24"/>
        </w:rPr>
        <w:t xml:space="preserve"> V</w:t>
      </w:r>
      <w:r w:rsidRPr="002C77AE" w:rsidR="0049119C">
        <w:rPr>
          <w:rFonts w:eastAsia="Calibri" w:cs="Times New Roman"/>
          <w:szCs w:val="24"/>
        </w:rPr>
        <w:t xml:space="preserve"> is </w:t>
      </w:r>
      <w:r w:rsidRPr="002C77AE" w:rsidR="00D63321">
        <w:rPr>
          <w:rFonts w:eastAsia="Calibri" w:cs="Times New Roman"/>
          <w:szCs w:val="24"/>
        </w:rPr>
        <w:t>more favorable to consumers than a market</w:t>
      </w:r>
      <w:r w:rsidRPr="002C77AE" w:rsidR="00466FD9">
        <w:rPr>
          <w:rFonts w:eastAsia="Calibri" w:cs="Times New Roman"/>
          <w:szCs w:val="24"/>
        </w:rPr>
        <w:t>-</w:t>
      </w:r>
      <w:r w:rsidRPr="002C77AE" w:rsidR="00D63321">
        <w:rPr>
          <w:rFonts w:eastAsia="Calibri" w:cs="Times New Roman"/>
          <w:szCs w:val="24"/>
        </w:rPr>
        <w:t>rate offer</w:t>
      </w:r>
      <w:r w:rsidRPr="002C77AE" w:rsidR="00466FD9">
        <w:rPr>
          <w:rFonts w:eastAsia="Calibri" w:cs="Times New Roman"/>
          <w:szCs w:val="24"/>
        </w:rPr>
        <w:t>.</w:t>
      </w:r>
      <w:r w:rsidRPr="002C77AE" w:rsidR="00321DF0">
        <w:rPr>
          <w:rFonts w:eastAsia="Calibri" w:cs="Times New Roman"/>
          <w:szCs w:val="24"/>
        </w:rPr>
        <w:t xml:space="preserve"> </w:t>
      </w:r>
      <w:r w:rsidRPr="002C77AE" w:rsidR="00466FD9">
        <w:rPr>
          <w:rFonts w:eastAsia="Calibri" w:cs="Times New Roman"/>
          <w:szCs w:val="24"/>
        </w:rPr>
        <w:t>T</w:t>
      </w:r>
      <w:r w:rsidRPr="002C77AE" w:rsidR="00A82749">
        <w:rPr>
          <w:rFonts w:eastAsia="Calibri" w:cs="Times New Roman"/>
          <w:szCs w:val="24"/>
        </w:rPr>
        <w:t xml:space="preserve">he PUCO should reject the </w:t>
      </w:r>
      <w:r w:rsidRPr="002C77AE" w:rsidR="00466FD9">
        <w:rPr>
          <w:rFonts w:eastAsia="Calibri" w:cs="Times New Roman"/>
          <w:szCs w:val="24"/>
        </w:rPr>
        <w:t xml:space="preserve">electric security plan </w:t>
      </w:r>
      <w:r w:rsidRPr="002C77AE" w:rsidR="00A82749">
        <w:rPr>
          <w:rFonts w:eastAsia="Calibri" w:cs="Times New Roman"/>
          <w:szCs w:val="24"/>
        </w:rPr>
        <w:t xml:space="preserve">proposal and </w:t>
      </w:r>
      <w:r w:rsidRPr="002C77AE" w:rsidR="00E75BF5">
        <w:rPr>
          <w:rFonts w:eastAsia="Calibri" w:cs="Times New Roman"/>
          <w:szCs w:val="24"/>
        </w:rPr>
        <w:t>require FirstEnergy to implement a market-rate option.</w:t>
      </w:r>
    </w:p>
    <w:p w:rsidR="00C72672" w:rsidRPr="002C77AE" w:rsidP="00D30EA4" w14:paraId="74C6762A" w14:textId="77777777">
      <w:pPr>
        <w:tabs>
          <w:tab w:val="left" w:pos="2776"/>
        </w:tabs>
        <w:ind w:left="4230" w:right="339"/>
        <w:rPr>
          <w:rFonts w:cs="Times New Roman"/>
          <w:szCs w:val="24"/>
        </w:rPr>
      </w:pPr>
    </w:p>
    <w:p w:rsidR="0033457D" w:rsidRPr="002C77AE" w14:paraId="55BD7F7E" w14:textId="77777777">
      <w:pPr>
        <w:spacing w:after="200" w:line="276" w:lineRule="auto"/>
        <w:rPr>
          <w:rFonts w:cs="Times New Roman"/>
          <w:szCs w:val="24"/>
        </w:rPr>
      </w:pPr>
      <w:r w:rsidRPr="002C77AE">
        <w:rPr>
          <w:rFonts w:cs="Times New Roman"/>
          <w:szCs w:val="24"/>
        </w:rPr>
        <w:br w:type="page"/>
      </w:r>
    </w:p>
    <w:p w:rsidR="00D30EA4" w:rsidRPr="002C77AE" w:rsidP="00D30EA4" w14:paraId="50F392A9" w14:textId="406AA15F">
      <w:pPr>
        <w:tabs>
          <w:tab w:val="left" w:pos="2776"/>
        </w:tabs>
        <w:ind w:left="4230" w:right="339"/>
        <w:rPr>
          <w:rFonts w:cs="Times New Roman"/>
          <w:szCs w:val="24"/>
        </w:rPr>
      </w:pPr>
      <w:r w:rsidRPr="002C77AE">
        <w:rPr>
          <w:rFonts w:cs="Times New Roman"/>
          <w:szCs w:val="24"/>
        </w:rPr>
        <w:t>Respectfully submitted,</w:t>
      </w:r>
    </w:p>
    <w:p w:rsidR="00D30EA4" w:rsidRPr="002C77AE" w:rsidP="00D30EA4" w14:paraId="2B4E373C" w14:textId="77777777">
      <w:pPr>
        <w:tabs>
          <w:tab w:val="left" w:pos="2776"/>
        </w:tabs>
        <w:ind w:left="4230" w:right="339"/>
        <w:rPr>
          <w:rFonts w:cs="Times New Roman"/>
          <w:szCs w:val="24"/>
        </w:rPr>
      </w:pPr>
    </w:p>
    <w:p w:rsidR="00D30EA4" w:rsidRPr="002C77AE" w:rsidP="00D30EA4" w14:paraId="72A9CA77" w14:textId="77777777">
      <w:pPr>
        <w:tabs>
          <w:tab w:val="left" w:pos="2776"/>
        </w:tabs>
        <w:ind w:left="4230" w:right="339"/>
        <w:rPr>
          <w:rFonts w:cs="Times New Roman"/>
          <w:szCs w:val="24"/>
        </w:rPr>
      </w:pPr>
      <w:r w:rsidRPr="002C77AE">
        <w:rPr>
          <w:rFonts w:eastAsia="Times New Roman" w:cs="Times New Roman"/>
          <w:szCs w:val="24"/>
        </w:rPr>
        <w:t>Maureen R. Willis (0020847)</w:t>
      </w:r>
    </w:p>
    <w:p w:rsidR="00D30EA4" w:rsidRPr="002C77AE" w:rsidP="00D30EA4" w14:paraId="76C936FB" w14:textId="2D4EE36D">
      <w:pPr>
        <w:tabs>
          <w:tab w:val="left" w:pos="2776"/>
        </w:tabs>
        <w:ind w:left="4230" w:right="339"/>
        <w:rPr>
          <w:rFonts w:cs="Times New Roman"/>
          <w:szCs w:val="24"/>
        </w:rPr>
      </w:pPr>
      <w:r w:rsidRPr="002C77AE">
        <w:rPr>
          <w:rFonts w:eastAsia="Times New Roman" w:cs="Times New Roman"/>
          <w:szCs w:val="24"/>
        </w:rPr>
        <w:t>Ohio Consumers</w:t>
      </w:r>
      <w:r w:rsidR="002C77AE">
        <w:rPr>
          <w:rFonts w:eastAsia="Times New Roman" w:cs="Times New Roman"/>
          <w:szCs w:val="24"/>
        </w:rPr>
        <w:t>’</w:t>
      </w:r>
      <w:r w:rsidRPr="002C77AE">
        <w:rPr>
          <w:rFonts w:eastAsia="Times New Roman" w:cs="Times New Roman"/>
          <w:szCs w:val="24"/>
        </w:rPr>
        <w:t xml:space="preserve"> Counsel</w:t>
      </w:r>
    </w:p>
    <w:p w:rsidR="00D30EA4" w:rsidRPr="002C77AE" w:rsidP="00D30EA4" w14:paraId="204F2FD9" w14:textId="77777777">
      <w:pPr>
        <w:tabs>
          <w:tab w:val="left" w:pos="2776"/>
        </w:tabs>
        <w:ind w:left="4230" w:right="339"/>
        <w:rPr>
          <w:rFonts w:cs="Times New Roman"/>
          <w:i/>
          <w:iCs/>
          <w:szCs w:val="24"/>
        </w:rPr>
      </w:pPr>
      <w:r w:rsidRPr="002C77AE">
        <w:rPr>
          <w:rFonts w:eastAsia="Times New Roman" w:cs="Times New Roman"/>
          <w:i/>
          <w:iCs/>
          <w:szCs w:val="24"/>
        </w:rPr>
        <w:t xml:space="preserve"> </w:t>
      </w:r>
    </w:p>
    <w:p w:rsidR="00D30EA4" w:rsidRPr="002C77AE" w:rsidP="00D30EA4" w14:paraId="18EB6AA1" w14:textId="47BA13A2">
      <w:pPr>
        <w:tabs>
          <w:tab w:val="left" w:pos="2776"/>
        </w:tabs>
        <w:ind w:left="4230" w:right="339"/>
        <w:rPr>
          <w:rFonts w:cs="Times New Roman"/>
          <w:i/>
          <w:iCs/>
          <w:szCs w:val="24"/>
        </w:rPr>
      </w:pPr>
      <w:r w:rsidRPr="002C77AE">
        <w:rPr>
          <w:rFonts w:eastAsia="Times New Roman" w:cs="Times New Roman"/>
          <w:szCs w:val="24"/>
          <w:u w:val="single"/>
        </w:rPr>
        <w:t xml:space="preserve">/s/ </w:t>
      </w:r>
      <w:r w:rsidRPr="002C77AE">
        <w:rPr>
          <w:rFonts w:eastAsia="Times New Roman" w:cs="Times New Roman"/>
          <w:i/>
          <w:iCs/>
          <w:szCs w:val="24"/>
          <w:u w:val="single"/>
        </w:rPr>
        <w:t>John Finnigan</w:t>
      </w:r>
    </w:p>
    <w:p w:rsidR="00D30EA4" w:rsidRPr="002C77AE" w:rsidP="00D30EA4" w14:paraId="1A667151" w14:textId="77777777">
      <w:pPr>
        <w:tabs>
          <w:tab w:val="left" w:pos="2776"/>
        </w:tabs>
        <w:ind w:left="4230" w:right="339"/>
        <w:rPr>
          <w:rFonts w:cs="Times New Roman"/>
          <w:szCs w:val="24"/>
        </w:rPr>
      </w:pPr>
      <w:r w:rsidRPr="002C77AE">
        <w:rPr>
          <w:rFonts w:eastAsia="Times New Roman" w:cs="Times New Roman"/>
          <w:szCs w:val="24"/>
        </w:rPr>
        <w:t>John Finnigan (0018689)</w:t>
      </w:r>
    </w:p>
    <w:p w:rsidR="00D30EA4" w:rsidRPr="002C77AE" w:rsidP="00D30EA4" w14:paraId="6715E732" w14:textId="77777777">
      <w:pPr>
        <w:tabs>
          <w:tab w:val="left" w:pos="2776"/>
        </w:tabs>
        <w:ind w:left="4230" w:right="339"/>
        <w:rPr>
          <w:rFonts w:cs="Times New Roman"/>
          <w:szCs w:val="24"/>
        </w:rPr>
      </w:pPr>
      <w:r w:rsidRPr="002C77AE">
        <w:rPr>
          <w:rFonts w:eastAsia="Times New Roman" w:cs="Times New Roman"/>
          <w:szCs w:val="24"/>
        </w:rPr>
        <w:t>Counsel of Record</w:t>
      </w:r>
    </w:p>
    <w:p w:rsidR="00D30EA4" w:rsidRPr="002C77AE" w:rsidP="00D30EA4" w14:paraId="4E5360E6" w14:textId="77777777">
      <w:pPr>
        <w:tabs>
          <w:tab w:val="left" w:pos="2776"/>
        </w:tabs>
        <w:ind w:left="4230" w:right="339"/>
        <w:rPr>
          <w:rFonts w:cs="Times New Roman"/>
          <w:szCs w:val="24"/>
        </w:rPr>
      </w:pPr>
      <w:r w:rsidRPr="002C77AE">
        <w:rPr>
          <w:rFonts w:eastAsia="Times New Roman" w:cs="Times New Roman"/>
          <w:szCs w:val="24"/>
        </w:rPr>
        <w:t>Robert Eubanks (0073386)</w:t>
      </w:r>
    </w:p>
    <w:p w:rsidR="00D30EA4" w:rsidRPr="002C77AE" w:rsidP="00D30EA4" w14:paraId="6FB93B6E" w14:textId="77777777">
      <w:pPr>
        <w:tabs>
          <w:tab w:val="left" w:pos="2776"/>
        </w:tabs>
        <w:ind w:left="4230" w:right="339"/>
        <w:rPr>
          <w:rFonts w:cs="Times New Roman"/>
          <w:szCs w:val="24"/>
        </w:rPr>
      </w:pPr>
      <w:r w:rsidRPr="002C77AE">
        <w:rPr>
          <w:rFonts w:eastAsia="Times New Roman" w:cs="Times New Roman"/>
          <w:szCs w:val="24"/>
        </w:rPr>
        <w:t>William J. Michael (0070921)</w:t>
      </w:r>
    </w:p>
    <w:p w:rsidR="00D30EA4" w:rsidRPr="002C77AE" w:rsidP="00D30EA4" w14:paraId="3029F009" w14:textId="76EB4BD9">
      <w:pPr>
        <w:tabs>
          <w:tab w:val="left" w:pos="2776"/>
        </w:tabs>
        <w:ind w:left="4230" w:right="339"/>
        <w:rPr>
          <w:rFonts w:cs="Times New Roman"/>
          <w:szCs w:val="24"/>
        </w:rPr>
      </w:pPr>
      <w:r w:rsidRPr="002C77AE">
        <w:rPr>
          <w:rFonts w:eastAsia="Times New Roman" w:cs="Times New Roman"/>
          <w:szCs w:val="24"/>
        </w:rPr>
        <w:t>Assistant Consumers</w:t>
      </w:r>
      <w:r w:rsidR="002C77AE">
        <w:rPr>
          <w:rFonts w:eastAsia="Times New Roman" w:cs="Times New Roman"/>
          <w:szCs w:val="24"/>
        </w:rPr>
        <w:t>’</w:t>
      </w:r>
      <w:r w:rsidRPr="002C77AE">
        <w:rPr>
          <w:rFonts w:eastAsia="Times New Roman" w:cs="Times New Roman"/>
          <w:szCs w:val="24"/>
        </w:rPr>
        <w:t xml:space="preserve"> Counsel</w:t>
      </w:r>
    </w:p>
    <w:p w:rsidR="00D30EA4" w:rsidRPr="002C77AE" w:rsidP="00D30EA4" w14:paraId="53EA5386" w14:textId="77777777">
      <w:pPr>
        <w:tabs>
          <w:tab w:val="left" w:pos="2776"/>
        </w:tabs>
        <w:ind w:left="4230" w:right="339"/>
        <w:rPr>
          <w:rFonts w:cs="Times New Roman"/>
          <w:szCs w:val="24"/>
        </w:rPr>
      </w:pPr>
      <w:r w:rsidRPr="002C77AE">
        <w:rPr>
          <w:rFonts w:eastAsia="Times New Roman" w:cs="Times New Roman"/>
          <w:szCs w:val="24"/>
        </w:rPr>
        <w:t>Alex Hickey</w:t>
      </w:r>
    </w:p>
    <w:p w:rsidR="00D30EA4" w:rsidRPr="002C77AE" w:rsidP="00D30EA4" w14:paraId="5F9315BE" w14:textId="77777777">
      <w:pPr>
        <w:tabs>
          <w:tab w:val="left" w:pos="2776"/>
        </w:tabs>
        <w:ind w:left="4230" w:right="339"/>
        <w:rPr>
          <w:rFonts w:cs="Times New Roman"/>
          <w:szCs w:val="24"/>
        </w:rPr>
      </w:pPr>
      <w:r w:rsidRPr="002C77AE">
        <w:rPr>
          <w:rFonts w:eastAsia="Times New Roman" w:cs="Times New Roman"/>
          <w:szCs w:val="24"/>
        </w:rPr>
        <w:t>Thomas Zuehlke</w:t>
      </w:r>
    </w:p>
    <w:p w:rsidR="00D30EA4" w:rsidRPr="002C77AE" w:rsidP="00D30EA4" w14:paraId="28B6009A" w14:textId="77777777">
      <w:pPr>
        <w:tabs>
          <w:tab w:val="left" w:pos="2776"/>
        </w:tabs>
        <w:ind w:left="4230" w:right="339"/>
        <w:rPr>
          <w:rFonts w:cs="Times New Roman"/>
          <w:szCs w:val="24"/>
        </w:rPr>
      </w:pPr>
      <w:r w:rsidRPr="002C77AE">
        <w:rPr>
          <w:rFonts w:eastAsia="Times New Roman" w:cs="Times New Roman"/>
          <w:szCs w:val="24"/>
        </w:rPr>
        <w:t>Certified Legal Interns</w:t>
      </w:r>
    </w:p>
    <w:p w:rsidR="00D30EA4" w:rsidRPr="002C77AE" w:rsidP="00D30EA4" w14:paraId="6941E0F8" w14:textId="77777777">
      <w:pPr>
        <w:tabs>
          <w:tab w:val="left" w:pos="2776"/>
        </w:tabs>
        <w:ind w:left="4230" w:right="339"/>
        <w:rPr>
          <w:rFonts w:cs="Times New Roman"/>
          <w:szCs w:val="24"/>
        </w:rPr>
      </w:pPr>
    </w:p>
    <w:p w:rsidR="00D30EA4" w:rsidRPr="002C77AE" w:rsidP="00D30EA4" w14:paraId="1F607FCF" w14:textId="45CE8676">
      <w:pPr>
        <w:tabs>
          <w:tab w:val="left" w:pos="2776"/>
        </w:tabs>
        <w:ind w:left="4230" w:right="339"/>
        <w:rPr>
          <w:rFonts w:cs="Times New Roman"/>
          <w:b/>
          <w:bCs/>
          <w:szCs w:val="24"/>
        </w:rPr>
      </w:pPr>
      <w:r w:rsidRPr="002C77AE">
        <w:rPr>
          <w:rFonts w:eastAsia="Times New Roman" w:cs="Times New Roman"/>
          <w:b/>
          <w:bCs/>
          <w:szCs w:val="24"/>
        </w:rPr>
        <w:t>Office of the Ohio Consumers</w:t>
      </w:r>
      <w:r w:rsidR="002C77AE">
        <w:rPr>
          <w:rFonts w:eastAsia="Times New Roman" w:cs="Times New Roman"/>
          <w:b/>
          <w:bCs/>
          <w:szCs w:val="24"/>
        </w:rPr>
        <w:t>’</w:t>
      </w:r>
      <w:r w:rsidRPr="002C77AE">
        <w:rPr>
          <w:rFonts w:eastAsia="Times New Roman" w:cs="Times New Roman"/>
          <w:b/>
          <w:bCs/>
          <w:szCs w:val="24"/>
        </w:rPr>
        <w:t xml:space="preserve"> Counsel</w:t>
      </w:r>
    </w:p>
    <w:p w:rsidR="00D30EA4" w:rsidRPr="002C77AE" w:rsidP="00D30EA4" w14:paraId="5413E963" w14:textId="77777777">
      <w:pPr>
        <w:tabs>
          <w:tab w:val="left" w:pos="2776"/>
        </w:tabs>
        <w:ind w:left="4230" w:right="339"/>
        <w:rPr>
          <w:rFonts w:cs="Times New Roman"/>
          <w:szCs w:val="24"/>
        </w:rPr>
      </w:pPr>
      <w:r w:rsidRPr="002C77AE">
        <w:rPr>
          <w:rFonts w:eastAsia="Times New Roman" w:cs="Times New Roman"/>
          <w:szCs w:val="24"/>
        </w:rPr>
        <w:t>65 East State Street, Suite 700</w:t>
      </w:r>
    </w:p>
    <w:p w:rsidR="00D30EA4" w:rsidRPr="002C77AE" w:rsidP="00D30EA4" w14:paraId="1AED55DB" w14:textId="77777777">
      <w:pPr>
        <w:tabs>
          <w:tab w:val="left" w:pos="2776"/>
        </w:tabs>
        <w:ind w:left="4230" w:right="339"/>
        <w:rPr>
          <w:rFonts w:cs="Times New Roman"/>
          <w:szCs w:val="24"/>
        </w:rPr>
      </w:pPr>
      <w:r w:rsidRPr="002C77AE">
        <w:rPr>
          <w:rFonts w:eastAsia="Times New Roman" w:cs="Times New Roman"/>
          <w:szCs w:val="24"/>
        </w:rPr>
        <w:t>Columbus, Ohio 43215</w:t>
      </w:r>
    </w:p>
    <w:p w:rsidR="00D30EA4" w:rsidRPr="002C77AE" w:rsidP="00D30EA4" w14:paraId="1E0372B3" w14:textId="77777777">
      <w:pPr>
        <w:tabs>
          <w:tab w:val="left" w:pos="2776"/>
        </w:tabs>
        <w:ind w:left="4230" w:right="339"/>
        <w:rPr>
          <w:rFonts w:cs="Times New Roman"/>
          <w:szCs w:val="24"/>
        </w:rPr>
      </w:pPr>
      <w:r w:rsidRPr="002C77AE">
        <w:rPr>
          <w:rFonts w:eastAsia="Times New Roman" w:cs="Times New Roman"/>
          <w:szCs w:val="24"/>
        </w:rPr>
        <w:t>Telephone [Finnigan]: (614) 466-9585</w:t>
      </w:r>
    </w:p>
    <w:p w:rsidR="00D30EA4" w:rsidRPr="002C77AE" w:rsidP="00D30EA4" w14:paraId="05540317" w14:textId="77777777">
      <w:pPr>
        <w:tabs>
          <w:tab w:val="left" w:pos="2776"/>
        </w:tabs>
        <w:ind w:left="4230" w:right="339"/>
        <w:rPr>
          <w:rFonts w:cs="Times New Roman"/>
          <w:szCs w:val="24"/>
        </w:rPr>
      </w:pPr>
      <w:r w:rsidRPr="002C77AE">
        <w:rPr>
          <w:rFonts w:eastAsia="Times New Roman" w:cs="Times New Roman"/>
          <w:szCs w:val="24"/>
        </w:rPr>
        <w:t>Telephone [Eubanks]: (614) 466-1292</w:t>
      </w:r>
    </w:p>
    <w:p w:rsidR="00D30EA4" w:rsidRPr="002C77AE" w:rsidP="00D30EA4" w14:paraId="03073677" w14:textId="77777777">
      <w:pPr>
        <w:tabs>
          <w:tab w:val="left" w:pos="2776"/>
        </w:tabs>
        <w:ind w:left="4230" w:right="339"/>
        <w:rPr>
          <w:rFonts w:cs="Times New Roman"/>
          <w:szCs w:val="24"/>
        </w:rPr>
      </w:pPr>
      <w:r w:rsidRPr="002C77AE">
        <w:rPr>
          <w:rFonts w:eastAsia="Times New Roman" w:cs="Times New Roman"/>
          <w:szCs w:val="24"/>
        </w:rPr>
        <w:t>Telephone [Michael]: (614) 466-1291</w:t>
      </w:r>
    </w:p>
    <w:p w:rsidR="00D30EA4" w:rsidRPr="002C77AE" w:rsidP="00D30EA4" w14:paraId="46C1340B" w14:textId="77777777">
      <w:pPr>
        <w:tabs>
          <w:tab w:val="left" w:pos="2776"/>
        </w:tabs>
        <w:ind w:left="4230" w:right="339"/>
        <w:rPr>
          <w:rFonts w:cs="Times New Roman"/>
          <w:szCs w:val="24"/>
        </w:rPr>
      </w:pPr>
      <w:r w:rsidRPr="002C77AE">
        <w:rPr>
          <w:rFonts w:eastAsia="Times New Roman" w:cs="Times New Roman"/>
          <w:szCs w:val="24"/>
        </w:rPr>
        <w:t>Telephone [Hickey]: (614) 466-9549</w:t>
      </w:r>
    </w:p>
    <w:p w:rsidR="00D30EA4" w:rsidRPr="002C77AE" w:rsidP="00D30EA4" w14:paraId="7CF66868" w14:textId="77777777">
      <w:pPr>
        <w:tabs>
          <w:tab w:val="left" w:pos="2776"/>
        </w:tabs>
        <w:ind w:left="4230" w:right="339"/>
        <w:rPr>
          <w:rFonts w:cs="Times New Roman"/>
          <w:szCs w:val="24"/>
        </w:rPr>
      </w:pPr>
      <w:r w:rsidRPr="002C77AE">
        <w:rPr>
          <w:rFonts w:eastAsia="Times New Roman" w:cs="Times New Roman"/>
          <w:szCs w:val="24"/>
        </w:rPr>
        <w:t>Telephone [Zuehlke]: (614) 466-9569</w:t>
      </w:r>
    </w:p>
    <w:p w:rsidR="00D30EA4" w:rsidRPr="002C77AE" w:rsidP="00D30EA4" w14:paraId="14104988" w14:textId="77777777">
      <w:pPr>
        <w:tabs>
          <w:tab w:val="left" w:pos="2776"/>
        </w:tabs>
        <w:ind w:left="4230" w:right="339"/>
        <w:rPr>
          <w:rFonts w:cs="Times New Roman"/>
          <w:color w:val="0000FF"/>
          <w:szCs w:val="24"/>
        </w:rPr>
      </w:pPr>
      <w:hyperlink r:id="rId6" w:history="1">
        <w:r w:rsidRPr="002C77AE" w:rsidR="0049119C">
          <w:rPr>
            <w:rStyle w:val="Hyperlink"/>
            <w:rFonts w:eastAsia="Times New Roman" w:cs="Times New Roman"/>
            <w:szCs w:val="24"/>
          </w:rPr>
          <w:t>john.finnigan@occ.ohio.gov</w:t>
        </w:r>
      </w:hyperlink>
    </w:p>
    <w:p w:rsidR="00D30EA4" w:rsidRPr="002C77AE" w:rsidP="00D30EA4" w14:paraId="4FE1A1AD" w14:textId="77777777">
      <w:pPr>
        <w:tabs>
          <w:tab w:val="left" w:pos="2776"/>
        </w:tabs>
        <w:ind w:left="4230" w:right="339"/>
        <w:rPr>
          <w:rFonts w:cs="Times New Roman"/>
          <w:color w:val="0000FF"/>
          <w:szCs w:val="24"/>
        </w:rPr>
      </w:pPr>
      <w:hyperlink r:id="rId7" w:history="1">
        <w:r w:rsidRPr="002C77AE" w:rsidR="0049119C">
          <w:rPr>
            <w:rStyle w:val="Hyperlink"/>
            <w:rFonts w:eastAsia="Times New Roman" w:cs="Times New Roman"/>
            <w:szCs w:val="24"/>
          </w:rPr>
          <w:t>robert.eubanks@occ.ohio.gov</w:t>
        </w:r>
      </w:hyperlink>
    </w:p>
    <w:p w:rsidR="00D30EA4" w:rsidRPr="002C77AE" w:rsidP="00D30EA4" w14:paraId="1E043753" w14:textId="77777777">
      <w:pPr>
        <w:tabs>
          <w:tab w:val="left" w:pos="2776"/>
        </w:tabs>
        <w:ind w:left="4230" w:right="339"/>
        <w:rPr>
          <w:rFonts w:cs="Times New Roman"/>
          <w:color w:val="0000FF"/>
          <w:szCs w:val="24"/>
        </w:rPr>
      </w:pPr>
      <w:hyperlink r:id="rId8" w:history="1">
        <w:r w:rsidRPr="002C77AE" w:rsidR="0049119C">
          <w:rPr>
            <w:rStyle w:val="Hyperlink"/>
            <w:rFonts w:eastAsia="Times New Roman" w:cs="Times New Roman"/>
            <w:szCs w:val="24"/>
          </w:rPr>
          <w:t>william.michael@occ.ohio.gov</w:t>
        </w:r>
      </w:hyperlink>
    </w:p>
    <w:p w:rsidR="00D30EA4" w:rsidRPr="002C77AE" w:rsidP="00D30EA4" w14:paraId="22CB3DF3" w14:textId="77777777">
      <w:pPr>
        <w:tabs>
          <w:tab w:val="left" w:pos="2776"/>
        </w:tabs>
        <w:ind w:left="4230" w:right="339"/>
        <w:rPr>
          <w:rFonts w:cs="Times New Roman"/>
          <w:color w:val="0000FF"/>
          <w:szCs w:val="24"/>
        </w:rPr>
      </w:pPr>
      <w:hyperlink r:id="rId9" w:history="1">
        <w:r w:rsidRPr="002C77AE" w:rsidR="0049119C">
          <w:rPr>
            <w:rStyle w:val="Hyperlink"/>
            <w:rFonts w:eastAsia="Times New Roman" w:cs="Times New Roman"/>
            <w:szCs w:val="24"/>
          </w:rPr>
          <w:t>alex.hickey@occ.ohio.gov</w:t>
        </w:r>
      </w:hyperlink>
    </w:p>
    <w:p w:rsidR="00D30EA4" w:rsidRPr="002C77AE" w:rsidP="00D30EA4" w14:paraId="6A14621A" w14:textId="77777777">
      <w:pPr>
        <w:tabs>
          <w:tab w:val="left" w:pos="2776"/>
        </w:tabs>
        <w:ind w:left="4230" w:right="339"/>
        <w:rPr>
          <w:rFonts w:cs="Times New Roman"/>
          <w:color w:val="0000FF"/>
          <w:szCs w:val="24"/>
        </w:rPr>
      </w:pPr>
      <w:hyperlink r:id="rId10" w:history="1">
        <w:r w:rsidRPr="002C77AE" w:rsidR="0049119C">
          <w:rPr>
            <w:rStyle w:val="Hyperlink"/>
            <w:rFonts w:eastAsia="Times New Roman" w:cs="Times New Roman"/>
            <w:szCs w:val="24"/>
          </w:rPr>
          <w:t>thomas.zuehlke@occ.ohio.gov</w:t>
        </w:r>
      </w:hyperlink>
    </w:p>
    <w:p w:rsidR="00D30EA4" w:rsidRPr="002C77AE" w:rsidP="00D30EA4" w14:paraId="2B045C95" w14:textId="77777777">
      <w:pPr>
        <w:tabs>
          <w:tab w:val="left" w:pos="2776"/>
        </w:tabs>
        <w:ind w:left="4230" w:right="339"/>
        <w:rPr>
          <w:rFonts w:cs="Times New Roman"/>
          <w:szCs w:val="24"/>
        </w:rPr>
      </w:pPr>
      <w:r w:rsidRPr="002C77AE">
        <w:rPr>
          <w:rFonts w:eastAsia="Times New Roman" w:cs="Times New Roman"/>
          <w:szCs w:val="24"/>
        </w:rPr>
        <w:t>(willing to accept service by e-mail)</w:t>
      </w:r>
    </w:p>
    <w:p w:rsidR="00D052DB" w:rsidRPr="002C77AE" w:rsidP="00D30EA4" w14:paraId="33BCDA3B" w14:textId="77777777">
      <w:pPr>
        <w:rPr>
          <w:rFonts w:cs="Times New Roman"/>
          <w:szCs w:val="24"/>
        </w:rPr>
      </w:pPr>
    </w:p>
    <w:p w:rsidR="00D052DB" w:rsidRPr="002C77AE" w14:paraId="7577597E" w14:textId="5A7165ED">
      <w:pPr>
        <w:spacing w:after="200" w:line="276" w:lineRule="auto"/>
        <w:rPr>
          <w:rFonts w:cs="Times New Roman"/>
          <w:szCs w:val="24"/>
        </w:rPr>
      </w:pPr>
      <w:r w:rsidRPr="002C77AE">
        <w:rPr>
          <w:rFonts w:cs="Times New Roman"/>
          <w:szCs w:val="24"/>
        </w:rPr>
        <w:br w:type="page"/>
      </w:r>
    </w:p>
    <w:p w:rsidR="00A14044" w:rsidRPr="002C77AE" w:rsidP="00D853CD" w14:paraId="7EB12105" w14:textId="35ECA371">
      <w:pPr>
        <w:spacing w:line="480" w:lineRule="auto"/>
        <w:jc w:val="center"/>
        <w:rPr>
          <w:rFonts w:cs="Times New Roman"/>
          <w:b/>
          <w:bCs/>
          <w:szCs w:val="24"/>
          <w:u w:val="single"/>
        </w:rPr>
      </w:pPr>
      <w:r w:rsidRPr="002C77AE">
        <w:rPr>
          <w:rFonts w:cs="Times New Roman"/>
          <w:b/>
          <w:bCs/>
          <w:szCs w:val="24"/>
          <w:u w:val="single"/>
        </w:rPr>
        <w:t>CE</w:t>
      </w:r>
      <w:r w:rsidRPr="002C77AE" w:rsidR="00433AD9">
        <w:rPr>
          <w:rFonts w:cs="Times New Roman"/>
          <w:b/>
          <w:bCs/>
          <w:szCs w:val="24"/>
          <w:u w:val="single"/>
        </w:rPr>
        <w:t>RTIFICATE OF SERVICE</w:t>
      </w:r>
    </w:p>
    <w:p w:rsidR="00705919" w:rsidRPr="002C77AE" w:rsidP="00D853CD" w14:paraId="15E7FB0A" w14:textId="43BE1BEC">
      <w:pPr>
        <w:spacing w:line="480" w:lineRule="auto"/>
        <w:rPr>
          <w:rFonts w:cs="Times New Roman"/>
          <w:szCs w:val="24"/>
        </w:rPr>
      </w:pPr>
      <w:r w:rsidRPr="002C77AE">
        <w:rPr>
          <w:rFonts w:cs="Times New Roman"/>
          <w:szCs w:val="24"/>
        </w:rPr>
        <w:tab/>
        <w:t xml:space="preserve">I hereby certify that a copy of this </w:t>
      </w:r>
      <w:r w:rsidRPr="002C77AE" w:rsidR="000627D2">
        <w:rPr>
          <w:rFonts w:cs="Times New Roman"/>
          <w:szCs w:val="24"/>
        </w:rPr>
        <w:t>Reply</w:t>
      </w:r>
      <w:r w:rsidRPr="002C77AE" w:rsidR="00D30EA4">
        <w:rPr>
          <w:rFonts w:cs="Times New Roman"/>
          <w:szCs w:val="24"/>
        </w:rPr>
        <w:t xml:space="preserve"> Brief for Consumer Protection</w:t>
      </w:r>
      <w:r w:rsidRPr="002C77AE" w:rsidR="00870344">
        <w:rPr>
          <w:rFonts w:cs="Times New Roman"/>
          <w:szCs w:val="24"/>
        </w:rPr>
        <w:t xml:space="preserve"> </w:t>
      </w:r>
      <w:r w:rsidRPr="002C77AE">
        <w:rPr>
          <w:rFonts w:cs="Times New Roman"/>
          <w:szCs w:val="24"/>
        </w:rPr>
        <w:t>was served on the persons stated below</w:t>
      </w:r>
      <w:r w:rsidRPr="002C77AE">
        <w:rPr>
          <w:rFonts w:cs="Times New Roman"/>
          <w:iCs/>
          <w:szCs w:val="24"/>
        </w:rPr>
        <w:t xml:space="preserve"> via </w:t>
      </w:r>
      <w:r w:rsidRPr="002C77AE">
        <w:rPr>
          <w:rFonts w:cs="Times New Roman"/>
          <w:szCs w:val="24"/>
        </w:rPr>
        <w:t>electronic transmission, this</w:t>
      </w:r>
      <w:r w:rsidRPr="002C77AE" w:rsidR="005C2022">
        <w:rPr>
          <w:rFonts w:cs="Times New Roman"/>
          <w:szCs w:val="24"/>
        </w:rPr>
        <w:t xml:space="preserve"> </w:t>
      </w:r>
      <w:r w:rsidRPr="002C77AE" w:rsidR="0022373F">
        <w:rPr>
          <w:rFonts w:cs="Times New Roman"/>
          <w:szCs w:val="24"/>
        </w:rPr>
        <w:t>9</w:t>
      </w:r>
      <w:r w:rsidRPr="002C77AE" w:rsidR="005C2022">
        <w:rPr>
          <w:rFonts w:cs="Times New Roman"/>
          <w:szCs w:val="24"/>
          <w:vertAlign w:val="superscript"/>
        </w:rPr>
        <w:t>th</w:t>
      </w:r>
      <w:r w:rsidRPr="002C77AE" w:rsidR="005C2022">
        <w:rPr>
          <w:rFonts w:cs="Times New Roman"/>
          <w:szCs w:val="24"/>
        </w:rPr>
        <w:t xml:space="preserve"> </w:t>
      </w:r>
      <w:r w:rsidRPr="002C77AE">
        <w:rPr>
          <w:rFonts w:cs="Times New Roman"/>
          <w:szCs w:val="24"/>
        </w:rPr>
        <w:t xml:space="preserve">day of </w:t>
      </w:r>
      <w:r w:rsidRPr="002C77AE" w:rsidR="00E92AE2">
        <w:rPr>
          <w:rFonts w:cs="Times New Roman"/>
          <w:szCs w:val="24"/>
        </w:rPr>
        <w:t>February</w:t>
      </w:r>
      <w:r w:rsidRPr="002C77AE" w:rsidR="0022373F">
        <w:rPr>
          <w:rFonts w:cs="Times New Roman"/>
          <w:szCs w:val="24"/>
        </w:rPr>
        <w:t xml:space="preserve"> 2024.</w:t>
      </w:r>
    </w:p>
    <w:p w:rsidR="00EE4654" w:rsidRPr="002C77AE" w:rsidP="00EE4654" w14:paraId="207004DC" w14:textId="46736E89">
      <w:pPr>
        <w:suppressAutoHyphens/>
        <w:ind w:firstLine="4320"/>
        <w:rPr>
          <w:rFonts w:cs="Times New Roman"/>
          <w:szCs w:val="24"/>
        </w:rPr>
      </w:pPr>
      <w:r w:rsidRPr="002C77AE">
        <w:rPr>
          <w:rFonts w:cs="Times New Roman"/>
          <w:i/>
          <w:iCs/>
          <w:szCs w:val="24"/>
          <w:u w:val="single"/>
        </w:rPr>
        <w:t>/s/ John Finnigan</w:t>
      </w:r>
    </w:p>
    <w:p w:rsidR="00EE4654" w:rsidRPr="002C77AE" w:rsidP="00EE4654" w14:paraId="04772146" w14:textId="77777777">
      <w:pPr>
        <w:tabs>
          <w:tab w:val="left" w:pos="4320"/>
        </w:tabs>
        <w:rPr>
          <w:rFonts w:cs="Times New Roman"/>
          <w:szCs w:val="24"/>
        </w:rPr>
      </w:pPr>
      <w:r w:rsidRPr="002C77AE">
        <w:rPr>
          <w:rFonts w:cs="Times New Roman"/>
          <w:szCs w:val="24"/>
        </w:rPr>
        <w:tab/>
        <w:t>John Finnigan</w:t>
      </w:r>
    </w:p>
    <w:p w:rsidR="00A14044" w:rsidRPr="002C77AE" w:rsidP="00EE4654" w14:paraId="0BA846CB" w14:textId="423F1000">
      <w:pPr>
        <w:tabs>
          <w:tab w:val="left" w:pos="4320"/>
        </w:tabs>
        <w:rPr>
          <w:rFonts w:cs="Times New Roman"/>
          <w:szCs w:val="24"/>
        </w:rPr>
      </w:pPr>
      <w:r w:rsidRPr="002C77AE">
        <w:rPr>
          <w:rFonts w:cs="Times New Roman"/>
          <w:szCs w:val="24"/>
        </w:rPr>
        <w:tab/>
        <w:t>Assistant Consumers</w:t>
      </w:r>
      <w:r w:rsidR="002C77AE">
        <w:rPr>
          <w:rFonts w:cs="Times New Roman"/>
          <w:szCs w:val="24"/>
        </w:rPr>
        <w:t>’</w:t>
      </w:r>
      <w:r w:rsidRPr="002C77AE">
        <w:rPr>
          <w:rFonts w:cs="Times New Roman"/>
          <w:szCs w:val="24"/>
        </w:rPr>
        <w:t xml:space="preserve"> Counsel</w:t>
      </w:r>
    </w:p>
    <w:p w:rsidR="00271490" w:rsidRPr="002C77AE" w:rsidP="00271490" w14:paraId="0B1002CF" w14:textId="77777777">
      <w:pPr>
        <w:tabs>
          <w:tab w:val="left" w:pos="4320"/>
        </w:tabs>
        <w:rPr>
          <w:rFonts w:cs="Times New Roman"/>
          <w:szCs w:val="24"/>
        </w:rPr>
      </w:pPr>
    </w:p>
    <w:p w:rsidR="00A14044" w:rsidRPr="002C77AE" w:rsidP="00271490" w14:paraId="7C12A1CA" w14:textId="58B7D668">
      <w:pPr>
        <w:rPr>
          <w:rFonts w:cs="Times New Roman"/>
          <w:szCs w:val="24"/>
        </w:rPr>
      </w:pPr>
      <w:r w:rsidRPr="002C77AE">
        <w:rPr>
          <w:rFonts w:cs="Times New Roman"/>
          <w:szCs w:val="24"/>
        </w:rPr>
        <w:t>The PUCO</w:t>
      </w:r>
      <w:r w:rsidR="002C77AE">
        <w:rPr>
          <w:rFonts w:cs="Times New Roman"/>
          <w:szCs w:val="24"/>
        </w:rPr>
        <w:t>’</w:t>
      </w:r>
      <w:r w:rsidRPr="002C77AE">
        <w:rPr>
          <w:rFonts w:cs="Times New Roman"/>
          <w:szCs w:val="24"/>
        </w:rPr>
        <w:t>s e-filing system will electronically serve notice of the filing of this document on the following parties:</w:t>
      </w:r>
    </w:p>
    <w:p w:rsidR="00982C50" w:rsidRPr="002C77AE" w:rsidP="00271490" w14:paraId="282A4FAF" w14:textId="77777777">
      <w:pPr>
        <w:rPr>
          <w:rFonts w:cs="Times New Roman"/>
          <w:szCs w:val="24"/>
        </w:rPr>
      </w:pPr>
    </w:p>
    <w:p w:rsidR="00FA3CB2" w:rsidRPr="002C77AE" w:rsidP="00FA3CB2" w14:paraId="45766255" w14:textId="77777777">
      <w:pPr>
        <w:suppressAutoHyphens/>
        <w:jc w:val="center"/>
        <w:rPr>
          <w:rFonts w:cs="Times New Roman"/>
          <w:b/>
          <w:bCs/>
          <w:szCs w:val="24"/>
          <w:u w:val="single"/>
        </w:rPr>
      </w:pPr>
      <w:r w:rsidRPr="002C77AE">
        <w:rPr>
          <w:rFonts w:cs="Times New Roman"/>
          <w:b/>
          <w:bCs/>
          <w:szCs w:val="24"/>
          <w:u w:val="single"/>
        </w:rPr>
        <w:t>SERVICE LIST</w:t>
      </w:r>
    </w:p>
    <w:p w:rsidR="00FA3CB2" w:rsidRPr="002C77AE" w:rsidP="00FA3CB2" w14:paraId="69A73450" w14:textId="77777777">
      <w:pPr>
        <w:widowControl w:val="0"/>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476"/>
        <w:gridCol w:w="4164"/>
      </w:tblGrid>
      <w:tr w14:paraId="6BEAEADA" w14:textId="77777777" w:rsidTr="00AD38BF">
        <w:tblPrEx>
          <w:tblW w:w="0" w:type="auto"/>
          <w:tblInd w:w="0" w:type="dxa"/>
          <w:tblCellMar>
            <w:top w:w="0" w:type="dxa"/>
            <w:left w:w="108" w:type="dxa"/>
            <w:bottom w:w="0" w:type="dxa"/>
            <w:right w:w="108" w:type="dxa"/>
          </w:tblCellMar>
          <w:tblLook w:val="01E0"/>
        </w:tblPrEx>
        <w:tc>
          <w:tcPr>
            <w:tcW w:w="4425" w:type="dxa"/>
            <w:shd w:val="clear" w:color="auto" w:fill="auto"/>
          </w:tcPr>
          <w:p w:rsidR="00DC2375" w:rsidRPr="002C77AE" w:rsidP="00AD38BF" w14:paraId="19C4BFF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0" w:history="1">
              <w:r w:rsidRPr="002C77AE">
                <w:rPr>
                  <w:rFonts w:ascii="Times New Roman" w:hAnsi="Times New Roman" w:eastAsiaTheme="minorHAnsi" w:cs="Times New Roman"/>
                  <w:color w:val="0000FF"/>
                  <w:sz w:val="24"/>
                  <w:szCs w:val="24"/>
                  <w:u w:val="single"/>
                  <w:lang w:val="en-US" w:eastAsia="en-US" w:bidi="ar-SA"/>
                </w:rPr>
                <w:t>thomas.lindgren@ohioago.gov</w:t>
              </w:r>
            </w:hyperlink>
          </w:p>
          <w:p w:rsidR="00DC2375" w:rsidRPr="002C77AE" w:rsidP="00AD38BF" w14:paraId="2C041BA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1" w:history="1">
              <w:r w:rsidRPr="002C77AE">
                <w:rPr>
                  <w:rFonts w:ascii="Times New Roman" w:hAnsi="Times New Roman" w:eastAsiaTheme="minorHAnsi" w:cs="Times New Roman"/>
                  <w:color w:val="0000FF"/>
                  <w:sz w:val="24"/>
                  <w:szCs w:val="24"/>
                  <w:u w:val="single"/>
                  <w:lang w:val="en-US" w:eastAsia="en-US" w:bidi="ar-SA"/>
                </w:rPr>
                <w:t>amy.botschnerobrien@ohioago.gov</w:t>
              </w:r>
            </w:hyperlink>
          </w:p>
          <w:p w:rsidR="00DC2375" w:rsidRPr="002C77AE" w:rsidP="00AD38BF" w14:paraId="34A68C3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2" w:history="1">
              <w:r w:rsidRPr="002C77AE">
                <w:rPr>
                  <w:rFonts w:ascii="Times New Roman" w:hAnsi="Times New Roman" w:eastAsiaTheme="minorHAnsi" w:cs="Times New Roman"/>
                  <w:color w:val="0000FF"/>
                  <w:sz w:val="24"/>
                  <w:szCs w:val="24"/>
                  <w:u w:val="single"/>
                  <w:lang w:val="en-US" w:eastAsia="en-US" w:bidi="ar-SA"/>
                </w:rPr>
                <w:t>rhiannon.howard@ohioago.gov</w:t>
              </w:r>
            </w:hyperlink>
          </w:p>
          <w:p w:rsidR="00DC2375" w:rsidRPr="002C77AE" w:rsidP="00AD38BF" w14:paraId="745F22E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3" w:history="1">
              <w:r w:rsidRPr="002C77AE">
                <w:rPr>
                  <w:rFonts w:ascii="Times New Roman" w:hAnsi="Times New Roman" w:eastAsiaTheme="minorHAnsi" w:cs="Times New Roman"/>
                  <w:color w:val="0000FF"/>
                  <w:sz w:val="24"/>
                  <w:szCs w:val="24"/>
                  <w:u w:val="single"/>
                  <w:lang w:val="en-US" w:eastAsia="en-US" w:bidi="ar-SA"/>
                </w:rPr>
                <w:t>mkurtz@BKLlawfirm.com</w:t>
              </w:r>
            </w:hyperlink>
          </w:p>
          <w:p w:rsidR="00DC2375" w:rsidRPr="002C77AE" w:rsidP="00AD38BF" w14:paraId="00CAE5D8"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4" w:history="1">
              <w:r w:rsidRPr="002C77AE">
                <w:rPr>
                  <w:rFonts w:ascii="Times New Roman" w:hAnsi="Times New Roman" w:eastAsiaTheme="minorHAnsi" w:cs="Times New Roman"/>
                  <w:color w:val="0000FF"/>
                  <w:sz w:val="24"/>
                  <w:szCs w:val="24"/>
                  <w:u w:val="single"/>
                  <w:lang w:val="en-US" w:eastAsia="en-US" w:bidi="ar-SA"/>
                </w:rPr>
                <w:t>jkylercohn@BKLlawfirm.com</w:t>
              </w:r>
            </w:hyperlink>
          </w:p>
          <w:p w:rsidR="00DC2375" w:rsidRPr="002C77AE" w:rsidP="00AD38BF" w14:paraId="02E02E91"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5" w:history="1">
              <w:r w:rsidRPr="002C77AE">
                <w:rPr>
                  <w:rFonts w:ascii="Times New Roman" w:hAnsi="Times New Roman" w:eastAsiaTheme="minorHAnsi" w:cs="Times New Roman"/>
                  <w:color w:val="0000FF"/>
                  <w:sz w:val="24"/>
                  <w:szCs w:val="24"/>
                  <w:u w:val="single"/>
                  <w:lang w:val="en-US" w:eastAsia="en-US" w:bidi="ar-SA"/>
                </w:rPr>
                <w:t>rdove@keglerbrown.com</w:t>
              </w:r>
            </w:hyperlink>
          </w:p>
          <w:p w:rsidR="00DC2375" w:rsidRPr="002C77AE" w:rsidP="00AD38BF" w14:paraId="6D6732C3"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26" w:history="1">
              <w:r w:rsidRPr="002C77AE">
                <w:rPr>
                  <w:rFonts w:ascii="Times New Roman" w:hAnsi="Times New Roman" w:eastAsiaTheme="minorHAnsi" w:cs="Times New Roman"/>
                  <w:color w:val="0000FF"/>
                  <w:sz w:val="24"/>
                  <w:szCs w:val="24"/>
                  <w:u w:val="single"/>
                  <w:lang w:val="en-US" w:eastAsia="en-US" w:bidi="ar-SA"/>
                </w:rPr>
                <w:t>nbobb@keglerbrown.com</w:t>
              </w:r>
            </w:hyperlink>
          </w:p>
          <w:p w:rsidR="00DC2375" w:rsidRPr="002C77AE" w:rsidP="00AD38BF" w14:paraId="2B13501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7" w:history="1">
              <w:r w:rsidRPr="002C77AE">
                <w:rPr>
                  <w:rFonts w:ascii="Times New Roman" w:hAnsi="Times New Roman" w:eastAsiaTheme="minorHAnsi" w:cs="Times New Roman"/>
                  <w:color w:val="0000FF"/>
                  <w:sz w:val="24"/>
                  <w:szCs w:val="24"/>
                  <w:u w:val="single"/>
                  <w:lang w:val="en-US" w:eastAsia="en-US" w:bidi="ar-SA"/>
                </w:rPr>
                <w:t>Stacie.Cathcart@igs.com</w:t>
              </w:r>
            </w:hyperlink>
          </w:p>
          <w:p w:rsidR="00DC2375" w:rsidRPr="002C77AE" w:rsidP="00AD38BF" w14:paraId="1EF5885C"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8" w:history="1">
              <w:r w:rsidRPr="002C77AE">
                <w:rPr>
                  <w:rFonts w:ascii="Times New Roman" w:hAnsi="Times New Roman" w:eastAsiaTheme="minorHAnsi" w:cs="Times New Roman"/>
                  <w:color w:val="0000FF"/>
                  <w:sz w:val="24"/>
                  <w:szCs w:val="24"/>
                  <w:u w:val="single"/>
                  <w:lang w:val="en-US" w:eastAsia="en-US" w:bidi="ar-SA"/>
                </w:rPr>
                <w:t>Michael.Nugent@igs.com</w:t>
              </w:r>
            </w:hyperlink>
          </w:p>
          <w:p w:rsidR="00DC2375" w:rsidRPr="002C77AE" w:rsidP="00AD38BF" w14:paraId="4C7CF5C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9" w:history="1">
              <w:r w:rsidRPr="002C77AE">
                <w:rPr>
                  <w:rFonts w:ascii="Times New Roman" w:hAnsi="Times New Roman" w:eastAsiaTheme="minorHAnsi" w:cs="Times New Roman"/>
                  <w:color w:val="0000FF"/>
                  <w:sz w:val="24"/>
                  <w:szCs w:val="24"/>
                  <w:u w:val="single"/>
                  <w:lang w:val="en-US" w:eastAsia="en-US" w:bidi="ar-SA"/>
                </w:rPr>
                <w:t>cgrundmann@spilmanlaw.com</w:t>
              </w:r>
            </w:hyperlink>
          </w:p>
          <w:p w:rsidR="00DC2375" w:rsidRPr="002C77AE" w:rsidP="00AD38BF" w14:paraId="70ECE02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0" w:history="1">
              <w:r w:rsidRPr="002C77AE">
                <w:rPr>
                  <w:rFonts w:ascii="Times New Roman" w:eastAsia="Calibri" w:hAnsi="Times New Roman" w:cs="Times New Roman"/>
                  <w:color w:val="0000FF"/>
                  <w:sz w:val="24"/>
                  <w:szCs w:val="24"/>
                  <w:u w:val="single"/>
                  <w:lang w:val="en-US" w:eastAsia="en-US" w:bidi="ar-SA"/>
                </w:rPr>
                <w:t>dwilliamson@spilmanlaw.com</w:t>
              </w:r>
            </w:hyperlink>
          </w:p>
          <w:p w:rsidR="00DC2375" w:rsidRPr="002C77AE" w:rsidP="00AD38BF" w14:paraId="4A5F24DC"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1" w:history="1">
              <w:r w:rsidRPr="002C77AE">
                <w:rPr>
                  <w:rFonts w:ascii="Times New Roman" w:eastAsia="Calibri" w:hAnsi="Times New Roman" w:cs="Times New Roman"/>
                  <w:color w:val="0000FF"/>
                  <w:sz w:val="24"/>
                  <w:szCs w:val="24"/>
                  <w:u w:val="single"/>
                  <w:lang w:val="en-US" w:eastAsia="en-US" w:bidi="ar-SA"/>
                </w:rPr>
                <w:t>slee@spilmanlaw.com</w:t>
              </w:r>
            </w:hyperlink>
          </w:p>
          <w:p w:rsidR="00DC2375" w:rsidRPr="002C77AE" w:rsidP="00AD38BF" w14:paraId="3F15E1D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2" w:history="1">
              <w:r w:rsidRPr="002C77AE">
                <w:rPr>
                  <w:rFonts w:ascii="Times New Roman" w:hAnsi="Times New Roman" w:eastAsiaTheme="minorHAnsi" w:cs="Times New Roman"/>
                  <w:color w:val="0000FF"/>
                  <w:sz w:val="24"/>
                  <w:szCs w:val="24"/>
                  <w:u w:val="single"/>
                  <w:lang w:val="en-US" w:eastAsia="en-US" w:bidi="ar-SA"/>
                </w:rPr>
                <w:t>todd.schafer@outlook.com</w:t>
              </w:r>
            </w:hyperlink>
          </w:p>
          <w:p w:rsidR="00DC2375" w:rsidRPr="002C77AE" w:rsidP="00AD38BF" w14:paraId="4586C23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3" w:history="1">
              <w:r w:rsidRPr="002C77AE">
                <w:rPr>
                  <w:rFonts w:ascii="Times New Roman" w:eastAsia="Calibri" w:hAnsi="Times New Roman" w:cs="Times New Roman"/>
                  <w:color w:val="0000FF"/>
                  <w:sz w:val="24"/>
                  <w:szCs w:val="24"/>
                  <w:u w:val="single"/>
                  <w:lang w:val="en-US" w:eastAsia="en-US" w:bidi="ar-SA"/>
                </w:rPr>
                <w:t>mjsettineri@vorys.com</w:t>
              </w:r>
            </w:hyperlink>
          </w:p>
          <w:p w:rsidR="00DC2375" w:rsidRPr="002C77AE" w:rsidP="00AD38BF" w14:paraId="5DD667AA"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4" w:history="1">
              <w:r w:rsidRPr="002C77AE">
                <w:rPr>
                  <w:rFonts w:ascii="Times New Roman" w:eastAsia="Calibri" w:hAnsi="Times New Roman" w:cs="Times New Roman"/>
                  <w:color w:val="0000FF"/>
                  <w:sz w:val="24"/>
                  <w:szCs w:val="24"/>
                  <w:u w:val="single"/>
                  <w:lang w:val="en-US" w:eastAsia="en-US" w:bidi="ar-SA"/>
                </w:rPr>
                <w:t>glpetrucci@vorys.com</w:t>
              </w:r>
            </w:hyperlink>
          </w:p>
          <w:p w:rsidR="00DC2375" w:rsidRPr="002C77AE" w:rsidP="00AD38BF" w14:paraId="0553C5D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5" w:history="1">
              <w:r w:rsidRPr="002C77AE">
                <w:rPr>
                  <w:rFonts w:ascii="Times New Roman" w:eastAsia="Calibri" w:hAnsi="Times New Roman" w:cs="Times New Roman"/>
                  <w:color w:val="0000FF"/>
                  <w:sz w:val="24"/>
                  <w:szCs w:val="24"/>
                  <w:u w:val="single"/>
                  <w:lang w:val="en-US" w:eastAsia="en-US" w:bidi="ar-SA"/>
                </w:rPr>
                <w:t>aasanyal@vorys.com</w:t>
              </w:r>
            </w:hyperlink>
          </w:p>
          <w:p w:rsidR="00DC2375" w:rsidRPr="002C77AE" w:rsidP="00AD38BF" w14:paraId="79DA98B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6" w:history="1">
              <w:r w:rsidRPr="002C77AE">
                <w:rPr>
                  <w:rFonts w:ascii="Times New Roman" w:eastAsia="Calibri" w:hAnsi="Times New Roman" w:cs="Times New Roman"/>
                  <w:color w:val="0000FF"/>
                  <w:sz w:val="24"/>
                  <w:szCs w:val="24"/>
                  <w:u w:val="single"/>
                  <w:lang w:val="en-US" w:eastAsia="en-US" w:bidi="ar-SA"/>
                </w:rPr>
                <w:t>dparram@brickergraydon.com</w:t>
              </w:r>
            </w:hyperlink>
          </w:p>
          <w:p w:rsidR="00DC2375" w:rsidRPr="002C77AE" w:rsidP="00AD38BF" w14:paraId="52214765"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7" w:history="1">
              <w:r w:rsidRPr="002C77AE">
                <w:rPr>
                  <w:rFonts w:ascii="Times New Roman" w:eastAsia="Calibri" w:hAnsi="Times New Roman" w:cs="Times New Roman"/>
                  <w:color w:val="0000FF"/>
                  <w:sz w:val="24"/>
                  <w:szCs w:val="24"/>
                  <w:u w:val="single"/>
                  <w:lang w:val="en-US" w:eastAsia="en-US" w:bidi="ar-SA"/>
                </w:rPr>
                <w:t>rmains@brickergraydon.com</w:t>
              </w:r>
            </w:hyperlink>
          </w:p>
          <w:p w:rsidR="00DC2375" w:rsidRPr="002C77AE" w:rsidP="00AD38BF" w14:paraId="61BCE068"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8" w:history="1">
              <w:r w:rsidRPr="002C77AE">
                <w:rPr>
                  <w:rFonts w:ascii="Times New Roman" w:eastAsia="Calibri" w:hAnsi="Times New Roman" w:cs="Times New Roman"/>
                  <w:color w:val="0000FF"/>
                  <w:sz w:val="24"/>
                  <w:szCs w:val="24"/>
                  <w:u w:val="single"/>
                  <w:lang w:val="en-US" w:eastAsia="en-US" w:bidi="ar-SA"/>
                </w:rPr>
                <w:t>dromig@nationwideenergypartners.com</w:t>
              </w:r>
            </w:hyperlink>
          </w:p>
          <w:p w:rsidR="00DC2375" w:rsidRPr="002C77AE" w:rsidP="00AD38BF" w14:paraId="25F9D32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9" w:history="1">
              <w:r w:rsidRPr="002C77AE">
                <w:rPr>
                  <w:rFonts w:ascii="Times New Roman" w:eastAsia="Calibri" w:hAnsi="Times New Roman" w:cs="Times New Roman"/>
                  <w:color w:val="0000FF"/>
                  <w:sz w:val="24"/>
                  <w:szCs w:val="24"/>
                  <w:u w:val="single"/>
                  <w:lang w:val="en-US" w:eastAsia="en-US" w:bidi="ar-SA"/>
                </w:rPr>
                <w:t>brian.gibbs@nationwideenergypartners.com</w:t>
              </w:r>
            </w:hyperlink>
          </w:p>
          <w:p w:rsidR="00DC2375" w:rsidRPr="002C77AE" w:rsidP="00AD38BF" w14:paraId="7C25F25A"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40" w:history="1">
              <w:r w:rsidRPr="002C77AE">
                <w:rPr>
                  <w:rFonts w:ascii="Times New Roman" w:eastAsia="Calibri" w:hAnsi="Times New Roman" w:cs="Times New Roman"/>
                  <w:color w:val="0000FF"/>
                  <w:sz w:val="24"/>
                  <w:szCs w:val="24"/>
                  <w:u w:val="single"/>
                  <w:lang w:val="en-US" w:eastAsia="en-US" w:bidi="ar-SA"/>
                </w:rPr>
                <w:t>paul@carpenterlipps.com</w:t>
              </w:r>
            </w:hyperlink>
          </w:p>
          <w:p w:rsidR="00DC2375" w:rsidRPr="002C77AE" w:rsidP="00AD38BF" w14:paraId="56CF6493"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41" w:history="1">
              <w:r w:rsidRPr="002C77AE">
                <w:rPr>
                  <w:rFonts w:ascii="Times New Roman" w:eastAsia="Calibri" w:hAnsi="Times New Roman" w:cs="Times New Roman"/>
                  <w:color w:val="0000FF"/>
                  <w:sz w:val="24"/>
                  <w:szCs w:val="24"/>
                  <w:u w:val="single"/>
                  <w:lang w:val="en-US" w:eastAsia="en-US" w:bidi="ar-SA"/>
                </w:rPr>
                <w:t>mpritchard@mcneeslaw.com</w:t>
              </w:r>
            </w:hyperlink>
          </w:p>
          <w:p w:rsidR="00DC2375" w:rsidRPr="002C77AE" w:rsidP="00AD38BF" w14:paraId="6D523B3C"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42" w:history="1">
              <w:r w:rsidRPr="002C77AE">
                <w:rPr>
                  <w:rFonts w:ascii="Times New Roman" w:eastAsia="Calibri" w:hAnsi="Times New Roman" w:cs="Times New Roman"/>
                  <w:color w:val="0000FF"/>
                  <w:sz w:val="24"/>
                  <w:szCs w:val="24"/>
                  <w:u w:val="single"/>
                  <w:lang w:val="en-US" w:eastAsia="en-US" w:bidi="ar-SA"/>
                </w:rPr>
                <w:t>awalke@mcneeslaw.com</w:t>
              </w:r>
            </w:hyperlink>
          </w:p>
          <w:p w:rsidR="00DC2375" w:rsidRPr="002C77AE" w:rsidP="00AD38BF" w14:paraId="06B752DA"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43" w:history="1">
              <w:r w:rsidRPr="002C77AE">
                <w:rPr>
                  <w:rFonts w:ascii="Times New Roman" w:eastAsia="Calibri" w:hAnsi="Times New Roman" w:cs="Times New Roman"/>
                  <w:color w:val="0000FF"/>
                  <w:sz w:val="24"/>
                  <w:szCs w:val="24"/>
                  <w:u w:val="single"/>
                  <w:lang w:val="en-US" w:eastAsia="en-US" w:bidi="ar-SA"/>
                </w:rPr>
                <w:t>tdougherty@theOEC.org</w:t>
              </w:r>
            </w:hyperlink>
          </w:p>
          <w:p w:rsidR="00DC2375" w:rsidRPr="002C77AE" w:rsidP="00AD38BF" w14:paraId="41F237F5" w14:textId="77777777">
            <w:pPr>
              <w:spacing w:after="0" w:line="240" w:lineRule="auto"/>
              <w:rPr>
                <w:rFonts w:ascii="Times New Roman" w:hAnsi="Times New Roman" w:eastAsiaTheme="minorHAnsi" w:cs="Times New Roman"/>
                <w:color w:val="0000FF"/>
                <w:sz w:val="24"/>
                <w:szCs w:val="24"/>
                <w:lang w:val="en-US" w:eastAsia="en-US" w:bidi="ar-SA"/>
              </w:rPr>
            </w:pPr>
            <w:hyperlink r:id="rId44" w:history="1">
              <w:r w:rsidRPr="002C77AE">
                <w:rPr>
                  <w:rFonts w:ascii="Times New Roman" w:hAnsi="Times New Roman" w:eastAsiaTheme="minorHAnsi" w:cs="Times New Roman"/>
                  <w:color w:val="0000FF"/>
                  <w:sz w:val="24"/>
                  <w:szCs w:val="24"/>
                  <w:u w:val="single"/>
                  <w:lang w:val="en-US" w:eastAsia="en-US" w:bidi="ar-SA"/>
                </w:rPr>
                <w:t>katherine.hollingsworth@lasclev.org</w:t>
              </w:r>
            </w:hyperlink>
          </w:p>
          <w:p w:rsidR="00DC2375" w:rsidRPr="002C77AE" w:rsidP="00AD38BF" w14:paraId="045985C7" w14:textId="77777777">
            <w:pPr>
              <w:spacing w:after="0" w:line="240" w:lineRule="auto"/>
              <w:rPr>
                <w:rFonts w:ascii="Times New Roman" w:hAnsi="Times New Roman" w:eastAsiaTheme="minorHAnsi" w:cs="Times New Roman"/>
                <w:color w:val="0000FF"/>
                <w:sz w:val="24"/>
                <w:szCs w:val="24"/>
                <w:lang w:val="en-US" w:eastAsia="en-US" w:bidi="ar-SA"/>
              </w:rPr>
            </w:pPr>
            <w:hyperlink r:id="rId45" w:history="1">
              <w:r w:rsidRPr="002C77AE">
                <w:rPr>
                  <w:rFonts w:ascii="Times New Roman" w:hAnsi="Times New Roman" w:eastAsiaTheme="minorHAnsi" w:cs="Times New Roman"/>
                  <w:color w:val="0000FF"/>
                  <w:sz w:val="24"/>
                  <w:szCs w:val="24"/>
                  <w:u w:val="single"/>
                  <w:lang w:val="en-US" w:eastAsia="en-US" w:bidi="ar-SA"/>
                </w:rPr>
                <w:t>sjagers@ohiopovertylaw.org</w:t>
              </w:r>
            </w:hyperlink>
          </w:p>
          <w:p w:rsidR="00DC2375" w:rsidRPr="002C77AE" w:rsidP="00AD38BF" w14:paraId="796DD99D"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6" w:history="1">
              <w:r w:rsidRPr="002C77AE">
                <w:rPr>
                  <w:rFonts w:ascii="Times New Roman" w:hAnsi="Times New Roman" w:eastAsiaTheme="minorHAnsi" w:cs="Times New Roman"/>
                  <w:color w:val="0000FF"/>
                  <w:sz w:val="24"/>
                  <w:szCs w:val="24"/>
                  <w:u w:val="single"/>
                  <w:lang w:val="en-US" w:eastAsia="en-US" w:bidi="ar-SA"/>
                </w:rPr>
                <w:t>mwalters@proseniors.org</w:t>
              </w:r>
            </w:hyperlink>
          </w:p>
          <w:p w:rsidR="00DC2375" w:rsidRPr="002C77AE" w:rsidP="00AD38BF" w14:paraId="06425054"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7" w:history="1">
              <w:r w:rsidRPr="002C77AE">
                <w:rPr>
                  <w:rFonts w:ascii="Times New Roman" w:hAnsi="Times New Roman" w:eastAsiaTheme="minorHAnsi" w:cs="Times New Roman"/>
                  <w:color w:val="0000FF"/>
                  <w:sz w:val="24"/>
                  <w:szCs w:val="24"/>
                  <w:u w:val="single"/>
                  <w:lang w:val="en-US" w:eastAsia="en-US" w:bidi="ar-SA"/>
                </w:rPr>
                <w:t>dmanor@ablelaw.org</w:t>
              </w:r>
            </w:hyperlink>
          </w:p>
          <w:p w:rsidR="00DC2375" w:rsidRPr="002C77AE" w:rsidP="00AD38BF" w14:paraId="39105665" w14:textId="77777777">
            <w:pPr>
              <w:autoSpaceDE w:val="0"/>
              <w:autoSpaceDN w:val="0"/>
              <w:spacing w:after="0" w:line="240" w:lineRule="auto"/>
              <w:rPr>
                <w:rFonts w:ascii="Times New Roman" w:hAnsi="Times New Roman" w:eastAsiaTheme="minorHAnsi" w:cs="Times New Roman"/>
                <w:color w:val="0000FF"/>
                <w:sz w:val="24"/>
                <w:szCs w:val="24"/>
                <w:u w:val="single"/>
                <w:lang w:val="en-US" w:eastAsia="en-US" w:bidi="ar-SA"/>
              </w:rPr>
            </w:pPr>
            <w:hyperlink r:id="rId48" w:history="1">
              <w:r w:rsidRPr="002C77AE">
                <w:rPr>
                  <w:rFonts w:ascii="Times New Roman" w:hAnsi="Times New Roman" w:eastAsiaTheme="minorHAnsi" w:cs="Times New Roman"/>
                  <w:color w:val="0000FF"/>
                  <w:sz w:val="24"/>
                  <w:szCs w:val="24"/>
                  <w:u w:val="single"/>
                  <w:lang w:val="en-US" w:eastAsia="en-US" w:bidi="ar-SA"/>
                </w:rPr>
                <w:t>rnader@communitylegalaid.org</w:t>
              </w:r>
            </w:hyperlink>
          </w:p>
          <w:p w:rsidR="00DC2375" w:rsidRPr="002C77AE" w:rsidP="00AD38BF" w14:paraId="42CF3D27" w14:textId="77777777">
            <w:pPr>
              <w:spacing w:after="0" w:line="240" w:lineRule="auto"/>
              <w:rPr>
                <w:rFonts w:ascii="Times New Roman" w:hAnsi="Times New Roman" w:eastAsiaTheme="minorHAnsi" w:cs="Times New Roman"/>
                <w:sz w:val="24"/>
                <w:szCs w:val="24"/>
                <w:lang w:val="en-US" w:eastAsia="en-US" w:bidi="ar-SA"/>
              </w:rPr>
            </w:pPr>
            <w:r w:rsidRPr="002C77AE">
              <w:rPr>
                <w:rFonts w:ascii="Times New Roman" w:hAnsi="Times New Roman" w:eastAsiaTheme="minorHAnsi" w:cs="Times New Roman"/>
                <w:sz w:val="24"/>
                <w:szCs w:val="24"/>
                <w:lang w:val="en-US" w:eastAsia="en-US" w:bidi="ar-SA"/>
              </w:rPr>
              <w:t xml:space="preserve">Attorney Examiners: </w:t>
            </w:r>
          </w:p>
          <w:p w:rsidR="00DC2375" w:rsidRPr="002C77AE" w:rsidP="00AD38BF" w14:paraId="2369E08E" w14:textId="77777777">
            <w:pPr>
              <w:spacing w:after="0" w:line="240" w:lineRule="auto"/>
              <w:rPr>
                <w:rFonts w:ascii="Times New Roman" w:hAnsi="Times New Roman" w:eastAsiaTheme="minorHAnsi" w:cs="Times New Roman"/>
                <w:sz w:val="24"/>
                <w:szCs w:val="24"/>
                <w:lang w:val="en-US" w:eastAsia="en-US" w:bidi="ar-SA"/>
              </w:rPr>
            </w:pPr>
            <w:hyperlink r:id="rId49" w:history="1">
              <w:r w:rsidRPr="002C77AE">
                <w:rPr>
                  <w:rFonts w:ascii="Times New Roman" w:hAnsi="Times New Roman" w:eastAsiaTheme="minorHAnsi" w:cs="Times New Roman"/>
                  <w:color w:val="0000FF"/>
                  <w:sz w:val="24"/>
                  <w:szCs w:val="24"/>
                  <w:u w:val="single"/>
                  <w:lang w:val="en-US" w:eastAsia="en-US" w:bidi="ar-SA"/>
                </w:rPr>
                <w:t>megan.addison@puco.ohio.gov</w:t>
              </w:r>
            </w:hyperlink>
          </w:p>
          <w:p w:rsidR="00DC2375" w:rsidRPr="002C77AE" w:rsidP="00AD38BF" w14:paraId="2FD863D4" w14:textId="77777777">
            <w:pPr>
              <w:spacing w:after="0" w:line="240" w:lineRule="auto"/>
              <w:rPr>
                <w:rFonts w:ascii="Times New Roman" w:hAnsi="Times New Roman" w:eastAsiaTheme="minorHAnsi" w:cs="Times New Roman"/>
                <w:sz w:val="24"/>
                <w:szCs w:val="24"/>
                <w:lang w:val="en-US" w:eastAsia="en-US" w:bidi="ar-SA"/>
              </w:rPr>
            </w:pPr>
            <w:hyperlink r:id="rId50" w:history="1">
              <w:r w:rsidRPr="002C77AE">
                <w:rPr>
                  <w:rFonts w:ascii="Times New Roman" w:hAnsi="Times New Roman" w:eastAsiaTheme="minorHAnsi" w:cs="Times New Roman"/>
                  <w:color w:val="0000FF"/>
                  <w:sz w:val="24"/>
                  <w:szCs w:val="24"/>
                  <w:u w:val="single"/>
                  <w:lang w:val="en-US" w:eastAsia="en-US" w:bidi="ar-SA"/>
                </w:rPr>
                <w:t>greg.price@puco.ohio.gov</w:t>
              </w:r>
            </w:hyperlink>
          </w:p>
          <w:p w:rsidR="00DC2375" w:rsidRPr="002C77AE" w:rsidP="00AD38BF" w14:paraId="1B7A975B" w14:textId="77777777">
            <w:pPr>
              <w:spacing w:after="0" w:line="240" w:lineRule="auto"/>
              <w:rPr>
                <w:rFonts w:ascii="Times New Roman" w:hAnsi="Times New Roman" w:eastAsiaTheme="minorHAnsi" w:cs="Times New Roman"/>
                <w:sz w:val="24"/>
                <w:szCs w:val="24"/>
                <w:lang w:val="en-US" w:eastAsia="en-US" w:bidi="ar-SA"/>
              </w:rPr>
            </w:pPr>
            <w:hyperlink r:id="rId51" w:history="1">
              <w:r w:rsidRPr="002C77AE">
                <w:rPr>
                  <w:rFonts w:ascii="Times New Roman" w:hAnsi="Times New Roman" w:eastAsiaTheme="minorHAnsi" w:cs="Times New Roman"/>
                  <w:color w:val="0000FF"/>
                  <w:sz w:val="24"/>
                  <w:szCs w:val="24"/>
                  <w:u w:val="single"/>
                  <w:lang w:val="en-US" w:eastAsia="en-US" w:bidi="ar-SA"/>
                </w:rPr>
                <w:t>jacqueline.st.john@puco.ohio.gov</w:t>
              </w:r>
            </w:hyperlink>
          </w:p>
        </w:tc>
        <w:tc>
          <w:tcPr>
            <w:tcW w:w="4215" w:type="dxa"/>
          </w:tcPr>
          <w:p w:rsidR="00DC2375" w:rsidRPr="002C77AE" w:rsidP="00AD38BF" w14:paraId="490D41A5"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2" w:history="1">
              <w:r w:rsidRPr="002C77AE">
                <w:rPr>
                  <w:rFonts w:ascii="Times New Roman" w:hAnsi="Times New Roman" w:eastAsiaTheme="minorHAnsi" w:cs="Times New Roman"/>
                  <w:color w:val="0000FF"/>
                  <w:sz w:val="24"/>
                  <w:szCs w:val="24"/>
                  <w:u w:val="single"/>
                  <w:lang w:val="en-US" w:eastAsia="en-US" w:bidi="ar-SA"/>
                </w:rPr>
                <w:t>bknipe@firstenergycorp.com</w:t>
              </w:r>
            </w:hyperlink>
          </w:p>
          <w:p w:rsidR="00DC2375" w:rsidRPr="002C77AE" w:rsidP="00AD38BF" w14:paraId="1C9C2AA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3" w:history="1">
              <w:r w:rsidRPr="002C77AE">
                <w:rPr>
                  <w:rFonts w:ascii="Times New Roman" w:hAnsi="Times New Roman" w:eastAsiaTheme="minorHAnsi" w:cs="Times New Roman"/>
                  <w:color w:val="0000FF"/>
                  <w:sz w:val="24"/>
                  <w:szCs w:val="24"/>
                  <w:u w:val="single"/>
                  <w:lang w:val="en-US" w:eastAsia="en-US" w:bidi="ar-SA"/>
                </w:rPr>
                <w:t>cwatchorn@firstenergycorp.com</w:t>
              </w:r>
            </w:hyperlink>
          </w:p>
          <w:p w:rsidR="00DC2375" w:rsidRPr="002C77AE" w:rsidP="00AD38BF" w14:paraId="2E1C84E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4" w:history="1">
              <w:r w:rsidRPr="002C77AE">
                <w:rPr>
                  <w:rFonts w:ascii="Times New Roman" w:hAnsi="Times New Roman" w:eastAsiaTheme="minorHAnsi" w:cs="Times New Roman"/>
                  <w:color w:val="0000FF"/>
                  <w:sz w:val="24"/>
                  <w:szCs w:val="24"/>
                  <w:u w:val="single"/>
                  <w:lang w:val="en-US" w:eastAsia="en-US" w:bidi="ar-SA"/>
                </w:rPr>
                <w:t>talexander@beneschlaw.com</w:t>
              </w:r>
            </w:hyperlink>
          </w:p>
          <w:p w:rsidR="00DC2375" w:rsidRPr="002C77AE" w:rsidP="00AD38BF" w14:paraId="172496E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5" w:history="1">
              <w:r w:rsidRPr="002C77AE">
                <w:rPr>
                  <w:rFonts w:ascii="Times New Roman" w:hAnsi="Times New Roman" w:eastAsiaTheme="minorHAnsi" w:cs="Times New Roman"/>
                  <w:color w:val="0000FF"/>
                  <w:sz w:val="24"/>
                  <w:szCs w:val="24"/>
                  <w:u w:val="single"/>
                  <w:lang w:val="en-US" w:eastAsia="en-US" w:bidi="ar-SA"/>
                </w:rPr>
                <w:t>mkeaney@beneschlaw.com</w:t>
              </w:r>
            </w:hyperlink>
          </w:p>
          <w:p w:rsidR="00DC2375" w:rsidRPr="002C77AE" w:rsidP="00AD38BF" w14:paraId="71BCBEE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6" w:history="1">
              <w:r w:rsidRPr="002C77AE">
                <w:rPr>
                  <w:rFonts w:ascii="Times New Roman" w:hAnsi="Times New Roman" w:eastAsiaTheme="minorHAnsi" w:cs="Times New Roman"/>
                  <w:color w:val="0000FF"/>
                  <w:sz w:val="24"/>
                  <w:szCs w:val="24"/>
                  <w:u w:val="single"/>
                  <w:lang w:val="en-US" w:eastAsia="en-US" w:bidi="ar-SA"/>
                </w:rPr>
                <w:t>khehmeyer@beneschlaw.com</w:t>
              </w:r>
            </w:hyperlink>
          </w:p>
          <w:p w:rsidR="00DC2375" w:rsidRPr="002C77AE" w:rsidP="00AD38BF" w14:paraId="70F39DB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7" w:history="1">
              <w:r w:rsidRPr="002C77AE">
                <w:rPr>
                  <w:rFonts w:ascii="Times New Roman" w:hAnsi="Times New Roman" w:eastAsiaTheme="minorHAnsi" w:cs="Times New Roman"/>
                  <w:color w:val="0000FF"/>
                  <w:sz w:val="24"/>
                  <w:szCs w:val="24"/>
                  <w:u w:val="single"/>
                  <w:lang w:val="en-US" w:eastAsia="en-US" w:bidi="ar-SA"/>
                </w:rPr>
                <w:t>dproano@bakerlaw.com</w:t>
              </w:r>
            </w:hyperlink>
          </w:p>
          <w:p w:rsidR="00DC2375" w:rsidRPr="002C77AE" w:rsidP="00AD38BF" w14:paraId="4CF68FE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8" w:history="1">
              <w:r w:rsidRPr="002C77AE">
                <w:rPr>
                  <w:rFonts w:ascii="Times New Roman" w:hAnsi="Times New Roman" w:eastAsiaTheme="minorHAnsi" w:cs="Times New Roman"/>
                  <w:color w:val="0000FF"/>
                  <w:sz w:val="24"/>
                  <w:szCs w:val="24"/>
                  <w:u w:val="single"/>
                  <w:lang w:val="en-US" w:eastAsia="en-US" w:bidi="ar-SA"/>
                </w:rPr>
                <w:t>ahaque@bakerlaw.com</w:t>
              </w:r>
            </w:hyperlink>
          </w:p>
          <w:p w:rsidR="00DC2375" w:rsidRPr="002C77AE" w:rsidP="00AD38BF" w14:paraId="29FB9F0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9" w:history="1">
              <w:r w:rsidRPr="002C77AE">
                <w:rPr>
                  <w:rFonts w:ascii="Times New Roman" w:hAnsi="Times New Roman" w:eastAsiaTheme="minorHAnsi" w:cs="Times New Roman"/>
                  <w:color w:val="0000FF"/>
                  <w:sz w:val="24"/>
                  <w:szCs w:val="24"/>
                  <w:u w:val="single"/>
                  <w:lang w:val="en-US" w:eastAsia="en-US" w:bidi="ar-SA"/>
                </w:rPr>
                <w:t>eprouty@bakerlaw.com</w:t>
              </w:r>
            </w:hyperlink>
          </w:p>
          <w:p w:rsidR="00DC2375" w:rsidRPr="002C77AE" w:rsidP="00AD38BF" w14:paraId="3511CBE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0" w:history="1">
              <w:r w:rsidRPr="002C77AE">
                <w:rPr>
                  <w:rFonts w:ascii="Times New Roman" w:hAnsi="Times New Roman" w:eastAsiaTheme="minorHAnsi" w:cs="Times New Roman"/>
                  <w:color w:val="0000FF"/>
                  <w:sz w:val="24"/>
                  <w:szCs w:val="24"/>
                  <w:u w:val="single"/>
                  <w:lang w:val="en-US" w:eastAsia="en-US" w:bidi="ar-SA"/>
                </w:rPr>
                <w:t>pwillison@bakerlaw.com</w:t>
              </w:r>
            </w:hyperlink>
          </w:p>
          <w:p w:rsidR="00DC2375" w:rsidRPr="002C77AE" w:rsidP="00AD38BF" w14:paraId="06C750E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1" w:history="1">
              <w:r w:rsidRPr="002C77AE">
                <w:rPr>
                  <w:rFonts w:ascii="Times New Roman" w:hAnsi="Times New Roman" w:eastAsiaTheme="minorHAnsi" w:cs="Times New Roman"/>
                  <w:color w:val="0000FF"/>
                  <w:sz w:val="24"/>
                  <w:szCs w:val="24"/>
                  <w:u w:val="single"/>
                  <w:lang w:val="en-US" w:eastAsia="en-US" w:bidi="ar-SA"/>
                </w:rPr>
                <w:t>dstinson@brickergraydon.com</w:t>
              </w:r>
            </w:hyperlink>
          </w:p>
          <w:p w:rsidR="00DC2375" w:rsidRPr="002C77AE" w:rsidP="00AD38BF" w14:paraId="27768EEC"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2" w:history="1">
              <w:r w:rsidRPr="002C77AE">
                <w:rPr>
                  <w:rFonts w:ascii="Times New Roman" w:hAnsi="Times New Roman" w:eastAsiaTheme="minorHAnsi" w:cs="Times New Roman"/>
                  <w:color w:val="0000FF"/>
                  <w:sz w:val="24"/>
                  <w:szCs w:val="24"/>
                  <w:u w:val="single"/>
                  <w:lang w:val="en-US" w:eastAsia="en-US" w:bidi="ar-SA"/>
                </w:rPr>
                <w:t>gkrassen@nopec.org</w:t>
              </w:r>
            </w:hyperlink>
          </w:p>
          <w:p w:rsidR="00DC2375" w:rsidRPr="002C77AE" w:rsidP="00AD38BF" w14:paraId="0A55BCA5" w14:textId="77777777">
            <w:pPr>
              <w:spacing w:after="0" w:line="240" w:lineRule="auto"/>
              <w:rPr>
                <w:rFonts w:ascii="Times New Roman" w:hAnsi="Times New Roman" w:eastAsiaTheme="minorHAnsi" w:cs="Times New Roman"/>
                <w:color w:val="0000FF"/>
                <w:sz w:val="24"/>
                <w:szCs w:val="24"/>
                <w:lang w:val="en-US" w:eastAsia="en-US" w:bidi="ar-SA"/>
              </w:rPr>
            </w:pPr>
            <w:hyperlink r:id="rId63" w:history="1">
              <w:r w:rsidRPr="002C77AE">
                <w:rPr>
                  <w:rStyle w:val="Hyperlink"/>
                  <w:rFonts w:ascii="Times New Roman" w:hAnsi="Times New Roman" w:eastAsiaTheme="minorHAnsi" w:cs="Times New Roman"/>
                  <w:color w:val="0000FF"/>
                  <w:sz w:val="24"/>
                  <w:szCs w:val="24"/>
                  <w:u w:val="single"/>
                  <w:lang w:val="en-US" w:eastAsia="en-US" w:bidi="ar-SA"/>
                </w:rPr>
                <w:t>meissnerjoseph@yahoo.com</w:t>
              </w:r>
            </w:hyperlink>
          </w:p>
          <w:p w:rsidR="00DC2375" w:rsidRPr="002C77AE" w:rsidP="00AD38BF" w14:paraId="1632AF4E"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4" w:history="1">
              <w:r w:rsidRPr="002C77AE">
                <w:rPr>
                  <w:rFonts w:ascii="Times New Roman" w:hAnsi="Times New Roman" w:eastAsiaTheme="minorHAnsi" w:cs="Times New Roman"/>
                  <w:color w:val="0000FF"/>
                  <w:sz w:val="24"/>
                  <w:szCs w:val="24"/>
                  <w:u w:val="single"/>
                  <w:lang w:val="en-US" w:eastAsia="en-US" w:bidi="ar-SA"/>
                </w:rPr>
                <w:t>trhayslaw@gmail.com</w:t>
              </w:r>
            </w:hyperlink>
          </w:p>
          <w:p w:rsidR="00DC2375" w:rsidRPr="002C77AE" w:rsidP="00AD38BF" w14:paraId="317C010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5" w:history="1">
              <w:r w:rsidRPr="002C77AE">
                <w:rPr>
                  <w:rFonts w:ascii="Times New Roman" w:hAnsi="Times New Roman" w:eastAsiaTheme="minorHAnsi" w:cs="Times New Roman"/>
                  <w:color w:val="0000FF"/>
                  <w:sz w:val="24"/>
                  <w:szCs w:val="24"/>
                  <w:u w:val="single"/>
                  <w:lang w:val="en-US" w:eastAsia="en-US" w:bidi="ar-SA"/>
                </w:rPr>
                <w:t>leslie.kovacik@toledo.oh.gov</w:t>
              </w:r>
            </w:hyperlink>
          </w:p>
          <w:p w:rsidR="00DC2375" w:rsidRPr="002C77AE" w:rsidP="00AD38BF" w14:paraId="7D3F49A5"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6" w:history="1">
              <w:r w:rsidRPr="002C77AE">
                <w:rPr>
                  <w:rFonts w:ascii="Times New Roman" w:eastAsia="Calibri" w:hAnsi="Times New Roman" w:cs="Times New Roman"/>
                  <w:color w:val="0000FF"/>
                  <w:sz w:val="24"/>
                  <w:szCs w:val="24"/>
                  <w:u w:val="single"/>
                  <w:lang w:val="en-US" w:eastAsia="en-US" w:bidi="ar-SA"/>
                </w:rPr>
                <w:t>bojko@carpenterlipps.com</w:t>
              </w:r>
            </w:hyperlink>
          </w:p>
          <w:p w:rsidR="00DC2375" w:rsidRPr="002C77AE" w:rsidP="00AD38BF" w14:paraId="7FF9275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7" w:history="1">
              <w:r w:rsidRPr="002C77AE">
                <w:rPr>
                  <w:rFonts w:ascii="Times New Roman" w:hAnsi="Times New Roman" w:eastAsiaTheme="minorHAnsi" w:cs="Times New Roman"/>
                  <w:color w:val="0000FF"/>
                  <w:sz w:val="24"/>
                  <w:szCs w:val="24"/>
                  <w:u w:val="single"/>
                  <w:lang w:val="en-US" w:eastAsia="en-US" w:bidi="ar-SA"/>
                </w:rPr>
                <w:t>easley@carpenterlipps.com</w:t>
              </w:r>
            </w:hyperlink>
          </w:p>
          <w:p w:rsidR="00DC2375" w:rsidRPr="002C77AE" w:rsidP="00AD38BF" w14:paraId="1466295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8" w:history="1">
              <w:r w:rsidRPr="002C77AE">
                <w:rPr>
                  <w:rFonts w:ascii="Times New Roman" w:eastAsia="Calibri" w:hAnsi="Times New Roman" w:cs="Times New Roman"/>
                  <w:color w:val="0000FF"/>
                  <w:sz w:val="24"/>
                  <w:szCs w:val="24"/>
                  <w:u w:val="single"/>
                  <w:lang w:val="en-US" w:eastAsia="en-US" w:bidi="ar-SA"/>
                </w:rPr>
                <w:t>mkl@smxblaw.com</w:t>
              </w:r>
            </w:hyperlink>
          </w:p>
          <w:p w:rsidR="00DC2375" w:rsidRPr="002C77AE" w:rsidP="00AD38BF" w14:paraId="2E4BC8A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9" w:history="1">
              <w:r w:rsidRPr="002C77AE">
                <w:rPr>
                  <w:rFonts w:ascii="Times New Roman" w:eastAsia="Calibri" w:hAnsi="Times New Roman" w:cs="Times New Roman"/>
                  <w:color w:val="0000FF"/>
                  <w:sz w:val="24"/>
                  <w:szCs w:val="24"/>
                  <w:u w:val="single"/>
                  <w:lang w:val="en-US" w:eastAsia="en-US" w:bidi="ar-SA"/>
                </w:rPr>
                <w:t>jrb@smxblaw.com</w:t>
              </w:r>
            </w:hyperlink>
          </w:p>
          <w:p w:rsidR="00DC2375" w:rsidRPr="002C77AE" w:rsidP="00AD38BF" w14:paraId="2C5D089B"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0" w:history="1">
              <w:r w:rsidRPr="002C77AE">
                <w:rPr>
                  <w:rFonts w:ascii="Times New Roman" w:eastAsia="Calibri" w:hAnsi="Times New Roman" w:cs="Times New Roman"/>
                  <w:color w:val="0000FF"/>
                  <w:sz w:val="24"/>
                  <w:szCs w:val="24"/>
                  <w:u w:val="single"/>
                  <w:lang w:val="en-US" w:eastAsia="en-US" w:bidi="ar-SA"/>
                </w:rPr>
                <w:t>little@litohio.com</w:t>
              </w:r>
            </w:hyperlink>
          </w:p>
          <w:p w:rsidR="00DC2375" w:rsidRPr="002C77AE" w:rsidP="00AD38BF" w14:paraId="081FF1A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1" w:history="1">
              <w:r w:rsidRPr="002C77AE">
                <w:rPr>
                  <w:rFonts w:ascii="Times New Roman" w:eastAsia="Calibri" w:hAnsi="Times New Roman" w:cs="Times New Roman"/>
                  <w:color w:val="0000FF"/>
                  <w:sz w:val="24"/>
                  <w:szCs w:val="24"/>
                  <w:u w:val="single"/>
                  <w:lang w:val="en-US" w:eastAsia="en-US" w:bidi="ar-SA"/>
                </w:rPr>
                <w:t>hogan@litohio.com</w:t>
              </w:r>
            </w:hyperlink>
          </w:p>
          <w:p w:rsidR="00DC2375" w:rsidRPr="002C77AE" w:rsidP="00AD38BF" w14:paraId="4C86A195"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2" w:history="1">
              <w:r w:rsidRPr="002C77AE">
                <w:rPr>
                  <w:rFonts w:ascii="Times New Roman" w:eastAsia="Calibri" w:hAnsi="Times New Roman" w:cs="Times New Roman"/>
                  <w:color w:val="0000FF"/>
                  <w:sz w:val="24"/>
                  <w:szCs w:val="24"/>
                  <w:u w:val="single"/>
                  <w:lang w:val="en-US" w:eastAsia="en-US" w:bidi="ar-SA"/>
                </w:rPr>
                <w:t>ktreadway@oneenergyllc.com</w:t>
              </w:r>
            </w:hyperlink>
          </w:p>
          <w:p w:rsidR="00DC2375" w:rsidRPr="002C77AE" w:rsidP="00AD38BF" w14:paraId="63F1AC04"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3" w:history="1">
              <w:r w:rsidRPr="002C77AE">
                <w:rPr>
                  <w:rFonts w:ascii="Times New Roman" w:eastAsia="Calibri" w:hAnsi="Times New Roman" w:cs="Times New Roman"/>
                  <w:color w:val="0000FF"/>
                  <w:sz w:val="24"/>
                  <w:szCs w:val="24"/>
                  <w:u w:val="single"/>
                  <w:lang w:val="en-US" w:eastAsia="en-US" w:bidi="ar-SA"/>
                </w:rPr>
                <w:t>jdunn@oneenergyllc.com</w:t>
              </w:r>
            </w:hyperlink>
          </w:p>
          <w:p w:rsidR="00DC2375" w:rsidRPr="002C77AE" w:rsidP="00AD38BF" w14:paraId="4960FBF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4" w:history="1">
              <w:r w:rsidRPr="002C77AE">
                <w:rPr>
                  <w:rFonts w:ascii="Times New Roman" w:hAnsi="Times New Roman" w:eastAsiaTheme="minorHAnsi" w:cs="Times New Roman"/>
                  <w:color w:val="0000FF"/>
                  <w:sz w:val="24"/>
                  <w:szCs w:val="24"/>
                  <w:u w:val="single"/>
                  <w:lang w:val="en-US" w:eastAsia="en-US" w:bidi="ar-SA"/>
                </w:rPr>
                <w:t>trent@hubaydougherty.com</w:t>
              </w:r>
            </w:hyperlink>
          </w:p>
          <w:p w:rsidR="00DC2375" w:rsidRPr="002C77AE" w:rsidP="00AD38BF" w14:paraId="28AEAC10"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5" w:history="1">
              <w:r w:rsidRPr="002C77AE">
                <w:rPr>
                  <w:rFonts w:ascii="Times New Roman" w:eastAsia="Calibri" w:hAnsi="Times New Roman" w:cs="Times New Roman"/>
                  <w:color w:val="0000FF"/>
                  <w:sz w:val="24"/>
                  <w:szCs w:val="24"/>
                  <w:u w:val="single"/>
                  <w:lang w:val="en-US" w:eastAsia="en-US" w:bidi="ar-SA"/>
                </w:rPr>
                <w:t>emcconnell@elpc.org</w:t>
              </w:r>
            </w:hyperlink>
          </w:p>
          <w:p w:rsidR="00DC2375" w:rsidRPr="002C77AE" w:rsidP="00AD38BF" w14:paraId="500BB548"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6" w:history="1">
              <w:r w:rsidRPr="002C77AE">
                <w:rPr>
                  <w:rFonts w:ascii="Times New Roman" w:eastAsia="Calibri" w:hAnsi="Times New Roman" w:cs="Times New Roman"/>
                  <w:color w:val="0000FF"/>
                  <w:sz w:val="24"/>
                  <w:szCs w:val="24"/>
                  <w:u w:val="single"/>
                  <w:lang w:val="en-US" w:eastAsia="en-US" w:bidi="ar-SA"/>
                </w:rPr>
                <w:t>cpirik@dickinsonwright.com</w:t>
              </w:r>
            </w:hyperlink>
          </w:p>
          <w:p w:rsidR="00DC2375" w:rsidRPr="002C77AE" w:rsidP="00AD38BF" w14:paraId="6C367255"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7" w:history="1">
              <w:r w:rsidRPr="002C77AE">
                <w:rPr>
                  <w:rFonts w:ascii="Times New Roman" w:eastAsia="Calibri" w:hAnsi="Times New Roman" w:cs="Times New Roman"/>
                  <w:color w:val="0000FF"/>
                  <w:sz w:val="24"/>
                  <w:szCs w:val="24"/>
                  <w:u w:val="single"/>
                  <w:lang w:val="en-US" w:eastAsia="en-US" w:bidi="ar-SA"/>
                </w:rPr>
                <w:t>todonnell@dickinsonwright.com</w:t>
              </w:r>
            </w:hyperlink>
          </w:p>
          <w:p w:rsidR="00DC2375" w:rsidRPr="002C77AE" w:rsidP="00AD38BF" w14:paraId="7FCD054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8" w:history="1">
              <w:r w:rsidRPr="002C77AE">
                <w:rPr>
                  <w:rFonts w:ascii="Times New Roman" w:eastAsia="Calibri" w:hAnsi="Times New Roman" w:cs="Times New Roman"/>
                  <w:color w:val="0000FF"/>
                  <w:sz w:val="24"/>
                  <w:szCs w:val="24"/>
                  <w:u w:val="single"/>
                  <w:lang w:val="en-US" w:eastAsia="en-US" w:bidi="ar-SA"/>
                </w:rPr>
                <w:t>kshimp@dickinsonwright.com</w:t>
              </w:r>
            </w:hyperlink>
          </w:p>
          <w:p w:rsidR="00DC2375" w:rsidRPr="002C77AE" w:rsidP="00AD38BF" w14:paraId="7750BCA0"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9" w:history="1">
              <w:r w:rsidRPr="002C77AE">
                <w:rPr>
                  <w:rFonts w:ascii="Times New Roman" w:eastAsia="Calibri" w:hAnsi="Times New Roman" w:cs="Times New Roman"/>
                  <w:color w:val="0000FF"/>
                  <w:sz w:val="24"/>
                  <w:szCs w:val="24"/>
                  <w:u w:val="single"/>
                  <w:lang w:val="en-US" w:eastAsia="en-US" w:bidi="ar-SA"/>
                </w:rPr>
                <w:t>eowoyt@vorys.com</w:t>
              </w:r>
            </w:hyperlink>
          </w:p>
          <w:p w:rsidR="00DC2375" w:rsidRPr="002C77AE" w:rsidP="00AD38BF" w14:paraId="6F6130BF"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80" w:history="1">
              <w:r w:rsidRPr="002C77AE">
                <w:rPr>
                  <w:rFonts w:ascii="Times New Roman" w:eastAsia="Calibri" w:hAnsi="Times New Roman" w:cs="Times New Roman"/>
                  <w:color w:val="0000FF"/>
                  <w:sz w:val="24"/>
                  <w:szCs w:val="24"/>
                  <w:u w:val="single"/>
                  <w:lang w:val="en-US" w:eastAsia="en-US" w:bidi="ar-SA"/>
                </w:rPr>
                <w:t>whitt@whitt-sturtevant.com</w:t>
              </w:r>
            </w:hyperlink>
          </w:p>
          <w:p w:rsidR="00DC2375" w:rsidRPr="002C77AE" w:rsidP="00AD38BF" w14:paraId="7E97FB81"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81" w:history="1">
              <w:r w:rsidRPr="002C77AE">
                <w:rPr>
                  <w:rFonts w:ascii="Times New Roman" w:eastAsia="Calibri" w:hAnsi="Times New Roman" w:cs="Times New Roman"/>
                  <w:color w:val="0000FF"/>
                  <w:sz w:val="24"/>
                  <w:szCs w:val="24"/>
                  <w:u w:val="single"/>
                  <w:lang w:val="en-US" w:eastAsia="en-US" w:bidi="ar-SA"/>
                </w:rPr>
                <w:t>ctavenor@theOEC.org</w:t>
              </w:r>
            </w:hyperlink>
          </w:p>
          <w:p w:rsidR="00DC2375" w:rsidRPr="002C77AE" w:rsidP="00AD38BF" w14:paraId="2798884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82" w:history="1">
              <w:r w:rsidRPr="002C77AE">
                <w:rPr>
                  <w:rFonts w:ascii="Times New Roman" w:hAnsi="Times New Roman" w:eastAsiaTheme="minorHAnsi" w:cs="Times New Roman"/>
                  <w:color w:val="0000FF"/>
                  <w:sz w:val="24"/>
                  <w:szCs w:val="24"/>
                  <w:u w:val="single"/>
                  <w:lang w:val="en-US" w:eastAsia="en-US" w:bidi="ar-SA"/>
                </w:rPr>
                <w:t>Becky.Merola@calpinesolutions.com</w:t>
              </w:r>
            </w:hyperlink>
          </w:p>
          <w:p w:rsidR="00DC2375" w:rsidRPr="002C77AE" w:rsidP="00AD38BF" w14:paraId="21B04AAF"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83" w:history="1">
              <w:r w:rsidRPr="002C77AE">
                <w:rPr>
                  <w:rFonts w:ascii="Times New Roman" w:hAnsi="Times New Roman" w:eastAsiaTheme="minorHAnsi" w:cs="Times New Roman"/>
                  <w:color w:val="0000FF"/>
                  <w:sz w:val="24"/>
                  <w:szCs w:val="24"/>
                  <w:u w:val="single"/>
                  <w:lang w:val="en-US" w:eastAsia="en-US" w:bidi="ar-SA"/>
                </w:rPr>
                <w:t>jlaskey@norris-law.com</w:t>
              </w:r>
            </w:hyperlink>
          </w:p>
          <w:p w:rsidR="00DC2375" w:rsidRPr="002C77AE" w:rsidP="00AD38BF" w14:paraId="032DD4F9"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4" w:history="1">
              <w:r w:rsidRPr="002C77AE">
                <w:rPr>
                  <w:rFonts w:ascii="Times New Roman" w:eastAsia="Calibri" w:hAnsi="Times New Roman" w:cs="Times New Roman"/>
                  <w:color w:val="0000FF"/>
                  <w:sz w:val="24"/>
                  <w:szCs w:val="24"/>
                  <w:u w:val="single"/>
                  <w:lang w:val="en-US" w:eastAsia="en-US" w:bidi="ar-SA"/>
                </w:rPr>
                <w:t>knordstrom@theOEC.org</w:t>
              </w:r>
            </w:hyperlink>
          </w:p>
          <w:p w:rsidR="00DC2375" w:rsidRPr="002C77AE" w:rsidP="00AD38BF" w14:paraId="10500D2E"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5" w:history="1">
              <w:r w:rsidRPr="002C77AE">
                <w:rPr>
                  <w:rFonts w:ascii="Times New Roman" w:eastAsia="Calibri" w:hAnsi="Times New Roman" w:cs="Times New Roman"/>
                  <w:color w:val="0000FF"/>
                  <w:sz w:val="24"/>
                  <w:szCs w:val="24"/>
                  <w:u w:val="single"/>
                  <w:lang w:val="en-US" w:eastAsia="en-US" w:bidi="ar-SA"/>
                </w:rPr>
                <w:t>jlang@calfee.com</w:t>
              </w:r>
            </w:hyperlink>
          </w:p>
          <w:p w:rsidR="00DC2375" w:rsidRPr="002C77AE" w:rsidP="00AD38BF" w14:paraId="6A16647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6" w:history="1">
              <w:r w:rsidRPr="002C77AE">
                <w:rPr>
                  <w:rFonts w:ascii="Times New Roman" w:eastAsia="Calibri" w:hAnsi="Times New Roman" w:cs="Times New Roman"/>
                  <w:color w:val="0000FF"/>
                  <w:sz w:val="24"/>
                  <w:szCs w:val="24"/>
                  <w:u w:val="single"/>
                  <w:lang w:val="en-US" w:eastAsia="en-US" w:bidi="ar-SA"/>
                </w:rPr>
                <w:t>mbarbara@calfee.com</w:t>
              </w:r>
            </w:hyperlink>
          </w:p>
          <w:p w:rsidR="00DC2375" w:rsidRPr="002C77AE" w:rsidP="00AD38BF" w14:paraId="781845DF"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7" w:history="1">
              <w:r w:rsidRPr="002C77AE">
                <w:rPr>
                  <w:rFonts w:ascii="Times New Roman" w:eastAsia="Calibri" w:hAnsi="Times New Roman" w:cs="Times New Roman"/>
                  <w:color w:val="0000FF"/>
                  <w:sz w:val="24"/>
                  <w:szCs w:val="24"/>
                  <w:u w:val="single"/>
                  <w:lang w:val="en-US" w:eastAsia="en-US" w:bidi="ar-SA"/>
                </w:rPr>
                <w:t>jpetroff@lawforlabor.com</w:t>
              </w:r>
            </w:hyperlink>
          </w:p>
          <w:p w:rsidR="00DC2375" w:rsidRPr="002C77AE" w:rsidP="00AD38BF" w14:paraId="563D81C2"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8" w:history="1">
              <w:r w:rsidRPr="002C77AE">
                <w:rPr>
                  <w:rFonts w:ascii="Times New Roman" w:eastAsia="Calibri" w:hAnsi="Times New Roman" w:cs="Times New Roman"/>
                  <w:color w:val="0000FF"/>
                  <w:sz w:val="24"/>
                  <w:szCs w:val="24"/>
                  <w:u w:val="single"/>
                  <w:lang w:val="en-US" w:eastAsia="en-US" w:bidi="ar-SA"/>
                </w:rPr>
                <w:t>jmcinerney@lawforlabor.com</w:t>
              </w:r>
            </w:hyperlink>
          </w:p>
          <w:p w:rsidR="00DC2375" w:rsidRPr="002C77AE" w:rsidP="00AD38BF" w14:paraId="10A7D229"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89" w:history="1">
              <w:r w:rsidRPr="002C77AE">
                <w:rPr>
                  <w:rFonts w:ascii="Times New Roman" w:eastAsia="Calibri" w:hAnsi="Times New Roman" w:cs="Times New Roman"/>
                  <w:color w:val="0000FF"/>
                  <w:sz w:val="24"/>
                  <w:szCs w:val="24"/>
                  <w:u w:val="single"/>
                  <w:lang w:val="en-US" w:eastAsia="en-US" w:bidi="ar-SA"/>
                </w:rPr>
                <w:t>junger@spilmanlaw.com</w:t>
              </w:r>
            </w:hyperlink>
          </w:p>
          <w:p w:rsidR="00DC2375" w:rsidRPr="002C77AE" w:rsidP="00AD38BF" w14:paraId="11362AD7"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2C77AE">
              <w:rPr>
                <w:rFonts w:ascii="Times New Roman" w:eastAsia="Calibri" w:hAnsi="Times New Roman" w:cs="Times New Roman"/>
                <w:color w:val="0000FF"/>
                <w:sz w:val="24"/>
                <w:szCs w:val="24"/>
                <w:u w:val="single"/>
                <w:lang w:val="en-US" w:eastAsia="en-US" w:bidi="ar-SA"/>
              </w:rPr>
              <w:t xml:space="preserve">joe.oliker@igs.com </w:t>
            </w:r>
          </w:p>
          <w:p w:rsidR="00DC2375" w:rsidRPr="002C77AE" w:rsidP="00AD38BF" w14:paraId="6616399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5" w:history="1">
              <w:r w:rsidRPr="002C77AE">
                <w:rPr>
                  <w:rFonts w:ascii="Times New Roman" w:eastAsia="Calibri" w:hAnsi="Times New Roman" w:cs="Times New Roman"/>
                  <w:color w:val="0000FF"/>
                  <w:sz w:val="24"/>
                  <w:szCs w:val="24"/>
                  <w:u w:val="single"/>
                  <w:lang w:val="en-US" w:eastAsia="en-US" w:bidi="ar-SA"/>
                </w:rPr>
                <w:t>jlang@calfee.com</w:t>
              </w:r>
            </w:hyperlink>
          </w:p>
          <w:p w:rsidR="00DC2375" w:rsidRPr="002C77AE" w:rsidP="00AD38BF" w14:paraId="7DAB6A1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6" w:history="1">
              <w:r w:rsidRPr="002C77AE">
                <w:rPr>
                  <w:rFonts w:ascii="Times New Roman" w:eastAsia="Calibri" w:hAnsi="Times New Roman" w:cs="Times New Roman"/>
                  <w:color w:val="0000FF"/>
                  <w:sz w:val="24"/>
                  <w:szCs w:val="24"/>
                  <w:u w:val="single"/>
                  <w:lang w:val="en-US" w:eastAsia="en-US" w:bidi="ar-SA"/>
                </w:rPr>
                <w:t>mbarbara@calfee.com</w:t>
              </w:r>
            </w:hyperlink>
          </w:p>
          <w:p w:rsidR="00DC2375" w:rsidRPr="002C77AE" w:rsidP="00AD38BF" w14:paraId="3412865F"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90" w:history="1">
              <w:r w:rsidRPr="002C77AE">
                <w:rPr>
                  <w:rFonts w:ascii="Times New Roman" w:eastAsia="Calibri" w:hAnsi="Times New Roman" w:cs="Times New Roman"/>
                  <w:color w:val="0000FF"/>
                  <w:sz w:val="24"/>
                  <w:szCs w:val="24"/>
                  <w:u w:val="single"/>
                  <w:lang w:val="en-US" w:eastAsia="en-US" w:bidi="ar-SA"/>
                </w:rPr>
                <w:t>tlong@mcneeslaw.com</w:t>
              </w:r>
            </w:hyperlink>
          </w:p>
          <w:p w:rsidR="00DC2375" w:rsidRPr="002C77AE" w:rsidP="00AD38BF" w14:paraId="45B9A807" w14:textId="77777777">
            <w:pPr>
              <w:spacing w:after="0" w:line="240" w:lineRule="auto"/>
              <w:ind w:left="720" w:hanging="720"/>
              <w:rPr>
                <w:rFonts w:ascii="Times New Roman" w:eastAsia="Calibri" w:hAnsi="Times New Roman" w:cs="Times New Roman"/>
                <w:color w:val="0077CC"/>
                <w:sz w:val="24"/>
                <w:szCs w:val="24"/>
                <w:u w:val="single"/>
                <w:lang w:val="en-US" w:eastAsia="en-US" w:bidi="ar-SA"/>
              </w:rPr>
            </w:pPr>
            <w:hyperlink r:id="rId91" w:history="1">
              <w:r w:rsidRPr="002C77AE">
                <w:rPr>
                  <w:rFonts w:ascii="Times New Roman" w:eastAsia="Calibri" w:hAnsi="Times New Roman" w:cs="Times New Roman"/>
                  <w:color w:val="0000FF"/>
                  <w:sz w:val="24"/>
                  <w:szCs w:val="24"/>
                  <w:u w:val="single"/>
                  <w:lang w:val="en-US" w:eastAsia="en-US" w:bidi="ar-SA"/>
                </w:rPr>
                <w:t>rkelter@elpc.org</w:t>
              </w:r>
            </w:hyperlink>
          </w:p>
          <w:p w:rsidR="00DC2375" w:rsidRPr="002C77AE" w:rsidP="00AD38BF" w14:paraId="7E6FF340"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2C77AE">
              <w:rPr>
                <w:rFonts w:ascii="Times New Roman" w:eastAsia="Calibri" w:hAnsi="Times New Roman" w:cs="Times New Roman"/>
                <w:color w:val="0000FF"/>
                <w:sz w:val="24"/>
                <w:szCs w:val="24"/>
                <w:u w:val="single"/>
                <w:lang w:val="en-US" w:eastAsia="en-US" w:bidi="ar-SA"/>
              </w:rPr>
              <w:t>nwallace@elpc.org</w:t>
            </w:r>
          </w:p>
          <w:p w:rsidR="00DC2375" w:rsidRPr="002C77AE" w:rsidP="00AD38BF" w14:paraId="27D3CEDE"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2C77AE">
              <w:rPr>
                <w:rFonts w:ascii="Times New Roman" w:eastAsia="Calibri" w:hAnsi="Times New Roman" w:cs="Times New Roman"/>
                <w:color w:val="0000FF"/>
                <w:sz w:val="24"/>
                <w:szCs w:val="24"/>
                <w:u w:val="single"/>
                <w:lang w:val="en-US" w:eastAsia="en-US" w:bidi="ar-SA"/>
              </w:rPr>
              <w:t>cadieux@carpenterlipps.com</w:t>
            </w:r>
          </w:p>
          <w:p w:rsidR="00DC2375" w:rsidRPr="002C77AE" w:rsidP="00AD38BF" w14:paraId="03B3F4C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DC2375" w:rsidRPr="002C77AE" w:rsidP="00AD38BF" w14:paraId="29C2B09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DC2375" w:rsidRPr="002C77AE" w:rsidP="00AD38BF" w14:paraId="2CFC7395"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p>
        </w:tc>
      </w:tr>
    </w:tbl>
    <w:p w:rsidR="00D1782F" w:rsidRPr="002C77AE" w14:paraId="22C53BFD" w14:textId="0DD89F46">
      <w:pPr>
        <w:spacing w:after="200" w:line="276" w:lineRule="auto"/>
        <w:rPr>
          <w:rFonts w:cs="Times New Roman"/>
          <w:b/>
          <w:szCs w:val="24"/>
        </w:rPr>
      </w:pPr>
    </w:p>
    <w:sectPr w:rsidSect="00A63438">
      <w:headerReference w:type="default" r:id="rId9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37D" w14:paraId="167265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0973107"/>
      <w:docPartObj>
        <w:docPartGallery w:val="Page Numbers (Bottom of Page)"/>
        <w:docPartUnique/>
      </w:docPartObj>
    </w:sdtPr>
    <w:sdtEndPr>
      <w:rPr>
        <w:noProof/>
      </w:rPr>
    </w:sdtEndPr>
    <w:sdtContent>
      <w:p w:rsidR="009A1B81" w14:paraId="142BF9C4" w14:textId="1B959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37D" w14:paraId="64DBD1D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0C043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3438" w14:paraId="74DE6C5F" w14:textId="77777777">
      <w:r>
        <w:separator/>
      </w:r>
    </w:p>
  </w:footnote>
  <w:footnote w:type="continuationSeparator" w:id="1">
    <w:p w:rsidR="00A63438" w14:paraId="07D2FE95" w14:textId="77777777">
      <w:r>
        <w:continuationSeparator/>
      </w:r>
    </w:p>
  </w:footnote>
  <w:footnote w:type="continuationNotice" w:id="2">
    <w:p w:rsidR="00A63438" w14:paraId="144839CE" w14:textId="77777777"/>
  </w:footnote>
  <w:footnote w:id="3">
    <w:p w:rsidR="009A7F22" w:rsidRPr="009E67AE" w:rsidP="009E67AE" w14:paraId="4E7AC971" w14:textId="679E7D42">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Ex. 2, Direct Testimony of Santino L. Fanelli (</w:t>
      </w:r>
      <w:r w:rsidRPr="009E67AE" w:rsidR="002C77AE">
        <w:rPr>
          <w:rFonts w:cs="Times New Roman"/>
        </w:rPr>
        <w:t>“</w:t>
      </w:r>
      <w:r w:rsidRPr="009E67AE">
        <w:rPr>
          <w:rFonts w:cs="Times New Roman"/>
        </w:rPr>
        <w:t>Fanelli Testimony</w:t>
      </w:r>
      <w:r w:rsidRPr="009E67AE" w:rsidR="002C77AE">
        <w:rPr>
          <w:rFonts w:cs="Times New Roman"/>
        </w:rPr>
        <w:t>”</w:t>
      </w:r>
      <w:r w:rsidRPr="009E67AE">
        <w:rPr>
          <w:rFonts w:cs="Times New Roman"/>
        </w:rPr>
        <w:t>) at SLF-1 (Apr</w:t>
      </w:r>
      <w:r w:rsidRPr="009E67AE" w:rsidR="00C70B88">
        <w:rPr>
          <w:rFonts w:cs="Times New Roman"/>
        </w:rPr>
        <w:t>il</w:t>
      </w:r>
      <w:r w:rsidRPr="009E67AE">
        <w:rPr>
          <w:rFonts w:cs="Times New Roman"/>
        </w:rPr>
        <w:t xml:space="preserve"> 5, 2023).</w:t>
      </w:r>
    </w:p>
  </w:footnote>
  <w:footnote w:id="4">
    <w:p w:rsidR="009A7F22" w:rsidRPr="009E67AE" w:rsidP="009E67AE" w14:paraId="78977CE9" w14:textId="389860D0">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See </w:t>
      </w:r>
      <w:r w:rsidRPr="006E584E">
        <w:rPr>
          <w:rFonts w:cs="Times New Roman"/>
        </w:rPr>
        <w:t>Section II(</w:t>
      </w:r>
      <w:r w:rsidRPr="006E584E" w:rsidR="005926BB">
        <w:rPr>
          <w:rFonts w:cs="Times New Roman"/>
        </w:rPr>
        <w:t>A</w:t>
      </w:r>
      <w:r w:rsidRPr="006E584E">
        <w:rPr>
          <w:rFonts w:cs="Times New Roman"/>
        </w:rPr>
        <w:t>)</w:t>
      </w:r>
      <w:r w:rsidRPr="009E67AE">
        <w:rPr>
          <w:rFonts w:cs="Times New Roman"/>
        </w:rPr>
        <w:t>, below.</w:t>
      </w:r>
    </w:p>
  </w:footnote>
  <w:footnote w:id="5">
    <w:p w:rsidR="007532D9" w:rsidRPr="009E67AE" w:rsidP="009E67AE" w14:paraId="745C6038" w14:textId="49BBF337">
      <w:pPr>
        <w:pStyle w:val="FootnoteText"/>
        <w:spacing w:after="120"/>
        <w:rPr>
          <w:rFonts w:cs="Times New Roman"/>
        </w:rPr>
      </w:pPr>
      <w:r w:rsidRPr="009E67AE">
        <w:rPr>
          <w:rStyle w:val="FootnoteReference"/>
          <w:rFonts w:cs="Times New Roman"/>
        </w:rPr>
        <w:footnoteRef/>
      </w:r>
      <w:r w:rsidRPr="009E67AE" w:rsidR="00CF3797">
        <w:rPr>
          <w:rFonts w:cs="Times New Roman"/>
        </w:rPr>
        <w:t xml:space="preserve"> </w:t>
      </w:r>
      <w:r w:rsidRPr="009E67AE" w:rsidR="00CF3797">
        <w:rPr>
          <w:rFonts w:cs="Times New Roman"/>
          <w:i/>
          <w:iCs/>
        </w:rPr>
        <w:t>In the Matter of the Application of Ohio Edison Company, the Cleveland Electric Illuminating Company, and the Toledo Edison Company for Authority to Establish a Standard Service Offer Pursuant to R.C. 4928.143 in the Form of an Electric Security Plan</w:t>
      </w:r>
      <w:r w:rsidRPr="009E67AE" w:rsidR="00CF3797">
        <w:rPr>
          <w:rFonts w:cs="Times New Roman"/>
        </w:rPr>
        <w:t xml:space="preserve">, </w:t>
      </w:r>
      <w:r w:rsidRPr="009E67AE" w:rsidR="00776AD5">
        <w:rPr>
          <w:rFonts w:cs="Times New Roman"/>
        </w:rPr>
        <w:t>Case No. 23-301-EL-SSO,</w:t>
      </w:r>
      <w:r w:rsidRPr="009E67AE">
        <w:rPr>
          <w:rFonts w:cs="Times New Roman"/>
        </w:rPr>
        <w:t xml:space="preserve"> </w:t>
      </w:r>
      <w:r w:rsidRPr="009E67AE" w:rsidR="00E86D1A">
        <w:rPr>
          <w:rFonts w:cs="Times New Roman"/>
        </w:rPr>
        <w:t xml:space="preserve">Post Hearing Brief </w:t>
      </w:r>
      <w:r w:rsidRPr="009E67AE" w:rsidR="009B5A54">
        <w:rPr>
          <w:rFonts w:cs="Times New Roman"/>
        </w:rPr>
        <w:t>o</w:t>
      </w:r>
      <w:r w:rsidRPr="009E67AE" w:rsidR="00E86D1A">
        <w:rPr>
          <w:rFonts w:cs="Times New Roman"/>
        </w:rPr>
        <w:t xml:space="preserve">f the Ohio Edison Company, </w:t>
      </w:r>
      <w:r w:rsidRPr="009E67AE" w:rsidR="00BE0F19">
        <w:rPr>
          <w:rFonts w:cs="Times New Roman"/>
        </w:rPr>
        <w:t>t</w:t>
      </w:r>
      <w:r w:rsidRPr="009E67AE" w:rsidR="00E86D1A">
        <w:rPr>
          <w:rFonts w:cs="Times New Roman"/>
        </w:rPr>
        <w:t xml:space="preserve">he Cleveland Electric Illuminating Company, </w:t>
      </w:r>
      <w:r w:rsidRPr="009E67AE" w:rsidR="009B5A54">
        <w:rPr>
          <w:rFonts w:cs="Times New Roman"/>
        </w:rPr>
        <w:t>and the Toledo Edison Company</w:t>
      </w:r>
      <w:r w:rsidRPr="009E67AE" w:rsidR="0016245B">
        <w:rPr>
          <w:rFonts w:cs="Times New Roman"/>
        </w:rPr>
        <w:t xml:space="preserve"> (</w:t>
      </w:r>
      <w:r w:rsidRPr="009E67AE" w:rsidR="002C77AE">
        <w:rPr>
          <w:rFonts w:cs="Times New Roman"/>
        </w:rPr>
        <w:t>“</w:t>
      </w:r>
      <w:r w:rsidRPr="009E67AE" w:rsidR="0016245B">
        <w:rPr>
          <w:rFonts w:cs="Times New Roman"/>
        </w:rPr>
        <w:t xml:space="preserve">FirstEnergy </w:t>
      </w:r>
      <w:r w:rsidRPr="009E67AE" w:rsidR="00E602FA">
        <w:rPr>
          <w:rFonts w:cs="Times New Roman"/>
        </w:rPr>
        <w:t xml:space="preserve">Initial </w:t>
      </w:r>
      <w:r w:rsidRPr="009E67AE" w:rsidR="0016245B">
        <w:rPr>
          <w:rFonts w:cs="Times New Roman"/>
        </w:rPr>
        <w:t>Brief</w:t>
      </w:r>
      <w:r w:rsidRPr="009E67AE" w:rsidR="002C77AE">
        <w:rPr>
          <w:rFonts w:cs="Times New Roman"/>
        </w:rPr>
        <w:t>”</w:t>
      </w:r>
      <w:r w:rsidRPr="009E67AE" w:rsidR="0016245B">
        <w:rPr>
          <w:rFonts w:cs="Times New Roman"/>
        </w:rPr>
        <w:t>) at 1 (Jan</w:t>
      </w:r>
      <w:r w:rsidRPr="009E67AE" w:rsidR="00647A99">
        <w:rPr>
          <w:rFonts w:cs="Times New Roman"/>
        </w:rPr>
        <w:t>.</w:t>
      </w:r>
      <w:r w:rsidRPr="009E67AE" w:rsidR="0016245B">
        <w:rPr>
          <w:rFonts w:cs="Times New Roman"/>
        </w:rPr>
        <w:t xml:space="preserve"> 19, 2024).</w:t>
      </w:r>
    </w:p>
  </w:footnote>
  <w:footnote w:id="6">
    <w:p w:rsidR="0003367C" w:rsidRPr="009E67AE" w:rsidP="009E67AE" w14:paraId="37EEC46B" w14:textId="1B610F8B">
      <w:pPr>
        <w:pStyle w:val="FootnoteText"/>
        <w:spacing w:after="120"/>
        <w:rPr>
          <w:rFonts w:cs="Times New Roman"/>
        </w:rPr>
      </w:pPr>
      <w:r w:rsidRPr="009E67AE">
        <w:rPr>
          <w:rStyle w:val="FootnoteReference"/>
          <w:rFonts w:cs="Times New Roman"/>
        </w:rPr>
        <w:footnoteRef/>
      </w:r>
      <w:r w:rsidRPr="009E67AE">
        <w:rPr>
          <w:rFonts w:cs="Times New Roman"/>
        </w:rPr>
        <w:t xml:space="preserve"> R.C. 4905.22.</w:t>
      </w:r>
    </w:p>
  </w:footnote>
  <w:footnote w:id="7">
    <w:p w:rsidR="0003367C" w:rsidRPr="009E67AE" w:rsidP="009E67AE" w14:paraId="71F05FBF" w14:textId="1C358F06">
      <w:pPr>
        <w:pStyle w:val="FootnoteText"/>
        <w:spacing w:after="120"/>
        <w:rPr>
          <w:rFonts w:cs="Times New Roman"/>
        </w:rPr>
      </w:pPr>
      <w:r w:rsidRPr="009E67AE">
        <w:rPr>
          <w:rStyle w:val="FootnoteReference"/>
          <w:rFonts w:cs="Times New Roman"/>
        </w:rPr>
        <w:footnoteRef/>
      </w:r>
      <w:r w:rsidRPr="009E67AE">
        <w:rPr>
          <w:rFonts w:cs="Times New Roman"/>
        </w:rPr>
        <w:t xml:space="preserve"> Fanelli Testimony at SLF-1 (Apr</w:t>
      </w:r>
      <w:r w:rsidRPr="009E67AE" w:rsidR="00A5095B">
        <w:rPr>
          <w:rFonts w:cs="Times New Roman"/>
        </w:rPr>
        <w:t>il</w:t>
      </w:r>
      <w:r w:rsidRPr="009E67AE">
        <w:rPr>
          <w:rFonts w:cs="Times New Roman"/>
        </w:rPr>
        <w:t xml:space="preserve"> 5, 2023).</w:t>
      </w:r>
    </w:p>
  </w:footnote>
  <w:footnote w:id="8">
    <w:p w:rsidR="0003367C" w:rsidRPr="009E67AE" w:rsidP="009E67AE" w14:paraId="3EFA92CF" w14:textId="5A0ABB8B">
      <w:pPr>
        <w:pStyle w:val="FootnoteText"/>
        <w:spacing w:after="120"/>
        <w:rPr>
          <w:rFonts w:cs="Times New Roman"/>
        </w:rPr>
      </w:pPr>
      <w:r w:rsidRPr="009E67AE">
        <w:rPr>
          <w:rStyle w:val="FootnoteReference"/>
          <w:rFonts w:cs="Times New Roman"/>
        </w:rPr>
        <w:footnoteRef/>
      </w:r>
      <w:r w:rsidRPr="009E67AE">
        <w:rPr>
          <w:rFonts w:cs="Times New Roman"/>
        </w:rPr>
        <w:t xml:space="preserve"> Staff Ex. 8, Direct Testimony of Devin Mackey at 2-5 (</w:t>
      </w:r>
      <w:r w:rsidRPr="009E67AE" w:rsidR="002C77AE">
        <w:rPr>
          <w:rFonts w:cs="Times New Roman"/>
        </w:rPr>
        <w:t>“</w:t>
      </w:r>
      <w:r w:rsidRPr="009E67AE">
        <w:rPr>
          <w:rFonts w:cs="Times New Roman"/>
        </w:rPr>
        <w:t xml:space="preserve">Mackey </w:t>
      </w:r>
      <w:r w:rsidRPr="009E67AE" w:rsidR="009D4363">
        <w:rPr>
          <w:rFonts w:cs="Times New Roman"/>
        </w:rPr>
        <w:t>Testimony</w:t>
      </w:r>
      <w:r w:rsidRPr="009E67AE" w:rsidR="002C77AE">
        <w:rPr>
          <w:rFonts w:cs="Times New Roman"/>
        </w:rPr>
        <w:t>”</w:t>
      </w:r>
      <w:r w:rsidRPr="009E67AE">
        <w:rPr>
          <w:rFonts w:cs="Times New Roman"/>
        </w:rPr>
        <w:t>) (Oct. 30, 2023</w:t>
      </w:r>
      <w:r w:rsidRPr="009E67AE" w:rsidR="00074316">
        <w:rPr>
          <w:rFonts w:cs="Times New Roman"/>
        </w:rPr>
        <w:t>).</w:t>
      </w:r>
    </w:p>
  </w:footnote>
  <w:footnote w:id="9">
    <w:p w:rsidR="00A6390F" w:rsidRPr="009E67AE" w:rsidP="009E67AE" w14:paraId="5A5E9385" w14:textId="6738052B">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D67EF9">
        <w:rPr>
          <w:rFonts w:cs="Times New Roman"/>
          <w:i/>
          <w:iCs/>
        </w:rPr>
        <w:t xml:space="preserve">In the Matter of the Filing by Ohio Edison Company, </w:t>
      </w:r>
      <w:r w:rsidRPr="009E67AE" w:rsidR="005A7A2A">
        <w:rPr>
          <w:rFonts w:cs="Times New Roman"/>
          <w:i/>
          <w:iCs/>
        </w:rPr>
        <w:t>t</w:t>
      </w:r>
      <w:r w:rsidRPr="009E67AE" w:rsidR="00D67EF9">
        <w:rPr>
          <w:rFonts w:cs="Times New Roman"/>
          <w:i/>
          <w:iCs/>
        </w:rPr>
        <w:t xml:space="preserve">he Cleveland Electric Illuminating Company, and </w:t>
      </w:r>
      <w:r w:rsidRPr="009E67AE" w:rsidR="005A7A2A">
        <w:rPr>
          <w:rFonts w:cs="Times New Roman"/>
          <w:i/>
          <w:iCs/>
        </w:rPr>
        <w:t>t</w:t>
      </w:r>
      <w:r w:rsidRPr="009E67AE" w:rsidR="00D67EF9">
        <w:rPr>
          <w:rFonts w:cs="Times New Roman"/>
          <w:i/>
          <w:iCs/>
        </w:rPr>
        <w:t>he Toledo Edison Company of a Grid Modernization Business Plan</w:t>
      </w:r>
      <w:r w:rsidRPr="009E67AE" w:rsidR="00D67EF9">
        <w:rPr>
          <w:rFonts w:cs="Times New Roman"/>
        </w:rPr>
        <w:t>, Case No. 16-481-EL-UNC, Audit Report (Nov. 14, 2023).</w:t>
      </w:r>
    </w:p>
  </w:footnote>
  <w:footnote w:id="10">
    <w:p w:rsidR="00AD77B2" w:rsidRPr="009E67AE" w:rsidP="009E67AE" w14:paraId="407D3DC8" w14:textId="74B303EB">
      <w:pPr>
        <w:pStyle w:val="FootnoteText"/>
        <w:spacing w:after="120"/>
        <w:rPr>
          <w:rFonts w:cs="Times New Roman"/>
        </w:rPr>
      </w:pPr>
      <w:r w:rsidRPr="009E67AE">
        <w:rPr>
          <w:rStyle w:val="FootnoteReference"/>
          <w:rFonts w:cs="Times New Roman"/>
        </w:rPr>
        <w:footnoteRef/>
      </w:r>
      <w:r w:rsidRPr="009E67AE">
        <w:rPr>
          <w:rFonts w:cs="Times New Roman"/>
        </w:rPr>
        <w:t xml:space="preserve"> Hearing Transcript, Vol. II, pp. 381–82</w:t>
      </w:r>
      <w:r w:rsidRPr="009E67AE" w:rsidR="00074316">
        <w:rPr>
          <w:rFonts w:cs="Times New Roman"/>
        </w:rPr>
        <w:t xml:space="preserve"> (Nov. 22, 2023)</w:t>
      </w:r>
      <w:r w:rsidRPr="009E67AE">
        <w:rPr>
          <w:rFonts w:cs="Times New Roman"/>
        </w:rPr>
        <w:t>.</w:t>
      </w:r>
    </w:p>
  </w:footnote>
  <w:footnote w:id="11">
    <w:p w:rsidR="009D4363" w:rsidRPr="009E67AE" w:rsidP="009E67AE" w14:paraId="19E77A4D" w14:textId="3C5A9F8D">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Ex. 8, Direct Testimony of Shawn T. Standish (</w:t>
      </w:r>
      <w:r w:rsidRPr="009E67AE" w:rsidR="002C77AE">
        <w:rPr>
          <w:rFonts w:cs="Times New Roman"/>
        </w:rPr>
        <w:t>“</w:t>
      </w:r>
      <w:r w:rsidRPr="009E67AE">
        <w:rPr>
          <w:rFonts w:cs="Times New Roman"/>
        </w:rPr>
        <w:t>Standish Testimony</w:t>
      </w:r>
      <w:r w:rsidRPr="009E67AE" w:rsidR="002C77AE">
        <w:rPr>
          <w:rFonts w:cs="Times New Roman"/>
        </w:rPr>
        <w:t>”</w:t>
      </w:r>
      <w:r w:rsidRPr="009E67AE">
        <w:rPr>
          <w:rFonts w:cs="Times New Roman"/>
        </w:rPr>
        <w:t>) at 11-12 (Apr</w:t>
      </w:r>
      <w:r w:rsidRPr="009E67AE" w:rsidR="001E5DB2">
        <w:rPr>
          <w:rFonts w:cs="Times New Roman"/>
        </w:rPr>
        <w:t>il</w:t>
      </w:r>
      <w:r w:rsidRPr="009E67AE">
        <w:rPr>
          <w:rFonts w:cs="Times New Roman"/>
        </w:rPr>
        <w:t xml:space="preserve"> 5, 2023).</w:t>
      </w:r>
    </w:p>
  </w:footnote>
  <w:footnote w:id="12">
    <w:p w:rsidR="004B31C2" w:rsidRPr="009E67AE" w:rsidP="009E67AE" w14:paraId="7EC79BBA" w14:textId="3E4AA065">
      <w:pPr>
        <w:pStyle w:val="FootnoteText"/>
        <w:spacing w:after="120"/>
        <w:rPr>
          <w:rFonts w:cs="Times New Roman"/>
        </w:rPr>
      </w:pPr>
      <w:r w:rsidRPr="009E67AE">
        <w:rPr>
          <w:rStyle w:val="FootnoteReference"/>
          <w:rFonts w:cs="Times New Roman"/>
        </w:rPr>
        <w:footnoteRef/>
      </w:r>
      <w:r w:rsidRPr="009E67AE">
        <w:rPr>
          <w:rFonts w:cs="Times New Roman"/>
        </w:rPr>
        <w:t xml:space="preserve"> Application at 1 (Apr</w:t>
      </w:r>
      <w:r w:rsidRPr="009E67AE" w:rsidR="005A04C2">
        <w:rPr>
          <w:rFonts w:cs="Times New Roman"/>
        </w:rPr>
        <w:t>il</w:t>
      </w:r>
      <w:r w:rsidRPr="009E67AE">
        <w:rPr>
          <w:rFonts w:cs="Times New Roman"/>
        </w:rPr>
        <w:t xml:space="preserve"> 5, 2023).</w:t>
      </w:r>
    </w:p>
  </w:footnote>
  <w:footnote w:id="13">
    <w:p w:rsidR="00237044" w:rsidRPr="009E67AE" w:rsidP="009E67AE" w14:paraId="656757C3" w14:textId="5AEBA3B8">
      <w:pPr>
        <w:pStyle w:val="FootnoteText"/>
        <w:spacing w:after="120"/>
        <w:rPr>
          <w:rFonts w:cs="Times New Roman"/>
        </w:rPr>
      </w:pPr>
      <w:r w:rsidRPr="009E67AE">
        <w:rPr>
          <w:rStyle w:val="FootnoteReference"/>
          <w:rFonts w:cs="Times New Roman"/>
        </w:rPr>
        <w:footnoteRef/>
      </w:r>
      <w:r w:rsidRPr="009E67AE">
        <w:rPr>
          <w:rFonts w:cs="Times New Roman"/>
        </w:rPr>
        <w:t xml:space="preserve"> Initial Post-Hearing Brief of Ohio Energy Leadership Council </w:t>
      </w:r>
      <w:r w:rsidRPr="009E67AE" w:rsidR="00074316">
        <w:rPr>
          <w:rFonts w:cs="Times New Roman"/>
        </w:rPr>
        <w:t>(</w:t>
      </w:r>
      <w:r w:rsidRPr="009E67AE" w:rsidR="002C77AE">
        <w:rPr>
          <w:rFonts w:cs="Times New Roman"/>
        </w:rPr>
        <w:t>“</w:t>
      </w:r>
      <w:r w:rsidRPr="009E67AE" w:rsidR="00074316">
        <w:rPr>
          <w:rFonts w:cs="Times New Roman"/>
        </w:rPr>
        <w:t>OELC Initial Brief</w:t>
      </w:r>
      <w:r w:rsidRPr="009E67AE" w:rsidR="002C77AE">
        <w:rPr>
          <w:rFonts w:cs="Times New Roman"/>
        </w:rPr>
        <w:t>”</w:t>
      </w:r>
      <w:r w:rsidRPr="009E67AE" w:rsidR="00074316">
        <w:rPr>
          <w:rFonts w:cs="Times New Roman"/>
        </w:rPr>
        <w:t xml:space="preserve">) </w:t>
      </w:r>
      <w:r w:rsidRPr="009E67AE">
        <w:rPr>
          <w:rFonts w:cs="Times New Roman"/>
        </w:rPr>
        <w:t>at 58 (Jan. 19, 2024) (quoting testimony of FirstEnergy witnesses Standish and Richardson) (citations omitted).</w:t>
      </w:r>
    </w:p>
  </w:footnote>
  <w:footnote w:id="14">
    <w:p w:rsidR="00BD073B" w:rsidRPr="009E67AE" w:rsidP="009E67AE" w14:paraId="6D6A8CBA" w14:textId="6B69A70E">
      <w:pPr>
        <w:pStyle w:val="FootnoteText"/>
        <w:spacing w:after="120"/>
        <w:rPr>
          <w:rFonts w:cs="Times New Roman"/>
        </w:rPr>
      </w:pPr>
      <w:r w:rsidRPr="009E67AE">
        <w:rPr>
          <w:rStyle w:val="FootnoteReference"/>
          <w:rFonts w:cs="Times New Roman"/>
        </w:rPr>
        <w:footnoteRef/>
      </w:r>
      <w:r w:rsidRPr="009E67AE">
        <w:rPr>
          <w:rFonts w:cs="Times New Roman"/>
        </w:rPr>
        <w:t xml:space="preserve"> R.C. 4905.22.</w:t>
      </w:r>
    </w:p>
  </w:footnote>
  <w:footnote w:id="15">
    <w:p w:rsidR="005B55B0" w:rsidRPr="009E67AE" w:rsidP="009E67AE" w14:paraId="6D1B318A" w14:textId="4BFAB3FC">
      <w:pPr>
        <w:pStyle w:val="FootnoteText"/>
        <w:spacing w:after="120"/>
        <w:rPr>
          <w:rFonts w:cs="Times New Roman"/>
        </w:rPr>
      </w:pPr>
      <w:r w:rsidRPr="009E67AE">
        <w:rPr>
          <w:rStyle w:val="FootnoteReference"/>
          <w:rFonts w:cs="Times New Roman"/>
        </w:rPr>
        <w:footnoteRef/>
      </w:r>
      <w:r w:rsidRPr="009E67AE">
        <w:rPr>
          <w:rFonts w:cs="Times New Roman"/>
        </w:rPr>
        <w:t xml:space="preserve"> OCC Initial Brief at 7-8 (Jan. 19, 2024).</w:t>
      </w:r>
    </w:p>
  </w:footnote>
  <w:footnote w:id="16">
    <w:p w:rsidR="00340BB0" w:rsidRPr="009E67AE" w:rsidP="009E67AE" w14:paraId="2149A2F0" w14:textId="77777777">
      <w:pPr>
        <w:pStyle w:val="FootnoteText"/>
        <w:spacing w:after="120"/>
        <w:rPr>
          <w:rFonts w:cs="Times New Roman"/>
        </w:rPr>
      </w:pPr>
      <w:r w:rsidRPr="009E67AE">
        <w:rPr>
          <w:rStyle w:val="FootnoteReference"/>
          <w:rFonts w:cs="Times New Roman"/>
        </w:rPr>
        <w:footnoteRef/>
      </w:r>
      <w:r w:rsidRPr="009E67AE">
        <w:rPr>
          <w:rFonts w:cs="Times New Roman"/>
        </w:rPr>
        <w:t xml:space="preserve"> R.C. 4928.143(F).</w:t>
      </w:r>
    </w:p>
  </w:footnote>
  <w:footnote w:id="17">
    <w:p w:rsidR="00340BB0" w:rsidRPr="009E67AE" w:rsidP="009E67AE" w14:paraId="20FC8557" w14:textId="209A9D4E">
      <w:pPr>
        <w:pStyle w:val="FootnoteText"/>
        <w:spacing w:after="120"/>
        <w:rPr>
          <w:rFonts w:cs="Times New Roman"/>
        </w:rPr>
      </w:pPr>
      <w:r w:rsidRPr="009E67AE">
        <w:rPr>
          <w:rStyle w:val="FootnoteReference"/>
          <w:rFonts w:cs="Times New Roman"/>
        </w:rPr>
        <w:footnoteRef/>
      </w:r>
      <w:r w:rsidRPr="009E67AE">
        <w:rPr>
          <w:rFonts w:cs="Times New Roman"/>
        </w:rPr>
        <w:t xml:space="preserve"> Public Utilities Commission of Ohio Initial Post-Hearing Brief (</w:t>
      </w:r>
      <w:r w:rsidRPr="009E67AE" w:rsidR="002C77AE">
        <w:rPr>
          <w:rFonts w:cs="Times New Roman"/>
        </w:rPr>
        <w:t>“</w:t>
      </w:r>
      <w:r w:rsidRPr="009E67AE" w:rsidR="00074316">
        <w:rPr>
          <w:rFonts w:cs="Times New Roman"/>
        </w:rPr>
        <w:t>Staff Initial</w:t>
      </w:r>
      <w:r w:rsidRPr="009E67AE">
        <w:rPr>
          <w:rFonts w:cs="Times New Roman"/>
        </w:rPr>
        <w:t xml:space="preserve"> Brief</w:t>
      </w:r>
      <w:r w:rsidRPr="009E67AE" w:rsidR="002C77AE">
        <w:rPr>
          <w:rFonts w:cs="Times New Roman"/>
        </w:rPr>
        <w:t>”</w:t>
      </w:r>
      <w:r w:rsidRPr="009E67AE">
        <w:rPr>
          <w:rFonts w:cs="Times New Roman"/>
        </w:rPr>
        <w:t>) at 30-31 (Jan. 19, 2024).</w:t>
      </w:r>
    </w:p>
  </w:footnote>
  <w:footnote w:id="18">
    <w:p w:rsidR="00340BB0" w:rsidRPr="009E67AE" w:rsidP="009E67AE" w14:paraId="12941E45" w14:textId="3B17A8A9">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color w:val="232323"/>
        </w:rPr>
        <w:t>Post-Hearing Brief of Ohio Energy Group (</w:t>
      </w:r>
      <w:r w:rsidRPr="009E67AE" w:rsidR="002C77AE">
        <w:rPr>
          <w:rFonts w:cs="Times New Roman"/>
          <w:color w:val="232323"/>
        </w:rPr>
        <w:t>“</w:t>
      </w:r>
      <w:r w:rsidRPr="009E67AE">
        <w:rPr>
          <w:rFonts w:cs="Times New Roman"/>
          <w:color w:val="232323"/>
        </w:rPr>
        <w:t xml:space="preserve">OEG </w:t>
      </w:r>
      <w:r w:rsidRPr="009E67AE" w:rsidR="00074316">
        <w:rPr>
          <w:rFonts w:cs="Times New Roman"/>
          <w:color w:val="232323"/>
        </w:rPr>
        <w:t xml:space="preserve">Initial </w:t>
      </w:r>
      <w:r w:rsidRPr="009E67AE">
        <w:rPr>
          <w:rFonts w:cs="Times New Roman"/>
          <w:color w:val="232323"/>
        </w:rPr>
        <w:t>Brief</w:t>
      </w:r>
      <w:r w:rsidRPr="009E67AE" w:rsidR="002C77AE">
        <w:rPr>
          <w:rFonts w:cs="Times New Roman"/>
          <w:color w:val="232323"/>
        </w:rPr>
        <w:t>”</w:t>
      </w:r>
      <w:r w:rsidRPr="009E67AE">
        <w:rPr>
          <w:rFonts w:cs="Times New Roman"/>
          <w:color w:val="232323"/>
        </w:rPr>
        <w:t>) at 26 (Jan. 19, 2024).</w:t>
      </w:r>
    </w:p>
  </w:footnote>
  <w:footnote w:id="19">
    <w:p w:rsidR="00340BB0" w:rsidRPr="009E67AE" w:rsidP="009E67AE" w14:paraId="5759F15E" w14:textId="68DEF6EA">
      <w:pPr>
        <w:pStyle w:val="FootnoteText"/>
        <w:spacing w:after="120"/>
        <w:rPr>
          <w:rFonts w:cs="Times New Roman"/>
        </w:rPr>
      </w:pPr>
      <w:r w:rsidRPr="009E67AE">
        <w:rPr>
          <w:rStyle w:val="FootnoteReference"/>
          <w:rFonts w:cs="Times New Roman"/>
        </w:rPr>
        <w:footnoteRef/>
      </w:r>
      <w:r w:rsidRPr="009E67AE">
        <w:rPr>
          <w:rFonts w:cs="Times New Roman"/>
        </w:rPr>
        <w:t xml:space="preserve"> OMAEG </w:t>
      </w:r>
      <w:r w:rsidRPr="009E67AE" w:rsidR="00074316">
        <w:rPr>
          <w:rFonts w:cs="Times New Roman"/>
        </w:rPr>
        <w:t xml:space="preserve">Initial </w:t>
      </w:r>
      <w:r w:rsidRPr="009E67AE">
        <w:rPr>
          <w:rFonts w:cs="Times New Roman"/>
        </w:rPr>
        <w:t>Brief at 51</w:t>
      </w:r>
      <w:r w:rsidRPr="009E67AE" w:rsidR="005B55B0">
        <w:rPr>
          <w:rFonts w:cs="Times New Roman"/>
        </w:rPr>
        <w:t xml:space="preserve"> (Jan. 19, 2024)</w:t>
      </w:r>
      <w:r w:rsidRPr="009E67AE">
        <w:rPr>
          <w:rFonts w:cs="Times New Roman"/>
        </w:rPr>
        <w:t>.</w:t>
      </w:r>
    </w:p>
  </w:footnote>
  <w:footnote w:id="20">
    <w:p w:rsidR="00340BB0" w:rsidRPr="009E67AE" w:rsidP="009E67AE" w14:paraId="308D74BF" w14:textId="4A33E279">
      <w:pPr>
        <w:pStyle w:val="FootnoteText"/>
        <w:spacing w:after="120"/>
        <w:rPr>
          <w:rFonts w:cs="Times New Roman"/>
        </w:rPr>
      </w:pPr>
      <w:r w:rsidRPr="009E67AE">
        <w:rPr>
          <w:rStyle w:val="FootnoteReference"/>
          <w:rFonts w:cs="Times New Roman"/>
        </w:rPr>
        <w:footnoteRef/>
      </w:r>
      <w:r w:rsidRPr="009E67AE">
        <w:rPr>
          <w:rFonts w:cs="Times New Roman"/>
        </w:rPr>
        <w:t xml:space="preserve"> Initial Post-Hearing Brief of The Kroger Co</w:t>
      </w:r>
      <w:r w:rsidRPr="009E67AE" w:rsidR="00074316">
        <w:rPr>
          <w:rFonts w:cs="Times New Roman"/>
        </w:rPr>
        <w:t>.</w:t>
      </w:r>
      <w:r w:rsidRPr="009E67AE" w:rsidR="00D2769F">
        <w:rPr>
          <w:rFonts w:cs="Times New Roman"/>
        </w:rPr>
        <w:t xml:space="preserve"> </w:t>
      </w:r>
      <w:r w:rsidRPr="009E67AE">
        <w:rPr>
          <w:rFonts w:cs="Times New Roman"/>
        </w:rPr>
        <w:t>(</w:t>
      </w:r>
      <w:r w:rsidRPr="009E67AE" w:rsidR="002C77AE">
        <w:rPr>
          <w:rFonts w:cs="Times New Roman"/>
        </w:rPr>
        <w:t>“</w:t>
      </w:r>
      <w:r w:rsidRPr="009E67AE">
        <w:rPr>
          <w:rFonts w:cs="Times New Roman"/>
        </w:rPr>
        <w:t xml:space="preserve">Kroger </w:t>
      </w:r>
      <w:r w:rsidRPr="009E67AE" w:rsidR="00074316">
        <w:rPr>
          <w:rFonts w:cs="Times New Roman"/>
        </w:rPr>
        <w:t xml:space="preserve">Initial </w:t>
      </w:r>
      <w:r w:rsidRPr="009E67AE">
        <w:rPr>
          <w:rFonts w:cs="Times New Roman"/>
        </w:rPr>
        <w:t>Brief</w:t>
      </w:r>
      <w:r w:rsidRPr="009E67AE" w:rsidR="002C77AE">
        <w:rPr>
          <w:rFonts w:cs="Times New Roman"/>
        </w:rPr>
        <w:t>”</w:t>
      </w:r>
      <w:r w:rsidRPr="009E67AE">
        <w:rPr>
          <w:rFonts w:cs="Times New Roman"/>
        </w:rPr>
        <w:t xml:space="preserve">) at 21 </w:t>
      </w:r>
      <w:r w:rsidRPr="009E67AE">
        <w:rPr>
          <w:rFonts w:cs="Times New Roman"/>
          <w:color w:val="232323"/>
        </w:rPr>
        <w:t>(Jan. 19, 2024).</w:t>
      </w:r>
    </w:p>
  </w:footnote>
  <w:footnote w:id="21">
    <w:p w:rsidR="00340BB0" w:rsidRPr="009E67AE" w:rsidP="009E67AE" w14:paraId="3DC495CF" w14:textId="3BEDBC83">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In the Matter of the Application of Ohio Power Company for Authority to Establish a Standard Service Offer Pursuant to 4928.143, Ohio Rev. Code, in the Form of an Electric Security Plan</w:t>
      </w:r>
      <w:r w:rsidRPr="009E67AE">
        <w:rPr>
          <w:rFonts w:cs="Times New Roman"/>
        </w:rPr>
        <w:t>, Case No. 23-23-EL</w:t>
      </w:r>
      <w:r w:rsidRPr="009E67AE" w:rsidR="005F7EF1">
        <w:rPr>
          <w:rFonts w:cs="Times New Roman"/>
        </w:rPr>
        <w:t>-</w:t>
      </w:r>
      <w:r w:rsidRPr="009E67AE">
        <w:rPr>
          <w:rFonts w:cs="Times New Roman"/>
        </w:rPr>
        <w:t>SSO, et al., Stipulation and Recommendation (Sept. 6, 2023).</w:t>
      </w:r>
    </w:p>
  </w:footnote>
  <w:footnote w:id="22">
    <w:p w:rsidR="00340BB0" w:rsidRPr="009E67AE" w:rsidP="009E67AE" w14:paraId="39B3F88C" w14:textId="77777777">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In the Matter of the Application of the Dayton Power and Light Company d/b/a AES Ohio for Approval of Its Electric Security Plan</w:t>
      </w:r>
      <w:r w:rsidRPr="009E67AE">
        <w:rPr>
          <w:rFonts w:cs="Times New Roman"/>
        </w:rPr>
        <w:t>, Opinion and Order, at 24 (Aug. 9, 2023).</w:t>
      </w:r>
    </w:p>
  </w:footnote>
  <w:footnote w:id="23">
    <w:p w:rsidR="003312EB" w:rsidRPr="009E67AE" w:rsidP="009E67AE" w14:paraId="526A4BBE" w14:textId="2602734E">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692BCA">
        <w:rPr>
          <w:rFonts w:cs="Times New Roman"/>
        </w:rPr>
        <w:t xml:space="preserve">OCC </w:t>
      </w:r>
      <w:r w:rsidRPr="009E67AE" w:rsidR="00D2769F">
        <w:rPr>
          <w:rFonts w:cs="Times New Roman"/>
        </w:rPr>
        <w:t xml:space="preserve">Initial </w:t>
      </w:r>
      <w:r w:rsidRPr="009E67AE" w:rsidR="00692BCA">
        <w:rPr>
          <w:rFonts w:cs="Times New Roman"/>
        </w:rPr>
        <w:t>Brief</w:t>
      </w:r>
      <w:r w:rsidRPr="009E67AE" w:rsidR="00450C4B">
        <w:rPr>
          <w:rFonts w:cs="Times New Roman"/>
        </w:rPr>
        <w:t xml:space="preserve"> at </w:t>
      </w:r>
      <w:r w:rsidRPr="009E67AE" w:rsidR="00DE7143">
        <w:rPr>
          <w:rFonts w:cs="Times New Roman"/>
        </w:rPr>
        <w:t>9</w:t>
      </w:r>
      <w:r w:rsidRPr="009E67AE" w:rsidR="00D2769F">
        <w:rPr>
          <w:rFonts w:cs="Times New Roman"/>
        </w:rPr>
        <w:t xml:space="preserve"> (Jan. 19, 2024).</w:t>
      </w:r>
    </w:p>
  </w:footnote>
  <w:footnote w:id="24">
    <w:p w:rsidR="003312EB" w:rsidRPr="009E67AE" w:rsidP="009E67AE" w14:paraId="3D8CEFD7" w14:textId="27D9F460">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Id.</w:t>
      </w:r>
      <w:r w:rsidRPr="009E67AE" w:rsidR="00E35690">
        <w:rPr>
          <w:rFonts w:cs="Times New Roman"/>
          <w:i/>
          <w:iCs/>
        </w:rPr>
        <w:t xml:space="preserve"> </w:t>
      </w:r>
    </w:p>
  </w:footnote>
  <w:footnote w:id="25">
    <w:p w:rsidR="003312EB" w:rsidRPr="009E67AE" w:rsidP="009E67AE" w14:paraId="62D9D85B" w14:textId="028611D4">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Id.</w:t>
      </w:r>
      <w:r w:rsidRPr="009E67AE" w:rsidR="00E35690">
        <w:rPr>
          <w:rFonts w:cs="Times New Roman"/>
          <w:i/>
          <w:iCs/>
        </w:rPr>
        <w:t xml:space="preserve"> </w:t>
      </w:r>
    </w:p>
  </w:footnote>
  <w:footnote w:id="26">
    <w:p w:rsidR="00716412" w:rsidRPr="009E67AE" w:rsidP="009E67AE" w14:paraId="23FCB72C" w14:textId="6F2A29C8">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FF29AA">
        <w:rPr>
          <w:rFonts w:cs="Times New Roman"/>
        </w:rPr>
        <w:t>Constellation Energy Generation, LLC and Constellation NewEnergy, Inc.</w:t>
      </w:r>
      <w:r w:rsidRPr="009E67AE" w:rsidR="00DE7143">
        <w:rPr>
          <w:rFonts w:cs="Times New Roman"/>
        </w:rPr>
        <w:t xml:space="preserve"> Initial Brief</w:t>
      </w:r>
      <w:r w:rsidRPr="009E67AE" w:rsidR="00450C4B">
        <w:rPr>
          <w:rFonts w:cs="Times New Roman"/>
        </w:rPr>
        <w:t xml:space="preserve"> (</w:t>
      </w:r>
      <w:r w:rsidRPr="009E67AE" w:rsidR="002C77AE">
        <w:rPr>
          <w:rFonts w:cs="Times New Roman"/>
        </w:rPr>
        <w:t>“</w:t>
      </w:r>
      <w:r w:rsidRPr="009E67AE" w:rsidR="00450C4B">
        <w:rPr>
          <w:rFonts w:cs="Times New Roman"/>
        </w:rPr>
        <w:t xml:space="preserve">Constellation </w:t>
      </w:r>
      <w:r w:rsidRPr="009E67AE" w:rsidR="00074316">
        <w:rPr>
          <w:rFonts w:cs="Times New Roman"/>
        </w:rPr>
        <w:t xml:space="preserve">Initial </w:t>
      </w:r>
      <w:r w:rsidRPr="009E67AE" w:rsidR="00450C4B">
        <w:rPr>
          <w:rFonts w:cs="Times New Roman"/>
        </w:rPr>
        <w:t>Brief</w:t>
      </w:r>
      <w:r w:rsidRPr="009E67AE" w:rsidR="002C77AE">
        <w:rPr>
          <w:rFonts w:cs="Times New Roman"/>
        </w:rPr>
        <w:t>”</w:t>
      </w:r>
      <w:r w:rsidRPr="009E67AE" w:rsidR="00450C4B">
        <w:rPr>
          <w:rFonts w:cs="Times New Roman"/>
        </w:rPr>
        <w:t>)</w:t>
      </w:r>
      <w:r w:rsidRPr="009E67AE" w:rsidR="00DE7143">
        <w:rPr>
          <w:rFonts w:cs="Times New Roman"/>
        </w:rPr>
        <w:t xml:space="preserve"> at 28 (Jan. 19. 2024). </w:t>
      </w:r>
    </w:p>
  </w:footnote>
  <w:footnote w:id="27">
    <w:p w:rsidR="00662885" w:rsidRPr="009E67AE" w:rsidP="009E67AE" w14:paraId="03C51DD1" w14:textId="2DD58243">
      <w:pPr>
        <w:pStyle w:val="FootnoteText"/>
        <w:spacing w:after="120"/>
        <w:rPr>
          <w:rFonts w:cs="Times New Roman"/>
        </w:rPr>
      </w:pPr>
      <w:r w:rsidRPr="009E67AE">
        <w:rPr>
          <w:rStyle w:val="FootnoteReference"/>
          <w:rFonts w:cs="Times New Roman"/>
        </w:rPr>
        <w:footnoteRef/>
      </w:r>
      <w:r w:rsidRPr="009E67AE">
        <w:rPr>
          <w:rFonts w:cs="Times New Roman"/>
        </w:rPr>
        <w:t xml:space="preserve"> R.C. 4928.02(A).</w:t>
      </w:r>
    </w:p>
  </w:footnote>
  <w:footnote w:id="28">
    <w:p w:rsidR="00662885" w:rsidRPr="009E67AE" w:rsidP="009E67AE" w14:paraId="3E12C0C0" w14:textId="760A40B9">
      <w:pPr>
        <w:pStyle w:val="FootnoteText"/>
        <w:spacing w:after="120"/>
        <w:rPr>
          <w:rFonts w:cs="Times New Roman"/>
          <w:b/>
          <w:bCs/>
        </w:rPr>
      </w:pPr>
      <w:r w:rsidRPr="009E67AE">
        <w:rPr>
          <w:rStyle w:val="FootnoteReference"/>
          <w:rFonts w:cs="Times New Roman"/>
        </w:rPr>
        <w:footnoteRef/>
      </w:r>
      <w:r w:rsidRPr="009E67AE">
        <w:rPr>
          <w:rFonts w:cs="Times New Roman"/>
        </w:rPr>
        <w:t xml:space="preserve"> R.C. 4928.02(B).</w:t>
      </w:r>
    </w:p>
  </w:footnote>
  <w:footnote w:id="29">
    <w:p w:rsidR="00662885" w:rsidRPr="009E67AE" w:rsidP="009E67AE" w14:paraId="78575208" w14:textId="485BB62C">
      <w:pPr>
        <w:pStyle w:val="FootnoteText"/>
        <w:spacing w:after="120"/>
        <w:rPr>
          <w:rFonts w:cs="Times New Roman"/>
        </w:rPr>
      </w:pPr>
      <w:r w:rsidRPr="009E67AE">
        <w:rPr>
          <w:rStyle w:val="FootnoteReference"/>
          <w:rFonts w:cs="Times New Roman"/>
        </w:rPr>
        <w:footnoteRef/>
      </w:r>
      <w:r w:rsidRPr="009E67AE">
        <w:rPr>
          <w:rFonts w:cs="Times New Roman"/>
        </w:rPr>
        <w:t xml:space="preserve"> R.C. 4928.02(C).</w:t>
      </w:r>
    </w:p>
  </w:footnote>
  <w:footnote w:id="30">
    <w:p w:rsidR="00662885" w:rsidRPr="009E67AE" w:rsidP="009E67AE" w14:paraId="2A1BA16C" w14:textId="600C45AB">
      <w:pPr>
        <w:pStyle w:val="FootnoteText"/>
        <w:spacing w:after="120"/>
        <w:rPr>
          <w:rFonts w:cs="Times New Roman"/>
        </w:rPr>
      </w:pPr>
      <w:r w:rsidRPr="009E67AE">
        <w:rPr>
          <w:rStyle w:val="FootnoteReference"/>
          <w:rFonts w:cs="Times New Roman"/>
        </w:rPr>
        <w:footnoteRef/>
      </w:r>
      <w:r w:rsidRPr="009E67AE">
        <w:rPr>
          <w:rFonts w:cs="Times New Roman"/>
        </w:rPr>
        <w:t xml:space="preserve"> R.C. 4928.02(D).</w:t>
      </w:r>
    </w:p>
  </w:footnote>
  <w:footnote w:id="31">
    <w:p w:rsidR="00662885" w:rsidRPr="009E67AE" w:rsidP="009E67AE" w14:paraId="7337047A" w14:textId="7F746C38">
      <w:pPr>
        <w:pStyle w:val="FootnoteText"/>
        <w:spacing w:after="120"/>
        <w:rPr>
          <w:rFonts w:cs="Times New Roman"/>
        </w:rPr>
      </w:pPr>
      <w:r w:rsidRPr="009E67AE">
        <w:rPr>
          <w:rStyle w:val="FootnoteReference"/>
          <w:rFonts w:cs="Times New Roman"/>
        </w:rPr>
        <w:footnoteRef/>
      </w:r>
      <w:r w:rsidRPr="009E67AE">
        <w:rPr>
          <w:rFonts w:cs="Times New Roman"/>
        </w:rPr>
        <w:t xml:space="preserve"> R.C. 4928.02(G).</w:t>
      </w:r>
    </w:p>
  </w:footnote>
  <w:footnote w:id="32">
    <w:p w:rsidR="00662885" w:rsidRPr="009E67AE" w:rsidP="009E67AE" w14:paraId="56ED2598" w14:textId="0C87455D">
      <w:pPr>
        <w:pStyle w:val="FootnoteText"/>
        <w:spacing w:after="120"/>
        <w:rPr>
          <w:rFonts w:cs="Times New Roman"/>
        </w:rPr>
      </w:pPr>
      <w:r w:rsidRPr="009E67AE">
        <w:rPr>
          <w:rStyle w:val="FootnoteReference"/>
          <w:rFonts w:cs="Times New Roman"/>
        </w:rPr>
        <w:footnoteRef/>
      </w:r>
      <w:r w:rsidRPr="009E67AE">
        <w:rPr>
          <w:rFonts w:cs="Times New Roman"/>
        </w:rPr>
        <w:t xml:space="preserve"> R.C. 4928.02(H).</w:t>
      </w:r>
    </w:p>
  </w:footnote>
  <w:footnote w:id="33">
    <w:p w:rsidR="00662885" w:rsidRPr="009E67AE" w:rsidP="009E67AE" w14:paraId="207DCB1D" w14:textId="0C250DC1">
      <w:pPr>
        <w:pStyle w:val="FootnoteText"/>
        <w:spacing w:after="120"/>
        <w:rPr>
          <w:rFonts w:cs="Times New Roman"/>
        </w:rPr>
      </w:pPr>
      <w:r w:rsidRPr="009E67AE">
        <w:rPr>
          <w:rStyle w:val="FootnoteReference"/>
          <w:rFonts w:cs="Times New Roman"/>
        </w:rPr>
        <w:footnoteRef/>
      </w:r>
      <w:r w:rsidRPr="009E67AE">
        <w:rPr>
          <w:rFonts w:cs="Times New Roman"/>
        </w:rPr>
        <w:t xml:space="preserve"> R.C. 4928.02(I).</w:t>
      </w:r>
    </w:p>
  </w:footnote>
  <w:footnote w:id="34">
    <w:p w:rsidR="00662885" w:rsidRPr="009E67AE" w:rsidP="009E67AE" w14:paraId="0B4639B0" w14:textId="593779E2">
      <w:pPr>
        <w:pStyle w:val="FootnoteText"/>
        <w:spacing w:after="120"/>
        <w:rPr>
          <w:rFonts w:cs="Times New Roman"/>
        </w:rPr>
      </w:pPr>
      <w:r w:rsidRPr="009E67AE">
        <w:rPr>
          <w:rStyle w:val="FootnoteReference"/>
          <w:rFonts w:cs="Times New Roman"/>
        </w:rPr>
        <w:footnoteRef/>
      </w:r>
      <w:r w:rsidRPr="009E67AE">
        <w:rPr>
          <w:rFonts w:cs="Times New Roman"/>
        </w:rPr>
        <w:t xml:space="preserve"> R.C. 4928.02(L).</w:t>
      </w:r>
    </w:p>
  </w:footnote>
  <w:footnote w:id="35">
    <w:p w:rsidR="00C26925" w:rsidRPr="009E67AE" w:rsidP="009E67AE" w14:paraId="02C4330D" w14:textId="6209878F">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w:t>
      </w:r>
      <w:r w:rsidRPr="009E67AE" w:rsidR="00662885">
        <w:rPr>
          <w:rFonts w:cs="Times New Roman"/>
        </w:rPr>
        <w:t xml:space="preserve">Initial </w:t>
      </w:r>
      <w:r w:rsidRPr="009E67AE">
        <w:rPr>
          <w:rFonts w:cs="Times New Roman"/>
        </w:rPr>
        <w:t>Brief at 11</w:t>
      </w:r>
      <w:r w:rsidRPr="009E67AE" w:rsidR="00662885">
        <w:rPr>
          <w:rFonts w:cs="Times New Roman"/>
        </w:rPr>
        <w:t xml:space="preserve"> (Jan. 19, 2024)</w:t>
      </w:r>
      <w:r w:rsidRPr="009E67AE">
        <w:rPr>
          <w:rFonts w:cs="Times New Roman"/>
        </w:rPr>
        <w:t xml:space="preserve">. </w:t>
      </w:r>
    </w:p>
  </w:footnote>
  <w:footnote w:id="36">
    <w:p w:rsidR="00C26925" w:rsidRPr="009E67AE" w:rsidP="009E67AE" w14:paraId="3BE72BDA" w14:textId="04904C40">
      <w:pPr>
        <w:pStyle w:val="FootnoteText"/>
        <w:spacing w:after="120"/>
        <w:rPr>
          <w:rFonts w:cs="Times New Roman"/>
        </w:rPr>
      </w:pPr>
      <w:r w:rsidRPr="009E67AE">
        <w:rPr>
          <w:rStyle w:val="FootnoteReference"/>
          <w:rFonts w:cs="Times New Roman"/>
        </w:rPr>
        <w:footnoteRef/>
      </w:r>
      <w:r w:rsidRPr="009E67AE">
        <w:rPr>
          <w:rFonts w:cs="Times New Roman"/>
        </w:rPr>
        <w:t xml:space="preserve"> OCC </w:t>
      </w:r>
      <w:r w:rsidRPr="009E67AE" w:rsidR="00074316">
        <w:rPr>
          <w:rFonts w:cs="Times New Roman"/>
        </w:rPr>
        <w:t xml:space="preserve">Initial </w:t>
      </w:r>
      <w:r w:rsidRPr="009E67AE">
        <w:rPr>
          <w:rFonts w:cs="Times New Roman"/>
        </w:rPr>
        <w:t>Brief at 31</w:t>
      </w:r>
      <w:r w:rsidRPr="009E67AE" w:rsidR="00074316">
        <w:rPr>
          <w:rFonts w:cs="Times New Roman"/>
        </w:rPr>
        <w:t xml:space="preserve"> (Jan. 19, 2024).</w:t>
      </w:r>
    </w:p>
  </w:footnote>
  <w:footnote w:id="37">
    <w:p w:rsidR="00C26925" w:rsidRPr="009E67AE" w:rsidP="009E67AE" w14:paraId="2E8A1188" w14:textId="77777777">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Id. </w:t>
      </w:r>
    </w:p>
  </w:footnote>
  <w:footnote w:id="38">
    <w:p w:rsidR="00C26925" w:rsidRPr="009E67AE" w:rsidP="009E67AE" w14:paraId="01CF55E4" w14:textId="77777777">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Id.</w:t>
      </w:r>
      <w:r w:rsidRPr="009E67AE">
        <w:rPr>
          <w:rFonts w:cs="Times New Roman"/>
        </w:rPr>
        <w:t xml:space="preserve"> </w:t>
      </w:r>
    </w:p>
  </w:footnote>
  <w:footnote w:id="39">
    <w:p w:rsidR="00C26925" w:rsidRPr="009E67AE" w:rsidP="009E67AE" w14:paraId="5A419221" w14:textId="77777777">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Id.</w:t>
      </w:r>
    </w:p>
  </w:footnote>
  <w:footnote w:id="40">
    <w:p w:rsidR="00C26925" w:rsidRPr="009E67AE" w:rsidP="009E67AE" w14:paraId="208FD226" w14:textId="77777777">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Id.</w:t>
      </w:r>
      <w:r w:rsidRPr="009E67AE">
        <w:rPr>
          <w:rFonts w:cs="Times New Roman"/>
        </w:rPr>
        <w:t xml:space="preserve"> </w:t>
      </w:r>
    </w:p>
  </w:footnote>
  <w:footnote w:id="41">
    <w:p w:rsidR="00C26925" w:rsidRPr="009E67AE" w:rsidP="009E67AE" w14:paraId="487DC203" w14:textId="77777777">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Id.</w:t>
      </w:r>
    </w:p>
  </w:footnote>
  <w:footnote w:id="42">
    <w:p w:rsidR="00F4344B" w:rsidRPr="009E67AE" w:rsidP="009E67AE" w14:paraId="50A0E524" w14:textId="3C495F6D">
      <w:pPr>
        <w:pStyle w:val="FootnoteText"/>
        <w:spacing w:after="120"/>
        <w:rPr>
          <w:rFonts w:cs="Times New Roman"/>
        </w:rPr>
      </w:pPr>
      <w:r w:rsidRPr="009E67AE">
        <w:rPr>
          <w:rStyle w:val="FootnoteReference"/>
          <w:rFonts w:cs="Times New Roman"/>
        </w:rPr>
        <w:footnoteRef/>
      </w:r>
      <w:r w:rsidRPr="009E67AE">
        <w:rPr>
          <w:rFonts w:cs="Times New Roman"/>
        </w:rPr>
        <w:t xml:space="preserve"> OMAEG Initial Brief at 3 (Jan. 19, 2024).</w:t>
      </w:r>
    </w:p>
  </w:footnote>
  <w:footnote w:id="43">
    <w:p w:rsidR="008D2D3A" w:rsidRPr="009E67AE" w:rsidP="009E67AE" w14:paraId="4CEEFBEA" w14:textId="5D0A7E85">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8F0FBE">
        <w:rPr>
          <w:rFonts w:cs="Times New Roman"/>
        </w:rPr>
        <w:t xml:space="preserve">NOAC Initial Brief </w:t>
      </w:r>
      <w:r w:rsidRPr="009E67AE">
        <w:rPr>
          <w:rFonts w:cs="Times New Roman"/>
        </w:rPr>
        <w:t>at 15 (Jan. 19, 2024).</w:t>
      </w:r>
    </w:p>
  </w:footnote>
  <w:footnote w:id="44">
    <w:p w:rsidR="00F4344B" w:rsidRPr="009E67AE" w:rsidP="009E67AE" w14:paraId="3EB02461" w14:textId="463ECA6B">
      <w:pPr>
        <w:pStyle w:val="FootnoteText"/>
        <w:spacing w:after="120"/>
        <w:rPr>
          <w:rFonts w:cs="Times New Roman"/>
        </w:rPr>
      </w:pPr>
      <w:r w:rsidRPr="009E67AE">
        <w:rPr>
          <w:rStyle w:val="FootnoteReference"/>
          <w:rFonts w:cs="Times New Roman"/>
        </w:rPr>
        <w:footnoteRef/>
      </w:r>
      <w:r w:rsidRPr="009E67AE">
        <w:rPr>
          <w:rFonts w:cs="Times New Roman"/>
        </w:rPr>
        <w:t xml:space="preserve"> Kroger </w:t>
      </w:r>
      <w:r w:rsidRPr="009E67AE" w:rsidR="003A03F5">
        <w:rPr>
          <w:rFonts w:cs="Times New Roman"/>
        </w:rPr>
        <w:t>Initial</w:t>
      </w:r>
      <w:r w:rsidRPr="009E67AE">
        <w:rPr>
          <w:rFonts w:cs="Times New Roman"/>
        </w:rPr>
        <w:t xml:space="preserve"> Brief at 5 (Jan. 19, 2024).</w:t>
      </w:r>
    </w:p>
  </w:footnote>
  <w:footnote w:id="45">
    <w:p w:rsidR="00C26925" w:rsidRPr="009E67AE" w:rsidP="009E67AE" w14:paraId="1B88CE80" w14:textId="2D946F89">
      <w:pPr>
        <w:pStyle w:val="FootnoteText"/>
        <w:spacing w:after="120"/>
        <w:rPr>
          <w:rFonts w:cs="Times New Roman"/>
        </w:rPr>
      </w:pPr>
      <w:r w:rsidRPr="009E67AE">
        <w:rPr>
          <w:rStyle w:val="FootnoteReference"/>
          <w:rFonts w:cs="Times New Roman"/>
        </w:rPr>
        <w:footnoteRef/>
      </w:r>
      <w:r w:rsidRPr="009E67AE">
        <w:rPr>
          <w:rFonts w:cs="Times New Roman"/>
        </w:rPr>
        <w:t xml:space="preserve"> Wal-Mart Stores Post-Hearing Brief (</w:t>
      </w:r>
      <w:r w:rsidRPr="009E67AE" w:rsidR="002C77AE">
        <w:rPr>
          <w:rFonts w:cs="Times New Roman"/>
        </w:rPr>
        <w:t>“</w:t>
      </w:r>
      <w:r w:rsidRPr="009E67AE">
        <w:rPr>
          <w:rFonts w:cs="Times New Roman"/>
        </w:rPr>
        <w:t xml:space="preserve">Wal-Mart </w:t>
      </w:r>
      <w:r w:rsidRPr="009E67AE" w:rsidR="003A03F5">
        <w:rPr>
          <w:rFonts w:cs="Times New Roman"/>
        </w:rPr>
        <w:t xml:space="preserve">Initial </w:t>
      </w:r>
      <w:r w:rsidRPr="009E67AE">
        <w:rPr>
          <w:rFonts w:cs="Times New Roman"/>
        </w:rPr>
        <w:t>Brief</w:t>
      </w:r>
      <w:r w:rsidRPr="009E67AE" w:rsidR="002C77AE">
        <w:rPr>
          <w:rFonts w:cs="Times New Roman"/>
        </w:rPr>
        <w:t>”</w:t>
      </w:r>
      <w:r w:rsidRPr="009E67AE">
        <w:rPr>
          <w:rFonts w:cs="Times New Roman"/>
        </w:rPr>
        <w:t>) at 3 (Jan. 19, 2024).</w:t>
      </w:r>
    </w:p>
  </w:footnote>
  <w:footnote w:id="46">
    <w:p w:rsidR="00B96BA5" w:rsidRPr="009E67AE" w:rsidP="009E67AE" w14:paraId="66F629E3" w14:textId="00B0F3FB">
      <w:pPr>
        <w:pStyle w:val="FootnoteText"/>
        <w:spacing w:after="120"/>
        <w:rPr>
          <w:rFonts w:cs="Times New Roman"/>
        </w:rPr>
      </w:pPr>
      <w:r w:rsidRPr="009E67AE">
        <w:rPr>
          <w:rStyle w:val="FootnoteReference"/>
          <w:rFonts w:cs="Times New Roman"/>
        </w:rPr>
        <w:footnoteRef/>
      </w:r>
      <w:r w:rsidRPr="009E67AE">
        <w:rPr>
          <w:rFonts w:cs="Times New Roman"/>
        </w:rPr>
        <w:t xml:space="preserve"> OCC Initial Brief at 20-28 (Jan. 19, 2024).</w:t>
      </w:r>
    </w:p>
  </w:footnote>
  <w:footnote w:id="47">
    <w:p w:rsidR="007B2670" w:rsidRPr="009E67AE" w:rsidP="009E67AE" w14:paraId="69717AA2" w14:textId="590F09EB">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Id.</w:t>
      </w:r>
    </w:p>
  </w:footnote>
  <w:footnote w:id="48">
    <w:p w:rsidR="007B2670" w:rsidRPr="009E67AE" w:rsidP="009E67AE" w14:paraId="6E2B1839" w14:textId="600A2682">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Id.</w:t>
      </w:r>
    </w:p>
  </w:footnote>
  <w:footnote w:id="49">
    <w:p w:rsidR="009E111C" w:rsidRPr="009E67AE" w:rsidP="009E67AE" w14:paraId="2F0469C9" w14:textId="339EE8DB">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w:t>
      </w:r>
      <w:r w:rsidRPr="009E67AE" w:rsidR="003A03F5">
        <w:rPr>
          <w:rFonts w:cs="Times New Roman"/>
        </w:rPr>
        <w:t xml:space="preserve">Initial </w:t>
      </w:r>
      <w:r w:rsidRPr="009E67AE" w:rsidR="00742E53">
        <w:rPr>
          <w:rFonts w:cs="Times New Roman"/>
        </w:rPr>
        <w:t>Brief</w:t>
      </w:r>
      <w:r w:rsidRPr="009E67AE">
        <w:rPr>
          <w:rFonts w:cs="Times New Roman"/>
        </w:rPr>
        <w:t xml:space="preserve"> at 15</w:t>
      </w:r>
      <w:r w:rsidRPr="009E67AE" w:rsidR="003A03F5">
        <w:rPr>
          <w:rFonts w:cs="Times New Roman"/>
        </w:rPr>
        <w:t xml:space="preserve"> (Jan. 19, 2024).</w:t>
      </w:r>
    </w:p>
  </w:footnote>
  <w:footnote w:id="50">
    <w:p w:rsidR="00EE2003" w:rsidRPr="009E67AE" w:rsidP="009E67AE" w14:paraId="55C00B25" w14:textId="544F8E45">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w:t>
      </w:r>
      <w:r w:rsidRPr="009E67AE" w:rsidR="003A03F5">
        <w:rPr>
          <w:rFonts w:cs="Times New Roman"/>
        </w:rPr>
        <w:t xml:space="preserve">Initial </w:t>
      </w:r>
      <w:r w:rsidRPr="009E67AE">
        <w:rPr>
          <w:rFonts w:cs="Times New Roman"/>
        </w:rPr>
        <w:t>Brie</w:t>
      </w:r>
      <w:r w:rsidRPr="009E67AE" w:rsidR="003A03F5">
        <w:rPr>
          <w:rFonts w:cs="Times New Roman"/>
        </w:rPr>
        <w:t>f</w:t>
      </w:r>
      <w:r w:rsidRPr="009E67AE">
        <w:rPr>
          <w:rFonts w:cs="Times New Roman"/>
        </w:rPr>
        <w:t xml:space="preserve"> at 14</w:t>
      </w:r>
      <w:r w:rsidRPr="009E67AE" w:rsidR="003A03F5">
        <w:rPr>
          <w:rFonts w:cs="Times New Roman"/>
        </w:rPr>
        <w:t xml:space="preserve"> (Jan. 19, 2024).</w:t>
      </w:r>
    </w:p>
  </w:footnote>
  <w:footnote w:id="51">
    <w:p w:rsidR="00984F5F" w:rsidRPr="009E67AE" w:rsidP="009E67AE" w14:paraId="6152EDBE" w14:textId="4806A8C9">
      <w:pPr>
        <w:pStyle w:val="FootnoteText"/>
        <w:spacing w:after="120"/>
        <w:rPr>
          <w:rFonts w:cs="Times New Roman"/>
        </w:rPr>
      </w:pPr>
      <w:r w:rsidRPr="009E67AE">
        <w:rPr>
          <w:rStyle w:val="FootnoteReference"/>
          <w:rFonts w:cs="Times New Roman"/>
        </w:rPr>
        <w:footnoteRef/>
      </w:r>
      <w:r w:rsidRPr="009E67AE">
        <w:rPr>
          <w:rFonts w:cs="Times New Roman"/>
        </w:rPr>
        <w:t xml:space="preserve"> Mackey Testimony at 7 (Oct. 30, 2023).</w:t>
      </w:r>
    </w:p>
  </w:footnote>
  <w:footnote w:id="52">
    <w:p w:rsidR="00EE2003" w:rsidRPr="009E67AE" w:rsidP="009E67AE" w14:paraId="2595C690" w14:textId="39A4D30A">
      <w:pPr>
        <w:pStyle w:val="FootnoteText"/>
        <w:spacing w:after="120"/>
        <w:rPr>
          <w:rFonts w:cs="Times New Roman"/>
        </w:rPr>
      </w:pPr>
      <w:r w:rsidRPr="009E67AE">
        <w:rPr>
          <w:rStyle w:val="FootnoteReference"/>
          <w:rFonts w:cs="Times New Roman"/>
        </w:rPr>
        <w:footnoteRef/>
      </w:r>
      <w:r w:rsidRPr="009E67AE">
        <w:rPr>
          <w:rFonts w:cs="Times New Roman"/>
        </w:rPr>
        <w:t xml:space="preserve"> OMAEG </w:t>
      </w:r>
      <w:r w:rsidRPr="009E67AE" w:rsidR="003A03F5">
        <w:rPr>
          <w:rFonts w:cs="Times New Roman"/>
        </w:rPr>
        <w:t xml:space="preserve">Initial </w:t>
      </w:r>
      <w:r w:rsidRPr="009E67AE">
        <w:rPr>
          <w:rFonts w:cs="Times New Roman"/>
        </w:rPr>
        <w:t>Brief</w:t>
      </w:r>
      <w:r w:rsidRPr="009E67AE" w:rsidR="003A03F5">
        <w:rPr>
          <w:rFonts w:cs="Times New Roman"/>
        </w:rPr>
        <w:t xml:space="preserve"> </w:t>
      </w:r>
      <w:r w:rsidRPr="009E67AE">
        <w:rPr>
          <w:rFonts w:cs="Times New Roman"/>
        </w:rPr>
        <w:t>at 27 (Jan</w:t>
      </w:r>
      <w:r w:rsidRPr="009E67AE" w:rsidR="00831348">
        <w:rPr>
          <w:rFonts w:cs="Times New Roman"/>
        </w:rPr>
        <w:t>.</w:t>
      </w:r>
      <w:r w:rsidRPr="009E67AE">
        <w:rPr>
          <w:rFonts w:cs="Times New Roman"/>
        </w:rPr>
        <w:t xml:space="preserve"> 19, 2024).</w:t>
      </w:r>
    </w:p>
  </w:footnote>
  <w:footnote w:id="53">
    <w:p w:rsidR="00EE2003" w:rsidRPr="009E67AE" w:rsidP="009E67AE" w14:paraId="7DEF59AD" w14:textId="6B9A5818">
      <w:pPr>
        <w:pStyle w:val="FootnoteText"/>
        <w:spacing w:after="120"/>
        <w:rPr>
          <w:rFonts w:cs="Times New Roman"/>
        </w:rPr>
      </w:pPr>
      <w:r w:rsidRPr="009E67AE">
        <w:rPr>
          <w:rStyle w:val="FootnoteReference"/>
          <w:rFonts w:cs="Times New Roman"/>
        </w:rPr>
        <w:footnoteRef/>
      </w:r>
      <w:r w:rsidRPr="009E67AE">
        <w:rPr>
          <w:rFonts w:cs="Times New Roman"/>
        </w:rPr>
        <w:t xml:space="preserve"> Kroger</w:t>
      </w:r>
      <w:r w:rsidRPr="009E67AE" w:rsidR="00E80968">
        <w:rPr>
          <w:rFonts w:cs="Times New Roman"/>
        </w:rPr>
        <w:t xml:space="preserve"> Initial</w:t>
      </w:r>
      <w:r w:rsidRPr="009E67AE">
        <w:rPr>
          <w:rFonts w:cs="Times New Roman"/>
        </w:rPr>
        <w:t xml:space="preserve"> Brief</w:t>
      </w:r>
      <w:r w:rsidRPr="009E67AE" w:rsidR="003A03F5">
        <w:rPr>
          <w:rFonts w:cs="Times New Roman"/>
        </w:rPr>
        <w:t xml:space="preserve"> </w:t>
      </w:r>
      <w:r w:rsidRPr="009E67AE" w:rsidR="008169CD">
        <w:rPr>
          <w:rFonts w:cs="Times New Roman"/>
        </w:rPr>
        <w:t>a</w:t>
      </w:r>
      <w:r w:rsidRPr="009E67AE">
        <w:rPr>
          <w:rFonts w:cs="Times New Roman"/>
        </w:rPr>
        <w:t>t 10 (Jan</w:t>
      </w:r>
      <w:r w:rsidRPr="009E67AE" w:rsidR="00831348">
        <w:rPr>
          <w:rFonts w:cs="Times New Roman"/>
        </w:rPr>
        <w:t>.</w:t>
      </w:r>
      <w:r w:rsidRPr="009E67AE">
        <w:rPr>
          <w:rFonts w:cs="Times New Roman"/>
        </w:rPr>
        <w:t xml:space="preserve"> 19, 2024).</w:t>
      </w:r>
    </w:p>
  </w:footnote>
  <w:footnote w:id="54">
    <w:p w:rsidR="00EC3EEC" w:rsidRPr="009E67AE" w:rsidP="009E67AE" w14:paraId="7AF5CD9A" w14:textId="4148B172">
      <w:pPr>
        <w:pStyle w:val="FootnoteText"/>
        <w:spacing w:after="120"/>
        <w:rPr>
          <w:rFonts w:cs="Times New Roman"/>
        </w:rPr>
      </w:pPr>
      <w:r w:rsidRPr="009E67AE">
        <w:rPr>
          <w:rStyle w:val="FootnoteReference"/>
          <w:rFonts w:cs="Times New Roman"/>
        </w:rPr>
        <w:footnoteRef/>
      </w:r>
      <w:r w:rsidRPr="009E67AE">
        <w:rPr>
          <w:rFonts w:cs="Times New Roman"/>
        </w:rPr>
        <w:t xml:space="preserve"> Mackey Testimony at 7.</w:t>
      </w:r>
    </w:p>
  </w:footnote>
  <w:footnote w:id="55">
    <w:p w:rsidR="1581347A" w:rsidRPr="009E67AE" w:rsidP="009E67AE" w14:paraId="4D946D09" w14:textId="3CD14748">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sidR="00EC3EEC">
        <w:rPr>
          <w:rFonts w:cs="Times New Roman"/>
          <w:i/>
          <w:iCs/>
        </w:rPr>
        <w:t>Id.</w:t>
      </w:r>
    </w:p>
  </w:footnote>
  <w:footnote w:id="56">
    <w:p w:rsidR="00705B22" w:rsidRPr="009E67AE" w:rsidP="009E67AE" w14:paraId="159EA4B0" w14:textId="3CE67A08">
      <w:pPr>
        <w:pStyle w:val="FootnoteText"/>
        <w:spacing w:after="120"/>
        <w:rPr>
          <w:rFonts w:cs="Times New Roman"/>
        </w:rPr>
      </w:pPr>
      <w:r w:rsidRPr="009E67AE">
        <w:rPr>
          <w:rStyle w:val="FootnoteReference"/>
          <w:rFonts w:cs="Times New Roman"/>
        </w:rPr>
        <w:footnoteRef/>
      </w:r>
      <w:r w:rsidRPr="009E67AE">
        <w:rPr>
          <w:rFonts w:cs="Times New Roman"/>
        </w:rPr>
        <w:t xml:space="preserve"> Staff Initial Brief at 4-11</w:t>
      </w:r>
      <w:r w:rsidR="00452540">
        <w:rPr>
          <w:rFonts w:cs="Times New Roman"/>
        </w:rPr>
        <w:t xml:space="preserve"> </w:t>
      </w:r>
      <w:r w:rsidRPr="009E67AE">
        <w:rPr>
          <w:rFonts w:cs="Times New Roman"/>
        </w:rPr>
        <w:t>(Jan. 19, 2024).</w:t>
      </w:r>
    </w:p>
  </w:footnote>
  <w:footnote w:id="57">
    <w:p w:rsidR="00FF3096" w:rsidRPr="009E67AE" w:rsidP="009E67AE" w14:paraId="423D88CF" w14:textId="7385208B">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Initial Brief at 13 (Jan. 19, 2024).</w:t>
      </w:r>
    </w:p>
  </w:footnote>
  <w:footnote w:id="58">
    <w:p w:rsidR="00690BDE" w:rsidRPr="009E67AE" w:rsidP="009E67AE" w14:paraId="69F2E928" w14:textId="77777777">
      <w:pPr>
        <w:pStyle w:val="FootnoteText"/>
        <w:spacing w:after="120"/>
        <w:rPr>
          <w:rFonts w:cs="Times New Roman"/>
        </w:rPr>
      </w:pPr>
      <w:r w:rsidRPr="009E67AE">
        <w:rPr>
          <w:rStyle w:val="FootnoteReference"/>
          <w:rFonts w:cs="Times New Roman"/>
        </w:rPr>
        <w:footnoteRef/>
      </w:r>
      <w:r w:rsidRPr="009E67AE">
        <w:rPr>
          <w:rFonts w:cs="Times New Roman"/>
        </w:rPr>
        <w:t xml:space="preserve"> O.A.C. 4901:1-10-10.</w:t>
      </w:r>
    </w:p>
  </w:footnote>
  <w:footnote w:id="59">
    <w:p w:rsidR="00FE7196" w:rsidRPr="009E67AE" w:rsidP="009E67AE" w14:paraId="60DDD41E" w14:textId="2A5233FA">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See, e.g., In the Matter of the Application of </w:t>
      </w:r>
      <w:r w:rsidR="00ED49DA">
        <w:rPr>
          <w:rFonts w:cs="Times New Roman"/>
          <w:i/>
          <w:iCs/>
        </w:rPr>
        <w:t>T</w:t>
      </w:r>
      <w:r w:rsidRPr="009E67AE">
        <w:rPr>
          <w:rFonts w:cs="Times New Roman"/>
          <w:i/>
          <w:iCs/>
        </w:rPr>
        <w:t xml:space="preserve">he Dayton Power and Light Company d/b/a AES Ohio for Approval of Its Electric Security Plan, </w:t>
      </w:r>
      <w:r w:rsidRPr="009E67AE">
        <w:rPr>
          <w:rFonts w:cs="Times New Roman"/>
        </w:rPr>
        <w:t>Case No. 22-900-EL-SSO, et al., Opinion and Order at ¶ 77 (Aug. 9, 2023).</w:t>
      </w:r>
    </w:p>
  </w:footnote>
  <w:footnote w:id="60">
    <w:p w:rsidR="00575AFA" w:rsidRPr="009E67AE" w:rsidP="009E67AE" w14:paraId="087B8DE5" w14:textId="746DBCCA">
      <w:pPr>
        <w:pStyle w:val="FootnoteText"/>
        <w:spacing w:after="120"/>
        <w:rPr>
          <w:rFonts w:cs="Times New Roman"/>
        </w:rPr>
      </w:pPr>
      <w:r w:rsidRPr="009E67AE">
        <w:rPr>
          <w:rStyle w:val="FootnoteReference"/>
          <w:rFonts w:cs="Times New Roman"/>
        </w:rPr>
        <w:footnoteRef/>
      </w:r>
      <w:r w:rsidRPr="009E67AE">
        <w:rPr>
          <w:rFonts w:cs="Times New Roman"/>
        </w:rPr>
        <w:t xml:space="preserve"> Staff Initial Brief at 9 (Jan. 19, 2024).</w:t>
      </w:r>
    </w:p>
  </w:footnote>
  <w:footnote w:id="61">
    <w:p w:rsidR="004227BA" w:rsidRPr="009E67AE" w:rsidP="009E67AE" w14:paraId="74E0C801" w14:textId="75EC830D">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Initial Brief at 20 (Jan. 19, 2024).</w:t>
      </w:r>
    </w:p>
  </w:footnote>
  <w:footnote w:id="62">
    <w:p w:rsidR="009B626E" w:rsidRPr="009E67AE" w:rsidP="009E67AE" w14:paraId="64C731B7" w14:textId="1A6A45C5">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sidR="004227BA">
        <w:rPr>
          <w:rFonts w:cs="Times New Roman"/>
          <w:i/>
          <w:iCs/>
        </w:rPr>
        <w:t>Id.</w:t>
      </w:r>
    </w:p>
  </w:footnote>
  <w:footnote w:id="63">
    <w:p w:rsidR="002854A4" w:rsidRPr="009E67AE" w:rsidP="009E67AE" w14:paraId="5D0C552E" w14:textId="59BF3B4A">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D67EF9">
        <w:rPr>
          <w:rFonts w:cs="Times New Roman"/>
          <w:i/>
          <w:iCs/>
        </w:rPr>
        <w:t xml:space="preserve">In the Matter of the Filing by Ohio Edison Company, </w:t>
      </w:r>
      <w:r w:rsidRPr="009E67AE" w:rsidR="004828D4">
        <w:rPr>
          <w:rFonts w:cs="Times New Roman"/>
          <w:i/>
          <w:iCs/>
        </w:rPr>
        <w:t>t</w:t>
      </w:r>
      <w:r w:rsidRPr="009E67AE" w:rsidR="00D67EF9">
        <w:rPr>
          <w:rFonts w:cs="Times New Roman"/>
          <w:i/>
          <w:iCs/>
        </w:rPr>
        <w:t xml:space="preserve">he Cleveland Electric Illuminating Company, and </w:t>
      </w:r>
      <w:r w:rsidRPr="009E67AE" w:rsidR="004828D4">
        <w:rPr>
          <w:rFonts w:cs="Times New Roman"/>
          <w:i/>
          <w:iCs/>
        </w:rPr>
        <w:t>t</w:t>
      </w:r>
      <w:r w:rsidRPr="009E67AE" w:rsidR="00D67EF9">
        <w:rPr>
          <w:rFonts w:cs="Times New Roman"/>
          <w:i/>
          <w:iCs/>
        </w:rPr>
        <w:t>he Toledo Edison Company of a Grid Modernization Business Plan</w:t>
      </w:r>
      <w:r w:rsidRPr="009E67AE" w:rsidR="00D67EF9">
        <w:rPr>
          <w:rFonts w:cs="Times New Roman"/>
        </w:rPr>
        <w:t>, Case No. 16-481-EL-UNC, Audit Report (Nov. 14, 2023).</w:t>
      </w:r>
    </w:p>
  </w:footnote>
  <w:footnote w:id="64">
    <w:p w:rsidR="003E12D9" w:rsidRPr="009E67AE" w:rsidP="009E67AE" w14:paraId="00159B27" w14:textId="77777777">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In re AES Ohio ESP IV Case, </w:t>
      </w:r>
      <w:r w:rsidRPr="009E67AE">
        <w:rPr>
          <w:rFonts w:cs="Times New Roman"/>
        </w:rPr>
        <w:t xml:space="preserve">Case No. 22-900-EL-SSO, et al., Opinion &amp; Order at ¶ 77 (Aug. 9, 2023); </w:t>
      </w:r>
      <w:r w:rsidRPr="009E67AE">
        <w:rPr>
          <w:rFonts w:cs="Times New Roman"/>
          <w:i/>
          <w:iCs/>
        </w:rPr>
        <w:t>In re Duke ESP IV Case,</w:t>
      </w:r>
      <w:r w:rsidRPr="009E67AE">
        <w:rPr>
          <w:rFonts w:cs="Times New Roman"/>
        </w:rPr>
        <w:t xml:space="preserve"> Case No 17-1263-EL-SSO, Opinion &amp; Order (Dec. 19, 2018) (approving revenue caps for Rider DCI); </w:t>
      </w:r>
      <w:r w:rsidRPr="009E67AE">
        <w:rPr>
          <w:rFonts w:cs="Times New Roman"/>
          <w:i/>
          <w:iCs/>
        </w:rPr>
        <w:t>In re AEP ESP IV</w:t>
      </w:r>
      <w:r w:rsidRPr="009E67AE">
        <w:rPr>
          <w:rFonts w:cs="Times New Roman"/>
        </w:rPr>
        <w:t>, Case No. 16-1852-EL-SSO, Opinion &amp; Order (April 25, 2018) (approving revenue caps for Rider DIR).</w:t>
      </w:r>
    </w:p>
  </w:footnote>
  <w:footnote w:id="65">
    <w:p w:rsidR="004227BA" w:rsidRPr="009E67AE" w:rsidP="009E67AE" w14:paraId="61C255A3" w14:textId="0AF36E0E">
      <w:pPr>
        <w:pStyle w:val="FootnoteText"/>
        <w:spacing w:after="120"/>
        <w:rPr>
          <w:rFonts w:cs="Times New Roman"/>
        </w:rPr>
      </w:pPr>
      <w:r w:rsidRPr="009E67AE">
        <w:rPr>
          <w:rStyle w:val="FootnoteReference"/>
          <w:rFonts w:cs="Times New Roman"/>
        </w:rPr>
        <w:footnoteRef/>
      </w:r>
      <w:r w:rsidRPr="009E67AE">
        <w:rPr>
          <w:rFonts w:cs="Times New Roman"/>
        </w:rPr>
        <w:t xml:space="preserve"> OCC Initial Brief at 18-30 (Jan. 19, 2024).</w:t>
      </w:r>
    </w:p>
  </w:footnote>
  <w:footnote w:id="66">
    <w:p w:rsidR="004227BA" w:rsidRPr="009E67AE" w:rsidP="009E67AE" w14:paraId="44FDD167" w14:textId="406517AA">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Id.</w:t>
      </w:r>
    </w:p>
  </w:footnote>
  <w:footnote w:id="67">
    <w:p w:rsidR="00DF2A21" w:rsidRPr="009E67AE" w:rsidP="009E67AE" w14:paraId="5AE6B274" w14:textId="1CCC30A4">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006CB8">
        <w:rPr>
          <w:rFonts w:cs="Times New Roman"/>
        </w:rPr>
        <w:t>Mackey Testimony</w:t>
      </w:r>
      <w:r w:rsidRPr="009E67AE">
        <w:rPr>
          <w:rFonts w:cs="Times New Roman"/>
        </w:rPr>
        <w:t xml:space="preserve"> at 18.</w:t>
      </w:r>
    </w:p>
  </w:footnote>
  <w:footnote w:id="68">
    <w:p w:rsidR="0028183A" w:rsidRPr="009E67AE" w:rsidP="009E67AE" w14:paraId="4CDFD044" w14:textId="62E2487C">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A95DA7">
        <w:rPr>
          <w:rFonts w:cs="Times New Roman"/>
        </w:rPr>
        <w:t>OCC</w:t>
      </w:r>
      <w:r w:rsidRPr="009E67AE" w:rsidR="008169CD">
        <w:rPr>
          <w:rFonts w:cs="Times New Roman"/>
        </w:rPr>
        <w:t xml:space="preserve"> </w:t>
      </w:r>
      <w:r w:rsidRPr="009E67AE" w:rsidR="000113D7">
        <w:rPr>
          <w:rFonts w:cs="Times New Roman"/>
        </w:rPr>
        <w:t xml:space="preserve">Initial </w:t>
      </w:r>
      <w:r w:rsidRPr="009E67AE" w:rsidR="008169CD">
        <w:rPr>
          <w:rFonts w:cs="Times New Roman"/>
        </w:rPr>
        <w:t>Brief</w:t>
      </w:r>
      <w:r w:rsidRPr="009E67AE" w:rsidR="00EE51F3">
        <w:rPr>
          <w:rFonts w:cs="Times New Roman"/>
        </w:rPr>
        <w:t xml:space="preserve"> at </w:t>
      </w:r>
      <w:r w:rsidRPr="009E67AE" w:rsidR="008169CD">
        <w:rPr>
          <w:rFonts w:cs="Times New Roman"/>
        </w:rPr>
        <w:t>29</w:t>
      </w:r>
      <w:r w:rsidRPr="009E67AE" w:rsidR="003A03F5">
        <w:rPr>
          <w:rFonts w:cs="Times New Roman"/>
        </w:rPr>
        <w:t xml:space="preserve"> (Jan. 19, 2024)</w:t>
      </w:r>
      <w:r w:rsidRPr="009E67AE" w:rsidR="008169CD">
        <w:rPr>
          <w:rFonts w:cs="Times New Roman"/>
        </w:rPr>
        <w:t>.</w:t>
      </w:r>
    </w:p>
  </w:footnote>
  <w:footnote w:id="69">
    <w:p w:rsidR="61C474A6" w:rsidRPr="009E67AE" w:rsidP="009E67AE" w14:paraId="18EFAF61" w14:textId="18BA8663">
      <w:pPr>
        <w:spacing w:after="120"/>
        <w:rPr>
          <w:rFonts w:cs="Times New Roman"/>
          <w:sz w:val="20"/>
          <w:szCs w:val="20"/>
        </w:rPr>
      </w:pPr>
      <w:r w:rsidRPr="009E67AE">
        <w:rPr>
          <w:rFonts w:cs="Times New Roman"/>
          <w:sz w:val="20"/>
          <w:szCs w:val="20"/>
          <w:vertAlign w:val="superscript"/>
        </w:rPr>
        <w:footnoteRef/>
      </w:r>
      <w:r w:rsidRPr="009E67AE">
        <w:rPr>
          <w:rFonts w:cs="Times New Roman"/>
          <w:sz w:val="20"/>
          <w:szCs w:val="20"/>
        </w:rPr>
        <w:t xml:space="preserve"> </w:t>
      </w:r>
      <w:r w:rsidRPr="009E67AE" w:rsidR="000113D7">
        <w:rPr>
          <w:rFonts w:cs="Times New Roman"/>
          <w:sz w:val="20"/>
          <w:szCs w:val="20"/>
        </w:rPr>
        <w:t xml:space="preserve">Staff Initial </w:t>
      </w:r>
      <w:r w:rsidRPr="009E67AE">
        <w:rPr>
          <w:rFonts w:cs="Times New Roman"/>
          <w:sz w:val="20"/>
          <w:szCs w:val="20"/>
        </w:rPr>
        <w:t>Brief at 13</w:t>
      </w:r>
      <w:r w:rsidRPr="009E67AE" w:rsidR="003A03F5">
        <w:rPr>
          <w:rFonts w:cs="Times New Roman"/>
          <w:sz w:val="20"/>
          <w:szCs w:val="20"/>
        </w:rPr>
        <w:t xml:space="preserve"> (Jan. 19, 2024).</w:t>
      </w:r>
    </w:p>
  </w:footnote>
  <w:footnote w:id="70">
    <w:p w:rsidR="61C474A6" w:rsidRPr="009E67AE" w:rsidP="009E67AE" w14:paraId="60186054" w14:textId="5CD59695">
      <w:pPr>
        <w:spacing w:after="120"/>
        <w:rPr>
          <w:rFonts w:cs="Times New Roman"/>
          <w:i/>
          <w:iCs/>
          <w:sz w:val="20"/>
          <w:szCs w:val="20"/>
        </w:rPr>
      </w:pPr>
      <w:r w:rsidRPr="009E67AE">
        <w:rPr>
          <w:rFonts w:cs="Times New Roman"/>
          <w:sz w:val="20"/>
          <w:szCs w:val="20"/>
          <w:vertAlign w:val="superscript"/>
        </w:rPr>
        <w:footnoteRef/>
      </w:r>
      <w:r w:rsidRPr="009E67AE">
        <w:rPr>
          <w:rFonts w:cs="Times New Roman"/>
          <w:sz w:val="20"/>
          <w:szCs w:val="20"/>
        </w:rPr>
        <w:t xml:space="preserve"> </w:t>
      </w:r>
      <w:r w:rsidRPr="009E67AE" w:rsidR="003A03F5">
        <w:rPr>
          <w:rFonts w:cs="Times New Roman"/>
          <w:i/>
          <w:iCs/>
          <w:sz w:val="20"/>
          <w:szCs w:val="20"/>
        </w:rPr>
        <w:t>Id.</w:t>
      </w:r>
    </w:p>
  </w:footnote>
  <w:footnote w:id="71">
    <w:p w:rsidR="0DEE27A0" w:rsidRPr="009E67AE" w:rsidP="009E67AE" w14:paraId="6A005A8D" w14:textId="5730D446">
      <w:pPr>
        <w:spacing w:after="120"/>
        <w:rPr>
          <w:rFonts w:cs="Times New Roman"/>
          <w:sz w:val="20"/>
          <w:szCs w:val="20"/>
        </w:rPr>
      </w:pPr>
      <w:r w:rsidRPr="009E67AE">
        <w:rPr>
          <w:rFonts w:cs="Times New Roman"/>
          <w:sz w:val="20"/>
          <w:szCs w:val="20"/>
          <w:vertAlign w:val="superscript"/>
        </w:rPr>
        <w:footnoteRef/>
      </w:r>
      <w:r w:rsidRPr="009E67AE">
        <w:rPr>
          <w:rFonts w:cs="Times New Roman"/>
          <w:sz w:val="20"/>
          <w:szCs w:val="20"/>
        </w:rPr>
        <w:t xml:space="preserve"> OMAEG </w:t>
      </w:r>
      <w:r w:rsidRPr="009E67AE" w:rsidR="000113D7">
        <w:rPr>
          <w:rFonts w:cs="Times New Roman"/>
          <w:sz w:val="20"/>
          <w:szCs w:val="20"/>
        </w:rPr>
        <w:t xml:space="preserve">Initial </w:t>
      </w:r>
      <w:r w:rsidRPr="009E67AE">
        <w:rPr>
          <w:rFonts w:cs="Times New Roman"/>
          <w:sz w:val="20"/>
          <w:szCs w:val="20"/>
        </w:rPr>
        <w:t>Brief at 31</w:t>
      </w:r>
      <w:r w:rsidRPr="009E67AE" w:rsidR="000113D7">
        <w:rPr>
          <w:rFonts w:cs="Times New Roman"/>
          <w:sz w:val="20"/>
          <w:szCs w:val="20"/>
        </w:rPr>
        <w:t xml:space="preserve"> (Jan. 19, 2024).</w:t>
      </w:r>
    </w:p>
  </w:footnote>
  <w:footnote w:id="72">
    <w:p w:rsidR="00E91730" w:rsidRPr="009E67AE" w:rsidP="009E67AE" w14:paraId="13CB56DB" w14:textId="577E0D8A">
      <w:pPr>
        <w:spacing w:after="120"/>
        <w:rPr>
          <w:rFonts w:cs="Times New Roman"/>
          <w:sz w:val="20"/>
          <w:szCs w:val="20"/>
        </w:rPr>
      </w:pPr>
      <w:r w:rsidRPr="009E67AE">
        <w:rPr>
          <w:rFonts w:cs="Times New Roman"/>
          <w:sz w:val="20"/>
          <w:szCs w:val="20"/>
          <w:vertAlign w:val="superscript"/>
        </w:rPr>
        <w:footnoteRef/>
      </w:r>
      <w:r w:rsidRPr="009E67AE">
        <w:rPr>
          <w:rFonts w:cs="Times New Roman"/>
          <w:sz w:val="20"/>
          <w:szCs w:val="20"/>
        </w:rPr>
        <w:t xml:space="preserve"> Kroger </w:t>
      </w:r>
      <w:r w:rsidRPr="009E67AE" w:rsidR="000113D7">
        <w:rPr>
          <w:rFonts w:cs="Times New Roman"/>
          <w:sz w:val="20"/>
          <w:szCs w:val="20"/>
        </w:rPr>
        <w:t xml:space="preserve">Initial </w:t>
      </w:r>
      <w:r w:rsidRPr="009E67AE">
        <w:rPr>
          <w:rFonts w:cs="Times New Roman"/>
          <w:sz w:val="20"/>
          <w:szCs w:val="20"/>
        </w:rPr>
        <w:t>Brief at 6</w:t>
      </w:r>
      <w:r w:rsidRPr="009E67AE" w:rsidR="000113D7">
        <w:rPr>
          <w:rFonts w:cs="Times New Roman"/>
          <w:sz w:val="20"/>
          <w:szCs w:val="20"/>
        </w:rPr>
        <w:t xml:space="preserve"> (Jan. 19, 2024).</w:t>
      </w:r>
    </w:p>
  </w:footnote>
  <w:footnote w:id="73">
    <w:p w:rsidR="0DEE27A0" w:rsidRPr="005A6A70" w:rsidP="009E67AE" w14:paraId="4043F3DB" w14:textId="29F054D1">
      <w:pPr>
        <w:spacing w:after="120"/>
        <w:rPr>
          <w:rFonts w:cs="Times New Roman"/>
          <w:sz w:val="20"/>
          <w:szCs w:val="20"/>
        </w:rPr>
      </w:pPr>
      <w:r w:rsidRPr="009E67AE">
        <w:rPr>
          <w:rFonts w:cs="Times New Roman"/>
          <w:sz w:val="20"/>
          <w:szCs w:val="20"/>
          <w:vertAlign w:val="superscript"/>
        </w:rPr>
        <w:footnoteRef/>
      </w:r>
      <w:r w:rsidRPr="009E67AE">
        <w:rPr>
          <w:rFonts w:cs="Times New Roman"/>
          <w:sz w:val="20"/>
          <w:szCs w:val="20"/>
        </w:rPr>
        <w:t xml:space="preserve"> OMAEG </w:t>
      </w:r>
      <w:r w:rsidRPr="009E67AE" w:rsidR="000113D7">
        <w:rPr>
          <w:rFonts w:cs="Times New Roman"/>
          <w:sz w:val="20"/>
          <w:szCs w:val="20"/>
        </w:rPr>
        <w:t xml:space="preserve">Initial </w:t>
      </w:r>
      <w:r w:rsidRPr="009E67AE">
        <w:rPr>
          <w:rFonts w:cs="Times New Roman"/>
          <w:sz w:val="20"/>
          <w:szCs w:val="20"/>
        </w:rPr>
        <w:t>Brief at 32</w:t>
      </w:r>
      <w:r w:rsidRPr="009E67AE" w:rsidR="000113D7">
        <w:rPr>
          <w:rFonts w:cs="Times New Roman"/>
          <w:sz w:val="20"/>
          <w:szCs w:val="20"/>
        </w:rPr>
        <w:t xml:space="preserve"> (Jan. 19, 2024).</w:t>
      </w:r>
    </w:p>
  </w:footnote>
  <w:footnote w:id="74">
    <w:p w:rsidR="00B231BE" w:rsidRPr="009E67AE" w:rsidP="009E67AE" w14:paraId="2815A679" w14:textId="6F927F35">
      <w:pPr>
        <w:pStyle w:val="FootnoteText"/>
        <w:spacing w:after="120"/>
        <w:rPr>
          <w:rFonts w:cs="Times New Roman"/>
        </w:rPr>
      </w:pPr>
      <w:r w:rsidRPr="005A6A70">
        <w:rPr>
          <w:rStyle w:val="FootnoteReference"/>
          <w:rFonts w:cs="Times New Roman"/>
        </w:rPr>
        <w:footnoteRef/>
      </w:r>
      <w:r w:rsidRPr="005A6A70">
        <w:rPr>
          <w:rFonts w:cs="Times New Roman"/>
        </w:rPr>
        <w:t xml:space="preserve"> </w:t>
      </w:r>
      <w:r w:rsidRPr="005A6A70">
        <w:rPr>
          <w:rFonts w:cs="Times New Roman"/>
          <w:i/>
          <w:iCs/>
        </w:rPr>
        <w:t xml:space="preserve">In re FirstEnergy and GPU Merger Savings Remand Proceeding, </w:t>
      </w:r>
      <w:r w:rsidRPr="005A6A70">
        <w:rPr>
          <w:rFonts w:cs="Times New Roman"/>
        </w:rPr>
        <w:t xml:space="preserve">Case No. </w:t>
      </w:r>
      <w:r w:rsidRPr="005A6A70">
        <w:rPr>
          <w:rFonts w:cs="Times New Roman"/>
          <w:shd w:val="clear" w:color="auto" w:fill="FFFFFF"/>
        </w:rPr>
        <w:t>R-00061366</w:t>
      </w:r>
      <w:r w:rsidRPr="005A6A70">
        <w:rPr>
          <w:rFonts w:cs="Times New Roman"/>
          <w:i/>
          <w:iCs/>
        </w:rPr>
        <w:t xml:space="preserve">, </w:t>
      </w:r>
      <w:r w:rsidRPr="005A6A70">
        <w:rPr>
          <w:rFonts w:cs="Times New Roman"/>
        </w:rPr>
        <w:t>et al.,</w:t>
      </w:r>
      <w:r w:rsidRPr="005A6A70">
        <w:rPr>
          <w:rFonts w:cs="Times New Roman"/>
          <w:i/>
          <w:iCs/>
        </w:rPr>
        <w:t xml:space="preserve"> </w:t>
      </w:r>
      <w:r w:rsidRPr="005A6A70" w:rsidR="00B05933">
        <w:rPr>
          <w:rFonts w:cs="Times New Roman"/>
        </w:rPr>
        <w:t xml:space="preserve">Opinion and Recommended Decision, </w:t>
      </w:r>
      <w:r w:rsidRPr="005A6A70" w:rsidR="00B05933">
        <w:rPr>
          <w:rFonts w:cs="Times New Roman"/>
          <w:shd w:val="clear" w:color="auto" w:fill="FFFFFF"/>
        </w:rPr>
        <w:t>2006 Pa. PUC LEXIS 116</w:t>
      </w:r>
      <w:r w:rsidRPr="005A6A70" w:rsidR="00CB2910">
        <w:rPr>
          <w:rFonts w:cs="Times New Roman"/>
          <w:shd w:val="clear" w:color="auto" w:fill="FFFFFF"/>
        </w:rPr>
        <w:t>,</w:t>
      </w:r>
      <w:r w:rsidRPr="005A6A70" w:rsidR="00B05933">
        <w:rPr>
          <w:rFonts w:cs="Times New Roman"/>
          <w:shd w:val="clear" w:color="auto" w:fill="FFFFFF"/>
        </w:rPr>
        <w:t xml:space="preserve"> * 31</w:t>
      </w:r>
      <w:r w:rsidRPr="005A6A70" w:rsidR="00CB2910">
        <w:rPr>
          <w:rFonts w:cs="Times New Roman"/>
          <w:shd w:val="clear" w:color="auto" w:fill="FFFFFF"/>
        </w:rPr>
        <w:t>5-316</w:t>
      </w:r>
      <w:r w:rsidRPr="005A6A70" w:rsidR="00B05933">
        <w:rPr>
          <w:rFonts w:cs="Times New Roman"/>
          <w:shd w:val="clear" w:color="auto" w:fill="FFFFFF"/>
        </w:rPr>
        <w:t xml:space="preserve"> (Oct. 31, 2006).</w:t>
      </w:r>
    </w:p>
  </w:footnote>
  <w:footnote w:id="75">
    <w:p w:rsidR="0DEE27A0" w:rsidRPr="009E67AE" w:rsidP="009E67AE" w14:paraId="6914ED42" w14:textId="2420FABF">
      <w:pPr>
        <w:spacing w:after="120"/>
        <w:rPr>
          <w:rFonts w:cs="Times New Roman"/>
          <w:sz w:val="20"/>
          <w:szCs w:val="20"/>
        </w:rPr>
      </w:pPr>
      <w:r w:rsidRPr="009E67AE">
        <w:rPr>
          <w:rFonts w:cs="Times New Roman"/>
          <w:sz w:val="20"/>
          <w:szCs w:val="20"/>
          <w:vertAlign w:val="superscript"/>
        </w:rPr>
        <w:footnoteRef/>
      </w:r>
      <w:r w:rsidRPr="009E67AE">
        <w:rPr>
          <w:rFonts w:cs="Times New Roman"/>
          <w:sz w:val="20"/>
          <w:szCs w:val="20"/>
        </w:rPr>
        <w:t xml:space="preserve"> OCC </w:t>
      </w:r>
      <w:r w:rsidRPr="009E67AE" w:rsidR="000113D7">
        <w:rPr>
          <w:rFonts w:cs="Times New Roman"/>
          <w:sz w:val="20"/>
          <w:szCs w:val="20"/>
        </w:rPr>
        <w:t xml:space="preserve">Initial </w:t>
      </w:r>
      <w:r w:rsidRPr="009E67AE">
        <w:rPr>
          <w:rFonts w:cs="Times New Roman"/>
          <w:sz w:val="20"/>
          <w:szCs w:val="20"/>
        </w:rPr>
        <w:t xml:space="preserve">Brief at </w:t>
      </w:r>
      <w:r w:rsidRPr="009E67AE" w:rsidR="00574009">
        <w:rPr>
          <w:rFonts w:cs="Times New Roman"/>
          <w:sz w:val="20"/>
          <w:szCs w:val="20"/>
        </w:rPr>
        <w:t>35</w:t>
      </w:r>
      <w:r w:rsidRPr="009E67AE" w:rsidR="000113D7">
        <w:rPr>
          <w:rFonts w:cs="Times New Roman"/>
          <w:sz w:val="20"/>
          <w:szCs w:val="20"/>
        </w:rPr>
        <w:t xml:space="preserve"> (Jan. 19, 2024).</w:t>
      </w:r>
    </w:p>
  </w:footnote>
  <w:footnote w:id="76">
    <w:p w:rsidR="0DEE27A0" w:rsidRPr="009E67AE" w:rsidP="009E67AE" w14:paraId="6EB299C8" w14:textId="3463301E">
      <w:pPr>
        <w:spacing w:after="120"/>
        <w:rPr>
          <w:rFonts w:cs="Times New Roman"/>
          <w:sz w:val="20"/>
          <w:szCs w:val="20"/>
        </w:rPr>
      </w:pPr>
      <w:r w:rsidRPr="009E67AE">
        <w:rPr>
          <w:rFonts w:cs="Times New Roman"/>
          <w:sz w:val="20"/>
          <w:szCs w:val="20"/>
          <w:vertAlign w:val="superscript"/>
        </w:rPr>
        <w:footnoteRef/>
      </w:r>
      <w:r w:rsidRPr="009E67AE">
        <w:rPr>
          <w:rFonts w:cs="Times New Roman"/>
          <w:sz w:val="20"/>
          <w:szCs w:val="20"/>
        </w:rPr>
        <w:t xml:space="preserve"> FirstEnergy </w:t>
      </w:r>
      <w:r w:rsidRPr="009E67AE" w:rsidR="000113D7">
        <w:rPr>
          <w:rFonts w:cs="Times New Roman"/>
          <w:sz w:val="20"/>
          <w:szCs w:val="20"/>
        </w:rPr>
        <w:t xml:space="preserve">Initial </w:t>
      </w:r>
      <w:r w:rsidRPr="009E67AE">
        <w:rPr>
          <w:rFonts w:cs="Times New Roman"/>
          <w:sz w:val="20"/>
          <w:szCs w:val="20"/>
        </w:rPr>
        <w:t>Brief at 31</w:t>
      </w:r>
      <w:r w:rsidRPr="009E67AE" w:rsidR="000113D7">
        <w:rPr>
          <w:rFonts w:cs="Times New Roman"/>
          <w:sz w:val="20"/>
          <w:szCs w:val="20"/>
        </w:rPr>
        <w:t xml:space="preserve"> (Jan. 19, 2024).</w:t>
      </w:r>
    </w:p>
  </w:footnote>
  <w:footnote w:id="77">
    <w:p w:rsidR="000113D7" w:rsidRPr="009E67AE" w:rsidP="009E67AE" w14:paraId="474161E5" w14:textId="0003BA40">
      <w:pPr>
        <w:pStyle w:val="FootnoteText"/>
        <w:spacing w:after="120"/>
        <w:rPr>
          <w:rFonts w:cs="Times New Roman"/>
        </w:rPr>
      </w:pPr>
      <w:r w:rsidRPr="009E67AE">
        <w:rPr>
          <w:rStyle w:val="FootnoteReference"/>
          <w:rFonts w:cs="Times New Roman"/>
        </w:rPr>
        <w:footnoteRef/>
      </w:r>
      <w:r w:rsidRPr="009E67AE">
        <w:rPr>
          <w:rFonts w:cs="Times New Roman"/>
        </w:rPr>
        <w:t xml:space="preserve"> OMAEG Initial Brief at 31-32 (Jan. 19, 2024)</w:t>
      </w:r>
      <w:r w:rsidR="00A85DB4">
        <w:rPr>
          <w:rFonts w:cs="Times New Roman"/>
        </w:rPr>
        <w:t>.</w:t>
      </w:r>
    </w:p>
  </w:footnote>
  <w:footnote w:id="78">
    <w:p w:rsidR="007815E2" w:rsidRPr="009E67AE" w:rsidP="009E67AE" w14:paraId="2865A6F3" w14:textId="28CA50C4">
      <w:pPr>
        <w:pStyle w:val="FootnoteText"/>
        <w:spacing w:after="120"/>
        <w:rPr>
          <w:rFonts w:cs="Times New Roman"/>
        </w:rPr>
      </w:pPr>
      <w:r w:rsidRPr="009E67AE">
        <w:rPr>
          <w:rStyle w:val="FootnoteReference"/>
          <w:rFonts w:cs="Times New Roman"/>
        </w:rPr>
        <w:footnoteRef/>
      </w:r>
      <w:r w:rsidRPr="009E67AE">
        <w:rPr>
          <w:rFonts w:cs="Times New Roman"/>
        </w:rPr>
        <w:t xml:space="preserve"> Kroger Initial Brief at 11 (Jan. 19, 2024).</w:t>
      </w:r>
    </w:p>
  </w:footnote>
  <w:footnote w:id="79">
    <w:p w:rsidR="000113D7" w:rsidRPr="009E67AE" w:rsidP="009E67AE" w14:paraId="14CC2F16" w14:textId="2ACE2E11">
      <w:pPr>
        <w:pStyle w:val="FootnoteText"/>
        <w:spacing w:after="120"/>
        <w:rPr>
          <w:rFonts w:cs="Times New Roman"/>
        </w:rPr>
      </w:pPr>
      <w:r w:rsidRPr="009E67AE">
        <w:rPr>
          <w:rStyle w:val="FootnoteReference"/>
          <w:rFonts w:cs="Times New Roman"/>
        </w:rPr>
        <w:footnoteRef/>
      </w:r>
      <w:r w:rsidRPr="009E67AE">
        <w:rPr>
          <w:rFonts w:cs="Times New Roman"/>
        </w:rPr>
        <w:t xml:space="preserve"> OELC Initial Brief at 58 (Jan. 19, 2024).</w:t>
      </w:r>
    </w:p>
  </w:footnote>
  <w:footnote w:id="80">
    <w:p w:rsidR="000E0967" w:rsidRPr="009E67AE" w:rsidP="009E67AE" w14:paraId="072AE5A5" w14:textId="4B0F76E1">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w:t>
      </w:r>
      <w:r w:rsidRPr="009E67AE" w:rsidR="005475A2">
        <w:rPr>
          <w:rFonts w:cs="Times New Roman"/>
        </w:rPr>
        <w:t xml:space="preserve">Initial </w:t>
      </w:r>
      <w:r w:rsidRPr="009E67AE">
        <w:rPr>
          <w:rFonts w:cs="Times New Roman"/>
        </w:rPr>
        <w:t>Brief at 46</w:t>
      </w:r>
      <w:r w:rsidRPr="009E67AE" w:rsidR="005475A2">
        <w:rPr>
          <w:rFonts w:cs="Times New Roman"/>
        </w:rPr>
        <w:t xml:space="preserve"> (Jan. 19, 2024).</w:t>
      </w:r>
    </w:p>
  </w:footnote>
  <w:footnote w:id="81">
    <w:p w:rsidR="005475A2" w:rsidRPr="009E67AE" w:rsidP="009E67AE" w14:paraId="5CC85F01" w14:textId="38A66DFC">
      <w:pPr>
        <w:pStyle w:val="FootnoteText"/>
        <w:spacing w:after="120"/>
        <w:rPr>
          <w:rFonts w:cs="Times New Roman"/>
        </w:rPr>
      </w:pPr>
      <w:r w:rsidRPr="009E67AE">
        <w:rPr>
          <w:rStyle w:val="FootnoteReference"/>
          <w:rFonts w:cs="Times New Roman"/>
        </w:rPr>
        <w:footnoteRef/>
      </w:r>
      <w:r w:rsidRPr="009E67AE">
        <w:rPr>
          <w:rFonts w:cs="Times New Roman"/>
        </w:rPr>
        <w:t xml:space="preserve"> PUCO Staff Ex. 10, Direct Testimony of Christopher Healey (</w:t>
      </w:r>
      <w:r w:rsidRPr="009E67AE" w:rsidR="002C77AE">
        <w:rPr>
          <w:rFonts w:cs="Times New Roman"/>
        </w:rPr>
        <w:t>“</w:t>
      </w:r>
      <w:r w:rsidRPr="009E67AE">
        <w:rPr>
          <w:rFonts w:cs="Times New Roman"/>
        </w:rPr>
        <w:t>Healey Testimony</w:t>
      </w:r>
      <w:r w:rsidRPr="009E67AE" w:rsidR="002C77AE">
        <w:rPr>
          <w:rFonts w:cs="Times New Roman"/>
        </w:rPr>
        <w:t>”</w:t>
      </w:r>
      <w:r w:rsidRPr="009E67AE">
        <w:rPr>
          <w:rFonts w:cs="Times New Roman"/>
        </w:rPr>
        <w:t>) at 17 (Oct. 30, 2023).</w:t>
      </w:r>
    </w:p>
  </w:footnote>
  <w:footnote w:id="82">
    <w:p w:rsidR="00561FF2" w:rsidRPr="009E67AE" w:rsidP="009E67AE" w14:paraId="369DFBC7" w14:textId="6829B295">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sidR="00623117">
        <w:rPr>
          <w:rFonts w:cs="Times New Roman"/>
          <w:i/>
          <w:iCs/>
        </w:rPr>
        <w:t>Id.</w:t>
      </w:r>
    </w:p>
  </w:footnote>
  <w:footnote w:id="83">
    <w:p w:rsidR="0013548E" w:rsidRPr="009E67AE" w:rsidP="009E67AE" w14:paraId="5D723487" w14:textId="23887849">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5F3679">
        <w:rPr>
          <w:rFonts w:cs="Times New Roman"/>
        </w:rPr>
        <w:t xml:space="preserve">OCC </w:t>
      </w:r>
      <w:r w:rsidRPr="009E67AE" w:rsidR="00623117">
        <w:rPr>
          <w:rFonts w:cs="Times New Roman"/>
        </w:rPr>
        <w:t xml:space="preserve">Initial </w:t>
      </w:r>
      <w:r w:rsidRPr="009E67AE" w:rsidR="005F3679">
        <w:rPr>
          <w:rFonts w:cs="Times New Roman"/>
        </w:rPr>
        <w:t>Brief at 37</w:t>
      </w:r>
      <w:r w:rsidRPr="009E67AE" w:rsidR="00623117">
        <w:rPr>
          <w:rFonts w:cs="Times New Roman"/>
        </w:rPr>
        <w:t xml:space="preserve"> (Jan. 19, 2024); Hearing Transcript, Vol. VII, p. 1495 (Dec. 6, 2023).</w:t>
      </w:r>
    </w:p>
  </w:footnote>
  <w:footnote w:id="84">
    <w:p w:rsidR="0067062F" w:rsidRPr="009E67AE" w:rsidP="009E67AE" w14:paraId="16A53AF3" w14:textId="605D3469">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Id.</w:t>
      </w:r>
      <w:r w:rsidRPr="009E67AE" w:rsidR="002C63D6">
        <w:rPr>
          <w:rFonts w:cs="Times New Roman"/>
        </w:rPr>
        <w:t xml:space="preserve"> at 12.</w:t>
      </w:r>
    </w:p>
  </w:footnote>
  <w:footnote w:id="85">
    <w:p w:rsidR="00054F58" w:rsidRPr="009E67AE" w:rsidP="009E67AE" w14:paraId="4ECD02DF" w14:textId="04F6A3F1">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w:t>
      </w:r>
      <w:r w:rsidRPr="009E67AE" w:rsidR="00623117">
        <w:rPr>
          <w:rFonts w:cs="Times New Roman"/>
        </w:rPr>
        <w:t xml:space="preserve">Initial </w:t>
      </w:r>
      <w:r w:rsidRPr="009E67AE">
        <w:rPr>
          <w:rFonts w:cs="Times New Roman"/>
        </w:rPr>
        <w:t>Brief at 46</w:t>
      </w:r>
      <w:r w:rsidRPr="009E67AE" w:rsidR="00623117">
        <w:rPr>
          <w:rFonts w:cs="Times New Roman"/>
        </w:rPr>
        <w:t xml:space="preserve"> (Jan. 19, 2024).</w:t>
      </w:r>
    </w:p>
  </w:footnote>
  <w:footnote w:id="86">
    <w:p w:rsidR="00913700" w:rsidRPr="009E67AE" w:rsidP="009E67AE" w14:paraId="18EECFBB" w14:textId="305165BE">
      <w:pPr>
        <w:pStyle w:val="FootnoteText"/>
        <w:spacing w:after="120"/>
        <w:rPr>
          <w:rFonts w:cs="Times New Roman"/>
        </w:rPr>
      </w:pPr>
      <w:r w:rsidRPr="009E67AE">
        <w:rPr>
          <w:rStyle w:val="FootnoteReference"/>
          <w:rFonts w:cs="Times New Roman"/>
        </w:rPr>
        <w:footnoteRef/>
      </w:r>
      <w:r w:rsidRPr="009E67AE">
        <w:rPr>
          <w:rFonts w:cs="Times New Roman"/>
        </w:rPr>
        <w:t xml:space="preserve"> OCC </w:t>
      </w:r>
      <w:r w:rsidRPr="009E67AE" w:rsidR="00623117">
        <w:rPr>
          <w:rFonts w:cs="Times New Roman"/>
        </w:rPr>
        <w:t xml:space="preserve">Initial </w:t>
      </w:r>
      <w:r w:rsidRPr="009E67AE">
        <w:rPr>
          <w:rFonts w:cs="Times New Roman"/>
        </w:rPr>
        <w:t>Brief</w:t>
      </w:r>
      <w:r w:rsidRPr="009E67AE" w:rsidR="008169CD">
        <w:rPr>
          <w:rFonts w:cs="Times New Roman"/>
        </w:rPr>
        <w:t xml:space="preserve"> </w:t>
      </w:r>
      <w:r w:rsidRPr="009E67AE">
        <w:rPr>
          <w:rFonts w:cs="Times New Roman"/>
        </w:rPr>
        <w:t xml:space="preserve">at </w:t>
      </w:r>
      <w:r w:rsidRPr="009E67AE" w:rsidR="00F17867">
        <w:rPr>
          <w:rFonts w:cs="Times New Roman"/>
        </w:rPr>
        <w:t>38</w:t>
      </w:r>
      <w:r w:rsidRPr="009E67AE" w:rsidR="00623117">
        <w:rPr>
          <w:rFonts w:cs="Times New Roman"/>
        </w:rPr>
        <w:t xml:space="preserve"> (Jan. 19, 2024).</w:t>
      </w:r>
    </w:p>
  </w:footnote>
  <w:footnote w:id="87">
    <w:p w:rsidR="00990263" w:rsidRPr="009E67AE" w:rsidP="009E67AE" w14:paraId="4966E1CB" w14:textId="6B6598F8">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Ex. 10, Direct Testimony of Edward B. Stein </w:t>
      </w:r>
      <w:r w:rsidRPr="009E67AE" w:rsidR="00CA0A2D">
        <w:rPr>
          <w:rFonts w:cs="Times New Roman"/>
        </w:rPr>
        <w:t>(</w:t>
      </w:r>
      <w:r w:rsidRPr="009E67AE" w:rsidR="002C77AE">
        <w:rPr>
          <w:rFonts w:cs="Times New Roman"/>
        </w:rPr>
        <w:t>“</w:t>
      </w:r>
      <w:r w:rsidRPr="009E67AE" w:rsidR="00CA0A2D">
        <w:rPr>
          <w:rFonts w:cs="Times New Roman"/>
        </w:rPr>
        <w:t>Stein Testimony</w:t>
      </w:r>
      <w:r w:rsidRPr="009E67AE" w:rsidR="002C77AE">
        <w:rPr>
          <w:rFonts w:cs="Times New Roman"/>
        </w:rPr>
        <w:t>”</w:t>
      </w:r>
      <w:r w:rsidRPr="009E67AE" w:rsidR="00CA0A2D">
        <w:rPr>
          <w:rFonts w:cs="Times New Roman"/>
        </w:rPr>
        <w:t xml:space="preserve">) </w:t>
      </w:r>
      <w:r w:rsidRPr="009E67AE">
        <w:rPr>
          <w:rFonts w:cs="Times New Roman"/>
        </w:rPr>
        <w:t>at 4 (Ap</w:t>
      </w:r>
      <w:r w:rsidRPr="009E67AE" w:rsidR="00623117">
        <w:rPr>
          <w:rFonts w:cs="Times New Roman"/>
        </w:rPr>
        <w:t>r</w:t>
      </w:r>
      <w:r w:rsidRPr="009E67AE" w:rsidR="00F45EAD">
        <w:rPr>
          <w:rFonts w:cs="Times New Roman"/>
        </w:rPr>
        <w:t>il</w:t>
      </w:r>
      <w:r w:rsidRPr="009E67AE">
        <w:rPr>
          <w:rFonts w:cs="Times New Roman"/>
        </w:rPr>
        <w:t xml:space="preserve"> 5, 2023)</w:t>
      </w:r>
      <w:r w:rsidRPr="009E67AE" w:rsidR="00CA0A2D">
        <w:rPr>
          <w:rFonts w:cs="Times New Roman"/>
        </w:rPr>
        <w:t>.</w:t>
      </w:r>
    </w:p>
  </w:footnote>
  <w:footnote w:id="88">
    <w:p w:rsidR="00E87CAC" w:rsidRPr="009E67AE" w:rsidP="009E67AE" w14:paraId="4EB6EF80" w14:textId="1C56D0CA">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Initial Brief at 46 (Jan. 19, 2024).</w:t>
      </w:r>
    </w:p>
  </w:footnote>
  <w:footnote w:id="89">
    <w:p w:rsidR="0067062F" w:rsidRPr="009E67AE" w:rsidP="009E67AE" w14:paraId="37EA36CB" w14:textId="79E99D0B">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sidR="00F72CF0">
        <w:rPr>
          <w:rFonts w:cs="Times New Roman"/>
          <w:i/>
          <w:iCs/>
        </w:rPr>
        <w:t>Id.</w:t>
      </w:r>
    </w:p>
  </w:footnote>
  <w:footnote w:id="90">
    <w:p w:rsidR="00A86511" w:rsidRPr="009E67AE" w:rsidP="009E67AE" w14:paraId="5B09F0AA" w14:textId="34BBDED4">
      <w:pPr>
        <w:pStyle w:val="FootnoteText"/>
        <w:spacing w:after="120"/>
        <w:rPr>
          <w:rFonts w:cs="Times New Roman"/>
        </w:rPr>
      </w:pPr>
      <w:r w:rsidRPr="009E67AE">
        <w:rPr>
          <w:rStyle w:val="FootnoteReference"/>
          <w:rFonts w:cs="Times New Roman"/>
        </w:rPr>
        <w:footnoteRef/>
      </w:r>
      <w:r w:rsidRPr="009E67AE">
        <w:rPr>
          <w:rFonts w:cs="Times New Roman"/>
        </w:rPr>
        <w:t xml:space="preserve"> Hearing Transcript, Vol. VII, p. 1389 (Dec. 6, 2023) (emphasis added).</w:t>
      </w:r>
    </w:p>
  </w:footnote>
  <w:footnote w:id="91">
    <w:p w:rsidR="00A86511" w:rsidRPr="009E67AE" w:rsidP="009E67AE" w14:paraId="3C9842D8" w14:textId="3EF9FDAC">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Id.</w:t>
      </w:r>
    </w:p>
  </w:footnote>
  <w:footnote w:id="92">
    <w:p w:rsidR="008F58CA" w:rsidRPr="009E67AE" w:rsidP="009E67AE" w14:paraId="1B1C6069" w14:textId="1D793B92">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sidR="00A86511">
        <w:rPr>
          <w:rFonts w:cs="Times New Roman"/>
          <w:i/>
          <w:iCs/>
        </w:rPr>
        <w:t>Id.</w:t>
      </w:r>
    </w:p>
  </w:footnote>
  <w:footnote w:id="93">
    <w:p w:rsidR="00BB1038" w:rsidRPr="009E67AE" w:rsidP="009E67AE" w14:paraId="16347042" w14:textId="543EC35D">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Id. </w:t>
      </w:r>
      <w:r w:rsidRPr="009E67AE">
        <w:rPr>
          <w:rFonts w:cs="Times New Roman"/>
        </w:rPr>
        <w:t>at 1466.</w:t>
      </w:r>
    </w:p>
  </w:footnote>
  <w:footnote w:id="94">
    <w:p w:rsidR="00BB1038" w:rsidRPr="009E67AE" w:rsidP="009E67AE" w14:paraId="76ED7D86" w14:textId="4CE2E46C">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Id. </w:t>
      </w:r>
      <w:r w:rsidRPr="009E67AE">
        <w:rPr>
          <w:rFonts w:cs="Times New Roman"/>
        </w:rPr>
        <w:t>at 1472.</w:t>
      </w:r>
      <w:r w:rsidRPr="009E67AE" w:rsidR="00321DF0">
        <w:rPr>
          <w:rFonts w:cs="Times New Roman"/>
        </w:rPr>
        <w:t xml:space="preserve"> </w:t>
      </w:r>
    </w:p>
  </w:footnote>
  <w:footnote w:id="95">
    <w:p w:rsidR="005F140A" w:rsidRPr="009E67AE" w:rsidP="009E67AE" w14:paraId="133A61DF" w14:textId="6466B9A5">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Id. </w:t>
      </w:r>
      <w:r w:rsidRPr="009E67AE">
        <w:rPr>
          <w:rFonts w:cs="Times New Roman"/>
        </w:rPr>
        <w:t>at 1472.</w:t>
      </w:r>
    </w:p>
  </w:footnote>
  <w:footnote w:id="96">
    <w:p w:rsidR="0081354E" w:rsidRPr="009E67AE" w:rsidP="009E67AE" w14:paraId="630AD47A" w14:textId="0C98265D">
      <w:pPr>
        <w:pStyle w:val="FootnoteText"/>
        <w:spacing w:after="120"/>
        <w:rPr>
          <w:rFonts w:cs="Times New Roman"/>
        </w:rPr>
      </w:pPr>
      <w:r w:rsidRPr="009E67AE">
        <w:rPr>
          <w:rStyle w:val="FootnoteReference"/>
          <w:rFonts w:cs="Times New Roman"/>
        </w:rPr>
        <w:footnoteRef/>
      </w:r>
      <w:r w:rsidRPr="009E67AE">
        <w:rPr>
          <w:rFonts w:cs="Times New Roman"/>
        </w:rPr>
        <w:t xml:space="preserve"> OCC Ex. 13, PJM Reliability Assurance Agreement at Article I, Definitions</w:t>
      </w:r>
      <w:r w:rsidRPr="009E67AE" w:rsidR="00A86511">
        <w:rPr>
          <w:rFonts w:cs="Times New Roman"/>
        </w:rPr>
        <w:t xml:space="preserve"> (emphasis added)</w:t>
      </w:r>
      <w:r w:rsidRPr="009E67AE">
        <w:rPr>
          <w:rFonts w:cs="Times New Roman"/>
        </w:rPr>
        <w:t>.</w:t>
      </w:r>
    </w:p>
  </w:footnote>
  <w:footnote w:id="97">
    <w:p w:rsidR="008F5E0A" w:rsidRPr="00B53C19" w:rsidP="009E67AE" w14:paraId="54F12A6F" w14:textId="7C62098D">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3A03F5">
        <w:rPr>
          <w:rFonts w:cs="Times New Roman"/>
          <w:i/>
          <w:iCs/>
        </w:rPr>
        <w:t>Id.</w:t>
      </w:r>
      <w:r w:rsidRPr="009E67AE" w:rsidR="00A86511">
        <w:rPr>
          <w:rFonts w:cs="Times New Roman"/>
          <w:i/>
          <w:iCs/>
        </w:rPr>
        <w:t xml:space="preserve"> </w:t>
      </w:r>
      <w:r w:rsidRPr="009E67AE" w:rsidR="00A86511">
        <w:rPr>
          <w:rFonts w:cs="Times New Roman"/>
        </w:rPr>
        <w:t>(emphasis added).</w:t>
      </w:r>
    </w:p>
  </w:footnote>
  <w:footnote w:id="98">
    <w:p w:rsidR="00301A62" w:rsidRPr="00B53C19" w:rsidP="009E67AE" w14:paraId="3008FAB8" w14:textId="4DEECF4E">
      <w:pPr>
        <w:pStyle w:val="FootnoteText"/>
        <w:spacing w:after="120"/>
        <w:rPr>
          <w:rFonts w:cs="Times New Roman"/>
        </w:rPr>
      </w:pPr>
      <w:r w:rsidRPr="00B53C19">
        <w:rPr>
          <w:rStyle w:val="FootnoteReference"/>
          <w:rFonts w:cs="Times New Roman"/>
        </w:rPr>
        <w:footnoteRef/>
      </w:r>
      <w:r w:rsidRPr="00B53C19">
        <w:rPr>
          <w:rFonts w:cs="Times New Roman"/>
        </w:rPr>
        <w:t xml:space="preserve"> </w:t>
      </w:r>
      <w:r w:rsidRPr="00B53C19" w:rsidR="008F58CA">
        <w:rPr>
          <w:rFonts w:cs="Times New Roman"/>
        </w:rPr>
        <w:t>Hearing Transcript, Vol. XIV, pp. 2543-2544 (Dec. 13, 2023).</w:t>
      </w:r>
    </w:p>
  </w:footnote>
  <w:footnote w:id="99">
    <w:p w:rsidR="001A5A33" w:rsidRPr="009E67AE" w:rsidP="009E67AE" w14:paraId="47EE5F9E" w14:textId="201E4608">
      <w:pPr>
        <w:pStyle w:val="FootnoteText"/>
        <w:spacing w:after="120"/>
        <w:rPr>
          <w:rFonts w:cs="Times New Roman"/>
        </w:rPr>
      </w:pPr>
      <w:r w:rsidRPr="00B53C19">
        <w:rPr>
          <w:rStyle w:val="FootnoteReference"/>
          <w:rFonts w:cs="Times New Roman"/>
        </w:rPr>
        <w:footnoteRef/>
      </w:r>
      <w:r w:rsidRPr="00B53C19">
        <w:rPr>
          <w:rFonts w:cs="Times New Roman"/>
        </w:rPr>
        <w:t xml:space="preserve"> Hearing Transcript, Vol. VII, p. 1472:6-20 (Dec. </w:t>
      </w:r>
      <w:r w:rsidRPr="009E67AE">
        <w:rPr>
          <w:rFonts w:cs="Times New Roman"/>
        </w:rPr>
        <w:t>6, 2023).</w:t>
      </w:r>
    </w:p>
  </w:footnote>
  <w:footnote w:id="100">
    <w:p w:rsidR="005D6713" w:rsidRPr="009E67AE" w:rsidP="009E67AE" w14:paraId="2AF444AB" w14:textId="37DC6D6B">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In the Matter of the Application of AK Steel Corporation for Approval of a Reasonable Arrangement with Duke Energy Ohio, </w:t>
      </w:r>
      <w:r w:rsidRPr="009E67AE">
        <w:rPr>
          <w:rFonts w:cs="Times New Roman"/>
        </w:rPr>
        <w:t>Case No. 18-450-EL-AEC, Opinion and Order (June 28, 2018)</w:t>
      </w:r>
      <w:r w:rsidRPr="009E67AE" w:rsidR="004C4184">
        <w:rPr>
          <w:rFonts w:cs="Times New Roman"/>
        </w:rPr>
        <w:t xml:space="preserve">; </w:t>
      </w:r>
      <w:r w:rsidRPr="009E67AE" w:rsidR="004C4184">
        <w:rPr>
          <w:rFonts w:cs="Times New Roman"/>
          <w:i/>
          <w:iCs/>
        </w:rPr>
        <w:t xml:space="preserve">In the Matter of the Application of Duke Energy Ohio, Inc. for Authority to Establish </w:t>
      </w:r>
      <w:r w:rsidRPr="009E67AE" w:rsidR="008151C4">
        <w:rPr>
          <w:rFonts w:cs="Times New Roman"/>
          <w:i/>
          <w:iCs/>
        </w:rPr>
        <w:t xml:space="preserve">a </w:t>
      </w:r>
      <w:r w:rsidRPr="009E67AE" w:rsidR="004C4184">
        <w:rPr>
          <w:rFonts w:cs="Times New Roman"/>
          <w:i/>
          <w:iCs/>
        </w:rPr>
        <w:t xml:space="preserve">Standard Service Offer Pursuant to </w:t>
      </w:r>
      <w:r w:rsidRPr="009E67AE" w:rsidR="008151C4">
        <w:rPr>
          <w:rFonts w:cs="Times New Roman"/>
          <w:i/>
          <w:iCs/>
        </w:rPr>
        <w:t xml:space="preserve">R.C. </w:t>
      </w:r>
      <w:r w:rsidRPr="009E67AE" w:rsidR="004C4184">
        <w:rPr>
          <w:rFonts w:cs="Times New Roman"/>
          <w:i/>
          <w:iCs/>
        </w:rPr>
        <w:t xml:space="preserve">4928.143 in the Form of an </w:t>
      </w:r>
      <w:r w:rsidRPr="009E67AE" w:rsidR="008151C4">
        <w:rPr>
          <w:rFonts w:cs="Times New Roman"/>
          <w:i/>
          <w:iCs/>
        </w:rPr>
        <w:t xml:space="preserve">Electric Security Plan, Accounting Modifications, and Tariffs for Generation Service, </w:t>
      </w:r>
      <w:r w:rsidRPr="009E67AE" w:rsidR="004C4184">
        <w:rPr>
          <w:rFonts w:cs="Times New Roman"/>
        </w:rPr>
        <w:t xml:space="preserve">Case No. 17-1263-EL-SSO, Opinion and Order (Dec. 19, 2018); </w:t>
      </w:r>
      <w:r w:rsidRPr="009E67AE" w:rsidR="00902024">
        <w:rPr>
          <w:rFonts w:cs="Times New Roman"/>
          <w:i/>
          <w:iCs/>
        </w:rPr>
        <w:t xml:space="preserve">In the Matter of the Application of The Dayton Power and Light Company d/b/a AES Ohio for Approval of Its Electric Security Plan, </w:t>
      </w:r>
      <w:r w:rsidRPr="009E67AE" w:rsidR="00902024">
        <w:rPr>
          <w:rFonts w:cs="Times New Roman"/>
        </w:rPr>
        <w:t>Case No. 22-900-EL-SSO,</w:t>
      </w:r>
      <w:r w:rsidRPr="009E67AE" w:rsidR="00E5098C">
        <w:rPr>
          <w:rFonts w:cs="Times New Roman"/>
        </w:rPr>
        <w:t xml:space="preserve"> et al.,</w:t>
      </w:r>
      <w:r w:rsidRPr="009E67AE" w:rsidR="00902024">
        <w:rPr>
          <w:rFonts w:cs="Times New Roman"/>
        </w:rPr>
        <w:t xml:space="preserve"> Opinion and Order (Aug. 9, 2023).</w:t>
      </w:r>
    </w:p>
  </w:footnote>
  <w:footnote w:id="101">
    <w:p w:rsidR="00371282" w:rsidRPr="009E67AE" w:rsidP="009E67AE" w14:paraId="074FACD8" w14:textId="6BF2FE77">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In the Matter of the Application of AK Steel Corporation for Approval of a Reasonable Arrangement with Duke Energy Ohio, </w:t>
      </w:r>
      <w:r w:rsidRPr="009E67AE">
        <w:rPr>
          <w:rFonts w:cs="Times New Roman"/>
        </w:rPr>
        <w:t>Case No. 18-450-EL-AEC, Opinion and Order (June 28, 2018).</w:t>
      </w:r>
      <w:r w:rsidRPr="009E67AE" w:rsidR="002C77AE">
        <w:rPr>
          <w:rFonts w:cs="Times New Roman"/>
        </w:rPr>
        <w:t xml:space="preserve"> </w:t>
      </w:r>
      <w:r w:rsidRPr="009E67AE" w:rsidR="00413BEE">
        <w:rPr>
          <w:rFonts w:cs="Times New Roman"/>
          <w:i/>
          <w:iCs/>
        </w:rPr>
        <w:t xml:space="preserve">See also, In the Matter of the Joint Application for Approval of an Economic Development Arrangement between Ohio Power and Acero Junction Inc., </w:t>
      </w:r>
      <w:r w:rsidRPr="009E67AE" w:rsidR="00413BEE">
        <w:rPr>
          <w:rFonts w:cs="Times New Roman"/>
        </w:rPr>
        <w:t xml:space="preserve">Case No. 17-2132-EL-AEC, Opinion and Order (May 2, 2018). </w:t>
      </w:r>
    </w:p>
  </w:footnote>
  <w:footnote w:id="102">
    <w:p w:rsidR="00D378E3" w:rsidRPr="009E67AE" w:rsidP="009E67AE" w14:paraId="58964F8A" w14:textId="3F8E4923">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In the Matter of the 2020 Review of the Delivery Capital Recovery Rider of Ohio Edison Company, the Cleveland Electric Illuminating Company, and the Toledo Edison Company, </w:t>
      </w:r>
      <w:r w:rsidRPr="009E67AE">
        <w:rPr>
          <w:rFonts w:cs="Times New Roman"/>
        </w:rPr>
        <w:t>Case No. 20-1629-EL-RDR, Entry (Dec. 15, 2021).</w:t>
      </w:r>
    </w:p>
  </w:footnote>
  <w:footnote w:id="103">
    <w:p w:rsidR="00FA753B" w:rsidRPr="009E67AE" w:rsidP="009E67AE" w14:paraId="39C05ED4" w14:textId="54F4A991">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In the Matter of the Ohio Edison Company, the Cleveland Electric Illuminating Company, and the Toledo Edison Company</w:t>
      </w:r>
      <w:r w:rsidRPr="009E67AE" w:rsidR="002C77AE">
        <w:rPr>
          <w:rFonts w:cs="Times New Roman"/>
          <w:i/>
          <w:iCs/>
        </w:rPr>
        <w:t>’</w:t>
      </w:r>
      <w:r w:rsidRPr="009E67AE">
        <w:rPr>
          <w:rFonts w:cs="Times New Roman"/>
          <w:i/>
          <w:iCs/>
        </w:rPr>
        <w:t>s Compliance with R.C. 4928.17 and the Ohio Adm. Code Chapter 4901:1-37</w:t>
      </w:r>
      <w:r w:rsidRPr="009E67AE">
        <w:rPr>
          <w:rFonts w:cs="Times New Roman"/>
        </w:rPr>
        <w:t xml:space="preserve">, Case No. 17-974-EL-UNC, Entry (Aug. 24, 2023); </w:t>
      </w:r>
      <w:r w:rsidRPr="009E67AE">
        <w:rPr>
          <w:rFonts w:cs="Times New Roman"/>
          <w:i/>
          <w:iCs/>
        </w:rPr>
        <w:t xml:space="preserve">In the Matter of the Review of the Distribution Modernization Rider of Ohio Edison Company, the Cleveland Electric Illuminating Company, and the Toledo Edison Company, </w:t>
      </w:r>
      <w:r w:rsidRPr="009E67AE">
        <w:rPr>
          <w:rFonts w:cs="Times New Roman"/>
        </w:rPr>
        <w:t xml:space="preserve">Case No. 17-2474-EL-RDR, Entry (Aug. 24, 2023); </w:t>
      </w:r>
      <w:r w:rsidRPr="009E67AE">
        <w:rPr>
          <w:rFonts w:cs="Times New Roman"/>
          <w:i/>
          <w:iCs/>
        </w:rPr>
        <w:t xml:space="preserve">In the Matter of the Review of the Political and Charitable Spending by Ohio Edison Company, the Cleveland Electric Illuminating Company, and the Toledo Edison Company, </w:t>
      </w:r>
      <w:r w:rsidRPr="009E67AE">
        <w:rPr>
          <w:rFonts w:cs="Times New Roman"/>
        </w:rPr>
        <w:t xml:space="preserve">Case No. 20-1502-EL-UNC, Entry (Aug. 24, 2023); </w:t>
      </w:r>
      <w:r w:rsidRPr="009E67AE">
        <w:rPr>
          <w:rFonts w:cs="Times New Roman"/>
          <w:i/>
          <w:iCs/>
        </w:rPr>
        <w:t>In the Matter of the 2020 Review of the Delivery Capital Recovery Rider of Ohio Edison Company, the Cleveland Electric Illuminating Company, and the Toledo Edison Company</w:t>
      </w:r>
      <w:r w:rsidRPr="009E67AE">
        <w:rPr>
          <w:rFonts w:cs="Times New Roman"/>
        </w:rPr>
        <w:t>, Case No. 20-1629-EL-RDR Entry (Aug. 24, 2023).</w:t>
      </w:r>
    </w:p>
  </w:footnote>
  <w:footnote w:id="104">
    <w:p w:rsidR="00F81A29" w:rsidRPr="009E67AE" w:rsidP="009E67AE" w14:paraId="3A90A10F" w14:textId="358F1451">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Pr>
          <w:rFonts w:cs="Times New Roman"/>
          <w:i/>
          <w:iCs/>
        </w:rPr>
        <w:t>See, e.g., In the Matter of the Ohio Edison Company, the Cleveland Electric Illuminating Company, and the Toledo Edison Company</w:t>
      </w:r>
      <w:r w:rsidRPr="009E67AE" w:rsidR="002C77AE">
        <w:rPr>
          <w:rFonts w:cs="Times New Roman"/>
          <w:i/>
          <w:iCs/>
        </w:rPr>
        <w:t>’</w:t>
      </w:r>
      <w:r w:rsidRPr="009E67AE">
        <w:rPr>
          <w:rFonts w:cs="Times New Roman"/>
          <w:i/>
          <w:iCs/>
        </w:rPr>
        <w:t>s Compliance with R.C. 4928.17 and the Ohio Adm. Code Chapter 4901:1-37</w:t>
      </w:r>
      <w:r w:rsidRPr="009E67AE">
        <w:rPr>
          <w:rFonts w:cs="Times New Roman"/>
        </w:rPr>
        <w:t>, Case No. 17-974-EL-UNC, FirstEnergy</w:t>
      </w:r>
      <w:r w:rsidRPr="009E67AE" w:rsidR="002C77AE">
        <w:rPr>
          <w:rFonts w:cs="Times New Roman"/>
        </w:rPr>
        <w:t>’</w:t>
      </w:r>
      <w:r w:rsidRPr="009E67AE" w:rsidR="00B52455">
        <w:rPr>
          <w:rFonts w:cs="Times New Roman"/>
        </w:rPr>
        <w:t>s</w:t>
      </w:r>
      <w:r w:rsidRPr="009E67AE">
        <w:rPr>
          <w:rFonts w:cs="Times New Roman"/>
        </w:rPr>
        <w:t xml:space="preserve"> Memorandum Contra Office of the Ohio Consumers</w:t>
      </w:r>
      <w:r w:rsidRPr="009E67AE" w:rsidR="002C77AE">
        <w:rPr>
          <w:rFonts w:cs="Times New Roman"/>
        </w:rPr>
        <w:t>’</w:t>
      </w:r>
      <w:r w:rsidRPr="009E67AE">
        <w:rPr>
          <w:rFonts w:cs="Times New Roman"/>
        </w:rPr>
        <w:t xml:space="preserve"> Counsel</w:t>
      </w:r>
      <w:r w:rsidRPr="009E67AE" w:rsidR="002C77AE">
        <w:rPr>
          <w:rFonts w:cs="Times New Roman"/>
        </w:rPr>
        <w:t>’</w:t>
      </w:r>
      <w:r w:rsidRPr="009E67AE">
        <w:rPr>
          <w:rFonts w:cs="Times New Roman"/>
        </w:rPr>
        <w:t>s Application for Rehearing</w:t>
      </w:r>
      <w:r w:rsidRPr="009E67AE">
        <w:rPr>
          <w:rFonts w:cs="Times New Roman"/>
          <w:color w:val="232323"/>
        </w:rPr>
        <w:t> </w:t>
      </w:r>
      <w:r w:rsidRPr="009E67AE">
        <w:rPr>
          <w:rFonts w:cs="Times New Roman"/>
        </w:rPr>
        <w:t>(</w:t>
      </w:r>
      <w:r w:rsidRPr="009E67AE" w:rsidR="004012CF">
        <w:rPr>
          <w:rFonts w:cs="Times New Roman"/>
        </w:rPr>
        <w:t>Oct. 10</w:t>
      </w:r>
      <w:r w:rsidRPr="009E67AE">
        <w:rPr>
          <w:rFonts w:cs="Times New Roman"/>
        </w:rPr>
        <w:t>, 2023)</w:t>
      </w:r>
      <w:r w:rsidRPr="009E67AE" w:rsidR="004012CF">
        <w:rPr>
          <w:rFonts w:cs="Times New Roman"/>
        </w:rPr>
        <w:t>.</w:t>
      </w:r>
    </w:p>
  </w:footnote>
  <w:footnote w:id="105">
    <w:p w:rsidR="004759EF" w:rsidRPr="009E67AE" w:rsidP="009E67AE" w14:paraId="04BD8DEF" w14:textId="4F1B5204">
      <w:pPr>
        <w:pStyle w:val="FootnoteText"/>
        <w:spacing w:after="120"/>
        <w:rPr>
          <w:rFonts w:cs="Times New Roman"/>
        </w:rPr>
      </w:pPr>
      <w:r w:rsidRPr="009E67AE">
        <w:rPr>
          <w:rStyle w:val="FootnoteReference"/>
          <w:rFonts w:cs="Times New Roman"/>
        </w:rPr>
        <w:footnoteRef/>
      </w:r>
      <w:r w:rsidRPr="009E67AE">
        <w:rPr>
          <w:rFonts w:cs="Times New Roman"/>
        </w:rPr>
        <w:t xml:space="preserve"> OELC Ex. 27, Exeter Audit Report, Case No. 22-391-EL-RDR at </w:t>
      </w:r>
      <w:r w:rsidRPr="009E67AE" w:rsidR="002C59CA">
        <w:rPr>
          <w:rFonts w:cs="Times New Roman"/>
        </w:rPr>
        <w:t>2-</w:t>
      </w:r>
      <w:r w:rsidRPr="009E67AE">
        <w:rPr>
          <w:rFonts w:cs="Times New Roman"/>
        </w:rPr>
        <w:t>4, 39 (July 17, 2023).</w:t>
      </w:r>
    </w:p>
  </w:footnote>
  <w:footnote w:id="106">
    <w:p w:rsidR="00587E91" w:rsidRPr="009E67AE" w:rsidP="009E67AE" w14:paraId="234C5965" w14:textId="2D92C537">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sidR="004759EF">
        <w:rPr>
          <w:rFonts w:cs="Times New Roman"/>
          <w:i/>
          <w:iCs/>
        </w:rPr>
        <w:t>Id.</w:t>
      </w:r>
    </w:p>
  </w:footnote>
  <w:footnote w:id="107">
    <w:p w:rsidR="00FA73E0" w:rsidRPr="009E67AE" w:rsidP="009E67AE" w14:paraId="587BD271" w14:textId="5FD87A13">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Initial Brief at 45-57 (Jan. 19, 2024).</w:t>
      </w:r>
    </w:p>
  </w:footnote>
  <w:footnote w:id="108">
    <w:p w:rsidR="00374CA9" w:rsidRPr="009E67AE" w:rsidP="009E67AE" w14:paraId="22F8C70C" w14:textId="31E4C768">
      <w:pPr>
        <w:pStyle w:val="FootnoteText"/>
        <w:spacing w:after="120"/>
        <w:rPr>
          <w:rFonts w:cs="Times New Roman"/>
        </w:rPr>
      </w:pPr>
      <w:r w:rsidRPr="009E67AE">
        <w:rPr>
          <w:rStyle w:val="FootnoteReference"/>
          <w:rFonts w:cs="Times New Roman"/>
        </w:rPr>
        <w:footnoteRef/>
      </w:r>
      <w:r w:rsidRPr="009E67AE">
        <w:rPr>
          <w:rFonts w:cs="Times New Roman"/>
        </w:rPr>
        <w:t xml:space="preserve"> OCC </w:t>
      </w:r>
      <w:r w:rsidRPr="009E67AE" w:rsidR="00FA73E0">
        <w:rPr>
          <w:rFonts w:cs="Times New Roman"/>
        </w:rPr>
        <w:t xml:space="preserve">Initial </w:t>
      </w:r>
      <w:r w:rsidRPr="009E67AE">
        <w:rPr>
          <w:rFonts w:cs="Times New Roman"/>
        </w:rPr>
        <w:t>Brief at 48-52</w:t>
      </w:r>
      <w:r w:rsidRPr="009E67AE" w:rsidR="00FA73E0">
        <w:rPr>
          <w:rFonts w:cs="Times New Roman"/>
        </w:rPr>
        <w:t xml:space="preserve"> (Jan. 19, 2024).</w:t>
      </w:r>
    </w:p>
  </w:footnote>
  <w:footnote w:id="109">
    <w:p w:rsidR="004122AA" w:rsidRPr="009E67AE" w:rsidP="009E67AE" w14:paraId="1DFAE04E" w14:textId="659BE89E">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332AEF">
        <w:rPr>
          <w:rFonts w:cs="Times New Roman"/>
        </w:rPr>
        <w:t xml:space="preserve">OCC </w:t>
      </w:r>
      <w:r w:rsidRPr="009E67AE" w:rsidR="002B5C8C">
        <w:rPr>
          <w:rFonts w:cs="Times New Roman"/>
        </w:rPr>
        <w:t xml:space="preserve">Initial </w:t>
      </w:r>
      <w:r w:rsidRPr="009E67AE" w:rsidR="00332AEF">
        <w:rPr>
          <w:rFonts w:cs="Times New Roman"/>
        </w:rPr>
        <w:t>Brief at 51</w:t>
      </w:r>
      <w:r w:rsidRPr="009E67AE" w:rsidR="002B5C8C">
        <w:rPr>
          <w:rFonts w:cs="Times New Roman"/>
        </w:rPr>
        <w:t xml:space="preserve"> (Jan. 19, 2024).</w:t>
      </w:r>
    </w:p>
  </w:footnote>
  <w:footnote w:id="110">
    <w:p w:rsidR="00FE4A49" w:rsidRPr="009E67AE" w:rsidP="009E67AE" w14:paraId="0583B5F2" w14:textId="41B457D1">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Pr>
          <w:rFonts w:cs="Times New Roman"/>
          <w:i/>
          <w:iCs/>
        </w:rPr>
        <w:t xml:space="preserve">See, e.g., In the Matter of the Application of Ohio Power Company for Approval of Its Energy Efficiency and Peak Demand Reduction Programs, </w:t>
      </w:r>
      <w:r w:rsidRPr="009E67AE">
        <w:rPr>
          <w:rFonts w:cs="Times New Roman"/>
        </w:rPr>
        <w:t>Case No. 16-574-EL-POR, Opinion &amp; Order (Feb. 24, 2021) (finding that the statewide collective benchmark of 17.5 percent has been met and AEP</w:t>
      </w:r>
      <w:r w:rsidRPr="009E67AE" w:rsidR="002C77AE">
        <w:rPr>
          <w:rFonts w:cs="Times New Roman"/>
        </w:rPr>
        <w:t>’</w:t>
      </w:r>
      <w:r w:rsidRPr="009E67AE">
        <w:rPr>
          <w:rFonts w:cs="Times New Roman"/>
        </w:rPr>
        <w:t xml:space="preserve">s energy efficiency rider must terminate). </w:t>
      </w:r>
    </w:p>
  </w:footnote>
  <w:footnote w:id="111">
    <w:p w:rsidR="00EF7AE1" w:rsidRPr="009E67AE" w:rsidP="009E67AE" w14:paraId="4F4FBD9E" w14:textId="082AA39A">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w:t>
      </w:r>
      <w:r w:rsidRPr="009E67AE" w:rsidR="000B2A15">
        <w:rPr>
          <w:rFonts w:cs="Times New Roman"/>
        </w:rPr>
        <w:t xml:space="preserve">Initial </w:t>
      </w:r>
      <w:r w:rsidRPr="009E67AE">
        <w:rPr>
          <w:rFonts w:cs="Times New Roman"/>
        </w:rPr>
        <w:t>Brief at 54</w:t>
      </w:r>
      <w:r w:rsidRPr="009E67AE" w:rsidR="002B5C8C">
        <w:rPr>
          <w:rFonts w:cs="Times New Roman"/>
        </w:rPr>
        <w:t xml:space="preserve"> (Jan. 19, 2024)</w:t>
      </w:r>
      <w:r w:rsidRPr="009E67AE">
        <w:rPr>
          <w:rFonts w:cs="Times New Roman"/>
        </w:rPr>
        <w:t>.</w:t>
      </w:r>
    </w:p>
  </w:footnote>
  <w:footnote w:id="112">
    <w:p w:rsidR="00EF7AE1" w:rsidRPr="009E67AE" w:rsidP="009E67AE" w14:paraId="412A3F00" w14:textId="2B31EB74">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2B5C8C">
        <w:rPr>
          <w:rFonts w:cs="Times New Roman"/>
          <w:i/>
          <w:iCs/>
        </w:rPr>
        <w:t>Id.</w:t>
      </w:r>
      <w:r w:rsidRPr="009E67AE" w:rsidR="002B5C8C">
        <w:rPr>
          <w:rFonts w:cs="Times New Roman"/>
        </w:rPr>
        <w:t xml:space="preserve"> </w:t>
      </w:r>
      <w:r w:rsidRPr="009E67AE">
        <w:rPr>
          <w:rFonts w:cs="Times New Roman"/>
        </w:rPr>
        <w:t>at 56.</w:t>
      </w:r>
    </w:p>
  </w:footnote>
  <w:footnote w:id="113">
    <w:p w:rsidR="00BF4764" w:rsidRPr="009E67AE" w:rsidP="009E67AE" w14:paraId="7162E7A7" w14:textId="5FF13FBD">
      <w:pPr>
        <w:pStyle w:val="FootnoteText"/>
        <w:spacing w:after="120"/>
        <w:rPr>
          <w:rFonts w:cs="Times New Roman"/>
        </w:rPr>
      </w:pPr>
      <w:r w:rsidRPr="009E67AE">
        <w:rPr>
          <w:rStyle w:val="FootnoteReference"/>
          <w:rFonts w:cs="Times New Roman"/>
        </w:rPr>
        <w:footnoteRef/>
      </w:r>
      <w:r w:rsidRPr="009E67AE">
        <w:rPr>
          <w:rFonts w:cs="Times New Roman"/>
        </w:rPr>
        <w:t xml:space="preserve"> OCC </w:t>
      </w:r>
      <w:r w:rsidRPr="009E67AE" w:rsidR="000B2A15">
        <w:rPr>
          <w:rFonts w:cs="Times New Roman"/>
        </w:rPr>
        <w:t xml:space="preserve">Initial </w:t>
      </w:r>
      <w:r w:rsidRPr="009E67AE">
        <w:rPr>
          <w:rFonts w:cs="Times New Roman"/>
        </w:rPr>
        <w:t>Brief at 51</w:t>
      </w:r>
      <w:r w:rsidRPr="009E67AE" w:rsidR="002B5C8C">
        <w:rPr>
          <w:rFonts w:cs="Times New Roman"/>
        </w:rPr>
        <w:t xml:space="preserve"> (Jan. 19, 2024)</w:t>
      </w:r>
      <w:r w:rsidRPr="009E67AE">
        <w:rPr>
          <w:rFonts w:cs="Times New Roman"/>
        </w:rPr>
        <w:t>.</w:t>
      </w:r>
    </w:p>
  </w:footnote>
  <w:footnote w:id="114">
    <w:p w:rsidR="002B6E4A" w:rsidRPr="009E67AE" w:rsidP="009E67AE" w14:paraId="3957B90D" w14:textId="3A586DB2">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3921C4">
        <w:rPr>
          <w:rFonts w:cs="Times New Roman"/>
        </w:rPr>
        <w:t xml:space="preserve">Retail Energy Supply Association </w:t>
      </w:r>
      <w:r w:rsidRPr="009E67AE" w:rsidR="00B302AC">
        <w:rPr>
          <w:rFonts w:cs="Times New Roman"/>
        </w:rPr>
        <w:t>Initial</w:t>
      </w:r>
      <w:r w:rsidRPr="009E67AE" w:rsidR="00777B9C">
        <w:rPr>
          <w:rFonts w:cs="Times New Roman"/>
        </w:rPr>
        <w:t xml:space="preserve"> </w:t>
      </w:r>
      <w:r w:rsidRPr="009E67AE" w:rsidR="008A4C63">
        <w:rPr>
          <w:rFonts w:cs="Times New Roman"/>
        </w:rPr>
        <w:t>Brief</w:t>
      </w:r>
      <w:r w:rsidRPr="009E67AE" w:rsidR="00B302AC">
        <w:rPr>
          <w:rFonts w:cs="Times New Roman"/>
        </w:rPr>
        <w:t xml:space="preserve"> (</w:t>
      </w:r>
      <w:r w:rsidRPr="009E67AE" w:rsidR="002C77AE">
        <w:rPr>
          <w:rFonts w:cs="Times New Roman"/>
        </w:rPr>
        <w:t>“</w:t>
      </w:r>
      <w:r w:rsidRPr="009E67AE" w:rsidR="00B302AC">
        <w:rPr>
          <w:rFonts w:cs="Times New Roman"/>
        </w:rPr>
        <w:t xml:space="preserve">RESA </w:t>
      </w:r>
      <w:r w:rsidRPr="009E67AE" w:rsidR="003A03F5">
        <w:rPr>
          <w:rFonts w:cs="Times New Roman"/>
        </w:rPr>
        <w:t xml:space="preserve">Initial </w:t>
      </w:r>
      <w:r w:rsidRPr="009E67AE" w:rsidR="00B302AC">
        <w:rPr>
          <w:rFonts w:cs="Times New Roman"/>
        </w:rPr>
        <w:t>Brief</w:t>
      </w:r>
      <w:r w:rsidRPr="009E67AE" w:rsidR="002C77AE">
        <w:rPr>
          <w:rFonts w:cs="Times New Roman"/>
        </w:rPr>
        <w:t>”</w:t>
      </w:r>
      <w:r w:rsidRPr="009E67AE" w:rsidR="00B302AC">
        <w:rPr>
          <w:rFonts w:cs="Times New Roman"/>
        </w:rPr>
        <w:t>)</w:t>
      </w:r>
      <w:r w:rsidRPr="009E67AE" w:rsidR="002B5C8C">
        <w:rPr>
          <w:rFonts w:cs="Times New Roman"/>
        </w:rPr>
        <w:t xml:space="preserve"> </w:t>
      </w:r>
      <w:r w:rsidRPr="009E67AE" w:rsidR="008A4C63">
        <w:rPr>
          <w:rFonts w:cs="Times New Roman"/>
        </w:rPr>
        <w:t>at 12-14</w:t>
      </w:r>
      <w:r w:rsidRPr="009E67AE" w:rsidR="003921C4">
        <w:rPr>
          <w:rFonts w:cs="Times New Roman"/>
        </w:rPr>
        <w:t xml:space="preserve"> (Jan. 19</w:t>
      </w:r>
      <w:r w:rsidRPr="009E67AE" w:rsidR="00B302AC">
        <w:rPr>
          <w:rFonts w:cs="Times New Roman"/>
        </w:rPr>
        <w:t>, 2024)</w:t>
      </w:r>
      <w:r w:rsidRPr="009E67AE" w:rsidR="008A4C63">
        <w:rPr>
          <w:rFonts w:cs="Times New Roman"/>
        </w:rPr>
        <w:t>.</w:t>
      </w:r>
    </w:p>
  </w:footnote>
  <w:footnote w:id="115">
    <w:p w:rsidR="00C3284C" w:rsidRPr="009E67AE" w:rsidP="009E67AE" w14:paraId="25F747A9" w14:textId="35171099">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2B5C8C">
        <w:rPr>
          <w:rFonts w:cs="Times New Roman"/>
          <w:i/>
          <w:iCs/>
        </w:rPr>
        <w:t>Id.</w:t>
      </w:r>
      <w:r w:rsidRPr="009E67AE">
        <w:rPr>
          <w:rFonts w:cs="Times New Roman"/>
        </w:rPr>
        <w:t xml:space="preserve"> at</w:t>
      </w:r>
      <w:r w:rsidRPr="009E67AE" w:rsidR="00560EFC">
        <w:rPr>
          <w:rFonts w:cs="Times New Roman"/>
        </w:rPr>
        <w:t xml:space="preserve"> </w:t>
      </w:r>
      <w:r w:rsidRPr="009E67AE">
        <w:rPr>
          <w:rFonts w:cs="Times New Roman"/>
        </w:rPr>
        <w:t>14.</w:t>
      </w:r>
    </w:p>
  </w:footnote>
  <w:footnote w:id="116">
    <w:p w:rsidR="003E6817" w:rsidRPr="009E67AE" w:rsidP="009E67AE" w14:paraId="669969E2" w14:textId="04B945CB">
      <w:pPr>
        <w:pStyle w:val="FootnoteText"/>
        <w:spacing w:after="120"/>
        <w:rPr>
          <w:rFonts w:cs="Times New Roman"/>
          <w:i/>
          <w:iCs/>
        </w:rPr>
      </w:pPr>
      <w:r w:rsidRPr="009E67AE">
        <w:rPr>
          <w:rStyle w:val="FootnoteReference"/>
          <w:rFonts w:cs="Times New Roman"/>
        </w:rPr>
        <w:footnoteRef/>
      </w:r>
      <w:r w:rsidRPr="009E67AE">
        <w:rPr>
          <w:rFonts w:cs="Times New Roman"/>
        </w:rPr>
        <w:t xml:space="preserve"> </w:t>
      </w:r>
      <w:r w:rsidRPr="009E67AE" w:rsidR="002B5C8C">
        <w:rPr>
          <w:rFonts w:cs="Times New Roman"/>
          <w:i/>
          <w:iCs/>
        </w:rPr>
        <w:t>Id.</w:t>
      </w:r>
    </w:p>
  </w:footnote>
  <w:footnote w:id="117">
    <w:p w:rsidR="00B56596" w:rsidRPr="009E67AE" w:rsidP="009E67AE" w14:paraId="467E557D" w14:textId="6D95C481">
      <w:pPr>
        <w:pStyle w:val="FootnoteText"/>
        <w:spacing w:after="120"/>
        <w:rPr>
          <w:rFonts w:cs="Times New Roman"/>
        </w:rPr>
      </w:pPr>
      <w:r w:rsidRPr="009E67AE">
        <w:rPr>
          <w:rStyle w:val="FootnoteReference"/>
          <w:rFonts w:cs="Times New Roman"/>
        </w:rPr>
        <w:footnoteRef/>
      </w:r>
      <w:r w:rsidRPr="009E67AE">
        <w:rPr>
          <w:rFonts w:cs="Times New Roman"/>
        </w:rPr>
        <w:t xml:space="preserve"> FirstEnergy </w:t>
      </w:r>
      <w:r w:rsidRPr="009E67AE" w:rsidR="003A03F5">
        <w:rPr>
          <w:rFonts w:cs="Times New Roman"/>
        </w:rPr>
        <w:t xml:space="preserve">Initial </w:t>
      </w:r>
      <w:r w:rsidRPr="009E67AE">
        <w:rPr>
          <w:rFonts w:cs="Times New Roman"/>
        </w:rPr>
        <w:t xml:space="preserve">Brief at 11 (Jan. 19, 2024). </w:t>
      </w:r>
    </w:p>
  </w:footnote>
  <w:footnote w:id="118">
    <w:p w:rsidR="00B56596" w:rsidRPr="009E67AE" w:rsidP="009E67AE" w14:paraId="77A269BC" w14:textId="5F4A2D13">
      <w:pPr>
        <w:pStyle w:val="FootnoteText"/>
        <w:spacing w:after="120"/>
        <w:rPr>
          <w:rFonts w:cs="Times New Roman"/>
        </w:rPr>
      </w:pPr>
      <w:r w:rsidRPr="009E67AE">
        <w:rPr>
          <w:rStyle w:val="FootnoteReference"/>
          <w:rFonts w:cs="Times New Roman"/>
        </w:rPr>
        <w:footnoteRef/>
      </w:r>
      <w:r w:rsidRPr="009E67AE">
        <w:rPr>
          <w:rFonts w:cs="Times New Roman"/>
        </w:rPr>
        <w:t xml:space="preserve"> </w:t>
      </w:r>
      <w:r w:rsidRPr="009E67AE" w:rsidR="003A03F5">
        <w:rPr>
          <w:rFonts w:cs="Times New Roman"/>
          <w:i/>
          <w:iCs/>
        </w:rPr>
        <w:t>Id.</w:t>
      </w:r>
      <w:r w:rsidRPr="009E67AE">
        <w:rPr>
          <w:rFonts w:cs="Times New Roman"/>
        </w:rPr>
        <w:t xml:space="preserve"> at 4.</w:t>
      </w:r>
    </w:p>
  </w:footnote>
  <w:footnote w:id="119">
    <w:p w:rsidR="006E12C6" w:rsidRPr="009E67AE" w:rsidP="009E67AE" w14:paraId="4CA1A902" w14:textId="6060A545">
      <w:pPr>
        <w:pStyle w:val="FootnoteText"/>
        <w:spacing w:after="120"/>
        <w:rPr>
          <w:rFonts w:cs="Times New Roman"/>
        </w:rPr>
      </w:pPr>
      <w:r w:rsidRPr="009E67AE">
        <w:rPr>
          <w:rStyle w:val="FootnoteReference"/>
          <w:rFonts w:cs="Times New Roman"/>
        </w:rPr>
        <w:footnoteRef/>
      </w:r>
      <w:r w:rsidRPr="009E67AE">
        <w:rPr>
          <w:rFonts w:cs="Times New Roman"/>
        </w:rPr>
        <w:t xml:space="preserve"> Kroger </w:t>
      </w:r>
      <w:r w:rsidRPr="009E67AE" w:rsidR="003A03F5">
        <w:rPr>
          <w:rFonts w:cs="Times New Roman"/>
        </w:rPr>
        <w:t xml:space="preserve">Initial </w:t>
      </w:r>
      <w:r w:rsidRPr="009E67AE">
        <w:rPr>
          <w:rFonts w:cs="Times New Roman"/>
        </w:rPr>
        <w:t>Brief at 6</w:t>
      </w:r>
      <w:r w:rsidRPr="009E67AE" w:rsidR="003A03F5">
        <w:rPr>
          <w:rFonts w:cs="Times New Roman"/>
        </w:rPr>
        <w:t xml:space="preserve"> (Jan. 19, 2024).</w:t>
      </w:r>
    </w:p>
  </w:footnote>
  <w:footnote w:id="120">
    <w:p w:rsidR="00E3180A" w:rsidRPr="009E67AE" w:rsidP="009E67AE" w14:paraId="389232BE" w14:textId="07820F89">
      <w:pPr>
        <w:pStyle w:val="FootnoteText"/>
        <w:spacing w:after="120"/>
        <w:rPr>
          <w:rFonts w:cs="Times New Roman"/>
        </w:rPr>
      </w:pPr>
      <w:r w:rsidRPr="009E67AE">
        <w:rPr>
          <w:rStyle w:val="FootnoteReference"/>
          <w:rFonts w:cs="Times New Roman"/>
        </w:rPr>
        <w:footnoteRef/>
      </w:r>
      <w:r w:rsidRPr="009E67AE">
        <w:rPr>
          <w:rFonts w:cs="Times New Roman"/>
        </w:rPr>
        <w:t xml:space="preserve"> OMAEG Initial Brief at 52 (Jan. 19, 2024).</w:t>
      </w:r>
    </w:p>
  </w:footnote>
  <w:footnote w:id="121">
    <w:p w:rsidR="00022326" w:rsidRPr="009E67AE" w:rsidP="009E67AE" w14:paraId="048A1832" w14:textId="33BE7620">
      <w:pPr>
        <w:pStyle w:val="FootnoteText"/>
        <w:spacing w:after="120"/>
        <w:rPr>
          <w:rFonts w:cs="Times New Roman"/>
        </w:rPr>
      </w:pPr>
      <w:r w:rsidRPr="009E67AE">
        <w:rPr>
          <w:rStyle w:val="FootnoteReference"/>
          <w:rFonts w:cs="Times New Roman"/>
        </w:rPr>
        <w:footnoteRef/>
      </w:r>
      <w:r w:rsidRPr="009E67AE">
        <w:rPr>
          <w:rFonts w:cs="Times New Roman"/>
        </w:rPr>
        <w:t xml:space="preserve"> Kroger Initial Brief at 6 (Jan. 19, 2024).</w:t>
      </w:r>
    </w:p>
  </w:footnote>
  <w:footnote w:id="122">
    <w:p w:rsidR="00022326" w:rsidRPr="009E67AE" w:rsidP="009E67AE" w14:paraId="06E93E7D" w14:textId="1155BE1D">
      <w:pPr>
        <w:pStyle w:val="FootnoteText"/>
        <w:spacing w:after="120"/>
        <w:rPr>
          <w:rFonts w:cs="Times New Roman"/>
        </w:rPr>
      </w:pPr>
      <w:r w:rsidRPr="009E67AE">
        <w:rPr>
          <w:rStyle w:val="FootnoteReference"/>
          <w:rFonts w:cs="Times New Roman"/>
        </w:rPr>
        <w:footnoteRef/>
      </w:r>
      <w:r w:rsidRPr="009E67AE">
        <w:rPr>
          <w:rFonts w:cs="Times New Roman"/>
        </w:rPr>
        <w:t xml:space="preserve"> NOAC Initial Brief at 15 (Jan. 19, 2024).</w:t>
      </w:r>
    </w:p>
  </w:footnote>
  <w:footnote w:id="123">
    <w:p w:rsidR="009D6558" w:rsidRPr="009E67AE" w:rsidP="009E67AE" w14:paraId="3E93AD27" w14:textId="77777777">
      <w:pPr>
        <w:pStyle w:val="FootnoteText"/>
        <w:spacing w:after="120"/>
        <w:rPr>
          <w:rFonts w:cs="Times New Roman"/>
        </w:rPr>
      </w:pPr>
      <w:r w:rsidRPr="009E67AE">
        <w:rPr>
          <w:rStyle w:val="FootnoteReference"/>
          <w:rFonts w:cs="Times New Roman"/>
        </w:rPr>
        <w:footnoteRef/>
      </w:r>
      <w:r w:rsidRPr="009E67AE">
        <w:rPr>
          <w:rFonts w:cs="Times New Roman"/>
        </w:rPr>
        <w:t xml:space="preserve"> PUCO web page/About Us/Mission and Commitments, available at: </w:t>
      </w:r>
      <w:hyperlink r:id="rId1" w:history="1">
        <w:r w:rsidRPr="009E67AE">
          <w:rPr>
            <w:rStyle w:val="Hyperlink"/>
            <w:rFonts w:cs="Times New Roman"/>
          </w:rPr>
          <w:t>https://puco.ohio.gov/about-us/resources/mission-and-commitments</w:t>
        </w:r>
      </w:hyperlink>
      <w:r w:rsidRPr="009E67AE">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37D" w14:paraId="1185D6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Layout w:type="fixed"/>
      <w:tblCellMar>
        <w:top w:w="0" w:type="dxa"/>
        <w:left w:w="108" w:type="dxa"/>
        <w:bottom w:w="0" w:type="dxa"/>
        <w:right w:w="108" w:type="dxa"/>
      </w:tblCellMar>
      <w:tblLook w:val="06A0"/>
    </w:tblPr>
    <w:tblGrid>
      <w:gridCol w:w="2880"/>
      <w:gridCol w:w="2880"/>
      <w:gridCol w:w="2880"/>
    </w:tblGrid>
    <w:tr w14:paraId="71B15042" w14:textId="77777777" w:rsidTr="31E3B03E">
      <w:tblPrEx>
        <w:tblW w:w="0" w:type="auto"/>
        <w:tblInd w:w="0" w:type="dxa"/>
        <w:tblLayout w:type="fixed"/>
        <w:tblCellMar>
          <w:top w:w="0" w:type="dxa"/>
          <w:left w:w="108" w:type="dxa"/>
          <w:bottom w:w="0" w:type="dxa"/>
          <w:right w:w="108" w:type="dxa"/>
        </w:tblCellMar>
        <w:tblLook w:val="06A0"/>
      </w:tblPrEx>
      <w:trPr>
        <w:trHeight w:val="300"/>
      </w:trPr>
      <w:tc>
        <w:tcPr>
          <w:tcW w:w="2880" w:type="dxa"/>
        </w:tcPr>
        <w:p w:rsidR="31E3B03E" w:rsidP="31E3B03E" w14:paraId="028DD40E" w14:textId="4058EF67">
          <w:pPr>
            <w:pStyle w:val="Header"/>
            <w:tabs>
              <w:tab w:val="center" w:pos="4680"/>
              <w:tab w:val="right" w:pos="9360"/>
            </w:tabs>
            <w:spacing w:after="0" w:line="240" w:lineRule="auto"/>
            <w:ind w:left="-115"/>
            <w:rPr>
              <w:rFonts w:ascii="Times New Roman" w:hAnsi="Times New Roman" w:eastAsiaTheme="minorHAnsi" w:cstheme="minorBidi"/>
              <w:sz w:val="24"/>
              <w:szCs w:val="22"/>
              <w:lang w:val="en-US" w:eastAsia="en-US" w:bidi="ar-SA"/>
            </w:rPr>
          </w:pPr>
        </w:p>
      </w:tc>
      <w:tc>
        <w:tcPr>
          <w:tcW w:w="2880" w:type="dxa"/>
        </w:tcPr>
        <w:p w:rsidR="31E3B03E" w:rsidP="31E3B03E" w14:paraId="4025EA23" w14:textId="294793F1">
          <w:pPr>
            <w:pStyle w:val="Header"/>
            <w:tabs>
              <w:tab w:val="center" w:pos="4680"/>
              <w:tab w:val="right" w:pos="9360"/>
            </w:tabs>
            <w:spacing w:after="0" w:line="240" w:lineRule="auto"/>
            <w:jc w:val="center"/>
            <w:rPr>
              <w:rFonts w:ascii="Times New Roman" w:hAnsi="Times New Roman" w:eastAsiaTheme="minorHAnsi" w:cstheme="minorBidi"/>
              <w:sz w:val="24"/>
              <w:szCs w:val="22"/>
              <w:lang w:val="en-US" w:eastAsia="en-US" w:bidi="ar-SA"/>
            </w:rPr>
          </w:pPr>
        </w:p>
      </w:tc>
      <w:tc>
        <w:tcPr>
          <w:tcW w:w="2880" w:type="dxa"/>
        </w:tcPr>
        <w:p w:rsidR="31E3B03E" w:rsidP="31E3B03E" w14:paraId="45DF70F4" w14:textId="77D8EE4E">
          <w:pPr>
            <w:pStyle w:val="Header"/>
            <w:tabs>
              <w:tab w:val="center" w:pos="4680"/>
              <w:tab w:val="right" w:pos="9360"/>
            </w:tabs>
            <w:spacing w:after="0" w:line="240" w:lineRule="auto"/>
            <w:ind w:right="-115"/>
            <w:jc w:val="right"/>
            <w:rPr>
              <w:rFonts w:ascii="Times New Roman" w:hAnsi="Times New Roman" w:eastAsiaTheme="minorHAnsi" w:cstheme="minorBidi"/>
              <w:sz w:val="24"/>
              <w:szCs w:val="22"/>
              <w:lang w:val="en-US" w:eastAsia="en-US" w:bidi="ar-SA"/>
            </w:rPr>
          </w:pPr>
        </w:p>
      </w:tc>
    </w:tr>
  </w:tbl>
  <w:p w:rsidR="31E3B03E" w:rsidP="31E3B03E" w14:paraId="29DAD198" w14:textId="33989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37D" w14:paraId="1105057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31E3B03E" w:rsidP="31E3B03E" w14:paraId="3AFCEEDB" w14:textId="321E29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31E3B03E" w:rsidP="31E3B03E" w14:paraId="10C0974B" w14:textId="2B6AE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4D0A4A"/>
    <w:multiLevelType w:val="hybridMultilevel"/>
    <w:tmpl w:val="BC3E1A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83B3B56"/>
    <w:multiLevelType w:val="hybridMultilevel"/>
    <w:tmpl w:val="0584E8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8E75316"/>
    <w:multiLevelType w:val="hybridMultilevel"/>
    <w:tmpl w:val="BC7EAD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920909"/>
    <w:multiLevelType w:val="hybridMultilevel"/>
    <w:tmpl w:val="865E2F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F26EFF"/>
    <w:multiLevelType w:val="hybridMultilevel"/>
    <w:tmpl w:val="FB4895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71769C"/>
    <w:multiLevelType w:val="hybridMultilevel"/>
    <w:tmpl w:val="2EE8F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E14C9C"/>
    <w:multiLevelType w:val="hybridMultilevel"/>
    <w:tmpl w:val="A356C6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9200887"/>
    <w:multiLevelType w:val="hybridMultilevel"/>
    <w:tmpl w:val="ACEC5C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C41EF6"/>
    <w:multiLevelType w:val="hybridMultilevel"/>
    <w:tmpl w:val="DB5E50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8"/>
  </w:num>
  <w:num w:numId="6">
    <w:abstractNumId w:val="3"/>
  </w:num>
  <w:num w:numId="7">
    <w:abstractNumId w:val="6"/>
  </w:num>
  <w:num w:numId="8">
    <w:abstractNumId w:val="5"/>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4"/>
    <w:rsid w:val="000001F1"/>
    <w:rsid w:val="00000485"/>
    <w:rsid w:val="000018C3"/>
    <w:rsid w:val="00001BC3"/>
    <w:rsid w:val="00001C28"/>
    <w:rsid w:val="00002264"/>
    <w:rsid w:val="000023BA"/>
    <w:rsid w:val="000029A2"/>
    <w:rsid w:val="00002A94"/>
    <w:rsid w:val="00003380"/>
    <w:rsid w:val="0000398E"/>
    <w:rsid w:val="00003B94"/>
    <w:rsid w:val="00003BE9"/>
    <w:rsid w:val="00005772"/>
    <w:rsid w:val="000059A5"/>
    <w:rsid w:val="00005F15"/>
    <w:rsid w:val="00006734"/>
    <w:rsid w:val="00006CB8"/>
    <w:rsid w:val="0000770C"/>
    <w:rsid w:val="00007A8F"/>
    <w:rsid w:val="00010C71"/>
    <w:rsid w:val="000113D7"/>
    <w:rsid w:val="00012323"/>
    <w:rsid w:val="00012389"/>
    <w:rsid w:val="00012794"/>
    <w:rsid w:val="00012BB0"/>
    <w:rsid w:val="00012FE2"/>
    <w:rsid w:val="00013315"/>
    <w:rsid w:val="000133DB"/>
    <w:rsid w:val="00013A44"/>
    <w:rsid w:val="00013A5C"/>
    <w:rsid w:val="00013E0C"/>
    <w:rsid w:val="00014749"/>
    <w:rsid w:val="000149F4"/>
    <w:rsid w:val="00014CED"/>
    <w:rsid w:val="00015659"/>
    <w:rsid w:val="00015894"/>
    <w:rsid w:val="0001723E"/>
    <w:rsid w:val="000172A0"/>
    <w:rsid w:val="000174E1"/>
    <w:rsid w:val="000178A2"/>
    <w:rsid w:val="00017A00"/>
    <w:rsid w:val="00017DDF"/>
    <w:rsid w:val="000210AB"/>
    <w:rsid w:val="00021312"/>
    <w:rsid w:val="00021B9D"/>
    <w:rsid w:val="000220D8"/>
    <w:rsid w:val="00022326"/>
    <w:rsid w:val="00022A51"/>
    <w:rsid w:val="00022C1C"/>
    <w:rsid w:val="00023084"/>
    <w:rsid w:val="00023138"/>
    <w:rsid w:val="00023C3E"/>
    <w:rsid w:val="00023FFB"/>
    <w:rsid w:val="000243BF"/>
    <w:rsid w:val="00024DA5"/>
    <w:rsid w:val="0002503D"/>
    <w:rsid w:val="000252CB"/>
    <w:rsid w:val="000264A2"/>
    <w:rsid w:val="000267D5"/>
    <w:rsid w:val="00026964"/>
    <w:rsid w:val="00026BE6"/>
    <w:rsid w:val="00026F7C"/>
    <w:rsid w:val="00027241"/>
    <w:rsid w:val="00027CD1"/>
    <w:rsid w:val="00030948"/>
    <w:rsid w:val="00030965"/>
    <w:rsid w:val="00030CB4"/>
    <w:rsid w:val="00030D0A"/>
    <w:rsid w:val="00031846"/>
    <w:rsid w:val="00031AAE"/>
    <w:rsid w:val="0003225D"/>
    <w:rsid w:val="0003268C"/>
    <w:rsid w:val="00032BBC"/>
    <w:rsid w:val="00032FEA"/>
    <w:rsid w:val="0003367C"/>
    <w:rsid w:val="00033931"/>
    <w:rsid w:val="00034175"/>
    <w:rsid w:val="00034D4F"/>
    <w:rsid w:val="00034FAA"/>
    <w:rsid w:val="00035201"/>
    <w:rsid w:val="0003553F"/>
    <w:rsid w:val="0003563C"/>
    <w:rsid w:val="00035D16"/>
    <w:rsid w:val="00035EEB"/>
    <w:rsid w:val="0003629B"/>
    <w:rsid w:val="000363B8"/>
    <w:rsid w:val="00036D66"/>
    <w:rsid w:val="00036E57"/>
    <w:rsid w:val="000373EA"/>
    <w:rsid w:val="00037415"/>
    <w:rsid w:val="0003775C"/>
    <w:rsid w:val="00037AEC"/>
    <w:rsid w:val="00037B3D"/>
    <w:rsid w:val="00040288"/>
    <w:rsid w:val="00040408"/>
    <w:rsid w:val="00040678"/>
    <w:rsid w:val="000413EE"/>
    <w:rsid w:val="00041C35"/>
    <w:rsid w:val="00041F34"/>
    <w:rsid w:val="00042343"/>
    <w:rsid w:val="0004235F"/>
    <w:rsid w:val="000425E4"/>
    <w:rsid w:val="000430A4"/>
    <w:rsid w:val="00043754"/>
    <w:rsid w:val="00044975"/>
    <w:rsid w:val="00044FD4"/>
    <w:rsid w:val="00045531"/>
    <w:rsid w:val="0004674D"/>
    <w:rsid w:val="00046BA2"/>
    <w:rsid w:val="000472EF"/>
    <w:rsid w:val="0004734E"/>
    <w:rsid w:val="00047775"/>
    <w:rsid w:val="0004777E"/>
    <w:rsid w:val="000507BC"/>
    <w:rsid w:val="000510E5"/>
    <w:rsid w:val="000512A1"/>
    <w:rsid w:val="000516B8"/>
    <w:rsid w:val="0005252C"/>
    <w:rsid w:val="00052D06"/>
    <w:rsid w:val="00053121"/>
    <w:rsid w:val="0005327D"/>
    <w:rsid w:val="00053364"/>
    <w:rsid w:val="00053FF4"/>
    <w:rsid w:val="00054F58"/>
    <w:rsid w:val="00055D2D"/>
    <w:rsid w:val="00056437"/>
    <w:rsid w:val="00056565"/>
    <w:rsid w:val="00057A10"/>
    <w:rsid w:val="000602C3"/>
    <w:rsid w:val="00061283"/>
    <w:rsid w:val="0006180D"/>
    <w:rsid w:val="0006198F"/>
    <w:rsid w:val="00061F29"/>
    <w:rsid w:val="00061F35"/>
    <w:rsid w:val="00062290"/>
    <w:rsid w:val="000627D2"/>
    <w:rsid w:val="00062939"/>
    <w:rsid w:val="00062A0B"/>
    <w:rsid w:val="00062B24"/>
    <w:rsid w:val="00062BEF"/>
    <w:rsid w:val="0006418D"/>
    <w:rsid w:val="00064E6A"/>
    <w:rsid w:val="00064F85"/>
    <w:rsid w:val="00065CFF"/>
    <w:rsid w:val="00066EE8"/>
    <w:rsid w:val="0006727E"/>
    <w:rsid w:val="000672F5"/>
    <w:rsid w:val="000675B6"/>
    <w:rsid w:val="000677B7"/>
    <w:rsid w:val="00067BBA"/>
    <w:rsid w:val="0007052A"/>
    <w:rsid w:val="000710A6"/>
    <w:rsid w:val="00071383"/>
    <w:rsid w:val="000716B2"/>
    <w:rsid w:val="0007174F"/>
    <w:rsid w:val="00071829"/>
    <w:rsid w:val="00072381"/>
    <w:rsid w:val="0007299A"/>
    <w:rsid w:val="0007340B"/>
    <w:rsid w:val="00074316"/>
    <w:rsid w:val="000746FE"/>
    <w:rsid w:val="00076026"/>
    <w:rsid w:val="000767BD"/>
    <w:rsid w:val="00076906"/>
    <w:rsid w:val="00076EE0"/>
    <w:rsid w:val="00077591"/>
    <w:rsid w:val="000775AB"/>
    <w:rsid w:val="00077756"/>
    <w:rsid w:val="000779F3"/>
    <w:rsid w:val="000779F6"/>
    <w:rsid w:val="00080018"/>
    <w:rsid w:val="00080332"/>
    <w:rsid w:val="00080458"/>
    <w:rsid w:val="000808D6"/>
    <w:rsid w:val="0008165C"/>
    <w:rsid w:val="000816F9"/>
    <w:rsid w:val="00081803"/>
    <w:rsid w:val="00081E86"/>
    <w:rsid w:val="00082773"/>
    <w:rsid w:val="00082AD7"/>
    <w:rsid w:val="000830C2"/>
    <w:rsid w:val="00083241"/>
    <w:rsid w:val="00083E1F"/>
    <w:rsid w:val="0008428C"/>
    <w:rsid w:val="000851DA"/>
    <w:rsid w:val="0008533F"/>
    <w:rsid w:val="00086D55"/>
    <w:rsid w:val="00087099"/>
    <w:rsid w:val="000870DA"/>
    <w:rsid w:val="00087E1E"/>
    <w:rsid w:val="00090771"/>
    <w:rsid w:val="00090A2D"/>
    <w:rsid w:val="00090C93"/>
    <w:rsid w:val="00090F46"/>
    <w:rsid w:val="00091494"/>
    <w:rsid w:val="000923BD"/>
    <w:rsid w:val="00092ADB"/>
    <w:rsid w:val="00092F7D"/>
    <w:rsid w:val="00094135"/>
    <w:rsid w:val="0009416F"/>
    <w:rsid w:val="00094570"/>
    <w:rsid w:val="000945CC"/>
    <w:rsid w:val="000959BC"/>
    <w:rsid w:val="00095D47"/>
    <w:rsid w:val="00096574"/>
    <w:rsid w:val="00096B4F"/>
    <w:rsid w:val="00097645"/>
    <w:rsid w:val="000976ED"/>
    <w:rsid w:val="000A05A5"/>
    <w:rsid w:val="000A0C7F"/>
    <w:rsid w:val="000A18B8"/>
    <w:rsid w:val="000A1E3E"/>
    <w:rsid w:val="000A226C"/>
    <w:rsid w:val="000A27E9"/>
    <w:rsid w:val="000A2F77"/>
    <w:rsid w:val="000A3790"/>
    <w:rsid w:val="000A46A0"/>
    <w:rsid w:val="000A483B"/>
    <w:rsid w:val="000A4C4C"/>
    <w:rsid w:val="000A52BE"/>
    <w:rsid w:val="000A546E"/>
    <w:rsid w:val="000A5814"/>
    <w:rsid w:val="000A6222"/>
    <w:rsid w:val="000A62DC"/>
    <w:rsid w:val="000A66FA"/>
    <w:rsid w:val="000A6ACF"/>
    <w:rsid w:val="000A6FE0"/>
    <w:rsid w:val="000A72F9"/>
    <w:rsid w:val="000A7418"/>
    <w:rsid w:val="000B02BC"/>
    <w:rsid w:val="000B0C37"/>
    <w:rsid w:val="000B185F"/>
    <w:rsid w:val="000B1C9D"/>
    <w:rsid w:val="000B1E2D"/>
    <w:rsid w:val="000B2A15"/>
    <w:rsid w:val="000B2B2D"/>
    <w:rsid w:val="000B2CAE"/>
    <w:rsid w:val="000B2EB0"/>
    <w:rsid w:val="000B2F71"/>
    <w:rsid w:val="000B2FE1"/>
    <w:rsid w:val="000B30A0"/>
    <w:rsid w:val="000B403C"/>
    <w:rsid w:val="000B41A4"/>
    <w:rsid w:val="000B5056"/>
    <w:rsid w:val="000B50E0"/>
    <w:rsid w:val="000B5280"/>
    <w:rsid w:val="000B5B67"/>
    <w:rsid w:val="000B5B8D"/>
    <w:rsid w:val="000B5DB7"/>
    <w:rsid w:val="000B67FB"/>
    <w:rsid w:val="000B79EF"/>
    <w:rsid w:val="000C0238"/>
    <w:rsid w:val="000C0F43"/>
    <w:rsid w:val="000C12B4"/>
    <w:rsid w:val="000C16D2"/>
    <w:rsid w:val="000C1C45"/>
    <w:rsid w:val="000C1C70"/>
    <w:rsid w:val="000C22F6"/>
    <w:rsid w:val="000C2381"/>
    <w:rsid w:val="000C24F3"/>
    <w:rsid w:val="000C2BA3"/>
    <w:rsid w:val="000C37C0"/>
    <w:rsid w:val="000C3AC1"/>
    <w:rsid w:val="000C3C09"/>
    <w:rsid w:val="000C3E54"/>
    <w:rsid w:val="000C441A"/>
    <w:rsid w:val="000C5555"/>
    <w:rsid w:val="000C572D"/>
    <w:rsid w:val="000C592D"/>
    <w:rsid w:val="000C5A63"/>
    <w:rsid w:val="000C5BD6"/>
    <w:rsid w:val="000C634D"/>
    <w:rsid w:val="000C67ED"/>
    <w:rsid w:val="000C6C72"/>
    <w:rsid w:val="000C71F4"/>
    <w:rsid w:val="000C73D1"/>
    <w:rsid w:val="000D0AF3"/>
    <w:rsid w:val="000D0B72"/>
    <w:rsid w:val="000D20FD"/>
    <w:rsid w:val="000D233C"/>
    <w:rsid w:val="000D258E"/>
    <w:rsid w:val="000D2917"/>
    <w:rsid w:val="000D2BA9"/>
    <w:rsid w:val="000D2DC3"/>
    <w:rsid w:val="000D3132"/>
    <w:rsid w:val="000D3D86"/>
    <w:rsid w:val="000D4813"/>
    <w:rsid w:val="000D4E5B"/>
    <w:rsid w:val="000D7265"/>
    <w:rsid w:val="000D762E"/>
    <w:rsid w:val="000D7C5E"/>
    <w:rsid w:val="000D7E1E"/>
    <w:rsid w:val="000E05D8"/>
    <w:rsid w:val="000E0967"/>
    <w:rsid w:val="000E0D98"/>
    <w:rsid w:val="000E1685"/>
    <w:rsid w:val="000E25BF"/>
    <w:rsid w:val="000E2941"/>
    <w:rsid w:val="000E2BCE"/>
    <w:rsid w:val="000E3D80"/>
    <w:rsid w:val="000E40BB"/>
    <w:rsid w:val="000E4A60"/>
    <w:rsid w:val="000E4C2E"/>
    <w:rsid w:val="000E5554"/>
    <w:rsid w:val="000E5F6D"/>
    <w:rsid w:val="000E627B"/>
    <w:rsid w:val="000E647C"/>
    <w:rsid w:val="000E6AC0"/>
    <w:rsid w:val="000F14C6"/>
    <w:rsid w:val="000F1537"/>
    <w:rsid w:val="000F1B92"/>
    <w:rsid w:val="000F28B1"/>
    <w:rsid w:val="000F2992"/>
    <w:rsid w:val="000F2D24"/>
    <w:rsid w:val="000F310E"/>
    <w:rsid w:val="000F341F"/>
    <w:rsid w:val="000F3C65"/>
    <w:rsid w:val="000F4060"/>
    <w:rsid w:val="000F45B7"/>
    <w:rsid w:val="000F536A"/>
    <w:rsid w:val="000F5BBD"/>
    <w:rsid w:val="000F633D"/>
    <w:rsid w:val="000F6991"/>
    <w:rsid w:val="000F6E8E"/>
    <w:rsid w:val="000F7572"/>
    <w:rsid w:val="00100057"/>
    <w:rsid w:val="001006BD"/>
    <w:rsid w:val="00100986"/>
    <w:rsid w:val="00101228"/>
    <w:rsid w:val="00101473"/>
    <w:rsid w:val="00101502"/>
    <w:rsid w:val="0010181F"/>
    <w:rsid w:val="00101867"/>
    <w:rsid w:val="00101C62"/>
    <w:rsid w:val="00101E9A"/>
    <w:rsid w:val="00101F69"/>
    <w:rsid w:val="00102D50"/>
    <w:rsid w:val="00103F9E"/>
    <w:rsid w:val="00104894"/>
    <w:rsid w:val="00104F2D"/>
    <w:rsid w:val="00105275"/>
    <w:rsid w:val="00105590"/>
    <w:rsid w:val="00105862"/>
    <w:rsid w:val="00106324"/>
    <w:rsid w:val="001064E3"/>
    <w:rsid w:val="00106F13"/>
    <w:rsid w:val="00107167"/>
    <w:rsid w:val="00110C01"/>
    <w:rsid w:val="001126EA"/>
    <w:rsid w:val="001128CB"/>
    <w:rsid w:val="00112E51"/>
    <w:rsid w:val="00113303"/>
    <w:rsid w:val="00113775"/>
    <w:rsid w:val="001137DB"/>
    <w:rsid w:val="00114051"/>
    <w:rsid w:val="0011424D"/>
    <w:rsid w:val="0011455C"/>
    <w:rsid w:val="00114EFF"/>
    <w:rsid w:val="001150E2"/>
    <w:rsid w:val="00115C2B"/>
    <w:rsid w:val="001169C7"/>
    <w:rsid w:val="00116AE0"/>
    <w:rsid w:val="0011709B"/>
    <w:rsid w:val="0011727A"/>
    <w:rsid w:val="00117621"/>
    <w:rsid w:val="001177FE"/>
    <w:rsid w:val="00117B72"/>
    <w:rsid w:val="00117DC7"/>
    <w:rsid w:val="00120851"/>
    <w:rsid w:val="00120AE8"/>
    <w:rsid w:val="001216BC"/>
    <w:rsid w:val="001222E0"/>
    <w:rsid w:val="00122653"/>
    <w:rsid w:val="0012270A"/>
    <w:rsid w:val="00122F6A"/>
    <w:rsid w:val="00123B7F"/>
    <w:rsid w:val="00124A61"/>
    <w:rsid w:val="00125685"/>
    <w:rsid w:val="001258AA"/>
    <w:rsid w:val="00125C90"/>
    <w:rsid w:val="001266A7"/>
    <w:rsid w:val="00126796"/>
    <w:rsid w:val="00127899"/>
    <w:rsid w:val="0013013B"/>
    <w:rsid w:val="0013064C"/>
    <w:rsid w:val="00130A6C"/>
    <w:rsid w:val="00130A78"/>
    <w:rsid w:val="00130D65"/>
    <w:rsid w:val="00130F38"/>
    <w:rsid w:val="00131857"/>
    <w:rsid w:val="00131CCB"/>
    <w:rsid w:val="00131E5A"/>
    <w:rsid w:val="001329EA"/>
    <w:rsid w:val="00132A04"/>
    <w:rsid w:val="00132B9F"/>
    <w:rsid w:val="00132C09"/>
    <w:rsid w:val="00132CA9"/>
    <w:rsid w:val="00133067"/>
    <w:rsid w:val="00133204"/>
    <w:rsid w:val="00134573"/>
    <w:rsid w:val="001349FC"/>
    <w:rsid w:val="0013548E"/>
    <w:rsid w:val="0013607A"/>
    <w:rsid w:val="001360DB"/>
    <w:rsid w:val="00136359"/>
    <w:rsid w:val="001371CB"/>
    <w:rsid w:val="0013766D"/>
    <w:rsid w:val="00137BDA"/>
    <w:rsid w:val="00137FDD"/>
    <w:rsid w:val="00137FF2"/>
    <w:rsid w:val="00140586"/>
    <w:rsid w:val="0014151F"/>
    <w:rsid w:val="00141772"/>
    <w:rsid w:val="00141DCF"/>
    <w:rsid w:val="00142295"/>
    <w:rsid w:val="00142298"/>
    <w:rsid w:val="0014231B"/>
    <w:rsid w:val="001427C5"/>
    <w:rsid w:val="00142FAA"/>
    <w:rsid w:val="00143074"/>
    <w:rsid w:val="001435EB"/>
    <w:rsid w:val="00145712"/>
    <w:rsid w:val="00145877"/>
    <w:rsid w:val="00145ED9"/>
    <w:rsid w:val="00146408"/>
    <w:rsid w:val="00146CB1"/>
    <w:rsid w:val="001501CA"/>
    <w:rsid w:val="00150281"/>
    <w:rsid w:val="0015074C"/>
    <w:rsid w:val="0015096D"/>
    <w:rsid w:val="0015160B"/>
    <w:rsid w:val="00151955"/>
    <w:rsid w:val="001520C2"/>
    <w:rsid w:val="00153065"/>
    <w:rsid w:val="001533F0"/>
    <w:rsid w:val="001535DD"/>
    <w:rsid w:val="00153869"/>
    <w:rsid w:val="00153996"/>
    <w:rsid w:val="00153B8D"/>
    <w:rsid w:val="001542EE"/>
    <w:rsid w:val="00154F84"/>
    <w:rsid w:val="0015525C"/>
    <w:rsid w:val="00155269"/>
    <w:rsid w:val="00155299"/>
    <w:rsid w:val="00155914"/>
    <w:rsid w:val="0015642B"/>
    <w:rsid w:val="00156874"/>
    <w:rsid w:val="00157DBD"/>
    <w:rsid w:val="001601F5"/>
    <w:rsid w:val="00160B1C"/>
    <w:rsid w:val="00160B8B"/>
    <w:rsid w:val="001615A0"/>
    <w:rsid w:val="00162321"/>
    <w:rsid w:val="0016245B"/>
    <w:rsid w:val="001626F0"/>
    <w:rsid w:val="00163159"/>
    <w:rsid w:val="001647E8"/>
    <w:rsid w:val="001652F8"/>
    <w:rsid w:val="001655E2"/>
    <w:rsid w:val="001658D1"/>
    <w:rsid w:val="00165997"/>
    <w:rsid w:val="00165A59"/>
    <w:rsid w:val="00165A6F"/>
    <w:rsid w:val="00165AB2"/>
    <w:rsid w:val="00165C4A"/>
    <w:rsid w:val="00165E07"/>
    <w:rsid w:val="001662D9"/>
    <w:rsid w:val="0016705A"/>
    <w:rsid w:val="001675D3"/>
    <w:rsid w:val="00167A64"/>
    <w:rsid w:val="00170820"/>
    <w:rsid w:val="00171D62"/>
    <w:rsid w:val="00171EC1"/>
    <w:rsid w:val="00172219"/>
    <w:rsid w:val="00172244"/>
    <w:rsid w:val="001724BF"/>
    <w:rsid w:val="00172AEC"/>
    <w:rsid w:val="00172D0E"/>
    <w:rsid w:val="00173E3D"/>
    <w:rsid w:val="00173E76"/>
    <w:rsid w:val="001746A6"/>
    <w:rsid w:val="001746F5"/>
    <w:rsid w:val="00174D87"/>
    <w:rsid w:val="0017578C"/>
    <w:rsid w:val="00175A1D"/>
    <w:rsid w:val="00176BA5"/>
    <w:rsid w:val="00176C7B"/>
    <w:rsid w:val="0017709A"/>
    <w:rsid w:val="001771F7"/>
    <w:rsid w:val="00177517"/>
    <w:rsid w:val="00177821"/>
    <w:rsid w:val="0017784F"/>
    <w:rsid w:val="00177FAC"/>
    <w:rsid w:val="001804A9"/>
    <w:rsid w:val="0018088F"/>
    <w:rsid w:val="00181C78"/>
    <w:rsid w:val="00182066"/>
    <w:rsid w:val="0018263C"/>
    <w:rsid w:val="00182AF1"/>
    <w:rsid w:val="00182F10"/>
    <w:rsid w:val="001834FA"/>
    <w:rsid w:val="00183AC7"/>
    <w:rsid w:val="0018496E"/>
    <w:rsid w:val="00185410"/>
    <w:rsid w:val="00185BF9"/>
    <w:rsid w:val="001860BB"/>
    <w:rsid w:val="001863D7"/>
    <w:rsid w:val="0018769C"/>
    <w:rsid w:val="001906EF"/>
    <w:rsid w:val="0019077C"/>
    <w:rsid w:val="001908AB"/>
    <w:rsid w:val="001913A3"/>
    <w:rsid w:val="0019174F"/>
    <w:rsid w:val="001918D1"/>
    <w:rsid w:val="0019208C"/>
    <w:rsid w:val="0019245C"/>
    <w:rsid w:val="0019335F"/>
    <w:rsid w:val="00193A4D"/>
    <w:rsid w:val="00193C97"/>
    <w:rsid w:val="00194AD9"/>
    <w:rsid w:val="00194E48"/>
    <w:rsid w:val="001951FF"/>
    <w:rsid w:val="0019538D"/>
    <w:rsid w:val="00195859"/>
    <w:rsid w:val="0019648B"/>
    <w:rsid w:val="00196526"/>
    <w:rsid w:val="0019653F"/>
    <w:rsid w:val="00197483"/>
    <w:rsid w:val="00197C4A"/>
    <w:rsid w:val="001A01AB"/>
    <w:rsid w:val="001A043E"/>
    <w:rsid w:val="001A0875"/>
    <w:rsid w:val="001A0E31"/>
    <w:rsid w:val="001A13EF"/>
    <w:rsid w:val="001A1564"/>
    <w:rsid w:val="001A183C"/>
    <w:rsid w:val="001A189A"/>
    <w:rsid w:val="001A1B57"/>
    <w:rsid w:val="001A314C"/>
    <w:rsid w:val="001A33A4"/>
    <w:rsid w:val="001A3998"/>
    <w:rsid w:val="001A3C37"/>
    <w:rsid w:val="001A3E4F"/>
    <w:rsid w:val="001A417C"/>
    <w:rsid w:val="001A45CC"/>
    <w:rsid w:val="001A4698"/>
    <w:rsid w:val="001A5A33"/>
    <w:rsid w:val="001A5A9D"/>
    <w:rsid w:val="001A5C51"/>
    <w:rsid w:val="001A6015"/>
    <w:rsid w:val="001A7237"/>
    <w:rsid w:val="001B0832"/>
    <w:rsid w:val="001B0EB8"/>
    <w:rsid w:val="001B1055"/>
    <w:rsid w:val="001B140E"/>
    <w:rsid w:val="001B18DC"/>
    <w:rsid w:val="001B286E"/>
    <w:rsid w:val="001B3A89"/>
    <w:rsid w:val="001B3AEF"/>
    <w:rsid w:val="001B42DB"/>
    <w:rsid w:val="001B43E7"/>
    <w:rsid w:val="001B48D4"/>
    <w:rsid w:val="001B557C"/>
    <w:rsid w:val="001B58CF"/>
    <w:rsid w:val="001C1055"/>
    <w:rsid w:val="001C1658"/>
    <w:rsid w:val="001C1719"/>
    <w:rsid w:val="001C1FA8"/>
    <w:rsid w:val="001C22FA"/>
    <w:rsid w:val="001C262E"/>
    <w:rsid w:val="001C3E47"/>
    <w:rsid w:val="001C5862"/>
    <w:rsid w:val="001C5B3D"/>
    <w:rsid w:val="001C609D"/>
    <w:rsid w:val="001C648B"/>
    <w:rsid w:val="001C64AB"/>
    <w:rsid w:val="001C671A"/>
    <w:rsid w:val="001C699D"/>
    <w:rsid w:val="001C6D3E"/>
    <w:rsid w:val="001D0899"/>
    <w:rsid w:val="001D11EF"/>
    <w:rsid w:val="001D1B1A"/>
    <w:rsid w:val="001D1FD9"/>
    <w:rsid w:val="001D1FF6"/>
    <w:rsid w:val="001D2204"/>
    <w:rsid w:val="001D44AA"/>
    <w:rsid w:val="001D4D53"/>
    <w:rsid w:val="001D55B1"/>
    <w:rsid w:val="001D6AF2"/>
    <w:rsid w:val="001D6D98"/>
    <w:rsid w:val="001D7812"/>
    <w:rsid w:val="001D7AF8"/>
    <w:rsid w:val="001E01A8"/>
    <w:rsid w:val="001E020B"/>
    <w:rsid w:val="001E048D"/>
    <w:rsid w:val="001E0E35"/>
    <w:rsid w:val="001E0E55"/>
    <w:rsid w:val="001E10C4"/>
    <w:rsid w:val="001E1D98"/>
    <w:rsid w:val="001E29CA"/>
    <w:rsid w:val="001E2C12"/>
    <w:rsid w:val="001E3B8D"/>
    <w:rsid w:val="001E402F"/>
    <w:rsid w:val="001E40D2"/>
    <w:rsid w:val="001E5268"/>
    <w:rsid w:val="001E59BD"/>
    <w:rsid w:val="001E5DB2"/>
    <w:rsid w:val="001E6958"/>
    <w:rsid w:val="001E6992"/>
    <w:rsid w:val="001E6B5E"/>
    <w:rsid w:val="001E7830"/>
    <w:rsid w:val="001E78F2"/>
    <w:rsid w:val="001E7D0A"/>
    <w:rsid w:val="001E7F1B"/>
    <w:rsid w:val="001E7F4C"/>
    <w:rsid w:val="001F06DE"/>
    <w:rsid w:val="001F0923"/>
    <w:rsid w:val="001F107E"/>
    <w:rsid w:val="001F1C8B"/>
    <w:rsid w:val="001F20E5"/>
    <w:rsid w:val="001F214D"/>
    <w:rsid w:val="001F2C93"/>
    <w:rsid w:val="001F3010"/>
    <w:rsid w:val="001F3052"/>
    <w:rsid w:val="001F31D7"/>
    <w:rsid w:val="001F31ED"/>
    <w:rsid w:val="001F4D50"/>
    <w:rsid w:val="001F510A"/>
    <w:rsid w:val="001F5E35"/>
    <w:rsid w:val="001F603E"/>
    <w:rsid w:val="001F6107"/>
    <w:rsid w:val="001F6180"/>
    <w:rsid w:val="001F6315"/>
    <w:rsid w:val="001F6F27"/>
    <w:rsid w:val="001F73E7"/>
    <w:rsid w:val="001F7A01"/>
    <w:rsid w:val="00200D8F"/>
    <w:rsid w:val="00202807"/>
    <w:rsid w:val="00203497"/>
    <w:rsid w:val="0020499A"/>
    <w:rsid w:val="00204B7E"/>
    <w:rsid w:val="00204DB6"/>
    <w:rsid w:val="00205799"/>
    <w:rsid w:val="00205AA6"/>
    <w:rsid w:val="0020622C"/>
    <w:rsid w:val="00206430"/>
    <w:rsid w:val="00206A90"/>
    <w:rsid w:val="00207247"/>
    <w:rsid w:val="0020744A"/>
    <w:rsid w:val="00207DAB"/>
    <w:rsid w:val="00211508"/>
    <w:rsid w:val="002127DB"/>
    <w:rsid w:val="002130FE"/>
    <w:rsid w:val="00213233"/>
    <w:rsid w:val="0021345C"/>
    <w:rsid w:val="00213925"/>
    <w:rsid w:val="00214024"/>
    <w:rsid w:val="002140A1"/>
    <w:rsid w:val="00214972"/>
    <w:rsid w:val="00214B36"/>
    <w:rsid w:val="00214F05"/>
    <w:rsid w:val="00215C8B"/>
    <w:rsid w:val="00216C2D"/>
    <w:rsid w:val="00217035"/>
    <w:rsid w:val="00217239"/>
    <w:rsid w:val="00217BCC"/>
    <w:rsid w:val="00217D31"/>
    <w:rsid w:val="002205D0"/>
    <w:rsid w:val="00221A62"/>
    <w:rsid w:val="00221A94"/>
    <w:rsid w:val="002223E3"/>
    <w:rsid w:val="00222538"/>
    <w:rsid w:val="00222937"/>
    <w:rsid w:val="0022335C"/>
    <w:rsid w:val="002234B1"/>
    <w:rsid w:val="0022373F"/>
    <w:rsid w:val="00223EAB"/>
    <w:rsid w:val="00224057"/>
    <w:rsid w:val="00224691"/>
    <w:rsid w:val="00224C68"/>
    <w:rsid w:val="00224D48"/>
    <w:rsid w:val="00225339"/>
    <w:rsid w:val="00226519"/>
    <w:rsid w:val="002268BA"/>
    <w:rsid w:val="0022758A"/>
    <w:rsid w:val="00227833"/>
    <w:rsid w:val="00227AAC"/>
    <w:rsid w:val="00230BC3"/>
    <w:rsid w:val="00231C44"/>
    <w:rsid w:val="00232017"/>
    <w:rsid w:val="00232B0C"/>
    <w:rsid w:val="00232EFF"/>
    <w:rsid w:val="00234351"/>
    <w:rsid w:val="00234803"/>
    <w:rsid w:val="00234E7D"/>
    <w:rsid w:val="00235F0C"/>
    <w:rsid w:val="0023602E"/>
    <w:rsid w:val="00236102"/>
    <w:rsid w:val="00236DB6"/>
    <w:rsid w:val="00237044"/>
    <w:rsid w:val="002376E2"/>
    <w:rsid w:val="0024058D"/>
    <w:rsid w:val="00241477"/>
    <w:rsid w:val="00242E2D"/>
    <w:rsid w:val="002450B5"/>
    <w:rsid w:val="00245565"/>
    <w:rsid w:val="00245810"/>
    <w:rsid w:val="00247115"/>
    <w:rsid w:val="002478EE"/>
    <w:rsid w:val="00247CB1"/>
    <w:rsid w:val="002501DE"/>
    <w:rsid w:val="0025023B"/>
    <w:rsid w:val="00250260"/>
    <w:rsid w:val="00251160"/>
    <w:rsid w:val="0025145F"/>
    <w:rsid w:val="0025186E"/>
    <w:rsid w:val="00252DA2"/>
    <w:rsid w:val="00253764"/>
    <w:rsid w:val="0025376D"/>
    <w:rsid w:val="002537B6"/>
    <w:rsid w:val="00253EA4"/>
    <w:rsid w:val="00254129"/>
    <w:rsid w:val="002546AF"/>
    <w:rsid w:val="0025491B"/>
    <w:rsid w:val="00254E83"/>
    <w:rsid w:val="00254F34"/>
    <w:rsid w:val="002552B0"/>
    <w:rsid w:val="00255590"/>
    <w:rsid w:val="00256612"/>
    <w:rsid w:val="00257038"/>
    <w:rsid w:val="002600A2"/>
    <w:rsid w:val="00260C20"/>
    <w:rsid w:val="00260E0D"/>
    <w:rsid w:val="00261D71"/>
    <w:rsid w:val="002620BA"/>
    <w:rsid w:val="0026234D"/>
    <w:rsid w:val="00262B93"/>
    <w:rsid w:val="00262BA9"/>
    <w:rsid w:val="00262D4A"/>
    <w:rsid w:val="00262E51"/>
    <w:rsid w:val="00263B40"/>
    <w:rsid w:val="002643CE"/>
    <w:rsid w:val="0026489C"/>
    <w:rsid w:val="00265025"/>
    <w:rsid w:val="00265184"/>
    <w:rsid w:val="002652FE"/>
    <w:rsid w:val="002654E3"/>
    <w:rsid w:val="00266199"/>
    <w:rsid w:val="0026633B"/>
    <w:rsid w:val="00266352"/>
    <w:rsid w:val="0026723E"/>
    <w:rsid w:val="0026738E"/>
    <w:rsid w:val="00271490"/>
    <w:rsid w:val="00271C77"/>
    <w:rsid w:val="00272299"/>
    <w:rsid w:val="00272E2B"/>
    <w:rsid w:val="00273163"/>
    <w:rsid w:val="00273257"/>
    <w:rsid w:val="00273651"/>
    <w:rsid w:val="00274165"/>
    <w:rsid w:val="00275710"/>
    <w:rsid w:val="00276052"/>
    <w:rsid w:val="00277C23"/>
    <w:rsid w:val="0028071B"/>
    <w:rsid w:val="002811FB"/>
    <w:rsid w:val="00281689"/>
    <w:rsid w:val="0028183A"/>
    <w:rsid w:val="00282364"/>
    <w:rsid w:val="00282F49"/>
    <w:rsid w:val="00283BED"/>
    <w:rsid w:val="002854A4"/>
    <w:rsid w:val="00285E5B"/>
    <w:rsid w:val="00286079"/>
    <w:rsid w:val="00286727"/>
    <w:rsid w:val="00286BE0"/>
    <w:rsid w:val="002873C4"/>
    <w:rsid w:val="00287765"/>
    <w:rsid w:val="00287CDB"/>
    <w:rsid w:val="00290031"/>
    <w:rsid w:val="0029033F"/>
    <w:rsid w:val="00290C78"/>
    <w:rsid w:val="00290DB7"/>
    <w:rsid w:val="00291222"/>
    <w:rsid w:val="0029164D"/>
    <w:rsid w:val="00291C4A"/>
    <w:rsid w:val="002926CE"/>
    <w:rsid w:val="00292ABB"/>
    <w:rsid w:val="002930A9"/>
    <w:rsid w:val="002931AE"/>
    <w:rsid w:val="00293EB6"/>
    <w:rsid w:val="00294086"/>
    <w:rsid w:val="0029463E"/>
    <w:rsid w:val="00295674"/>
    <w:rsid w:val="00295B1A"/>
    <w:rsid w:val="00295C2B"/>
    <w:rsid w:val="002970A3"/>
    <w:rsid w:val="00297128"/>
    <w:rsid w:val="002975EA"/>
    <w:rsid w:val="002A02E1"/>
    <w:rsid w:val="002A107A"/>
    <w:rsid w:val="002A1592"/>
    <w:rsid w:val="002A18A3"/>
    <w:rsid w:val="002A18AC"/>
    <w:rsid w:val="002A1F0C"/>
    <w:rsid w:val="002A2900"/>
    <w:rsid w:val="002A2D98"/>
    <w:rsid w:val="002A3565"/>
    <w:rsid w:val="002A3DD9"/>
    <w:rsid w:val="002A44B9"/>
    <w:rsid w:val="002A45A0"/>
    <w:rsid w:val="002A48E4"/>
    <w:rsid w:val="002A49CD"/>
    <w:rsid w:val="002A4ACA"/>
    <w:rsid w:val="002A5A77"/>
    <w:rsid w:val="002A5CD6"/>
    <w:rsid w:val="002A5F98"/>
    <w:rsid w:val="002A6C3E"/>
    <w:rsid w:val="002A6CA2"/>
    <w:rsid w:val="002A77C2"/>
    <w:rsid w:val="002A7970"/>
    <w:rsid w:val="002B0887"/>
    <w:rsid w:val="002B10A5"/>
    <w:rsid w:val="002B1607"/>
    <w:rsid w:val="002B1BD9"/>
    <w:rsid w:val="002B3419"/>
    <w:rsid w:val="002B49F1"/>
    <w:rsid w:val="002B5AA9"/>
    <w:rsid w:val="002B5B8C"/>
    <w:rsid w:val="002B5C8C"/>
    <w:rsid w:val="002B605A"/>
    <w:rsid w:val="002B6439"/>
    <w:rsid w:val="002B6D3E"/>
    <w:rsid w:val="002B6E4A"/>
    <w:rsid w:val="002B76EC"/>
    <w:rsid w:val="002B7C0D"/>
    <w:rsid w:val="002B7CE1"/>
    <w:rsid w:val="002C0605"/>
    <w:rsid w:val="002C0A53"/>
    <w:rsid w:val="002C10AA"/>
    <w:rsid w:val="002C1225"/>
    <w:rsid w:val="002C17F2"/>
    <w:rsid w:val="002C1AE1"/>
    <w:rsid w:val="002C246F"/>
    <w:rsid w:val="002C29DA"/>
    <w:rsid w:val="002C346D"/>
    <w:rsid w:val="002C44E6"/>
    <w:rsid w:val="002C4646"/>
    <w:rsid w:val="002C57B0"/>
    <w:rsid w:val="002C59CA"/>
    <w:rsid w:val="002C6278"/>
    <w:rsid w:val="002C63D6"/>
    <w:rsid w:val="002C66D9"/>
    <w:rsid w:val="002C6750"/>
    <w:rsid w:val="002C68F7"/>
    <w:rsid w:val="002C6954"/>
    <w:rsid w:val="002C77AE"/>
    <w:rsid w:val="002C77CC"/>
    <w:rsid w:val="002C7DAA"/>
    <w:rsid w:val="002C7F09"/>
    <w:rsid w:val="002C7F85"/>
    <w:rsid w:val="002D0163"/>
    <w:rsid w:val="002D058F"/>
    <w:rsid w:val="002D0AB7"/>
    <w:rsid w:val="002D0D6F"/>
    <w:rsid w:val="002D0E34"/>
    <w:rsid w:val="002D1375"/>
    <w:rsid w:val="002D1597"/>
    <w:rsid w:val="002D1617"/>
    <w:rsid w:val="002D1A00"/>
    <w:rsid w:val="002D1A3E"/>
    <w:rsid w:val="002D1C2D"/>
    <w:rsid w:val="002D2E3B"/>
    <w:rsid w:val="002D4304"/>
    <w:rsid w:val="002D47D7"/>
    <w:rsid w:val="002D49D0"/>
    <w:rsid w:val="002D49FC"/>
    <w:rsid w:val="002D5232"/>
    <w:rsid w:val="002D5E92"/>
    <w:rsid w:val="002D6B2C"/>
    <w:rsid w:val="002D6D1C"/>
    <w:rsid w:val="002D7640"/>
    <w:rsid w:val="002D784E"/>
    <w:rsid w:val="002D7C79"/>
    <w:rsid w:val="002E00A8"/>
    <w:rsid w:val="002E0C24"/>
    <w:rsid w:val="002E0C26"/>
    <w:rsid w:val="002E0EE8"/>
    <w:rsid w:val="002E0EE9"/>
    <w:rsid w:val="002E1899"/>
    <w:rsid w:val="002E2237"/>
    <w:rsid w:val="002E2756"/>
    <w:rsid w:val="002E2A9D"/>
    <w:rsid w:val="002E2BEA"/>
    <w:rsid w:val="002E2D47"/>
    <w:rsid w:val="002E2D84"/>
    <w:rsid w:val="002E2E5D"/>
    <w:rsid w:val="002E4192"/>
    <w:rsid w:val="002E420A"/>
    <w:rsid w:val="002E44BD"/>
    <w:rsid w:val="002E46DE"/>
    <w:rsid w:val="002E48B7"/>
    <w:rsid w:val="002E49C0"/>
    <w:rsid w:val="002E4AB2"/>
    <w:rsid w:val="002E5092"/>
    <w:rsid w:val="002E58D0"/>
    <w:rsid w:val="002E5AAB"/>
    <w:rsid w:val="002E5C1C"/>
    <w:rsid w:val="002E6500"/>
    <w:rsid w:val="002E685E"/>
    <w:rsid w:val="002E6F74"/>
    <w:rsid w:val="002E758D"/>
    <w:rsid w:val="002E772B"/>
    <w:rsid w:val="002F0742"/>
    <w:rsid w:val="002F1007"/>
    <w:rsid w:val="002F1AAB"/>
    <w:rsid w:val="002F223E"/>
    <w:rsid w:val="002F2E53"/>
    <w:rsid w:val="002F38E4"/>
    <w:rsid w:val="002F3CF0"/>
    <w:rsid w:val="002F3CF5"/>
    <w:rsid w:val="002F4058"/>
    <w:rsid w:val="002F48DC"/>
    <w:rsid w:val="002F4A6E"/>
    <w:rsid w:val="002F4CE6"/>
    <w:rsid w:val="002F515A"/>
    <w:rsid w:val="002F56CA"/>
    <w:rsid w:val="002F576D"/>
    <w:rsid w:val="002F5A3E"/>
    <w:rsid w:val="002F5EC5"/>
    <w:rsid w:val="002F72AB"/>
    <w:rsid w:val="002F7AE2"/>
    <w:rsid w:val="003015D9"/>
    <w:rsid w:val="00301A62"/>
    <w:rsid w:val="00301C59"/>
    <w:rsid w:val="00301CB6"/>
    <w:rsid w:val="0030232D"/>
    <w:rsid w:val="003025AA"/>
    <w:rsid w:val="00302BCE"/>
    <w:rsid w:val="00302D8E"/>
    <w:rsid w:val="003041B4"/>
    <w:rsid w:val="00304415"/>
    <w:rsid w:val="003047D2"/>
    <w:rsid w:val="00304A18"/>
    <w:rsid w:val="00304CCA"/>
    <w:rsid w:val="00305037"/>
    <w:rsid w:val="00305868"/>
    <w:rsid w:val="00305EA3"/>
    <w:rsid w:val="003064CA"/>
    <w:rsid w:val="003065B8"/>
    <w:rsid w:val="0030724D"/>
    <w:rsid w:val="00307600"/>
    <w:rsid w:val="00307778"/>
    <w:rsid w:val="00307939"/>
    <w:rsid w:val="00307AEB"/>
    <w:rsid w:val="00307D97"/>
    <w:rsid w:val="00307F94"/>
    <w:rsid w:val="00310D24"/>
    <w:rsid w:val="00310D2C"/>
    <w:rsid w:val="00311540"/>
    <w:rsid w:val="003117A8"/>
    <w:rsid w:val="00311832"/>
    <w:rsid w:val="00311F1E"/>
    <w:rsid w:val="00312B5F"/>
    <w:rsid w:val="00313478"/>
    <w:rsid w:val="00314649"/>
    <w:rsid w:val="003147CC"/>
    <w:rsid w:val="003148DC"/>
    <w:rsid w:val="00314993"/>
    <w:rsid w:val="00315748"/>
    <w:rsid w:val="00316A06"/>
    <w:rsid w:val="00316A7F"/>
    <w:rsid w:val="00316EE9"/>
    <w:rsid w:val="003172B3"/>
    <w:rsid w:val="00317540"/>
    <w:rsid w:val="00320357"/>
    <w:rsid w:val="00321178"/>
    <w:rsid w:val="00321279"/>
    <w:rsid w:val="0032167C"/>
    <w:rsid w:val="00321DF0"/>
    <w:rsid w:val="00321F96"/>
    <w:rsid w:val="00322243"/>
    <w:rsid w:val="003224D2"/>
    <w:rsid w:val="00323692"/>
    <w:rsid w:val="00323BF9"/>
    <w:rsid w:val="0032432B"/>
    <w:rsid w:val="003243F9"/>
    <w:rsid w:val="00324492"/>
    <w:rsid w:val="0032483B"/>
    <w:rsid w:val="00324C02"/>
    <w:rsid w:val="00324D98"/>
    <w:rsid w:val="00324ED9"/>
    <w:rsid w:val="00325235"/>
    <w:rsid w:val="00325453"/>
    <w:rsid w:val="00325E4E"/>
    <w:rsid w:val="00325F13"/>
    <w:rsid w:val="0032633C"/>
    <w:rsid w:val="00327254"/>
    <w:rsid w:val="00327302"/>
    <w:rsid w:val="00327419"/>
    <w:rsid w:val="003275C2"/>
    <w:rsid w:val="00327EC6"/>
    <w:rsid w:val="00330DAA"/>
    <w:rsid w:val="00330E97"/>
    <w:rsid w:val="003312EB"/>
    <w:rsid w:val="003314E0"/>
    <w:rsid w:val="00331934"/>
    <w:rsid w:val="00332004"/>
    <w:rsid w:val="00332680"/>
    <w:rsid w:val="00332AEF"/>
    <w:rsid w:val="0033305E"/>
    <w:rsid w:val="0033457D"/>
    <w:rsid w:val="0033481F"/>
    <w:rsid w:val="00334C92"/>
    <w:rsid w:val="00334FA3"/>
    <w:rsid w:val="0033585B"/>
    <w:rsid w:val="00335BEE"/>
    <w:rsid w:val="00335C83"/>
    <w:rsid w:val="00336D01"/>
    <w:rsid w:val="00336D3D"/>
    <w:rsid w:val="003370EE"/>
    <w:rsid w:val="0033714A"/>
    <w:rsid w:val="00337DBC"/>
    <w:rsid w:val="00340077"/>
    <w:rsid w:val="003401CC"/>
    <w:rsid w:val="003403F0"/>
    <w:rsid w:val="003403F6"/>
    <w:rsid w:val="00340BB0"/>
    <w:rsid w:val="00340C0A"/>
    <w:rsid w:val="00341C93"/>
    <w:rsid w:val="00341FB9"/>
    <w:rsid w:val="00342101"/>
    <w:rsid w:val="0034210B"/>
    <w:rsid w:val="0034294C"/>
    <w:rsid w:val="00342A12"/>
    <w:rsid w:val="0034356C"/>
    <w:rsid w:val="00345B47"/>
    <w:rsid w:val="00345EBD"/>
    <w:rsid w:val="00346702"/>
    <w:rsid w:val="00346860"/>
    <w:rsid w:val="0034692C"/>
    <w:rsid w:val="00347565"/>
    <w:rsid w:val="00347BE1"/>
    <w:rsid w:val="00347CDA"/>
    <w:rsid w:val="0035020F"/>
    <w:rsid w:val="00350DC3"/>
    <w:rsid w:val="003512D9"/>
    <w:rsid w:val="0035204E"/>
    <w:rsid w:val="00353A38"/>
    <w:rsid w:val="00353BA1"/>
    <w:rsid w:val="003557D3"/>
    <w:rsid w:val="00355932"/>
    <w:rsid w:val="00355BF8"/>
    <w:rsid w:val="003561F2"/>
    <w:rsid w:val="00356352"/>
    <w:rsid w:val="00356535"/>
    <w:rsid w:val="00357B88"/>
    <w:rsid w:val="003604EA"/>
    <w:rsid w:val="0036144A"/>
    <w:rsid w:val="00361F94"/>
    <w:rsid w:val="00362391"/>
    <w:rsid w:val="00362480"/>
    <w:rsid w:val="0036310D"/>
    <w:rsid w:val="00363F48"/>
    <w:rsid w:val="00364415"/>
    <w:rsid w:val="003647E8"/>
    <w:rsid w:val="00364BCD"/>
    <w:rsid w:val="003652DC"/>
    <w:rsid w:val="003659EF"/>
    <w:rsid w:val="003661F0"/>
    <w:rsid w:val="00366341"/>
    <w:rsid w:val="0036645A"/>
    <w:rsid w:val="0036705F"/>
    <w:rsid w:val="00367A4C"/>
    <w:rsid w:val="0037037D"/>
    <w:rsid w:val="0037051E"/>
    <w:rsid w:val="00370BA6"/>
    <w:rsid w:val="00371282"/>
    <w:rsid w:val="00371347"/>
    <w:rsid w:val="0037143D"/>
    <w:rsid w:val="00371C3D"/>
    <w:rsid w:val="003735BB"/>
    <w:rsid w:val="00373B48"/>
    <w:rsid w:val="00373E6E"/>
    <w:rsid w:val="003743BD"/>
    <w:rsid w:val="0037452A"/>
    <w:rsid w:val="00374CA9"/>
    <w:rsid w:val="00374E25"/>
    <w:rsid w:val="003751D2"/>
    <w:rsid w:val="00375494"/>
    <w:rsid w:val="003758D6"/>
    <w:rsid w:val="003763FF"/>
    <w:rsid w:val="00377132"/>
    <w:rsid w:val="003804E0"/>
    <w:rsid w:val="003805DA"/>
    <w:rsid w:val="00380EC7"/>
    <w:rsid w:val="0038141A"/>
    <w:rsid w:val="00381684"/>
    <w:rsid w:val="00381F12"/>
    <w:rsid w:val="00383322"/>
    <w:rsid w:val="003833B6"/>
    <w:rsid w:val="00384B30"/>
    <w:rsid w:val="00384B40"/>
    <w:rsid w:val="00384BB7"/>
    <w:rsid w:val="00384D20"/>
    <w:rsid w:val="003851AD"/>
    <w:rsid w:val="00385F84"/>
    <w:rsid w:val="00385FB5"/>
    <w:rsid w:val="003863B8"/>
    <w:rsid w:val="00386727"/>
    <w:rsid w:val="00386776"/>
    <w:rsid w:val="00386E1D"/>
    <w:rsid w:val="003903BC"/>
    <w:rsid w:val="00390A2D"/>
    <w:rsid w:val="00390FB0"/>
    <w:rsid w:val="00391B3C"/>
    <w:rsid w:val="003921C4"/>
    <w:rsid w:val="003922C8"/>
    <w:rsid w:val="003922F0"/>
    <w:rsid w:val="003934F5"/>
    <w:rsid w:val="003941E0"/>
    <w:rsid w:val="003945F0"/>
    <w:rsid w:val="00394E20"/>
    <w:rsid w:val="00395724"/>
    <w:rsid w:val="003A0160"/>
    <w:rsid w:val="003A03F5"/>
    <w:rsid w:val="003A044D"/>
    <w:rsid w:val="003A04A9"/>
    <w:rsid w:val="003A04C5"/>
    <w:rsid w:val="003A0861"/>
    <w:rsid w:val="003A1A5A"/>
    <w:rsid w:val="003A2B8E"/>
    <w:rsid w:val="003A386A"/>
    <w:rsid w:val="003A3EBA"/>
    <w:rsid w:val="003A4550"/>
    <w:rsid w:val="003A4A35"/>
    <w:rsid w:val="003A4A63"/>
    <w:rsid w:val="003A4C09"/>
    <w:rsid w:val="003A4F28"/>
    <w:rsid w:val="003A4F9E"/>
    <w:rsid w:val="003A5C1F"/>
    <w:rsid w:val="003A6177"/>
    <w:rsid w:val="003A650B"/>
    <w:rsid w:val="003A66C9"/>
    <w:rsid w:val="003A6A7E"/>
    <w:rsid w:val="003A6F8A"/>
    <w:rsid w:val="003A6FF8"/>
    <w:rsid w:val="003A7A9C"/>
    <w:rsid w:val="003B02D5"/>
    <w:rsid w:val="003B0576"/>
    <w:rsid w:val="003B12CF"/>
    <w:rsid w:val="003B1DED"/>
    <w:rsid w:val="003B2136"/>
    <w:rsid w:val="003B215C"/>
    <w:rsid w:val="003B23EF"/>
    <w:rsid w:val="003B2407"/>
    <w:rsid w:val="003B3213"/>
    <w:rsid w:val="003B3300"/>
    <w:rsid w:val="003B4556"/>
    <w:rsid w:val="003B58D1"/>
    <w:rsid w:val="003B6002"/>
    <w:rsid w:val="003B757E"/>
    <w:rsid w:val="003B782D"/>
    <w:rsid w:val="003B78CB"/>
    <w:rsid w:val="003B7AC4"/>
    <w:rsid w:val="003B7E94"/>
    <w:rsid w:val="003C0245"/>
    <w:rsid w:val="003C129B"/>
    <w:rsid w:val="003C1927"/>
    <w:rsid w:val="003C1A6E"/>
    <w:rsid w:val="003C3901"/>
    <w:rsid w:val="003C4762"/>
    <w:rsid w:val="003C5464"/>
    <w:rsid w:val="003C54A1"/>
    <w:rsid w:val="003C5A92"/>
    <w:rsid w:val="003C5FAC"/>
    <w:rsid w:val="003C6021"/>
    <w:rsid w:val="003C6685"/>
    <w:rsid w:val="003C686E"/>
    <w:rsid w:val="003C7C71"/>
    <w:rsid w:val="003D012E"/>
    <w:rsid w:val="003D0818"/>
    <w:rsid w:val="003D0FB7"/>
    <w:rsid w:val="003D1311"/>
    <w:rsid w:val="003D2106"/>
    <w:rsid w:val="003D31DE"/>
    <w:rsid w:val="003D35B9"/>
    <w:rsid w:val="003D4736"/>
    <w:rsid w:val="003D4961"/>
    <w:rsid w:val="003D4DC1"/>
    <w:rsid w:val="003D5747"/>
    <w:rsid w:val="003D735C"/>
    <w:rsid w:val="003D7AE8"/>
    <w:rsid w:val="003E05B7"/>
    <w:rsid w:val="003E0841"/>
    <w:rsid w:val="003E11C3"/>
    <w:rsid w:val="003E12D9"/>
    <w:rsid w:val="003E1325"/>
    <w:rsid w:val="003E147C"/>
    <w:rsid w:val="003E1766"/>
    <w:rsid w:val="003E2063"/>
    <w:rsid w:val="003E2AAF"/>
    <w:rsid w:val="003E3383"/>
    <w:rsid w:val="003E3EE1"/>
    <w:rsid w:val="003E43FF"/>
    <w:rsid w:val="003E4B59"/>
    <w:rsid w:val="003E5150"/>
    <w:rsid w:val="003E5595"/>
    <w:rsid w:val="003E5943"/>
    <w:rsid w:val="003E5A8C"/>
    <w:rsid w:val="003E5DF9"/>
    <w:rsid w:val="003E5E92"/>
    <w:rsid w:val="003E6817"/>
    <w:rsid w:val="003E6CC8"/>
    <w:rsid w:val="003E7D64"/>
    <w:rsid w:val="003F03CD"/>
    <w:rsid w:val="003F06DD"/>
    <w:rsid w:val="003F070C"/>
    <w:rsid w:val="003F0760"/>
    <w:rsid w:val="003F14F3"/>
    <w:rsid w:val="003F1C05"/>
    <w:rsid w:val="003F25F7"/>
    <w:rsid w:val="003F2E86"/>
    <w:rsid w:val="003F4068"/>
    <w:rsid w:val="003F44A2"/>
    <w:rsid w:val="003F4715"/>
    <w:rsid w:val="003F4776"/>
    <w:rsid w:val="003F5135"/>
    <w:rsid w:val="003F5A61"/>
    <w:rsid w:val="003F6E11"/>
    <w:rsid w:val="0040035B"/>
    <w:rsid w:val="004012CF"/>
    <w:rsid w:val="004015D1"/>
    <w:rsid w:val="004017AD"/>
    <w:rsid w:val="004019DC"/>
    <w:rsid w:val="00402241"/>
    <w:rsid w:val="00402730"/>
    <w:rsid w:val="004027C0"/>
    <w:rsid w:val="00402D44"/>
    <w:rsid w:val="00402DDB"/>
    <w:rsid w:val="00403CE1"/>
    <w:rsid w:val="00404C6E"/>
    <w:rsid w:val="00404FB2"/>
    <w:rsid w:val="004056A3"/>
    <w:rsid w:val="004058E4"/>
    <w:rsid w:val="00405AFA"/>
    <w:rsid w:val="00405CDE"/>
    <w:rsid w:val="0040622F"/>
    <w:rsid w:val="00406490"/>
    <w:rsid w:val="0040660F"/>
    <w:rsid w:val="00406702"/>
    <w:rsid w:val="0040684D"/>
    <w:rsid w:val="00406D74"/>
    <w:rsid w:val="00407323"/>
    <w:rsid w:val="00410270"/>
    <w:rsid w:val="00411043"/>
    <w:rsid w:val="004110C9"/>
    <w:rsid w:val="004110F6"/>
    <w:rsid w:val="004115C4"/>
    <w:rsid w:val="0041181D"/>
    <w:rsid w:val="00411A07"/>
    <w:rsid w:val="00411F0B"/>
    <w:rsid w:val="004122AA"/>
    <w:rsid w:val="00412C10"/>
    <w:rsid w:val="00413096"/>
    <w:rsid w:val="00413BEE"/>
    <w:rsid w:val="00413D31"/>
    <w:rsid w:val="00413FAE"/>
    <w:rsid w:val="0041414E"/>
    <w:rsid w:val="0041480E"/>
    <w:rsid w:val="0041529D"/>
    <w:rsid w:val="00415533"/>
    <w:rsid w:val="00415B0D"/>
    <w:rsid w:val="004171EC"/>
    <w:rsid w:val="004174A9"/>
    <w:rsid w:val="00417D30"/>
    <w:rsid w:val="00420D25"/>
    <w:rsid w:val="00421609"/>
    <w:rsid w:val="00421700"/>
    <w:rsid w:val="00422147"/>
    <w:rsid w:val="004227BA"/>
    <w:rsid w:val="00422B13"/>
    <w:rsid w:val="00423375"/>
    <w:rsid w:val="00423E05"/>
    <w:rsid w:val="00423E72"/>
    <w:rsid w:val="00424BDB"/>
    <w:rsid w:val="0042524E"/>
    <w:rsid w:val="00425675"/>
    <w:rsid w:val="0042588B"/>
    <w:rsid w:val="004268DC"/>
    <w:rsid w:val="004269C9"/>
    <w:rsid w:val="00426A57"/>
    <w:rsid w:val="004276A9"/>
    <w:rsid w:val="00427AF8"/>
    <w:rsid w:val="00427D21"/>
    <w:rsid w:val="00430530"/>
    <w:rsid w:val="00430A68"/>
    <w:rsid w:val="00430D27"/>
    <w:rsid w:val="00431C55"/>
    <w:rsid w:val="00432299"/>
    <w:rsid w:val="00433338"/>
    <w:rsid w:val="00433AD9"/>
    <w:rsid w:val="00434076"/>
    <w:rsid w:val="00434F3E"/>
    <w:rsid w:val="004350F0"/>
    <w:rsid w:val="00435B04"/>
    <w:rsid w:val="00435F9C"/>
    <w:rsid w:val="0043603C"/>
    <w:rsid w:val="00437B80"/>
    <w:rsid w:val="00437E46"/>
    <w:rsid w:val="0044004C"/>
    <w:rsid w:val="004401C3"/>
    <w:rsid w:val="004403F8"/>
    <w:rsid w:val="004407A2"/>
    <w:rsid w:val="00440A61"/>
    <w:rsid w:val="00440DAA"/>
    <w:rsid w:val="00440F09"/>
    <w:rsid w:val="004413DE"/>
    <w:rsid w:val="00442361"/>
    <w:rsid w:val="004423BA"/>
    <w:rsid w:val="00442D54"/>
    <w:rsid w:val="0044306A"/>
    <w:rsid w:val="00444488"/>
    <w:rsid w:val="00445294"/>
    <w:rsid w:val="00445B9B"/>
    <w:rsid w:val="00445F2D"/>
    <w:rsid w:val="004462F1"/>
    <w:rsid w:val="00446438"/>
    <w:rsid w:val="0044689F"/>
    <w:rsid w:val="00446C7E"/>
    <w:rsid w:val="00446D3C"/>
    <w:rsid w:val="004470CD"/>
    <w:rsid w:val="0044723D"/>
    <w:rsid w:val="00447250"/>
    <w:rsid w:val="0044738C"/>
    <w:rsid w:val="00447852"/>
    <w:rsid w:val="00447EAA"/>
    <w:rsid w:val="004504E9"/>
    <w:rsid w:val="0045065C"/>
    <w:rsid w:val="00450C4B"/>
    <w:rsid w:val="00450E91"/>
    <w:rsid w:val="00452001"/>
    <w:rsid w:val="004521E3"/>
    <w:rsid w:val="00452540"/>
    <w:rsid w:val="00452586"/>
    <w:rsid w:val="004536C7"/>
    <w:rsid w:val="004547AA"/>
    <w:rsid w:val="00454861"/>
    <w:rsid w:val="00454F32"/>
    <w:rsid w:val="00456555"/>
    <w:rsid w:val="00456BED"/>
    <w:rsid w:val="00457DEF"/>
    <w:rsid w:val="004604E9"/>
    <w:rsid w:val="004609ED"/>
    <w:rsid w:val="00461112"/>
    <w:rsid w:val="0046190E"/>
    <w:rsid w:val="00461DEB"/>
    <w:rsid w:val="00462088"/>
    <w:rsid w:val="00463203"/>
    <w:rsid w:val="0046334A"/>
    <w:rsid w:val="00463E71"/>
    <w:rsid w:val="00465042"/>
    <w:rsid w:val="00465AF4"/>
    <w:rsid w:val="00465C00"/>
    <w:rsid w:val="004662B5"/>
    <w:rsid w:val="00466566"/>
    <w:rsid w:val="00466701"/>
    <w:rsid w:val="00466A07"/>
    <w:rsid w:val="00466FD9"/>
    <w:rsid w:val="00467855"/>
    <w:rsid w:val="0047059F"/>
    <w:rsid w:val="0047074C"/>
    <w:rsid w:val="00470B00"/>
    <w:rsid w:val="00471133"/>
    <w:rsid w:val="00471BD7"/>
    <w:rsid w:val="00471D82"/>
    <w:rsid w:val="00472E9A"/>
    <w:rsid w:val="00472F04"/>
    <w:rsid w:val="00472F31"/>
    <w:rsid w:val="004735F2"/>
    <w:rsid w:val="00474D7F"/>
    <w:rsid w:val="004759EF"/>
    <w:rsid w:val="00475AF6"/>
    <w:rsid w:val="00475F29"/>
    <w:rsid w:val="0047609E"/>
    <w:rsid w:val="00476AB8"/>
    <w:rsid w:val="00476C76"/>
    <w:rsid w:val="00476D87"/>
    <w:rsid w:val="0047739C"/>
    <w:rsid w:val="0047762C"/>
    <w:rsid w:val="00477891"/>
    <w:rsid w:val="0048038A"/>
    <w:rsid w:val="0048039D"/>
    <w:rsid w:val="00480476"/>
    <w:rsid w:val="004804F6"/>
    <w:rsid w:val="00480FE2"/>
    <w:rsid w:val="00481078"/>
    <w:rsid w:val="00481A76"/>
    <w:rsid w:val="00481E6B"/>
    <w:rsid w:val="00482473"/>
    <w:rsid w:val="004828D4"/>
    <w:rsid w:val="0048292F"/>
    <w:rsid w:val="0048357C"/>
    <w:rsid w:val="00483779"/>
    <w:rsid w:val="00483897"/>
    <w:rsid w:val="00483CD1"/>
    <w:rsid w:val="00483F84"/>
    <w:rsid w:val="00484376"/>
    <w:rsid w:val="0048489F"/>
    <w:rsid w:val="00484A55"/>
    <w:rsid w:val="00485102"/>
    <w:rsid w:val="00485140"/>
    <w:rsid w:val="004853D9"/>
    <w:rsid w:val="00485791"/>
    <w:rsid w:val="00485CAC"/>
    <w:rsid w:val="00485F3A"/>
    <w:rsid w:val="004862A5"/>
    <w:rsid w:val="004863C7"/>
    <w:rsid w:val="00486ABA"/>
    <w:rsid w:val="00486BD2"/>
    <w:rsid w:val="00487A7B"/>
    <w:rsid w:val="00487AB9"/>
    <w:rsid w:val="00487B38"/>
    <w:rsid w:val="00487F36"/>
    <w:rsid w:val="004904E2"/>
    <w:rsid w:val="00490D71"/>
    <w:rsid w:val="00490DE6"/>
    <w:rsid w:val="0049119C"/>
    <w:rsid w:val="004918EE"/>
    <w:rsid w:val="004935AA"/>
    <w:rsid w:val="0049385C"/>
    <w:rsid w:val="00493A4F"/>
    <w:rsid w:val="0049465D"/>
    <w:rsid w:val="004949F3"/>
    <w:rsid w:val="004955F5"/>
    <w:rsid w:val="00495B8C"/>
    <w:rsid w:val="004979A0"/>
    <w:rsid w:val="004A178A"/>
    <w:rsid w:val="004A178B"/>
    <w:rsid w:val="004A1839"/>
    <w:rsid w:val="004A284C"/>
    <w:rsid w:val="004A2CFD"/>
    <w:rsid w:val="004A2E53"/>
    <w:rsid w:val="004A31CA"/>
    <w:rsid w:val="004A3F9C"/>
    <w:rsid w:val="004A4C1F"/>
    <w:rsid w:val="004A4EFB"/>
    <w:rsid w:val="004A5084"/>
    <w:rsid w:val="004A5B31"/>
    <w:rsid w:val="004A6651"/>
    <w:rsid w:val="004A6E34"/>
    <w:rsid w:val="004A7535"/>
    <w:rsid w:val="004A7A94"/>
    <w:rsid w:val="004A7B0F"/>
    <w:rsid w:val="004A7D34"/>
    <w:rsid w:val="004B033D"/>
    <w:rsid w:val="004B0B2D"/>
    <w:rsid w:val="004B0C6E"/>
    <w:rsid w:val="004B0E76"/>
    <w:rsid w:val="004B0EC4"/>
    <w:rsid w:val="004B108C"/>
    <w:rsid w:val="004B283D"/>
    <w:rsid w:val="004B28A1"/>
    <w:rsid w:val="004B29C1"/>
    <w:rsid w:val="004B3091"/>
    <w:rsid w:val="004B31C2"/>
    <w:rsid w:val="004B32A6"/>
    <w:rsid w:val="004B39BB"/>
    <w:rsid w:val="004B3B95"/>
    <w:rsid w:val="004B4671"/>
    <w:rsid w:val="004B5653"/>
    <w:rsid w:val="004B57F4"/>
    <w:rsid w:val="004B57FC"/>
    <w:rsid w:val="004B5D5C"/>
    <w:rsid w:val="004B5D69"/>
    <w:rsid w:val="004B7883"/>
    <w:rsid w:val="004C06FF"/>
    <w:rsid w:val="004C09E5"/>
    <w:rsid w:val="004C0FC9"/>
    <w:rsid w:val="004C102C"/>
    <w:rsid w:val="004C1146"/>
    <w:rsid w:val="004C19E7"/>
    <w:rsid w:val="004C1B6F"/>
    <w:rsid w:val="004C271A"/>
    <w:rsid w:val="004C2CC8"/>
    <w:rsid w:val="004C337C"/>
    <w:rsid w:val="004C3761"/>
    <w:rsid w:val="004C3B0C"/>
    <w:rsid w:val="004C4184"/>
    <w:rsid w:val="004C46CD"/>
    <w:rsid w:val="004C46DD"/>
    <w:rsid w:val="004C4C05"/>
    <w:rsid w:val="004C54A6"/>
    <w:rsid w:val="004C56D1"/>
    <w:rsid w:val="004C5777"/>
    <w:rsid w:val="004C5BCA"/>
    <w:rsid w:val="004C5C2A"/>
    <w:rsid w:val="004C626F"/>
    <w:rsid w:val="004C6325"/>
    <w:rsid w:val="004C6AB7"/>
    <w:rsid w:val="004C6B03"/>
    <w:rsid w:val="004C70EF"/>
    <w:rsid w:val="004C7168"/>
    <w:rsid w:val="004C731B"/>
    <w:rsid w:val="004D0F17"/>
    <w:rsid w:val="004D1601"/>
    <w:rsid w:val="004D1639"/>
    <w:rsid w:val="004D1DAF"/>
    <w:rsid w:val="004D282D"/>
    <w:rsid w:val="004D2987"/>
    <w:rsid w:val="004D2B40"/>
    <w:rsid w:val="004D3B45"/>
    <w:rsid w:val="004D46B8"/>
    <w:rsid w:val="004D4EB5"/>
    <w:rsid w:val="004D6BF2"/>
    <w:rsid w:val="004D6DA8"/>
    <w:rsid w:val="004E01EE"/>
    <w:rsid w:val="004E0552"/>
    <w:rsid w:val="004E05C3"/>
    <w:rsid w:val="004E124F"/>
    <w:rsid w:val="004E12EB"/>
    <w:rsid w:val="004E2023"/>
    <w:rsid w:val="004E211D"/>
    <w:rsid w:val="004E27E5"/>
    <w:rsid w:val="004E3506"/>
    <w:rsid w:val="004E36D6"/>
    <w:rsid w:val="004E3B1D"/>
    <w:rsid w:val="004E4283"/>
    <w:rsid w:val="004E4475"/>
    <w:rsid w:val="004E47BE"/>
    <w:rsid w:val="004E4DE4"/>
    <w:rsid w:val="004E4FF0"/>
    <w:rsid w:val="004E55DD"/>
    <w:rsid w:val="004E56C6"/>
    <w:rsid w:val="004E65CC"/>
    <w:rsid w:val="004E6938"/>
    <w:rsid w:val="004E7496"/>
    <w:rsid w:val="004E7511"/>
    <w:rsid w:val="004E7562"/>
    <w:rsid w:val="004E79E6"/>
    <w:rsid w:val="004E7A32"/>
    <w:rsid w:val="004E7A75"/>
    <w:rsid w:val="004E7D65"/>
    <w:rsid w:val="004F067F"/>
    <w:rsid w:val="004F079F"/>
    <w:rsid w:val="004F0DB1"/>
    <w:rsid w:val="004F1A46"/>
    <w:rsid w:val="004F1AA4"/>
    <w:rsid w:val="004F1D42"/>
    <w:rsid w:val="004F3A2F"/>
    <w:rsid w:val="004F4467"/>
    <w:rsid w:val="004F49D5"/>
    <w:rsid w:val="004F4D39"/>
    <w:rsid w:val="004F4E69"/>
    <w:rsid w:val="004F4F7C"/>
    <w:rsid w:val="004F52BF"/>
    <w:rsid w:val="004F58F1"/>
    <w:rsid w:val="004F5B2C"/>
    <w:rsid w:val="004F612F"/>
    <w:rsid w:val="004F68DE"/>
    <w:rsid w:val="004F6C28"/>
    <w:rsid w:val="004F75D1"/>
    <w:rsid w:val="004F7B94"/>
    <w:rsid w:val="005004B6"/>
    <w:rsid w:val="00500A2B"/>
    <w:rsid w:val="00501F7E"/>
    <w:rsid w:val="00501FE8"/>
    <w:rsid w:val="005022BB"/>
    <w:rsid w:val="0050269E"/>
    <w:rsid w:val="00504FBE"/>
    <w:rsid w:val="00504FF0"/>
    <w:rsid w:val="00505CAD"/>
    <w:rsid w:val="00505D00"/>
    <w:rsid w:val="0050640D"/>
    <w:rsid w:val="00506778"/>
    <w:rsid w:val="005067EC"/>
    <w:rsid w:val="00506949"/>
    <w:rsid w:val="00506A53"/>
    <w:rsid w:val="00507914"/>
    <w:rsid w:val="00507A83"/>
    <w:rsid w:val="00507E45"/>
    <w:rsid w:val="0051050E"/>
    <w:rsid w:val="005114A6"/>
    <w:rsid w:val="0051150C"/>
    <w:rsid w:val="00511876"/>
    <w:rsid w:val="00511EEE"/>
    <w:rsid w:val="0051289B"/>
    <w:rsid w:val="00512A1A"/>
    <w:rsid w:val="005137BF"/>
    <w:rsid w:val="005147ED"/>
    <w:rsid w:val="00514D11"/>
    <w:rsid w:val="00514E76"/>
    <w:rsid w:val="00514F7F"/>
    <w:rsid w:val="00514FF5"/>
    <w:rsid w:val="005153D3"/>
    <w:rsid w:val="00515C0A"/>
    <w:rsid w:val="005162A6"/>
    <w:rsid w:val="005165A5"/>
    <w:rsid w:val="005167E7"/>
    <w:rsid w:val="00516A04"/>
    <w:rsid w:val="00516ADA"/>
    <w:rsid w:val="005171F4"/>
    <w:rsid w:val="00517B3D"/>
    <w:rsid w:val="00517C50"/>
    <w:rsid w:val="00517F8B"/>
    <w:rsid w:val="00520404"/>
    <w:rsid w:val="0052083A"/>
    <w:rsid w:val="005209D7"/>
    <w:rsid w:val="0052126A"/>
    <w:rsid w:val="00521A4E"/>
    <w:rsid w:val="00521AF7"/>
    <w:rsid w:val="00521C9C"/>
    <w:rsid w:val="00522225"/>
    <w:rsid w:val="00522D63"/>
    <w:rsid w:val="00522EB1"/>
    <w:rsid w:val="00523451"/>
    <w:rsid w:val="00523465"/>
    <w:rsid w:val="00523AC1"/>
    <w:rsid w:val="00523C3E"/>
    <w:rsid w:val="00524BBE"/>
    <w:rsid w:val="005252A1"/>
    <w:rsid w:val="005259E6"/>
    <w:rsid w:val="00526B35"/>
    <w:rsid w:val="00526D4C"/>
    <w:rsid w:val="00526F7E"/>
    <w:rsid w:val="005271F0"/>
    <w:rsid w:val="005272B8"/>
    <w:rsid w:val="00527380"/>
    <w:rsid w:val="00527625"/>
    <w:rsid w:val="00527801"/>
    <w:rsid w:val="00527C86"/>
    <w:rsid w:val="0053022E"/>
    <w:rsid w:val="00530376"/>
    <w:rsid w:val="005305C4"/>
    <w:rsid w:val="00530737"/>
    <w:rsid w:val="00530ABE"/>
    <w:rsid w:val="005317EA"/>
    <w:rsid w:val="005319E4"/>
    <w:rsid w:val="00531EFB"/>
    <w:rsid w:val="005333B3"/>
    <w:rsid w:val="00533B8B"/>
    <w:rsid w:val="00533BC3"/>
    <w:rsid w:val="0053448D"/>
    <w:rsid w:val="00534560"/>
    <w:rsid w:val="0053535B"/>
    <w:rsid w:val="0053537B"/>
    <w:rsid w:val="005357EC"/>
    <w:rsid w:val="00535E01"/>
    <w:rsid w:val="00536A77"/>
    <w:rsid w:val="00537258"/>
    <w:rsid w:val="005373FB"/>
    <w:rsid w:val="005403BA"/>
    <w:rsid w:val="00540647"/>
    <w:rsid w:val="005407C9"/>
    <w:rsid w:val="005408FF"/>
    <w:rsid w:val="00540920"/>
    <w:rsid w:val="005419B9"/>
    <w:rsid w:val="0054214C"/>
    <w:rsid w:val="005425B9"/>
    <w:rsid w:val="00543A34"/>
    <w:rsid w:val="00543CFC"/>
    <w:rsid w:val="0054473D"/>
    <w:rsid w:val="005454D3"/>
    <w:rsid w:val="00545B5C"/>
    <w:rsid w:val="00545F13"/>
    <w:rsid w:val="0054639D"/>
    <w:rsid w:val="005475A2"/>
    <w:rsid w:val="00547FC6"/>
    <w:rsid w:val="005500BB"/>
    <w:rsid w:val="00550244"/>
    <w:rsid w:val="0055038C"/>
    <w:rsid w:val="005504A6"/>
    <w:rsid w:val="00550D81"/>
    <w:rsid w:val="00550F8A"/>
    <w:rsid w:val="00551E21"/>
    <w:rsid w:val="00553006"/>
    <w:rsid w:val="00553172"/>
    <w:rsid w:val="0055330E"/>
    <w:rsid w:val="00553E80"/>
    <w:rsid w:val="00554103"/>
    <w:rsid w:val="005552CB"/>
    <w:rsid w:val="00555842"/>
    <w:rsid w:val="00555914"/>
    <w:rsid w:val="00555AB1"/>
    <w:rsid w:val="00556BA8"/>
    <w:rsid w:val="005575F8"/>
    <w:rsid w:val="0056050D"/>
    <w:rsid w:val="0056064B"/>
    <w:rsid w:val="00560C9F"/>
    <w:rsid w:val="00560EFC"/>
    <w:rsid w:val="0056151F"/>
    <w:rsid w:val="00561E7E"/>
    <w:rsid w:val="00561FF2"/>
    <w:rsid w:val="00562557"/>
    <w:rsid w:val="00562770"/>
    <w:rsid w:val="00563DCA"/>
    <w:rsid w:val="00564E1C"/>
    <w:rsid w:val="00565C4F"/>
    <w:rsid w:val="0056722E"/>
    <w:rsid w:val="00567649"/>
    <w:rsid w:val="00567890"/>
    <w:rsid w:val="00567935"/>
    <w:rsid w:val="00567C1D"/>
    <w:rsid w:val="00567FE5"/>
    <w:rsid w:val="00570185"/>
    <w:rsid w:val="00570BDD"/>
    <w:rsid w:val="00570FDE"/>
    <w:rsid w:val="0057188E"/>
    <w:rsid w:val="0057217D"/>
    <w:rsid w:val="005726BC"/>
    <w:rsid w:val="00572CA2"/>
    <w:rsid w:val="0057325D"/>
    <w:rsid w:val="005739B5"/>
    <w:rsid w:val="00573F71"/>
    <w:rsid w:val="00574009"/>
    <w:rsid w:val="005743D4"/>
    <w:rsid w:val="00574AF7"/>
    <w:rsid w:val="005752E7"/>
    <w:rsid w:val="00575AFA"/>
    <w:rsid w:val="00575CF9"/>
    <w:rsid w:val="00575E82"/>
    <w:rsid w:val="005761F0"/>
    <w:rsid w:val="00576246"/>
    <w:rsid w:val="005763C9"/>
    <w:rsid w:val="00576CCB"/>
    <w:rsid w:val="00576D9A"/>
    <w:rsid w:val="00577641"/>
    <w:rsid w:val="005777D0"/>
    <w:rsid w:val="0057782F"/>
    <w:rsid w:val="0058042F"/>
    <w:rsid w:val="00580A0C"/>
    <w:rsid w:val="00581300"/>
    <w:rsid w:val="00581388"/>
    <w:rsid w:val="00581ACC"/>
    <w:rsid w:val="005823A0"/>
    <w:rsid w:val="00582506"/>
    <w:rsid w:val="00582662"/>
    <w:rsid w:val="00582B84"/>
    <w:rsid w:val="00582E38"/>
    <w:rsid w:val="005835CB"/>
    <w:rsid w:val="00583B6C"/>
    <w:rsid w:val="00585D2E"/>
    <w:rsid w:val="00585D50"/>
    <w:rsid w:val="0058612C"/>
    <w:rsid w:val="0058691C"/>
    <w:rsid w:val="00586F34"/>
    <w:rsid w:val="00586F7E"/>
    <w:rsid w:val="00586F8D"/>
    <w:rsid w:val="005879DD"/>
    <w:rsid w:val="00587D6A"/>
    <w:rsid w:val="00587E91"/>
    <w:rsid w:val="00590877"/>
    <w:rsid w:val="00590DDA"/>
    <w:rsid w:val="00591DEA"/>
    <w:rsid w:val="00591E3D"/>
    <w:rsid w:val="00592211"/>
    <w:rsid w:val="005926B1"/>
    <w:rsid w:val="005926BB"/>
    <w:rsid w:val="005937B0"/>
    <w:rsid w:val="00594A90"/>
    <w:rsid w:val="0059521E"/>
    <w:rsid w:val="005954C7"/>
    <w:rsid w:val="00595EC8"/>
    <w:rsid w:val="00596465"/>
    <w:rsid w:val="00597A6B"/>
    <w:rsid w:val="00597BE4"/>
    <w:rsid w:val="005A04C2"/>
    <w:rsid w:val="005A122A"/>
    <w:rsid w:val="005A1CE8"/>
    <w:rsid w:val="005A2785"/>
    <w:rsid w:val="005A2B7E"/>
    <w:rsid w:val="005A2C84"/>
    <w:rsid w:val="005A329C"/>
    <w:rsid w:val="005A402C"/>
    <w:rsid w:val="005A4093"/>
    <w:rsid w:val="005A40A3"/>
    <w:rsid w:val="005A4888"/>
    <w:rsid w:val="005A53DD"/>
    <w:rsid w:val="005A6A70"/>
    <w:rsid w:val="005A6C19"/>
    <w:rsid w:val="005A6F34"/>
    <w:rsid w:val="005A76F3"/>
    <w:rsid w:val="005A7A2A"/>
    <w:rsid w:val="005A7DA9"/>
    <w:rsid w:val="005B0098"/>
    <w:rsid w:val="005B019C"/>
    <w:rsid w:val="005B1287"/>
    <w:rsid w:val="005B1A8A"/>
    <w:rsid w:val="005B20E3"/>
    <w:rsid w:val="005B21F9"/>
    <w:rsid w:val="005B2F06"/>
    <w:rsid w:val="005B3113"/>
    <w:rsid w:val="005B3158"/>
    <w:rsid w:val="005B355B"/>
    <w:rsid w:val="005B4B87"/>
    <w:rsid w:val="005B55B0"/>
    <w:rsid w:val="005B5789"/>
    <w:rsid w:val="005B5942"/>
    <w:rsid w:val="005B5F08"/>
    <w:rsid w:val="005B70F1"/>
    <w:rsid w:val="005B7251"/>
    <w:rsid w:val="005C0220"/>
    <w:rsid w:val="005C0528"/>
    <w:rsid w:val="005C1E84"/>
    <w:rsid w:val="005C2022"/>
    <w:rsid w:val="005C28FB"/>
    <w:rsid w:val="005C2F08"/>
    <w:rsid w:val="005C3003"/>
    <w:rsid w:val="005C33BC"/>
    <w:rsid w:val="005C3613"/>
    <w:rsid w:val="005C4148"/>
    <w:rsid w:val="005C4285"/>
    <w:rsid w:val="005C490D"/>
    <w:rsid w:val="005C58E8"/>
    <w:rsid w:val="005C5ECF"/>
    <w:rsid w:val="005C626F"/>
    <w:rsid w:val="005C65DE"/>
    <w:rsid w:val="005C6617"/>
    <w:rsid w:val="005C6D05"/>
    <w:rsid w:val="005C6D20"/>
    <w:rsid w:val="005C6F71"/>
    <w:rsid w:val="005C7371"/>
    <w:rsid w:val="005C794E"/>
    <w:rsid w:val="005C79B8"/>
    <w:rsid w:val="005D01B7"/>
    <w:rsid w:val="005D02EB"/>
    <w:rsid w:val="005D084F"/>
    <w:rsid w:val="005D0E1C"/>
    <w:rsid w:val="005D1B6B"/>
    <w:rsid w:val="005D2801"/>
    <w:rsid w:val="005D28BE"/>
    <w:rsid w:val="005D2AFC"/>
    <w:rsid w:val="005D316D"/>
    <w:rsid w:val="005D4549"/>
    <w:rsid w:val="005D61AE"/>
    <w:rsid w:val="005D6284"/>
    <w:rsid w:val="005D62CB"/>
    <w:rsid w:val="005D6709"/>
    <w:rsid w:val="005D6713"/>
    <w:rsid w:val="005D6A8E"/>
    <w:rsid w:val="005D7CBD"/>
    <w:rsid w:val="005E0264"/>
    <w:rsid w:val="005E0A0A"/>
    <w:rsid w:val="005E0D77"/>
    <w:rsid w:val="005E1007"/>
    <w:rsid w:val="005E111D"/>
    <w:rsid w:val="005E141F"/>
    <w:rsid w:val="005E163F"/>
    <w:rsid w:val="005E1810"/>
    <w:rsid w:val="005E19E4"/>
    <w:rsid w:val="005E1FAF"/>
    <w:rsid w:val="005E238E"/>
    <w:rsid w:val="005E2762"/>
    <w:rsid w:val="005E2792"/>
    <w:rsid w:val="005E29E2"/>
    <w:rsid w:val="005E38A3"/>
    <w:rsid w:val="005E4F01"/>
    <w:rsid w:val="005E521C"/>
    <w:rsid w:val="005E60FE"/>
    <w:rsid w:val="005E6344"/>
    <w:rsid w:val="005E68C4"/>
    <w:rsid w:val="005E6A9C"/>
    <w:rsid w:val="005E6BDE"/>
    <w:rsid w:val="005E7D73"/>
    <w:rsid w:val="005F1251"/>
    <w:rsid w:val="005F140A"/>
    <w:rsid w:val="005F160C"/>
    <w:rsid w:val="005F1D9A"/>
    <w:rsid w:val="005F2113"/>
    <w:rsid w:val="005F229D"/>
    <w:rsid w:val="005F29FE"/>
    <w:rsid w:val="005F3679"/>
    <w:rsid w:val="005F5FEF"/>
    <w:rsid w:val="005F7027"/>
    <w:rsid w:val="005F74ED"/>
    <w:rsid w:val="005F7637"/>
    <w:rsid w:val="005F7B2E"/>
    <w:rsid w:val="005F7EF1"/>
    <w:rsid w:val="00600B29"/>
    <w:rsid w:val="00600B89"/>
    <w:rsid w:val="00600CFE"/>
    <w:rsid w:val="00601A44"/>
    <w:rsid w:val="0060207D"/>
    <w:rsid w:val="00602270"/>
    <w:rsid w:val="00602365"/>
    <w:rsid w:val="006025C5"/>
    <w:rsid w:val="00602647"/>
    <w:rsid w:val="00602720"/>
    <w:rsid w:val="006034B8"/>
    <w:rsid w:val="00603CD2"/>
    <w:rsid w:val="006057E5"/>
    <w:rsid w:val="006058DC"/>
    <w:rsid w:val="00605915"/>
    <w:rsid w:val="00605A6E"/>
    <w:rsid w:val="0060608D"/>
    <w:rsid w:val="0060664F"/>
    <w:rsid w:val="00606BE9"/>
    <w:rsid w:val="00606C02"/>
    <w:rsid w:val="00606C2D"/>
    <w:rsid w:val="00606CE1"/>
    <w:rsid w:val="006070F4"/>
    <w:rsid w:val="0060727D"/>
    <w:rsid w:val="00607D78"/>
    <w:rsid w:val="00611539"/>
    <w:rsid w:val="006119D3"/>
    <w:rsid w:val="006128BD"/>
    <w:rsid w:val="00612970"/>
    <w:rsid w:val="00612C38"/>
    <w:rsid w:val="00613847"/>
    <w:rsid w:val="00613A0D"/>
    <w:rsid w:val="00613A46"/>
    <w:rsid w:val="00613C46"/>
    <w:rsid w:val="006140BB"/>
    <w:rsid w:val="00614AB0"/>
    <w:rsid w:val="006153A1"/>
    <w:rsid w:val="006157B0"/>
    <w:rsid w:val="00616182"/>
    <w:rsid w:val="00616CCC"/>
    <w:rsid w:val="006172BF"/>
    <w:rsid w:val="0061765D"/>
    <w:rsid w:val="00617B0E"/>
    <w:rsid w:val="00617D94"/>
    <w:rsid w:val="00617FB8"/>
    <w:rsid w:val="0062079B"/>
    <w:rsid w:val="00620C2E"/>
    <w:rsid w:val="00621ECC"/>
    <w:rsid w:val="00622AAD"/>
    <w:rsid w:val="00622BF0"/>
    <w:rsid w:val="00622D11"/>
    <w:rsid w:val="00623019"/>
    <w:rsid w:val="00623117"/>
    <w:rsid w:val="0062361A"/>
    <w:rsid w:val="00623C9C"/>
    <w:rsid w:val="00624021"/>
    <w:rsid w:val="00624524"/>
    <w:rsid w:val="0062477D"/>
    <w:rsid w:val="00624C22"/>
    <w:rsid w:val="00624C6C"/>
    <w:rsid w:val="006252F7"/>
    <w:rsid w:val="00625843"/>
    <w:rsid w:val="00625B0C"/>
    <w:rsid w:val="00625FE0"/>
    <w:rsid w:val="006265FF"/>
    <w:rsid w:val="006268AC"/>
    <w:rsid w:val="00626D1E"/>
    <w:rsid w:val="006272A7"/>
    <w:rsid w:val="00627694"/>
    <w:rsid w:val="0062799B"/>
    <w:rsid w:val="00627A96"/>
    <w:rsid w:val="00630CB2"/>
    <w:rsid w:val="00630DDD"/>
    <w:rsid w:val="00631510"/>
    <w:rsid w:val="00631CE6"/>
    <w:rsid w:val="0063250B"/>
    <w:rsid w:val="006328D0"/>
    <w:rsid w:val="00632C9E"/>
    <w:rsid w:val="00633043"/>
    <w:rsid w:val="00633541"/>
    <w:rsid w:val="006337FF"/>
    <w:rsid w:val="00633B85"/>
    <w:rsid w:val="00633BB0"/>
    <w:rsid w:val="006343F2"/>
    <w:rsid w:val="0063456F"/>
    <w:rsid w:val="0063667C"/>
    <w:rsid w:val="00636B1B"/>
    <w:rsid w:val="00636D4E"/>
    <w:rsid w:val="00637186"/>
    <w:rsid w:val="00637296"/>
    <w:rsid w:val="00637840"/>
    <w:rsid w:val="00637AC6"/>
    <w:rsid w:val="006406A6"/>
    <w:rsid w:val="00640B08"/>
    <w:rsid w:val="006412D5"/>
    <w:rsid w:val="006418BD"/>
    <w:rsid w:val="00641DBB"/>
    <w:rsid w:val="00642EC1"/>
    <w:rsid w:val="0064320A"/>
    <w:rsid w:val="00644998"/>
    <w:rsid w:val="00644E69"/>
    <w:rsid w:val="00645098"/>
    <w:rsid w:val="006469F2"/>
    <w:rsid w:val="00646A86"/>
    <w:rsid w:val="00647A99"/>
    <w:rsid w:val="0065005A"/>
    <w:rsid w:val="00650796"/>
    <w:rsid w:val="0065195A"/>
    <w:rsid w:val="00651D6B"/>
    <w:rsid w:val="00652743"/>
    <w:rsid w:val="0065295D"/>
    <w:rsid w:val="00652C4D"/>
    <w:rsid w:val="00653445"/>
    <w:rsid w:val="006538C0"/>
    <w:rsid w:val="006538D3"/>
    <w:rsid w:val="00653D43"/>
    <w:rsid w:val="00654AAE"/>
    <w:rsid w:val="0065569B"/>
    <w:rsid w:val="00656470"/>
    <w:rsid w:val="006567EE"/>
    <w:rsid w:val="00656CB0"/>
    <w:rsid w:val="00657082"/>
    <w:rsid w:val="00657111"/>
    <w:rsid w:val="00657653"/>
    <w:rsid w:val="0065777F"/>
    <w:rsid w:val="00660163"/>
    <w:rsid w:val="00662378"/>
    <w:rsid w:val="00662885"/>
    <w:rsid w:val="00663997"/>
    <w:rsid w:val="00663E1B"/>
    <w:rsid w:val="00664BE3"/>
    <w:rsid w:val="00664E27"/>
    <w:rsid w:val="00664FF9"/>
    <w:rsid w:val="00665014"/>
    <w:rsid w:val="00665562"/>
    <w:rsid w:val="006666A8"/>
    <w:rsid w:val="006666FE"/>
    <w:rsid w:val="006667AB"/>
    <w:rsid w:val="00666B8E"/>
    <w:rsid w:val="00666C08"/>
    <w:rsid w:val="00666C0E"/>
    <w:rsid w:val="00666EF2"/>
    <w:rsid w:val="0066728E"/>
    <w:rsid w:val="0067062F"/>
    <w:rsid w:val="00670D8D"/>
    <w:rsid w:val="00670EAC"/>
    <w:rsid w:val="0067131D"/>
    <w:rsid w:val="00671375"/>
    <w:rsid w:val="006715D6"/>
    <w:rsid w:val="006717E8"/>
    <w:rsid w:val="00671EE8"/>
    <w:rsid w:val="006723B4"/>
    <w:rsid w:val="00672449"/>
    <w:rsid w:val="006734FC"/>
    <w:rsid w:val="00674034"/>
    <w:rsid w:val="00674542"/>
    <w:rsid w:val="0067467A"/>
    <w:rsid w:val="00675526"/>
    <w:rsid w:val="0067703A"/>
    <w:rsid w:val="0068030D"/>
    <w:rsid w:val="006813BC"/>
    <w:rsid w:val="00681464"/>
    <w:rsid w:val="0068190F"/>
    <w:rsid w:val="00682599"/>
    <w:rsid w:val="00682E51"/>
    <w:rsid w:val="006836AC"/>
    <w:rsid w:val="006837A5"/>
    <w:rsid w:val="006842F1"/>
    <w:rsid w:val="00684ACE"/>
    <w:rsid w:val="00684B8A"/>
    <w:rsid w:val="00684BDA"/>
    <w:rsid w:val="00684C2D"/>
    <w:rsid w:val="00684D26"/>
    <w:rsid w:val="0068516F"/>
    <w:rsid w:val="006856D6"/>
    <w:rsid w:val="00685D6F"/>
    <w:rsid w:val="006861F6"/>
    <w:rsid w:val="00686348"/>
    <w:rsid w:val="00686601"/>
    <w:rsid w:val="00686669"/>
    <w:rsid w:val="00686B35"/>
    <w:rsid w:val="00686D5F"/>
    <w:rsid w:val="00686D9C"/>
    <w:rsid w:val="00687BE5"/>
    <w:rsid w:val="00687BED"/>
    <w:rsid w:val="006903AD"/>
    <w:rsid w:val="00690453"/>
    <w:rsid w:val="00690A58"/>
    <w:rsid w:val="00690BC5"/>
    <w:rsid w:val="00690BDE"/>
    <w:rsid w:val="00690F1C"/>
    <w:rsid w:val="00691831"/>
    <w:rsid w:val="00691E0A"/>
    <w:rsid w:val="00692591"/>
    <w:rsid w:val="00692A35"/>
    <w:rsid w:val="00692BCA"/>
    <w:rsid w:val="00692BDF"/>
    <w:rsid w:val="00692F2D"/>
    <w:rsid w:val="00693372"/>
    <w:rsid w:val="006933A3"/>
    <w:rsid w:val="006936AD"/>
    <w:rsid w:val="0069397F"/>
    <w:rsid w:val="006940E7"/>
    <w:rsid w:val="006945CA"/>
    <w:rsid w:val="00694DA2"/>
    <w:rsid w:val="00695BEB"/>
    <w:rsid w:val="00696487"/>
    <w:rsid w:val="00696677"/>
    <w:rsid w:val="00697113"/>
    <w:rsid w:val="00697B2E"/>
    <w:rsid w:val="00697E9F"/>
    <w:rsid w:val="006A04DF"/>
    <w:rsid w:val="006A0735"/>
    <w:rsid w:val="006A0F36"/>
    <w:rsid w:val="006A19A8"/>
    <w:rsid w:val="006A1AC5"/>
    <w:rsid w:val="006A1B5C"/>
    <w:rsid w:val="006A1C33"/>
    <w:rsid w:val="006A202A"/>
    <w:rsid w:val="006A24F1"/>
    <w:rsid w:val="006A2AF2"/>
    <w:rsid w:val="006A2C4D"/>
    <w:rsid w:val="006A2CA7"/>
    <w:rsid w:val="006A35AA"/>
    <w:rsid w:val="006A3860"/>
    <w:rsid w:val="006A3ECD"/>
    <w:rsid w:val="006A480B"/>
    <w:rsid w:val="006A4BD6"/>
    <w:rsid w:val="006A53F9"/>
    <w:rsid w:val="006A552A"/>
    <w:rsid w:val="006A6B92"/>
    <w:rsid w:val="006A6C48"/>
    <w:rsid w:val="006A7DDA"/>
    <w:rsid w:val="006B00F6"/>
    <w:rsid w:val="006B08C8"/>
    <w:rsid w:val="006B0C6A"/>
    <w:rsid w:val="006B0D9B"/>
    <w:rsid w:val="006B195B"/>
    <w:rsid w:val="006B1A8E"/>
    <w:rsid w:val="006B1C43"/>
    <w:rsid w:val="006B2102"/>
    <w:rsid w:val="006B25D4"/>
    <w:rsid w:val="006B2BCF"/>
    <w:rsid w:val="006B2E2A"/>
    <w:rsid w:val="006B4157"/>
    <w:rsid w:val="006B4485"/>
    <w:rsid w:val="006B44EE"/>
    <w:rsid w:val="006B4633"/>
    <w:rsid w:val="006B49CE"/>
    <w:rsid w:val="006B4E7A"/>
    <w:rsid w:val="006B50DD"/>
    <w:rsid w:val="006B5ABD"/>
    <w:rsid w:val="006B5CF5"/>
    <w:rsid w:val="006B63C1"/>
    <w:rsid w:val="006B6656"/>
    <w:rsid w:val="006B67F4"/>
    <w:rsid w:val="006B6A39"/>
    <w:rsid w:val="006B7DB6"/>
    <w:rsid w:val="006C003E"/>
    <w:rsid w:val="006C03BB"/>
    <w:rsid w:val="006C0743"/>
    <w:rsid w:val="006C1315"/>
    <w:rsid w:val="006C1768"/>
    <w:rsid w:val="006C1B7A"/>
    <w:rsid w:val="006C1E86"/>
    <w:rsid w:val="006C2468"/>
    <w:rsid w:val="006C2A49"/>
    <w:rsid w:val="006C3A26"/>
    <w:rsid w:val="006C40E6"/>
    <w:rsid w:val="006C5011"/>
    <w:rsid w:val="006C50BC"/>
    <w:rsid w:val="006C53D3"/>
    <w:rsid w:val="006C5D56"/>
    <w:rsid w:val="006C6E34"/>
    <w:rsid w:val="006C7606"/>
    <w:rsid w:val="006C775D"/>
    <w:rsid w:val="006D01B5"/>
    <w:rsid w:val="006D0B4D"/>
    <w:rsid w:val="006D1001"/>
    <w:rsid w:val="006D10F5"/>
    <w:rsid w:val="006D1276"/>
    <w:rsid w:val="006D16EA"/>
    <w:rsid w:val="006D1BC6"/>
    <w:rsid w:val="006D2B90"/>
    <w:rsid w:val="006D358C"/>
    <w:rsid w:val="006D4230"/>
    <w:rsid w:val="006D47A4"/>
    <w:rsid w:val="006D4B72"/>
    <w:rsid w:val="006D4D12"/>
    <w:rsid w:val="006D513D"/>
    <w:rsid w:val="006D546C"/>
    <w:rsid w:val="006D5874"/>
    <w:rsid w:val="006D5FD8"/>
    <w:rsid w:val="006D6C7C"/>
    <w:rsid w:val="006D7D29"/>
    <w:rsid w:val="006E03ED"/>
    <w:rsid w:val="006E08AC"/>
    <w:rsid w:val="006E0D18"/>
    <w:rsid w:val="006E0D44"/>
    <w:rsid w:val="006E1020"/>
    <w:rsid w:val="006E12C6"/>
    <w:rsid w:val="006E2071"/>
    <w:rsid w:val="006E21FD"/>
    <w:rsid w:val="006E34B4"/>
    <w:rsid w:val="006E3658"/>
    <w:rsid w:val="006E383C"/>
    <w:rsid w:val="006E3B8E"/>
    <w:rsid w:val="006E4163"/>
    <w:rsid w:val="006E419D"/>
    <w:rsid w:val="006E5019"/>
    <w:rsid w:val="006E584E"/>
    <w:rsid w:val="006E587F"/>
    <w:rsid w:val="006E5A57"/>
    <w:rsid w:val="006E5AD3"/>
    <w:rsid w:val="006E6099"/>
    <w:rsid w:val="006E6140"/>
    <w:rsid w:val="006E66C0"/>
    <w:rsid w:val="006E6E2B"/>
    <w:rsid w:val="006E73C2"/>
    <w:rsid w:val="006F00C3"/>
    <w:rsid w:val="006F0249"/>
    <w:rsid w:val="006F0583"/>
    <w:rsid w:val="006F0792"/>
    <w:rsid w:val="006F1126"/>
    <w:rsid w:val="006F1504"/>
    <w:rsid w:val="006F17F7"/>
    <w:rsid w:val="006F2A1F"/>
    <w:rsid w:val="006F2D27"/>
    <w:rsid w:val="006F2F05"/>
    <w:rsid w:val="006F2F93"/>
    <w:rsid w:val="006F3D56"/>
    <w:rsid w:val="006F44EE"/>
    <w:rsid w:val="006F4555"/>
    <w:rsid w:val="006F45D8"/>
    <w:rsid w:val="006F460F"/>
    <w:rsid w:val="006F5519"/>
    <w:rsid w:val="006F5713"/>
    <w:rsid w:val="006F5B43"/>
    <w:rsid w:val="006F5FE1"/>
    <w:rsid w:val="006F7114"/>
    <w:rsid w:val="006F7F5E"/>
    <w:rsid w:val="006F7FD0"/>
    <w:rsid w:val="007001E2"/>
    <w:rsid w:val="0070053B"/>
    <w:rsid w:val="0070084D"/>
    <w:rsid w:val="00700AE9"/>
    <w:rsid w:val="00701464"/>
    <w:rsid w:val="00701A69"/>
    <w:rsid w:val="00702058"/>
    <w:rsid w:val="007026CA"/>
    <w:rsid w:val="00702AD9"/>
    <w:rsid w:val="0070319C"/>
    <w:rsid w:val="00703252"/>
    <w:rsid w:val="00704099"/>
    <w:rsid w:val="007044BA"/>
    <w:rsid w:val="007045AE"/>
    <w:rsid w:val="0070497C"/>
    <w:rsid w:val="00704BC6"/>
    <w:rsid w:val="007051A8"/>
    <w:rsid w:val="0070525A"/>
    <w:rsid w:val="007057B0"/>
    <w:rsid w:val="00705919"/>
    <w:rsid w:val="00705A7E"/>
    <w:rsid w:val="00705B22"/>
    <w:rsid w:val="00705FD9"/>
    <w:rsid w:val="00706477"/>
    <w:rsid w:val="007066B8"/>
    <w:rsid w:val="00706F28"/>
    <w:rsid w:val="00706FF6"/>
    <w:rsid w:val="00707DC1"/>
    <w:rsid w:val="00711F60"/>
    <w:rsid w:val="0071206B"/>
    <w:rsid w:val="007126E3"/>
    <w:rsid w:val="00712992"/>
    <w:rsid w:val="0071305B"/>
    <w:rsid w:val="00713B94"/>
    <w:rsid w:val="00713F8B"/>
    <w:rsid w:val="00713FAD"/>
    <w:rsid w:val="007141DB"/>
    <w:rsid w:val="00715AE9"/>
    <w:rsid w:val="00716412"/>
    <w:rsid w:val="00717675"/>
    <w:rsid w:val="00717AE7"/>
    <w:rsid w:val="007201A4"/>
    <w:rsid w:val="00720603"/>
    <w:rsid w:val="007207FB"/>
    <w:rsid w:val="00720841"/>
    <w:rsid w:val="00721000"/>
    <w:rsid w:val="007218DC"/>
    <w:rsid w:val="00722C20"/>
    <w:rsid w:val="00723449"/>
    <w:rsid w:val="007234A1"/>
    <w:rsid w:val="00723891"/>
    <w:rsid w:val="007240C8"/>
    <w:rsid w:val="007242CA"/>
    <w:rsid w:val="007251C5"/>
    <w:rsid w:val="00725CE8"/>
    <w:rsid w:val="00726BA4"/>
    <w:rsid w:val="00726F6E"/>
    <w:rsid w:val="0072707A"/>
    <w:rsid w:val="00727638"/>
    <w:rsid w:val="00727659"/>
    <w:rsid w:val="00727D0F"/>
    <w:rsid w:val="00727E7E"/>
    <w:rsid w:val="0073083E"/>
    <w:rsid w:val="00730CA3"/>
    <w:rsid w:val="007310D4"/>
    <w:rsid w:val="0073154F"/>
    <w:rsid w:val="00732AE3"/>
    <w:rsid w:val="0073317D"/>
    <w:rsid w:val="00733971"/>
    <w:rsid w:val="00733DD0"/>
    <w:rsid w:val="007349FC"/>
    <w:rsid w:val="00734A58"/>
    <w:rsid w:val="00734D4D"/>
    <w:rsid w:val="00734E80"/>
    <w:rsid w:val="007353DD"/>
    <w:rsid w:val="00735EEC"/>
    <w:rsid w:val="00736CF3"/>
    <w:rsid w:val="00737511"/>
    <w:rsid w:val="007403F0"/>
    <w:rsid w:val="00740C96"/>
    <w:rsid w:val="00741EAF"/>
    <w:rsid w:val="00742D8C"/>
    <w:rsid w:val="00742E53"/>
    <w:rsid w:val="00742E76"/>
    <w:rsid w:val="007434AB"/>
    <w:rsid w:val="007436A7"/>
    <w:rsid w:val="00743A26"/>
    <w:rsid w:val="007442E4"/>
    <w:rsid w:val="00744352"/>
    <w:rsid w:val="007444B8"/>
    <w:rsid w:val="00744AD2"/>
    <w:rsid w:val="00744F65"/>
    <w:rsid w:val="00745661"/>
    <w:rsid w:val="00745D0C"/>
    <w:rsid w:val="00746104"/>
    <w:rsid w:val="00746725"/>
    <w:rsid w:val="00746A6E"/>
    <w:rsid w:val="007470AB"/>
    <w:rsid w:val="00747491"/>
    <w:rsid w:val="007477E2"/>
    <w:rsid w:val="00747939"/>
    <w:rsid w:val="007479C2"/>
    <w:rsid w:val="007479D2"/>
    <w:rsid w:val="00747CF9"/>
    <w:rsid w:val="00747F76"/>
    <w:rsid w:val="007503D8"/>
    <w:rsid w:val="00750645"/>
    <w:rsid w:val="007519C7"/>
    <w:rsid w:val="00752AF9"/>
    <w:rsid w:val="00752ED7"/>
    <w:rsid w:val="00752F38"/>
    <w:rsid w:val="00753015"/>
    <w:rsid w:val="007532D9"/>
    <w:rsid w:val="0075334F"/>
    <w:rsid w:val="007536E1"/>
    <w:rsid w:val="00753A17"/>
    <w:rsid w:val="00754AA9"/>
    <w:rsid w:val="00754ACD"/>
    <w:rsid w:val="00754F33"/>
    <w:rsid w:val="0075526F"/>
    <w:rsid w:val="0075702B"/>
    <w:rsid w:val="007575D7"/>
    <w:rsid w:val="00757BB6"/>
    <w:rsid w:val="007602B1"/>
    <w:rsid w:val="007609C2"/>
    <w:rsid w:val="00761D4B"/>
    <w:rsid w:val="00762059"/>
    <w:rsid w:val="00762605"/>
    <w:rsid w:val="00762FA9"/>
    <w:rsid w:val="00763010"/>
    <w:rsid w:val="007632DE"/>
    <w:rsid w:val="007634EF"/>
    <w:rsid w:val="00764224"/>
    <w:rsid w:val="007644F9"/>
    <w:rsid w:val="00764C25"/>
    <w:rsid w:val="00764CE2"/>
    <w:rsid w:val="0076518C"/>
    <w:rsid w:val="007651F9"/>
    <w:rsid w:val="00765290"/>
    <w:rsid w:val="00765362"/>
    <w:rsid w:val="00765C17"/>
    <w:rsid w:val="00765DE5"/>
    <w:rsid w:val="00765E28"/>
    <w:rsid w:val="007660DF"/>
    <w:rsid w:val="00766411"/>
    <w:rsid w:val="00766703"/>
    <w:rsid w:val="00766B8A"/>
    <w:rsid w:val="00766C2A"/>
    <w:rsid w:val="00767223"/>
    <w:rsid w:val="0076735B"/>
    <w:rsid w:val="00767EE7"/>
    <w:rsid w:val="007705FF"/>
    <w:rsid w:val="00770ACE"/>
    <w:rsid w:val="00770D26"/>
    <w:rsid w:val="007711D8"/>
    <w:rsid w:val="007721F3"/>
    <w:rsid w:val="0077246F"/>
    <w:rsid w:val="0077447E"/>
    <w:rsid w:val="007744F6"/>
    <w:rsid w:val="007751AC"/>
    <w:rsid w:val="00775201"/>
    <w:rsid w:val="00775207"/>
    <w:rsid w:val="00775F1C"/>
    <w:rsid w:val="00776AD5"/>
    <w:rsid w:val="0077746B"/>
    <w:rsid w:val="00777B00"/>
    <w:rsid w:val="00777B9C"/>
    <w:rsid w:val="00780422"/>
    <w:rsid w:val="0078102C"/>
    <w:rsid w:val="007811A9"/>
    <w:rsid w:val="00781401"/>
    <w:rsid w:val="007815E2"/>
    <w:rsid w:val="0078177C"/>
    <w:rsid w:val="00781A55"/>
    <w:rsid w:val="007820AA"/>
    <w:rsid w:val="0078247A"/>
    <w:rsid w:val="007826E4"/>
    <w:rsid w:val="007834E3"/>
    <w:rsid w:val="0078372A"/>
    <w:rsid w:val="00784254"/>
    <w:rsid w:val="00784B2B"/>
    <w:rsid w:val="00784BB5"/>
    <w:rsid w:val="00785F14"/>
    <w:rsid w:val="0078626D"/>
    <w:rsid w:val="00786A6B"/>
    <w:rsid w:val="00786D3E"/>
    <w:rsid w:val="0078747D"/>
    <w:rsid w:val="00787643"/>
    <w:rsid w:val="00787DD2"/>
    <w:rsid w:val="007906FD"/>
    <w:rsid w:val="00790F0B"/>
    <w:rsid w:val="00790FEF"/>
    <w:rsid w:val="00791E38"/>
    <w:rsid w:val="00792074"/>
    <w:rsid w:val="00792455"/>
    <w:rsid w:val="007926DF"/>
    <w:rsid w:val="00792AA4"/>
    <w:rsid w:val="00792EC2"/>
    <w:rsid w:val="00792FF5"/>
    <w:rsid w:val="0079356F"/>
    <w:rsid w:val="00794395"/>
    <w:rsid w:val="0079503C"/>
    <w:rsid w:val="0079559F"/>
    <w:rsid w:val="00795D58"/>
    <w:rsid w:val="007966FB"/>
    <w:rsid w:val="00796B59"/>
    <w:rsid w:val="00796B5E"/>
    <w:rsid w:val="00796C98"/>
    <w:rsid w:val="00796F8D"/>
    <w:rsid w:val="00797351"/>
    <w:rsid w:val="00797C36"/>
    <w:rsid w:val="007A025C"/>
    <w:rsid w:val="007A1753"/>
    <w:rsid w:val="007A1B85"/>
    <w:rsid w:val="007A27C7"/>
    <w:rsid w:val="007A2B69"/>
    <w:rsid w:val="007A3699"/>
    <w:rsid w:val="007A4366"/>
    <w:rsid w:val="007A4AD1"/>
    <w:rsid w:val="007A4D4A"/>
    <w:rsid w:val="007A5697"/>
    <w:rsid w:val="007A610F"/>
    <w:rsid w:val="007A696C"/>
    <w:rsid w:val="007A6D6B"/>
    <w:rsid w:val="007A703C"/>
    <w:rsid w:val="007A7179"/>
    <w:rsid w:val="007B0702"/>
    <w:rsid w:val="007B0761"/>
    <w:rsid w:val="007B10CD"/>
    <w:rsid w:val="007B16B4"/>
    <w:rsid w:val="007B203F"/>
    <w:rsid w:val="007B2670"/>
    <w:rsid w:val="007B3963"/>
    <w:rsid w:val="007B3B9A"/>
    <w:rsid w:val="007B3D35"/>
    <w:rsid w:val="007B40FB"/>
    <w:rsid w:val="007B4145"/>
    <w:rsid w:val="007B42E4"/>
    <w:rsid w:val="007B4553"/>
    <w:rsid w:val="007B4A53"/>
    <w:rsid w:val="007B4F35"/>
    <w:rsid w:val="007B55C0"/>
    <w:rsid w:val="007B5C81"/>
    <w:rsid w:val="007B7E76"/>
    <w:rsid w:val="007C000C"/>
    <w:rsid w:val="007C00F6"/>
    <w:rsid w:val="007C024C"/>
    <w:rsid w:val="007C0AFC"/>
    <w:rsid w:val="007C125B"/>
    <w:rsid w:val="007C14C0"/>
    <w:rsid w:val="007C16E3"/>
    <w:rsid w:val="007C2A2F"/>
    <w:rsid w:val="007C3AA4"/>
    <w:rsid w:val="007C4178"/>
    <w:rsid w:val="007C4B3E"/>
    <w:rsid w:val="007C4BB6"/>
    <w:rsid w:val="007C5428"/>
    <w:rsid w:val="007C55DE"/>
    <w:rsid w:val="007C5BD5"/>
    <w:rsid w:val="007C63D0"/>
    <w:rsid w:val="007C6C68"/>
    <w:rsid w:val="007C7706"/>
    <w:rsid w:val="007C7E38"/>
    <w:rsid w:val="007D0380"/>
    <w:rsid w:val="007D073B"/>
    <w:rsid w:val="007D148D"/>
    <w:rsid w:val="007D2E6D"/>
    <w:rsid w:val="007D308A"/>
    <w:rsid w:val="007D3670"/>
    <w:rsid w:val="007D3A33"/>
    <w:rsid w:val="007D5420"/>
    <w:rsid w:val="007D71A7"/>
    <w:rsid w:val="007D7386"/>
    <w:rsid w:val="007E08B2"/>
    <w:rsid w:val="007E094B"/>
    <w:rsid w:val="007E1026"/>
    <w:rsid w:val="007E1454"/>
    <w:rsid w:val="007E14C4"/>
    <w:rsid w:val="007E1D0F"/>
    <w:rsid w:val="007E2042"/>
    <w:rsid w:val="007E2425"/>
    <w:rsid w:val="007E2AC4"/>
    <w:rsid w:val="007E3883"/>
    <w:rsid w:val="007E55AB"/>
    <w:rsid w:val="007E59A9"/>
    <w:rsid w:val="007E5BFA"/>
    <w:rsid w:val="007E6E44"/>
    <w:rsid w:val="007E7544"/>
    <w:rsid w:val="007F04D4"/>
    <w:rsid w:val="007F15B5"/>
    <w:rsid w:val="007F20D9"/>
    <w:rsid w:val="007F2A85"/>
    <w:rsid w:val="007F2E3F"/>
    <w:rsid w:val="007F3017"/>
    <w:rsid w:val="007F3466"/>
    <w:rsid w:val="007F3FD4"/>
    <w:rsid w:val="007F4695"/>
    <w:rsid w:val="007F6619"/>
    <w:rsid w:val="007F675C"/>
    <w:rsid w:val="007F7873"/>
    <w:rsid w:val="0080033F"/>
    <w:rsid w:val="008008BF"/>
    <w:rsid w:val="00800FA9"/>
    <w:rsid w:val="008012DB"/>
    <w:rsid w:val="00802033"/>
    <w:rsid w:val="008026F1"/>
    <w:rsid w:val="008027CB"/>
    <w:rsid w:val="008036A0"/>
    <w:rsid w:val="0080379E"/>
    <w:rsid w:val="00803DC5"/>
    <w:rsid w:val="00804002"/>
    <w:rsid w:val="00804757"/>
    <w:rsid w:val="0080492A"/>
    <w:rsid w:val="00804D76"/>
    <w:rsid w:val="00805496"/>
    <w:rsid w:val="0080554C"/>
    <w:rsid w:val="00805797"/>
    <w:rsid w:val="0080580F"/>
    <w:rsid w:val="00806199"/>
    <w:rsid w:val="008062EB"/>
    <w:rsid w:val="00806467"/>
    <w:rsid w:val="008066F8"/>
    <w:rsid w:val="00806F17"/>
    <w:rsid w:val="00807543"/>
    <w:rsid w:val="00807B15"/>
    <w:rsid w:val="00807E3E"/>
    <w:rsid w:val="008103AA"/>
    <w:rsid w:val="00810526"/>
    <w:rsid w:val="008106DF"/>
    <w:rsid w:val="00810A08"/>
    <w:rsid w:val="00810C81"/>
    <w:rsid w:val="00811A84"/>
    <w:rsid w:val="00811C33"/>
    <w:rsid w:val="00811D22"/>
    <w:rsid w:val="00811E94"/>
    <w:rsid w:val="00812380"/>
    <w:rsid w:val="0081354E"/>
    <w:rsid w:val="008139C1"/>
    <w:rsid w:val="00813E6F"/>
    <w:rsid w:val="008140E5"/>
    <w:rsid w:val="00814815"/>
    <w:rsid w:val="00814DA2"/>
    <w:rsid w:val="00814EAC"/>
    <w:rsid w:val="008151C4"/>
    <w:rsid w:val="008169CD"/>
    <w:rsid w:val="00816D89"/>
    <w:rsid w:val="00816D8E"/>
    <w:rsid w:val="00816FD3"/>
    <w:rsid w:val="0081721A"/>
    <w:rsid w:val="008173DB"/>
    <w:rsid w:val="00817CF2"/>
    <w:rsid w:val="00817E07"/>
    <w:rsid w:val="00820007"/>
    <w:rsid w:val="00820238"/>
    <w:rsid w:val="0082076D"/>
    <w:rsid w:val="008207A2"/>
    <w:rsid w:val="00820A06"/>
    <w:rsid w:val="00820C7F"/>
    <w:rsid w:val="0082114B"/>
    <w:rsid w:val="00821416"/>
    <w:rsid w:val="00821516"/>
    <w:rsid w:val="00821549"/>
    <w:rsid w:val="0082188F"/>
    <w:rsid w:val="0082203B"/>
    <w:rsid w:val="008234FB"/>
    <w:rsid w:val="00823601"/>
    <w:rsid w:val="008236A1"/>
    <w:rsid w:val="008249D3"/>
    <w:rsid w:val="008253E9"/>
    <w:rsid w:val="00825422"/>
    <w:rsid w:val="008261EE"/>
    <w:rsid w:val="00826C0A"/>
    <w:rsid w:val="00827B75"/>
    <w:rsid w:val="00827B80"/>
    <w:rsid w:val="00827DA3"/>
    <w:rsid w:val="008301F9"/>
    <w:rsid w:val="0083115A"/>
    <w:rsid w:val="0083130D"/>
    <w:rsid w:val="00831348"/>
    <w:rsid w:val="00831463"/>
    <w:rsid w:val="0083154C"/>
    <w:rsid w:val="00831627"/>
    <w:rsid w:val="00831EC7"/>
    <w:rsid w:val="00832C9F"/>
    <w:rsid w:val="00833918"/>
    <w:rsid w:val="00833BC0"/>
    <w:rsid w:val="00834A87"/>
    <w:rsid w:val="0083594D"/>
    <w:rsid w:val="008359FE"/>
    <w:rsid w:val="00835B64"/>
    <w:rsid w:val="00835CB3"/>
    <w:rsid w:val="00835F56"/>
    <w:rsid w:val="0083655C"/>
    <w:rsid w:val="008368A8"/>
    <w:rsid w:val="00836C0E"/>
    <w:rsid w:val="00837093"/>
    <w:rsid w:val="00837403"/>
    <w:rsid w:val="0083768E"/>
    <w:rsid w:val="00837B1A"/>
    <w:rsid w:val="00837D31"/>
    <w:rsid w:val="00840400"/>
    <w:rsid w:val="00840E8E"/>
    <w:rsid w:val="008416E1"/>
    <w:rsid w:val="008418FB"/>
    <w:rsid w:val="00841D49"/>
    <w:rsid w:val="00842299"/>
    <w:rsid w:val="008423E8"/>
    <w:rsid w:val="00842817"/>
    <w:rsid w:val="00842AE3"/>
    <w:rsid w:val="00842C82"/>
    <w:rsid w:val="00843501"/>
    <w:rsid w:val="00844107"/>
    <w:rsid w:val="008446AA"/>
    <w:rsid w:val="008447A6"/>
    <w:rsid w:val="00844A09"/>
    <w:rsid w:val="00844CCA"/>
    <w:rsid w:val="00844DFD"/>
    <w:rsid w:val="00844EFE"/>
    <w:rsid w:val="008462CE"/>
    <w:rsid w:val="008463B8"/>
    <w:rsid w:val="0084691B"/>
    <w:rsid w:val="00846B24"/>
    <w:rsid w:val="00846EBB"/>
    <w:rsid w:val="00847ECF"/>
    <w:rsid w:val="00850048"/>
    <w:rsid w:val="00850936"/>
    <w:rsid w:val="00850994"/>
    <w:rsid w:val="00851C86"/>
    <w:rsid w:val="00852253"/>
    <w:rsid w:val="0085245C"/>
    <w:rsid w:val="00853727"/>
    <w:rsid w:val="00853C7D"/>
    <w:rsid w:val="0085401E"/>
    <w:rsid w:val="0085641F"/>
    <w:rsid w:val="008567E4"/>
    <w:rsid w:val="008577A6"/>
    <w:rsid w:val="00860547"/>
    <w:rsid w:val="00860A49"/>
    <w:rsid w:val="00860AEB"/>
    <w:rsid w:val="00860D63"/>
    <w:rsid w:val="00860F18"/>
    <w:rsid w:val="0086129A"/>
    <w:rsid w:val="00861935"/>
    <w:rsid w:val="00863885"/>
    <w:rsid w:val="008639E7"/>
    <w:rsid w:val="008639F3"/>
    <w:rsid w:val="00863B81"/>
    <w:rsid w:val="00864063"/>
    <w:rsid w:val="00864460"/>
    <w:rsid w:val="008649B4"/>
    <w:rsid w:val="00864A37"/>
    <w:rsid w:val="00864DC1"/>
    <w:rsid w:val="00865A75"/>
    <w:rsid w:val="00865B00"/>
    <w:rsid w:val="008670AC"/>
    <w:rsid w:val="00867550"/>
    <w:rsid w:val="00867B45"/>
    <w:rsid w:val="00870344"/>
    <w:rsid w:val="00871188"/>
    <w:rsid w:val="008718C2"/>
    <w:rsid w:val="00871C34"/>
    <w:rsid w:val="00871CFA"/>
    <w:rsid w:val="00871F8E"/>
    <w:rsid w:val="008726F3"/>
    <w:rsid w:val="00872846"/>
    <w:rsid w:val="00873DEE"/>
    <w:rsid w:val="00874772"/>
    <w:rsid w:val="00876488"/>
    <w:rsid w:val="00876708"/>
    <w:rsid w:val="00876A38"/>
    <w:rsid w:val="00876F7D"/>
    <w:rsid w:val="008771D7"/>
    <w:rsid w:val="008773C9"/>
    <w:rsid w:val="00880018"/>
    <w:rsid w:val="00880A7E"/>
    <w:rsid w:val="00881738"/>
    <w:rsid w:val="008826F8"/>
    <w:rsid w:val="0088278E"/>
    <w:rsid w:val="0088367C"/>
    <w:rsid w:val="00883F00"/>
    <w:rsid w:val="0088451A"/>
    <w:rsid w:val="0088473C"/>
    <w:rsid w:val="00884D30"/>
    <w:rsid w:val="008859A5"/>
    <w:rsid w:val="0088611E"/>
    <w:rsid w:val="00886C95"/>
    <w:rsid w:val="00887030"/>
    <w:rsid w:val="00887C4D"/>
    <w:rsid w:val="008904A7"/>
    <w:rsid w:val="008904C1"/>
    <w:rsid w:val="00890D99"/>
    <w:rsid w:val="00890DEF"/>
    <w:rsid w:val="00891CBF"/>
    <w:rsid w:val="00891DE2"/>
    <w:rsid w:val="00891E8A"/>
    <w:rsid w:val="00892549"/>
    <w:rsid w:val="00892FEA"/>
    <w:rsid w:val="008933A9"/>
    <w:rsid w:val="00893567"/>
    <w:rsid w:val="00893705"/>
    <w:rsid w:val="00894E4E"/>
    <w:rsid w:val="00895096"/>
    <w:rsid w:val="008951B4"/>
    <w:rsid w:val="0089544B"/>
    <w:rsid w:val="00896236"/>
    <w:rsid w:val="00897168"/>
    <w:rsid w:val="0089734E"/>
    <w:rsid w:val="0089758D"/>
    <w:rsid w:val="008A077B"/>
    <w:rsid w:val="008A0E42"/>
    <w:rsid w:val="008A0EBA"/>
    <w:rsid w:val="008A0F09"/>
    <w:rsid w:val="008A0FEC"/>
    <w:rsid w:val="008A1B6B"/>
    <w:rsid w:val="008A26E7"/>
    <w:rsid w:val="008A34A7"/>
    <w:rsid w:val="008A4658"/>
    <w:rsid w:val="008A4C63"/>
    <w:rsid w:val="008A4DFB"/>
    <w:rsid w:val="008A6227"/>
    <w:rsid w:val="008A6462"/>
    <w:rsid w:val="008A6509"/>
    <w:rsid w:val="008A68BB"/>
    <w:rsid w:val="008A726F"/>
    <w:rsid w:val="008A73C6"/>
    <w:rsid w:val="008A7888"/>
    <w:rsid w:val="008A7E24"/>
    <w:rsid w:val="008A7FF0"/>
    <w:rsid w:val="008B03A0"/>
    <w:rsid w:val="008B03BC"/>
    <w:rsid w:val="008B0C3E"/>
    <w:rsid w:val="008B0CB9"/>
    <w:rsid w:val="008B1C6B"/>
    <w:rsid w:val="008B1E43"/>
    <w:rsid w:val="008B2366"/>
    <w:rsid w:val="008B263E"/>
    <w:rsid w:val="008B2652"/>
    <w:rsid w:val="008B2A11"/>
    <w:rsid w:val="008B2C2F"/>
    <w:rsid w:val="008B2E32"/>
    <w:rsid w:val="008B36D4"/>
    <w:rsid w:val="008B394B"/>
    <w:rsid w:val="008B3C86"/>
    <w:rsid w:val="008B3FBD"/>
    <w:rsid w:val="008B4324"/>
    <w:rsid w:val="008B4708"/>
    <w:rsid w:val="008B51D6"/>
    <w:rsid w:val="008B6323"/>
    <w:rsid w:val="008B6466"/>
    <w:rsid w:val="008B65C7"/>
    <w:rsid w:val="008B735D"/>
    <w:rsid w:val="008C1127"/>
    <w:rsid w:val="008C130E"/>
    <w:rsid w:val="008C26E8"/>
    <w:rsid w:val="008C2917"/>
    <w:rsid w:val="008C2AAF"/>
    <w:rsid w:val="008C2B7D"/>
    <w:rsid w:val="008C34A2"/>
    <w:rsid w:val="008C42A8"/>
    <w:rsid w:val="008C536A"/>
    <w:rsid w:val="008C59EE"/>
    <w:rsid w:val="008C5BF3"/>
    <w:rsid w:val="008C5CCB"/>
    <w:rsid w:val="008C616E"/>
    <w:rsid w:val="008C61B8"/>
    <w:rsid w:val="008C653A"/>
    <w:rsid w:val="008C655D"/>
    <w:rsid w:val="008C6EE7"/>
    <w:rsid w:val="008C72BB"/>
    <w:rsid w:val="008C7330"/>
    <w:rsid w:val="008C7B61"/>
    <w:rsid w:val="008C7D2F"/>
    <w:rsid w:val="008D0056"/>
    <w:rsid w:val="008D0BD2"/>
    <w:rsid w:val="008D0CDB"/>
    <w:rsid w:val="008D16CE"/>
    <w:rsid w:val="008D16F3"/>
    <w:rsid w:val="008D1EC3"/>
    <w:rsid w:val="008D2A40"/>
    <w:rsid w:val="008D2D3A"/>
    <w:rsid w:val="008D30D9"/>
    <w:rsid w:val="008D4D24"/>
    <w:rsid w:val="008D4E30"/>
    <w:rsid w:val="008D59BE"/>
    <w:rsid w:val="008D5CDD"/>
    <w:rsid w:val="008D72CF"/>
    <w:rsid w:val="008E02AA"/>
    <w:rsid w:val="008E1137"/>
    <w:rsid w:val="008E1951"/>
    <w:rsid w:val="008E2739"/>
    <w:rsid w:val="008E2F81"/>
    <w:rsid w:val="008E3905"/>
    <w:rsid w:val="008E39DE"/>
    <w:rsid w:val="008E3B9B"/>
    <w:rsid w:val="008E3FDF"/>
    <w:rsid w:val="008E4061"/>
    <w:rsid w:val="008E46FC"/>
    <w:rsid w:val="008E47D8"/>
    <w:rsid w:val="008E48EA"/>
    <w:rsid w:val="008E49D3"/>
    <w:rsid w:val="008E5563"/>
    <w:rsid w:val="008E563C"/>
    <w:rsid w:val="008E6064"/>
    <w:rsid w:val="008E665C"/>
    <w:rsid w:val="008E7110"/>
    <w:rsid w:val="008E71FD"/>
    <w:rsid w:val="008F071F"/>
    <w:rsid w:val="008F0D8C"/>
    <w:rsid w:val="008F0EF5"/>
    <w:rsid w:val="008F0FBE"/>
    <w:rsid w:val="008F13E8"/>
    <w:rsid w:val="008F1FF1"/>
    <w:rsid w:val="008F2111"/>
    <w:rsid w:val="008F2241"/>
    <w:rsid w:val="008F315A"/>
    <w:rsid w:val="008F32C2"/>
    <w:rsid w:val="008F368B"/>
    <w:rsid w:val="008F36A7"/>
    <w:rsid w:val="008F4021"/>
    <w:rsid w:val="008F41E1"/>
    <w:rsid w:val="008F47AE"/>
    <w:rsid w:val="008F49DA"/>
    <w:rsid w:val="008F505E"/>
    <w:rsid w:val="008F5627"/>
    <w:rsid w:val="008F5729"/>
    <w:rsid w:val="008F58CA"/>
    <w:rsid w:val="008F5E0A"/>
    <w:rsid w:val="008F60D5"/>
    <w:rsid w:val="008F614C"/>
    <w:rsid w:val="008F6376"/>
    <w:rsid w:val="008F6435"/>
    <w:rsid w:val="009000D1"/>
    <w:rsid w:val="0090156A"/>
    <w:rsid w:val="00901669"/>
    <w:rsid w:val="009019FC"/>
    <w:rsid w:val="00901DFB"/>
    <w:rsid w:val="00902024"/>
    <w:rsid w:val="009028D8"/>
    <w:rsid w:val="00902A94"/>
    <w:rsid w:val="0090315B"/>
    <w:rsid w:val="00903684"/>
    <w:rsid w:val="00903CCA"/>
    <w:rsid w:val="0090407C"/>
    <w:rsid w:val="009045B3"/>
    <w:rsid w:val="009049C6"/>
    <w:rsid w:val="00904EB0"/>
    <w:rsid w:val="009052E9"/>
    <w:rsid w:val="00906036"/>
    <w:rsid w:val="00906799"/>
    <w:rsid w:val="009074AA"/>
    <w:rsid w:val="009078F8"/>
    <w:rsid w:val="009079A9"/>
    <w:rsid w:val="00907E9F"/>
    <w:rsid w:val="0091023F"/>
    <w:rsid w:val="00910A74"/>
    <w:rsid w:val="0091102E"/>
    <w:rsid w:val="009110D8"/>
    <w:rsid w:val="009110F6"/>
    <w:rsid w:val="009118A9"/>
    <w:rsid w:val="00911D44"/>
    <w:rsid w:val="00911D51"/>
    <w:rsid w:val="00911E5F"/>
    <w:rsid w:val="00913567"/>
    <w:rsid w:val="00913700"/>
    <w:rsid w:val="009140E3"/>
    <w:rsid w:val="00914352"/>
    <w:rsid w:val="00914F4B"/>
    <w:rsid w:val="00920415"/>
    <w:rsid w:val="009204F2"/>
    <w:rsid w:val="00920716"/>
    <w:rsid w:val="00920889"/>
    <w:rsid w:val="00920960"/>
    <w:rsid w:val="00922062"/>
    <w:rsid w:val="00922FC0"/>
    <w:rsid w:val="00923E3C"/>
    <w:rsid w:val="00924A23"/>
    <w:rsid w:val="00924A62"/>
    <w:rsid w:val="00924F9E"/>
    <w:rsid w:val="0092574A"/>
    <w:rsid w:val="0092794A"/>
    <w:rsid w:val="009300C1"/>
    <w:rsid w:val="009308D9"/>
    <w:rsid w:val="00931730"/>
    <w:rsid w:val="00931767"/>
    <w:rsid w:val="009320D3"/>
    <w:rsid w:val="00932FF5"/>
    <w:rsid w:val="00933D25"/>
    <w:rsid w:val="00934A13"/>
    <w:rsid w:val="00934DDF"/>
    <w:rsid w:val="00935D43"/>
    <w:rsid w:val="00937799"/>
    <w:rsid w:val="0093790F"/>
    <w:rsid w:val="00937CF4"/>
    <w:rsid w:val="00937E14"/>
    <w:rsid w:val="00940111"/>
    <w:rsid w:val="0094057A"/>
    <w:rsid w:val="009417EA"/>
    <w:rsid w:val="00942A28"/>
    <w:rsid w:val="009434E5"/>
    <w:rsid w:val="009437E1"/>
    <w:rsid w:val="00943CC6"/>
    <w:rsid w:val="00943CF6"/>
    <w:rsid w:val="009444D5"/>
    <w:rsid w:val="00945391"/>
    <w:rsid w:val="009459DB"/>
    <w:rsid w:val="00946758"/>
    <w:rsid w:val="009469E0"/>
    <w:rsid w:val="00946A1E"/>
    <w:rsid w:val="00947769"/>
    <w:rsid w:val="00947C72"/>
    <w:rsid w:val="00950677"/>
    <w:rsid w:val="00952223"/>
    <w:rsid w:val="0095293D"/>
    <w:rsid w:val="00952AAA"/>
    <w:rsid w:val="00953597"/>
    <w:rsid w:val="00953775"/>
    <w:rsid w:val="0095398C"/>
    <w:rsid w:val="00953A10"/>
    <w:rsid w:val="009548F1"/>
    <w:rsid w:val="009553C2"/>
    <w:rsid w:val="0095544C"/>
    <w:rsid w:val="00955ABA"/>
    <w:rsid w:val="009564A5"/>
    <w:rsid w:val="009564C6"/>
    <w:rsid w:val="00956668"/>
    <w:rsid w:val="00956E2B"/>
    <w:rsid w:val="00957DA8"/>
    <w:rsid w:val="0096070B"/>
    <w:rsid w:val="00960831"/>
    <w:rsid w:val="0096097D"/>
    <w:rsid w:val="00961029"/>
    <w:rsid w:val="00961B26"/>
    <w:rsid w:val="00961C78"/>
    <w:rsid w:val="00962723"/>
    <w:rsid w:val="00962DCA"/>
    <w:rsid w:val="00962F02"/>
    <w:rsid w:val="00963086"/>
    <w:rsid w:val="00963B9C"/>
    <w:rsid w:val="00964DDD"/>
    <w:rsid w:val="0096501F"/>
    <w:rsid w:val="0096592F"/>
    <w:rsid w:val="00965AD4"/>
    <w:rsid w:val="00965F76"/>
    <w:rsid w:val="00970769"/>
    <w:rsid w:val="009709C4"/>
    <w:rsid w:val="00970A81"/>
    <w:rsid w:val="009715A6"/>
    <w:rsid w:val="00971ED9"/>
    <w:rsid w:val="00971F33"/>
    <w:rsid w:val="00971FD0"/>
    <w:rsid w:val="00972805"/>
    <w:rsid w:val="009729E0"/>
    <w:rsid w:val="009739C4"/>
    <w:rsid w:val="00974076"/>
    <w:rsid w:val="009741BA"/>
    <w:rsid w:val="0097431B"/>
    <w:rsid w:val="0097440F"/>
    <w:rsid w:val="009744E7"/>
    <w:rsid w:val="0097491B"/>
    <w:rsid w:val="00974AFD"/>
    <w:rsid w:val="00974FA3"/>
    <w:rsid w:val="0097589F"/>
    <w:rsid w:val="009758D7"/>
    <w:rsid w:val="00977410"/>
    <w:rsid w:val="00977610"/>
    <w:rsid w:val="00977BFE"/>
    <w:rsid w:val="00977C22"/>
    <w:rsid w:val="009815F0"/>
    <w:rsid w:val="00981A0B"/>
    <w:rsid w:val="00982461"/>
    <w:rsid w:val="0098291B"/>
    <w:rsid w:val="00982C50"/>
    <w:rsid w:val="00982DB2"/>
    <w:rsid w:val="00983030"/>
    <w:rsid w:val="009831EE"/>
    <w:rsid w:val="00983747"/>
    <w:rsid w:val="009846F9"/>
    <w:rsid w:val="00984C31"/>
    <w:rsid w:val="00984ED0"/>
    <w:rsid w:val="00984F5F"/>
    <w:rsid w:val="0098559E"/>
    <w:rsid w:val="00985A29"/>
    <w:rsid w:val="00985AFB"/>
    <w:rsid w:val="00985F91"/>
    <w:rsid w:val="0098657A"/>
    <w:rsid w:val="00986596"/>
    <w:rsid w:val="00986720"/>
    <w:rsid w:val="00986A09"/>
    <w:rsid w:val="00986F21"/>
    <w:rsid w:val="009870F5"/>
    <w:rsid w:val="009876A6"/>
    <w:rsid w:val="00987D5A"/>
    <w:rsid w:val="00990263"/>
    <w:rsid w:val="00990BF2"/>
    <w:rsid w:val="00992653"/>
    <w:rsid w:val="00992765"/>
    <w:rsid w:val="00992767"/>
    <w:rsid w:val="00992D8E"/>
    <w:rsid w:val="00993398"/>
    <w:rsid w:val="00993514"/>
    <w:rsid w:val="009936A6"/>
    <w:rsid w:val="009939E0"/>
    <w:rsid w:val="00993FF1"/>
    <w:rsid w:val="00994094"/>
    <w:rsid w:val="00994A3C"/>
    <w:rsid w:val="0099524F"/>
    <w:rsid w:val="009952CF"/>
    <w:rsid w:val="009961DE"/>
    <w:rsid w:val="009963FB"/>
    <w:rsid w:val="009967E2"/>
    <w:rsid w:val="00996DE6"/>
    <w:rsid w:val="009979E2"/>
    <w:rsid w:val="00997D79"/>
    <w:rsid w:val="009A08DF"/>
    <w:rsid w:val="009A0C55"/>
    <w:rsid w:val="009A0EC1"/>
    <w:rsid w:val="009A0FD1"/>
    <w:rsid w:val="009A14DA"/>
    <w:rsid w:val="009A1B4A"/>
    <w:rsid w:val="009A1B81"/>
    <w:rsid w:val="009A27F9"/>
    <w:rsid w:val="009A2B56"/>
    <w:rsid w:val="009A2C1A"/>
    <w:rsid w:val="009A3229"/>
    <w:rsid w:val="009A33B3"/>
    <w:rsid w:val="009A3671"/>
    <w:rsid w:val="009A384F"/>
    <w:rsid w:val="009A38C9"/>
    <w:rsid w:val="009A3AF2"/>
    <w:rsid w:val="009A3DD4"/>
    <w:rsid w:val="009A404E"/>
    <w:rsid w:val="009A4901"/>
    <w:rsid w:val="009A4F23"/>
    <w:rsid w:val="009A504A"/>
    <w:rsid w:val="009A5222"/>
    <w:rsid w:val="009A5609"/>
    <w:rsid w:val="009A74BB"/>
    <w:rsid w:val="009A7F22"/>
    <w:rsid w:val="009B087F"/>
    <w:rsid w:val="009B1D02"/>
    <w:rsid w:val="009B29F1"/>
    <w:rsid w:val="009B347D"/>
    <w:rsid w:val="009B4086"/>
    <w:rsid w:val="009B440C"/>
    <w:rsid w:val="009B4742"/>
    <w:rsid w:val="009B4769"/>
    <w:rsid w:val="009B4F1A"/>
    <w:rsid w:val="009B5A54"/>
    <w:rsid w:val="009B626E"/>
    <w:rsid w:val="009B6649"/>
    <w:rsid w:val="009B69FF"/>
    <w:rsid w:val="009B6D93"/>
    <w:rsid w:val="009B6DD3"/>
    <w:rsid w:val="009B754A"/>
    <w:rsid w:val="009B78F8"/>
    <w:rsid w:val="009C13DE"/>
    <w:rsid w:val="009C16A2"/>
    <w:rsid w:val="009C175C"/>
    <w:rsid w:val="009C177C"/>
    <w:rsid w:val="009C1FD6"/>
    <w:rsid w:val="009C2080"/>
    <w:rsid w:val="009C2784"/>
    <w:rsid w:val="009C27C0"/>
    <w:rsid w:val="009C28A0"/>
    <w:rsid w:val="009C3D57"/>
    <w:rsid w:val="009C3E1B"/>
    <w:rsid w:val="009C4274"/>
    <w:rsid w:val="009C46D5"/>
    <w:rsid w:val="009C4737"/>
    <w:rsid w:val="009C4844"/>
    <w:rsid w:val="009C4B7A"/>
    <w:rsid w:val="009C5009"/>
    <w:rsid w:val="009C5442"/>
    <w:rsid w:val="009C5484"/>
    <w:rsid w:val="009C73D8"/>
    <w:rsid w:val="009C74FC"/>
    <w:rsid w:val="009C77BA"/>
    <w:rsid w:val="009D0447"/>
    <w:rsid w:val="009D0C75"/>
    <w:rsid w:val="009D120A"/>
    <w:rsid w:val="009D1D7D"/>
    <w:rsid w:val="009D219F"/>
    <w:rsid w:val="009D2F22"/>
    <w:rsid w:val="009D346B"/>
    <w:rsid w:val="009D3601"/>
    <w:rsid w:val="009D40CD"/>
    <w:rsid w:val="009D4246"/>
    <w:rsid w:val="009D4363"/>
    <w:rsid w:val="009D514D"/>
    <w:rsid w:val="009D53E2"/>
    <w:rsid w:val="009D54A5"/>
    <w:rsid w:val="009D58FB"/>
    <w:rsid w:val="009D5D81"/>
    <w:rsid w:val="009D6127"/>
    <w:rsid w:val="009D6558"/>
    <w:rsid w:val="009D740D"/>
    <w:rsid w:val="009E0813"/>
    <w:rsid w:val="009E111C"/>
    <w:rsid w:val="009E1AF7"/>
    <w:rsid w:val="009E29DC"/>
    <w:rsid w:val="009E2DE7"/>
    <w:rsid w:val="009E3892"/>
    <w:rsid w:val="009E3B0F"/>
    <w:rsid w:val="009E3FA8"/>
    <w:rsid w:val="009E40C4"/>
    <w:rsid w:val="009E45F2"/>
    <w:rsid w:val="009E4E1D"/>
    <w:rsid w:val="009E5192"/>
    <w:rsid w:val="009E570D"/>
    <w:rsid w:val="009E639E"/>
    <w:rsid w:val="009E65CD"/>
    <w:rsid w:val="009E66F9"/>
    <w:rsid w:val="009E67AE"/>
    <w:rsid w:val="009E702E"/>
    <w:rsid w:val="009E7ED4"/>
    <w:rsid w:val="009F0C4A"/>
    <w:rsid w:val="009F10EB"/>
    <w:rsid w:val="009F1383"/>
    <w:rsid w:val="009F1AF2"/>
    <w:rsid w:val="009F23C8"/>
    <w:rsid w:val="009F373D"/>
    <w:rsid w:val="009F3821"/>
    <w:rsid w:val="009F3EE2"/>
    <w:rsid w:val="009F42BD"/>
    <w:rsid w:val="009F4963"/>
    <w:rsid w:val="009F4DC9"/>
    <w:rsid w:val="009F51DA"/>
    <w:rsid w:val="009F554F"/>
    <w:rsid w:val="009F5F46"/>
    <w:rsid w:val="009F6A0F"/>
    <w:rsid w:val="009F7E48"/>
    <w:rsid w:val="00A00036"/>
    <w:rsid w:val="00A0017F"/>
    <w:rsid w:val="00A010A1"/>
    <w:rsid w:val="00A010D7"/>
    <w:rsid w:val="00A01173"/>
    <w:rsid w:val="00A011D9"/>
    <w:rsid w:val="00A01E7E"/>
    <w:rsid w:val="00A02573"/>
    <w:rsid w:val="00A029DB"/>
    <w:rsid w:val="00A03290"/>
    <w:rsid w:val="00A03C36"/>
    <w:rsid w:val="00A04DC7"/>
    <w:rsid w:val="00A04F2D"/>
    <w:rsid w:val="00A05CF2"/>
    <w:rsid w:val="00A070DE"/>
    <w:rsid w:val="00A07895"/>
    <w:rsid w:val="00A07B0F"/>
    <w:rsid w:val="00A106AB"/>
    <w:rsid w:val="00A10D59"/>
    <w:rsid w:val="00A10FB7"/>
    <w:rsid w:val="00A11744"/>
    <w:rsid w:val="00A11F3D"/>
    <w:rsid w:val="00A12352"/>
    <w:rsid w:val="00A12496"/>
    <w:rsid w:val="00A13318"/>
    <w:rsid w:val="00A13E9F"/>
    <w:rsid w:val="00A14044"/>
    <w:rsid w:val="00A149C8"/>
    <w:rsid w:val="00A14B7D"/>
    <w:rsid w:val="00A14DF7"/>
    <w:rsid w:val="00A15152"/>
    <w:rsid w:val="00A15D7C"/>
    <w:rsid w:val="00A16069"/>
    <w:rsid w:val="00A161B3"/>
    <w:rsid w:val="00A1662C"/>
    <w:rsid w:val="00A172D9"/>
    <w:rsid w:val="00A175FD"/>
    <w:rsid w:val="00A203F7"/>
    <w:rsid w:val="00A208EA"/>
    <w:rsid w:val="00A20A22"/>
    <w:rsid w:val="00A20A86"/>
    <w:rsid w:val="00A21BD9"/>
    <w:rsid w:val="00A21C0B"/>
    <w:rsid w:val="00A24877"/>
    <w:rsid w:val="00A2614F"/>
    <w:rsid w:val="00A2624A"/>
    <w:rsid w:val="00A26CCB"/>
    <w:rsid w:val="00A26FC5"/>
    <w:rsid w:val="00A27912"/>
    <w:rsid w:val="00A27C90"/>
    <w:rsid w:val="00A27CB9"/>
    <w:rsid w:val="00A30654"/>
    <w:rsid w:val="00A30973"/>
    <w:rsid w:val="00A30E62"/>
    <w:rsid w:val="00A310C9"/>
    <w:rsid w:val="00A31370"/>
    <w:rsid w:val="00A3164A"/>
    <w:rsid w:val="00A3166A"/>
    <w:rsid w:val="00A31809"/>
    <w:rsid w:val="00A32401"/>
    <w:rsid w:val="00A3275B"/>
    <w:rsid w:val="00A32F19"/>
    <w:rsid w:val="00A331C7"/>
    <w:rsid w:val="00A33242"/>
    <w:rsid w:val="00A33A1E"/>
    <w:rsid w:val="00A33AC6"/>
    <w:rsid w:val="00A342FA"/>
    <w:rsid w:val="00A3465D"/>
    <w:rsid w:val="00A34729"/>
    <w:rsid w:val="00A3499B"/>
    <w:rsid w:val="00A34A2E"/>
    <w:rsid w:val="00A35495"/>
    <w:rsid w:val="00A357F4"/>
    <w:rsid w:val="00A361FB"/>
    <w:rsid w:val="00A365F4"/>
    <w:rsid w:val="00A36913"/>
    <w:rsid w:val="00A36A1F"/>
    <w:rsid w:val="00A371D8"/>
    <w:rsid w:val="00A372D8"/>
    <w:rsid w:val="00A378A0"/>
    <w:rsid w:val="00A37A8D"/>
    <w:rsid w:val="00A37C35"/>
    <w:rsid w:val="00A37D9E"/>
    <w:rsid w:val="00A37E59"/>
    <w:rsid w:val="00A4055D"/>
    <w:rsid w:val="00A409EE"/>
    <w:rsid w:val="00A40B62"/>
    <w:rsid w:val="00A418D5"/>
    <w:rsid w:val="00A41F21"/>
    <w:rsid w:val="00A42078"/>
    <w:rsid w:val="00A42B0F"/>
    <w:rsid w:val="00A43F98"/>
    <w:rsid w:val="00A4411E"/>
    <w:rsid w:val="00A44AE9"/>
    <w:rsid w:val="00A45456"/>
    <w:rsid w:val="00A45AC7"/>
    <w:rsid w:val="00A463DE"/>
    <w:rsid w:val="00A4686A"/>
    <w:rsid w:val="00A4692B"/>
    <w:rsid w:val="00A47C19"/>
    <w:rsid w:val="00A50119"/>
    <w:rsid w:val="00A50845"/>
    <w:rsid w:val="00A508D2"/>
    <w:rsid w:val="00A5095B"/>
    <w:rsid w:val="00A50AFF"/>
    <w:rsid w:val="00A50CCF"/>
    <w:rsid w:val="00A511E0"/>
    <w:rsid w:val="00A52DF5"/>
    <w:rsid w:val="00A52E68"/>
    <w:rsid w:val="00A52F0B"/>
    <w:rsid w:val="00A533BE"/>
    <w:rsid w:val="00A53B3B"/>
    <w:rsid w:val="00A54155"/>
    <w:rsid w:val="00A5445D"/>
    <w:rsid w:val="00A54B0D"/>
    <w:rsid w:val="00A55267"/>
    <w:rsid w:val="00A5564D"/>
    <w:rsid w:val="00A5586B"/>
    <w:rsid w:val="00A57C2F"/>
    <w:rsid w:val="00A602F4"/>
    <w:rsid w:val="00A6104D"/>
    <w:rsid w:val="00A62862"/>
    <w:rsid w:val="00A62C06"/>
    <w:rsid w:val="00A63438"/>
    <w:rsid w:val="00A636FC"/>
    <w:rsid w:val="00A6390F"/>
    <w:rsid w:val="00A63BB2"/>
    <w:rsid w:val="00A63FEB"/>
    <w:rsid w:val="00A64FF5"/>
    <w:rsid w:val="00A65A7C"/>
    <w:rsid w:val="00A66655"/>
    <w:rsid w:val="00A6675F"/>
    <w:rsid w:val="00A66F23"/>
    <w:rsid w:val="00A6748A"/>
    <w:rsid w:val="00A67A3A"/>
    <w:rsid w:val="00A67A9E"/>
    <w:rsid w:val="00A70594"/>
    <w:rsid w:val="00A70B76"/>
    <w:rsid w:val="00A70BF6"/>
    <w:rsid w:val="00A70FB4"/>
    <w:rsid w:val="00A7171C"/>
    <w:rsid w:val="00A72127"/>
    <w:rsid w:val="00A7224D"/>
    <w:rsid w:val="00A72B75"/>
    <w:rsid w:val="00A7343E"/>
    <w:rsid w:val="00A7365A"/>
    <w:rsid w:val="00A739E2"/>
    <w:rsid w:val="00A747E6"/>
    <w:rsid w:val="00A75363"/>
    <w:rsid w:val="00A7615C"/>
    <w:rsid w:val="00A761DE"/>
    <w:rsid w:val="00A7705B"/>
    <w:rsid w:val="00A771AA"/>
    <w:rsid w:val="00A77408"/>
    <w:rsid w:val="00A77F62"/>
    <w:rsid w:val="00A77FA0"/>
    <w:rsid w:val="00A8054A"/>
    <w:rsid w:val="00A810A2"/>
    <w:rsid w:val="00A81329"/>
    <w:rsid w:val="00A81356"/>
    <w:rsid w:val="00A8163B"/>
    <w:rsid w:val="00A81B03"/>
    <w:rsid w:val="00A81FF6"/>
    <w:rsid w:val="00A8208D"/>
    <w:rsid w:val="00A8217C"/>
    <w:rsid w:val="00A82749"/>
    <w:rsid w:val="00A82A40"/>
    <w:rsid w:val="00A82AF3"/>
    <w:rsid w:val="00A82F67"/>
    <w:rsid w:val="00A8320B"/>
    <w:rsid w:val="00A834B9"/>
    <w:rsid w:val="00A83F92"/>
    <w:rsid w:val="00A84254"/>
    <w:rsid w:val="00A84439"/>
    <w:rsid w:val="00A8451E"/>
    <w:rsid w:val="00A84B68"/>
    <w:rsid w:val="00A84D80"/>
    <w:rsid w:val="00A85609"/>
    <w:rsid w:val="00A8566C"/>
    <w:rsid w:val="00A856D7"/>
    <w:rsid w:val="00A858A9"/>
    <w:rsid w:val="00A85C69"/>
    <w:rsid w:val="00A85DB4"/>
    <w:rsid w:val="00A86511"/>
    <w:rsid w:val="00A8674E"/>
    <w:rsid w:val="00A86847"/>
    <w:rsid w:val="00A871D1"/>
    <w:rsid w:val="00A873A3"/>
    <w:rsid w:val="00A879F7"/>
    <w:rsid w:val="00A87A82"/>
    <w:rsid w:val="00A90C8E"/>
    <w:rsid w:val="00A912F2"/>
    <w:rsid w:val="00A917A3"/>
    <w:rsid w:val="00A91AD4"/>
    <w:rsid w:val="00A92250"/>
    <w:rsid w:val="00A9237A"/>
    <w:rsid w:val="00A92825"/>
    <w:rsid w:val="00A92E11"/>
    <w:rsid w:val="00A93B46"/>
    <w:rsid w:val="00A95344"/>
    <w:rsid w:val="00A955CD"/>
    <w:rsid w:val="00A957C3"/>
    <w:rsid w:val="00A95AAB"/>
    <w:rsid w:val="00A95DA7"/>
    <w:rsid w:val="00A96001"/>
    <w:rsid w:val="00A96258"/>
    <w:rsid w:val="00A96A60"/>
    <w:rsid w:val="00A96A7D"/>
    <w:rsid w:val="00A96F34"/>
    <w:rsid w:val="00A977A5"/>
    <w:rsid w:val="00A977E1"/>
    <w:rsid w:val="00AA009B"/>
    <w:rsid w:val="00AA0AAE"/>
    <w:rsid w:val="00AA116A"/>
    <w:rsid w:val="00AA120E"/>
    <w:rsid w:val="00AA2C0A"/>
    <w:rsid w:val="00AA2C9E"/>
    <w:rsid w:val="00AA308E"/>
    <w:rsid w:val="00AA3515"/>
    <w:rsid w:val="00AA3FAD"/>
    <w:rsid w:val="00AA4E08"/>
    <w:rsid w:val="00AA53DA"/>
    <w:rsid w:val="00AA6432"/>
    <w:rsid w:val="00AA68CA"/>
    <w:rsid w:val="00AA745F"/>
    <w:rsid w:val="00AA766C"/>
    <w:rsid w:val="00AA7AC7"/>
    <w:rsid w:val="00AA7C40"/>
    <w:rsid w:val="00AB01E1"/>
    <w:rsid w:val="00AB0AC0"/>
    <w:rsid w:val="00AB173C"/>
    <w:rsid w:val="00AB1740"/>
    <w:rsid w:val="00AB1A1E"/>
    <w:rsid w:val="00AB2D7A"/>
    <w:rsid w:val="00AB2DF7"/>
    <w:rsid w:val="00AB3A53"/>
    <w:rsid w:val="00AB47A2"/>
    <w:rsid w:val="00AB4E5F"/>
    <w:rsid w:val="00AB5E06"/>
    <w:rsid w:val="00AB60DC"/>
    <w:rsid w:val="00AB6248"/>
    <w:rsid w:val="00AB62FA"/>
    <w:rsid w:val="00AB6546"/>
    <w:rsid w:val="00AB6C77"/>
    <w:rsid w:val="00AB6EC2"/>
    <w:rsid w:val="00AB7064"/>
    <w:rsid w:val="00AC034B"/>
    <w:rsid w:val="00AC1C78"/>
    <w:rsid w:val="00AC1D42"/>
    <w:rsid w:val="00AC1E48"/>
    <w:rsid w:val="00AC2558"/>
    <w:rsid w:val="00AC2931"/>
    <w:rsid w:val="00AC2A91"/>
    <w:rsid w:val="00AC2B80"/>
    <w:rsid w:val="00AC30EB"/>
    <w:rsid w:val="00AC3478"/>
    <w:rsid w:val="00AC477E"/>
    <w:rsid w:val="00AC49DC"/>
    <w:rsid w:val="00AC4E56"/>
    <w:rsid w:val="00AC5019"/>
    <w:rsid w:val="00AC6114"/>
    <w:rsid w:val="00AC63F7"/>
    <w:rsid w:val="00AC7291"/>
    <w:rsid w:val="00AC7C82"/>
    <w:rsid w:val="00AD07D4"/>
    <w:rsid w:val="00AD0FC4"/>
    <w:rsid w:val="00AD1CDA"/>
    <w:rsid w:val="00AD25BA"/>
    <w:rsid w:val="00AD2D85"/>
    <w:rsid w:val="00AD311D"/>
    <w:rsid w:val="00AD38BF"/>
    <w:rsid w:val="00AD676B"/>
    <w:rsid w:val="00AD6A18"/>
    <w:rsid w:val="00AD7570"/>
    <w:rsid w:val="00AD77B2"/>
    <w:rsid w:val="00AD77CD"/>
    <w:rsid w:val="00AE007A"/>
    <w:rsid w:val="00AE18F3"/>
    <w:rsid w:val="00AE1F41"/>
    <w:rsid w:val="00AE237C"/>
    <w:rsid w:val="00AE2A0B"/>
    <w:rsid w:val="00AE2A16"/>
    <w:rsid w:val="00AE3570"/>
    <w:rsid w:val="00AE3A1B"/>
    <w:rsid w:val="00AE3BD8"/>
    <w:rsid w:val="00AE402F"/>
    <w:rsid w:val="00AE4B8C"/>
    <w:rsid w:val="00AE4B9F"/>
    <w:rsid w:val="00AE5356"/>
    <w:rsid w:val="00AE5E7B"/>
    <w:rsid w:val="00AE5F34"/>
    <w:rsid w:val="00AE6250"/>
    <w:rsid w:val="00AE62D9"/>
    <w:rsid w:val="00AE76F5"/>
    <w:rsid w:val="00AF025E"/>
    <w:rsid w:val="00AF0DF1"/>
    <w:rsid w:val="00AF0F4A"/>
    <w:rsid w:val="00AF15B7"/>
    <w:rsid w:val="00AF15E7"/>
    <w:rsid w:val="00AF19C4"/>
    <w:rsid w:val="00AF1F6E"/>
    <w:rsid w:val="00AF2137"/>
    <w:rsid w:val="00AF21B0"/>
    <w:rsid w:val="00AF26B6"/>
    <w:rsid w:val="00AF309E"/>
    <w:rsid w:val="00AF32C4"/>
    <w:rsid w:val="00AF3366"/>
    <w:rsid w:val="00AF34EB"/>
    <w:rsid w:val="00AF35C2"/>
    <w:rsid w:val="00AF3743"/>
    <w:rsid w:val="00AF3AE1"/>
    <w:rsid w:val="00AF3F3D"/>
    <w:rsid w:val="00AF4063"/>
    <w:rsid w:val="00AF4273"/>
    <w:rsid w:val="00AF44DB"/>
    <w:rsid w:val="00AF46CE"/>
    <w:rsid w:val="00AF4B84"/>
    <w:rsid w:val="00AF4D7E"/>
    <w:rsid w:val="00AF4EBC"/>
    <w:rsid w:val="00AF6C2A"/>
    <w:rsid w:val="00AF73AC"/>
    <w:rsid w:val="00AF7459"/>
    <w:rsid w:val="00AF7874"/>
    <w:rsid w:val="00B004E1"/>
    <w:rsid w:val="00B00F5D"/>
    <w:rsid w:val="00B0110E"/>
    <w:rsid w:val="00B0161E"/>
    <w:rsid w:val="00B0244D"/>
    <w:rsid w:val="00B02631"/>
    <w:rsid w:val="00B03B90"/>
    <w:rsid w:val="00B0430F"/>
    <w:rsid w:val="00B04459"/>
    <w:rsid w:val="00B04831"/>
    <w:rsid w:val="00B0493A"/>
    <w:rsid w:val="00B04C25"/>
    <w:rsid w:val="00B04F63"/>
    <w:rsid w:val="00B04F8E"/>
    <w:rsid w:val="00B05933"/>
    <w:rsid w:val="00B05C49"/>
    <w:rsid w:val="00B06371"/>
    <w:rsid w:val="00B070CE"/>
    <w:rsid w:val="00B07570"/>
    <w:rsid w:val="00B07DBF"/>
    <w:rsid w:val="00B07F1F"/>
    <w:rsid w:val="00B07FBC"/>
    <w:rsid w:val="00B107E1"/>
    <w:rsid w:val="00B1097A"/>
    <w:rsid w:val="00B10A7A"/>
    <w:rsid w:val="00B112B3"/>
    <w:rsid w:val="00B1147B"/>
    <w:rsid w:val="00B12420"/>
    <w:rsid w:val="00B12D07"/>
    <w:rsid w:val="00B13232"/>
    <w:rsid w:val="00B13BFA"/>
    <w:rsid w:val="00B1456C"/>
    <w:rsid w:val="00B147C5"/>
    <w:rsid w:val="00B14A56"/>
    <w:rsid w:val="00B14E6B"/>
    <w:rsid w:val="00B15380"/>
    <w:rsid w:val="00B15F35"/>
    <w:rsid w:val="00B171BD"/>
    <w:rsid w:val="00B176AB"/>
    <w:rsid w:val="00B178C8"/>
    <w:rsid w:val="00B17DED"/>
    <w:rsid w:val="00B2019C"/>
    <w:rsid w:val="00B20426"/>
    <w:rsid w:val="00B21138"/>
    <w:rsid w:val="00B21E4C"/>
    <w:rsid w:val="00B21F70"/>
    <w:rsid w:val="00B22518"/>
    <w:rsid w:val="00B2314A"/>
    <w:rsid w:val="00B231BE"/>
    <w:rsid w:val="00B231E9"/>
    <w:rsid w:val="00B23A65"/>
    <w:rsid w:val="00B24650"/>
    <w:rsid w:val="00B25042"/>
    <w:rsid w:val="00B25407"/>
    <w:rsid w:val="00B2543E"/>
    <w:rsid w:val="00B256C2"/>
    <w:rsid w:val="00B25E08"/>
    <w:rsid w:val="00B25FEA"/>
    <w:rsid w:val="00B2624B"/>
    <w:rsid w:val="00B26BEA"/>
    <w:rsid w:val="00B302AC"/>
    <w:rsid w:val="00B30C59"/>
    <w:rsid w:val="00B30CAA"/>
    <w:rsid w:val="00B31731"/>
    <w:rsid w:val="00B321AE"/>
    <w:rsid w:val="00B35158"/>
    <w:rsid w:val="00B351D5"/>
    <w:rsid w:val="00B35262"/>
    <w:rsid w:val="00B35968"/>
    <w:rsid w:val="00B366DE"/>
    <w:rsid w:val="00B36D12"/>
    <w:rsid w:val="00B37137"/>
    <w:rsid w:val="00B371BB"/>
    <w:rsid w:val="00B37EAC"/>
    <w:rsid w:val="00B402D4"/>
    <w:rsid w:val="00B4193F"/>
    <w:rsid w:val="00B41E0A"/>
    <w:rsid w:val="00B41E1F"/>
    <w:rsid w:val="00B41F1F"/>
    <w:rsid w:val="00B4238B"/>
    <w:rsid w:val="00B4258F"/>
    <w:rsid w:val="00B44122"/>
    <w:rsid w:val="00B44192"/>
    <w:rsid w:val="00B4430D"/>
    <w:rsid w:val="00B46089"/>
    <w:rsid w:val="00B476F4"/>
    <w:rsid w:val="00B47C67"/>
    <w:rsid w:val="00B47C8E"/>
    <w:rsid w:val="00B50210"/>
    <w:rsid w:val="00B508C5"/>
    <w:rsid w:val="00B50C5D"/>
    <w:rsid w:val="00B512ED"/>
    <w:rsid w:val="00B513A4"/>
    <w:rsid w:val="00B52455"/>
    <w:rsid w:val="00B525BB"/>
    <w:rsid w:val="00B52B05"/>
    <w:rsid w:val="00B52B61"/>
    <w:rsid w:val="00B53887"/>
    <w:rsid w:val="00B538C2"/>
    <w:rsid w:val="00B53A58"/>
    <w:rsid w:val="00B53C19"/>
    <w:rsid w:val="00B53D9E"/>
    <w:rsid w:val="00B558C1"/>
    <w:rsid w:val="00B564F5"/>
    <w:rsid w:val="00B56509"/>
    <w:rsid w:val="00B56596"/>
    <w:rsid w:val="00B5684A"/>
    <w:rsid w:val="00B573D5"/>
    <w:rsid w:val="00B573D6"/>
    <w:rsid w:val="00B5748B"/>
    <w:rsid w:val="00B57564"/>
    <w:rsid w:val="00B5785D"/>
    <w:rsid w:val="00B57931"/>
    <w:rsid w:val="00B57F2F"/>
    <w:rsid w:val="00B605EB"/>
    <w:rsid w:val="00B60A27"/>
    <w:rsid w:val="00B62046"/>
    <w:rsid w:val="00B6234B"/>
    <w:rsid w:val="00B62DF2"/>
    <w:rsid w:val="00B63696"/>
    <w:rsid w:val="00B6394F"/>
    <w:rsid w:val="00B63CE5"/>
    <w:rsid w:val="00B6442E"/>
    <w:rsid w:val="00B66134"/>
    <w:rsid w:val="00B6685F"/>
    <w:rsid w:val="00B6767C"/>
    <w:rsid w:val="00B701AF"/>
    <w:rsid w:val="00B705D0"/>
    <w:rsid w:val="00B709DC"/>
    <w:rsid w:val="00B70C5C"/>
    <w:rsid w:val="00B72419"/>
    <w:rsid w:val="00B72428"/>
    <w:rsid w:val="00B7251A"/>
    <w:rsid w:val="00B73DD9"/>
    <w:rsid w:val="00B74030"/>
    <w:rsid w:val="00B75224"/>
    <w:rsid w:val="00B7585A"/>
    <w:rsid w:val="00B75967"/>
    <w:rsid w:val="00B75CAB"/>
    <w:rsid w:val="00B76336"/>
    <w:rsid w:val="00B76ED4"/>
    <w:rsid w:val="00B7719A"/>
    <w:rsid w:val="00B7733D"/>
    <w:rsid w:val="00B77C96"/>
    <w:rsid w:val="00B80168"/>
    <w:rsid w:val="00B81F9B"/>
    <w:rsid w:val="00B827C7"/>
    <w:rsid w:val="00B8282C"/>
    <w:rsid w:val="00B8368D"/>
    <w:rsid w:val="00B83B5C"/>
    <w:rsid w:val="00B83D59"/>
    <w:rsid w:val="00B84F7E"/>
    <w:rsid w:val="00B8508B"/>
    <w:rsid w:val="00B85AB7"/>
    <w:rsid w:val="00B8634D"/>
    <w:rsid w:val="00B86479"/>
    <w:rsid w:val="00B86791"/>
    <w:rsid w:val="00B86887"/>
    <w:rsid w:val="00B86993"/>
    <w:rsid w:val="00B87425"/>
    <w:rsid w:val="00B8758C"/>
    <w:rsid w:val="00B87B6C"/>
    <w:rsid w:val="00B906E7"/>
    <w:rsid w:val="00B913C3"/>
    <w:rsid w:val="00B91BDA"/>
    <w:rsid w:val="00B91C0F"/>
    <w:rsid w:val="00B9222C"/>
    <w:rsid w:val="00B92830"/>
    <w:rsid w:val="00B92A1C"/>
    <w:rsid w:val="00B92A3D"/>
    <w:rsid w:val="00B92ECE"/>
    <w:rsid w:val="00B9323A"/>
    <w:rsid w:val="00B934CB"/>
    <w:rsid w:val="00B93A20"/>
    <w:rsid w:val="00B93F66"/>
    <w:rsid w:val="00B93FF1"/>
    <w:rsid w:val="00B94A03"/>
    <w:rsid w:val="00B954E7"/>
    <w:rsid w:val="00B95D42"/>
    <w:rsid w:val="00B96BA5"/>
    <w:rsid w:val="00B9704C"/>
    <w:rsid w:val="00B97D9C"/>
    <w:rsid w:val="00BA056F"/>
    <w:rsid w:val="00BA12D2"/>
    <w:rsid w:val="00BA1620"/>
    <w:rsid w:val="00BA1A2E"/>
    <w:rsid w:val="00BA30E6"/>
    <w:rsid w:val="00BA32EC"/>
    <w:rsid w:val="00BA4921"/>
    <w:rsid w:val="00BA52FF"/>
    <w:rsid w:val="00BA68D3"/>
    <w:rsid w:val="00BA6C3F"/>
    <w:rsid w:val="00BA6F99"/>
    <w:rsid w:val="00BA7DF6"/>
    <w:rsid w:val="00BB0F2E"/>
    <w:rsid w:val="00BB1038"/>
    <w:rsid w:val="00BB10EC"/>
    <w:rsid w:val="00BB15EF"/>
    <w:rsid w:val="00BB3131"/>
    <w:rsid w:val="00BB3636"/>
    <w:rsid w:val="00BB36BC"/>
    <w:rsid w:val="00BB39A2"/>
    <w:rsid w:val="00BB3E42"/>
    <w:rsid w:val="00BB41CF"/>
    <w:rsid w:val="00BB43EA"/>
    <w:rsid w:val="00BB5285"/>
    <w:rsid w:val="00BB5A92"/>
    <w:rsid w:val="00BB5ED9"/>
    <w:rsid w:val="00BB6166"/>
    <w:rsid w:val="00BB6272"/>
    <w:rsid w:val="00BB660E"/>
    <w:rsid w:val="00BB6B2D"/>
    <w:rsid w:val="00BB6C9A"/>
    <w:rsid w:val="00BB6E1F"/>
    <w:rsid w:val="00BB7617"/>
    <w:rsid w:val="00BB7827"/>
    <w:rsid w:val="00BC04B3"/>
    <w:rsid w:val="00BC04F5"/>
    <w:rsid w:val="00BC05BA"/>
    <w:rsid w:val="00BC1E85"/>
    <w:rsid w:val="00BC2A5A"/>
    <w:rsid w:val="00BC2AA5"/>
    <w:rsid w:val="00BC2C1C"/>
    <w:rsid w:val="00BC2C69"/>
    <w:rsid w:val="00BC31FD"/>
    <w:rsid w:val="00BC3240"/>
    <w:rsid w:val="00BC33D5"/>
    <w:rsid w:val="00BC33F0"/>
    <w:rsid w:val="00BC33F4"/>
    <w:rsid w:val="00BC35B6"/>
    <w:rsid w:val="00BC4B48"/>
    <w:rsid w:val="00BC4B5A"/>
    <w:rsid w:val="00BC4C8E"/>
    <w:rsid w:val="00BC5307"/>
    <w:rsid w:val="00BC5718"/>
    <w:rsid w:val="00BC5948"/>
    <w:rsid w:val="00BC5E49"/>
    <w:rsid w:val="00BC6215"/>
    <w:rsid w:val="00BC6606"/>
    <w:rsid w:val="00BC6977"/>
    <w:rsid w:val="00BC77C7"/>
    <w:rsid w:val="00BC78AD"/>
    <w:rsid w:val="00BC7948"/>
    <w:rsid w:val="00BD006C"/>
    <w:rsid w:val="00BD007F"/>
    <w:rsid w:val="00BD073B"/>
    <w:rsid w:val="00BD0AFB"/>
    <w:rsid w:val="00BD0E3F"/>
    <w:rsid w:val="00BD0E87"/>
    <w:rsid w:val="00BD2470"/>
    <w:rsid w:val="00BD39D6"/>
    <w:rsid w:val="00BD50B6"/>
    <w:rsid w:val="00BD53EC"/>
    <w:rsid w:val="00BD5DE6"/>
    <w:rsid w:val="00BD6430"/>
    <w:rsid w:val="00BD64C6"/>
    <w:rsid w:val="00BD65E7"/>
    <w:rsid w:val="00BD66C0"/>
    <w:rsid w:val="00BD6CA7"/>
    <w:rsid w:val="00BD7B14"/>
    <w:rsid w:val="00BD7CF6"/>
    <w:rsid w:val="00BD7FE9"/>
    <w:rsid w:val="00BE0368"/>
    <w:rsid w:val="00BE0B93"/>
    <w:rsid w:val="00BE0F19"/>
    <w:rsid w:val="00BE2083"/>
    <w:rsid w:val="00BE2634"/>
    <w:rsid w:val="00BE2FD6"/>
    <w:rsid w:val="00BE300B"/>
    <w:rsid w:val="00BE3327"/>
    <w:rsid w:val="00BE35BC"/>
    <w:rsid w:val="00BE372A"/>
    <w:rsid w:val="00BE3A51"/>
    <w:rsid w:val="00BE40B9"/>
    <w:rsid w:val="00BE484C"/>
    <w:rsid w:val="00BE4B2E"/>
    <w:rsid w:val="00BE6364"/>
    <w:rsid w:val="00BE66B9"/>
    <w:rsid w:val="00BE67A0"/>
    <w:rsid w:val="00BE6D1C"/>
    <w:rsid w:val="00BE7928"/>
    <w:rsid w:val="00BF0056"/>
    <w:rsid w:val="00BF0252"/>
    <w:rsid w:val="00BF05CA"/>
    <w:rsid w:val="00BF10BC"/>
    <w:rsid w:val="00BF1254"/>
    <w:rsid w:val="00BF151D"/>
    <w:rsid w:val="00BF285B"/>
    <w:rsid w:val="00BF2A0F"/>
    <w:rsid w:val="00BF2DDE"/>
    <w:rsid w:val="00BF35C7"/>
    <w:rsid w:val="00BF363E"/>
    <w:rsid w:val="00BF3BC7"/>
    <w:rsid w:val="00BF4764"/>
    <w:rsid w:val="00BF4878"/>
    <w:rsid w:val="00BF57B3"/>
    <w:rsid w:val="00BF5AB2"/>
    <w:rsid w:val="00BF615C"/>
    <w:rsid w:val="00BF6208"/>
    <w:rsid w:val="00BF6632"/>
    <w:rsid w:val="00BF75E9"/>
    <w:rsid w:val="00BF7D23"/>
    <w:rsid w:val="00C00031"/>
    <w:rsid w:val="00C001A4"/>
    <w:rsid w:val="00C0059E"/>
    <w:rsid w:val="00C00BF2"/>
    <w:rsid w:val="00C0109A"/>
    <w:rsid w:val="00C01E3E"/>
    <w:rsid w:val="00C02016"/>
    <w:rsid w:val="00C02AB7"/>
    <w:rsid w:val="00C02FEB"/>
    <w:rsid w:val="00C0336C"/>
    <w:rsid w:val="00C03CD5"/>
    <w:rsid w:val="00C04123"/>
    <w:rsid w:val="00C0448A"/>
    <w:rsid w:val="00C05CA0"/>
    <w:rsid w:val="00C060AD"/>
    <w:rsid w:val="00C067BE"/>
    <w:rsid w:val="00C06927"/>
    <w:rsid w:val="00C075AA"/>
    <w:rsid w:val="00C07AFB"/>
    <w:rsid w:val="00C10A88"/>
    <w:rsid w:val="00C11764"/>
    <w:rsid w:val="00C11974"/>
    <w:rsid w:val="00C11C49"/>
    <w:rsid w:val="00C122F3"/>
    <w:rsid w:val="00C125C9"/>
    <w:rsid w:val="00C128FA"/>
    <w:rsid w:val="00C12F79"/>
    <w:rsid w:val="00C13766"/>
    <w:rsid w:val="00C13EAB"/>
    <w:rsid w:val="00C13EB5"/>
    <w:rsid w:val="00C14F01"/>
    <w:rsid w:val="00C14FCB"/>
    <w:rsid w:val="00C15257"/>
    <w:rsid w:val="00C15409"/>
    <w:rsid w:val="00C1584B"/>
    <w:rsid w:val="00C15DD2"/>
    <w:rsid w:val="00C166DC"/>
    <w:rsid w:val="00C1677A"/>
    <w:rsid w:val="00C171CB"/>
    <w:rsid w:val="00C20459"/>
    <w:rsid w:val="00C206E2"/>
    <w:rsid w:val="00C21235"/>
    <w:rsid w:val="00C21475"/>
    <w:rsid w:val="00C21476"/>
    <w:rsid w:val="00C217EC"/>
    <w:rsid w:val="00C21C9C"/>
    <w:rsid w:val="00C21EC3"/>
    <w:rsid w:val="00C226D8"/>
    <w:rsid w:val="00C2279B"/>
    <w:rsid w:val="00C22C23"/>
    <w:rsid w:val="00C22EFA"/>
    <w:rsid w:val="00C23070"/>
    <w:rsid w:val="00C2327A"/>
    <w:rsid w:val="00C23DF3"/>
    <w:rsid w:val="00C2484E"/>
    <w:rsid w:val="00C25172"/>
    <w:rsid w:val="00C25D2B"/>
    <w:rsid w:val="00C264B2"/>
    <w:rsid w:val="00C26925"/>
    <w:rsid w:val="00C26A7A"/>
    <w:rsid w:val="00C26D9B"/>
    <w:rsid w:val="00C270C8"/>
    <w:rsid w:val="00C27434"/>
    <w:rsid w:val="00C30263"/>
    <w:rsid w:val="00C30C35"/>
    <w:rsid w:val="00C31844"/>
    <w:rsid w:val="00C319C2"/>
    <w:rsid w:val="00C31B08"/>
    <w:rsid w:val="00C3284C"/>
    <w:rsid w:val="00C33122"/>
    <w:rsid w:val="00C332A3"/>
    <w:rsid w:val="00C33536"/>
    <w:rsid w:val="00C33550"/>
    <w:rsid w:val="00C33915"/>
    <w:rsid w:val="00C34C6D"/>
    <w:rsid w:val="00C34D0C"/>
    <w:rsid w:val="00C34E1F"/>
    <w:rsid w:val="00C352C4"/>
    <w:rsid w:val="00C35784"/>
    <w:rsid w:val="00C357DD"/>
    <w:rsid w:val="00C35D43"/>
    <w:rsid w:val="00C36499"/>
    <w:rsid w:val="00C3667B"/>
    <w:rsid w:val="00C366BF"/>
    <w:rsid w:val="00C36FAA"/>
    <w:rsid w:val="00C37984"/>
    <w:rsid w:val="00C40FB0"/>
    <w:rsid w:val="00C41123"/>
    <w:rsid w:val="00C4121D"/>
    <w:rsid w:val="00C4192E"/>
    <w:rsid w:val="00C41E24"/>
    <w:rsid w:val="00C41F0E"/>
    <w:rsid w:val="00C4228B"/>
    <w:rsid w:val="00C43D92"/>
    <w:rsid w:val="00C4465C"/>
    <w:rsid w:val="00C44F9A"/>
    <w:rsid w:val="00C45066"/>
    <w:rsid w:val="00C45B71"/>
    <w:rsid w:val="00C46026"/>
    <w:rsid w:val="00C462B7"/>
    <w:rsid w:val="00C463AC"/>
    <w:rsid w:val="00C469DB"/>
    <w:rsid w:val="00C47905"/>
    <w:rsid w:val="00C47AD3"/>
    <w:rsid w:val="00C500A0"/>
    <w:rsid w:val="00C5070A"/>
    <w:rsid w:val="00C522DB"/>
    <w:rsid w:val="00C54BA1"/>
    <w:rsid w:val="00C55229"/>
    <w:rsid w:val="00C55296"/>
    <w:rsid w:val="00C558A3"/>
    <w:rsid w:val="00C55E11"/>
    <w:rsid w:val="00C567A7"/>
    <w:rsid w:val="00C567D1"/>
    <w:rsid w:val="00C5681F"/>
    <w:rsid w:val="00C56ED2"/>
    <w:rsid w:val="00C573CE"/>
    <w:rsid w:val="00C60683"/>
    <w:rsid w:val="00C60DA2"/>
    <w:rsid w:val="00C60DF7"/>
    <w:rsid w:val="00C60FEC"/>
    <w:rsid w:val="00C612C3"/>
    <w:rsid w:val="00C622CE"/>
    <w:rsid w:val="00C629FD"/>
    <w:rsid w:val="00C62E3E"/>
    <w:rsid w:val="00C641D0"/>
    <w:rsid w:val="00C643E3"/>
    <w:rsid w:val="00C647ED"/>
    <w:rsid w:val="00C655A0"/>
    <w:rsid w:val="00C658C1"/>
    <w:rsid w:val="00C6631D"/>
    <w:rsid w:val="00C66FC4"/>
    <w:rsid w:val="00C67933"/>
    <w:rsid w:val="00C67AC5"/>
    <w:rsid w:val="00C70027"/>
    <w:rsid w:val="00C70521"/>
    <w:rsid w:val="00C70B88"/>
    <w:rsid w:val="00C70E76"/>
    <w:rsid w:val="00C70FE6"/>
    <w:rsid w:val="00C71081"/>
    <w:rsid w:val="00C710D9"/>
    <w:rsid w:val="00C71244"/>
    <w:rsid w:val="00C71BB2"/>
    <w:rsid w:val="00C71E61"/>
    <w:rsid w:val="00C72672"/>
    <w:rsid w:val="00C72A57"/>
    <w:rsid w:val="00C73062"/>
    <w:rsid w:val="00C7341E"/>
    <w:rsid w:val="00C73A37"/>
    <w:rsid w:val="00C7440C"/>
    <w:rsid w:val="00C74F94"/>
    <w:rsid w:val="00C7525D"/>
    <w:rsid w:val="00C75980"/>
    <w:rsid w:val="00C75BF1"/>
    <w:rsid w:val="00C761F0"/>
    <w:rsid w:val="00C76A11"/>
    <w:rsid w:val="00C76A95"/>
    <w:rsid w:val="00C76E2A"/>
    <w:rsid w:val="00C7754D"/>
    <w:rsid w:val="00C80364"/>
    <w:rsid w:val="00C8067F"/>
    <w:rsid w:val="00C80E61"/>
    <w:rsid w:val="00C80F09"/>
    <w:rsid w:val="00C81F66"/>
    <w:rsid w:val="00C8235E"/>
    <w:rsid w:val="00C82565"/>
    <w:rsid w:val="00C82924"/>
    <w:rsid w:val="00C8406C"/>
    <w:rsid w:val="00C84B74"/>
    <w:rsid w:val="00C85406"/>
    <w:rsid w:val="00C859D7"/>
    <w:rsid w:val="00C8636E"/>
    <w:rsid w:val="00C86E2E"/>
    <w:rsid w:val="00C878E8"/>
    <w:rsid w:val="00C921B0"/>
    <w:rsid w:val="00C924FC"/>
    <w:rsid w:val="00C92673"/>
    <w:rsid w:val="00C92683"/>
    <w:rsid w:val="00C926F9"/>
    <w:rsid w:val="00C92EE9"/>
    <w:rsid w:val="00C93254"/>
    <w:rsid w:val="00C93394"/>
    <w:rsid w:val="00C9369D"/>
    <w:rsid w:val="00C9422F"/>
    <w:rsid w:val="00C950B1"/>
    <w:rsid w:val="00C951BB"/>
    <w:rsid w:val="00C95C92"/>
    <w:rsid w:val="00C96196"/>
    <w:rsid w:val="00C9789B"/>
    <w:rsid w:val="00CA0018"/>
    <w:rsid w:val="00CA0934"/>
    <w:rsid w:val="00CA0A2D"/>
    <w:rsid w:val="00CA0C86"/>
    <w:rsid w:val="00CA10E1"/>
    <w:rsid w:val="00CA1103"/>
    <w:rsid w:val="00CA1A35"/>
    <w:rsid w:val="00CA1AA5"/>
    <w:rsid w:val="00CA1C6A"/>
    <w:rsid w:val="00CA31A0"/>
    <w:rsid w:val="00CA4375"/>
    <w:rsid w:val="00CA5434"/>
    <w:rsid w:val="00CA5A65"/>
    <w:rsid w:val="00CA5CCD"/>
    <w:rsid w:val="00CA6261"/>
    <w:rsid w:val="00CA648E"/>
    <w:rsid w:val="00CA66DD"/>
    <w:rsid w:val="00CA6A75"/>
    <w:rsid w:val="00CA715D"/>
    <w:rsid w:val="00CA72CA"/>
    <w:rsid w:val="00CA7452"/>
    <w:rsid w:val="00CA78EB"/>
    <w:rsid w:val="00CB031D"/>
    <w:rsid w:val="00CB068E"/>
    <w:rsid w:val="00CB0E1B"/>
    <w:rsid w:val="00CB1150"/>
    <w:rsid w:val="00CB14A6"/>
    <w:rsid w:val="00CB21E2"/>
    <w:rsid w:val="00CB249A"/>
    <w:rsid w:val="00CB2910"/>
    <w:rsid w:val="00CB2B63"/>
    <w:rsid w:val="00CB32C5"/>
    <w:rsid w:val="00CB4242"/>
    <w:rsid w:val="00CB43CF"/>
    <w:rsid w:val="00CB51D9"/>
    <w:rsid w:val="00CB60A6"/>
    <w:rsid w:val="00CB6B76"/>
    <w:rsid w:val="00CB6FCD"/>
    <w:rsid w:val="00CB7608"/>
    <w:rsid w:val="00CC0D3F"/>
    <w:rsid w:val="00CC1444"/>
    <w:rsid w:val="00CC1D3B"/>
    <w:rsid w:val="00CC237E"/>
    <w:rsid w:val="00CC2CF9"/>
    <w:rsid w:val="00CC35A5"/>
    <w:rsid w:val="00CC3E1E"/>
    <w:rsid w:val="00CC425C"/>
    <w:rsid w:val="00CC55A8"/>
    <w:rsid w:val="00CC55CF"/>
    <w:rsid w:val="00CC5901"/>
    <w:rsid w:val="00CC5AD6"/>
    <w:rsid w:val="00CC6EE9"/>
    <w:rsid w:val="00CC7BE9"/>
    <w:rsid w:val="00CD0EBA"/>
    <w:rsid w:val="00CD11DD"/>
    <w:rsid w:val="00CD129D"/>
    <w:rsid w:val="00CD1A58"/>
    <w:rsid w:val="00CD205F"/>
    <w:rsid w:val="00CD2624"/>
    <w:rsid w:val="00CD3A1D"/>
    <w:rsid w:val="00CD3BCC"/>
    <w:rsid w:val="00CD3E44"/>
    <w:rsid w:val="00CD3E5C"/>
    <w:rsid w:val="00CD3FF2"/>
    <w:rsid w:val="00CD486E"/>
    <w:rsid w:val="00CD48DA"/>
    <w:rsid w:val="00CD4C28"/>
    <w:rsid w:val="00CD5524"/>
    <w:rsid w:val="00CD730C"/>
    <w:rsid w:val="00CD74AE"/>
    <w:rsid w:val="00CD7A03"/>
    <w:rsid w:val="00CE04EC"/>
    <w:rsid w:val="00CE0D63"/>
    <w:rsid w:val="00CE12C9"/>
    <w:rsid w:val="00CE1BE2"/>
    <w:rsid w:val="00CE1DF6"/>
    <w:rsid w:val="00CE2613"/>
    <w:rsid w:val="00CE298B"/>
    <w:rsid w:val="00CE2F18"/>
    <w:rsid w:val="00CE3747"/>
    <w:rsid w:val="00CE37D9"/>
    <w:rsid w:val="00CE45BA"/>
    <w:rsid w:val="00CE4CF6"/>
    <w:rsid w:val="00CE65B3"/>
    <w:rsid w:val="00CE6F5E"/>
    <w:rsid w:val="00CE709D"/>
    <w:rsid w:val="00CE78EB"/>
    <w:rsid w:val="00CF05EC"/>
    <w:rsid w:val="00CF0C9A"/>
    <w:rsid w:val="00CF0D93"/>
    <w:rsid w:val="00CF0EE1"/>
    <w:rsid w:val="00CF186E"/>
    <w:rsid w:val="00CF1AC1"/>
    <w:rsid w:val="00CF2316"/>
    <w:rsid w:val="00CF3391"/>
    <w:rsid w:val="00CF378A"/>
    <w:rsid w:val="00CF3797"/>
    <w:rsid w:val="00CF392B"/>
    <w:rsid w:val="00CF3C0C"/>
    <w:rsid w:val="00CF3EEF"/>
    <w:rsid w:val="00CF4A66"/>
    <w:rsid w:val="00CF4A79"/>
    <w:rsid w:val="00CF4FDE"/>
    <w:rsid w:val="00CF6004"/>
    <w:rsid w:val="00CF6C30"/>
    <w:rsid w:val="00CF6F2C"/>
    <w:rsid w:val="00CF70DA"/>
    <w:rsid w:val="00CF7290"/>
    <w:rsid w:val="00CF7311"/>
    <w:rsid w:val="00CF7926"/>
    <w:rsid w:val="00D0008D"/>
    <w:rsid w:val="00D011F5"/>
    <w:rsid w:val="00D01382"/>
    <w:rsid w:val="00D01E48"/>
    <w:rsid w:val="00D02008"/>
    <w:rsid w:val="00D0261F"/>
    <w:rsid w:val="00D02F49"/>
    <w:rsid w:val="00D04130"/>
    <w:rsid w:val="00D052DB"/>
    <w:rsid w:val="00D054BF"/>
    <w:rsid w:val="00D056FB"/>
    <w:rsid w:val="00D0739F"/>
    <w:rsid w:val="00D07475"/>
    <w:rsid w:val="00D07541"/>
    <w:rsid w:val="00D077BE"/>
    <w:rsid w:val="00D07B04"/>
    <w:rsid w:val="00D07FDA"/>
    <w:rsid w:val="00D100EC"/>
    <w:rsid w:val="00D10C7C"/>
    <w:rsid w:val="00D1193A"/>
    <w:rsid w:val="00D11BB5"/>
    <w:rsid w:val="00D1251B"/>
    <w:rsid w:val="00D12BF0"/>
    <w:rsid w:val="00D139F6"/>
    <w:rsid w:val="00D150FE"/>
    <w:rsid w:val="00D15B31"/>
    <w:rsid w:val="00D15D15"/>
    <w:rsid w:val="00D15E2D"/>
    <w:rsid w:val="00D15F67"/>
    <w:rsid w:val="00D162C6"/>
    <w:rsid w:val="00D16589"/>
    <w:rsid w:val="00D16C7D"/>
    <w:rsid w:val="00D1782F"/>
    <w:rsid w:val="00D17B3E"/>
    <w:rsid w:val="00D17ECB"/>
    <w:rsid w:val="00D17F11"/>
    <w:rsid w:val="00D20D3B"/>
    <w:rsid w:val="00D214BB"/>
    <w:rsid w:val="00D219C4"/>
    <w:rsid w:val="00D21CF9"/>
    <w:rsid w:val="00D22271"/>
    <w:rsid w:val="00D22523"/>
    <w:rsid w:val="00D24617"/>
    <w:rsid w:val="00D25432"/>
    <w:rsid w:val="00D259C9"/>
    <w:rsid w:val="00D25C09"/>
    <w:rsid w:val="00D262FB"/>
    <w:rsid w:val="00D2769F"/>
    <w:rsid w:val="00D27EE4"/>
    <w:rsid w:val="00D30071"/>
    <w:rsid w:val="00D3050C"/>
    <w:rsid w:val="00D3080D"/>
    <w:rsid w:val="00D30A64"/>
    <w:rsid w:val="00D30EA4"/>
    <w:rsid w:val="00D31187"/>
    <w:rsid w:val="00D312D4"/>
    <w:rsid w:val="00D31A6A"/>
    <w:rsid w:val="00D323DE"/>
    <w:rsid w:val="00D343BE"/>
    <w:rsid w:val="00D345B0"/>
    <w:rsid w:val="00D345BD"/>
    <w:rsid w:val="00D345DD"/>
    <w:rsid w:val="00D34794"/>
    <w:rsid w:val="00D35337"/>
    <w:rsid w:val="00D35BA9"/>
    <w:rsid w:val="00D35DFF"/>
    <w:rsid w:val="00D36390"/>
    <w:rsid w:val="00D369F6"/>
    <w:rsid w:val="00D376AF"/>
    <w:rsid w:val="00D378E3"/>
    <w:rsid w:val="00D37B91"/>
    <w:rsid w:val="00D4024A"/>
    <w:rsid w:val="00D40F88"/>
    <w:rsid w:val="00D410BC"/>
    <w:rsid w:val="00D415E5"/>
    <w:rsid w:val="00D42E12"/>
    <w:rsid w:val="00D42EF3"/>
    <w:rsid w:val="00D43CFE"/>
    <w:rsid w:val="00D445D6"/>
    <w:rsid w:val="00D44F74"/>
    <w:rsid w:val="00D455D9"/>
    <w:rsid w:val="00D45656"/>
    <w:rsid w:val="00D45660"/>
    <w:rsid w:val="00D45F33"/>
    <w:rsid w:val="00D51357"/>
    <w:rsid w:val="00D519C4"/>
    <w:rsid w:val="00D51A7D"/>
    <w:rsid w:val="00D51E24"/>
    <w:rsid w:val="00D521EE"/>
    <w:rsid w:val="00D54520"/>
    <w:rsid w:val="00D54E69"/>
    <w:rsid w:val="00D55881"/>
    <w:rsid w:val="00D55EE0"/>
    <w:rsid w:val="00D56174"/>
    <w:rsid w:val="00D56390"/>
    <w:rsid w:val="00D568B1"/>
    <w:rsid w:val="00D56E3C"/>
    <w:rsid w:val="00D57F4D"/>
    <w:rsid w:val="00D6016E"/>
    <w:rsid w:val="00D606CD"/>
    <w:rsid w:val="00D60917"/>
    <w:rsid w:val="00D60A49"/>
    <w:rsid w:val="00D614C2"/>
    <w:rsid w:val="00D6151E"/>
    <w:rsid w:val="00D61604"/>
    <w:rsid w:val="00D62A0C"/>
    <w:rsid w:val="00D62AC1"/>
    <w:rsid w:val="00D62FEC"/>
    <w:rsid w:val="00D6311F"/>
    <w:rsid w:val="00D63321"/>
    <w:rsid w:val="00D63763"/>
    <w:rsid w:val="00D6393E"/>
    <w:rsid w:val="00D63EEA"/>
    <w:rsid w:val="00D646EE"/>
    <w:rsid w:val="00D655B3"/>
    <w:rsid w:val="00D65628"/>
    <w:rsid w:val="00D657B4"/>
    <w:rsid w:val="00D664A7"/>
    <w:rsid w:val="00D6661D"/>
    <w:rsid w:val="00D678F0"/>
    <w:rsid w:val="00D67EE1"/>
    <w:rsid w:val="00D67EF9"/>
    <w:rsid w:val="00D704CC"/>
    <w:rsid w:val="00D704E5"/>
    <w:rsid w:val="00D70617"/>
    <w:rsid w:val="00D70D42"/>
    <w:rsid w:val="00D7129F"/>
    <w:rsid w:val="00D720B0"/>
    <w:rsid w:val="00D72C02"/>
    <w:rsid w:val="00D73231"/>
    <w:rsid w:val="00D73909"/>
    <w:rsid w:val="00D73DA1"/>
    <w:rsid w:val="00D73FD4"/>
    <w:rsid w:val="00D7517F"/>
    <w:rsid w:val="00D757B9"/>
    <w:rsid w:val="00D758AC"/>
    <w:rsid w:val="00D76AF1"/>
    <w:rsid w:val="00D7739A"/>
    <w:rsid w:val="00D77496"/>
    <w:rsid w:val="00D779CD"/>
    <w:rsid w:val="00D80217"/>
    <w:rsid w:val="00D8025F"/>
    <w:rsid w:val="00D8166A"/>
    <w:rsid w:val="00D8256D"/>
    <w:rsid w:val="00D82F5D"/>
    <w:rsid w:val="00D8332C"/>
    <w:rsid w:val="00D83B73"/>
    <w:rsid w:val="00D841A1"/>
    <w:rsid w:val="00D84806"/>
    <w:rsid w:val="00D84B1A"/>
    <w:rsid w:val="00D84B97"/>
    <w:rsid w:val="00D84ED9"/>
    <w:rsid w:val="00D853CD"/>
    <w:rsid w:val="00D85614"/>
    <w:rsid w:val="00D878CA"/>
    <w:rsid w:val="00D90D72"/>
    <w:rsid w:val="00D912BD"/>
    <w:rsid w:val="00D91B20"/>
    <w:rsid w:val="00D929DB"/>
    <w:rsid w:val="00D92DE5"/>
    <w:rsid w:val="00D930AD"/>
    <w:rsid w:val="00D93602"/>
    <w:rsid w:val="00D939E1"/>
    <w:rsid w:val="00D93B87"/>
    <w:rsid w:val="00D93C6B"/>
    <w:rsid w:val="00D93DA0"/>
    <w:rsid w:val="00D94254"/>
    <w:rsid w:val="00D94726"/>
    <w:rsid w:val="00D947BF"/>
    <w:rsid w:val="00D94D67"/>
    <w:rsid w:val="00D94DBC"/>
    <w:rsid w:val="00D9509C"/>
    <w:rsid w:val="00D951DD"/>
    <w:rsid w:val="00D95729"/>
    <w:rsid w:val="00D959B4"/>
    <w:rsid w:val="00D96629"/>
    <w:rsid w:val="00D97140"/>
    <w:rsid w:val="00D97514"/>
    <w:rsid w:val="00D978C8"/>
    <w:rsid w:val="00D97ADF"/>
    <w:rsid w:val="00DA00C2"/>
    <w:rsid w:val="00DA11FA"/>
    <w:rsid w:val="00DA1614"/>
    <w:rsid w:val="00DA1798"/>
    <w:rsid w:val="00DA1B4B"/>
    <w:rsid w:val="00DA1C66"/>
    <w:rsid w:val="00DA20E0"/>
    <w:rsid w:val="00DA21B7"/>
    <w:rsid w:val="00DA2F22"/>
    <w:rsid w:val="00DA3B71"/>
    <w:rsid w:val="00DA3CC2"/>
    <w:rsid w:val="00DA3FCA"/>
    <w:rsid w:val="00DA40E9"/>
    <w:rsid w:val="00DA5801"/>
    <w:rsid w:val="00DA706F"/>
    <w:rsid w:val="00DA792A"/>
    <w:rsid w:val="00DA79A4"/>
    <w:rsid w:val="00DA7D1F"/>
    <w:rsid w:val="00DB1DBC"/>
    <w:rsid w:val="00DB22A5"/>
    <w:rsid w:val="00DB22ED"/>
    <w:rsid w:val="00DB244D"/>
    <w:rsid w:val="00DB2E9E"/>
    <w:rsid w:val="00DB3112"/>
    <w:rsid w:val="00DB4613"/>
    <w:rsid w:val="00DB4D94"/>
    <w:rsid w:val="00DB6083"/>
    <w:rsid w:val="00DB6836"/>
    <w:rsid w:val="00DB6ACE"/>
    <w:rsid w:val="00DB6B25"/>
    <w:rsid w:val="00DB7065"/>
    <w:rsid w:val="00DB7B25"/>
    <w:rsid w:val="00DC0C60"/>
    <w:rsid w:val="00DC0F79"/>
    <w:rsid w:val="00DC0F83"/>
    <w:rsid w:val="00DC121F"/>
    <w:rsid w:val="00DC19DE"/>
    <w:rsid w:val="00DC1AB8"/>
    <w:rsid w:val="00DC222C"/>
    <w:rsid w:val="00DC2375"/>
    <w:rsid w:val="00DC2592"/>
    <w:rsid w:val="00DC2DA4"/>
    <w:rsid w:val="00DC2EB9"/>
    <w:rsid w:val="00DC2F11"/>
    <w:rsid w:val="00DC30F1"/>
    <w:rsid w:val="00DC3134"/>
    <w:rsid w:val="00DC3D7B"/>
    <w:rsid w:val="00DC4093"/>
    <w:rsid w:val="00DC40DE"/>
    <w:rsid w:val="00DC4A9D"/>
    <w:rsid w:val="00DC4D08"/>
    <w:rsid w:val="00DC63A9"/>
    <w:rsid w:val="00DC6620"/>
    <w:rsid w:val="00DC68EE"/>
    <w:rsid w:val="00DC7271"/>
    <w:rsid w:val="00DC74C4"/>
    <w:rsid w:val="00DC76C3"/>
    <w:rsid w:val="00DD005E"/>
    <w:rsid w:val="00DD0D40"/>
    <w:rsid w:val="00DD100A"/>
    <w:rsid w:val="00DD1352"/>
    <w:rsid w:val="00DD19FC"/>
    <w:rsid w:val="00DD2137"/>
    <w:rsid w:val="00DD273B"/>
    <w:rsid w:val="00DD2A67"/>
    <w:rsid w:val="00DD3114"/>
    <w:rsid w:val="00DD336F"/>
    <w:rsid w:val="00DD3A5A"/>
    <w:rsid w:val="00DD3CE3"/>
    <w:rsid w:val="00DD40B7"/>
    <w:rsid w:val="00DD417D"/>
    <w:rsid w:val="00DD4B1E"/>
    <w:rsid w:val="00DD4E1A"/>
    <w:rsid w:val="00DD4F92"/>
    <w:rsid w:val="00DD5547"/>
    <w:rsid w:val="00DD6221"/>
    <w:rsid w:val="00DD6ECF"/>
    <w:rsid w:val="00DD7A2B"/>
    <w:rsid w:val="00DE0822"/>
    <w:rsid w:val="00DE0CF4"/>
    <w:rsid w:val="00DE1072"/>
    <w:rsid w:val="00DE123D"/>
    <w:rsid w:val="00DE148C"/>
    <w:rsid w:val="00DE1BAF"/>
    <w:rsid w:val="00DE1FEC"/>
    <w:rsid w:val="00DE25D4"/>
    <w:rsid w:val="00DE2B75"/>
    <w:rsid w:val="00DE2DA6"/>
    <w:rsid w:val="00DE2F23"/>
    <w:rsid w:val="00DE31A2"/>
    <w:rsid w:val="00DE3382"/>
    <w:rsid w:val="00DE49BD"/>
    <w:rsid w:val="00DE5464"/>
    <w:rsid w:val="00DE5735"/>
    <w:rsid w:val="00DE630F"/>
    <w:rsid w:val="00DE67C5"/>
    <w:rsid w:val="00DE683B"/>
    <w:rsid w:val="00DE69A1"/>
    <w:rsid w:val="00DE6BEC"/>
    <w:rsid w:val="00DE702E"/>
    <w:rsid w:val="00DE7143"/>
    <w:rsid w:val="00DE7C07"/>
    <w:rsid w:val="00DF0909"/>
    <w:rsid w:val="00DF10AB"/>
    <w:rsid w:val="00DF24AE"/>
    <w:rsid w:val="00DF26DB"/>
    <w:rsid w:val="00DF2A21"/>
    <w:rsid w:val="00DF4984"/>
    <w:rsid w:val="00DF6C31"/>
    <w:rsid w:val="00DF7A9E"/>
    <w:rsid w:val="00DF7FE5"/>
    <w:rsid w:val="00E0033E"/>
    <w:rsid w:val="00E015DD"/>
    <w:rsid w:val="00E01B27"/>
    <w:rsid w:val="00E02D27"/>
    <w:rsid w:val="00E02F35"/>
    <w:rsid w:val="00E0310C"/>
    <w:rsid w:val="00E033B6"/>
    <w:rsid w:val="00E03CE3"/>
    <w:rsid w:val="00E041BA"/>
    <w:rsid w:val="00E046D3"/>
    <w:rsid w:val="00E04B52"/>
    <w:rsid w:val="00E04E8F"/>
    <w:rsid w:val="00E04FA7"/>
    <w:rsid w:val="00E0530C"/>
    <w:rsid w:val="00E05509"/>
    <w:rsid w:val="00E066DB"/>
    <w:rsid w:val="00E07294"/>
    <w:rsid w:val="00E077B9"/>
    <w:rsid w:val="00E07C05"/>
    <w:rsid w:val="00E07F90"/>
    <w:rsid w:val="00E10076"/>
    <w:rsid w:val="00E100C9"/>
    <w:rsid w:val="00E10155"/>
    <w:rsid w:val="00E106D0"/>
    <w:rsid w:val="00E10783"/>
    <w:rsid w:val="00E1089F"/>
    <w:rsid w:val="00E1136A"/>
    <w:rsid w:val="00E123B9"/>
    <w:rsid w:val="00E12FB4"/>
    <w:rsid w:val="00E1428E"/>
    <w:rsid w:val="00E142E8"/>
    <w:rsid w:val="00E144F8"/>
    <w:rsid w:val="00E14CE3"/>
    <w:rsid w:val="00E14E49"/>
    <w:rsid w:val="00E15BEE"/>
    <w:rsid w:val="00E164BF"/>
    <w:rsid w:val="00E17DD2"/>
    <w:rsid w:val="00E206B2"/>
    <w:rsid w:val="00E2080E"/>
    <w:rsid w:val="00E221E3"/>
    <w:rsid w:val="00E2220F"/>
    <w:rsid w:val="00E226E5"/>
    <w:rsid w:val="00E22F9E"/>
    <w:rsid w:val="00E22F9F"/>
    <w:rsid w:val="00E24AAE"/>
    <w:rsid w:val="00E24C2B"/>
    <w:rsid w:val="00E250D8"/>
    <w:rsid w:val="00E25BD1"/>
    <w:rsid w:val="00E25EB3"/>
    <w:rsid w:val="00E262E2"/>
    <w:rsid w:val="00E264F9"/>
    <w:rsid w:val="00E266B3"/>
    <w:rsid w:val="00E267B9"/>
    <w:rsid w:val="00E26E00"/>
    <w:rsid w:val="00E27AB7"/>
    <w:rsid w:val="00E303C1"/>
    <w:rsid w:val="00E30A5A"/>
    <w:rsid w:val="00E3180A"/>
    <w:rsid w:val="00E31B90"/>
    <w:rsid w:val="00E32AAB"/>
    <w:rsid w:val="00E32C26"/>
    <w:rsid w:val="00E32E8C"/>
    <w:rsid w:val="00E339A6"/>
    <w:rsid w:val="00E3455B"/>
    <w:rsid w:val="00E3467B"/>
    <w:rsid w:val="00E34BA7"/>
    <w:rsid w:val="00E34F77"/>
    <w:rsid w:val="00E35291"/>
    <w:rsid w:val="00E35690"/>
    <w:rsid w:val="00E357F9"/>
    <w:rsid w:val="00E37C22"/>
    <w:rsid w:val="00E37D43"/>
    <w:rsid w:val="00E4039B"/>
    <w:rsid w:val="00E40A3A"/>
    <w:rsid w:val="00E41AA0"/>
    <w:rsid w:val="00E41EBD"/>
    <w:rsid w:val="00E4265A"/>
    <w:rsid w:val="00E44729"/>
    <w:rsid w:val="00E44CFA"/>
    <w:rsid w:val="00E451D7"/>
    <w:rsid w:val="00E4582A"/>
    <w:rsid w:val="00E459A1"/>
    <w:rsid w:val="00E45A28"/>
    <w:rsid w:val="00E45EE4"/>
    <w:rsid w:val="00E460B0"/>
    <w:rsid w:val="00E4664A"/>
    <w:rsid w:val="00E46961"/>
    <w:rsid w:val="00E47001"/>
    <w:rsid w:val="00E47AC4"/>
    <w:rsid w:val="00E47BBE"/>
    <w:rsid w:val="00E503EB"/>
    <w:rsid w:val="00E5098C"/>
    <w:rsid w:val="00E51110"/>
    <w:rsid w:val="00E5132D"/>
    <w:rsid w:val="00E51A15"/>
    <w:rsid w:val="00E52D94"/>
    <w:rsid w:val="00E5332F"/>
    <w:rsid w:val="00E54572"/>
    <w:rsid w:val="00E54702"/>
    <w:rsid w:val="00E553C9"/>
    <w:rsid w:val="00E55D28"/>
    <w:rsid w:val="00E56235"/>
    <w:rsid w:val="00E5670F"/>
    <w:rsid w:val="00E56B2C"/>
    <w:rsid w:val="00E571B2"/>
    <w:rsid w:val="00E573E0"/>
    <w:rsid w:val="00E57CEC"/>
    <w:rsid w:val="00E6005F"/>
    <w:rsid w:val="00E602FA"/>
    <w:rsid w:val="00E609AD"/>
    <w:rsid w:val="00E615DA"/>
    <w:rsid w:val="00E624BB"/>
    <w:rsid w:val="00E627D2"/>
    <w:rsid w:val="00E62A0B"/>
    <w:rsid w:val="00E62A76"/>
    <w:rsid w:val="00E633B8"/>
    <w:rsid w:val="00E633C8"/>
    <w:rsid w:val="00E64723"/>
    <w:rsid w:val="00E64BA1"/>
    <w:rsid w:val="00E64D67"/>
    <w:rsid w:val="00E65116"/>
    <w:rsid w:val="00E6523B"/>
    <w:rsid w:val="00E6530A"/>
    <w:rsid w:val="00E655AB"/>
    <w:rsid w:val="00E65C23"/>
    <w:rsid w:val="00E65C28"/>
    <w:rsid w:val="00E65D58"/>
    <w:rsid w:val="00E66CEE"/>
    <w:rsid w:val="00E66FEC"/>
    <w:rsid w:val="00E670F8"/>
    <w:rsid w:val="00E67B1E"/>
    <w:rsid w:val="00E703A0"/>
    <w:rsid w:val="00E705C7"/>
    <w:rsid w:val="00E70B23"/>
    <w:rsid w:val="00E70C33"/>
    <w:rsid w:val="00E70D73"/>
    <w:rsid w:val="00E716EF"/>
    <w:rsid w:val="00E71770"/>
    <w:rsid w:val="00E71FB9"/>
    <w:rsid w:val="00E7236C"/>
    <w:rsid w:val="00E72A6A"/>
    <w:rsid w:val="00E73540"/>
    <w:rsid w:val="00E736A9"/>
    <w:rsid w:val="00E7388E"/>
    <w:rsid w:val="00E738C8"/>
    <w:rsid w:val="00E74B39"/>
    <w:rsid w:val="00E75623"/>
    <w:rsid w:val="00E757C0"/>
    <w:rsid w:val="00E75BF5"/>
    <w:rsid w:val="00E768F8"/>
    <w:rsid w:val="00E76A1E"/>
    <w:rsid w:val="00E76DD6"/>
    <w:rsid w:val="00E77313"/>
    <w:rsid w:val="00E7738C"/>
    <w:rsid w:val="00E77AFF"/>
    <w:rsid w:val="00E77DB7"/>
    <w:rsid w:val="00E802C3"/>
    <w:rsid w:val="00E80968"/>
    <w:rsid w:val="00E80F1A"/>
    <w:rsid w:val="00E812FF"/>
    <w:rsid w:val="00E81383"/>
    <w:rsid w:val="00E817B7"/>
    <w:rsid w:val="00E81C8B"/>
    <w:rsid w:val="00E8214F"/>
    <w:rsid w:val="00E82899"/>
    <w:rsid w:val="00E82F91"/>
    <w:rsid w:val="00E83110"/>
    <w:rsid w:val="00E83140"/>
    <w:rsid w:val="00E8344C"/>
    <w:rsid w:val="00E83F2D"/>
    <w:rsid w:val="00E84AAC"/>
    <w:rsid w:val="00E84EC0"/>
    <w:rsid w:val="00E850FC"/>
    <w:rsid w:val="00E8564E"/>
    <w:rsid w:val="00E859E7"/>
    <w:rsid w:val="00E85D8F"/>
    <w:rsid w:val="00E8608C"/>
    <w:rsid w:val="00E864C0"/>
    <w:rsid w:val="00E86D1A"/>
    <w:rsid w:val="00E8714A"/>
    <w:rsid w:val="00E87A2A"/>
    <w:rsid w:val="00E87CAC"/>
    <w:rsid w:val="00E87DC9"/>
    <w:rsid w:val="00E91730"/>
    <w:rsid w:val="00E920C7"/>
    <w:rsid w:val="00E92279"/>
    <w:rsid w:val="00E926DD"/>
    <w:rsid w:val="00E92AE2"/>
    <w:rsid w:val="00E92DDE"/>
    <w:rsid w:val="00E93729"/>
    <w:rsid w:val="00E94658"/>
    <w:rsid w:val="00E94B62"/>
    <w:rsid w:val="00E950EF"/>
    <w:rsid w:val="00E951A8"/>
    <w:rsid w:val="00E95CE4"/>
    <w:rsid w:val="00E9641E"/>
    <w:rsid w:val="00E96B7D"/>
    <w:rsid w:val="00E97897"/>
    <w:rsid w:val="00E97EAF"/>
    <w:rsid w:val="00EA00B7"/>
    <w:rsid w:val="00EA0816"/>
    <w:rsid w:val="00EA0A7A"/>
    <w:rsid w:val="00EA0DA4"/>
    <w:rsid w:val="00EA270B"/>
    <w:rsid w:val="00EA2CB8"/>
    <w:rsid w:val="00EA2CBB"/>
    <w:rsid w:val="00EA2FBD"/>
    <w:rsid w:val="00EA3D7A"/>
    <w:rsid w:val="00EA46C6"/>
    <w:rsid w:val="00EA4CF9"/>
    <w:rsid w:val="00EA503F"/>
    <w:rsid w:val="00EA5101"/>
    <w:rsid w:val="00EA521C"/>
    <w:rsid w:val="00EA5FCD"/>
    <w:rsid w:val="00EA6717"/>
    <w:rsid w:val="00EA6B8D"/>
    <w:rsid w:val="00EA6BB5"/>
    <w:rsid w:val="00EA6F0C"/>
    <w:rsid w:val="00EA75F3"/>
    <w:rsid w:val="00EA7849"/>
    <w:rsid w:val="00EA79C1"/>
    <w:rsid w:val="00EA7F1D"/>
    <w:rsid w:val="00EB04F5"/>
    <w:rsid w:val="00EB0651"/>
    <w:rsid w:val="00EB1608"/>
    <w:rsid w:val="00EB1B5E"/>
    <w:rsid w:val="00EB1CCD"/>
    <w:rsid w:val="00EB29E4"/>
    <w:rsid w:val="00EB2A12"/>
    <w:rsid w:val="00EB2BCD"/>
    <w:rsid w:val="00EB3C04"/>
    <w:rsid w:val="00EB40CE"/>
    <w:rsid w:val="00EB4FD8"/>
    <w:rsid w:val="00EB5C27"/>
    <w:rsid w:val="00EB624A"/>
    <w:rsid w:val="00EB7FB5"/>
    <w:rsid w:val="00EC0EF3"/>
    <w:rsid w:val="00EC1140"/>
    <w:rsid w:val="00EC1192"/>
    <w:rsid w:val="00EC12D7"/>
    <w:rsid w:val="00EC134C"/>
    <w:rsid w:val="00EC13A5"/>
    <w:rsid w:val="00EC1469"/>
    <w:rsid w:val="00EC18EA"/>
    <w:rsid w:val="00EC202A"/>
    <w:rsid w:val="00EC219E"/>
    <w:rsid w:val="00EC25C6"/>
    <w:rsid w:val="00EC30D6"/>
    <w:rsid w:val="00EC315C"/>
    <w:rsid w:val="00EC333D"/>
    <w:rsid w:val="00EC3CBA"/>
    <w:rsid w:val="00EC3DAD"/>
    <w:rsid w:val="00EC3EEC"/>
    <w:rsid w:val="00EC402F"/>
    <w:rsid w:val="00EC468D"/>
    <w:rsid w:val="00EC5025"/>
    <w:rsid w:val="00EC5726"/>
    <w:rsid w:val="00EC5F32"/>
    <w:rsid w:val="00EC63D9"/>
    <w:rsid w:val="00EC6A01"/>
    <w:rsid w:val="00EC6FAA"/>
    <w:rsid w:val="00ED0209"/>
    <w:rsid w:val="00ED0B78"/>
    <w:rsid w:val="00ED1497"/>
    <w:rsid w:val="00ED1835"/>
    <w:rsid w:val="00ED2D1C"/>
    <w:rsid w:val="00ED341E"/>
    <w:rsid w:val="00ED3673"/>
    <w:rsid w:val="00ED39DD"/>
    <w:rsid w:val="00ED3E0A"/>
    <w:rsid w:val="00ED40DC"/>
    <w:rsid w:val="00ED4459"/>
    <w:rsid w:val="00ED4778"/>
    <w:rsid w:val="00ED49DA"/>
    <w:rsid w:val="00ED5C78"/>
    <w:rsid w:val="00ED5CCD"/>
    <w:rsid w:val="00ED5F40"/>
    <w:rsid w:val="00ED700D"/>
    <w:rsid w:val="00ED726B"/>
    <w:rsid w:val="00ED7648"/>
    <w:rsid w:val="00EE0DD2"/>
    <w:rsid w:val="00EE0E37"/>
    <w:rsid w:val="00EE0EA4"/>
    <w:rsid w:val="00EE15CD"/>
    <w:rsid w:val="00EE1701"/>
    <w:rsid w:val="00EE182C"/>
    <w:rsid w:val="00EE1F83"/>
    <w:rsid w:val="00EE2003"/>
    <w:rsid w:val="00EE3566"/>
    <w:rsid w:val="00EE3C92"/>
    <w:rsid w:val="00EE4378"/>
    <w:rsid w:val="00EE43BD"/>
    <w:rsid w:val="00EE4654"/>
    <w:rsid w:val="00EE4AF4"/>
    <w:rsid w:val="00EE50AE"/>
    <w:rsid w:val="00EE51F3"/>
    <w:rsid w:val="00EE5391"/>
    <w:rsid w:val="00EE581E"/>
    <w:rsid w:val="00EE5C5D"/>
    <w:rsid w:val="00EE634B"/>
    <w:rsid w:val="00EE68E6"/>
    <w:rsid w:val="00EE7F51"/>
    <w:rsid w:val="00EF05C1"/>
    <w:rsid w:val="00EF0C9F"/>
    <w:rsid w:val="00EF0EF8"/>
    <w:rsid w:val="00EF11B4"/>
    <w:rsid w:val="00EF12C1"/>
    <w:rsid w:val="00EF160F"/>
    <w:rsid w:val="00EF1651"/>
    <w:rsid w:val="00EF16E0"/>
    <w:rsid w:val="00EF1E86"/>
    <w:rsid w:val="00EF204F"/>
    <w:rsid w:val="00EF363E"/>
    <w:rsid w:val="00EF3B6F"/>
    <w:rsid w:val="00EF3C7E"/>
    <w:rsid w:val="00EF4529"/>
    <w:rsid w:val="00EF4626"/>
    <w:rsid w:val="00EF471A"/>
    <w:rsid w:val="00EF4ACC"/>
    <w:rsid w:val="00EF5234"/>
    <w:rsid w:val="00EF580D"/>
    <w:rsid w:val="00EF59C0"/>
    <w:rsid w:val="00EF5E08"/>
    <w:rsid w:val="00EF6849"/>
    <w:rsid w:val="00EF7AE1"/>
    <w:rsid w:val="00F00247"/>
    <w:rsid w:val="00F007DF"/>
    <w:rsid w:val="00F00DC3"/>
    <w:rsid w:val="00F00F78"/>
    <w:rsid w:val="00F0179C"/>
    <w:rsid w:val="00F05926"/>
    <w:rsid w:val="00F05BC8"/>
    <w:rsid w:val="00F05BE9"/>
    <w:rsid w:val="00F0662A"/>
    <w:rsid w:val="00F06704"/>
    <w:rsid w:val="00F06925"/>
    <w:rsid w:val="00F06BF2"/>
    <w:rsid w:val="00F06EB4"/>
    <w:rsid w:val="00F07C18"/>
    <w:rsid w:val="00F113F2"/>
    <w:rsid w:val="00F115C7"/>
    <w:rsid w:val="00F11E12"/>
    <w:rsid w:val="00F121A2"/>
    <w:rsid w:val="00F1225B"/>
    <w:rsid w:val="00F12343"/>
    <w:rsid w:val="00F12D0D"/>
    <w:rsid w:val="00F1367F"/>
    <w:rsid w:val="00F137BE"/>
    <w:rsid w:val="00F14576"/>
    <w:rsid w:val="00F1471D"/>
    <w:rsid w:val="00F149B1"/>
    <w:rsid w:val="00F14A99"/>
    <w:rsid w:val="00F14B21"/>
    <w:rsid w:val="00F158C0"/>
    <w:rsid w:val="00F15FA8"/>
    <w:rsid w:val="00F16B87"/>
    <w:rsid w:val="00F16E0F"/>
    <w:rsid w:val="00F16F14"/>
    <w:rsid w:val="00F172E0"/>
    <w:rsid w:val="00F17867"/>
    <w:rsid w:val="00F17AE8"/>
    <w:rsid w:val="00F17D52"/>
    <w:rsid w:val="00F17E3C"/>
    <w:rsid w:val="00F200D0"/>
    <w:rsid w:val="00F20743"/>
    <w:rsid w:val="00F208B0"/>
    <w:rsid w:val="00F21171"/>
    <w:rsid w:val="00F21231"/>
    <w:rsid w:val="00F2149D"/>
    <w:rsid w:val="00F217DB"/>
    <w:rsid w:val="00F21B72"/>
    <w:rsid w:val="00F226B6"/>
    <w:rsid w:val="00F22C4A"/>
    <w:rsid w:val="00F22FBE"/>
    <w:rsid w:val="00F23228"/>
    <w:rsid w:val="00F2338E"/>
    <w:rsid w:val="00F233A8"/>
    <w:rsid w:val="00F23EB9"/>
    <w:rsid w:val="00F2419C"/>
    <w:rsid w:val="00F24277"/>
    <w:rsid w:val="00F245B9"/>
    <w:rsid w:val="00F2461F"/>
    <w:rsid w:val="00F24D44"/>
    <w:rsid w:val="00F2506B"/>
    <w:rsid w:val="00F25686"/>
    <w:rsid w:val="00F258C8"/>
    <w:rsid w:val="00F26073"/>
    <w:rsid w:val="00F277D1"/>
    <w:rsid w:val="00F27D5E"/>
    <w:rsid w:val="00F3093E"/>
    <w:rsid w:val="00F31069"/>
    <w:rsid w:val="00F316FC"/>
    <w:rsid w:val="00F31D0C"/>
    <w:rsid w:val="00F32540"/>
    <w:rsid w:val="00F33F52"/>
    <w:rsid w:val="00F34DEF"/>
    <w:rsid w:val="00F35DE2"/>
    <w:rsid w:val="00F35E70"/>
    <w:rsid w:val="00F371BC"/>
    <w:rsid w:val="00F372F4"/>
    <w:rsid w:val="00F4070E"/>
    <w:rsid w:val="00F40C54"/>
    <w:rsid w:val="00F40FBF"/>
    <w:rsid w:val="00F4141F"/>
    <w:rsid w:val="00F41F69"/>
    <w:rsid w:val="00F4213D"/>
    <w:rsid w:val="00F42472"/>
    <w:rsid w:val="00F428E2"/>
    <w:rsid w:val="00F4344B"/>
    <w:rsid w:val="00F44E37"/>
    <w:rsid w:val="00F44ECB"/>
    <w:rsid w:val="00F45397"/>
    <w:rsid w:val="00F45EAD"/>
    <w:rsid w:val="00F45F5F"/>
    <w:rsid w:val="00F46531"/>
    <w:rsid w:val="00F4684F"/>
    <w:rsid w:val="00F46B0D"/>
    <w:rsid w:val="00F470D7"/>
    <w:rsid w:val="00F474C1"/>
    <w:rsid w:val="00F4760D"/>
    <w:rsid w:val="00F47785"/>
    <w:rsid w:val="00F47804"/>
    <w:rsid w:val="00F479FB"/>
    <w:rsid w:val="00F47DBC"/>
    <w:rsid w:val="00F47DCC"/>
    <w:rsid w:val="00F50F5C"/>
    <w:rsid w:val="00F510D2"/>
    <w:rsid w:val="00F51223"/>
    <w:rsid w:val="00F512A0"/>
    <w:rsid w:val="00F51EAB"/>
    <w:rsid w:val="00F52070"/>
    <w:rsid w:val="00F524C4"/>
    <w:rsid w:val="00F52AC0"/>
    <w:rsid w:val="00F52CE1"/>
    <w:rsid w:val="00F53DD1"/>
    <w:rsid w:val="00F54244"/>
    <w:rsid w:val="00F542C2"/>
    <w:rsid w:val="00F5458F"/>
    <w:rsid w:val="00F54651"/>
    <w:rsid w:val="00F546BA"/>
    <w:rsid w:val="00F5542F"/>
    <w:rsid w:val="00F5588A"/>
    <w:rsid w:val="00F56195"/>
    <w:rsid w:val="00F5698F"/>
    <w:rsid w:val="00F56AB4"/>
    <w:rsid w:val="00F56AC2"/>
    <w:rsid w:val="00F57078"/>
    <w:rsid w:val="00F57ACC"/>
    <w:rsid w:val="00F60263"/>
    <w:rsid w:val="00F60360"/>
    <w:rsid w:val="00F62934"/>
    <w:rsid w:val="00F62ED9"/>
    <w:rsid w:val="00F63063"/>
    <w:rsid w:val="00F6375A"/>
    <w:rsid w:val="00F63DC1"/>
    <w:rsid w:val="00F6477C"/>
    <w:rsid w:val="00F647B0"/>
    <w:rsid w:val="00F64B50"/>
    <w:rsid w:val="00F64F82"/>
    <w:rsid w:val="00F65022"/>
    <w:rsid w:val="00F6516B"/>
    <w:rsid w:val="00F654F3"/>
    <w:rsid w:val="00F656B1"/>
    <w:rsid w:val="00F65840"/>
    <w:rsid w:val="00F65F47"/>
    <w:rsid w:val="00F67509"/>
    <w:rsid w:val="00F67D73"/>
    <w:rsid w:val="00F70110"/>
    <w:rsid w:val="00F708D7"/>
    <w:rsid w:val="00F7132F"/>
    <w:rsid w:val="00F7149F"/>
    <w:rsid w:val="00F7230D"/>
    <w:rsid w:val="00F7252F"/>
    <w:rsid w:val="00F7285E"/>
    <w:rsid w:val="00F72990"/>
    <w:rsid w:val="00F72CF0"/>
    <w:rsid w:val="00F740CD"/>
    <w:rsid w:val="00F75DF9"/>
    <w:rsid w:val="00F76790"/>
    <w:rsid w:val="00F76A61"/>
    <w:rsid w:val="00F76AC0"/>
    <w:rsid w:val="00F771E7"/>
    <w:rsid w:val="00F77910"/>
    <w:rsid w:val="00F77E71"/>
    <w:rsid w:val="00F80471"/>
    <w:rsid w:val="00F805FF"/>
    <w:rsid w:val="00F80CE9"/>
    <w:rsid w:val="00F8170F"/>
    <w:rsid w:val="00F8180C"/>
    <w:rsid w:val="00F81A29"/>
    <w:rsid w:val="00F81FBB"/>
    <w:rsid w:val="00F82029"/>
    <w:rsid w:val="00F8257F"/>
    <w:rsid w:val="00F827D1"/>
    <w:rsid w:val="00F82D0C"/>
    <w:rsid w:val="00F8307B"/>
    <w:rsid w:val="00F83485"/>
    <w:rsid w:val="00F83639"/>
    <w:rsid w:val="00F8387B"/>
    <w:rsid w:val="00F83CAA"/>
    <w:rsid w:val="00F842A5"/>
    <w:rsid w:val="00F84630"/>
    <w:rsid w:val="00F8547C"/>
    <w:rsid w:val="00F85A6F"/>
    <w:rsid w:val="00F85FCC"/>
    <w:rsid w:val="00F86495"/>
    <w:rsid w:val="00F86984"/>
    <w:rsid w:val="00F871FB"/>
    <w:rsid w:val="00F8759F"/>
    <w:rsid w:val="00F878A1"/>
    <w:rsid w:val="00F87B59"/>
    <w:rsid w:val="00F87BD8"/>
    <w:rsid w:val="00F907B6"/>
    <w:rsid w:val="00F90CB8"/>
    <w:rsid w:val="00F910A7"/>
    <w:rsid w:val="00F9126B"/>
    <w:rsid w:val="00F91C58"/>
    <w:rsid w:val="00F91C9A"/>
    <w:rsid w:val="00F91FF1"/>
    <w:rsid w:val="00F9284D"/>
    <w:rsid w:val="00F93027"/>
    <w:rsid w:val="00F934B9"/>
    <w:rsid w:val="00F93962"/>
    <w:rsid w:val="00F93AA6"/>
    <w:rsid w:val="00F94A12"/>
    <w:rsid w:val="00F94D9F"/>
    <w:rsid w:val="00F94ECE"/>
    <w:rsid w:val="00F96364"/>
    <w:rsid w:val="00F965C6"/>
    <w:rsid w:val="00F96883"/>
    <w:rsid w:val="00F97C94"/>
    <w:rsid w:val="00FA0945"/>
    <w:rsid w:val="00FA1014"/>
    <w:rsid w:val="00FA2212"/>
    <w:rsid w:val="00FA35EF"/>
    <w:rsid w:val="00FA3CB2"/>
    <w:rsid w:val="00FA3F26"/>
    <w:rsid w:val="00FA4D2A"/>
    <w:rsid w:val="00FA4E63"/>
    <w:rsid w:val="00FA4FB0"/>
    <w:rsid w:val="00FA55B9"/>
    <w:rsid w:val="00FA560B"/>
    <w:rsid w:val="00FA629E"/>
    <w:rsid w:val="00FA673C"/>
    <w:rsid w:val="00FA68F5"/>
    <w:rsid w:val="00FA69D8"/>
    <w:rsid w:val="00FA7135"/>
    <w:rsid w:val="00FA73E0"/>
    <w:rsid w:val="00FA753B"/>
    <w:rsid w:val="00FA7850"/>
    <w:rsid w:val="00FA797C"/>
    <w:rsid w:val="00FA7A4D"/>
    <w:rsid w:val="00FA7B9C"/>
    <w:rsid w:val="00FB0592"/>
    <w:rsid w:val="00FB09B6"/>
    <w:rsid w:val="00FB0E17"/>
    <w:rsid w:val="00FB1AD5"/>
    <w:rsid w:val="00FB1F78"/>
    <w:rsid w:val="00FB3BC1"/>
    <w:rsid w:val="00FB4178"/>
    <w:rsid w:val="00FB5C61"/>
    <w:rsid w:val="00FB7CD1"/>
    <w:rsid w:val="00FB7D37"/>
    <w:rsid w:val="00FC0061"/>
    <w:rsid w:val="00FC02F1"/>
    <w:rsid w:val="00FC05CA"/>
    <w:rsid w:val="00FC0A4D"/>
    <w:rsid w:val="00FC0FED"/>
    <w:rsid w:val="00FC1A1E"/>
    <w:rsid w:val="00FC1D38"/>
    <w:rsid w:val="00FC1FF8"/>
    <w:rsid w:val="00FC256E"/>
    <w:rsid w:val="00FC25C5"/>
    <w:rsid w:val="00FC306C"/>
    <w:rsid w:val="00FC396A"/>
    <w:rsid w:val="00FC42C8"/>
    <w:rsid w:val="00FC4845"/>
    <w:rsid w:val="00FC4A53"/>
    <w:rsid w:val="00FC56ED"/>
    <w:rsid w:val="00FC5F2D"/>
    <w:rsid w:val="00FC6A4F"/>
    <w:rsid w:val="00FC753F"/>
    <w:rsid w:val="00FC7FAB"/>
    <w:rsid w:val="00FD2C06"/>
    <w:rsid w:val="00FD2DBF"/>
    <w:rsid w:val="00FD3530"/>
    <w:rsid w:val="00FD35BF"/>
    <w:rsid w:val="00FD3D85"/>
    <w:rsid w:val="00FD40FC"/>
    <w:rsid w:val="00FD53AD"/>
    <w:rsid w:val="00FD6118"/>
    <w:rsid w:val="00FD65D7"/>
    <w:rsid w:val="00FD7618"/>
    <w:rsid w:val="00FD7BC2"/>
    <w:rsid w:val="00FE0FC9"/>
    <w:rsid w:val="00FE10DC"/>
    <w:rsid w:val="00FE2DC4"/>
    <w:rsid w:val="00FE37F8"/>
    <w:rsid w:val="00FE3C4D"/>
    <w:rsid w:val="00FE3FB6"/>
    <w:rsid w:val="00FE4A49"/>
    <w:rsid w:val="00FE52BA"/>
    <w:rsid w:val="00FE543B"/>
    <w:rsid w:val="00FE5969"/>
    <w:rsid w:val="00FE6113"/>
    <w:rsid w:val="00FE6D1C"/>
    <w:rsid w:val="00FE6F3F"/>
    <w:rsid w:val="00FE7196"/>
    <w:rsid w:val="00FE7209"/>
    <w:rsid w:val="00FE7883"/>
    <w:rsid w:val="00FF1610"/>
    <w:rsid w:val="00FF21CE"/>
    <w:rsid w:val="00FF222E"/>
    <w:rsid w:val="00FF24A3"/>
    <w:rsid w:val="00FF272F"/>
    <w:rsid w:val="00FF29AA"/>
    <w:rsid w:val="00FF2E04"/>
    <w:rsid w:val="00FF2EF1"/>
    <w:rsid w:val="00FF3096"/>
    <w:rsid w:val="00FF4A47"/>
    <w:rsid w:val="00FF50F4"/>
    <w:rsid w:val="00FF510A"/>
    <w:rsid w:val="00FF5476"/>
    <w:rsid w:val="00FF555F"/>
    <w:rsid w:val="00FF598D"/>
    <w:rsid w:val="00FF5A23"/>
    <w:rsid w:val="00FF62A7"/>
    <w:rsid w:val="00FF6415"/>
    <w:rsid w:val="00FF6860"/>
    <w:rsid w:val="00FF6E34"/>
    <w:rsid w:val="00FF6EAE"/>
    <w:rsid w:val="0193C65F"/>
    <w:rsid w:val="032EBAC5"/>
    <w:rsid w:val="082F5C3B"/>
    <w:rsid w:val="0D01D13F"/>
    <w:rsid w:val="0DEE27A0"/>
    <w:rsid w:val="1581347A"/>
    <w:rsid w:val="1608F749"/>
    <w:rsid w:val="16D7449E"/>
    <w:rsid w:val="1BD84ABB"/>
    <w:rsid w:val="1E7684B7"/>
    <w:rsid w:val="2073A9A8"/>
    <w:rsid w:val="20F6A71A"/>
    <w:rsid w:val="21BD6812"/>
    <w:rsid w:val="22FC19BF"/>
    <w:rsid w:val="262E907D"/>
    <w:rsid w:val="2680D0CC"/>
    <w:rsid w:val="2690D935"/>
    <w:rsid w:val="2965024F"/>
    <w:rsid w:val="2E276A71"/>
    <w:rsid w:val="31E3B03E"/>
    <w:rsid w:val="348F2411"/>
    <w:rsid w:val="37FAE592"/>
    <w:rsid w:val="391CA226"/>
    <w:rsid w:val="3F3242A4"/>
    <w:rsid w:val="40E225A4"/>
    <w:rsid w:val="49E386B4"/>
    <w:rsid w:val="4A98E1FB"/>
    <w:rsid w:val="4C52B1C8"/>
    <w:rsid w:val="507D67DA"/>
    <w:rsid w:val="51169CCA"/>
    <w:rsid w:val="5455C0F7"/>
    <w:rsid w:val="5492CED9"/>
    <w:rsid w:val="55419664"/>
    <w:rsid w:val="58793726"/>
    <w:rsid w:val="59B1C2B0"/>
    <w:rsid w:val="5BE75B00"/>
    <w:rsid w:val="5D250C15"/>
    <w:rsid w:val="5E6E04AF"/>
    <w:rsid w:val="5E8D8600"/>
    <w:rsid w:val="5F1C9DE2"/>
    <w:rsid w:val="5F44D607"/>
    <w:rsid w:val="61C474A6"/>
    <w:rsid w:val="682BB172"/>
    <w:rsid w:val="6EFCA436"/>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3DF6CB35"/>
  <w15:docId w15:val="{146197B1-17A7-425A-A936-24077092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A4"/>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04FBE"/>
    <w:pPr>
      <w:keepNext/>
      <w:keepLines/>
      <w:shd w:val="clear" w:color="auto" w:fill="FFFFFF"/>
      <w:spacing w:after="240"/>
      <w:ind w:left="720" w:hanging="720"/>
      <w:outlineLvl w:val="0"/>
    </w:pPr>
    <w:rPr>
      <w:rFonts w:ascii="Times New Roman Bold" w:hAnsi="Times New Roman Bold" w:eastAsiaTheme="majorEastAsia" w:cs="Times New Roman"/>
      <w:b/>
      <w:caps/>
      <w:szCs w:val="24"/>
    </w:rPr>
  </w:style>
  <w:style w:type="paragraph" w:styleId="Heading2">
    <w:name w:val="heading 2"/>
    <w:basedOn w:val="ListParagraph"/>
    <w:next w:val="Normal"/>
    <w:link w:val="Heading2Char"/>
    <w:unhideWhenUsed/>
    <w:qFormat/>
    <w:rsid w:val="005B7251"/>
    <w:pPr>
      <w:autoSpaceDE w:val="0"/>
      <w:autoSpaceDN w:val="0"/>
      <w:adjustRightInd w:val="0"/>
      <w:spacing w:after="240"/>
      <w:ind w:left="1440" w:hanging="720"/>
      <w:contextualSpacing w:val="0"/>
      <w:outlineLvl w:val="1"/>
    </w:pPr>
    <w:rPr>
      <w:rFonts w:cs="Times New Roman"/>
      <w:b/>
      <w:bCs/>
      <w:szCs w:val="24"/>
    </w:rPr>
  </w:style>
  <w:style w:type="paragraph" w:styleId="Heading3">
    <w:name w:val="heading 3"/>
    <w:basedOn w:val="BodyTextIndent3"/>
    <w:next w:val="Normal"/>
    <w:link w:val="Heading3Char"/>
    <w:autoRedefine/>
    <w:uiPriority w:val="9"/>
    <w:unhideWhenUsed/>
    <w:qFormat/>
    <w:rsid w:val="009A0C55"/>
    <w:pPr>
      <w:widowControl w:val="0"/>
      <w:spacing w:after="240" w:line="240" w:lineRule="auto"/>
      <w:ind w:left="2160" w:hanging="720"/>
      <w:outlineLvl w:val="2"/>
    </w:pPr>
    <w:rPr>
      <w:b/>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qFormat/>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113F2"/>
    <w:rPr>
      <w:color w:val="0000FF"/>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5B7251"/>
    <w:rPr>
      <w:rFonts w:ascii="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FBE"/>
    <w:rPr>
      <w:rFonts w:ascii="Times New Roman Bold" w:hAnsi="Times New Roman Bold" w:eastAsiaTheme="majorEastAsia" w:cs="Times New Roman"/>
      <w:b/>
      <w:caps/>
      <w:sz w:val="24"/>
      <w:szCs w:val="24"/>
      <w:shd w:val="clear" w:color="auto" w:fill="FFFFFF"/>
    </w:rPr>
  </w:style>
  <w:style w:type="character" w:customStyle="1" w:styleId="Heading3Char">
    <w:name w:val="Heading 3 Char"/>
    <w:basedOn w:val="DefaultParagraphFont"/>
    <w:link w:val="Heading3"/>
    <w:uiPriority w:val="9"/>
    <w:rsid w:val="009A0C5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BB6E1F"/>
    <w:pPr>
      <w:tabs>
        <w:tab w:val="decimal" w:leader="dot" w:pos="9360"/>
      </w:tabs>
      <w:spacing w:after="240"/>
      <w:ind w:left="720" w:hanging="720"/>
      <w:outlineLvl w:val="0"/>
    </w:pPr>
  </w:style>
  <w:style w:type="paragraph" w:styleId="TOC2">
    <w:name w:val="toc 2"/>
    <w:basedOn w:val="Normal"/>
    <w:next w:val="Normal"/>
    <w:autoRedefine/>
    <w:uiPriority w:val="39"/>
    <w:unhideWhenUsed/>
    <w:qFormat/>
    <w:rsid w:val="00A13318"/>
    <w:pPr>
      <w:tabs>
        <w:tab w:val="left" w:pos="1440"/>
        <w:tab w:val="decimal" w:leader="dot" w:pos="9360"/>
      </w:tabs>
      <w:spacing w:after="240"/>
      <w:ind w:left="1440" w:hanging="720"/>
      <w:outlineLvl w:val="1"/>
    </w:pPr>
  </w:style>
  <w:style w:type="paragraph" w:styleId="TOC3">
    <w:name w:val="toc 3"/>
    <w:basedOn w:val="Normal"/>
    <w:next w:val="Normal"/>
    <w:autoRedefine/>
    <w:uiPriority w:val="39"/>
    <w:unhideWhenUsed/>
    <w:rsid w:val="00DF10AB"/>
    <w:pPr>
      <w:tabs>
        <w:tab w:val="left" w:pos="720"/>
        <w:tab w:val="left" w:pos="1440"/>
        <w:tab w:val="decimal" w:leader="dot" w:pos="9360"/>
      </w:tabs>
      <w:spacing w:after="240"/>
      <w:ind w:left="216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UnresolvedMention6">
    <w:name w:val="Unresolved Mention6"/>
    <w:basedOn w:val="DefaultParagraphFont"/>
    <w:uiPriority w:val="99"/>
    <w:rsid w:val="00117621"/>
    <w:rPr>
      <w:color w:val="605E5C"/>
      <w:shd w:val="clear" w:color="auto" w:fill="E1DFDD"/>
    </w:rPr>
  </w:style>
  <w:style w:type="character" w:customStyle="1" w:styleId="UnresolvedMention7">
    <w:name w:val="Unresolved Mention7"/>
    <w:basedOn w:val="DefaultParagraphFont"/>
    <w:uiPriority w:val="99"/>
    <w:rsid w:val="00FC25C5"/>
    <w:rPr>
      <w:color w:val="605E5C"/>
      <w:shd w:val="clear" w:color="auto" w:fill="E1DFDD"/>
    </w:rPr>
  </w:style>
  <w:style w:type="table" w:customStyle="1" w:styleId="TableGrid2">
    <w:name w:val="Table Grid2"/>
    <w:basedOn w:val="TableNormal"/>
    <w:next w:val="TableGrid"/>
    <w:uiPriority w:val="39"/>
    <w:rsid w:val="006B463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rsid w:val="000945CC"/>
    <w:rPr>
      <w:color w:val="605E5C"/>
      <w:shd w:val="clear" w:color="auto" w:fill="E1DFDD"/>
    </w:rPr>
  </w:style>
  <w:style w:type="paragraph" w:styleId="PlainText">
    <w:name w:val="Plain Text"/>
    <w:basedOn w:val="Normal"/>
    <w:link w:val="PlainTextChar"/>
    <w:uiPriority w:val="99"/>
    <w:unhideWhenUsed/>
    <w:rsid w:val="00762059"/>
    <w:rPr>
      <w:rFonts w:ascii="Calibri" w:hAnsi="Calibri" w:cs="Calibri"/>
      <w:szCs w:val="24"/>
    </w:rPr>
  </w:style>
  <w:style w:type="character" w:customStyle="1" w:styleId="PlainTextChar">
    <w:name w:val="Plain Text Char"/>
    <w:basedOn w:val="DefaultParagraphFont"/>
    <w:link w:val="PlainText"/>
    <w:uiPriority w:val="99"/>
    <w:rsid w:val="00762059"/>
    <w:rPr>
      <w:rFonts w:ascii="Calibri" w:hAnsi="Calibri" w:cs="Calibri"/>
      <w:sz w:val="24"/>
      <w:szCs w:val="24"/>
    </w:rPr>
  </w:style>
  <w:style w:type="character" w:styleId="HTMLCite">
    <w:name w:val="HTML Cite"/>
    <w:basedOn w:val="DefaultParagraphFont"/>
    <w:uiPriority w:val="99"/>
    <w:semiHidden/>
    <w:unhideWhenUsed/>
    <w:rsid w:val="009B29F1"/>
    <w:rPr>
      <w:i/>
      <w:iCs/>
    </w:rPr>
  </w:style>
  <w:style w:type="character" w:customStyle="1" w:styleId="reference-accessdate">
    <w:name w:val="reference-accessdate"/>
    <w:basedOn w:val="DefaultParagraphFont"/>
    <w:rsid w:val="009B29F1"/>
  </w:style>
  <w:style w:type="character" w:customStyle="1" w:styleId="nowrap">
    <w:name w:val="nowrap"/>
    <w:basedOn w:val="DefaultParagraphFont"/>
    <w:rsid w:val="009B29F1"/>
  </w:style>
  <w:style w:type="character" w:customStyle="1" w:styleId="UnresolvedMention9">
    <w:name w:val="Unresolved Mention9"/>
    <w:basedOn w:val="DefaultParagraphFont"/>
    <w:uiPriority w:val="99"/>
    <w:rsid w:val="00860547"/>
    <w:rPr>
      <w:color w:val="605E5C"/>
      <w:shd w:val="clear" w:color="auto" w:fill="E1DFDD"/>
    </w:rPr>
  </w:style>
  <w:style w:type="paragraph" w:styleId="NoSpacing">
    <w:name w:val="No Spacing"/>
    <w:uiPriority w:val="1"/>
    <w:qFormat/>
    <w:rsid w:val="00983030"/>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142298"/>
    <w:pPr>
      <w:shd w:val="clear" w:color="auto" w:fill="auto"/>
      <w:spacing w:before="240" w:after="0" w:line="259" w:lineRule="auto"/>
      <w:ind w:left="0" w:firstLine="0"/>
      <w:outlineLvl w:val="9"/>
    </w:pPr>
    <w:rPr>
      <w:rFonts w:asciiTheme="majorHAnsi"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zuehlke@occ.ohio.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yperlink" Target="https://plus.lexis.com/document/?pdmfid=1530671&amp;crid=8ebdbf77-43dd-4007-af32-6610e94e8f6b&amp;pddocfullpath=%2Fshared%2Fdocument%2Fadministrative-materials%2Furn%3AcontentItem%3A4PXM-CCK0-00T9-91TW-00000-00&amp;pdcontentcomponentid=139838&amp;pdteaserkey=&amp;pdislpamode=false&amp;pdworkfolderlocatorid=NOT_SAVED_IN_WORKFOLDER&amp;ecomp=y74k&amp;earg=sr20&amp;prid=114f21cd-8e89-48fd-9fd5-4df650120276" TargetMode="External" /><Relationship Id="rId2" Type="http://schemas.openxmlformats.org/officeDocument/2006/relationships/settings" Target="settings.xml" /><Relationship Id="rId20" Type="http://schemas.openxmlformats.org/officeDocument/2006/relationships/hyperlink" Target="mailto:thomas.lindgren@ohioago.gov" TargetMode="External" /><Relationship Id="rId21" Type="http://schemas.openxmlformats.org/officeDocument/2006/relationships/hyperlink" Target="mailto:amy.botschnerobrien@ohioago.gov" TargetMode="External" /><Relationship Id="rId22" Type="http://schemas.openxmlformats.org/officeDocument/2006/relationships/hyperlink" Target="mailto:rhiannon.howard@ohioago.gov" TargetMode="External" /><Relationship Id="rId23" Type="http://schemas.openxmlformats.org/officeDocument/2006/relationships/hyperlink" Target="mailto:mkurtz@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rdove@keglerbrown.com" TargetMode="External" /><Relationship Id="rId26" Type="http://schemas.openxmlformats.org/officeDocument/2006/relationships/hyperlink" Target="mailto:nbobb@keglerbrown.com" TargetMode="External" /><Relationship Id="rId27" Type="http://schemas.openxmlformats.org/officeDocument/2006/relationships/hyperlink" Target="mailto:Stacie.Cathcart@igs.com" TargetMode="External" /><Relationship Id="rId28" Type="http://schemas.openxmlformats.org/officeDocument/2006/relationships/hyperlink" Target="mailto:Michael.Nugent@igs.com" TargetMode="External" /><Relationship Id="rId29" Type="http://schemas.openxmlformats.org/officeDocument/2006/relationships/hyperlink" Target="mailto:cgrundmann@spilmanlaw.com" TargetMode="External" /><Relationship Id="rId3" Type="http://schemas.openxmlformats.org/officeDocument/2006/relationships/webSettings" Target="webSettings.xml" /><Relationship Id="rId30" Type="http://schemas.openxmlformats.org/officeDocument/2006/relationships/hyperlink" Target="mailto:dwilliamson@spilmanlaw.com" TargetMode="External" /><Relationship Id="rId31" Type="http://schemas.openxmlformats.org/officeDocument/2006/relationships/hyperlink" Target="mailto:slee@spilmanlaw.com" TargetMode="External" /><Relationship Id="rId32" Type="http://schemas.openxmlformats.org/officeDocument/2006/relationships/hyperlink" Target="mailto:todd.schafer@outlook.com" TargetMode="External" /><Relationship Id="rId33" Type="http://schemas.openxmlformats.org/officeDocument/2006/relationships/hyperlink" Target="mailto:mjsettineri@vorys.com" TargetMode="External" /><Relationship Id="rId34" Type="http://schemas.openxmlformats.org/officeDocument/2006/relationships/hyperlink" Target="mailto:glpetrucci@vorys.com" TargetMode="External" /><Relationship Id="rId35" Type="http://schemas.openxmlformats.org/officeDocument/2006/relationships/hyperlink" Target="mailto:aasanyal@vorys.com" TargetMode="External" /><Relationship Id="rId36" Type="http://schemas.openxmlformats.org/officeDocument/2006/relationships/hyperlink" Target="mailto:dparram@brickergraydon.com" TargetMode="External" /><Relationship Id="rId37" Type="http://schemas.openxmlformats.org/officeDocument/2006/relationships/hyperlink" Target="mailto:rmains@brickergraydon.com" TargetMode="External" /><Relationship Id="rId38" Type="http://schemas.openxmlformats.org/officeDocument/2006/relationships/hyperlink" Target="mailto:dromig@nationwideenergypartners.com" TargetMode="External" /><Relationship Id="rId39" Type="http://schemas.openxmlformats.org/officeDocument/2006/relationships/hyperlink" Target="mailto:brian.gibbs@nationwideenergypartners.com" TargetMode="External" /><Relationship Id="rId4" Type="http://schemas.openxmlformats.org/officeDocument/2006/relationships/fontTable" Target="fontTable.xml" /><Relationship Id="rId40" Type="http://schemas.openxmlformats.org/officeDocument/2006/relationships/hyperlink" Target="mailto:paul@carpenterlipps.com" TargetMode="External" /><Relationship Id="rId41" Type="http://schemas.openxmlformats.org/officeDocument/2006/relationships/hyperlink" Target="mailto:mpritchard@mcneeslaw.com" TargetMode="External" /><Relationship Id="rId42" Type="http://schemas.openxmlformats.org/officeDocument/2006/relationships/hyperlink" Target="mailto:awalke@mcneeslaw.com" TargetMode="External" /><Relationship Id="rId43" Type="http://schemas.openxmlformats.org/officeDocument/2006/relationships/hyperlink" Target="mailto:tdougherty@theOEC.org" TargetMode="External" /><Relationship Id="rId44" Type="http://schemas.openxmlformats.org/officeDocument/2006/relationships/hyperlink" Target="mailto:katherine.hollingsworth@lasclev.org" TargetMode="External" /><Relationship Id="rId45" Type="http://schemas.openxmlformats.org/officeDocument/2006/relationships/hyperlink" Target="mailto:sjagers@ohiopovertylaw.org" TargetMode="External" /><Relationship Id="rId46" Type="http://schemas.openxmlformats.org/officeDocument/2006/relationships/hyperlink" Target="mailto:mwalters@proseniors.org" TargetMode="External" /><Relationship Id="rId47" Type="http://schemas.openxmlformats.org/officeDocument/2006/relationships/hyperlink" Target="mailto:dmanor@ablelaw.org" TargetMode="External" /><Relationship Id="rId48" Type="http://schemas.openxmlformats.org/officeDocument/2006/relationships/hyperlink" Target="mailto:rnader@communitylegalaid.org" TargetMode="External" /><Relationship Id="rId49" Type="http://schemas.openxmlformats.org/officeDocument/2006/relationships/hyperlink" Target="mailto:megan.addison@puco.ohio.gov" TargetMode="External" /><Relationship Id="rId5" Type="http://schemas.openxmlformats.org/officeDocument/2006/relationships/customXml" Target="../customXml/item1.xml" /><Relationship Id="rId50" Type="http://schemas.openxmlformats.org/officeDocument/2006/relationships/hyperlink" Target="mailto:greg.price@puco.ohio.gov" TargetMode="External" /><Relationship Id="rId51" Type="http://schemas.openxmlformats.org/officeDocument/2006/relationships/hyperlink" Target="mailto:jacqueline.st.john@puco.ohio.gov" TargetMode="External" /><Relationship Id="rId52" Type="http://schemas.openxmlformats.org/officeDocument/2006/relationships/hyperlink" Target="mailto:bknipe@firstenergycorp.com" TargetMode="External" /><Relationship Id="rId53" Type="http://schemas.openxmlformats.org/officeDocument/2006/relationships/hyperlink" Target="mailto:cwatchorn@firstenergycorp.com" TargetMode="External" /><Relationship Id="rId54" Type="http://schemas.openxmlformats.org/officeDocument/2006/relationships/hyperlink" Target="mailto:talexander@beneschlaw.com" TargetMode="External" /><Relationship Id="rId55" Type="http://schemas.openxmlformats.org/officeDocument/2006/relationships/hyperlink" Target="mailto:mkeaney@beneschlaw.com" TargetMode="External" /><Relationship Id="rId56" Type="http://schemas.openxmlformats.org/officeDocument/2006/relationships/hyperlink" Target="mailto:khehmeyer@beneschlaw.com" TargetMode="External" /><Relationship Id="rId57" Type="http://schemas.openxmlformats.org/officeDocument/2006/relationships/hyperlink" Target="mailto:dproano@bakerlaw.com" TargetMode="External" /><Relationship Id="rId58" Type="http://schemas.openxmlformats.org/officeDocument/2006/relationships/hyperlink" Target="mailto:ahaque@bakerlaw.com" TargetMode="External" /><Relationship Id="rId59" Type="http://schemas.openxmlformats.org/officeDocument/2006/relationships/hyperlink" Target="mailto:eprouty@bakerlaw.com" TargetMode="External" /><Relationship Id="rId6" Type="http://schemas.openxmlformats.org/officeDocument/2006/relationships/hyperlink" Target="mailto:john.finnigan@occ.ohio.gov" TargetMode="External" /><Relationship Id="rId60" Type="http://schemas.openxmlformats.org/officeDocument/2006/relationships/hyperlink" Target="mailto:pwillison@bakerlaw.com" TargetMode="External" /><Relationship Id="rId61" Type="http://schemas.openxmlformats.org/officeDocument/2006/relationships/hyperlink" Target="mailto:dstinson@brickergraydon.com" TargetMode="External" /><Relationship Id="rId62" Type="http://schemas.openxmlformats.org/officeDocument/2006/relationships/hyperlink" Target="mailto:gkrassen@nopec.org" TargetMode="External" /><Relationship Id="rId63" Type="http://schemas.openxmlformats.org/officeDocument/2006/relationships/hyperlink" Target="mailto:meissnerjoseph@yahoo.com" TargetMode="External" /><Relationship Id="rId64" Type="http://schemas.openxmlformats.org/officeDocument/2006/relationships/hyperlink" Target="mailto:trhayslaw@gmail.com" TargetMode="External" /><Relationship Id="rId65" Type="http://schemas.openxmlformats.org/officeDocument/2006/relationships/hyperlink" Target="mailto:leslie.kovacik@toledo.oh.gov" TargetMode="External" /><Relationship Id="rId66" Type="http://schemas.openxmlformats.org/officeDocument/2006/relationships/hyperlink" Target="mailto:bojko@carpenterlipps.com" TargetMode="External" /><Relationship Id="rId67" Type="http://schemas.openxmlformats.org/officeDocument/2006/relationships/hyperlink" Target="mailto:easley@carpenterlipps.com" TargetMode="External" /><Relationship Id="rId68" Type="http://schemas.openxmlformats.org/officeDocument/2006/relationships/hyperlink" Target="mailto:mkl@smxblaw.com" TargetMode="External" /><Relationship Id="rId69" Type="http://schemas.openxmlformats.org/officeDocument/2006/relationships/hyperlink" Target="mailto:jrb@smxblaw.com" TargetMode="External" /><Relationship Id="rId7" Type="http://schemas.openxmlformats.org/officeDocument/2006/relationships/hyperlink" Target="mailto:robert.eubanks@occ.ohio.gov" TargetMode="External" /><Relationship Id="rId70" Type="http://schemas.openxmlformats.org/officeDocument/2006/relationships/hyperlink" Target="mailto:little@litohio.com" TargetMode="External" /><Relationship Id="rId71" Type="http://schemas.openxmlformats.org/officeDocument/2006/relationships/hyperlink" Target="mailto:hogan@litohio.com" TargetMode="External" /><Relationship Id="rId72" Type="http://schemas.openxmlformats.org/officeDocument/2006/relationships/hyperlink" Target="mailto:ktreadway@oneenergyllc.com" TargetMode="External" /><Relationship Id="rId73" Type="http://schemas.openxmlformats.org/officeDocument/2006/relationships/hyperlink" Target="mailto:jdunn@oneenergyllc.com" TargetMode="External" /><Relationship Id="rId74" Type="http://schemas.openxmlformats.org/officeDocument/2006/relationships/hyperlink" Target="mailto:trent@hubaydougherty.com" TargetMode="External" /><Relationship Id="rId75" Type="http://schemas.openxmlformats.org/officeDocument/2006/relationships/hyperlink" Target="mailto:emcconnell@elpc.org" TargetMode="External" /><Relationship Id="rId76" Type="http://schemas.openxmlformats.org/officeDocument/2006/relationships/hyperlink" Target="mailto:cpirik@dickinsonwright.com" TargetMode="External" /><Relationship Id="rId77" Type="http://schemas.openxmlformats.org/officeDocument/2006/relationships/hyperlink" Target="mailto:todonnell@dickinsonwright.com" TargetMode="External" /><Relationship Id="rId78" Type="http://schemas.openxmlformats.org/officeDocument/2006/relationships/hyperlink" Target="mailto:kshimp@dickinsonwright.comm" TargetMode="External" /><Relationship Id="rId79" Type="http://schemas.openxmlformats.org/officeDocument/2006/relationships/hyperlink" Target="mailto:eowoyt@vorys.com" TargetMode="External" /><Relationship Id="rId8" Type="http://schemas.openxmlformats.org/officeDocument/2006/relationships/hyperlink" Target="mailto:william.michael@occ.ohio.gov" TargetMode="External" /><Relationship Id="rId80" Type="http://schemas.openxmlformats.org/officeDocument/2006/relationships/hyperlink" Target="mailto:whitt@whitt-sturtevant.com" TargetMode="External" /><Relationship Id="rId81" Type="http://schemas.openxmlformats.org/officeDocument/2006/relationships/hyperlink" Target="mailto:ctavenor@theOEC.org" TargetMode="External" /><Relationship Id="rId82" Type="http://schemas.openxmlformats.org/officeDocument/2006/relationships/hyperlink" Target="mailto:Becky.Merola@calpinesolutions.com" TargetMode="External" /><Relationship Id="rId83" Type="http://schemas.openxmlformats.org/officeDocument/2006/relationships/hyperlink" Target="mailto:jlaskey@norris-law.com" TargetMode="External" /><Relationship Id="rId84" Type="http://schemas.openxmlformats.org/officeDocument/2006/relationships/hyperlink" Target="mailto:knordstrom@theOEC.org" TargetMode="External" /><Relationship Id="rId85" Type="http://schemas.openxmlformats.org/officeDocument/2006/relationships/hyperlink" Target="mailto:jlang@calfee.com" TargetMode="External" /><Relationship Id="rId86" Type="http://schemas.openxmlformats.org/officeDocument/2006/relationships/hyperlink" Target="mailto:mbarbara@calfee.com" TargetMode="External" /><Relationship Id="rId87" Type="http://schemas.openxmlformats.org/officeDocument/2006/relationships/hyperlink" Target="mailto:jpetroff@lawforlabor.com" TargetMode="External" /><Relationship Id="rId88" Type="http://schemas.openxmlformats.org/officeDocument/2006/relationships/hyperlink" Target="mailto:jmcinerney@lawforlabor.com" TargetMode="External" /><Relationship Id="rId89" Type="http://schemas.openxmlformats.org/officeDocument/2006/relationships/hyperlink" Target="mailto:junger@spilmanlaw.com" TargetMode="External" /><Relationship Id="rId9" Type="http://schemas.openxmlformats.org/officeDocument/2006/relationships/hyperlink" Target="mailto:alex.hickey@occ.ohio.gov" TargetMode="External" /><Relationship Id="rId90" Type="http://schemas.openxmlformats.org/officeDocument/2006/relationships/hyperlink" Target="mailto:tlong@mcneeslaw.com" TargetMode="External" /><Relationship Id="rId91" Type="http://schemas.openxmlformats.org/officeDocument/2006/relationships/hyperlink" Target="mailto:rkelter@elpc.org" TargetMode="External" /><Relationship Id="rId92" Type="http://schemas.openxmlformats.org/officeDocument/2006/relationships/header" Target="header5.xml" /><Relationship Id="rId93" Type="http://schemas.openxmlformats.org/officeDocument/2006/relationships/theme" Target="theme/theme1.xml" /><Relationship Id="rId94" Type="http://schemas.openxmlformats.org/officeDocument/2006/relationships/numbering" Target="numbering.xml" /><Relationship Id="rId95"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puco.ohio.gov/about-us/resources/mission-and-commit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7712</Words>
  <Characters>43960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2024-02-09T17:13:46Z</dcterms:created>
  <dcterms:modified xsi:type="dcterms:W3CDTF">2024-02-09T17:13:46Z</dcterms:modified>
</cp:coreProperties>
</file>