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1A2D22" w:rsidP="00FE08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4"/>
        </w:rPr>
      </w:pPr>
      <w:bookmarkStart w:id="0" w:name="_GoBack"/>
      <w:bookmarkEnd w:id="0"/>
      <w:r>
        <w:rPr>
          <w:rFonts w:ascii="Times New Roman" w:hAnsi="Times New Roman"/>
          <w:b/>
          <w:bCs/>
          <w:sz w:val="24"/>
        </w:rPr>
        <w:t>BEFORE</w:t>
      </w:r>
    </w:p>
    <w:p w:rsidR="001A2D22" w:rsidP="00FE08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4"/>
        </w:rPr>
      </w:pPr>
      <w:r>
        <w:rPr>
          <w:rFonts w:ascii="Times New Roman" w:hAnsi="Times New Roman"/>
          <w:b/>
          <w:bCs/>
          <w:sz w:val="24"/>
        </w:rPr>
        <w:t>THE PUBLIC UTILITIES COMMISSION OF OHIO</w:t>
      </w:r>
    </w:p>
    <w:tbl>
      <w:tblPr>
        <w:tblW w:w="24344" w:type="dxa"/>
        <w:tblInd w:w="0" w:type="dxa"/>
        <w:tblCellMar>
          <w:top w:w="0" w:type="dxa"/>
          <w:left w:w="108" w:type="dxa"/>
          <w:bottom w:w="0" w:type="dxa"/>
          <w:right w:w="108" w:type="dxa"/>
        </w:tblCellMar>
        <w:tblLook w:val="01E0"/>
      </w:tblPr>
      <w:tblGrid>
        <w:gridCol w:w="3510"/>
        <w:gridCol w:w="5238"/>
        <w:gridCol w:w="5238"/>
        <w:gridCol w:w="5238"/>
        <w:gridCol w:w="480"/>
        <w:gridCol w:w="4640"/>
      </w:tblGrid>
      <w:tr w:rsidTr="00A8056E">
        <w:tblPrEx>
          <w:tblW w:w="24344" w:type="dxa"/>
          <w:tblInd w:w="0" w:type="dxa"/>
          <w:tblCellMar>
            <w:top w:w="0" w:type="dxa"/>
            <w:left w:w="108" w:type="dxa"/>
            <w:bottom w:w="0" w:type="dxa"/>
            <w:right w:w="108" w:type="dxa"/>
          </w:tblCellMar>
          <w:tblLook w:val="01E0"/>
        </w:tblPrEx>
        <w:trPr>
          <w:trHeight w:val="807"/>
        </w:trPr>
        <w:tc>
          <w:tcPr>
            <w:tcW w:w="3510" w:type="dxa"/>
          </w:tcPr>
          <w:p w:rsidR="001A2D22" w:rsidP="00FE08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56" w:lineRule="auto"/>
              <w:rPr>
                <w:rStyle w:val="DefaultParagraphFont"/>
                <w:rFonts w:ascii="Times New Roman" w:eastAsia="Courier New" w:hAnsi="Times New Roman" w:cs="Times New Roman"/>
                <w:sz w:val="24"/>
                <w:szCs w:val="24"/>
                <w:lang w:val="en-US" w:eastAsia="en-US" w:bidi="ar-SA"/>
              </w:rPr>
            </w:pPr>
          </w:p>
          <w:p w:rsidR="001A2D22" w:rsidP="00FE08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56"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 xml:space="preserve">In the Matter of the Application of </w:t>
            </w:r>
            <w:r w:rsidR="000F17FC">
              <w:rPr>
                <w:rFonts w:ascii="Times New Roman" w:eastAsia="Courier New" w:hAnsi="Times New Roman" w:cs="Times New Roman"/>
                <w:sz w:val="24"/>
                <w:szCs w:val="24"/>
                <w:lang w:val="en-US" w:eastAsia="en-US" w:bidi="ar-SA"/>
              </w:rPr>
              <w:t xml:space="preserve">Astral Energy, LLC for a Waiver of </w:t>
            </w:r>
            <w:r w:rsidR="001B1A17">
              <w:rPr>
                <w:rFonts w:ascii="Times New Roman" w:eastAsia="Courier New" w:hAnsi="Times New Roman" w:cs="Times New Roman"/>
                <w:sz w:val="24"/>
                <w:szCs w:val="24"/>
                <w:lang w:val="en-US" w:eastAsia="en-US" w:bidi="ar-SA"/>
              </w:rPr>
              <w:t xml:space="preserve">Ohio Adm. Code </w:t>
            </w:r>
            <w:r w:rsidR="000F17FC">
              <w:rPr>
                <w:rFonts w:ascii="Times New Roman" w:eastAsia="Courier New" w:hAnsi="Times New Roman" w:cs="Times New Roman"/>
                <w:sz w:val="24"/>
                <w:szCs w:val="24"/>
                <w:lang w:val="en-US" w:eastAsia="en-US" w:bidi="ar-SA"/>
              </w:rPr>
              <w:t>4901:1-12-05(A)(4)</w:t>
            </w:r>
            <w:r w:rsidR="005A0D2F">
              <w:rPr>
                <w:rFonts w:ascii="Times New Roman" w:eastAsia="Courier New" w:hAnsi="Times New Roman" w:cs="Times New Roman"/>
                <w:sz w:val="24"/>
                <w:szCs w:val="24"/>
                <w:lang w:val="en-US" w:eastAsia="en-US" w:bidi="ar-SA"/>
              </w:rPr>
              <w:t>.</w:t>
            </w:r>
          </w:p>
        </w:tc>
        <w:tc>
          <w:tcPr>
            <w:tcW w:w="5238" w:type="dxa"/>
          </w:tcPr>
          <w:p w:rsidR="001A2D22" w:rsidP="00FE08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56" w:lineRule="auto"/>
              <w:rPr>
                <w:rStyle w:val="DefaultParagraphFont"/>
                <w:rFonts w:ascii="Times New Roman" w:eastAsia="Courier New" w:hAnsi="Times New Roman" w:cs="Courier New"/>
                <w:sz w:val="24"/>
                <w:lang w:val="en-US" w:eastAsia="en-US" w:bidi="ar-SA"/>
              </w:rPr>
            </w:pPr>
            <w:r>
              <w:rPr>
                <w:rFonts w:ascii="Courier New" w:eastAsia="Courier New" w:hAnsi="Courier New" w:cs="Courier New"/>
                <w:sz w:val="20"/>
                <w:lang w:val="en-US" w:eastAsia="en-US" w:bidi="ar-SA"/>
              </w:rPr>
              <w:t xml:space="preserve"> </w:t>
            </w:r>
          </w:p>
          <w:p w:rsidR="001A2D22" w:rsidP="00FE08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56" w:lineRule="auto"/>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 xml:space="preserve">) </w:t>
            </w:r>
          </w:p>
          <w:p w:rsidR="001A2D22" w:rsidP="00FE08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56" w:lineRule="auto"/>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   Case No. 18-</w:t>
            </w:r>
            <w:r w:rsidR="005A0D2F">
              <w:rPr>
                <w:rFonts w:ascii="Times New Roman" w:eastAsia="Courier New" w:hAnsi="Times New Roman" w:cs="Courier New"/>
                <w:sz w:val="24"/>
                <w:lang w:val="en-US" w:eastAsia="en-US" w:bidi="ar-SA"/>
              </w:rPr>
              <w:t>0743</w:t>
            </w:r>
            <w:r>
              <w:rPr>
                <w:rFonts w:ascii="Times New Roman" w:eastAsia="Courier New" w:hAnsi="Times New Roman" w:cs="Courier New"/>
                <w:sz w:val="24"/>
                <w:lang w:val="en-US" w:eastAsia="en-US" w:bidi="ar-SA"/>
              </w:rPr>
              <w:t>-EL-WVR</w:t>
            </w:r>
          </w:p>
          <w:p w:rsidR="001A2D22" w:rsidP="00FE08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56" w:lineRule="auto"/>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4949EC" w:rsidP="00FE08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56" w:lineRule="auto"/>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tc>
        <w:tc>
          <w:tcPr>
            <w:tcW w:w="5238" w:type="dxa"/>
          </w:tcPr>
          <w:p w:rsidR="001A2D22" w:rsidP="00FE08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56" w:lineRule="auto"/>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 xml:space="preserve"> </w:t>
            </w:r>
          </w:p>
        </w:tc>
        <w:tc>
          <w:tcPr>
            <w:tcW w:w="5238" w:type="dxa"/>
          </w:tcPr>
          <w:p w:rsidR="001A2D22" w:rsidP="00FE08C2">
            <w:pPr>
              <w:autoSpaceDE w:val="0"/>
              <w:autoSpaceDN w:val="0"/>
              <w:adjustRightInd w:val="0"/>
              <w:spacing w:line="276" w:lineRule="auto"/>
              <w:rPr>
                <w:rStyle w:val="DefaultParagraphFont"/>
                <w:sz w:val="24"/>
                <w:lang w:val="en-US" w:eastAsia="en-US" w:bidi="ar-SA"/>
              </w:rPr>
            </w:pPr>
          </w:p>
        </w:tc>
        <w:tc>
          <w:tcPr>
            <w:tcW w:w="480" w:type="dxa"/>
            <w:hideMark/>
          </w:tcPr>
          <w:p w:rsidR="001A2D22" w:rsidP="00FE08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1A2D22" w:rsidP="00FE08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1A2D22" w:rsidP="00FE08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p w:rsidR="001A2D22" w:rsidP="00FE08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Style w:val="DefaultParagraphFont"/>
                <w:rFonts w:ascii="Times New Roman" w:eastAsia="Courier New" w:hAnsi="Times New Roman" w:cs="Courier New"/>
                <w:sz w:val="24"/>
                <w:szCs w:val="24"/>
                <w:lang w:val="en-US" w:eastAsia="en-US" w:bidi="ar-SA"/>
              </w:rPr>
            </w:pPr>
            <w:r>
              <w:rPr>
                <w:rFonts w:ascii="Times New Roman" w:eastAsia="Courier New" w:hAnsi="Times New Roman" w:cs="Courier New"/>
                <w:sz w:val="24"/>
                <w:szCs w:val="24"/>
                <w:lang w:val="en-US" w:eastAsia="en-US" w:bidi="ar-SA"/>
              </w:rPr>
              <w:t>)</w:t>
            </w:r>
          </w:p>
        </w:tc>
        <w:tc>
          <w:tcPr>
            <w:tcW w:w="4640" w:type="dxa"/>
          </w:tcPr>
          <w:p w:rsidR="001A2D22" w:rsidP="00FE08C2">
            <w:pPr>
              <w:autoSpaceDE w:val="0"/>
              <w:autoSpaceDN w:val="0"/>
              <w:adjustRightInd w:val="0"/>
              <w:spacing w:line="276" w:lineRule="auto"/>
              <w:rPr>
                <w:rStyle w:val="DefaultParagraphFont"/>
                <w:sz w:val="24"/>
                <w:szCs w:val="24"/>
                <w:lang w:val="en-US" w:eastAsia="en-US" w:bidi="ar-SA"/>
              </w:rPr>
            </w:pPr>
          </w:p>
          <w:p w:rsidR="001A2D22" w:rsidP="00FE08C2">
            <w:pPr>
              <w:autoSpaceDE w:val="0"/>
              <w:autoSpaceDN w:val="0"/>
              <w:adjustRightInd w:val="0"/>
              <w:spacing w:line="276" w:lineRule="auto"/>
              <w:rPr>
                <w:rStyle w:val="DefaultParagraphFont"/>
                <w:sz w:val="24"/>
                <w:lang w:val="en-US" w:eastAsia="en-US" w:bidi="ar-SA"/>
              </w:rPr>
            </w:pPr>
            <w:r>
              <w:rPr>
                <w:sz w:val="24"/>
                <w:lang w:val="en-US" w:eastAsia="en-US" w:bidi="ar-SA"/>
              </w:rPr>
              <w:t>Case No. 17-2132-EL-AEC</w:t>
            </w:r>
          </w:p>
          <w:p w:rsidR="001A2D22" w:rsidP="00FE08C2">
            <w:pPr>
              <w:autoSpaceDE w:val="0"/>
              <w:autoSpaceDN w:val="0"/>
              <w:adjustRightInd w:val="0"/>
              <w:spacing w:line="276" w:lineRule="auto"/>
              <w:rPr>
                <w:rStyle w:val="DefaultParagraphFont"/>
                <w:sz w:val="24"/>
                <w:lang w:val="en-US" w:eastAsia="en-US" w:bidi="ar-SA"/>
              </w:rPr>
            </w:pPr>
          </w:p>
          <w:p w:rsidR="001A2D22" w:rsidP="00FE08C2">
            <w:pPr>
              <w:spacing w:line="276" w:lineRule="auto"/>
              <w:rPr>
                <w:rStyle w:val="DefaultParagraphFont"/>
                <w:sz w:val="24"/>
                <w:lang w:val="en-US" w:eastAsia="en-US" w:bidi="ar-SA"/>
              </w:rPr>
            </w:pPr>
          </w:p>
        </w:tc>
      </w:tr>
    </w:tbl>
    <w:p w:rsidR="001A2D22" w:rsidP="00FE08C2">
      <w:pPr>
        <w:pStyle w:val="InsideAddress"/>
        <w:pBdr>
          <w:bottom w:val="single" w:sz="12" w:space="1" w:color="auto"/>
        </w:pBdr>
        <w:rPr>
          <w:rFonts w:ascii="Times New Roman" w:eastAsia="Times New Roman" w:hAnsi="Times New Roman"/>
          <w:szCs w:val="24"/>
        </w:rPr>
      </w:pPr>
    </w:p>
    <w:p w:rsidR="001A2D22" w:rsidP="00FE08C2">
      <w:pPr>
        <w:pStyle w:val="InsideAddress"/>
        <w:rPr>
          <w:rFonts w:ascii="Times New Roman" w:eastAsia="Times New Roman" w:hAnsi="Times New Roman"/>
          <w:szCs w:val="24"/>
        </w:rPr>
      </w:pPr>
    </w:p>
    <w:p w:rsidR="00A044B5" w:rsidRPr="00FE08C2" w:rsidP="00FE08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4"/>
          <w:szCs w:val="24"/>
        </w:rPr>
      </w:pPr>
      <w:r w:rsidRPr="00FE08C2">
        <w:rPr>
          <w:rFonts w:ascii="Times New Roman" w:hAnsi="Times New Roman" w:cs="Times New Roman"/>
          <w:b/>
          <w:sz w:val="24"/>
          <w:szCs w:val="24"/>
        </w:rPr>
        <w:t xml:space="preserve">COMMENTS ON </w:t>
      </w:r>
      <w:r w:rsidR="005A0D2F">
        <w:rPr>
          <w:rFonts w:ascii="Times New Roman" w:hAnsi="Times New Roman" w:cs="Times New Roman"/>
          <w:b/>
          <w:sz w:val="24"/>
          <w:szCs w:val="24"/>
        </w:rPr>
        <w:t>ASTRAL ENERGY’S</w:t>
      </w:r>
      <w:r w:rsidRPr="00FE08C2">
        <w:rPr>
          <w:rFonts w:ascii="Times New Roman" w:hAnsi="Times New Roman" w:cs="Times New Roman"/>
          <w:b/>
          <w:sz w:val="24"/>
          <w:szCs w:val="24"/>
        </w:rPr>
        <w:t xml:space="preserve"> PROPOSAL TO </w:t>
      </w:r>
      <w:r w:rsidR="003D1B32">
        <w:rPr>
          <w:rFonts w:ascii="Times New Roman" w:hAnsi="Times New Roman" w:cs="Times New Roman"/>
          <w:b/>
          <w:sz w:val="24"/>
          <w:szCs w:val="24"/>
        </w:rPr>
        <w:t xml:space="preserve">NOT DISCLOSE </w:t>
      </w:r>
      <w:r w:rsidR="005A0D2F">
        <w:rPr>
          <w:rFonts w:ascii="Times New Roman" w:hAnsi="Times New Roman" w:cs="Times New Roman"/>
          <w:b/>
          <w:sz w:val="24"/>
          <w:szCs w:val="24"/>
        </w:rPr>
        <w:t>ITS RATE IN ITS MARKETING MATERIALS TO</w:t>
      </w:r>
      <w:r w:rsidRPr="00FE08C2">
        <w:rPr>
          <w:rFonts w:ascii="Times New Roman" w:hAnsi="Times New Roman" w:cs="Times New Roman"/>
          <w:b/>
          <w:sz w:val="24"/>
          <w:szCs w:val="24"/>
        </w:rPr>
        <w:t xml:space="preserve"> RESIDENTIAL CUSTOMERS </w:t>
      </w:r>
    </w:p>
    <w:p w:rsidR="00A044B5" w:rsidRPr="00FE08C2" w:rsidP="00FE08C2">
      <w:pPr>
        <w:jc w:val="center"/>
        <w:rPr>
          <w:b/>
          <w:bCs/>
          <w:szCs w:val="24"/>
        </w:rPr>
      </w:pPr>
      <w:r w:rsidRPr="00FE08C2">
        <w:rPr>
          <w:b/>
          <w:bCs/>
          <w:szCs w:val="24"/>
        </w:rPr>
        <w:t>BY</w:t>
      </w:r>
    </w:p>
    <w:p w:rsidR="00A044B5" w:rsidRPr="00FE08C2" w:rsidP="00FE08C2">
      <w:pPr>
        <w:jc w:val="center"/>
        <w:rPr>
          <w:b/>
          <w:bCs/>
          <w:szCs w:val="24"/>
        </w:rPr>
      </w:pPr>
      <w:r w:rsidRPr="00FE08C2">
        <w:rPr>
          <w:b/>
          <w:bCs/>
          <w:szCs w:val="24"/>
        </w:rPr>
        <w:t>THE OFFICE OF THE OHIO CONSUMERS’ COUNSEL</w:t>
      </w:r>
    </w:p>
    <w:p w:rsidR="00A044B5" w:rsidP="00FE08C2">
      <w:pPr>
        <w:pBdr>
          <w:bottom w:val="single" w:sz="12" w:space="1" w:color="auto"/>
        </w:pBdr>
      </w:pPr>
    </w:p>
    <w:p w:rsidR="00A044B5" w:rsidRPr="005B4E97" w:rsidP="00FE08C2">
      <w:pPr>
        <w:spacing w:before="240" w:line="480" w:lineRule="auto"/>
        <w:rPr>
          <w:b/>
        </w:rPr>
      </w:pPr>
      <w:r>
        <w:rPr>
          <w:b/>
        </w:rPr>
        <w:t>I.</w:t>
      </w:r>
      <w:r>
        <w:rPr>
          <w:b/>
        </w:rPr>
        <w:tab/>
        <w:t>INTRODUCTION</w:t>
      </w:r>
    </w:p>
    <w:p w:rsidR="003D1B32" w:rsidP="00540C9A">
      <w:pPr>
        <w:pStyle w:val="BodyTextIndent3"/>
        <w:spacing w:line="480" w:lineRule="auto"/>
        <w:ind w:right="-312"/>
        <w:rPr>
          <w:szCs w:val="24"/>
        </w:rPr>
      </w:pPr>
      <w:r>
        <w:t xml:space="preserve">The </w:t>
      </w:r>
      <w:r w:rsidR="00B837A3">
        <w:t xml:space="preserve">Public Utilities Commission of Ohio (“PUCO”) </w:t>
      </w:r>
      <w:r>
        <w:t xml:space="preserve">is required under state law to establish rules that </w:t>
      </w:r>
      <w:r w:rsidR="00B837A3">
        <w:t xml:space="preserve">protect consumers against </w:t>
      </w:r>
      <w:r>
        <w:t xml:space="preserve">unfair, deceptive, and unconscionable acts and practices in the </w:t>
      </w:r>
      <w:r w:rsidR="005A0D2F">
        <w:t>marketing</w:t>
      </w:r>
      <w:r>
        <w:t xml:space="preserve">, </w:t>
      </w:r>
      <w:r w:rsidR="005A0D2F">
        <w:t>solicitation</w:t>
      </w:r>
      <w:r>
        <w:t xml:space="preserve">, and sale of </w:t>
      </w:r>
      <w:r w:rsidR="005A0D2F">
        <w:t>competitive retail electric service</w:t>
      </w:r>
      <w:r>
        <w:t>s</w:t>
      </w:r>
      <w:r w:rsidR="005A0D2F">
        <w:t>.</w:t>
      </w:r>
      <w:r>
        <w:rPr>
          <w:rStyle w:val="FootnoteReference"/>
        </w:rPr>
        <w:footnoteReference w:id="3"/>
      </w:r>
      <w:r w:rsidR="005A0D2F">
        <w:t xml:space="preserve"> </w:t>
      </w:r>
      <w:r w:rsidR="00763934">
        <w:rPr>
          <w:szCs w:val="24"/>
        </w:rPr>
        <w:t xml:space="preserve">PUCO rules </w:t>
      </w:r>
      <w:r w:rsidR="00377F8A">
        <w:rPr>
          <w:szCs w:val="24"/>
        </w:rPr>
        <w:t xml:space="preserve">also </w:t>
      </w:r>
      <w:r w:rsidR="00763934">
        <w:rPr>
          <w:szCs w:val="24"/>
        </w:rPr>
        <w:t>protect residential customers by requiring that marketers provide sufficient information in their marketing materials to allow customers to make intelligent cost comparisons.</w:t>
      </w:r>
      <w:r>
        <w:rPr>
          <w:rStyle w:val="FootnoteReference"/>
          <w:szCs w:val="24"/>
        </w:rPr>
        <w:footnoteReference w:id="4"/>
      </w:r>
      <w:r w:rsidR="00763934">
        <w:rPr>
          <w:szCs w:val="24"/>
        </w:rPr>
        <w:t xml:space="preserve"> </w:t>
      </w:r>
      <w:r w:rsidR="001845F6">
        <w:rPr>
          <w:szCs w:val="24"/>
        </w:rPr>
        <w:t xml:space="preserve"> Contrary to these consumer protections, Astral Energy, LLC (“Astral”) wants to deny rate information to consumers. That’s a </w:t>
      </w:r>
      <w:r w:rsidR="00F71B26">
        <w:rPr>
          <w:szCs w:val="24"/>
        </w:rPr>
        <w:t>very</w:t>
      </w:r>
      <w:r w:rsidR="001845F6">
        <w:rPr>
          <w:szCs w:val="24"/>
        </w:rPr>
        <w:t xml:space="preserve"> bad idea that the PUCO should reject to protect the public.</w:t>
      </w:r>
    </w:p>
    <w:p w:rsidR="003D1B32" w:rsidP="00540C9A">
      <w:pPr>
        <w:pStyle w:val="BodyTextIndent3"/>
        <w:spacing w:line="480" w:lineRule="auto"/>
        <w:ind w:right="-312"/>
        <w:rPr>
          <w:szCs w:val="24"/>
        </w:rPr>
      </w:pPr>
      <w:r>
        <w:rPr>
          <w:szCs w:val="24"/>
        </w:rPr>
        <w:t>Part of the information needed by consumers for comparing costs is the monthly rate charged for electric service</w:t>
      </w:r>
      <w:r>
        <w:rPr>
          <w:szCs w:val="24"/>
        </w:rPr>
        <w:t xml:space="preserve">. </w:t>
      </w:r>
      <w:r w:rsidR="00F114B8">
        <w:rPr>
          <w:szCs w:val="24"/>
        </w:rPr>
        <w:t xml:space="preserve"> </w:t>
      </w:r>
      <w:r>
        <w:rPr>
          <w:szCs w:val="24"/>
        </w:rPr>
        <w:t xml:space="preserve">This helps </w:t>
      </w:r>
      <w:r w:rsidR="00F114B8">
        <w:rPr>
          <w:szCs w:val="24"/>
        </w:rPr>
        <w:t xml:space="preserve">customers assess if the </w:t>
      </w:r>
      <w:r>
        <w:rPr>
          <w:szCs w:val="24"/>
        </w:rPr>
        <w:t xml:space="preserve">marketer’s </w:t>
      </w:r>
      <w:r w:rsidR="00F114B8">
        <w:rPr>
          <w:szCs w:val="24"/>
        </w:rPr>
        <w:t>offer will save or cost them money over the utility standard service offer (</w:t>
      </w:r>
      <w:r w:rsidR="00AA65B0">
        <w:rPr>
          <w:szCs w:val="24"/>
        </w:rPr>
        <w:t>“</w:t>
      </w:r>
      <w:r w:rsidR="00F114B8">
        <w:rPr>
          <w:szCs w:val="24"/>
        </w:rPr>
        <w:t>SSO</w:t>
      </w:r>
      <w:r w:rsidR="00AA65B0">
        <w:rPr>
          <w:szCs w:val="24"/>
        </w:rPr>
        <w:t>”</w:t>
      </w:r>
      <w:r w:rsidR="00F114B8">
        <w:rPr>
          <w:szCs w:val="24"/>
        </w:rPr>
        <w:t xml:space="preserve">) or the rate charged by other suppliers. In fact, state policy concerning the sale of </w:t>
      </w:r>
      <w:r>
        <w:rPr>
          <w:szCs w:val="24"/>
        </w:rPr>
        <w:t xml:space="preserve">retail electric </w:t>
      </w:r>
      <w:r w:rsidR="00F114B8">
        <w:rPr>
          <w:szCs w:val="24"/>
        </w:rPr>
        <w:t xml:space="preserve">services specifically </w:t>
      </w:r>
      <w:r w:rsidR="00F114B8">
        <w:rPr>
          <w:szCs w:val="24"/>
        </w:rPr>
        <w:t xml:space="preserve">requires </w:t>
      </w:r>
      <w:r w:rsidR="00AA65B0">
        <w:rPr>
          <w:szCs w:val="24"/>
        </w:rPr>
        <w:t>comparable retail electric service.</w:t>
      </w:r>
      <w:r>
        <w:rPr>
          <w:rStyle w:val="FootnoteReference"/>
          <w:szCs w:val="24"/>
        </w:rPr>
        <w:footnoteReference w:id="5"/>
      </w:r>
      <w:r w:rsidR="00AA65B0">
        <w:rPr>
          <w:szCs w:val="24"/>
        </w:rPr>
        <w:t xml:space="preserve"> And state policy requires consumers to be provided with reasonably priced retail electric service.</w:t>
      </w:r>
      <w:r>
        <w:rPr>
          <w:rStyle w:val="FootnoteReference"/>
          <w:szCs w:val="24"/>
        </w:rPr>
        <w:footnoteReference w:id="6"/>
      </w:r>
      <w:r w:rsidR="00AA65B0">
        <w:rPr>
          <w:szCs w:val="24"/>
        </w:rPr>
        <w:t xml:space="preserve"> </w:t>
      </w:r>
    </w:p>
    <w:p w:rsidR="00763934" w:rsidP="00540C9A">
      <w:pPr>
        <w:pStyle w:val="BodyTextIndent3"/>
        <w:spacing w:line="480" w:lineRule="auto"/>
        <w:ind w:right="-312"/>
        <w:rPr>
          <w:szCs w:val="24"/>
        </w:rPr>
      </w:pPr>
      <w:r>
        <w:rPr>
          <w:szCs w:val="24"/>
        </w:rPr>
        <w:t xml:space="preserve">But </w:t>
      </w:r>
      <w:r w:rsidR="00AA65B0">
        <w:rPr>
          <w:szCs w:val="24"/>
        </w:rPr>
        <w:t xml:space="preserve">contrary to Ohio policy, </w:t>
      </w:r>
      <w:r w:rsidR="003D1B32">
        <w:rPr>
          <w:szCs w:val="24"/>
        </w:rPr>
        <w:t xml:space="preserve">Astral </w:t>
      </w:r>
      <w:r>
        <w:rPr>
          <w:szCs w:val="24"/>
        </w:rPr>
        <w:t xml:space="preserve">wants to enroll customers </w:t>
      </w:r>
      <w:r w:rsidR="003D1B32">
        <w:rPr>
          <w:szCs w:val="24"/>
        </w:rPr>
        <w:t xml:space="preserve">without disclosing its prices for electric service.  Instead, Astral proposes to provide consumers </w:t>
      </w:r>
      <w:r>
        <w:rPr>
          <w:szCs w:val="24"/>
        </w:rPr>
        <w:t>an individual flat-rate price based on a “propriety algorithm.”</w:t>
      </w:r>
      <w:r>
        <w:rPr>
          <w:rStyle w:val="FootnoteReference"/>
          <w:szCs w:val="24"/>
        </w:rPr>
        <w:footnoteReference w:id="7"/>
      </w:r>
      <w:r>
        <w:rPr>
          <w:szCs w:val="24"/>
        </w:rPr>
        <w:t xml:space="preserve"> To do so, Astral seeks a waiver of PUCO rules (Ohio Adm. Code 4901:1-21-05) that require a marketer to specifically identify the rate to be charged per month for flat-rate monthly rate offers.</w:t>
      </w:r>
    </w:p>
    <w:p w:rsidR="00D93C40" w:rsidP="00DC7126">
      <w:pPr>
        <w:pStyle w:val="InsideAddress"/>
        <w:tabs>
          <w:tab w:val="left" w:pos="4320"/>
        </w:tabs>
        <w:autoSpaceDE w:val="0"/>
        <w:autoSpaceDN w:val="0"/>
        <w:adjustRightInd w:val="0"/>
        <w:spacing w:line="480" w:lineRule="auto"/>
        <w:ind w:firstLine="720"/>
      </w:pPr>
      <w:r>
        <w:rPr>
          <w:rFonts w:ascii="Times New Roman" w:eastAsia="Times New Roman" w:hAnsi="Times New Roman"/>
          <w:szCs w:val="24"/>
        </w:rPr>
        <w:t xml:space="preserve"> </w:t>
      </w:r>
      <w:r w:rsidR="00583A8E">
        <w:t xml:space="preserve">The Office of the Ohio Consumers’ Counsel </w:t>
      </w:r>
      <w:r w:rsidR="00540C9A">
        <w:t xml:space="preserve">(“OCC”) </w:t>
      </w:r>
      <w:r w:rsidR="00583A8E">
        <w:t xml:space="preserve">opposes </w:t>
      </w:r>
      <w:r w:rsidR="006C6B46">
        <w:t>Astral’s</w:t>
      </w:r>
      <w:r w:rsidR="00583A8E">
        <w:t xml:space="preserve"> waiver application</w:t>
      </w:r>
      <w:r w:rsidR="003446DD">
        <w:t xml:space="preserve">. </w:t>
      </w:r>
      <w:r w:rsidR="00583A8E">
        <w:t xml:space="preserve"> </w:t>
      </w:r>
      <w:r>
        <w:t xml:space="preserve">Consumers </w:t>
      </w:r>
      <w:r w:rsidR="00583A8E">
        <w:t xml:space="preserve">need to be aware of the </w:t>
      </w:r>
      <w:r w:rsidR="003446DD">
        <w:t xml:space="preserve">specific </w:t>
      </w:r>
      <w:r w:rsidR="00583A8E">
        <w:t xml:space="preserve">monthly rate </w:t>
      </w:r>
      <w:r w:rsidR="00AA65B0">
        <w:t xml:space="preserve">that a marketer </w:t>
      </w:r>
      <w:r>
        <w:t>plans to offer</w:t>
      </w:r>
      <w:r w:rsidR="00EA2592">
        <w:t>,</w:t>
      </w:r>
      <w:r>
        <w:t xml:space="preserve"> </w:t>
      </w:r>
      <w:r w:rsidR="00377F8A">
        <w:t>period</w:t>
      </w:r>
      <w:r w:rsidR="00AA65B0">
        <w:t xml:space="preserve">.  There is simply no other way for consumers </w:t>
      </w:r>
      <w:r w:rsidR="00583A8E">
        <w:t xml:space="preserve">to make intelligent cost comparisons. </w:t>
      </w:r>
      <w:r w:rsidR="005157D0">
        <w:t>The PUCO should protect consumers by denying Astral</w:t>
      </w:r>
      <w:r w:rsidR="00F71B26">
        <w:t>’s</w:t>
      </w:r>
      <w:r w:rsidR="005157D0">
        <w:t xml:space="preserve"> </w:t>
      </w:r>
      <w:r w:rsidR="00F71B26">
        <w:t>a</w:t>
      </w:r>
      <w:r w:rsidR="005157D0">
        <w:t xml:space="preserve">pplication.  </w:t>
      </w:r>
      <w:r w:rsidR="001845F6">
        <w:t>The current situation is already too difficult for Ohioans to save money on marketer offers compared to the utilities’ standard offers.</w:t>
      </w:r>
    </w:p>
    <w:p w:rsidR="00123A76" w:rsidP="00123A76">
      <w:pPr>
        <w:pStyle w:val="BodyTextIndent3"/>
        <w:spacing w:line="480" w:lineRule="auto"/>
        <w:ind w:right="-312"/>
        <w:rPr>
          <w:szCs w:val="24"/>
        </w:rPr>
      </w:pPr>
      <w:r>
        <w:t>If</w:t>
      </w:r>
      <w:r w:rsidR="003446DD">
        <w:t>, however, the</w:t>
      </w:r>
      <w:r>
        <w:t xml:space="preserve"> PUCO decides to grant the application, </w:t>
      </w:r>
      <w:r w:rsidR="005157D0">
        <w:t xml:space="preserve">additional protections are needed to </w:t>
      </w:r>
      <w:r w:rsidR="00EA2592">
        <w:t xml:space="preserve">safeguard </w:t>
      </w:r>
      <w:r w:rsidR="005157D0">
        <w:t xml:space="preserve">that consumers have sufficient information to make </w:t>
      </w:r>
      <w:r w:rsidR="0042398F">
        <w:t xml:space="preserve">an </w:t>
      </w:r>
      <w:r w:rsidR="005157D0">
        <w:t>intelligent choice</w:t>
      </w:r>
      <w:r w:rsidR="0042398F">
        <w:t xml:space="preserve"> in the </w:t>
      </w:r>
      <w:r w:rsidR="005157D0">
        <w:t>selecti</w:t>
      </w:r>
      <w:r w:rsidR="0042398F">
        <w:t xml:space="preserve">on of Astral.  </w:t>
      </w:r>
      <w:r w:rsidR="00583A8E">
        <w:t xml:space="preserve">Astral </w:t>
      </w:r>
      <w:r w:rsidR="005157D0">
        <w:t xml:space="preserve">should be required to disclose </w:t>
      </w:r>
      <w:r w:rsidR="0042398F">
        <w:t xml:space="preserve">in marketing materials </w:t>
      </w:r>
      <w:r w:rsidR="005157D0">
        <w:t xml:space="preserve">how </w:t>
      </w:r>
      <w:r w:rsidR="00D93C40">
        <w:t xml:space="preserve">its </w:t>
      </w:r>
      <w:r w:rsidR="0042398F">
        <w:t>charges</w:t>
      </w:r>
      <w:r w:rsidR="00643257">
        <w:t xml:space="preserve"> over the initial contract period</w:t>
      </w:r>
      <w:r w:rsidR="0042398F">
        <w:t xml:space="preserve"> compare with the </w:t>
      </w:r>
      <w:r w:rsidR="00D93C40">
        <w:t xml:space="preserve">local public </w:t>
      </w:r>
      <w:r w:rsidR="0042398F">
        <w:t>utility</w:t>
      </w:r>
      <w:r w:rsidR="00D93C40">
        <w:t>’s</w:t>
      </w:r>
      <w:r w:rsidR="0042398F">
        <w:t xml:space="preserve"> SSO</w:t>
      </w:r>
      <w:r w:rsidR="00643257">
        <w:t xml:space="preserve"> prices during the past year</w:t>
      </w:r>
      <w:r w:rsidR="0042398F">
        <w:t xml:space="preserve">.  Astral should </w:t>
      </w:r>
      <w:r w:rsidR="00F47730">
        <w:t xml:space="preserve">also </w:t>
      </w:r>
      <w:r w:rsidR="0042398F">
        <w:t>be required to provide customers on a</w:t>
      </w:r>
      <w:r w:rsidR="00F47730">
        <w:t xml:space="preserve"> </w:t>
      </w:r>
      <w:r w:rsidR="0042398F">
        <w:t>semi-annual</w:t>
      </w:r>
      <w:r w:rsidR="00F47730">
        <w:t xml:space="preserve"> basis a summary of how their charges compare with the </w:t>
      </w:r>
      <w:r w:rsidR="00D93C40">
        <w:t xml:space="preserve">local public </w:t>
      </w:r>
      <w:r w:rsidR="00F47730">
        <w:t>utility</w:t>
      </w:r>
      <w:r w:rsidR="00D93C40">
        <w:t>’s</w:t>
      </w:r>
      <w:r w:rsidR="00F47730">
        <w:t xml:space="preserve"> SSO and the value of any savings or losses. Finally, Astral should not be permitted to automatically renew customer contracts if there are any changes in the terms and conditions (including </w:t>
      </w:r>
      <w:r w:rsidR="00F47730">
        <w:t xml:space="preserve">price). </w:t>
      </w:r>
      <w:r w:rsidR="003446DD">
        <w:t xml:space="preserve"> Astral should include th</w:t>
      </w:r>
      <w:r w:rsidR="00EA2592">
        <w:t>ese</w:t>
      </w:r>
      <w:r w:rsidR="003446DD">
        <w:t xml:space="preserve"> data along with the</w:t>
      </w:r>
      <w:r w:rsidR="00583A8E">
        <w:t xml:space="preserve"> customers’ </w:t>
      </w:r>
      <w:r w:rsidR="00540C9A">
        <w:t>“unique” plan rate in its</w:t>
      </w:r>
      <w:r w:rsidR="00E87564">
        <w:t xml:space="preserve"> offer to customers </w:t>
      </w:r>
      <w:r w:rsidR="00583A8E">
        <w:t xml:space="preserve">so that customers can intelligently make this price comparison before </w:t>
      </w:r>
      <w:r w:rsidR="00174633">
        <w:t xml:space="preserve">they sign a </w:t>
      </w:r>
      <w:r w:rsidR="00540C9A">
        <w:t>contract with Astral</w:t>
      </w:r>
      <w:r w:rsidR="00583A8E">
        <w:t>.</w:t>
      </w:r>
    </w:p>
    <w:p w:rsidR="00123A76" w:rsidP="00DC7126">
      <w:pPr>
        <w:pStyle w:val="BodyTextIndent3"/>
        <w:spacing w:line="240" w:lineRule="auto"/>
        <w:ind w:right="-312"/>
        <w:rPr>
          <w:szCs w:val="24"/>
        </w:rPr>
      </w:pPr>
      <w:r>
        <w:rPr>
          <w:szCs w:val="24"/>
        </w:rPr>
        <w:t xml:space="preserve"> </w:t>
      </w:r>
    </w:p>
    <w:p w:rsidR="00BE5B5D" w:rsidP="00D869B6">
      <w:pPr>
        <w:pStyle w:val="BodyTextIndent3"/>
        <w:widowControl w:val="0"/>
        <w:spacing w:line="480" w:lineRule="auto"/>
        <w:ind w:left="720" w:hanging="720"/>
        <w:rPr>
          <w:b/>
        </w:rPr>
      </w:pPr>
      <w:r>
        <w:rPr>
          <w:b/>
        </w:rPr>
        <w:t>II.</w:t>
      </w:r>
      <w:r>
        <w:rPr>
          <w:b/>
        </w:rPr>
        <w:tab/>
        <w:t>STANDARD OF REVIEW</w:t>
      </w:r>
    </w:p>
    <w:p w:rsidR="008D0C23" w:rsidP="008D0C23">
      <w:pPr>
        <w:pStyle w:val="BodyTextIndent3"/>
        <w:spacing w:line="480" w:lineRule="auto"/>
        <w:ind w:right="-312"/>
      </w:pPr>
      <w:r w:rsidRPr="00C20E46">
        <w:t xml:space="preserve">The PUCO may waive any non-statutory requirement of </w:t>
      </w:r>
      <w:r w:rsidR="00123A76">
        <w:t xml:space="preserve">competitive retail electric service </w:t>
      </w:r>
      <w:r w:rsidRPr="00C20E46">
        <w:t>for good cause shown.</w:t>
      </w:r>
      <w:r>
        <w:rPr>
          <w:rStyle w:val="FootnoteReference"/>
        </w:rPr>
        <w:footnoteReference w:id="8"/>
      </w:r>
      <w:r w:rsidRPr="00C20E46">
        <w:t xml:space="preserve"> </w:t>
      </w:r>
      <w:r w:rsidR="00D93C40">
        <w:t xml:space="preserve">As discussed below, </w:t>
      </w:r>
      <w:r w:rsidR="005A0D2F">
        <w:t>Astral Energy</w:t>
      </w:r>
      <w:r w:rsidR="00123A76">
        <w:t xml:space="preserve"> has </w:t>
      </w:r>
      <w:r w:rsidR="00E87564">
        <w:t>not met its</w:t>
      </w:r>
      <w:r w:rsidR="00123A76">
        <w:t xml:space="preserve"> burden of proof to demonstrate good cause for </w:t>
      </w:r>
      <w:r w:rsidR="006C6B46">
        <w:t>a</w:t>
      </w:r>
      <w:r w:rsidR="00123A76">
        <w:t xml:space="preserve"> waiver of </w:t>
      </w:r>
      <w:r w:rsidR="00E87564">
        <w:t xml:space="preserve">the requirement in </w:t>
      </w:r>
      <w:r w:rsidR="00123A76">
        <w:t>Rule 4901:1-21-05(A)(4) that a specific price be included in marketing materials</w:t>
      </w:r>
      <w:r w:rsidR="00E87564">
        <w:t>.</w:t>
      </w:r>
      <w:r w:rsidRPr="00C20E46">
        <w:t xml:space="preserve"> </w:t>
      </w:r>
    </w:p>
    <w:p w:rsidR="00953F1F" w:rsidRPr="00591361" w:rsidP="00FE08C2">
      <w:pPr>
        <w:pStyle w:val="BodyTextIndent3"/>
        <w:widowControl w:val="0"/>
        <w:spacing w:before="240" w:line="480" w:lineRule="auto"/>
        <w:ind w:left="720" w:hanging="720"/>
        <w:rPr>
          <w:b/>
        </w:rPr>
      </w:pPr>
      <w:r>
        <w:rPr>
          <w:b/>
        </w:rPr>
        <w:t xml:space="preserve">III. </w:t>
      </w:r>
      <w:r>
        <w:rPr>
          <w:b/>
        </w:rPr>
        <w:tab/>
        <w:t>RECOMMENDATIONS</w:t>
      </w:r>
    </w:p>
    <w:p w:rsidR="00ED5CE5" w:rsidRPr="00E979A8" w:rsidP="00D15368">
      <w:pPr>
        <w:spacing w:after="240"/>
        <w:ind w:left="1440" w:right="720" w:hanging="720"/>
        <w:rPr>
          <w:b/>
        </w:rPr>
      </w:pPr>
      <w:r>
        <w:rPr>
          <w:b/>
        </w:rPr>
        <w:t>A</w:t>
      </w:r>
      <w:r w:rsidRPr="00E979A8">
        <w:rPr>
          <w:b/>
        </w:rPr>
        <w:t>.</w:t>
      </w:r>
      <w:r>
        <w:rPr>
          <w:b/>
        </w:rPr>
        <w:t xml:space="preserve"> </w:t>
      </w:r>
      <w:r>
        <w:rPr>
          <w:b/>
        </w:rPr>
        <w:tab/>
      </w:r>
      <w:r w:rsidR="00E87564">
        <w:rPr>
          <w:b/>
        </w:rPr>
        <w:t>Astral’s waiver</w:t>
      </w:r>
      <w:r w:rsidRPr="00E979A8">
        <w:rPr>
          <w:b/>
        </w:rPr>
        <w:t xml:space="preserve"> request </w:t>
      </w:r>
      <w:r w:rsidR="0056090A">
        <w:rPr>
          <w:b/>
        </w:rPr>
        <w:t xml:space="preserve">should be denied because it </w:t>
      </w:r>
      <w:r w:rsidR="00861653">
        <w:rPr>
          <w:b/>
        </w:rPr>
        <w:t xml:space="preserve">contradicts state policy by not providing comparable retail electric service prices to help customers make effective choices in the </w:t>
      </w:r>
      <w:r w:rsidR="00DC7126">
        <w:rPr>
          <w:b/>
        </w:rPr>
        <w:t>selection</w:t>
      </w:r>
      <w:r w:rsidR="00861653">
        <w:rPr>
          <w:b/>
        </w:rPr>
        <w:t xml:space="preserve"> of their </w:t>
      </w:r>
      <w:r w:rsidR="00EA2592">
        <w:rPr>
          <w:b/>
        </w:rPr>
        <w:t xml:space="preserve">electric </w:t>
      </w:r>
      <w:r w:rsidR="00861653">
        <w:rPr>
          <w:b/>
        </w:rPr>
        <w:t xml:space="preserve">supplier. </w:t>
      </w:r>
    </w:p>
    <w:p w:rsidR="00DC7126" w:rsidP="00540C9A">
      <w:pPr>
        <w:pStyle w:val="WW-BodyTextIndent3"/>
        <w:widowControl w:val="0"/>
        <w:spacing w:line="480" w:lineRule="auto"/>
        <w:ind w:right="-24"/>
      </w:pPr>
      <w:r>
        <w:rPr>
          <w:szCs w:val="24"/>
        </w:rPr>
        <w:t>It is the policy of this state to protect Ohioans in the marketing and provision of retail electric service.  R.C. 4928.02(A) expresses the state policy to “[e]</w:t>
      </w:r>
      <w:r>
        <w:t xml:space="preserve">nsure the availability to consumers of adequate, reliable, safe, efficient, nondiscriminatory, and reasonably priced retail electric service.”  R.C. 4928.02(B) provides that it is state policy </w:t>
      </w:r>
      <w:r w:rsidR="002F399C">
        <w:t>that</w:t>
      </w:r>
      <w:r>
        <w:t xml:space="preserve"> retail electric service </w:t>
      </w:r>
      <w:r w:rsidR="002F399C">
        <w:t>“</w:t>
      </w:r>
      <w:r>
        <w:t xml:space="preserve">provides consumers with the supplier, price, terms, conditions, and quality options they elect to meet their respective needs.”  And R.C. 4928.02(I) contains the state policy to </w:t>
      </w:r>
      <w:r w:rsidR="002F399C">
        <w:t xml:space="preserve">“[e]nsure retail electric service consumers protection against unreasonable sales practices, market deficiencies, and market power.”  To help protect consumers, the General Assembly required that contracts for retail electric service must </w:t>
      </w:r>
    </w:p>
    <w:p w:rsidR="00DC7126">
      <w:pPr>
        <w:rPr>
          <w:lang w:eastAsia="ar-SA"/>
        </w:rPr>
      </w:pPr>
      <w:r>
        <w:br w:type="page"/>
      </w:r>
    </w:p>
    <w:p w:rsidR="006C6B46" w:rsidP="00DC7126">
      <w:pPr>
        <w:pStyle w:val="WW-BodyTextIndent3"/>
        <w:widowControl w:val="0"/>
        <w:spacing w:line="480" w:lineRule="auto"/>
        <w:ind w:right="-24" w:firstLine="0"/>
        <w:rPr>
          <w:szCs w:val="24"/>
        </w:rPr>
      </w:pPr>
      <w:r>
        <w:t>provide consumers with adequate, accurate, and understandable pricing and terms and conditions of service.</w:t>
      </w:r>
      <w:r>
        <w:rPr>
          <w:rStyle w:val="FootnoteReference"/>
        </w:rPr>
        <w:footnoteReference w:id="9"/>
      </w:r>
    </w:p>
    <w:p w:rsidR="00540C9A" w:rsidP="00540C9A">
      <w:pPr>
        <w:pStyle w:val="WW-BodyTextIndent3"/>
        <w:widowControl w:val="0"/>
        <w:spacing w:line="480" w:lineRule="auto"/>
        <w:ind w:right="-24"/>
        <w:rPr>
          <w:szCs w:val="24"/>
        </w:rPr>
      </w:pPr>
      <w:r>
        <w:rPr>
          <w:szCs w:val="24"/>
        </w:rPr>
        <w:t>Ohio Adm. Code 4901:1-21-05 helps protect consumers from false or misleading marketing that can occur during the solicitation of competitive retail electric service. The rules spell out specific provisions regarding marketing, solicitation</w:t>
      </w:r>
      <w:r w:rsidR="00D93C40">
        <w:rPr>
          <w:szCs w:val="24"/>
        </w:rPr>
        <w:t>,</w:t>
      </w:r>
      <w:r>
        <w:rPr>
          <w:szCs w:val="24"/>
        </w:rPr>
        <w:t xml:space="preserve"> and customer information to which marketers must adhere when providing service to residential or small commercial customers. The rules state that a marketer must “provide, </w:t>
      </w:r>
      <w:r w:rsidRPr="00540C9A">
        <w:rPr>
          <w:szCs w:val="24"/>
        </w:rPr>
        <w:t>in marketing materials that include or accompany a service contract, sufficient information for customers to make intelligent cost comparisons against offers they received from other CRES providers</w:t>
      </w:r>
      <w:r>
        <w:rPr>
          <w:szCs w:val="24"/>
        </w:rPr>
        <w:t>.</w:t>
      </w:r>
      <w:r w:rsidRPr="00540C9A">
        <w:rPr>
          <w:szCs w:val="24"/>
        </w:rPr>
        <w:t>”</w:t>
      </w:r>
      <w:r>
        <w:rPr>
          <w:rStyle w:val="FootnoteReference"/>
          <w:szCs w:val="24"/>
        </w:rPr>
        <w:footnoteReference w:id="10"/>
      </w:r>
      <w:r>
        <w:rPr>
          <w:szCs w:val="24"/>
        </w:rPr>
        <w:t xml:space="preserve"> Subsection (4) requires that for monthly </w:t>
      </w:r>
      <w:r w:rsidR="00D93C40">
        <w:rPr>
          <w:szCs w:val="24"/>
        </w:rPr>
        <w:t>flat-</w:t>
      </w:r>
      <w:r>
        <w:rPr>
          <w:szCs w:val="24"/>
        </w:rPr>
        <w:t>rate offers, “a specific listing of the rate to be charged per month for the duration of the contract.”</w:t>
      </w:r>
      <w:r>
        <w:rPr>
          <w:rStyle w:val="FootnoteReference"/>
          <w:szCs w:val="24"/>
        </w:rPr>
        <w:footnoteReference w:id="11"/>
      </w:r>
      <w:r>
        <w:rPr>
          <w:szCs w:val="24"/>
        </w:rPr>
        <w:t xml:space="preserve"> </w:t>
      </w:r>
    </w:p>
    <w:p w:rsidR="00C5479F" w:rsidP="00A8056E">
      <w:pPr>
        <w:pStyle w:val="BodyTextIndent3"/>
        <w:widowControl w:val="0"/>
        <w:spacing w:line="480" w:lineRule="auto"/>
        <w:rPr>
          <w:bCs/>
        </w:rPr>
      </w:pPr>
      <w:r w:rsidRPr="00273F52">
        <w:rPr>
          <w:bCs/>
        </w:rPr>
        <w:t xml:space="preserve">Astral’s </w:t>
      </w:r>
      <w:r>
        <w:rPr>
          <w:bCs/>
        </w:rPr>
        <w:t xml:space="preserve">waiver </w:t>
      </w:r>
      <w:r w:rsidRPr="00273F52">
        <w:rPr>
          <w:bCs/>
        </w:rPr>
        <w:t>seeks to bypass th</w:t>
      </w:r>
      <w:r>
        <w:rPr>
          <w:bCs/>
        </w:rPr>
        <w:t>ese</w:t>
      </w:r>
      <w:r w:rsidRPr="00273F52">
        <w:rPr>
          <w:bCs/>
        </w:rPr>
        <w:t xml:space="preserve"> important consumer protection</w:t>
      </w:r>
      <w:r>
        <w:rPr>
          <w:bCs/>
        </w:rPr>
        <w:t>s</w:t>
      </w:r>
      <w:r w:rsidRPr="00273F52">
        <w:rPr>
          <w:bCs/>
        </w:rPr>
        <w:t xml:space="preserve">.  </w:t>
      </w:r>
      <w:r>
        <w:rPr>
          <w:bCs/>
        </w:rPr>
        <w:t xml:space="preserve">Astral </w:t>
      </w:r>
      <w:r w:rsidR="00D93C40">
        <w:rPr>
          <w:bCs/>
        </w:rPr>
        <w:t xml:space="preserve">seeks </w:t>
      </w:r>
      <w:r>
        <w:rPr>
          <w:bCs/>
        </w:rPr>
        <w:t xml:space="preserve">a waiver of </w:t>
      </w:r>
      <w:r w:rsidR="00D93C40">
        <w:rPr>
          <w:bCs/>
        </w:rPr>
        <w:t xml:space="preserve">the PUCO’s </w:t>
      </w:r>
      <w:r>
        <w:rPr>
          <w:bCs/>
        </w:rPr>
        <w:t>requirement that marketing materials specifically state the flat-rate dollar amount to be charged each month for electric supply.</w:t>
      </w:r>
      <w:r>
        <w:rPr>
          <w:rStyle w:val="FootnoteReference"/>
          <w:bCs/>
        </w:rPr>
        <w:footnoteReference w:id="12"/>
      </w:r>
      <w:r>
        <w:rPr>
          <w:bCs/>
        </w:rPr>
        <w:t xml:space="preserve"> Instead of </w:t>
      </w:r>
      <w:r w:rsidRPr="00273F52">
        <w:rPr>
          <w:bCs/>
        </w:rPr>
        <w:t xml:space="preserve">providing a specific listing of the rate to be charged per month in its marketing materials, Astral wants to offer a </w:t>
      </w:r>
      <w:r w:rsidR="00D93C40">
        <w:rPr>
          <w:bCs/>
        </w:rPr>
        <w:t>six</w:t>
      </w:r>
      <w:r>
        <w:rPr>
          <w:bCs/>
        </w:rPr>
        <w:t xml:space="preserve">-month </w:t>
      </w:r>
      <w:r w:rsidRPr="00273F52">
        <w:rPr>
          <w:bCs/>
        </w:rPr>
        <w:t>flat</w:t>
      </w:r>
      <w:r w:rsidR="00D93C40">
        <w:rPr>
          <w:bCs/>
        </w:rPr>
        <w:t>-</w:t>
      </w:r>
      <w:r w:rsidRPr="00273F52">
        <w:rPr>
          <w:bCs/>
        </w:rPr>
        <w:t xml:space="preserve">rate plan </w:t>
      </w:r>
      <w:r w:rsidR="008F466C">
        <w:rPr>
          <w:bCs/>
        </w:rPr>
        <w:t xml:space="preserve">(an “Ultimate Power Plan” or “UPP”) </w:t>
      </w:r>
      <w:r w:rsidRPr="00273F52">
        <w:rPr>
          <w:bCs/>
        </w:rPr>
        <w:t>that is “different for each customer.”</w:t>
      </w:r>
      <w:r>
        <w:rPr>
          <w:rStyle w:val="FootnoteReference"/>
          <w:bCs/>
        </w:rPr>
        <w:footnoteReference w:id="13"/>
      </w:r>
      <w:r w:rsidRPr="00273F52">
        <w:rPr>
          <w:bCs/>
        </w:rPr>
        <w:t xml:space="preserve"> The application claims that “it is not possible to identify a specific dollar amount in marketing materials for its </w:t>
      </w:r>
      <w:r w:rsidR="00C163AA">
        <w:rPr>
          <w:bCs/>
        </w:rPr>
        <w:t>(plan)</w:t>
      </w:r>
      <w:r w:rsidRPr="00273F52">
        <w:rPr>
          <w:bCs/>
        </w:rPr>
        <w:t xml:space="preserve"> as Rule 4901:1-1-21-05(A)(4) requires.”</w:t>
      </w:r>
      <w:r>
        <w:rPr>
          <w:rStyle w:val="FootnoteReference"/>
          <w:bCs/>
        </w:rPr>
        <w:footnoteReference w:id="14"/>
      </w:r>
      <w:r>
        <w:rPr>
          <w:bCs/>
        </w:rPr>
        <w:t xml:space="preserve"> </w:t>
      </w:r>
    </w:p>
    <w:p w:rsidR="00D93C40" w:rsidP="00D93C40">
      <w:pPr>
        <w:pStyle w:val="BodyTextIndent3"/>
        <w:widowControl w:val="0"/>
        <w:spacing w:line="480" w:lineRule="auto"/>
        <w:rPr>
          <w:szCs w:val="24"/>
        </w:rPr>
      </w:pPr>
      <w:r>
        <w:rPr>
          <w:bCs/>
        </w:rPr>
        <w:t>OCC opposes this waiver</w:t>
      </w:r>
      <w:r w:rsidR="00950A0E">
        <w:rPr>
          <w:bCs/>
        </w:rPr>
        <w:t xml:space="preserve">. </w:t>
      </w:r>
      <w:r w:rsidR="006C6B46">
        <w:t xml:space="preserve">Astral’s </w:t>
      </w:r>
      <w:r w:rsidR="00950A0E">
        <w:rPr>
          <w:bCs/>
        </w:rPr>
        <w:t xml:space="preserve">marketing materials are not disclosing a rate. </w:t>
      </w:r>
      <w:r>
        <w:rPr>
          <w:szCs w:val="24"/>
        </w:rPr>
        <w:t xml:space="preserve">Because marketers’ offers can be higher (if not much higher) than a utility’s SSO, it is important that consumers </w:t>
      </w:r>
      <w:r w:rsidR="00643257">
        <w:rPr>
          <w:szCs w:val="24"/>
        </w:rPr>
        <w:t xml:space="preserve">know the price they will pay so that they can </w:t>
      </w:r>
      <w:r>
        <w:rPr>
          <w:szCs w:val="24"/>
        </w:rPr>
        <w:t xml:space="preserve">compare </w:t>
      </w:r>
      <w:r w:rsidR="00EA2592">
        <w:rPr>
          <w:szCs w:val="24"/>
        </w:rPr>
        <w:t xml:space="preserve">other </w:t>
      </w:r>
      <w:r>
        <w:rPr>
          <w:szCs w:val="24"/>
        </w:rPr>
        <w:t xml:space="preserve">available competitive options. Price information is </w:t>
      </w:r>
      <w:r w:rsidR="00643257">
        <w:rPr>
          <w:szCs w:val="24"/>
        </w:rPr>
        <w:t xml:space="preserve">probably the most important piece of information </w:t>
      </w:r>
      <w:r>
        <w:rPr>
          <w:szCs w:val="24"/>
        </w:rPr>
        <w:t>for customers to determine if they</w:t>
      </w:r>
      <w:r w:rsidR="00643257">
        <w:rPr>
          <w:szCs w:val="24"/>
        </w:rPr>
        <w:t xml:space="preserve"> want to obtain service from a marketer</w:t>
      </w:r>
      <w:r>
        <w:rPr>
          <w:szCs w:val="24"/>
        </w:rPr>
        <w:t>.</w:t>
      </w:r>
    </w:p>
    <w:p w:rsidR="00273F52" w:rsidP="00A8056E">
      <w:pPr>
        <w:pStyle w:val="BodyTextIndent3"/>
        <w:widowControl w:val="0"/>
        <w:spacing w:line="480" w:lineRule="auto"/>
        <w:rPr>
          <w:bCs/>
        </w:rPr>
      </w:pPr>
      <w:r>
        <w:rPr>
          <w:bCs/>
        </w:rPr>
        <w:t>Without a rate identified in the marketing materials, there</w:t>
      </w:r>
      <w:r w:rsidR="00950A0E">
        <w:rPr>
          <w:bCs/>
        </w:rPr>
        <w:t xml:space="preserve"> is insufficient information for </w:t>
      </w:r>
      <w:r w:rsidR="008836C2">
        <w:rPr>
          <w:bCs/>
        </w:rPr>
        <w:t>consumers</w:t>
      </w:r>
      <w:r w:rsidR="00950A0E">
        <w:rPr>
          <w:bCs/>
        </w:rPr>
        <w:t xml:space="preserve"> to make intelligent cost comparisons against offers they receive from other </w:t>
      </w:r>
      <w:r w:rsidR="001F4C01">
        <w:rPr>
          <w:bCs/>
        </w:rPr>
        <w:t>marketer</w:t>
      </w:r>
      <w:r w:rsidR="00950A0E">
        <w:rPr>
          <w:bCs/>
        </w:rPr>
        <w:t>s. There is no good reason or good cause for the PUCO to waive this important consumer protect</w:t>
      </w:r>
      <w:r w:rsidR="005B3BCE">
        <w:rPr>
          <w:bCs/>
        </w:rPr>
        <w:t>ion rule.</w:t>
      </w:r>
    </w:p>
    <w:p w:rsidR="00950A0E" w:rsidP="00DC7126">
      <w:pPr>
        <w:pStyle w:val="Heading2"/>
        <w:ind w:left="1440" w:right="720" w:hanging="720"/>
        <w:jc w:val="left"/>
        <w:rPr>
          <w:bCs/>
        </w:rPr>
      </w:pPr>
      <w:bookmarkStart w:id="1" w:name="_Toc7705423"/>
      <w:bookmarkStart w:id="2" w:name="_Hlk7679717"/>
      <w:r>
        <w:t xml:space="preserve">B. </w:t>
      </w:r>
      <w:r w:rsidR="00DC7126">
        <w:tab/>
      </w:r>
      <w:r w:rsidR="00D93C40">
        <w:t>I</w:t>
      </w:r>
      <w:r>
        <w:t xml:space="preserve">f </w:t>
      </w:r>
      <w:r w:rsidR="00D93C40">
        <w:t xml:space="preserve">the PUCO grants </w:t>
      </w:r>
      <w:r>
        <w:t xml:space="preserve">the waiver </w:t>
      </w:r>
      <w:r w:rsidR="00D93C40">
        <w:t>(which it should not)</w:t>
      </w:r>
      <w:r>
        <w:t xml:space="preserve">, the PUCO should require Astral to </w:t>
      </w:r>
      <w:r w:rsidR="00861653">
        <w:t xml:space="preserve">disclose in </w:t>
      </w:r>
      <w:r w:rsidR="00D93C40">
        <w:t xml:space="preserve">its </w:t>
      </w:r>
      <w:r w:rsidR="00861653">
        <w:t xml:space="preserve">marketing materials how </w:t>
      </w:r>
      <w:r w:rsidR="00D93C40">
        <w:t xml:space="preserve">its </w:t>
      </w:r>
      <w:r w:rsidR="00861653">
        <w:t>“Ultimate Price Plan” compares</w:t>
      </w:r>
      <w:r w:rsidR="00697F63">
        <w:t xml:space="preserve"> with the utility SSO charges at different usage levels.  And Astral should disclose semi-annually to customers their savings or losses under the </w:t>
      </w:r>
      <w:r w:rsidR="00D93C40">
        <w:t>“U</w:t>
      </w:r>
      <w:r w:rsidR="00697F63">
        <w:t xml:space="preserve">ltimate </w:t>
      </w:r>
      <w:r w:rsidR="00D93C40">
        <w:t>P</w:t>
      </w:r>
      <w:r w:rsidR="00697F63">
        <w:t xml:space="preserve">rice </w:t>
      </w:r>
      <w:r w:rsidR="00D93C40">
        <w:t>P</w:t>
      </w:r>
      <w:r w:rsidR="00697F63">
        <w:t>lan.</w:t>
      </w:r>
      <w:r w:rsidR="00D93C40">
        <w:t>”</w:t>
      </w:r>
      <w:bookmarkEnd w:id="1"/>
      <w:bookmarkEnd w:id="2"/>
      <w:r>
        <w:rPr>
          <w:bCs/>
        </w:rPr>
        <w:t xml:space="preserve"> </w:t>
      </w:r>
    </w:p>
    <w:p w:rsidR="00847C77" w:rsidP="00847C77"/>
    <w:p w:rsidR="004C6FC4" w:rsidP="00D93C40">
      <w:pPr>
        <w:pStyle w:val="BodyTextIndent3"/>
        <w:spacing w:line="480" w:lineRule="auto"/>
        <w:ind w:right="-317"/>
      </w:pPr>
      <w:r>
        <w:t xml:space="preserve">Astral’s </w:t>
      </w:r>
      <w:r w:rsidR="00D93C40">
        <w:t xml:space="preserve">request for </w:t>
      </w:r>
      <w:r>
        <w:t>waiver of the PUCO rule requiring marketer</w:t>
      </w:r>
      <w:r>
        <w:t>s</w:t>
      </w:r>
      <w:r>
        <w:t xml:space="preserve"> to </w:t>
      </w:r>
      <w:r>
        <w:t xml:space="preserve">disclose </w:t>
      </w:r>
      <w:r>
        <w:t>a price for monthly flat-rate offer</w:t>
      </w:r>
      <w:r>
        <w:t>s to consumers</w:t>
      </w:r>
      <w:r>
        <w:t xml:space="preserve"> should be denied. </w:t>
      </w:r>
      <w:r>
        <w:t xml:space="preserve">Before they sign up for service, consumers </w:t>
      </w:r>
      <w:r w:rsidR="00847C77">
        <w:t>need to be aware of the specific monthly rate being offered in order to make intelligent cost comparisons</w:t>
      </w:r>
      <w:r w:rsidR="00466DF8">
        <w:t xml:space="preserve">. </w:t>
      </w:r>
    </w:p>
    <w:p w:rsidR="00847C77" w:rsidP="00A8056E">
      <w:pPr>
        <w:pStyle w:val="BodyTextIndent3"/>
        <w:spacing w:line="480" w:lineRule="auto"/>
        <w:ind w:right="-317"/>
      </w:pPr>
      <w:r>
        <w:t>If, however, the PUCO decides to grant the application</w:t>
      </w:r>
      <w:r w:rsidR="004C6FC4">
        <w:t xml:space="preserve"> (which it should not)</w:t>
      </w:r>
      <w:r>
        <w:t xml:space="preserve">, it is imperative that Astral </w:t>
      </w:r>
      <w:r w:rsidR="00697F63">
        <w:t xml:space="preserve">disclose to customers how the UPP charges compare with SSO charges at different usage levels. </w:t>
      </w:r>
      <w:r>
        <w:t xml:space="preserve"> </w:t>
      </w:r>
      <w:r w:rsidR="00466DF8">
        <w:t xml:space="preserve"> </w:t>
      </w:r>
      <w:r>
        <w:t>Astral should be required to provide customers with sufficient bill comparison data</w:t>
      </w:r>
      <w:r w:rsidR="004C6FC4">
        <w:t>,</w:t>
      </w:r>
      <w:r>
        <w:t xml:space="preserve"> including the </w:t>
      </w:r>
      <w:r w:rsidR="004C6FC4">
        <w:t xml:space="preserve">local public utility’s </w:t>
      </w:r>
      <w:r w:rsidR="00697F63">
        <w:t>SSO charges</w:t>
      </w:r>
      <w:r w:rsidR="004C6FC4">
        <w:t>,</w:t>
      </w:r>
      <w:r w:rsidR="00697F63">
        <w:t xml:space="preserve"> </w:t>
      </w:r>
      <w:r>
        <w:t xml:space="preserve">to enable customers to make a meaningful choice. </w:t>
      </w:r>
      <w:r w:rsidR="004C6FC4">
        <w:t xml:space="preserve">So that customers can intelligently make the price comparison before they sign a UPP contract, </w:t>
      </w:r>
      <w:r>
        <w:t xml:space="preserve">Astral should </w:t>
      </w:r>
      <w:r w:rsidR="00636C73">
        <w:t xml:space="preserve">be directed to </w:t>
      </w:r>
      <w:r>
        <w:t xml:space="preserve">include this </w:t>
      </w:r>
      <w:r w:rsidR="004C6FC4">
        <w:t xml:space="preserve">bill comparison </w:t>
      </w:r>
      <w:r>
        <w:t xml:space="preserve">data </w:t>
      </w:r>
      <w:r w:rsidR="004C6FC4">
        <w:t xml:space="preserve">in its contract offers to customers </w:t>
      </w:r>
      <w:r>
        <w:t xml:space="preserve">along with the customers’ </w:t>
      </w:r>
      <w:r w:rsidR="00636C73">
        <w:t>“unique”</w:t>
      </w:r>
      <w:r>
        <w:t xml:space="preserve"> </w:t>
      </w:r>
      <w:r w:rsidR="008F466C">
        <w:t xml:space="preserve">UPP </w:t>
      </w:r>
      <w:r w:rsidR="00636C73">
        <w:t>plan</w:t>
      </w:r>
      <w:r>
        <w:t>.</w:t>
      </w:r>
      <w:r w:rsidR="00697F63">
        <w:t xml:space="preserve">  </w:t>
      </w:r>
      <w:r w:rsidR="00EA2592">
        <w:t>To further protect consumers from potentially unwarranted charges, o</w:t>
      </w:r>
      <w:r w:rsidR="00697F63">
        <w:t xml:space="preserve">n a semi-annual basis thereafter, </w:t>
      </w:r>
      <w:r w:rsidR="004C6FC4">
        <w:t xml:space="preserve">Astral should provide </w:t>
      </w:r>
      <w:r w:rsidR="00697F63">
        <w:t xml:space="preserve">customers a summary </w:t>
      </w:r>
      <w:r w:rsidR="004C6FC4">
        <w:t xml:space="preserve">showing whether </w:t>
      </w:r>
      <w:r w:rsidR="00697F63">
        <w:t xml:space="preserve">the UPP charges have resulted in savings or losses compared with what the charges would have been under the </w:t>
      </w:r>
      <w:r w:rsidR="004C6FC4">
        <w:t xml:space="preserve">local public utility’s </w:t>
      </w:r>
      <w:r w:rsidR="00697F63">
        <w:t>SSO</w:t>
      </w:r>
      <w:r w:rsidR="004C6FC4">
        <w:t>.</w:t>
      </w:r>
      <w:r w:rsidR="00697F63">
        <w:t xml:space="preserve">  </w:t>
      </w:r>
    </w:p>
    <w:p w:rsidR="00380460" w:rsidP="00847C77">
      <w:pPr>
        <w:pStyle w:val="BodyTextIndent3"/>
        <w:spacing w:line="480" w:lineRule="auto"/>
        <w:ind w:right="-312"/>
      </w:pPr>
      <w:r>
        <w:t xml:space="preserve">Additionally, customers should be protected if they do not renew the </w:t>
      </w:r>
      <w:r w:rsidR="004C6FC4">
        <w:t xml:space="preserve">UPP </w:t>
      </w:r>
      <w:r>
        <w:t xml:space="preserve">contract. </w:t>
      </w:r>
      <w:r w:rsidR="004C6FC4">
        <w:t>In d</w:t>
      </w:r>
      <w:r>
        <w:t>iscovery</w:t>
      </w:r>
      <w:r w:rsidR="004C6FC4">
        <w:t>, Astral state</w:t>
      </w:r>
      <w:r w:rsidR="008836C2">
        <w:t>d</w:t>
      </w:r>
      <w:r>
        <w:t xml:space="preserve"> that customers who do not cancel or renew revert to the default flat-rate price.</w:t>
      </w:r>
      <w:r>
        <w:rPr>
          <w:rStyle w:val="FootnoteReference"/>
        </w:rPr>
        <w:footnoteReference w:id="15"/>
      </w:r>
      <w:r>
        <w:t xml:space="preserve"> </w:t>
      </w:r>
      <w:r w:rsidR="00421344">
        <w:t>But the default flat rate price is undefined so customers do not know up-front what their price will be for retail electric service or how the price compares with the current SSO.  The Astral contracts should not automatically renew especially if there are any changes in the original contract terms and conditions (including the charges).  Automatic contract renewals can result in customers not knowing the price they are paying for electric service with marketers and likely paying much more than if they were served on the competitive SSO.  Customers should default to the local public utility’s SSO and not an Astral default flat rate if they do not cancel or renew a UPP contract</w:t>
      </w:r>
      <w:r>
        <w:t xml:space="preserve">.  </w:t>
      </w:r>
    </w:p>
    <w:p w:rsidR="00DC7126" w:rsidP="00DC7126">
      <w:pPr>
        <w:pStyle w:val="BodyTextIndent3"/>
        <w:spacing w:line="240" w:lineRule="auto"/>
        <w:ind w:right="-312"/>
      </w:pPr>
    </w:p>
    <w:p w:rsidR="00D70B4D" w:rsidRPr="00D70B4D" w:rsidP="00DC7126">
      <w:pPr>
        <w:pStyle w:val="BodyTextIndent3"/>
        <w:spacing w:line="480" w:lineRule="auto"/>
        <w:ind w:right="-312" w:firstLine="0"/>
        <w:rPr>
          <w:b/>
        </w:rPr>
      </w:pPr>
      <w:r>
        <w:rPr>
          <w:b/>
        </w:rPr>
        <w:t>I</w:t>
      </w:r>
      <w:r w:rsidR="00DC7126">
        <w:rPr>
          <w:b/>
        </w:rPr>
        <w:t>V</w:t>
      </w:r>
      <w:r>
        <w:rPr>
          <w:b/>
        </w:rPr>
        <w:t>.</w:t>
      </w:r>
      <w:r>
        <w:rPr>
          <w:b/>
        </w:rPr>
        <w:tab/>
        <w:t>CONCLUSION</w:t>
      </w:r>
    </w:p>
    <w:p w:rsidR="00540C9A" w:rsidP="00540C9A">
      <w:pPr>
        <w:pStyle w:val="BodyTextIndent3"/>
        <w:spacing w:line="480" w:lineRule="auto"/>
        <w:ind w:right="-312"/>
      </w:pPr>
      <w:r>
        <w:rPr>
          <w:szCs w:val="24"/>
        </w:rPr>
        <w:t>C</w:t>
      </w:r>
      <w:r w:rsidR="00380460">
        <w:rPr>
          <w:szCs w:val="24"/>
        </w:rPr>
        <w:t>onsumer protection</w:t>
      </w:r>
      <w:r w:rsidR="0067090A">
        <w:rPr>
          <w:szCs w:val="24"/>
        </w:rPr>
        <w:t xml:space="preserve">s under </w:t>
      </w:r>
      <w:r w:rsidR="00D5467F">
        <w:rPr>
          <w:szCs w:val="24"/>
        </w:rPr>
        <w:t xml:space="preserve">Ohio law and PUCO </w:t>
      </w:r>
      <w:r w:rsidR="0067090A">
        <w:rPr>
          <w:szCs w:val="24"/>
        </w:rPr>
        <w:t>rules should be</w:t>
      </w:r>
      <w:r w:rsidR="00380460">
        <w:rPr>
          <w:szCs w:val="24"/>
        </w:rPr>
        <w:t xml:space="preserve"> followed and enforced regarding marketer proposals. </w:t>
      </w:r>
      <w:r w:rsidR="00C5479F">
        <w:rPr>
          <w:szCs w:val="24"/>
        </w:rPr>
        <w:t>OCC recommends</w:t>
      </w:r>
      <w:r>
        <w:rPr>
          <w:szCs w:val="24"/>
        </w:rPr>
        <w:t xml:space="preserve"> that the</w:t>
      </w:r>
      <w:r w:rsidR="00C5479F">
        <w:rPr>
          <w:szCs w:val="24"/>
        </w:rPr>
        <w:t xml:space="preserve"> PUCO </w:t>
      </w:r>
      <w:r w:rsidR="00D5467F">
        <w:rPr>
          <w:szCs w:val="24"/>
        </w:rPr>
        <w:t>protect consumers by rejecting Astral</w:t>
      </w:r>
      <w:r w:rsidR="004C6FC4">
        <w:rPr>
          <w:szCs w:val="24"/>
        </w:rPr>
        <w:t>’s</w:t>
      </w:r>
      <w:r w:rsidR="00D5467F">
        <w:rPr>
          <w:szCs w:val="24"/>
        </w:rPr>
        <w:t xml:space="preserve"> waiver request. </w:t>
      </w:r>
      <w:r w:rsidR="004C6FC4">
        <w:rPr>
          <w:szCs w:val="24"/>
        </w:rPr>
        <w:t xml:space="preserve">Astral’s proposal fails to give </w:t>
      </w:r>
      <w:r w:rsidR="00D5467F">
        <w:rPr>
          <w:szCs w:val="24"/>
        </w:rPr>
        <w:t xml:space="preserve">customers </w:t>
      </w:r>
      <w:r w:rsidR="004C6FC4">
        <w:rPr>
          <w:szCs w:val="24"/>
        </w:rPr>
        <w:t xml:space="preserve">necessary information </w:t>
      </w:r>
      <w:r w:rsidR="002922DE">
        <w:rPr>
          <w:szCs w:val="24"/>
        </w:rPr>
        <w:t xml:space="preserve">to compare Astral’s </w:t>
      </w:r>
      <w:r w:rsidR="00D5467F">
        <w:rPr>
          <w:szCs w:val="24"/>
        </w:rPr>
        <w:t>charges for retail electric service with other competitive options available for consumers</w:t>
      </w:r>
      <w:r w:rsidR="002922DE">
        <w:rPr>
          <w:szCs w:val="24"/>
        </w:rPr>
        <w:t>,</w:t>
      </w:r>
      <w:r w:rsidR="00D5467F">
        <w:rPr>
          <w:szCs w:val="24"/>
        </w:rPr>
        <w:t xml:space="preserve"> including the </w:t>
      </w:r>
      <w:r w:rsidR="002922DE">
        <w:rPr>
          <w:szCs w:val="24"/>
        </w:rPr>
        <w:t xml:space="preserve">local public utility’s </w:t>
      </w:r>
      <w:r w:rsidR="00D5467F">
        <w:rPr>
          <w:szCs w:val="24"/>
        </w:rPr>
        <w:t xml:space="preserve">SSO. </w:t>
      </w:r>
      <w:r>
        <w:rPr>
          <w:szCs w:val="24"/>
        </w:rPr>
        <w:t xml:space="preserve"> </w:t>
      </w:r>
      <w:r w:rsidR="0067090A">
        <w:rPr>
          <w:szCs w:val="24"/>
        </w:rPr>
        <w:t xml:space="preserve"> </w:t>
      </w:r>
      <w:r w:rsidR="002922DE">
        <w:rPr>
          <w:szCs w:val="24"/>
        </w:rPr>
        <w:t>But i</w:t>
      </w:r>
      <w:r w:rsidR="0067090A">
        <w:rPr>
          <w:szCs w:val="24"/>
        </w:rPr>
        <w:t>f the PUCO grants the waiver</w:t>
      </w:r>
      <w:r w:rsidR="002922DE">
        <w:rPr>
          <w:szCs w:val="24"/>
        </w:rPr>
        <w:t xml:space="preserve"> (which it should not)</w:t>
      </w:r>
      <w:r w:rsidR="0067090A">
        <w:rPr>
          <w:szCs w:val="24"/>
        </w:rPr>
        <w:t xml:space="preserve">, Astral </w:t>
      </w:r>
      <w:r w:rsidR="002922DE">
        <w:rPr>
          <w:szCs w:val="24"/>
        </w:rPr>
        <w:t xml:space="preserve">should be required to </w:t>
      </w:r>
      <w:r w:rsidR="00D5467F">
        <w:rPr>
          <w:szCs w:val="24"/>
        </w:rPr>
        <w:t xml:space="preserve">disclose how the UPP compares with customer charges under the </w:t>
      </w:r>
      <w:r w:rsidR="002922DE">
        <w:rPr>
          <w:szCs w:val="24"/>
        </w:rPr>
        <w:t xml:space="preserve">local public utility’s </w:t>
      </w:r>
      <w:r w:rsidR="00D5467F">
        <w:rPr>
          <w:szCs w:val="24"/>
        </w:rPr>
        <w:t>SSO</w:t>
      </w:r>
      <w:r w:rsidRPr="002922DE" w:rsidR="002922DE">
        <w:rPr>
          <w:szCs w:val="24"/>
        </w:rPr>
        <w:t xml:space="preserve"> </w:t>
      </w:r>
      <w:r w:rsidR="002922DE">
        <w:rPr>
          <w:szCs w:val="24"/>
        </w:rPr>
        <w:t>at different usage levels</w:t>
      </w:r>
      <w:r w:rsidR="00D5467F">
        <w:rPr>
          <w:szCs w:val="24"/>
        </w:rPr>
        <w:t xml:space="preserve">. </w:t>
      </w:r>
      <w:r>
        <w:t xml:space="preserve"> Without </w:t>
      </w:r>
      <w:r w:rsidR="00EA2592">
        <w:t xml:space="preserve">significant </w:t>
      </w:r>
      <w:r w:rsidR="00144F8F">
        <w:t xml:space="preserve">disclosure of </w:t>
      </w:r>
      <w:r>
        <w:t xml:space="preserve">pricing information, </w:t>
      </w:r>
      <w:r w:rsidR="002922DE">
        <w:t xml:space="preserve">customers would not know whether </w:t>
      </w:r>
      <w:r w:rsidR="00144F8F">
        <w:t>Astral</w:t>
      </w:r>
      <w:r w:rsidR="002922DE">
        <w:t xml:space="preserve">’s offer is better or worse </w:t>
      </w:r>
      <w:r w:rsidR="00EA2592">
        <w:t xml:space="preserve">off as compared to </w:t>
      </w:r>
      <w:r w:rsidR="00144F8F">
        <w:t>other competitive options</w:t>
      </w:r>
      <w:r w:rsidR="002922DE">
        <w:t>,</w:t>
      </w:r>
      <w:r w:rsidR="00144F8F">
        <w:t xml:space="preserve"> including the </w:t>
      </w:r>
      <w:r w:rsidR="002922DE">
        <w:t xml:space="preserve">local public utility’s </w:t>
      </w:r>
      <w:r w:rsidR="00144F8F">
        <w:t xml:space="preserve">SSO. This can result in customers being harmed. </w:t>
      </w:r>
      <w:r>
        <w:t xml:space="preserve"> </w:t>
      </w:r>
      <w:r w:rsidR="002922DE">
        <w:t>The PUCO should prevent such harm to consumers.</w:t>
      </w:r>
    </w:p>
    <w:p w:rsidR="000F1186" w:rsidP="00FE08C2">
      <w:pPr>
        <w:pStyle w:val="BodyTextIndent3"/>
        <w:widowControl w:val="0"/>
        <w:spacing w:line="480" w:lineRule="auto"/>
        <w:ind w:left="3600" w:firstLine="0"/>
        <w:rPr>
          <w:szCs w:val="24"/>
        </w:rPr>
      </w:pPr>
      <w:r>
        <w:rPr>
          <w:szCs w:val="24"/>
        </w:rPr>
        <w:t>Respectfully submitted,</w:t>
      </w:r>
    </w:p>
    <w:p w:rsidR="000F1186" w:rsidP="00FE08C2">
      <w:pPr>
        <w:pStyle w:val="Footer"/>
        <w:tabs>
          <w:tab w:val="clear" w:pos="4320"/>
          <w:tab w:val="clear" w:pos="8640"/>
        </w:tabs>
        <w:ind w:left="3600"/>
        <w:rPr>
          <w:sz w:val="24"/>
          <w:szCs w:val="24"/>
        </w:rPr>
      </w:pPr>
      <w:r>
        <w:rPr>
          <w:sz w:val="24"/>
          <w:szCs w:val="24"/>
        </w:rPr>
        <w:t>Bruce Weston (0016973)</w:t>
      </w:r>
    </w:p>
    <w:p w:rsidR="000F1186" w:rsidP="00FE08C2">
      <w:pPr>
        <w:ind w:left="3600"/>
        <w:rPr>
          <w:szCs w:val="24"/>
        </w:rPr>
      </w:pPr>
      <w:r>
        <w:rPr>
          <w:szCs w:val="24"/>
        </w:rPr>
        <w:t>Ohio Consumers’ Counsel</w:t>
      </w:r>
    </w:p>
    <w:p w:rsidR="00D869B6" w:rsidP="00FE08C2">
      <w:pPr>
        <w:ind w:left="3600"/>
        <w:rPr>
          <w:szCs w:val="24"/>
        </w:rPr>
      </w:pPr>
    </w:p>
    <w:p w:rsidR="000F1186" w:rsidRPr="0054119F" w:rsidP="00FE08C2">
      <w:pPr>
        <w:spacing w:before="120"/>
        <w:ind w:left="3600"/>
        <w:rPr>
          <w:szCs w:val="24"/>
        </w:rPr>
      </w:pPr>
      <w:r>
        <w:rPr>
          <w:i/>
          <w:iCs/>
          <w:szCs w:val="24"/>
          <w:u w:val="single"/>
        </w:rPr>
        <w:t>/s/ Amy Botschner</w:t>
      </w:r>
      <w:r w:rsidR="000F115D">
        <w:rPr>
          <w:i/>
          <w:iCs/>
          <w:szCs w:val="24"/>
          <w:u w:val="single"/>
        </w:rPr>
        <w:t xml:space="preserve"> </w:t>
      </w:r>
      <w:r>
        <w:rPr>
          <w:i/>
          <w:iCs/>
          <w:szCs w:val="24"/>
          <w:u w:val="single"/>
        </w:rPr>
        <w:t>O’Brien</w:t>
      </w:r>
    </w:p>
    <w:p w:rsidR="000F1186" w:rsidP="00FE08C2">
      <w:pPr>
        <w:ind w:left="3600"/>
        <w:rPr>
          <w:szCs w:val="24"/>
        </w:rPr>
      </w:pPr>
      <w:r>
        <w:rPr>
          <w:szCs w:val="24"/>
        </w:rPr>
        <w:t>Amy Botschner O’Brien (0074423)</w:t>
      </w:r>
    </w:p>
    <w:p w:rsidR="00FE08C2" w:rsidP="00FE08C2">
      <w:pPr>
        <w:ind w:left="3600"/>
        <w:rPr>
          <w:szCs w:val="24"/>
        </w:rPr>
      </w:pPr>
      <w:r>
        <w:rPr>
          <w:szCs w:val="24"/>
        </w:rPr>
        <w:t xml:space="preserve">Terry L. Etter </w:t>
      </w:r>
      <w:r w:rsidR="00CF1687">
        <w:rPr>
          <w:szCs w:val="24"/>
        </w:rPr>
        <w:t>(0067445)</w:t>
      </w:r>
    </w:p>
    <w:p w:rsidR="00876804" w:rsidP="00FE08C2">
      <w:pPr>
        <w:ind w:left="3600"/>
        <w:rPr>
          <w:szCs w:val="24"/>
        </w:rPr>
      </w:pPr>
      <w:r>
        <w:rPr>
          <w:szCs w:val="24"/>
        </w:rPr>
        <w:t xml:space="preserve">Assistant Consumers’ Counsel </w:t>
      </w:r>
    </w:p>
    <w:p w:rsidR="000F1186" w:rsidP="00FE08C2">
      <w:pPr>
        <w:pStyle w:val="Heading1"/>
        <w:spacing w:before="120"/>
        <w:ind w:left="3600"/>
        <w:rPr>
          <w:u w:val="none"/>
        </w:rPr>
      </w:pPr>
      <w:r>
        <w:rPr>
          <w:u w:val="none"/>
        </w:rPr>
        <w:t>Office of the Ohio Consumers’ Counsel</w:t>
      </w:r>
    </w:p>
    <w:p w:rsidR="000F1186" w:rsidP="00FE08C2">
      <w:pPr>
        <w:pStyle w:val="Heading1"/>
        <w:ind w:left="3600"/>
        <w:rPr>
          <w:b w:val="0"/>
          <w:u w:val="none"/>
        </w:rPr>
      </w:pPr>
      <w:r>
        <w:rPr>
          <w:b w:val="0"/>
          <w:u w:val="none"/>
        </w:rPr>
        <w:t>65 East State Street, 7</w:t>
      </w:r>
      <w:r w:rsidRPr="00476981">
        <w:rPr>
          <w:b w:val="0"/>
          <w:u w:val="none"/>
          <w:vertAlign w:val="superscript"/>
        </w:rPr>
        <w:t>th</w:t>
      </w:r>
      <w:r>
        <w:rPr>
          <w:b w:val="0"/>
          <w:u w:val="none"/>
        </w:rPr>
        <w:t xml:space="preserve"> Floor</w:t>
      </w:r>
    </w:p>
    <w:p w:rsidR="000F1186" w:rsidP="00FE08C2">
      <w:pPr>
        <w:pStyle w:val="Heading1"/>
        <w:ind w:left="3600"/>
        <w:rPr>
          <w:b w:val="0"/>
          <w:u w:val="none"/>
        </w:rPr>
      </w:pPr>
      <w:r>
        <w:rPr>
          <w:b w:val="0"/>
          <w:u w:val="none"/>
        </w:rPr>
        <w:t>Columbus, Ohio 43215-4213</w:t>
      </w:r>
    </w:p>
    <w:p w:rsidR="000F1186" w:rsidP="00FE08C2">
      <w:pPr>
        <w:autoSpaceDE w:val="0"/>
        <w:autoSpaceDN w:val="0"/>
        <w:adjustRightInd w:val="0"/>
        <w:ind w:left="3600"/>
        <w:rPr>
          <w:szCs w:val="24"/>
        </w:rPr>
      </w:pPr>
      <w:r>
        <w:rPr>
          <w:szCs w:val="24"/>
        </w:rPr>
        <w:t>Telephone [Botschner O’Brien]: (614) 466-9575</w:t>
      </w:r>
    </w:p>
    <w:p w:rsidR="00CF1687" w:rsidP="00FE08C2">
      <w:pPr>
        <w:ind w:left="3600"/>
        <w:rPr>
          <w:szCs w:val="24"/>
        </w:rPr>
      </w:pPr>
      <w:r>
        <w:rPr>
          <w:szCs w:val="24"/>
        </w:rPr>
        <w:t>Telephone [Etter] (614) 466-7964</w:t>
      </w:r>
    </w:p>
    <w:p w:rsidR="000F1186" w:rsidP="00FE08C2">
      <w:pPr>
        <w:ind w:left="3600"/>
        <w:rPr>
          <w:szCs w:val="24"/>
        </w:rPr>
      </w:pPr>
      <w:r>
        <w:fldChar w:fldCharType="begin"/>
      </w:r>
      <w:r>
        <w:instrText xml:space="preserve"> HYPERLINK "mailto:amy.botschner.obrien@occ.ohio.gov" </w:instrText>
      </w:r>
      <w:r>
        <w:fldChar w:fldCharType="separate"/>
      </w:r>
      <w:r w:rsidRPr="001B48D9" w:rsidR="00CF1687">
        <w:rPr>
          <w:rStyle w:val="Hyperlink"/>
          <w:szCs w:val="24"/>
        </w:rPr>
        <w:t>amy.botschner.obrien@occ.ohio.gov</w:t>
      </w:r>
      <w:r>
        <w:fldChar w:fldCharType="end"/>
      </w:r>
      <w:r w:rsidRPr="00307E2B" w:rsidR="00B837A3">
        <w:rPr>
          <w:szCs w:val="24"/>
        </w:rPr>
        <w:t xml:space="preserve"> </w:t>
      </w:r>
    </w:p>
    <w:p w:rsidR="00CF1687" w:rsidP="00FE08C2">
      <w:pPr>
        <w:ind w:left="3600"/>
        <w:rPr>
          <w:szCs w:val="24"/>
        </w:rPr>
      </w:pPr>
      <w:r>
        <w:fldChar w:fldCharType="begin"/>
      </w:r>
      <w:r>
        <w:instrText xml:space="preserve"> HYPERLINK "mailto:terry.etter@occ.ohio.gov" </w:instrText>
      </w:r>
      <w:r>
        <w:fldChar w:fldCharType="separate"/>
      </w:r>
      <w:r w:rsidRPr="00DE54C3" w:rsidR="00DC7126">
        <w:rPr>
          <w:rStyle w:val="Hyperlink"/>
          <w:szCs w:val="24"/>
        </w:rPr>
        <w:t>terry.etter@occ.ohio.gov</w:t>
      </w:r>
      <w:r>
        <w:fldChar w:fldCharType="end"/>
      </w:r>
    </w:p>
    <w:p w:rsidR="00A044B5" w:rsidP="00FE08C2">
      <w:pPr>
        <w:ind w:left="3600"/>
      </w:pPr>
      <w:r>
        <w:rPr>
          <w:szCs w:val="24"/>
        </w:rPr>
        <w:t>(Will accept service via email)</w:t>
      </w:r>
    </w:p>
    <w:p w:rsidR="00A044B5" w:rsidP="00FE08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bCs/>
          <w:sz w:val="24"/>
        </w:rPr>
        <w:sectPr w:rsidSect="00434BA4">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326"/>
        </w:sectPr>
      </w:pPr>
    </w:p>
    <w:p w:rsidR="00A044B5" w:rsidP="00FE08C2">
      <w:pPr>
        <w:jc w:val="center"/>
        <w:rPr>
          <w:b/>
          <w:bCs/>
          <w:u w:val="single"/>
        </w:rPr>
      </w:pPr>
      <w:r>
        <w:rPr>
          <w:b/>
          <w:bCs/>
          <w:u w:val="single"/>
        </w:rPr>
        <w:t>CERTIFICATE OF SERVICE</w:t>
      </w:r>
    </w:p>
    <w:p w:rsidR="00A044B5" w:rsidP="00FE08C2">
      <w:pPr>
        <w:spacing w:line="480" w:lineRule="atLeast"/>
      </w:pPr>
      <w:r>
        <w:tab/>
        <w:t>I hereby certify that a copy of these Comments w</w:t>
      </w:r>
      <w:r w:rsidR="000F115D">
        <w:t>ere</w:t>
      </w:r>
      <w:r>
        <w:t xml:space="preserve"> served on the persons stated below </w:t>
      </w:r>
      <w:r w:rsidRPr="00C5009C">
        <w:t>via</w:t>
      </w:r>
      <w:r>
        <w:t xml:space="preserve"> electronic transmission, this </w:t>
      </w:r>
      <w:r w:rsidR="00636C73">
        <w:t>25</w:t>
      </w:r>
      <w:r w:rsidRPr="007B615B">
        <w:rPr>
          <w:vertAlign w:val="superscript"/>
        </w:rPr>
        <w:t>th</w:t>
      </w:r>
      <w:r>
        <w:t xml:space="preserve"> day of </w:t>
      </w:r>
      <w:r w:rsidR="00636C73">
        <w:t>July</w:t>
      </w:r>
      <w:r>
        <w:t xml:space="preserve"> 2019.</w:t>
      </w:r>
    </w:p>
    <w:p w:rsidR="00A044B5" w:rsidP="00FE08C2">
      <w:pPr>
        <w:spacing w:line="480" w:lineRule="atLeast"/>
      </w:pPr>
    </w:p>
    <w:p w:rsidR="00477A63" w:rsidRPr="0054119F" w:rsidP="00FE08C2">
      <w:pPr>
        <w:spacing w:before="120"/>
        <w:ind w:left="4320"/>
        <w:rPr>
          <w:szCs w:val="24"/>
        </w:rPr>
      </w:pPr>
      <w:r>
        <w:rPr>
          <w:i/>
          <w:iCs/>
          <w:szCs w:val="24"/>
          <w:u w:val="single"/>
        </w:rPr>
        <w:t>/s/ Amy Botschner</w:t>
      </w:r>
      <w:r w:rsidR="000F115D">
        <w:rPr>
          <w:i/>
          <w:iCs/>
          <w:szCs w:val="24"/>
          <w:u w:val="single"/>
        </w:rPr>
        <w:t xml:space="preserve"> </w:t>
      </w:r>
      <w:r>
        <w:rPr>
          <w:i/>
          <w:iCs/>
          <w:szCs w:val="24"/>
          <w:u w:val="single"/>
        </w:rPr>
        <w:t>O’Brien</w:t>
      </w:r>
      <w:r w:rsidRPr="0054119F">
        <w:rPr>
          <w:i/>
          <w:iCs/>
          <w:szCs w:val="24"/>
          <w:u w:val="single"/>
        </w:rPr>
        <w:tab/>
      </w:r>
    </w:p>
    <w:p w:rsidR="00A044B5" w:rsidP="00FE08C2">
      <w:r>
        <w:tab/>
      </w:r>
      <w:r>
        <w:tab/>
      </w:r>
      <w:r>
        <w:tab/>
      </w:r>
      <w:r>
        <w:tab/>
      </w:r>
      <w:r>
        <w:tab/>
      </w:r>
      <w:r>
        <w:tab/>
        <w:t>Amy Botschner O’Brien</w:t>
      </w:r>
    </w:p>
    <w:p w:rsidR="00A044B5" w:rsidP="00FE08C2">
      <w:r>
        <w:tab/>
      </w:r>
      <w:r>
        <w:tab/>
      </w:r>
      <w:r>
        <w:tab/>
      </w:r>
      <w:r>
        <w:tab/>
      </w:r>
      <w:r>
        <w:tab/>
      </w:r>
      <w:r>
        <w:tab/>
        <w:t>Assistant Consumers’ Counsel</w:t>
      </w:r>
    </w:p>
    <w:p w:rsidR="00A044B5" w:rsidP="00FE08C2">
      <w:pPr>
        <w:pStyle w:val="CommentSubject"/>
      </w:pPr>
    </w:p>
    <w:p w:rsidR="00A044B5" w:rsidP="00FE08C2">
      <w:pPr>
        <w:pStyle w:val="CommentText"/>
      </w:pPr>
    </w:p>
    <w:tbl>
      <w:tblPr>
        <w:tblW w:w="0" w:type="auto"/>
        <w:tblInd w:w="0" w:type="dxa"/>
        <w:tblCellMar>
          <w:top w:w="0" w:type="dxa"/>
          <w:left w:w="108" w:type="dxa"/>
          <w:bottom w:w="0" w:type="dxa"/>
          <w:right w:w="108" w:type="dxa"/>
        </w:tblCellMar>
        <w:tblLook w:val="04A0"/>
      </w:tblPr>
      <w:tblGrid>
        <w:gridCol w:w="8418"/>
        <w:gridCol w:w="222"/>
      </w:tblGrid>
      <w:tr w:rsidTr="00DC7126">
        <w:tblPrEx>
          <w:tblW w:w="0" w:type="auto"/>
          <w:tblInd w:w="0" w:type="dxa"/>
          <w:tblCellMar>
            <w:top w:w="0" w:type="dxa"/>
            <w:left w:w="108" w:type="dxa"/>
            <w:bottom w:w="0" w:type="dxa"/>
            <w:right w:w="108" w:type="dxa"/>
          </w:tblCellMar>
          <w:tblLook w:val="04A0"/>
        </w:tblPrEx>
        <w:tc>
          <w:tcPr>
            <w:tcW w:w="8418" w:type="dxa"/>
            <w:shd w:val="clear" w:color="auto" w:fill="auto"/>
          </w:tcPr>
          <w:p w:rsidR="00DC7126" w:rsidP="00DC7126">
            <w:pPr>
              <w:tabs>
                <w:tab w:val="left" w:pos="4320"/>
              </w:tabs>
              <w:jc w:val="center"/>
              <w:rPr>
                <w:rStyle w:val="DefaultParagraphFont"/>
                <w:b/>
                <w:sz w:val="24"/>
                <w:szCs w:val="24"/>
                <w:u w:val="single"/>
                <w:lang w:val="en-US" w:eastAsia="en-US" w:bidi="ar-SA"/>
              </w:rPr>
            </w:pPr>
            <w:r w:rsidRPr="00022705">
              <w:rPr>
                <w:b/>
                <w:sz w:val="24"/>
                <w:szCs w:val="24"/>
                <w:u w:val="single"/>
                <w:lang w:val="en-US" w:eastAsia="en-US" w:bidi="ar-SA"/>
              </w:rPr>
              <w:t>SERVICE LIST</w:t>
            </w:r>
          </w:p>
          <w:p w:rsidR="00DC7126" w:rsidP="00DC7126">
            <w:pPr>
              <w:tabs>
                <w:tab w:val="left" w:pos="4320"/>
              </w:tabs>
              <w:jc w:val="center"/>
              <w:rPr>
                <w:rStyle w:val="DefaultParagraphFont"/>
                <w:b/>
                <w:sz w:val="24"/>
                <w:szCs w:val="24"/>
                <w:u w:val="single"/>
                <w:lang w:val="en-US" w:eastAsia="en-US" w:bidi="ar-SA"/>
              </w:rPr>
            </w:pPr>
          </w:p>
          <w:p w:rsidR="00DC7126" w:rsidP="00DC7126">
            <w:pPr>
              <w:tabs>
                <w:tab w:val="left" w:pos="4320"/>
              </w:tabs>
              <w:jc w:val="center"/>
              <w:rPr>
                <w:rStyle w:val="DefaultParagraphFont"/>
                <w:b/>
                <w:sz w:val="24"/>
                <w:szCs w:val="24"/>
                <w:u w:val="single"/>
                <w:lang w:val="en-US" w:eastAsia="en-US" w:bidi="ar-SA"/>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144"/>
              <w:gridCol w:w="4058"/>
            </w:tblGrid>
            <w:tr w:rsidTr="001E713D">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428" w:type="dxa"/>
                </w:tcPr>
                <w:p w:rsidR="00DC7126" w:rsidP="00DC7126">
                  <w:pPr>
                    <w:tabs>
                      <w:tab w:val="left" w:pos="4320"/>
                    </w:tabs>
                    <w:rPr>
                      <w:rStyle w:val="DefaultParagraphFont"/>
                      <w:sz w:val="24"/>
                      <w:szCs w:val="24"/>
                      <w:lang w:val="en-US" w:eastAsia="en-US" w:bidi="ar-SA"/>
                    </w:rPr>
                  </w:pPr>
                  <w:r>
                    <w:fldChar w:fldCharType="begin"/>
                  </w:r>
                  <w:r>
                    <w:rPr>
                      <w:sz w:val="24"/>
                      <w:lang w:val="en-US" w:eastAsia="en-US" w:bidi="ar-SA"/>
                    </w:rPr>
                    <w:instrText xml:space="preserve"> HYPERLINK "mailto:john.jones@ohioattorneygeneral.gov" </w:instrText>
                  </w:r>
                  <w:r>
                    <w:fldChar w:fldCharType="separate"/>
                  </w:r>
                  <w:r w:rsidRPr="00DE54C3">
                    <w:rPr>
                      <w:rStyle w:val="Hyperlink"/>
                      <w:color w:val="0000FF"/>
                      <w:sz w:val="24"/>
                      <w:szCs w:val="24"/>
                      <w:u w:val="single"/>
                      <w:lang w:val="en-US" w:eastAsia="en-US" w:bidi="ar-SA"/>
                    </w:rPr>
                    <w:t>john.jones@ohioattorneygeneral.gov</w:t>
                  </w:r>
                  <w:r>
                    <w:fldChar w:fldCharType="end"/>
                  </w:r>
                </w:p>
                <w:p w:rsidR="00DC7126" w:rsidP="00DC7126">
                  <w:pPr>
                    <w:tabs>
                      <w:tab w:val="left" w:pos="4320"/>
                    </w:tabs>
                    <w:rPr>
                      <w:rStyle w:val="DefaultParagraphFont"/>
                      <w:sz w:val="24"/>
                      <w:szCs w:val="24"/>
                      <w:lang w:val="en-US" w:eastAsia="en-US" w:bidi="ar-SA"/>
                    </w:rPr>
                  </w:pPr>
                </w:p>
                <w:p w:rsidR="00DC7126" w:rsidP="00DC7126">
                  <w:pPr>
                    <w:tabs>
                      <w:tab w:val="left" w:pos="4320"/>
                    </w:tabs>
                    <w:rPr>
                      <w:rStyle w:val="DefaultParagraphFont"/>
                      <w:sz w:val="24"/>
                      <w:szCs w:val="24"/>
                      <w:lang w:val="en-US" w:eastAsia="en-US" w:bidi="ar-SA"/>
                    </w:rPr>
                  </w:pPr>
                  <w:r>
                    <w:rPr>
                      <w:sz w:val="24"/>
                      <w:szCs w:val="24"/>
                      <w:lang w:val="en-US" w:eastAsia="en-US" w:bidi="ar-SA"/>
                    </w:rPr>
                    <w:t>Attorney Examiner:</w:t>
                  </w:r>
                </w:p>
                <w:p w:rsidR="000F115D" w:rsidP="00DC7126">
                  <w:pPr>
                    <w:tabs>
                      <w:tab w:val="left" w:pos="4320"/>
                    </w:tabs>
                    <w:rPr>
                      <w:rStyle w:val="DefaultParagraphFont"/>
                      <w:sz w:val="24"/>
                      <w:szCs w:val="24"/>
                      <w:lang w:val="en-US" w:eastAsia="en-US" w:bidi="ar-SA"/>
                    </w:rPr>
                  </w:pPr>
                </w:p>
                <w:p w:rsidR="00DC7126" w:rsidP="00DC7126">
                  <w:pPr>
                    <w:tabs>
                      <w:tab w:val="left" w:pos="4320"/>
                    </w:tabs>
                    <w:rPr>
                      <w:rStyle w:val="DefaultParagraphFont"/>
                      <w:sz w:val="24"/>
                      <w:szCs w:val="24"/>
                      <w:lang w:val="en-US" w:eastAsia="en-US" w:bidi="ar-SA"/>
                    </w:rPr>
                  </w:pPr>
                  <w:r>
                    <w:fldChar w:fldCharType="begin"/>
                  </w:r>
                  <w:r>
                    <w:rPr>
                      <w:sz w:val="24"/>
                      <w:lang w:val="en-US" w:eastAsia="en-US" w:bidi="ar-SA"/>
                    </w:rPr>
                    <w:instrText xml:space="preserve"> HYPERLINK "mailto:Stacie.cathcart@puco.ohio.gov" </w:instrText>
                  </w:r>
                  <w:r>
                    <w:fldChar w:fldCharType="separate"/>
                  </w:r>
                  <w:r w:rsidRPr="00DE54C3">
                    <w:rPr>
                      <w:rStyle w:val="Hyperlink"/>
                      <w:color w:val="0000FF"/>
                      <w:sz w:val="24"/>
                      <w:szCs w:val="24"/>
                      <w:u w:val="single"/>
                      <w:lang w:val="en-US" w:eastAsia="en-US" w:bidi="ar-SA"/>
                    </w:rPr>
                    <w:t>Stacie.cathcart@puco.ohio.gov</w:t>
                  </w:r>
                  <w:r>
                    <w:fldChar w:fldCharType="end"/>
                  </w:r>
                </w:p>
                <w:p w:rsidR="00DC7126" w:rsidP="00DC7126">
                  <w:pPr>
                    <w:tabs>
                      <w:tab w:val="left" w:pos="4320"/>
                    </w:tabs>
                    <w:rPr>
                      <w:rStyle w:val="DefaultParagraphFont"/>
                      <w:sz w:val="24"/>
                      <w:lang w:val="en-US" w:eastAsia="en-US" w:bidi="ar-SA"/>
                    </w:rPr>
                  </w:pPr>
                </w:p>
                <w:p w:rsidR="00DC7126" w:rsidP="00DC7126">
                  <w:pPr>
                    <w:tabs>
                      <w:tab w:val="left" w:pos="4320"/>
                    </w:tabs>
                    <w:rPr>
                      <w:rStyle w:val="DefaultParagraphFont"/>
                      <w:sz w:val="24"/>
                      <w:szCs w:val="24"/>
                      <w:lang w:val="en-US" w:eastAsia="en-US" w:bidi="ar-SA"/>
                    </w:rPr>
                  </w:pPr>
                </w:p>
                <w:p w:rsidR="00DC7126" w:rsidRPr="008B5245" w:rsidP="00DC7126">
                  <w:pPr>
                    <w:tabs>
                      <w:tab w:val="left" w:pos="4320"/>
                    </w:tabs>
                    <w:rPr>
                      <w:rStyle w:val="DefaultParagraphFont"/>
                      <w:sz w:val="24"/>
                      <w:szCs w:val="24"/>
                      <w:lang w:val="en-US" w:eastAsia="en-US" w:bidi="ar-SA"/>
                    </w:rPr>
                  </w:pPr>
                </w:p>
              </w:tc>
              <w:tc>
                <w:tcPr>
                  <w:tcW w:w="4428" w:type="dxa"/>
                </w:tcPr>
                <w:p w:rsidR="00DC7126" w:rsidP="00DC7126">
                  <w:pPr>
                    <w:autoSpaceDE w:val="0"/>
                    <w:autoSpaceDN w:val="0"/>
                    <w:adjustRightInd w:val="0"/>
                    <w:ind w:left="930"/>
                    <w:rPr>
                      <w:rStyle w:val="DefaultParagraphFont"/>
                      <w:color w:val="3953A5"/>
                      <w:sz w:val="24"/>
                      <w:szCs w:val="24"/>
                      <w:lang w:val="en-US" w:eastAsia="en-US" w:bidi="ar-SA"/>
                    </w:rPr>
                  </w:pPr>
                  <w:r>
                    <w:fldChar w:fldCharType="begin"/>
                  </w:r>
                  <w:r>
                    <w:rPr>
                      <w:sz w:val="24"/>
                      <w:lang w:val="en-US" w:eastAsia="en-US" w:bidi="ar-SA"/>
                    </w:rPr>
                    <w:instrText xml:space="preserve"> HYPERLINK "mailto:mdortch@kravitzllc.com" </w:instrText>
                  </w:r>
                  <w:r>
                    <w:fldChar w:fldCharType="separate"/>
                  </w:r>
                  <w:r w:rsidRPr="00DE54C3">
                    <w:rPr>
                      <w:rStyle w:val="Hyperlink"/>
                      <w:color w:val="0000FF"/>
                      <w:sz w:val="24"/>
                      <w:szCs w:val="24"/>
                      <w:u w:val="single"/>
                      <w:lang w:val="en-US" w:eastAsia="en-US" w:bidi="ar-SA"/>
                    </w:rPr>
                    <w:t>mdortch@kravitzllc.com</w:t>
                  </w:r>
                  <w:r>
                    <w:fldChar w:fldCharType="end"/>
                  </w:r>
                </w:p>
                <w:p w:rsidR="00DC7126" w:rsidP="00DC7126">
                  <w:pPr>
                    <w:tabs>
                      <w:tab w:val="left" w:pos="4320"/>
                    </w:tabs>
                    <w:ind w:left="942"/>
                    <w:rPr>
                      <w:rStyle w:val="DefaultParagraphFont"/>
                      <w:sz w:val="24"/>
                      <w:szCs w:val="24"/>
                      <w:lang w:val="en-US" w:eastAsia="en-US" w:bidi="ar-SA"/>
                    </w:rPr>
                  </w:pPr>
                  <w:r>
                    <w:fldChar w:fldCharType="begin"/>
                  </w:r>
                  <w:r>
                    <w:rPr>
                      <w:sz w:val="24"/>
                      <w:lang w:val="en-US" w:eastAsia="en-US" w:bidi="ar-SA"/>
                    </w:rPr>
                    <w:instrText xml:space="preserve"> HYPERLINK "mailto:rparsons@kravitzllc.com" </w:instrText>
                  </w:r>
                  <w:r>
                    <w:fldChar w:fldCharType="separate"/>
                  </w:r>
                  <w:r w:rsidRPr="00DE54C3">
                    <w:rPr>
                      <w:rStyle w:val="Hyperlink"/>
                      <w:color w:val="0000FF"/>
                      <w:sz w:val="24"/>
                      <w:szCs w:val="24"/>
                      <w:u w:val="single"/>
                      <w:lang w:val="en-US" w:eastAsia="en-US" w:bidi="ar-SA"/>
                    </w:rPr>
                    <w:t>rparsons@kravitzllc.com</w:t>
                  </w:r>
                  <w:r>
                    <w:fldChar w:fldCharType="end"/>
                  </w:r>
                </w:p>
                <w:p w:rsidR="00DC7126" w:rsidP="00DC7126">
                  <w:pPr>
                    <w:tabs>
                      <w:tab w:val="left" w:pos="4320"/>
                    </w:tabs>
                    <w:ind w:left="942"/>
                    <w:rPr>
                      <w:rStyle w:val="DefaultParagraphFont"/>
                      <w:color w:val="3953A5"/>
                      <w:sz w:val="24"/>
                      <w:szCs w:val="24"/>
                      <w:lang w:val="en-US" w:eastAsia="en-US" w:bidi="ar-SA"/>
                    </w:rPr>
                  </w:pPr>
                </w:p>
                <w:p w:rsidR="00DC7126" w:rsidP="00DC7126">
                  <w:pPr>
                    <w:tabs>
                      <w:tab w:val="left" w:pos="4320"/>
                    </w:tabs>
                    <w:rPr>
                      <w:rStyle w:val="DefaultParagraphFont"/>
                      <w:b/>
                      <w:sz w:val="24"/>
                      <w:szCs w:val="24"/>
                      <w:u w:val="single"/>
                      <w:lang w:val="en-US" w:eastAsia="en-US" w:bidi="ar-SA"/>
                    </w:rPr>
                  </w:pPr>
                </w:p>
              </w:tc>
            </w:tr>
          </w:tbl>
          <w:p w:rsidR="00D869B6" w:rsidRPr="00DC7126" w:rsidP="008C5538">
            <w:pPr>
              <w:pStyle w:val="BodyText"/>
              <w:jc w:val="both"/>
              <w:rPr>
                <w:rStyle w:val="DefaultParagraphFont"/>
                <w:b/>
                <w:bCs/>
                <w:sz w:val="24"/>
                <w:lang w:val="en-US" w:eastAsia="en-US" w:bidi="ar-SA"/>
              </w:rPr>
            </w:pPr>
          </w:p>
        </w:tc>
        <w:tc>
          <w:tcPr>
            <w:tcW w:w="222" w:type="dxa"/>
            <w:shd w:val="clear" w:color="auto" w:fill="auto"/>
          </w:tcPr>
          <w:p w:rsidR="00D869B6" w:rsidRPr="00B23FB2" w:rsidP="008C5538">
            <w:pPr>
              <w:pStyle w:val="BodyText"/>
              <w:jc w:val="both"/>
              <w:rPr>
                <w:rStyle w:val="DefaultParagraphFont"/>
                <w:sz w:val="24"/>
                <w:lang w:val="en-US" w:eastAsia="en-US" w:bidi="ar-SA"/>
              </w:rPr>
            </w:pPr>
          </w:p>
        </w:tc>
      </w:tr>
    </w:tbl>
    <w:p w:rsidR="00A044B5" w:rsidP="00FE08C2">
      <w:pPr>
        <w:pStyle w:val="BodyText"/>
        <w:rPr>
          <w:b/>
          <w:bCs/>
        </w:rPr>
      </w:pPr>
    </w:p>
    <w:sectPr>
      <w:headerReference w:type="even" r:id="rId11"/>
      <w:headerReference w:type="default" r:id="rId12"/>
      <w:footerReference w:type="default" r:id="rId13"/>
      <w:headerReference w:type="first" r:id="rId14"/>
      <w:footerReference w:type="first" r:id="rId15"/>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Pr>
        <w:rStyle w:val="PageNumber"/>
        <w:sz w:val="24"/>
        <w:szCs w:val="24"/>
      </w:rPr>
      <w:t>7</w:t>
    </w:r>
    <w:r>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1E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2</w:t>
    </w:r>
    <w:r>
      <w:rPr>
        <w:rStyle w:val="PageNumber"/>
        <w:sz w:val="24"/>
        <w:szCs w:val="24"/>
      </w:rPr>
      <w:fldChar w:fldCharType="end"/>
    </w:r>
  </w:p>
  <w:p w:rsidR="00A044B5">
    <w:pPr>
      <w:pStyle w:val="Footer"/>
      <w:framePr w:wrap="around" w:vAnchor="text" w:hAnchor="margin" w:xAlign="center" w:y="1"/>
      <w:rPr>
        <w:rStyle w:val="PageNumber"/>
      </w:rPr>
    </w:pPr>
  </w:p>
  <w:p w:rsidR="00A044B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94A9A">
      <w:r>
        <w:separator/>
      </w:r>
    </w:p>
  </w:footnote>
  <w:footnote w:type="continuationSeparator" w:id="1">
    <w:p w:rsidR="00494A9A">
      <w:r>
        <w:continuationSeparator/>
      </w:r>
    </w:p>
  </w:footnote>
  <w:footnote w:type="continuationNotice" w:id="2">
    <w:p w:rsidR="00494A9A"/>
  </w:footnote>
  <w:footnote w:id="3">
    <w:p w:rsidR="00AB2507">
      <w:pPr>
        <w:pStyle w:val="FootnoteText"/>
      </w:pPr>
      <w:r>
        <w:rPr>
          <w:rStyle w:val="FootnoteReference"/>
        </w:rPr>
        <w:footnoteRef/>
      </w:r>
      <w:r w:rsidR="00421344">
        <w:t xml:space="preserve"> R.C.</w:t>
      </w:r>
      <w:r>
        <w:t xml:space="preserve"> 4928.10.</w:t>
      </w:r>
    </w:p>
  </w:footnote>
  <w:footnote w:id="4">
    <w:p w:rsidR="00763934" w:rsidP="00763934">
      <w:pPr>
        <w:pStyle w:val="FootnoteText"/>
      </w:pPr>
      <w:r>
        <w:rPr>
          <w:rStyle w:val="FootnoteReference"/>
        </w:rPr>
        <w:footnoteRef/>
      </w:r>
      <w:r>
        <w:t xml:space="preserve"> Ohio Adm. Code 4901:1-21-05.</w:t>
      </w:r>
    </w:p>
  </w:footnote>
  <w:footnote w:id="5">
    <w:p w:rsidR="00AA65B0">
      <w:pPr>
        <w:pStyle w:val="FootnoteText"/>
      </w:pPr>
      <w:r>
        <w:rPr>
          <w:rStyle w:val="FootnoteReference"/>
        </w:rPr>
        <w:footnoteRef/>
      </w:r>
      <w:r>
        <w:t xml:space="preserve"> </w:t>
      </w:r>
      <w:r w:rsidR="004949EC">
        <w:t xml:space="preserve">R.C. </w:t>
      </w:r>
      <w:r>
        <w:t>4928.02(B)</w:t>
      </w:r>
      <w:r w:rsidR="004949EC">
        <w:t>.</w:t>
      </w:r>
      <w:r>
        <w:t xml:space="preserve"> </w:t>
      </w:r>
    </w:p>
  </w:footnote>
  <w:footnote w:id="6">
    <w:p w:rsidR="00AA65B0">
      <w:pPr>
        <w:pStyle w:val="FootnoteText"/>
      </w:pPr>
      <w:r>
        <w:rPr>
          <w:rStyle w:val="FootnoteReference"/>
        </w:rPr>
        <w:footnoteRef/>
      </w:r>
      <w:r>
        <w:t xml:space="preserve"> </w:t>
      </w:r>
      <w:r w:rsidR="004949EC">
        <w:t xml:space="preserve">R.C. </w:t>
      </w:r>
      <w:r>
        <w:t>4928.02(A)</w:t>
      </w:r>
      <w:r w:rsidR="004949EC">
        <w:t>.</w:t>
      </w:r>
    </w:p>
  </w:footnote>
  <w:footnote w:id="7">
    <w:p w:rsidR="00763934" w:rsidP="00763934">
      <w:pPr>
        <w:pStyle w:val="FootnoteText"/>
      </w:pPr>
      <w:r>
        <w:rPr>
          <w:rStyle w:val="FootnoteReference"/>
        </w:rPr>
        <w:footnoteRef/>
      </w:r>
      <w:r>
        <w:t xml:space="preserve"> </w:t>
      </w:r>
      <w:r w:rsidR="00421344">
        <w:t xml:space="preserve">Astral </w:t>
      </w:r>
      <w:r w:rsidR="006C6B46">
        <w:t xml:space="preserve">Application </w:t>
      </w:r>
      <w:r w:rsidR="003D1B32">
        <w:t>(A</w:t>
      </w:r>
      <w:r w:rsidR="00D93C40">
        <w:t xml:space="preserve">pril 23, 2018) </w:t>
      </w:r>
      <w:r w:rsidR="006C6B46">
        <w:t xml:space="preserve">at 2.  </w:t>
      </w:r>
    </w:p>
  </w:footnote>
  <w:footnote w:id="8">
    <w:p w:rsidR="00E9146C" w:rsidRPr="00FE08C2" w:rsidP="00FE08C2">
      <w:pPr>
        <w:pStyle w:val="FootnoteText"/>
      </w:pPr>
      <w:r w:rsidRPr="00FE08C2">
        <w:rPr>
          <w:rStyle w:val="FootnoteReference"/>
        </w:rPr>
        <w:footnoteRef/>
      </w:r>
      <w:r w:rsidRPr="00FE08C2">
        <w:t xml:space="preserve"> Ohio Adm. Code 4901:1-</w:t>
      </w:r>
      <w:r w:rsidR="00123A76">
        <w:t>21-02(C)</w:t>
      </w:r>
      <w:r>
        <w:t>.</w:t>
      </w:r>
    </w:p>
  </w:footnote>
  <w:footnote w:id="9">
    <w:p w:rsidR="002F399C">
      <w:pPr>
        <w:pStyle w:val="FootnoteText"/>
      </w:pPr>
      <w:r>
        <w:rPr>
          <w:rStyle w:val="FootnoteReference"/>
        </w:rPr>
        <w:footnoteRef/>
      </w:r>
      <w:r>
        <w:t xml:space="preserve"> R.C. 4928.10(A)(1).</w:t>
      </w:r>
    </w:p>
  </w:footnote>
  <w:footnote w:id="10">
    <w:p w:rsidR="00540C9A" w:rsidP="00540C9A">
      <w:pPr>
        <w:pStyle w:val="FootnoteText"/>
      </w:pPr>
      <w:r>
        <w:rPr>
          <w:rStyle w:val="FootnoteReference"/>
        </w:rPr>
        <w:footnoteRef/>
      </w:r>
      <w:r>
        <w:t xml:space="preserve"> Ohio Adm.</w:t>
      </w:r>
      <w:r w:rsidR="008836C2">
        <w:t xml:space="preserve"> </w:t>
      </w:r>
      <w:r>
        <w:t>Code 4901:1-21-05</w:t>
      </w:r>
      <w:r w:rsidR="008F466C">
        <w:t>(A)</w:t>
      </w:r>
      <w:r>
        <w:t xml:space="preserve">.  </w:t>
      </w:r>
    </w:p>
  </w:footnote>
  <w:footnote w:id="11">
    <w:p w:rsidR="008F466C">
      <w:pPr>
        <w:pStyle w:val="FootnoteText"/>
      </w:pPr>
      <w:r>
        <w:rPr>
          <w:rStyle w:val="FootnoteReference"/>
        </w:rPr>
        <w:footnoteRef/>
      </w:r>
      <w:r>
        <w:t xml:space="preserve"> Ohio Adm.</w:t>
      </w:r>
      <w:r w:rsidR="008836C2">
        <w:t xml:space="preserve"> </w:t>
      </w:r>
      <w:r>
        <w:t xml:space="preserve">Code </w:t>
      </w:r>
      <w:r w:rsidR="0067090A">
        <w:t>4901:1-21-05(A)(4)</w:t>
      </w:r>
      <w:r w:rsidR="00DC7126">
        <w:t>.</w:t>
      </w:r>
    </w:p>
  </w:footnote>
  <w:footnote w:id="12">
    <w:p w:rsidR="00C5479F" w:rsidP="00C5479F">
      <w:pPr>
        <w:pStyle w:val="FootnoteText"/>
      </w:pPr>
      <w:r>
        <w:rPr>
          <w:rStyle w:val="FootnoteReference"/>
        </w:rPr>
        <w:footnoteRef/>
      </w:r>
      <w:r>
        <w:t xml:space="preserve"> Astral Application at 5.</w:t>
      </w:r>
    </w:p>
  </w:footnote>
  <w:footnote w:id="13">
    <w:p w:rsidR="00C5479F" w:rsidP="00C5479F">
      <w:pPr>
        <w:pStyle w:val="FootnoteText"/>
      </w:pPr>
      <w:r>
        <w:rPr>
          <w:rStyle w:val="FootnoteReference"/>
        </w:rPr>
        <w:footnoteRef/>
      </w:r>
      <w:r>
        <w:t xml:space="preserve"> </w:t>
      </w:r>
      <w:r w:rsidR="008836C2">
        <w:rPr>
          <w:i/>
          <w:iCs/>
        </w:rPr>
        <w:t>Id.</w:t>
      </w:r>
      <w:r>
        <w:t xml:space="preserve"> at 3.</w:t>
      </w:r>
    </w:p>
  </w:footnote>
  <w:footnote w:id="14">
    <w:p w:rsidR="00C5479F" w:rsidP="00C5479F">
      <w:pPr>
        <w:pStyle w:val="FootnoteText"/>
      </w:pPr>
      <w:r>
        <w:rPr>
          <w:rStyle w:val="FootnoteReference"/>
        </w:rPr>
        <w:footnoteRef/>
      </w:r>
      <w:r>
        <w:t xml:space="preserve"> </w:t>
      </w:r>
      <w:r w:rsidRPr="00273F52">
        <w:rPr>
          <w:i/>
          <w:iCs/>
        </w:rPr>
        <w:t>Id.</w:t>
      </w:r>
    </w:p>
  </w:footnote>
  <w:footnote w:id="15">
    <w:p w:rsidR="00380460">
      <w:pPr>
        <w:pStyle w:val="FootnoteText"/>
      </w:pPr>
      <w:r>
        <w:rPr>
          <w:rStyle w:val="FootnoteReference"/>
        </w:rPr>
        <w:footnoteRef/>
      </w:r>
      <w:r>
        <w:t xml:space="preserve"> </w:t>
      </w:r>
      <w:r w:rsidR="00A8056E">
        <w:t>Astral d</w:t>
      </w:r>
      <w:r>
        <w:t xml:space="preserve">iscovery response, </w:t>
      </w:r>
      <w:r w:rsidR="00A8056E">
        <w:t xml:space="preserve">OCC </w:t>
      </w:r>
      <w:r>
        <w:t>INT-19.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C1E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jc w:val="center"/>
    </w:pPr>
  </w:p>
  <w:p w:rsidR="00A044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8F846B9"/>
    <w:multiLevelType w:val="hybridMultilevel"/>
    <w:tmpl w:val="F8D81FC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3CC514D8"/>
    <w:multiLevelType w:val="hybridMultilevel"/>
    <w:tmpl w:val="CCF0CD82"/>
    <w:lvl w:ilvl="0">
      <w:start w:val="3"/>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CDC7DF2"/>
    <w:multiLevelType w:val="hybridMultilevel"/>
    <w:tmpl w:val="E794C98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5CFF7BAD"/>
    <w:multiLevelType w:val="hybridMultilevel"/>
    <w:tmpl w:val="9B62AA7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E327765"/>
    <w:multiLevelType w:val="hybridMultilevel"/>
    <w:tmpl w:val="BDE23606"/>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0">
    <w:nsid w:val="6ED9599F"/>
    <w:multiLevelType w:val="hybridMultilevel"/>
    <w:tmpl w:val="C8A63E2E"/>
    <w:lvl w:ilvl="0">
      <w:start w:val="1"/>
      <w:numFmt w:val="bullet"/>
      <w:lvlText w:val=""/>
      <w:lvlJc w:val="left"/>
      <w:pPr>
        <w:ind w:left="1590" w:hanging="360"/>
      </w:pPr>
      <w:rPr>
        <w:rFonts w:ascii="Symbol" w:hAnsi="Symbol" w:hint="default"/>
      </w:rPr>
    </w:lvl>
    <w:lvl w:ilvl="1" w:tentative="1">
      <w:start w:val="1"/>
      <w:numFmt w:val="bullet"/>
      <w:lvlText w:val="o"/>
      <w:lvlJc w:val="left"/>
      <w:pPr>
        <w:ind w:left="2310" w:hanging="360"/>
      </w:pPr>
      <w:rPr>
        <w:rFonts w:ascii="Courier New" w:hAnsi="Courier New" w:cs="Courier New" w:hint="default"/>
      </w:rPr>
    </w:lvl>
    <w:lvl w:ilvl="2" w:tentative="1">
      <w:start w:val="1"/>
      <w:numFmt w:val="bullet"/>
      <w:lvlText w:val=""/>
      <w:lvlJc w:val="left"/>
      <w:pPr>
        <w:ind w:left="3030" w:hanging="360"/>
      </w:pPr>
      <w:rPr>
        <w:rFonts w:ascii="Wingdings" w:hAnsi="Wingdings" w:hint="default"/>
      </w:rPr>
    </w:lvl>
    <w:lvl w:ilvl="3" w:tentative="1">
      <w:start w:val="1"/>
      <w:numFmt w:val="bullet"/>
      <w:lvlText w:val=""/>
      <w:lvlJc w:val="left"/>
      <w:pPr>
        <w:ind w:left="3750" w:hanging="360"/>
      </w:pPr>
      <w:rPr>
        <w:rFonts w:ascii="Symbol" w:hAnsi="Symbol" w:hint="default"/>
      </w:rPr>
    </w:lvl>
    <w:lvl w:ilvl="4" w:tentative="1">
      <w:start w:val="1"/>
      <w:numFmt w:val="bullet"/>
      <w:lvlText w:val="o"/>
      <w:lvlJc w:val="left"/>
      <w:pPr>
        <w:ind w:left="4470" w:hanging="360"/>
      </w:pPr>
      <w:rPr>
        <w:rFonts w:ascii="Courier New" w:hAnsi="Courier New" w:cs="Courier New" w:hint="default"/>
      </w:rPr>
    </w:lvl>
    <w:lvl w:ilvl="5" w:tentative="1">
      <w:start w:val="1"/>
      <w:numFmt w:val="bullet"/>
      <w:lvlText w:val=""/>
      <w:lvlJc w:val="left"/>
      <w:pPr>
        <w:ind w:left="5190" w:hanging="360"/>
      </w:pPr>
      <w:rPr>
        <w:rFonts w:ascii="Wingdings" w:hAnsi="Wingdings" w:hint="default"/>
      </w:rPr>
    </w:lvl>
    <w:lvl w:ilvl="6" w:tentative="1">
      <w:start w:val="1"/>
      <w:numFmt w:val="bullet"/>
      <w:lvlText w:val=""/>
      <w:lvlJc w:val="left"/>
      <w:pPr>
        <w:ind w:left="5910" w:hanging="360"/>
      </w:pPr>
      <w:rPr>
        <w:rFonts w:ascii="Symbol" w:hAnsi="Symbol" w:hint="default"/>
      </w:rPr>
    </w:lvl>
    <w:lvl w:ilvl="7" w:tentative="1">
      <w:start w:val="1"/>
      <w:numFmt w:val="bullet"/>
      <w:lvlText w:val="o"/>
      <w:lvlJc w:val="left"/>
      <w:pPr>
        <w:ind w:left="6630" w:hanging="360"/>
      </w:pPr>
      <w:rPr>
        <w:rFonts w:ascii="Courier New" w:hAnsi="Courier New" w:cs="Courier New" w:hint="default"/>
      </w:rPr>
    </w:lvl>
    <w:lvl w:ilvl="8" w:tentative="1">
      <w:start w:val="1"/>
      <w:numFmt w:val="bullet"/>
      <w:lvlText w:val=""/>
      <w:lvlJc w:val="left"/>
      <w:pPr>
        <w:ind w:left="7350" w:hanging="360"/>
      </w:pPr>
      <w:rPr>
        <w:rFonts w:ascii="Wingdings" w:hAnsi="Wingdings" w:hint="default"/>
      </w:rPr>
    </w:lvl>
  </w:abstractNum>
  <w:abstractNum w:abstractNumId="11">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5"/>
  </w:num>
  <w:num w:numId="2">
    <w:abstractNumId w:val="4"/>
  </w:num>
  <w:num w:numId="3">
    <w:abstractNumId w:val="9"/>
  </w:num>
  <w:num w:numId="4">
    <w:abstractNumId w:val="8"/>
  </w:num>
  <w:num w:numId="5">
    <w:abstractNumId w:val="0"/>
  </w:num>
  <w:num w:numId="6">
    <w:abstractNumId w:val="11"/>
  </w:num>
  <w:num w:numId="7">
    <w:abstractNumId w:val="10"/>
  </w:num>
  <w:num w:numId="8">
    <w:abstractNumId w:val="1"/>
  </w:num>
  <w:num w:numId="9">
    <w:abstractNumId w:val="3"/>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ocumentProtection w:edit="trackedChanges" w:enforcement="0"/>
  <w:defaultTabStop w:val="720"/>
  <w:drawingGridHorizontalSpacing w:val="24"/>
  <w:drawingGridVerticalSpacing w:val="65"/>
  <w:displayHorizontalDrawingGridEvery w:val="0"/>
  <w:noPunctuationKerning/>
  <w:characterSpacingControl w:val="doNotCompress"/>
  <w:footnotePr>
    <w:footnote w:id="0"/>
    <w:footnote w:id="1"/>
    <w:footnote w:id="2"/>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A63"/>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aliases w:val="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aliases w:val="Char1"/>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rsid w:val="00477A63"/>
    <w:pPr>
      <w:spacing w:after="120"/>
    </w:pPr>
    <w:rPr>
      <w:sz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semiHidden/>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link w:val="CommentSubjectChar"/>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paragraph" w:styleId="NormalWeb">
    <w:name w:val="Normal (Web)"/>
    <w:basedOn w:val="Normal"/>
    <w:uiPriority w:val="99"/>
    <w:unhideWhenUsed/>
    <w:rsid w:val="004F7E6B"/>
    <w:pPr>
      <w:spacing w:before="100" w:beforeAutospacing="1" w:after="100" w:afterAutospacing="1"/>
    </w:pPr>
    <w:rPr>
      <w:szCs w:val="24"/>
    </w:rPr>
  </w:style>
  <w:style w:type="character" w:customStyle="1" w:styleId="BodyTextChar">
    <w:name w:val="Body Text Char"/>
    <w:link w:val="BodyText"/>
    <w:rsid w:val="00477A63"/>
    <w:rPr>
      <w:sz w:val="24"/>
    </w:rPr>
  </w:style>
  <w:style w:type="character" w:customStyle="1" w:styleId="BodyTextIndentChar">
    <w:name w:val="Body Text Indent Char"/>
    <w:link w:val="BodyTextIndent"/>
    <w:rsid w:val="00477A63"/>
    <w:rPr>
      <w:sz w:val="24"/>
    </w:rPr>
  </w:style>
  <w:style w:type="character" w:customStyle="1" w:styleId="UnresolvedMention1">
    <w:name w:val="Unresolved Mention1"/>
    <w:uiPriority w:val="99"/>
    <w:semiHidden/>
    <w:unhideWhenUsed/>
    <w:rsid w:val="00D75B49"/>
    <w:rPr>
      <w:color w:val="605E5C"/>
      <w:shd w:val="clear" w:color="auto" w:fill="E1DFDD"/>
    </w:rPr>
  </w:style>
  <w:style w:type="paragraph" w:styleId="ListParagraph">
    <w:name w:val="List Paragraph"/>
    <w:basedOn w:val="Normal"/>
    <w:uiPriority w:val="34"/>
    <w:qFormat/>
    <w:rsid w:val="00907820"/>
    <w:pPr>
      <w:spacing w:after="200" w:line="276" w:lineRule="auto"/>
      <w:ind w:left="720"/>
      <w:contextualSpacing/>
    </w:pPr>
    <w:rPr>
      <w:rFonts w:ascii="Calibri" w:eastAsia="Calibri" w:hAnsi="Calibri"/>
      <w:sz w:val="22"/>
      <w:szCs w:val="22"/>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link w:val="FootnoteText"/>
    <w:semiHidden/>
    <w:rsid w:val="00907820"/>
  </w:style>
  <w:style w:type="character" w:customStyle="1" w:styleId="HTMLPreformattedChar">
    <w:name w:val="HTML Preformatted Char"/>
    <w:aliases w:val="Char Char"/>
    <w:link w:val="HTMLPreformatted"/>
    <w:locked/>
    <w:rsid w:val="001A2D22"/>
    <w:rPr>
      <w:rFonts w:ascii="Courier New" w:eastAsia="Courier New" w:hAnsi="Courier New" w:cs="Courier New"/>
    </w:rPr>
  </w:style>
  <w:style w:type="character" w:customStyle="1" w:styleId="FooterChar">
    <w:name w:val="Footer Char"/>
    <w:aliases w:val="Char1 Char"/>
    <w:link w:val="Footer"/>
    <w:uiPriority w:val="99"/>
    <w:locked/>
    <w:rsid w:val="001A2D22"/>
  </w:style>
  <w:style w:type="paragraph" w:customStyle="1" w:styleId="InsideAddress">
    <w:name w:val="Inside Address"/>
    <w:basedOn w:val="Normal"/>
    <w:rsid w:val="001A2D22"/>
    <w:rPr>
      <w:rFonts w:ascii="Times" w:eastAsia="Times" w:hAnsi="Times"/>
    </w:rPr>
  </w:style>
  <w:style w:type="character" w:customStyle="1" w:styleId="CommentTextChar">
    <w:name w:val="Comment Text Char"/>
    <w:link w:val="CommentText"/>
    <w:semiHidden/>
    <w:rsid w:val="00D869B6"/>
    <w:rPr>
      <w:sz w:val="24"/>
      <w:szCs w:val="24"/>
    </w:rPr>
  </w:style>
  <w:style w:type="character" w:customStyle="1" w:styleId="CommentSubjectChar">
    <w:name w:val="Comment Subject Char"/>
    <w:link w:val="CommentSubject"/>
    <w:semiHidden/>
    <w:rsid w:val="00D869B6"/>
    <w:rPr>
      <w:sz w:val="24"/>
    </w:rPr>
  </w:style>
  <w:style w:type="paragraph" w:styleId="Revision">
    <w:name w:val="Revision"/>
    <w:hidden/>
    <w:uiPriority w:val="99"/>
    <w:semiHidden/>
    <w:rsid w:val="000B2853"/>
    <w:rPr>
      <w:sz w:val="24"/>
    </w:rPr>
  </w:style>
  <w:style w:type="character" w:customStyle="1" w:styleId="BodyTextIndent3Char">
    <w:name w:val="Body Text Indent 3 Char"/>
    <w:basedOn w:val="DefaultParagraphFont"/>
    <w:link w:val="BodyTextIndent3"/>
    <w:rsid w:val="0056090A"/>
    <w:rPr>
      <w:sz w:val="24"/>
    </w:rPr>
  </w:style>
  <w:style w:type="character" w:customStyle="1" w:styleId="UnresolvedMention">
    <w:name w:val="Unresolved Mention"/>
    <w:basedOn w:val="DefaultParagraphFont"/>
    <w:rsid w:val="00CF1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Astral Waiver Comments 18-0743 w/mrw.dfs  (00137232.DOCX;1)</vt:lpstr>
    </vt:vector>
  </TitlesOfParts>
  <Company/>
  <LinksUpToDate>false</LinksUpToDate>
  <CharactersWithSpaces>11565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2019-07-25T16:23:29Z</dcterms:created>
  <dcterms:modified xsi:type="dcterms:W3CDTF">2019-07-25T16:23:29Z</dcterms:modified>
</cp:coreProperties>
</file>