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FF46FF" w:rsidRPr="006849DE" w:rsidP="00FF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bookmarkStart w:id="0" w:name="_Toc443989198"/>
      <w:bookmarkStart w:id="1" w:name="_GoBack"/>
      <w:bookmarkEnd w:id="1"/>
      <w:r w:rsidRPr="006849DE">
        <w:rPr>
          <w:rFonts w:eastAsia="Courier New" w:cs="Times New Roman"/>
          <w:b/>
          <w:bCs/>
          <w:szCs w:val="24"/>
        </w:rPr>
        <w:t>BEFORE</w:t>
      </w:r>
    </w:p>
    <w:p w:rsidR="00FF46FF" w:rsidRPr="006849DE" w:rsidP="00FF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szCs w:val="24"/>
        </w:rPr>
      </w:pPr>
      <w:r w:rsidRPr="006849DE">
        <w:rPr>
          <w:rFonts w:eastAsia="Courier New" w:cs="Times New Roman"/>
          <w:b/>
          <w:bCs/>
          <w:szCs w:val="24"/>
        </w:rPr>
        <w:t>THE PUBLIC UTILITIES COMMISSION OF OHIO</w:t>
      </w:r>
    </w:p>
    <w:p w:rsidR="00FF46FF" w:rsidRPr="006849DE" w:rsidP="00FF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tbl>
      <w:tblPr>
        <w:tblW w:w="10178" w:type="dxa"/>
        <w:tblLook w:val="01E0"/>
      </w:tblPr>
      <w:tblGrid>
        <w:gridCol w:w="5418"/>
        <w:gridCol w:w="360"/>
        <w:gridCol w:w="4400"/>
      </w:tblGrid>
      <w:tr w:rsidTr="008A1DD0">
        <w:tblPrEx>
          <w:tblW w:w="10178" w:type="dxa"/>
          <w:tblLook w:val="01E0"/>
        </w:tblPrEx>
        <w:trPr>
          <w:trHeight w:val="807"/>
        </w:trPr>
        <w:tc>
          <w:tcPr>
            <w:tcW w:w="5418" w:type="dxa"/>
          </w:tcPr>
          <w:p w:rsidR="00FF46FF" w:rsidRPr="006849DE" w:rsidP="006538AF">
            <w:pPr>
              <w:autoSpaceDE w:val="0"/>
              <w:autoSpaceDN w:val="0"/>
              <w:adjustRightInd w:val="0"/>
              <w:spacing w:after="0" w:line="240" w:lineRule="auto"/>
              <w:rPr>
                <w:rFonts w:eastAsiaTheme="minorEastAsia" w:cs="Times New Roman"/>
                <w:szCs w:val="24"/>
              </w:rPr>
            </w:pPr>
            <w:r>
              <w:rPr>
                <w:rFonts w:eastAsiaTheme="minorEastAsia" w:cs="Times New Roman"/>
                <w:szCs w:val="24"/>
              </w:rPr>
              <w:t>In the Matter of the Application of the Dayton Power and Light Company for Approval of its Electric Security Plan.</w:t>
            </w:r>
          </w:p>
          <w:p w:rsidR="00FF46FF" w:rsidRPr="006849DE" w:rsidP="006538AF">
            <w:pPr>
              <w:autoSpaceDE w:val="0"/>
              <w:autoSpaceDN w:val="0"/>
              <w:adjustRightInd w:val="0"/>
              <w:spacing w:after="0" w:line="240" w:lineRule="auto"/>
              <w:rPr>
                <w:rFonts w:eastAsiaTheme="minorEastAsia" w:cs="Times New Roman"/>
                <w:szCs w:val="24"/>
              </w:rPr>
            </w:pPr>
          </w:p>
          <w:p w:rsidR="00FF46FF" w:rsidP="006538AF">
            <w:pPr>
              <w:autoSpaceDE w:val="0"/>
              <w:autoSpaceDN w:val="0"/>
              <w:adjustRightInd w:val="0"/>
              <w:spacing w:after="0" w:line="240" w:lineRule="auto"/>
              <w:rPr>
                <w:rFonts w:eastAsiaTheme="minorEastAsia" w:cs="Times New Roman"/>
                <w:szCs w:val="24"/>
              </w:rPr>
            </w:pPr>
            <w:r>
              <w:rPr>
                <w:rFonts w:eastAsiaTheme="minorEastAsia" w:cs="Times New Roman"/>
                <w:szCs w:val="24"/>
              </w:rPr>
              <w:t>In the Matter of the Application of the Dayton Power and Light Company for Approval of Revised Tariffs.</w:t>
            </w:r>
          </w:p>
          <w:p w:rsidR="008A1DD0" w:rsidP="006538AF">
            <w:pPr>
              <w:autoSpaceDE w:val="0"/>
              <w:autoSpaceDN w:val="0"/>
              <w:adjustRightInd w:val="0"/>
              <w:spacing w:after="0" w:line="240" w:lineRule="auto"/>
              <w:rPr>
                <w:rFonts w:eastAsiaTheme="minorEastAsia" w:cs="Times New Roman"/>
                <w:szCs w:val="24"/>
              </w:rPr>
            </w:pPr>
          </w:p>
          <w:p w:rsidR="008A1DD0" w:rsidRPr="00BC164A" w:rsidP="006538AF">
            <w:pPr>
              <w:autoSpaceDE w:val="0"/>
              <w:autoSpaceDN w:val="0"/>
              <w:adjustRightInd w:val="0"/>
              <w:spacing w:after="0" w:line="240" w:lineRule="auto"/>
              <w:rPr>
                <w:rFonts w:eastAsiaTheme="minorEastAsia" w:cs="Times New Roman"/>
                <w:szCs w:val="24"/>
              </w:rPr>
            </w:pPr>
            <w:r>
              <w:rPr>
                <w:rFonts w:eastAsiaTheme="minorEastAsia" w:cs="Times New Roman"/>
                <w:szCs w:val="24"/>
              </w:rPr>
              <w:t>In the Matter of the Application of the Dayton Power and Light Company for Approval of Certain Accounting Authority Pursua</w:t>
            </w:r>
            <w:r w:rsidR="00BC164A">
              <w:rPr>
                <w:rFonts w:eastAsiaTheme="minorEastAsia" w:cs="Times New Roman"/>
                <w:szCs w:val="24"/>
              </w:rPr>
              <w:t>nt to Ohio Rev. Code § 4905.13.</w:t>
            </w:r>
          </w:p>
        </w:tc>
        <w:tc>
          <w:tcPr>
            <w:tcW w:w="360" w:type="dxa"/>
          </w:tcPr>
          <w:p w:rsidR="00FF46FF" w:rsidRPr="006849DE" w:rsidP="0065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sidRPr="006849DE">
              <w:rPr>
                <w:rFonts w:eastAsia="Courier New" w:cs="Times New Roman"/>
                <w:b/>
                <w:szCs w:val="24"/>
              </w:rPr>
              <w:t>)</w:t>
            </w:r>
          </w:p>
          <w:p w:rsidR="00FF46FF" w:rsidRPr="006849DE" w:rsidP="0065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sidRPr="006849DE">
              <w:rPr>
                <w:rFonts w:eastAsia="Courier New" w:cs="Times New Roman"/>
                <w:b/>
                <w:szCs w:val="24"/>
              </w:rPr>
              <w:t>)</w:t>
            </w:r>
          </w:p>
          <w:p w:rsidR="00FF46FF" w:rsidRPr="006849DE" w:rsidP="0065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sidRPr="006849DE">
              <w:rPr>
                <w:rFonts w:eastAsia="Courier New" w:cs="Times New Roman"/>
                <w:b/>
                <w:szCs w:val="24"/>
              </w:rPr>
              <w:t>)</w:t>
            </w:r>
          </w:p>
          <w:p w:rsidR="00FF46FF" w:rsidRPr="006849DE" w:rsidP="0065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p>
          <w:p w:rsidR="00FF46FF" w:rsidRPr="006849DE" w:rsidP="0065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sidRPr="006849DE">
              <w:rPr>
                <w:rFonts w:eastAsia="Courier New" w:cs="Times New Roman"/>
                <w:b/>
                <w:szCs w:val="24"/>
              </w:rPr>
              <w:t>)</w:t>
            </w:r>
          </w:p>
          <w:p w:rsidR="00FF46FF" w:rsidRPr="006849DE" w:rsidP="0065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sidRPr="006849DE">
              <w:rPr>
                <w:rFonts w:eastAsia="Courier New" w:cs="Times New Roman"/>
                <w:b/>
                <w:szCs w:val="24"/>
              </w:rPr>
              <w:t>)</w:t>
            </w:r>
          </w:p>
          <w:p w:rsidR="00FF46FF" w:rsidRPr="006849DE" w:rsidP="0065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p>
          <w:p w:rsidR="008A1DD0" w:rsidP="0065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Pr>
                <w:rFonts w:eastAsia="Courier New" w:cs="Times New Roman"/>
                <w:b/>
                <w:szCs w:val="24"/>
              </w:rPr>
              <w:t>)</w:t>
            </w:r>
          </w:p>
          <w:p w:rsidR="008A1DD0" w:rsidP="0065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Pr>
                <w:rFonts w:eastAsia="Courier New" w:cs="Times New Roman"/>
                <w:b/>
                <w:szCs w:val="24"/>
              </w:rPr>
              <w:t>)</w:t>
            </w:r>
          </w:p>
          <w:p w:rsidR="008A1DD0" w:rsidP="0065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Pr>
                <w:rFonts w:eastAsia="Courier New" w:cs="Times New Roman"/>
                <w:b/>
                <w:szCs w:val="24"/>
              </w:rPr>
              <w:t>)</w:t>
            </w:r>
          </w:p>
          <w:p w:rsidR="008A1DD0" w:rsidRPr="006849DE" w:rsidP="0065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Pr>
                <w:rFonts w:eastAsia="Courier New" w:cs="Times New Roman"/>
                <w:b/>
                <w:szCs w:val="24"/>
              </w:rPr>
              <w:t>)</w:t>
            </w:r>
          </w:p>
        </w:tc>
        <w:tc>
          <w:tcPr>
            <w:tcW w:w="4400" w:type="dxa"/>
          </w:tcPr>
          <w:p w:rsidR="00FF46FF" w:rsidRPr="006849DE" w:rsidP="0065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FF46FF" w:rsidRPr="006849DE" w:rsidP="0065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r w:rsidRPr="006849DE">
              <w:rPr>
                <w:rFonts w:eastAsia="Courier New" w:cs="Times New Roman"/>
                <w:szCs w:val="24"/>
              </w:rPr>
              <w:t xml:space="preserve">Case No. </w:t>
            </w:r>
            <w:r w:rsidR="008A1DD0">
              <w:rPr>
                <w:rFonts w:eastAsia="Courier New" w:cs="Times New Roman"/>
                <w:szCs w:val="24"/>
              </w:rPr>
              <w:t>16-0395-EL-SSO</w:t>
            </w:r>
          </w:p>
          <w:p w:rsidR="00FF46FF" w:rsidRPr="006849DE" w:rsidP="0065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FF46FF" w:rsidRPr="006849DE" w:rsidP="0065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FF46FF" w:rsidP="0065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r w:rsidRPr="006849DE">
              <w:rPr>
                <w:rFonts w:eastAsia="Courier New" w:cs="Times New Roman"/>
                <w:szCs w:val="24"/>
              </w:rPr>
              <w:t xml:space="preserve">Case No. </w:t>
            </w:r>
            <w:r w:rsidR="008A1DD0">
              <w:rPr>
                <w:rFonts w:eastAsia="Courier New" w:cs="Times New Roman"/>
                <w:szCs w:val="24"/>
              </w:rPr>
              <w:t>16-0396-EL-ATA</w:t>
            </w:r>
          </w:p>
          <w:p w:rsidR="008A1DD0" w:rsidP="0065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8A1DD0" w:rsidP="0065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8A1DD0" w:rsidP="0065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8A1DD0" w:rsidRPr="006849DE" w:rsidP="0065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r>
              <w:rPr>
                <w:rFonts w:eastAsia="Courier New" w:cs="Times New Roman"/>
                <w:szCs w:val="24"/>
              </w:rPr>
              <w:t>Case No. 16-0397-EL-AAM</w:t>
            </w:r>
          </w:p>
        </w:tc>
      </w:tr>
    </w:tbl>
    <w:p w:rsidR="00FF46FF" w:rsidRPr="006849DE" w:rsidP="00FF46FF">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szCs w:val="24"/>
        </w:rPr>
      </w:pPr>
    </w:p>
    <w:p w:rsidR="00FF46FF" w:rsidRPr="006849DE" w:rsidP="00FF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i/>
          <w:szCs w:val="24"/>
        </w:rPr>
      </w:pPr>
    </w:p>
    <w:p w:rsidR="00FF46FF" w:rsidRPr="006849DE" w:rsidP="00FF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szCs w:val="24"/>
        </w:rPr>
      </w:pPr>
      <w:r w:rsidRPr="006849DE">
        <w:rPr>
          <w:rFonts w:cs="Times New Roman"/>
          <w:b/>
          <w:szCs w:val="24"/>
        </w:rPr>
        <w:t>APPLICATION FOR REHEARING</w:t>
      </w:r>
    </w:p>
    <w:p w:rsidR="00FF46FF" w:rsidRPr="006849DE" w:rsidP="00FF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szCs w:val="24"/>
        </w:rPr>
      </w:pPr>
      <w:r w:rsidRPr="006849DE">
        <w:rPr>
          <w:rFonts w:cs="Times New Roman"/>
          <w:b/>
          <w:szCs w:val="24"/>
        </w:rPr>
        <w:t>BY</w:t>
      </w:r>
    </w:p>
    <w:p w:rsidR="00FF46FF" w:rsidRPr="006849DE" w:rsidP="00FF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r w:rsidRPr="006849DE">
        <w:rPr>
          <w:rFonts w:cs="Times New Roman"/>
          <w:b/>
          <w:szCs w:val="24"/>
        </w:rPr>
        <w:t>THE OFFICE OF THE OHIO CONSUMERS</w:t>
      </w:r>
      <w:r w:rsidRPr="006849DE" w:rsidR="00CE148F">
        <w:rPr>
          <w:rFonts w:cs="Times New Roman"/>
          <w:b/>
          <w:szCs w:val="24"/>
        </w:rPr>
        <w:t>’</w:t>
      </w:r>
      <w:r w:rsidRPr="006849DE">
        <w:rPr>
          <w:rFonts w:cs="Times New Roman"/>
          <w:b/>
          <w:szCs w:val="24"/>
        </w:rPr>
        <w:t xml:space="preserve"> COUNSEL</w:t>
      </w:r>
    </w:p>
    <w:p w:rsidR="00FF46FF" w:rsidRPr="006849DE" w:rsidP="00FF46FF">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szCs w:val="24"/>
        </w:rPr>
      </w:pPr>
    </w:p>
    <w:p w:rsidR="00FF46FF" w:rsidRPr="006849DE" w:rsidP="00FF46FF">
      <w:pPr>
        <w:spacing w:after="0" w:line="240" w:lineRule="auto"/>
        <w:rPr>
          <w:rFonts w:eastAsiaTheme="minorEastAsia" w:cs="Times New Roman"/>
          <w:szCs w:val="24"/>
        </w:rPr>
      </w:pPr>
    </w:p>
    <w:p w:rsidR="00FF46FF" w:rsidRPr="006849DE" w:rsidP="008F6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p>
    <w:p w:rsidR="00D17E43" w:rsidRPr="006849DE" w:rsidP="00FF46FF">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p>
    <w:p w:rsidR="00D17E43" w:rsidRPr="006849DE" w:rsidP="00FF46FF">
      <w:pPr>
        <w:spacing w:after="0" w:line="240" w:lineRule="auto"/>
        <w:rPr>
          <w:rFonts w:eastAsiaTheme="minorEastAsia" w:cs="Times New Roman"/>
          <w:szCs w:val="24"/>
        </w:rPr>
      </w:pPr>
    </w:p>
    <w:p w:rsidR="00D17E43" w:rsidRPr="006849DE" w:rsidP="00FF46FF">
      <w:pPr>
        <w:spacing w:after="0" w:line="240" w:lineRule="auto"/>
        <w:rPr>
          <w:rFonts w:eastAsiaTheme="minorEastAsia" w:cs="Times New Roman"/>
          <w:szCs w:val="24"/>
        </w:rPr>
      </w:pPr>
    </w:p>
    <w:p w:rsidR="00D17E43" w:rsidRPr="006849DE" w:rsidP="00FF46FF">
      <w:pPr>
        <w:spacing w:after="0" w:line="240" w:lineRule="auto"/>
        <w:rPr>
          <w:rFonts w:eastAsiaTheme="minorEastAsia" w:cs="Times New Roman"/>
          <w:szCs w:val="24"/>
        </w:rPr>
      </w:pPr>
    </w:p>
    <w:p w:rsidR="00D17E43" w:rsidRPr="006849DE" w:rsidP="00FF46FF">
      <w:pPr>
        <w:spacing w:after="0" w:line="240" w:lineRule="auto"/>
        <w:rPr>
          <w:rFonts w:eastAsiaTheme="minorEastAsia" w:cs="Times New Roman"/>
          <w:szCs w:val="24"/>
        </w:rPr>
      </w:pPr>
    </w:p>
    <w:p w:rsidR="00FF46FF" w:rsidRPr="006849DE" w:rsidP="00FF46FF">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008A1DD0">
        <w:rPr>
          <w:rFonts w:eastAsiaTheme="minorEastAsia" w:cs="Times New Roman"/>
          <w:szCs w:val="24"/>
        </w:rPr>
        <w:t xml:space="preserve">BRUCE </w:t>
      </w:r>
      <w:r w:rsidRPr="006849DE">
        <w:rPr>
          <w:rFonts w:eastAsiaTheme="minorEastAsia" w:cs="Times New Roman"/>
          <w:szCs w:val="24"/>
        </w:rPr>
        <w:t>WESTON (0016973)</w:t>
      </w:r>
    </w:p>
    <w:p w:rsidR="00FF46FF" w:rsidRPr="006849DE" w:rsidP="00FF46FF">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OHIO CONSUMERS</w:t>
      </w:r>
      <w:r w:rsidRPr="006849DE" w:rsidR="00CE148F">
        <w:rPr>
          <w:rFonts w:eastAsiaTheme="minorEastAsia" w:cs="Times New Roman"/>
          <w:szCs w:val="24"/>
        </w:rPr>
        <w:t>’</w:t>
      </w:r>
      <w:r w:rsidRPr="006849DE">
        <w:rPr>
          <w:rFonts w:eastAsiaTheme="minorEastAsia" w:cs="Times New Roman"/>
          <w:szCs w:val="24"/>
        </w:rPr>
        <w:t xml:space="preserve"> COUNSEL</w:t>
      </w:r>
    </w:p>
    <w:p w:rsidR="00FF46FF" w:rsidRPr="006849DE" w:rsidP="00FF46FF">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p>
    <w:p w:rsidR="00FF46FF" w:rsidRPr="006849DE" w:rsidP="00FF46FF">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William J. Michael (0070921)</w:t>
      </w:r>
    </w:p>
    <w:p w:rsidR="00FF46FF" w:rsidRPr="006849DE" w:rsidP="00FF46FF">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Counsel of Record</w:t>
      </w:r>
    </w:p>
    <w:p w:rsidR="00FF46FF" w:rsidRPr="006849DE" w:rsidP="00FF46FF">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Kevin F. Moore (0089228)</w:t>
      </w:r>
    </w:p>
    <w:p w:rsidR="00FF46FF" w:rsidRPr="006849DE" w:rsidP="00FF46FF">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Assistant Consumers</w:t>
      </w:r>
      <w:r w:rsidRPr="006849DE" w:rsidR="00CE148F">
        <w:rPr>
          <w:rFonts w:eastAsiaTheme="minorEastAsia" w:cs="Times New Roman"/>
          <w:szCs w:val="24"/>
        </w:rPr>
        <w:t>’</w:t>
      </w:r>
      <w:r w:rsidRPr="006849DE">
        <w:rPr>
          <w:rFonts w:eastAsiaTheme="minorEastAsia" w:cs="Times New Roman"/>
          <w:szCs w:val="24"/>
        </w:rPr>
        <w:t xml:space="preserve"> Counsel</w:t>
      </w:r>
    </w:p>
    <w:p w:rsidR="00FF46FF" w:rsidRPr="006849DE" w:rsidP="00FF46FF">
      <w:pPr>
        <w:spacing w:after="0" w:line="240" w:lineRule="auto"/>
        <w:rPr>
          <w:rFonts w:eastAsiaTheme="minorEastAsia" w:cs="Times New Roman"/>
          <w:szCs w:val="24"/>
        </w:rPr>
      </w:pPr>
    </w:p>
    <w:p w:rsidR="00FF46FF" w:rsidRPr="006849DE" w:rsidP="00FF46FF">
      <w:pPr>
        <w:spacing w:after="0" w:line="240" w:lineRule="auto"/>
        <w:rPr>
          <w:rFonts w:eastAsiaTheme="minorEastAsia" w:cs="Times New Roman"/>
          <w:b/>
          <w:szCs w:val="24"/>
        </w:rPr>
      </w:pPr>
      <w:r w:rsidRPr="006849DE">
        <w:rPr>
          <w:rFonts w:eastAsiaTheme="minorEastAsia" w:cs="Times New Roman"/>
          <w:b/>
          <w:szCs w:val="24"/>
        </w:rPr>
        <w:tab/>
      </w:r>
      <w:r w:rsidRPr="006849DE">
        <w:rPr>
          <w:rFonts w:eastAsiaTheme="minorEastAsia" w:cs="Times New Roman"/>
          <w:b/>
          <w:szCs w:val="24"/>
        </w:rPr>
        <w:tab/>
      </w:r>
      <w:r w:rsidRPr="006849DE">
        <w:rPr>
          <w:rFonts w:eastAsiaTheme="minorEastAsia" w:cs="Times New Roman"/>
          <w:b/>
          <w:szCs w:val="24"/>
        </w:rPr>
        <w:tab/>
      </w:r>
      <w:r w:rsidRPr="006849DE">
        <w:rPr>
          <w:rFonts w:eastAsiaTheme="minorEastAsia" w:cs="Times New Roman"/>
          <w:b/>
          <w:szCs w:val="24"/>
        </w:rPr>
        <w:tab/>
      </w:r>
      <w:r w:rsidRPr="006849DE">
        <w:rPr>
          <w:rFonts w:eastAsiaTheme="minorEastAsia" w:cs="Times New Roman"/>
          <w:b/>
          <w:szCs w:val="24"/>
        </w:rPr>
        <w:tab/>
      </w:r>
      <w:r w:rsidRPr="006849DE">
        <w:rPr>
          <w:rFonts w:eastAsiaTheme="minorEastAsia" w:cs="Times New Roman"/>
          <w:b/>
          <w:szCs w:val="24"/>
        </w:rPr>
        <w:tab/>
        <w:t>Office of the Ohio Consumers</w:t>
      </w:r>
      <w:r w:rsidRPr="006849DE" w:rsidR="00CE148F">
        <w:rPr>
          <w:rFonts w:eastAsiaTheme="minorEastAsia" w:cs="Times New Roman"/>
          <w:b/>
          <w:szCs w:val="24"/>
        </w:rPr>
        <w:t>’</w:t>
      </w:r>
      <w:r w:rsidRPr="006849DE">
        <w:rPr>
          <w:rFonts w:eastAsiaTheme="minorEastAsia" w:cs="Times New Roman"/>
          <w:b/>
          <w:szCs w:val="24"/>
        </w:rPr>
        <w:t xml:space="preserve"> Counsel</w:t>
      </w:r>
    </w:p>
    <w:p w:rsidR="00FF46FF" w:rsidRPr="006849DE" w:rsidP="00FF46FF">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10 W. Broad Street, Suite 1800</w:t>
      </w:r>
    </w:p>
    <w:p w:rsidR="00FF46FF" w:rsidRPr="006849DE" w:rsidP="00FF46FF">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Columbus, Ohio 43215-3485</w:t>
      </w:r>
    </w:p>
    <w:p w:rsidR="00FF46FF" w:rsidRPr="006849DE" w:rsidP="00FF46FF">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Telephone [Michael]: 614-466-1291</w:t>
      </w:r>
    </w:p>
    <w:p w:rsidR="00FF46FF" w:rsidRPr="006849DE" w:rsidP="00FF46FF">
      <w:pPr>
        <w:spacing w:after="0" w:line="240" w:lineRule="auto"/>
        <w:rPr>
          <w:rFonts w:eastAsiaTheme="minorEastAsia" w:cs="Times New Roman"/>
          <w:szCs w:val="24"/>
        </w:rPr>
      </w:pPr>
      <w:r w:rsidRPr="006849DE">
        <w:rPr>
          <w:rFonts w:eastAsiaTheme="minorEastAsia" w:cs="Times New Roman"/>
          <w:szCs w:val="24"/>
        </w:rPr>
        <w:tab/>
      </w:r>
      <w:r w:rsidR="008A1DD0">
        <w:rPr>
          <w:rFonts w:eastAsiaTheme="minorEastAsia" w:cs="Times New Roman"/>
          <w:szCs w:val="24"/>
        </w:rPr>
        <w:tab/>
      </w:r>
      <w:r w:rsidR="008A1DD0">
        <w:rPr>
          <w:rFonts w:eastAsiaTheme="minorEastAsia" w:cs="Times New Roman"/>
          <w:szCs w:val="24"/>
        </w:rPr>
        <w:tab/>
      </w:r>
      <w:r w:rsidR="008A1DD0">
        <w:rPr>
          <w:rFonts w:eastAsiaTheme="minorEastAsia" w:cs="Times New Roman"/>
          <w:szCs w:val="24"/>
        </w:rPr>
        <w:tab/>
      </w:r>
      <w:r w:rsidR="008A1DD0">
        <w:rPr>
          <w:rFonts w:eastAsiaTheme="minorEastAsia" w:cs="Times New Roman"/>
          <w:szCs w:val="24"/>
        </w:rPr>
        <w:tab/>
      </w:r>
      <w:r w:rsidR="008A1DD0">
        <w:rPr>
          <w:rFonts w:eastAsiaTheme="minorEastAsia" w:cs="Times New Roman"/>
          <w:szCs w:val="24"/>
        </w:rPr>
        <w:tab/>
      </w:r>
      <w:r w:rsidRPr="006849DE">
        <w:rPr>
          <w:rFonts w:eastAsiaTheme="minorEastAsia" w:cs="Times New Roman"/>
          <w:szCs w:val="24"/>
        </w:rPr>
        <w:t>Telephone [Moore]: 614-</w:t>
      </w:r>
      <w:r w:rsidR="008A1DD0">
        <w:rPr>
          <w:rFonts w:eastAsiaTheme="minorEastAsia" w:cs="Times New Roman"/>
          <w:szCs w:val="24"/>
        </w:rPr>
        <w:t>387-2965</w:t>
      </w:r>
    </w:p>
    <w:p w:rsidR="00FF46FF" w:rsidRPr="006849DE" w:rsidP="00FF46FF">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F12BEE" w:rsidR="009E2C6E">
        <w:rPr>
          <w:rStyle w:val="DefaultParagraphFont"/>
          <w:rFonts w:eastAsiaTheme="minorEastAsia" w:cs="Times New Roman"/>
          <w:szCs w:val="24"/>
        </w:rPr>
        <w:t>William.michael@occ.ohio.gov</w:t>
      </w:r>
    </w:p>
    <w:p w:rsidR="00D17E43" w:rsidRPr="006849DE" w:rsidP="00D17E43">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F12BEE" w:rsidR="009E2C6E">
        <w:rPr>
          <w:rStyle w:val="DefaultParagraphFont"/>
          <w:rFonts w:eastAsiaTheme="minorEastAsia" w:cs="Times New Roman"/>
          <w:szCs w:val="24"/>
        </w:rPr>
        <w:t>Kevin.moore@occ.ohio.gov</w:t>
      </w:r>
      <w:r w:rsidR="009E2C6E">
        <w:rPr>
          <w:rFonts w:eastAsiaTheme="minorEastAsia" w:cs="Times New Roman"/>
          <w:szCs w:val="24"/>
        </w:rPr>
        <w:t xml:space="preserve"> </w:t>
      </w:r>
    </w:p>
    <w:p w:rsidR="00335936" w:rsidP="00D17E43">
      <w:pPr>
        <w:spacing w:after="0" w:line="240" w:lineRule="auto"/>
        <w:rPr>
          <w:rFonts w:eastAsiaTheme="minorEastAsia" w:cs="Times New Roman"/>
          <w:szCs w:val="24"/>
        </w:rPr>
        <w:sectPr w:rsidSect="00D03E48">
          <w:footerReference w:type="default" r:id="rId5"/>
          <w:pgSz w:w="12240" w:h="15840"/>
          <w:pgMar w:top="1440" w:right="1800" w:bottom="1440" w:left="1800" w:header="720" w:footer="720" w:gutter="0"/>
          <w:pgNumType w:start="2"/>
          <w:cols w:space="720"/>
          <w:docGrid w:linePitch="360"/>
        </w:sectPr>
      </w:pPr>
      <w:r>
        <w:rPr>
          <w:rFonts w:eastAsiaTheme="minorEastAsia" w:cs="Times New Roman"/>
          <w:b/>
          <w:szCs w:val="24"/>
        </w:rPr>
        <w:t>November 20</w:t>
      </w:r>
      <w:r w:rsidR="008A1DD0">
        <w:rPr>
          <w:rFonts w:eastAsiaTheme="minorEastAsia" w:cs="Times New Roman"/>
          <w:b/>
          <w:szCs w:val="24"/>
        </w:rPr>
        <w:t>, 2017</w:t>
      </w:r>
      <w:r w:rsidR="008A1DD0">
        <w:rPr>
          <w:rFonts w:eastAsiaTheme="minorEastAsia" w:cs="Times New Roman"/>
          <w:szCs w:val="24"/>
        </w:rPr>
        <w:tab/>
      </w:r>
      <w:r w:rsidR="008A1DD0">
        <w:rPr>
          <w:rFonts w:eastAsiaTheme="minorEastAsia" w:cs="Times New Roman"/>
          <w:szCs w:val="24"/>
        </w:rPr>
        <w:tab/>
      </w:r>
      <w:r w:rsidR="008A1DD0">
        <w:rPr>
          <w:rFonts w:eastAsiaTheme="minorEastAsia" w:cs="Times New Roman"/>
          <w:szCs w:val="24"/>
        </w:rPr>
        <w:tab/>
      </w:r>
      <w:r w:rsidR="008A1DD0">
        <w:rPr>
          <w:rFonts w:eastAsiaTheme="minorEastAsia" w:cs="Times New Roman"/>
          <w:szCs w:val="24"/>
        </w:rPr>
        <w:tab/>
      </w:r>
      <w:r w:rsidRPr="006849DE" w:rsidR="00FF46FF">
        <w:rPr>
          <w:rFonts w:eastAsiaTheme="minorEastAsia" w:cs="Times New Roman"/>
          <w:szCs w:val="24"/>
        </w:rPr>
        <w:t>(All attorneys will accept service via email)</w:t>
      </w:r>
    </w:p>
    <w:p w:rsidR="008F63ED" w:rsidRPr="006849DE" w:rsidP="008F6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r w:rsidRPr="006849DE">
        <w:rPr>
          <w:rFonts w:eastAsia="Courier New" w:cs="Times New Roman"/>
          <w:b/>
          <w:bCs/>
          <w:szCs w:val="24"/>
        </w:rPr>
        <w:t>BEFORE</w:t>
      </w:r>
    </w:p>
    <w:p w:rsidR="008F63ED" w:rsidRPr="006849DE" w:rsidP="008F6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szCs w:val="24"/>
        </w:rPr>
      </w:pPr>
      <w:r w:rsidRPr="006849DE">
        <w:rPr>
          <w:rFonts w:eastAsia="Courier New" w:cs="Times New Roman"/>
          <w:b/>
          <w:bCs/>
          <w:szCs w:val="24"/>
        </w:rPr>
        <w:t>THE PUBLIC UTILITIES COMMISSION OF OHIO</w:t>
      </w:r>
    </w:p>
    <w:p w:rsidR="008F63ED" w:rsidRPr="006849DE" w:rsidP="008F6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tbl>
      <w:tblPr>
        <w:tblW w:w="10178" w:type="dxa"/>
        <w:tblLook w:val="01E0"/>
      </w:tblPr>
      <w:tblGrid>
        <w:gridCol w:w="5418"/>
        <w:gridCol w:w="360"/>
        <w:gridCol w:w="4400"/>
      </w:tblGrid>
      <w:tr w:rsidTr="00457D81">
        <w:tblPrEx>
          <w:tblW w:w="10178" w:type="dxa"/>
          <w:tblLook w:val="01E0"/>
        </w:tblPrEx>
        <w:trPr>
          <w:trHeight w:val="807"/>
        </w:trPr>
        <w:tc>
          <w:tcPr>
            <w:tcW w:w="5418" w:type="dxa"/>
          </w:tcPr>
          <w:p w:rsidR="00BC164A" w:rsidRPr="006849DE" w:rsidP="00457D81">
            <w:pPr>
              <w:autoSpaceDE w:val="0"/>
              <w:autoSpaceDN w:val="0"/>
              <w:adjustRightInd w:val="0"/>
              <w:spacing w:after="0" w:line="240" w:lineRule="auto"/>
              <w:rPr>
                <w:rFonts w:eastAsiaTheme="minorEastAsia" w:cs="Times New Roman"/>
                <w:szCs w:val="24"/>
              </w:rPr>
            </w:pPr>
            <w:r>
              <w:rPr>
                <w:rFonts w:eastAsiaTheme="minorEastAsia" w:cs="Times New Roman"/>
                <w:szCs w:val="24"/>
              </w:rPr>
              <w:t>In the Matter of the Application of the Dayton Power and Light Company for Approval of its Electric Security Plan.</w:t>
            </w:r>
          </w:p>
          <w:p w:rsidR="00BC164A" w:rsidRPr="006849DE" w:rsidP="00457D81">
            <w:pPr>
              <w:autoSpaceDE w:val="0"/>
              <w:autoSpaceDN w:val="0"/>
              <w:adjustRightInd w:val="0"/>
              <w:spacing w:after="0" w:line="240" w:lineRule="auto"/>
              <w:rPr>
                <w:rFonts w:eastAsiaTheme="minorEastAsia" w:cs="Times New Roman"/>
                <w:szCs w:val="24"/>
              </w:rPr>
            </w:pPr>
          </w:p>
          <w:p w:rsidR="00BC164A" w:rsidP="00457D81">
            <w:pPr>
              <w:autoSpaceDE w:val="0"/>
              <w:autoSpaceDN w:val="0"/>
              <w:adjustRightInd w:val="0"/>
              <w:spacing w:after="0" w:line="240" w:lineRule="auto"/>
              <w:rPr>
                <w:rFonts w:eastAsiaTheme="minorEastAsia" w:cs="Times New Roman"/>
                <w:szCs w:val="24"/>
              </w:rPr>
            </w:pPr>
            <w:r>
              <w:rPr>
                <w:rFonts w:eastAsiaTheme="minorEastAsia" w:cs="Times New Roman"/>
                <w:szCs w:val="24"/>
              </w:rPr>
              <w:t>In the Matter of the Application of the Dayton Power and Light Company for Approval of Revised Tariffs.</w:t>
            </w:r>
          </w:p>
          <w:p w:rsidR="00BC164A" w:rsidP="00457D81">
            <w:pPr>
              <w:autoSpaceDE w:val="0"/>
              <w:autoSpaceDN w:val="0"/>
              <w:adjustRightInd w:val="0"/>
              <w:spacing w:after="0" w:line="240" w:lineRule="auto"/>
              <w:rPr>
                <w:rFonts w:eastAsiaTheme="minorEastAsia" w:cs="Times New Roman"/>
                <w:szCs w:val="24"/>
              </w:rPr>
            </w:pPr>
          </w:p>
          <w:p w:rsidR="00BC164A" w:rsidRPr="00BC164A" w:rsidP="00457D81">
            <w:pPr>
              <w:autoSpaceDE w:val="0"/>
              <w:autoSpaceDN w:val="0"/>
              <w:adjustRightInd w:val="0"/>
              <w:spacing w:after="0" w:line="240" w:lineRule="auto"/>
              <w:rPr>
                <w:rFonts w:eastAsiaTheme="minorEastAsia" w:cs="Times New Roman"/>
                <w:szCs w:val="24"/>
              </w:rPr>
            </w:pPr>
            <w:r>
              <w:rPr>
                <w:rFonts w:eastAsiaTheme="minorEastAsia" w:cs="Times New Roman"/>
                <w:szCs w:val="24"/>
              </w:rPr>
              <w:t>In the Matter of the Application of the Dayton Power and Light Company for Approval of Certain Accounting Authority Pursuant to Ohio Rev. Code § 4905.13.</w:t>
            </w:r>
          </w:p>
        </w:tc>
        <w:tc>
          <w:tcPr>
            <w:tcW w:w="360" w:type="dxa"/>
          </w:tcPr>
          <w:p w:rsidR="00BC164A"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sidRPr="006849DE">
              <w:rPr>
                <w:rFonts w:eastAsia="Courier New" w:cs="Times New Roman"/>
                <w:b/>
                <w:szCs w:val="24"/>
              </w:rPr>
              <w:t>)</w:t>
            </w:r>
          </w:p>
          <w:p w:rsidR="00BC164A"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sidRPr="006849DE">
              <w:rPr>
                <w:rFonts w:eastAsia="Courier New" w:cs="Times New Roman"/>
                <w:b/>
                <w:szCs w:val="24"/>
              </w:rPr>
              <w:t>)</w:t>
            </w:r>
          </w:p>
          <w:p w:rsidR="00BC164A"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sidRPr="006849DE">
              <w:rPr>
                <w:rFonts w:eastAsia="Courier New" w:cs="Times New Roman"/>
                <w:b/>
                <w:szCs w:val="24"/>
              </w:rPr>
              <w:t>)</w:t>
            </w:r>
          </w:p>
          <w:p w:rsidR="00BC164A"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p>
          <w:p w:rsidR="00BC164A"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sidRPr="006849DE">
              <w:rPr>
                <w:rFonts w:eastAsia="Courier New" w:cs="Times New Roman"/>
                <w:b/>
                <w:szCs w:val="24"/>
              </w:rPr>
              <w:t>)</w:t>
            </w:r>
          </w:p>
          <w:p w:rsidR="00BC164A"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sidRPr="006849DE">
              <w:rPr>
                <w:rFonts w:eastAsia="Courier New" w:cs="Times New Roman"/>
                <w:b/>
                <w:szCs w:val="24"/>
              </w:rPr>
              <w:t>)</w:t>
            </w:r>
          </w:p>
          <w:p w:rsidR="00BC164A"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p>
          <w:p w:rsidR="00BC164A"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Pr>
                <w:rFonts w:eastAsia="Courier New" w:cs="Times New Roman"/>
                <w:b/>
                <w:szCs w:val="24"/>
              </w:rPr>
              <w:t>)</w:t>
            </w:r>
          </w:p>
          <w:p w:rsidR="00BC164A"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Pr>
                <w:rFonts w:eastAsia="Courier New" w:cs="Times New Roman"/>
                <w:b/>
                <w:szCs w:val="24"/>
              </w:rPr>
              <w:t>)</w:t>
            </w:r>
          </w:p>
          <w:p w:rsidR="00BC164A"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Pr>
                <w:rFonts w:eastAsia="Courier New" w:cs="Times New Roman"/>
                <w:b/>
                <w:szCs w:val="24"/>
              </w:rPr>
              <w:t>)</w:t>
            </w:r>
          </w:p>
          <w:p w:rsidR="00BC164A"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Pr>
                <w:rFonts w:eastAsia="Courier New" w:cs="Times New Roman"/>
                <w:b/>
                <w:szCs w:val="24"/>
              </w:rPr>
              <w:t>)</w:t>
            </w:r>
          </w:p>
        </w:tc>
        <w:tc>
          <w:tcPr>
            <w:tcW w:w="4400" w:type="dxa"/>
          </w:tcPr>
          <w:p w:rsidR="00BC164A"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BC164A"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r w:rsidRPr="006849DE">
              <w:rPr>
                <w:rFonts w:eastAsia="Courier New" w:cs="Times New Roman"/>
                <w:szCs w:val="24"/>
              </w:rPr>
              <w:t xml:space="preserve">Case No. </w:t>
            </w:r>
            <w:r>
              <w:rPr>
                <w:rFonts w:eastAsia="Courier New" w:cs="Times New Roman"/>
                <w:szCs w:val="24"/>
              </w:rPr>
              <w:t>16-0395-EL-SSO</w:t>
            </w:r>
          </w:p>
          <w:p w:rsidR="00BC164A"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BC164A"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BC164A"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r w:rsidRPr="006849DE">
              <w:rPr>
                <w:rFonts w:eastAsia="Courier New" w:cs="Times New Roman"/>
                <w:szCs w:val="24"/>
              </w:rPr>
              <w:t xml:space="preserve">Case No. </w:t>
            </w:r>
            <w:r>
              <w:rPr>
                <w:rFonts w:eastAsia="Courier New" w:cs="Times New Roman"/>
                <w:szCs w:val="24"/>
              </w:rPr>
              <w:t>16-0396-EL-ATA</w:t>
            </w:r>
          </w:p>
          <w:p w:rsidR="00BC164A"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BC164A"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BC164A"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BC164A"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r>
              <w:rPr>
                <w:rFonts w:eastAsia="Courier New" w:cs="Times New Roman"/>
                <w:szCs w:val="24"/>
              </w:rPr>
              <w:t>Case No. 16-0397-EL-AAM</w:t>
            </w:r>
          </w:p>
        </w:tc>
      </w:tr>
    </w:tbl>
    <w:p w:rsidR="008F63ED" w:rsidRPr="006849DE" w:rsidP="008F63ED">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szCs w:val="24"/>
        </w:rPr>
      </w:pPr>
    </w:p>
    <w:p w:rsidR="008F63ED" w:rsidRPr="006849DE" w:rsidP="008F6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i/>
          <w:szCs w:val="24"/>
        </w:rPr>
      </w:pPr>
    </w:p>
    <w:p w:rsidR="008F63ED" w:rsidRPr="006849DE" w:rsidP="008F6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szCs w:val="24"/>
        </w:rPr>
      </w:pPr>
      <w:r w:rsidRPr="006849DE">
        <w:rPr>
          <w:rFonts w:cs="Times New Roman"/>
          <w:b/>
          <w:szCs w:val="24"/>
        </w:rPr>
        <w:t>APPLICATION FOR REHEARING</w:t>
      </w:r>
    </w:p>
    <w:p w:rsidR="002546FD" w:rsidRPr="006849DE" w:rsidP="008F6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szCs w:val="24"/>
        </w:rPr>
      </w:pPr>
      <w:r w:rsidRPr="006849DE">
        <w:rPr>
          <w:rFonts w:cs="Times New Roman"/>
          <w:b/>
          <w:szCs w:val="24"/>
        </w:rPr>
        <w:t>BY</w:t>
      </w:r>
    </w:p>
    <w:p w:rsidR="002546FD" w:rsidRPr="006849DE" w:rsidP="008F6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r w:rsidRPr="006849DE">
        <w:rPr>
          <w:rFonts w:cs="Times New Roman"/>
          <w:b/>
          <w:szCs w:val="24"/>
        </w:rPr>
        <w:t>THE OFFICE OF THE OHIO CONSUMERS</w:t>
      </w:r>
      <w:r w:rsidRPr="006849DE" w:rsidR="00CE148F">
        <w:rPr>
          <w:rFonts w:cs="Times New Roman"/>
          <w:b/>
          <w:szCs w:val="24"/>
        </w:rPr>
        <w:t>’</w:t>
      </w:r>
      <w:r w:rsidRPr="006849DE">
        <w:rPr>
          <w:rFonts w:cs="Times New Roman"/>
          <w:b/>
          <w:szCs w:val="24"/>
        </w:rPr>
        <w:t xml:space="preserve"> COUNSEL</w:t>
      </w:r>
    </w:p>
    <w:p w:rsidR="008F63ED" w:rsidRPr="006849DE" w:rsidP="008F63ED">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szCs w:val="24"/>
        </w:rPr>
      </w:pPr>
    </w:p>
    <w:p w:rsidR="008F63ED" w:rsidRPr="006849DE" w:rsidP="00CE416F">
      <w:pPr>
        <w:spacing w:after="0" w:line="240" w:lineRule="auto"/>
        <w:rPr>
          <w:rFonts w:eastAsiaTheme="minorEastAsia" w:cs="Times New Roman"/>
          <w:szCs w:val="24"/>
        </w:rPr>
      </w:pPr>
    </w:p>
    <w:p w:rsidR="002546FD" w:rsidRPr="006849DE" w:rsidP="00293EB8">
      <w:pPr>
        <w:spacing w:after="0" w:line="480" w:lineRule="auto"/>
        <w:ind w:firstLine="720"/>
        <w:rPr>
          <w:rFonts w:eastAsiaTheme="minorEastAsia" w:cs="Times New Roman"/>
          <w:szCs w:val="24"/>
        </w:rPr>
      </w:pPr>
      <w:r w:rsidRPr="006849DE">
        <w:rPr>
          <w:rFonts w:eastAsiaTheme="minorEastAsia" w:cs="Times New Roman"/>
          <w:szCs w:val="24"/>
        </w:rPr>
        <w:t>The Office of the Ohio Consumers</w:t>
      </w:r>
      <w:r w:rsidRPr="006849DE" w:rsidR="00CE148F">
        <w:rPr>
          <w:rFonts w:eastAsiaTheme="minorEastAsia" w:cs="Times New Roman"/>
          <w:szCs w:val="24"/>
        </w:rPr>
        <w:t>’</w:t>
      </w:r>
      <w:r w:rsidRPr="006849DE">
        <w:rPr>
          <w:rFonts w:eastAsiaTheme="minorEastAsia" w:cs="Times New Roman"/>
          <w:szCs w:val="24"/>
        </w:rPr>
        <w:t xml:space="preserve"> Counsel (</w:t>
      </w:r>
      <w:r w:rsidRPr="006849DE" w:rsidR="00CE148F">
        <w:rPr>
          <w:rFonts w:eastAsiaTheme="minorEastAsia" w:cs="Times New Roman"/>
          <w:szCs w:val="24"/>
        </w:rPr>
        <w:t>“</w:t>
      </w:r>
      <w:r w:rsidRPr="006849DE" w:rsidR="00AD48C3">
        <w:rPr>
          <w:rFonts w:eastAsiaTheme="minorEastAsia" w:cs="Times New Roman"/>
          <w:szCs w:val="24"/>
        </w:rPr>
        <w:t>OCC</w:t>
      </w:r>
      <w:r w:rsidRPr="006849DE" w:rsidR="00CE148F">
        <w:rPr>
          <w:rFonts w:eastAsiaTheme="minorEastAsia" w:cs="Times New Roman"/>
          <w:szCs w:val="24"/>
        </w:rPr>
        <w:t>”</w:t>
      </w:r>
      <w:r w:rsidRPr="006849DE">
        <w:rPr>
          <w:rFonts w:eastAsiaTheme="minorEastAsia" w:cs="Times New Roman"/>
          <w:szCs w:val="24"/>
        </w:rPr>
        <w:t xml:space="preserve">) files this </w:t>
      </w:r>
      <w:r w:rsidRPr="006849DE" w:rsidR="001C6006">
        <w:rPr>
          <w:rFonts w:eastAsiaTheme="minorEastAsia" w:cs="Times New Roman"/>
          <w:szCs w:val="24"/>
        </w:rPr>
        <w:t>A</w:t>
      </w:r>
      <w:r w:rsidRPr="006849DE">
        <w:rPr>
          <w:rFonts w:eastAsiaTheme="minorEastAsia" w:cs="Times New Roman"/>
          <w:szCs w:val="24"/>
        </w:rPr>
        <w:t xml:space="preserve">pplication </w:t>
      </w:r>
      <w:r w:rsidRPr="006849DE" w:rsidR="00322BB5">
        <w:rPr>
          <w:rFonts w:eastAsiaTheme="minorEastAsia" w:cs="Times New Roman"/>
          <w:szCs w:val="24"/>
        </w:rPr>
        <w:t xml:space="preserve">to </w:t>
      </w:r>
      <w:r w:rsidR="009D4C4D">
        <w:rPr>
          <w:rFonts w:eastAsiaTheme="minorEastAsia" w:cs="Times New Roman"/>
          <w:szCs w:val="24"/>
        </w:rPr>
        <w:t xml:space="preserve">protect </w:t>
      </w:r>
      <w:r w:rsidR="0046282C">
        <w:rPr>
          <w:rFonts w:eastAsiaTheme="minorEastAsia" w:cs="Times New Roman"/>
          <w:szCs w:val="24"/>
        </w:rPr>
        <w:t>consumers</w:t>
      </w:r>
      <w:r w:rsidR="009D4C4D">
        <w:rPr>
          <w:rFonts w:eastAsiaTheme="minorEastAsia" w:cs="Times New Roman"/>
          <w:szCs w:val="24"/>
        </w:rPr>
        <w:t xml:space="preserve"> from paying</w:t>
      </w:r>
      <w:r w:rsidRPr="006849DE" w:rsidR="009D4C4D">
        <w:rPr>
          <w:rFonts w:eastAsiaTheme="minorEastAsia" w:cs="Times New Roman"/>
          <w:szCs w:val="24"/>
        </w:rPr>
        <w:t xml:space="preserve"> </w:t>
      </w:r>
      <w:r w:rsidR="006D03C7">
        <w:rPr>
          <w:rFonts w:eastAsiaTheme="minorEastAsia" w:cs="Times New Roman"/>
          <w:szCs w:val="24"/>
        </w:rPr>
        <w:t>the</w:t>
      </w:r>
      <w:r w:rsidR="00085A29">
        <w:rPr>
          <w:rFonts w:eastAsiaTheme="minorEastAsia" w:cs="Times New Roman"/>
          <w:szCs w:val="24"/>
        </w:rPr>
        <w:t>ir</w:t>
      </w:r>
      <w:r w:rsidR="006D03C7">
        <w:rPr>
          <w:rFonts w:eastAsiaTheme="minorEastAsia" w:cs="Times New Roman"/>
          <w:szCs w:val="24"/>
        </w:rPr>
        <w:t xml:space="preserve"> utility </w:t>
      </w:r>
      <w:r w:rsidRPr="006849DE" w:rsidR="00046C1B">
        <w:rPr>
          <w:rFonts w:eastAsiaTheme="minorEastAsia" w:cs="Times New Roman"/>
          <w:szCs w:val="24"/>
        </w:rPr>
        <w:t>hundreds of millions of dollars</w:t>
      </w:r>
      <w:r w:rsidR="006D03C7">
        <w:rPr>
          <w:rFonts w:eastAsiaTheme="minorEastAsia" w:cs="Times New Roman"/>
          <w:szCs w:val="24"/>
        </w:rPr>
        <w:t xml:space="preserve"> </w:t>
      </w:r>
      <w:r w:rsidR="00C16D5F">
        <w:rPr>
          <w:rFonts w:eastAsiaTheme="minorEastAsia" w:cs="Times New Roman"/>
          <w:szCs w:val="24"/>
        </w:rPr>
        <w:t xml:space="preserve">for charges </w:t>
      </w:r>
      <w:r w:rsidR="00FE49F5">
        <w:rPr>
          <w:rFonts w:eastAsiaTheme="minorEastAsia" w:cs="Times New Roman"/>
          <w:szCs w:val="24"/>
        </w:rPr>
        <w:t xml:space="preserve">such </w:t>
      </w:r>
      <w:r w:rsidR="00C16D5F">
        <w:rPr>
          <w:rFonts w:eastAsiaTheme="minorEastAsia" w:cs="Times New Roman"/>
          <w:szCs w:val="24"/>
        </w:rPr>
        <w:t xml:space="preserve">as a </w:t>
      </w:r>
      <w:r w:rsidR="006D03C7">
        <w:rPr>
          <w:rFonts w:eastAsiaTheme="minorEastAsia" w:cs="Times New Roman"/>
          <w:szCs w:val="24"/>
        </w:rPr>
        <w:t>Distribution Modernization Rider</w:t>
      </w:r>
      <w:r w:rsidR="00B13C0A">
        <w:rPr>
          <w:rFonts w:eastAsiaTheme="minorEastAsia" w:cs="Times New Roman"/>
          <w:szCs w:val="24"/>
        </w:rPr>
        <w:t xml:space="preserve"> (“DMR”)</w:t>
      </w:r>
      <w:r w:rsidR="006D03C7">
        <w:rPr>
          <w:rFonts w:eastAsiaTheme="minorEastAsia" w:cs="Times New Roman"/>
          <w:szCs w:val="24"/>
        </w:rPr>
        <w:t xml:space="preserve"> </w:t>
      </w:r>
      <w:r w:rsidR="00C16D5F">
        <w:rPr>
          <w:rFonts w:eastAsiaTheme="minorEastAsia" w:cs="Times New Roman"/>
          <w:szCs w:val="24"/>
        </w:rPr>
        <w:t xml:space="preserve">that doesn't require any money to be spent on distribution and instead requires customers to </w:t>
      </w:r>
      <w:r w:rsidRPr="006849DE" w:rsidR="00322BB5">
        <w:rPr>
          <w:rFonts w:eastAsiaTheme="minorEastAsia" w:cs="Times New Roman"/>
          <w:szCs w:val="24"/>
        </w:rPr>
        <w:t>subs</w:t>
      </w:r>
      <w:r w:rsidRPr="006849DE">
        <w:rPr>
          <w:rFonts w:eastAsiaTheme="minorEastAsia" w:cs="Times New Roman"/>
          <w:szCs w:val="24"/>
        </w:rPr>
        <w:t xml:space="preserve">idize </w:t>
      </w:r>
      <w:r w:rsidR="00C16D5F">
        <w:rPr>
          <w:rFonts w:eastAsiaTheme="minorEastAsia" w:cs="Times New Roman"/>
          <w:szCs w:val="24"/>
        </w:rPr>
        <w:t xml:space="preserve">coal-fired </w:t>
      </w:r>
      <w:r w:rsidRPr="006849DE">
        <w:rPr>
          <w:rFonts w:eastAsiaTheme="minorEastAsia" w:cs="Times New Roman"/>
          <w:szCs w:val="24"/>
        </w:rPr>
        <w:t>power plants</w:t>
      </w:r>
      <w:r w:rsidR="00811F7D">
        <w:rPr>
          <w:rFonts w:eastAsiaTheme="minorEastAsia" w:cs="Times New Roman"/>
          <w:szCs w:val="24"/>
        </w:rPr>
        <w:t>.</w:t>
      </w:r>
      <w:r>
        <w:rPr>
          <w:rStyle w:val="FootnoteReference"/>
          <w:rFonts w:eastAsiaTheme="minorEastAsia" w:cs="Times New Roman"/>
          <w:szCs w:val="24"/>
        </w:rPr>
        <w:footnoteReference w:id="2"/>
      </w:r>
      <w:r w:rsidRPr="006849DE">
        <w:rPr>
          <w:rFonts w:eastAsiaTheme="minorEastAsia" w:cs="Times New Roman"/>
          <w:szCs w:val="24"/>
        </w:rPr>
        <w:t xml:space="preserve">  In its Opinion </w:t>
      </w:r>
      <w:r w:rsidRPr="006849DE" w:rsidR="00322BB5">
        <w:rPr>
          <w:rFonts w:eastAsiaTheme="minorEastAsia" w:cs="Times New Roman"/>
          <w:szCs w:val="24"/>
        </w:rPr>
        <w:t>and</w:t>
      </w:r>
      <w:r w:rsidRPr="006849DE">
        <w:rPr>
          <w:rFonts w:eastAsiaTheme="minorEastAsia" w:cs="Times New Roman"/>
          <w:szCs w:val="24"/>
        </w:rPr>
        <w:t xml:space="preserve"> Order of </w:t>
      </w:r>
      <w:r w:rsidR="00323242">
        <w:rPr>
          <w:rFonts w:eastAsiaTheme="minorEastAsia" w:cs="Times New Roman"/>
          <w:szCs w:val="24"/>
        </w:rPr>
        <w:t>October 20, 2017</w:t>
      </w:r>
      <w:r w:rsidRPr="006849DE" w:rsidR="004F2F2B">
        <w:rPr>
          <w:rFonts w:eastAsiaTheme="minorEastAsia" w:cs="Times New Roman"/>
          <w:szCs w:val="24"/>
        </w:rPr>
        <w:t xml:space="preserve"> (“Opinion and Order”)</w:t>
      </w:r>
      <w:r w:rsidRPr="006849DE">
        <w:rPr>
          <w:rFonts w:eastAsiaTheme="minorEastAsia" w:cs="Times New Roman"/>
          <w:szCs w:val="24"/>
        </w:rPr>
        <w:t>, the Public Utilities Commission of Ohio (</w:t>
      </w:r>
      <w:r w:rsidRPr="006849DE" w:rsidR="00CE148F">
        <w:rPr>
          <w:rFonts w:eastAsiaTheme="minorEastAsia" w:cs="Times New Roman"/>
          <w:szCs w:val="24"/>
        </w:rPr>
        <w:t>“</w:t>
      </w:r>
      <w:r w:rsidRPr="006849DE" w:rsidR="00AD48C3">
        <w:rPr>
          <w:rFonts w:eastAsiaTheme="minorEastAsia" w:cs="Times New Roman"/>
          <w:szCs w:val="24"/>
        </w:rPr>
        <w:t>PUCO</w:t>
      </w:r>
      <w:r w:rsidRPr="006849DE" w:rsidR="00CE148F">
        <w:rPr>
          <w:rFonts w:eastAsiaTheme="minorEastAsia" w:cs="Times New Roman"/>
          <w:szCs w:val="24"/>
        </w:rPr>
        <w:t>”</w:t>
      </w:r>
      <w:r w:rsidRPr="006849DE">
        <w:rPr>
          <w:rFonts w:eastAsiaTheme="minorEastAsia" w:cs="Times New Roman"/>
          <w:szCs w:val="24"/>
        </w:rPr>
        <w:t xml:space="preserve">) approved </w:t>
      </w:r>
      <w:r w:rsidRPr="006849DE" w:rsidR="005C2460">
        <w:rPr>
          <w:rFonts w:eastAsiaTheme="minorEastAsia" w:cs="Times New Roman"/>
          <w:szCs w:val="24"/>
        </w:rPr>
        <w:t xml:space="preserve">the </w:t>
      </w:r>
      <w:r w:rsidR="00323242">
        <w:rPr>
          <w:rFonts w:eastAsiaTheme="minorEastAsia" w:cs="Times New Roman"/>
          <w:szCs w:val="24"/>
        </w:rPr>
        <w:t>Amended</w:t>
      </w:r>
      <w:r w:rsidRPr="006849DE" w:rsidR="00323242">
        <w:rPr>
          <w:rFonts w:eastAsiaTheme="minorEastAsia" w:cs="Times New Roman"/>
          <w:szCs w:val="24"/>
        </w:rPr>
        <w:t xml:space="preserve"> </w:t>
      </w:r>
      <w:r w:rsidRPr="006849DE" w:rsidR="00F13485">
        <w:rPr>
          <w:rFonts w:eastAsiaTheme="minorEastAsia" w:cs="Times New Roman"/>
          <w:szCs w:val="24"/>
        </w:rPr>
        <w:t xml:space="preserve">Stipulation and </w:t>
      </w:r>
      <w:r w:rsidRPr="006849DE" w:rsidR="005C2460">
        <w:rPr>
          <w:rFonts w:eastAsiaTheme="minorEastAsia" w:cs="Times New Roman"/>
          <w:szCs w:val="24"/>
        </w:rPr>
        <w:t>Recommendation (“</w:t>
      </w:r>
      <w:r w:rsidR="00323242">
        <w:rPr>
          <w:rFonts w:eastAsiaTheme="minorEastAsia" w:cs="Times New Roman"/>
          <w:szCs w:val="24"/>
        </w:rPr>
        <w:t>Settlement</w:t>
      </w:r>
      <w:r w:rsidRPr="006849DE" w:rsidR="005C2460">
        <w:rPr>
          <w:rFonts w:eastAsiaTheme="minorEastAsia" w:cs="Times New Roman"/>
          <w:szCs w:val="24"/>
        </w:rPr>
        <w:t xml:space="preserve">”) filed in this case that includes </w:t>
      </w:r>
      <w:r w:rsidR="00A73880">
        <w:rPr>
          <w:rFonts w:eastAsiaTheme="minorEastAsia" w:cs="Times New Roman"/>
          <w:szCs w:val="24"/>
        </w:rPr>
        <w:t xml:space="preserve">a number of </w:t>
      </w:r>
      <w:r w:rsidR="00293EB8">
        <w:rPr>
          <w:rFonts w:eastAsiaTheme="minorEastAsia" w:cs="Times New Roman"/>
          <w:szCs w:val="24"/>
        </w:rPr>
        <w:t xml:space="preserve">unlawful and unreasonable </w:t>
      </w:r>
      <w:r w:rsidRPr="006849DE" w:rsidR="00322BB5">
        <w:rPr>
          <w:rFonts w:eastAsiaTheme="minorEastAsia" w:cs="Times New Roman"/>
          <w:szCs w:val="24"/>
        </w:rPr>
        <w:t>customer charges</w:t>
      </w:r>
      <w:r w:rsidR="00A73880">
        <w:rPr>
          <w:rFonts w:eastAsiaTheme="minorEastAsia" w:cs="Times New Roman"/>
          <w:szCs w:val="24"/>
        </w:rPr>
        <w:t>, including the</w:t>
      </w:r>
      <w:r w:rsidRPr="006849DE">
        <w:rPr>
          <w:rFonts w:eastAsiaTheme="minorEastAsia" w:cs="Times New Roman"/>
          <w:szCs w:val="24"/>
        </w:rPr>
        <w:t xml:space="preserve"> </w:t>
      </w:r>
      <w:r w:rsidR="00811F7D">
        <w:rPr>
          <w:rFonts w:eastAsiaTheme="minorEastAsia" w:cs="Times New Roman"/>
          <w:szCs w:val="24"/>
        </w:rPr>
        <w:t xml:space="preserve">so-called </w:t>
      </w:r>
      <w:r w:rsidR="00FE49F5">
        <w:rPr>
          <w:rFonts w:eastAsiaTheme="minorEastAsia" w:cs="Times New Roman"/>
          <w:szCs w:val="24"/>
        </w:rPr>
        <w:t>D</w:t>
      </w:r>
      <w:r w:rsidR="00C16D5F">
        <w:rPr>
          <w:rFonts w:eastAsiaTheme="minorEastAsia" w:cs="Times New Roman"/>
          <w:szCs w:val="24"/>
        </w:rPr>
        <w:t xml:space="preserve">istribution </w:t>
      </w:r>
      <w:r w:rsidR="00FE49F5">
        <w:rPr>
          <w:rFonts w:eastAsiaTheme="minorEastAsia" w:cs="Times New Roman"/>
          <w:szCs w:val="24"/>
        </w:rPr>
        <w:t>M</w:t>
      </w:r>
      <w:r w:rsidR="00C16D5F">
        <w:rPr>
          <w:rFonts w:eastAsiaTheme="minorEastAsia" w:cs="Times New Roman"/>
          <w:szCs w:val="24"/>
        </w:rPr>
        <w:t xml:space="preserve">odernization </w:t>
      </w:r>
      <w:r w:rsidR="00FE49F5">
        <w:rPr>
          <w:rFonts w:eastAsiaTheme="minorEastAsia" w:cs="Times New Roman"/>
          <w:szCs w:val="24"/>
        </w:rPr>
        <w:t>R</w:t>
      </w:r>
      <w:r w:rsidR="00C16D5F">
        <w:rPr>
          <w:rFonts w:eastAsiaTheme="minorEastAsia" w:cs="Times New Roman"/>
          <w:szCs w:val="24"/>
        </w:rPr>
        <w:t>ider.</w:t>
      </w:r>
      <w:r w:rsidRPr="006849DE" w:rsidR="00677D03">
        <w:rPr>
          <w:rFonts w:eastAsiaTheme="minorEastAsia" w:cs="Times New Roman"/>
          <w:szCs w:val="24"/>
        </w:rPr>
        <w:t xml:space="preserve">  </w:t>
      </w:r>
    </w:p>
    <w:p w:rsidR="00FF372A" w:rsidP="002827D8">
      <w:pPr>
        <w:spacing w:after="0" w:line="480" w:lineRule="auto"/>
        <w:ind w:firstLine="720"/>
        <w:rPr>
          <w:rFonts w:eastAsiaTheme="minorEastAsia" w:cs="Times New Roman"/>
          <w:szCs w:val="24"/>
        </w:rPr>
        <w:sectPr w:rsidSect="00FF372A">
          <w:footerReference w:type="default" r:id="rId6"/>
          <w:pgSz w:w="12240" w:h="15840"/>
          <w:pgMar w:top="1440" w:right="1800" w:bottom="1440" w:left="1800" w:header="720" w:footer="720" w:gutter="0"/>
          <w:pgNumType w:start="1"/>
          <w:cols w:space="720"/>
          <w:docGrid w:linePitch="360"/>
        </w:sectPr>
      </w:pPr>
      <w:r w:rsidRPr="006849DE">
        <w:rPr>
          <w:rFonts w:eastAsiaTheme="minorEastAsia" w:cs="Times New Roman"/>
          <w:szCs w:val="24"/>
        </w:rPr>
        <w:t>The Opinion and Order approved</w:t>
      </w:r>
      <w:r w:rsidRPr="006849DE" w:rsidR="005C2460">
        <w:rPr>
          <w:rFonts w:eastAsiaTheme="minorEastAsia" w:cs="Times New Roman"/>
          <w:szCs w:val="24"/>
        </w:rPr>
        <w:t xml:space="preserve"> the </w:t>
      </w:r>
      <w:r w:rsidR="00323242">
        <w:rPr>
          <w:rFonts w:eastAsiaTheme="minorEastAsia" w:cs="Times New Roman"/>
          <w:szCs w:val="24"/>
        </w:rPr>
        <w:t>Settlement</w:t>
      </w:r>
      <w:r w:rsidRPr="006849DE" w:rsidR="00323242">
        <w:rPr>
          <w:rFonts w:eastAsiaTheme="minorEastAsia" w:cs="Times New Roman"/>
          <w:szCs w:val="24"/>
        </w:rPr>
        <w:t xml:space="preserve"> </w:t>
      </w:r>
      <w:r w:rsidRPr="006849DE">
        <w:rPr>
          <w:rFonts w:eastAsiaTheme="minorEastAsia" w:cs="Times New Roman"/>
          <w:szCs w:val="24"/>
        </w:rPr>
        <w:t xml:space="preserve">with modifications.  Under the modified </w:t>
      </w:r>
      <w:r w:rsidR="00323242">
        <w:rPr>
          <w:rFonts w:eastAsiaTheme="minorEastAsia" w:cs="Times New Roman"/>
          <w:szCs w:val="24"/>
        </w:rPr>
        <w:t>Settlement</w:t>
      </w:r>
      <w:r w:rsidRPr="006849DE">
        <w:rPr>
          <w:rFonts w:eastAsiaTheme="minorEastAsia" w:cs="Times New Roman"/>
          <w:szCs w:val="24"/>
        </w:rPr>
        <w:t xml:space="preserve">, </w:t>
      </w:r>
      <w:r w:rsidR="00293EB8">
        <w:rPr>
          <w:rFonts w:eastAsiaTheme="minorEastAsia" w:cs="Times New Roman"/>
          <w:szCs w:val="24"/>
        </w:rPr>
        <w:t>D</w:t>
      </w:r>
      <w:r w:rsidR="006D03C7">
        <w:rPr>
          <w:rFonts w:eastAsiaTheme="minorEastAsia" w:cs="Times New Roman"/>
          <w:szCs w:val="24"/>
        </w:rPr>
        <w:t xml:space="preserve">ayton Power &amp; Light </w:t>
      </w:r>
      <w:r w:rsidR="00B13C0A">
        <w:rPr>
          <w:rFonts w:eastAsiaTheme="minorEastAsia" w:cs="Times New Roman"/>
          <w:szCs w:val="24"/>
        </w:rPr>
        <w:t xml:space="preserve">Company (“DP&amp;L”) </w:t>
      </w:r>
      <w:r w:rsidRPr="006849DE">
        <w:rPr>
          <w:rFonts w:eastAsiaTheme="minorEastAsia" w:cs="Times New Roman"/>
          <w:szCs w:val="24"/>
        </w:rPr>
        <w:t xml:space="preserve">will collect increased </w:t>
      </w:r>
    </w:p>
    <w:p w:rsidR="002827D8" w:rsidP="00FF372A">
      <w:pPr>
        <w:spacing w:after="0" w:line="480" w:lineRule="auto"/>
      </w:pPr>
      <w:r w:rsidRPr="006849DE">
        <w:rPr>
          <w:rFonts w:eastAsiaTheme="minorEastAsia" w:cs="Times New Roman"/>
          <w:szCs w:val="24"/>
        </w:rPr>
        <w:t xml:space="preserve">rates from customers </w:t>
      </w:r>
      <w:r w:rsidR="00293EB8">
        <w:rPr>
          <w:rFonts w:eastAsiaTheme="minorEastAsia" w:cs="Times New Roman"/>
          <w:szCs w:val="24"/>
        </w:rPr>
        <w:t>until 2023</w:t>
      </w:r>
      <w:r w:rsidRPr="006849DE">
        <w:rPr>
          <w:rFonts w:eastAsiaTheme="minorEastAsia" w:cs="Times New Roman"/>
          <w:szCs w:val="24"/>
        </w:rPr>
        <w:t>.</w:t>
      </w:r>
      <w:r w:rsidRPr="006849DE" w:rsidR="00FF46FF">
        <w:rPr>
          <w:rFonts w:eastAsiaTheme="minorEastAsia" w:cs="Times New Roman"/>
          <w:szCs w:val="24"/>
        </w:rPr>
        <w:t xml:space="preserve"> </w:t>
      </w:r>
      <w:r w:rsidRPr="006849DE">
        <w:rPr>
          <w:rFonts w:eastAsiaTheme="minorEastAsia" w:cs="Times New Roman"/>
          <w:szCs w:val="24"/>
        </w:rPr>
        <w:t xml:space="preserve">The Opinion and Order </w:t>
      </w:r>
      <w:r w:rsidR="00811F7D">
        <w:rPr>
          <w:rFonts w:eastAsiaTheme="minorEastAsia" w:cs="Times New Roman"/>
          <w:szCs w:val="24"/>
        </w:rPr>
        <w:t xml:space="preserve">harms customers and </w:t>
      </w:r>
      <w:r w:rsidRPr="006849DE" w:rsidR="00F13485">
        <w:rPr>
          <w:rFonts w:eastAsiaTheme="minorEastAsia" w:cs="Times New Roman"/>
          <w:szCs w:val="24"/>
        </w:rPr>
        <w:t>i</w:t>
      </w:r>
      <w:r w:rsidRPr="006849DE">
        <w:rPr>
          <w:rFonts w:eastAsiaTheme="minorEastAsia" w:cs="Times New Roman"/>
          <w:szCs w:val="24"/>
        </w:rPr>
        <w:t>s unreasonable and unlawful in the following respects:</w:t>
      </w:r>
      <w:r w:rsidRPr="00D619FD" w:rsidR="00D619FD">
        <w:t xml:space="preserve"> </w:t>
      </w:r>
    </w:p>
    <w:p w:rsidR="0045368B" w:rsidRPr="002827D8" w:rsidP="002827D8">
      <w:r w:rsidRPr="002827D8">
        <w:t xml:space="preserve">ASSIGNMENT OF ERROR 1:  The PUCO’s Opinion and Order is unlawful </w:t>
      </w:r>
      <w:r w:rsidRPr="002827D8" w:rsidR="00C16D5F">
        <w:t xml:space="preserve">because </w:t>
      </w:r>
      <w:r w:rsidRPr="002827D8">
        <w:t xml:space="preserve">the PUCO found that DP&amp;L’s </w:t>
      </w:r>
      <w:r w:rsidRPr="002827D8" w:rsidR="006D03C7">
        <w:t xml:space="preserve">electric security plan is more favorable in the aggregate than a market rate </w:t>
      </w:r>
      <w:r w:rsidRPr="002827D8" w:rsidR="00B13C0A">
        <w:t>offer</w:t>
      </w:r>
      <w:r w:rsidRPr="002827D8" w:rsidR="006776DD">
        <w:t xml:space="preserve"> for consumers</w:t>
      </w:r>
      <w:r w:rsidRPr="002827D8" w:rsidR="00C16D5F">
        <w:t>,</w:t>
      </w:r>
      <w:r w:rsidRPr="002827D8" w:rsidR="00665634">
        <w:t xml:space="preserve"> depriving </w:t>
      </w:r>
      <w:r w:rsidRPr="002827D8" w:rsidR="00811F7D">
        <w:t xml:space="preserve">them </w:t>
      </w:r>
      <w:r w:rsidRPr="002827D8" w:rsidR="00665634">
        <w:t>of a less expensive market rate offer. In doing so, th</w:t>
      </w:r>
      <w:r w:rsidRPr="002827D8" w:rsidR="00C16D5F">
        <w:t>e PUCO violated R.C. 4928.143 and important regulatory principles and practice</w:t>
      </w:r>
      <w:r w:rsidRPr="002827D8" w:rsidR="00FE49F5">
        <w:t>.</w:t>
      </w:r>
    </w:p>
    <w:p w:rsidR="00C31A7E" w:rsidP="00C31A7E">
      <w:r w:rsidRPr="00C31A7E">
        <w:t xml:space="preserve">ASSIGNMENT OF ERROR 2: The PUCO’s Opinion and Order is unlawful because </w:t>
      </w:r>
      <w:r w:rsidR="00665634">
        <w:t xml:space="preserve">it </w:t>
      </w:r>
      <w:r w:rsidRPr="00C31A7E">
        <w:t>allow</w:t>
      </w:r>
      <w:r w:rsidR="00665634">
        <w:t xml:space="preserve">ed </w:t>
      </w:r>
      <w:r w:rsidRPr="00C31A7E">
        <w:t xml:space="preserve">DP&amp;L to </w:t>
      </w:r>
      <w:r w:rsidR="006371E6">
        <w:t xml:space="preserve">charge customers </w:t>
      </w:r>
      <w:r w:rsidR="00665634">
        <w:t xml:space="preserve">(through the </w:t>
      </w:r>
      <w:r w:rsidR="00FE49F5">
        <w:t>D</w:t>
      </w:r>
      <w:r w:rsidR="00665634">
        <w:t xml:space="preserve">istribution </w:t>
      </w:r>
      <w:r w:rsidR="00FE49F5">
        <w:t>M</w:t>
      </w:r>
      <w:r w:rsidR="00665634">
        <w:t xml:space="preserve">odernization </w:t>
      </w:r>
      <w:r w:rsidR="00FE49F5">
        <w:t>R</w:t>
      </w:r>
      <w:r w:rsidR="00665634">
        <w:t>ider</w:t>
      </w:r>
      <w:r w:rsidR="00FE49F5">
        <w:t xml:space="preserve"> and the Reconciliation Rider) </w:t>
      </w:r>
      <w:r w:rsidR="006371E6">
        <w:t>for</w:t>
      </w:r>
      <w:r w:rsidR="00C16D5F">
        <w:t xml:space="preserve"> </w:t>
      </w:r>
      <w:r w:rsidRPr="00C31A7E">
        <w:t xml:space="preserve">transition costs or </w:t>
      </w:r>
      <w:r w:rsidR="00C16D5F">
        <w:t>"</w:t>
      </w:r>
      <w:r w:rsidR="006D03C7">
        <w:t xml:space="preserve">any </w:t>
      </w:r>
      <w:r w:rsidRPr="00C31A7E">
        <w:t>equivalent revenue</w:t>
      </w:r>
      <w:r w:rsidR="00C16D5F">
        <w:t xml:space="preserve">" that </w:t>
      </w:r>
      <w:r w:rsidR="00665634">
        <w:t xml:space="preserve">customers are no longer required to pay.  The PUCO's decision harmed customers by increasing the rates they pay and was </w:t>
      </w:r>
      <w:r w:rsidRPr="00C31A7E" w:rsidR="00665634">
        <w:t>contrary to R.C. 4928.38 and important reg</w:t>
      </w:r>
      <w:r w:rsidR="00665634">
        <w:t>ulatory principles and practice.</w:t>
      </w:r>
      <w:r w:rsidRPr="00C31A7E" w:rsidR="00665634">
        <w:t xml:space="preserve"> </w:t>
      </w:r>
    </w:p>
    <w:p w:rsidR="00C31A7E" w:rsidP="00C31A7E">
      <w:r w:rsidRPr="00C31A7E">
        <w:t>ASSIGNMENT OF ERROR 3:  The PUCO’s Opinion and Order</w:t>
      </w:r>
      <w:r w:rsidR="00665634">
        <w:t xml:space="preserve"> requires customers to subsidize </w:t>
      </w:r>
      <w:r w:rsidRPr="00C31A7E">
        <w:t>economic development incentives</w:t>
      </w:r>
      <w:r w:rsidR="00665634">
        <w:t xml:space="preserve">. The PUCO's </w:t>
      </w:r>
      <w:r w:rsidR="00FE49F5">
        <w:t xml:space="preserve">Opinion and </w:t>
      </w:r>
      <w:r w:rsidR="00665634">
        <w:t xml:space="preserve">Order lacked </w:t>
      </w:r>
      <w:r w:rsidRPr="00C31A7E">
        <w:t xml:space="preserve">evidentiary support as required under R.C. </w:t>
      </w:r>
      <w:r w:rsidR="00B13C0A">
        <w:t xml:space="preserve">4903.09, </w:t>
      </w:r>
      <w:r w:rsidRPr="00C31A7E">
        <w:t>4928.143(B)(2)(i)</w:t>
      </w:r>
      <w:r w:rsidR="00B13C0A">
        <w:t>,</w:t>
      </w:r>
      <w:r w:rsidRPr="00C31A7E">
        <w:t xml:space="preserve"> and case law.</w:t>
      </w:r>
    </w:p>
    <w:p w:rsidR="00C31A7E" w:rsidP="00C31A7E">
      <w:r w:rsidRPr="00C31A7E">
        <w:t xml:space="preserve">ASSIGNMENT OF ERROR 4: </w:t>
      </w:r>
      <w:bookmarkStart w:id="2" w:name="_Hlk498951566"/>
      <w:r w:rsidRPr="00C31A7E">
        <w:t xml:space="preserve">The PUCO’s Opinion and Order is unreasonable and unlawful because it </w:t>
      </w:r>
      <w:r w:rsidR="00665634">
        <w:t xml:space="preserve">requires customers to pay for the </w:t>
      </w:r>
      <w:r w:rsidR="00FE49F5">
        <w:t>D</w:t>
      </w:r>
      <w:r w:rsidR="00665634">
        <w:t xml:space="preserve">istribution </w:t>
      </w:r>
      <w:r w:rsidR="00FE49F5">
        <w:t>M</w:t>
      </w:r>
      <w:r w:rsidR="00665634">
        <w:t xml:space="preserve">odernization </w:t>
      </w:r>
      <w:r w:rsidR="00FE49F5">
        <w:t>R</w:t>
      </w:r>
      <w:r w:rsidR="00665634">
        <w:t xml:space="preserve">ider, contrary to </w:t>
      </w:r>
      <w:r w:rsidRPr="00C31A7E">
        <w:t xml:space="preserve">the PUCO’s Finding and Order in </w:t>
      </w:r>
      <w:r w:rsidRPr="00FE49F5">
        <w:rPr>
          <w:i/>
        </w:rPr>
        <w:t>In the Matter of the Application of AES Corporation</w:t>
      </w:r>
      <w:r w:rsidRPr="00C31A7E">
        <w:t>, Case No. 11-3002-EL-MER</w:t>
      </w:r>
      <w:r w:rsidR="00665634">
        <w:t xml:space="preserve">.  That PUCO </w:t>
      </w:r>
      <w:r w:rsidR="00FE49F5">
        <w:t xml:space="preserve">Finding and </w:t>
      </w:r>
      <w:r w:rsidR="00665634">
        <w:t>Order</w:t>
      </w:r>
      <w:r w:rsidRPr="00C31A7E">
        <w:t xml:space="preserve"> bars</w:t>
      </w:r>
      <w:r w:rsidR="00C27258">
        <w:t xml:space="preserve"> charging consumers for</w:t>
      </w:r>
      <w:r w:rsidRPr="00C31A7E">
        <w:t xml:space="preserve"> the </w:t>
      </w:r>
      <w:r w:rsidR="00FE49F5">
        <w:t>D</w:t>
      </w:r>
      <w:r w:rsidR="00C16D5F">
        <w:t xml:space="preserve">istribution </w:t>
      </w:r>
      <w:r w:rsidR="00FE49F5">
        <w:t>M</w:t>
      </w:r>
      <w:r w:rsidR="00C16D5F">
        <w:t xml:space="preserve">odernization </w:t>
      </w:r>
      <w:r w:rsidR="00FE49F5">
        <w:t>R</w:t>
      </w:r>
      <w:r w:rsidR="00C16D5F">
        <w:t>ider</w:t>
      </w:r>
      <w:r w:rsidRPr="00C31A7E">
        <w:t>.</w:t>
      </w:r>
      <w:bookmarkEnd w:id="2"/>
      <w:r w:rsidRPr="00C31A7E">
        <w:t xml:space="preserve">  </w:t>
      </w:r>
    </w:p>
    <w:p w:rsidR="00C31A7E" w:rsidP="00C31A7E">
      <w:pPr>
        <w:rPr>
          <w:webHidden/>
        </w:rPr>
      </w:pPr>
      <w:r w:rsidRPr="00C31A7E">
        <w:rPr>
          <w:webHidden/>
        </w:rPr>
        <w:t>ASSIGNMENT OF ERROR 5:  The PUCO’s Opinion and Order is unreasonable and unlawful because it</w:t>
      </w:r>
      <w:r w:rsidR="00665634">
        <w:rPr>
          <w:webHidden/>
        </w:rPr>
        <w:t xml:space="preserve"> does not consider </w:t>
      </w:r>
      <w:r w:rsidR="00C16D5F">
        <w:rPr>
          <w:webHidden/>
        </w:rPr>
        <w:t>distribution modernization r</w:t>
      </w:r>
      <w:r w:rsidRPr="00C31A7E">
        <w:rPr>
          <w:webHidden/>
        </w:rPr>
        <w:t xml:space="preserve">evenues when </w:t>
      </w:r>
      <w:r w:rsidR="00811F7D">
        <w:rPr>
          <w:webHidden/>
        </w:rPr>
        <w:t xml:space="preserve">determining </w:t>
      </w:r>
      <w:r w:rsidRPr="00C31A7E">
        <w:rPr>
          <w:webHidden/>
        </w:rPr>
        <w:t xml:space="preserve">whether customers </w:t>
      </w:r>
      <w:r w:rsidR="00C16D5F">
        <w:rPr>
          <w:webHidden/>
        </w:rPr>
        <w:t xml:space="preserve">have </w:t>
      </w:r>
      <w:r w:rsidRPr="00C31A7E">
        <w:rPr>
          <w:webHidden/>
        </w:rPr>
        <w:t>fund</w:t>
      </w:r>
      <w:r w:rsidR="00C16D5F">
        <w:rPr>
          <w:webHidden/>
        </w:rPr>
        <w:t>ed</w:t>
      </w:r>
      <w:r w:rsidRPr="00C31A7E">
        <w:rPr>
          <w:webHidden/>
        </w:rPr>
        <w:t xml:space="preserve"> </w:t>
      </w:r>
      <w:r w:rsidR="00090F40">
        <w:rPr>
          <w:webHidden/>
        </w:rPr>
        <w:t xml:space="preserve">significantly </w:t>
      </w:r>
      <w:r w:rsidRPr="00C31A7E">
        <w:rPr>
          <w:webHidden/>
        </w:rPr>
        <w:t xml:space="preserve">excessive earnings, </w:t>
      </w:r>
      <w:r w:rsidR="00C16D5F">
        <w:rPr>
          <w:webHidden/>
        </w:rPr>
        <w:t xml:space="preserve">and deserve a refund under </w:t>
      </w:r>
      <w:r w:rsidRPr="00C31A7E">
        <w:rPr>
          <w:webHidden/>
        </w:rPr>
        <w:t>R.C. 4928.143(F) and Supreme Court</w:t>
      </w:r>
      <w:r w:rsidR="00A75107">
        <w:rPr>
          <w:webHidden/>
        </w:rPr>
        <w:t xml:space="preserve"> of Ohio</w:t>
      </w:r>
      <w:r w:rsidRPr="00C31A7E">
        <w:rPr>
          <w:webHidden/>
        </w:rPr>
        <w:t xml:space="preserve"> precedent.</w:t>
      </w:r>
      <w:bookmarkEnd w:id="0"/>
      <w:r w:rsidR="00665634">
        <w:rPr>
          <w:webHidden/>
        </w:rPr>
        <w:t xml:space="preserve">  This </w:t>
      </w:r>
      <w:r w:rsidR="00811F7D">
        <w:rPr>
          <w:webHidden/>
        </w:rPr>
        <w:t>limits the potential refund to customers for significantly excessive earnings under a utility's electric security plan.</w:t>
      </w:r>
    </w:p>
    <w:p w:rsidR="000615C7" w:rsidP="00C31A7E">
      <w:pPr>
        <w:rPr>
          <w:webHidden/>
        </w:rPr>
        <w:sectPr w:rsidSect="00FF372A">
          <w:footerReference w:type="default" r:id="rId7"/>
          <w:pgSz w:w="12240" w:h="15840"/>
          <w:pgMar w:top="1440" w:right="1800" w:bottom="1440" w:left="1800" w:header="720" w:footer="720" w:gutter="0"/>
          <w:pgNumType w:start="2"/>
          <w:cols w:space="720"/>
          <w:docGrid w:linePitch="360"/>
        </w:sectPr>
      </w:pPr>
      <w:r>
        <w:rPr>
          <w:webHidden/>
        </w:rPr>
        <w:t>ASSIGNMENT OF ERROR 6:  The PUCO’s Opinion and Order is unreasonable</w:t>
      </w:r>
      <w:r w:rsidR="00BD5B62">
        <w:rPr>
          <w:webHidden/>
        </w:rPr>
        <w:t xml:space="preserve"> and against the public interest</w:t>
      </w:r>
      <w:r>
        <w:rPr>
          <w:webHidden/>
        </w:rPr>
        <w:t xml:space="preserve"> because, contrary to the PUCO’s assertion, the cost allocation </w:t>
      </w:r>
      <w:r w:rsidR="00C27258">
        <w:rPr>
          <w:webHidden/>
        </w:rPr>
        <w:t xml:space="preserve">to residential consumers who pay </w:t>
      </w:r>
      <w:r>
        <w:rPr>
          <w:webHidden/>
        </w:rPr>
        <w:t xml:space="preserve">the </w:t>
      </w:r>
      <w:r w:rsidR="00FE49F5">
        <w:rPr>
          <w:webHidden/>
        </w:rPr>
        <w:t>D</w:t>
      </w:r>
      <w:r w:rsidR="00C16D5F">
        <w:rPr>
          <w:webHidden/>
        </w:rPr>
        <w:t xml:space="preserve">istribution </w:t>
      </w:r>
      <w:r w:rsidR="00FE49F5">
        <w:rPr>
          <w:webHidden/>
        </w:rPr>
        <w:t>M</w:t>
      </w:r>
      <w:r w:rsidR="00C16D5F">
        <w:rPr>
          <w:webHidden/>
        </w:rPr>
        <w:t xml:space="preserve">odernization </w:t>
      </w:r>
      <w:r w:rsidR="00FE49F5">
        <w:rPr>
          <w:webHidden/>
        </w:rPr>
        <w:t>R</w:t>
      </w:r>
      <w:r w:rsidR="00C16D5F">
        <w:rPr>
          <w:webHidden/>
        </w:rPr>
        <w:t>ider i</w:t>
      </w:r>
      <w:r>
        <w:rPr>
          <w:webHidden/>
        </w:rPr>
        <w:t xml:space="preserve">s not based on the cost allocation of DP&amp;L’s existing nonbypassable rider and </w:t>
      </w:r>
      <w:r w:rsidR="00C27258">
        <w:rPr>
          <w:webHidden/>
        </w:rPr>
        <w:t xml:space="preserve">therefore </w:t>
      </w:r>
      <w:r>
        <w:rPr>
          <w:webHidden/>
        </w:rPr>
        <w:t xml:space="preserve">harms </w:t>
      </w:r>
      <w:r w:rsidR="00C27258">
        <w:rPr>
          <w:webHidden/>
        </w:rPr>
        <w:t xml:space="preserve">residential </w:t>
      </w:r>
      <w:r>
        <w:rPr>
          <w:webHidden/>
        </w:rPr>
        <w:t>consumers</w:t>
      </w:r>
      <w:r w:rsidR="00C27258">
        <w:rPr>
          <w:webHidden/>
        </w:rPr>
        <w:t xml:space="preserve"> by charging them too much</w:t>
      </w:r>
      <w:r>
        <w:rPr>
          <w:webHidden/>
        </w:rPr>
        <w:t>.</w:t>
      </w:r>
    </w:p>
    <w:p w:rsidR="006849DE" w:rsidRPr="006849DE" w:rsidP="005D2BB7">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sidR="00D07046">
        <w:rPr>
          <w:rFonts w:eastAsiaTheme="minorEastAsia" w:cs="Times New Roman"/>
          <w:szCs w:val="24"/>
        </w:rPr>
        <w:tab/>
      </w:r>
      <w:r w:rsidRPr="006849DE" w:rsidR="00D07046">
        <w:rPr>
          <w:rFonts w:eastAsiaTheme="minorEastAsia" w:cs="Times New Roman"/>
          <w:szCs w:val="24"/>
        </w:rPr>
        <w:tab/>
      </w:r>
    </w:p>
    <w:p w:rsidR="00BC164A" w:rsidRPr="006849DE" w:rsidP="00BC164A">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Pr>
          <w:rFonts w:eastAsiaTheme="minorEastAsia" w:cs="Times New Roman"/>
          <w:szCs w:val="24"/>
        </w:rPr>
        <w:t xml:space="preserve">BRUCE </w:t>
      </w:r>
      <w:r w:rsidRPr="006849DE">
        <w:rPr>
          <w:rFonts w:eastAsiaTheme="minorEastAsia" w:cs="Times New Roman"/>
          <w:szCs w:val="24"/>
        </w:rPr>
        <w:t>WESTON (0016973)</w:t>
      </w:r>
    </w:p>
    <w:p w:rsidR="00BC164A" w:rsidRPr="006849DE" w:rsidP="00BC164A">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OHIO CONSUMERS’ COUNSEL</w:t>
      </w:r>
    </w:p>
    <w:p w:rsidR="00BC164A" w:rsidP="00BC164A">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p>
    <w:p w:rsidR="00AA5AFA" w:rsidP="00BC164A">
      <w:pPr>
        <w:spacing w:after="0" w:line="240" w:lineRule="auto"/>
        <w:rPr>
          <w:rFonts w:eastAsiaTheme="minorEastAsia" w:cs="Times New Roman"/>
          <w:szCs w:val="24"/>
        </w:rPr>
      </w:pPr>
    </w:p>
    <w:p w:rsidR="00AA5AFA" w:rsidRPr="00AA5AFA" w:rsidP="00BC164A">
      <w:pPr>
        <w:spacing w:after="0" w:line="240" w:lineRule="auto"/>
        <w:rPr>
          <w:rFonts w:eastAsiaTheme="minorEastAsia" w:cs="Times New Roman"/>
          <w:i/>
          <w:szCs w:val="24"/>
          <w:u w:val="single"/>
        </w:rPr>
      </w:pP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i/>
          <w:szCs w:val="24"/>
          <w:u w:val="single"/>
        </w:rPr>
        <w:t>/s/ William J. Michael_______</w:t>
      </w:r>
    </w:p>
    <w:p w:rsidR="00BC164A" w:rsidRPr="006849DE" w:rsidP="00BC164A">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William J. Michael (0070921)</w:t>
      </w:r>
    </w:p>
    <w:p w:rsidR="00BC164A" w:rsidRPr="006849DE" w:rsidP="00BC164A">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Counsel of Record</w:t>
      </w:r>
    </w:p>
    <w:p w:rsidR="00BC164A" w:rsidRPr="006849DE" w:rsidP="00BC164A">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Kevin F. Moore (0089228)</w:t>
      </w:r>
    </w:p>
    <w:p w:rsidR="00BC164A" w:rsidRPr="006849DE" w:rsidP="00BC164A">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Assistant Consumers’ Counsel</w:t>
      </w:r>
    </w:p>
    <w:p w:rsidR="00BC164A" w:rsidRPr="006849DE" w:rsidP="00BC164A">
      <w:pPr>
        <w:spacing w:after="0" w:line="240" w:lineRule="auto"/>
        <w:rPr>
          <w:rFonts w:eastAsiaTheme="minorEastAsia" w:cs="Times New Roman"/>
          <w:szCs w:val="24"/>
        </w:rPr>
      </w:pPr>
    </w:p>
    <w:p w:rsidR="00BC164A" w:rsidRPr="006849DE" w:rsidP="00BC164A">
      <w:pPr>
        <w:spacing w:after="0" w:line="240" w:lineRule="auto"/>
        <w:rPr>
          <w:rFonts w:eastAsiaTheme="minorEastAsia" w:cs="Times New Roman"/>
          <w:b/>
          <w:szCs w:val="24"/>
        </w:rPr>
      </w:pPr>
      <w:r w:rsidRPr="006849DE">
        <w:rPr>
          <w:rFonts w:eastAsiaTheme="minorEastAsia" w:cs="Times New Roman"/>
          <w:b/>
          <w:szCs w:val="24"/>
        </w:rPr>
        <w:tab/>
      </w:r>
      <w:r w:rsidRPr="006849DE">
        <w:rPr>
          <w:rFonts w:eastAsiaTheme="minorEastAsia" w:cs="Times New Roman"/>
          <w:b/>
          <w:szCs w:val="24"/>
        </w:rPr>
        <w:tab/>
      </w:r>
      <w:r w:rsidRPr="006849DE">
        <w:rPr>
          <w:rFonts w:eastAsiaTheme="minorEastAsia" w:cs="Times New Roman"/>
          <w:b/>
          <w:szCs w:val="24"/>
        </w:rPr>
        <w:tab/>
      </w:r>
      <w:r w:rsidRPr="006849DE">
        <w:rPr>
          <w:rFonts w:eastAsiaTheme="minorEastAsia" w:cs="Times New Roman"/>
          <w:b/>
          <w:szCs w:val="24"/>
        </w:rPr>
        <w:tab/>
      </w:r>
      <w:r w:rsidRPr="006849DE">
        <w:rPr>
          <w:rFonts w:eastAsiaTheme="minorEastAsia" w:cs="Times New Roman"/>
          <w:b/>
          <w:szCs w:val="24"/>
        </w:rPr>
        <w:tab/>
      </w:r>
      <w:r w:rsidRPr="006849DE">
        <w:rPr>
          <w:rFonts w:eastAsiaTheme="minorEastAsia" w:cs="Times New Roman"/>
          <w:b/>
          <w:szCs w:val="24"/>
        </w:rPr>
        <w:tab/>
        <w:t>Office of the Ohio Consumers’ Counsel</w:t>
      </w:r>
    </w:p>
    <w:p w:rsidR="00BC164A" w:rsidRPr="006849DE" w:rsidP="00BC164A">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10 W. Broad Street, Suite 1800</w:t>
      </w:r>
    </w:p>
    <w:p w:rsidR="00BC164A" w:rsidRPr="006849DE" w:rsidP="00BC164A">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Columbus, Ohio 43215-3485</w:t>
      </w:r>
    </w:p>
    <w:p w:rsidR="00BC164A" w:rsidRPr="006849DE" w:rsidP="00BC164A">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Telephone [Michael]: 614-466-1291</w:t>
      </w:r>
    </w:p>
    <w:p w:rsidR="00BC164A" w:rsidRPr="006849DE" w:rsidP="00BC164A">
      <w:pPr>
        <w:spacing w:after="0" w:line="240" w:lineRule="auto"/>
        <w:rPr>
          <w:rFonts w:eastAsiaTheme="minorEastAsia" w:cs="Times New Roman"/>
          <w:szCs w:val="24"/>
        </w:rPr>
      </w:pPr>
      <w:r w:rsidRPr="006849DE">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sidRPr="006849DE">
        <w:rPr>
          <w:rFonts w:eastAsiaTheme="minorEastAsia" w:cs="Times New Roman"/>
          <w:szCs w:val="24"/>
        </w:rPr>
        <w:t>Telephone [Moore]: 614-</w:t>
      </w:r>
      <w:r>
        <w:rPr>
          <w:rFonts w:eastAsiaTheme="minorEastAsia" w:cs="Times New Roman"/>
          <w:szCs w:val="24"/>
        </w:rPr>
        <w:t>387-2965</w:t>
      </w:r>
    </w:p>
    <w:p w:rsidR="00BC164A" w:rsidRPr="006849DE" w:rsidP="00BC164A">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F12BEE" w:rsidR="009E2C6E">
        <w:rPr>
          <w:rStyle w:val="DefaultParagraphFont"/>
          <w:rFonts w:eastAsiaTheme="minorEastAsia" w:cs="Times New Roman"/>
          <w:szCs w:val="24"/>
        </w:rPr>
        <w:t>William.michael@occ.ohio.gov</w:t>
      </w:r>
    </w:p>
    <w:p w:rsidR="00BC164A" w:rsidRPr="006849DE" w:rsidP="00BC164A">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F12BEE" w:rsidR="009E2C6E">
        <w:rPr>
          <w:rStyle w:val="DefaultParagraphFont"/>
          <w:rFonts w:eastAsiaTheme="minorEastAsia" w:cs="Times New Roman"/>
          <w:szCs w:val="24"/>
        </w:rPr>
        <w:t>Kevin.moore@occ.ohio.gov</w:t>
      </w:r>
      <w:r w:rsidR="009E2C6E">
        <w:rPr>
          <w:rFonts w:eastAsiaTheme="minorEastAsia" w:cs="Times New Roman"/>
          <w:szCs w:val="24"/>
        </w:rPr>
        <w:t xml:space="preserve"> </w:t>
      </w:r>
    </w:p>
    <w:p w:rsidR="00B147D0" w:rsidP="00B147D0">
      <w:pPr>
        <w:spacing w:after="0" w:line="240" w:lineRule="auto"/>
        <w:rPr>
          <w:rFonts w:eastAsiaTheme="minorEastAsia" w:cs="Times New Roman"/>
          <w:szCs w:val="24"/>
        </w:rPr>
        <w:sectPr w:rsidSect="002F60AD">
          <w:pgSz w:w="12240" w:h="15840"/>
          <w:pgMar w:top="1440" w:right="1800" w:bottom="1440" w:left="1800" w:header="720" w:footer="720" w:gutter="0"/>
          <w:cols w:space="720"/>
          <w:docGrid w:linePitch="360"/>
        </w:sectPr>
      </w:pP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sidRPr="006849DE">
        <w:rPr>
          <w:rFonts w:eastAsiaTheme="minorEastAsia" w:cs="Times New Roman"/>
          <w:szCs w:val="24"/>
        </w:rPr>
        <w:t xml:space="preserve">(All attorneys will accept service via email) </w:t>
      </w:r>
    </w:p>
    <w:p w:rsidR="00C42DE6" w:rsidRPr="006849DE" w:rsidP="00B147D0">
      <w:pPr>
        <w:spacing w:after="0" w:line="240" w:lineRule="auto"/>
        <w:jc w:val="center"/>
        <w:rPr>
          <w:rFonts w:eastAsia="Courier New" w:cs="Times New Roman"/>
          <w:b/>
          <w:bCs/>
          <w:szCs w:val="24"/>
        </w:rPr>
      </w:pPr>
      <w:r w:rsidRPr="006849DE">
        <w:rPr>
          <w:rFonts w:eastAsia="Courier New" w:cs="Times New Roman"/>
          <w:b/>
          <w:bCs/>
          <w:szCs w:val="24"/>
        </w:rPr>
        <w:t>TABLE OF CONTENTS</w:t>
      </w:r>
    </w:p>
    <w:p w:rsidR="00C42DE6" w:rsidRPr="006849DE" w:rsidP="00C42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Courier New" w:cs="Times New Roman"/>
          <w:b/>
          <w:bCs/>
          <w:szCs w:val="24"/>
        </w:rPr>
      </w:pPr>
      <w:r w:rsidRPr="006849DE">
        <w:rPr>
          <w:rFonts w:eastAsia="Courier New" w:cs="Times New Roman"/>
          <w:b/>
          <w:bCs/>
          <w:szCs w:val="24"/>
        </w:rPr>
        <w:t>PAGE</w:t>
      </w:r>
    </w:p>
    <w:p w:rsidR="00B147D0" w:rsidP="00C42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p>
    <w:p w:rsidR="00FF372A">
      <w:pPr>
        <w:pStyle w:val="TOC1"/>
        <w:rPr>
          <w:rFonts w:asciiTheme="minorHAnsi" w:eastAsiaTheme="minorEastAsia" w:hAnsiTheme="minorHAnsi"/>
          <w:b w:val="0"/>
          <w:caps w:val="0"/>
          <w:noProof/>
          <w:sz w:val="22"/>
        </w:rPr>
      </w:pPr>
      <w:r>
        <w:rPr>
          <w:rFonts w:eastAsia="Courier New" w:cs="Times New Roman"/>
          <w:szCs w:val="24"/>
        </w:rPr>
        <w:fldChar w:fldCharType="begin"/>
      </w:r>
      <w:r>
        <w:rPr>
          <w:rFonts w:eastAsia="Courier New" w:cs="Times New Roman"/>
          <w:szCs w:val="24"/>
        </w:rPr>
        <w:instrText xml:space="preserve"> TOC \o "1-2" \h \z \u </w:instrText>
      </w:r>
      <w:r>
        <w:rPr>
          <w:rFonts w:eastAsia="Courier New" w:cs="Times New Roman"/>
          <w:szCs w:val="24"/>
        </w:rPr>
        <w:fldChar w:fldCharType="separate"/>
      </w:r>
      <w:r>
        <w:fldChar w:fldCharType="begin"/>
      </w:r>
      <w:r>
        <w:instrText xml:space="preserve"> HYPERLINK \l "_Toc498952102" </w:instrText>
      </w:r>
      <w:r>
        <w:fldChar w:fldCharType="separate"/>
      </w:r>
      <w:r w:rsidRPr="006E3688">
        <w:rPr>
          <w:rStyle w:val="Hyperlink"/>
          <w:rFonts w:eastAsia="Courier New" w:cs="Times New Roman"/>
          <w:noProof/>
        </w:rPr>
        <w:t>I.</w:t>
      </w:r>
      <w:r>
        <w:rPr>
          <w:rFonts w:asciiTheme="minorHAnsi" w:eastAsiaTheme="minorEastAsia" w:hAnsiTheme="minorHAnsi"/>
          <w:b w:val="0"/>
          <w:caps w:val="0"/>
          <w:noProof/>
          <w:sz w:val="22"/>
        </w:rPr>
        <w:tab/>
      </w:r>
      <w:r w:rsidRPr="006E3688">
        <w:rPr>
          <w:rStyle w:val="Hyperlink"/>
          <w:rFonts w:eastAsia="Courier New" w:cs="Times New Roman"/>
          <w:noProof/>
        </w:rPr>
        <w:t>INTRODUCTION</w:t>
      </w:r>
      <w:r>
        <w:rPr>
          <w:noProof/>
          <w:webHidden/>
        </w:rPr>
        <w:tab/>
      </w:r>
      <w:r>
        <w:rPr>
          <w:noProof/>
          <w:webHidden/>
        </w:rPr>
        <w:fldChar w:fldCharType="begin"/>
      </w:r>
      <w:r>
        <w:rPr>
          <w:noProof/>
          <w:webHidden/>
        </w:rPr>
        <w:instrText xml:space="preserve"> PAGEREF _Toc498952102 \h </w:instrText>
      </w:r>
      <w:r>
        <w:rPr>
          <w:noProof/>
          <w:webHidden/>
        </w:rPr>
        <w:fldChar w:fldCharType="separate"/>
      </w:r>
      <w:r>
        <w:rPr>
          <w:noProof/>
          <w:webHidden/>
        </w:rPr>
        <w:t>1</w:t>
      </w:r>
      <w:r>
        <w:rPr>
          <w:noProof/>
          <w:webHidden/>
        </w:rPr>
        <w:fldChar w:fldCharType="end"/>
      </w:r>
      <w:r>
        <w:fldChar w:fldCharType="end"/>
      </w:r>
    </w:p>
    <w:p w:rsidR="00FF372A">
      <w:pPr>
        <w:pStyle w:val="TOC1"/>
        <w:rPr>
          <w:rFonts w:asciiTheme="minorHAnsi" w:eastAsiaTheme="minorEastAsia" w:hAnsiTheme="minorHAnsi"/>
          <w:b w:val="0"/>
          <w:caps w:val="0"/>
          <w:noProof/>
          <w:sz w:val="22"/>
        </w:rPr>
      </w:pPr>
      <w:r>
        <w:fldChar w:fldCharType="begin"/>
      </w:r>
      <w:r>
        <w:instrText xml:space="preserve"> HYPERLINK \l "_Toc498952103" </w:instrText>
      </w:r>
      <w:r>
        <w:fldChar w:fldCharType="separate"/>
      </w:r>
      <w:r w:rsidRPr="006E3688">
        <w:rPr>
          <w:rStyle w:val="Hyperlink"/>
          <w:rFonts w:cs="Times New Roman"/>
          <w:noProof/>
        </w:rPr>
        <w:t>II.</w:t>
      </w:r>
      <w:r>
        <w:rPr>
          <w:rFonts w:asciiTheme="minorHAnsi" w:eastAsiaTheme="minorEastAsia" w:hAnsiTheme="minorHAnsi"/>
          <w:b w:val="0"/>
          <w:caps w:val="0"/>
          <w:noProof/>
          <w:sz w:val="22"/>
        </w:rPr>
        <w:tab/>
      </w:r>
      <w:r w:rsidRPr="006E3688">
        <w:rPr>
          <w:rStyle w:val="Hyperlink"/>
          <w:rFonts w:cs="Times New Roman"/>
          <w:noProof/>
        </w:rPr>
        <w:t>STANDARD OF REVIEW</w:t>
      </w:r>
      <w:r>
        <w:rPr>
          <w:noProof/>
          <w:webHidden/>
        </w:rPr>
        <w:tab/>
      </w:r>
      <w:r>
        <w:rPr>
          <w:noProof/>
          <w:webHidden/>
        </w:rPr>
        <w:fldChar w:fldCharType="begin"/>
      </w:r>
      <w:r>
        <w:rPr>
          <w:noProof/>
          <w:webHidden/>
        </w:rPr>
        <w:instrText xml:space="preserve"> PAGEREF _Toc498952103 \h </w:instrText>
      </w:r>
      <w:r>
        <w:rPr>
          <w:noProof/>
          <w:webHidden/>
        </w:rPr>
        <w:fldChar w:fldCharType="separate"/>
      </w:r>
      <w:r>
        <w:rPr>
          <w:noProof/>
          <w:webHidden/>
        </w:rPr>
        <w:t>3</w:t>
      </w:r>
      <w:r>
        <w:rPr>
          <w:noProof/>
          <w:webHidden/>
        </w:rPr>
        <w:fldChar w:fldCharType="end"/>
      </w:r>
      <w:r>
        <w:fldChar w:fldCharType="end"/>
      </w:r>
    </w:p>
    <w:p w:rsidR="00FF372A">
      <w:pPr>
        <w:pStyle w:val="TOC1"/>
        <w:rPr>
          <w:rFonts w:asciiTheme="minorHAnsi" w:eastAsiaTheme="minorEastAsia" w:hAnsiTheme="minorHAnsi"/>
          <w:b w:val="0"/>
          <w:caps w:val="0"/>
          <w:noProof/>
          <w:sz w:val="22"/>
        </w:rPr>
      </w:pPr>
      <w:r>
        <w:fldChar w:fldCharType="begin"/>
      </w:r>
      <w:r>
        <w:instrText xml:space="preserve"> HYPERLINK \l "_Toc498952104" </w:instrText>
      </w:r>
      <w:r>
        <w:fldChar w:fldCharType="separate"/>
      </w:r>
      <w:r w:rsidRPr="006E3688">
        <w:rPr>
          <w:rStyle w:val="Hyperlink"/>
          <w:rFonts w:cs="Times New Roman"/>
          <w:noProof/>
        </w:rPr>
        <w:t>III.</w:t>
      </w:r>
      <w:r>
        <w:rPr>
          <w:rFonts w:asciiTheme="minorHAnsi" w:eastAsiaTheme="minorEastAsia" w:hAnsiTheme="minorHAnsi"/>
          <w:b w:val="0"/>
          <w:caps w:val="0"/>
          <w:noProof/>
          <w:sz w:val="22"/>
        </w:rPr>
        <w:tab/>
      </w:r>
      <w:r w:rsidRPr="006E3688">
        <w:rPr>
          <w:rStyle w:val="Hyperlink"/>
          <w:rFonts w:cs="Times New Roman"/>
          <w:noProof/>
        </w:rPr>
        <w:t>RECOMMENDATIONS</w:t>
      </w:r>
      <w:r>
        <w:rPr>
          <w:noProof/>
          <w:webHidden/>
        </w:rPr>
        <w:tab/>
      </w:r>
      <w:r>
        <w:rPr>
          <w:noProof/>
          <w:webHidden/>
        </w:rPr>
        <w:fldChar w:fldCharType="begin"/>
      </w:r>
      <w:r>
        <w:rPr>
          <w:noProof/>
          <w:webHidden/>
        </w:rPr>
        <w:instrText xml:space="preserve"> PAGEREF _Toc498952104 \h </w:instrText>
      </w:r>
      <w:r>
        <w:rPr>
          <w:noProof/>
          <w:webHidden/>
        </w:rPr>
        <w:fldChar w:fldCharType="separate"/>
      </w:r>
      <w:r>
        <w:rPr>
          <w:noProof/>
          <w:webHidden/>
        </w:rPr>
        <w:t>4</w:t>
      </w:r>
      <w:r>
        <w:rPr>
          <w:noProof/>
          <w:webHidden/>
        </w:rPr>
        <w:fldChar w:fldCharType="end"/>
      </w:r>
      <w:r>
        <w:fldChar w:fldCharType="end"/>
      </w:r>
    </w:p>
    <w:p w:rsidR="00FF372A">
      <w:pPr>
        <w:pStyle w:val="TOC2"/>
        <w:rPr>
          <w:rFonts w:asciiTheme="minorHAnsi" w:eastAsiaTheme="minorEastAsia" w:hAnsiTheme="minorHAnsi" w:cstheme="minorBidi"/>
          <w:b w:val="0"/>
          <w:bCs w:val="0"/>
          <w:sz w:val="22"/>
        </w:rPr>
      </w:pPr>
      <w:r>
        <w:fldChar w:fldCharType="begin"/>
      </w:r>
      <w:r>
        <w:instrText xml:space="preserve"> HYPERLINK \l "_Toc498952105" </w:instrText>
      </w:r>
      <w:r>
        <w:fldChar w:fldCharType="separate"/>
      </w:r>
      <w:r w:rsidRPr="006E3688">
        <w:rPr>
          <w:rStyle w:val="Hyperlink"/>
        </w:rPr>
        <w:t>ASSIGNMENT OF ERROR 1:  The PUCO’s Opinion and Order is unlawful because the PUCO found that DP&amp;L’s electric security plan is more favorable in the aggregate than a market rate offer for consumers, depriving them of a less expensive market rate offer. In doing so, the PUCO violated R.C. 4928.143 and important regulatory principles and practice.</w:t>
      </w:r>
      <w:r>
        <w:rPr>
          <w:webHidden/>
        </w:rPr>
        <w:tab/>
      </w:r>
      <w:r>
        <w:rPr>
          <w:webHidden/>
        </w:rPr>
        <w:fldChar w:fldCharType="begin"/>
      </w:r>
      <w:r>
        <w:rPr>
          <w:webHidden/>
        </w:rPr>
        <w:instrText xml:space="preserve"> PAGEREF _Toc498952105 \h </w:instrText>
      </w:r>
      <w:r>
        <w:rPr>
          <w:webHidden/>
        </w:rPr>
        <w:fldChar w:fldCharType="separate"/>
      </w:r>
      <w:r>
        <w:rPr>
          <w:webHidden/>
        </w:rPr>
        <w:t>4</w:t>
      </w:r>
      <w:r>
        <w:rPr>
          <w:webHidden/>
        </w:rPr>
        <w:fldChar w:fldCharType="end"/>
      </w:r>
      <w:r>
        <w:fldChar w:fldCharType="end"/>
      </w:r>
    </w:p>
    <w:p w:rsidR="00FF372A">
      <w:pPr>
        <w:pStyle w:val="TOC2"/>
        <w:rPr>
          <w:rFonts w:asciiTheme="minorHAnsi" w:eastAsiaTheme="minorEastAsia" w:hAnsiTheme="minorHAnsi" w:cstheme="minorBidi"/>
          <w:b w:val="0"/>
          <w:bCs w:val="0"/>
          <w:sz w:val="22"/>
        </w:rPr>
      </w:pPr>
      <w:r>
        <w:fldChar w:fldCharType="begin"/>
      </w:r>
      <w:r>
        <w:instrText xml:space="preserve"> HYPERLINK \l "_Toc498952106" </w:instrText>
      </w:r>
      <w:r>
        <w:fldChar w:fldCharType="separate"/>
      </w:r>
      <w:r w:rsidRPr="006E3688">
        <w:rPr>
          <w:rStyle w:val="Hyperlink"/>
        </w:rPr>
        <w:t>ASSIGNMENT OF ERROR 2: The PUCO’s Opinion and Order is unlawful because it allowed DP&amp;L to charge customers (through the Distribution Modernization Rider and the Reconciliation Rider) for transition costs or "any equivalent revenue" that customers are no longer required to pay.  The PUCO's decision harmed customers by increasing the rates they pay and was contrary to R.C. 4928.38 and important regulatory principles and practice.</w:t>
      </w:r>
      <w:r>
        <w:rPr>
          <w:webHidden/>
        </w:rPr>
        <w:tab/>
      </w:r>
      <w:r>
        <w:rPr>
          <w:webHidden/>
        </w:rPr>
        <w:fldChar w:fldCharType="begin"/>
      </w:r>
      <w:r>
        <w:rPr>
          <w:webHidden/>
        </w:rPr>
        <w:instrText xml:space="preserve"> PAGEREF _Toc498952106 \h </w:instrText>
      </w:r>
      <w:r>
        <w:rPr>
          <w:webHidden/>
        </w:rPr>
        <w:fldChar w:fldCharType="separate"/>
      </w:r>
      <w:r>
        <w:rPr>
          <w:webHidden/>
        </w:rPr>
        <w:t>5</w:t>
      </w:r>
      <w:r>
        <w:rPr>
          <w:webHidden/>
        </w:rPr>
        <w:fldChar w:fldCharType="end"/>
      </w:r>
      <w:r>
        <w:fldChar w:fldCharType="end"/>
      </w:r>
    </w:p>
    <w:p w:rsidR="00FF372A">
      <w:pPr>
        <w:pStyle w:val="TOC2"/>
        <w:rPr>
          <w:rFonts w:asciiTheme="minorHAnsi" w:eastAsiaTheme="minorEastAsia" w:hAnsiTheme="minorHAnsi" w:cstheme="minorBidi"/>
          <w:b w:val="0"/>
          <w:bCs w:val="0"/>
          <w:sz w:val="22"/>
        </w:rPr>
      </w:pPr>
      <w:r>
        <w:fldChar w:fldCharType="begin"/>
      </w:r>
      <w:r>
        <w:instrText xml:space="preserve"> HYPERLINK \l "_Toc498952107" </w:instrText>
      </w:r>
      <w:r>
        <w:fldChar w:fldCharType="separate"/>
      </w:r>
      <w:r w:rsidRPr="006E3688">
        <w:rPr>
          <w:rStyle w:val="Hyperlink"/>
        </w:rPr>
        <w:t>ASSIGNMENT OF ERROR 3:  The PUCO’s Opinion and Order requires customers to subsidize economic development incentives. The PUCO's Opinion and Order lacked evidentiary support as required under R.C. 4903.09, 4928.143(B)(2)(i), and case law.</w:t>
      </w:r>
      <w:r>
        <w:rPr>
          <w:webHidden/>
        </w:rPr>
        <w:tab/>
      </w:r>
      <w:r>
        <w:rPr>
          <w:webHidden/>
        </w:rPr>
        <w:fldChar w:fldCharType="begin"/>
      </w:r>
      <w:r>
        <w:rPr>
          <w:webHidden/>
        </w:rPr>
        <w:instrText xml:space="preserve"> PAGEREF _Toc498952107 \h </w:instrText>
      </w:r>
      <w:r>
        <w:rPr>
          <w:webHidden/>
        </w:rPr>
        <w:fldChar w:fldCharType="separate"/>
      </w:r>
      <w:r>
        <w:rPr>
          <w:webHidden/>
        </w:rPr>
        <w:t>6</w:t>
      </w:r>
      <w:r>
        <w:rPr>
          <w:webHidden/>
        </w:rPr>
        <w:fldChar w:fldCharType="end"/>
      </w:r>
      <w:r>
        <w:fldChar w:fldCharType="end"/>
      </w:r>
    </w:p>
    <w:p w:rsidR="00FF372A">
      <w:pPr>
        <w:pStyle w:val="TOC2"/>
        <w:rPr>
          <w:rFonts w:asciiTheme="minorHAnsi" w:eastAsiaTheme="minorEastAsia" w:hAnsiTheme="minorHAnsi" w:cstheme="minorBidi"/>
          <w:b w:val="0"/>
          <w:bCs w:val="0"/>
          <w:sz w:val="22"/>
        </w:rPr>
      </w:pPr>
      <w:r>
        <w:fldChar w:fldCharType="begin"/>
      </w:r>
      <w:r>
        <w:instrText xml:space="preserve"> HYPERLINK \l "_Toc498952108" </w:instrText>
      </w:r>
      <w:r>
        <w:fldChar w:fldCharType="separate"/>
      </w:r>
      <w:r w:rsidRPr="006E3688">
        <w:rPr>
          <w:rStyle w:val="Hyperlink"/>
        </w:rPr>
        <w:t>ASSIGNMENT OF ERROR 4: The PUCO’s Opinion and Order is unreasonable and unlawful because it requires customers to pay for the Distribution Modernization Rider, contrary to the PUCO’s Finding and Order in In the Matter of the Application of AES Corporation, Case No. 11-3002-EL-MER.  That PUCO Finding and Order bars charging consumers for the Distribution Modernization Rider.</w:t>
      </w:r>
      <w:r>
        <w:rPr>
          <w:webHidden/>
        </w:rPr>
        <w:tab/>
      </w:r>
      <w:r>
        <w:rPr>
          <w:webHidden/>
        </w:rPr>
        <w:fldChar w:fldCharType="begin"/>
      </w:r>
      <w:r>
        <w:rPr>
          <w:webHidden/>
        </w:rPr>
        <w:instrText xml:space="preserve"> PAGEREF _Toc498952108 \h </w:instrText>
      </w:r>
      <w:r>
        <w:rPr>
          <w:webHidden/>
        </w:rPr>
        <w:fldChar w:fldCharType="separate"/>
      </w:r>
      <w:r>
        <w:rPr>
          <w:webHidden/>
        </w:rPr>
        <w:t>6</w:t>
      </w:r>
      <w:r>
        <w:rPr>
          <w:webHidden/>
        </w:rPr>
        <w:fldChar w:fldCharType="end"/>
      </w:r>
      <w:r>
        <w:fldChar w:fldCharType="end"/>
      </w:r>
    </w:p>
    <w:p w:rsidR="00FF372A">
      <w:pPr>
        <w:pStyle w:val="TOC2"/>
        <w:rPr>
          <w:rFonts w:asciiTheme="minorHAnsi" w:eastAsiaTheme="minorEastAsia" w:hAnsiTheme="minorHAnsi" w:cstheme="minorBidi"/>
          <w:b w:val="0"/>
          <w:bCs w:val="0"/>
          <w:sz w:val="22"/>
        </w:rPr>
      </w:pPr>
      <w:r>
        <w:fldChar w:fldCharType="begin"/>
      </w:r>
      <w:r>
        <w:instrText xml:space="preserve"> HYPERLINK \l "_Toc498952109" </w:instrText>
      </w:r>
      <w:r>
        <w:fldChar w:fldCharType="separate"/>
      </w:r>
      <w:r w:rsidRPr="006E3688">
        <w:rPr>
          <w:rStyle w:val="Hyperlink"/>
        </w:rPr>
        <w:t>ASSIGNMENT OF ERROR 5:  The PUCO’s Opinion and Order is unreasonable and unlawful because it does not consider distribution modernization revenues when determining whether customers have funded significantly excessive earnings, and deserve a refund under R.C. 4928.143(F) and Supreme Court of Ohio precedent.  This limits the potential refund to customers for significantly excessive earnings under a utility's electric security plan.</w:t>
      </w:r>
      <w:r>
        <w:rPr>
          <w:webHidden/>
        </w:rPr>
        <w:tab/>
      </w:r>
      <w:r>
        <w:rPr>
          <w:webHidden/>
        </w:rPr>
        <w:fldChar w:fldCharType="begin"/>
      </w:r>
      <w:r>
        <w:rPr>
          <w:webHidden/>
        </w:rPr>
        <w:instrText xml:space="preserve"> PAGEREF _Toc498952109 \h </w:instrText>
      </w:r>
      <w:r>
        <w:rPr>
          <w:webHidden/>
        </w:rPr>
        <w:fldChar w:fldCharType="separate"/>
      </w:r>
      <w:r>
        <w:rPr>
          <w:webHidden/>
        </w:rPr>
        <w:t>7</w:t>
      </w:r>
      <w:r>
        <w:rPr>
          <w:webHidden/>
        </w:rPr>
        <w:fldChar w:fldCharType="end"/>
      </w:r>
      <w:r>
        <w:fldChar w:fldCharType="end"/>
      </w:r>
    </w:p>
    <w:p w:rsidR="00FF372A">
      <w:pPr>
        <w:pStyle w:val="TOC2"/>
        <w:rPr>
          <w:rFonts w:asciiTheme="minorHAnsi" w:eastAsiaTheme="minorEastAsia" w:hAnsiTheme="minorHAnsi" w:cstheme="minorBidi"/>
          <w:b w:val="0"/>
          <w:bCs w:val="0"/>
          <w:sz w:val="22"/>
        </w:rPr>
      </w:pPr>
      <w:r>
        <w:fldChar w:fldCharType="begin"/>
      </w:r>
      <w:r>
        <w:instrText xml:space="preserve"> HYPERLINK \l "_Toc498952110" </w:instrText>
      </w:r>
      <w:r>
        <w:fldChar w:fldCharType="separate"/>
      </w:r>
      <w:r w:rsidRPr="006E3688">
        <w:rPr>
          <w:rStyle w:val="Hyperlink"/>
        </w:rPr>
        <w:t>ASSIGNMENT OF ERROR 6:  The PUCO’s Opinion and Order is unreasonable and against the public interest because, contrary to the PUCO’s assertion, the cost allocation to residential consumers who pay the Distribution Modernization Rider is not based on the cost allocation of DP&amp;L’s existing nonbypassable rider and therefore harms residential consumers by charging them too much.</w:t>
      </w:r>
      <w:r>
        <w:rPr>
          <w:webHidden/>
        </w:rPr>
        <w:tab/>
      </w:r>
      <w:r>
        <w:rPr>
          <w:webHidden/>
        </w:rPr>
        <w:fldChar w:fldCharType="begin"/>
      </w:r>
      <w:r>
        <w:rPr>
          <w:webHidden/>
        </w:rPr>
        <w:instrText xml:space="preserve"> PAGEREF _Toc498952110 \h </w:instrText>
      </w:r>
      <w:r>
        <w:rPr>
          <w:webHidden/>
        </w:rPr>
        <w:fldChar w:fldCharType="separate"/>
      </w:r>
      <w:r>
        <w:rPr>
          <w:webHidden/>
        </w:rPr>
        <w:t>8</w:t>
      </w:r>
      <w:r>
        <w:rPr>
          <w:webHidden/>
        </w:rPr>
        <w:fldChar w:fldCharType="end"/>
      </w:r>
      <w:r>
        <w:fldChar w:fldCharType="end"/>
      </w:r>
    </w:p>
    <w:p w:rsidR="00FF372A">
      <w:pPr>
        <w:pStyle w:val="TOC1"/>
        <w:rPr>
          <w:rStyle w:val="Hyperlink"/>
          <w:noProof/>
        </w:rPr>
        <w:sectPr w:rsidSect="0009793D">
          <w:footerReference w:type="default" r:id="rId8"/>
          <w:pgSz w:w="12240" w:h="15840"/>
          <w:pgMar w:top="810" w:right="1800" w:bottom="1440" w:left="1800" w:header="720" w:footer="720" w:gutter="0"/>
          <w:pgNumType w:fmt="lowerRoman" w:start="1"/>
          <w:cols w:space="720"/>
          <w:docGrid w:linePitch="360"/>
        </w:sectPr>
      </w:pPr>
      <w:r>
        <w:fldChar w:fldCharType="begin"/>
      </w:r>
      <w:r>
        <w:instrText xml:space="preserve"> HYPERLINK \l "_Toc498952111" </w:instrText>
      </w:r>
      <w:r>
        <w:fldChar w:fldCharType="separate"/>
      </w:r>
      <w:r w:rsidRPr="006E3688">
        <w:rPr>
          <w:rStyle w:val="Hyperlink"/>
          <w:rFonts w:cs="Times New Roman"/>
          <w:noProof/>
        </w:rPr>
        <w:t>IV.</w:t>
      </w:r>
      <w:r>
        <w:rPr>
          <w:rFonts w:asciiTheme="minorHAnsi" w:eastAsiaTheme="minorEastAsia" w:hAnsiTheme="minorHAnsi"/>
          <w:b w:val="0"/>
          <w:caps w:val="0"/>
          <w:noProof/>
          <w:sz w:val="22"/>
        </w:rPr>
        <w:tab/>
      </w:r>
      <w:r w:rsidRPr="006E3688">
        <w:rPr>
          <w:rStyle w:val="Hyperlink"/>
          <w:rFonts w:cs="Times New Roman"/>
          <w:noProof/>
        </w:rPr>
        <w:t>CONCLUSION</w:t>
      </w:r>
      <w:r>
        <w:rPr>
          <w:noProof/>
          <w:webHidden/>
        </w:rPr>
        <w:tab/>
      </w:r>
      <w:r>
        <w:rPr>
          <w:noProof/>
          <w:webHidden/>
        </w:rPr>
        <w:fldChar w:fldCharType="begin"/>
      </w:r>
      <w:r>
        <w:rPr>
          <w:noProof/>
          <w:webHidden/>
        </w:rPr>
        <w:instrText xml:space="preserve"> PAGEREF _Toc498952111 \h </w:instrText>
      </w:r>
      <w:r>
        <w:rPr>
          <w:noProof/>
          <w:webHidden/>
        </w:rPr>
        <w:fldChar w:fldCharType="separate"/>
      </w:r>
      <w:r>
        <w:rPr>
          <w:noProof/>
          <w:webHidden/>
        </w:rPr>
        <w:t>9</w:t>
      </w:r>
      <w:r>
        <w:rPr>
          <w:noProof/>
          <w:webHidden/>
        </w:rPr>
        <w:fldChar w:fldCharType="end"/>
      </w:r>
      <w:r>
        <w:fldChar w:fldCharType="end"/>
      </w:r>
    </w:p>
    <w:p w:rsidR="00C42DE6" w:rsidRPr="006849DE" w:rsidP="00FF372A">
      <w:pPr>
        <w:spacing w:after="0" w:line="240" w:lineRule="auto"/>
        <w:jc w:val="center"/>
        <w:rPr>
          <w:rFonts w:eastAsia="Courier New" w:cs="Times New Roman"/>
          <w:b/>
          <w:bCs/>
          <w:szCs w:val="24"/>
        </w:rPr>
      </w:pPr>
      <w:r>
        <w:rPr>
          <w:rFonts w:eastAsia="Courier New" w:cs="Times New Roman"/>
          <w:szCs w:val="24"/>
        </w:rPr>
        <w:fldChar w:fldCharType="end"/>
      </w:r>
      <w:r w:rsidRPr="006849DE">
        <w:rPr>
          <w:rFonts w:eastAsia="Courier New" w:cs="Times New Roman"/>
          <w:b/>
          <w:bCs/>
          <w:szCs w:val="24"/>
        </w:rPr>
        <w:t>BEFORE</w:t>
      </w:r>
    </w:p>
    <w:p w:rsidR="00C42DE6" w:rsidRPr="006849DE" w:rsidP="00FF3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szCs w:val="24"/>
        </w:rPr>
      </w:pPr>
      <w:r w:rsidRPr="006849DE">
        <w:rPr>
          <w:rFonts w:eastAsia="Courier New" w:cs="Times New Roman"/>
          <w:b/>
          <w:bCs/>
          <w:szCs w:val="24"/>
        </w:rPr>
        <w:t>THE PUBLIC UTILITIES COMMISSION OF OHIO</w:t>
      </w:r>
    </w:p>
    <w:p w:rsidR="00C42DE6" w:rsidRPr="006849DE" w:rsidP="00C42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tbl>
      <w:tblPr>
        <w:tblW w:w="10178" w:type="dxa"/>
        <w:tblLook w:val="01E0"/>
      </w:tblPr>
      <w:tblGrid>
        <w:gridCol w:w="5418"/>
        <w:gridCol w:w="360"/>
        <w:gridCol w:w="4400"/>
      </w:tblGrid>
      <w:tr w:rsidTr="00457D81">
        <w:tblPrEx>
          <w:tblW w:w="10178" w:type="dxa"/>
          <w:tblLook w:val="01E0"/>
        </w:tblPrEx>
        <w:trPr>
          <w:trHeight w:val="807"/>
        </w:trPr>
        <w:tc>
          <w:tcPr>
            <w:tcW w:w="5418" w:type="dxa"/>
          </w:tcPr>
          <w:p w:rsidR="003C2841" w:rsidRPr="006849DE" w:rsidP="00457D81">
            <w:pPr>
              <w:autoSpaceDE w:val="0"/>
              <w:autoSpaceDN w:val="0"/>
              <w:adjustRightInd w:val="0"/>
              <w:spacing w:after="0" w:line="240" w:lineRule="auto"/>
              <w:rPr>
                <w:rFonts w:eastAsiaTheme="minorEastAsia" w:cs="Times New Roman"/>
                <w:szCs w:val="24"/>
              </w:rPr>
            </w:pPr>
            <w:r>
              <w:rPr>
                <w:rFonts w:eastAsiaTheme="minorEastAsia" w:cs="Times New Roman"/>
                <w:szCs w:val="24"/>
              </w:rPr>
              <w:t>In the Matter of the Application of the Dayton Power and Light Company for Approval of its Electric Security Plan.</w:t>
            </w:r>
          </w:p>
          <w:p w:rsidR="003C2841" w:rsidRPr="006849DE" w:rsidP="00457D81">
            <w:pPr>
              <w:autoSpaceDE w:val="0"/>
              <w:autoSpaceDN w:val="0"/>
              <w:adjustRightInd w:val="0"/>
              <w:spacing w:after="0" w:line="240" w:lineRule="auto"/>
              <w:rPr>
                <w:rFonts w:eastAsiaTheme="minorEastAsia" w:cs="Times New Roman"/>
                <w:szCs w:val="24"/>
              </w:rPr>
            </w:pPr>
          </w:p>
          <w:p w:rsidR="003C2841" w:rsidP="00457D81">
            <w:pPr>
              <w:autoSpaceDE w:val="0"/>
              <w:autoSpaceDN w:val="0"/>
              <w:adjustRightInd w:val="0"/>
              <w:spacing w:after="0" w:line="240" w:lineRule="auto"/>
              <w:rPr>
                <w:rFonts w:eastAsiaTheme="minorEastAsia" w:cs="Times New Roman"/>
                <w:szCs w:val="24"/>
              </w:rPr>
            </w:pPr>
            <w:r>
              <w:rPr>
                <w:rFonts w:eastAsiaTheme="minorEastAsia" w:cs="Times New Roman"/>
                <w:szCs w:val="24"/>
              </w:rPr>
              <w:t>In the Matter of the Application of the Dayton Power and Light Company for Approval of Revised Tariffs.</w:t>
            </w:r>
          </w:p>
          <w:p w:rsidR="003C2841" w:rsidP="00457D81">
            <w:pPr>
              <w:autoSpaceDE w:val="0"/>
              <w:autoSpaceDN w:val="0"/>
              <w:adjustRightInd w:val="0"/>
              <w:spacing w:after="0" w:line="240" w:lineRule="auto"/>
              <w:rPr>
                <w:rFonts w:eastAsiaTheme="minorEastAsia" w:cs="Times New Roman"/>
                <w:szCs w:val="24"/>
              </w:rPr>
            </w:pPr>
          </w:p>
          <w:p w:rsidR="003C2841" w:rsidRPr="00BC164A" w:rsidP="00457D81">
            <w:pPr>
              <w:autoSpaceDE w:val="0"/>
              <w:autoSpaceDN w:val="0"/>
              <w:adjustRightInd w:val="0"/>
              <w:spacing w:after="0" w:line="240" w:lineRule="auto"/>
              <w:rPr>
                <w:rFonts w:eastAsiaTheme="minorEastAsia" w:cs="Times New Roman"/>
                <w:szCs w:val="24"/>
              </w:rPr>
            </w:pPr>
            <w:r>
              <w:rPr>
                <w:rFonts w:eastAsiaTheme="minorEastAsia" w:cs="Times New Roman"/>
                <w:szCs w:val="24"/>
              </w:rPr>
              <w:t>In the Matter of the Application of the Dayton Power and Light Company for Approval of Certain Accounting Authority Pursuant to Ohio Rev. Code § 4905.13.</w:t>
            </w:r>
          </w:p>
        </w:tc>
        <w:tc>
          <w:tcPr>
            <w:tcW w:w="360" w:type="dxa"/>
          </w:tcPr>
          <w:p w:rsidR="003C2841"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sidRPr="006849DE">
              <w:rPr>
                <w:rFonts w:eastAsia="Courier New" w:cs="Times New Roman"/>
                <w:b/>
                <w:szCs w:val="24"/>
              </w:rPr>
              <w:t>)</w:t>
            </w:r>
          </w:p>
          <w:p w:rsidR="003C2841"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sidRPr="006849DE">
              <w:rPr>
                <w:rFonts w:eastAsia="Courier New" w:cs="Times New Roman"/>
                <w:b/>
                <w:szCs w:val="24"/>
              </w:rPr>
              <w:t>)</w:t>
            </w:r>
          </w:p>
          <w:p w:rsidR="003C2841"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sidRPr="006849DE">
              <w:rPr>
                <w:rFonts w:eastAsia="Courier New" w:cs="Times New Roman"/>
                <w:b/>
                <w:szCs w:val="24"/>
              </w:rPr>
              <w:t>)</w:t>
            </w:r>
          </w:p>
          <w:p w:rsidR="003C2841"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p>
          <w:p w:rsidR="003C2841"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sidRPr="006849DE">
              <w:rPr>
                <w:rFonts w:eastAsia="Courier New" w:cs="Times New Roman"/>
                <w:b/>
                <w:szCs w:val="24"/>
              </w:rPr>
              <w:t>)</w:t>
            </w:r>
          </w:p>
          <w:p w:rsidR="003C2841"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sidRPr="006849DE">
              <w:rPr>
                <w:rFonts w:eastAsia="Courier New" w:cs="Times New Roman"/>
                <w:b/>
                <w:szCs w:val="24"/>
              </w:rPr>
              <w:t>)</w:t>
            </w:r>
          </w:p>
          <w:p w:rsidR="003C2841"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p>
          <w:p w:rsidR="003C2841"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Pr>
                <w:rFonts w:eastAsia="Courier New" w:cs="Times New Roman"/>
                <w:b/>
                <w:szCs w:val="24"/>
              </w:rPr>
              <w:t>)</w:t>
            </w:r>
          </w:p>
          <w:p w:rsidR="003C2841"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Pr>
                <w:rFonts w:eastAsia="Courier New" w:cs="Times New Roman"/>
                <w:b/>
                <w:szCs w:val="24"/>
              </w:rPr>
              <w:t>)</w:t>
            </w:r>
          </w:p>
          <w:p w:rsidR="003C2841"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Pr>
                <w:rFonts w:eastAsia="Courier New" w:cs="Times New Roman"/>
                <w:b/>
                <w:szCs w:val="24"/>
              </w:rPr>
              <w:t>)</w:t>
            </w:r>
          </w:p>
          <w:p w:rsidR="003C2841"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Pr>
                <w:rFonts w:eastAsia="Courier New" w:cs="Times New Roman"/>
                <w:b/>
                <w:szCs w:val="24"/>
              </w:rPr>
              <w:t>)</w:t>
            </w:r>
          </w:p>
        </w:tc>
        <w:tc>
          <w:tcPr>
            <w:tcW w:w="4400" w:type="dxa"/>
          </w:tcPr>
          <w:p w:rsidR="003C2841"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3C2841"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r w:rsidRPr="006849DE">
              <w:rPr>
                <w:rFonts w:eastAsia="Courier New" w:cs="Times New Roman"/>
                <w:szCs w:val="24"/>
              </w:rPr>
              <w:t xml:space="preserve">Case No. </w:t>
            </w:r>
            <w:r>
              <w:rPr>
                <w:rFonts w:eastAsia="Courier New" w:cs="Times New Roman"/>
                <w:szCs w:val="24"/>
              </w:rPr>
              <w:t>16-0395-EL-SSO</w:t>
            </w:r>
          </w:p>
          <w:p w:rsidR="003C2841"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3C2841"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3C2841"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r w:rsidRPr="006849DE">
              <w:rPr>
                <w:rFonts w:eastAsia="Courier New" w:cs="Times New Roman"/>
                <w:szCs w:val="24"/>
              </w:rPr>
              <w:t xml:space="preserve">Case No. </w:t>
            </w:r>
            <w:r>
              <w:rPr>
                <w:rFonts w:eastAsia="Courier New" w:cs="Times New Roman"/>
                <w:szCs w:val="24"/>
              </w:rPr>
              <w:t>16-0396-EL-ATA</w:t>
            </w:r>
          </w:p>
          <w:p w:rsidR="003C2841"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3C2841"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3C2841"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3C2841" w:rsidRPr="006849DE" w:rsidP="0045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r>
              <w:rPr>
                <w:rFonts w:eastAsia="Courier New" w:cs="Times New Roman"/>
                <w:szCs w:val="24"/>
              </w:rPr>
              <w:t>Case No. 16-0397-EL-AAM</w:t>
            </w:r>
          </w:p>
        </w:tc>
      </w:tr>
    </w:tbl>
    <w:p w:rsidR="00C42DE6" w:rsidRPr="006849DE" w:rsidP="00C42DE6">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szCs w:val="24"/>
        </w:rPr>
      </w:pPr>
    </w:p>
    <w:p w:rsidR="00C42DE6" w:rsidRPr="006849DE" w:rsidP="00C42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i/>
          <w:szCs w:val="24"/>
        </w:rPr>
      </w:pPr>
    </w:p>
    <w:p w:rsidR="00C42DE6" w:rsidRPr="006849DE" w:rsidP="00C42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r w:rsidRPr="006849DE">
        <w:rPr>
          <w:rFonts w:cs="Times New Roman"/>
          <w:b/>
          <w:szCs w:val="24"/>
        </w:rPr>
        <w:t>MEMORANDUM IN SUPPORT</w:t>
      </w:r>
    </w:p>
    <w:p w:rsidR="00C42DE6" w:rsidRPr="006849DE" w:rsidP="00C42DE6">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szCs w:val="24"/>
        </w:rPr>
      </w:pPr>
    </w:p>
    <w:p w:rsidR="00C42DE6" w:rsidRPr="006849DE" w:rsidP="00C42DE6">
      <w:pPr>
        <w:spacing w:after="0" w:line="240" w:lineRule="auto"/>
        <w:rPr>
          <w:rFonts w:eastAsiaTheme="minorEastAsia" w:cs="Times New Roman"/>
          <w:szCs w:val="24"/>
        </w:rPr>
      </w:pPr>
    </w:p>
    <w:p w:rsidR="00C42DE6" w:rsidRPr="006849DE" w:rsidP="00D07046">
      <w:pPr>
        <w:pStyle w:val="Heading1"/>
        <w:rPr>
          <w:rFonts w:ascii="Times New Roman" w:eastAsia="Courier New" w:hAnsi="Times New Roman" w:cs="Times New Roman"/>
          <w:szCs w:val="24"/>
        </w:rPr>
      </w:pPr>
      <w:bookmarkStart w:id="3" w:name="_Toc448481762"/>
      <w:bookmarkStart w:id="4" w:name="_Toc448481894"/>
      <w:bookmarkStart w:id="5" w:name="_Toc448482028"/>
      <w:bookmarkStart w:id="6" w:name="_Toc448487536"/>
      <w:bookmarkStart w:id="7" w:name="_Toc498952102"/>
      <w:r w:rsidRPr="006849DE">
        <w:rPr>
          <w:rFonts w:ascii="Times New Roman" w:eastAsia="Courier New" w:hAnsi="Times New Roman" w:cs="Times New Roman"/>
          <w:szCs w:val="24"/>
        </w:rPr>
        <w:t>I.</w:t>
      </w:r>
      <w:r w:rsidRPr="006849DE">
        <w:rPr>
          <w:rFonts w:ascii="Times New Roman" w:eastAsia="Courier New" w:hAnsi="Times New Roman" w:cs="Times New Roman"/>
          <w:szCs w:val="24"/>
        </w:rPr>
        <w:tab/>
        <w:t>INTRODUCTION</w:t>
      </w:r>
      <w:bookmarkEnd w:id="3"/>
      <w:bookmarkEnd w:id="4"/>
      <w:bookmarkEnd w:id="5"/>
      <w:bookmarkEnd w:id="6"/>
      <w:bookmarkEnd w:id="7"/>
    </w:p>
    <w:p w:rsidR="003F350B" w:rsidP="00293EB8">
      <w:pPr>
        <w:autoSpaceDE w:val="0"/>
        <w:autoSpaceDN w:val="0"/>
        <w:adjustRightInd w:val="0"/>
        <w:spacing w:after="0" w:line="480" w:lineRule="auto"/>
        <w:ind w:firstLine="720"/>
        <w:rPr>
          <w:rFonts w:cs="Times New Roman"/>
          <w:szCs w:val="24"/>
        </w:rPr>
      </w:pPr>
      <w:r>
        <w:rPr>
          <w:rFonts w:cs="Times New Roman"/>
          <w:szCs w:val="24"/>
        </w:rPr>
        <w:t>DP&amp;L has already charged Ohioans $673.3 million in “stability” charges to</w:t>
      </w:r>
    </w:p>
    <w:p w:rsidR="003F350B" w:rsidRPr="00293EB8" w:rsidP="00293EB8">
      <w:pPr>
        <w:autoSpaceDE w:val="0"/>
        <w:autoSpaceDN w:val="0"/>
        <w:adjustRightInd w:val="0"/>
        <w:spacing w:after="0" w:line="480" w:lineRule="auto"/>
        <w:rPr>
          <w:rFonts w:cs="Times New Roman"/>
          <w:szCs w:val="24"/>
        </w:rPr>
      </w:pPr>
      <w:r>
        <w:rPr>
          <w:rFonts w:cs="Times New Roman"/>
          <w:szCs w:val="24"/>
        </w:rPr>
        <w:t>bolster its financial integrity.</w:t>
      </w:r>
      <w:r>
        <w:rPr>
          <w:rStyle w:val="FootnoteReference"/>
          <w:rFonts w:cs="Times New Roman"/>
          <w:szCs w:val="24"/>
        </w:rPr>
        <w:footnoteReference w:id="3"/>
      </w:r>
      <w:r>
        <w:rPr>
          <w:rFonts w:cs="Times New Roman"/>
          <w:sz w:val="16"/>
          <w:szCs w:val="16"/>
        </w:rPr>
        <w:t xml:space="preserve"> </w:t>
      </w:r>
      <w:r>
        <w:rPr>
          <w:rFonts w:cs="Times New Roman"/>
          <w:szCs w:val="24"/>
        </w:rPr>
        <w:t xml:space="preserve">Since 2012, </w:t>
      </w:r>
      <w:r w:rsidR="00293EB8">
        <w:rPr>
          <w:rFonts w:cs="Times New Roman"/>
          <w:szCs w:val="24"/>
        </w:rPr>
        <w:t xml:space="preserve">DP&amp;L’s ultimate parent, </w:t>
      </w:r>
      <w:r>
        <w:rPr>
          <w:rFonts w:cs="Times New Roman"/>
          <w:szCs w:val="24"/>
        </w:rPr>
        <w:t>AES</w:t>
      </w:r>
      <w:r w:rsidR="00293EB8">
        <w:rPr>
          <w:rFonts w:cs="Times New Roman"/>
          <w:szCs w:val="24"/>
        </w:rPr>
        <w:t xml:space="preserve"> Corporation (“AES”),</w:t>
      </w:r>
      <w:r>
        <w:rPr>
          <w:rFonts w:cs="Times New Roman"/>
          <w:szCs w:val="24"/>
        </w:rPr>
        <w:t xml:space="preserve"> has no</w:t>
      </w:r>
      <w:r w:rsidR="00293EB8">
        <w:rPr>
          <w:rFonts w:cs="Times New Roman"/>
          <w:szCs w:val="24"/>
        </w:rPr>
        <w:t xml:space="preserve">t contributed any money to help </w:t>
      </w:r>
      <w:r>
        <w:rPr>
          <w:rFonts w:cs="Times New Roman"/>
          <w:szCs w:val="24"/>
        </w:rPr>
        <w:t xml:space="preserve">stabilize or bolster DPL </w:t>
      </w:r>
      <w:r w:rsidR="00293EB8">
        <w:rPr>
          <w:rFonts w:cs="Times New Roman"/>
          <w:szCs w:val="24"/>
        </w:rPr>
        <w:t xml:space="preserve">Inc. (“DPL”, DP&amp;L’s immediate parent) </w:t>
      </w:r>
      <w:r>
        <w:rPr>
          <w:rFonts w:cs="Times New Roman"/>
          <w:szCs w:val="24"/>
        </w:rPr>
        <w:t>or DP&amp;L’s financial integrit</w:t>
      </w:r>
      <w:r w:rsidR="00293EB8">
        <w:rPr>
          <w:rFonts w:cs="Times New Roman"/>
          <w:szCs w:val="24"/>
        </w:rPr>
        <w:t xml:space="preserve">y. Notwithstanding the enormous </w:t>
      </w:r>
      <w:r>
        <w:rPr>
          <w:rFonts w:cs="Times New Roman"/>
          <w:szCs w:val="24"/>
        </w:rPr>
        <w:t>transfer of wealth from Ohioans to DP&amp;L, DP&amp;L is in a “financial crisis.”</w:t>
      </w:r>
      <w:r>
        <w:rPr>
          <w:rStyle w:val="FootnoteReference"/>
          <w:rFonts w:cs="Times New Roman"/>
          <w:szCs w:val="24"/>
        </w:rPr>
        <w:footnoteReference w:id="4"/>
      </w:r>
      <w:r>
        <w:rPr>
          <w:rFonts w:cs="Times New Roman"/>
          <w:sz w:val="16"/>
          <w:szCs w:val="16"/>
        </w:rPr>
        <w:t xml:space="preserve"> </w:t>
      </w:r>
      <w:r w:rsidR="00293EB8">
        <w:rPr>
          <w:rFonts w:cs="Times New Roman"/>
          <w:szCs w:val="24"/>
        </w:rPr>
        <w:t xml:space="preserve">By its own </w:t>
      </w:r>
      <w:r>
        <w:rPr>
          <w:rFonts w:cs="Times New Roman"/>
          <w:szCs w:val="24"/>
        </w:rPr>
        <w:t>admission, it did not get there as a result of sound management.</w:t>
      </w:r>
      <w:r>
        <w:rPr>
          <w:rStyle w:val="FootnoteReference"/>
          <w:rFonts w:cs="Times New Roman"/>
          <w:szCs w:val="24"/>
        </w:rPr>
        <w:footnoteReference w:id="5"/>
      </w:r>
      <w:r w:rsidR="00B13C0A">
        <w:rPr>
          <w:rFonts w:cs="Times New Roman"/>
          <w:szCs w:val="24"/>
        </w:rPr>
        <w:t xml:space="preserve">  Unfortunately for consumers, DP&amp;L is back asking the PUCO to authorize it to charge consumers even more money under the Settlement.  It should be rejected.</w:t>
      </w:r>
    </w:p>
    <w:p w:rsidR="003F350B" w:rsidP="00293EB8">
      <w:pPr>
        <w:autoSpaceDE w:val="0"/>
        <w:autoSpaceDN w:val="0"/>
        <w:adjustRightInd w:val="0"/>
        <w:spacing w:after="0" w:line="480" w:lineRule="auto"/>
        <w:ind w:firstLine="720"/>
        <w:rPr>
          <w:rFonts w:cs="Times New Roman"/>
          <w:szCs w:val="24"/>
        </w:rPr>
      </w:pPr>
      <w:r>
        <w:rPr>
          <w:rFonts w:cs="Times New Roman"/>
          <w:szCs w:val="24"/>
        </w:rPr>
        <w:t>Once again, DP&amp;L is back at the PUCO asking for authority to charge consumers</w:t>
      </w:r>
    </w:p>
    <w:p w:rsidR="003F350B" w:rsidP="00293EB8">
      <w:pPr>
        <w:autoSpaceDE w:val="0"/>
        <w:autoSpaceDN w:val="0"/>
        <w:adjustRightInd w:val="0"/>
        <w:spacing w:after="0" w:line="480" w:lineRule="auto"/>
        <w:rPr>
          <w:rFonts w:cs="Times New Roman"/>
          <w:szCs w:val="24"/>
        </w:rPr>
      </w:pPr>
      <w:r>
        <w:rPr>
          <w:rFonts w:cs="Times New Roman"/>
          <w:szCs w:val="24"/>
        </w:rPr>
        <w:t>to bail it out – to the tune of $315 million (and perhaps up to $525 million). This charge,</w:t>
      </w:r>
    </w:p>
    <w:p w:rsidR="003F350B" w:rsidP="00293EB8">
      <w:pPr>
        <w:autoSpaceDE w:val="0"/>
        <w:autoSpaceDN w:val="0"/>
        <w:adjustRightInd w:val="0"/>
        <w:spacing w:after="0" w:line="480" w:lineRule="auto"/>
        <w:rPr>
          <w:rFonts w:cs="Times New Roman"/>
          <w:szCs w:val="24"/>
        </w:rPr>
      </w:pPr>
      <w:r>
        <w:rPr>
          <w:rFonts w:cs="Times New Roman"/>
          <w:szCs w:val="24"/>
        </w:rPr>
        <w:t xml:space="preserve">though </w:t>
      </w:r>
      <w:r w:rsidR="00090F40">
        <w:rPr>
          <w:rFonts w:cs="Times New Roman"/>
          <w:szCs w:val="24"/>
        </w:rPr>
        <w:t xml:space="preserve">labelled as </w:t>
      </w:r>
      <w:r>
        <w:rPr>
          <w:rFonts w:cs="Times New Roman"/>
          <w:szCs w:val="24"/>
        </w:rPr>
        <w:t>a “Distribution Modernization Rider”, has nothing to do</w:t>
      </w:r>
      <w:r w:rsidR="00B13C0A">
        <w:rPr>
          <w:rFonts w:cs="Times New Roman"/>
          <w:szCs w:val="24"/>
        </w:rPr>
        <w:t xml:space="preserve"> </w:t>
      </w:r>
      <w:r>
        <w:rPr>
          <w:rFonts w:cs="Times New Roman"/>
          <w:szCs w:val="24"/>
        </w:rPr>
        <w:t>with modernization but everything to do with financial integrity.</w:t>
      </w:r>
      <w:r>
        <w:rPr>
          <w:rStyle w:val="FootnoteReference"/>
          <w:rFonts w:cs="Times New Roman"/>
          <w:szCs w:val="24"/>
        </w:rPr>
        <w:footnoteReference w:id="6"/>
      </w:r>
      <w:r w:rsidR="00293EB8">
        <w:rPr>
          <w:rFonts w:cs="Times New Roman"/>
          <w:szCs w:val="24"/>
        </w:rPr>
        <w:t xml:space="preserve">  </w:t>
      </w:r>
      <w:r>
        <w:rPr>
          <w:rFonts w:cs="Times New Roman"/>
          <w:szCs w:val="24"/>
        </w:rPr>
        <w:t>But if DP&amp;L’s</w:t>
      </w:r>
      <w:r w:rsidR="00B13C0A">
        <w:rPr>
          <w:rFonts w:cs="Times New Roman"/>
          <w:szCs w:val="24"/>
        </w:rPr>
        <w:t xml:space="preserve"> </w:t>
      </w:r>
      <w:r>
        <w:rPr>
          <w:rFonts w:cs="Times New Roman"/>
          <w:szCs w:val="24"/>
        </w:rPr>
        <w:t>financial integrity is threatened, it is because of the nearly $1 billion in debt that AES</w:t>
      </w:r>
      <w:r w:rsidR="00B13C0A">
        <w:rPr>
          <w:rFonts w:cs="Times New Roman"/>
          <w:szCs w:val="24"/>
        </w:rPr>
        <w:t xml:space="preserve"> </w:t>
      </w:r>
      <w:r>
        <w:rPr>
          <w:rFonts w:cs="Times New Roman"/>
          <w:szCs w:val="24"/>
        </w:rPr>
        <w:t>saddled DP&amp;L’s parent, DPL, with as a result of AES’s acquisition of DP&amp;L (“the</w:t>
      </w:r>
    </w:p>
    <w:p w:rsidR="003F350B" w:rsidP="00293EB8">
      <w:pPr>
        <w:autoSpaceDE w:val="0"/>
        <w:autoSpaceDN w:val="0"/>
        <w:adjustRightInd w:val="0"/>
        <w:spacing w:after="0" w:line="480" w:lineRule="auto"/>
        <w:rPr>
          <w:rFonts w:cs="Times New Roman"/>
          <w:szCs w:val="24"/>
        </w:rPr>
      </w:pPr>
      <w:r>
        <w:rPr>
          <w:rFonts w:cs="Times New Roman"/>
          <w:szCs w:val="24"/>
        </w:rPr>
        <w:t>Merger”).</w:t>
      </w:r>
      <w:r>
        <w:rPr>
          <w:rStyle w:val="FootnoteReference"/>
          <w:rFonts w:cs="Times New Roman"/>
          <w:szCs w:val="24"/>
        </w:rPr>
        <w:footnoteReference w:id="7"/>
      </w:r>
      <w:r>
        <w:rPr>
          <w:rFonts w:cs="Times New Roman"/>
          <w:sz w:val="16"/>
          <w:szCs w:val="16"/>
        </w:rPr>
        <w:t xml:space="preserve"> </w:t>
      </w:r>
      <w:r>
        <w:rPr>
          <w:rFonts w:cs="Times New Roman"/>
          <w:szCs w:val="24"/>
        </w:rPr>
        <w:t>DPL cannot pay that debt back due to the poor financial performance of the</w:t>
      </w:r>
    </w:p>
    <w:p w:rsidR="00E850A1" w:rsidP="003F350B">
      <w:pPr>
        <w:spacing w:after="0" w:line="480" w:lineRule="auto"/>
        <w:rPr>
          <w:rFonts w:cs="Times New Roman"/>
          <w:sz w:val="16"/>
          <w:szCs w:val="16"/>
        </w:rPr>
      </w:pPr>
      <w:r>
        <w:rPr>
          <w:rFonts w:cs="Times New Roman"/>
          <w:szCs w:val="24"/>
        </w:rPr>
        <w:t>generation assets that were part of the AES/DP&amp;L acquisition.</w:t>
      </w:r>
      <w:r>
        <w:rPr>
          <w:rStyle w:val="FootnoteReference"/>
          <w:rFonts w:cs="Times New Roman"/>
          <w:szCs w:val="24"/>
        </w:rPr>
        <w:footnoteReference w:id="8"/>
      </w:r>
      <w:r>
        <w:rPr>
          <w:rFonts w:cs="Times New Roman"/>
          <w:sz w:val="16"/>
          <w:szCs w:val="16"/>
        </w:rPr>
        <w:t xml:space="preserve"> </w:t>
      </w:r>
    </w:p>
    <w:p w:rsidR="00182267" w:rsidRPr="006849DE" w:rsidP="00293EB8">
      <w:pPr>
        <w:spacing w:after="0" w:line="480" w:lineRule="auto"/>
        <w:ind w:firstLine="720"/>
        <w:rPr>
          <w:rFonts w:cs="Times New Roman"/>
          <w:szCs w:val="24"/>
        </w:rPr>
      </w:pPr>
      <w:r>
        <w:rPr>
          <w:rFonts w:cs="Times New Roman"/>
          <w:szCs w:val="24"/>
        </w:rPr>
        <w:t>To protect consumers, t</w:t>
      </w:r>
      <w:r w:rsidR="00E850A1">
        <w:rPr>
          <w:rFonts w:cs="Times New Roman"/>
          <w:szCs w:val="24"/>
        </w:rPr>
        <w:t>he Settlement should be rejected</w:t>
      </w:r>
      <w:r>
        <w:rPr>
          <w:rFonts w:cs="Times New Roman"/>
          <w:szCs w:val="24"/>
        </w:rPr>
        <w:t>.  T</w:t>
      </w:r>
      <w:r w:rsidR="00E850A1">
        <w:rPr>
          <w:rFonts w:cs="Times New Roman"/>
          <w:szCs w:val="24"/>
        </w:rPr>
        <w:t>he so-called DMR violates the Merger Finding and Order</w:t>
      </w:r>
      <w:r w:rsidR="00F6525E">
        <w:rPr>
          <w:rFonts w:cs="Times New Roman"/>
          <w:szCs w:val="24"/>
        </w:rPr>
        <w:t>, which the PUCO did not even address in its Opinion and Order,</w:t>
      </w:r>
      <w:r w:rsidR="00E850A1">
        <w:rPr>
          <w:rFonts w:cs="Times New Roman"/>
          <w:szCs w:val="24"/>
        </w:rPr>
        <w:t xml:space="preserve"> and it is an illegal transition charge or equivalent revenue.  </w:t>
      </w:r>
      <w:r w:rsidR="003C1F51">
        <w:rPr>
          <w:rFonts w:cs="Times New Roman"/>
          <w:szCs w:val="24"/>
        </w:rPr>
        <w:t>In addition, t</w:t>
      </w:r>
      <w:r w:rsidR="004828E4">
        <w:rPr>
          <w:rFonts w:cs="Times New Roman"/>
          <w:szCs w:val="24"/>
        </w:rPr>
        <w:t xml:space="preserve">he Reconciliation Rider is an illegal transition charge or </w:t>
      </w:r>
      <w:r w:rsidR="00090F40">
        <w:rPr>
          <w:rFonts w:cs="Times New Roman"/>
          <w:szCs w:val="24"/>
        </w:rPr>
        <w:t xml:space="preserve">any </w:t>
      </w:r>
      <w:r w:rsidR="004828E4">
        <w:rPr>
          <w:rFonts w:cs="Times New Roman"/>
          <w:szCs w:val="24"/>
        </w:rPr>
        <w:t>equivalent revenue.</w:t>
      </w:r>
      <w:r w:rsidR="00090F40">
        <w:rPr>
          <w:rFonts w:cs="Times New Roman"/>
          <w:szCs w:val="24"/>
        </w:rPr>
        <w:t xml:space="preserve"> that the PUCO cannot authorize.</w:t>
      </w:r>
      <w:r w:rsidR="004828E4">
        <w:rPr>
          <w:rFonts w:cs="Times New Roman"/>
          <w:szCs w:val="24"/>
        </w:rPr>
        <w:t xml:space="preserve">  </w:t>
      </w:r>
      <w:r w:rsidR="00E850A1">
        <w:rPr>
          <w:rFonts w:cs="Times New Roman"/>
          <w:szCs w:val="24"/>
        </w:rPr>
        <w:t>The Supreme Court</w:t>
      </w:r>
      <w:r w:rsidR="00375380">
        <w:rPr>
          <w:rFonts w:cs="Times New Roman"/>
          <w:szCs w:val="24"/>
        </w:rPr>
        <w:t xml:space="preserve"> of Ohio </w:t>
      </w:r>
      <w:r w:rsidR="00E850A1">
        <w:rPr>
          <w:rFonts w:cs="Times New Roman"/>
          <w:szCs w:val="24"/>
        </w:rPr>
        <w:t xml:space="preserve">has told the PUCO and multiple electric utilities, including DP&amp;L specifically, that transition charges and </w:t>
      </w:r>
      <w:r w:rsidR="00090F40">
        <w:rPr>
          <w:rFonts w:cs="Times New Roman"/>
          <w:szCs w:val="24"/>
        </w:rPr>
        <w:t xml:space="preserve">any </w:t>
      </w:r>
      <w:r w:rsidR="00E850A1">
        <w:rPr>
          <w:rFonts w:cs="Times New Roman"/>
          <w:szCs w:val="24"/>
        </w:rPr>
        <w:t>equivalent revenue are illegal no matter how hard they try to dress up the charges as something else.</w:t>
      </w:r>
      <w:r>
        <w:rPr>
          <w:rStyle w:val="FootnoteReference"/>
          <w:rFonts w:cs="Times New Roman"/>
          <w:szCs w:val="24"/>
        </w:rPr>
        <w:footnoteReference w:id="9"/>
      </w:r>
      <w:r w:rsidR="00E850A1">
        <w:rPr>
          <w:rFonts w:cs="Times New Roman"/>
          <w:szCs w:val="24"/>
        </w:rPr>
        <w:t xml:space="preserve">  Further, </w:t>
      </w:r>
      <w:r w:rsidR="00F6525E">
        <w:rPr>
          <w:rFonts w:cs="Times New Roman"/>
          <w:szCs w:val="24"/>
        </w:rPr>
        <w:t xml:space="preserve">because the Settlement has “placeholder” riders, </w:t>
      </w:r>
      <w:r w:rsidR="00E850A1">
        <w:rPr>
          <w:rFonts w:cs="Times New Roman"/>
          <w:szCs w:val="24"/>
        </w:rPr>
        <w:t xml:space="preserve">the PUCO </w:t>
      </w:r>
      <w:r w:rsidR="00F6525E">
        <w:rPr>
          <w:rFonts w:cs="Times New Roman"/>
          <w:szCs w:val="24"/>
        </w:rPr>
        <w:t xml:space="preserve">did not, and </w:t>
      </w:r>
      <w:r w:rsidR="00E850A1">
        <w:rPr>
          <w:rFonts w:cs="Times New Roman"/>
          <w:szCs w:val="24"/>
        </w:rPr>
        <w:t>could not have</w:t>
      </w:r>
      <w:r w:rsidR="00F6525E">
        <w:rPr>
          <w:rFonts w:cs="Times New Roman"/>
          <w:szCs w:val="24"/>
        </w:rPr>
        <w:t>,</w:t>
      </w:r>
      <w:r w:rsidR="00E850A1">
        <w:rPr>
          <w:rFonts w:cs="Times New Roman"/>
          <w:szCs w:val="24"/>
        </w:rPr>
        <w:t xml:space="preserve"> fulfilled its obligations under R.C. 4928.143(C)(1) to determine if the proposed ESP </w:t>
      </w:r>
      <w:r w:rsidR="00CA5F22">
        <w:rPr>
          <w:rFonts w:cs="Times New Roman"/>
          <w:szCs w:val="24"/>
        </w:rPr>
        <w:t>i</w:t>
      </w:r>
      <w:r w:rsidR="00E850A1">
        <w:rPr>
          <w:rFonts w:cs="Times New Roman"/>
          <w:szCs w:val="24"/>
        </w:rPr>
        <w:t>s more favorable in the aggregate than the expected results under a market rate offer</w:t>
      </w:r>
      <w:r w:rsidR="004828E4">
        <w:rPr>
          <w:rFonts w:cs="Times New Roman"/>
          <w:szCs w:val="24"/>
        </w:rPr>
        <w:t xml:space="preserve"> (“</w:t>
      </w:r>
      <w:r w:rsidR="00375380">
        <w:rPr>
          <w:rFonts w:cs="Times New Roman"/>
          <w:szCs w:val="24"/>
        </w:rPr>
        <w:t xml:space="preserve">ESP </w:t>
      </w:r>
      <w:r w:rsidR="004828E4">
        <w:rPr>
          <w:rFonts w:cs="Times New Roman"/>
          <w:szCs w:val="24"/>
        </w:rPr>
        <w:t xml:space="preserve">v. </w:t>
      </w:r>
      <w:r w:rsidR="00375380">
        <w:rPr>
          <w:rFonts w:cs="Times New Roman"/>
          <w:szCs w:val="24"/>
        </w:rPr>
        <w:t xml:space="preserve">MRO </w:t>
      </w:r>
      <w:r w:rsidR="004828E4">
        <w:rPr>
          <w:rFonts w:cs="Times New Roman"/>
          <w:szCs w:val="24"/>
        </w:rPr>
        <w:t>test”)</w:t>
      </w:r>
      <w:r w:rsidR="00E850A1">
        <w:rPr>
          <w:rFonts w:cs="Times New Roman"/>
          <w:szCs w:val="24"/>
        </w:rPr>
        <w:t>.</w:t>
      </w:r>
      <w:r w:rsidR="00F6525E">
        <w:rPr>
          <w:rFonts w:cs="Times New Roman"/>
          <w:szCs w:val="24"/>
        </w:rPr>
        <w:t xml:space="preserve">  And the purported economic development incentives are not supported, at all, with </w:t>
      </w:r>
      <w:r>
        <w:rPr>
          <w:rFonts w:cs="Times New Roman"/>
          <w:szCs w:val="24"/>
        </w:rPr>
        <w:t>record evidence</w:t>
      </w:r>
      <w:r w:rsidR="00F6525E">
        <w:rPr>
          <w:rFonts w:cs="Times New Roman"/>
          <w:szCs w:val="24"/>
        </w:rPr>
        <w:t xml:space="preserve"> as required by statute and case law.  </w:t>
      </w:r>
      <w:r w:rsidR="00BD5B62">
        <w:rPr>
          <w:rFonts w:cs="Times New Roman"/>
          <w:szCs w:val="24"/>
        </w:rPr>
        <w:t>The</w:t>
      </w:r>
      <w:r w:rsidR="00F6525E">
        <w:rPr>
          <w:rFonts w:cs="Times New Roman"/>
          <w:szCs w:val="24"/>
        </w:rPr>
        <w:t xml:space="preserve"> PUCO should not have exclude</w:t>
      </w:r>
      <w:r w:rsidR="00BD5B62">
        <w:rPr>
          <w:rFonts w:cs="Times New Roman"/>
          <w:szCs w:val="24"/>
        </w:rPr>
        <w:t>d DMR revenues from SEET review, and it should revisit the cost allocation of the DMR.</w:t>
      </w:r>
      <w:r w:rsidR="00F6525E">
        <w:rPr>
          <w:rFonts w:cs="Times New Roman"/>
          <w:szCs w:val="24"/>
        </w:rPr>
        <w:t xml:space="preserve">    </w:t>
      </w:r>
      <w:r w:rsidRPr="006849DE" w:rsidR="00C10266">
        <w:rPr>
          <w:rFonts w:cs="Times New Roman"/>
          <w:szCs w:val="24"/>
        </w:rPr>
        <w:t xml:space="preserve">  </w:t>
      </w:r>
    </w:p>
    <w:p w:rsidR="00C94A6F" w:rsidRPr="006849DE" w:rsidP="003C2841">
      <w:pPr>
        <w:spacing w:after="0" w:line="480" w:lineRule="auto"/>
        <w:ind w:firstLine="720"/>
        <w:rPr>
          <w:rFonts w:cs="Times New Roman"/>
          <w:szCs w:val="24"/>
        </w:rPr>
      </w:pPr>
      <w:r w:rsidRPr="006849DE">
        <w:rPr>
          <w:rFonts w:cs="Times New Roman"/>
          <w:szCs w:val="24"/>
        </w:rPr>
        <w:t xml:space="preserve">The PUCO </w:t>
      </w:r>
      <w:r w:rsidRPr="006849DE" w:rsidR="00182267">
        <w:rPr>
          <w:rFonts w:cs="Times New Roman"/>
          <w:szCs w:val="24"/>
        </w:rPr>
        <w:t>has an opportunity</w:t>
      </w:r>
      <w:r w:rsidRPr="006849DE" w:rsidR="00941AC0">
        <w:rPr>
          <w:rFonts w:cs="Times New Roman"/>
          <w:szCs w:val="24"/>
        </w:rPr>
        <w:t xml:space="preserve"> </w:t>
      </w:r>
      <w:r w:rsidRPr="006849DE" w:rsidR="00182267">
        <w:rPr>
          <w:rFonts w:cs="Times New Roman"/>
          <w:szCs w:val="24"/>
        </w:rPr>
        <w:t>to stand</w:t>
      </w:r>
      <w:r w:rsidRPr="006849DE">
        <w:rPr>
          <w:rFonts w:cs="Times New Roman"/>
          <w:szCs w:val="24"/>
        </w:rPr>
        <w:t xml:space="preserve"> between the public interest and </w:t>
      </w:r>
      <w:r w:rsidR="00873236">
        <w:rPr>
          <w:rFonts w:cs="Times New Roman"/>
          <w:szCs w:val="24"/>
        </w:rPr>
        <w:t>DP&amp;L</w:t>
      </w:r>
      <w:r w:rsidRPr="006849DE">
        <w:rPr>
          <w:rFonts w:cs="Times New Roman"/>
          <w:szCs w:val="24"/>
        </w:rPr>
        <w:t xml:space="preserve"> charging consumers </w:t>
      </w:r>
      <w:r w:rsidR="00873236">
        <w:rPr>
          <w:rFonts w:cs="Times New Roman"/>
          <w:szCs w:val="24"/>
        </w:rPr>
        <w:t>hundreds of millions</w:t>
      </w:r>
      <w:r w:rsidRPr="006849DE" w:rsidR="00873236">
        <w:rPr>
          <w:rFonts w:cs="Times New Roman"/>
          <w:szCs w:val="24"/>
        </w:rPr>
        <w:t xml:space="preserve"> </w:t>
      </w:r>
      <w:r w:rsidRPr="006849DE">
        <w:rPr>
          <w:rFonts w:cs="Times New Roman"/>
          <w:szCs w:val="24"/>
        </w:rPr>
        <w:t>of dollars to subsidize</w:t>
      </w:r>
      <w:r w:rsidRPr="006849DE" w:rsidR="000D60B0">
        <w:rPr>
          <w:rFonts w:cs="Times New Roman"/>
          <w:szCs w:val="24"/>
        </w:rPr>
        <w:t>, via government regulation,</w:t>
      </w:r>
      <w:r w:rsidRPr="006849DE">
        <w:rPr>
          <w:rFonts w:cs="Times New Roman"/>
          <w:szCs w:val="24"/>
        </w:rPr>
        <w:t xml:space="preserve"> old, inefficient, coal-fired power plants that cannot compete in a market deregulated by the Ohio General Assembly over </w:t>
      </w:r>
      <w:r w:rsidR="00375380">
        <w:rPr>
          <w:rFonts w:cs="Times New Roman"/>
          <w:szCs w:val="24"/>
        </w:rPr>
        <w:t>16</w:t>
      </w:r>
      <w:r w:rsidRPr="006849DE" w:rsidR="00375380">
        <w:rPr>
          <w:rFonts w:cs="Times New Roman"/>
          <w:szCs w:val="24"/>
        </w:rPr>
        <w:t xml:space="preserve"> </w:t>
      </w:r>
      <w:r w:rsidRPr="006849DE">
        <w:rPr>
          <w:rFonts w:cs="Times New Roman"/>
          <w:szCs w:val="24"/>
        </w:rPr>
        <w:t>years ago.</w:t>
      </w:r>
      <w:r w:rsidRPr="006849DE" w:rsidR="000D60B0">
        <w:rPr>
          <w:rFonts w:cs="Times New Roman"/>
          <w:szCs w:val="24"/>
        </w:rPr>
        <w:t xml:space="preserve">  It should ensure that its Opinion and Order is reasonable and lawful.  Unfortunately for consumers, it </w:t>
      </w:r>
      <w:r w:rsidRPr="006849DE" w:rsidR="004073A8">
        <w:rPr>
          <w:rFonts w:cs="Times New Roman"/>
          <w:szCs w:val="24"/>
        </w:rPr>
        <w:t>is</w:t>
      </w:r>
      <w:r w:rsidRPr="006849DE" w:rsidR="000D60B0">
        <w:rPr>
          <w:rFonts w:cs="Times New Roman"/>
          <w:szCs w:val="24"/>
        </w:rPr>
        <w:t xml:space="preserve"> not.  To protect consumers and the public interest, it should reconsider </w:t>
      </w:r>
      <w:r w:rsidR="00873236">
        <w:rPr>
          <w:rFonts w:cs="Times New Roman"/>
          <w:szCs w:val="24"/>
        </w:rPr>
        <w:t>its Opinion and Order as described herein</w:t>
      </w:r>
      <w:r w:rsidRPr="006849DE" w:rsidR="000D60B0">
        <w:rPr>
          <w:rFonts w:cs="Times New Roman"/>
          <w:szCs w:val="24"/>
        </w:rPr>
        <w:t xml:space="preserve">.  Upon reconsideration of any one of those decisions, the PUCO should find that the </w:t>
      </w:r>
      <w:r w:rsidR="00873236">
        <w:rPr>
          <w:rFonts w:cs="Times New Roman"/>
          <w:szCs w:val="24"/>
        </w:rPr>
        <w:t>Settlement</w:t>
      </w:r>
      <w:r w:rsidRPr="006849DE" w:rsidR="00873236">
        <w:rPr>
          <w:rFonts w:cs="Times New Roman"/>
          <w:szCs w:val="24"/>
        </w:rPr>
        <w:t xml:space="preserve"> </w:t>
      </w:r>
      <w:r w:rsidRPr="006849DE" w:rsidR="000D60B0">
        <w:rPr>
          <w:rFonts w:cs="Times New Roman"/>
          <w:szCs w:val="24"/>
        </w:rPr>
        <w:t>should be rejected.</w:t>
      </w:r>
    </w:p>
    <w:p w:rsidR="00FC0AE6" w:rsidRPr="006849DE" w:rsidP="00FC0AE6">
      <w:pPr>
        <w:spacing w:after="0" w:line="240" w:lineRule="auto"/>
        <w:rPr>
          <w:rFonts w:cs="Times New Roman"/>
          <w:szCs w:val="24"/>
        </w:rPr>
      </w:pPr>
    </w:p>
    <w:p w:rsidR="00C94A6F" w:rsidRPr="006849DE" w:rsidP="00D07046">
      <w:pPr>
        <w:pStyle w:val="Heading1"/>
        <w:rPr>
          <w:rFonts w:ascii="Times New Roman" w:hAnsi="Times New Roman" w:cs="Times New Roman"/>
          <w:szCs w:val="24"/>
        </w:rPr>
      </w:pPr>
      <w:bookmarkStart w:id="8" w:name="_Toc448487537"/>
      <w:bookmarkStart w:id="9" w:name="_Toc498952103"/>
      <w:r w:rsidRPr="006849DE">
        <w:rPr>
          <w:rFonts w:ascii="Times New Roman" w:hAnsi="Times New Roman" w:cs="Times New Roman"/>
          <w:szCs w:val="24"/>
        </w:rPr>
        <w:t>II.</w:t>
      </w:r>
      <w:r w:rsidRPr="006849DE">
        <w:rPr>
          <w:rFonts w:ascii="Times New Roman" w:hAnsi="Times New Roman" w:cs="Times New Roman"/>
          <w:szCs w:val="24"/>
        </w:rPr>
        <w:tab/>
        <w:t>STANDARD OF REVIEW</w:t>
      </w:r>
      <w:bookmarkEnd w:id="8"/>
      <w:bookmarkEnd w:id="9"/>
    </w:p>
    <w:p w:rsidR="00352742" w:rsidRPr="006849DE" w:rsidP="00352742">
      <w:pPr>
        <w:autoSpaceDE w:val="0"/>
        <w:autoSpaceDN w:val="0"/>
        <w:adjustRightInd w:val="0"/>
        <w:spacing w:after="0" w:line="480" w:lineRule="auto"/>
        <w:ind w:firstLine="720"/>
        <w:rPr>
          <w:rFonts w:cs="Times New Roman"/>
          <w:szCs w:val="24"/>
        </w:rPr>
      </w:pPr>
      <w:r w:rsidRPr="006849DE">
        <w:rPr>
          <w:rFonts w:cs="Times New Roman"/>
          <w:szCs w:val="24"/>
        </w:rPr>
        <w:t>Applications for rehearing are governed by R.C. 4903.10. The statute allows that,</w:t>
      </w:r>
    </w:p>
    <w:p w:rsidR="00352742" w:rsidRPr="006849DE" w:rsidP="00352742">
      <w:pPr>
        <w:autoSpaceDE w:val="0"/>
        <w:autoSpaceDN w:val="0"/>
        <w:adjustRightInd w:val="0"/>
        <w:spacing w:after="0" w:line="480" w:lineRule="auto"/>
        <w:rPr>
          <w:rFonts w:cs="Times New Roman"/>
          <w:szCs w:val="24"/>
        </w:rPr>
      </w:pPr>
      <w:r w:rsidRPr="006849DE">
        <w:rPr>
          <w:rFonts w:cs="Times New Roman"/>
          <w:szCs w:val="24"/>
        </w:rPr>
        <w:t>within 30 days after issuance of a PUCO order, “any party who has entered an</w:t>
      </w:r>
    </w:p>
    <w:p w:rsidR="00352742" w:rsidRPr="006849DE" w:rsidP="00352742">
      <w:pPr>
        <w:autoSpaceDE w:val="0"/>
        <w:autoSpaceDN w:val="0"/>
        <w:adjustRightInd w:val="0"/>
        <w:spacing w:after="0" w:line="480" w:lineRule="auto"/>
        <w:rPr>
          <w:rFonts w:cs="Times New Roman"/>
          <w:szCs w:val="24"/>
        </w:rPr>
      </w:pPr>
      <w:r w:rsidRPr="006849DE">
        <w:rPr>
          <w:rFonts w:cs="Times New Roman"/>
          <w:szCs w:val="24"/>
        </w:rPr>
        <w:t>appearance in person or by counsel in the proceeding may apply for rehearing in respect</w:t>
      </w:r>
    </w:p>
    <w:p w:rsidR="00352742" w:rsidRPr="006849DE" w:rsidP="00873236">
      <w:pPr>
        <w:autoSpaceDE w:val="0"/>
        <w:autoSpaceDN w:val="0"/>
        <w:adjustRightInd w:val="0"/>
        <w:spacing w:after="0" w:line="480" w:lineRule="auto"/>
        <w:rPr>
          <w:rFonts w:cs="Times New Roman"/>
          <w:szCs w:val="24"/>
        </w:rPr>
      </w:pPr>
      <w:r w:rsidRPr="006849DE">
        <w:rPr>
          <w:rFonts w:cs="Times New Roman"/>
          <w:szCs w:val="24"/>
        </w:rPr>
        <w:t xml:space="preserve">to any matters determined in the proceeding.” OCC </w:t>
      </w:r>
      <w:r w:rsidR="00873236">
        <w:rPr>
          <w:rFonts w:cs="Times New Roman"/>
          <w:szCs w:val="24"/>
        </w:rPr>
        <w:t>entered an appearance and filed testimony regarding DP&amp;L’s Application and the Settlement.  It participated in the evidentiary hearing on the Settlement.</w:t>
      </w:r>
    </w:p>
    <w:p w:rsidR="00352742" w:rsidRPr="006849DE" w:rsidP="00352742">
      <w:pPr>
        <w:autoSpaceDE w:val="0"/>
        <w:autoSpaceDN w:val="0"/>
        <w:adjustRightInd w:val="0"/>
        <w:spacing w:after="0" w:line="480" w:lineRule="auto"/>
        <w:ind w:firstLine="720"/>
        <w:rPr>
          <w:rFonts w:cs="Times New Roman"/>
          <w:szCs w:val="24"/>
        </w:rPr>
      </w:pPr>
      <w:r w:rsidRPr="006849DE">
        <w:rPr>
          <w:rFonts w:cs="Times New Roman"/>
          <w:szCs w:val="24"/>
        </w:rPr>
        <w:t>R.C. 4903.10 requires that an application for rehearing must be “in writing and</w:t>
      </w:r>
    </w:p>
    <w:p w:rsidR="00352742" w:rsidRPr="006849DE" w:rsidP="00352742">
      <w:pPr>
        <w:autoSpaceDE w:val="0"/>
        <w:autoSpaceDN w:val="0"/>
        <w:adjustRightInd w:val="0"/>
        <w:spacing w:after="0" w:line="480" w:lineRule="auto"/>
        <w:rPr>
          <w:rFonts w:cs="Times New Roman"/>
          <w:szCs w:val="24"/>
        </w:rPr>
      </w:pPr>
      <w:r w:rsidRPr="006849DE">
        <w:rPr>
          <w:rFonts w:cs="Times New Roman"/>
          <w:szCs w:val="24"/>
        </w:rPr>
        <w:t>shall set forth specifically the ground or grounds on which the applicant considers the</w:t>
      </w:r>
    </w:p>
    <w:p w:rsidR="00352742" w:rsidRPr="006849DE" w:rsidP="00352742">
      <w:pPr>
        <w:autoSpaceDE w:val="0"/>
        <w:autoSpaceDN w:val="0"/>
        <w:adjustRightInd w:val="0"/>
        <w:spacing w:after="0" w:line="480" w:lineRule="auto"/>
        <w:rPr>
          <w:rFonts w:cs="Times New Roman"/>
          <w:szCs w:val="24"/>
        </w:rPr>
      </w:pPr>
      <w:r w:rsidRPr="006849DE">
        <w:rPr>
          <w:rFonts w:cs="Times New Roman"/>
          <w:szCs w:val="24"/>
        </w:rPr>
        <w:t xml:space="preserve">order to be unreasonable or unlawful.” Additionally, Ohio </w:t>
      </w:r>
      <w:r w:rsidR="003D000A">
        <w:rPr>
          <w:rFonts w:cs="Times New Roman"/>
          <w:szCs w:val="24"/>
        </w:rPr>
        <w:t xml:space="preserve">Adm. Code 4901-1-35(A) states: </w:t>
      </w:r>
      <w:r w:rsidRPr="006849DE">
        <w:rPr>
          <w:rFonts w:cs="Times New Roman"/>
          <w:szCs w:val="24"/>
        </w:rPr>
        <w:t>“An application for rehearing must be accompanied by a memorandum in support, which shall be filed no later than the application for rehearing.”</w:t>
      </w:r>
    </w:p>
    <w:p w:rsidR="00352742" w:rsidRPr="006849DE" w:rsidP="00352742">
      <w:pPr>
        <w:spacing w:after="0" w:line="480" w:lineRule="auto"/>
        <w:ind w:firstLine="720"/>
        <w:rPr>
          <w:rFonts w:cs="Times New Roman"/>
          <w:szCs w:val="24"/>
        </w:rPr>
      </w:pPr>
      <w:r w:rsidRPr="006849DE">
        <w:rPr>
          <w:rFonts w:cs="Times New Roman"/>
          <w:szCs w:val="24"/>
        </w:rPr>
        <w:t>In considering an application for rehearing, R.C. 4903.10 provides that “the commission may grant and hold such rehearing on the matter specified in such</w:t>
      </w:r>
    </w:p>
    <w:p w:rsidR="00352742" w:rsidRPr="006849DE" w:rsidP="00352742">
      <w:pPr>
        <w:autoSpaceDE w:val="0"/>
        <w:autoSpaceDN w:val="0"/>
        <w:adjustRightInd w:val="0"/>
        <w:spacing w:after="0" w:line="480" w:lineRule="auto"/>
        <w:rPr>
          <w:rFonts w:cs="Times New Roman"/>
          <w:szCs w:val="24"/>
        </w:rPr>
      </w:pPr>
      <w:r w:rsidRPr="006849DE">
        <w:rPr>
          <w:rFonts w:cs="Times New Roman"/>
          <w:szCs w:val="24"/>
        </w:rPr>
        <w:t>application, if in its judgment sufficient reason therefor is made to appear.” The statute</w:t>
      </w:r>
    </w:p>
    <w:p w:rsidR="00352742" w:rsidRPr="006849DE" w:rsidP="00352742">
      <w:pPr>
        <w:autoSpaceDE w:val="0"/>
        <w:autoSpaceDN w:val="0"/>
        <w:adjustRightInd w:val="0"/>
        <w:spacing w:after="0" w:line="480" w:lineRule="auto"/>
        <w:rPr>
          <w:rFonts w:cs="Times New Roman"/>
          <w:szCs w:val="24"/>
        </w:rPr>
      </w:pPr>
      <w:r w:rsidRPr="006849DE">
        <w:rPr>
          <w:rFonts w:cs="Times New Roman"/>
          <w:szCs w:val="24"/>
        </w:rPr>
        <w:t>also provides: “[i]f, after such rehearing, the commission is of the opinion that the</w:t>
      </w:r>
    </w:p>
    <w:p w:rsidR="00352742" w:rsidRPr="006849DE" w:rsidP="00352742">
      <w:pPr>
        <w:autoSpaceDE w:val="0"/>
        <w:autoSpaceDN w:val="0"/>
        <w:adjustRightInd w:val="0"/>
        <w:spacing w:after="0" w:line="480" w:lineRule="auto"/>
        <w:rPr>
          <w:rFonts w:cs="Times New Roman"/>
          <w:szCs w:val="24"/>
        </w:rPr>
      </w:pPr>
      <w:r w:rsidRPr="006849DE">
        <w:rPr>
          <w:rFonts w:cs="Times New Roman"/>
          <w:szCs w:val="24"/>
        </w:rPr>
        <w:t>original order or any part thereof is in any respect unjust or unwarranted, or should be</w:t>
      </w:r>
    </w:p>
    <w:p w:rsidR="00352742" w:rsidRPr="006849DE" w:rsidP="00352742">
      <w:pPr>
        <w:autoSpaceDE w:val="0"/>
        <w:autoSpaceDN w:val="0"/>
        <w:adjustRightInd w:val="0"/>
        <w:spacing w:after="0" w:line="480" w:lineRule="auto"/>
        <w:rPr>
          <w:rFonts w:cs="Times New Roman"/>
          <w:szCs w:val="24"/>
        </w:rPr>
      </w:pPr>
      <w:r w:rsidRPr="006849DE">
        <w:rPr>
          <w:rFonts w:cs="Times New Roman"/>
          <w:szCs w:val="24"/>
        </w:rPr>
        <w:t>changed, the commission may abrogate or modify the same; otherwise such order shall be</w:t>
      </w:r>
    </w:p>
    <w:p w:rsidR="00352742" w:rsidRPr="006849DE" w:rsidP="00352742">
      <w:pPr>
        <w:autoSpaceDE w:val="0"/>
        <w:autoSpaceDN w:val="0"/>
        <w:adjustRightInd w:val="0"/>
        <w:spacing w:after="0" w:line="480" w:lineRule="auto"/>
        <w:rPr>
          <w:rFonts w:cs="Times New Roman"/>
          <w:szCs w:val="24"/>
        </w:rPr>
      </w:pPr>
      <w:r w:rsidRPr="006849DE">
        <w:rPr>
          <w:rFonts w:cs="Times New Roman"/>
          <w:szCs w:val="24"/>
        </w:rPr>
        <w:t>affirmed.”</w:t>
      </w:r>
    </w:p>
    <w:p w:rsidR="00352742" w:rsidRPr="006849DE" w:rsidP="00714CD6">
      <w:pPr>
        <w:autoSpaceDE w:val="0"/>
        <w:autoSpaceDN w:val="0"/>
        <w:adjustRightInd w:val="0"/>
        <w:spacing w:after="0" w:line="480" w:lineRule="auto"/>
        <w:ind w:firstLine="720"/>
        <w:rPr>
          <w:rFonts w:cs="Times New Roman"/>
          <w:szCs w:val="24"/>
        </w:rPr>
      </w:pPr>
      <w:r w:rsidRPr="006849DE">
        <w:rPr>
          <w:rFonts w:cs="Times New Roman"/>
          <w:szCs w:val="24"/>
        </w:rPr>
        <w:t xml:space="preserve">The statutory standard for abrogating some portions of the </w:t>
      </w:r>
      <w:r w:rsidRPr="006849DE" w:rsidR="00714CD6">
        <w:rPr>
          <w:rFonts w:cs="Times New Roman"/>
          <w:szCs w:val="24"/>
        </w:rPr>
        <w:t xml:space="preserve">Opinion and Order and modifying </w:t>
      </w:r>
      <w:r w:rsidRPr="006849DE">
        <w:rPr>
          <w:rFonts w:cs="Times New Roman"/>
          <w:szCs w:val="24"/>
        </w:rPr>
        <w:t xml:space="preserve">other </w:t>
      </w:r>
      <w:r w:rsidRPr="006849DE" w:rsidR="00BB134D">
        <w:rPr>
          <w:rFonts w:cs="Times New Roman"/>
          <w:szCs w:val="24"/>
        </w:rPr>
        <w:t>portions are</w:t>
      </w:r>
      <w:r w:rsidRPr="006849DE">
        <w:rPr>
          <w:rFonts w:cs="Times New Roman"/>
          <w:szCs w:val="24"/>
        </w:rPr>
        <w:t xml:space="preserve"> met here. The PUCO should grant and hold rehearing on the</w:t>
      </w:r>
    </w:p>
    <w:p w:rsidR="00352742" w:rsidRPr="006849DE" w:rsidP="00352742">
      <w:pPr>
        <w:autoSpaceDE w:val="0"/>
        <w:autoSpaceDN w:val="0"/>
        <w:adjustRightInd w:val="0"/>
        <w:spacing w:after="0" w:line="480" w:lineRule="auto"/>
        <w:rPr>
          <w:rFonts w:cs="Times New Roman"/>
          <w:szCs w:val="24"/>
        </w:rPr>
      </w:pPr>
      <w:r w:rsidRPr="006849DE">
        <w:rPr>
          <w:rFonts w:cs="Times New Roman"/>
          <w:szCs w:val="24"/>
        </w:rPr>
        <w:t>matters specified in this Application for Rehearing, and subsequently abrogate or modify</w:t>
      </w:r>
    </w:p>
    <w:p w:rsidR="00FC0AE6" w:rsidP="006849DE">
      <w:pPr>
        <w:spacing w:after="0" w:line="480" w:lineRule="auto"/>
        <w:rPr>
          <w:rFonts w:cs="Times New Roman"/>
          <w:szCs w:val="24"/>
        </w:rPr>
      </w:pPr>
      <w:r w:rsidRPr="006849DE">
        <w:rPr>
          <w:rFonts w:cs="Times New Roman"/>
          <w:szCs w:val="24"/>
        </w:rPr>
        <w:t>its Opinion and Order.</w:t>
      </w:r>
      <w:bookmarkStart w:id="10" w:name="_Toc448487538"/>
    </w:p>
    <w:p w:rsidR="006849DE" w:rsidRPr="006849DE" w:rsidP="006849DE">
      <w:pPr>
        <w:spacing w:after="0" w:line="240" w:lineRule="auto"/>
        <w:rPr>
          <w:rFonts w:eastAsiaTheme="minorEastAsia" w:cs="Times New Roman"/>
          <w:b/>
          <w:bCs/>
          <w:caps/>
          <w:szCs w:val="24"/>
        </w:rPr>
      </w:pPr>
    </w:p>
    <w:p w:rsidR="00825134" w:rsidRPr="006849DE" w:rsidP="00D07046">
      <w:pPr>
        <w:pStyle w:val="Heading1"/>
        <w:rPr>
          <w:rFonts w:ascii="Times New Roman" w:hAnsi="Times New Roman" w:cs="Times New Roman"/>
          <w:szCs w:val="24"/>
        </w:rPr>
      </w:pPr>
      <w:bookmarkStart w:id="11" w:name="_Toc498952104"/>
      <w:r w:rsidRPr="006849DE">
        <w:rPr>
          <w:rFonts w:ascii="Times New Roman" w:hAnsi="Times New Roman" w:cs="Times New Roman"/>
          <w:szCs w:val="24"/>
        </w:rPr>
        <w:t>III.</w:t>
      </w:r>
      <w:r w:rsidRPr="006849DE">
        <w:rPr>
          <w:rFonts w:ascii="Times New Roman" w:hAnsi="Times New Roman" w:cs="Times New Roman"/>
          <w:szCs w:val="24"/>
        </w:rPr>
        <w:tab/>
      </w:r>
      <w:bookmarkEnd w:id="10"/>
      <w:r w:rsidRPr="006849DE" w:rsidR="004D5C08">
        <w:rPr>
          <w:rFonts w:ascii="Times New Roman" w:hAnsi="Times New Roman" w:cs="Times New Roman"/>
          <w:szCs w:val="24"/>
        </w:rPr>
        <w:t>RECOMMENDATIONS</w:t>
      </w:r>
      <w:bookmarkEnd w:id="11"/>
    </w:p>
    <w:p w:rsidR="002827D8" w:rsidRPr="002827D8" w:rsidP="002827D8">
      <w:pPr>
        <w:pStyle w:val="Heading2"/>
      </w:pPr>
      <w:bookmarkStart w:id="12" w:name="_Toc498952105"/>
      <w:bookmarkStart w:id="13" w:name="_Toc448481763"/>
      <w:bookmarkStart w:id="14" w:name="_Toc448481895"/>
      <w:bookmarkStart w:id="15" w:name="_Toc448482029"/>
      <w:bookmarkStart w:id="16" w:name="_Toc448487539"/>
      <w:r w:rsidRPr="002827D8">
        <w:t>ASSIGNMENT OF ERROR 1:</w:t>
      </w:r>
      <w:r w:rsidRPr="002827D8">
        <w:t xml:space="preserve">  The PUCO’s Opinion and Order is unlawful because the PUCO found that DP&amp;L’s electric security plan is more favorable in the aggregate than a market rate offer for consumers, depriving them of a less expensive market rate offer. In doing so, the PUCO violated R.C. 4928.143 and important regulatory principles and practice.</w:t>
      </w:r>
      <w:bookmarkEnd w:id="12"/>
    </w:p>
    <w:p w:rsidR="00090F40" w:rsidP="00D030A0">
      <w:pPr>
        <w:spacing w:after="0" w:line="480" w:lineRule="auto"/>
        <w:ind w:firstLine="720"/>
      </w:pPr>
      <w:r w:rsidRPr="006849DE">
        <w:t xml:space="preserve">The PUCO concluded that the </w:t>
      </w:r>
      <w:r>
        <w:t xml:space="preserve">ESP embodied in the Settlement passed the </w:t>
      </w:r>
      <w:r w:rsidRPr="006849DE">
        <w:t xml:space="preserve">ESP v. MRO </w:t>
      </w:r>
      <w:r>
        <w:t>test.</w:t>
      </w:r>
      <w:r>
        <w:rPr>
          <w:rStyle w:val="FootnoteReference"/>
          <w:rFonts w:cs="Times New Roman"/>
          <w:szCs w:val="24"/>
        </w:rPr>
        <w:footnoteReference w:id="10"/>
      </w:r>
      <w:r>
        <w:t xml:space="preserve">  </w:t>
      </w:r>
      <w:r w:rsidRPr="006849DE">
        <w:t xml:space="preserve">The PUCO should reconsider this conclusion because it did not consider, and due to </w:t>
      </w:r>
      <w:r>
        <w:t>DP&amp;L’s</w:t>
      </w:r>
      <w:r w:rsidRPr="006849DE">
        <w:t xml:space="preserve"> lack of evidence, could not have considered, the cost of the myriad proposals </w:t>
      </w:r>
      <w:r>
        <w:t>created but initially set at zero</w:t>
      </w:r>
      <w:r w:rsidRPr="006849DE">
        <w:t>.</w:t>
      </w:r>
      <w:r>
        <w:rPr>
          <w:rStyle w:val="FootnoteReference"/>
          <w:rFonts w:cs="Times New Roman"/>
          <w:szCs w:val="24"/>
        </w:rPr>
        <w:footnoteReference w:id="11"/>
      </w:r>
      <w:r w:rsidRPr="006849DE">
        <w:t xml:space="preserve">  </w:t>
      </w:r>
    </w:p>
    <w:p w:rsidR="00CA5F22" w:rsidRPr="006849DE" w:rsidP="00D030A0">
      <w:pPr>
        <w:spacing w:after="0" w:line="480" w:lineRule="auto"/>
        <w:ind w:firstLine="720"/>
        <w:rPr>
          <w:rFonts w:cs="Times New Roman"/>
          <w:szCs w:val="24"/>
        </w:rPr>
      </w:pPr>
      <w:r>
        <w:rPr>
          <w:rFonts w:cs="Times New Roman"/>
          <w:szCs w:val="24"/>
        </w:rPr>
        <w:t>T</w:t>
      </w:r>
      <w:r w:rsidRPr="00E55588">
        <w:rPr>
          <w:rFonts w:cs="Times New Roman"/>
          <w:szCs w:val="24"/>
        </w:rPr>
        <w:t>he statutory test instruct</w:t>
      </w:r>
      <w:r>
        <w:rPr>
          <w:rFonts w:cs="Times New Roman"/>
          <w:szCs w:val="24"/>
        </w:rPr>
        <w:t>s</w:t>
      </w:r>
      <w:r w:rsidRPr="00E55588">
        <w:rPr>
          <w:rFonts w:cs="Times New Roman"/>
          <w:i/>
          <w:szCs w:val="24"/>
        </w:rPr>
        <w:t xml:space="preserve"> </w:t>
      </w:r>
      <w:r w:rsidRPr="00E55588">
        <w:rPr>
          <w:rFonts w:cs="Times New Roman"/>
          <w:szCs w:val="24"/>
        </w:rPr>
        <w:t xml:space="preserve">the PUCO to consider pricing and all other terms and conditions in evaluating if an ESP is more favorable in the aggregate than an expected MRO.  </w:t>
      </w:r>
      <w:r w:rsidRPr="00E55588">
        <w:rPr>
          <w:rFonts w:cs="Times New Roman"/>
          <w:i/>
          <w:szCs w:val="24"/>
        </w:rPr>
        <w:t>In re Ohio Edison Co.</w:t>
      </w:r>
      <w:r w:rsidRPr="00E55588">
        <w:rPr>
          <w:rFonts w:cs="Times New Roman"/>
          <w:szCs w:val="24"/>
        </w:rPr>
        <w:t xml:space="preserve">, 146 Ohio St. 3d </w:t>
      </w:r>
      <w:r>
        <w:rPr>
          <w:rFonts w:cs="Times New Roman"/>
          <w:szCs w:val="24"/>
        </w:rPr>
        <w:t>222,</w:t>
      </w:r>
      <w:r w:rsidRPr="00E55588">
        <w:rPr>
          <w:rFonts w:cs="Times New Roman"/>
          <w:szCs w:val="24"/>
        </w:rPr>
        <w:t xml:space="preserve"> 226</w:t>
      </w:r>
      <w:r>
        <w:rPr>
          <w:rFonts w:cs="Times New Roman"/>
          <w:szCs w:val="24"/>
        </w:rPr>
        <w:t xml:space="preserve"> (2016).</w:t>
      </w:r>
      <w:r w:rsidRPr="00E55588">
        <w:rPr>
          <w:rFonts w:cs="Times New Roman"/>
          <w:szCs w:val="24"/>
        </w:rPr>
        <w:t xml:space="preserve">  Without such consideration, the PUCO does not me</w:t>
      </w:r>
      <w:r w:rsidR="004828E4">
        <w:rPr>
          <w:rFonts w:cs="Times New Roman"/>
          <w:szCs w:val="24"/>
        </w:rPr>
        <w:t xml:space="preserve">et its obligations under R.C. </w:t>
      </w:r>
      <w:r w:rsidRPr="00E55588">
        <w:rPr>
          <w:rFonts w:cs="Times New Roman"/>
          <w:szCs w:val="24"/>
        </w:rPr>
        <w:t>4928.143(C)(1)</w:t>
      </w:r>
      <w:r>
        <w:rPr>
          <w:rFonts w:cs="Times New Roman"/>
          <w:szCs w:val="24"/>
        </w:rPr>
        <w:t xml:space="preserve">.  </w:t>
      </w:r>
      <w:r w:rsidR="00BC1D33">
        <w:rPr>
          <w:rFonts w:cs="Times New Roman"/>
          <w:szCs w:val="24"/>
        </w:rPr>
        <w:t>Because so many of DP&amp;L’s proposals have unknown costs, t</w:t>
      </w:r>
      <w:r w:rsidRPr="006849DE">
        <w:rPr>
          <w:rFonts w:cs="Times New Roman"/>
          <w:szCs w:val="24"/>
        </w:rPr>
        <w:t>he PUCO should not find</w:t>
      </w:r>
      <w:r w:rsidR="00DF6830">
        <w:rPr>
          <w:rFonts w:cs="Times New Roman"/>
          <w:szCs w:val="24"/>
        </w:rPr>
        <w:t>,</w:t>
      </w:r>
      <w:r w:rsidRPr="006849DE">
        <w:rPr>
          <w:rFonts w:cs="Times New Roman"/>
          <w:szCs w:val="24"/>
        </w:rPr>
        <w:t xml:space="preserve"> </w:t>
      </w:r>
      <w:r w:rsidR="00090F40">
        <w:rPr>
          <w:rFonts w:cs="Times New Roman"/>
          <w:szCs w:val="24"/>
        </w:rPr>
        <w:t>and cannot find</w:t>
      </w:r>
      <w:r w:rsidR="00DF6830">
        <w:rPr>
          <w:rFonts w:cs="Times New Roman"/>
          <w:szCs w:val="24"/>
        </w:rPr>
        <w:t>,</w:t>
      </w:r>
      <w:r w:rsidR="00090F40">
        <w:rPr>
          <w:rFonts w:cs="Times New Roman"/>
          <w:szCs w:val="24"/>
        </w:rPr>
        <w:t xml:space="preserve"> </w:t>
      </w:r>
      <w:r w:rsidR="00BC1D33">
        <w:rPr>
          <w:rFonts w:cs="Times New Roman"/>
          <w:szCs w:val="24"/>
        </w:rPr>
        <w:t xml:space="preserve">that the ESP embodied in the Settlement passes </w:t>
      </w:r>
      <w:r w:rsidRPr="006849DE">
        <w:rPr>
          <w:rFonts w:cs="Times New Roman"/>
          <w:szCs w:val="24"/>
        </w:rPr>
        <w:t>the ESP v. MRO test.</w:t>
      </w:r>
    </w:p>
    <w:p w:rsidR="00CA5F22" w:rsidRPr="006849DE" w:rsidP="00CA5F22">
      <w:pPr>
        <w:autoSpaceDE w:val="0"/>
        <w:autoSpaceDN w:val="0"/>
        <w:adjustRightInd w:val="0"/>
        <w:spacing w:after="0" w:line="480" w:lineRule="auto"/>
        <w:ind w:firstLine="720"/>
        <w:rPr>
          <w:rFonts w:cs="Times New Roman"/>
          <w:szCs w:val="24"/>
        </w:rPr>
      </w:pPr>
      <w:r w:rsidRPr="006849DE">
        <w:rPr>
          <w:rFonts w:cs="Times New Roman"/>
          <w:szCs w:val="24"/>
        </w:rPr>
        <w:t>Rehearing should be granted on Assignment of Error No. 1.</w:t>
      </w:r>
    </w:p>
    <w:p w:rsidR="00FC0AE6" w:rsidRPr="006849DE" w:rsidP="002827D8">
      <w:pPr>
        <w:spacing w:after="0" w:line="240" w:lineRule="auto"/>
        <w:rPr>
          <w:rFonts w:cs="Times New Roman"/>
          <w:b/>
          <w:szCs w:val="24"/>
        </w:rPr>
      </w:pPr>
    </w:p>
    <w:p w:rsidR="00BC1D33" w:rsidRPr="004828E4" w:rsidP="002827D8">
      <w:pPr>
        <w:pStyle w:val="Heading2"/>
        <w:rPr>
          <w:rFonts w:asciiTheme="minorHAnsi" w:hAnsiTheme="minorHAnsi"/>
          <w:sz w:val="22"/>
        </w:rPr>
      </w:pPr>
      <w:r>
        <w:fldChar w:fldCharType="begin"/>
      </w:r>
      <w:r>
        <w:instrText xml:space="preserve"> HYPERLINK \l "_Toc449967245" </w:instrText>
      </w:r>
      <w:r>
        <w:fldChar w:fldCharType="separate"/>
      </w:r>
      <w:bookmarkStart w:id="17" w:name="_Toc498952106"/>
      <w:r w:rsidRPr="004828E4">
        <w:rPr>
          <w:rStyle w:val="Hyperlink"/>
          <w:color w:val="auto"/>
          <w:u w:val="none"/>
        </w:rPr>
        <w:t xml:space="preserve">ASSIGNMENT OF ERROR 2: </w:t>
      </w:r>
      <w:r w:rsidRPr="00C31A7E" w:rsidR="002827D8">
        <w:t xml:space="preserve">The PUCO’s Opinion and Order is unlawful because </w:t>
      </w:r>
      <w:r w:rsidR="002827D8">
        <w:t xml:space="preserve">it </w:t>
      </w:r>
      <w:r w:rsidRPr="00C31A7E" w:rsidR="002827D8">
        <w:t>allow</w:t>
      </w:r>
      <w:r w:rsidR="002827D8">
        <w:t xml:space="preserve">ed </w:t>
      </w:r>
      <w:r w:rsidRPr="00C31A7E" w:rsidR="002827D8">
        <w:t xml:space="preserve">DP&amp;L to </w:t>
      </w:r>
      <w:r w:rsidR="002827D8">
        <w:t xml:space="preserve">charge customers (through the Distribution Modernization Rider and the Reconciliation Rider) for </w:t>
      </w:r>
      <w:r w:rsidRPr="00C31A7E" w:rsidR="002827D8">
        <w:t xml:space="preserve">transition costs or </w:t>
      </w:r>
      <w:r w:rsidR="002827D8">
        <w:t xml:space="preserve">"any </w:t>
      </w:r>
      <w:r w:rsidRPr="00C31A7E" w:rsidR="002827D8">
        <w:t>equivalent revenue</w:t>
      </w:r>
      <w:r w:rsidR="002827D8">
        <w:t xml:space="preserve">" that customers are no longer required to pay.  The PUCO's decision harmed customers by increasing the rates they pay and was </w:t>
      </w:r>
      <w:r w:rsidRPr="00C31A7E" w:rsidR="002827D8">
        <w:t>contrary to R.C. 4928.38 and important reg</w:t>
      </w:r>
      <w:r w:rsidR="002827D8">
        <w:t>ulatory principles and practice.</w:t>
      </w:r>
      <w:bookmarkEnd w:id="17"/>
      <w:r w:rsidRPr="004828E4">
        <w:rPr>
          <w:webHidden/>
        </w:rPr>
        <w:tab/>
      </w:r>
      <w:r>
        <w:fldChar w:fldCharType="end"/>
      </w:r>
    </w:p>
    <w:p w:rsidR="00BC1D33" w:rsidRPr="006849DE" w:rsidP="00293EB8">
      <w:pPr>
        <w:spacing w:after="0" w:line="480" w:lineRule="auto"/>
        <w:ind w:firstLine="720"/>
        <w:rPr>
          <w:rFonts w:cs="Times New Roman"/>
          <w:szCs w:val="24"/>
        </w:rPr>
      </w:pPr>
      <w:r w:rsidRPr="006849DE">
        <w:rPr>
          <w:rFonts w:cs="Times New Roman"/>
          <w:szCs w:val="24"/>
        </w:rPr>
        <w:t xml:space="preserve">The PUCO determined in its Opinion and Order that the </w:t>
      </w:r>
      <w:r>
        <w:rPr>
          <w:rFonts w:cs="Times New Roman"/>
          <w:szCs w:val="24"/>
        </w:rPr>
        <w:t>DMR and Reconciliation Rider</w:t>
      </w:r>
      <w:r w:rsidRPr="006849DE">
        <w:rPr>
          <w:rFonts w:cs="Times New Roman"/>
          <w:szCs w:val="24"/>
        </w:rPr>
        <w:t xml:space="preserve"> do not allow </w:t>
      </w:r>
      <w:r>
        <w:rPr>
          <w:rFonts w:cs="Times New Roman"/>
          <w:szCs w:val="24"/>
        </w:rPr>
        <w:t>DP&amp;L</w:t>
      </w:r>
      <w:r w:rsidRPr="006849DE">
        <w:rPr>
          <w:rFonts w:cs="Times New Roman"/>
          <w:szCs w:val="24"/>
        </w:rPr>
        <w:t xml:space="preserve"> to collect untimely transition </w:t>
      </w:r>
      <w:r>
        <w:rPr>
          <w:rFonts w:cs="Times New Roman"/>
          <w:szCs w:val="24"/>
        </w:rPr>
        <w:t xml:space="preserve">costs or equivalent </w:t>
      </w:r>
      <w:r w:rsidRPr="006849DE">
        <w:rPr>
          <w:rFonts w:cs="Times New Roman"/>
          <w:szCs w:val="24"/>
        </w:rPr>
        <w:t>revenues.</w:t>
      </w:r>
      <w:r>
        <w:rPr>
          <w:rStyle w:val="FootnoteReference"/>
          <w:rFonts w:cs="Times New Roman"/>
          <w:szCs w:val="24"/>
        </w:rPr>
        <w:footnoteReference w:id="12"/>
      </w:r>
      <w:r w:rsidRPr="006849DE">
        <w:rPr>
          <w:rFonts w:cs="Times New Roman"/>
          <w:szCs w:val="24"/>
        </w:rPr>
        <w:t xml:space="preserve">  Based on recent Ohio Supreme Court precedent, the PUCO should reconsider that determination and find that the </w:t>
      </w:r>
      <w:r>
        <w:rPr>
          <w:rFonts w:cs="Times New Roman"/>
          <w:szCs w:val="24"/>
        </w:rPr>
        <w:t>DMR and Reconciliation Rider do</w:t>
      </w:r>
      <w:r w:rsidRPr="006849DE">
        <w:rPr>
          <w:rFonts w:cs="Times New Roman"/>
          <w:szCs w:val="24"/>
        </w:rPr>
        <w:t xml:space="preserve">, in fact, allow </w:t>
      </w:r>
      <w:r>
        <w:rPr>
          <w:rFonts w:cs="Times New Roman"/>
          <w:szCs w:val="24"/>
        </w:rPr>
        <w:t>DP&amp;L</w:t>
      </w:r>
      <w:r w:rsidRPr="006849DE">
        <w:rPr>
          <w:rFonts w:cs="Times New Roman"/>
          <w:szCs w:val="24"/>
        </w:rPr>
        <w:t xml:space="preserve"> to collect untimely transition revenues.</w:t>
      </w:r>
    </w:p>
    <w:p w:rsidR="00BC1D33" w:rsidRPr="006849DE" w:rsidP="00BC1D33">
      <w:pPr>
        <w:spacing w:after="0" w:line="480" w:lineRule="auto"/>
        <w:ind w:firstLine="720"/>
        <w:rPr>
          <w:rFonts w:cs="Times New Roman"/>
          <w:szCs w:val="24"/>
        </w:rPr>
      </w:pPr>
      <w:r w:rsidRPr="006849DE">
        <w:rPr>
          <w:rFonts w:cs="Times New Roman"/>
          <w:szCs w:val="24"/>
        </w:rPr>
        <w:t>The Ohio Supreme Court explained just recently that “R.C. 4928.38 bars the commission from authorizing the ‘receipt of transition revenues or any equivalent revenues’ after December 31, 2010</w:t>
      </w:r>
      <w:r>
        <w:rPr>
          <w:rFonts w:cs="Times New Roman"/>
          <w:szCs w:val="24"/>
        </w:rPr>
        <w:t>.</w:t>
      </w:r>
      <w:r w:rsidRPr="006849DE">
        <w:rPr>
          <w:rFonts w:cs="Times New Roman"/>
          <w:szCs w:val="24"/>
        </w:rPr>
        <w:t>”</w:t>
      </w:r>
      <w:r>
        <w:rPr>
          <w:rStyle w:val="FootnoteReference"/>
          <w:rFonts w:cs="Times New Roman"/>
          <w:szCs w:val="24"/>
        </w:rPr>
        <w:footnoteReference w:id="13"/>
      </w:r>
      <w:r w:rsidRPr="006849DE">
        <w:rPr>
          <w:rFonts w:cs="Times New Roman"/>
          <w:szCs w:val="24"/>
        </w:rPr>
        <w:t xml:space="preserve">  It therefore found that the PUCO erred in approving AEP Ohio’s Retail Rate Stability Rider.</w:t>
      </w:r>
      <w:r>
        <w:rPr>
          <w:rStyle w:val="FootnoteReference"/>
          <w:rFonts w:cs="Times New Roman"/>
          <w:szCs w:val="24"/>
        </w:rPr>
        <w:footnoteReference w:id="14"/>
      </w:r>
      <w:r w:rsidRPr="006849DE">
        <w:rPr>
          <w:rFonts w:cs="Times New Roman"/>
          <w:szCs w:val="24"/>
        </w:rPr>
        <w:t xml:space="preserve">  That unlawful rider is indistinguishable from the </w:t>
      </w:r>
      <w:r>
        <w:rPr>
          <w:rFonts w:cs="Times New Roman"/>
          <w:szCs w:val="24"/>
        </w:rPr>
        <w:t>DMR and Reconciliation Rider</w:t>
      </w:r>
      <w:r w:rsidRPr="006849DE">
        <w:rPr>
          <w:rFonts w:cs="Times New Roman"/>
          <w:szCs w:val="24"/>
        </w:rPr>
        <w:t xml:space="preserve">.  As the record evidence here shows, the </w:t>
      </w:r>
      <w:r>
        <w:rPr>
          <w:rFonts w:cs="Times New Roman"/>
          <w:szCs w:val="24"/>
        </w:rPr>
        <w:t>riders</w:t>
      </w:r>
      <w:r w:rsidRPr="006849DE">
        <w:rPr>
          <w:rFonts w:cs="Times New Roman"/>
          <w:szCs w:val="24"/>
        </w:rPr>
        <w:t xml:space="preserve"> allows </w:t>
      </w:r>
      <w:r>
        <w:rPr>
          <w:rFonts w:cs="Times New Roman"/>
          <w:szCs w:val="24"/>
        </w:rPr>
        <w:t>DP&amp;L</w:t>
      </w:r>
      <w:r w:rsidRPr="006849DE">
        <w:rPr>
          <w:rFonts w:cs="Times New Roman"/>
          <w:szCs w:val="24"/>
        </w:rPr>
        <w:t xml:space="preserve"> to collect untimely transition revenues.</w:t>
      </w:r>
      <w:r>
        <w:rPr>
          <w:rStyle w:val="FootnoteReference"/>
          <w:rFonts w:cs="Times New Roman"/>
          <w:szCs w:val="24"/>
        </w:rPr>
        <w:footnoteReference w:id="15"/>
      </w:r>
      <w:r w:rsidRPr="006849DE">
        <w:rPr>
          <w:rFonts w:cs="Times New Roman"/>
          <w:szCs w:val="24"/>
        </w:rPr>
        <w:t xml:space="preserve">  </w:t>
      </w:r>
    </w:p>
    <w:p w:rsidR="00CA186D" w:rsidP="00BC7BE7">
      <w:pPr>
        <w:spacing w:after="0" w:line="480" w:lineRule="auto"/>
        <w:ind w:firstLine="720"/>
        <w:rPr>
          <w:rFonts w:cs="Times New Roman"/>
          <w:szCs w:val="24"/>
        </w:rPr>
      </w:pPr>
      <w:r w:rsidRPr="006849DE">
        <w:rPr>
          <w:rFonts w:cs="Times New Roman"/>
          <w:szCs w:val="24"/>
        </w:rPr>
        <w:t>The PUCO should grant rehearing on Assignment of Error No. 2.</w:t>
      </w:r>
      <w:r w:rsidRPr="006849DE">
        <w:rPr>
          <w:rFonts w:cs="Times New Roman"/>
          <w:szCs w:val="24"/>
        </w:rPr>
        <w:t xml:space="preserve">   </w:t>
      </w:r>
      <w:r w:rsidRPr="006849DE">
        <w:rPr>
          <w:rFonts w:cs="Times New Roman"/>
          <w:szCs w:val="24"/>
        </w:rPr>
        <w:t xml:space="preserve"> </w:t>
      </w:r>
    </w:p>
    <w:p w:rsidR="00E90294" w:rsidRPr="006849DE" w:rsidP="00E90294">
      <w:pPr>
        <w:spacing w:after="0" w:line="240" w:lineRule="auto"/>
        <w:ind w:firstLine="720"/>
        <w:rPr>
          <w:rFonts w:cs="Times New Roman"/>
          <w:szCs w:val="24"/>
        </w:rPr>
      </w:pPr>
    </w:p>
    <w:p w:rsidR="004828E4" w:rsidP="002827D8">
      <w:pPr>
        <w:pStyle w:val="Heading2"/>
      </w:pPr>
      <w:bookmarkStart w:id="18" w:name="_Toc498952107"/>
      <w:r>
        <w:t xml:space="preserve">ASSIGNMENT OF ERROR 3:  </w:t>
      </w:r>
      <w:r w:rsidRPr="00C31A7E" w:rsidR="002827D8">
        <w:t>The PUCO’s Opinion and Order</w:t>
      </w:r>
      <w:r w:rsidR="002827D8">
        <w:t xml:space="preserve"> requires customers to subsidize </w:t>
      </w:r>
      <w:r w:rsidRPr="00C31A7E" w:rsidR="002827D8">
        <w:t>economic development incentives</w:t>
      </w:r>
      <w:r w:rsidR="002827D8">
        <w:t xml:space="preserve">. The PUCO's Opinion and Order lacked </w:t>
      </w:r>
      <w:r w:rsidRPr="00C31A7E" w:rsidR="002827D8">
        <w:t xml:space="preserve">evidentiary support as required under R.C. </w:t>
      </w:r>
      <w:r w:rsidR="002827D8">
        <w:t xml:space="preserve">4903.09, </w:t>
      </w:r>
      <w:r w:rsidRPr="00C31A7E" w:rsidR="002827D8">
        <w:t>4928.143(B)(2)(i)</w:t>
      </w:r>
      <w:r w:rsidR="002827D8">
        <w:t>,</w:t>
      </w:r>
      <w:r w:rsidRPr="00C31A7E" w:rsidR="002827D8">
        <w:t xml:space="preserve"> and case law.</w:t>
      </w:r>
      <w:bookmarkEnd w:id="18"/>
    </w:p>
    <w:p w:rsidR="00FC12CC" w:rsidRPr="006849DE" w:rsidP="004828E4">
      <w:pPr>
        <w:autoSpaceDE w:val="0"/>
        <w:autoSpaceDN w:val="0"/>
        <w:adjustRightInd w:val="0"/>
        <w:spacing w:after="0" w:line="480" w:lineRule="auto"/>
        <w:ind w:firstLine="360"/>
        <w:rPr>
          <w:rFonts w:cs="Times New Roman"/>
          <w:szCs w:val="24"/>
        </w:rPr>
      </w:pPr>
      <w:r>
        <w:rPr>
          <w:rFonts w:cs="Times New Roman"/>
          <w:szCs w:val="24"/>
        </w:rPr>
        <w:t>It is axiomatic that the PUCO must base its decisions on record evidence.</w:t>
      </w:r>
      <w:r>
        <w:rPr>
          <w:rStyle w:val="FootnoteReference"/>
          <w:rFonts w:cs="Times New Roman"/>
          <w:szCs w:val="24"/>
        </w:rPr>
        <w:footnoteReference w:id="16"/>
      </w:r>
      <w:r w:rsidR="00682EA9">
        <w:rPr>
          <w:rFonts w:cs="Times New Roman"/>
          <w:szCs w:val="24"/>
        </w:rPr>
        <w:t xml:space="preserve">  Yet it approved various economic development incentives without any demonstration of need or specific commitments by those purportedly receiving the incentives.</w:t>
      </w:r>
      <w:r>
        <w:rPr>
          <w:rStyle w:val="FootnoteReference"/>
          <w:rFonts w:cs="Times New Roman"/>
          <w:szCs w:val="24"/>
        </w:rPr>
        <w:footnoteReference w:id="17"/>
      </w:r>
      <w:r w:rsidR="00682EA9">
        <w:rPr>
          <w:rFonts w:cs="Times New Roman"/>
          <w:szCs w:val="24"/>
        </w:rPr>
        <w:t xml:space="preserve">  Without any demonstration of need or specific commitments, the PUCO should not approve the alleged economic development incentives.  </w:t>
      </w:r>
      <w:r w:rsidR="00DF6830">
        <w:rPr>
          <w:rFonts w:cs="Times New Roman"/>
          <w:szCs w:val="24"/>
        </w:rPr>
        <w:t>Without</w:t>
      </w:r>
      <w:r w:rsidR="00682EA9">
        <w:rPr>
          <w:rFonts w:cs="Times New Roman"/>
          <w:szCs w:val="24"/>
        </w:rPr>
        <w:t xml:space="preserve"> record support they are improper.  </w:t>
      </w:r>
    </w:p>
    <w:p w:rsidR="00D030A0" w:rsidP="00D030A0">
      <w:pPr>
        <w:autoSpaceDE w:val="0"/>
        <w:autoSpaceDN w:val="0"/>
        <w:adjustRightInd w:val="0"/>
        <w:spacing w:after="120" w:line="240" w:lineRule="auto"/>
        <w:ind w:firstLine="360"/>
        <w:rPr>
          <w:rFonts w:cs="Times New Roman"/>
          <w:szCs w:val="24"/>
        </w:rPr>
      </w:pPr>
      <w:r w:rsidRPr="006849DE">
        <w:rPr>
          <w:rFonts w:cs="Times New Roman"/>
          <w:szCs w:val="24"/>
        </w:rPr>
        <w:tab/>
      </w:r>
      <w:r w:rsidRPr="006849DE" w:rsidR="00807281">
        <w:rPr>
          <w:rFonts w:cs="Times New Roman"/>
          <w:szCs w:val="24"/>
        </w:rPr>
        <w:t xml:space="preserve"> </w:t>
      </w:r>
      <w:r w:rsidRPr="006849DE">
        <w:rPr>
          <w:rFonts w:cs="Times New Roman"/>
          <w:szCs w:val="24"/>
        </w:rPr>
        <w:t>The PUCO should grant rehearing on Assignment of Error No. 3.</w:t>
      </w:r>
      <w:bookmarkStart w:id="19" w:name="_Toc498952108"/>
    </w:p>
    <w:p w:rsidR="00D030A0">
      <w:pPr>
        <w:rPr>
          <w:rFonts w:cs="Times New Roman"/>
          <w:szCs w:val="24"/>
        </w:rPr>
      </w:pPr>
      <w:r>
        <w:rPr>
          <w:rFonts w:cs="Times New Roman"/>
          <w:szCs w:val="24"/>
        </w:rPr>
        <w:br w:type="page"/>
      </w:r>
    </w:p>
    <w:p w:rsidR="002827D8" w:rsidP="00D030A0">
      <w:pPr>
        <w:autoSpaceDE w:val="0"/>
        <w:autoSpaceDN w:val="0"/>
        <w:adjustRightInd w:val="0"/>
        <w:spacing w:after="120" w:line="240" w:lineRule="auto"/>
      </w:pPr>
      <w:r w:rsidRPr="00D030A0">
        <w:rPr>
          <w:b/>
        </w:rPr>
        <w:t xml:space="preserve">ASSIGNMENT OF ERROR 4: </w:t>
      </w:r>
      <w:r w:rsidRPr="00D030A0">
        <w:rPr>
          <w:b/>
        </w:rPr>
        <w:t xml:space="preserve">The PUCO’s Opinion and Order is unreasonable and unlawful because it requires customers to pay for the Distribution Modernization Rider, contrary to the PUCO’s Finding and Order in </w:t>
      </w:r>
      <w:r w:rsidRPr="00D030A0">
        <w:rPr>
          <w:b/>
          <w:i/>
        </w:rPr>
        <w:t>In the Matter of the Application of AES Corporation</w:t>
      </w:r>
      <w:r w:rsidRPr="00D030A0">
        <w:rPr>
          <w:b/>
        </w:rPr>
        <w:t>, Case No. 11-3002-EL-MER.  That PUCO Finding and Order bars charging consumers for the Distribution Modernization Rider.</w:t>
      </w:r>
      <w:bookmarkEnd w:id="19"/>
      <w:r w:rsidRPr="00C31A7E">
        <w:t xml:space="preserve"> </w:t>
      </w:r>
    </w:p>
    <w:p w:rsidR="00795008" w:rsidRPr="006849DE" w:rsidP="00D030A0">
      <w:pPr>
        <w:spacing w:after="0" w:line="480" w:lineRule="auto"/>
        <w:ind w:firstLine="720"/>
      </w:pPr>
      <w:r>
        <w:t>OCC demonstrated in its brief that the DMR is barred by the Merger Finding and Order.</w:t>
      </w:r>
      <w:r>
        <w:rPr>
          <w:rStyle w:val="FootnoteReference"/>
          <w:rFonts w:cs="Times New Roman"/>
          <w:szCs w:val="24"/>
        </w:rPr>
        <w:footnoteReference w:id="18"/>
      </w:r>
      <w:r>
        <w:t xml:space="preserve">  </w:t>
      </w:r>
      <w:r w:rsidR="00DF6830">
        <w:t>A condition precedent to AES obtaining approval for the merger was its commitment to the PUCO – and Ohio consumers – not to charge DP&amp;L’s customers for costs associated with closing the transaction or for any acquisition premium.</w:t>
      </w:r>
      <w:r>
        <w:rPr>
          <w:rStyle w:val="FootnoteReference"/>
          <w:rFonts w:cs="Times New Roman"/>
          <w:szCs w:val="24"/>
        </w:rPr>
        <w:footnoteReference w:id="19"/>
      </w:r>
      <w:r w:rsidR="00DF6830">
        <w:t xml:space="preserve">  But that is exactly what it is trying to do in the Settlement.</w:t>
      </w:r>
      <w:r>
        <w:rPr>
          <w:rStyle w:val="FootnoteReference"/>
          <w:rFonts w:cs="Times New Roman"/>
          <w:szCs w:val="24"/>
        </w:rPr>
        <w:footnoteReference w:id="20"/>
      </w:r>
      <w:r w:rsidR="00DF6830">
        <w:t xml:space="preserve">  </w:t>
      </w:r>
      <w:r>
        <w:t>The PUCO did not address the matter in its Opinion and Order.  It must.</w:t>
      </w:r>
      <w:r>
        <w:rPr>
          <w:rStyle w:val="FootnoteReference"/>
          <w:rFonts w:cs="Times New Roman"/>
          <w:szCs w:val="24"/>
        </w:rPr>
        <w:footnoteReference w:id="21"/>
      </w:r>
      <w:r>
        <w:t xml:space="preserve">  After doing so, the PUCO should reject the Settlement. </w:t>
      </w:r>
      <w:r w:rsidRPr="006849DE" w:rsidR="00BB09F9">
        <w:t xml:space="preserve">  </w:t>
      </w:r>
      <w:r w:rsidRPr="006849DE" w:rsidR="004D5C08">
        <w:tab/>
      </w:r>
    </w:p>
    <w:p w:rsidR="00E26482" w:rsidRPr="006849DE" w:rsidP="00D030A0">
      <w:pPr>
        <w:spacing w:after="0" w:line="480" w:lineRule="auto"/>
        <w:ind w:firstLine="720"/>
        <w:rPr>
          <w:rFonts w:cs="Times New Roman"/>
          <w:szCs w:val="24"/>
        </w:rPr>
      </w:pPr>
      <w:r w:rsidRPr="006849DE">
        <w:rPr>
          <w:rFonts w:cs="Times New Roman"/>
          <w:szCs w:val="24"/>
        </w:rPr>
        <w:t>The PUCO should grant rehearing</w:t>
      </w:r>
      <w:r w:rsidRPr="006849DE" w:rsidR="00A13E5C">
        <w:rPr>
          <w:rFonts w:cs="Times New Roman"/>
          <w:szCs w:val="24"/>
        </w:rPr>
        <w:t xml:space="preserve"> on Assignment of Error No. 4</w:t>
      </w:r>
      <w:r w:rsidRPr="006849DE">
        <w:rPr>
          <w:rFonts w:cs="Times New Roman"/>
          <w:szCs w:val="24"/>
        </w:rPr>
        <w:t>.</w:t>
      </w:r>
    </w:p>
    <w:p w:rsidR="002827D8" w:rsidRPr="002827D8" w:rsidP="002827D8">
      <w:pPr>
        <w:pStyle w:val="Heading2"/>
        <w:rPr>
          <w:webHidden/>
        </w:rPr>
      </w:pPr>
      <w:r>
        <w:fldChar w:fldCharType="begin"/>
      </w:r>
      <w:r>
        <w:instrText xml:space="preserve"> HYPERLINK \l "_Toc449967252" </w:instrText>
      </w:r>
      <w:r>
        <w:fldChar w:fldCharType="separate"/>
      </w:r>
      <w:bookmarkStart w:id="20" w:name="_Toc498952109"/>
      <w:r w:rsidRPr="002827D8" w:rsidR="00D171D0">
        <w:rPr>
          <w:webHidden/>
        </w:rPr>
        <w:t xml:space="preserve">ASSIGNMENT OF ERROR 5:  </w:t>
      </w:r>
      <w:r w:rsidRPr="002827D8">
        <w:rPr>
          <w:webHidden/>
        </w:rPr>
        <w:t>The PUCO’s Opinion and Order is unreasonable and unlawful because it does not consider distribution modernization revenues when determining whether customers have funded significantly excessive earnings, and deserve a refund under R.C. 4928.143(F) and Supreme Court of Ohio precedent.  This limits the potential refund to customers for significantly excessive earnings under a utility's electric security plan.</w:t>
      </w:r>
      <w:bookmarkEnd w:id="20"/>
    </w:p>
    <w:p w:rsidR="004828E4" w:rsidP="00D030A0">
      <w:pPr>
        <w:spacing w:after="0" w:line="480" w:lineRule="auto"/>
        <w:rPr>
          <w:rFonts w:cs="Times New Roman"/>
          <w:szCs w:val="24"/>
        </w:rPr>
      </w:pPr>
      <w:r>
        <w:rPr>
          <w:webHidden/>
        </w:rPr>
        <w:tab/>
      </w:r>
      <w:r w:rsidR="002827D8">
        <w:fldChar w:fldCharType="end"/>
      </w:r>
      <w:r w:rsidR="00FD0059">
        <w:rPr>
          <w:rFonts w:cs="Times New Roman"/>
          <w:szCs w:val="24"/>
        </w:rPr>
        <w:t>The PUCO excluded DMR revenues from the significantly excessive earnings test (“SEET”)</w:t>
      </w:r>
      <w:r w:rsidR="00F05EA9">
        <w:rPr>
          <w:rFonts w:cs="Times New Roman"/>
          <w:szCs w:val="24"/>
        </w:rPr>
        <w:t xml:space="preserve"> in R.C. 4928.143(F).</w:t>
      </w:r>
      <w:r>
        <w:rPr>
          <w:rStyle w:val="FootnoteReference"/>
          <w:rFonts w:cs="Times New Roman"/>
          <w:szCs w:val="24"/>
        </w:rPr>
        <w:footnoteReference w:id="22"/>
      </w:r>
      <w:r w:rsidR="00F05EA9">
        <w:rPr>
          <w:rFonts w:cs="Times New Roman"/>
          <w:szCs w:val="24"/>
        </w:rPr>
        <w:t xml:space="preserve">  The PUCO should reconsider this determination because it would result in consumers funding</w:t>
      </w:r>
      <w:r w:rsidR="00C727B2">
        <w:rPr>
          <w:rFonts w:cs="Times New Roman"/>
          <w:szCs w:val="24"/>
        </w:rPr>
        <w:t xml:space="preserve"> significantly</w:t>
      </w:r>
      <w:r w:rsidR="00F05EA9">
        <w:rPr>
          <w:rFonts w:cs="Times New Roman"/>
          <w:szCs w:val="24"/>
        </w:rPr>
        <w:t xml:space="preserve"> excessive earnings in violation of the statute and </w:t>
      </w:r>
      <w:r w:rsidR="00F05EA9">
        <w:rPr>
          <w:rFonts w:cs="Times New Roman"/>
          <w:i/>
          <w:szCs w:val="24"/>
        </w:rPr>
        <w:t>In re Columbus Southern Power Co.</w:t>
      </w:r>
      <w:r w:rsidR="00F05EA9">
        <w:rPr>
          <w:rFonts w:cs="Times New Roman"/>
          <w:szCs w:val="24"/>
        </w:rPr>
        <w:t>, 134 Ohio St. 3d 392, 400-401 (2012).</w:t>
      </w:r>
      <w:r>
        <w:rPr>
          <w:rFonts w:cs="Times New Roman"/>
          <w:szCs w:val="24"/>
        </w:rPr>
        <w:t xml:space="preserve">  Upon reconsideration, DMR revenues should not be excluded from SEET.</w:t>
      </w:r>
    </w:p>
    <w:p w:rsidR="004828E4" w:rsidP="00D030A0">
      <w:pPr>
        <w:spacing w:after="0" w:line="480" w:lineRule="auto"/>
        <w:ind w:firstLine="720"/>
        <w:rPr>
          <w:rFonts w:cs="Times New Roman"/>
          <w:szCs w:val="24"/>
        </w:rPr>
      </w:pPr>
      <w:r>
        <w:rPr>
          <w:rFonts w:cs="Times New Roman"/>
          <w:szCs w:val="24"/>
        </w:rPr>
        <w:t xml:space="preserve"> </w:t>
      </w:r>
      <w:r w:rsidRPr="006849DE">
        <w:rPr>
          <w:rFonts w:cs="Times New Roman"/>
          <w:szCs w:val="24"/>
        </w:rPr>
        <w:t xml:space="preserve">The PUCO should grant rehearing on Assignment of Error No. </w:t>
      </w:r>
      <w:r>
        <w:rPr>
          <w:rFonts w:cs="Times New Roman"/>
          <w:szCs w:val="24"/>
        </w:rPr>
        <w:t>5</w:t>
      </w:r>
      <w:r w:rsidRPr="006849DE">
        <w:rPr>
          <w:rFonts w:cs="Times New Roman"/>
          <w:szCs w:val="24"/>
        </w:rPr>
        <w:t>.</w:t>
      </w:r>
    </w:p>
    <w:p w:rsidR="00AA5AFA" w:rsidRPr="00AA5AFA" w:rsidP="002827D8">
      <w:pPr>
        <w:pStyle w:val="Heading2"/>
        <w:rPr>
          <w:webHidden/>
        </w:rPr>
      </w:pPr>
      <w:bookmarkStart w:id="21" w:name="_Toc498952110"/>
      <w:r w:rsidRPr="00BD5B62">
        <w:rPr>
          <w:webHidden/>
        </w:rPr>
        <w:t xml:space="preserve">ASSIGNMENT OF ERROR 6:  </w:t>
      </w:r>
      <w:r w:rsidR="002827D8">
        <w:rPr>
          <w:webHidden/>
        </w:rPr>
        <w:t>The PUCO’s Opinion and Order is unreasonable and against the public interest because, contrary to the PUCO’s assertion, the cost allocation to residential consumers who pay the Distribution Modernization Rider is not based on the cost allocation of DP&amp;L’s existing nonbypassable rider and therefore harms residential consumers by charging them too much.</w:t>
      </w:r>
      <w:bookmarkEnd w:id="21"/>
    </w:p>
    <w:p w:rsidR="00BD5B62" w:rsidP="00BD5B62">
      <w:pPr>
        <w:spacing w:after="0" w:line="480" w:lineRule="auto"/>
      </w:pPr>
      <w:r>
        <w:rPr>
          <w:b/>
          <w:webHidden/>
        </w:rPr>
        <w:tab/>
      </w:r>
      <w:r>
        <w:rPr>
          <w:webHidden/>
        </w:rPr>
        <w:t>The PUCO said that “the cost allocation for the DMR is based on the cost allocation of DP&amp;L’s existing nonbypassable rider [and,] [t]herefore, the Commission finds the principle of gradualism supports using a similar cost allocation to reduce impact on customer bills.”</w:t>
      </w:r>
      <w:r>
        <w:rPr>
          <w:rStyle w:val="FootnoteReference"/>
          <w:webHidden/>
        </w:rPr>
        <w:footnoteReference w:id="23"/>
      </w:r>
      <w:r>
        <w:rPr>
          <w:webHidden/>
        </w:rPr>
        <w:t xml:space="preserve">  Previously, however, the PUCO </w:t>
      </w:r>
      <w:r>
        <w:t xml:space="preserve">correctly noted that “DP&amp;L responds that the cost allocation proposed in the Amended Stipulation has 34 percent allocated based on </w:t>
      </w:r>
      <w:r w:rsidR="00AD2498">
        <w:t xml:space="preserve">five </w:t>
      </w:r>
      <w:r w:rsidR="00C22715">
        <w:t>c</w:t>
      </w:r>
      <w:r>
        <w:t xml:space="preserve">oincident </w:t>
      </w:r>
      <w:r w:rsidR="00C22715">
        <w:t>p</w:t>
      </w:r>
      <w:r>
        <w:t>eaks, 33 percent allocated based on distribution revenue, and 33 percent allocated based on historic allocation of the currently charged nonbypassable rider.”</w:t>
      </w:r>
      <w:r>
        <w:rPr>
          <w:rStyle w:val="FootnoteReference"/>
        </w:rPr>
        <w:footnoteReference w:id="24"/>
      </w:r>
      <w:r>
        <w:t xml:space="preserve">  Thus, only 33% of the cost allocation methodology governing the DMR adopted in the Settlement is actually based on the cost allocation of DP&amp;L’s existing nonbypassable rider.</w:t>
      </w:r>
    </w:p>
    <w:p w:rsidR="00BD5B62" w:rsidP="00BD5B62">
      <w:pPr>
        <w:spacing w:after="0" w:line="480" w:lineRule="auto"/>
        <w:ind w:firstLine="720"/>
      </w:pPr>
      <w:r>
        <w:t xml:space="preserve">As described in the testimony of OCC witness Robert B. Fortney, the difference between allocating the $105,000,000 DMR based on the combination methodology approved in the Settlement and allocating the DMR based on the previously approved nonbypassable rider results in nearly $5,000,000 in additional </w:t>
      </w:r>
      <w:r w:rsidR="00C22715">
        <w:t xml:space="preserve">charges </w:t>
      </w:r>
      <w:r>
        <w:t>being paid by the residential class on an annual basis.  This revenue shift is harmful to residential customers and is not in the public interest.</w:t>
      </w:r>
      <w:r>
        <w:rPr>
          <w:rStyle w:val="FootnoteReference"/>
        </w:rPr>
        <w:footnoteReference w:id="25"/>
      </w:r>
      <w:r>
        <w:t xml:space="preserve"> </w:t>
      </w:r>
    </w:p>
    <w:p w:rsidR="00F324E6" w:rsidP="00F324E6">
      <w:pPr>
        <w:spacing w:after="0" w:line="240" w:lineRule="auto"/>
        <w:ind w:firstLine="720"/>
      </w:pPr>
      <w:r>
        <w:t>The PUCO should grant rehearing on Assignment of Error No. 6.</w:t>
      </w:r>
    </w:p>
    <w:p w:rsidR="002827D8" w:rsidP="002827D8">
      <w:pPr>
        <w:spacing w:after="0" w:line="240" w:lineRule="auto"/>
        <w:ind w:firstLine="720"/>
      </w:pPr>
    </w:p>
    <w:p w:rsidR="00C42DE6" w:rsidRPr="006849DE" w:rsidP="00352742">
      <w:pPr>
        <w:pStyle w:val="Heading1"/>
        <w:rPr>
          <w:rFonts w:ascii="Times New Roman" w:hAnsi="Times New Roman" w:cs="Times New Roman"/>
          <w:szCs w:val="24"/>
        </w:rPr>
      </w:pPr>
      <w:bookmarkStart w:id="22" w:name="_Toc448487608"/>
      <w:bookmarkStart w:id="23" w:name="_Toc498952111"/>
      <w:bookmarkEnd w:id="13"/>
      <w:bookmarkEnd w:id="14"/>
      <w:bookmarkEnd w:id="15"/>
      <w:bookmarkEnd w:id="16"/>
      <w:r w:rsidRPr="006849DE">
        <w:rPr>
          <w:rFonts w:ascii="Times New Roman" w:hAnsi="Times New Roman" w:cs="Times New Roman"/>
          <w:szCs w:val="24"/>
        </w:rPr>
        <w:t>IV.</w:t>
      </w:r>
      <w:r w:rsidRPr="006849DE">
        <w:rPr>
          <w:rFonts w:ascii="Times New Roman" w:hAnsi="Times New Roman" w:cs="Times New Roman"/>
          <w:szCs w:val="24"/>
        </w:rPr>
        <w:tab/>
        <w:t>CONCLUSION</w:t>
      </w:r>
      <w:bookmarkEnd w:id="22"/>
      <w:bookmarkEnd w:id="23"/>
    </w:p>
    <w:p w:rsidR="00C42DE6" w:rsidRPr="006849DE" w:rsidP="009528E2">
      <w:pPr>
        <w:spacing w:after="0" w:line="480" w:lineRule="auto"/>
        <w:rPr>
          <w:rFonts w:cs="Times New Roman"/>
          <w:szCs w:val="24"/>
        </w:rPr>
      </w:pPr>
      <w:r w:rsidRPr="006849DE">
        <w:rPr>
          <w:rFonts w:cs="Times New Roman"/>
          <w:szCs w:val="24"/>
        </w:rPr>
        <w:tab/>
        <w:t>The PUCO should grant rehearing on OCC’s claims of error and modify or abrogate its Opinion and Order</w:t>
      </w:r>
      <w:r w:rsidRPr="006849DE" w:rsidR="002F1D80">
        <w:rPr>
          <w:rFonts w:cs="Times New Roman"/>
          <w:szCs w:val="24"/>
        </w:rPr>
        <w:t xml:space="preserve"> because it will harm customers</w:t>
      </w:r>
      <w:r w:rsidRPr="006849DE">
        <w:rPr>
          <w:rFonts w:cs="Times New Roman"/>
          <w:szCs w:val="24"/>
        </w:rPr>
        <w:t xml:space="preserve">.  Granting rehearing as requested by OCC is necessary to ensure that </w:t>
      </w:r>
      <w:r w:rsidR="00293EB8">
        <w:rPr>
          <w:rFonts w:cs="Times New Roman"/>
          <w:szCs w:val="24"/>
        </w:rPr>
        <w:t>DP&amp;L</w:t>
      </w:r>
      <w:r w:rsidRPr="006849DE">
        <w:rPr>
          <w:rFonts w:cs="Times New Roman"/>
          <w:szCs w:val="24"/>
        </w:rPr>
        <w:t xml:space="preserve"> customers are not subject to unreasonable and unjust charges.  Without rehearing, Ohio consumers will end up paying for a whole host of unreasonable and unlawful charges, including</w:t>
      </w:r>
      <w:r w:rsidR="00DF6830">
        <w:rPr>
          <w:rFonts w:cs="Times New Roman"/>
          <w:szCs w:val="24"/>
        </w:rPr>
        <w:t>, but not limited to,</w:t>
      </w:r>
      <w:r w:rsidRPr="006849DE">
        <w:rPr>
          <w:rFonts w:cs="Times New Roman"/>
          <w:szCs w:val="24"/>
        </w:rPr>
        <w:t xml:space="preserve"> a government ordered subsidy of </w:t>
      </w:r>
      <w:r w:rsidR="00C22715">
        <w:rPr>
          <w:rFonts w:cs="Times New Roman"/>
          <w:szCs w:val="24"/>
        </w:rPr>
        <w:t xml:space="preserve">deregulated, </w:t>
      </w:r>
      <w:r w:rsidRPr="006849DE" w:rsidR="00C22715">
        <w:rPr>
          <w:rFonts w:cs="Times New Roman"/>
          <w:szCs w:val="24"/>
        </w:rPr>
        <w:t xml:space="preserve">old, inefficient, coal-fired </w:t>
      </w:r>
      <w:r w:rsidRPr="006849DE">
        <w:rPr>
          <w:rFonts w:cs="Times New Roman"/>
          <w:szCs w:val="24"/>
        </w:rPr>
        <w:t xml:space="preserve">power plants by </w:t>
      </w:r>
      <w:r w:rsidR="00C22715">
        <w:rPr>
          <w:rFonts w:cs="Times New Roman"/>
          <w:szCs w:val="24"/>
        </w:rPr>
        <w:t xml:space="preserve">captive monopoly </w:t>
      </w:r>
      <w:r w:rsidRPr="006849DE">
        <w:rPr>
          <w:rFonts w:cs="Times New Roman"/>
          <w:szCs w:val="24"/>
        </w:rPr>
        <w:t xml:space="preserve">customers that under the law should be competing in a competitive market. </w:t>
      </w:r>
    </w:p>
    <w:p w:rsidR="003C2841" w:rsidRPr="006849DE" w:rsidP="002827D8">
      <w:pPr>
        <w:spacing w:after="0" w:line="240" w:lineRule="auto"/>
        <w:rPr>
          <w:rFonts w:eastAsiaTheme="minorEastAsia" w:cs="Times New Roman"/>
          <w:szCs w:val="24"/>
        </w:rPr>
      </w:pP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 xml:space="preserve">BRUCE </w:t>
      </w:r>
      <w:r w:rsidRPr="006849DE">
        <w:rPr>
          <w:rFonts w:eastAsiaTheme="minorEastAsia" w:cs="Times New Roman"/>
          <w:szCs w:val="24"/>
        </w:rPr>
        <w:t>WESTON (0016973)</w:t>
      </w:r>
    </w:p>
    <w:p w:rsidR="003C2841" w:rsidRPr="006849DE" w:rsidP="003C2841">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OHIO CONSUMERS’ COUNSEL</w:t>
      </w:r>
    </w:p>
    <w:p w:rsidR="003C2841" w:rsidP="003C2841">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p>
    <w:p w:rsidR="00AA5AFA" w:rsidP="003C2841">
      <w:pPr>
        <w:spacing w:after="0" w:line="240" w:lineRule="auto"/>
        <w:rPr>
          <w:rFonts w:eastAsiaTheme="minorEastAsia" w:cs="Times New Roman"/>
          <w:szCs w:val="24"/>
        </w:rPr>
      </w:pPr>
    </w:p>
    <w:p w:rsidR="00AA5AFA" w:rsidRPr="00AA5AFA" w:rsidP="003C2841">
      <w:pPr>
        <w:spacing w:after="0" w:line="240" w:lineRule="auto"/>
        <w:rPr>
          <w:rFonts w:eastAsiaTheme="minorEastAsia" w:cs="Times New Roman"/>
          <w:i/>
          <w:szCs w:val="24"/>
          <w:u w:val="single"/>
        </w:rPr>
      </w:pP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i/>
          <w:szCs w:val="24"/>
          <w:u w:val="single"/>
        </w:rPr>
        <w:t>/s/ William J. Michael_______</w:t>
      </w:r>
    </w:p>
    <w:p w:rsidR="003C2841" w:rsidRPr="006849DE" w:rsidP="003C2841">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William J. Michael (0070921)</w:t>
      </w:r>
    </w:p>
    <w:p w:rsidR="003C2841" w:rsidRPr="006849DE" w:rsidP="003C2841">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Counsel of Record</w:t>
      </w:r>
    </w:p>
    <w:p w:rsidR="003C2841" w:rsidRPr="006849DE" w:rsidP="003C2841">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Kevin F. Moore (0089228)</w:t>
      </w:r>
    </w:p>
    <w:p w:rsidR="003C2841" w:rsidRPr="006849DE" w:rsidP="003C2841">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Assistant Consumers’ Counsel</w:t>
      </w:r>
    </w:p>
    <w:p w:rsidR="003C2841" w:rsidRPr="006849DE" w:rsidP="003C2841">
      <w:pPr>
        <w:spacing w:after="0" w:line="240" w:lineRule="auto"/>
        <w:rPr>
          <w:rFonts w:eastAsiaTheme="minorEastAsia" w:cs="Times New Roman"/>
          <w:szCs w:val="24"/>
        </w:rPr>
      </w:pPr>
    </w:p>
    <w:p w:rsidR="003C2841" w:rsidRPr="006849DE" w:rsidP="003C2841">
      <w:pPr>
        <w:spacing w:after="0" w:line="240" w:lineRule="auto"/>
        <w:rPr>
          <w:rFonts w:eastAsiaTheme="minorEastAsia" w:cs="Times New Roman"/>
          <w:b/>
          <w:szCs w:val="24"/>
        </w:rPr>
      </w:pPr>
      <w:r w:rsidRPr="006849DE">
        <w:rPr>
          <w:rFonts w:eastAsiaTheme="minorEastAsia" w:cs="Times New Roman"/>
          <w:b/>
          <w:szCs w:val="24"/>
        </w:rPr>
        <w:tab/>
      </w:r>
      <w:r w:rsidRPr="006849DE">
        <w:rPr>
          <w:rFonts w:eastAsiaTheme="minorEastAsia" w:cs="Times New Roman"/>
          <w:b/>
          <w:szCs w:val="24"/>
        </w:rPr>
        <w:tab/>
      </w:r>
      <w:r w:rsidRPr="006849DE">
        <w:rPr>
          <w:rFonts w:eastAsiaTheme="minorEastAsia" w:cs="Times New Roman"/>
          <w:b/>
          <w:szCs w:val="24"/>
        </w:rPr>
        <w:tab/>
      </w:r>
      <w:r w:rsidRPr="006849DE">
        <w:rPr>
          <w:rFonts w:eastAsiaTheme="minorEastAsia" w:cs="Times New Roman"/>
          <w:b/>
          <w:szCs w:val="24"/>
        </w:rPr>
        <w:tab/>
      </w:r>
      <w:r w:rsidRPr="006849DE">
        <w:rPr>
          <w:rFonts w:eastAsiaTheme="minorEastAsia" w:cs="Times New Roman"/>
          <w:b/>
          <w:szCs w:val="24"/>
        </w:rPr>
        <w:tab/>
      </w:r>
      <w:r w:rsidRPr="006849DE">
        <w:rPr>
          <w:rFonts w:eastAsiaTheme="minorEastAsia" w:cs="Times New Roman"/>
          <w:b/>
          <w:szCs w:val="24"/>
        </w:rPr>
        <w:tab/>
        <w:t>Office of the Ohio Consumers’ Counsel</w:t>
      </w:r>
    </w:p>
    <w:p w:rsidR="003C2841" w:rsidRPr="006849DE" w:rsidP="003C2841">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10 W. Broad Street, Suite 1800</w:t>
      </w:r>
    </w:p>
    <w:p w:rsidR="003C2841" w:rsidRPr="006849DE" w:rsidP="003C2841">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Columbus, Ohio 43215-3485</w:t>
      </w:r>
    </w:p>
    <w:p w:rsidR="003C2841" w:rsidRPr="006849DE" w:rsidP="003C2841">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Telephone [Michael]: 614-466-1291</w:t>
      </w:r>
    </w:p>
    <w:p w:rsidR="003C2841" w:rsidRPr="006849DE" w:rsidP="003C2841">
      <w:pPr>
        <w:spacing w:after="0" w:line="240" w:lineRule="auto"/>
        <w:rPr>
          <w:rFonts w:eastAsiaTheme="minorEastAsia" w:cs="Times New Roman"/>
          <w:szCs w:val="24"/>
        </w:rPr>
      </w:pPr>
      <w:r w:rsidRPr="006849DE">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sidRPr="006849DE">
        <w:rPr>
          <w:rFonts w:eastAsiaTheme="minorEastAsia" w:cs="Times New Roman"/>
          <w:szCs w:val="24"/>
        </w:rPr>
        <w:t>Telephone [Moore]: 614-</w:t>
      </w:r>
      <w:r>
        <w:rPr>
          <w:rFonts w:eastAsiaTheme="minorEastAsia" w:cs="Times New Roman"/>
          <w:szCs w:val="24"/>
        </w:rPr>
        <w:t>387-2965</w:t>
      </w:r>
    </w:p>
    <w:p w:rsidR="003C2841" w:rsidRPr="006849DE" w:rsidP="003C2841">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F12BEE" w:rsidR="009E2C6E">
        <w:rPr>
          <w:rStyle w:val="DefaultParagraphFont"/>
          <w:rFonts w:eastAsiaTheme="minorEastAsia" w:cs="Times New Roman"/>
          <w:szCs w:val="24"/>
        </w:rPr>
        <w:t>William.michael@occ.ohio.gov</w:t>
      </w:r>
    </w:p>
    <w:p w:rsidR="003C2841" w:rsidRPr="006849DE" w:rsidP="003C2841">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F12BEE" w:rsidR="009E2C6E">
        <w:rPr>
          <w:rStyle w:val="DefaultParagraphFont"/>
          <w:rFonts w:eastAsiaTheme="minorEastAsia" w:cs="Times New Roman"/>
          <w:szCs w:val="24"/>
        </w:rPr>
        <w:t>Kevin.moore@occ.ohio.gov</w:t>
      </w:r>
      <w:r w:rsidR="009E2C6E">
        <w:rPr>
          <w:rFonts w:eastAsiaTheme="minorEastAsia" w:cs="Times New Roman"/>
          <w:szCs w:val="24"/>
        </w:rPr>
        <w:t xml:space="preserve"> </w:t>
      </w:r>
    </w:p>
    <w:p w:rsidR="003C2841" w:rsidP="003C2841">
      <w:pPr>
        <w:spacing w:after="0" w:line="240" w:lineRule="auto"/>
        <w:rPr>
          <w:rFonts w:eastAsiaTheme="minorEastAsia" w:cs="Times New Roman"/>
          <w:szCs w:val="24"/>
        </w:rPr>
        <w:sectPr w:rsidSect="00FF372A">
          <w:footerReference w:type="default" r:id="rId9"/>
          <w:pgSz w:w="12240" w:h="15840"/>
          <w:pgMar w:top="1440" w:right="1800" w:bottom="1440" w:left="1800" w:header="720" w:footer="720" w:gutter="0"/>
          <w:pgNumType w:start="1"/>
          <w:cols w:space="720"/>
          <w:docGrid w:linePitch="360"/>
        </w:sectPr>
      </w:pP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sidRPr="006849DE">
        <w:rPr>
          <w:rFonts w:eastAsiaTheme="minorEastAsia" w:cs="Times New Roman"/>
          <w:szCs w:val="24"/>
        </w:rPr>
        <w:t xml:space="preserve">(All attorneys will accept service via email) </w:t>
      </w:r>
    </w:p>
    <w:p w:rsidR="00FF46FF" w:rsidRPr="00B147D0" w:rsidP="00B147D0">
      <w:pPr>
        <w:jc w:val="center"/>
        <w:rPr>
          <w:b/>
          <w:u w:val="single"/>
        </w:rPr>
      </w:pPr>
      <w:r w:rsidRPr="00B147D0">
        <w:rPr>
          <w:b/>
          <w:u w:val="single"/>
        </w:rPr>
        <w:t>CERTIFICATE OF SERVICE</w:t>
      </w:r>
    </w:p>
    <w:p w:rsidR="00FF46FF" w:rsidRPr="006849DE" w:rsidP="00B147D0">
      <w:pPr>
        <w:spacing w:after="0" w:line="480" w:lineRule="auto"/>
        <w:ind w:firstLine="720"/>
        <w:rPr>
          <w:rFonts w:eastAsiaTheme="minorEastAsia" w:cs="Times New Roman"/>
          <w:szCs w:val="24"/>
        </w:rPr>
      </w:pPr>
      <w:r w:rsidRPr="006849DE">
        <w:rPr>
          <w:rFonts w:eastAsiaTheme="minorEastAsia" w:cs="Times New Roman"/>
          <w:szCs w:val="24"/>
        </w:rPr>
        <w:t xml:space="preserve">I hereby certify that a copy of the foregoing </w:t>
      </w:r>
      <w:r w:rsidRPr="006849DE" w:rsidR="00CE40CF">
        <w:rPr>
          <w:rFonts w:eastAsiaTheme="minorEastAsia" w:cs="Times New Roman"/>
          <w:szCs w:val="24"/>
        </w:rPr>
        <w:t>Application for Rehearing</w:t>
      </w:r>
      <w:r w:rsidRPr="006849DE">
        <w:rPr>
          <w:rFonts w:eastAsiaTheme="minorEastAsia" w:cs="Times New Roman"/>
          <w:szCs w:val="24"/>
        </w:rPr>
        <w:t xml:space="preserve"> was served on the persons stated below via electronic transmission, this </w:t>
      </w:r>
      <w:r w:rsidR="00AA5AFA">
        <w:rPr>
          <w:rFonts w:eastAsiaTheme="minorEastAsia" w:cs="Times New Roman"/>
          <w:szCs w:val="24"/>
        </w:rPr>
        <w:t>20</w:t>
      </w:r>
      <w:r w:rsidRPr="00AA5AFA" w:rsidR="00AA5AFA">
        <w:rPr>
          <w:rFonts w:eastAsiaTheme="minorEastAsia" w:cs="Times New Roman"/>
          <w:szCs w:val="24"/>
          <w:vertAlign w:val="superscript"/>
        </w:rPr>
        <w:t>th</w:t>
      </w:r>
      <w:r w:rsidR="00AA5AFA">
        <w:rPr>
          <w:rFonts w:eastAsiaTheme="minorEastAsia" w:cs="Times New Roman"/>
          <w:szCs w:val="24"/>
        </w:rPr>
        <w:t xml:space="preserve"> </w:t>
      </w:r>
      <w:r w:rsidRPr="006849DE">
        <w:rPr>
          <w:rFonts w:eastAsiaTheme="minorEastAsia" w:cs="Times New Roman"/>
          <w:szCs w:val="24"/>
        </w:rPr>
        <w:t xml:space="preserve">day of </w:t>
      </w:r>
      <w:r w:rsidR="003C2841">
        <w:rPr>
          <w:rFonts w:eastAsiaTheme="minorEastAsia" w:cs="Times New Roman"/>
          <w:szCs w:val="24"/>
        </w:rPr>
        <w:t>November</w:t>
      </w:r>
      <w:r w:rsidRPr="006849DE">
        <w:rPr>
          <w:rFonts w:eastAsiaTheme="minorEastAsia" w:cs="Times New Roman"/>
          <w:szCs w:val="24"/>
        </w:rPr>
        <w:t xml:space="preserve"> </w:t>
      </w:r>
      <w:r w:rsidR="003C2841">
        <w:rPr>
          <w:rFonts w:eastAsiaTheme="minorEastAsia" w:cs="Times New Roman"/>
          <w:szCs w:val="24"/>
        </w:rPr>
        <w:t>2017</w:t>
      </w:r>
      <w:r w:rsidRPr="006849DE">
        <w:rPr>
          <w:rFonts w:eastAsiaTheme="minorEastAsia" w:cs="Times New Roman"/>
          <w:szCs w:val="24"/>
        </w:rPr>
        <w:t>.</w:t>
      </w:r>
    </w:p>
    <w:p w:rsidR="00FF46FF" w:rsidRPr="006849DE" w:rsidP="00FF46FF">
      <w:pPr>
        <w:spacing w:after="0" w:line="240" w:lineRule="auto"/>
        <w:ind w:firstLine="720"/>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u w:val="single"/>
        </w:rPr>
        <w:t xml:space="preserve">/s/ </w:t>
      </w:r>
      <w:r w:rsidRPr="006849DE">
        <w:rPr>
          <w:rFonts w:eastAsiaTheme="minorEastAsia" w:cs="Times New Roman"/>
          <w:i/>
          <w:szCs w:val="24"/>
          <w:u w:val="single"/>
        </w:rPr>
        <w:t>William J. Michael</w:t>
      </w:r>
      <w:r w:rsidRPr="006849DE">
        <w:rPr>
          <w:rFonts w:eastAsiaTheme="minorEastAsia" w:cs="Times New Roman"/>
          <w:szCs w:val="24"/>
        </w:rPr>
        <w:t>_______</w:t>
      </w:r>
    </w:p>
    <w:p w:rsidR="00FF46FF" w:rsidRPr="006849DE" w:rsidP="00FF46FF">
      <w:pPr>
        <w:spacing w:after="0" w:line="240" w:lineRule="auto"/>
        <w:ind w:firstLine="720"/>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William J. Michael</w:t>
      </w:r>
    </w:p>
    <w:p w:rsidR="00FF46FF" w:rsidP="00FF46FF">
      <w:pPr>
        <w:spacing w:after="0" w:line="240" w:lineRule="auto"/>
        <w:ind w:firstLine="720"/>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Assistant Consumers</w:t>
      </w:r>
      <w:r w:rsidRPr="006849DE" w:rsidR="00CE148F">
        <w:rPr>
          <w:rFonts w:eastAsiaTheme="minorEastAsia" w:cs="Times New Roman"/>
          <w:szCs w:val="24"/>
        </w:rPr>
        <w:t>’</w:t>
      </w:r>
      <w:r w:rsidRPr="006849DE">
        <w:rPr>
          <w:rFonts w:eastAsiaTheme="minorEastAsia" w:cs="Times New Roman"/>
          <w:szCs w:val="24"/>
        </w:rPr>
        <w:t xml:space="preserve"> Counsel</w:t>
      </w:r>
    </w:p>
    <w:p w:rsidR="00EF53CA" w:rsidP="00E90294">
      <w:pPr>
        <w:jc w:val="center"/>
        <w:rPr>
          <w:b/>
          <w:u w:val="single"/>
        </w:rPr>
      </w:pPr>
    </w:p>
    <w:p w:rsidR="00E90294" w:rsidP="00E90294">
      <w:pPr>
        <w:jc w:val="center"/>
        <w:rPr>
          <w:b/>
          <w:u w:val="single"/>
        </w:rPr>
      </w:pPr>
      <w:r>
        <w:rPr>
          <w:b/>
          <w:u w:val="single"/>
        </w:rPr>
        <w:t>SERVICE LIST</w:t>
      </w:r>
    </w:p>
    <w:tbl>
      <w:tblPr>
        <w:tblStyle w:val="TableGrid"/>
        <w:tblW w:w="8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5"/>
        <w:gridCol w:w="4143"/>
      </w:tblGrid>
      <w:tr w:rsidTr="003C2841">
        <w:tblPrEx>
          <w:tblW w:w="8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90" w:type="dxa"/>
          </w:tcPr>
          <w:p w:rsidR="003C2841" w:rsidP="00457D81">
            <w:pPr>
              <w:autoSpaceDE w:val="0"/>
              <w:autoSpaceDN w:val="0"/>
              <w:adjustRightInd w:val="0"/>
              <w:rPr>
                <w:rFonts w:eastAsiaTheme="minorHAnsi"/>
                <w:color w:val="0000FF"/>
              </w:rPr>
            </w:pPr>
            <w:r w:rsidRPr="003E12E0">
              <w:rPr>
                <w:rStyle w:val="DefaultParagraphFont"/>
                <w:rFonts w:eastAsiaTheme="minorHAnsi"/>
              </w:rPr>
              <w:t>william.wright@ohioattorneygeneral.gov</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5FA8">
              <w:rPr>
                <w:rStyle w:val="DefaultParagraphFont"/>
                <w:rFonts w:eastAsiaTheme="minorHAnsi"/>
              </w:rPr>
              <w:t>Thomas.mcnamee@ohioattorneygeneral.gov</w:t>
            </w:r>
            <w:r>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dboehm@bkllawfirm.com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mkurtz@bkllawfirm.com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jkylercohn@bkllawfirm.com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fdarr@mwncmh.com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mpritchard@mwncmh.com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mjsettineri@vorys.com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glpetrucci@vorys.com</w:t>
            </w:r>
            <w:r w:rsidRPr="003E12E0">
              <w:rPr>
                <w:rFonts w:eastAsiaTheme="minorHAnsi"/>
                <w:color w:val="0000FF"/>
              </w:rPr>
              <w:t xml:space="preserve"> </w:t>
            </w:r>
          </w:p>
          <w:p w:rsidR="003C2841" w:rsidP="00457D81">
            <w:pPr>
              <w:autoSpaceDE w:val="0"/>
              <w:autoSpaceDN w:val="0"/>
              <w:adjustRightInd w:val="0"/>
              <w:rPr>
                <w:rFonts w:eastAsiaTheme="minorHAnsi"/>
                <w:color w:val="0000FF"/>
              </w:rPr>
            </w:pPr>
            <w:r w:rsidRPr="003E12E0">
              <w:rPr>
                <w:rStyle w:val="DefaultParagraphFont"/>
                <w:rFonts w:eastAsiaTheme="minorHAnsi"/>
              </w:rPr>
              <w:t>ibatikov@vorys.com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F71F7">
              <w:rPr>
                <w:rStyle w:val="DefaultParagraphFont"/>
                <w:rFonts w:eastAsiaTheme="minorHAnsi"/>
              </w:rPr>
              <w:t>wasieck@vorys.com</w:t>
            </w:r>
            <w:r>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cmooney@ohiopartners.org</w:t>
            </w:r>
            <w:r w:rsidRPr="003E12E0">
              <w:rPr>
                <w:rFonts w:eastAsiaTheme="minorHAnsi"/>
                <w:color w:val="0000FF"/>
              </w:rPr>
              <w:t xml:space="preserve"> </w:t>
            </w:r>
          </w:p>
          <w:p w:rsidR="003C2841" w:rsidP="00457D81">
            <w:pPr>
              <w:autoSpaceDE w:val="0"/>
              <w:autoSpaceDN w:val="0"/>
              <w:adjustRightInd w:val="0"/>
              <w:rPr>
                <w:rFonts w:eastAsiaTheme="minorHAnsi"/>
                <w:color w:val="0000FF"/>
              </w:rPr>
            </w:pPr>
            <w:r w:rsidRPr="003E12E0">
              <w:rPr>
                <w:rStyle w:val="DefaultParagraphFont"/>
                <w:rFonts w:eastAsiaTheme="minorHAnsi"/>
              </w:rPr>
              <w:t>joliker@igsenergy.com</w:t>
            </w:r>
            <w:r w:rsidRPr="003E12E0">
              <w:rPr>
                <w:rFonts w:eastAsiaTheme="minorHAnsi"/>
                <w:color w:val="0000FF"/>
              </w:rPr>
              <w:t xml:space="preserve"> </w:t>
            </w:r>
          </w:p>
          <w:p w:rsidR="003C2841" w:rsidP="00457D81">
            <w:pPr>
              <w:autoSpaceDE w:val="0"/>
              <w:autoSpaceDN w:val="0"/>
              <w:adjustRightInd w:val="0"/>
              <w:rPr>
                <w:rFonts w:eastAsiaTheme="minorHAnsi"/>
                <w:color w:val="0000FF"/>
              </w:rPr>
            </w:pPr>
            <w:r w:rsidRPr="003F71F7">
              <w:rPr>
                <w:rStyle w:val="DefaultParagraphFont"/>
                <w:rFonts w:eastAsiaTheme="minorHAnsi"/>
              </w:rPr>
              <w:t>mswhite@igsenergy.com</w:t>
            </w:r>
            <w:r>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F71F7">
              <w:rPr>
                <w:rStyle w:val="DefaultParagraphFont"/>
                <w:rFonts w:eastAsiaTheme="minorHAnsi"/>
              </w:rPr>
              <w:t>ebetterton@igsenergy.com</w:t>
            </w:r>
            <w:r>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Slesser@calfee.com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jlang@calfee.com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talexander@calfee.com</w:t>
            </w:r>
          </w:p>
          <w:p w:rsidR="003C2841" w:rsidP="00457D81">
            <w:pPr>
              <w:autoSpaceDE w:val="0"/>
              <w:autoSpaceDN w:val="0"/>
              <w:adjustRightInd w:val="0"/>
              <w:rPr>
                <w:rFonts w:eastAsiaTheme="minorHAnsi"/>
                <w:color w:val="0000FF"/>
              </w:rPr>
            </w:pPr>
            <w:r w:rsidRPr="003E12E0">
              <w:rPr>
                <w:rStyle w:val="DefaultParagraphFont"/>
                <w:rFonts w:eastAsiaTheme="minorHAnsi"/>
              </w:rPr>
              <w:t>mkeaney@calfee.com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C665F8">
              <w:rPr>
                <w:rStyle w:val="DefaultParagraphFont"/>
              </w:rPr>
              <w:t>mleppla@theoec.org</w:t>
            </w:r>
            <w:r>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amy.spiller@duke-energy.com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elizabeth.watts@duke-energy.com</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jeanne.kingery@duke-energy.com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gthomas@gtpowergroup.com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stheodore@epsa.org</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laurac@chappelleconsulting.net</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jdoll@djflawfirm.com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mcrawford@djflawfirm.com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p>
          <w:p w:rsidR="003C2841" w:rsidRPr="003E12E0" w:rsidP="00457D81">
            <w:pPr>
              <w:autoSpaceDE w:val="0"/>
              <w:autoSpaceDN w:val="0"/>
              <w:adjustRightInd w:val="0"/>
              <w:rPr>
                <w:rFonts w:eastAsiaTheme="minorHAnsi"/>
                <w:color w:val="000000"/>
              </w:rPr>
            </w:pPr>
            <w:r w:rsidRPr="003E12E0">
              <w:rPr>
                <w:rFonts w:eastAsiaTheme="minorHAnsi"/>
                <w:color w:val="000000"/>
              </w:rPr>
              <w:t>Attorney Examiners:</w:t>
            </w:r>
          </w:p>
          <w:p w:rsidR="003C2841" w:rsidRPr="003E12E0" w:rsidP="00457D81">
            <w:pPr>
              <w:autoSpaceDE w:val="0"/>
              <w:autoSpaceDN w:val="0"/>
              <w:adjustRightInd w:val="0"/>
              <w:rPr>
                <w:rFonts w:eastAsiaTheme="minorHAnsi"/>
                <w:color w:val="0000FF"/>
              </w:rPr>
            </w:pPr>
            <w:r w:rsidRPr="00C665F8" w:rsidR="00B147D0">
              <w:rPr>
                <w:rStyle w:val="DefaultParagraphFont"/>
              </w:rPr>
              <w:t>gregory.price@puc.state.oh.us</w:t>
            </w:r>
            <w:r w:rsidRPr="003E12E0">
              <w:rPr>
                <w:rFonts w:eastAsiaTheme="minorHAnsi"/>
                <w:color w:val="0000FF"/>
              </w:rPr>
              <w:t xml:space="preserve"> </w:t>
            </w:r>
          </w:p>
          <w:p w:rsidR="003C2841" w:rsidRPr="0088324A" w:rsidP="00457D81">
            <w:pPr>
              <w:autoSpaceDE w:val="0"/>
              <w:autoSpaceDN w:val="0"/>
              <w:adjustRightInd w:val="0"/>
              <w:rPr>
                <w:sz w:val="20"/>
                <w:szCs w:val="20"/>
                <w:u w:val="single"/>
              </w:rPr>
            </w:pPr>
            <w:r w:rsidRPr="00C665F8" w:rsidR="00B147D0">
              <w:rPr>
                <w:rStyle w:val="DefaultParagraphFont"/>
              </w:rPr>
              <w:t>patricia.schabo@puc.state.oh.us</w:t>
            </w:r>
            <w:r w:rsidRPr="0088324A">
              <w:rPr>
                <w:rFonts w:eastAsiaTheme="minorHAnsi"/>
                <w:u w:val="single"/>
              </w:rPr>
              <w:t xml:space="preserve">  </w:t>
            </w:r>
            <w:r w:rsidRPr="0088324A">
              <w:rPr>
                <w:rStyle w:val="DefaultParagraphFont"/>
                <w:rFonts w:eastAsiaTheme="minorHAnsi"/>
              </w:rPr>
              <w:t xml:space="preserve"> </w:t>
            </w:r>
            <w:r w:rsidRPr="0088324A">
              <w:rPr>
                <w:rFonts w:eastAsiaTheme="minorHAnsi"/>
                <w:color w:val="0000FF"/>
                <w:sz w:val="22"/>
                <w:szCs w:val="20"/>
                <w:u w:val="single"/>
              </w:rPr>
              <w:t xml:space="preserve"> </w:t>
            </w:r>
          </w:p>
        </w:tc>
        <w:tc>
          <w:tcPr>
            <w:tcW w:w="4128" w:type="dxa"/>
          </w:tcPr>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michael.schuler@aes.com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djireland@ficlaw.com</w:t>
            </w:r>
            <w:r w:rsidRPr="003E12E0">
              <w:rPr>
                <w:rFonts w:eastAsiaTheme="minorHAnsi"/>
                <w:color w:val="0000FF"/>
              </w:rPr>
              <w:t xml:space="preserve"> </w:t>
            </w:r>
          </w:p>
          <w:p w:rsidR="003C2841" w:rsidP="00457D81">
            <w:pPr>
              <w:autoSpaceDE w:val="0"/>
              <w:autoSpaceDN w:val="0"/>
              <w:adjustRightInd w:val="0"/>
              <w:rPr>
                <w:rFonts w:eastAsiaTheme="minorHAnsi"/>
                <w:color w:val="0000FF"/>
              </w:rPr>
            </w:pPr>
            <w:r w:rsidRPr="003E12E0">
              <w:rPr>
                <w:rStyle w:val="DefaultParagraphFont"/>
                <w:rFonts w:eastAsiaTheme="minorHAnsi"/>
              </w:rPr>
              <w:t>jsharkey@ficlaw.com</w:t>
            </w:r>
            <w:r w:rsidRPr="003E12E0">
              <w:rPr>
                <w:rFonts w:eastAsiaTheme="minorHAnsi"/>
                <w:color w:val="0000FF"/>
              </w:rPr>
              <w:t xml:space="preserve"> </w:t>
            </w:r>
          </w:p>
          <w:p w:rsidR="00457D81" w:rsidRPr="003E12E0" w:rsidP="00457D81">
            <w:pPr>
              <w:autoSpaceDE w:val="0"/>
              <w:autoSpaceDN w:val="0"/>
              <w:adjustRightInd w:val="0"/>
              <w:rPr>
                <w:rFonts w:eastAsiaTheme="minorHAnsi"/>
                <w:color w:val="0000FF"/>
              </w:rPr>
            </w:pPr>
            <w:r w:rsidRPr="006E79D0">
              <w:rPr>
                <w:rStyle w:val="DefaultParagraphFont"/>
              </w:rPr>
              <w:t>chollon@ficlaw.com</w:t>
            </w:r>
            <w:r>
              <w:rPr>
                <w:rFonts w:eastAsiaTheme="minorHAnsi"/>
                <w:color w:val="0000FF"/>
              </w:rPr>
              <w:t xml:space="preserve"> </w:t>
            </w:r>
          </w:p>
          <w:p w:rsidR="003C2841" w:rsidP="00457D81">
            <w:pPr>
              <w:autoSpaceDE w:val="0"/>
              <w:autoSpaceDN w:val="0"/>
              <w:adjustRightInd w:val="0"/>
              <w:rPr>
                <w:rFonts w:eastAsiaTheme="minorHAnsi"/>
                <w:color w:val="0000FF"/>
              </w:rPr>
            </w:pPr>
            <w:r w:rsidRPr="003E12E0">
              <w:rPr>
                <w:rStyle w:val="DefaultParagraphFont"/>
                <w:rFonts w:eastAsiaTheme="minorHAnsi"/>
              </w:rPr>
              <w:t>mfleisher@elpc.org</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F71F7">
              <w:rPr>
                <w:rStyle w:val="DefaultParagraphFont"/>
                <w:rFonts w:eastAsiaTheme="minorHAnsi"/>
              </w:rPr>
              <w:t>kfield@elpc.org</w:t>
            </w:r>
            <w:r>
              <w:rPr>
                <w:rFonts w:eastAsiaTheme="minorHAnsi"/>
                <w:color w:val="0000FF"/>
              </w:rPr>
              <w:t xml:space="preserve"> </w:t>
            </w:r>
          </w:p>
          <w:p w:rsidR="003C2841" w:rsidRPr="003E12E0" w:rsidP="003C2841">
            <w:pPr>
              <w:autoSpaceDE w:val="0"/>
              <w:autoSpaceDN w:val="0"/>
              <w:adjustRightInd w:val="0"/>
              <w:ind w:right="-105"/>
              <w:rPr>
                <w:rFonts w:eastAsiaTheme="minorHAnsi"/>
                <w:color w:val="0000FF"/>
              </w:rPr>
            </w:pPr>
            <w:r w:rsidRPr="00C665F8">
              <w:rPr>
                <w:rStyle w:val="DefaultParagraphFont"/>
              </w:rPr>
              <w:t>jeffrey.mayes@monitoringanalytics.com</w:t>
            </w:r>
            <w: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evelyn.robinson@pjm.com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schmidt@sppgrp.com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rsahli@columbus.rr.com</w:t>
            </w:r>
            <w:r w:rsidRPr="003E12E0">
              <w:rPr>
                <w:rFonts w:eastAsiaTheme="minorHAnsi"/>
                <w:color w:val="0000FF"/>
              </w:rPr>
              <w:t xml:space="preserve"> </w:t>
            </w:r>
          </w:p>
          <w:p w:rsidR="003C2841" w:rsidP="00457D81">
            <w:pPr>
              <w:autoSpaceDE w:val="0"/>
              <w:autoSpaceDN w:val="0"/>
              <w:adjustRightInd w:val="0"/>
              <w:rPr>
                <w:rFonts w:eastAsiaTheme="minorHAnsi"/>
                <w:color w:val="0000FF"/>
              </w:rPr>
            </w:pPr>
            <w:r w:rsidRPr="003E12E0">
              <w:rPr>
                <w:rStyle w:val="DefaultParagraphFont"/>
                <w:rFonts w:eastAsiaTheme="minorHAnsi"/>
              </w:rPr>
              <w:t>tony.mendoza@sierraclub.org</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F71F7">
              <w:rPr>
                <w:rStyle w:val="DefaultParagraphFont"/>
                <w:rFonts w:eastAsiaTheme="minorHAnsi"/>
              </w:rPr>
              <w:t>kristin.henry@sierraclub.org</w:t>
            </w:r>
            <w:r>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mdortch@kravitzllc.com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rparsons@kravitzllc.com</w:t>
            </w:r>
            <w:r w:rsidRPr="003E12E0">
              <w:rPr>
                <w:rFonts w:eastAsiaTheme="minorHAnsi"/>
                <w:color w:val="0000FF"/>
              </w:rPr>
              <w:t xml:space="preserve"> </w:t>
            </w:r>
          </w:p>
          <w:p w:rsidR="003C2841" w:rsidP="00457D81">
            <w:pPr>
              <w:autoSpaceDE w:val="0"/>
              <w:autoSpaceDN w:val="0"/>
              <w:adjustRightInd w:val="0"/>
              <w:rPr>
                <w:rFonts w:eastAsiaTheme="minorHAnsi"/>
                <w:color w:val="0000FF"/>
              </w:rPr>
            </w:pPr>
            <w:r w:rsidRPr="003E12E0">
              <w:rPr>
                <w:rStyle w:val="DefaultParagraphFont"/>
                <w:rFonts w:eastAsiaTheme="minorHAnsi"/>
              </w:rPr>
              <w:t>Bojko@carpenterlipps.com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F71F7">
              <w:rPr>
                <w:rStyle w:val="DefaultParagraphFont"/>
                <w:rFonts w:eastAsiaTheme="minorHAnsi"/>
              </w:rPr>
              <w:t>perko@carpenterlipps.com</w:t>
            </w:r>
            <w:r>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Ghiloni@carpenterlipps.com</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paul@carpenterlipps.com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C665F8">
              <w:rPr>
                <w:rStyle w:val="DefaultParagraphFont"/>
              </w:rPr>
              <w:t>sechler@carpenterlipps.com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rick.sites@ohiohospitals.org</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F71F7">
              <w:rPr>
                <w:rStyle w:val="DefaultParagraphFont"/>
                <w:rFonts w:eastAsiaTheme="minorHAnsi"/>
              </w:rPr>
              <w:t>mwarnock@bricker.com</w:t>
            </w:r>
            <w:r>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F71F7">
              <w:rPr>
                <w:rStyle w:val="DefaultParagraphFont"/>
              </w:rPr>
              <w:t>dparram@bricker.com</w:t>
            </w:r>
            <w: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dborchers@bricker.com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lhawrot@spilmanlaw.com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dwilliamson@spilmanlaw.com</w:t>
            </w:r>
            <w:r w:rsidRPr="003E12E0">
              <w:rPr>
                <w:rFonts w:eastAsiaTheme="minorHAnsi"/>
                <w:color w:val="0000FF"/>
              </w:rPr>
              <w:t xml:space="preserve"> </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charris@spilmanlaw.com</w:t>
            </w:r>
            <w:r w:rsidRPr="003E12E0">
              <w:rPr>
                <w:rFonts w:eastAsiaTheme="minorHAnsi"/>
                <w:color w:val="0000FF"/>
              </w:rPr>
              <w:t xml:space="preserve"> </w:t>
            </w:r>
          </w:p>
          <w:p w:rsidR="003C2841" w:rsidP="00457D81">
            <w:pPr>
              <w:autoSpaceDE w:val="0"/>
              <w:autoSpaceDN w:val="0"/>
              <w:adjustRightInd w:val="0"/>
              <w:rPr>
                <w:rFonts w:eastAsiaTheme="minorHAnsi"/>
                <w:sz w:val="20"/>
                <w:szCs w:val="20"/>
              </w:rPr>
            </w:pPr>
            <w:r w:rsidRPr="003E12E0">
              <w:rPr>
                <w:rStyle w:val="DefaultParagraphFont"/>
                <w:rFonts w:eastAsiaTheme="minorHAnsi"/>
              </w:rPr>
              <w:t>ejacobs@ablelaw.org</w:t>
            </w:r>
            <w:r>
              <w:rPr>
                <w:rFonts w:eastAsiaTheme="minorHAnsi"/>
                <w:color w:val="0000FF"/>
                <w:sz w:val="20"/>
                <w:szCs w:val="20"/>
              </w:rPr>
              <w:t xml:space="preserve"> </w:t>
            </w:r>
            <w:r w:rsidRPr="00384E58">
              <w:rPr>
                <w:rFonts w:eastAsiaTheme="minorHAnsi"/>
                <w:sz w:val="20"/>
                <w:szCs w:val="20"/>
              </w:rPr>
              <w:t xml:space="preserve"> </w:t>
            </w:r>
            <w:r>
              <w:rPr>
                <w:rFonts w:eastAsiaTheme="minorHAnsi"/>
                <w:sz w:val="20"/>
                <w:szCs w:val="20"/>
              </w:rPr>
              <w:t xml:space="preserve"> </w:t>
            </w:r>
          </w:p>
          <w:p w:rsidR="003C2841" w:rsidP="00457D81">
            <w:pPr>
              <w:autoSpaceDE w:val="0"/>
              <w:autoSpaceDN w:val="0"/>
              <w:adjustRightInd w:val="0"/>
              <w:rPr>
                <w:rFonts w:eastAsiaTheme="minorHAnsi"/>
                <w:color w:val="0000FF"/>
              </w:rPr>
            </w:pPr>
            <w:r w:rsidRPr="003E12E0">
              <w:rPr>
                <w:rStyle w:val="DefaultParagraphFont"/>
                <w:rFonts w:eastAsiaTheme="minorHAnsi"/>
              </w:rPr>
              <w:t>rseiler@dickinsonwright.com</w:t>
            </w:r>
            <w:r w:rsidRPr="003E12E0">
              <w:rPr>
                <w:rFonts w:eastAsiaTheme="minorHAnsi"/>
                <w:color w:val="0000FF"/>
              </w:rPr>
              <w:t xml:space="preserve"> </w:t>
            </w:r>
          </w:p>
          <w:p w:rsidR="003C2841" w:rsidP="00457D81">
            <w:pPr>
              <w:autoSpaceDE w:val="0"/>
              <w:autoSpaceDN w:val="0"/>
              <w:adjustRightInd w:val="0"/>
              <w:rPr>
                <w:rFonts w:eastAsiaTheme="minorHAnsi"/>
                <w:color w:val="0000FF"/>
              </w:rPr>
            </w:pPr>
            <w:r w:rsidRPr="003F71F7">
              <w:rPr>
                <w:rStyle w:val="DefaultParagraphFont"/>
                <w:rFonts w:eastAsiaTheme="minorHAnsi"/>
              </w:rPr>
              <w:t>cpirik@dickinsonwright.com</w:t>
            </w:r>
            <w:r>
              <w:rPr>
                <w:rFonts w:eastAsiaTheme="minorHAnsi"/>
                <w:color w:val="0000FF"/>
              </w:rPr>
              <w:t xml:space="preserve"> </w:t>
            </w:r>
          </w:p>
          <w:p w:rsidR="003C2841" w:rsidP="00457D81">
            <w:pPr>
              <w:autoSpaceDE w:val="0"/>
              <w:autoSpaceDN w:val="0"/>
              <w:adjustRightInd w:val="0"/>
              <w:rPr>
                <w:rStyle w:val="Hyperlink"/>
                <w:rFonts w:eastAsiaTheme="minorHAnsi"/>
              </w:rPr>
            </w:pPr>
            <w:r w:rsidRPr="003F71F7">
              <w:rPr>
                <w:rStyle w:val="DefaultParagraphFont"/>
                <w:rFonts w:eastAsiaTheme="minorHAnsi"/>
              </w:rPr>
              <w:t>wvorys@dickinsonwright.com</w:t>
            </w:r>
          </w:p>
          <w:p w:rsidR="003C2841" w:rsidRPr="003E12E0" w:rsidP="00457D81">
            <w:pPr>
              <w:autoSpaceDE w:val="0"/>
              <w:autoSpaceDN w:val="0"/>
              <w:adjustRightInd w:val="0"/>
              <w:rPr>
                <w:rFonts w:eastAsiaTheme="minorHAnsi"/>
                <w:color w:val="0000FF"/>
              </w:rPr>
            </w:pPr>
            <w:r w:rsidRPr="003E12E0">
              <w:rPr>
                <w:rStyle w:val="DefaultParagraphFont"/>
                <w:rFonts w:eastAsiaTheme="minorHAnsi"/>
              </w:rPr>
              <w:t>todonnell@dickinsonwright.com</w:t>
            </w:r>
            <w:r w:rsidRPr="003E12E0">
              <w:rPr>
                <w:rFonts w:eastAsiaTheme="minorHAnsi"/>
                <w:color w:val="0000FF"/>
              </w:rPr>
              <w:t xml:space="preserve"> </w:t>
            </w:r>
          </w:p>
          <w:p w:rsidR="003C2841" w:rsidRPr="00384E58" w:rsidP="00457D81">
            <w:pPr>
              <w:autoSpaceDE w:val="0"/>
              <w:autoSpaceDN w:val="0"/>
              <w:adjustRightInd w:val="0"/>
              <w:rPr>
                <w:rFonts w:eastAsiaTheme="minorHAnsi"/>
                <w:sz w:val="20"/>
                <w:szCs w:val="20"/>
              </w:rPr>
            </w:pPr>
          </w:p>
        </w:tc>
      </w:tr>
    </w:tbl>
    <w:p w:rsidR="00E90294" w:rsidP="003C2841">
      <w:pPr>
        <w:spacing w:after="0" w:line="240" w:lineRule="auto"/>
        <w:rPr>
          <w:b/>
          <w:u w:val="single"/>
        </w:rPr>
      </w:pPr>
    </w:p>
    <w:sectPr w:rsidSect="00D03E48">
      <w:headerReference w:type="default" r:id="rId10"/>
      <w:footerReference w:type="default" r:id="rId11"/>
      <w:pgSz w:w="12240" w:h="15840"/>
      <w:pgMar w:top="1440" w:right="1800" w:bottom="1440" w:left="1800" w:header="720" w:footer="720" w:gutter="0"/>
      <w:pgNumType w:star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27D8">
    <w:pPr>
      <w:pStyle w:val="Footer"/>
      <w:jc w:val="center"/>
    </w:pPr>
  </w:p>
  <w:p w:rsidR="002827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372A">
    <w:pPr>
      <w:pStyle w:val="Footer"/>
      <w:jc w:val="center"/>
    </w:pPr>
  </w:p>
  <w:p w:rsidR="002827D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56734246"/>
      <w:docPartObj>
        <w:docPartGallery w:val="Page Numbers (Bottom of Page)"/>
        <w:docPartUnique/>
      </w:docPartObj>
    </w:sdtPr>
    <w:sdtEndPr>
      <w:rPr>
        <w:noProof/>
      </w:rPr>
    </w:sdtEndPr>
    <w:sdtContent>
      <w:p w:rsidR="00FF372A">
        <w:pPr>
          <w:pStyle w:val="Footer"/>
          <w:jc w:val="center"/>
        </w:pPr>
        <w:r>
          <w:fldChar w:fldCharType="begin"/>
        </w:r>
        <w:r>
          <w:instrText xml:space="preserve"> PAGE   \* MERGEFORMAT </w:instrText>
        </w:r>
        <w:r>
          <w:fldChar w:fldCharType="separate"/>
        </w:r>
        <w:r w:rsidR="00F43DDD">
          <w:rPr>
            <w:noProof/>
          </w:rPr>
          <w:t>3</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44021667"/>
      <w:docPartObj>
        <w:docPartGallery w:val="Page Numbers (Bottom of Page)"/>
        <w:docPartUnique/>
      </w:docPartObj>
    </w:sdtPr>
    <w:sdtEndPr>
      <w:rPr>
        <w:noProof/>
      </w:rPr>
    </w:sdtEndPr>
    <w:sdtContent>
      <w:p w:rsidR="002827D8">
        <w:pPr>
          <w:pStyle w:val="Footer"/>
          <w:jc w:val="center"/>
        </w:pPr>
        <w:r>
          <w:fldChar w:fldCharType="begin"/>
        </w:r>
        <w:r>
          <w:instrText xml:space="preserve"> PAGE   \* MERGEFORMAT </w:instrText>
        </w:r>
        <w:r>
          <w:fldChar w:fldCharType="separate"/>
        </w:r>
        <w:r w:rsidR="00D030A0">
          <w:rPr>
            <w:noProof/>
          </w:rPr>
          <w:t>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1044573"/>
      <w:docPartObj>
        <w:docPartGallery w:val="Page Numbers (Bottom of Page)"/>
        <w:docPartUnique/>
      </w:docPartObj>
    </w:sdtPr>
    <w:sdtEndPr>
      <w:rPr>
        <w:noProof/>
      </w:rPr>
    </w:sdtEndPr>
    <w:sdtContent>
      <w:p w:rsidR="00FF372A">
        <w:pPr>
          <w:pStyle w:val="Footer"/>
          <w:jc w:val="center"/>
        </w:pPr>
        <w:r>
          <w:fldChar w:fldCharType="begin"/>
        </w:r>
        <w:r>
          <w:instrText xml:space="preserve"> PAGE   \* MERGEFORMAT </w:instrText>
        </w:r>
        <w:r>
          <w:fldChar w:fldCharType="separate"/>
        </w:r>
        <w:r w:rsidR="00F43DDD">
          <w:rPr>
            <w:noProof/>
          </w:rPr>
          <w:t>9</w:t>
        </w:r>
        <w:r>
          <w:rPr>
            <w:noProof/>
          </w:rPr>
          <w:fldChar w:fldCharType="end"/>
        </w:r>
      </w:p>
    </w:sdtContent>
  </w:sdt>
  <w:p w:rsidR="002827D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27D8">
    <w:pPr>
      <w:pStyle w:val="Footer"/>
      <w:jc w:val="center"/>
    </w:pPr>
  </w:p>
  <w:p w:rsidR="002827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07E0C" w:rsidP="00921526">
      <w:pPr>
        <w:spacing w:after="0" w:line="240" w:lineRule="auto"/>
      </w:pPr>
      <w:r>
        <w:separator/>
      </w:r>
    </w:p>
  </w:footnote>
  <w:footnote w:type="continuationSeparator" w:id="1">
    <w:p w:rsidR="00D07E0C" w:rsidP="00921526">
      <w:pPr>
        <w:spacing w:after="0" w:line="240" w:lineRule="auto"/>
      </w:pPr>
      <w:r>
        <w:continuationSeparator/>
      </w:r>
    </w:p>
  </w:footnote>
  <w:footnote w:id="2">
    <w:p w:rsidR="002827D8" w:rsidRPr="00A42FF2" w:rsidP="006849DE">
      <w:pPr>
        <w:pStyle w:val="FootnoteText"/>
      </w:pPr>
      <w:r w:rsidRPr="00A42FF2">
        <w:rPr>
          <w:rStyle w:val="FootnoteReference"/>
        </w:rPr>
        <w:footnoteRef/>
      </w:r>
      <w:r w:rsidRPr="00A42FF2">
        <w:t xml:space="preserve"> See R.C. 4903.10 and O.A.C. 4901-1-35.</w:t>
      </w:r>
    </w:p>
  </w:footnote>
  <w:footnote w:id="3">
    <w:p w:rsidR="002827D8" w:rsidRPr="00A42FF2">
      <w:pPr>
        <w:pStyle w:val="FootnoteText"/>
      </w:pPr>
      <w:r w:rsidRPr="00A42FF2">
        <w:rPr>
          <w:rStyle w:val="FootnoteReference"/>
        </w:rPr>
        <w:footnoteRef/>
      </w:r>
      <w:r w:rsidRPr="00A42FF2">
        <w:t xml:space="preserve"> See </w:t>
      </w:r>
      <w:r w:rsidRPr="00A42FF2">
        <w:rPr>
          <w:i/>
        </w:rPr>
        <w:t xml:space="preserve">In the Matter of the Application of The Dayton Power and Light Company for the Creation of a Rate Stabilization Surcharge Rider and Distribution Rate Increase, </w:t>
      </w:r>
      <w:r w:rsidRPr="00A42FF2">
        <w:t xml:space="preserve">Case No. 05-276-EL-AIR, Opinion and Order at 11 (December 28, 2005); </w:t>
      </w:r>
      <w:r w:rsidRPr="00A42FF2">
        <w:rPr>
          <w:i/>
        </w:rPr>
        <w:t>In the Matter of the Application of The Dayton Power and Light Company for Approval of its Electric Security Plan</w:t>
      </w:r>
      <w:r w:rsidRPr="00A42FF2">
        <w:t xml:space="preserve">, Case No. 08-1094-EL-SSO, Opinion </w:t>
      </w:r>
      <w:r>
        <w:t>and</w:t>
      </w:r>
      <w:r w:rsidRPr="00A42FF2">
        <w:t xml:space="preserve"> Order at 5 (June 24, 2009); </w:t>
      </w:r>
      <w:r w:rsidRPr="00A42FF2">
        <w:rPr>
          <w:i/>
        </w:rPr>
        <w:t>In the Matter of the Application of The Dayton Power and Light Company for Approval of its Electric Security Plan</w:t>
      </w:r>
      <w:r w:rsidRPr="00A42FF2">
        <w:t>, Case No. 12-426-EL-SSO, Entry Nunc Pro Tunc at 2 (September 6, 2013).</w:t>
      </w:r>
    </w:p>
  </w:footnote>
  <w:footnote w:id="4">
    <w:p w:rsidR="002827D8" w:rsidRPr="00A42FF2">
      <w:pPr>
        <w:pStyle w:val="FootnoteText"/>
      </w:pPr>
      <w:r w:rsidRPr="00A42FF2">
        <w:rPr>
          <w:rStyle w:val="FootnoteReference"/>
        </w:rPr>
        <w:footnoteRef/>
      </w:r>
      <w:r w:rsidRPr="00A42FF2">
        <w:t xml:space="preserve"> Direct Testimony of Sharon Schroder (DP&amp;L Exs. 3 and 4) filed March 22, 2017 (“Schroder Testimony”) at 3:17.</w:t>
      </w:r>
    </w:p>
  </w:footnote>
  <w:footnote w:id="5">
    <w:p w:rsidR="002827D8" w:rsidRPr="00A42FF2">
      <w:pPr>
        <w:pStyle w:val="FootnoteText"/>
      </w:pPr>
      <w:r w:rsidRPr="00A42FF2">
        <w:rPr>
          <w:rStyle w:val="FootnoteReference"/>
        </w:rPr>
        <w:footnoteRef/>
      </w:r>
      <w:r w:rsidRPr="00A42FF2">
        <w:t xml:space="preserve"> Hearing Transcript, Vol. I at 32:1-3.</w:t>
      </w:r>
    </w:p>
  </w:footnote>
  <w:footnote w:id="6">
    <w:p w:rsidR="002827D8" w:rsidRPr="00A42FF2">
      <w:pPr>
        <w:pStyle w:val="FootnoteText"/>
      </w:pPr>
      <w:r w:rsidRPr="00A42FF2">
        <w:rPr>
          <w:rStyle w:val="FootnoteReference"/>
        </w:rPr>
        <w:footnoteRef/>
      </w:r>
      <w:r w:rsidRPr="00A42FF2">
        <w:t xml:space="preserve"> See, e.g., Schroder Testimony at 22:9-10.</w:t>
      </w:r>
    </w:p>
  </w:footnote>
  <w:footnote w:id="7">
    <w:p w:rsidR="002827D8" w:rsidRPr="00A42FF2">
      <w:pPr>
        <w:pStyle w:val="FootnoteText"/>
      </w:pPr>
      <w:r w:rsidRPr="00A42FF2">
        <w:rPr>
          <w:rStyle w:val="FootnoteReference"/>
        </w:rPr>
        <w:footnoteRef/>
      </w:r>
      <w:r w:rsidRPr="00A42FF2">
        <w:t xml:space="preserve"> Hearing Transcript, Vol. I at 30:1-13.</w:t>
      </w:r>
    </w:p>
  </w:footnote>
  <w:footnote w:id="8">
    <w:p w:rsidR="002827D8" w:rsidRPr="00A42FF2">
      <w:pPr>
        <w:pStyle w:val="FootnoteText"/>
      </w:pPr>
      <w:r w:rsidRPr="00A42FF2">
        <w:rPr>
          <w:rStyle w:val="FootnoteReference"/>
        </w:rPr>
        <w:footnoteRef/>
      </w:r>
      <w:r w:rsidRPr="00A42FF2">
        <w:t xml:space="preserve"> Id. at 60:10-12; see also id. at 58:2-7.</w:t>
      </w:r>
    </w:p>
  </w:footnote>
  <w:footnote w:id="9">
    <w:p w:rsidR="002827D8" w:rsidRPr="00A42FF2">
      <w:pPr>
        <w:pStyle w:val="FootnoteText"/>
      </w:pPr>
      <w:r w:rsidRPr="00A42FF2">
        <w:rPr>
          <w:rStyle w:val="FootnoteReference"/>
        </w:rPr>
        <w:footnoteRef/>
      </w:r>
      <w:r w:rsidRPr="00A42FF2">
        <w:t xml:space="preserve"> See </w:t>
      </w:r>
      <w:r w:rsidRPr="00A42FF2">
        <w:rPr>
          <w:i/>
        </w:rPr>
        <w:t>In re Application of Columbus Southern Power Co.</w:t>
      </w:r>
      <w:r w:rsidRPr="00A42FF2">
        <w:t xml:space="preserve">, 147 Ohio St. 3d 439 (2016); </w:t>
      </w:r>
      <w:r w:rsidRPr="00A42FF2">
        <w:rPr>
          <w:i/>
        </w:rPr>
        <w:t>In re Dayton Power &amp; Light Co.</w:t>
      </w:r>
      <w:r w:rsidRPr="00A42FF2">
        <w:t>, 147 Ohio St. 3d 166 (2016).</w:t>
      </w:r>
    </w:p>
  </w:footnote>
  <w:footnote w:id="10">
    <w:p w:rsidR="002827D8" w:rsidRPr="00A42FF2">
      <w:pPr>
        <w:pStyle w:val="FootnoteText"/>
      </w:pPr>
      <w:r w:rsidRPr="00A42FF2">
        <w:rPr>
          <w:rStyle w:val="FootnoteReference"/>
        </w:rPr>
        <w:footnoteRef/>
      </w:r>
      <w:r w:rsidRPr="00A42FF2">
        <w:t xml:space="preserve"> See Opinion and Order at 42-46.</w:t>
      </w:r>
    </w:p>
  </w:footnote>
  <w:footnote w:id="11">
    <w:p w:rsidR="002827D8" w:rsidRPr="00A42FF2" w:rsidP="00CA5F22">
      <w:pPr>
        <w:pStyle w:val="FootnoteText"/>
      </w:pPr>
      <w:r w:rsidRPr="00A42FF2">
        <w:rPr>
          <w:rStyle w:val="FootnoteReference"/>
        </w:rPr>
        <w:footnoteRef/>
      </w:r>
      <w:r w:rsidRPr="00A42FF2">
        <w:t xml:space="preserve"> Some examples include the DIR, Regulatory Compliance Rider, Uncollectible Rider, Storm Cost Recovery Rider, Economic Development Rider, etc.  See Direct Testimony of Jeffrey Malinak (DP&amp;L Ex. 2b) filed March 22, 2017 at 14:9-20.  Further, the Reconciliation Rider’s cost is unknown.</w:t>
      </w:r>
    </w:p>
  </w:footnote>
  <w:footnote w:id="12">
    <w:p w:rsidR="002827D8" w:rsidRPr="00A42FF2" w:rsidP="00BC1D33">
      <w:pPr>
        <w:pStyle w:val="FootnoteText"/>
      </w:pPr>
      <w:r w:rsidRPr="00A42FF2">
        <w:rPr>
          <w:rStyle w:val="FootnoteReference"/>
        </w:rPr>
        <w:footnoteRef/>
      </w:r>
      <w:r w:rsidRPr="00A42FF2">
        <w:t xml:space="preserve"> Opinion and Order at 49-51; 54-56.</w:t>
      </w:r>
    </w:p>
  </w:footnote>
  <w:footnote w:id="13">
    <w:p w:rsidR="002827D8" w:rsidRPr="00A42FF2" w:rsidP="00BC1D33">
      <w:pPr>
        <w:pStyle w:val="FootnoteText"/>
      </w:pPr>
      <w:r w:rsidRPr="00A42FF2">
        <w:rPr>
          <w:rStyle w:val="FootnoteReference"/>
        </w:rPr>
        <w:footnoteRef/>
      </w:r>
      <w:r w:rsidRPr="00A42FF2">
        <w:rPr>
          <w:i/>
        </w:rPr>
        <w:t xml:space="preserve"> In re Application of Columbus Southern Power Company and Ohio Power Company for Authority to Establish a Standard Service Offer Under R.C. 4928.143 in the Form of an Electric Security Plan</w:t>
      </w:r>
      <w:r w:rsidRPr="00A42FF2">
        <w:t>, Oh. S. Ct. 2016-1608, Slip Opinion at ¶ 18 (April 21, 2016).</w:t>
      </w:r>
    </w:p>
  </w:footnote>
  <w:footnote w:id="14">
    <w:p w:rsidR="002827D8" w:rsidRPr="00A42FF2" w:rsidP="00BC1D33">
      <w:pPr>
        <w:pStyle w:val="FootnoteText"/>
      </w:pPr>
      <w:r w:rsidRPr="00A42FF2">
        <w:rPr>
          <w:rStyle w:val="FootnoteReference"/>
        </w:rPr>
        <w:footnoteRef/>
      </w:r>
      <w:r w:rsidRPr="00A42FF2">
        <w:t xml:space="preserve"> Id.</w:t>
      </w:r>
    </w:p>
  </w:footnote>
  <w:footnote w:id="15">
    <w:p w:rsidR="002827D8" w:rsidRPr="00A42FF2" w:rsidP="00BC1D33">
      <w:pPr>
        <w:pStyle w:val="FootnoteText"/>
      </w:pPr>
      <w:r w:rsidRPr="00A42FF2">
        <w:rPr>
          <w:rStyle w:val="FootnoteReference"/>
        </w:rPr>
        <w:footnoteRef/>
      </w:r>
      <w:r w:rsidRPr="00A42FF2">
        <w:t xml:space="preserve"> See generally OCC’s Brief at 12-20.</w:t>
      </w:r>
    </w:p>
  </w:footnote>
  <w:footnote w:id="16">
    <w:p w:rsidR="002827D8" w:rsidRPr="00A42FF2">
      <w:pPr>
        <w:pStyle w:val="FootnoteText"/>
      </w:pPr>
      <w:r w:rsidRPr="00A42FF2">
        <w:rPr>
          <w:rStyle w:val="FootnoteReference"/>
        </w:rPr>
        <w:footnoteRef/>
      </w:r>
      <w:r w:rsidRPr="00A42FF2">
        <w:t xml:space="preserve"> </w:t>
      </w:r>
      <w:r w:rsidRPr="00A42FF2">
        <w:rPr>
          <w:i/>
        </w:rPr>
        <w:t>Tongren v. PUCO</w:t>
      </w:r>
      <w:r w:rsidRPr="00A42FF2">
        <w:t>, 85 Ohio St. 3d 87 (1999).</w:t>
      </w:r>
    </w:p>
  </w:footnote>
  <w:footnote w:id="17">
    <w:p w:rsidR="002827D8" w:rsidRPr="00A42FF2">
      <w:pPr>
        <w:pStyle w:val="FootnoteText"/>
      </w:pPr>
      <w:r w:rsidRPr="00A42FF2">
        <w:rPr>
          <w:rStyle w:val="FootnoteReference"/>
        </w:rPr>
        <w:footnoteRef/>
      </w:r>
      <w:r w:rsidRPr="00A42FF2">
        <w:t xml:space="preserve"> Opinion and Order at 56.</w:t>
      </w:r>
    </w:p>
  </w:footnote>
  <w:footnote w:id="18">
    <w:p w:rsidR="002827D8" w:rsidRPr="00A42FF2">
      <w:pPr>
        <w:pStyle w:val="FootnoteText"/>
      </w:pPr>
      <w:r w:rsidRPr="00A42FF2">
        <w:rPr>
          <w:rStyle w:val="FootnoteReference"/>
        </w:rPr>
        <w:footnoteRef/>
      </w:r>
      <w:r w:rsidRPr="00A42FF2">
        <w:t xml:space="preserve"> See, e.g., OCC’s Brief at 27-28.</w:t>
      </w:r>
    </w:p>
  </w:footnote>
  <w:footnote w:id="19">
    <w:p w:rsidR="002827D8">
      <w:pPr>
        <w:pStyle w:val="FootnoteText"/>
      </w:pPr>
      <w:r>
        <w:rPr>
          <w:rStyle w:val="FootnoteReference"/>
        </w:rPr>
        <w:footnoteRef/>
      </w:r>
      <w:r>
        <w:t xml:space="preserve"> See, e.g., id.</w:t>
      </w:r>
    </w:p>
  </w:footnote>
  <w:footnote w:id="20">
    <w:p w:rsidR="002827D8">
      <w:pPr>
        <w:pStyle w:val="FootnoteText"/>
      </w:pPr>
      <w:r>
        <w:rPr>
          <w:rStyle w:val="FootnoteReference"/>
        </w:rPr>
        <w:footnoteRef/>
      </w:r>
      <w:r>
        <w:t xml:space="preserve"> See, e.g., id.</w:t>
      </w:r>
    </w:p>
  </w:footnote>
  <w:footnote w:id="21">
    <w:p w:rsidR="002827D8" w:rsidRPr="00A42FF2">
      <w:pPr>
        <w:pStyle w:val="FootnoteText"/>
      </w:pPr>
      <w:r w:rsidRPr="00A42FF2">
        <w:rPr>
          <w:rStyle w:val="FootnoteReference"/>
        </w:rPr>
        <w:footnoteRef/>
      </w:r>
      <w:r w:rsidRPr="00A42FF2">
        <w:t xml:space="preserve"> See, e.g., </w:t>
      </w:r>
      <w:r w:rsidRPr="00A42FF2">
        <w:rPr>
          <w:i/>
        </w:rPr>
        <w:t>In re Application of Columbus Southern Power Co.</w:t>
      </w:r>
      <w:r w:rsidRPr="00A42FF2">
        <w:t>, 147 Ohio St. 3d 439 (2016).</w:t>
      </w:r>
    </w:p>
  </w:footnote>
  <w:footnote w:id="22">
    <w:p w:rsidR="002827D8" w:rsidRPr="00A42FF2">
      <w:pPr>
        <w:pStyle w:val="FootnoteText"/>
      </w:pPr>
      <w:r w:rsidRPr="00A42FF2">
        <w:rPr>
          <w:rStyle w:val="FootnoteReference"/>
        </w:rPr>
        <w:footnoteRef/>
      </w:r>
      <w:r w:rsidRPr="00A42FF2">
        <w:t xml:space="preserve"> Opinion and Order at 57-58.</w:t>
      </w:r>
    </w:p>
  </w:footnote>
  <w:footnote w:id="23">
    <w:p w:rsidR="002827D8">
      <w:pPr>
        <w:pStyle w:val="FootnoteText"/>
      </w:pPr>
      <w:r>
        <w:rPr>
          <w:rStyle w:val="FootnoteReference"/>
        </w:rPr>
        <w:footnoteRef/>
      </w:r>
      <w:r>
        <w:t xml:space="preserve"> Id. at 52.</w:t>
      </w:r>
    </w:p>
  </w:footnote>
  <w:footnote w:id="24">
    <w:p w:rsidR="002827D8">
      <w:pPr>
        <w:pStyle w:val="FootnoteText"/>
      </w:pPr>
      <w:r>
        <w:rPr>
          <w:rStyle w:val="FootnoteReference"/>
        </w:rPr>
        <w:footnoteRef/>
      </w:r>
      <w:r>
        <w:t xml:space="preserve"> Id.</w:t>
      </w:r>
    </w:p>
  </w:footnote>
  <w:footnote w:id="25">
    <w:p w:rsidR="002827D8">
      <w:pPr>
        <w:pStyle w:val="FootnoteText"/>
      </w:pPr>
      <w:r>
        <w:rPr>
          <w:rStyle w:val="FootnoteReference"/>
        </w:rPr>
        <w:footnoteRef/>
      </w:r>
      <w:r>
        <w:t xml:space="preserve"> Direct Testimony of Robert B. Fortney filed March 29, 2017 (OCC Ex. 14) at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27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D1A2C57"/>
    <w:multiLevelType w:val="hybridMultilevel"/>
    <w:tmpl w:val="8042C62A"/>
    <w:lvl w:ilvl="0">
      <w:start w:val="1"/>
      <w:numFmt w:val="upperLetter"/>
      <w:lvlText w:val="%1."/>
      <w:lvlJc w:val="left"/>
      <w:pPr>
        <w:ind w:left="1440" w:hanging="720"/>
      </w:pPr>
      <w:rPr>
        <w:rFonts w:hint="default"/>
        <w:color w:val="0000FF"/>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046"/>
    <w:rPr>
      <w:rFonts w:ascii="Times New Roman" w:hAnsi="Times New Roman"/>
      <w:sz w:val="24"/>
    </w:rPr>
  </w:style>
  <w:style w:type="paragraph" w:styleId="Heading1">
    <w:name w:val="heading 1"/>
    <w:basedOn w:val="Normal"/>
    <w:next w:val="Normal"/>
    <w:link w:val="Heading1Char"/>
    <w:autoRedefine/>
    <w:uiPriority w:val="9"/>
    <w:qFormat/>
    <w:rsid w:val="00352742"/>
    <w:pPr>
      <w:keepNext/>
      <w:keepLines/>
      <w:spacing w:after="240" w:line="240" w:lineRule="auto"/>
      <w:ind w:left="720" w:hanging="720"/>
      <w:outlineLvl w:val="0"/>
    </w:pPr>
    <w:rPr>
      <w:rFonts w:ascii="Times New Roman Bold" w:hAnsi="Times New Roman Bold" w:eastAsiaTheme="minorEastAsia" w:cstheme="majorBidi"/>
      <w:b/>
      <w:bCs/>
      <w:caps/>
      <w:szCs w:val="28"/>
    </w:rPr>
  </w:style>
  <w:style w:type="paragraph" w:styleId="Heading2">
    <w:name w:val="heading 2"/>
    <w:basedOn w:val="Normal"/>
    <w:next w:val="Normal"/>
    <w:link w:val="Heading2Char"/>
    <w:autoRedefine/>
    <w:uiPriority w:val="9"/>
    <w:unhideWhenUsed/>
    <w:qFormat/>
    <w:rsid w:val="002827D8"/>
    <w:pPr>
      <w:keepNext/>
      <w:keepLines/>
      <w:spacing w:after="240" w:line="240" w:lineRule="auto"/>
      <w:outlineLvl w:val="1"/>
    </w:pPr>
    <w:rPr>
      <w:rFonts w:ascii="Times New Roman Bold" w:hAnsi="Times New Roman Bold" w:eastAsiaTheme="minorEastAsia" w:cs="Times New Roman"/>
      <w:bCs/>
      <w:noProof/>
      <w:szCs w:val="24"/>
    </w:rPr>
  </w:style>
  <w:style w:type="paragraph" w:styleId="Heading3">
    <w:name w:val="heading 3"/>
    <w:basedOn w:val="Normal"/>
    <w:next w:val="Normal"/>
    <w:link w:val="Heading3Char"/>
    <w:autoRedefine/>
    <w:uiPriority w:val="9"/>
    <w:unhideWhenUsed/>
    <w:qFormat/>
    <w:rsid w:val="00335936"/>
    <w:pPr>
      <w:keepNext/>
      <w:keepLines/>
      <w:spacing w:after="240" w:line="240" w:lineRule="auto"/>
      <w:ind w:left="1440" w:hanging="720"/>
      <w:outlineLvl w:val="2"/>
    </w:pPr>
    <w:rPr>
      <w:rFonts w:ascii="Times New Roman Bold" w:hAnsi="Times New Roman Bold" w:eastAsiaTheme="majorEastAsia" w:cs="Times New Roman"/>
      <w:b/>
      <w:bCs/>
      <w:szCs w:val="24"/>
    </w:rPr>
  </w:style>
  <w:style w:type="paragraph" w:styleId="Heading4">
    <w:name w:val="heading 4"/>
    <w:basedOn w:val="Normal"/>
    <w:next w:val="Normal"/>
    <w:link w:val="Heading4Char"/>
    <w:autoRedefine/>
    <w:uiPriority w:val="9"/>
    <w:unhideWhenUsed/>
    <w:qFormat/>
    <w:rsid w:val="00352742"/>
    <w:pPr>
      <w:keepNext/>
      <w:keepLines/>
      <w:spacing w:after="240" w:line="240" w:lineRule="auto"/>
      <w:ind w:left="2160" w:right="72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uiPriority w:val="9"/>
    <w:unhideWhenUsed/>
    <w:qFormat/>
    <w:rsid w:val="0035274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27D8"/>
    <w:rPr>
      <w:rFonts w:ascii="Times New Roman Bold" w:hAnsi="Times New Roman Bold" w:eastAsiaTheme="minorEastAsia" w:cs="Times New Roman"/>
      <w:bCs/>
      <w:noProof/>
      <w:sz w:val="24"/>
      <w:szCs w:val="24"/>
    </w:rPr>
  </w:style>
  <w:style w:type="character" w:customStyle="1" w:styleId="Heading3Char">
    <w:name w:val="Heading 3 Char"/>
    <w:basedOn w:val="DefaultParagraphFont"/>
    <w:link w:val="Heading3"/>
    <w:uiPriority w:val="9"/>
    <w:rsid w:val="00335936"/>
    <w:rPr>
      <w:rFonts w:ascii="Times New Roman Bold" w:hAnsi="Times New Roman Bold" w:eastAsiaTheme="majorEastAsia" w:cs="Times New Roman"/>
      <w:b/>
      <w:bCs/>
      <w:sz w:val="24"/>
      <w:szCs w:val="24"/>
    </w:rPr>
  </w:style>
  <w:style w:type="character" w:customStyle="1" w:styleId="FootnoteTextChar">
    <w:name w:val="Footnote Text Char"/>
    <w:aliases w:val="Footnote Text Char Char4 Char Char,Footnote Text Char Char4 Char1 Char Char Char,Footnote Text Char2 Char,Footnote Text Char4 Char Char,Footnote Text Char4 Char1 Char Char Char,Footnote Text Char5 Char1 Char Char Char Char Char Char"/>
    <w:basedOn w:val="DefaultParagraphFont"/>
    <w:link w:val="FootnoteText"/>
    <w:uiPriority w:val="99"/>
    <w:locked/>
    <w:rsid w:val="00CF1095"/>
    <w:rPr>
      <w:rFonts w:ascii="Times New Roman" w:eastAsia="Times New Roman" w:hAnsi="Times New Roman" w:cs="Times New Roman"/>
      <w:spacing w:val="-5"/>
      <w:sz w:val="20"/>
      <w:szCs w:val="20"/>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unhideWhenUsed/>
    <w:qFormat/>
    <w:rsid w:val="00CF1095"/>
    <w:pPr>
      <w:spacing w:after="120" w:line="240" w:lineRule="auto"/>
    </w:pPr>
    <w:rPr>
      <w:rFonts w:eastAsia="Times New Roman" w:cs="Times New Roman"/>
      <w:spacing w:val="-5"/>
      <w:sz w:val="20"/>
      <w:szCs w:val="20"/>
    </w:rPr>
  </w:style>
  <w:style w:type="character" w:customStyle="1" w:styleId="FootnoteTextChar1">
    <w:name w:val="Footnote Text Char1"/>
    <w:basedOn w:val="DefaultParagraphFont"/>
    <w:rsid w:val="00921526"/>
    <w:rPr>
      <w:rFonts w:ascii="Times New Roman" w:hAnsi="Times New Roman"/>
      <w:sz w:val="20"/>
      <w:szCs w:val="20"/>
    </w:rPr>
  </w:style>
  <w:style w:type="character" w:styleId="FootnoteReference">
    <w:name w:val="footnote reference"/>
    <w:aliases w:val="(NECG) Footnote Reference,Appel note de bas de p,Style 11,Style 12,Style 124,Style 13,Style 15,Style 16,Style 17,Style 18,Style 19,Style 20,Style 21,Style 28,Style 3,Style 4,Style 42,Style 7,Style 8,Style 9,fr,fr1,fr2,fr3,o,o1,o2,o3"/>
    <w:uiPriority w:val="99"/>
    <w:unhideWhenUsed/>
    <w:qFormat/>
    <w:rsid w:val="00921526"/>
    <w:rPr>
      <w:vertAlign w:val="superscript"/>
    </w:rPr>
  </w:style>
  <w:style w:type="character" w:styleId="Hyperlink">
    <w:name w:val="Hyperlink"/>
    <w:basedOn w:val="DefaultParagraphFont"/>
    <w:uiPriority w:val="99"/>
    <w:unhideWhenUsed/>
    <w:rsid w:val="00921526"/>
    <w:rPr>
      <w:color w:val="0000FF"/>
      <w:u w:val="single"/>
    </w:rPr>
  </w:style>
  <w:style w:type="character" w:customStyle="1" w:styleId="Heading1Char">
    <w:name w:val="Heading 1 Char"/>
    <w:basedOn w:val="DefaultParagraphFont"/>
    <w:link w:val="Heading1"/>
    <w:uiPriority w:val="9"/>
    <w:rsid w:val="00352742"/>
    <w:rPr>
      <w:rFonts w:ascii="Times New Roman Bold" w:hAnsi="Times New Roman Bold" w:eastAsiaTheme="minorEastAsia" w:cstheme="majorBidi"/>
      <w:b/>
      <w:bCs/>
      <w:caps/>
      <w:sz w:val="24"/>
      <w:szCs w:val="28"/>
    </w:rPr>
  </w:style>
  <w:style w:type="table" w:styleId="TableGrid">
    <w:name w:val="Table Grid"/>
    <w:basedOn w:val="TableNormal"/>
    <w:rsid w:val="00E37FF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C57"/>
    <w:rPr>
      <w:rFonts w:ascii="Times New Roman" w:hAnsi="Times New Roman"/>
      <w:sz w:val="24"/>
    </w:rPr>
  </w:style>
  <w:style w:type="paragraph" w:styleId="Footer">
    <w:name w:val="footer"/>
    <w:basedOn w:val="Normal"/>
    <w:link w:val="FooterChar"/>
    <w:uiPriority w:val="99"/>
    <w:unhideWhenUsed/>
    <w:rsid w:val="00490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C57"/>
    <w:rPr>
      <w:rFonts w:ascii="Times New Roman" w:hAnsi="Times New Roman"/>
      <w:sz w:val="24"/>
    </w:rPr>
  </w:style>
  <w:style w:type="paragraph" w:styleId="BalloonText">
    <w:name w:val="Balloon Text"/>
    <w:basedOn w:val="Normal"/>
    <w:link w:val="BalloonTextChar"/>
    <w:uiPriority w:val="99"/>
    <w:semiHidden/>
    <w:unhideWhenUsed/>
    <w:rsid w:val="00897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944"/>
    <w:rPr>
      <w:rFonts w:ascii="Tahoma" w:hAnsi="Tahoma" w:cs="Tahoma"/>
      <w:sz w:val="16"/>
      <w:szCs w:val="16"/>
    </w:rPr>
  </w:style>
  <w:style w:type="character" w:styleId="CommentReference">
    <w:name w:val="annotation reference"/>
    <w:basedOn w:val="DefaultParagraphFont"/>
    <w:uiPriority w:val="99"/>
    <w:semiHidden/>
    <w:unhideWhenUsed/>
    <w:rsid w:val="00F91D6B"/>
    <w:rPr>
      <w:sz w:val="16"/>
      <w:szCs w:val="16"/>
    </w:rPr>
  </w:style>
  <w:style w:type="paragraph" w:styleId="CommentText">
    <w:name w:val="annotation text"/>
    <w:basedOn w:val="Normal"/>
    <w:link w:val="CommentTextChar"/>
    <w:uiPriority w:val="99"/>
    <w:semiHidden/>
    <w:unhideWhenUsed/>
    <w:rsid w:val="00F91D6B"/>
    <w:pPr>
      <w:spacing w:line="240" w:lineRule="auto"/>
    </w:pPr>
    <w:rPr>
      <w:sz w:val="20"/>
      <w:szCs w:val="20"/>
    </w:rPr>
  </w:style>
  <w:style w:type="character" w:customStyle="1" w:styleId="CommentTextChar">
    <w:name w:val="Comment Text Char"/>
    <w:basedOn w:val="DefaultParagraphFont"/>
    <w:link w:val="CommentText"/>
    <w:uiPriority w:val="99"/>
    <w:semiHidden/>
    <w:rsid w:val="00F91D6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91D6B"/>
    <w:rPr>
      <w:b/>
      <w:bCs/>
    </w:rPr>
  </w:style>
  <w:style w:type="character" w:customStyle="1" w:styleId="CommentSubjectChar">
    <w:name w:val="Comment Subject Char"/>
    <w:basedOn w:val="CommentTextChar"/>
    <w:link w:val="CommentSubject"/>
    <w:uiPriority w:val="99"/>
    <w:semiHidden/>
    <w:rsid w:val="00F91D6B"/>
    <w:rPr>
      <w:rFonts w:ascii="Times New Roman" w:hAnsi="Times New Roman"/>
      <w:b/>
      <w:bCs/>
      <w:sz w:val="20"/>
      <w:szCs w:val="20"/>
    </w:rPr>
  </w:style>
  <w:style w:type="paragraph" w:styleId="ListParagraph">
    <w:name w:val="List Paragraph"/>
    <w:basedOn w:val="Normal"/>
    <w:uiPriority w:val="34"/>
    <w:qFormat/>
    <w:rsid w:val="00F91D6B"/>
    <w:pPr>
      <w:ind w:left="720"/>
      <w:contextualSpacing/>
    </w:pPr>
  </w:style>
  <w:style w:type="paragraph" w:styleId="BodyText">
    <w:name w:val="Body Text"/>
    <w:basedOn w:val="Normal"/>
    <w:link w:val="BodyTextChar"/>
    <w:rsid w:val="00475BCD"/>
    <w:pPr>
      <w:widowControl w:val="0"/>
      <w:overflowPunct w:val="0"/>
      <w:adjustRightInd w:val="0"/>
      <w:spacing w:after="120" w:line="240" w:lineRule="auto"/>
    </w:pPr>
    <w:rPr>
      <w:rFonts w:eastAsia="Times New Roman" w:cs="Times New Roman"/>
      <w:kern w:val="28"/>
      <w:szCs w:val="24"/>
    </w:rPr>
  </w:style>
  <w:style w:type="character" w:customStyle="1" w:styleId="BodyTextChar">
    <w:name w:val="Body Text Char"/>
    <w:basedOn w:val="DefaultParagraphFont"/>
    <w:link w:val="BodyText"/>
    <w:rsid w:val="00475BCD"/>
    <w:rPr>
      <w:rFonts w:ascii="Times New Roman" w:eastAsia="Times New Roman" w:hAnsi="Times New Roman" w:cs="Times New Roman"/>
      <w:kern w:val="28"/>
      <w:sz w:val="24"/>
      <w:szCs w:val="24"/>
    </w:rPr>
  </w:style>
  <w:style w:type="character" w:customStyle="1" w:styleId="apple-converted-space">
    <w:name w:val="apple-converted-space"/>
    <w:basedOn w:val="DefaultParagraphFont"/>
    <w:rsid w:val="00AE0D6F"/>
  </w:style>
  <w:style w:type="paragraph" w:styleId="TOC1">
    <w:name w:val="toc 1"/>
    <w:basedOn w:val="Normal"/>
    <w:next w:val="Normal"/>
    <w:autoRedefine/>
    <w:uiPriority w:val="39"/>
    <w:unhideWhenUsed/>
    <w:qFormat/>
    <w:rsid w:val="00A42FF2"/>
    <w:pPr>
      <w:tabs>
        <w:tab w:val="decimal" w:leader="dot" w:pos="8640"/>
      </w:tabs>
      <w:spacing w:after="240" w:line="240" w:lineRule="auto"/>
      <w:ind w:left="720" w:hanging="720"/>
      <w:outlineLvl w:val="0"/>
    </w:pPr>
    <w:rPr>
      <w:b/>
      <w:caps/>
    </w:rPr>
  </w:style>
  <w:style w:type="paragraph" w:styleId="TOC2">
    <w:name w:val="toc 2"/>
    <w:basedOn w:val="Normal"/>
    <w:next w:val="Normal"/>
    <w:autoRedefine/>
    <w:uiPriority w:val="39"/>
    <w:unhideWhenUsed/>
    <w:qFormat/>
    <w:rsid w:val="00A42FF2"/>
    <w:pPr>
      <w:tabs>
        <w:tab w:val="decimal" w:leader="dot" w:pos="8640"/>
      </w:tabs>
      <w:spacing w:after="240" w:line="240" w:lineRule="auto"/>
      <w:ind w:left="720"/>
      <w:outlineLvl w:val="1"/>
    </w:pPr>
    <w:rPr>
      <w:rFonts w:cs="Times New Roman"/>
      <w:b/>
      <w:bCs/>
      <w:noProof/>
    </w:rPr>
  </w:style>
  <w:style w:type="paragraph" w:styleId="TOC3">
    <w:name w:val="toc 3"/>
    <w:basedOn w:val="Normal"/>
    <w:next w:val="Normal"/>
    <w:autoRedefine/>
    <w:uiPriority w:val="39"/>
    <w:unhideWhenUsed/>
    <w:qFormat/>
    <w:rsid w:val="009C28C5"/>
    <w:pPr>
      <w:tabs>
        <w:tab w:val="decimal" w:leader="dot" w:pos="8640"/>
      </w:tabs>
      <w:spacing w:after="240" w:line="240" w:lineRule="auto"/>
      <w:ind w:left="1440" w:hanging="720"/>
    </w:pPr>
  </w:style>
  <w:style w:type="character" w:customStyle="1" w:styleId="Heading4Char">
    <w:name w:val="Heading 4 Char"/>
    <w:basedOn w:val="DefaultParagraphFont"/>
    <w:link w:val="Heading4"/>
    <w:uiPriority w:val="9"/>
    <w:rsid w:val="00352742"/>
    <w:rPr>
      <w:rFonts w:ascii="Times New Roman Bold" w:hAnsi="Times New Roman Bold" w:eastAsiaTheme="majorEastAsia" w:cstheme="majorBidi"/>
      <w:b/>
      <w:bCs/>
      <w:iCs/>
      <w:sz w:val="24"/>
    </w:rPr>
  </w:style>
  <w:style w:type="character" w:customStyle="1" w:styleId="FootnoteTextChar3">
    <w:name w:val="Footnote Text Char3"/>
    <w:aliases w:val="Footnote Text Char Char Char,Footnote Text Char Char Char Char Char,Footnote Text Char1 Char,Footnote Text Char1 Char Char1 Char,Footnote Text Char1 Char Char1 Char Char Char Char,Footnote Text Char2 Char Char Char Char1 Char,fn Char"/>
    <w:semiHidden/>
    <w:locked/>
    <w:rsid w:val="00FF46FF"/>
    <w:rPr>
      <w:lang w:val="en-US" w:eastAsia="en-US" w:bidi="ar-SA"/>
    </w:rPr>
  </w:style>
  <w:style w:type="paragraph" w:styleId="TOC4">
    <w:name w:val="toc 4"/>
    <w:basedOn w:val="Normal"/>
    <w:next w:val="Normal"/>
    <w:autoRedefine/>
    <w:uiPriority w:val="39"/>
    <w:unhideWhenUsed/>
    <w:qFormat/>
    <w:rsid w:val="009C28C5"/>
    <w:pPr>
      <w:tabs>
        <w:tab w:val="decimal" w:leader="dot" w:pos="8640"/>
      </w:tabs>
      <w:spacing w:after="240" w:line="240" w:lineRule="auto"/>
      <w:ind w:left="2160" w:hanging="720"/>
    </w:pPr>
  </w:style>
  <w:style w:type="paragraph" w:styleId="TOC5">
    <w:name w:val="toc 5"/>
    <w:basedOn w:val="Normal"/>
    <w:next w:val="Normal"/>
    <w:autoRedefine/>
    <w:uiPriority w:val="39"/>
    <w:semiHidden/>
    <w:unhideWhenUsed/>
    <w:rsid w:val="003F5D42"/>
    <w:pPr>
      <w:tabs>
        <w:tab w:val="left" w:pos="720"/>
        <w:tab w:val="left" w:pos="1440"/>
        <w:tab w:val="left" w:pos="2160"/>
        <w:tab w:val="decimal" w:leader="dot" w:pos="8640"/>
      </w:tabs>
      <w:spacing w:after="240" w:line="240" w:lineRule="auto"/>
      <w:ind w:left="3600" w:hanging="720"/>
    </w:pPr>
  </w:style>
  <w:style w:type="character" w:customStyle="1" w:styleId="Heading5Char">
    <w:name w:val="Heading 5 Char"/>
    <w:basedOn w:val="DefaultParagraphFont"/>
    <w:link w:val="Heading5"/>
    <w:uiPriority w:val="9"/>
    <w:rsid w:val="00352742"/>
    <w:rPr>
      <w:rFonts w:asciiTheme="majorHAnsi" w:eastAsiaTheme="majorEastAsia" w:hAnsiTheme="majorHAnsi" w:cstheme="majorBidi"/>
      <w:color w:val="243F60" w:themeColor="accent1" w:themeShade="7F"/>
      <w:sz w:val="24"/>
    </w:rPr>
  </w:style>
  <w:style w:type="character" w:customStyle="1" w:styleId="sssh">
    <w:name w:val="ss_sh"/>
    <w:basedOn w:val="DefaultParagraphFont"/>
    <w:rsid w:val="004D5C08"/>
  </w:style>
  <w:style w:type="character" w:customStyle="1" w:styleId="ssrptrline">
    <w:name w:val="ss_rptrline"/>
    <w:rsid w:val="00D44B24"/>
  </w:style>
  <w:style w:type="character" w:customStyle="1" w:styleId="ssnonpaginatedrptr">
    <w:name w:val="ss_nonpaginatedrptr"/>
    <w:rsid w:val="00D44B24"/>
  </w:style>
  <w:style w:type="character" w:customStyle="1" w:styleId="UnresolvedMention1">
    <w:name w:val="Unresolved Mention1"/>
    <w:basedOn w:val="DefaultParagraphFont"/>
    <w:uiPriority w:val="99"/>
    <w:semiHidden/>
    <w:unhideWhenUsed/>
    <w:rsid w:val="003C2841"/>
    <w:rPr>
      <w:color w:val="808080"/>
      <w:shd w:val="clear" w:color="auto" w:fill="E6E6E6"/>
    </w:rPr>
  </w:style>
  <w:style w:type="character" w:customStyle="1" w:styleId="UnresolvedMention2">
    <w:name w:val="Unresolved Mention2"/>
    <w:basedOn w:val="DefaultParagraphFont"/>
    <w:uiPriority w:val="99"/>
    <w:semiHidden/>
    <w:unhideWhenUsed/>
    <w:rsid w:val="009E2C6E"/>
    <w:rPr>
      <w:color w:val="808080"/>
      <w:shd w:val="clear" w:color="auto" w:fill="E6E6E6"/>
    </w:rPr>
  </w:style>
  <w:style w:type="character" w:customStyle="1" w:styleId="UnresolvedMention3">
    <w:name w:val="Unresolved Mention3"/>
    <w:basedOn w:val="DefaultParagraphFont"/>
    <w:uiPriority w:val="99"/>
    <w:semiHidden/>
    <w:unhideWhenUsed/>
    <w:rsid w:val="00457D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6.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4009</Words>
  <Characters>22857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16-395.docx</vt:lpstr>
    </vt:vector>
  </TitlesOfParts>
  <Company/>
  <LinksUpToDate>false</LinksUpToDate>
  <CharactersWithSpaces>26813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2017-11-20T19:54:38Z</dcterms:created>
  <dcterms:modified xsi:type="dcterms:W3CDTF">2017-11-20T19:54:38Z</dcterms:modified>
</cp:coreProperties>
</file>