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DA4E9F" w:rsidRPr="00BF6B72" w:rsidP="00DA4E9F" w14:paraId="025A81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b/>
          <w:bCs/>
          <w:szCs w:val="24"/>
        </w:rPr>
      </w:pPr>
      <w:bookmarkStart w:id="0" w:name="_GoBack"/>
      <w:bookmarkEnd w:id="0"/>
      <w:r w:rsidRPr="00BF6B72">
        <w:rPr>
          <w:rFonts w:eastAsia="Calibri" w:cs="Times New Roman"/>
          <w:b/>
          <w:bCs/>
          <w:szCs w:val="24"/>
        </w:rPr>
        <w:t>BEFORE</w:t>
      </w:r>
    </w:p>
    <w:p w:rsidR="00DA4E9F" w:rsidRPr="00BF6B72" w:rsidP="00DA4E9F" w14:paraId="6513DE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szCs w:val="24"/>
        </w:rPr>
      </w:pPr>
      <w:r w:rsidRPr="00BF6B72">
        <w:rPr>
          <w:rFonts w:eastAsia="Calibri" w:cs="Times New Roman"/>
          <w:b/>
          <w:bCs/>
          <w:szCs w:val="24"/>
        </w:rPr>
        <w:t>THE PUBLIC UTILITIES COMMISSION OF OHIO</w:t>
      </w:r>
    </w:p>
    <w:p w:rsidR="00DA4E9F" w:rsidRPr="00BF6B72" w:rsidP="00DA4E9F" w14:paraId="4647E37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tbl>
      <w:tblPr>
        <w:tblW w:w="9092" w:type="dxa"/>
        <w:tblInd w:w="-106" w:type="dxa"/>
        <w:tblLook w:val="01E0"/>
      </w:tblPr>
      <w:tblGrid>
        <w:gridCol w:w="4332"/>
        <w:gridCol w:w="360"/>
        <w:gridCol w:w="4400"/>
      </w:tblGrid>
      <w:tr w14:paraId="60DF5C91" w14:textId="77777777" w:rsidTr="00DA4E9F">
        <w:tblPrEx>
          <w:tblW w:w="9092" w:type="dxa"/>
          <w:tblInd w:w="-106" w:type="dxa"/>
          <w:tblLook w:val="01E0"/>
        </w:tblPrEx>
        <w:trPr>
          <w:trHeight w:val="807"/>
        </w:trPr>
        <w:tc>
          <w:tcPr>
            <w:tcW w:w="4332" w:type="dxa"/>
          </w:tcPr>
          <w:p w:rsidR="005C07E7" w:rsidP="00FE0F25" w14:paraId="5206BF12" w14:textId="4F5FE203">
            <w:pPr>
              <w:pStyle w:val="NormalWeb"/>
            </w:pPr>
            <w:r w:rsidRPr="00BF6B72">
              <w:rPr>
                <w:rFonts w:eastAsia="Calibri"/>
              </w:rPr>
              <w:t xml:space="preserve">In the Matter of the Application of </w:t>
            </w:r>
            <w:r>
              <w:rPr>
                <w:rFonts w:ascii="TimesNewRomanPSMT" w:hAnsi="TimesNewRomanPSMT"/>
              </w:rPr>
              <w:t>Duke Energy Ohio, Inc. for Implementation of</w:t>
            </w:r>
            <w:r>
              <w:rPr>
                <w:rFonts w:ascii="TimesNewRomanPSMT" w:hAnsi="TimesNewRomanPSMT"/>
              </w:rPr>
              <w:br/>
              <w:t xml:space="preserve">the Tax Cuts and Jobs Act of 2017. </w:t>
            </w:r>
          </w:p>
          <w:p w:rsidR="005C07E7" w:rsidP="00FE0F25" w14:paraId="3BC44715" w14:textId="278E2D38">
            <w:pPr>
              <w:autoSpaceDE w:val="0"/>
              <w:autoSpaceDN w:val="0"/>
              <w:adjustRightInd w:val="0"/>
              <w:spacing w:after="0" w:line="240" w:lineRule="auto"/>
              <w:rPr>
                <w:rFonts w:eastAsia="Calibri" w:cs="Times New Roman"/>
                <w:szCs w:val="24"/>
              </w:rPr>
            </w:pPr>
            <w:r w:rsidRPr="00BF6B72">
              <w:rPr>
                <w:rFonts w:eastAsia="Calibri" w:cs="Times New Roman"/>
                <w:szCs w:val="24"/>
              </w:rPr>
              <w:t xml:space="preserve">In the Matter of the Application of </w:t>
            </w:r>
            <w:r>
              <w:rPr>
                <w:rFonts w:ascii="TimesNewRomanPSMT" w:hAnsi="TimesNewRomanPSMT"/>
              </w:rPr>
              <w:t xml:space="preserve">Duke Energy Ohio, Inc. </w:t>
            </w:r>
            <w:r>
              <w:rPr>
                <w:rFonts w:eastAsia="Calibri" w:cs="Times New Roman"/>
                <w:szCs w:val="24"/>
              </w:rPr>
              <w:t>for Approval of Tariff</w:t>
            </w:r>
          </w:p>
          <w:p w:rsidR="00C318CE" w:rsidRPr="00BF6B72" w:rsidP="00FE0F25" w14:paraId="4EEF53F4" w14:textId="36A98031">
            <w:pPr>
              <w:autoSpaceDE w:val="0"/>
              <w:autoSpaceDN w:val="0"/>
              <w:adjustRightInd w:val="0"/>
              <w:spacing w:after="0" w:line="240" w:lineRule="auto"/>
              <w:rPr>
                <w:rFonts w:eastAsia="Calibri" w:cs="Times New Roman"/>
                <w:szCs w:val="24"/>
              </w:rPr>
            </w:pPr>
            <w:r>
              <w:rPr>
                <w:rFonts w:eastAsia="Calibri" w:cs="Times New Roman"/>
                <w:szCs w:val="24"/>
              </w:rPr>
              <w:t>Amendments.</w:t>
            </w:r>
          </w:p>
        </w:tc>
        <w:tc>
          <w:tcPr>
            <w:tcW w:w="360" w:type="dxa"/>
            <w:hideMark/>
          </w:tcPr>
          <w:p w:rsidR="00DA4E9F" w:rsidRPr="00BF6B72" w:rsidP="00FE0F25" w14:paraId="4E74A9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DA4E9F" w:rsidRPr="00BF6B72" w:rsidP="00FE0F25" w14:paraId="6C8A44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DA4E9F" w:rsidP="00FE0F25" w14:paraId="0F724AE7" w14:textId="515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C318CE" w:rsidRPr="00BF6B72" w:rsidP="00FE0F25" w14:paraId="0504D442" w14:textId="7357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p w:rsidR="00DA4E9F" w:rsidP="00FE0F25" w14:paraId="69942481" w14:textId="5FDDD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Pr>
                <w:rFonts w:eastAsia="Calibri" w:cs="Times New Roman"/>
                <w:szCs w:val="24"/>
              </w:rPr>
              <w:t>)</w:t>
            </w:r>
          </w:p>
          <w:p w:rsidR="00FE0F25" w:rsidP="00FE0F25" w14:paraId="5DC26C0E" w14:textId="66318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Pr>
                <w:rFonts w:eastAsia="Calibri" w:cs="Times New Roman"/>
                <w:szCs w:val="24"/>
              </w:rPr>
              <w:t>)</w:t>
            </w:r>
          </w:p>
          <w:p w:rsidR="00FE0F25" w:rsidRPr="00BF6B72" w:rsidP="00FE0F25" w14:paraId="2EB02B27" w14:textId="4C88C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Pr>
                <w:rFonts w:eastAsia="Calibri" w:cs="Times New Roman"/>
                <w:szCs w:val="24"/>
              </w:rPr>
              <w:t>)</w:t>
            </w:r>
          </w:p>
        </w:tc>
        <w:tc>
          <w:tcPr>
            <w:tcW w:w="4400" w:type="dxa"/>
          </w:tcPr>
          <w:p w:rsidR="00DA4E9F" w:rsidRPr="00BF6B72" w:rsidP="00DA4E9F" w14:paraId="377449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szCs w:val="24"/>
              </w:rPr>
            </w:pPr>
          </w:p>
          <w:p w:rsidR="00DA4E9F" w:rsidP="00DA4E9F" w14:paraId="0337F835" w14:textId="599A2212">
            <w:pPr>
              <w:autoSpaceDE w:val="0"/>
              <w:autoSpaceDN w:val="0"/>
              <w:adjustRightInd w:val="0"/>
              <w:spacing w:after="0"/>
              <w:rPr>
                <w:rFonts w:eastAsia="Calibri" w:cs="Times New Roman"/>
                <w:szCs w:val="24"/>
              </w:rPr>
            </w:pPr>
            <w:r w:rsidRPr="00BF6B72">
              <w:rPr>
                <w:rFonts w:eastAsia="Calibri" w:cs="Times New Roman"/>
                <w:szCs w:val="24"/>
              </w:rPr>
              <w:t xml:space="preserve">Case No. </w:t>
            </w:r>
            <w:r w:rsidR="00C318CE">
              <w:rPr>
                <w:rFonts w:eastAsia="Calibri" w:cs="Times New Roman"/>
                <w:szCs w:val="24"/>
              </w:rPr>
              <w:t>18-1830</w:t>
            </w:r>
            <w:r w:rsidRPr="00BF6B72">
              <w:rPr>
                <w:rFonts w:eastAsia="Calibri" w:cs="Times New Roman"/>
                <w:szCs w:val="24"/>
              </w:rPr>
              <w:t>-</w:t>
            </w:r>
            <w:r w:rsidR="00C318CE">
              <w:rPr>
                <w:rFonts w:eastAsia="Calibri" w:cs="Times New Roman"/>
                <w:szCs w:val="24"/>
              </w:rPr>
              <w:t>GA</w:t>
            </w:r>
            <w:r w:rsidRPr="00BF6B72">
              <w:rPr>
                <w:rFonts w:eastAsia="Calibri" w:cs="Times New Roman"/>
                <w:szCs w:val="24"/>
              </w:rPr>
              <w:t>-</w:t>
            </w:r>
            <w:r w:rsidR="00C318CE">
              <w:rPr>
                <w:rFonts w:eastAsia="Calibri" w:cs="Times New Roman"/>
                <w:szCs w:val="24"/>
              </w:rPr>
              <w:t>UNC</w:t>
            </w:r>
          </w:p>
          <w:p w:rsidR="00C318CE" w:rsidP="00DA4E9F" w14:paraId="6B2566A7" w14:textId="71905650">
            <w:pPr>
              <w:autoSpaceDE w:val="0"/>
              <w:autoSpaceDN w:val="0"/>
              <w:adjustRightInd w:val="0"/>
              <w:spacing w:after="0"/>
              <w:rPr>
                <w:rFonts w:eastAsia="Calibri" w:cs="Times New Roman"/>
                <w:szCs w:val="24"/>
              </w:rPr>
            </w:pPr>
          </w:p>
          <w:p w:rsidR="00FE0F25" w:rsidP="00DA4E9F" w14:paraId="494C3379" w14:textId="77777777">
            <w:pPr>
              <w:autoSpaceDE w:val="0"/>
              <w:autoSpaceDN w:val="0"/>
              <w:adjustRightInd w:val="0"/>
              <w:spacing w:after="0"/>
              <w:rPr>
                <w:rFonts w:eastAsia="Calibri" w:cs="Times New Roman"/>
                <w:szCs w:val="24"/>
              </w:rPr>
            </w:pPr>
          </w:p>
          <w:p w:rsidR="00C318CE" w:rsidRPr="00BF6B72" w:rsidP="00C318CE" w14:paraId="14AE6EA2" w14:textId="77777777">
            <w:pPr>
              <w:autoSpaceDE w:val="0"/>
              <w:autoSpaceDN w:val="0"/>
              <w:adjustRightInd w:val="0"/>
              <w:spacing w:after="0"/>
              <w:rPr>
                <w:rFonts w:eastAsia="Calibri" w:cs="Times New Roman"/>
                <w:szCs w:val="24"/>
              </w:rPr>
            </w:pPr>
            <w:r>
              <w:rPr>
                <w:rFonts w:eastAsia="Calibri" w:cs="Times New Roman"/>
                <w:szCs w:val="24"/>
              </w:rPr>
              <w:t>Case No. 18-1831-GA-ATA</w:t>
            </w:r>
          </w:p>
          <w:p w:rsidR="00DA4E9F" w:rsidRPr="00BF6B72" w:rsidP="00C318CE" w14:paraId="1539AE45" w14:textId="77777777">
            <w:pPr>
              <w:autoSpaceDE w:val="0"/>
              <w:autoSpaceDN w:val="0"/>
              <w:adjustRightInd w:val="0"/>
              <w:spacing w:after="0"/>
              <w:rPr>
                <w:rFonts w:eastAsia="Calibri" w:cs="Times New Roman"/>
                <w:szCs w:val="24"/>
              </w:rPr>
            </w:pPr>
          </w:p>
        </w:tc>
      </w:tr>
    </w:tbl>
    <w:p w:rsidR="00DA4E9F" w:rsidRPr="00BF6B72" w:rsidP="00DA4E9F" w14:paraId="73EF0CCD" w14:textId="77777777">
      <w:pPr>
        <w:pBdr>
          <w:bottom w:val="single" w:sz="12" w:space="1" w:color="auto"/>
        </w:pBdr>
        <w:autoSpaceDE w:val="0"/>
        <w:autoSpaceDN w:val="0"/>
        <w:adjustRightInd w:val="0"/>
        <w:spacing w:after="0" w:line="240" w:lineRule="auto"/>
        <w:rPr>
          <w:rFonts w:eastAsia="Calibri" w:cs="Times New Roman"/>
          <w:szCs w:val="24"/>
        </w:rPr>
      </w:pPr>
    </w:p>
    <w:p w:rsidR="00DA4E9F" w:rsidRPr="00BF6B72" w:rsidP="00DA4E9F" w14:paraId="34CB046B" w14:textId="77777777">
      <w:pPr>
        <w:autoSpaceDE w:val="0"/>
        <w:autoSpaceDN w:val="0"/>
        <w:adjustRightInd w:val="0"/>
        <w:spacing w:after="0" w:line="240" w:lineRule="auto"/>
        <w:rPr>
          <w:rFonts w:eastAsia="Calibri" w:cs="Times New Roman"/>
          <w:szCs w:val="24"/>
        </w:rPr>
      </w:pPr>
    </w:p>
    <w:p w:rsidR="00DA4E9F" w:rsidRPr="00BF6B72" w:rsidP="00DA4E9F" w14:paraId="6B753EBB" w14:textId="0A4E7582">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REPLY BRIEF</w:t>
      </w:r>
    </w:p>
    <w:p w:rsidR="00DA4E9F" w:rsidRPr="00BF6B72" w:rsidP="00DA4E9F" w14:paraId="0BF47F2D" w14:textId="77777777">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BY</w:t>
      </w:r>
    </w:p>
    <w:p w:rsidR="00DA4E9F" w:rsidRPr="00BF6B72" w:rsidP="00DA4E9F" w14:paraId="3DBFA2E9" w14:textId="18DFE550">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THE OFFICE OF THE OHIO CONSUMERS</w:t>
      </w:r>
      <w:r w:rsidR="00754C6D">
        <w:rPr>
          <w:rFonts w:eastAsia="Calibri" w:cs="Times New Roman"/>
          <w:b/>
          <w:bCs/>
          <w:szCs w:val="24"/>
        </w:rPr>
        <w:t>’</w:t>
      </w:r>
      <w:r w:rsidRPr="00BF6B72">
        <w:rPr>
          <w:rFonts w:eastAsia="Calibri" w:cs="Times New Roman"/>
          <w:b/>
          <w:bCs/>
          <w:szCs w:val="24"/>
        </w:rPr>
        <w:t xml:space="preserve"> COUNSEL</w:t>
      </w:r>
    </w:p>
    <w:p w:rsidR="00DA4E9F" w:rsidRPr="00BF6B72" w:rsidP="00DA4E9F" w14:paraId="7BD99C02" w14:textId="77777777">
      <w:pPr>
        <w:pBdr>
          <w:bottom w:val="single" w:sz="12" w:space="1" w:color="auto"/>
        </w:pBdr>
        <w:autoSpaceDE w:val="0"/>
        <w:autoSpaceDN w:val="0"/>
        <w:adjustRightInd w:val="0"/>
        <w:spacing w:after="0" w:line="240" w:lineRule="auto"/>
        <w:jc w:val="center"/>
        <w:rPr>
          <w:rFonts w:eastAsia="Calibri" w:cs="Times New Roman"/>
          <w:b/>
          <w:bCs/>
          <w:szCs w:val="24"/>
        </w:rPr>
      </w:pPr>
    </w:p>
    <w:p w:rsidR="00DA4E9F" w:rsidRPr="00BF6B72" w:rsidP="00DA4E9F" w14:paraId="6642F0FC" w14:textId="77777777">
      <w:pPr>
        <w:tabs>
          <w:tab w:val="left" w:pos="4320"/>
        </w:tabs>
        <w:overflowPunct w:val="0"/>
        <w:autoSpaceDE w:val="0"/>
        <w:autoSpaceDN w:val="0"/>
        <w:adjustRightInd w:val="0"/>
        <w:spacing w:after="0" w:line="240" w:lineRule="auto"/>
        <w:textAlignment w:val="baseline"/>
        <w:rPr>
          <w:rFonts w:eastAsia="Times New Roman" w:cs="Times New Roman"/>
          <w:szCs w:val="24"/>
        </w:rPr>
      </w:pPr>
    </w:p>
    <w:p w:rsidR="00DA4E9F" w:rsidRPr="00BF6B72" w:rsidP="00DA4E9F" w14:paraId="3123E1EB"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DA4E9F" w:rsidRPr="00BF6B72" w:rsidP="00DA4E9F" w14:paraId="489EBD34"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DA4E9F" w:rsidRPr="00BF6B72" w:rsidP="00DA4E9F" w14:paraId="0CCD3CA6"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DA4E9F" w:rsidRPr="00BF6B72" w:rsidP="00DA4E9F" w14:paraId="389C6E18"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DA4E9F" w:rsidRPr="00BF6B72" w:rsidP="00DA4E9F" w14:paraId="384E4047"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DA4E9F" w:rsidRPr="00BF6B72" w:rsidP="00DA4E9F" w14:paraId="6B5FE06E" w14:textId="77777777">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p>
    <w:p w:rsidR="00316FE9" w:rsidRPr="00C743FA" w:rsidP="007659EF" w14:paraId="224E6460" w14:textId="77777777">
      <w:pPr>
        <w:spacing w:after="0"/>
        <w:ind w:left="4320"/>
      </w:pPr>
      <w:r w:rsidRPr="00C743FA">
        <w:t>Bruce Weston (0016973)</w:t>
      </w:r>
    </w:p>
    <w:p w:rsidR="00316FE9" w:rsidRPr="00C743FA" w:rsidP="007659EF" w14:paraId="346D7105" w14:textId="4F11DA67">
      <w:pPr>
        <w:tabs>
          <w:tab w:val="left" w:pos="4320"/>
        </w:tabs>
        <w:spacing w:after="0"/>
        <w:ind w:left="4320"/>
      </w:pPr>
      <w:r w:rsidRPr="00C743FA">
        <w:t>Ohio Consumers</w:t>
      </w:r>
      <w:r w:rsidR="00754C6D">
        <w:t>’</w:t>
      </w:r>
      <w:r w:rsidRPr="00C743FA">
        <w:t xml:space="preserve"> Counsel</w:t>
      </w:r>
    </w:p>
    <w:p w:rsidR="00316FE9" w:rsidRPr="00C743FA" w:rsidP="00316FE9" w14:paraId="6595A4DB" w14:textId="77777777">
      <w:pPr>
        <w:tabs>
          <w:tab w:val="left" w:pos="4320"/>
        </w:tabs>
        <w:ind w:left="4320"/>
      </w:pPr>
    </w:p>
    <w:p w:rsidR="00316FE9" w:rsidRPr="00C743FA" w:rsidP="00316FE9" w14:paraId="5D1C8167" w14:textId="77777777">
      <w:pPr>
        <w:tabs>
          <w:tab w:val="left" w:pos="4320"/>
        </w:tabs>
        <w:spacing w:after="0" w:line="240" w:lineRule="auto"/>
        <w:ind w:left="4320"/>
      </w:pPr>
      <w:r w:rsidRPr="00C743FA">
        <w:t>William J. Michael (0070921)</w:t>
      </w:r>
    </w:p>
    <w:p w:rsidR="00316FE9" w:rsidRPr="00C743FA" w:rsidP="00316FE9" w14:paraId="299D3804" w14:textId="77777777">
      <w:pPr>
        <w:tabs>
          <w:tab w:val="left" w:pos="4320"/>
        </w:tabs>
        <w:spacing w:after="0" w:line="240" w:lineRule="auto"/>
        <w:ind w:left="4320"/>
      </w:pPr>
      <w:r w:rsidRPr="00C743FA">
        <w:t>Counsel of Record</w:t>
      </w:r>
    </w:p>
    <w:p w:rsidR="00316FE9" w:rsidRPr="00C743FA" w:rsidP="00316FE9" w14:paraId="0F7AC500" w14:textId="128AC93C">
      <w:pPr>
        <w:tabs>
          <w:tab w:val="left" w:pos="4320"/>
        </w:tabs>
        <w:spacing w:after="0" w:line="240" w:lineRule="auto"/>
        <w:ind w:left="4320"/>
      </w:pPr>
      <w:r w:rsidRPr="00C743FA">
        <w:t>Angel</w:t>
      </w:r>
      <w:r>
        <w:t>a</w:t>
      </w:r>
      <w:r w:rsidRPr="00C743FA">
        <w:t xml:space="preserve"> O</w:t>
      </w:r>
      <w:r w:rsidR="00754C6D">
        <w:t>’</w:t>
      </w:r>
      <w:r w:rsidRPr="00C743FA">
        <w:t>Brien (0097579)</w:t>
      </w:r>
    </w:p>
    <w:p w:rsidR="00316FE9" w:rsidRPr="00C743FA" w:rsidP="00316FE9" w14:paraId="73E458C7" w14:textId="77777777">
      <w:pPr>
        <w:tabs>
          <w:tab w:val="left" w:pos="4320"/>
        </w:tabs>
        <w:spacing w:after="0" w:line="240" w:lineRule="auto"/>
        <w:ind w:left="4320"/>
      </w:pPr>
      <w:r w:rsidRPr="00C743FA">
        <w:t>Ambrosia Logsdon (0096598)</w:t>
      </w:r>
    </w:p>
    <w:p w:rsidR="00316FE9" w:rsidRPr="00C743FA" w:rsidP="00316FE9" w14:paraId="1A2ECAF3" w14:textId="27DD5E9E">
      <w:pPr>
        <w:tabs>
          <w:tab w:val="left" w:pos="4320"/>
        </w:tabs>
        <w:spacing w:after="0" w:line="240" w:lineRule="auto"/>
        <w:ind w:left="4320"/>
      </w:pPr>
      <w:r w:rsidRPr="00C743FA">
        <w:t>Assistant Consumers</w:t>
      </w:r>
      <w:r w:rsidR="00754C6D">
        <w:t>’</w:t>
      </w:r>
      <w:r w:rsidRPr="00C743FA">
        <w:t xml:space="preserve"> Counsel </w:t>
      </w:r>
      <w:r w:rsidRPr="00C743FA">
        <w:br/>
      </w:r>
    </w:p>
    <w:p w:rsidR="00316FE9" w:rsidRPr="00C743FA" w:rsidP="00316FE9" w14:paraId="102C7B1C" w14:textId="4060516B">
      <w:pPr>
        <w:tabs>
          <w:tab w:val="left" w:pos="4320"/>
        </w:tabs>
        <w:spacing w:after="0" w:line="240" w:lineRule="auto"/>
        <w:ind w:left="4320"/>
        <w:rPr>
          <w:b/>
        </w:rPr>
      </w:pPr>
      <w:r w:rsidRPr="00C743FA">
        <w:rPr>
          <w:b/>
        </w:rPr>
        <w:t>Office of the Ohio Consumers</w:t>
      </w:r>
      <w:r w:rsidR="00754C6D">
        <w:rPr>
          <w:b/>
        </w:rPr>
        <w:t>’</w:t>
      </w:r>
      <w:r w:rsidRPr="00C743FA">
        <w:rPr>
          <w:b/>
        </w:rPr>
        <w:t xml:space="preserve"> Counsel</w:t>
      </w:r>
    </w:p>
    <w:p w:rsidR="00316FE9" w:rsidRPr="00C743FA" w:rsidP="00316FE9" w14:paraId="157BA8CE" w14:textId="77777777">
      <w:pPr>
        <w:tabs>
          <w:tab w:val="left" w:pos="4320"/>
        </w:tabs>
        <w:spacing w:after="0" w:line="240" w:lineRule="auto"/>
        <w:ind w:left="4320"/>
      </w:pPr>
      <w:r w:rsidRPr="00C743FA">
        <w:t>65 East State Street, 7</w:t>
      </w:r>
      <w:r w:rsidRPr="00554787">
        <w:t>th</w:t>
      </w:r>
      <w:r w:rsidRPr="00C743FA">
        <w:t xml:space="preserve"> Floor</w:t>
      </w:r>
    </w:p>
    <w:p w:rsidR="00316FE9" w:rsidRPr="00C743FA" w:rsidP="00316FE9" w14:paraId="4407B330" w14:textId="77777777">
      <w:pPr>
        <w:tabs>
          <w:tab w:val="left" w:pos="4320"/>
        </w:tabs>
        <w:spacing w:after="0" w:line="240" w:lineRule="auto"/>
        <w:ind w:left="4320"/>
      </w:pPr>
      <w:r w:rsidRPr="00C743FA">
        <w:t>Columbus, Ohio 43215-4213</w:t>
      </w:r>
    </w:p>
    <w:p w:rsidR="00316FE9" w:rsidRPr="00C743FA" w:rsidP="00316FE9" w14:paraId="767215CC" w14:textId="77777777">
      <w:pPr>
        <w:tabs>
          <w:tab w:val="left" w:pos="4320"/>
        </w:tabs>
        <w:spacing w:after="0" w:line="240" w:lineRule="auto"/>
        <w:ind w:left="4320"/>
      </w:pPr>
      <w:r w:rsidRPr="00C743FA">
        <w:t>Telephone: (614) 466-1291 (Michael)</w:t>
      </w:r>
    </w:p>
    <w:p w:rsidR="00316FE9" w:rsidRPr="00C743FA" w:rsidP="00316FE9" w14:paraId="11BB1964" w14:textId="556DC17A">
      <w:pPr>
        <w:tabs>
          <w:tab w:val="left" w:pos="4320"/>
        </w:tabs>
        <w:spacing w:after="0" w:line="240" w:lineRule="auto"/>
        <w:ind w:left="4320"/>
      </w:pPr>
      <w:r w:rsidRPr="00C743FA">
        <w:t>Telephone: (614) 466-</w:t>
      </w:r>
      <w:r>
        <w:t>9531</w:t>
      </w:r>
      <w:r w:rsidRPr="00C743FA">
        <w:t xml:space="preserve"> (O</w:t>
      </w:r>
      <w:r w:rsidR="00754C6D">
        <w:t>’</w:t>
      </w:r>
      <w:r w:rsidRPr="00C743FA">
        <w:t xml:space="preserve">Brien) </w:t>
      </w:r>
    </w:p>
    <w:p w:rsidR="00316FE9" w:rsidRPr="00C743FA" w:rsidP="00316FE9" w14:paraId="51C9C28E" w14:textId="77777777">
      <w:pPr>
        <w:tabs>
          <w:tab w:val="left" w:pos="4320"/>
        </w:tabs>
        <w:spacing w:after="0" w:line="240" w:lineRule="auto"/>
        <w:ind w:left="4320"/>
      </w:pPr>
      <w:r w:rsidRPr="00C743FA">
        <w:t xml:space="preserve">Telephone: (614) 466-1292 (Logsdon) </w:t>
      </w:r>
    </w:p>
    <w:p w:rsidR="00316FE9" w:rsidRPr="00316FE9" w:rsidP="00316FE9" w14:paraId="4439A863" w14:textId="77777777">
      <w:pPr>
        <w:spacing w:after="0" w:line="240" w:lineRule="auto"/>
        <w:ind w:left="4320"/>
        <w:rPr>
          <w:color w:val="0000FF"/>
        </w:rPr>
      </w:pPr>
      <w:hyperlink r:id="rId6" w:history="1">
        <w:r w:rsidRPr="00316FE9" w:rsidR="00A174DA">
          <w:rPr>
            <w:rStyle w:val="Hyperlink"/>
            <w:color w:val="0000FF"/>
          </w:rPr>
          <w:t>william.michael@occ.ohio.gov</w:t>
        </w:r>
      </w:hyperlink>
    </w:p>
    <w:p w:rsidR="00316FE9" w:rsidRPr="00316FE9" w:rsidP="00316FE9" w14:paraId="72FDBFE5" w14:textId="77777777">
      <w:pPr>
        <w:spacing w:after="0" w:line="240" w:lineRule="auto"/>
        <w:ind w:left="4320"/>
        <w:rPr>
          <w:color w:val="0000FF"/>
        </w:rPr>
      </w:pPr>
      <w:hyperlink r:id="rId7" w:history="1">
        <w:r w:rsidRPr="00316FE9" w:rsidR="00A174DA">
          <w:rPr>
            <w:rStyle w:val="Hyperlink"/>
            <w:color w:val="0000FF"/>
          </w:rPr>
          <w:t>angela.obrien@occ.ohio.gov</w:t>
        </w:r>
      </w:hyperlink>
    </w:p>
    <w:p w:rsidR="00316FE9" w:rsidRPr="00316FE9" w:rsidP="00316FE9" w14:paraId="0BB79D8B" w14:textId="77777777">
      <w:pPr>
        <w:spacing w:after="0" w:line="240" w:lineRule="auto"/>
        <w:ind w:left="4320"/>
        <w:rPr>
          <w:color w:val="0000FF"/>
        </w:rPr>
      </w:pPr>
      <w:hyperlink r:id="rId8" w:history="1">
        <w:r w:rsidRPr="00316FE9" w:rsidR="00A174DA">
          <w:rPr>
            <w:rStyle w:val="Hyperlink"/>
            <w:color w:val="0000FF"/>
          </w:rPr>
          <w:t>ambrosia.logsdon@occ.ohio.gov</w:t>
        </w:r>
      </w:hyperlink>
    </w:p>
    <w:p w:rsidR="00DA4E9F" w:rsidRPr="00BF6B72" w:rsidP="00DA4E9F" w14:paraId="03A7F84B" w14:textId="5F121A0E">
      <w:pPr>
        <w:spacing w:after="0" w:line="240" w:lineRule="auto"/>
        <w:rPr>
          <w:rFonts w:eastAsia="Times New Roman" w:cs="Times New Roman"/>
          <w:szCs w:val="24"/>
        </w:rPr>
        <w:sectPr w:rsidSect="00DA4E9F">
          <w:footerReference w:type="default" r:id="rId9"/>
          <w:pgSz w:w="12240" w:h="15840"/>
          <w:pgMar w:top="1440" w:right="1800" w:bottom="1440" w:left="1800" w:header="720" w:footer="720" w:gutter="0"/>
          <w:pgNumType w:fmt="lowerRoman" w:start="1"/>
          <w:cols w:space="720"/>
          <w:docGrid w:linePitch="360"/>
        </w:sectPr>
      </w:pPr>
      <w:r>
        <w:rPr>
          <w:rFonts w:eastAsia="Times New Roman" w:cs="Times New Roman"/>
          <w:szCs w:val="24"/>
        </w:rPr>
        <w:t>September 2</w:t>
      </w:r>
      <w:r w:rsidR="00244FA1">
        <w:rPr>
          <w:rFonts w:eastAsia="Times New Roman" w:cs="Times New Roman"/>
          <w:szCs w:val="24"/>
        </w:rPr>
        <w:t>5</w:t>
      </w:r>
      <w:r w:rsidRPr="00BF6B72" w:rsidR="00A0158A">
        <w:rPr>
          <w:rFonts w:eastAsia="Times New Roman" w:cs="Times New Roman"/>
          <w:szCs w:val="24"/>
        </w:rPr>
        <w:t>, 2019</w:t>
      </w:r>
      <w:r w:rsidRPr="00BF6B72" w:rsidR="00A0158A">
        <w:rPr>
          <w:rFonts w:eastAsia="Times New Roman" w:cs="Times New Roman"/>
          <w:color w:val="0000FF" w:themeColor="hyperlink"/>
          <w:szCs w:val="24"/>
        </w:rPr>
        <w:tab/>
      </w:r>
      <w:r w:rsidRPr="00BF6B72" w:rsidR="00A0158A">
        <w:rPr>
          <w:rFonts w:eastAsia="Times New Roman" w:cs="Times New Roman"/>
          <w:color w:val="0000FF" w:themeColor="hyperlink"/>
          <w:szCs w:val="24"/>
        </w:rPr>
        <w:tab/>
      </w:r>
      <w:r w:rsidRPr="00BF6B72" w:rsidR="00A0158A">
        <w:rPr>
          <w:rFonts w:eastAsia="Times New Roman" w:cs="Times New Roman"/>
          <w:color w:val="0000FF" w:themeColor="hyperlink"/>
          <w:szCs w:val="24"/>
        </w:rPr>
        <w:tab/>
      </w:r>
      <w:r w:rsidRPr="00BF6B72" w:rsidR="00A0158A">
        <w:rPr>
          <w:rFonts w:eastAsia="Times New Roman" w:cs="Times New Roman"/>
          <w:color w:val="0000FF" w:themeColor="hyperlink"/>
          <w:szCs w:val="24"/>
        </w:rPr>
        <w:tab/>
      </w:r>
      <w:r w:rsidRPr="00BF6B72" w:rsidR="00A0158A">
        <w:rPr>
          <w:rFonts w:eastAsia="Times New Roman" w:cs="Times New Roman"/>
          <w:szCs w:val="24"/>
        </w:rPr>
        <w:t>(</w:t>
      </w:r>
      <w:r w:rsidR="004358F3">
        <w:rPr>
          <w:rFonts w:eastAsia="Times New Roman" w:cs="Times New Roman"/>
          <w:szCs w:val="24"/>
        </w:rPr>
        <w:t>w</w:t>
      </w:r>
      <w:r w:rsidRPr="00BF6B72" w:rsidR="00A0158A">
        <w:rPr>
          <w:rFonts w:eastAsia="Times New Roman" w:cs="Times New Roman"/>
          <w:szCs w:val="24"/>
        </w:rPr>
        <w:t>ill</w:t>
      </w:r>
      <w:r w:rsidR="004358F3">
        <w:rPr>
          <w:rFonts w:eastAsia="Times New Roman" w:cs="Times New Roman"/>
          <w:szCs w:val="24"/>
        </w:rPr>
        <w:t>ing to</w:t>
      </w:r>
      <w:r w:rsidRPr="00BF6B72" w:rsidR="00A0158A">
        <w:rPr>
          <w:rFonts w:eastAsia="Times New Roman" w:cs="Times New Roman"/>
          <w:szCs w:val="24"/>
        </w:rPr>
        <w:t xml:space="preserve"> accept service </w:t>
      </w:r>
      <w:r w:rsidR="004358F3">
        <w:rPr>
          <w:rFonts w:eastAsia="Times New Roman" w:cs="Times New Roman"/>
          <w:szCs w:val="24"/>
        </w:rPr>
        <w:t>by</w:t>
      </w:r>
      <w:r w:rsidRPr="00BF6B72" w:rsidR="00A0158A">
        <w:rPr>
          <w:rFonts w:eastAsia="Times New Roman" w:cs="Times New Roman"/>
          <w:szCs w:val="24"/>
        </w:rPr>
        <w:t xml:space="preserve"> e</w:t>
      </w:r>
      <w:r w:rsidR="004358F3">
        <w:rPr>
          <w:rFonts w:eastAsia="Times New Roman" w:cs="Times New Roman"/>
          <w:szCs w:val="24"/>
        </w:rPr>
        <w:t>-</w:t>
      </w:r>
      <w:r w:rsidRPr="00BF6B72" w:rsidR="00A0158A">
        <w:rPr>
          <w:rFonts w:eastAsia="Times New Roman" w:cs="Times New Roman"/>
          <w:szCs w:val="24"/>
        </w:rPr>
        <w:t>mail)</w:t>
      </w:r>
    </w:p>
    <w:p w:rsidR="00DA4E9F" w:rsidRPr="00BF6B72" w:rsidP="00DA4E9F" w14:paraId="5DED03ED" w14:textId="77777777">
      <w:pPr>
        <w:spacing w:after="0" w:line="240" w:lineRule="auto"/>
        <w:jc w:val="center"/>
        <w:rPr>
          <w:rFonts w:eastAsia="Times New Roman" w:cs="Times New Roman"/>
          <w:b/>
          <w:szCs w:val="24"/>
          <w:u w:val="single"/>
        </w:rPr>
      </w:pPr>
      <w:r w:rsidRPr="00BF6B72">
        <w:rPr>
          <w:rFonts w:eastAsia="Times New Roman" w:cs="Times New Roman"/>
          <w:b/>
          <w:szCs w:val="24"/>
          <w:u w:val="single"/>
        </w:rPr>
        <w:t>TABLE OF CONTENTS</w:t>
      </w:r>
    </w:p>
    <w:p w:rsidR="00DA4E9F" w:rsidRPr="00BF6B72" w:rsidP="00DA4E9F" w14:paraId="68BC7B27" w14:textId="77777777">
      <w:pPr>
        <w:spacing w:after="0" w:line="240" w:lineRule="auto"/>
        <w:jc w:val="center"/>
        <w:rPr>
          <w:rFonts w:eastAsia="Times New Roman" w:cs="Times New Roman"/>
          <w:szCs w:val="24"/>
        </w:rPr>
      </w:pPr>
    </w:p>
    <w:p w:rsidR="00DA4E9F" w:rsidRPr="00BF6B72" w:rsidP="00DA4E9F" w14:paraId="21CD8221" w14:textId="77777777">
      <w:pPr>
        <w:spacing w:after="0" w:line="240" w:lineRule="auto"/>
        <w:jc w:val="center"/>
        <w:rPr>
          <w:rFonts w:eastAsia="Times New Roman" w:cs="Times New Roman"/>
          <w:b/>
          <w:szCs w:val="24"/>
        </w:rPr>
      </w:pP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b/>
          <w:szCs w:val="24"/>
        </w:rPr>
        <w:t>PAGE</w:t>
      </w:r>
    </w:p>
    <w:p w:rsidR="00DA4E9F" w:rsidRPr="00BF6B72" w14:paraId="07EBAABB" w14:textId="6CD6D1DD">
      <w:pPr>
        <w:rPr>
          <w:rFonts w:cs="Times New Roman"/>
          <w:szCs w:val="24"/>
        </w:rPr>
      </w:pPr>
    </w:p>
    <w:p w:rsidR="00206057" w14:paraId="29AA0D9F" w14:textId="0C93819F">
      <w:pPr>
        <w:pStyle w:val="TOC1"/>
        <w:rPr>
          <w:rFonts w:asciiTheme="minorHAnsi" w:eastAsiaTheme="minorEastAsia" w:hAnsiTheme="minorHAnsi"/>
          <w:caps w:val="0"/>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20221488" w:history="1">
        <w:r w:rsidRPr="000713F8">
          <w:rPr>
            <w:rStyle w:val="Hyperlink"/>
            <w:noProof/>
          </w:rPr>
          <w:t>I.</w:t>
        </w:r>
        <w:r>
          <w:rPr>
            <w:rFonts w:asciiTheme="minorHAnsi" w:eastAsiaTheme="minorEastAsia" w:hAnsiTheme="minorHAnsi"/>
            <w:caps w:val="0"/>
            <w:noProof/>
            <w:sz w:val="22"/>
          </w:rPr>
          <w:tab/>
        </w:r>
        <w:r w:rsidRPr="000713F8">
          <w:rPr>
            <w:rStyle w:val="Hyperlink"/>
            <w:noProof/>
          </w:rPr>
          <w:t>INTRODUCTION</w:t>
        </w:r>
        <w:r>
          <w:rPr>
            <w:noProof/>
            <w:webHidden/>
          </w:rPr>
          <w:tab/>
        </w:r>
        <w:r>
          <w:rPr>
            <w:noProof/>
            <w:webHidden/>
          </w:rPr>
          <w:fldChar w:fldCharType="begin"/>
        </w:r>
        <w:r>
          <w:rPr>
            <w:noProof/>
            <w:webHidden/>
          </w:rPr>
          <w:instrText xml:space="preserve"> PAGEREF _Toc20221488 \h </w:instrText>
        </w:r>
        <w:r>
          <w:rPr>
            <w:noProof/>
            <w:webHidden/>
          </w:rPr>
          <w:fldChar w:fldCharType="separate"/>
        </w:r>
        <w:r>
          <w:rPr>
            <w:noProof/>
            <w:webHidden/>
          </w:rPr>
          <w:t>1</w:t>
        </w:r>
        <w:r>
          <w:rPr>
            <w:noProof/>
            <w:webHidden/>
          </w:rPr>
          <w:fldChar w:fldCharType="end"/>
        </w:r>
      </w:hyperlink>
    </w:p>
    <w:p w:rsidR="00206057" w14:paraId="5B3F9646" w14:textId="686684F3">
      <w:pPr>
        <w:pStyle w:val="TOC1"/>
        <w:rPr>
          <w:rFonts w:asciiTheme="minorHAnsi" w:eastAsiaTheme="minorEastAsia" w:hAnsiTheme="minorHAnsi"/>
          <w:caps w:val="0"/>
          <w:noProof/>
          <w:sz w:val="22"/>
        </w:rPr>
      </w:pPr>
      <w:hyperlink w:anchor="_Toc20221490" w:history="1">
        <w:r w:rsidRPr="000713F8" w:rsidR="00A174DA">
          <w:rPr>
            <w:rStyle w:val="Hyperlink"/>
            <w:noProof/>
          </w:rPr>
          <w:t>II.</w:t>
        </w:r>
        <w:r w:rsidR="00A174DA">
          <w:rPr>
            <w:rFonts w:asciiTheme="minorHAnsi" w:eastAsiaTheme="minorEastAsia" w:hAnsiTheme="minorHAnsi"/>
            <w:caps w:val="0"/>
            <w:noProof/>
            <w:sz w:val="22"/>
          </w:rPr>
          <w:tab/>
        </w:r>
        <w:r w:rsidRPr="000713F8" w:rsidR="00A174DA">
          <w:rPr>
            <w:rStyle w:val="Hyperlink"/>
            <w:noProof/>
          </w:rPr>
          <w:t>RECOMMENDATIONS</w:t>
        </w:r>
        <w:r w:rsidR="00A174DA">
          <w:rPr>
            <w:noProof/>
            <w:webHidden/>
          </w:rPr>
          <w:tab/>
        </w:r>
        <w:r w:rsidR="00A174DA">
          <w:rPr>
            <w:noProof/>
            <w:webHidden/>
          </w:rPr>
          <w:fldChar w:fldCharType="begin"/>
        </w:r>
        <w:r w:rsidR="00A174DA">
          <w:rPr>
            <w:noProof/>
            <w:webHidden/>
          </w:rPr>
          <w:instrText xml:space="preserve"> PAGEREF _Toc20221490 \h </w:instrText>
        </w:r>
        <w:r w:rsidR="00A174DA">
          <w:rPr>
            <w:noProof/>
            <w:webHidden/>
          </w:rPr>
          <w:fldChar w:fldCharType="separate"/>
        </w:r>
        <w:r w:rsidR="00A174DA">
          <w:rPr>
            <w:noProof/>
            <w:webHidden/>
          </w:rPr>
          <w:t>2</w:t>
        </w:r>
        <w:r w:rsidR="00A174DA">
          <w:rPr>
            <w:noProof/>
            <w:webHidden/>
          </w:rPr>
          <w:fldChar w:fldCharType="end"/>
        </w:r>
      </w:hyperlink>
    </w:p>
    <w:p w:rsidR="00206057" w14:paraId="3174F33E" w14:textId="26D4BD8A">
      <w:pPr>
        <w:pStyle w:val="TOC2"/>
        <w:tabs>
          <w:tab w:val="left" w:pos="1440"/>
        </w:tabs>
        <w:rPr>
          <w:rFonts w:asciiTheme="minorHAnsi" w:eastAsiaTheme="minorEastAsia" w:hAnsiTheme="minorHAnsi"/>
          <w:noProof/>
          <w:sz w:val="22"/>
        </w:rPr>
      </w:pPr>
      <w:hyperlink w:anchor="_Toc20221491" w:history="1">
        <w:r w:rsidRPr="000713F8" w:rsidR="00A174DA">
          <w:rPr>
            <w:rStyle w:val="Hyperlink"/>
            <w:noProof/>
          </w:rPr>
          <w:t>A.</w:t>
        </w:r>
        <w:r w:rsidR="00A174DA">
          <w:rPr>
            <w:rFonts w:asciiTheme="minorHAnsi" w:eastAsiaTheme="minorEastAsia" w:hAnsiTheme="minorHAnsi"/>
            <w:noProof/>
            <w:sz w:val="22"/>
          </w:rPr>
          <w:tab/>
        </w:r>
        <w:r w:rsidRPr="000713F8" w:rsidR="00A174DA">
          <w:rPr>
            <w:rStyle w:val="Hyperlink"/>
            <w:noProof/>
          </w:rPr>
          <w:t>To benefit consumers, Duke should pass back savings from the federal tax cuts through the tax savings rider.</w:t>
        </w:r>
        <w:r w:rsidR="00A174DA">
          <w:rPr>
            <w:noProof/>
            <w:webHidden/>
          </w:rPr>
          <w:tab/>
        </w:r>
        <w:r w:rsidR="00A174DA">
          <w:rPr>
            <w:noProof/>
            <w:webHidden/>
          </w:rPr>
          <w:fldChar w:fldCharType="begin"/>
        </w:r>
        <w:r w:rsidR="00A174DA">
          <w:rPr>
            <w:noProof/>
            <w:webHidden/>
          </w:rPr>
          <w:instrText xml:space="preserve"> PAGEREF _Toc20221491 \h </w:instrText>
        </w:r>
        <w:r w:rsidR="00A174DA">
          <w:rPr>
            <w:noProof/>
            <w:webHidden/>
          </w:rPr>
          <w:fldChar w:fldCharType="separate"/>
        </w:r>
        <w:r w:rsidR="00A174DA">
          <w:rPr>
            <w:noProof/>
            <w:webHidden/>
          </w:rPr>
          <w:t>2</w:t>
        </w:r>
        <w:r w:rsidR="00A174DA">
          <w:rPr>
            <w:noProof/>
            <w:webHidden/>
          </w:rPr>
          <w:fldChar w:fldCharType="end"/>
        </w:r>
      </w:hyperlink>
    </w:p>
    <w:p w:rsidR="00206057" w14:paraId="6EA45601" w14:textId="1A832EFE">
      <w:pPr>
        <w:pStyle w:val="TOC3"/>
        <w:tabs>
          <w:tab w:val="left" w:pos="2160"/>
        </w:tabs>
        <w:rPr>
          <w:rFonts w:asciiTheme="minorHAnsi" w:eastAsiaTheme="minorEastAsia" w:hAnsiTheme="minorHAnsi"/>
          <w:noProof/>
          <w:sz w:val="22"/>
        </w:rPr>
      </w:pPr>
      <w:hyperlink w:anchor="_Toc20221492" w:history="1">
        <w:r w:rsidRPr="000713F8" w:rsidR="00A174DA">
          <w:rPr>
            <w:rStyle w:val="Hyperlink"/>
            <w:noProof/>
          </w:rPr>
          <w:t>1.</w:t>
        </w:r>
        <w:r w:rsidR="00A174DA">
          <w:rPr>
            <w:rFonts w:asciiTheme="minorHAnsi" w:eastAsiaTheme="minorEastAsia" w:hAnsiTheme="minorHAnsi"/>
            <w:noProof/>
            <w:sz w:val="22"/>
          </w:rPr>
          <w:tab/>
        </w:r>
        <w:r w:rsidRPr="000713F8" w:rsidR="00A174DA">
          <w:rPr>
            <w:rStyle w:val="Hyperlink"/>
            <w:noProof/>
          </w:rPr>
          <w:t>Duke’s proposed base rate adjustment is inconsistent with the PUCO’s decisions in other federal tax cuts cases.</w:t>
        </w:r>
        <w:r w:rsidR="00A174DA">
          <w:rPr>
            <w:noProof/>
            <w:webHidden/>
          </w:rPr>
          <w:tab/>
        </w:r>
        <w:r w:rsidR="00A174DA">
          <w:rPr>
            <w:noProof/>
            <w:webHidden/>
          </w:rPr>
          <w:fldChar w:fldCharType="begin"/>
        </w:r>
        <w:r w:rsidR="00A174DA">
          <w:rPr>
            <w:noProof/>
            <w:webHidden/>
          </w:rPr>
          <w:instrText xml:space="preserve"> PAGEREF _Toc20221492 \h </w:instrText>
        </w:r>
        <w:r w:rsidR="00A174DA">
          <w:rPr>
            <w:noProof/>
            <w:webHidden/>
          </w:rPr>
          <w:fldChar w:fldCharType="separate"/>
        </w:r>
        <w:r w:rsidR="00A174DA">
          <w:rPr>
            <w:noProof/>
            <w:webHidden/>
          </w:rPr>
          <w:t>3</w:t>
        </w:r>
        <w:r w:rsidR="00A174DA">
          <w:rPr>
            <w:noProof/>
            <w:webHidden/>
          </w:rPr>
          <w:fldChar w:fldCharType="end"/>
        </w:r>
      </w:hyperlink>
    </w:p>
    <w:p w:rsidR="00206057" w14:paraId="31846551" w14:textId="2DD12023">
      <w:pPr>
        <w:pStyle w:val="TOC3"/>
        <w:tabs>
          <w:tab w:val="left" w:pos="2160"/>
        </w:tabs>
        <w:rPr>
          <w:rFonts w:asciiTheme="minorHAnsi" w:eastAsiaTheme="minorEastAsia" w:hAnsiTheme="minorHAnsi"/>
          <w:noProof/>
          <w:sz w:val="22"/>
        </w:rPr>
      </w:pPr>
      <w:hyperlink w:anchor="_Toc20221493" w:history="1">
        <w:r w:rsidRPr="000713F8" w:rsidR="00A174DA">
          <w:rPr>
            <w:rStyle w:val="Hyperlink"/>
            <w:noProof/>
          </w:rPr>
          <w:t>2.</w:t>
        </w:r>
        <w:r w:rsidR="00A174DA">
          <w:rPr>
            <w:rFonts w:asciiTheme="minorHAnsi" w:eastAsiaTheme="minorEastAsia" w:hAnsiTheme="minorHAnsi"/>
            <w:noProof/>
            <w:sz w:val="22"/>
          </w:rPr>
          <w:tab/>
        </w:r>
        <w:r w:rsidRPr="000713F8" w:rsidR="00A174DA">
          <w:rPr>
            <w:rStyle w:val="Hyperlink"/>
            <w:noProof/>
          </w:rPr>
          <w:t>To protect consumers, the PUCO should follow its own precedent and pass back to consumers the federal tax cuts in the most transparent way possible.</w:t>
        </w:r>
        <w:r w:rsidR="00A174DA">
          <w:rPr>
            <w:noProof/>
            <w:webHidden/>
          </w:rPr>
          <w:tab/>
        </w:r>
        <w:r w:rsidR="00A174DA">
          <w:rPr>
            <w:noProof/>
            <w:webHidden/>
          </w:rPr>
          <w:fldChar w:fldCharType="begin"/>
        </w:r>
        <w:r w:rsidR="00A174DA">
          <w:rPr>
            <w:noProof/>
            <w:webHidden/>
          </w:rPr>
          <w:instrText xml:space="preserve"> PAGEREF _Toc20221493 \h </w:instrText>
        </w:r>
        <w:r w:rsidR="00A174DA">
          <w:rPr>
            <w:noProof/>
            <w:webHidden/>
          </w:rPr>
          <w:fldChar w:fldCharType="separate"/>
        </w:r>
        <w:r w:rsidR="00A174DA">
          <w:rPr>
            <w:noProof/>
            <w:webHidden/>
          </w:rPr>
          <w:t>4</w:t>
        </w:r>
        <w:r w:rsidR="00A174DA">
          <w:rPr>
            <w:noProof/>
            <w:webHidden/>
          </w:rPr>
          <w:fldChar w:fldCharType="end"/>
        </w:r>
      </w:hyperlink>
    </w:p>
    <w:p w:rsidR="00206057" w14:paraId="3F2F9F21" w14:textId="45311864">
      <w:pPr>
        <w:pStyle w:val="TOC2"/>
        <w:tabs>
          <w:tab w:val="left" w:pos="1440"/>
        </w:tabs>
        <w:rPr>
          <w:rFonts w:asciiTheme="minorHAnsi" w:eastAsiaTheme="minorEastAsia" w:hAnsiTheme="minorHAnsi"/>
          <w:noProof/>
          <w:sz w:val="22"/>
        </w:rPr>
      </w:pPr>
      <w:hyperlink w:anchor="_Toc20221494" w:history="1">
        <w:r w:rsidRPr="000713F8" w:rsidR="00A174DA">
          <w:rPr>
            <w:rStyle w:val="Hyperlink"/>
            <w:noProof/>
          </w:rPr>
          <w:t>B.</w:t>
        </w:r>
        <w:r w:rsidR="00A174DA">
          <w:rPr>
            <w:rFonts w:asciiTheme="minorHAnsi" w:eastAsiaTheme="minorEastAsia" w:hAnsiTheme="minorHAnsi"/>
            <w:noProof/>
            <w:sz w:val="22"/>
          </w:rPr>
          <w:tab/>
        </w:r>
        <w:r w:rsidRPr="000713F8" w:rsidR="00A174DA">
          <w:rPr>
            <w:rStyle w:val="Hyperlink"/>
            <w:noProof/>
          </w:rPr>
          <w:t>For consumers to receive all tax savings from the federal tax cuts, balances for excess deferred income taxes should be based on Duke’s balance on December 31, 2017 rather than the date certain in Duke’s last rate case.</w:t>
        </w:r>
        <w:r w:rsidR="00A174DA">
          <w:rPr>
            <w:noProof/>
            <w:webHidden/>
          </w:rPr>
          <w:tab/>
        </w:r>
        <w:r w:rsidR="00A174DA">
          <w:rPr>
            <w:noProof/>
            <w:webHidden/>
          </w:rPr>
          <w:fldChar w:fldCharType="begin"/>
        </w:r>
        <w:r w:rsidR="00A174DA">
          <w:rPr>
            <w:noProof/>
            <w:webHidden/>
          </w:rPr>
          <w:instrText xml:space="preserve"> PAGEREF _Toc20221494 \h </w:instrText>
        </w:r>
        <w:r w:rsidR="00A174DA">
          <w:rPr>
            <w:noProof/>
            <w:webHidden/>
          </w:rPr>
          <w:fldChar w:fldCharType="separate"/>
        </w:r>
        <w:r w:rsidR="00A174DA">
          <w:rPr>
            <w:noProof/>
            <w:webHidden/>
          </w:rPr>
          <w:t>7</w:t>
        </w:r>
        <w:r w:rsidR="00A174DA">
          <w:rPr>
            <w:noProof/>
            <w:webHidden/>
          </w:rPr>
          <w:fldChar w:fldCharType="end"/>
        </w:r>
      </w:hyperlink>
    </w:p>
    <w:p w:rsidR="00206057" w14:paraId="20F89280" w14:textId="5D819D18">
      <w:pPr>
        <w:pStyle w:val="TOC1"/>
        <w:rPr>
          <w:rFonts w:asciiTheme="minorHAnsi" w:eastAsiaTheme="minorEastAsia" w:hAnsiTheme="minorHAnsi"/>
          <w:caps w:val="0"/>
          <w:noProof/>
          <w:sz w:val="22"/>
        </w:rPr>
      </w:pPr>
      <w:hyperlink w:anchor="_Toc20221495" w:history="1">
        <w:r w:rsidRPr="000713F8" w:rsidR="00A174DA">
          <w:rPr>
            <w:rStyle w:val="Hyperlink"/>
            <w:noProof/>
          </w:rPr>
          <w:t>III.</w:t>
        </w:r>
        <w:r w:rsidR="00A174DA">
          <w:rPr>
            <w:rFonts w:asciiTheme="minorHAnsi" w:eastAsiaTheme="minorEastAsia" w:hAnsiTheme="minorHAnsi"/>
            <w:caps w:val="0"/>
            <w:noProof/>
            <w:sz w:val="22"/>
          </w:rPr>
          <w:tab/>
        </w:r>
        <w:r w:rsidRPr="000713F8" w:rsidR="00A174DA">
          <w:rPr>
            <w:rStyle w:val="Hyperlink"/>
            <w:noProof/>
          </w:rPr>
          <w:t>CONCLUSION</w:t>
        </w:r>
        <w:r w:rsidR="00A174DA">
          <w:rPr>
            <w:noProof/>
            <w:webHidden/>
          </w:rPr>
          <w:tab/>
        </w:r>
        <w:r w:rsidR="00A174DA">
          <w:rPr>
            <w:noProof/>
            <w:webHidden/>
          </w:rPr>
          <w:fldChar w:fldCharType="begin"/>
        </w:r>
        <w:r w:rsidR="00A174DA">
          <w:rPr>
            <w:noProof/>
            <w:webHidden/>
          </w:rPr>
          <w:instrText xml:space="preserve"> PAGEREF _Toc20221495 \h </w:instrText>
        </w:r>
        <w:r w:rsidR="00A174DA">
          <w:rPr>
            <w:noProof/>
            <w:webHidden/>
          </w:rPr>
          <w:fldChar w:fldCharType="separate"/>
        </w:r>
        <w:r w:rsidR="00A174DA">
          <w:rPr>
            <w:noProof/>
            <w:webHidden/>
          </w:rPr>
          <w:t>11</w:t>
        </w:r>
        <w:r w:rsidR="00A174DA">
          <w:rPr>
            <w:noProof/>
            <w:webHidden/>
          </w:rPr>
          <w:fldChar w:fldCharType="end"/>
        </w:r>
      </w:hyperlink>
    </w:p>
    <w:p w:rsidR="00DA4E9F" w:rsidRPr="00BF6B72" w14:paraId="77016CDF" w14:textId="35E191FB">
      <w:pPr>
        <w:rPr>
          <w:rFonts w:cs="Times New Roman"/>
          <w:szCs w:val="24"/>
        </w:rPr>
        <w:sectPr w:rsidSect="00DA4E9F">
          <w:footerReference w:type="default" r:id="rId10"/>
          <w:pgSz w:w="12240" w:h="15840"/>
          <w:pgMar w:top="1440" w:right="1800" w:bottom="1440" w:left="1800" w:header="720" w:footer="720" w:gutter="0"/>
          <w:pgNumType w:fmt="lowerRoman" w:start="1"/>
          <w:cols w:space="720"/>
          <w:docGrid w:linePitch="360"/>
        </w:sectPr>
      </w:pPr>
      <w:r>
        <w:rPr>
          <w:rFonts w:cs="Times New Roman"/>
          <w:szCs w:val="24"/>
        </w:rPr>
        <w:fldChar w:fldCharType="end"/>
      </w:r>
    </w:p>
    <w:p w:rsidR="00DA4E9F" w:rsidRPr="00BF6B72" w:rsidP="00DA4E9F" w14:paraId="0CBA95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b/>
          <w:bCs/>
          <w:szCs w:val="24"/>
        </w:rPr>
      </w:pPr>
      <w:r w:rsidRPr="00BF6B72">
        <w:rPr>
          <w:rFonts w:eastAsia="Calibri" w:cs="Times New Roman"/>
          <w:b/>
          <w:bCs/>
          <w:szCs w:val="24"/>
        </w:rPr>
        <w:t>BEFORE</w:t>
      </w:r>
    </w:p>
    <w:p w:rsidR="00DA4E9F" w:rsidRPr="00BF6B72" w:rsidP="00DA4E9F" w14:paraId="6D15B8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szCs w:val="24"/>
        </w:rPr>
      </w:pPr>
      <w:r w:rsidRPr="00BF6B72">
        <w:rPr>
          <w:rFonts w:eastAsia="Calibri" w:cs="Times New Roman"/>
          <w:b/>
          <w:bCs/>
          <w:szCs w:val="24"/>
        </w:rPr>
        <w:t>THE PUBLIC UTILITIES COMMISSION OF OHIO</w:t>
      </w:r>
    </w:p>
    <w:p w:rsidR="00DA4E9F" w:rsidRPr="00BF6B72" w:rsidP="00DA4E9F" w14:paraId="7554E5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tbl>
      <w:tblPr>
        <w:tblW w:w="9244" w:type="dxa"/>
        <w:tblInd w:w="-106" w:type="dxa"/>
        <w:tblLook w:val="01E0"/>
      </w:tblPr>
      <w:tblGrid>
        <w:gridCol w:w="4404"/>
        <w:gridCol w:w="366"/>
        <w:gridCol w:w="4474"/>
      </w:tblGrid>
      <w:tr w14:paraId="7361E3ED" w14:textId="77777777" w:rsidTr="00DA4E9F">
        <w:tblPrEx>
          <w:tblW w:w="9244" w:type="dxa"/>
          <w:tblInd w:w="-106" w:type="dxa"/>
          <w:tblLook w:val="01E0"/>
        </w:tblPrEx>
        <w:trPr>
          <w:trHeight w:val="482"/>
        </w:trPr>
        <w:tc>
          <w:tcPr>
            <w:tcW w:w="4404" w:type="dxa"/>
          </w:tcPr>
          <w:p w:rsidR="00AF39F0" w:rsidP="00AF39F0" w14:paraId="57F435CB" w14:textId="77777777">
            <w:pPr>
              <w:pStyle w:val="NormalWeb"/>
            </w:pPr>
            <w:r w:rsidRPr="00BF6B72">
              <w:rPr>
                <w:rFonts w:eastAsia="Calibri"/>
              </w:rPr>
              <w:t xml:space="preserve">In the Matter of the Application of </w:t>
            </w:r>
            <w:r>
              <w:rPr>
                <w:rFonts w:ascii="TimesNewRomanPSMT" w:hAnsi="TimesNewRomanPSMT"/>
              </w:rPr>
              <w:t>Duke Energy Ohio, Inc. for Implementation of</w:t>
            </w:r>
            <w:r>
              <w:rPr>
                <w:rFonts w:ascii="TimesNewRomanPSMT" w:hAnsi="TimesNewRomanPSMT"/>
              </w:rPr>
              <w:br/>
              <w:t xml:space="preserve">the Tax Cuts and Jobs Act of 2017. </w:t>
            </w:r>
          </w:p>
          <w:p w:rsidR="00AF39F0" w:rsidP="00AF39F0" w14:paraId="4EC09665" w14:textId="77777777">
            <w:pPr>
              <w:autoSpaceDE w:val="0"/>
              <w:autoSpaceDN w:val="0"/>
              <w:adjustRightInd w:val="0"/>
              <w:spacing w:after="0" w:line="240" w:lineRule="auto"/>
              <w:rPr>
                <w:rFonts w:eastAsia="Calibri" w:cs="Times New Roman"/>
                <w:szCs w:val="24"/>
              </w:rPr>
            </w:pPr>
            <w:r w:rsidRPr="00BF6B72">
              <w:rPr>
                <w:rFonts w:eastAsia="Calibri" w:cs="Times New Roman"/>
                <w:szCs w:val="24"/>
              </w:rPr>
              <w:t xml:space="preserve">In the Matter of the Application of </w:t>
            </w:r>
            <w:r>
              <w:rPr>
                <w:rFonts w:ascii="TimesNewRomanPSMT" w:hAnsi="TimesNewRomanPSMT"/>
              </w:rPr>
              <w:t xml:space="preserve">Duke Energy Ohio, Inc. </w:t>
            </w:r>
            <w:r>
              <w:rPr>
                <w:rFonts w:eastAsia="Calibri" w:cs="Times New Roman"/>
                <w:szCs w:val="24"/>
              </w:rPr>
              <w:t>for Approval of Tariff</w:t>
            </w:r>
          </w:p>
          <w:p w:rsidR="00AF39F0" w:rsidRPr="00BF6B72" w:rsidP="00AF39F0" w14:paraId="54EE18FC" w14:textId="4D567EE0">
            <w:pPr>
              <w:autoSpaceDE w:val="0"/>
              <w:autoSpaceDN w:val="0"/>
              <w:adjustRightInd w:val="0"/>
              <w:spacing w:after="0"/>
              <w:rPr>
                <w:rFonts w:eastAsia="Calibri" w:cs="Times New Roman"/>
                <w:szCs w:val="24"/>
              </w:rPr>
            </w:pPr>
            <w:r>
              <w:rPr>
                <w:rFonts w:eastAsia="Calibri" w:cs="Times New Roman"/>
                <w:szCs w:val="24"/>
              </w:rPr>
              <w:t>Amendments.</w:t>
            </w:r>
          </w:p>
        </w:tc>
        <w:tc>
          <w:tcPr>
            <w:tcW w:w="366" w:type="dxa"/>
            <w:hideMark/>
          </w:tcPr>
          <w:p w:rsidR="00AF39F0" w:rsidRPr="00BF6B72" w:rsidP="00AF39F0" w14:paraId="769D27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AF39F0" w:rsidRPr="00BF6B72" w:rsidP="00AF39F0" w14:paraId="05FA0C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AF39F0" w:rsidP="00AF39F0" w14:paraId="64ABDB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sidRPr="00BF6B72">
              <w:rPr>
                <w:rFonts w:eastAsia="Calibri" w:cs="Times New Roman"/>
                <w:szCs w:val="24"/>
              </w:rPr>
              <w:t>)</w:t>
            </w:r>
          </w:p>
          <w:p w:rsidR="00AF39F0" w:rsidRPr="00BF6B72" w:rsidP="00AF39F0" w14:paraId="30082D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p w:rsidR="00AF39F0" w:rsidP="00AF39F0" w14:paraId="44BBDC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Pr>
                <w:rFonts w:eastAsia="Calibri" w:cs="Times New Roman"/>
                <w:szCs w:val="24"/>
              </w:rPr>
              <w:t>)</w:t>
            </w:r>
          </w:p>
          <w:p w:rsidR="00AF39F0" w:rsidP="00AF39F0" w14:paraId="75FE00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r>
              <w:rPr>
                <w:rFonts w:eastAsia="Calibri" w:cs="Times New Roman"/>
                <w:szCs w:val="24"/>
              </w:rPr>
              <w:t>)</w:t>
            </w:r>
          </w:p>
          <w:p w:rsidR="00AF39F0" w:rsidRPr="00BF6B72" w:rsidP="00AF39F0" w14:paraId="2AA2B33C" w14:textId="2C66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szCs w:val="24"/>
              </w:rPr>
            </w:pPr>
            <w:r>
              <w:rPr>
                <w:rFonts w:eastAsia="Calibri" w:cs="Times New Roman"/>
                <w:szCs w:val="24"/>
              </w:rPr>
              <w:t>)</w:t>
            </w:r>
          </w:p>
        </w:tc>
        <w:tc>
          <w:tcPr>
            <w:tcW w:w="4474" w:type="dxa"/>
          </w:tcPr>
          <w:p w:rsidR="00AF39F0" w:rsidRPr="00BF6B72" w:rsidP="00AF39F0" w14:paraId="7BF92F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Times New Roman"/>
                <w:szCs w:val="24"/>
              </w:rPr>
            </w:pPr>
          </w:p>
          <w:p w:rsidR="00AF39F0" w:rsidP="00AF39F0" w14:paraId="2192D14C" w14:textId="77777777">
            <w:pPr>
              <w:autoSpaceDE w:val="0"/>
              <w:autoSpaceDN w:val="0"/>
              <w:adjustRightInd w:val="0"/>
              <w:spacing w:after="0"/>
              <w:rPr>
                <w:rFonts w:eastAsia="Calibri" w:cs="Times New Roman"/>
                <w:szCs w:val="24"/>
              </w:rPr>
            </w:pPr>
            <w:r w:rsidRPr="00BF6B72">
              <w:rPr>
                <w:rFonts w:eastAsia="Calibri" w:cs="Times New Roman"/>
                <w:szCs w:val="24"/>
              </w:rPr>
              <w:t xml:space="preserve">Case No. </w:t>
            </w:r>
            <w:r>
              <w:rPr>
                <w:rFonts w:eastAsia="Calibri" w:cs="Times New Roman"/>
                <w:szCs w:val="24"/>
              </w:rPr>
              <w:t>18-1830</w:t>
            </w:r>
            <w:r w:rsidRPr="00BF6B72">
              <w:rPr>
                <w:rFonts w:eastAsia="Calibri" w:cs="Times New Roman"/>
                <w:szCs w:val="24"/>
              </w:rPr>
              <w:t>-</w:t>
            </w:r>
            <w:r>
              <w:rPr>
                <w:rFonts w:eastAsia="Calibri" w:cs="Times New Roman"/>
                <w:szCs w:val="24"/>
              </w:rPr>
              <w:t>GA</w:t>
            </w:r>
            <w:r w:rsidRPr="00BF6B72">
              <w:rPr>
                <w:rFonts w:eastAsia="Calibri" w:cs="Times New Roman"/>
                <w:szCs w:val="24"/>
              </w:rPr>
              <w:t>-</w:t>
            </w:r>
            <w:r>
              <w:rPr>
                <w:rFonts w:eastAsia="Calibri" w:cs="Times New Roman"/>
                <w:szCs w:val="24"/>
              </w:rPr>
              <w:t>UNC</w:t>
            </w:r>
          </w:p>
          <w:p w:rsidR="00AF39F0" w:rsidP="00AF39F0" w14:paraId="18741A44" w14:textId="77777777">
            <w:pPr>
              <w:autoSpaceDE w:val="0"/>
              <w:autoSpaceDN w:val="0"/>
              <w:adjustRightInd w:val="0"/>
              <w:spacing w:after="0"/>
              <w:rPr>
                <w:rFonts w:eastAsia="Calibri" w:cs="Times New Roman"/>
                <w:szCs w:val="24"/>
              </w:rPr>
            </w:pPr>
          </w:p>
          <w:p w:rsidR="00AF39F0" w:rsidP="00AF39F0" w14:paraId="39206B62" w14:textId="77777777">
            <w:pPr>
              <w:autoSpaceDE w:val="0"/>
              <w:autoSpaceDN w:val="0"/>
              <w:adjustRightInd w:val="0"/>
              <w:spacing w:after="0"/>
              <w:rPr>
                <w:rFonts w:eastAsia="Calibri" w:cs="Times New Roman"/>
                <w:szCs w:val="24"/>
              </w:rPr>
            </w:pPr>
          </w:p>
          <w:p w:rsidR="00AF39F0" w:rsidRPr="00BF6B72" w:rsidP="00AF39F0" w14:paraId="2BC46FC9" w14:textId="77777777">
            <w:pPr>
              <w:autoSpaceDE w:val="0"/>
              <w:autoSpaceDN w:val="0"/>
              <w:adjustRightInd w:val="0"/>
              <w:spacing w:after="0"/>
              <w:rPr>
                <w:rFonts w:eastAsia="Calibri" w:cs="Times New Roman"/>
                <w:szCs w:val="24"/>
              </w:rPr>
            </w:pPr>
            <w:r>
              <w:rPr>
                <w:rFonts w:eastAsia="Calibri" w:cs="Times New Roman"/>
                <w:szCs w:val="24"/>
              </w:rPr>
              <w:t>Case No. 18-1831-GA-ATA</w:t>
            </w:r>
          </w:p>
          <w:p w:rsidR="00AF39F0" w:rsidRPr="00BF6B72" w:rsidP="00AF39F0" w14:paraId="533D57E6" w14:textId="6C89C28B">
            <w:pPr>
              <w:autoSpaceDE w:val="0"/>
              <w:autoSpaceDN w:val="0"/>
              <w:adjustRightInd w:val="0"/>
              <w:spacing w:after="0"/>
              <w:rPr>
                <w:rFonts w:eastAsia="Calibri" w:cs="Times New Roman"/>
                <w:szCs w:val="24"/>
              </w:rPr>
            </w:pPr>
          </w:p>
        </w:tc>
      </w:tr>
    </w:tbl>
    <w:p w:rsidR="00DA4E9F" w:rsidRPr="00BF6B72" w:rsidP="00DA4E9F" w14:paraId="0D71DEFB" w14:textId="77777777">
      <w:pPr>
        <w:pBdr>
          <w:bottom w:val="single" w:sz="12" w:space="1" w:color="auto"/>
        </w:pBdr>
        <w:autoSpaceDE w:val="0"/>
        <w:autoSpaceDN w:val="0"/>
        <w:adjustRightInd w:val="0"/>
        <w:spacing w:after="0" w:line="240" w:lineRule="auto"/>
        <w:jc w:val="center"/>
        <w:rPr>
          <w:rFonts w:eastAsia="Calibri" w:cs="Times New Roman"/>
          <w:b/>
          <w:bCs/>
          <w:szCs w:val="24"/>
        </w:rPr>
      </w:pPr>
    </w:p>
    <w:p w:rsidR="00DA4E9F" w:rsidRPr="00BF6B72" w:rsidP="00DA4E9F" w14:paraId="6483FB9A" w14:textId="77777777">
      <w:pPr>
        <w:autoSpaceDE w:val="0"/>
        <w:autoSpaceDN w:val="0"/>
        <w:adjustRightInd w:val="0"/>
        <w:spacing w:after="0" w:line="240" w:lineRule="auto"/>
        <w:jc w:val="center"/>
        <w:rPr>
          <w:rFonts w:eastAsia="Calibri" w:cs="Times New Roman"/>
          <w:b/>
          <w:bCs/>
          <w:szCs w:val="24"/>
        </w:rPr>
      </w:pPr>
    </w:p>
    <w:p w:rsidR="00DA4E9F" w:rsidRPr="00BF6B72" w:rsidP="00DA4E9F" w14:paraId="36583A88" w14:textId="331CB31A">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REPLY</w:t>
      </w:r>
      <w:r w:rsidRPr="00BF6B72" w:rsidR="00A0158A">
        <w:rPr>
          <w:rFonts w:eastAsia="Calibri" w:cs="Times New Roman"/>
          <w:b/>
          <w:bCs/>
          <w:szCs w:val="24"/>
        </w:rPr>
        <w:t xml:space="preserve"> BRIEF</w:t>
      </w:r>
    </w:p>
    <w:p w:rsidR="00DA4E9F" w:rsidRPr="00BF6B72" w:rsidP="00DA4E9F" w14:paraId="71CA4959" w14:textId="77777777">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BY</w:t>
      </w:r>
    </w:p>
    <w:p w:rsidR="00DA4E9F" w:rsidRPr="00BF6B72" w:rsidP="00DA4E9F" w14:paraId="786CC248" w14:textId="650E5103">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THE OFFICE OF THE OHIO CONSUMERS</w:t>
      </w:r>
      <w:r w:rsidR="00754C6D">
        <w:rPr>
          <w:rFonts w:eastAsia="Calibri" w:cs="Times New Roman"/>
          <w:b/>
          <w:bCs/>
          <w:szCs w:val="24"/>
        </w:rPr>
        <w:t>’</w:t>
      </w:r>
      <w:r w:rsidRPr="00BF6B72">
        <w:rPr>
          <w:rFonts w:eastAsia="Calibri" w:cs="Times New Roman"/>
          <w:b/>
          <w:bCs/>
          <w:szCs w:val="24"/>
        </w:rPr>
        <w:t xml:space="preserve"> COUNSEL</w:t>
      </w:r>
    </w:p>
    <w:p w:rsidR="00DA4E9F" w:rsidRPr="00BF6B72" w:rsidP="00DA4E9F" w14:paraId="7F66342C" w14:textId="77777777">
      <w:pPr>
        <w:pBdr>
          <w:bottom w:val="single" w:sz="12" w:space="1" w:color="auto"/>
        </w:pBdr>
        <w:autoSpaceDE w:val="0"/>
        <w:autoSpaceDN w:val="0"/>
        <w:adjustRightInd w:val="0"/>
        <w:spacing w:after="0" w:line="240" w:lineRule="auto"/>
        <w:jc w:val="center"/>
        <w:rPr>
          <w:rFonts w:eastAsia="Calibri" w:cs="Times New Roman"/>
          <w:b/>
          <w:bCs/>
          <w:szCs w:val="24"/>
        </w:rPr>
      </w:pPr>
    </w:p>
    <w:p w:rsidR="00DA4E9F" w:rsidRPr="00BF6B72" w:rsidP="00DA4E9F" w14:paraId="0EEC6B1B" w14:textId="77777777">
      <w:pPr>
        <w:autoSpaceDE w:val="0"/>
        <w:autoSpaceDN w:val="0"/>
        <w:adjustRightInd w:val="0"/>
        <w:spacing w:after="0" w:line="240" w:lineRule="auto"/>
        <w:rPr>
          <w:rFonts w:eastAsia="Calibri" w:cs="Times New Roman"/>
          <w:b/>
          <w:bCs/>
          <w:szCs w:val="24"/>
        </w:rPr>
      </w:pPr>
    </w:p>
    <w:p w:rsidR="00DA4E9F" w:rsidRPr="00BF6B72" w:rsidP="00754C6D" w14:paraId="1ED5ACAC" w14:textId="77777777">
      <w:pPr>
        <w:pStyle w:val="Heading1"/>
      </w:pPr>
      <w:bookmarkStart w:id="1" w:name="_Toc20151086"/>
      <w:bookmarkStart w:id="2" w:name="_Toc20221488"/>
      <w:r w:rsidRPr="00BF6B72">
        <w:t>INTRODUCTION</w:t>
      </w:r>
      <w:bookmarkEnd w:id="1"/>
      <w:bookmarkEnd w:id="2"/>
    </w:p>
    <w:p w:rsidR="00BB6A0C" w:rsidP="004A73CD" w14:paraId="57B0875F" w14:textId="1F27EB85">
      <w:pPr>
        <w:pStyle w:val="NormalWeb"/>
        <w:spacing w:line="480" w:lineRule="auto"/>
        <w:ind w:firstLine="720"/>
        <w:contextualSpacing/>
        <w:rPr>
          <w:rFonts w:eastAsiaTheme="minorHAnsi"/>
        </w:rPr>
      </w:pPr>
      <w:r>
        <w:rPr>
          <w:rFonts w:eastAsiaTheme="minorHAnsi"/>
        </w:rPr>
        <w:t>The PUCO should order Duke Energy Ohio to promptly reduce its charges to natural gas consumers, to reflect that the federal corporate income tax that is part of Duke</w:t>
      </w:r>
      <w:r w:rsidR="00754C6D">
        <w:rPr>
          <w:rFonts w:eastAsiaTheme="minorHAnsi"/>
        </w:rPr>
        <w:t>’</w:t>
      </w:r>
      <w:r>
        <w:rPr>
          <w:rFonts w:eastAsiaTheme="minorHAnsi"/>
        </w:rPr>
        <w:t xml:space="preserve">s current rates has been reduced by </w:t>
      </w:r>
      <w:r w:rsidR="00352CFB">
        <w:rPr>
          <w:rFonts w:eastAsiaTheme="minorHAnsi"/>
        </w:rPr>
        <w:t>the Tax Cut and Jobs Act of 2017 (“federal tax cuts”).</w:t>
      </w:r>
      <w:r>
        <w:rPr>
          <w:rFonts w:eastAsiaTheme="minorHAnsi"/>
        </w:rPr>
        <w:t xml:space="preserve"> In this way, Ohio utility consumers should share in the benefit of the federal tax cut and utilities should not reap a financial windfall at consumer expense.</w:t>
      </w:r>
      <w:r w:rsidR="00754C6D">
        <w:rPr>
          <w:rFonts w:eastAsiaTheme="minorHAnsi"/>
        </w:rPr>
        <w:t xml:space="preserve"> </w:t>
      </w:r>
      <w:r w:rsidR="00055C37">
        <w:rPr>
          <w:rFonts w:eastAsiaTheme="minorHAnsi"/>
        </w:rPr>
        <w:t>Early this year</w:t>
      </w:r>
      <w:r w:rsidR="004A26B3">
        <w:rPr>
          <w:rFonts w:eastAsiaTheme="minorHAnsi"/>
        </w:rPr>
        <w:t xml:space="preserve">, </w:t>
      </w:r>
      <w:r>
        <w:rPr>
          <w:rFonts w:eastAsiaTheme="minorHAnsi"/>
        </w:rPr>
        <w:t>Duke</w:t>
      </w:r>
      <w:r w:rsidR="00754C6D">
        <w:rPr>
          <w:rFonts w:eastAsiaTheme="minorHAnsi"/>
        </w:rPr>
        <w:t>’</w:t>
      </w:r>
      <w:r>
        <w:rPr>
          <w:rFonts w:eastAsiaTheme="minorHAnsi"/>
        </w:rPr>
        <w:t xml:space="preserve">s electricity consumers </w:t>
      </w:r>
      <w:r w:rsidR="004A26B3">
        <w:rPr>
          <w:rFonts w:eastAsiaTheme="minorHAnsi"/>
        </w:rPr>
        <w:t>already</w:t>
      </w:r>
      <w:r>
        <w:rPr>
          <w:rFonts w:eastAsiaTheme="minorHAnsi"/>
        </w:rPr>
        <w:t xml:space="preserve"> received </w:t>
      </w:r>
      <w:r w:rsidR="004A26B3">
        <w:rPr>
          <w:rFonts w:eastAsiaTheme="minorHAnsi"/>
        </w:rPr>
        <w:t>a reduction in their utility charges for the lower federal tax rate.</w:t>
      </w:r>
    </w:p>
    <w:p w:rsidR="00C319BC" w:rsidP="004A73CD" w14:paraId="2F5FCDB6" w14:textId="11CDBCE7">
      <w:pPr>
        <w:pStyle w:val="NormalWeb"/>
        <w:spacing w:line="480" w:lineRule="auto"/>
        <w:ind w:firstLine="720"/>
        <w:contextualSpacing/>
      </w:pPr>
      <w:r>
        <w:t>Specifically, t</w:t>
      </w:r>
      <w:r w:rsidR="00352CFB">
        <w:t>he federal income tax rate that utilities such as Duke pay was reduced from 35% to 21% on January 1, 2018.</w:t>
      </w:r>
      <w:r w:rsidR="00754C6D">
        <w:t xml:space="preserve"> </w:t>
      </w:r>
      <w:r w:rsidR="00352CFB">
        <w:t>Duke</w:t>
      </w:r>
      <w:r w:rsidR="00754C6D">
        <w:t>’</w:t>
      </w:r>
      <w:r w:rsidR="00352CFB">
        <w:t>s current rates for natural gas customers</w:t>
      </w:r>
      <w:r>
        <w:t xml:space="preserve"> </w:t>
      </w:r>
      <w:r w:rsidR="00352CFB">
        <w:t xml:space="preserve">were set using the higher 35% federal income tax rate. </w:t>
      </w:r>
    </w:p>
    <w:p w:rsidR="004A73CD" w:rsidRPr="008A146A" w:rsidP="004A73CD" w14:paraId="2B92D706" w14:textId="26CBD091">
      <w:pPr>
        <w:pStyle w:val="NormalWeb"/>
        <w:spacing w:line="480" w:lineRule="auto"/>
        <w:ind w:firstLine="720"/>
        <w:contextualSpacing/>
      </w:pPr>
      <w:r>
        <w:t>Natural gas c</w:t>
      </w:r>
      <w:r w:rsidRPr="008A146A">
        <w:t>onsumers deserve to benefit as soon as possible</w:t>
      </w:r>
      <w:r>
        <w:t xml:space="preserve"> </w:t>
      </w:r>
      <w:r w:rsidRPr="008A146A">
        <w:t>from the</w:t>
      </w:r>
      <w:r>
        <w:t xml:space="preserve"> </w:t>
      </w:r>
      <w:r w:rsidRPr="008A146A">
        <w:t>reduction in Duke</w:t>
      </w:r>
      <w:r w:rsidR="00754C6D">
        <w:t>’</w:t>
      </w:r>
      <w:r w:rsidRPr="008A146A">
        <w:t xml:space="preserve">s federal income taxes. They will if the PUCO adopts the recommendations of </w:t>
      </w:r>
      <w:r>
        <w:t>the Office of the Ohio Consumers</w:t>
      </w:r>
      <w:r w:rsidR="00754C6D">
        <w:t>’</w:t>
      </w:r>
      <w:r>
        <w:t xml:space="preserve"> Counsel (“OCC”) </w:t>
      </w:r>
      <w:r w:rsidRPr="008A146A">
        <w:t xml:space="preserve">and </w:t>
      </w:r>
      <w:r w:rsidR="00C319BC">
        <w:t>PUCO</w:t>
      </w:r>
      <w:r>
        <w:t xml:space="preserve"> Staff</w:t>
      </w:r>
      <w:r w:rsidRPr="008A146A">
        <w:t>. It should do so.</w:t>
      </w:r>
      <w:r>
        <w:rPr>
          <w:rFonts w:eastAsiaTheme="minorHAnsi"/>
        </w:rPr>
        <w:t xml:space="preserve"> </w:t>
      </w:r>
    </w:p>
    <w:p w:rsidR="003B596B" w:rsidP="00A174DA" w14:paraId="08959F02" w14:textId="79D14C79">
      <w:pPr>
        <w:pStyle w:val="Heading1"/>
        <w:numPr>
          <w:ilvl w:val="0"/>
          <w:numId w:val="0"/>
        </w:numPr>
        <w:spacing w:line="480" w:lineRule="auto"/>
        <w:ind w:firstLine="720"/>
        <w:rPr>
          <w:caps w:val="0"/>
        </w:rPr>
      </w:pPr>
      <w:bookmarkStart w:id="3" w:name="_Toc20221489"/>
      <w:bookmarkStart w:id="4" w:name="_Toc20151087"/>
      <w:r w:rsidRPr="003B596B">
        <w:rPr>
          <w:b w:val="0"/>
          <w:bCs/>
          <w:caps w:val="0"/>
        </w:rPr>
        <w:t>O</w:t>
      </w:r>
      <w:r>
        <w:rPr>
          <w:b w:val="0"/>
          <w:bCs/>
          <w:caps w:val="0"/>
        </w:rPr>
        <w:t>CC</w:t>
      </w:r>
      <w:r w:rsidRPr="003B596B">
        <w:rPr>
          <w:b w:val="0"/>
          <w:bCs/>
          <w:caps w:val="0"/>
        </w:rPr>
        <w:t xml:space="preserve"> Recommends </w:t>
      </w:r>
      <w:r>
        <w:rPr>
          <w:b w:val="0"/>
          <w:bCs/>
          <w:caps w:val="0"/>
        </w:rPr>
        <w:t>t</w:t>
      </w:r>
      <w:r w:rsidRPr="003B596B">
        <w:rPr>
          <w:b w:val="0"/>
          <w:bCs/>
          <w:caps w:val="0"/>
        </w:rPr>
        <w:t xml:space="preserve">hat </w:t>
      </w:r>
      <w:r>
        <w:rPr>
          <w:b w:val="0"/>
          <w:bCs/>
          <w:caps w:val="0"/>
        </w:rPr>
        <w:t>t</w:t>
      </w:r>
      <w:r w:rsidRPr="003B596B">
        <w:rPr>
          <w:b w:val="0"/>
          <w:bCs/>
          <w:caps w:val="0"/>
        </w:rPr>
        <w:t>he P</w:t>
      </w:r>
      <w:r>
        <w:rPr>
          <w:b w:val="0"/>
          <w:bCs/>
          <w:caps w:val="0"/>
        </w:rPr>
        <w:t>UCO</w:t>
      </w:r>
      <w:r w:rsidRPr="003B596B">
        <w:rPr>
          <w:b w:val="0"/>
          <w:bCs/>
          <w:caps w:val="0"/>
        </w:rPr>
        <w:t xml:space="preserve"> </w:t>
      </w:r>
      <w:r>
        <w:rPr>
          <w:b w:val="0"/>
          <w:bCs/>
          <w:caps w:val="0"/>
        </w:rPr>
        <w:t>o</w:t>
      </w:r>
      <w:r w:rsidRPr="003B596B">
        <w:rPr>
          <w:b w:val="0"/>
          <w:bCs/>
          <w:caps w:val="0"/>
        </w:rPr>
        <w:t xml:space="preserve">rder Duke </w:t>
      </w:r>
      <w:r>
        <w:rPr>
          <w:b w:val="0"/>
          <w:bCs/>
          <w:caps w:val="0"/>
        </w:rPr>
        <w:t>t</w:t>
      </w:r>
      <w:r w:rsidRPr="003B596B">
        <w:rPr>
          <w:b w:val="0"/>
          <w:bCs/>
          <w:caps w:val="0"/>
        </w:rPr>
        <w:t xml:space="preserve">o </w:t>
      </w:r>
      <w:r>
        <w:rPr>
          <w:b w:val="0"/>
          <w:bCs/>
          <w:caps w:val="0"/>
        </w:rPr>
        <w:t>p</w:t>
      </w:r>
      <w:r w:rsidRPr="003B596B">
        <w:rPr>
          <w:b w:val="0"/>
          <w:bCs/>
          <w:caps w:val="0"/>
        </w:rPr>
        <w:t xml:space="preserve">ass </w:t>
      </w:r>
      <w:r>
        <w:rPr>
          <w:b w:val="0"/>
          <w:bCs/>
          <w:caps w:val="0"/>
        </w:rPr>
        <w:t>th</w:t>
      </w:r>
      <w:r w:rsidRPr="003B596B">
        <w:rPr>
          <w:b w:val="0"/>
          <w:bCs/>
          <w:caps w:val="0"/>
        </w:rPr>
        <w:t xml:space="preserve">e </w:t>
      </w:r>
      <w:r>
        <w:rPr>
          <w:b w:val="0"/>
          <w:bCs/>
          <w:caps w:val="0"/>
        </w:rPr>
        <w:t>f</w:t>
      </w:r>
      <w:r w:rsidRPr="003B596B">
        <w:rPr>
          <w:b w:val="0"/>
          <w:bCs/>
          <w:caps w:val="0"/>
        </w:rPr>
        <w:t xml:space="preserve">ull </w:t>
      </w:r>
      <w:r>
        <w:rPr>
          <w:b w:val="0"/>
          <w:bCs/>
          <w:caps w:val="0"/>
        </w:rPr>
        <w:t>t</w:t>
      </w:r>
      <w:r w:rsidRPr="003B596B">
        <w:rPr>
          <w:b w:val="0"/>
          <w:bCs/>
          <w:caps w:val="0"/>
        </w:rPr>
        <w:t xml:space="preserve">ax </w:t>
      </w:r>
      <w:r>
        <w:rPr>
          <w:b w:val="0"/>
          <w:bCs/>
          <w:caps w:val="0"/>
        </w:rPr>
        <w:t>s</w:t>
      </w:r>
      <w:r w:rsidRPr="003B596B">
        <w:rPr>
          <w:b w:val="0"/>
          <w:bCs/>
          <w:caps w:val="0"/>
        </w:rPr>
        <w:t xml:space="preserve">avings </w:t>
      </w:r>
      <w:r>
        <w:rPr>
          <w:b w:val="0"/>
          <w:bCs/>
          <w:caps w:val="0"/>
        </w:rPr>
        <w:t>r</w:t>
      </w:r>
      <w:r w:rsidRPr="003B596B">
        <w:rPr>
          <w:b w:val="0"/>
          <w:bCs/>
          <w:caps w:val="0"/>
        </w:rPr>
        <w:t xml:space="preserve">esulting </w:t>
      </w:r>
      <w:r>
        <w:rPr>
          <w:b w:val="0"/>
          <w:bCs/>
          <w:caps w:val="0"/>
        </w:rPr>
        <w:t>f</w:t>
      </w:r>
      <w:r w:rsidRPr="003B596B">
        <w:rPr>
          <w:b w:val="0"/>
          <w:bCs/>
          <w:caps w:val="0"/>
        </w:rPr>
        <w:t xml:space="preserve">rom </w:t>
      </w:r>
      <w:r>
        <w:rPr>
          <w:b w:val="0"/>
          <w:bCs/>
          <w:caps w:val="0"/>
        </w:rPr>
        <w:t>t</w:t>
      </w:r>
      <w:r w:rsidRPr="003B596B">
        <w:rPr>
          <w:b w:val="0"/>
          <w:bCs/>
          <w:caps w:val="0"/>
        </w:rPr>
        <w:t xml:space="preserve">he </w:t>
      </w:r>
      <w:r>
        <w:rPr>
          <w:b w:val="0"/>
          <w:bCs/>
          <w:caps w:val="0"/>
        </w:rPr>
        <w:t>f</w:t>
      </w:r>
      <w:r w:rsidRPr="003B596B">
        <w:rPr>
          <w:b w:val="0"/>
          <w:bCs/>
          <w:caps w:val="0"/>
        </w:rPr>
        <w:t xml:space="preserve">ederal </w:t>
      </w:r>
      <w:r>
        <w:rPr>
          <w:b w:val="0"/>
          <w:bCs/>
          <w:caps w:val="0"/>
        </w:rPr>
        <w:t>t</w:t>
      </w:r>
      <w:r w:rsidRPr="003B596B">
        <w:rPr>
          <w:b w:val="0"/>
          <w:bCs/>
          <w:caps w:val="0"/>
        </w:rPr>
        <w:t xml:space="preserve">ax </w:t>
      </w:r>
      <w:r>
        <w:rPr>
          <w:b w:val="0"/>
          <w:bCs/>
          <w:caps w:val="0"/>
        </w:rPr>
        <w:t>c</w:t>
      </w:r>
      <w:r w:rsidRPr="003B596B">
        <w:rPr>
          <w:b w:val="0"/>
          <w:bCs/>
          <w:caps w:val="0"/>
        </w:rPr>
        <w:t xml:space="preserve">uts </w:t>
      </w:r>
      <w:r>
        <w:rPr>
          <w:b w:val="0"/>
          <w:bCs/>
          <w:caps w:val="0"/>
        </w:rPr>
        <w:t>t</w:t>
      </w:r>
      <w:r w:rsidRPr="003B596B">
        <w:rPr>
          <w:b w:val="0"/>
          <w:bCs/>
          <w:caps w:val="0"/>
        </w:rPr>
        <w:t xml:space="preserve">o </w:t>
      </w:r>
      <w:r>
        <w:rPr>
          <w:b w:val="0"/>
          <w:bCs/>
          <w:caps w:val="0"/>
        </w:rPr>
        <w:t>c</w:t>
      </w:r>
      <w:r w:rsidRPr="003B596B">
        <w:rPr>
          <w:b w:val="0"/>
          <w:bCs/>
          <w:caps w:val="0"/>
        </w:rPr>
        <w:t xml:space="preserve">onsumers </w:t>
      </w:r>
      <w:r>
        <w:rPr>
          <w:b w:val="0"/>
          <w:bCs/>
          <w:caps w:val="0"/>
        </w:rPr>
        <w:t>v</w:t>
      </w:r>
      <w:r w:rsidRPr="003B596B">
        <w:rPr>
          <w:b w:val="0"/>
          <w:bCs/>
          <w:caps w:val="0"/>
        </w:rPr>
        <w:t>ia “Rider Gas T</w:t>
      </w:r>
      <w:r>
        <w:rPr>
          <w:b w:val="0"/>
          <w:bCs/>
          <w:caps w:val="0"/>
        </w:rPr>
        <w:t>CJA</w:t>
      </w:r>
      <w:r w:rsidRPr="003B596B">
        <w:rPr>
          <w:b w:val="0"/>
          <w:bCs/>
          <w:caps w:val="0"/>
        </w:rPr>
        <w:t>” Or “Rider G</w:t>
      </w:r>
      <w:r>
        <w:rPr>
          <w:b w:val="0"/>
          <w:bCs/>
          <w:caps w:val="0"/>
        </w:rPr>
        <w:t>TCJA</w:t>
      </w:r>
      <w:r w:rsidRPr="003B596B">
        <w:rPr>
          <w:b w:val="0"/>
          <w:bCs/>
          <w:caps w:val="0"/>
        </w:rPr>
        <w:t>” (“</w:t>
      </w:r>
      <w:r w:rsidR="007A5607">
        <w:rPr>
          <w:b w:val="0"/>
          <w:bCs/>
          <w:caps w:val="0"/>
        </w:rPr>
        <w:t>t</w:t>
      </w:r>
      <w:r w:rsidRPr="003B596B">
        <w:rPr>
          <w:b w:val="0"/>
          <w:bCs/>
          <w:caps w:val="0"/>
        </w:rPr>
        <w:t xml:space="preserve">ax </w:t>
      </w:r>
      <w:r w:rsidR="007A5607">
        <w:rPr>
          <w:b w:val="0"/>
          <w:bCs/>
          <w:caps w:val="0"/>
        </w:rPr>
        <w:t>s</w:t>
      </w:r>
      <w:r w:rsidRPr="003B596B">
        <w:rPr>
          <w:b w:val="0"/>
          <w:bCs/>
          <w:caps w:val="0"/>
        </w:rPr>
        <w:t xml:space="preserve">avings </w:t>
      </w:r>
      <w:r w:rsidR="007A5607">
        <w:rPr>
          <w:b w:val="0"/>
          <w:bCs/>
          <w:caps w:val="0"/>
        </w:rPr>
        <w:t>ri</w:t>
      </w:r>
      <w:r w:rsidRPr="003B596B">
        <w:rPr>
          <w:b w:val="0"/>
          <w:bCs/>
          <w:caps w:val="0"/>
        </w:rPr>
        <w:t xml:space="preserve">der”). Also, Duke’s </w:t>
      </w:r>
      <w:r>
        <w:rPr>
          <w:b w:val="0"/>
          <w:bCs/>
          <w:caps w:val="0"/>
        </w:rPr>
        <w:t>b</w:t>
      </w:r>
      <w:r w:rsidRPr="003B596B">
        <w:rPr>
          <w:b w:val="0"/>
          <w:bCs/>
          <w:caps w:val="0"/>
        </w:rPr>
        <w:t xml:space="preserve">alance </w:t>
      </w:r>
      <w:r>
        <w:rPr>
          <w:b w:val="0"/>
          <w:bCs/>
          <w:caps w:val="0"/>
        </w:rPr>
        <w:t>s</w:t>
      </w:r>
      <w:r w:rsidRPr="003B596B">
        <w:rPr>
          <w:b w:val="0"/>
          <w:bCs/>
          <w:caps w:val="0"/>
        </w:rPr>
        <w:t xml:space="preserve">heet, </w:t>
      </w:r>
      <w:r>
        <w:rPr>
          <w:b w:val="0"/>
          <w:bCs/>
          <w:caps w:val="0"/>
        </w:rPr>
        <w:t>a</w:t>
      </w:r>
      <w:r w:rsidRPr="003B596B">
        <w:rPr>
          <w:b w:val="0"/>
          <w:bCs/>
          <w:caps w:val="0"/>
        </w:rPr>
        <w:t xml:space="preserve">s </w:t>
      </w:r>
      <w:r>
        <w:rPr>
          <w:b w:val="0"/>
          <w:bCs/>
          <w:caps w:val="0"/>
        </w:rPr>
        <w:t>o</w:t>
      </w:r>
      <w:r w:rsidRPr="003B596B">
        <w:rPr>
          <w:b w:val="0"/>
          <w:bCs/>
          <w:caps w:val="0"/>
        </w:rPr>
        <w:t xml:space="preserve">f December 31, 2017, </w:t>
      </w:r>
      <w:r>
        <w:rPr>
          <w:b w:val="0"/>
          <w:bCs/>
          <w:caps w:val="0"/>
        </w:rPr>
        <w:t>s</w:t>
      </w:r>
      <w:r w:rsidRPr="003B596B">
        <w:rPr>
          <w:b w:val="0"/>
          <w:bCs/>
          <w:caps w:val="0"/>
        </w:rPr>
        <w:t xml:space="preserve">hould </w:t>
      </w:r>
      <w:r>
        <w:rPr>
          <w:b w:val="0"/>
          <w:bCs/>
          <w:caps w:val="0"/>
        </w:rPr>
        <w:t>b</w:t>
      </w:r>
      <w:r w:rsidRPr="003B596B">
        <w:rPr>
          <w:b w:val="0"/>
          <w:bCs/>
          <w:caps w:val="0"/>
        </w:rPr>
        <w:t xml:space="preserve">e </w:t>
      </w:r>
      <w:r>
        <w:rPr>
          <w:b w:val="0"/>
          <w:bCs/>
          <w:caps w:val="0"/>
        </w:rPr>
        <w:t>u</w:t>
      </w:r>
      <w:r w:rsidRPr="003B596B">
        <w:rPr>
          <w:b w:val="0"/>
          <w:bCs/>
          <w:caps w:val="0"/>
        </w:rPr>
        <w:t xml:space="preserve">sed </w:t>
      </w:r>
      <w:r>
        <w:rPr>
          <w:b w:val="0"/>
          <w:bCs/>
          <w:caps w:val="0"/>
        </w:rPr>
        <w:t>a</w:t>
      </w:r>
      <w:r w:rsidRPr="003B596B">
        <w:rPr>
          <w:b w:val="0"/>
          <w:bCs/>
          <w:caps w:val="0"/>
        </w:rPr>
        <w:t xml:space="preserve">s </w:t>
      </w:r>
      <w:r>
        <w:rPr>
          <w:b w:val="0"/>
          <w:bCs/>
          <w:caps w:val="0"/>
        </w:rPr>
        <w:t>t</w:t>
      </w:r>
      <w:r w:rsidRPr="003B596B">
        <w:rPr>
          <w:b w:val="0"/>
          <w:bCs/>
          <w:caps w:val="0"/>
        </w:rPr>
        <w:t xml:space="preserve">he </w:t>
      </w:r>
      <w:r>
        <w:rPr>
          <w:b w:val="0"/>
          <w:bCs/>
          <w:caps w:val="0"/>
        </w:rPr>
        <w:t>b</w:t>
      </w:r>
      <w:r w:rsidRPr="003B596B">
        <w:rPr>
          <w:b w:val="0"/>
          <w:bCs/>
          <w:caps w:val="0"/>
        </w:rPr>
        <w:t xml:space="preserve">asis </w:t>
      </w:r>
      <w:r>
        <w:rPr>
          <w:b w:val="0"/>
          <w:bCs/>
          <w:caps w:val="0"/>
        </w:rPr>
        <w:t>f</w:t>
      </w:r>
      <w:r w:rsidRPr="003B596B">
        <w:rPr>
          <w:b w:val="0"/>
          <w:bCs/>
          <w:caps w:val="0"/>
        </w:rPr>
        <w:t xml:space="preserve">or </w:t>
      </w:r>
      <w:r>
        <w:rPr>
          <w:b w:val="0"/>
          <w:bCs/>
          <w:caps w:val="0"/>
        </w:rPr>
        <w:t>c</w:t>
      </w:r>
      <w:r w:rsidRPr="003B596B">
        <w:rPr>
          <w:b w:val="0"/>
          <w:bCs/>
          <w:caps w:val="0"/>
        </w:rPr>
        <w:t xml:space="preserve">alculating </w:t>
      </w:r>
      <w:r>
        <w:rPr>
          <w:b w:val="0"/>
          <w:bCs/>
          <w:caps w:val="0"/>
        </w:rPr>
        <w:t>t</w:t>
      </w:r>
      <w:r w:rsidRPr="003B596B">
        <w:rPr>
          <w:b w:val="0"/>
          <w:bCs/>
          <w:caps w:val="0"/>
        </w:rPr>
        <w:t xml:space="preserve">he </w:t>
      </w:r>
      <w:r>
        <w:rPr>
          <w:b w:val="0"/>
          <w:bCs/>
          <w:caps w:val="0"/>
        </w:rPr>
        <w:t>b</w:t>
      </w:r>
      <w:r w:rsidRPr="003B596B">
        <w:rPr>
          <w:b w:val="0"/>
          <w:bCs/>
          <w:caps w:val="0"/>
        </w:rPr>
        <w:t xml:space="preserve">alances </w:t>
      </w:r>
      <w:r>
        <w:rPr>
          <w:b w:val="0"/>
          <w:bCs/>
          <w:caps w:val="0"/>
        </w:rPr>
        <w:t>f</w:t>
      </w:r>
      <w:r w:rsidRPr="003B596B">
        <w:rPr>
          <w:b w:val="0"/>
          <w:bCs/>
          <w:caps w:val="0"/>
        </w:rPr>
        <w:t xml:space="preserve">or </w:t>
      </w:r>
      <w:r>
        <w:rPr>
          <w:b w:val="0"/>
          <w:bCs/>
          <w:caps w:val="0"/>
        </w:rPr>
        <w:t>b</w:t>
      </w:r>
      <w:r w:rsidRPr="003B596B">
        <w:rPr>
          <w:b w:val="0"/>
          <w:bCs/>
          <w:caps w:val="0"/>
        </w:rPr>
        <w:t xml:space="preserve">oth “Normalized” </w:t>
      </w:r>
      <w:r>
        <w:rPr>
          <w:b w:val="0"/>
          <w:bCs/>
          <w:caps w:val="0"/>
        </w:rPr>
        <w:t>a</w:t>
      </w:r>
      <w:r w:rsidRPr="003B596B">
        <w:rPr>
          <w:b w:val="0"/>
          <w:bCs/>
          <w:caps w:val="0"/>
        </w:rPr>
        <w:t xml:space="preserve">nd “Non-Normalized” </w:t>
      </w:r>
      <w:r>
        <w:rPr>
          <w:b w:val="0"/>
          <w:bCs/>
          <w:caps w:val="0"/>
        </w:rPr>
        <w:t>e</w:t>
      </w:r>
      <w:r w:rsidRPr="003B596B">
        <w:rPr>
          <w:b w:val="0"/>
          <w:bCs/>
          <w:caps w:val="0"/>
        </w:rPr>
        <w:t xml:space="preserve">xcess </w:t>
      </w:r>
      <w:r>
        <w:rPr>
          <w:b w:val="0"/>
          <w:bCs/>
          <w:caps w:val="0"/>
        </w:rPr>
        <w:t>d</w:t>
      </w:r>
      <w:r w:rsidRPr="003B596B">
        <w:rPr>
          <w:b w:val="0"/>
          <w:bCs/>
          <w:caps w:val="0"/>
        </w:rPr>
        <w:t xml:space="preserve">eferred </w:t>
      </w:r>
      <w:r>
        <w:rPr>
          <w:b w:val="0"/>
          <w:bCs/>
          <w:caps w:val="0"/>
        </w:rPr>
        <w:t>i</w:t>
      </w:r>
      <w:r w:rsidRPr="003B596B">
        <w:rPr>
          <w:b w:val="0"/>
          <w:bCs/>
          <w:caps w:val="0"/>
        </w:rPr>
        <w:t xml:space="preserve">ncome </w:t>
      </w:r>
      <w:r>
        <w:rPr>
          <w:b w:val="0"/>
          <w:bCs/>
          <w:caps w:val="0"/>
        </w:rPr>
        <w:t>t</w:t>
      </w:r>
      <w:r w:rsidRPr="003B596B">
        <w:rPr>
          <w:b w:val="0"/>
          <w:bCs/>
          <w:caps w:val="0"/>
        </w:rPr>
        <w:t xml:space="preserve">ax. These </w:t>
      </w:r>
      <w:r>
        <w:rPr>
          <w:b w:val="0"/>
          <w:bCs/>
          <w:caps w:val="0"/>
        </w:rPr>
        <w:t>r</w:t>
      </w:r>
      <w:r w:rsidRPr="003B596B">
        <w:rPr>
          <w:b w:val="0"/>
          <w:bCs/>
          <w:caps w:val="0"/>
        </w:rPr>
        <w:t xml:space="preserve">ecommendations </w:t>
      </w:r>
      <w:r>
        <w:rPr>
          <w:b w:val="0"/>
          <w:bCs/>
          <w:caps w:val="0"/>
        </w:rPr>
        <w:t>a</w:t>
      </w:r>
      <w:r w:rsidRPr="003B596B">
        <w:rPr>
          <w:b w:val="0"/>
          <w:bCs/>
          <w:caps w:val="0"/>
        </w:rPr>
        <w:t xml:space="preserve">re </w:t>
      </w:r>
      <w:r>
        <w:rPr>
          <w:b w:val="0"/>
          <w:bCs/>
          <w:caps w:val="0"/>
        </w:rPr>
        <w:t>t</w:t>
      </w:r>
      <w:r w:rsidRPr="003B596B">
        <w:rPr>
          <w:b w:val="0"/>
          <w:bCs/>
          <w:caps w:val="0"/>
        </w:rPr>
        <w:t xml:space="preserve">he </w:t>
      </w:r>
      <w:r>
        <w:rPr>
          <w:b w:val="0"/>
          <w:bCs/>
          <w:caps w:val="0"/>
        </w:rPr>
        <w:t>m</w:t>
      </w:r>
      <w:r w:rsidRPr="003B596B">
        <w:rPr>
          <w:b w:val="0"/>
          <w:bCs/>
          <w:caps w:val="0"/>
        </w:rPr>
        <w:t xml:space="preserve">ost </w:t>
      </w:r>
      <w:r>
        <w:rPr>
          <w:b w:val="0"/>
          <w:bCs/>
          <w:caps w:val="0"/>
        </w:rPr>
        <w:t>s</w:t>
      </w:r>
      <w:r w:rsidRPr="003B596B">
        <w:rPr>
          <w:b w:val="0"/>
          <w:bCs/>
          <w:caps w:val="0"/>
        </w:rPr>
        <w:t xml:space="preserve">imple, </w:t>
      </w:r>
      <w:r>
        <w:rPr>
          <w:b w:val="0"/>
          <w:bCs/>
          <w:caps w:val="0"/>
        </w:rPr>
        <w:t>s</w:t>
      </w:r>
      <w:r w:rsidRPr="003B596B">
        <w:rPr>
          <w:b w:val="0"/>
          <w:bCs/>
          <w:caps w:val="0"/>
        </w:rPr>
        <w:t>traight-</w:t>
      </w:r>
      <w:r>
        <w:rPr>
          <w:b w:val="0"/>
          <w:bCs/>
          <w:caps w:val="0"/>
        </w:rPr>
        <w:t>f</w:t>
      </w:r>
      <w:r w:rsidRPr="003B596B">
        <w:rPr>
          <w:b w:val="0"/>
          <w:bCs/>
          <w:caps w:val="0"/>
        </w:rPr>
        <w:t xml:space="preserve">orward, </w:t>
      </w:r>
      <w:r>
        <w:rPr>
          <w:b w:val="0"/>
          <w:bCs/>
          <w:caps w:val="0"/>
        </w:rPr>
        <w:t>a</w:t>
      </w:r>
      <w:r w:rsidRPr="003B596B">
        <w:rPr>
          <w:b w:val="0"/>
          <w:bCs/>
          <w:caps w:val="0"/>
        </w:rPr>
        <w:t xml:space="preserve">nd </w:t>
      </w:r>
      <w:r>
        <w:rPr>
          <w:b w:val="0"/>
          <w:bCs/>
          <w:caps w:val="0"/>
        </w:rPr>
        <w:t>t</w:t>
      </w:r>
      <w:r w:rsidRPr="003B596B">
        <w:rPr>
          <w:b w:val="0"/>
          <w:bCs/>
          <w:caps w:val="0"/>
        </w:rPr>
        <w:t xml:space="preserve">ransparent </w:t>
      </w:r>
      <w:r>
        <w:rPr>
          <w:b w:val="0"/>
          <w:bCs/>
          <w:caps w:val="0"/>
        </w:rPr>
        <w:t>w</w:t>
      </w:r>
      <w:r w:rsidRPr="003B596B">
        <w:rPr>
          <w:b w:val="0"/>
          <w:bCs/>
          <w:caps w:val="0"/>
        </w:rPr>
        <w:t xml:space="preserve">ay </w:t>
      </w:r>
      <w:r>
        <w:rPr>
          <w:b w:val="0"/>
          <w:bCs/>
          <w:caps w:val="0"/>
        </w:rPr>
        <w:t>o</w:t>
      </w:r>
      <w:r w:rsidRPr="003B596B">
        <w:rPr>
          <w:b w:val="0"/>
          <w:bCs/>
          <w:caps w:val="0"/>
        </w:rPr>
        <w:t xml:space="preserve">f </w:t>
      </w:r>
      <w:r>
        <w:rPr>
          <w:b w:val="0"/>
          <w:bCs/>
          <w:caps w:val="0"/>
        </w:rPr>
        <w:t>p</w:t>
      </w:r>
      <w:r w:rsidRPr="003B596B">
        <w:rPr>
          <w:b w:val="0"/>
          <w:bCs/>
          <w:caps w:val="0"/>
        </w:rPr>
        <w:t xml:space="preserve">assing </w:t>
      </w:r>
      <w:r>
        <w:rPr>
          <w:b w:val="0"/>
          <w:bCs/>
          <w:caps w:val="0"/>
        </w:rPr>
        <w:t>o</w:t>
      </w:r>
      <w:r w:rsidRPr="003B596B">
        <w:rPr>
          <w:b w:val="0"/>
          <w:bCs/>
          <w:caps w:val="0"/>
        </w:rPr>
        <w:t xml:space="preserve">n </w:t>
      </w:r>
      <w:r>
        <w:rPr>
          <w:b w:val="0"/>
          <w:bCs/>
          <w:caps w:val="0"/>
        </w:rPr>
        <w:t>t</w:t>
      </w:r>
      <w:r w:rsidRPr="003B596B">
        <w:rPr>
          <w:b w:val="0"/>
          <w:bCs/>
          <w:caps w:val="0"/>
        </w:rPr>
        <w:t xml:space="preserve">o </w:t>
      </w:r>
      <w:r>
        <w:rPr>
          <w:b w:val="0"/>
          <w:bCs/>
          <w:caps w:val="0"/>
        </w:rPr>
        <w:t>c</w:t>
      </w:r>
      <w:r w:rsidRPr="003B596B">
        <w:rPr>
          <w:b w:val="0"/>
          <w:bCs/>
          <w:caps w:val="0"/>
        </w:rPr>
        <w:t xml:space="preserve">onsumers </w:t>
      </w:r>
      <w:r>
        <w:rPr>
          <w:b w:val="0"/>
          <w:bCs/>
          <w:caps w:val="0"/>
        </w:rPr>
        <w:t>t</w:t>
      </w:r>
      <w:r w:rsidRPr="003B596B">
        <w:rPr>
          <w:b w:val="0"/>
          <w:bCs/>
          <w:caps w:val="0"/>
        </w:rPr>
        <w:t xml:space="preserve">he </w:t>
      </w:r>
      <w:r>
        <w:rPr>
          <w:b w:val="0"/>
          <w:bCs/>
          <w:caps w:val="0"/>
        </w:rPr>
        <w:t>b</w:t>
      </w:r>
      <w:r w:rsidRPr="003B596B">
        <w:rPr>
          <w:b w:val="0"/>
          <w:bCs/>
          <w:caps w:val="0"/>
        </w:rPr>
        <w:t xml:space="preserve">enefit </w:t>
      </w:r>
      <w:r>
        <w:rPr>
          <w:b w:val="0"/>
          <w:bCs/>
          <w:caps w:val="0"/>
        </w:rPr>
        <w:t>o</w:t>
      </w:r>
      <w:r w:rsidRPr="003B596B">
        <w:rPr>
          <w:b w:val="0"/>
          <w:bCs/>
          <w:caps w:val="0"/>
        </w:rPr>
        <w:t xml:space="preserve">f </w:t>
      </w:r>
      <w:r>
        <w:rPr>
          <w:b w:val="0"/>
          <w:bCs/>
          <w:caps w:val="0"/>
        </w:rPr>
        <w:t>t</w:t>
      </w:r>
      <w:r w:rsidRPr="003B596B">
        <w:rPr>
          <w:b w:val="0"/>
          <w:bCs/>
          <w:caps w:val="0"/>
        </w:rPr>
        <w:t xml:space="preserve">he </w:t>
      </w:r>
      <w:r>
        <w:rPr>
          <w:b w:val="0"/>
          <w:bCs/>
          <w:caps w:val="0"/>
        </w:rPr>
        <w:t>f</w:t>
      </w:r>
      <w:r w:rsidRPr="003B596B">
        <w:rPr>
          <w:b w:val="0"/>
          <w:bCs/>
          <w:caps w:val="0"/>
        </w:rPr>
        <w:t xml:space="preserve">ederal </w:t>
      </w:r>
      <w:r>
        <w:rPr>
          <w:b w:val="0"/>
          <w:bCs/>
          <w:caps w:val="0"/>
        </w:rPr>
        <w:t>t</w:t>
      </w:r>
      <w:r w:rsidRPr="003B596B">
        <w:rPr>
          <w:b w:val="0"/>
          <w:bCs/>
          <w:caps w:val="0"/>
        </w:rPr>
        <w:t xml:space="preserve">ax </w:t>
      </w:r>
      <w:r>
        <w:rPr>
          <w:b w:val="0"/>
          <w:bCs/>
          <w:caps w:val="0"/>
        </w:rPr>
        <w:t>c</w:t>
      </w:r>
      <w:r w:rsidRPr="003B596B">
        <w:rPr>
          <w:b w:val="0"/>
          <w:bCs/>
          <w:caps w:val="0"/>
        </w:rPr>
        <w:t>uts.</w:t>
      </w:r>
      <w:bookmarkEnd w:id="3"/>
      <w:r w:rsidRPr="008A146A">
        <w:rPr>
          <w:caps w:val="0"/>
        </w:rPr>
        <w:t xml:space="preserve"> </w:t>
      </w:r>
    </w:p>
    <w:p w:rsidR="00DA4E9F" w:rsidRPr="00BF6B72" w:rsidP="003B596B" w14:paraId="76C7EB2D" w14:textId="3C75125F">
      <w:pPr>
        <w:pStyle w:val="Heading1"/>
        <w:numPr>
          <w:ilvl w:val="0"/>
          <w:numId w:val="0"/>
        </w:numPr>
        <w:spacing w:after="0" w:line="480" w:lineRule="auto"/>
        <w:ind w:left="720" w:hanging="720"/>
      </w:pPr>
      <w:bookmarkStart w:id="5" w:name="_Toc20221490"/>
      <w:r>
        <w:t>II.</w:t>
      </w:r>
      <w:r>
        <w:tab/>
      </w:r>
      <w:r w:rsidRPr="00BF6B72" w:rsidR="00496387">
        <w:t>RECOMMENDATIONS</w:t>
      </w:r>
      <w:bookmarkEnd w:id="4"/>
      <w:bookmarkEnd w:id="5"/>
    </w:p>
    <w:p w:rsidR="00383078" w:rsidP="0047361D" w14:paraId="17BD0E4B" w14:textId="084BC1EF">
      <w:pPr>
        <w:pStyle w:val="Heading2"/>
      </w:pPr>
      <w:bookmarkStart w:id="6" w:name="_Toc20151088"/>
      <w:bookmarkStart w:id="7" w:name="_Toc20221491"/>
      <w:r>
        <w:t xml:space="preserve">To benefit consumers, </w:t>
      </w:r>
      <w:r w:rsidRPr="00383078">
        <w:t xml:space="preserve">Duke should pass back savings from the federal tax </w:t>
      </w:r>
      <w:r>
        <w:t>cuts</w:t>
      </w:r>
      <w:r w:rsidRPr="00383078">
        <w:t xml:space="preserve"> through </w:t>
      </w:r>
      <w:r>
        <w:t>the tax savings</w:t>
      </w:r>
      <w:r w:rsidRPr="00383078">
        <w:t xml:space="preserve"> rider.</w:t>
      </w:r>
      <w:bookmarkEnd w:id="6"/>
      <w:bookmarkEnd w:id="7"/>
      <w:r w:rsidRPr="00383078">
        <w:t xml:space="preserve"> </w:t>
      </w:r>
    </w:p>
    <w:p w:rsidR="003A3452" w:rsidP="00AE6A44" w14:paraId="667E85DE" w14:textId="0EF671B4">
      <w:pPr>
        <w:spacing w:after="0" w:line="480" w:lineRule="auto"/>
        <w:ind w:firstLine="720"/>
      </w:pPr>
      <w:r>
        <w:t xml:space="preserve">In its </w:t>
      </w:r>
      <w:r w:rsidR="00AF7C2C">
        <w:t xml:space="preserve">Application and </w:t>
      </w:r>
      <w:r>
        <w:t xml:space="preserve">Brief, Duke </w:t>
      </w:r>
      <w:r w:rsidR="00F25A05">
        <w:t>asserts</w:t>
      </w:r>
      <w:r w:rsidR="00AF7C2C">
        <w:t xml:space="preserve"> that it should </w:t>
      </w:r>
      <w:r w:rsidR="00785BD2">
        <w:t xml:space="preserve">be permitted to </w:t>
      </w:r>
      <w:r w:rsidR="00AF7C2C">
        <w:t>pass back savings from the federal tax cuts through a reduction in base rates</w:t>
      </w:r>
      <w:r>
        <w:t>.</w:t>
      </w:r>
      <w:r w:rsidR="00754C6D">
        <w:t xml:space="preserve"> </w:t>
      </w:r>
      <w:r>
        <w:t>This differs from the</w:t>
      </w:r>
      <w:r w:rsidR="00754C6D">
        <w:t xml:space="preserve"> </w:t>
      </w:r>
      <w:r w:rsidR="00412AAE">
        <w:t>PUCO Staff and OCC</w:t>
      </w:r>
      <w:r w:rsidR="00754C6D">
        <w:t>’</w:t>
      </w:r>
      <w:r w:rsidR="00412AAE">
        <w:t xml:space="preserve">s recommendation to pass the reduction through </w:t>
      </w:r>
      <w:r w:rsidR="00785BD2">
        <w:t>the tax savings rider.</w:t>
      </w:r>
      <w:r>
        <w:rPr>
          <w:rStyle w:val="FootnoteReference"/>
        </w:rPr>
        <w:footnoteReference w:id="2"/>
      </w:r>
      <w:r>
        <w:t xml:space="preserve"> </w:t>
      </w:r>
    </w:p>
    <w:p w:rsidR="003A3452" w:rsidP="00AE6A44" w14:paraId="7248C425" w14:textId="5B0E56B3">
      <w:pPr>
        <w:spacing w:after="0" w:line="480" w:lineRule="auto"/>
        <w:ind w:firstLine="720"/>
      </w:pPr>
      <w:r>
        <w:t>Duke specifies three reasons for this assertion.</w:t>
      </w:r>
      <w:r>
        <w:rPr>
          <w:rStyle w:val="FootnoteReference"/>
        </w:rPr>
        <w:footnoteReference w:id="3"/>
      </w:r>
      <w:r>
        <w:t xml:space="preserve"> First, Duke claims that </w:t>
      </w:r>
      <w:r w:rsidR="00672AA3">
        <w:t xml:space="preserve">it would be </w:t>
      </w:r>
      <w:r w:rsidR="00412AAE">
        <w:t>“accurate and consistent” with the PUCO</w:t>
      </w:r>
      <w:r w:rsidR="00754C6D">
        <w:t>’</w:t>
      </w:r>
      <w:r w:rsidR="00412AAE">
        <w:t>s actions in other federal tax cuts cases.</w:t>
      </w:r>
      <w:r>
        <w:rPr>
          <w:rStyle w:val="FootnoteReference"/>
        </w:rPr>
        <w:footnoteReference w:id="4"/>
      </w:r>
      <w:r w:rsidR="00672AA3">
        <w:t xml:space="preserve"> Second, Duke claims that </w:t>
      </w:r>
      <w:r w:rsidR="00AE6A44">
        <w:t>this is the</w:t>
      </w:r>
      <w:r>
        <w:t xml:space="preserve"> most obvious and straightforward solution, </w:t>
      </w:r>
      <w:r w:rsidR="00853F1D">
        <w:t xml:space="preserve">so </w:t>
      </w:r>
      <w:r>
        <w:t xml:space="preserve">that the </w:t>
      </w:r>
      <w:r w:rsidR="00785BD2">
        <w:t>federal income tax</w:t>
      </w:r>
      <w:r>
        <w:t xml:space="preserve"> rate reduction going forward will apply in the exact same manner to each customer.</w:t>
      </w:r>
      <w:r>
        <w:rPr>
          <w:rStyle w:val="FootnoteReference"/>
        </w:rPr>
        <w:footnoteReference w:id="5"/>
      </w:r>
      <w:r>
        <w:t xml:space="preserve"> </w:t>
      </w:r>
      <w:r w:rsidR="00412AAE">
        <w:t xml:space="preserve">Finally, Duke claims that incorporating the federal tax cuts rate reduction into </w:t>
      </w:r>
      <w:r w:rsidR="00785BD2">
        <w:t>the tax savings rider</w:t>
      </w:r>
      <w:r w:rsidR="00412AAE">
        <w:t xml:space="preserve"> would impose an unnecessary burden on Duke, which PUCO Staff and OCC </w:t>
      </w:r>
      <w:r w:rsidR="00853F1D">
        <w:t xml:space="preserve">supposedly </w:t>
      </w:r>
      <w:r w:rsidR="00412AAE">
        <w:t>failed to consider.</w:t>
      </w:r>
      <w:r>
        <w:rPr>
          <w:rStyle w:val="FootnoteReference"/>
        </w:rPr>
        <w:footnoteReference w:id="6"/>
      </w:r>
      <w:r w:rsidR="00412AAE">
        <w:t xml:space="preserve"> </w:t>
      </w:r>
    </w:p>
    <w:p w:rsidR="007C0B7A" w:rsidP="00AE6A44" w14:paraId="4942E610" w14:textId="04A80FC4">
      <w:pPr>
        <w:spacing w:after="0" w:line="480" w:lineRule="auto"/>
        <w:ind w:firstLine="720"/>
      </w:pPr>
      <w:r>
        <w:t>Duke</w:t>
      </w:r>
      <w:r w:rsidR="00754C6D">
        <w:t>’</w:t>
      </w:r>
      <w:r>
        <w:t>s claims are wrong</w:t>
      </w:r>
      <w:r w:rsidR="00785BD2">
        <w:t xml:space="preserve">. The </w:t>
      </w:r>
      <w:r w:rsidR="0047361D">
        <w:t xml:space="preserve">PUCO should </w:t>
      </w:r>
      <w:r w:rsidR="00F25A05">
        <w:t>reject</w:t>
      </w:r>
      <w:r w:rsidR="00785BD2">
        <w:t xml:space="preserve"> Duke</w:t>
      </w:r>
      <w:r w:rsidR="00754C6D">
        <w:t>’</w:t>
      </w:r>
      <w:r w:rsidR="00785BD2">
        <w:t xml:space="preserve">s claims and </w:t>
      </w:r>
      <w:r w:rsidR="0047361D">
        <w:t xml:space="preserve">order </w:t>
      </w:r>
      <w:r w:rsidR="00F0179C">
        <w:t>it</w:t>
      </w:r>
      <w:r w:rsidR="0047361D">
        <w:t xml:space="preserve"> to pass the federal tax savings back through </w:t>
      </w:r>
      <w:r w:rsidR="00785BD2">
        <w:t>the tax savings rider</w:t>
      </w:r>
      <w:r>
        <w:t xml:space="preserve"> for </w:t>
      </w:r>
      <w:r w:rsidR="00F25A05">
        <w:t xml:space="preserve">the </w:t>
      </w:r>
      <w:r>
        <w:t xml:space="preserve">reasons </w:t>
      </w:r>
      <w:r w:rsidR="00F25A05">
        <w:t>described by</w:t>
      </w:r>
      <w:r>
        <w:t xml:space="preserve"> PUCO Staff and OCC</w:t>
      </w:r>
      <w:r w:rsidR="0047361D">
        <w:t>, as discussed below</w:t>
      </w:r>
      <w:r>
        <w:t>.</w:t>
      </w:r>
    </w:p>
    <w:p w:rsidR="00412AAE" w:rsidRPr="0047361D" w:rsidP="00073D0C" w14:paraId="2C24B05C" w14:textId="5C8D3CA4">
      <w:pPr>
        <w:pStyle w:val="Heading3"/>
      </w:pPr>
      <w:bookmarkStart w:id="8" w:name="_Toc20151089"/>
      <w:bookmarkStart w:id="9" w:name="_Toc20221492"/>
      <w:r w:rsidRPr="00073D0C">
        <w:rPr>
          <w:rStyle w:val="Heading3Char"/>
        </w:rPr>
        <w:t>Duke</w:t>
      </w:r>
      <w:r w:rsidR="00754C6D">
        <w:rPr>
          <w:rStyle w:val="Heading3Char"/>
        </w:rPr>
        <w:t>’</w:t>
      </w:r>
      <w:r w:rsidRPr="00073D0C">
        <w:rPr>
          <w:rStyle w:val="Heading3Char"/>
        </w:rPr>
        <w:t>s proposed base rate adjustment is inconsistent with the</w:t>
      </w:r>
      <w:r w:rsidRPr="0047361D">
        <w:t xml:space="preserve"> </w:t>
      </w:r>
      <w:r w:rsidRPr="00073D0C">
        <w:t>PUCO</w:t>
      </w:r>
      <w:r w:rsidR="00754C6D">
        <w:t>’</w:t>
      </w:r>
      <w:r w:rsidRPr="00073D0C">
        <w:t>s</w:t>
      </w:r>
      <w:r w:rsidRPr="0047361D">
        <w:t xml:space="preserve"> </w:t>
      </w:r>
      <w:r w:rsidR="00F25A05">
        <w:t>decisions</w:t>
      </w:r>
      <w:r w:rsidRPr="0047361D">
        <w:t xml:space="preserve"> in other federal tax cuts cases.</w:t>
      </w:r>
      <w:bookmarkEnd w:id="8"/>
      <w:bookmarkEnd w:id="9"/>
    </w:p>
    <w:p w:rsidR="001B123F" w:rsidP="00AE6A44" w14:paraId="0F0DE435" w14:textId="71830EE3">
      <w:pPr>
        <w:spacing w:after="0" w:line="480" w:lineRule="auto"/>
        <w:ind w:firstLine="720"/>
        <w:rPr>
          <w:rFonts w:cs="Times New Roman"/>
          <w:szCs w:val="24"/>
        </w:rPr>
      </w:pPr>
      <w:r w:rsidRPr="006E7641">
        <w:rPr>
          <w:rFonts w:cs="Times New Roman"/>
          <w:szCs w:val="24"/>
        </w:rPr>
        <w:t>Duke claims that it would be “accurate and consistent” with the PUCO</w:t>
      </w:r>
      <w:r w:rsidR="00754C6D">
        <w:rPr>
          <w:rFonts w:cs="Times New Roman"/>
          <w:szCs w:val="24"/>
        </w:rPr>
        <w:t>’</w:t>
      </w:r>
      <w:r w:rsidRPr="006E7641">
        <w:rPr>
          <w:rFonts w:cs="Times New Roman"/>
          <w:szCs w:val="24"/>
        </w:rPr>
        <w:t xml:space="preserve">s </w:t>
      </w:r>
      <w:r w:rsidR="00F25A05">
        <w:rPr>
          <w:rFonts w:cs="Times New Roman"/>
          <w:szCs w:val="24"/>
        </w:rPr>
        <w:t>decisions</w:t>
      </w:r>
      <w:r w:rsidRPr="006E7641">
        <w:rPr>
          <w:rFonts w:cs="Times New Roman"/>
          <w:szCs w:val="24"/>
        </w:rPr>
        <w:t xml:space="preserve"> in other federal tax cuts cases</w:t>
      </w:r>
      <w:r w:rsidRPr="006E7641" w:rsidR="00E37050">
        <w:rPr>
          <w:rFonts w:cs="Times New Roman"/>
          <w:szCs w:val="24"/>
        </w:rPr>
        <w:t xml:space="preserve"> to pass the federal tax </w:t>
      </w:r>
      <w:r w:rsidR="00340383">
        <w:rPr>
          <w:rFonts w:cs="Times New Roman"/>
          <w:szCs w:val="24"/>
        </w:rPr>
        <w:t>savings</w:t>
      </w:r>
      <w:r w:rsidRPr="006E7641" w:rsidR="00E37050">
        <w:rPr>
          <w:rFonts w:cs="Times New Roman"/>
          <w:szCs w:val="24"/>
        </w:rPr>
        <w:t xml:space="preserve"> back through a reduction in base rates</w:t>
      </w:r>
      <w:r w:rsidRPr="006E7641">
        <w:rPr>
          <w:rFonts w:cs="Times New Roman"/>
          <w:szCs w:val="24"/>
        </w:rPr>
        <w:t>.</w:t>
      </w:r>
      <w:r>
        <w:rPr>
          <w:rStyle w:val="FootnoteReference"/>
          <w:rFonts w:cs="Times New Roman"/>
          <w:szCs w:val="24"/>
        </w:rPr>
        <w:footnoteReference w:id="7"/>
      </w:r>
      <w:r w:rsidRPr="006E7641">
        <w:rPr>
          <w:rFonts w:cs="Times New Roman"/>
          <w:szCs w:val="24"/>
        </w:rPr>
        <w:t xml:space="preserve"> But Duke is incorrect.</w:t>
      </w:r>
      <w:r w:rsidRPr="006E7641" w:rsidR="00E37050">
        <w:rPr>
          <w:rFonts w:cs="Times New Roman"/>
          <w:szCs w:val="24"/>
        </w:rPr>
        <w:t xml:space="preserve"> In fact, the opposite is true</w:t>
      </w:r>
      <w:r w:rsidR="00F25A05">
        <w:rPr>
          <w:rFonts w:cs="Times New Roman"/>
          <w:szCs w:val="24"/>
        </w:rPr>
        <w:t>.</w:t>
      </w:r>
      <w:r w:rsidR="004358F3">
        <w:rPr>
          <w:rFonts w:cs="Times New Roman"/>
          <w:szCs w:val="24"/>
        </w:rPr>
        <w:t xml:space="preserve"> </w:t>
      </w:r>
      <w:r w:rsidR="005336DA">
        <w:rPr>
          <w:rFonts w:cs="Times New Roman"/>
          <w:szCs w:val="24"/>
        </w:rPr>
        <w:t>As</w:t>
      </w:r>
      <w:r w:rsidRPr="006E7641" w:rsidR="006E7641">
        <w:rPr>
          <w:rFonts w:cs="Times New Roman"/>
          <w:szCs w:val="24"/>
        </w:rPr>
        <w:t xml:space="preserve"> the PUCO Staff stated in its Brief, </w:t>
      </w:r>
      <w:r w:rsidRPr="006E7641">
        <w:rPr>
          <w:rFonts w:cs="Times New Roman"/>
          <w:szCs w:val="24"/>
        </w:rPr>
        <w:t xml:space="preserve">the </w:t>
      </w:r>
      <w:r w:rsidRPr="006E7641" w:rsidR="006E7641">
        <w:rPr>
          <w:rFonts w:cs="Times New Roman"/>
          <w:szCs w:val="24"/>
        </w:rPr>
        <w:t xml:space="preserve">federal tax </w:t>
      </w:r>
      <w:r w:rsidR="00FB05AC">
        <w:rPr>
          <w:rFonts w:cs="Times New Roman"/>
          <w:szCs w:val="24"/>
        </w:rPr>
        <w:t>savings</w:t>
      </w:r>
      <w:r w:rsidRPr="006E7641">
        <w:rPr>
          <w:rFonts w:cs="Times New Roman"/>
          <w:szCs w:val="24"/>
        </w:rPr>
        <w:t xml:space="preserve"> </w:t>
      </w:r>
      <w:r w:rsidR="005336DA">
        <w:rPr>
          <w:rFonts w:cs="Times New Roman"/>
          <w:szCs w:val="24"/>
        </w:rPr>
        <w:t>have been returned to</w:t>
      </w:r>
      <w:r w:rsidRPr="006E7641">
        <w:rPr>
          <w:rFonts w:cs="Times New Roman"/>
          <w:szCs w:val="24"/>
        </w:rPr>
        <w:t xml:space="preserve"> customers through a </w:t>
      </w:r>
      <w:r w:rsidR="005336DA">
        <w:rPr>
          <w:rFonts w:cs="Times New Roman"/>
          <w:szCs w:val="24"/>
        </w:rPr>
        <w:t>tax savings</w:t>
      </w:r>
      <w:r w:rsidRPr="006E7641">
        <w:rPr>
          <w:rFonts w:cs="Times New Roman"/>
          <w:szCs w:val="24"/>
        </w:rPr>
        <w:t xml:space="preserve"> rider</w:t>
      </w:r>
      <w:r w:rsidRPr="006E7641" w:rsidR="006E7641">
        <w:rPr>
          <w:rFonts w:cs="Times New Roman"/>
          <w:szCs w:val="24"/>
        </w:rPr>
        <w:t xml:space="preserve"> in most cases</w:t>
      </w:r>
      <w:r w:rsidRPr="006E7641">
        <w:rPr>
          <w:rFonts w:cs="Times New Roman"/>
          <w:szCs w:val="24"/>
        </w:rPr>
        <w:t>,</w:t>
      </w:r>
      <w:r w:rsidRPr="006E7641">
        <w:rPr>
          <w:rFonts w:cs="Times New Roman"/>
          <w:position w:val="10"/>
          <w:szCs w:val="24"/>
        </w:rPr>
        <w:t xml:space="preserve"> </w:t>
      </w:r>
      <w:r w:rsidRPr="006E7641">
        <w:rPr>
          <w:rFonts w:cs="Times New Roman"/>
          <w:szCs w:val="24"/>
        </w:rPr>
        <w:t xml:space="preserve">as is recommended by </w:t>
      </w:r>
      <w:r w:rsidR="005336DA">
        <w:rPr>
          <w:rFonts w:cs="Times New Roman"/>
          <w:szCs w:val="24"/>
        </w:rPr>
        <w:t xml:space="preserve">PUCO </w:t>
      </w:r>
      <w:r w:rsidRPr="006E7641">
        <w:rPr>
          <w:rFonts w:cs="Times New Roman"/>
          <w:szCs w:val="24"/>
        </w:rPr>
        <w:t>Staff and OCC in this case.</w:t>
      </w:r>
      <w:r>
        <w:rPr>
          <w:rStyle w:val="FootnoteReference"/>
          <w:rFonts w:cs="Times New Roman"/>
          <w:szCs w:val="24"/>
        </w:rPr>
        <w:footnoteReference w:id="8"/>
      </w:r>
      <w:r w:rsidR="00274669">
        <w:rPr>
          <w:rFonts w:cs="Times New Roman"/>
          <w:szCs w:val="24"/>
        </w:rPr>
        <w:t xml:space="preserve"> </w:t>
      </w:r>
      <w:r w:rsidR="005336DA">
        <w:rPr>
          <w:rFonts w:cs="Times New Roman"/>
          <w:szCs w:val="24"/>
        </w:rPr>
        <w:t>Further</w:t>
      </w:r>
      <w:r w:rsidR="00302825">
        <w:rPr>
          <w:rFonts w:cs="Times New Roman"/>
          <w:szCs w:val="24"/>
        </w:rPr>
        <w:t>, this is a single-issue case (federal taxes), and as OCC stated in its Initial Brief, “it has been the PUCO</w:t>
      </w:r>
      <w:r w:rsidR="00754C6D">
        <w:rPr>
          <w:rFonts w:cs="Times New Roman"/>
          <w:szCs w:val="24"/>
        </w:rPr>
        <w:t>’</w:t>
      </w:r>
      <w:r w:rsidR="00302825">
        <w:rPr>
          <w:rFonts w:cs="Times New Roman"/>
          <w:szCs w:val="24"/>
        </w:rPr>
        <w:t>s policy in recent years to consider and resolve base rate case matters in base rate cases while addressing single issues in single-issue related cases.”</w:t>
      </w:r>
      <w:r>
        <w:rPr>
          <w:rStyle w:val="FootnoteReference"/>
          <w:rFonts w:cs="Times New Roman"/>
          <w:szCs w:val="24"/>
        </w:rPr>
        <w:footnoteReference w:id="9"/>
      </w:r>
      <w:r w:rsidRPr="006E7641">
        <w:rPr>
          <w:rFonts w:cs="Times New Roman"/>
          <w:szCs w:val="24"/>
        </w:rPr>
        <w:t xml:space="preserve"> </w:t>
      </w:r>
      <w:r w:rsidR="00302825">
        <w:rPr>
          <w:rFonts w:cs="Times New Roman"/>
          <w:szCs w:val="24"/>
        </w:rPr>
        <w:t xml:space="preserve">Therefore, and as OCC </w:t>
      </w:r>
      <w:r w:rsidR="009B4252">
        <w:rPr>
          <w:rFonts w:cs="Times New Roman"/>
          <w:szCs w:val="24"/>
        </w:rPr>
        <w:t xml:space="preserve">observed </w:t>
      </w:r>
      <w:r w:rsidR="00302825">
        <w:rPr>
          <w:rFonts w:cs="Times New Roman"/>
          <w:szCs w:val="24"/>
        </w:rPr>
        <w:t xml:space="preserve">in its </w:t>
      </w:r>
      <w:r w:rsidR="00AE6A44">
        <w:rPr>
          <w:rFonts w:cs="Times New Roman"/>
          <w:szCs w:val="24"/>
        </w:rPr>
        <w:t xml:space="preserve">Initial </w:t>
      </w:r>
      <w:r w:rsidR="00302825">
        <w:rPr>
          <w:rFonts w:cs="Times New Roman"/>
          <w:szCs w:val="24"/>
        </w:rPr>
        <w:t xml:space="preserve">Brief, passing back all federal tax </w:t>
      </w:r>
      <w:r w:rsidR="00340383">
        <w:rPr>
          <w:rFonts w:cs="Times New Roman"/>
          <w:szCs w:val="24"/>
        </w:rPr>
        <w:t>savings</w:t>
      </w:r>
      <w:r w:rsidR="00302825">
        <w:rPr>
          <w:rFonts w:cs="Times New Roman"/>
          <w:szCs w:val="24"/>
        </w:rPr>
        <w:t xml:space="preserve"> </w:t>
      </w:r>
      <w:r w:rsidR="00340383">
        <w:rPr>
          <w:rFonts w:cs="Times New Roman"/>
          <w:szCs w:val="24"/>
        </w:rPr>
        <w:t>through</w:t>
      </w:r>
      <w:r w:rsidR="00302825">
        <w:rPr>
          <w:rFonts w:cs="Times New Roman"/>
          <w:szCs w:val="24"/>
        </w:rPr>
        <w:t xml:space="preserve"> the tax savings rider is consistent with PUCO practices</w:t>
      </w:r>
      <w:r w:rsidR="00D91CED">
        <w:rPr>
          <w:rFonts w:cs="Times New Roman"/>
          <w:szCs w:val="24"/>
        </w:rPr>
        <w:t>, while Duke</w:t>
      </w:r>
      <w:r w:rsidR="00754C6D">
        <w:rPr>
          <w:rFonts w:cs="Times New Roman"/>
          <w:szCs w:val="24"/>
        </w:rPr>
        <w:t>’</w:t>
      </w:r>
      <w:r w:rsidR="00340383">
        <w:rPr>
          <w:rFonts w:cs="Times New Roman"/>
          <w:szCs w:val="24"/>
        </w:rPr>
        <w:t>s</w:t>
      </w:r>
      <w:r w:rsidR="00D91CED">
        <w:rPr>
          <w:rFonts w:cs="Times New Roman"/>
          <w:szCs w:val="24"/>
        </w:rPr>
        <w:t xml:space="preserve"> proposal to pass the savings through a base</w:t>
      </w:r>
      <w:r w:rsidR="00F0179C">
        <w:rPr>
          <w:rFonts w:cs="Times New Roman"/>
          <w:szCs w:val="24"/>
        </w:rPr>
        <w:t>-</w:t>
      </w:r>
      <w:r w:rsidR="00D91CED">
        <w:rPr>
          <w:rFonts w:cs="Times New Roman"/>
          <w:szCs w:val="24"/>
        </w:rPr>
        <w:t>rate adjustment is not</w:t>
      </w:r>
      <w:r w:rsidR="00302825">
        <w:rPr>
          <w:rFonts w:cs="Times New Roman"/>
          <w:szCs w:val="24"/>
        </w:rPr>
        <w:t>.</w:t>
      </w:r>
      <w:r>
        <w:rPr>
          <w:rStyle w:val="FootnoteReference"/>
          <w:rFonts w:cs="Times New Roman"/>
          <w:szCs w:val="24"/>
        </w:rPr>
        <w:footnoteReference w:id="10"/>
      </w:r>
    </w:p>
    <w:p w:rsidR="00C6752A" w:rsidRPr="00C6752A" w:rsidP="00073D0C" w14:paraId="3D699EE9" w14:textId="09172F39">
      <w:pPr>
        <w:pStyle w:val="Heading3"/>
      </w:pPr>
      <w:bookmarkStart w:id="10" w:name="_Toc20151090"/>
      <w:bookmarkStart w:id="11" w:name="_Toc20221493"/>
      <w:r w:rsidRPr="00C6752A">
        <w:t xml:space="preserve">To protect consumers, the </w:t>
      </w:r>
      <w:r>
        <w:t xml:space="preserve">PUCO should follow its own precedent and pass back to consumers the </w:t>
      </w:r>
      <w:r w:rsidRPr="00C6752A">
        <w:t>federal tax cuts in the most transparent way possible.</w:t>
      </w:r>
      <w:bookmarkEnd w:id="10"/>
      <w:bookmarkEnd w:id="11"/>
    </w:p>
    <w:p w:rsidR="00685102" w:rsidP="00AE6A44" w14:paraId="70C89387" w14:textId="49E5F08F">
      <w:pPr>
        <w:spacing w:after="0" w:line="480" w:lineRule="auto"/>
        <w:ind w:firstLine="720"/>
        <w:rPr>
          <w:rFonts w:ascii="TimesNewRomanPSMT" w:hAnsi="TimesNewRomanPSMT"/>
        </w:rPr>
      </w:pPr>
      <w:r>
        <w:rPr>
          <w:rFonts w:cs="Times New Roman"/>
          <w:szCs w:val="24"/>
        </w:rPr>
        <w:t>Duke is also seemingly concerned about and resistant to passing the tax savings back in the most transparent way possible</w:t>
      </w:r>
      <w:r w:rsidR="00AE6A44">
        <w:rPr>
          <w:rFonts w:cs="Times New Roman"/>
          <w:szCs w:val="24"/>
        </w:rPr>
        <w:t>,</w:t>
      </w:r>
      <w:r w:rsidR="00A11ADB">
        <w:rPr>
          <w:rFonts w:cs="Times New Roman"/>
          <w:szCs w:val="24"/>
        </w:rPr>
        <w:t xml:space="preserve"> as OCC and PUCO have advocated</w:t>
      </w:r>
      <w:r>
        <w:rPr>
          <w:rFonts w:cs="Times New Roman"/>
          <w:szCs w:val="24"/>
        </w:rPr>
        <w:t>.</w:t>
      </w:r>
      <w:r>
        <w:rPr>
          <w:rStyle w:val="FootnoteReference"/>
          <w:rFonts w:cs="Times New Roman"/>
          <w:szCs w:val="24"/>
        </w:rPr>
        <w:footnoteReference w:id="11"/>
      </w:r>
      <w:r>
        <w:rPr>
          <w:rFonts w:cs="Times New Roman"/>
          <w:szCs w:val="24"/>
        </w:rPr>
        <w:t xml:space="preserve"> Duke argues that </w:t>
      </w:r>
      <w:r w:rsidR="005336DA">
        <w:rPr>
          <w:rFonts w:cs="Times New Roman"/>
          <w:szCs w:val="24"/>
        </w:rPr>
        <w:t>requiring</w:t>
      </w:r>
      <w:r>
        <w:rPr>
          <w:rFonts w:cs="Times New Roman"/>
          <w:szCs w:val="24"/>
        </w:rPr>
        <w:t xml:space="preserve"> transparency is inconsistent with PUCO practice and that the PUCO has previously accepted federal tax savings that did not provide customers a “discreet line item” on their bill to reflect the tax savings.</w:t>
      </w:r>
      <w:r>
        <w:rPr>
          <w:rStyle w:val="FootnoteReference"/>
          <w:rFonts w:cs="Times New Roman"/>
          <w:szCs w:val="24"/>
        </w:rPr>
        <w:footnoteReference w:id="12"/>
      </w:r>
      <w:r>
        <w:rPr>
          <w:rFonts w:cs="Times New Roman"/>
          <w:szCs w:val="24"/>
        </w:rPr>
        <w:t xml:space="preserve"> </w:t>
      </w:r>
    </w:p>
    <w:p w:rsidR="00685102" w:rsidP="00AE6A44" w14:paraId="34041B9A" w14:textId="1659F069">
      <w:pPr>
        <w:spacing w:after="0" w:line="480" w:lineRule="auto"/>
        <w:ind w:firstLine="720"/>
        <w:rPr>
          <w:rFonts w:ascii="TimesNewRomanPSMT" w:hAnsi="TimesNewRomanPSMT"/>
        </w:rPr>
      </w:pPr>
      <w:r>
        <w:rPr>
          <w:rFonts w:cs="Times New Roman"/>
          <w:szCs w:val="24"/>
        </w:rPr>
        <w:t>But a</w:t>
      </w:r>
      <w:r w:rsidR="00FB05AC">
        <w:rPr>
          <w:rFonts w:cs="Times New Roman"/>
          <w:szCs w:val="24"/>
        </w:rPr>
        <w:t>s OCC advocated in its Initial Brief, c</w:t>
      </w:r>
      <w:r w:rsidRPr="00602552" w:rsidR="00FB05AC">
        <w:rPr>
          <w:rFonts w:ascii="TimesNewRomanPSMT" w:hAnsi="TimesNewRomanPSMT"/>
        </w:rPr>
        <w:t xml:space="preserve">onsumers deserve to benefit </w:t>
      </w:r>
      <w:r w:rsidR="00FB05AC">
        <w:rPr>
          <w:rFonts w:ascii="TimesNewRomanPSMT" w:hAnsi="TimesNewRomanPSMT"/>
        </w:rPr>
        <w:t xml:space="preserve">from the tax savings </w:t>
      </w:r>
      <w:r w:rsidRPr="00602552" w:rsidR="00FB05AC">
        <w:rPr>
          <w:rFonts w:ascii="TimesNewRomanPSMT" w:hAnsi="TimesNewRomanPSMT"/>
        </w:rPr>
        <w:t>as soon as possible, and in the most transparent way possible</w:t>
      </w:r>
      <w:r w:rsidR="00FB05AC">
        <w:rPr>
          <w:rFonts w:ascii="TimesNewRomanPSMT" w:hAnsi="TimesNewRomanPSMT"/>
        </w:rPr>
        <w:t>.</w:t>
      </w:r>
      <w:r>
        <w:rPr>
          <w:rStyle w:val="FootnoteReference"/>
          <w:rFonts w:ascii="TimesNewRomanPSMT" w:hAnsi="TimesNewRomanPSMT"/>
        </w:rPr>
        <w:footnoteReference w:id="13"/>
      </w:r>
      <w:r w:rsidRPr="00602552" w:rsidR="00FB05AC">
        <w:rPr>
          <w:rFonts w:ascii="TimesNewRomanPSMT" w:hAnsi="TimesNewRomanPSMT"/>
        </w:rPr>
        <w:t xml:space="preserve"> </w:t>
      </w:r>
      <w:r w:rsidR="00A11ADB">
        <w:rPr>
          <w:rFonts w:ascii="TimesNewRomanPSMT" w:hAnsi="TimesNewRomanPSMT"/>
        </w:rPr>
        <w:t xml:space="preserve">Both OCC and the PUCO Staff have argued that providing the </w:t>
      </w:r>
      <w:r w:rsidR="00990760">
        <w:rPr>
          <w:rFonts w:ascii="TimesNewRomanPSMT" w:hAnsi="TimesNewRomanPSMT"/>
        </w:rPr>
        <w:t xml:space="preserve">single-issue </w:t>
      </w:r>
      <w:r w:rsidR="00A11ADB">
        <w:rPr>
          <w:rFonts w:ascii="TimesNewRomanPSMT" w:hAnsi="TimesNewRomanPSMT"/>
        </w:rPr>
        <w:t xml:space="preserve">federal tax savings as a direct credit to consumers, via the tax savings rider, </w:t>
      </w:r>
      <w:r w:rsidRPr="00602552" w:rsidR="007A6265">
        <w:rPr>
          <w:rFonts w:ascii="TimesNewRomanPSMT" w:hAnsi="TimesNewRomanPSMT"/>
        </w:rPr>
        <w:t>is the most transparent way of demonstrating to customers that they are</w:t>
      </w:r>
      <w:r w:rsidR="007A6265">
        <w:rPr>
          <w:rFonts w:ascii="TimesNewRomanPSMT" w:hAnsi="TimesNewRomanPSMT"/>
        </w:rPr>
        <w:t xml:space="preserve"> receiving the benefits of the lower federal income tax rates resulting from the </w:t>
      </w:r>
      <w:r w:rsidR="00A11ADB">
        <w:rPr>
          <w:rFonts w:ascii="TimesNewRomanPSMT" w:hAnsi="TimesNewRomanPSMT"/>
        </w:rPr>
        <w:t>federal tax cuts</w:t>
      </w:r>
      <w:r w:rsidR="007A6265">
        <w:rPr>
          <w:rFonts w:ascii="TimesNewRomanPSMT" w:hAnsi="TimesNewRomanPSMT"/>
        </w:rPr>
        <w:t>.</w:t>
      </w:r>
      <w:r>
        <w:rPr>
          <w:rStyle w:val="FootnoteReference"/>
          <w:rFonts w:ascii="TimesNewRomanPSMT" w:hAnsi="TimesNewRomanPSMT"/>
        </w:rPr>
        <w:footnoteReference w:id="14"/>
      </w:r>
      <w:r w:rsidR="00990760">
        <w:rPr>
          <w:rFonts w:ascii="TimesNewRomanPSMT" w:hAnsi="TimesNewRomanPSMT"/>
        </w:rPr>
        <w:t xml:space="preserve"> </w:t>
      </w:r>
      <w:r>
        <w:rPr>
          <w:rFonts w:ascii="TimesNewRomanPSMT" w:hAnsi="TimesNewRomanPSMT"/>
        </w:rPr>
        <w:t>And a</w:t>
      </w:r>
      <w:r w:rsidR="00990760">
        <w:rPr>
          <w:rFonts w:ascii="TimesNewRomanPSMT" w:hAnsi="TimesNewRomanPSMT"/>
        </w:rPr>
        <w:t xml:space="preserve">lthough Duke tries to point to cases where the PUCO has accepted federal tax savings </w:t>
      </w:r>
      <w:r w:rsidR="0066225D">
        <w:rPr>
          <w:rFonts w:ascii="TimesNewRomanPSMT" w:hAnsi="TimesNewRomanPSMT"/>
        </w:rPr>
        <w:t xml:space="preserve">in base rates, instead of a bill line item, </w:t>
      </w:r>
      <w:r w:rsidR="00990760">
        <w:rPr>
          <w:rFonts w:ascii="TimesNewRomanPSMT" w:hAnsi="TimesNewRomanPSMT"/>
        </w:rPr>
        <w:t>Duke mischaracterizes those cases.</w:t>
      </w:r>
      <w:r>
        <w:rPr>
          <w:rStyle w:val="FootnoteReference"/>
          <w:rFonts w:ascii="TimesNewRomanPSMT" w:hAnsi="TimesNewRomanPSMT"/>
        </w:rPr>
        <w:footnoteReference w:id="15"/>
      </w:r>
      <w:r w:rsidR="00990760">
        <w:rPr>
          <w:rFonts w:ascii="TimesNewRomanPSMT" w:hAnsi="TimesNewRomanPSMT"/>
        </w:rPr>
        <w:t xml:space="preserve"> </w:t>
      </w:r>
    </w:p>
    <w:p w:rsidR="00AE6A44" w:rsidP="000479D7" w14:paraId="604A253A" w14:textId="6AE09BD4">
      <w:pPr>
        <w:autoSpaceDE w:val="0"/>
        <w:autoSpaceDN w:val="0"/>
        <w:adjustRightInd w:val="0"/>
        <w:spacing w:after="0" w:line="480" w:lineRule="auto"/>
        <w:ind w:firstLine="720"/>
        <w:rPr>
          <w:rFonts w:ascii="TimesNewRomanPSMT" w:hAnsi="TimesNewRomanPSMT"/>
        </w:rPr>
      </w:pPr>
      <w:r>
        <w:rPr>
          <w:rFonts w:ascii="TimesNewRomanPSMT" w:hAnsi="TimesNewRomanPSMT"/>
        </w:rPr>
        <w:t>In the Dayton Power and Light</w:t>
      </w:r>
      <w:r w:rsidR="00685102">
        <w:rPr>
          <w:rFonts w:ascii="TimesNewRomanPSMT" w:hAnsi="TimesNewRomanPSMT"/>
        </w:rPr>
        <w:t xml:space="preserve"> and </w:t>
      </w:r>
      <w:r>
        <w:rPr>
          <w:rFonts w:ascii="TimesNewRomanPSMT" w:hAnsi="TimesNewRomanPSMT"/>
        </w:rPr>
        <w:t>Vectren cases cited</w:t>
      </w:r>
      <w:r w:rsidR="00754C6D">
        <w:rPr>
          <w:rFonts w:ascii="TimesNewRomanPSMT" w:hAnsi="TimesNewRomanPSMT"/>
        </w:rPr>
        <w:t xml:space="preserve"> </w:t>
      </w:r>
      <w:r>
        <w:rPr>
          <w:rFonts w:ascii="TimesNewRomanPSMT" w:hAnsi="TimesNewRomanPSMT"/>
        </w:rPr>
        <w:t xml:space="preserve">by Duke, the federal tax savings were </w:t>
      </w:r>
      <w:r w:rsidR="00853F1D">
        <w:rPr>
          <w:rFonts w:ascii="TimesNewRomanPSMT" w:hAnsi="TimesNewRomanPSMT"/>
        </w:rPr>
        <w:t xml:space="preserve">being </w:t>
      </w:r>
      <w:r>
        <w:rPr>
          <w:rFonts w:ascii="TimesNewRomanPSMT" w:hAnsi="TimesNewRomanPSMT"/>
        </w:rPr>
        <w:t>address</w:t>
      </w:r>
      <w:r w:rsidR="00A5094B">
        <w:rPr>
          <w:rFonts w:ascii="TimesNewRomanPSMT" w:hAnsi="TimesNewRomanPSMT"/>
        </w:rPr>
        <w:t>ed</w:t>
      </w:r>
      <w:r>
        <w:rPr>
          <w:rFonts w:ascii="TimesNewRomanPSMT" w:hAnsi="TimesNewRomanPSMT"/>
        </w:rPr>
        <w:t xml:space="preserve"> in a </w:t>
      </w:r>
      <w:r>
        <w:rPr>
          <w:rFonts w:ascii="TimesNewRomanPSMT" w:hAnsi="TimesNewRomanPSMT"/>
          <w:i/>
          <w:iCs/>
        </w:rPr>
        <w:t>base-rate case</w:t>
      </w:r>
      <w:r>
        <w:rPr>
          <w:rFonts w:ascii="TimesNewRomanPSMT" w:hAnsi="TimesNewRomanPSMT"/>
        </w:rPr>
        <w:t>, which is not a single-issue ratemaking case</w:t>
      </w:r>
      <w:r w:rsidR="005336DA">
        <w:rPr>
          <w:rFonts w:ascii="TimesNewRomanPSMT" w:hAnsi="TimesNewRomanPSMT"/>
        </w:rPr>
        <w:t xml:space="preserve"> like this one</w:t>
      </w:r>
      <w:r>
        <w:rPr>
          <w:rFonts w:ascii="TimesNewRomanPSMT" w:hAnsi="TimesNewRomanPSMT"/>
        </w:rPr>
        <w:t>.</w:t>
      </w:r>
      <w:r>
        <w:rPr>
          <w:rStyle w:val="FootnoteReference"/>
          <w:rFonts w:ascii="TimesNewRomanPSMT" w:hAnsi="TimesNewRomanPSMT"/>
        </w:rPr>
        <w:footnoteReference w:id="16"/>
      </w:r>
      <w:r>
        <w:rPr>
          <w:rFonts w:ascii="TimesNewRomanPSMT" w:hAnsi="TimesNewRomanPSMT"/>
        </w:rPr>
        <w:t xml:space="preserve"> </w:t>
      </w:r>
      <w:r w:rsidR="00685102">
        <w:rPr>
          <w:rFonts w:ascii="TimesNewRomanPSMT" w:hAnsi="TimesNewRomanPSMT"/>
        </w:rPr>
        <w:t>In the Columbia case</w:t>
      </w:r>
      <w:r w:rsidR="0066225D">
        <w:rPr>
          <w:rFonts w:ascii="TimesNewRomanPSMT" w:hAnsi="TimesNewRomanPSMT"/>
        </w:rPr>
        <w:t>,</w:t>
      </w:r>
      <w:r>
        <w:rPr>
          <w:rStyle w:val="FootnoteReference"/>
          <w:rFonts w:ascii="TimesNewRomanPSMT" w:hAnsi="TimesNewRomanPSMT"/>
        </w:rPr>
        <w:footnoteReference w:id="17"/>
      </w:r>
      <w:r w:rsidR="00685102">
        <w:rPr>
          <w:rFonts w:ascii="TimesNewRomanPSMT" w:hAnsi="TimesNewRomanPSMT"/>
        </w:rPr>
        <w:t xml:space="preserve"> although not a base</w:t>
      </w:r>
      <w:r>
        <w:rPr>
          <w:rFonts w:ascii="TimesNewRomanPSMT" w:hAnsi="TimesNewRomanPSMT"/>
        </w:rPr>
        <w:t>-</w:t>
      </w:r>
      <w:r w:rsidR="00685102">
        <w:rPr>
          <w:rFonts w:ascii="TimesNewRomanPSMT" w:hAnsi="TimesNewRomanPSMT"/>
        </w:rPr>
        <w:t>rate case, there were several rate changes that were occurring, which Duke acknowledged.</w:t>
      </w:r>
      <w:r>
        <w:rPr>
          <w:rStyle w:val="FootnoteReference"/>
          <w:rFonts w:ascii="TimesNewRomanPSMT" w:hAnsi="TimesNewRomanPSMT"/>
        </w:rPr>
        <w:footnoteReference w:id="18"/>
      </w:r>
      <w:r w:rsidR="00685102">
        <w:rPr>
          <w:rFonts w:ascii="TimesNewRomanPSMT" w:hAnsi="TimesNewRomanPSMT"/>
        </w:rPr>
        <w:t xml:space="preserve"> Not one of the cases relied on by Duke involved </w:t>
      </w:r>
      <w:r w:rsidR="00685102">
        <w:rPr>
          <w:rFonts w:ascii="TimesNewRomanPSMT" w:hAnsi="TimesNewRomanPSMT"/>
          <w:i/>
          <w:iCs/>
        </w:rPr>
        <w:t xml:space="preserve">single-issue </w:t>
      </w:r>
      <w:r w:rsidR="00685102">
        <w:rPr>
          <w:rFonts w:ascii="TimesNewRomanPSMT" w:hAnsi="TimesNewRomanPSMT"/>
        </w:rPr>
        <w:t>ratemaking.</w:t>
      </w:r>
      <w:r>
        <w:rPr>
          <w:rStyle w:val="FootnoteReference"/>
          <w:rFonts w:ascii="TimesNewRomanPSMT" w:hAnsi="TimesNewRomanPSMT"/>
        </w:rPr>
        <w:footnoteReference w:id="19"/>
      </w:r>
      <w:r w:rsidR="00685102">
        <w:rPr>
          <w:rFonts w:ascii="TimesNewRomanPSMT" w:hAnsi="TimesNewRomanPSMT"/>
        </w:rPr>
        <w:t xml:space="preserve"> </w:t>
      </w:r>
      <w:r>
        <w:rPr>
          <w:rFonts w:ascii="TimesNewRomanPSMT" w:hAnsi="TimesNewRomanPSMT"/>
        </w:rPr>
        <w:t>This is a critical distinction</w:t>
      </w:r>
      <w:r w:rsidR="00685102">
        <w:rPr>
          <w:rFonts w:ascii="TimesNewRomanPSMT" w:hAnsi="TimesNewRomanPSMT"/>
        </w:rPr>
        <w:t>, because the PUCO has never approved</w:t>
      </w:r>
      <w:r w:rsidR="0066225D">
        <w:rPr>
          <w:rFonts w:ascii="TimesNewRomanPSMT" w:hAnsi="TimesNewRomanPSMT"/>
        </w:rPr>
        <w:t xml:space="preserve"> </w:t>
      </w:r>
      <w:r w:rsidR="00FB05AC">
        <w:rPr>
          <w:rFonts w:ascii="TimesNewRomanPSMT" w:hAnsi="TimesNewRomanPSMT"/>
        </w:rPr>
        <w:t xml:space="preserve">a </w:t>
      </w:r>
      <w:r w:rsidR="0066225D">
        <w:rPr>
          <w:rFonts w:ascii="TimesNewRomanPSMT" w:hAnsi="TimesNewRomanPSMT"/>
          <w:i/>
          <w:iCs/>
        </w:rPr>
        <w:t>single-issue</w:t>
      </w:r>
      <w:r w:rsidR="00685102">
        <w:rPr>
          <w:rFonts w:ascii="TimesNewRomanPSMT" w:hAnsi="TimesNewRomanPSMT"/>
        </w:rPr>
        <w:t xml:space="preserve"> change in base</w:t>
      </w:r>
      <w:r w:rsidR="00F0179C">
        <w:rPr>
          <w:rFonts w:ascii="TimesNewRomanPSMT" w:hAnsi="TimesNewRomanPSMT"/>
        </w:rPr>
        <w:t>-</w:t>
      </w:r>
      <w:r w:rsidR="00685102">
        <w:rPr>
          <w:rFonts w:ascii="TimesNewRomanPSMT" w:hAnsi="TimesNewRomanPSMT"/>
        </w:rPr>
        <w:t>rates outside of a base</w:t>
      </w:r>
      <w:r>
        <w:rPr>
          <w:rFonts w:ascii="TimesNewRomanPSMT" w:hAnsi="TimesNewRomanPSMT"/>
        </w:rPr>
        <w:t>-</w:t>
      </w:r>
      <w:r w:rsidR="00685102">
        <w:rPr>
          <w:rFonts w:ascii="TimesNewRomanPSMT" w:hAnsi="TimesNewRomanPSMT"/>
        </w:rPr>
        <w:t>rate case</w:t>
      </w:r>
      <w:r w:rsidR="00FB05AC">
        <w:rPr>
          <w:rFonts w:ascii="TimesNewRomanPSMT" w:hAnsi="TimesNewRomanPSMT"/>
        </w:rPr>
        <w:t>.</w:t>
      </w:r>
      <w:r>
        <w:rPr>
          <w:rStyle w:val="FootnoteReference"/>
          <w:rFonts w:ascii="TimesNewRomanPSMT" w:hAnsi="TimesNewRomanPSMT"/>
        </w:rPr>
        <w:footnoteReference w:id="20"/>
      </w:r>
      <w:r w:rsidR="00685102">
        <w:rPr>
          <w:rFonts w:ascii="TimesNewRomanPSMT" w:hAnsi="TimesNewRomanPSMT"/>
        </w:rPr>
        <w:t xml:space="preserve"> </w:t>
      </w:r>
      <w:r w:rsidR="005336DA">
        <w:rPr>
          <w:rFonts w:cs="Times New Roman"/>
          <w:szCs w:val="24"/>
        </w:rPr>
        <w:t>It</w:t>
      </w:r>
      <w:r w:rsidRPr="00FB05AC" w:rsidR="00FB05AC">
        <w:rPr>
          <w:rFonts w:cs="Times New Roman"/>
          <w:szCs w:val="24"/>
        </w:rPr>
        <w:t xml:space="preserve"> is well settled</w:t>
      </w:r>
      <w:r w:rsidR="00FB05AC">
        <w:rPr>
          <w:rFonts w:ascii="TimesNewRomanPSMT" w:hAnsi="TimesNewRomanPSMT"/>
        </w:rPr>
        <w:t xml:space="preserve"> that </w:t>
      </w:r>
      <w:r w:rsidR="00FB05AC">
        <w:t>the PUCO should follow its precedent except where the need to depart from the precedent is clear and the prior decision was in error</w:t>
      </w:r>
      <w:r w:rsidR="00FB05AC">
        <w:rPr>
          <w:rFonts w:ascii="TimesNewRomanPSMT" w:hAnsi="TimesNewRomanPSMT"/>
        </w:rPr>
        <w:t>.</w:t>
      </w:r>
      <w:r>
        <w:rPr>
          <w:rStyle w:val="FootnoteReference"/>
          <w:rFonts w:ascii="TimesNewRomanPSMT" w:hAnsi="TimesNewRomanPSMT"/>
        </w:rPr>
        <w:footnoteReference w:id="21"/>
      </w:r>
      <w:r w:rsidR="00FB05AC">
        <w:rPr>
          <w:rFonts w:ascii="TimesNewRomanPSMT" w:hAnsi="TimesNewRomanPSMT"/>
        </w:rPr>
        <w:t xml:space="preserve"> </w:t>
      </w:r>
    </w:p>
    <w:p w:rsidR="005F5767" w:rsidRPr="00990760" w:rsidP="000479D7" w14:paraId="094A7169" w14:textId="49D81AD1">
      <w:pPr>
        <w:autoSpaceDE w:val="0"/>
        <w:autoSpaceDN w:val="0"/>
        <w:adjustRightInd w:val="0"/>
        <w:spacing w:after="0" w:line="480" w:lineRule="auto"/>
        <w:ind w:firstLine="720"/>
        <w:rPr>
          <w:rFonts w:ascii="TimesNewRomanPSMT" w:hAnsi="TimesNewRomanPSMT"/>
        </w:rPr>
      </w:pPr>
      <w:r>
        <w:rPr>
          <w:rFonts w:ascii="TimesNewRomanPSMT" w:hAnsi="TimesNewRomanPSMT"/>
        </w:rPr>
        <w:t xml:space="preserve">As OCC Witness Adkins testified, “The </w:t>
      </w:r>
      <w:r w:rsidRPr="00FB05AC">
        <w:rPr>
          <w:rFonts w:cs="Times New Roman"/>
          <w:szCs w:val="24"/>
        </w:rPr>
        <w:t>Commission typically changes base rates through a base rate proceeding and single issues such as this, this is a single issue, then that</w:t>
      </w:r>
      <w:r w:rsidR="00754C6D">
        <w:rPr>
          <w:rFonts w:cs="Times New Roman"/>
          <w:szCs w:val="24"/>
        </w:rPr>
        <w:t>’</w:t>
      </w:r>
      <w:r w:rsidRPr="00FB05AC">
        <w:rPr>
          <w:rFonts w:cs="Times New Roman"/>
          <w:szCs w:val="24"/>
        </w:rPr>
        <w:t>s consistent, Commission typically does that</w:t>
      </w:r>
      <w:r>
        <w:rPr>
          <w:rFonts w:cs="Times New Roman"/>
          <w:szCs w:val="24"/>
        </w:rPr>
        <w:t xml:space="preserve"> </w:t>
      </w:r>
      <w:r w:rsidRPr="00FB05AC">
        <w:rPr>
          <w:rFonts w:cs="Times New Roman"/>
          <w:szCs w:val="24"/>
        </w:rPr>
        <w:t>through riders evidenced by the proliferation of</w:t>
      </w:r>
      <w:r>
        <w:rPr>
          <w:rFonts w:cs="Times New Roman"/>
          <w:szCs w:val="24"/>
        </w:rPr>
        <w:t xml:space="preserve"> </w:t>
      </w:r>
      <w:r w:rsidRPr="00FB05AC">
        <w:rPr>
          <w:rFonts w:cs="Times New Roman"/>
          <w:szCs w:val="24"/>
        </w:rPr>
        <w:t>riders across all utilities.</w:t>
      </w:r>
      <w:r>
        <w:rPr>
          <w:rFonts w:cs="Times New Roman"/>
          <w:szCs w:val="24"/>
        </w:rPr>
        <w:t>”</w:t>
      </w:r>
      <w:r>
        <w:rPr>
          <w:rStyle w:val="FootnoteReference"/>
          <w:rFonts w:cs="Times New Roman"/>
          <w:szCs w:val="24"/>
        </w:rPr>
        <w:footnoteReference w:id="22"/>
      </w:r>
      <w:r w:rsidRPr="00FB05AC">
        <w:rPr>
          <w:rFonts w:cs="Times New Roman"/>
          <w:szCs w:val="24"/>
        </w:rPr>
        <w:t xml:space="preserve"> </w:t>
      </w:r>
      <w:r>
        <w:rPr>
          <w:rFonts w:cs="Times New Roman"/>
          <w:szCs w:val="24"/>
        </w:rPr>
        <w:t>Therefore, w</w:t>
      </w:r>
      <w:r w:rsidR="00990760">
        <w:rPr>
          <w:rFonts w:ascii="TimesNewRomanPSMT" w:hAnsi="TimesNewRomanPSMT"/>
        </w:rPr>
        <w:t>hile it is completely proper to pass a credit through base</w:t>
      </w:r>
      <w:r w:rsidR="00F0179C">
        <w:rPr>
          <w:rFonts w:ascii="TimesNewRomanPSMT" w:hAnsi="TimesNewRomanPSMT"/>
        </w:rPr>
        <w:t>-</w:t>
      </w:r>
      <w:r w:rsidR="00990760">
        <w:rPr>
          <w:rFonts w:ascii="TimesNewRomanPSMT" w:hAnsi="TimesNewRomanPSMT"/>
        </w:rPr>
        <w:t>rates in a base</w:t>
      </w:r>
      <w:r w:rsidR="00F0179C">
        <w:rPr>
          <w:rFonts w:ascii="TimesNewRomanPSMT" w:hAnsi="TimesNewRomanPSMT"/>
        </w:rPr>
        <w:t>-</w:t>
      </w:r>
      <w:r w:rsidR="00990760">
        <w:rPr>
          <w:rFonts w:ascii="TimesNewRomanPSMT" w:hAnsi="TimesNewRomanPSMT"/>
        </w:rPr>
        <w:t>rate case, it is not proper (nor possible</w:t>
      </w:r>
      <w:r>
        <w:rPr>
          <w:rFonts w:ascii="TimesNewRomanPSMT" w:hAnsi="TimesNewRomanPSMT"/>
        </w:rPr>
        <w:t xml:space="preserve"> because there is no mechanism to do so</w:t>
      </w:r>
      <w:r w:rsidR="00990760">
        <w:rPr>
          <w:rFonts w:ascii="TimesNewRomanPSMT" w:hAnsi="TimesNewRomanPSMT"/>
        </w:rPr>
        <w:t xml:space="preserve">) to </w:t>
      </w:r>
      <w:r w:rsidR="00685102">
        <w:rPr>
          <w:rFonts w:ascii="TimesNewRomanPSMT" w:hAnsi="TimesNewRomanPSMT"/>
        </w:rPr>
        <w:t>amend base rates for a single-issue, outside of a base</w:t>
      </w:r>
      <w:r w:rsidR="00F0179C">
        <w:rPr>
          <w:rFonts w:ascii="TimesNewRomanPSMT" w:hAnsi="TimesNewRomanPSMT"/>
        </w:rPr>
        <w:t>-</w:t>
      </w:r>
      <w:r w:rsidR="00685102">
        <w:rPr>
          <w:rFonts w:ascii="TimesNewRomanPSMT" w:hAnsi="TimesNewRomanPSMT"/>
        </w:rPr>
        <w:t xml:space="preserve"> rate case.</w:t>
      </w:r>
      <w:r>
        <w:rPr>
          <w:rFonts w:ascii="TimesNewRomanPSMT" w:hAnsi="TimesNewRomanPSMT"/>
        </w:rPr>
        <w:t xml:space="preserve"> The PUCO should follow its precedent involving single-issue ratemaking and require Duke to pass the federal tax savings back through the tax savings rider</w:t>
      </w:r>
      <w:r w:rsidR="00D16052">
        <w:rPr>
          <w:rFonts w:ascii="TimesNewRomanPSMT" w:hAnsi="TimesNewRomanPSMT"/>
        </w:rPr>
        <w:t>, as OCC advocated in its Initial Brief</w:t>
      </w:r>
      <w:r>
        <w:rPr>
          <w:rFonts w:ascii="TimesNewRomanPSMT" w:hAnsi="TimesNewRomanPSMT"/>
        </w:rPr>
        <w:t>.</w:t>
      </w:r>
      <w:r>
        <w:rPr>
          <w:rStyle w:val="FootnoteReference"/>
          <w:rFonts w:ascii="TimesNewRomanPSMT" w:hAnsi="TimesNewRomanPSMT"/>
        </w:rPr>
        <w:footnoteReference w:id="23"/>
      </w:r>
    </w:p>
    <w:p w:rsidR="00163C7D" w:rsidP="000479D7" w14:paraId="307658D0" w14:textId="504E7336">
      <w:pPr>
        <w:spacing w:after="0" w:line="480" w:lineRule="auto"/>
        <w:ind w:firstLine="720"/>
        <w:rPr>
          <w:rFonts w:cs="Times New Roman"/>
          <w:szCs w:val="24"/>
        </w:rPr>
      </w:pPr>
      <w:r w:rsidRPr="00D16052">
        <w:rPr>
          <w:rFonts w:cs="Times New Roman"/>
          <w:szCs w:val="24"/>
        </w:rPr>
        <w:t xml:space="preserve">Finally, Duke is concerned that </w:t>
      </w:r>
      <w:r w:rsidR="005336DA">
        <w:rPr>
          <w:rFonts w:cs="Times New Roman"/>
          <w:szCs w:val="24"/>
        </w:rPr>
        <w:t>accepting</w:t>
      </w:r>
      <w:r w:rsidRPr="00D16052">
        <w:rPr>
          <w:rFonts w:cs="Times New Roman"/>
          <w:szCs w:val="24"/>
        </w:rPr>
        <w:t xml:space="preserve"> OCC and PUCO Staff</w:t>
      </w:r>
      <w:r w:rsidR="00754C6D">
        <w:rPr>
          <w:rFonts w:cs="Times New Roman"/>
          <w:szCs w:val="24"/>
        </w:rPr>
        <w:t>’</w:t>
      </w:r>
      <w:r w:rsidRPr="00D16052">
        <w:rPr>
          <w:rFonts w:cs="Times New Roman"/>
          <w:szCs w:val="24"/>
        </w:rPr>
        <w:t>s recommendation for the tax savings to be returned through the tax savings rider will necessitate the creation of two riders, would impose “an unnecessary burden on Duke, which PUCO Staff and the OCC failed to consider</w:t>
      </w:r>
      <w:r w:rsidR="00F0179C">
        <w:rPr>
          <w:rFonts w:cs="Times New Roman"/>
          <w:szCs w:val="24"/>
        </w:rPr>
        <w:t>,</w:t>
      </w:r>
      <w:r w:rsidRPr="00D16052">
        <w:rPr>
          <w:rFonts w:cs="Times New Roman"/>
          <w:szCs w:val="24"/>
        </w:rPr>
        <w:t>”</w:t>
      </w:r>
      <w:r>
        <w:rPr>
          <w:rStyle w:val="FootnoteReference"/>
          <w:rFonts w:cs="Times New Roman"/>
          <w:szCs w:val="24"/>
        </w:rPr>
        <w:footnoteReference w:id="24"/>
      </w:r>
      <w:r w:rsidRPr="00D16052" w:rsidR="00510C81">
        <w:rPr>
          <w:rFonts w:cs="Times New Roman"/>
          <w:szCs w:val="24"/>
        </w:rPr>
        <w:t xml:space="preserve"> </w:t>
      </w:r>
      <w:r w:rsidRPr="00D16052" w:rsidR="00D16052">
        <w:rPr>
          <w:rFonts w:cs="Times New Roman"/>
          <w:szCs w:val="24"/>
        </w:rPr>
        <w:t>and will “place additional administrative and financial burden on the Company by requiring significant changes to its billing system ...it would be impossible or the Company to include this base rate reduction in its proposed Rider GTCJA.”</w:t>
      </w:r>
      <w:r>
        <w:rPr>
          <w:rStyle w:val="FootnoteReference"/>
          <w:rFonts w:cs="Times New Roman"/>
          <w:szCs w:val="24"/>
        </w:rPr>
        <w:footnoteReference w:id="25"/>
      </w:r>
      <w:r w:rsidRPr="00D16052" w:rsidR="00D16052">
        <w:rPr>
          <w:rFonts w:cs="Times New Roman"/>
          <w:szCs w:val="24"/>
        </w:rPr>
        <w:t xml:space="preserve"> Neither OCC nor the PUCO Staff </w:t>
      </w:r>
      <w:r w:rsidR="002A5B68">
        <w:rPr>
          <w:rFonts w:cs="Times New Roman"/>
          <w:szCs w:val="24"/>
        </w:rPr>
        <w:t>share</w:t>
      </w:r>
      <w:r w:rsidRPr="00D16052" w:rsidR="00D16052">
        <w:rPr>
          <w:rFonts w:cs="Times New Roman"/>
          <w:szCs w:val="24"/>
        </w:rPr>
        <w:t xml:space="preserve"> Duke</w:t>
      </w:r>
      <w:r w:rsidR="00754C6D">
        <w:rPr>
          <w:rFonts w:cs="Times New Roman"/>
          <w:szCs w:val="24"/>
        </w:rPr>
        <w:t>’</w:t>
      </w:r>
      <w:r w:rsidRPr="00D16052" w:rsidR="00D16052">
        <w:rPr>
          <w:rFonts w:cs="Times New Roman"/>
          <w:szCs w:val="24"/>
        </w:rPr>
        <w:t>s concern.</w:t>
      </w:r>
      <w:r>
        <w:rPr>
          <w:rStyle w:val="FootnoteReference"/>
          <w:rFonts w:cs="Times New Roman"/>
          <w:szCs w:val="24"/>
        </w:rPr>
        <w:footnoteReference w:id="26"/>
      </w:r>
    </w:p>
    <w:p w:rsidR="005336DA" w:rsidP="000C00DA" w14:paraId="43012DD5" w14:textId="32F580D5">
      <w:pPr>
        <w:spacing w:after="0" w:line="480" w:lineRule="auto"/>
        <w:ind w:firstLine="720"/>
        <w:rPr>
          <w:rFonts w:ascii="TimesNewRomanPSMT" w:hAnsi="TimesNewRomanPSMT"/>
        </w:rPr>
      </w:pPr>
      <w:r>
        <w:rPr>
          <w:rFonts w:cs="Times New Roman"/>
          <w:szCs w:val="24"/>
        </w:rPr>
        <w:t xml:space="preserve">As both OCC and the PUCO Staff stated in their Initial Briefs, </w:t>
      </w:r>
      <w:r w:rsidRPr="00602552">
        <w:rPr>
          <w:rFonts w:ascii="TimesNewRomanPSMT" w:hAnsi="TimesNewRomanPSMT"/>
        </w:rPr>
        <w:t xml:space="preserve">Duke will be creating </w:t>
      </w:r>
      <w:r>
        <w:rPr>
          <w:rFonts w:ascii="TimesNewRomanPSMT" w:hAnsi="TimesNewRomanPSMT"/>
        </w:rPr>
        <w:t xml:space="preserve">a new rider, </w:t>
      </w:r>
      <w:r w:rsidRPr="00602552">
        <w:rPr>
          <w:rFonts w:ascii="TimesNewRomanPSMT" w:hAnsi="TimesNewRomanPSMT"/>
        </w:rPr>
        <w:t>the tax savings rider</w:t>
      </w:r>
      <w:r>
        <w:rPr>
          <w:rFonts w:ascii="TimesNewRomanPSMT" w:hAnsi="TimesNewRomanPSMT"/>
        </w:rPr>
        <w:t>,</w:t>
      </w:r>
      <w:r w:rsidRPr="00602552">
        <w:rPr>
          <w:rFonts w:ascii="TimesNewRomanPSMT" w:hAnsi="TimesNewRomanPSMT"/>
        </w:rPr>
        <w:t xml:space="preserve"> no matter what.</w:t>
      </w:r>
      <w:r>
        <w:rPr>
          <w:rStyle w:val="FootnoteReference"/>
          <w:rFonts w:ascii="TimesNewRomanPSMT" w:hAnsi="TimesNewRomanPSMT"/>
        </w:rPr>
        <w:footnoteReference w:id="27"/>
      </w:r>
      <w:r>
        <w:rPr>
          <w:rFonts w:ascii="TimesNewRomanPSMT" w:hAnsi="TimesNewRomanPSMT"/>
        </w:rPr>
        <w:t xml:space="preserve"> Duke already has </w:t>
      </w:r>
      <w:r w:rsidRPr="00D16052">
        <w:rPr>
          <w:rFonts w:ascii="TimesNewRomanPSMT" w:hAnsi="TimesNewRomanPSMT"/>
          <w:i/>
          <w:iCs/>
        </w:rPr>
        <w:t>at least</w:t>
      </w:r>
      <w:r>
        <w:rPr>
          <w:rFonts w:ascii="TimesNewRomanPSMT" w:hAnsi="TimesNewRomanPSMT"/>
        </w:rPr>
        <w:t xml:space="preserve"> 14 riders in its gas tariffs that are collected from consumers</w:t>
      </w:r>
      <w:r w:rsidR="00D35FDF">
        <w:rPr>
          <w:rFonts w:ascii="TimesNewRomanPSMT" w:hAnsi="TimesNewRomanPSMT"/>
        </w:rPr>
        <w:t xml:space="preserve"> either through direct charges or volumetrically</w:t>
      </w:r>
      <w:r>
        <w:rPr>
          <w:rFonts w:ascii="TimesNewRomanPSMT" w:hAnsi="TimesNewRomanPSMT"/>
        </w:rPr>
        <w:t>.</w:t>
      </w:r>
      <w:r>
        <w:rPr>
          <w:rStyle w:val="FootnoteReference"/>
          <w:rFonts w:ascii="TimesNewRomanPSMT" w:hAnsi="TimesNewRomanPSMT"/>
        </w:rPr>
        <w:footnoteReference w:id="28"/>
      </w:r>
      <w:r>
        <w:rPr>
          <w:rFonts w:ascii="TimesNewRomanPSMT" w:hAnsi="TimesNewRomanPSMT"/>
        </w:rPr>
        <w:t xml:space="preserve"> </w:t>
      </w:r>
      <w:r w:rsidR="00815DD7">
        <w:rPr>
          <w:rFonts w:ascii="TimesNewRomanPSMT" w:hAnsi="TimesNewRomanPSMT"/>
        </w:rPr>
        <w:t>Thus</w:t>
      </w:r>
      <w:r w:rsidR="00D35FDF">
        <w:rPr>
          <w:rFonts w:ascii="TimesNewRomanPSMT" w:hAnsi="TimesNewRomanPSMT"/>
        </w:rPr>
        <w:t xml:space="preserve">, as PUCO Staff illustrated, Duke must be </w:t>
      </w:r>
      <w:r w:rsidRPr="00D35FDF" w:rsidR="00D35FDF">
        <w:rPr>
          <w:rFonts w:ascii="TimesNewRomanPSMT" w:hAnsi="TimesNewRomanPSMT"/>
          <w:i/>
          <w:iCs/>
        </w:rPr>
        <w:t>very</w:t>
      </w:r>
      <w:r w:rsidR="00D35FDF">
        <w:rPr>
          <w:rFonts w:ascii="TimesNewRomanPSMT" w:hAnsi="TimesNewRomanPSMT"/>
        </w:rPr>
        <w:t xml:space="preserve"> familiar with performing the calculations </w:t>
      </w:r>
      <w:r w:rsidR="002A5B68">
        <w:rPr>
          <w:rFonts w:ascii="TimesNewRomanPSMT" w:hAnsi="TimesNewRomanPSMT"/>
        </w:rPr>
        <w:t xml:space="preserve">(and implementing the associated billing system changes) </w:t>
      </w:r>
      <w:r w:rsidR="00D35FDF">
        <w:rPr>
          <w:rFonts w:ascii="TimesNewRomanPSMT" w:hAnsi="TimesNewRomanPSMT"/>
        </w:rPr>
        <w:t>that call for volumetric and per customer charges</w:t>
      </w:r>
      <w:r w:rsidR="00815DD7">
        <w:rPr>
          <w:rFonts w:ascii="TimesNewRomanPSMT" w:hAnsi="TimesNewRomanPSMT"/>
        </w:rPr>
        <w:t>, and r</w:t>
      </w:r>
      <w:r w:rsidR="00D35FDF">
        <w:rPr>
          <w:rFonts w:ascii="TimesNewRomanPSMT" w:hAnsi="TimesNewRomanPSMT"/>
        </w:rPr>
        <w:t>eturning the tax savings through the tax savings rider is no different.</w:t>
      </w:r>
      <w:r>
        <w:rPr>
          <w:rStyle w:val="FootnoteReference"/>
          <w:rFonts w:ascii="TimesNewRomanPSMT" w:hAnsi="TimesNewRomanPSMT"/>
        </w:rPr>
        <w:footnoteReference w:id="29"/>
      </w:r>
      <w:r w:rsidR="00D35FDF">
        <w:rPr>
          <w:rFonts w:ascii="TimesNewRomanPSMT" w:hAnsi="TimesNewRomanPSMT"/>
        </w:rPr>
        <w:t xml:space="preserve"> </w:t>
      </w:r>
    </w:p>
    <w:p w:rsidR="00D16052" w:rsidRPr="00D16052" w:rsidP="0099065C" w14:paraId="3470DDFC" w14:textId="4A79AEC5">
      <w:pPr>
        <w:spacing w:after="0" w:line="480" w:lineRule="auto"/>
        <w:ind w:firstLine="720"/>
        <w:rPr>
          <w:rFonts w:cs="Times New Roman"/>
          <w:position w:val="10"/>
          <w:szCs w:val="24"/>
        </w:rPr>
      </w:pPr>
      <w:r>
        <w:rPr>
          <w:rFonts w:ascii="TimesNewRomanPSMT" w:hAnsi="TimesNewRomanPSMT"/>
        </w:rPr>
        <w:t>Duke tries to discredit OCC Witness Adkins and PUCO Staff Witness Borer for lacking IT experience, or personal knowledge of Duke</w:t>
      </w:r>
      <w:r w:rsidR="00754C6D">
        <w:rPr>
          <w:rFonts w:ascii="TimesNewRomanPSMT" w:hAnsi="TimesNewRomanPSMT"/>
        </w:rPr>
        <w:t>’</w:t>
      </w:r>
      <w:r>
        <w:rPr>
          <w:rFonts w:ascii="TimesNewRomanPSMT" w:hAnsi="TimesNewRomanPSMT"/>
        </w:rPr>
        <w:t>s billing system</w:t>
      </w:r>
      <w:r w:rsidR="005336DA">
        <w:rPr>
          <w:rFonts w:ascii="TimesNewRomanPSMT" w:hAnsi="TimesNewRomanPSMT"/>
        </w:rPr>
        <w:t>.</w:t>
      </w:r>
      <w:r w:rsidR="004358F3">
        <w:rPr>
          <w:rFonts w:ascii="TimesNewRomanPSMT" w:hAnsi="TimesNewRomanPSMT"/>
        </w:rPr>
        <w:t xml:space="preserve"> </w:t>
      </w:r>
      <w:r w:rsidR="005336DA">
        <w:rPr>
          <w:rFonts w:ascii="TimesNewRomanPSMT" w:hAnsi="TimesNewRomanPSMT"/>
        </w:rPr>
        <w:t>But</w:t>
      </w:r>
      <w:r>
        <w:rPr>
          <w:rFonts w:ascii="TimesNewRomanPSMT" w:hAnsi="TimesNewRomanPSMT"/>
        </w:rPr>
        <w:t xml:space="preserve"> by Duke</w:t>
      </w:r>
      <w:r w:rsidR="00754C6D">
        <w:rPr>
          <w:rFonts w:ascii="TimesNewRomanPSMT" w:hAnsi="TimesNewRomanPSMT"/>
        </w:rPr>
        <w:t>’</w:t>
      </w:r>
      <w:r>
        <w:rPr>
          <w:rFonts w:ascii="TimesNewRomanPSMT" w:hAnsi="TimesNewRomanPSMT"/>
        </w:rPr>
        <w:t>s own admission</w:t>
      </w:r>
      <w:r w:rsidR="005336DA">
        <w:rPr>
          <w:rFonts w:ascii="TimesNewRomanPSMT" w:hAnsi="TimesNewRomanPSMT"/>
        </w:rPr>
        <w:t>,</w:t>
      </w:r>
      <w:r>
        <w:rPr>
          <w:rFonts w:ascii="TimesNewRomanPSMT" w:hAnsi="TimesNewRomanPSMT"/>
        </w:rPr>
        <w:t xml:space="preserve"> it has at least </w:t>
      </w:r>
      <w:r w:rsidR="009B4252">
        <w:rPr>
          <w:rFonts w:ascii="TimesNewRomanPSMT" w:hAnsi="TimesNewRomanPSMT"/>
        </w:rPr>
        <w:t xml:space="preserve">ten </w:t>
      </w:r>
      <w:r>
        <w:rPr>
          <w:rFonts w:ascii="TimesNewRomanPSMT" w:hAnsi="TimesNewRomanPSMT"/>
        </w:rPr>
        <w:t>or 11 gas riders and 19 electric riders.</w:t>
      </w:r>
      <w:r>
        <w:rPr>
          <w:rStyle w:val="FootnoteReference"/>
          <w:rFonts w:ascii="TimesNewRomanPSMT" w:hAnsi="TimesNewRomanPSMT"/>
        </w:rPr>
        <w:footnoteReference w:id="30"/>
      </w:r>
      <w:r>
        <w:rPr>
          <w:rFonts w:ascii="TimesNewRomanPSMT" w:hAnsi="TimesNewRomanPSMT"/>
        </w:rPr>
        <w:t xml:space="preserve"> Clearly</w:t>
      </w:r>
      <w:r w:rsidR="005336DA">
        <w:rPr>
          <w:rFonts w:ascii="TimesNewRomanPSMT" w:hAnsi="TimesNewRomanPSMT"/>
        </w:rPr>
        <w:t>, Duke has substantial experience with, and expertise in, billing system changes given that it has</w:t>
      </w:r>
      <w:r w:rsidR="004358F3">
        <w:rPr>
          <w:rFonts w:ascii="TimesNewRomanPSMT" w:hAnsi="TimesNewRomanPSMT"/>
        </w:rPr>
        <w:t xml:space="preserve"> </w:t>
      </w:r>
      <w:r>
        <w:rPr>
          <w:rFonts w:ascii="TimesNewRomanPSMT" w:hAnsi="TimesNewRomanPSMT"/>
        </w:rPr>
        <w:t xml:space="preserve">approximately </w:t>
      </w:r>
      <w:r w:rsidR="00477456">
        <w:rPr>
          <w:rFonts w:ascii="TimesNewRomanPSMT" w:hAnsi="TimesNewRomanPSMT"/>
        </w:rPr>
        <w:t>30 riders.</w:t>
      </w:r>
      <w:r>
        <w:rPr>
          <w:rStyle w:val="FootnoteReference"/>
          <w:rFonts w:ascii="TimesNewRomanPSMT" w:hAnsi="TimesNewRomanPSMT"/>
        </w:rPr>
        <w:footnoteReference w:id="31"/>
      </w:r>
      <w:r>
        <w:rPr>
          <w:rFonts w:ascii="TimesNewRomanPSMT" w:hAnsi="TimesNewRomanPSMT"/>
        </w:rPr>
        <w:t xml:space="preserve"> </w:t>
      </w:r>
      <w:r w:rsidR="005336DA">
        <w:rPr>
          <w:rFonts w:ascii="TimesNewRomanPSMT" w:hAnsi="TimesNewRomanPSMT"/>
        </w:rPr>
        <w:t>It</w:t>
      </w:r>
      <w:r w:rsidR="00F0179C">
        <w:rPr>
          <w:rFonts w:ascii="TimesNewRomanPSMT" w:hAnsi="TimesNewRomanPSMT"/>
        </w:rPr>
        <w:t xml:space="preserve"> does not require an IT degree or experience with billing systems to reach this conclusion. </w:t>
      </w:r>
      <w:r w:rsidR="00C6752A">
        <w:rPr>
          <w:rFonts w:ascii="TimesNewRomanPSMT" w:hAnsi="TimesNewRomanPSMT"/>
        </w:rPr>
        <w:t>Paraphrasing Julius Caesar, experience is the best teacher.</w:t>
      </w:r>
      <w:r w:rsidR="004358F3">
        <w:rPr>
          <w:rFonts w:ascii="TimesNewRomanPSMT" w:hAnsi="TimesNewRomanPSMT"/>
        </w:rPr>
        <w:t xml:space="preserve"> </w:t>
      </w:r>
    </w:p>
    <w:p w:rsidR="00383078" w:rsidRPr="00383078" w:rsidP="0047361D" w14:paraId="33855601" w14:textId="6DBE0D86">
      <w:pPr>
        <w:pStyle w:val="Heading2"/>
      </w:pPr>
      <w:bookmarkStart w:id="12" w:name="_Toc20151091"/>
      <w:bookmarkStart w:id="13" w:name="_Toc20221494"/>
      <w:r>
        <w:t>For</w:t>
      </w:r>
      <w:r w:rsidRPr="00383078">
        <w:t xml:space="preserve"> consumers to receive all tax savings from the federal tax cuts, balances for excess deferred income taxes should be based on Duke</w:t>
      </w:r>
      <w:r w:rsidR="00754C6D">
        <w:t>’</w:t>
      </w:r>
      <w:r w:rsidRPr="00383078">
        <w:t>s balance on December 31, 2017 rather than the date certain in Duke</w:t>
      </w:r>
      <w:r w:rsidR="00754C6D">
        <w:t>’</w:t>
      </w:r>
      <w:r w:rsidRPr="00383078">
        <w:t>s last rate case.</w:t>
      </w:r>
      <w:bookmarkEnd w:id="12"/>
      <w:bookmarkEnd w:id="13"/>
      <w:r w:rsidRPr="00383078">
        <w:t xml:space="preserve"> </w:t>
      </w:r>
    </w:p>
    <w:p w:rsidR="00280098" w:rsidP="0015132C" w14:paraId="6BDFD0E8" w14:textId="1ED0FF78">
      <w:pPr>
        <w:spacing w:before="100" w:beforeAutospacing="1" w:after="100" w:afterAutospacing="1" w:line="480" w:lineRule="auto"/>
        <w:ind w:firstLine="720"/>
        <w:contextualSpacing/>
      </w:pPr>
      <w:r>
        <w:t xml:space="preserve">Duke wants to </w:t>
      </w:r>
      <w:r w:rsidR="00C6752A">
        <w:t xml:space="preserve">return </w:t>
      </w:r>
      <w:r w:rsidR="00815DD7">
        <w:t xml:space="preserve">excess deferred income taxes </w:t>
      </w:r>
      <w:r w:rsidR="00C6752A">
        <w:t>to consumers</w:t>
      </w:r>
      <w:r w:rsidR="003203DD">
        <w:t xml:space="preserve"> based on the balance as of the date certain in </w:t>
      </w:r>
      <w:r>
        <w:t xml:space="preserve">its </w:t>
      </w:r>
      <w:r w:rsidR="003203DD">
        <w:t>last base</w:t>
      </w:r>
      <w:r w:rsidR="00F0179C">
        <w:t>-</w:t>
      </w:r>
      <w:r w:rsidR="003203DD">
        <w:t xml:space="preserve">rate case </w:t>
      </w:r>
      <w:r>
        <w:t>(</w:t>
      </w:r>
      <w:r w:rsidR="002A5B68">
        <w:t xml:space="preserve">from </w:t>
      </w:r>
      <w:r w:rsidR="00722F17">
        <w:t>2012</w:t>
      </w:r>
      <w:r w:rsidR="002A5B68">
        <w:t xml:space="preserve">, </w:t>
      </w:r>
      <w:r>
        <w:t xml:space="preserve">which is </w:t>
      </w:r>
      <w:r w:rsidR="002A5B68">
        <w:t xml:space="preserve">about </w:t>
      </w:r>
      <w:r>
        <w:t>12</w:t>
      </w:r>
      <w:r w:rsidR="009B4252">
        <w:t>-</w:t>
      </w:r>
      <w:r>
        <w:t>years old).</w:t>
      </w:r>
      <w:r>
        <w:rPr>
          <w:rStyle w:val="FootnoteReference"/>
        </w:rPr>
        <w:footnoteReference w:id="32"/>
      </w:r>
      <w:r>
        <w:t xml:space="preserve"> Duke argues that this is the most logical and reasonable approach</w:t>
      </w:r>
      <w:r w:rsidR="00C6752A">
        <w:t>.</w:t>
      </w:r>
      <w:r w:rsidR="004358F3">
        <w:t xml:space="preserve"> </w:t>
      </w:r>
      <w:r w:rsidR="00C6752A">
        <w:t xml:space="preserve">It </w:t>
      </w:r>
      <w:r>
        <w:t>dismisses OCC and PUCO Staff</w:t>
      </w:r>
      <w:r w:rsidR="00754C6D">
        <w:t>’</w:t>
      </w:r>
      <w:r>
        <w:t>s recommendation to use Duke</w:t>
      </w:r>
      <w:r w:rsidR="00754C6D">
        <w:t>’</w:t>
      </w:r>
      <w:r>
        <w:t xml:space="preserve">s </w:t>
      </w:r>
      <w:r w:rsidR="00C6752A">
        <w:t xml:space="preserve">excess deferred income tax </w:t>
      </w:r>
      <w:r>
        <w:t>balance on December 31, 2017</w:t>
      </w:r>
      <w:r w:rsidR="001A4708">
        <w:t>.</w:t>
      </w:r>
      <w:r>
        <w:rPr>
          <w:rStyle w:val="FootnoteReference"/>
        </w:rPr>
        <w:footnoteReference w:id="33"/>
      </w:r>
      <w:r w:rsidR="003203DD">
        <w:t xml:space="preserve"> </w:t>
      </w:r>
      <w:r>
        <w:t>Duke asserts that using the date certain from the last base</w:t>
      </w:r>
      <w:r w:rsidR="00F0179C">
        <w:t>-</w:t>
      </w:r>
      <w:r>
        <w:t>rate case will ensure that customers receive precisely what they are owed, while at the same time admitting it is not possible to calculate the precise amounts at this time.</w:t>
      </w:r>
      <w:r>
        <w:rPr>
          <w:rStyle w:val="FootnoteReference"/>
        </w:rPr>
        <w:footnoteReference w:id="34"/>
      </w:r>
      <w:r>
        <w:t xml:space="preserve"> Duke </w:t>
      </w:r>
      <w:r w:rsidR="001A4708">
        <w:t xml:space="preserve">also </w:t>
      </w:r>
      <w:r>
        <w:t>claims that using the date of the last base</w:t>
      </w:r>
      <w:r w:rsidR="00F0179C">
        <w:t>-</w:t>
      </w:r>
      <w:r>
        <w:t xml:space="preserve">rate case </w:t>
      </w:r>
      <w:r w:rsidR="00C6752A">
        <w:t xml:space="preserve">to determine the balance of the excess deferred income tax </w:t>
      </w:r>
      <w:r>
        <w:t>will prevent Duke from being required to refund amounts associated with costs that may yet be disallowed.</w:t>
      </w:r>
      <w:r>
        <w:rPr>
          <w:rStyle w:val="FootnoteReference"/>
        </w:rPr>
        <w:footnoteReference w:id="35"/>
      </w:r>
      <w:r>
        <w:t xml:space="preserve"> </w:t>
      </w:r>
      <w:r w:rsidR="004C1886">
        <w:t>Finally, Duke argues that including excess deferred income taxes based on the balance as of the date certain in Duke</w:t>
      </w:r>
      <w:r w:rsidR="00754C6D">
        <w:t>’</w:t>
      </w:r>
      <w:r w:rsidR="004C1886">
        <w:t>s last base</w:t>
      </w:r>
      <w:r w:rsidR="00F0179C">
        <w:t>-</w:t>
      </w:r>
      <w:r w:rsidR="004C1886">
        <w:t>rate case would be most consistent with the PUCO</w:t>
      </w:r>
      <w:r w:rsidR="00754C6D">
        <w:t>’</w:t>
      </w:r>
      <w:r w:rsidR="004C1886">
        <w:t>s approach to similarly situated utilities.</w:t>
      </w:r>
      <w:r>
        <w:rPr>
          <w:rStyle w:val="FootnoteReference"/>
        </w:rPr>
        <w:footnoteReference w:id="36"/>
      </w:r>
      <w:r w:rsidR="004358F3">
        <w:t xml:space="preserve"> </w:t>
      </w:r>
      <w:r>
        <w:t>Duke</w:t>
      </w:r>
      <w:r w:rsidR="00754C6D">
        <w:t>’</w:t>
      </w:r>
      <w:r>
        <w:t>s argument</w:t>
      </w:r>
      <w:r w:rsidR="001A4708">
        <w:t>s</w:t>
      </w:r>
      <w:r>
        <w:t xml:space="preserve"> </w:t>
      </w:r>
      <w:r w:rsidR="001A4708">
        <w:t>are</w:t>
      </w:r>
      <w:r>
        <w:t xml:space="preserve"> misleading</w:t>
      </w:r>
      <w:r w:rsidR="002A5B68">
        <w:t xml:space="preserve"> and wrong</w:t>
      </w:r>
      <w:r>
        <w:t>.</w:t>
      </w:r>
    </w:p>
    <w:p w:rsidR="004C1886" w:rsidP="000479D7" w14:paraId="3B932D22" w14:textId="50E902A3">
      <w:pPr>
        <w:spacing w:before="100" w:beforeAutospacing="1" w:after="100" w:afterAutospacing="1" w:line="480" w:lineRule="auto"/>
        <w:ind w:firstLine="720"/>
        <w:contextualSpacing/>
      </w:pPr>
      <w:r>
        <w:t xml:space="preserve">OCC and PUCO Staff agree that using the </w:t>
      </w:r>
      <w:r>
        <w:rPr>
          <w:rFonts w:ascii="TimesNewRomanPSMT" w:hAnsi="TimesNewRomanPSMT"/>
          <w:sz w:val="26"/>
          <w:szCs w:val="26"/>
        </w:rPr>
        <w:t>excess deferred income tax balances</w:t>
      </w:r>
      <w:r>
        <w:t xml:space="preserve"> recorded on Duke</w:t>
      </w:r>
      <w:r w:rsidR="00754C6D">
        <w:t>’</w:t>
      </w:r>
      <w:r>
        <w:t>s balance sheet as of December 31, 2017 ensures that 100</w:t>
      </w:r>
      <w:r w:rsidR="00747D56">
        <w:t>%</w:t>
      </w:r>
      <w:r>
        <w:t xml:space="preserve"> of the excess deferred income tax balances will be refunded to consumers.</w:t>
      </w:r>
      <w:r>
        <w:rPr>
          <w:rStyle w:val="FootnoteReference"/>
        </w:rPr>
        <w:footnoteReference w:id="37"/>
      </w:r>
      <w:r>
        <w:t xml:space="preserve"> As OCC explained in its Initial Brief, the PUCO </w:t>
      </w:r>
      <w:r w:rsidR="00B07EA0">
        <w:t xml:space="preserve">has </w:t>
      </w:r>
      <w:r>
        <w:t xml:space="preserve">ordered all utilities to return </w:t>
      </w:r>
      <w:r>
        <w:rPr>
          <w:i/>
          <w:iCs/>
        </w:rPr>
        <w:t xml:space="preserve">all </w:t>
      </w:r>
      <w:r>
        <w:t>tax savings to consumers, not just some.</w:t>
      </w:r>
      <w:r>
        <w:rPr>
          <w:rStyle w:val="FootnoteReference"/>
        </w:rPr>
        <w:footnoteReference w:id="38"/>
      </w:r>
      <w:r>
        <w:t xml:space="preserve"> </w:t>
      </w:r>
      <w:r w:rsidR="00B07EA0">
        <w:t>W</w:t>
      </w:r>
      <w:r>
        <w:t>hat Duke proposes</w:t>
      </w:r>
      <w:r w:rsidR="00B07EA0">
        <w:t xml:space="preserve"> (</w:t>
      </w:r>
      <w:r>
        <w:t xml:space="preserve">using the </w:t>
      </w:r>
      <w:r w:rsidR="00B07EA0">
        <w:t xml:space="preserve">excess deferred income tax </w:t>
      </w:r>
      <w:r>
        <w:t xml:space="preserve">balance </w:t>
      </w:r>
      <w:r w:rsidR="00B07EA0">
        <w:t xml:space="preserve">as </w:t>
      </w:r>
      <w:r>
        <w:t>of Duke</w:t>
      </w:r>
      <w:r w:rsidR="00754C6D">
        <w:t>’</w:t>
      </w:r>
      <w:r>
        <w:t>s last base rate case</w:t>
      </w:r>
      <w:r w:rsidR="00B07EA0">
        <w:t>)</w:t>
      </w:r>
      <w:r>
        <w:t xml:space="preserve"> will result in </w:t>
      </w:r>
      <w:r w:rsidR="00CC3D3E">
        <w:t>an interest</w:t>
      </w:r>
      <w:r w:rsidR="00815DD7">
        <w:t>-</w:t>
      </w:r>
      <w:r w:rsidR="00CC3D3E">
        <w:t>free loan from the federal government</w:t>
      </w:r>
      <w:r>
        <w:rPr>
          <w:rStyle w:val="FootnoteReference"/>
        </w:rPr>
        <w:footnoteReference w:id="39"/>
      </w:r>
      <w:r w:rsidR="00CC3D3E">
        <w:t xml:space="preserve"> and </w:t>
      </w:r>
      <w:r>
        <w:t xml:space="preserve">the refund of </w:t>
      </w:r>
      <w:r>
        <w:rPr>
          <w:i/>
          <w:iCs/>
        </w:rPr>
        <w:t xml:space="preserve">less </w:t>
      </w:r>
      <w:r>
        <w:t xml:space="preserve">than </w:t>
      </w:r>
      <w:r>
        <w:rPr>
          <w:i/>
          <w:iCs/>
        </w:rPr>
        <w:t xml:space="preserve">all </w:t>
      </w:r>
      <w:r>
        <w:t>tax savings.</w:t>
      </w:r>
      <w:r>
        <w:rPr>
          <w:rStyle w:val="FootnoteReference"/>
        </w:rPr>
        <w:footnoteReference w:id="40"/>
      </w:r>
      <w:r>
        <w:t xml:space="preserve"> This is wrong, violates the PUCO</w:t>
      </w:r>
      <w:r w:rsidR="00754C6D">
        <w:t>’</w:t>
      </w:r>
      <w:r>
        <w:t>s order, and is plain</w:t>
      </w:r>
      <w:r w:rsidR="00B07EA0">
        <w:t>ly</w:t>
      </w:r>
      <w:r>
        <w:t xml:space="preserve"> unfair to consumers. </w:t>
      </w:r>
    </w:p>
    <w:p w:rsidR="0032032C" w:rsidP="000479D7" w14:paraId="60F29227" w14:textId="7C4954BF">
      <w:pPr>
        <w:spacing w:before="100" w:beforeAutospacing="1" w:after="100" w:afterAutospacing="1" w:line="480" w:lineRule="auto"/>
        <w:ind w:firstLine="720"/>
        <w:contextualSpacing/>
        <w:rPr>
          <w:rFonts w:cs="Times New Roman"/>
          <w:szCs w:val="24"/>
        </w:rPr>
      </w:pPr>
      <w:r>
        <w:t xml:space="preserve">Duke </w:t>
      </w:r>
      <w:r w:rsidR="00B07EA0">
        <w:t>argues</w:t>
      </w:r>
      <w:r>
        <w:t xml:space="preserve"> that “during the time that the Company is realizing a tax savings</w:t>
      </w:r>
      <w:r w:rsidRPr="004C1886">
        <w:rPr>
          <w:rFonts w:cs="Times New Roman"/>
          <w:szCs w:val="24"/>
        </w:rPr>
        <w:t>, it is also recovering nothing from ratepayers for a return on the asset, any income taxes associated with such return, any depreciation expense, or any property taxes associated with the asset.</w:t>
      </w:r>
      <w:r w:rsidR="00ED32D4">
        <w:rPr>
          <w:rFonts w:cs="Times New Roman"/>
          <w:szCs w:val="24"/>
        </w:rPr>
        <w:t>”</w:t>
      </w:r>
      <w:r w:rsidRPr="00ED32D4" w:rsidR="00ED32D4">
        <w:rPr>
          <w:rStyle w:val="FootnoteReference"/>
          <w:rFonts w:cs="Times New Roman"/>
          <w:szCs w:val="24"/>
        </w:rPr>
        <w:t xml:space="preserve"> </w:t>
      </w:r>
      <w:r>
        <w:rPr>
          <w:rStyle w:val="FootnoteReference"/>
          <w:rFonts w:cs="Times New Roman"/>
          <w:szCs w:val="24"/>
        </w:rPr>
        <w:footnoteReference w:id="41"/>
      </w:r>
      <w:r w:rsidR="00754C6D">
        <w:t xml:space="preserve"> </w:t>
      </w:r>
      <w:r w:rsidR="00ED32D4">
        <w:t>Thus, according to Duke,</w:t>
      </w:r>
      <w:r w:rsidR="00ED32D4">
        <w:rPr>
          <w:rFonts w:cs="Times New Roman"/>
          <w:szCs w:val="24"/>
        </w:rPr>
        <w:t xml:space="preserve"> “[u]</w:t>
      </w:r>
      <w:r w:rsidRPr="004C1886">
        <w:rPr>
          <w:rFonts w:cs="Times New Roman"/>
          <w:szCs w:val="24"/>
        </w:rPr>
        <w:t>ntil the Company begins recovering a return on the asset, customers stand to receive a “permanent” benefit from it</w:t>
      </w:r>
      <w:r w:rsidRPr="004C1886" w:rsidR="004C1886">
        <w:rPr>
          <w:rFonts w:cs="Times New Roman"/>
          <w:szCs w:val="24"/>
        </w:rPr>
        <w:t>s</w:t>
      </w:r>
      <w:r w:rsidRPr="004C1886">
        <w:rPr>
          <w:rFonts w:cs="Times New Roman"/>
          <w:szCs w:val="24"/>
        </w:rPr>
        <w:t xml:space="preserve"> use without paying any costs since the asset was placed in service.”</w:t>
      </w:r>
      <w:r>
        <w:rPr>
          <w:rStyle w:val="FootnoteReference"/>
          <w:rFonts w:cs="Times New Roman"/>
          <w:szCs w:val="24"/>
        </w:rPr>
        <w:footnoteReference w:id="42"/>
      </w:r>
    </w:p>
    <w:p w:rsidR="00CC3D3E" w:rsidRPr="004C1886" w:rsidP="000479D7" w14:paraId="3CBA8E30" w14:textId="74BBF769">
      <w:pPr>
        <w:spacing w:before="100" w:beforeAutospacing="1" w:after="100" w:afterAutospacing="1" w:line="480" w:lineRule="auto"/>
        <w:ind w:firstLine="720"/>
        <w:contextualSpacing/>
        <w:rPr>
          <w:rFonts w:cs="Times New Roman"/>
          <w:szCs w:val="24"/>
        </w:rPr>
      </w:pPr>
      <w:r>
        <w:rPr>
          <w:rFonts w:cs="Times New Roman"/>
          <w:szCs w:val="24"/>
        </w:rPr>
        <w:t>But</w:t>
      </w:r>
      <w:r w:rsidRPr="004C1886" w:rsidR="004C1886">
        <w:rPr>
          <w:rFonts w:cs="Times New Roman"/>
          <w:szCs w:val="24"/>
        </w:rPr>
        <w:t xml:space="preserve"> </w:t>
      </w:r>
      <w:r w:rsidR="00F0179C">
        <w:rPr>
          <w:rFonts w:cs="Times New Roman"/>
          <w:szCs w:val="24"/>
        </w:rPr>
        <w:t xml:space="preserve">as </w:t>
      </w:r>
      <w:r w:rsidRPr="004C1886" w:rsidR="004C1886">
        <w:rPr>
          <w:rFonts w:cs="Times New Roman"/>
          <w:szCs w:val="24"/>
        </w:rPr>
        <w:t>OCC explained in its Initial Brief, Duke has conveniently ignored the fact that it continued to accrue accumulated deferred income taxes after the date certain from its last base</w:t>
      </w:r>
      <w:r w:rsidR="00F0179C">
        <w:rPr>
          <w:rFonts w:cs="Times New Roman"/>
          <w:szCs w:val="24"/>
        </w:rPr>
        <w:t>-</w:t>
      </w:r>
      <w:r w:rsidRPr="004C1886" w:rsidR="004C1886">
        <w:rPr>
          <w:rFonts w:cs="Times New Roman"/>
          <w:szCs w:val="24"/>
        </w:rPr>
        <w:t>rate case and that such accumulated deferred income taxes became excess with the effective date of the federal tax cuts, January 1, 2018.</w:t>
      </w:r>
      <w:r>
        <w:rPr>
          <w:rStyle w:val="FootnoteReference"/>
          <w:rFonts w:cs="Times New Roman"/>
          <w:szCs w:val="24"/>
        </w:rPr>
        <w:footnoteReference w:id="43"/>
      </w:r>
      <w:r w:rsidRPr="004C1886" w:rsidR="004C1886">
        <w:rPr>
          <w:rFonts w:cs="Times New Roman"/>
          <w:szCs w:val="24"/>
        </w:rPr>
        <w:t xml:space="preserve"> </w:t>
      </w:r>
      <w:r w:rsidR="00646A15">
        <w:rPr>
          <w:rFonts w:cs="Times New Roman"/>
          <w:szCs w:val="24"/>
        </w:rPr>
        <w:t>Duke</w:t>
      </w:r>
      <w:r w:rsidR="00754C6D">
        <w:rPr>
          <w:rFonts w:cs="Times New Roman"/>
          <w:szCs w:val="24"/>
        </w:rPr>
        <w:t>’</w:t>
      </w:r>
      <w:r w:rsidR="00646A15">
        <w:rPr>
          <w:rFonts w:cs="Times New Roman"/>
          <w:szCs w:val="24"/>
        </w:rPr>
        <w:t xml:space="preserve">s approach </w:t>
      </w:r>
      <w:r w:rsidR="00ED32D4">
        <w:rPr>
          <w:rFonts w:cs="Times New Roman"/>
          <w:szCs w:val="24"/>
        </w:rPr>
        <w:t xml:space="preserve">of </w:t>
      </w:r>
      <w:r w:rsidR="00646A15">
        <w:rPr>
          <w:rFonts w:cs="Times New Roman"/>
          <w:szCs w:val="24"/>
        </w:rPr>
        <w:t>using a lower, date certain amount of deferred taxes would ignore the tax benefits Duke received since the last date certain, allowing Duke to keep and not return those tax savings to customers.</w:t>
      </w:r>
      <w:r w:rsidR="00754C6D">
        <w:rPr>
          <w:rFonts w:cs="Times New Roman"/>
          <w:szCs w:val="24"/>
        </w:rPr>
        <w:t xml:space="preserve"> </w:t>
      </w:r>
      <w:r w:rsidR="00B07EA0">
        <w:rPr>
          <w:rFonts w:cs="Times New Roman"/>
          <w:szCs w:val="24"/>
        </w:rPr>
        <w:t>The</w:t>
      </w:r>
      <w:r w:rsidRPr="004C1886">
        <w:rPr>
          <w:rFonts w:cs="Times New Roman"/>
          <w:szCs w:val="24"/>
        </w:rPr>
        <w:t xml:space="preserve"> PUCO Staff explained in its Brief</w:t>
      </w:r>
      <w:r w:rsidR="00B07EA0">
        <w:rPr>
          <w:rFonts w:cs="Times New Roman"/>
          <w:szCs w:val="24"/>
        </w:rPr>
        <w:t xml:space="preserve"> that</w:t>
      </w:r>
      <w:r w:rsidRPr="004C1886">
        <w:rPr>
          <w:rFonts w:cs="Times New Roman"/>
          <w:szCs w:val="24"/>
        </w:rPr>
        <w:t xml:space="preserve"> customers have funded Duke</w:t>
      </w:r>
      <w:r w:rsidR="00754C6D">
        <w:rPr>
          <w:rFonts w:cs="Times New Roman"/>
          <w:szCs w:val="24"/>
        </w:rPr>
        <w:t>’</w:t>
      </w:r>
      <w:r w:rsidRPr="004C1886">
        <w:rPr>
          <w:rFonts w:cs="Times New Roman"/>
          <w:szCs w:val="24"/>
        </w:rPr>
        <w:t>s investments</w:t>
      </w:r>
      <w:r w:rsidRPr="004C1886" w:rsidR="004C1886">
        <w:rPr>
          <w:rFonts w:cs="Times New Roman"/>
          <w:szCs w:val="24"/>
        </w:rPr>
        <w:t xml:space="preserve">, so </w:t>
      </w:r>
      <w:r w:rsidRPr="004C1886">
        <w:rPr>
          <w:rFonts w:cs="Times New Roman"/>
          <w:szCs w:val="24"/>
        </w:rPr>
        <w:t xml:space="preserve">it is proper to recommend that the customers </w:t>
      </w:r>
      <w:r w:rsidR="00BA4EF3">
        <w:rPr>
          <w:rFonts w:cs="Times New Roman"/>
          <w:szCs w:val="24"/>
        </w:rPr>
        <w:t>receive</w:t>
      </w:r>
      <w:r w:rsidRPr="004C1886">
        <w:rPr>
          <w:rFonts w:cs="Times New Roman"/>
          <w:szCs w:val="24"/>
        </w:rPr>
        <w:t xml:space="preserve">, over the life of the investments, the same tax benefits of accelerated depreciation as recognized by </w:t>
      </w:r>
      <w:r w:rsidR="00B07EA0">
        <w:rPr>
          <w:rFonts w:cs="Times New Roman"/>
          <w:szCs w:val="24"/>
        </w:rPr>
        <w:t>Duke</w:t>
      </w:r>
      <w:r w:rsidRPr="004C1886">
        <w:rPr>
          <w:rFonts w:cs="Times New Roman"/>
          <w:szCs w:val="24"/>
        </w:rPr>
        <w:t>.</w:t>
      </w:r>
      <w:r>
        <w:rPr>
          <w:rStyle w:val="FootnoteReference"/>
          <w:rFonts w:cs="Times New Roman"/>
          <w:szCs w:val="24"/>
        </w:rPr>
        <w:footnoteReference w:id="44"/>
      </w:r>
      <w:r w:rsidRPr="004C1886">
        <w:rPr>
          <w:rFonts w:cs="Times New Roman"/>
          <w:position w:val="10"/>
          <w:szCs w:val="24"/>
        </w:rPr>
        <w:t xml:space="preserve"> </w:t>
      </w:r>
      <w:r w:rsidRPr="004C1886">
        <w:rPr>
          <w:rFonts w:cs="Times New Roman"/>
          <w:szCs w:val="24"/>
        </w:rPr>
        <w:t xml:space="preserve">If Duke </w:t>
      </w:r>
      <w:r w:rsidR="00646A15">
        <w:rPr>
          <w:rFonts w:cs="Times New Roman"/>
          <w:szCs w:val="24"/>
        </w:rPr>
        <w:t xml:space="preserve">uses the date certain deferred income tax balance as the basis for refunding money to customers, </w:t>
      </w:r>
      <w:r w:rsidRPr="004C1886">
        <w:rPr>
          <w:rFonts w:cs="Times New Roman"/>
          <w:szCs w:val="24"/>
        </w:rPr>
        <w:t xml:space="preserve">then Duke will </w:t>
      </w:r>
      <w:r w:rsidR="00646A15">
        <w:rPr>
          <w:rFonts w:cs="Times New Roman"/>
          <w:szCs w:val="24"/>
        </w:rPr>
        <w:t>keep</w:t>
      </w:r>
      <w:r w:rsidRPr="004C1886">
        <w:rPr>
          <w:rFonts w:cs="Times New Roman"/>
          <w:szCs w:val="24"/>
        </w:rPr>
        <w:t xml:space="preserve"> permanent tax savings </w:t>
      </w:r>
      <w:r w:rsidR="00B07EA0">
        <w:rPr>
          <w:rFonts w:cs="Times New Roman"/>
          <w:szCs w:val="24"/>
        </w:rPr>
        <w:t>that</w:t>
      </w:r>
      <w:r w:rsidRPr="004C1886">
        <w:rPr>
          <w:rFonts w:cs="Times New Roman"/>
          <w:szCs w:val="24"/>
        </w:rPr>
        <w:t xml:space="preserve"> will never be </w:t>
      </w:r>
      <w:r w:rsidR="00BA4EF3">
        <w:rPr>
          <w:rFonts w:cs="Times New Roman"/>
          <w:szCs w:val="24"/>
        </w:rPr>
        <w:t xml:space="preserve">received </w:t>
      </w:r>
      <w:r w:rsidRPr="004C1886">
        <w:rPr>
          <w:rFonts w:cs="Times New Roman"/>
          <w:szCs w:val="24"/>
        </w:rPr>
        <w:t>by customers</w:t>
      </w:r>
      <w:r w:rsidR="00ED32D4">
        <w:rPr>
          <w:rFonts w:cs="Times New Roman"/>
          <w:szCs w:val="24"/>
        </w:rPr>
        <w:t>.</w:t>
      </w:r>
      <w:r w:rsidR="00754C6D">
        <w:rPr>
          <w:rFonts w:cs="Times New Roman"/>
          <w:szCs w:val="24"/>
        </w:rPr>
        <w:t xml:space="preserve"> </w:t>
      </w:r>
      <w:r w:rsidR="00ED32D4">
        <w:rPr>
          <w:rFonts w:cs="Times New Roman"/>
          <w:szCs w:val="24"/>
        </w:rPr>
        <w:t xml:space="preserve">To prevent this, </w:t>
      </w:r>
      <w:r w:rsidRPr="004C1886">
        <w:rPr>
          <w:rFonts w:cs="Times New Roman"/>
          <w:szCs w:val="24"/>
        </w:rPr>
        <w:t xml:space="preserve">the </w:t>
      </w:r>
      <w:r>
        <w:rPr>
          <w:rFonts w:cs="Times New Roman"/>
          <w:szCs w:val="24"/>
        </w:rPr>
        <w:t>excess deferred income tax</w:t>
      </w:r>
      <w:r w:rsidRPr="004C1886">
        <w:rPr>
          <w:rFonts w:cs="Times New Roman"/>
          <w:szCs w:val="24"/>
        </w:rPr>
        <w:t xml:space="preserve"> balance </w:t>
      </w:r>
      <w:r w:rsidR="00ED32D4">
        <w:rPr>
          <w:rFonts w:cs="Times New Roman"/>
          <w:szCs w:val="24"/>
        </w:rPr>
        <w:t>should be</w:t>
      </w:r>
      <w:r w:rsidRPr="004C1886" w:rsidR="00ED32D4">
        <w:rPr>
          <w:rFonts w:cs="Times New Roman"/>
          <w:szCs w:val="24"/>
        </w:rPr>
        <w:t xml:space="preserve"> </w:t>
      </w:r>
      <w:r w:rsidR="00ED32D4">
        <w:rPr>
          <w:rFonts w:cs="Times New Roman"/>
          <w:szCs w:val="24"/>
        </w:rPr>
        <w:t>the one on</w:t>
      </w:r>
      <w:r w:rsidRPr="004C1886">
        <w:rPr>
          <w:rFonts w:cs="Times New Roman"/>
          <w:szCs w:val="24"/>
        </w:rPr>
        <w:t xml:space="preserve"> December 31, 2017.</w:t>
      </w:r>
      <w:r w:rsidRPr="004C1886">
        <w:rPr>
          <w:rStyle w:val="FootnoteReference"/>
        </w:rPr>
        <w:t>31</w:t>
      </w:r>
    </w:p>
    <w:p w:rsidR="00EE0E58" w:rsidP="000479D7" w14:paraId="0A377C0C" w14:textId="374EDF66">
      <w:pPr>
        <w:spacing w:before="100" w:beforeAutospacing="1" w:after="100" w:afterAutospacing="1" w:line="480" w:lineRule="auto"/>
        <w:ind w:firstLine="720"/>
        <w:contextualSpacing/>
        <w:rPr>
          <w:rFonts w:cs="Times New Roman"/>
          <w:szCs w:val="24"/>
        </w:rPr>
      </w:pPr>
      <w:r>
        <w:rPr>
          <w:rFonts w:cs="Times New Roman"/>
          <w:szCs w:val="24"/>
        </w:rPr>
        <w:t>Duke also argues</w:t>
      </w:r>
      <w:r w:rsidR="004C1886">
        <w:rPr>
          <w:rFonts w:cs="Times New Roman"/>
          <w:szCs w:val="24"/>
        </w:rPr>
        <w:t xml:space="preserve"> </w:t>
      </w:r>
      <w:r>
        <w:rPr>
          <w:rFonts w:cs="Times New Roman"/>
          <w:szCs w:val="24"/>
        </w:rPr>
        <w:t>that using the balance of excess deferred income taxes as of its last base rate case</w:t>
      </w:r>
      <w:r w:rsidR="004C1886">
        <w:rPr>
          <w:rFonts w:cs="Times New Roman"/>
          <w:szCs w:val="24"/>
        </w:rPr>
        <w:t xml:space="preserve"> would be most consistent with the PUCO</w:t>
      </w:r>
      <w:r w:rsidR="00754C6D">
        <w:rPr>
          <w:rFonts w:cs="Times New Roman"/>
          <w:szCs w:val="24"/>
        </w:rPr>
        <w:t>’</w:t>
      </w:r>
      <w:r w:rsidR="004C1886">
        <w:rPr>
          <w:rFonts w:cs="Times New Roman"/>
          <w:szCs w:val="24"/>
        </w:rPr>
        <w:t>s approach to similarly situated utilities.</w:t>
      </w:r>
      <w:r>
        <w:rPr>
          <w:rStyle w:val="FootnoteReference"/>
          <w:rFonts w:cs="Times New Roman"/>
          <w:szCs w:val="24"/>
        </w:rPr>
        <w:footnoteReference w:id="45"/>
      </w:r>
      <w:r w:rsidR="004C1886">
        <w:rPr>
          <w:rFonts w:cs="Times New Roman"/>
          <w:szCs w:val="24"/>
        </w:rPr>
        <w:t xml:space="preserve"> </w:t>
      </w:r>
      <w:r>
        <w:rPr>
          <w:rFonts w:cs="Times New Roman"/>
          <w:szCs w:val="24"/>
        </w:rPr>
        <w:t xml:space="preserve">Contrary to </w:t>
      </w:r>
      <w:r w:rsidR="00ED32D4">
        <w:rPr>
          <w:rFonts w:cs="Times New Roman"/>
          <w:szCs w:val="24"/>
        </w:rPr>
        <w:t>its argument that</w:t>
      </w:r>
      <w:r>
        <w:rPr>
          <w:rFonts w:cs="Times New Roman"/>
          <w:szCs w:val="24"/>
        </w:rPr>
        <w:t xml:space="preserve"> there is “no one-size-fits-all” solution to passing back the tax savings, Duke incredibly </w:t>
      </w:r>
      <w:r w:rsidR="00ED32D4">
        <w:rPr>
          <w:rFonts w:cs="Times New Roman"/>
          <w:szCs w:val="24"/>
        </w:rPr>
        <w:t xml:space="preserve">argues </w:t>
      </w:r>
      <w:r>
        <w:rPr>
          <w:rFonts w:cs="Times New Roman"/>
          <w:szCs w:val="24"/>
        </w:rPr>
        <w:t xml:space="preserve">that it should be treated similarly to </w:t>
      </w:r>
      <w:r w:rsidR="00ED32D4">
        <w:rPr>
          <w:rFonts w:cs="Times New Roman"/>
          <w:szCs w:val="24"/>
        </w:rPr>
        <w:t xml:space="preserve">the way </w:t>
      </w:r>
      <w:r>
        <w:rPr>
          <w:rFonts w:cs="Times New Roman"/>
          <w:szCs w:val="24"/>
        </w:rPr>
        <w:t>Columbia</w:t>
      </w:r>
      <w:r w:rsidR="00ED32D4">
        <w:rPr>
          <w:rFonts w:cs="Times New Roman"/>
          <w:szCs w:val="24"/>
        </w:rPr>
        <w:t xml:space="preserve"> was</w:t>
      </w:r>
      <w:r>
        <w:rPr>
          <w:rFonts w:cs="Times New Roman"/>
          <w:szCs w:val="24"/>
        </w:rPr>
        <w:t xml:space="preserve"> in Case No. 17-2202-GA-ALT.</w:t>
      </w:r>
      <w:r>
        <w:rPr>
          <w:rStyle w:val="FootnoteReference"/>
          <w:rFonts w:cs="Times New Roman"/>
          <w:szCs w:val="24"/>
        </w:rPr>
        <w:footnoteReference w:id="46"/>
      </w:r>
      <w:r>
        <w:rPr>
          <w:rFonts w:cs="Times New Roman"/>
          <w:szCs w:val="24"/>
        </w:rPr>
        <w:t xml:space="preserve"> Duke reasons that it is similarly situated to Columbia, which was permitted to use the date certain of its last base rate case to pass back the tax savings.</w:t>
      </w:r>
      <w:r w:rsidR="004358F3">
        <w:rPr>
          <w:rFonts w:cs="Times New Roman"/>
          <w:szCs w:val="24"/>
        </w:rPr>
        <w:t xml:space="preserve"> </w:t>
      </w:r>
      <w:r>
        <w:rPr>
          <w:rFonts w:cs="Times New Roman"/>
          <w:szCs w:val="24"/>
        </w:rPr>
        <w:t xml:space="preserve">Duke </w:t>
      </w:r>
      <w:r w:rsidR="002A5B68">
        <w:rPr>
          <w:rFonts w:cs="Times New Roman"/>
          <w:szCs w:val="24"/>
        </w:rPr>
        <w:t xml:space="preserve">is </w:t>
      </w:r>
      <w:r>
        <w:rPr>
          <w:rFonts w:cs="Times New Roman"/>
          <w:szCs w:val="24"/>
        </w:rPr>
        <w:t>thereby requesting a one-size-fits-all solution for what it considers “similarly situated” utilities.</w:t>
      </w:r>
      <w:r>
        <w:rPr>
          <w:rStyle w:val="FootnoteReference"/>
          <w:rFonts w:cs="Times New Roman"/>
          <w:szCs w:val="24"/>
        </w:rPr>
        <w:footnoteReference w:id="47"/>
      </w:r>
      <w:r>
        <w:rPr>
          <w:rFonts w:cs="Times New Roman"/>
          <w:szCs w:val="24"/>
        </w:rPr>
        <w:t xml:space="preserve"> Duke cannot have it both ways.</w:t>
      </w:r>
    </w:p>
    <w:p w:rsidR="0032032C" w:rsidP="000479D7" w14:paraId="3A76C354" w14:textId="4E5A485A">
      <w:pPr>
        <w:spacing w:before="100" w:beforeAutospacing="1" w:after="100" w:afterAutospacing="1" w:line="480" w:lineRule="auto"/>
        <w:ind w:firstLine="720"/>
        <w:contextualSpacing/>
        <w:rPr>
          <w:rFonts w:ascii="TimesNewRomanPSMT" w:hAnsi="TimesNewRomanPSMT"/>
        </w:rPr>
      </w:pPr>
      <w:r>
        <w:rPr>
          <w:rFonts w:cs="Times New Roman"/>
          <w:szCs w:val="24"/>
        </w:rPr>
        <w:t xml:space="preserve">As OCC </w:t>
      </w:r>
      <w:r w:rsidR="00B07EA0">
        <w:rPr>
          <w:rFonts w:cs="Times New Roman"/>
          <w:szCs w:val="24"/>
        </w:rPr>
        <w:t>explained</w:t>
      </w:r>
      <w:r w:rsidR="0065012D">
        <w:rPr>
          <w:rFonts w:cs="Times New Roman"/>
          <w:szCs w:val="24"/>
        </w:rPr>
        <w:t xml:space="preserve"> </w:t>
      </w:r>
      <w:r>
        <w:rPr>
          <w:rFonts w:cs="Times New Roman"/>
          <w:szCs w:val="24"/>
        </w:rPr>
        <w:t xml:space="preserve">in its </w:t>
      </w:r>
      <w:r w:rsidR="00B07EA0">
        <w:rPr>
          <w:rFonts w:cs="Times New Roman"/>
          <w:szCs w:val="24"/>
        </w:rPr>
        <w:t xml:space="preserve">Initial </w:t>
      </w:r>
      <w:r>
        <w:rPr>
          <w:rFonts w:cs="Times New Roman"/>
          <w:szCs w:val="24"/>
        </w:rPr>
        <w:t>Brief, the approach used in Columbia was the result of a settlement agreement, based on</w:t>
      </w:r>
      <w:r w:rsidR="00754C6D">
        <w:rPr>
          <w:rFonts w:cs="Times New Roman"/>
          <w:szCs w:val="24"/>
        </w:rPr>
        <w:t xml:space="preserve"> </w:t>
      </w:r>
      <w:r>
        <w:rPr>
          <w:rFonts w:ascii="TimesNewRomanPSMT" w:hAnsi="TimesNewRomanPSMT"/>
        </w:rPr>
        <w:t>the facts and circumstances of that case alone.</w:t>
      </w:r>
      <w:r w:rsidR="00754C6D">
        <w:rPr>
          <w:rFonts w:ascii="TimesNewRomanPSMT" w:hAnsi="TimesNewRomanPSMT"/>
        </w:rPr>
        <w:t xml:space="preserve"> </w:t>
      </w:r>
      <w:r>
        <w:rPr>
          <w:rFonts w:ascii="TimesNewRomanPSMT" w:hAnsi="TimesNewRomanPSMT"/>
        </w:rPr>
        <w:t xml:space="preserve">And the settlement </w:t>
      </w:r>
      <w:r w:rsidR="00ED32D4">
        <w:rPr>
          <w:rFonts w:ascii="TimesNewRomanPSMT" w:hAnsi="TimesNewRomanPSMT"/>
        </w:rPr>
        <w:t>was</w:t>
      </w:r>
      <w:r>
        <w:rPr>
          <w:rFonts w:ascii="TimesNewRomanPSMT" w:hAnsi="TimesNewRomanPSMT"/>
        </w:rPr>
        <w:t xml:space="preserve"> evaluated as</w:t>
      </w:r>
      <w:r w:rsidR="00754C6D">
        <w:rPr>
          <w:rFonts w:ascii="TimesNewRomanPSMT" w:hAnsi="TimesNewRomanPSMT"/>
        </w:rPr>
        <w:t xml:space="preserve"> </w:t>
      </w:r>
      <w:r>
        <w:rPr>
          <w:rFonts w:ascii="TimesNewRomanPSMT" w:hAnsi="TimesNewRomanPSMT"/>
        </w:rPr>
        <w:t>a package, rather than by the individual terms contained in it.</w:t>
      </w:r>
      <w:r w:rsidR="00754C6D">
        <w:rPr>
          <w:rFonts w:ascii="TimesNewRomanPSMT" w:hAnsi="TimesNewRomanPSMT"/>
        </w:rPr>
        <w:t xml:space="preserve"> </w:t>
      </w:r>
      <w:r>
        <w:rPr>
          <w:rFonts w:ascii="TimesNewRomanPSMT" w:hAnsi="TimesNewRomanPSMT"/>
        </w:rPr>
        <w:t>Additionally, settlements are not precedent in other cases.</w:t>
      </w:r>
      <w:r w:rsidR="0065012D">
        <w:rPr>
          <w:rFonts w:ascii="TimesNewRomanPSMT" w:hAnsi="TimesNewRomanPSMT"/>
        </w:rPr>
        <w:t xml:space="preserve"> The PUCO Staff </w:t>
      </w:r>
      <w:r w:rsidR="00B07EA0">
        <w:rPr>
          <w:rFonts w:ascii="TimesNewRomanPSMT" w:hAnsi="TimesNewRomanPSMT"/>
        </w:rPr>
        <w:t>agrees.</w:t>
      </w:r>
      <w:r w:rsidR="004358F3">
        <w:rPr>
          <w:rFonts w:ascii="TimesNewRomanPSMT" w:hAnsi="TimesNewRomanPSMT"/>
        </w:rPr>
        <w:t xml:space="preserve"> </w:t>
      </w:r>
    </w:p>
    <w:p w:rsidR="00EE0E58" w:rsidP="000479D7" w14:paraId="358273D2" w14:textId="284BC7A7">
      <w:pPr>
        <w:spacing w:before="100" w:beforeAutospacing="1" w:after="100" w:afterAutospacing="1" w:line="480" w:lineRule="auto"/>
        <w:ind w:firstLine="720"/>
        <w:contextualSpacing/>
        <w:rPr>
          <w:rFonts w:cs="Times New Roman"/>
          <w:szCs w:val="24"/>
        </w:rPr>
      </w:pPr>
      <w:r>
        <w:rPr>
          <w:rFonts w:ascii="TimesNewRomanPSMT" w:hAnsi="TimesNewRomanPSMT"/>
        </w:rPr>
        <w:t xml:space="preserve">PUCO Staff </w:t>
      </w:r>
      <w:r w:rsidR="0065012D">
        <w:rPr>
          <w:rFonts w:ascii="TimesNewRomanPSMT" w:hAnsi="TimesNewRomanPSMT"/>
        </w:rPr>
        <w:t xml:space="preserve">explained </w:t>
      </w:r>
      <w:r w:rsidR="00B07EA0">
        <w:rPr>
          <w:rFonts w:ascii="TimesNewRomanPSMT" w:hAnsi="TimesNewRomanPSMT"/>
        </w:rPr>
        <w:t xml:space="preserve">in </w:t>
      </w:r>
      <w:r>
        <w:rPr>
          <w:rFonts w:ascii="TimesNewRomanPSMT" w:hAnsi="TimesNewRomanPSMT"/>
        </w:rPr>
        <w:t>its</w:t>
      </w:r>
      <w:r w:rsidR="00B07EA0">
        <w:rPr>
          <w:rFonts w:ascii="TimesNewRomanPSMT" w:hAnsi="TimesNewRomanPSMT"/>
        </w:rPr>
        <w:t xml:space="preserve"> Initial Brief </w:t>
      </w:r>
      <w:r w:rsidR="0065012D">
        <w:rPr>
          <w:rFonts w:ascii="TimesNewRomanPSMT" w:hAnsi="TimesNewRomanPSMT"/>
        </w:rPr>
        <w:t>that the Columbia case was not solely a tax case</w:t>
      </w:r>
      <w:r w:rsidR="00B07EA0">
        <w:rPr>
          <w:rFonts w:ascii="TimesNewRomanPSMT" w:hAnsi="TimesNewRomanPSMT"/>
        </w:rPr>
        <w:t>; it</w:t>
      </w:r>
      <w:r w:rsidR="0065012D">
        <w:rPr>
          <w:rFonts w:ascii="TimesNewRomanPSMT" w:hAnsi="TimesNewRomanPSMT"/>
        </w:rPr>
        <w:t xml:space="preserve"> involved many other parties</w:t>
      </w:r>
      <w:r w:rsidR="00B07EA0">
        <w:rPr>
          <w:rFonts w:ascii="TimesNewRomanPSMT" w:hAnsi="TimesNewRomanPSMT"/>
        </w:rPr>
        <w:t xml:space="preserve"> and </w:t>
      </w:r>
      <w:r w:rsidR="0065012D">
        <w:rPr>
          <w:rFonts w:ascii="TimesNewRomanPSMT" w:hAnsi="TimesNewRomanPSMT"/>
        </w:rPr>
        <w:t>issues</w:t>
      </w:r>
      <w:r w:rsidR="00B07EA0">
        <w:rPr>
          <w:rFonts w:ascii="TimesNewRomanPSMT" w:hAnsi="TimesNewRomanPSMT"/>
        </w:rPr>
        <w:t xml:space="preserve">; </w:t>
      </w:r>
      <w:r w:rsidR="0065012D">
        <w:rPr>
          <w:rFonts w:ascii="TimesNewRomanPSMT" w:hAnsi="TimesNewRomanPSMT"/>
        </w:rPr>
        <w:t>and the settlement</w:t>
      </w:r>
      <w:r w:rsidR="00B07EA0">
        <w:rPr>
          <w:rFonts w:ascii="TimesNewRomanPSMT" w:hAnsi="TimesNewRomanPSMT"/>
        </w:rPr>
        <w:t xml:space="preserve"> in the case</w:t>
      </w:r>
      <w:r w:rsidR="0065012D">
        <w:rPr>
          <w:rFonts w:ascii="TimesNewRomanPSMT" w:hAnsi="TimesNewRomanPSMT"/>
        </w:rPr>
        <w:t xml:space="preserve"> specifically provided that it should not be cited a precedent in any future proceeding.</w:t>
      </w:r>
      <w:r>
        <w:rPr>
          <w:rStyle w:val="FootnoteReference"/>
          <w:rFonts w:ascii="TimesNewRomanPSMT" w:hAnsi="TimesNewRomanPSMT"/>
        </w:rPr>
        <w:footnoteReference w:id="48"/>
      </w:r>
      <w:r w:rsidR="0065012D">
        <w:rPr>
          <w:rFonts w:ascii="TimesNewRomanPSMT" w:hAnsi="TimesNewRomanPSMT"/>
        </w:rPr>
        <w:t xml:space="preserve"> </w:t>
      </w:r>
      <w:r w:rsidR="00B07EA0">
        <w:rPr>
          <w:rFonts w:ascii="TimesNewRomanPSMT" w:hAnsi="TimesNewRomanPSMT"/>
        </w:rPr>
        <w:t>Further</w:t>
      </w:r>
      <w:r w:rsidR="0065012D">
        <w:rPr>
          <w:rFonts w:ascii="TimesNewRomanPSMT" w:hAnsi="TimesNewRomanPSMT"/>
        </w:rPr>
        <w:t xml:space="preserve">, the PUCO has accepted, and sometimes </w:t>
      </w:r>
      <w:r w:rsidR="00B07EA0">
        <w:rPr>
          <w:rFonts w:ascii="TimesNewRomanPSMT" w:hAnsi="TimesNewRomanPSMT"/>
        </w:rPr>
        <w:t>utilities</w:t>
      </w:r>
      <w:r w:rsidR="0065012D">
        <w:rPr>
          <w:rFonts w:ascii="TimesNewRomanPSMT" w:hAnsi="TimesNewRomanPSMT"/>
        </w:rPr>
        <w:t xml:space="preserve"> (</w:t>
      </w:r>
      <w:r w:rsidRPr="00754C6D" w:rsidR="0065012D">
        <w:rPr>
          <w:rFonts w:ascii="TimesNewRomanPSMT" w:hAnsi="TimesNewRomanPSMT"/>
          <w:i/>
          <w:iCs/>
        </w:rPr>
        <w:t>including Duke</w:t>
      </w:r>
      <w:r w:rsidR="0065012D">
        <w:rPr>
          <w:rFonts w:ascii="TimesNewRomanPSMT" w:hAnsi="TimesNewRomanPSMT"/>
        </w:rPr>
        <w:t>) ha</w:t>
      </w:r>
      <w:r w:rsidR="00B07EA0">
        <w:rPr>
          <w:rFonts w:ascii="TimesNewRomanPSMT" w:hAnsi="TimesNewRomanPSMT"/>
        </w:rPr>
        <w:t>ve</w:t>
      </w:r>
      <w:r w:rsidR="0065012D">
        <w:rPr>
          <w:rFonts w:ascii="TimesNewRomanPSMT" w:hAnsi="TimesNewRomanPSMT"/>
        </w:rPr>
        <w:t xml:space="preserve"> </w:t>
      </w:r>
      <w:r w:rsidR="00B07EA0">
        <w:rPr>
          <w:rFonts w:ascii="TimesNewRomanPSMT" w:hAnsi="TimesNewRomanPSMT"/>
        </w:rPr>
        <w:t>themselves</w:t>
      </w:r>
      <w:r w:rsidR="0065012D">
        <w:rPr>
          <w:rFonts w:ascii="TimesNewRomanPSMT" w:hAnsi="TimesNewRomanPSMT"/>
        </w:rPr>
        <w:t xml:space="preserve"> recommended, using December 31, 2017 as the excess deferred income tax balance date in their applications.</w:t>
      </w:r>
      <w:r>
        <w:rPr>
          <w:rStyle w:val="FootnoteReference"/>
          <w:rFonts w:ascii="TimesNewRomanPSMT" w:hAnsi="TimesNewRomanPSMT"/>
        </w:rPr>
        <w:footnoteReference w:id="49"/>
      </w:r>
      <w:r w:rsidR="0065012D">
        <w:rPr>
          <w:rFonts w:ascii="TimesNewRomanPSMT" w:hAnsi="TimesNewRomanPSMT"/>
        </w:rPr>
        <w:t xml:space="preserve"> While Duke has argued that it should be treated the same as </w:t>
      </w:r>
      <w:r w:rsidR="00B07EA0">
        <w:rPr>
          <w:rFonts w:ascii="TimesNewRomanPSMT" w:hAnsi="TimesNewRomanPSMT"/>
        </w:rPr>
        <w:t>other similarly situated</w:t>
      </w:r>
      <w:r w:rsidR="0065012D">
        <w:rPr>
          <w:rFonts w:ascii="TimesNewRomanPSMT" w:hAnsi="TimesNewRomanPSMT"/>
        </w:rPr>
        <w:t xml:space="preserve"> utilities, here Duke is asking for the opposite. </w:t>
      </w:r>
      <w:r w:rsidR="00B07EA0">
        <w:rPr>
          <w:rFonts w:ascii="TimesNewRomanPSMT" w:hAnsi="TimesNewRomanPSMT"/>
        </w:rPr>
        <w:t xml:space="preserve">It is asserting that it is “special” and should be treated differently </w:t>
      </w:r>
      <w:r w:rsidR="00BA4EF3">
        <w:rPr>
          <w:rFonts w:ascii="TimesNewRomanPSMT" w:hAnsi="TimesNewRomanPSMT"/>
        </w:rPr>
        <w:t xml:space="preserve">from </w:t>
      </w:r>
      <w:r w:rsidR="00B07EA0">
        <w:rPr>
          <w:rFonts w:ascii="TimesNewRomanPSMT" w:hAnsi="TimesNewRomanPSMT"/>
        </w:rPr>
        <w:t>all other similarly situated utilities.</w:t>
      </w:r>
      <w:r w:rsidR="004358F3">
        <w:rPr>
          <w:rFonts w:ascii="TimesNewRomanPSMT" w:hAnsi="TimesNewRomanPSMT"/>
        </w:rPr>
        <w:t xml:space="preserve"> </w:t>
      </w:r>
      <w:r w:rsidR="00D25370">
        <w:rPr>
          <w:rFonts w:ascii="TimesNewRomanPSMT" w:hAnsi="TimesNewRomanPSMT"/>
        </w:rPr>
        <w:t>To protect consumers, t</w:t>
      </w:r>
      <w:r w:rsidR="0065012D">
        <w:rPr>
          <w:rFonts w:ascii="TimesNewRomanPSMT" w:hAnsi="TimesNewRomanPSMT"/>
        </w:rPr>
        <w:t xml:space="preserve">he PUCO should reject </w:t>
      </w:r>
      <w:r w:rsidR="00D25370">
        <w:rPr>
          <w:rFonts w:ascii="TimesNewRomanPSMT" w:hAnsi="TimesNewRomanPSMT"/>
        </w:rPr>
        <w:t>Duke</w:t>
      </w:r>
      <w:r w:rsidR="00754C6D">
        <w:rPr>
          <w:rFonts w:ascii="TimesNewRomanPSMT" w:hAnsi="TimesNewRomanPSMT"/>
        </w:rPr>
        <w:t>’</w:t>
      </w:r>
      <w:r w:rsidR="00D25370">
        <w:rPr>
          <w:rFonts w:ascii="TimesNewRomanPSMT" w:hAnsi="TimesNewRomanPSMT"/>
        </w:rPr>
        <w:t>s</w:t>
      </w:r>
      <w:r w:rsidR="0065012D">
        <w:rPr>
          <w:rFonts w:ascii="TimesNewRomanPSMT" w:hAnsi="TimesNewRomanPSMT"/>
        </w:rPr>
        <w:t xml:space="preserve"> contradictory request.</w:t>
      </w:r>
    </w:p>
    <w:p w:rsidR="001A4708" w:rsidRPr="001A4708" w:rsidP="000479D7" w14:paraId="10CBD10B" w14:textId="0E771932">
      <w:pPr>
        <w:spacing w:before="100" w:beforeAutospacing="1" w:after="100" w:afterAutospacing="1" w:line="480" w:lineRule="auto"/>
        <w:ind w:firstLine="720"/>
        <w:contextualSpacing/>
      </w:pPr>
      <w:r w:rsidRPr="004C1886">
        <w:rPr>
          <w:rFonts w:cs="Times New Roman"/>
          <w:szCs w:val="24"/>
        </w:rPr>
        <w:t xml:space="preserve">To </w:t>
      </w:r>
      <w:r w:rsidR="00747D56">
        <w:rPr>
          <w:rFonts w:cs="Times New Roman"/>
          <w:szCs w:val="24"/>
        </w:rPr>
        <w:t>safeguard</w:t>
      </w:r>
      <w:r w:rsidRPr="004C1886" w:rsidR="00747D56">
        <w:rPr>
          <w:rFonts w:cs="Times New Roman"/>
          <w:szCs w:val="24"/>
        </w:rPr>
        <w:t xml:space="preserve"> </w:t>
      </w:r>
      <w:r w:rsidRPr="004C1886">
        <w:rPr>
          <w:rFonts w:cs="Times New Roman"/>
          <w:szCs w:val="24"/>
        </w:rPr>
        <w:t xml:space="preserve">that consumers receive </w:t>
      </w:r>
      <w:r w:rsidRPr="004C1886">
        <w:rPr>
          <w:rFonts w:cs="Times New Roman"/>
          <w:i/>
          <w:iCs/>
          <w:szCs w:val="24"/>
        </w:rPr>
        <w:t xml:space="preserve">all </w:t>
      </w:r>
      <w:r w:rsidRPr="004C1886">
        <w:rPr>
          <w:rFonts w:cs="Times New Roman"/>
          <w:szCs w:val="24"/>
        </w:rPr>
        <w:t xml:space="preserve">savings from the reduction in federal taxes, it is much more logical </w:t>
      </w:r>
      <w:r w:rsidR="00D25370">
        <w:rPr>
          <w:rFonts w:cs="Times New Roman"/>
          <w:szCs w:val="24"/>
        </w:rPr>
        <w:t xml:space="preserve">and transparent </w:t>
      </w:r>
      <w:r w:rsidRPr="004C1886">
        <w:rPr>
          <w:rFonts w:cs="Times New Roman"/>
          <w:szCs w:val="24"/>
        </w:rPr>
        <w:t xml:space="preserve">that the balance for determining the excess deferred income taxes </w:t>
      </w:r>
      <w:r w:rsidR="00D25370">
        <w:rPr>
          <w:rFonts w:cs="Times New Roman"/>
          <w:szCs w:val="24"/>
        </w:rPr>
        <w:t>should</w:t>
      </w:r>
      <w:r w:rsidRPr="004C1886">
        <w:rPr>
          <w:rFonts w:cs="Times New Roman"/>
          <w:szCs w:val="24"/>
        </w:rPr>
        <w:t xml:space="preserve"> be the</w:t>
      </w:r>
      <w:r w:rsidRPr="00C743FA">
        <w:t xml:space="preserve"> latest balance immediately before the law became effective.</w:t>
      </w:r>
      <w:r>
        <w:rPr>
          <w:vertAlign w:val="superscript"/>
        </w:rPr>
        <w:footnoteReference w:id="50"/>
      </w:r>
      <w:r>
        <w:t xml:space="preserve"> </w:t>
      </w:r>
      <w:r w:rsidR="0032032C">
        <w:t xml:space="preserve">By using the latest available balance, customers </w:t>
      </w:r>
      <w:r w:rsidR="00ED32D4">
        <w:t>get the full benefit for the federal tax cuts</w:t>
      </w:r>
      <w:r w:rsidR="0032032C">
        <w:t>.</w:t>
      </w:r>
      <w:r w:rsidR="00754C6D">
        <w:t xml:space="preserve"> </w:t>
      </w:r>
      <w:r w:rsidRPr="00C743FA">
        <w:t xml:space="preserve">Therefore, </w:t>
      </w:r>
      <w:r w:rsidR="00D25370">
        <w:t xml:space="preserve">the PUCO should adopt </w:t>
      </w:r>
      <w:r w:rsidRPr="00C743FA">
        <w:t>OCC</w:t>
      </w:r>
      <w:r w:rsidR="00754C6D">
        <w:t>’</w:t>
      </w:r>
      <w:r w:rsidRPr="00C743FA">
        <w:t>s and PUCO Staff</w:t>
      </w:r>
      <w:r w:rsidR="00754C6D">
        <w:t>’</w:t>
      </w:r>
      <w:r w:rsidRPr="00C743FA">
        <w:t>s recommendation</w:t>
      </w:r>
      <w:r w:rsidR="00747D56">
        <w:t>s</w:t>
      </w:r>
      <w:r w:rsidRPr="00C743FA">
        <w:t xml:space="preserve"> that the </w:t>
      </w:r>
      <w:r>
        <w:t>excess deferred income taxes</w:t>
      </w:r>
      <w:r w:rsidRPr="00C743FA">
        <w:t xml:space="preserve"> balance at December 31, 2017 is the proper balance to use to determine the total </w:t>
      </w:r>
      <w:r>
        <w:t>excess deferred income taxes</w:t>
      </w:r>
      <w:r w:rsidRPr="00C743FA">
        <w:t xml:space="preserve"> that should be passed back to customers.</w:t>
      </w:r>
      <w:r>
        <w:rPr>
          <w:rStyle w:val="FootnoteReference"/>
        </w:rPr>
        <w:footnoteReference w:id="51"/>
      </w:r>
    </w:p>
    <w:p w:rsidR="00DA4E9F" w:rsidRPr="00BF6B72" w:rsidP="003B596B" w14:paraId="3062190D" w14:textId="622C09AD">
      <w:pPr>
        <w:pStyle w:val="Heading1"/>
        <w:numPr>
          <w:ilvl w:val="0"/>
          <w:numId w:val="21"/>
        </w:numPr>
      </w:pPr>
      <w:bookmarkStart w:id="14" w:name="_Toc20151092"/>
      <w:bookmarkStart w:id="15" w:name="_Toc20221495"/>
      <w:r w:rsidRPr="00BF6B72">
        <w:t>CONCLUSION</w:t>
      </w:r>
      <w:bookmarkEnd w:id="14"/>
      <w:bookmarkEnd w:id="15"/>
    </w:p>
    <w:p w:rsidR="00FD0AB9" w:rsidP="00CD117A" w14:paraId="73991A58" w14:textId="7B608F09">
      <w:pPr>
        <w:pStyle w:val="NormalWeb"/>
        <w:spacing w:after="0" w:afterAutospacing="0" w:line="480" w:lineRule="auto"/>
        <w:ind w:firstLine="720"/>
        <w:contextualSpacing/>
        <w:rPr>
          <w:rFonts w:ascii="TimesNewRomanPSMT" w:hAnsi="TimesNewRomanPSMT"/>
        </w:rPr>
      </w:pPr>
      <w:r w:rsidRPr="006A18DD">
        <w:rPr>
          <w:rFonts w:ascii="TimesNewRomanPSMT" w:hAnsi="TimesNewRomanPSMT"/>
        </w:rPr>
        <w:t xml:space="preserve">Duke </w:t>
      </w:r>
      <w:r w:rsidR="00646A15">
        <w:rPr>
          <w:rFonts w:ascii="TimesNewRomanPSMT" w:hAnsi="TimesNewRomanPSMT"/>
        </w:rPr>
        <w:t>should</w:t>
      </w:r>
      <w:r w:rsidR="00754C6D">
        <w:rPr>
          <w:rFonts w:ascii="TimesNewRomanPSMT" w:hAnsi="TimesNewRomanPSMT"/>
        </w:rPr>
        <w:t xml:space="preserve"> </w:t>
      </w:r>
      <w:r w:rsidR="004A0A55">
        <w:rPr>
          <w:rFonts w:ascii="TimesNewRomanPSMT" w:hAnsi="TimesNewRomanPSMT"/>
        </w:rPr>
        <w:t>return</w:t>
      </w:r>
      <w:r w:rsidRPr="006A18DD">
        <w:rPr>
          <w:rFonts w:ascii="TimesNewRomanPSMT" w:hAnsi="TimesNewRomanPSMT"/>
        </w:rPr>
        <w:t xml:space="preserve"> the </w:t>
      </w:r>
      <w:r w:rsidR="004A0A55">
        <w:rPr>
          <w:rFonts w:ascii="TimesNewRomanPSMT" w:hAnsi="TimesNewRomanPSMT"/>
        </w:rPr>
        <w:t>federal tax savings</w:t>
      </w:r>
      <w:r w:rsidRPr="006A18DD">
        <w:rPr>
          <w:rFonts w:ascii="TimesNewRomanPSMT" w:hAnsi="TimesNewRomanPSMT"/>
        </w:rPr>
        <w:t xml:space="preserve"> reduction as a credit to customers through the </w:t>
      </w:r>
      <w:r w:rsidR="004A0A55">
        <w:rPr>
          <w:rFonts w:ascii="TimesNewRomanPSMT" w:hAnsi="TimesNewRomanPSMT"/>
        </w:rPr>
        <w:t>tax savings</w:t>
      </w:r>
      <w:r w:rsidRPr="006A18DD">
        <w:rPr>
          <w:rFonts w:ascii="TimesNewRomanPSMT" w:hAnsi="TimesNewRomanPSMT"/>
        </w:rPr>
        <w:t xml:space="preserve"> rider rather than a</w:t>
      </w:r>
      <w:r w:rsidRPr="006A18DD" w:rsidR="009151C2">
        <w:rPr>
          <w:rFonts w:ascii="TimesNewRomanPSMT" w:hAnsi="TimesNewRomanPSMT"/>
        </w:rPr>
        <w:t>s</w:t>
      </w:r>
      <w:r w:rsidRPr="006A18DD">
        <w:rPr>
          <w:rFonts w:ascii="TimesNewRomanPSMT" w:hAnsi="TimesNewRomanPSMT"/>
        </w:rPr>
        <w:t xml:space="preserve"> </w:t>
      </w:r>
      <w:r w:rsidRPr="006A18DD" w:rsidR="009151C2">
        <w:rPr>
          <w:rFonts w:ascii="TimesNewRomanPSMT" w:hAnsi="TimesNewRomanPSMT"/>
        </w:rPr>
        <w:t xml:space="preserve">a </w:t>
      </w:r>
      <w:r w:rsidRPr="006A18DD">
        <w:rPr>
          <w:rFonts w:ascii="TimesNewRomanPSMT" w:hAnsi="TimesNewRomanPSMT"/>
        </w:rPr>
        <w:t xml:space="preserve">reduction in base rates. </w:t>
      </w:r>
      <w:r w:rsidRPr="006A18DD" w:rsidR="00215CA4">
        <w:rPr>
          <w:rFonts w:ascii="TimesNewRomanPSMT" w:hAnsi="TimesNewRomanPSMT"/>
        </w:rPr>
        <w:t xml:space="preserve">Using the </w:t>
      </w:r>
      <w:r w:rsidR="004A0A55">
        <w:rPr>
          <w:rFonts w:ascii="TimesNewRomanPSMT" w:hAnsi="TimesNewRomanPSMT"/>
        </w:rPr>
        <w:t>tax savings</w:t>
      </w:r>
      <w:r w:rsidRPr="006A18DD" w:rsidR="00215CA4">
        <w:rPr>
          <w:rFonts w:ascii="TimesNewRomanPSMT" w:hAnsi="TimesNewRomanPSMT"/>
        </w:rPr>
        <w:t xml:space="preserve"> rider is a more transparent </w:t>
      </w:r>
      <w:r w:rsidR="00A8141D">
        <w:rPr>
          <w:rFonts w:ascii="TimesNewRomanPSMT" w:hAnsi="TimesNewRomanPSMT"/>
        </w:rPr>
        <w:t>way of returning to consumers the benefits of the federal tax cuts</w:t>
      </w:r>
      <w:r w:rsidRPr="006A18DD" w:rsidR="00A37681">
        <w:rPr>
          <w:rFonts w:ascii="TimesNewRomanPSMT" w:hAnsi="TimesNewRomanPSMT"/>
        </w:rPr>
        <w:t>.</w:t>
      </w:r>
      <w:r w:rsidRPr="006A18DD" w:rsidR="00215CA4">
        <w:rPr>
          <w:rFonts w:ascii="TimesNewRomanPSMT" w:hAnsi="TimesNewRomanPSMT"/>
        </w:rPr>
        <w:t xml:space="preserve"> </w:t>
      </w:r>
      <w:r w:rsidRPr="006A18DD" w:rsidR="0019253F">
        <w:rPr>
          <w:rFonts w:ascii="TimesNewRomanPSMT" w:hAnsi="TimesNewRomanPSMT"/>
        </w:rPr>
        <w:t xml:space="preserve">And </w:t>
      </w:r>
      <w:r w:rsidRPr="006A18DD">
        <w:rPr>
          <w:rFonts w:ascii="TimesNewRomanPSMT" w:hAnsi="TimesNewRomanPSMT"/>
        </w:rPr>
        <w:t xml:space="preserve">to fairly capture the </w:t>
      </w:r>
      <w:r w:rsidR="004A0A55">
        <w:rPr>
          <w:rFonts w:ascii="TimesNewRomanPSMT" w:hAnsi="TimesNewRomanPSMT"/>
        </w:rPr>
        <w:t xml:space="preserve">excess deferred income tax </w:t>
      </w:r>
      <w:r w:rsidRPr="006A18DD">
        <w:rPr>
          <w:rFonts w:ascii="TimesNewRomanPSMT" w:hAnsi="TimesNewRomanPSMT"/>
        </w:rPr>
        <w:t xml:space="preserve">savings associated with the </w:t>
      </w:r>
      <w:r w:rsidR="004A0A55">
        <w:rPr>
          <w:rFonts w:ascii="TimesNewRomanPSMT" w:hAnsi="TimesNewRomanPSMT"/>
        </w:rPr>
        <w:t>federal tax cuts</w:t>
      </w:r>
      <w:r w:rsidRPr="006A18DD">
        <w:rPr>
          <w:rFonts w:ascii="TimesNewRomanPSMT" w:hAnsi="TimesNewRomanPSMT"/>
        </w:rPr>
        <w:t xml:space="preserve">, </w:t>
      </w:r>
      <w:r w:rsidRPr="006A18DD" w:rsidR="00BF01A4">
        <w:rPr>
          <w:rFonts w:ascii="TimesNewRomanPSMT" w:hAnsi="TimesNewRomanPSMT"/>
        </w:rPr>
        <w:t xml:space="preserve">the </w:t>
      </w:r>
      <w:r w:rsidR="004A0A55">
        <w:rPr>
          <w:rFonts w:ascii="TimesNewRomanPSMT" w:hAnsi="TimesNewRomanPSMT"/>
        </w:rPr>
        <w:t xml:space="preserve">excess deferred income tax </w:t>
      </w:r>
      <w:r w:rsidRPr="006A18DD" w:rsidR="00BF01A4">
        <w:rPr>
          <w:rFonts w:ascii="TimesNewRomanPSMT" w:hAnsi="TimesNewRomanPSMT"/>
        </w:rPr>
        <w:t xml:space="preserve">that will be credited to customers </w:t>
      </w:r>
      <w:r w:rsidR="004A0A55">
        <w:rPr>
          <w:rFonts w:ascii="TimesNewRomanPSMT" w:hAnsi="TimesNewRomanPSMT"/>
        </w:rPr>
        <w:t>should</w:t>
      </w:r>
      <w:r w:rsidRPr="006A18DD" w:rsidR="00BF01A4">
        <w:rPr>
          <w:rFonts w:ascii="TimesNewRomanPSMT" w:hAnsi="TimesNewRomanPSMT"/>
        </w:rPr>
        <w:t xml:space="preserve"> </w:t>
      </w:r>
      <w:r w:rsidR="00A8141D">
        <w:rPr>
          <w:rFonts w:ascii="TimesNewRomanPSMT" w:hAnsi="TimesNewRomanPSMT"/>
        </w:rPr>
        <w:t xml:space="preserve">be </w:t>
      </w:r>
      <w:r w:rsidRPr="006A18DD" w:rsidR="00BF01A4">
        <w:rPr>
          <w:rFonts w:ascii="TimesNewRomanPSMT" w:hAnsi="TimesNewRomanPSMT"/>
        </w:rPr>
        <w:t>based on Duke</w:t>
      </w:r>
      <w:r w:rsidR="00754C6D">
        <w:rPr>
          <w:rFonts w:ascii="TimesNewRomanPSMT" w:hAnsi="TimesNewRomanPSMT"/>
        </w:rPr>
        <w:t>’</w:t>
      </w:r>
      <w:r w:rsidRPr="006A18DD" w:rsidR="00BF01A4">
        <w:rPr>
          <w:rFonts w:ascii="TimesNewRomanPSMT" w:hAnsi="TimesNewRomanPSMT"/>
        </w:rPr>
        <w:t xml:space="preserve">s </w:t>
      </w:r>
      <w:r w:rsidR="004A0A55">
        <w:rPr>
          <w:rFonts w:ascii="TimesNewRomanPSMT" w:hAnsi="TimesNewRomanPSMT"/>
        </w:rPr>
        <w:t>excess deferred income tax</w:t>
      </w:r>
      <w:r w:rsidRPr="006A18DD" w:rsidR="00BF01A4">
        <w:rPr>
          <w:rFonts w:ascii="TimesNewRomanPSMT" w:hAnsi="TimesNewRomanPSMT"/>
        </w:rPr>
        <w:t xml:space="preserve"> balance of December 31, 2017.</w:t>
      </w:r>
      <w:r w:rsidRPr="006A18DD" w:rsidR="000538ED">
        <w:rPr>
          <w:rFonts w:ascii="TimesNewRomanPSMT" w:hAnsi="TimesNewRomanPSMT"/>
        </w:rPr>
        <w:t xml:space="preserve"> </w:t>
      </w:r>
      <w:r w:rsidRPr="006A18DD" w:rsidR="006A18DD">
        <w:rPr>
          <w:rFonts w:ascii="TimesNewRomanPSMT" w:hAnsi="TimesNewRomanPSMT"/>
        </w:rPr>
        <w:t>OCC</w:t>
      </w:r>
      <w:r w:rsidR="00754C6D">
        <w:rPr>
          <w:rFonts w:ascii="TimesNewRomanPSMT" w:hAnsi="TimesNewRomanPSMT"/>
        </w:rPr>
        <w:t>’</w:t>
      </w:r>
      <w:r w:rsidRPr="006A18DD" w:rsidR="006A18DD">
        <w:rPr>
          <w:rFonts w:ascii="TimesNewRomanPSMT" w:hAnsi="TimesNewRomanPSMT"/>
        </w:rPr>
        <w:t>s and the PUCO Staff</w:t>
      </w:r>
      <w:r w:rsidR="00754C6D">
        <w:rPr>
          <w:rFonts w:ascii="TimesNewRomanPSMT" w:hAnsi="TimesNewRomanPSMT"/>
        </w:rPr>
        <w:t>’</w:t>
      </w:r>
      <w:r w:rsidRPr="006A18DD" w:rsidR="006A18DD">
        <w:rPr>
          <w:rFonts w:ascii="TimesNewRomanPSMT" w:hAnsi="TimesNewRomanPSMT"/>
        </w:rPr>
        <w:t>s recommendations would expeditiously provide Duke</w:t>
      </w:r>
      <w:r w:rsidR="00754C6D">
        <w:rPr>
          <w:rFonts w:ascii="TimesNewRomanPSMT" w:hAnsi="TimesNewRomanPSMT"/>
        </w:rPr>
        <w:t>’</w:t>
      </w:r>
      <w:r w:rsidRPr="006A18DD" w:rsidR="006A18DD">
        <w:rPr>
          <w:rFonts w:ascii="TimesNewRomanPSMT" w:hAnsi="TimesNewRomanPSMT"/>
        </w:rPr>
        <w:t>s natural gas consumers with the bill reductions they are due as a result of Duke</w:t>
      </w:r>
      <w:r w:rsidR="00754C6D">
        <w:rPr>
          <w:rFonts w:ascii="TimesNewRomanPSMT" w:hAnsi="TimesNewRomanPSMT"/>
        </w:rPr>
        <w:t>’</w:t>
      </w:r>
      <w:r w:rsidRPr="006A18DD" w:rsidR="006A18DD">
        <w:rPr>
          <w:rFonts w:ascii="TimesNewRomanPSMT" w:hAnsi="TimesNewRomanPSMT"/>
        </w:rPr>
        <w:t xml:space="preserve">s federal tax savings. </w:t>
      </w:r>
      <w:r w:rsidRPr="006A18DD" w:rsidR="000538ED">
        <w:rPr>
          <w:rFonts w:ascii="TimesNewRomanPSMT" w:hAnsi="TimesNewRomanPSMT"/>
        </w:rPr>
        <w:t xml:space="preserve">The PUCO should therefore adopt </w:t>
      </w:r>
      <w:r w:rsidR="00A8141D">
        <w:rPr>
          <w:rFonts w:ascii="TimesNewRomanPSMT" w:hAnsi="TimesNewRomanPSMT"/>
        </w:rPr>
        <w:t>the</w:t>
      </w:r>
      <w:r w:rsidR="008E48B0">
        <w:rPr>
          <w:rFonts w:ascii="TimesNewRomanPSMT" w:hAnsi="TimesNewRomanPSMT"/>
        </w:rPr>
        <w:t>i</w:t>
      </w:r>
      <w:r w:rsidR="00A8141D">
        <w:rPr>
          <w:rFonts w:ascii="TimesNewRomanPSMT" w:hAnsi="TimesNewRomanPSMT"/>
        </w:rPr>
        <w:t>r</w:t>
      </w:r>
      <w:r w:rsidRPr="006A18DD" w:rsidR="000538ED">
        <w:rPr>
          <w:rFonts w:ascii="TimesNewRomanPSMT" w:hAnsi="TimesNewRomanPSMT"/>
        </w:rPr>
        <w:t xml:space="preserve"> recommendations. </w:t>
      </w:r>
    </w:p>
    <w:p w:rsidR="00FD0AB9" w14:paraId="425C34CB" w14:textId="77777777">
      <w:pPr>
        <w:rPr>
          <w:rFonts w:ascii="TimesNewRomanPSMT" w:eastAsia="Times New Roman" w:hAnsi="TimesNewRomanPSMT" w:cs="Times New Roman"/>
          <w:szCs w:val="24"/>
        </w:rPr>
      </w:pPr>
      <w:r>
        <w:rPr>
          <w:rFonts w:ascii="TimesNewRomanPSMT" w:hAnsi="TimesNewRomanPSMT"/>
        </w:rPr>
        <w:br w:type="page"/>
      </w:r>
    </w:p>
    <w:p w:rsidR="00DA4E9F" w:rsidRPr="00BF6B72" w:rsidP="002D73FD" w14:paraId="1F1D8898" w14:textId="343515FB">
      <w:pPr>
        <w:ind w:left="3600" w:firstLine="720"/>
        <w:rPr>
          <w:rFonts w:eastAsia="Times New Roman" w:cs="Times New Roman"/>
          <w:szCs w:val="24"/>
        </w:rPr>
      </w:pPr>
      <w:r w:rsidRPr="00BF6B72">
        <w:rPr>
          <w:rFonts w:eastAsia="Times New Roman" w:cs="Times New Roman"/>
          <w:szCs w:val="24"/>
        </w:rPr>
        <w:t>Respectfully submitted,</w:t>
      </w:r>
    </w:p>
    <w:p w:rsidR="00CD117A" w:rsidRPr="00C743FA" w:rsidP="00CD117A" w14:paraId="70E39E4F" w14:textId="77777777">
      <w:pPr>
        <w:spacing w:after="0" w:line="240" w:lineRule="auto"/>
        <w:ind w:left="4320"/>
      </w:pPr>
      <w:r w:rsidRPr="00C743FA">
        <w:t>Bruce Weston (0016973)</w:t>
      </w:r>
    </w:p>
    <w:p w:rsidR="00CD117A" w:rsidRPr="00C743FA" w:rsidP="00CD117A" w14:paraId="673D3C26" w14:textId="0F55C4C8">
      <w:pPr>
        <w:tabs>
          <w:tab w:val="left" w:pos="4320"/>
        </w:tabs>
        <w:spacing w:after="0" w:line="240" w:lineRule="auto"/>
        <w:ind w:left="4320"/>
      </w:pPr>
      <w:r w:rsidRPr="00C743FA">
        <w:t>Ohio Consumers</w:t>
      </w:r>
      <w:r w:rsidR="00754C6D">
        <w:t>’</w:t>
      </w:r>
      <w:r w:rsidRPr="00C743FA">
        <w:t xml:space="preserve"> Counsel</w:t>
      </w:r>
    </w:p>
    <w:p w:rsidR="00CD117A" w:rsidP="00CD117A" w14:paraId="2CA88DDC" w14:textId="77777777">
      <w:pPr>
        <w:autoSpaceDE w:val="0"/>
        <w:autoSpaceDN w:val="0"/>
        <w:adjustRightInd w:val="0"/>
        <w:spacing w:after="0" w:line="240" w:lineRule="auto"/>
        <w:ind w:left="4320"/>
        <w:rPr>
          <w:i/>
          <w:u w:val="single"/>
        </w:rPr>
      </w:pPr>
    </w:p>
    <w:p w:rsidR="00CD117A" w:rsidRPr="00C743FA" w:rsidP="00CD117A" w14:paraId="3F7BA636" w14:textId="245003A5">
      <w:pPr>
        <w:autoSpaceDE w:val="0"/>
        <w:autoSpaceDN w:val="0"/>
        <w:adjustRightInd w:val="0"/>
        <w:spacing w:after="0" w:line="240" w:lineRule="auto"/>
        <w:ind w:left="4320"/>
        <w:rPr>
          <w:i/>
        </w:rPr>
      </w:pPr>
      <w:r w:rsidRPr="00C743FA">
        <w:rPr>
          <w:i/>
          <w:u w:val="single"/>
        </w:rPr>
        <w:t>/s/ William J. Michael</w:t>
      </w:r>
      <w:r>
        <w:rPr>
          <w:i/>
          <w:u w:val="single"/>
        </w:rPr>
        <w:tab/>
      </w:r>
      <w:r>
        <w:rPr>
          <w:i/>
          <w:u w:val="single"/>
        </w:rPr>
        <w:tab/>
      </w:r>
      <w:r w:rsidRPr="00C743FA">
        <w:rPr>
          <w:i/>
          <w:u w:val="single"/>
        </w:rPr>
        <w:tab/>
      </w:r>
    </w:p>
    <w:p w:rsidR="00CD117A" w:rsidRPr="00C743FA" w:rsidP="00CD117A" w14:paraId="05A42BFB" w14:textId="77777777">
      <w:pPr>
        <w:tabs>
          <w:tab w:val="left" w:pos="4320"/>
        </w:tabs>
        <w:spacing w:after="0" w:line="240" w:lineRule="auto"/>
        <w:ind w:left="4320"/>
      </w:pPr>
      <w:r w:rsidRPr="00C743FA">
        <w:t>William J. Michael (0070921)</w:t>
      </w:r>
    </w:p>
    <w:p w:rsidR="00CD117A" w:rsidRPr="00C743FA" w:rsidP="00CD117A" w14:paraId="0637DECE" w14:textId="77777777">
      <w:pPr>
        <w:tabs>
          <w:tab w:val="left" w:pos="4320"/>
        </w:tabs>
        <w:spacing w:after="0" w:line="240" w:lineRule="auto"/>
        <w:ind w:left="4320"/>
      </w:pPr>
      <w:r w:rsidRPr="00C743FA">
        <w:t>Counsel of Record</w:t>
      </w:r>
    </w:p>
    <w:p w:rsidR="00CD117A" w:rsidRPr="00C743FA" w:rsidP="00CD117A" w14:paraId="286B352B" w14:textId="652880EA">
      <w:pPr>
        <w:tabs>
          <w:tab w:val="left" w:pos="4320"/>
        </w:tabs>
        <w:spacing w:after="0" w:line="240" w:lineRule="auto"/>
        <w:ind w:left="4320"/>
      </w:pPr>
      <w:r w:rsidRPr="00C743FA">
        <w:t>Angel</w:t>
      </w:r>
      <w:r>
        <w:t>a</w:t>
      </w:r>
      <w:r w:rsidRPr="00C743FA">
        <w:t xml:space="preserve"> O</w:t>
      </w:r>
      <w:r w:rsidR="00754C6D">
        <w:t>’</w:t>
      </w:r>
      <w:r w:rsidRPr="00C743FA">
        <w:t>Brien (0097579)</w:t>
      </w:r>
    </w:p>
    <w:p w:rsidR="00CD117A" w:rsidRPr="00C743FA" w:rsidP="00CD117A" w14:paraId="33E36C2B" w14:textId="77777777">
      <w:pPr>
        <w:tabs>
          <w:tab w:val="left" w:pos="4320"/>
        </w:tabs>
        <w:spacing w:after="0" w:line="240" w:lineRule="auto"/>
        <w:ind w:left="4320"/>
      </w:pPr>
      <w:r w:rsidRPr="00C743FA">
        <w:t>Ambrosia Logsdon (0096598)</w:t>
      </w:r>
    </w:p>
    <w:p w:rsidR="00CD117A" w:rsidP="00CD117A" w14:paraId="4EE03972" w14:textId="6BA0B85F">
      <w:pPr>
        <w:tabs>
          <w:tab w:val="left" w:pos="4320"/>
        </w:tabs>
        <w:spacing w:after="0" w:line="240" w:lineRule="auto"/>
        <w:ind w:left="4320"/>
      </w:pPr>
      <w:r w:rsidRPr="00C743FA">
        <w:t>Assistant Consumers</w:t>
      </w:r>
      <w:r w:rsidR="00754C6D">
        <w:t>’</w:t>
      </w:r>
      <w:r w:rsidRPr="00C743FA">
        <w:t xml:space="preserve"> Counsel </w:t>
      </w:r>
    </w:p>
    <w:p w:rsidR="00CD117A" w:rsidRPr="00C743FA" w:rsidP="00CD117A" w14:paraId="03AEACA7" w14:textId="6F4E2A30">
      <w:pPr>
        <w:tabs>
          <w:tab w:val="left" w:pos="4320"/>
        </w:tabs>
        <w:spacing w:after="0" w:line="240" w:lineRule="auto"/>
        <w:ind w:left="4320"/>
        <w:rPr>
          <w:b/>
        </w:rPr>
      </w:pPr>
      <w:r w:rsidRPr="00C743FA">
        <w:br/>
      </w:r>
      <w:r w:rsidRPr="00C743FA">
        <w:rPr>
          <w:b/>
        </w:rPr>
        <w:t>Office of the Ohio Consumers</w:t>
      </w:r>
      <w:r w:rsidR="00754C6D">
        <w:rPr>
          <w:b/>
        </w:rPr>
        <w:t>’</w:t>
      </w:r>
      <w:r w:rsidRPr="00C743FA">
        <w:rPr>
          <w:b/>
        </w:rPr>
        <w:t xml:space="preserve"> Counsel</w:t>
      </w:r>
    </w:p>
    <w:p w:rsidR="00CD117A" w:rsidRPr="00C743FA" w:rsidP="00CD117A" w14:paraId="5F222283" w14:textId="77777777">
      <w:pPr>
        <w:tabs>
          <w:tab w:val="left" w:pos="4320"/>
        </w:tabs>
        <w:spacing w:after="0" w:line="240" w:lineRule="auto"/>
        <w:ind w:left="4320"/>
      </w:pPr>
      <w:r w:rsidRPr="00C743FA">
        <w:t>65 East State Street, 7</w:t>
      </w:r>
      <w:r w:rsidRPr="00554787">
        <w:t>th</w:t>
      </w:r>
      <w:r w:rsidRPr="00C743FA">
        <w:t xml:space="preserve"> Floor</w:t>
      </w:r>
    </w:p>
    <w:p w:rsidR="00CD117A" w:rsidRPr="00C743FA" w:rsidP="00CD117A" w14:paraId="3B92DCFF" w14:textId="77777777">
      <w:pPr>
        <w:tabs>
          <w:tab w:val="left" w:pos="4320"/>
        </w:tabs>
        <w:spacing w:after="0" w:line="240" w:lineRule="auto"/>
        <w:ind w:left="4320"/>
      </w:pPr>
      <w:r w:rsidRPr="00C743FA">
        <w:t>Columbus, Ohio 43215-4213</w:t>
      </w:r>
    </w:p>
    <w:p w:rsidR="00CD117A" w:rsidRPr="00C743FA" w:rsidP="00CD117A" w14:paraId="0C350193" w14:textId="77777777">
      <w:pPr>
        <w:tabs>
          <w:tab w:val="left" w:pos="4320"/>
        </w:tabs>
        <w:spacing w:after="0" w:line="240" w:lineRule="auto"/>
        <w:ind w:left="4320"/>
      </w:pPr>
      <w:r w:rsidRPr="00C743FA">
        <w:t>Telephone: (614) 466-1291 (Michael)</w:t>
      </w:r>
    </w:p>
    <w:p w:rsidR="00CD117A" w:rsidRPr="00C743FA" w:rsidP="00CD117A" w14:paraId="688A1D32" w14:textId="5F9552BC">
      <w:pPr>
        <w:tabs>
          <w:tab w:val="left" w:pos="4320"/>
        </w:tabs>
        <w:spacing w:after="0" w:line="240" w:lineRule="auto"/>
        <w:ind w:left="4320"/>
      </w:pPr>
      <w:r w:rsidRPr="00C743FA">
        <w:t>Telephone: (614) 466-</w:t>
      </w:r>
      <w:r>
        <w:t>9531</w:t>
      </w:r>
      <w:r w:rsidRPr="00C743FA">
        <w:t xml:space="preserve"> (O</w:t>
      </w:r>
      <w:r w:rsidR="00754C6D">
        <w:t>’</w:t>
      </w:r>
      <w:r w:rsidRPr="00C743FA">
        <w:t xml:space="preserve">Brien) </w:t>
      </w:r>
    </w:p>
    <w:p w:rsidR="00CD117A" w:rsidRPr="00C743FA" w:rsidP="00CD117A" w14:paraId="158EFB3B" w14:textId="77777777">
      <w:pPr>
        <w:tabs>
          <w:tab w:val="left" w:pos="4320"/>
        </w:tabs>
        <w:spacing w:after="0" w:line="240" w:lineRule="auto"/>
        <w:ind w:left="4320"/>
      </w:pPr>
      <w:r w:rsidRPr="00C743FA">
        <w:t xml:space="preserve">Telephone: (614) 466-1292 (Logsdon) </w:t>
      </w:r>
    </w:p>
    <w:p w:rsidR="00CD117A" w:rsidRPr="00627C88" w:rsidP="00CD117A" w14:paraId="2948C7C6" w14:textId="77777777">
      <w:pPr>
        <w:spacing w:after="0" w:line="240" w:lineRule="auto"/>
        <w:ind w:left="4320"/>
        <w:rPr>
          <w:rStyle w:val="Hyperlink"/>
          <w:rFonts w:eastAsiaTheme="majorEastAsia" w:cs="Times New Roman"/>
          <w:color w:val="0000FF"/>
          <w:szCs w:val="24"/>
        </w:rPr>
      </w:pPr>
      <w:hyperlink r:id="rId6" w:history="1">
        <w:r w:rsidRPr="00627C88" w:rsidR="00A174DA">
          <w:rPr>
            <w:rStyle w:val="Hyperlink"/>
            <w:rFonts w:eastAsiaTheme="majorEastAsia" w:cs="Times New Roman"/>
            <w:color w:val="0000FF"/>
            <w:szCs w:val="24"/>
          </w:rPr>
          <w:t>william.michael@occ.ohio.gov</w:t>
        </w:r>
      </w:hyperlink>
    </w:p>
    <w:p w:rsidR="00CD117A" w:rsidRPr="00627C88" w:rsidP="00CD117A" w14:paraId="6824B964" w14:textId="77777777">
      <w:pPr>
        <w:spacing w:after="0" w:line="240" w:lineRule="auto"/>
        <w:ind w:left="4320"/>
        <w:rPr>
          <w:rStyle w:val="Hyperlink"/>
          <w:rFonts w:eastAsiaTheme="majorEastAsia" w:cs="Times New Roman"/>
          <w:color w:val="0000FF"/>
          <w:szCs w:val="24"/>
        </w:rPr>
      </w:pPr>
      <w:hyperlink r:id="rId7" w:history="1">
        <w:r w:rsidRPr="00627C88" w:rsidR="00A174DA">
          <w:rPr>
            <w:rStyle w:val="Hyperlink"/>
            <w:rFonts w:eastAsiaTheme="majorEastAsia" w:cs="Times New Roman"/>
            <w:color w:val="0000FF"/>
            <w:szCs w:val="24"/>
          </w:rPr>
          <w:t>angela.obrien@occ.ohio.gov</w:t>
        </w:r>
      </w:hyperlink>
    </w:p>
    <w:p w:rsidR="00CD117A" w:rsidRPr="00627C88" w:rsidP="00CD117A" w14:paraId="63E90F96" w14:textId="77777777">
      <w:pPr>
        <w:spacing w:after="0" w:line="240" w:lineRule="auto"/>
        <w:ind w:left="4320"/>
        <w:rPr>
          <w:rStyle w:val="Hyperlink"/>
          <w:rFonts w:eastAsiaTheme="majorEastAsia" w:cs="Times New Roman"/>
          <w:color w:val="0000FF"/>
          <w:szCs w:val="24"/>
        </w:rPr>
      </w:pPr>
      <w:hyperlink r:id="rId8" w:history="1">
        <w:r w:rsidRPr="00627C88" w:rsidR="00A174DA">
          <w:rPr>
            <w:rStyle w:val="Hyperlink"/>
            <w:rFonts w:eastAsiaTheme="majorEastAsia" w:cs="Times New Roman"/>
            <w:color w:val="0000FF"/>
            <w:szCs w:val="24"/>
          </w:rPr>
          <w:t>ambrosia.logsdon@occ.ohio.gov</w:t>
        </w:r>
      </w:hyperlink>
    </w:p>
    <w:p w:rsidR="00CD117A" w:rsidP="00CD117A" w14:paraId="7F07DAA9" w14:textId="494C8A6C">
      <w:pPr>
        <w:spacing w:after="0" w:line="240" w:lineRule="auto"/>
        <w:ind w:firstLine="4320"/>
      </w:pPr>
      <w:r w:rsidRPr="00C743FA">
        <w:t>(will</w:t>
      </w:r>
      <w:r>
        <w:t xml:space="preserve">ing to </w:t>
      </w:r>
      <w:r w:rsidRPr="00C743FA">
        <w:t xml:space="preserve">accept service </w:t>
      </w:r>
      <w:r>
        <w:t>by e-</w:t>
      </w:r>
      <w:r w:rsidRPr="00C743FA">
        <w:t>mail)</w:t>
      </w:r>
    </w:p>
    <w:p w:rsidR="00073D0C" w:rsidP="00CD117A" w14:paraId="18671F8A" w14:textId="5298ABBF">
      <w:pPr>
        <w:spacing w:after="0" w:line="240" w:lineRule="auto"/>
        <w:ind w:firstLine="4320"/>
      </w:pPr>
    </w:p>
    <w:p w:rsidR="000C00DA" w14:paraId="46018F62" w14:textId="6B74F5D4">
      <w:r>
        <w:br w:type="page"/>
      </w:r>
    </w:p>
    <w:p w:rsidR="00DA4E9F" w:rsidRPr="00BF6B72" w:rsidP="00CD117A" w14:paraId="5BD6F18D" w14:textId="41D5DBA2">
      <w:pPr>
        <w:spacing w:after="0" w:line="240" w:lineRule="auto"/>
        <w:rPr>
          <w:rFonts w:eastAsia="Calibri" w:cs="Times New Roman"/>
          <w:b/>
          <w:bCs/>
          <w:szCs w:val="24"/>
          <w:u w:val="single"/>
        </w:rPr>
      </w:pP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Calibri" w:cs="Times New Roman"/>
          <w:b/>
          <w:bCs/>
          <w:szCs w:val="24"/>
          <w:u w:val="single"/>
        </w:rPr>
        <w:t>CERTIFICATE OF SERVICE</w:t>
      </w:r>
    </w:p>
    <w:p w:rsidR="00DA4E9F" w:rsidRPr="00BF6B72" w:rsidP="00DA4E9F" w14:paraId="5FFD85E3" w14:textId="118517AB">
      <w:pPr>
        <w:spacing w:after="0" w:line="480" w:lineRule="atLeast"/>
        <w:ind w:firstLine="720"/>
        <w:rPr>
          <w:rFonts w:eastAsia="Calibri" w:cs="Times New Roman"/>
          <w:szCs w:val="24"/>
        </w:rPr>
      </w:pPr>
      <w:r w:rsidRPr="00BF6B72">
        <w:rPr>
          <w:rFonts w:eastAsia="Calibri" w:cs="Times New Roman"/>
          <w:szCs w:val="24"/>
        </w:rPr>
        <w:t xml:space="preserve">I hereby certify that a copy of this </w:t>
      </w:r>
      <w:r w:rsidR="000479D7">
        <w:rPr>
          <w:rFonts w:eastAsia="Calibri" w:cs="Times New Roman"/>
          <w:szCs w:val="24"/>
        </w:rPr>
        <w:t>Reply</w:t>
      </w:r>
      <w:r w:rsidRPr="00BF6B72">
        <w:rPr>
          <w:rFonts w:eastAsia="Calibri" w:cs="Times New Roman"/>
          <w:szCs w:val="24"/>
        </w:rPr>
        <w:t xml:space="preserve"> Brief was served on the persons stated below via electronic service, this </w:t>
      </w:r>
      <w:r w:rsidR="00CD117A">
        <w:rPr>
          <w:rFonts w:eastAsia="Calibri" w:cs="Times New Roman"/>
          <w:szCs w:val="24"/>
        </w:rPr>
        <w:t>2</w:t>
      </w:r>
      <w:r w:rsidR="00244FA1">
        <w:rPr>
          <w:rFonts w:eastAsia="Calibri" w:cs="Times New Roman"/>
          <w:szCs w:val="24"/>
        </w:rPr>
        <w:t>5</w:t>
      </w:r>
      <w:r w:rsidRPr="00BF6B72" w:rsidR="00B5643B">
        <w:rPr>
          <w:rFonts w:eastAsia="Calibri" w:cs="Times New Roman"/>
          <w:szCs w:val="24"/>
        </w:rPr>
        <w:t xml:space="preserve">th </w:t>
      </w:r>
      <w:r w:rsidRPr="00BF6B72">
        <w:rPr>
          <w:rFonts w:eastAsia="Calibri" w:cs="Times New Roman"/>
          <w:szCs w:val="24"/>
        </w:rPr>
        <w:t xml:space="preserve">day of </w:t>
      </w:r>
      <w:r w:rsidR="000479D7">
        <w:rPr>
          <w:rFonts w:eastAsia="Calibri" w:cs="Times New Roman"/>
          <w:szCs w:val="24"/>
        </w:rPr>
        <w:t>September</w:t>
      </w:r>
      <w:r w:rsidRPr="00BF6B72">
        <w:rPr>
          <w:rFonts w:eastAsia="Calibri" w:cs="Times New Roman"/>
          <w:szCs w:val="24"/>
        </w:rPr>
        <w:t xml:space="preserve"> 2019.</w:t>
      </w:r>
    </w:p>
    <w:p w:rsidR="00DA4E9F" w:rsidRPr="00BF6B72" w:rsidP="00DA4E9F" w14:paraId="1C06433D" w14:textId="77777777">
      <w:pPr>
        <w:spacing w:after="0" w:line="240" w:lineRule="auto"/>
        <w:rPr>
          <w:rFonts w:eastAsia="Calibri" w:cs="Times New Roman"/>
          <w:szCs w:val="24"/>
        </w:rPr>
      </w:pPr>
    </w:p>
    <w:p w:rsidR="00DA4E9F" w:rsidRPr="00BF6B72" w:rsidP="00DA4E9F" w14:paraId="374E329C" w14:textId="42DCC809">
      <w:pPr>
        <w:tabs>
          <w:tab w:val="left" w:pos="4320"/>
        </w:tabs>
        <w:spacing w:after="0" w:line="240" w:lineRule="auto"/>
        <w:rPr>
          <w:rFonts w:eastAsia="Calibri" w:cs="Times New Roman"/>
          <w:i/>
          <w:iCs/>
          <w:szCs w:val="24"/>
          <w:u w:val="single"/>
        </w:rPr>
      </w:pPr>
      <w:r w:rsidRPr="00BF6B72">
        <w:rPr>
          <w:rFonts w:eastAsia="Calibri" w:cs="Times New Roman"/>
          <w:iCs/>
          <w:szCs w:val="24"/>
        </w:rPr>
        <w:tab/>
      </w:r>
      <w:r w:rsidRPr="00BF6B72">
        <w:rPr>
          <w:rFonts w:eastAsia="Calibri" w:cs="Times New Roman"/>
          <w:iCs/>
          <w:szCs w:val="24"/>
        </w:rPr>
        <w:tab/>
      </w:r>
      <w:r w:rsidRPr="00BF6B72">
        <w:rPr>
          <w:rFonts w:eastAsia="Calibri" w:cs="Times New Roman"/>
          <w:i/>
          <w:iCs/>
          <w:szCs w:val="24"/>
          <w:u w:val="single"/>
        </w:rPr>
        <w:t xml:space="preserve">/s/ </w:t>
      </w:r>
      <w:r w:rsidR="00CD117A">
        <w:rPr>
          <w:rFonts w:eastAsia="Calibri" w:cs="Times New Roman"/>
          <w:i/>
          <w:iCs/>
          <w:szCs w:val="24"/>
          <w:u w:val="single"/>
        </w:rPr>
        <w:t>William J. Michael</w:t>
      </w:r>
      <w:r w:rsidR="00CD117A">
        <w:rPr>
          <w:rFonts w:eastAsia="Calibri" w:cs="Times New Roman"/>
          <w:i/>
          <w:iCs/>
          <w:szCs w:val="24"/>
          <w:u w:val="single"/>
        </w:rPr>
        <w:tab/>
      </w:r>
      <w:r w:rsidR="00CD117A">
        <w:rPr>
          <w:rFonts w:eastAsia="Calibri" w:cs="Times New Roman"/>
          <w:i/>
          <w:iCs/>
          <w:szCs w:val="24"/>
          <w:u w:val="single"/>
        </w:rPr>
        <w:tab/>
      </w:r>
    </w:p>
    <w:p w:rsidR="00DA4E9F" w:rsidRPr="00BF6B72" w:rsidP="00DA4E9F" w14:paraId="4DF84E08" w14:textId="61246E0B">
      <w:pPr>
        <w:tabs>
          <w:tab w:val="left" w:pos="4320"/>
        </w:tabs>
        <w:spacing w:after="0" w:line="240" w:lineRule="auto"/>
        <w:rPr>
          <w:rFonts w:eastAsia="Calibri" w:cs="Times New Roman"/>
          <w:iCs/>
          <w:szCs w:val="24"/>
        </w:rPr>
      </w:pPr>
      <w:r w:rsidRPr="00BF6B72">
        <w:rPr>
          <w:rFonts w:eastAsia="Calibri" w:cs="Times New Roman"/>
          <w:iCs/>
          <w:szCs w:val="24"/>
        </w:rPr>
        <w:tab/>
      </w:r>
      <w:r w:rsidRPr="00BF6B72">
        <w:rPr>
          <w:rFonts w:eastAsia="Calibri" w:cs="Times New Roman"/>
          <w:iCs/>
          <w:szCs w:val="24"/>
        </w:rPr>
        <w:tab/>
      </w:r>
      <w:r w:rsidR="00CD117A">
        <w:rPr>
          <w:rFonts w:eastAsia="Calibri" w:cs="Times New Roman"/>
          <w:iCs/>
          <w:szCs w:val="24"/>
        </w:rPr>
        <w:t>William J. Michael</w:t>
      </w:r>
      <w:r w:rsidRPr="00BF6B72">
        <w:rPr>
          <w:rFonts w:eastAsia="Calibri" w:cs="Times New Roman"/>
          <w:iCs/>
          <w:szCs w:val="24"/>
        </w:rPr>
        <w:t xml:space="preserve"> </w:t>
      </w:r>
    </w:p>
    <w:p w:rsidR="00DA4E9F" w:rsidP="00DA4E9F" w14:paraId="49D66E0F" w14:textId="0B2E17A7">
      <w:pPr>
        <w:tabs>
          <w:tab w:val="left" w:pos="4320"/>
        </w:tabs>
        <w:spacing w:after="0" w:line="240" w:lineRule="auto"/>
        <w:rPr>
          <w:rFonts w:eastAsia="Calibri" w:cs="Times New Roman"/>
          <w:iCs/>
          <w:szCs w:val="24"/>
        </w:rPr>
      </w:pPr>
      <w:r w:rsidRPr="00BF6B72">
        <w:rPr>
          <w:rFonts w:eastAsia="Calibri" w:cs="Times New Roman"/>
          <w:iCs/>
          <w:szCs w:val="24"/>
        </w:rPr>
        <w:tab/>
      </w:r>
      <w:r w:rsidRPr="00BF6B72">
        <w:rPr>
          <w:rFonts w:eastAsia="Calibri" w:cs="Times New Roman"/>
          <w:iCs/>
          <w:szCs w:val="24"/>
        </w:rPr>
        <w:tab/>
        <w:t>Assistant Consumers</w:t>
      </w:r>
      <w:r w:rsidR="00754C6D">
        <w:rPr>
          <w:rFonts w:eastAsia="Calibri" w:cs="Times New Roman"/>
          <w:iCs/>
          <w:szCs w:val="24"/>
        </w:rPr>
        <w:t>’</w:t>
      </w:r>
      <w:r w:rsidRPr="00BF6B72">
        <w:rPr>
          <w:rFonts w:eastAsia="Calibri" w:cs="Times New Roman"/>
          <w:iCs/>
          <w:szCs w:val="24"/>
        </w:rPr>
        <w:t xml:space="preserve"> Counsel</w:t>
      </w:r>
    </w:p>
    <w:p w:rsidR="00CD117A" w:rsidRPr="00BF6B72" w:rsidP="00DA4E9F" w14:paraId="546035CD" w14:textId="77777777">
      <w:pPr>
        <w:tabs>
          <w:tab w:val="left" w:pos="4320"/>
        </w:tabs>
        <w:spacing w:after="0" w:line="240" w:lineRule="auto"/>
        <w:rPr>
          <w:rFonts w:eastAsia="Calibri" w:cs="Times New Roman"/>
          <w:iCs/>
          <w:szCs w:val="24"/>
        </w:rPr>
      </w:pPr>
    </w:p>
    <w:p w:rsidR="00DA4E9F" w:rsidRPr="00BF6B72" w:rsidP="00DA4E9F" w14:paraId="42491788" w14:textId="77777777">
      <w:pPr>
        <w:spacing w:after="0" w:line="240" w:lineRule="auto"/>
        <w:rPr>
          <w:rFonts w:eastAsia="Times New Roman" w:cs="Times New Roman"/>
          <w:szCs w:val="24"/>
        </w:rPr>
      </w:pPr>
    </w:p>
    <w:p w:rsidR="00CD117A" w:rsidRPr="00F2718B" w:rsidP="00CD117A" w14:paraId="71B903D1" w14:textId="096E3408">
      <w:r>
        <w:t>The PUCO</w:t>
      </w:r>
      <w:r w:rsidR="00754C6D">
        <w:t>’</w:t>
      </w:r>
      <w:r>
        <w:t>s e-filing system will electronically serve notice of the filing of this document on the following parties:</w:t>
      </w:r>
    </w:p>
    <w:p w:rsidR="00CD117A" w:rsidRPr="00C743FA" w:rsidP="00CD117A" w14:paraId="2959A0E8" w14:textId="77777777">
      <w:pPr>
        <w:pStyle w:val="CommentText"/>
        <w:jc w:val="center"/>
        <w:rPr>
          <w:b/>
          <w:sz w:val="24"/>
          <w:szCs w:val="24"/>
          <w:u w:val="single"/>
        </w:rPr>
      </w:pPr>
      <w:r w:rsidRPr="00C743FA">
        <w:rPr>
          <w:b/>
          <w:sz w:val="24"/>
          <w:szCs w:val="24"/>
          <w:u w:val="single"/>
        </w:rPr>
        <w:t>SERVICE LIST</w:t>
      </w:r>
    </w:p>
    <w:p w:rsidR="00CD117A" w:rsidRPr="00C743FA" w:rsidP="00CD117A" w14:paraId="6E7EBE58"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5A6FBF5F" w14:textId="77777777" w:rsidTr="00D9650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CD117A" w:rsidRPr="00CD117A" w:rsidP="00D96509" w14:paraId="0F591C8D" w14:textId="77777777">
            <w:pPr>
              <w:pStyle w:val="CommentText"/>
              <w:jc w:val="both"/>
              <w:rPr>
                <w:color w:val="0000FF"/>
                <w:sz w:val="24"/>
                <w:szCs w:val="24"/>
              </w:rPr>
            </w:pPr>
            <w:hyperlink r:id="rId11" w:history="1">
              <w:r w:rsidRPr="00CD117A" w:rsidR="00A174DA">
                <w:rPr>
                  <w:rStyle w:val="Hyperlink"/>
                  <w:rFonts w:eastAsiaTheme="majorEastAsia"/>
                  <w:color w:val="0000FF"/>
                  <w:sz w:val="24"/>
                  <w:szCs w:val="24"/>
                </w:rPr>
                <w:t>jodi.bair@ohioattorneygeneral.gov</w:t>
              </w:r>
            </w:hyperlink>
          </w:p>
          <w:p w:rsidR="00CD117A" w:rsidRPr="00CD117A" w:rsidP="00D96509" w14:paraId="68A8F3F5" w14:textId="77777777">
            <w:pPr>
              <w:pStyle w:val="CommentText"/>
              <w:jc w:val="both"/>
              <w:rPr>
                <w:sz w:val="24"/>
                <w:szCs w:val="24"/>
              </w:rPr>
            </w:pPr>
            <w:hyperlink r:id="rId12" w:history="1">
              <w:r w:rsidRPr="00CD117A" w:rsidR="00A174DA">
                <w:rPr>
                  <w:rStyle w:val="Hyperlink"/>
                  <w:rFonts w:eastAsiaTheme="majorEastAsia"/>
                  <w:color w:val="0000FF"/>
                  <w:sz w:val="24"/>
                  <w:szCs w:val="24"/>
                </w:rPr>
                <w:t>Robert.eubanks@ohioattorneygeneral.gov</w:t>
              </w:r>
            </w:hyperlink>
          </w:p>
          <w:p w:rsidR="00CD117A" w:rsidRPr="00CD117A" w:rsidP="00D96509" w14:paraId="34A3FAB0" w14:textId="77777777">
            <w:pPr>
              <w:pStyle w:val="CommentText"/>
              <w:jc w:val="both"/>
              <w:rPr>
                <w:sz w:val="24"/>
                <w:szCs w:val="24"/>
              </w:rPr>
            </w:pPr>
          </w:p>
          <w:p w:rsidR="00CD117A" w:rsidRPr="00CD117A" w:rsidP="00D96509" w14:paraId="11D4EF02" w14:textId="77777777">
            <w:pPr>
              <w:pStyle w:val="CommentText"/>
              <w:jc w:val="both"/>
              <w:rPr>
                <w:sz w:val="24"/>
                <w:szCs w:val="24"/>
              </w:rPr>
            </w:pPr>
          </w:p>
          <w:p w:rsidR="00CD117A" w:rsidRPr="00CD117A" w:rsidP="00D96509" w14:paraId="30E1D4A1" w14:textId="77777777">
            <w:pPr>
              <w:pStyle w:val="CommentText"/>
              <w:jc w:val="both"/>
              <w:rPr>
                <w:rStyle w:val="Hyperlink"/>
                <w:rFonts w:eastAsiaTheme="majorEastAsia"/>
                <w:sz w:val="24"/>
                <w:szCs w:val="24"/>
              </w:rPr>
            </w:pPr>
          </w:p>
          <w:p w:rsidR="00CD117A" w:rsidRPr="00CD117A" w:rsidP="00D96509" w14:paraId="62A6E11A" w14:textId="77777777">
            <w:pPr>
              <w:pStyle w:val="CommentText"/>
              <w:jc w:val="both"/>
              <w:rPr>
                <w:rStyle w:val="Hyperlink"/>
                <w:rFonts w:eastAsiaTheme="majorEastAsia"/>
                <w:color w:val="000000" w:themeColor="text1"/>
                <w:sz w:val="24"/>
                <w:szCs w:val="24"/>
              </w:rPr>
            </w:pPr>
            <w:r w:rsidRPr="00CD117A">
              <w:rPr>
                <w:rStyle w:val="Hyperlink"/>
                <w:rFonts w:eastAsiaTheme="majorEastAsia"/>
                <w:color w:val="000000" w:themeColor="text1"/>
                <w:sz w:val="24"/>
                <w:szCs w:val="24"/>
              </w:rPr>
              <w:t>Attorney Examiner:</w:t>
            </w:r>
          </w:p>
          <w:p w:rsidR="00CD117A" w:rsidRPr="00CD117A" w:rsidP="00D96509" w14:paraId="3716A0A0" w14:textId="77777777">
            <w:pPr>
              <w:pStyle w:val="CommentText"/>
              <w:jc w:val="both"/>
              <w:rPr>
                <w:rStyle w:val="Hyperlink"/>
                <w:rFonts w:eastAsiaTheme="majorEastAsia"/>
                <w:sz w:val="24"/>
                <w:szCs w:val="24"/>
              </w:rPr>
            </w:pPr>
          </w:p>
          <w:p w:rsidR="00CD117A" w:rsidRPr="00CD117A" w:rsidP="00D96509" w14:paraId="7A1CEF77" w14:textId="77777777">
            <w:pPr>
              <w:pStyle w:val="CommentText"/>
              <w:jc w:val="both"/>
              <w:rPr>
                <w:rStyle w:val="Hyperlink"/>
                <w:rFonts w:eastAsiaTheme="majorEastAsia"/>
                <w:color w:val="0000FF"/>
                <w:sz w:val="24"/>
                <w:szCs w:val="24"/>
              </w:rPr>
            </w:pPr>
            <w:r w:rsidRPr="00CD117A">
              <w:rPr>
                <w:rStyle w:val="Hyperlink"/>
                <w:rFonts w:eastAsiaTheme="majorEastAsia"/>
                <w:color w:val="0000FF"/>
                <w:sz w:val="24"/>
                <w:szCs w:val="24"/>
              </w:rPr>
              <w:t>Lauren.augostini@puc.state.oh.us</w:t>
            </w:r>
          </w:p>
          <w:p w:rsidR="00CD117A" w:rsidRPr="00CD117A" w:rsidP="00D96509" w14:paraId="431BA429" w14:textId="77777777">
            <w:pPr>
              <w:pStyle w:val="CommentText"/>
              <w:jc w:val="both"/>
              <w:rPr>
                <w:rStyle w:val="Hyperlink"/>
                <w:rFonts w:eastAsiaTheme="majorEastAsia"/>
                <w:color w:val="0000FF"/>
                <w:sz w:val="24"/>
                <w:szCs w:val="24"/>
              </w:rPr>
            </w:pPr>
            <w:hyperlink r:id="rId13" w:history="1">
              <w:r w:rsidRPr="00CD117A" w:rsidR="00A174DA">
                <w:rPr>
                  <w:rStyle w:val="Hyperlink"/>
                  <w:rFonts w:eastAsiaTheme="majorEastAsia"/>
                  <w:color w:val="0000FF"/>
                  <w:sz w:val="24"/>
                  <w:szCs w:val="24"/>
                </w:rPr>
                <w:t>Nicholas.walstra@puco.ohio.gov</w:t>
              </w:r>
            </w:hyperlink>
          </w:p>
          <w:p w:rsidR="00CD117A" w:rsidRPr="00CD117A" w:rsidP="00D96509" w14:paraId="1675A385" w14:textId="77777777">
            <w:pPr>
              <w:pStyle w:val="CommentText"/>
              <w:jc w:val="both"/>
              <w:rPr>
                <w:rStyle w:val="Hyperlink"/>
                <w:rFonts w:eastAsiaTheme="majorEastAsia"/>
                <w:sz w:val="24"/>
                <w:szCs w:val="24"/>
              </w:rPr>
            </w:pPr>
          </w:p>
          <w:p w:rsidR="00CD117A" w:rsidRPr="00CD117A" w:rsidP="00D96509" w14:paraId="3A0EEB00" w14:textId="77777777">
            <w:pPr>
              <w:pStyle w:val="CommentText"/>
              <w:jc w:val="both"/>
              <w:rPr>
                <w:sz w:val="24"/>
                <w:szCs w:val="24"/>
              </w:rPr>
            </w:pPr>
          </w:p>
          <w:p w:rsidR="00CD117A" w:rsidRPr="00CD117A" w:rsidP="00D96509" w14:paraId="695A35FD" w14:textId="77777777">
            <w:pPr>
              <w:pStyle w:val="CommentText"/>
              <w:jc w:val="both"/>
              <w:rPr>
                <w:sz w:val="24"/>
                <w:szCs w:val="24"/>
              </w:rPr>
            </w:pPr>
          </w:p>
        </w:tc>
        <w:tc>
          <w:tcPr>
            <w:tcW w:w="4315" w:type="dxa"/>
          </w:tcPr>
          <w:p w:rsidR="00CD117A" w:rsidRPr="00CD117A" w:rsidP="00D96509" w14:paraId="44D626B1" w14:textId="77777777">
            <w:pPr>
              <w:pStyle w:val="CommentText"/>
              <w:ind w:left="347"/>
              <w:jc w:val="both"/>
              <w:rPr>
                <w:rStyle w:val="Hyperlink"/>
                <w:rFonts w:eastAsiaTheme="majorEastAsia"/>
                <w:color w:val="0000FF"/>
                <w:sz w:val="24"/>
                <w:szCs w:val="24"/>
              </w:rPr>
            </w:pPr>
            <w:hyperlink r:id="rId14" w:history="1">
              <w:r w:rsidRPr="00CD117A" w:rsidR="00A174DA">
                <w:rPr>
                  <w:rStyle w:val="Hyperlink"/>
                  <w:rFonts w:eastAsiaTheme="majorEastAsia"/>
                  <w:color w:val="0000FF"/>
                  <w:sz w:val="24"/>
                  <w:szCs w:val="24"/>
                </w:rPr>
                <w:t>Rocco.dascenzo@duke-energy.com</w:t>
              </w:r>
            </w:hyperlink>
          </w:p>
          <w:p w:rsidR="00CD117A" w:rsidRPr="00CD117A" w:rsidP="00D96509" w14:paraId="669730D6" w14:textId="77777777">
            <w:pPr>
              <w:pStyle w:val="CommentText"/>
              <w:ind w:left="347"/>
              <w:jc w:val="both"/>
              <w:rPr>
                <w:rStyle w:val="Hyperlink"/>
                <w:rFonts w:eastAsiaTheme="majorEastAsia"/>
                <w:color w:val="0000FF"/>
                <w:sz w:val="24"/>
                <w:szCs w:val="24"/>
              </w:rPr>
            </w:pPr>
            <w:hyperlink r:id="rId15" w:history="1">
              <w:r w:rsidRPr="00CD117A" w:rsidR="00A174DA">
                <w:rPr>
                  <w:rStyle w:val="Hyperlink"/>
                  <w:rFonts w:eastAsiaTheme="majorEastAsia"/>
                  <w:color w:val="0000FF"/>
                  <w:sz w:val="24"/>
                  <w:szCs w:val="24"/>
                </w:rPr>
                <w:t>Jeanne.kingery@duke-energy.com</w:t>
              </w:r>
            </w:hyperlink>
          </w:p>
          <w:p w:rsidR="00CD117A" w:rsidRPr="00CD117A" w:rsidP="00D96509" w14:paraId="51396818" w14:textId="77777777">
            <w:pPr>
              <w:pStyle w:val="CommentText"/>
              <w:ind w:left="702" w:hanging="361"/>
              <w:jc w:val="both"/>
              <w:rPr>
                <w:rStyle w:val="Hyperlink"/>
                <w:rFonts w:eastAsiaTheme="majorEastAsia"/>
                <w:color w:val="0000FF"/>
                <w:sz w:val="24"/>
                <w:szCs w:val="24"/>
              </w:rPr>
            </w:pPr>
            <w:hyperlink r:id="rId16" w:history="1">
              <w:r w:rsidRPr="00CD117A" w:rsidR="00A174DA">
                <w:rPr>
                  <w:rStyle w:val="Hyperlink"/>
                  <w:rFonts w:eastAsiaTheme="majorEastAsia"/>
                  <w:color w:val="0000FF"/>
                  <w:sz w:val="24"/>
                  <w:szCs w:val="24"/>
                </w:rPr>
                <w:t>Larisa.vaysman@duke-energy.com</w:t>
              </w:r>
            </w:hyperlink>
          </w:p>
          <w:p w:rsidR="00CD117A" w:rsidRPr="00CD117A" w:rsidP="00D96509" w14:paraId="225B3F35" w14:textId="77777777">
            <w:pPr>
              <w:pStyle w:val="CommentText"/>
              <w:ind w:left="702"/>
              <w:jc w:val="both"/>
              <w:rPr>
                <w:sz w:val="24"/>
                <w:szCs w:val="24"/>
              </w:rPr>
            </w:pPr>
          </w:p>
          <w:p w:rsidR="00CD117A" w:rsidRPr="00CD117A" w:rsidP="00D96509" w14:paraId="2194899B" w14:textId="77777777">
            <w:pPr>
              <w:pStyle w:val="CommentText"/>
              <w:ind w:left="702"/>
              <w:jc w:val="both"/>
              <w:rPr>
                <w:b/>
                <w:sz w:val="24"/>
                <w:szCs w:val="24"/>
              </w:rPr>
            </w:pPr>
          </w:p>
        </w:tc>
      </w:tr>
    </w:tbl>
    <w:p w:rsidR="00DA4E9F" w:rsidRPr="00BF6B72" w:rsidP="00DA4E9F" w14:paraId="3254CE5A" w14:textId="77777777">
      <w:pPr>
        <w:pStyle w:val="CommentText"/>
        <w:suppressLineNumbers/>
        <w:spacing w:after="0"/>
        <w:jc w:val="center"/>
        <w:rPr>
          <w:rFonts w:cs="Times New Roman"/>
          <w:b/>
          <w:sz w:val="24"/>
          <w:szCs w:val="24"/>
          <w:u w:val="single"/>
        </w:rPr>
      </w:pPr>
    </w:p>
    <w:p w:rsidR="00DA4E9F" w:rsidRPr="00BF6B72" w:rsidP="00DA4E9F" w14:paraId="3ED8DB9F" w14:textId="77777777">
      <w:pPr>
        <w:spacing w:after="0" w:line="240" w:lineRule="auto"/>
        <w:jc w:val="center"/>
        <w:rPr>
          <w:rFonts w:eastAsia="Times New Roman" w:cs="Times New Roman"/>
          <w:b/>
          <w:bCs/>
          <w:szCs w:val="24"/>
          <w:u w:val="single"/>
        </w:rPr>
      </w:pPr>
    </w:p>
    <w:p w:rsidR="00DA4E9F" w:rsidRPr="00BF6B72" w14:paraId="524CDB0D" w14:textId="77777777">
      <w:pPr>
        <w:rPr>
          <w:rFonts w:cs="Times New Roman"/>
          <w:szCs w:val="24"/>
        </w:rPr>
      </w:pPr>
    </w:p>
    <w:sectPr w:rsidSect="008E48B0">
      <w:footerReference w:type="default" r:id="rId1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708" w14:paraId="00E07769" w14:textId="77777777">
    <w:pPr>
      <w:pStyle w:val="Footer"/>
      <w:jc w:val="center"/>
    </w:pPr>
  </w:p>
  <w:p w:rsidR="001A4708" w14:paraId="3E51A0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85291"/>
      <w:docPartObj>
        <w:docPartGallery w:val="Page Numbers (Bottom of Page)"/>
        <w:docPartUnique/>
      </w:docPartObj>
    </w:sdtPr>
    <w:sdtEndPr>
      <w:rPr>
        <w:rFonts w:cs="Times New Roman"/>
        <w:noProof/>
      </w:rPr>
    </w:sdtEndPr>
    <w:sdtContent>
      <w:p w:rsidR="001A4708" w:rsidRPr="001F3D1D" w14:paraId="1BD0839C" w14:textId="77777777">
        <w:pPr>
          <w:pStyle w:val="Footer"/>
          <w:jc w:val="center"/>
          <w:rPr>
            <w:rFonts w:cs="Times New Roman"/>
          </w:rPr>
        </w:pPr>
        <w:r w:rsidRPr="001F3D1D">
          <w:rPr>
            <w:rFonts w:cs="Times New Roman"/>
          </w:rPr>
          <w:fldChar w:fldCharType="begin"/>
        </w:r>
        <w:r w:rsidRPr="001F3D1D">
          <w:rPr>
            <w:rFonts w:cs="Times New Roman"/>
          </w:rPr>
          <w:instrText xml:space="preserve"> PAGE   \* MERGEFORMAT </w:instrText>
        </w:r>
        <w:r w:rsidRPr="001F3D1D">
          <w:rPr>
            <w:rFonts w:cs="Times New Roman"/>
          </w:rPr>
          <w:fldChar w:fldCharType="separate"/>
        </w:r>
        <w:r>
          <w:rPr>
            <w:rFonts w:cs="Times New Roman"/>
            <w:noProof/>
          </w:rPr>
          <w:t>iv</w:t>
        </w:r>
        <w:r w:rsidRPr="001F3D1D">
          <w:rPr>
            <w:rFonts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2062837"/>
      <w:docPartObj>
        <w:docPartGallery w:val="Page Numbers (Bottom of Page)"/>
        <w:docPartUnique/>
      </w:docPartObj>
    </w:sdtPr>
    <w:sdtEndPr>
      <w:rPr>
        <w:noProof/>
      </w:rPr>
    </w:sdtEndPr>
    <w:sdtContent>
      <w:p w:rsidR="008E48B0" w14:paraId="2AE0363C" w14:textId="2C065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38B2" w:rsidP="00DA4E9F" w14:paraId="4054C9AA" w14:textId="77777777">
      <w:pPr>
        <w:spacing w:after="0" w:line="240" w:lineRule="auto"/>
      </w:pPr>
      <w:r>
        <w:separator/>
      </w:r>
    </w:p>
  </w:footnote>
  <w:footnote w:type="continuationSeparator" w:id="1">
    <w:p w:rsidR="007138B2" w:rsidP="00DA4E9F" w14:paraId="38534E89" w14:textId="77777777">
      <w:pPr>
        <w:spacing w:after="0" w:line="240" w:lineRule="auto"/>
      </w:pPr>
      <w:r>
        <w:continuationSeparator/>
      </w:r>
    </w:p>
  </w:footnote>
  <w:footnote w:id="2">
    <w:p w:rsidR="001A4708" w:rsidRPr="0030021B" w:rsidP="0030021B" w14:paraId="1849272D" w14:textId="3F8EFC66">
      <w:pPr>
        <w:pStyle w:val="FootnoteText"/>
        <w:spacing w:after="120"/>
      </w:pPr>
      <w:r w:rsidRPr="0030021B">
        <w:rPr>
          <w:rStyle w:val="FootnoteReference"/>
        </w:rPr>
        <w:footnoteRef/>
      </w:r>
      <w:r w:rsidRPr="0030021B">
        <w:t xml:space="preserve"> Duke Initial Brief at 4.</w:t>
      </w:r>
    </w:p>
  </w:footnote>
  <w:footnote w:id="3">
    <w:p w:rsidR="001A4708" w:rsidRPr="0030021B" w:rsidP="0030021B" w14:paraId="5EEDDDBC" w14:textId="52A6E070">
      <w:pPr>
        <w:pStyle w:val="FootnoteText"/>
        <w:spacing w:after="120"/>
      </w:pPr>
      <w:r w:rsidRPr="0030021B">
        <w:rPr>
          <w:rStyle w:val="FootnoteReference"/>
        </w:rPr>
        <w:footnoteRef/>
      </w:r>
      <w:r w:rsidRPr="0030021B">
        <w:t xml:space="preserve"> </w:t>
      </w:r>
      <w:r w:rsidRPr="0030021B">
        <w:rPr>
          <w:i/>
          <w:iCs/>
        </w:rPr>
        <w:t>Id</w:t>
      </w:r>
      <w:r w:rsidRPr="0030021B">
        <w:t>. at 4-11.</w:t>
      </w:r>
    </w:p>
  </w:footnote>
  <w:footnote w:id="4">
    <w:p w:rsidR="001A4708" w:rsidRPr="0030021B" w:rsidP="0030021B" w14:paraId="1C78E39C" w14:textId="456880C0">
      <w:pPr>
        <w:pStyle w:val="FootnoteText"/>
        <w:spacing w:after="120"/>
      </w:pPr>
      <w:r w:rsidRPr="0030021B">
        <w:rPr>
          <w:rStyle w:val="FootnoteReference"/>
        </w:rPr>
        <w:footnoteRef/>
      </w:r>
      <w:r w:rsidRPr="0030021B">
        <w:t xml:space="preserve"> </w:t>
      </w:r>
      <w:r w:rsidRPr="0030021B">
        <w:rPr>
          <w:i/>
          <w:iCs/>
        </w:rPr>
        <w:t>Id</w:t>
      </w:r>
      <w:r w:rsidRPr="0030021B">
        <w:t>. at 4.</w:t>
      </w:r>
    </w:p>
  </w:footnote>
  <w:footnote w:id="5">
    <w:p w:rsidR="001A4708" w:rsidRPr="0030021B" w:rsidP="0030021B" w14:paraId="79E61D99" w14:textId="276BDB1C">
      <w:pPr>
        <w:pStyle w:val="FootnoteText"/>
        <w:spacing w:after="120"/>
      </w:pPr>
      <w:r w:rsidRPr="0030021B">
        <w:rPr>
          <w:rStyle w:val="FootnoteReference"/>
        </w:rPr>
        <w:footnoteRef/>
      </w:r>
      <w:r w:rsidRPr="0030021B">
        <w:t xml:space="preserve"> </w:t>
      </w:r>
      <w:r w:rsidRPr="0030021B">
        <w:rPr>
          <w:i/>
          <w:iCs/>
        </w:rPr>
        <w:t>Id</w:t>
      </w:r>
      <w:r w:rsidRPr="0030021B">
        <w:t xml:space="preserve">. </w:t>
      </w:r>
    </w:p>
  </w:footnote>
  <w:footnote w:id="6">
    <w:p w:rsidR="001A4708" w:rsidRPr="0030021B" w:rsidP="0030021B" w14:paraId="18D0EAD5" w14:textId="5A72380C">
      <w:pPr>
        <w:pStyle w:val="FootnoteText"/>
        <w:spacing w:after="120"/>
      </w:pPr>
      <w:r w:rsidRPr="0030021B">
        <w:rPr>
          <w:rStyle w:val="FootnoteReference"/>
        </w:rPr>
        <w:footnoteRef/>
      </w:r>
      <w:r w:rsidRPr="0030021B">
        <w:t xml:space="preserve"> </w:t>
      </w:r>
      <w:r w:rsidRPr="0030021B">
        <w:rPr>
          <w:i/>
          <w:iCs/>
        </w:rPr>
        <w:t>Id</w:t>
      </w:r>
      <w:r w:rsidRPr="0030021B">
        <w:t>. at 10.</w:t>
      </w:r>
    </w:p>
  </w:footnote>
  <w:footnote w:id="7">
    <w:p w:rsidR="001A4708" w:rsidRPr="0030021B" w:rsidP="0030021B" w14:paraId="3B5D62A0" w14:textId="77777777">
      <w:pPr>
        <w:pStyle w:val="FootnoteText"/>
        <w:spacing w:after="120"/>
      </w:pPr>
      <w:r w:rsidRPr="0030021B">
        <w:rPr>
          <w:rStyle w:val="FootnoteReference"/>
        </w:rPr>
        <w:footnoteRef/>
      </w:r>
      <w:r w:rsidRPr="0030021B">
        <w:t xml:space="preserve"> </w:t>
      </w:r>
      <w:r w:rsidRPr="0030021B">
        <w:rPr>
          <w:i/>
          <w:iCs/>
        </w:rPr>
        <w:t>Id</w:t>
      </w:r>
      <w:r w:rsidRPr="0030021B">
        <w:t>. at 4.</w:t>
      </w:r>
    </w:p>
  </w:footnote>
  <w:footnote w:id="8">
    <w:p w:rsidR="001A4708" w:rsidRPr="0030021B" w:rsidP="0030021B" w14:paraId="6DED4691" w14:textId="77777777">
      <w:pPr>
        <w:pStyle w:val="FootnoteText"/>
        <w:spacing w:after="120"/>
      </w:pPr>
      <w:r w:rsidRPr="0030021B">
        <w:rPr>
          <w:rStyle w:val="FootnoteReference"/>
        </w:rPr>
        <w:footnoteRef/>
      </w:r>
      <w:r w:rsidRPr="0030021B">
        <w:t xml:space="preserve"> PUCO Initial Brief at 6.</w:t>
      </w:r>
    </w:p>
  </w:footnote>
  <w:footnote w:id="9">
    <w:p w:rsidR="001A4708" w:rsidRPr="0030021B" w:rsidP="0030021B" w14:paraId="3CA37D59" w14:textId="05EF124A">
      <w:pPr>
        <w:pStyle w:val="FootnoteText"/>
        <w:spacing w:after="120"/>
      </w:pPr>
      <w:r w:rsidRPr="0030021B">
        <w:rPr>
          <w:rStyle w:val="FootnoteReference"/>
        </w:rPr>
        <w:footnoteRef/>
      </w:r>
      <w:r w:rsidRPr="0030021B">
        <w:t xml:space="preserve"> OCC Initial Brief at 5; Hearing Transcript at 54.</w:t>
      </w:r>
    </w:p>
  </w:footnote>
  <w:footnote w:id="10">
    <w:p w:rsidR="001A4708" w:rsidRPr="0030021B" w:rsidP="0030021B" w14:paraId="63727973" w14:textId="410E9C86">
      <w:pPr>
        <w:pStyle w:val="FootnoteText"/>
        <w:spacing w:after="120"/>
      </w:pPr>
      <w:r w:rsidRPr="0030021B">
        <w:rPr>
          <w:rStyle w:val="FootnoteReference"/>
        </w:rPr>
        <w:footnoteRef/>
      </w:r>
      <w:r w:rsidRPr="0030021B">
        <w:t xml:space="preserve"> OCC Initial Brief at 6.</w:t>
      </w:r>
    </w:p>
  </w:footnote>
  <w:footnote w:id="11">
    <w:p w:rsidR="001A4708" w:rsidRPr="0030021B" w:rsidP="0030021B" w14:paraId="1D90B367" w14:textId="77777777">
      <w:pPr>
        <w:pStyle w:val="FootnoteText"/>
        <w:spacing w:after="120"/>
      </w:pPr>
      <w:r w:rsidRPr="0030021B">
        <w:rPr>
          <w:rStyle w:val="FootnoteReference"/>
        </w:rPr>
        <w:footnoteRef/>
      </w:r>
      <w:r w:rsidRPr="0030021B">
        <w:t xml:space="preserve"> Duke Initial Brief at 7-10.</w:t>
      </w:r>
    </w:p>
  </w:footnote>
  <w:footnote w:id="12">
    <w:p w:rsidR="001A4708" w:rsidRPr="0030021B" w:rsidP="0030021B" w14:paraId="5D5A140C" w14:textId="3D893DD5">
      <w:pPr>
        <w:pStyle w:val="FootnoteText"/>
        <w:spacing w:after="120"/>
      </w:pPr>
      <w:r w:rsidRPr="0030021B">
        <w:rPr>
          <w:rStyle w:val="FootnoteReference"/>
        </w:rPr>
        <w:footnoteRef/>
      </w:r>
      <w:r w:rsidRPr="0030021B">
        <w:t xml:space="preserve"> </w:t>
      </w:r>
      <w:r w:rsidRPr="0030021B">
        <w:rPr>
          <w:i/>
          <w:iCs/>
        </w:rPr>
        <w:t>Id</w:t>
      </w:r>
      <w:r w:rsidRPr="0030021B">
        <w:t>. at 5.</w:t>
      </w:r>
    </w:p>
  </w:footnote>
  <w:footnote w:id="13">
    <w:p w:rsidR="001A4708" w:rsidRPr="0030021B" w:rsidP="0030021B" w14:paraId="349AF965" w14:textId="77777777">
      <w:pPr>
        <w:pStyle w:val="FootnoteText"/>
        <w:spacing w:after="120"/>
      </w:pPr>
      <w:r w:rsidRPr="0030021B">
        <w:rPr>
          <w:rStyle w:val="FootnoteReference"/>
        </w:rPr>
        <w:footnoteRef/>
      </w:r>
      <w:r w:rsidRPr="0030021B">
        <w:t xml:space="preserve"> OCC Initial Brief at 4.</w:t>
      </w:r>
    </w:p>
  </w:footnote>
  <w:footnote w:id="14">
    <w:p w:rsidR="001A4708" w:rsidRPr="0030021B" w:rsidP="0030021B" w14:paraId="349B325F" w14:textId="3AE7D601">
      <w:pPr>
        <w:pStyle w:val="FootnoteText"/>
        <w:spacing w:after="120"/>
      </w:pPr>
      <w:r w:rsidRPr="0030021B">
        <w:rPr>
          <w:rStyle w:val="FootnoteReference"/>
        </w:rPr>
        <w:footnoteRef/>
      </w:r>
      <w:r w:rsidRPr="0030021B">
        <w:t xml:space="preserve"> </w:t>
      </w:r>
      <w:r w:rsidRPr="0030021B" w:rsidR="006752B8">
        <w:t>OCC Initial Brief at 4</w:t>
      </w:r>
      <w:r w:rsidRPr="0030021B">
        <w:t>; Hearing Tr</w:t>
      </w:r>
      <w:r w:rsidR="003E4071">
        <w:t>anscript</w:t>
      </w:r>
      <w:r w:rsidRPr="0030021B">
        <w:t xml:space="preserve"> at 53-54, 61-65.</w:t>
      </w:r>
    </w:p>
  </w:footnote>
  <w:footnote w:id="15">
    <w:p w:rsidR="001A4708" w:rsidRPr="0030021B" w:rsidP="0030021B" w14:paraId="08627332" w14:textId="22EDB0AA">
      <w:pPr>
        <w:pStyle w:val="FootnoteText"/>
        <w:spacing w:after="120"/>
      </w:pPr>
      <w:r w:rsidRPr="0030021B">
        <w:rPr>
          <w:rStyle w:val="FootnoteReference"/>
        </w:rPr>
        <w:footnoteRef/>
      </w:r>
      <w:r w:rsidRPr="0030021B">
        <w:t xml:space="preserve"> Duke Initial Brief at 8.</w:t>
      </w:r>
    </w:p>
  </w:footnote>
  <w:footnote w:id="16">
    <w:p w:rsidR="001A4708" w:rsidRPr="0030021B" w:rsidP="0030021B" w14:paraId="217097BC" w14:textId="0C1F936C">
      <w:pPr>
        <w:pStyle w:val="FootnoteText"/>
        <w:spacing w:after="120"/>
      </w:pPr>
      <w:r w:rsidRPr="0030021B">
        <w:rPr>
          <w:rStyle w:val="FootnoteReference"/>
        </w:rPr>
        <w:footnoteRef/>
      </w:r>
      <w:r w:rsidRPr="0030021B">
        <w:t xml:space="preserve"> OCC Initial Brief at 5-6; Hearing Tr</w:t>
      </w:r>
      <w:r w:rsidR="003E4071">
        <w:t>anscript</w:t>
      </w:r>
      <w:r w:rsidRPr="0030021B">
        <w:t xml:space="preserve"> at 54, 64-65.</w:t>
      </w:r>
    </w:p>
  </w:footnote>
  <w:footnote w:id="17">
    <w:p w:rsidR="001A4708" w:rsidRPr="0030021B" w:rsidP="0030021B" w14:paraId="72FCD727" w14:textId="2C4BF23A">
      <w:pPr>
        <w:pStyle w:val="FootnoteText"/>
        <w:spacing w:after="120"/>
      </w:pPr>
      <w:r w:rsidRPr="0030021B">
        <w:rPr>
          <w:rStyle w:val="FootnoteReference"/>
        </w:rPr>
        <w:footnoteRef/>
      </w:r>
      <w:r w:rsidRPr="0030021B">
        <w:t xml:space="preserve"> Case No. 17-2202-GA-ALT.</w:t>
      </w:r>
    </w:p>
  </w:footnote>
  <w:footnote w:id="18">
    <w:p w:rsidR="001A4708" w:rsidRPr="0030021B" w:rsidP="0030021B" w14:paraId="4A4D5BF3" w14:textId="30323991">
      <w:pPr>
        <w:pStyle w:val="FootnoteText"/>
        <w:spacing w:after="120"/>
      </w:pPr>
      <w:r w:rsidRPr="0030021B">
        <w:rPr>
          <w:rStyle w:val="FootnoteReference"/>
        </w:rPr>
        <w:footnoteRef/>
      </w:r>
      <w:r w:rsidRPr="0030021B">
        <w:t xml:space="preserve"> Duke Initial Brief at 8; Hearing Tr</w:t>
      </w:r>
      <w:r w:rsidR="003E4071">
        <w:t>anscript</w:t>
      </w:r>
      <w:r w:rsidRPr="0030021B">
        <w:t xml:space="preserve"> at 24 (Q. Did you read the Stipulation in the Columbia case, Mr. Wathen? A: I did, yeah. Q. And you are aware that the Stipulation addresses matters beyond just tax issues, correct? A. I am aware of that)</w:t>
      </w:r>
      <w:r w:rsidR="0030021B">
        <w:t>.</w:t>
      </w:r>
    </w:p>
  </w:footnote>
  <w:footnote w:id="19">
    <w:p w:rsidR="001A4708" w:rsidRPr="0030021B" w:rsidP="0030021B" w14:paraId="7667A11F" w14:textId="0A13C841">
      <w:pPr>
        <w:pStyle w:val="FootnoteText"/>
        <w:spacing w:after="120"/>
      </w:pPr>
      <w:r w:rsidRPr="0030021B">
        <w:rPr>
          <w:rStyle w:val="FootnoteReference"/>
        </w:rPr>
        <w:footnoteRef/>
      </w:r>
      <w:r w:rsidRPr="0030021B">
        <w:t xml:space="preserve"> Case No. 18-1007-EL-UNC (while this case did not require a line item on the bill, the tax savings were rolled into the distribution infrastructure rider, thus it was not “single-issue” ratemaking); Case No. 18-1185-EL-UNC (while this case did not require a line item on the bill, the tax savings were rolled into rider DCI, thus it was not “single-issue” ratemaking; Case No. 18-1604-EL-UNC (while this case did not require a line item on the bill, the tax savings were rolled into rider DCR, thus it was not “single-issue” ratemaking).</w:t>
      </w:r>
    </w:p>
  </w:footnote>
  <w:footnote w:id="20">
    <w:p w:rsidR="001A4708" w:rsidRPr="0030021B" w:rsidP="0030021B" w14:paraId="1F053022" w14:textId="54DF139E">
      <w:pPr>
        <w:pStyle w:val="FootnoteText"/>
        <w:spacing w:after="120"/>
      </w:pPr>
      <w:r w:rsidRPr="0030021B">
        <w:rPr>
          <w:rStyle w:val="FootnoteReference"/>
        </w:rPr>
        <w:footnoteRef/>
      </w:r>
      <w:r w:rsidRPr="0030021B">
        <w:t xml:space="preserve"> Hearing Tr</w:t>
      </w:r>
      <w:r w:rsidR="003E4071">
        <w:t>anscript</w:t>
      </w:r>
      <w:r w:rsidRPr="0030021B">
        <w:t xml:space="preserve"> at 54.</w:t>
      </w:r>
    </w:p>
  </w:footnote>
  <w:footnote w:id="21">
    <w:p w:rsidR="001A4708" w:rsidRPr="0030021B" w:rsidP="0030021B" w14:paraId="0143232E" w14:textId="77777777">
      <w:pPr>
        <w:pStyle w:val="FootnoteText"/>
        <w:spacing w:after="120"/>
      </w:pPr>
      <w:r w:rsidRPr="0030021B">
        <w:rPr>
          <w:rStyle w:val="FootnoteReference"/>
        </w:rPr>
        <w:footnoteRef/>
      </w:r>
      <w:r w:rsidRPr="0030021B">
        <w:t xml:space="preserve"> </w:t>
      </w:r>
      <w:r w:rsidRPr="0030021B">
        <w:rPr>
          <w:i/>
          <w:iCs/>
        </w:rPr>
        <w:t>Cleveland Electric Ill. Co. v. PUCO</w:t>
      </w:r>
      <w:r w:rsidRPr="0030021B">
        <w:t>, 42 Ohio St.2d 403 (1975).</w:t>
      </w:r>
    </w:p>
  </w:footnote>
  <w:footnote w:id="22">
    <w:p w:rsidR="001A4708" w:rsidRPr="0030021B" w:rsidP="0030021B" w14:paraId="74C3423F" w14:textId="49497B24">
      <w:pPr>
        <w:pStyle w:val="FootnoteText"/>
        <w:spacing w:after="120"/>
      </w:pPr>
      <w:r w:rsidRPr="0030021B">
        <w:rPr>
          <w:rStyle w:val="FootnoteReference"/>
        </w:rPr>
        <w:footnoteRef/>
      </w:r>
      <w:r w:rsidRPr="0030021B">
        <w:t xml:space="preserve"> </w:t>
      </w:r>
      <w:r w:rsidRPr="0030021B" w:rsidR="006752B8">
        <w:t>Hearing Tr</w:t>
      </w:r>
      <w:r w:rsidR="003E4071">
        <w:t>anscript</w:t>
      </w:r>
      <w:r w:rsidRPr="0030021B" w:rsidR="006752B8">
        <w:t xml:space="preserve"> at 54.</w:t>
      </w:r>
    </w:p>
  </w:footnote>
  <w:footnote w:id="23">
    <w:p w:rsidR="001A4708" w:rsidRPr="0030021B" w:rsidP="0030021B" w14:paraId="209CD22A" w14:textId="6A5F12A6">
      <w:pPr>
        <w:pStyle w:val="FootnoteText"/>
        <w:spacing w:after="120"/>
      </w:pPr>
      <w:r w:rsidRPr="0030021B">
        <w:rPr>
          <w:rStyle w:val="FootnoteReference"/>
        </w:rPr>
        <w:footnoteRef/>
      </w:r>
      <w:r w:rsidRPr="0030021B">
        <w:t xml:space="preserve"> OCC Initial Brief at 5-6.</w:t>
      </w:r>
    </w:p>
  </w:footnote>
  <w:footnote w:id="24">
    <w:p w:rsidR="001A4708" w:rsidRPr="0030021B" w:rsidP="0030021B" w14:paraId="329A5132" w14:textId="4CCFCA26">
      <w:pPr>
        <w:pStyle w:val="FootnoteText"/>
        <w:spacing w:after="120"/>
      </w:pPr>
      <w:r w:rsidRPr="0030021B">
        <w:rPr>
          <w:rStyle w:val="FootnoteReference"/>
        </w:rPr>
        <w:footnoteRef/>
      </w:r>
      <w:r w:rsidRPr="0030021B">
        <w:t xml:space="preserve"> Duke Initial Brief at 10.</w:t>
      </w:r>
    </w:p>
  </w:footnote>
  <w:footnote w:id="25">
    <w:p w:rsidR="001A4708" w:rsidRPr="0030021B" w:rsidP="0030021B" w14:paraId="75523390" w14:textId="055D1C89">
      <w:pPr>
        <w:pStyle w:val="FootnoteText"/>
        <w:spacing w:after="120"/>
      </w:pPr>
      <w:r w:rsidRPr="0030021B">
        <w:rPr>
          <w:rStyle w:val="FootnoteReference"/>
        </w:rPr>
        <w:footnoteRef/>
      </w:r>
      <w:r w:rsidRPr="0030021B">
        <w:t xml:space="preserve"> PUCO Initial Brief at 4-5; </w:t>
      </w:r>
      <w:r w:rsidRPr="0030021B">
        <w:rPr>
          <w:rFonts w:cs="TimesNewRomanPSMT"/>
        </w:rPr>
        <w:t>Wathen Direct Test. at 19, Duke Ex. 2.</w:t>
      </w:r>
    </w:p>
  </w:footnote>
  <w:footnote w:id="26">
    <w:p w:rsidR="001A4708" w:rsidRPr="0030021B" w:rsidP="0030021B" w14:paraId="6D8FC74F" w14:textId="249FB480">
      <w:pPr>
        <w:pStyle w:val="FootnoteText"/>
        <w:spacing w:after="120"/>
      </w:pPr>
      <w:r w:rsidRPr="0030021B">
        <w:rPr>
          <w:rStyle w:val="FootnoteReference"/>
        </w:rPr>
        <w:footnoteRef/>
      </w:r>
      <w:r w:rsidRPr="0030021B">
        <w:t xml:space="preserve"> OCC Initial Brief at 5; PUCO Initial Brief at 4-5.</w:t>
      </w:r>
    </w:p>
  </w:footnote>
  <w:footnote w:id="27">
    <w:p w:rsidR="001A4708" w:rsidRPr="0030021B" w:rsidP="0030021B" w14:paraId="5B68D437" w14:textId="69741714">
      <w:pPr>
        <w:pStyle w:val="FootnoteText"/>
        <w:spacing w:after="120"/>
      </w:pPr>
      <w:r w:rsidRPr="0030021B">
        <w:rPr>
          <w:rStyle w:val="FootnoteReference"/>
        </w:rPr>
        <w:footnoteRef/>
      </w:r>
      <w:r w:rsidRPr="0030021B">
        <w:t xml:space="preserve"> </w:t>
      </w:r>
      <w:r w:rsidRPr="0030021B">
        <w:rPr>
          <w:i/>
          <w:iCs/>
        </w:rPr>
        <w:t>Id</w:t>
      </w:r>
      <w:r w:rsidRPr="0030021B">
        <w:t>.</w:t>
      </w:r>
    </w:p>
  </w:footnote>
  <w:footnote w:id="28">
    <w:p w:rsidR="001A4708" w:rsidRPr="0030021B" w:rsidP="0030021B" w14:paraId="19BEC25B" w14:textId="5E70FA92">
      <w:pPr>
        <w:pStyle w:val="FootnoteText"/>
        <w:spacing w:after="120"/>
      </w:pPr>
      <w:r w:rsidRPr="0030021B">
        <w:rPr>
          <w:rStyle w:val="FootnoteReference"/>
        </w:rPr>
        <w:footnoteRef/>
      </w:r>
      <w:r w:rsidRPr="0030021B">
        <w:t xml:space="preserve"> </w:t>
      </w:r>
      <w:r w:rsidRPr="0030021B">
        <w:rPr>
          <w:i/>
          <w:iCs/>
        </w:rPr>
        <w:t>Id</w:t>
      </w:r>
      <w:r w:rsidRPr="0030021B">
        <w:t>.</w:t>
      </w:r>
    </w:p>
  </w:footnote>
  <w:footnote w:id="29">
    <w:p w:rsidR="001A4708" w:rsidRPr="0030021B" w:rsidP="0030021B" w14:paraId="167F669B" w14:textId="52288508">
      <w:pPr>
        <w:pStyle w:val="FootnoteText"/>
        <w:spacing w:after="120"/>
      </w:pPr>
      <w:r w:rsidRPr="0030021B">
        <w:rPr>
          <w:rStyle w:val="FootnoteReference"/>
        </w:rPr>
        <w:footnoteRef/>
      </w:r>
      <w:r w:rsidRPr="0030021B">
        <w:t xml:space="preserve"> PUCO Initial Brief at 4-5.</w:t>
      </w:r>
    </w:p>
  </w:footnote>
  <w:footnote w:id="30">
    <w:p w:rsidR="001A4708" w:rsidRPr="0030021B" w:rsidP="0030021B" w14:paraId="0A68F03B" w14:textId="4EB498EE">
      <w:pPr>
        <w:pStyle w:val="FootnoteText"/>
        <w:spacing w:after="120"/>
      </w:pPr>
      <w:r w:rsidRPr="0030021B">
        <w:rPr>
          <w:rStyle w:val="FootnoteReference"/>
        </w:rPr>
        <w:footnoteRef/>
      </w:r>
      <w:r w:rsidRPr="0030021B">
        <w:t xml:space="preserve"> Hearing Tr</w:t>
      </w:r>
      <w:r w:rsidR="00017D6A">
        <w:t>anscript</w:t>
      </w:r>
      <w:r w:rsidRPr="0030021B">
        <w:t xml:space="preserve"> at 17-18.</w:t>
      </w:r>
    </w:p>
  </w:footnote>
  <w:footnote w:id="31">
    <w:p w:rsidR="002A5B68" w:rsidRPr="0030021B" w:rsidP="0030021B" w14:paraId="1D1CF209" w14:textId="1FC0DAEA">
      <w:pPr>
        <w:pStyle w:val="FootnoteText"/>
        <w:spacing w:after="120"/>
      </w:pPr>
      <w:r w:rsidRPr="0030021B">
        <w:rPr>
          <w:rStyle w:val="FootnoteReference"/>
        </w:rPr>
        <w:footnoteRef/>
      </w:r>
      <w:r w:rsidRPr="0030021B">
        <w:t xml:space="preserve"> 10 or 11 gas plus 19 electric = 29-30.</w:t>
      </w:r>
    </w:p>
  </w:footnote>
  <w:footnote w:id="32">
    <w:p w:rsidR="001A4708" w:rsidRPr="0030021B" w:rsidP="0030021B" w14:paraId="45DAC4D5" w14:textId="40DFF22E">
      <w:pPr>
        <w:pStyle w:val="FootnoteText"/>
        <w:spacing w:after="120"/>
      </w:pPr>
      <w:r w:rsidRPr="0030021B">
        <w:rPr>
          <w:rStyle w:val="FootnoteReference"/>
        </w:rPr>
        <w:footnoteRef/>
      </w:r>
      <w:r w:rsidRPr="0030021B">
        <w:t xml:space="preserve"> Duke Initial Brief at 11.</w:t>
      </w:r>
    </w:p>
  </w:footnote>
  <w:footnote w:id="33">
    <w:p w:rsidR="001A4708" w:rsidRPr="0030021B" w:rsidP="0030021B" w14:paraId="166A9934" w14:textId="1E0F5CFF">
      <w:pPr>
        <w:pStyle w:val="FootnoteText"/>
        <w:spacing w:after="120"/>
      </w:pPr>
      <w:r w:rsidRPr="0030021B">
        <w:rPr>
          <w:rStyle w:val="FootnoteReference"/>
        </w:rPr>
        <w:footnoteRef/>
      </w:r>
      <w:r w:rsidRPr="0030021B">
        <w:t xml:space="preserve"> </w:t>
      </w:r>
      <w:r w:rsidRPr="0030021B" w:rsidR="006752B8">
        <w:rPr>
          <w:i/>
          <w:iCs/>
        </w:rPr>
        <w:t>Id</w:t>
      </w:r>
      <w:r w:rsidRPr="0030021B" w:rsidR="006752B8">
        <w:t>.</w:t>
      </w:r>
    </w:p>
  </w:footnote>
  <w:footnote w:id="34">
    <w:p w:rsidR="001A4708" w:rsidRPr="0030021B" w:rsidP="0030021B" w14:paraId="7D0E88FA" w14:textId="12C856D6">
      <w:pPr>
        <w:pStyle w:val="FootnoteText"/>
        <w:spacing w:after="120"/>
      </w:pPr>
      <w:r w:rsidRPr="0030021B">
        <w:rPr>
          <w:rStyle w:val="FootnoteReference"/>
        </w:rPr>
        <w:footnoteRef/>
      </w:r>
      <w:r w:rsidRPr="0030021B">
        <w:t xml:space="preserve"> </w:t>
      </w:r>
      <w:r w:rsidRPr="0030021B">
        <w:rPr>
          <w:i/>
          <w:iCs/>
        </w:rPr>
        <w:t>Id</w:t>
      </w:r>
      <w:r w:rsidRPr="0030021B">
        <w:t xml:space="preserve">. at </w:t>
      </w:r>
      <w:r w:rsidRPr="0030021B" w:rsidR="006752B8">
        <w:t>11-13.</w:t>
      </w:r>
    </w:p>
  </w:footnote>
  <w:footnote w:id="35">
    <w:p w:rsidR="001A4708" w:rsidRPr="0030021B" w:rsidP="0030021B" w14:paraId="072723E3" w14:textId="2357D063">
      <w:pPr>
        <w:pStyle w:val="FootnoteText"/>
        <w:spacing w:after="120"/>
      </w:pPr>
      <w:r w:rsidRPr="0030021B">
        <w:rPr>
          <w:rStyle w:val="FootnoteReference"/>
        </w:rPr>
        <w:footnoteRef/>
      </w:r>
      <w:r w:rsidRPr="0030021B">
        <w:t xml:space="preserve"> </w:t>
      </w:r>
      <w:r w:rsidRPr="0030021B">
        <w:rPr>
          <w:i/>
          <w:iCs/>
        </w:rPr>
        <w:t>Id</w:t>
      </w:r>
      <w:r w:rsidRPr="0030021B">
        <w:t>. at 16.</w:t>
      </w:r>
    </w:p>
  </w:footnote>
  <w:footnote w:id="36">
    <w:p w:rsidR="004C1886" w:rsidRPr="0030021B" w:rsidP="0030021B" w14:paraId="2A23B811" w14:textId="4141F464">
      <w:pPr>
        <w:pStyle w:val="FootnoteText"/>
        <w:spacing w:after="120"/>
      </w:pPr>
      <w:r w:rsidRPr="0030021B">
        <w:rPr>
          <w:rStyle w:val="FootnoteReference"/>
        </w:rPr>
        <w:footnoteRef/>
      </w:r>
      <w:r w:rsidRPr="0030021B">
        <w:t xml:space="preserve"> Duke Initial Brief at 18.</w:t>
      </w:r>
    </w:p>
  </w:footnote>
  <w:footnote w:id="37">
    <w:p w:rsidR="001A4708" w:rsidRPr="0030021B" w:rsidP="0030021B" w14:paraId="3290AF30" w14:textId="3F37D024">
      <w:pPr>
        <w:pStyle w:val="FootnoteText"/>
        <w:spacing w:after="120"/>
      </w:pPr>
      <w:r w:rsidRPr="0030021B">
        <w:rPr>
          <w:rStyle w:val="FootnoteReference"/>
        </w:rPr>
        <w:footnoteRef/>
      </w:r>
      <w:r w:rsidRPr="0030021B">
        <w:t xml:space="preserve"> PUCO Initial Brief at 6.</w:t>
      </w:r>
    </w:p>
  </w:footnote>
  <w:footnote w:id="38">
    <w:p w:rsidR="001A4708" w:rsidRPr="0030021B" w:rsidP="0030021B" w14:paraId="7B2F32F8" w14:textId="2BD1C31E">
      <w:pPr>
        <w:pStyle w:val="FootnoteText"/>
        <w:spacing w:after="120"/>
      </w:pPr>
      <w:r w:rsidRPr="0030021B">
        <w:rPr>
          <w:rStyle w:val="FootnoteReference"/>
        </w:rPr>
        <w:footnoteRef/>
      </w:r>
      <w:r w:rsidRPr="0030021B">
        <w:t xml:space="preserve"> OCC Initial Brief at 7.</w:t>
      </w:r>
    </w:p>
  </w:footnote>
  <w:footnote w:id="39">
    <w:p w:rsidR="00CC3D3E" w:rsidRPr="0030021B" w:rsidP="0030021B" w14:paraId="3DE8E0C8" w14:textId="31602A29">
      <w:pPr>
        <w:pStyle w:val="FootnoteText"/>
        <w:spacing w:after="120"/>
      </w:pPr>
      <w:r w:rsidRPr="0030021B">
        <w:rPr>
          <w:rStyle w:val="FootnoteReference"/>
        </w:rPr>
        <w:footnoteRef/>
      </w:r>
      <w:r w:rsidRPr="0030021B">
        <w:t xml:space="preserve"> PUCO Initial Brief at 7.</w:t>
      </w:r>
    </w:p>
  </w:footnote>
  <w:footnote w:id="40">
    <w:p w:rsidR="001A4708" w:rsidRPr="0030021B" w:rsidP="0030021B" w14:paraId="0CEDC044" w14:textId="12F6041F">
      <w:pPr>
        <w:pStyle w:val="FootnoteText"/>
        <w:spacing w:after="120"/>
      </w:pPr>
      <w:r w:rsidRPr="0030021B">
        <w:rPr>
          <w:rStyle w:val="FootnoteReference"/>
        </w:rPr>
        <w:footnoteRef/>
      </w:r>
      <w:r w:rsidRPr="0030021B">
        <w:t xml:space="preserve"> </w:t>
      </w:r>
      <w:r w:rsidRPr="0030021B">
        <w:rPr>
          <w:i/>
          <w:iCs/>
        </w:rPr>
        <w:t>Id</w:t>
      </w:r>
      <w:r w:rsidRPr="0030021B">
        <w:t>.</w:t>
      </w:r>
    </w:p>
  </w:footnote>
  <w:footnote w:id="41">
    <w:p w:rsidR="00ED32D4" w:rsidRPr="0030021B" w:rsidP="00ED32D4" w14:paraId="56624431" w14:textId="77777777">
      <w:pPr>
        <w:pStyle w:val="FootnoteText"/>
        <w:spacing w:after="120"/>
      </w:pPr>
      <w:r w:rsidRPr="0030021B">
        <w:rPr>
          <w:rStyle w:val="FootnoteReference"/>
        </w:rPr>
        <w:footnoteRef/>
      </w:r>
      <w:r w:rsidRPr="0030021B">
        <w:t xml:space="preserve"> Duke Initial Brief at 14.</w:t>
      </w:r>
    </w:p>
  </w:footnote>
  <w:footnote w:id="42">
    <w:p w:rsidR="00CC3D3E" w:rsidRPr="0030021B" w:rsidP="0030021B" w14:paraId="11AD07F7" w14:textId="719AA8CB">
      <w:pPr>
        <w:pStyle w:val="FootnoteText"/>
        <w:spacing w:after="120"/>
      </w:pPr>
      <w:r w:rsidRPr="0030021B">
        <w:rPr>
          <w:rStyle w:val="FootnoteReference"/>
        </w:rPr>
        <w:footnoteRef/>
      </w:r>
      <w:r w:rsidRPr="0030021B">
        <w:t xml:space="preserve"> </w:t>
      </w:r>
      <w:r w:rsidR="00ED32D4">
        <w:rPr>
          <w:i/>
          <w:iCs/>
        </w:rPr>
        <w:t>Id</w:t>
      </w:r>
      <w:r w:rsidRPr="0030021B">
        <w:t>.</w:t>
      </w:r>
    </w:p>
  </w:footnote>
  <w:footnote w:id="43">
    <w:p w:rsidR="004C1886" w:rsidRPr="0030021B" w:rsidP="0030021B" w14:paraId="50C64BE0" w14:textId="77777777">
      <w:pPr>
        <w:pStyle w:val="FootnoteText"/>
        <w:spacing w:after="120"/>
      </w:pPr>
      <w:r w:rsidRPr="0030021B">
        <w:rPr>
          <w:rStyle w:val="FootnoteReference"/>
        </w:rPr>
        <w:footnoteRef/>
      </w:r>
      <w:r w:rsidRPr="0030021B">
        <w:t xml:space="preserve"> </w:t>
      </w:r>
      <w:r w:rsidRPr="0030021B">
        <w:rPr>
          <w:i/>
          <w:iCs/>
        </w:rPr>
        <w:t>Id</w:t>
      </w:r>
      <w:r w:rsidRPr="0030021B">
        <w:t>.</w:t>
      </w:r>
    </w:p>
  </w:footnote>
  <w:footnote w:id="44">
    <w:p w:rsidR="004C1886" w:rsidRPr="0030021B" w:rsidP="0030021B" w14:paraId="28F191A9" w14:textId="3568666B">
      <w:pPr>
        <w:pStyle w:val="FootnoteText"/>
        <w:spacing w:after="120"/>
      </w:pPr>
      <w:r w:rsidRPr="0030021B">
        <w:rPr>
          <w:rStyle w:val="FootnoteReference"/>
        </w:rPr>
        <w:footnoteRef/>
      </w:r>
      <w:r w:rsidRPr="0030021B">
        <w:t xml:space="preserve"> PUCO Initial Brief at 8.</w:t>
      </w:r>
    </w:p>
  </w:footnote>
  <w:footnote w:id="45">
    <w:p w:rsidR="004C1886" w:rsidRPr="0030021B" w:rsidP="0030021B" w14:paraId="1F71DA41" w14:textId="0846B0E3">
      <w:pPr>
        <w:pStyle w:val="FootnoteText"/>
        <w:spacing w:after="120"/>
      </w:pPr>
      <w:r w:rsidRPr="0030021B">
        <w:rPr>
          <w:rStyle w:val="FootnoteReference"/>
        </w:rPr>
        <w:footnoteRef/>
      </w:r>
      <w:r w:rsidRPr="0030021B">
        <w:t xml:space="preserve"> Duke Initial Brief at 18.</w:t>
      </w:r>
    </w:p>
  </w:footnote>
  <w:footnote w:id="46">
    <w:p w:rsidR="00EE0E58" w:rsidRPr="0030021B" w:rsidP="0030021B" w14:paraId="5A845E9B" w14:textId="13AA793F">
      <w:pPr>
        <w:pStyle w:val="FootnoteText"/>
        <w:spacing w:after="120"/>
      </w:pPr>
      <w:r w:rsidRPr="0030021B">
        <w:rPr>
          <w:rStyle w:val="FootnoteReference"/>
        </w:rPr>
        <w:footnoteRef/>
      </w:r>
      <w:r w:rsidRPr="0030021B">
        <w:t xml:space="preserve"> </w:t>
      </w:r>
      <w:r w:rsidRPr="0030021B" w:rsidR="006752B8">
        <w:rPr>
          <w:i/>
          <w:iCs/>
        </w:rPr>
        <w:t>Id</w:t>
      </w:r>
      <w:r w:rsidRPr="0030021B" w:rsidR="006752B8">
        <w:t>.</w:t>
      </w:r>
    </w:p>
  </w:footnote>
  <w:footnote w:id="47">
    <w:p w:rsidR="00EE0E58" w:rsidRPr="0030021B" w:rsidP="0030021B" w14:paraId="4E44A9B6" w14:textId="3A79FFB0">
      <w:pPr>
        <w:pStyle w:val="FootnoteText"/>
        <w:spacing w:after="120"/>
      </w:pPr>
      <w:r w:rsidRPr="0030021B">
        <w:rPr>
          <w:rStyle w:val="FootnoteReference"/>
        </w:rPr>
        <w:footnoteRef/>
      </w:r>
      <w:r w:rsidRPr="0030021B">
        <w:t xml:space="preserve"> Duke Initial Brief at 19.</w:t>
      </w:r>
    </w:p>
  </w:footnote>
  <w:footnote w:id="48">
    <w:p w:rsidR="0065012D" w:rsidRPr="0030021B" w:rsidP="0030021B" w14:paraId="36FB0BD0" w14:textId="04F42ADC">
      <w:pPr>
        <w:pStyle w:val="FootnoteText"/>
        <w:spacing w:after="120"/>
      </w:pPr>
      <w:r w:rsidRPr="0030021B">
        <w:rPr>
          <w:rStyle w:val="FootnoteReference"/>
        </w:rPr>
        <w:footnoteRef/>
      </w:r>
      <w:r w:rsidRPr="0030021B">
        <w:t xml:space="preserve"> PUCO Initial Brief at 8.</w:t>
      </w:r>
    </w:p>
  </w:footnote>
  <w:footnote w:id="49">
    <w:p w:rsidR="0065012D" w:rsidRPr="0030021B" w:rsidP="0030021B" w14:paraId="487FF7E6" w14:textId="2D4A7B80">
      <w:pPr>
        <w:pStyle w:val="FootnoteText"/>
        <w:spacing w:after="120"/>
      </w:pPr>
      <w:r w:rsidRPr="0030021B">
        <w:rPr>
          <w:rStyle w:val="FootnoteReference"/>
        </w:rPr>
        <w:footnoteRef/>
      </w:r>
      <w:r w:rsidRPr="0030021B">
        <w:t xml:space="preserve"> </w:t>
      </w:r>
      <w:r w:rsidRPr="0030021B" w:rsidR="006A70ED">
        <w:rPr>
          <w:i/>
          <w:iCs/>
        </w:rPr>
        <w:t>Id</w:t>
      </w:r>
      <w:r w:rsidRPr="0030021B" w:rsidR="006A70ED">
        <w:t>.</w:t>
      </w:r>
    </w:p>
  </w:footnote>
  <w:footnote w:id="50">
    <w:p w:rsidR="001A4708" w:rsidRPr="0030021B" w:rsidP="0030021B" w14:paraId="3F73C9F1" w14:textId="281A53E7">
      <w:pPr>
        <w:pStyle w:val="FootnoteText"/>
        <w:spacing w:after="120"/>
      </w:pPr>
      <w:r w:rsidRPr="0030021B">
        <w:rPr>
          <w:rStyle w:val="FootnoteReference"/>
        </w:rPr>
        <w:footnoteRef/>
      </w:r>
      <w:r w:rsidRPr="0030021B">
        <w:t xml:space="preserve"> </w:t>
      </w:r>
      <w:r w:rsidRPr="0030021B" w:rsidR="006A70ED">
        <w:rPr>
          <w:i/>
          <w:iCs/>
        </w:rPr>
        <w:t>Id</w:t>
      </w:r>
      <w:r w:rsidRPr="0030021B" w:rsidR="006A70ED">
        <w:t>.</w:t>
      </w:r>
    </w:p>
  </w:footnote>
  <w:footnote w:id="51">
    <w:p w:rsidR="00A8141D" w:rsidRPr="0030021B" w:rsidP="0030021B" w14:paraId="5ECAFE15" w14:textId="10057704">
      <w:pPr>
        <w:pStyle w:val="FootnoteText"/>
        <w:spacing w:after="120"/>
      </w:pPr>
      <w:r w:rsidRPr="0030021B">
        <w:rPr>
          <w:rStyle w:val="FootnoteReference"/>
        </w:rPr>
        <w:footnoteRef/>
      </w:r>
      <w:r w:rsidRPr="0030021B">
        <w:t xml:space="preserve"> Duke throws in an argument that the Stub Period deferral should be used to offset other costs.</w:t>
      </w:r>
      <w:r w:rsidRPr="0030021B" w:rsidR="004358F3">
        <w:t xml:space="preserve"> </w:t>
      </w:r>
      <w:r w:rsidRPr="0030021B">
        <w:t>See Duke</w:t>
      </w:r>
      <w:r w:rsidR="00754C6D">
        <w:t>’</w:t>
      </w:r>
      <w:r w:rsidRPr="0030021B">
        <w:t>s Initial Brief at 21-22.</w:t>
      </w:r>
      <w:r w:rsidRPr="0030021B" w:rsidR="004358F3">
        <w:t xml:space="preserve"> </w:t>
      </w:r>
      <w:r w:rsidRPr="0030021B">
        <w:t>But it acknowledges that OCC</w:t>
      </w:r>
      <w:r w:rsidR="00754C6D">
        <w:t>’</w:t>
      </w:r>
      <w:r w:rsidRPr="0030021B">
        <w:t>s and PUCO</w:t>
      </w:r>
      <w:r w:rsidR="00754C6D">
        <w:t>’</w:t>
      </w:r>
      <w:r w:rsidRPr="0030021B">
        <w:t>s Staff</w:t>
      </w:r>
      <w:r w:rsidR="00754C6D">
        <w:t>’</w:t>
      </w:r>
      <w:r w:rsidRPr="0030021B">
        <w:t xml:space="preserve">s position – that </w:t>
      </w:r>
      <w:r w:rsidRPr="0030021B">
        <w:rPr>
          <w:i/>
          <w:iCs/>
        </w:rPr>
        <w:t xml:space="preserve">all </w:t>
      </w:r>
      <w:r w:rsidRPr="0030021B">
        <w:t>savings should be passed back to consumers through the tax savings rider – is “reasonable and consistent” with Duke</w:t>
      </w:r>
      <w:r w:rsidR="00754C6D">
        <w:t>’</w:t>
      </w:r>
      <w:r w:rsidRPr="0030021B">
        <w:t>s initial proposal.</w:t>
      </w:r>
      <w:r w:rsidRPr="0030021B" w:rsidR="004358F3">
        <w:t xml:space="preserve"> </w:t>
      </w:r>
      <w:r w:rsidRPr="0030021B">
        <w:t>See id.</w:t>
      </w:r>
      <w:r w:rsidRPr="0030021B" w:rsidR="004358F3">
        <w:t xml:space="preserve"> </w:t>
      </w:r>
      <w:r w:rsidRPr="0030021B">
        <w:t>For the reasons stated herein, and admitted to by Duke, Duke</w:t>
      </w:r>
      <w:r w:rsidR="00754C6D">
        <w:t>’</w:t>
      </w:r>
      <w:r w:rsidRPr="0030021B">
        <w:t>s proposal of an “offset” should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10363"/>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2497B"/>
    <w:multiLevelType w:val="hybridMultilevel"/>
    <w:tmpl w:val="615692EC"/>
    <w:lvl w:ilvl="0">
      <w:start w:val="1"/>
      <w:numFmt w:val="upperLetter"/>
      <w:lvlText w:val="%1&gt;"/>
      <w:lvlJc w:val="left"/>
      <w:pPr>
        <w:ind w:left="720" w:hanging="360"/>
      </w:pPr>
      <w:rPr>
        <w:rFonts w:ascii="Times New Roman Bold" w:eastAsia="Times New Roman" w:hAnsi="Times New Roman 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0D1340"/>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7E0D64"/>
    <w:multiLevelType w:val="multilevel"/>
    <w:tmpl w:val="3DFEB6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AB3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6D1274"/>
    <w:multiLevelType w:val="hybridMultilevel"/>
    <w:tmpl w:val="CAAE11C0"/>
    <w:lvl w:ilvl="0">
      <w:start w:val="1"/>
      <w:numFmt w:val="decimal"/>
      <w:lvlText w:val="%1"/>
      <w:lvlJc w:val="left"/>
      <w:pPr>
        <w:ind w:left="1080" w:hanging="360"/>
      </w:pPr>
      <w:rPr>
        <w:rFonts w:ascii="TimesNewRomanPSMT" w:hAnsi="TimesNewRomanPSMT" w:hint="default"/>
        <w:sz w:val="26"/>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1161CBD"/>
    <w:multiLevelType w:val="hybridMultilevel"/>
    <w:tmpl w:val="153CE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CA79DE"/>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1A2C83"/>
    <w:multiLevelType w:val="hybridMultilevel"/>
    <w:tmpl w:val="37A8A24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582B2B8A"/>
    <w:multiLevelType w:val="hybridMultilevel"/>
    <w:tmpl w:val="0B46BEDC"/>
    <w:lvl w:ilvl="0">
      <w:start w:val="1"/>
      <w:numFmt w:val="decimal"/>
      <w:pStyle w:val="Heading3"/>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61623B9D"/>
    <w:multiLevelType w:val="hybridMultilevel"/>
    <w:tmpl w:val="8BDE36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CB2005"/>
    <w:multiLevelType w:val="multilevel"/>
    <w:tmpl w:val="F58E0AE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bCs/>
      </w:rPr>
    </w:lvl>
    <w:lvl w:ilvl="2">
      <w:start w:val="1"/>
      <w:numFmt w:val="decimal"/>
      <w:lvlText w:val="%3."/>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67CE0A23"/>
    <w:multiLevelType w:val="hybridMultilevel"/>
    <w:tmpl w:val="3E16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CE1E18"/>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3A317C"/>
    <w:multiLevelType w:val="multilevel"/>
    <w:tmpl w:val="2BC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2739D6"/>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42A51CE"/>
    <w:multiLevelType w:val="multilevel"/>
    <w:tmpl w:val="EEA02D7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58261A"/>
    <w:multiLevelType w:val="hybridMultilevel"/>
    <w:tmpl w:val="B788694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8"/>
    <w:lvlOverride w:ilvl="0">
      <w:startOverride w:val="1"/>
    </w:lvlOverride>
  </w:num>
  <w:num w:numId="7">
    <w:abstractNumId w:val="9"/>
  </w:num>
  <w:num w:numId="8">
    <w:abstractNumId w:val="3"/>
  </w:num>
  <w:num w:numId="9">
    <w:abstractNumId w:val="1"/>
  </w:num>
  <w:num w:numId="10">
    <w:abstractNumId w:val="14"/>
  </w:num>
  <w:num w:numId="11">
    <w:abstractNumId w:val="4"/>
  </w:num>
  <w:num w:numId="12">
    <w:abstractNumId w:val="15"/>
  </w:num>
  <w:num w:numId="13">
    <w:abstractNumId w:val="6"/>
  </w:num>
  <w:num w:numId="14">
    <w:abstractNumId w:val="13"/>
  </w:num>
  <w:num w:numId="15">
    <w:abstractNumId w:val="2"/>
  </w:num>
  <w:num w:numId="16">
    <w:abstractNumId w:val="16"/>
  </w:num>
  <w:num w:numId="17">
    <w:abstractNumId w:val="7"/>
  </w:num>
  <w:num w:numId="18">
    <w:abstractNumId w:val="0"/>
  </w:num>
  <w:num w:numId="19">
    <w:abstractNumId w:val="5"/>
  </w:num>
  <w:num w:numId="20">
    <w:abstractNumId w:val="17"/>
  </w:num>
  <w:num w:numId="21">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94"/>
    <w:rsid w:val="00017D6A"/>
    <w:rsid w:val="000243C6"/>
    <w:rsid w:val="00033A9D"/>
    <w:rsid w:val="00043E1C"/>
    <w:rsid w:val="000479D7"/>
    <w:rsid w:val="00050D9B"/>
    <w:rsid w:val="0005263F"/>
    <w:rsid w:val="000538ED"/>
    <w:rsid w:val="00055C37"/>
    <w:rsid w:val="000631A9"/>
    <w:rsid w:val="0006524D"/>
    <w:rsid w:val="000713F8"/>
    <w:rsid w:val="00073D0C"/>
    <w:rsid w:val="00075A91"/>
    <w:rsid w:val="000822AB"/>
    <w:rsid w:val="00084549"/>
    <w:rsid w:val="0009017C"/>
    <w:rsid w:val="000943F3"/>
    <w:rsid w:val="00094CE9"/>
    <w:rsid w:val="000A1D67"/>
    <w:rsid w:val="000A20B2"/>
    <w:rsid w:val="000C00DA"/>
    <w:rsid w:val="000C06FB"/>
    <w:rsid w:val="000C47DE"/>
    <w:rsid w:val="000D5573"/>
    <w:rsid w:val="000E3863"/>
    <w:rsid w:val="001014EC"/>
    <w:rsid w:val="001018F6"/>
    <w:rsid w:val="001079AA"/>
    <w:rsid w:val="001138A5"/>
    <w:rsid w:val="00113B72"/>
    <w:rsid w:val="00121D70"/>
    <w:rsid w:val="00123FF5"/>
    <w:rsid w:val="001263B3"/>
    <w:rsid w:val="0015132C"/>
    <w:rsid w:val="00163C7D"/>
    <w:rsid w:val="00184DEF"/>
    <w:rsid w:val="0019023D"/>
    <w:rsid w:val="0019253F"/>
    <w:rsid w:val="001A4009"/>
    <w:rsid w:val="001A4708"/>
    <w:rsid w:val="001B123F"/>
    <w:rsid w:val="001B1811"/>
    <w:rsid w:val="001C3A52"/>
    <w:rsid w:val="001D1BB0"/>
    <w:rsid w:val="001D7F61"/>
    <w:rsid w:val="001E0461"/>
    <w:rsid w:val="001E540B"/>
    <w:rsid w:val="001F3D1D"/>
    <w:rsid w:val="00200F4E"/>
    <w:rsid w:val="002059A6"/>
    <w:rsid w:val="00206057"/>
    <w:rsid w:val="002159C8"/>
    <w:rsid w:val="00215CA4"/>
    <w:rsid w:val="00216D06"/>
    <w:rsid w:val="00244FA1"/>
    <w:rsid w:val="00274669"/>
    <w:rsid w:val="00280098"/>
    <w:rsid w:val="002853B7"/>
    <w:rsid w:val="002A5B68"/>
    <w:rsid w:val="002B1AD1"/>
    <w:rsid w:val="002C4203"/>
    <w:rsid w:val="002C50D3"/>
    <w:rsid w:val="002D73FD"/>
    <w:rsid w:val="002E4EC7"/>
    <w:rsid w:val="002F00E6"/>
    <w:rsid w:val="002F010E"/>
    <w:rsid w:val="002F7B10"/>
    <w:rsid w:val="0030021B"/>
    <w:rsid w:val="00302825"/>
    <w:rsid w:val="00302F0D"/>
    <w:rsid w:val="003039AA"/>
    <w:rsid w:val="003109C9"/>
    <w:rsid w:val="00316FE9"/>
    <w:rsid w:val="0032032C"/>
    <w:rsid w:val="003203DD"/>
    <w:rsid w:val="00325048"/>
    <w:rsid w:val="003351CA"/>
    <w:rsid w:val="00337103"/>
    <w:rsid w:val="00340383"/>
    <w:rsid w:val="00352CFB"/>
    <w:rsid w:val="00355EF3"/>
    <w:rsid w:val="00371C04"/>
    <w:rsid w:val="00381208"/>
    <w:rsid w:val="00383078"/>
    <w:rsid w:val="0038427B"/>
    <w:rsid w:val="003863D0"/>
    <w:rsid w:val="003908D8"/>
    <w:rsid w:val="00390CA8"/>
    <w:rsid w:val="003A0A0A"/>
    <w:rsid w:val="003A1ACE"/>
    <w:rsid w:val="003A2B1F"/>
    <w:rsid w:val="003A3452"/>
    <w:rsid w:val="003A56A3"/>
    <w:rsid w:val="003B596B"/>
    <w:rsid w:val="003B6D0A"/>
    <w:rsid w:val="003D33D3"/>
    <w:rsid w:val="003D7450"/>
    <w:rsid w:val="003E4071"/>
    <w:rsid w:val="003F35D5"/>
    <w:rsid w:val="00412AAE"/>
    <w:rsid w:val="004276E9"/>
    <w:rsid w:val="004340B1"/>
    <w:rsid w:val="004358F3"/>
    <w:rsid w:val="0045467B"/>
    <w:rsid w:val="0047361D"/>
    <w:rsid w:val="00475254"/>
    <w:rsid w:val="00477456"/>
    <w:rsid w:val="00483D43"/>
    <w:rsid w:val="00486724"/>
    <w:rsid w:val="004924B6"/>
    <w:rsid w:val="004948A1"/>
    <w:rsid w:val="00496387"/>
    <w:rsid w:val="004A0A55"/>
    <w:rsid w:val="004A26B3"/>
    <w:rsid w:val="004A73CD"/>
    <w:rsid w:val="004B566B"/>
    <w:rsid w:val="004C1886"/>
    <w:rsid w:val="004C27E0"/>
    <w:rsid w:val="004C697A"/>
    <w:rsid w:val="004C749F"/>
    <w:rsid w:val="004D330D"/>
    <w:rsid w:val="00504547"/>
    <w:rsid w:val="00505AFB"/>
    <w:rsid w:val="00505CDB"/>
    <w:rsid w:val="00510C81"/>
    <w:rsid w:val="005121C2"/>
    <w:rsid w:val="00515898"/>
    <w:rsid w:val="005205F1"/>
    <w:rsid w:val="005214CB"/>
    <w:rsid w:val="005220D0"/>
    <w:rsid w:val="00525CDD"/>
    <w:rsid w:val="005336DA"/>
    <w:rsid w:val="0053611B"/>
    <w:rsid w:val="005409AD"/>
    <w:rsid w:val="00554787"/>
    <w:rsid w:val="00566F0C"/>
    <w:rsid w:val="00567295"/>
    <w:rsid w:val="00572923"/>
    <w:rsid w:val="00574114"/>
    <w:rsid w:val="005862E6"/>
    <w:rsid w:val="00587BAE"/>
    <w:rsid w:val="005A3D68"/>
    <w:rsid w:val="005A73B6"/>
    <w:rsid w:val="005B7E9E"/>
    <w:rsid w:val="005C07E7"/>
    <w:rsid w:val="005C0D3C"/>
    <w:rsid w:val="005D642F"/>
    <w:rsid w:val="005F3938"/>
    <w:rsid w:val="005F481F"/>
    <w:rsid w:val="005F5767"/>
    <w:rsid w:val="00602552"/>
    <w:rsid w:val="00621798"/>
    <w:rsid w:val="00627C88"/>
    <w:rsid w:val="00631C95"/>
    <w:rsid w:val="00632EBA"/>
    <w:rsid w:val="006409F2"/>
    <w:rsid w:val="00646A15"/>
    <w:rsid w:val="0065012D"/>
    <w:rsid w:val="0066225D"/>
    <w:rsid w:val="00662BF5"/>
    <w:rsid w:val="006639AB"/>
    <w:rsid w:val="00664E79"/>
    <w:rsid w:val="00672AA3"/>
    <w:rsid w:val="006752B8"/>
    <w:rsid w:val="00685102"/>
    <w:rsid w:val="006A18DD"/>
    <w:rsid w:val="006A421A"/>
    <w:rsid w:val="006A6984"/>
    <w:rsid w:val="006A70ED"/>
    <w:rsid w:val="006B0082"/>
    <w:rsid w:val="006B5F4E"/>
    <w:rsid w:val="006C1086"/>
    <w:rsid w:val="006C18D6"/>
    <w:rsid w:val="006D25AA"/>
    <w:rsid w:val="006E7641"/>
    <w:rsid w:val="006F03E9"/>
    <w:rsid w:val="007138B2"/>
    <w:rsid w:val="00720207"/>
    <w:rsid w:val="00722F17"/>
    <w:rsid w:val="007252DC"/>
    <w:rsid w:val="007411E5"/>
    <w:rsid w:val="00747D56"/>
    <w:rsid w:val="00750E1F"/>
    <w:rsid w:val="00754C6D"/>
    <w:rsid w:val="007659EF"/>
    <w:rsid w:val="00771A80"/>
    <w:rsid w:val="00785BD2"/>
    <w:rsid w:val="007864EC"/>
    <w:rsid w:val="007916A0"/>
    <w:rsid w:val="007967B8"/>
    <w:rsid w:val="007A1D61"/>
    <w:rsid w:val="007A5607"/>
    <w:rsid w:val="007A5F3F"/>
    <w:rsid w:val="007A6265"/>
    <w:rsid w:val="007B00FD"/>
    <w:rsid w:val="007B1C63"/>
    <w:rsid w:val="007C0B7A"/>
    <w:rsid w:val="007C55E4"/>
    <w:rsid w:val="007C5BDC"/>
    <w:rsid w:val="007C7432"/>
    <w:rsid w:val="007D12EE"/>
    <w:rsid w:val="007D633C"/>
    <w:rsid w:val="007E6694"/>
    <w:rsid w:val="007F27EF"/>
    <w:rsid w:val="007F6CCA"/>
    <w:rsid w:val="008064E9"/>
    <w:rsid w:val="00815DD7"/>
    <w:rsid w:val="0083187A"/>
    <w:rsid w:val="00834FB2"/>
    <w:rsid w:val="008473D5"/>
    <w:rsid w:val="008474D1"/>
    <w:rsid w:val="00851336"/>
    <w:rsid w:val="00853F1D"/>
    <w:rsid w:val="00864E8D"/>
    <w:rsid w:val="00876A6F"/>
    <w:rsid w:val="008773DC"/>
    <w:rsid w:val="0088343E"/>
    <w:rsid w:val="00887AB3"/>
    <w:rsid w:val="00890676"/>
    <w:rsid w:val="008A146A"/>
    <w:rsid w:val="008A4453"/>
    <w:rsid w:val="008A5549"/>
    <w:rsid w:val="008A6F4F"/>
    <w:rsid w:val="008A74B3"/>
    <w:rsid w:val="008C28F5"/>
    <w:rsid w:val="008C6FE3"/>
    <w:rsid w:val="008D088A"/>
    <w:rsid w:val="008D40BF"/>
    <w:rsid w:val="008E48B0"/>
    <w:rsid w:val="009151C2"/>
    <w:rsid w:val="00917446"/>
    <w:rsid w:val="00937437"/>
    <w:rsid w:val="0095200C"/>
    <w:rsid w:val="00964AAB"/>
    <w:rsid w:val="0098389E"/>
    <w:rsid w:val="00984A41"/>
    <w:rsid w:val="0099065C"/>
    <w:rsid w:val="00990760"/>
    <w:rsid w:val="009A44DC"/>
    <w:rsid w:val="009B4252"/>
    <w:rsid w:val="009D38C8"/>
    <w:rsid w:val="009E4CE5"/>
    <w:rsid w:val="009E6E13"/>
    <w:rsid w:val="009E79B6"/>
    <w:rsid w:val="00A0158A"/>
    <w:rsid w:val="00A06639"/>
    <w:rsid w:val="00A10563"/>
    <w:rsid w:val="00A11ADB"/>
    <w:rsid w:val="00A12871"/>
    <w:rsid w:val="00A174DA"/>
    <w:rsid w:val="00A250D4"/>
    <w:rsid w:val="00A30366"/>
    <w:rsid w:val="00A37681"/>
    <w:rsid w:val="00A43C5D"/>
    <w:rsid w:val="00A5094B"/>
    <w:rsid w:val="00A63848"/>
    <w:rsid w:val="00A66BD7"/>
    <w:rsid w:val="00A674C7"/>
    <w:rsid w:val="00A8141D"/>
    <w:rsid w:val="00A877BA"/>
    <w:rsid w:val="00AA1585"/>
    <w:rsid w:val="00AB24BA"/>
    <w:rsid w:val="00AC0EF1"/>
    <w:rsid w:val="00AC799F"/>
    <w:rsid w:val="00AD4F2A"/>
    <w:rsid w:val="00AE59AC"/>
    <w:rsid w:val="00AE6A44"/>
    <w:rsid w:val="00AF0A5F"/>
    <w:rsid w:val="00AF39F0"/>
    <w:rsid w:val="00AF7C2C"/>
    <w:rsid w:val="00B07E54"/>
    <w:rsid w:val="00B07EA0"/>
    <w:rsid w:val="00B212CA"/>
    <w:rsid w:val="00B512F1"/>
    <w:rsid w:val="00B52876"/>
    <w:rsid w:val="00B5643B"/>
    <w:rsid w:val="00B6581C"/>
    <w:rsid w:val="00B7121D"/>
    <w:rsid w:val="00B76305"/>
    <w:rsid w:val="00B839F4"/>
    <w:rsid w:val="00B85BF9"/>
    <w:rsid w:val="00BA145F"/>
    <w:rsid w:val="00BA4EF3"/>
    <w:rsid w:val="00BB6A0C"/>
    <w:rsid w:val="00BC794F"/>
    <w:rsid w:val="00BF01A4"/>
    <w:rsid w:val="00BF06F7"/>
    <w:rsid w:val="00BF10DA"/>
    <w:rsid w:val="00BF6B72"/>
    <w:rsid w:val="00BF7290"/>
    <w:rsid w:val="00C03951"/>
    <w:rsid w:val="00C05313"/>
    <w:rsid w:val="00C11D1C"/>
    <w:rsid w:val="00C1675F"/>
    <w:rsid w:val="00C228E4"/>
    <w:rsid w:val="00C318CE"/>
    <w:rsid w:val="00C319BC"/>
    <w:rsid w:val="00C577AA"/>
    <w:rsid w:val="00C6752A"/>
    <w:rsid w:val="00C743FA"/>
    <w:rsid w:val="00C7459B"/>
    <w:rsid w:val="00C82B66"/>
    <w:rsid w:val="00C862F8"/>
    <w:rsid w:val="00C9609E"/>
    <w:rsid w:val="00CC3D3E"/>
    <w:rsid w:val="00CD117A"/>
    <w:rsid w:val="00CD299A"/>
    <w:rsid w:val="00CE2CCB"/>
    <w:rsid w:val="00CE4BC2"/>
    <w:rsid w:val="00CE7692"/>
    <w:rsid w:val="00D11087"/>
    <w:rsid w:val="00D16052"/>
    <w:rsid w:val="00D24862"/>
    <w:rsid w:val="00D25370"/>
    <w:rsid w:val="00D33CFB"/>
    <w:rsid w:val="00D35FDF"/>
    <w:rsid w:val="00D41389"/>
    <w:rsid w:val="00D42883"/>
    <w:rsid w:val="00D43F33"/>
    <w:rsid w:val="00D44C39"/>
    <w:rsid w:val="00D5674B"/>
    <w:rsid w:val="00D73E57"/>
    <w:rsid w:val="00D83BF3"/>
    <w:rsid w:val="00D91CED"/>
    <w:rsid w:val="00D928E0"/>
    <w:rsid w:val="00D96509"/>
    <w:rsid w:val="00DA0814"/>
    <w:rsid w:val="00DA0B17"/>
    <w:rsid w:val="00DA4E9F"/>
    <w:rsid w:val="00DA72C0"/>
    <w:rsid w:val="00DC1CAB"/>
    <w:rsid w:val="00DC69D2"/>
    <w:rsid w:val="00DE35EF"/>
    <w:rsid w:val="00E07D79"/>
    <w:rsid w:val="00E22E95"/>
    <w:rsid w:val="00E37050"/>
    <w:rsid w:val="00E42DF8"/>
    <w:rsid w:val="00E43EE4"/>
    <w:rsid w:val="00E53AF8"/>
    <w:rsid w:val="00E67B9E"/>
    <w:rsid w:val="00E70D55"/>
    <w:rsid w:val="00E74D96"/>
    <w:rsid w:val="00E81328"/>
    <w:rsid w:val="00EA4374"/>
    <w:rsid w:val="00EB01A0"/>
    <w:rsid w:val="00EC3DC0"/>
    <w:rsid w:val="00EC5085"/>
    <w:rsid w:val="00EC6298"/>
    <w:rsid w:val="00ED32D4"/>
    <w:rsid w:val="00ED56A4"/>
    <w:rsid w:val="00EE0E58"/>
    <w:rsid w:val="00F0179C"/>
    <w:rsid w:val="00F10586"/>
    <w:rsid w:val="00F1709B"/>
    <w:rsid w:val="00F17ACE"/>
    <w:rsid w:val="00F24763"/>
    <w:rsid w:val="00F25A05"/>
    <w:rsid w:val="00F2718B"/>
    <w:rsid w:val="00F31E35"/>
    <w:rsid w:val="00F35837"/>
    <w:rsid w:val="00F41124"/>
    <w:rsid w:val="00F56077"/>
    <w:rsid w:val="00F72CBB"/>
    <w:rsid w:val="00F73E9B"/>
    <w:rsid w:val="00F759D5"/>
    <w:rsid w:val="00F8233E"/>
    <w:rsid w:val="00FA1A31"/>
    <w:rsid w:val="00FA3F1B"/>
    <w:rsid w:val="00FB05AC"/>
    <w:rsid w:val="00FB1CC4"/>
    <w:rsid w:val="00FB211E"/>
    <w:rsid w:val="00FD0AB9"/>
    <w:rsid w:val="00FE0F25"/>
    <w:rsid w:val="00FE39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74"/>
    <w:rPr>
      <w:rFonts w:ascii="Times New Roman" w:hAnsi="Times New Roman"/>
      <w:sz w:val="24"/>
    </w:rPr>
  </w:style>
  <w:style w:type="paragraph" w:styleId="Heading1">
    <w:name w:val="heading 1"/>
    <w:basedOn w:val="Normal"/>
    <w:next w:val="Normal"/>
    <w:link w:val="Heading1Char"/>
    <w:autoRedefine/>
    <w:uiPriority w:val="9"/>
    <w:qFormat/>
    <w:rsid w:val="00754C6D"/>
    <w:pPr>
      <w:keepNext/>
      <w:keepLines/>
      <w:numPr>
        <w:numId w:val="1"/>
      </w:numPr>
      <w:spacing w:after="240" w:line="240" w:lineRule="auto"/>
      <w:ind w:left="720" w:hanging="720"/>
      <w:outlineLvl w:val="0"/>
    </w:pPr>
    <w:rPr>
      <w:rFonts w:eastAsiaTheme="majorEastAsia" w:cs="Times New Roman"/>
      <w:b/>
      <w:caps/>
      <w:szCs w:val="24"/>
    </w:rPr>
  </w:style>
  <w:style w:type="paragraph" w:styleId="Heading2">
    <w:name w:val="heading 2"/>
    <w:basedOn w:val="Normal"/>
    <w:next w:val="Normal"/>
    <w:link w:val="Heading2Char"/>
    <w:autoRedefine/>
    <w:unhideWhenUsed/>
    <w:qFormat/>
    <w:rsid w:val="0047361D"/>
    <w:pPr>
      <w:keepNext/>
      <w:keepLines/>
      <w:numPr>
        <w:ilvl w:val="1"/>
        <w:numId w:val="1"/>
      </w:numPr>
      <w:spacing w:after="240" w:line="240" w:lineRule="auto"/>
      <w:ind w:left="1440" w:hanging="720"/>
      <w:outlineLvl w:val="1"/>
    </w:pPr>
    <w:rPr>
      <w:rFonts w:ascii="Times New Roman Bold" w:eastAsia="Times New Roman" w:hAnsi="Times New Roman Bold" w:cs="Times New Roman"/>
      <w:b/>
      <w:bCs/>
      <w:szCs w:val="24"/>
    </w:rPr>
  </w:style>
  <w:style w:type="paragraph" w:styleId="Heading3">
    <w:name w:val="heading 3"/>
    <w:basedOn w:val="Normal"/>
    <w:next w:val="Normal"/>
    <w:link w:val="Heading3Char"/>
    <w:autoRedefine/>
    <w:uiPriority w:val="9"/>
    <w:unhideWhenUsed/>
    <w:qFormat/>
    <w:rsid w:val="00073D0C"/>
    <w:pPr>
      <w:keepNext/>
      <w:keepLines/>
      <w:numPr>
        <w:numId w:val="7"/>
      </w:numPr>
      <w:spacing w:after="240" w:line="240" w:lineRule="auto"/>
      <w:ind w:right="720" w:hanging="720"/>
      <w:outlineLvl w:val="2"/>
    </w:pPr>
    <w:rPr>
      <w:rFonts w:ascii="Times New Roman Bold" w:hAnsi="Times New Roman Bold" w:eastAsiaTheme="majorEastAsia" w:cstheme="majorBidi"/>
      <w:b/>
      <w:bCs/>
      <w:szCs w:val="24"/>
    </w:rPr>
  </w:style>
  <w:style w:type="paragraph" w:styleId="Heading4">
    <w:name w:val="heading 4"/>
    <w:basedOn w:val="Normal"/>
    <w:next w:val="Normal"/>
    <w:link w:val="Heading4Char"/>
    <w:autoRedefine/>
    <w:uiPriority w:val="9"/>
    <w:unhideWhenUsed/>
    <w:qFormat/>
    <w:rsid w:val="00313E6B"/>
    <w:pPr>
      <w:keepNext/>
      <w:keepLines/>
      <w:numPr>
        <w:ilvl w:val="3"/>
        <w:numId w:val="1"/>
      </w:numPr>
      <w:spacing w:after="240" w:line="240" w:lineRule="auto"/>
      <w:ind w:righ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rsid w:val="00517C65"/>
    <w:pPr>
      <w:keepNext/>
      <w:keepLines/>
      <w:numPr>
        <w:ilvl w:val="4"/>
        <w:numId w:val="1"/>
      </w:numPr>
      <w:spacing w:after="240" w:line="240" w:lineRule="auto"/>
      <w:ind w:right="7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C4363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363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36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36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fn "/>
    <w:basedOn w:val="Normal"/>
    <w:link w:val="FootnoteTextChar"/>
    <w:uiPriority w:val="99"/>
    <w:unhideWhenUsed/>
    <w:qFormat/>
    <w:rsid w:val="00D62829"/>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D6282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47361D"/>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4C6D"/>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073D0C"/>
    <w:rPr>
      <w:rFonts w:ascii="Times New Roman Bold" w:hAnsi="Times New Roman Bold" w:eastAsiaTheme="majorEastAsia" w:cstheme="majorBidi"/>
      <w:b/>
      <w:bCs/>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FD0AB9"/>
    <w:pPr>
      <w:tabs>
        <w:tab w:val="left" w:pos="720"/>
        <w:tab w:val="decimal" w:leader="dot" w:pos="8640"/>
      </w:tabs>
      <w:spacing w:after="240" w:line="240" w:lineRule="auto"/>
      <w:ind w:left="720" w:hanging="720"/>
    </w:pPr>
    <w:rPr>
      <w:caps/>
    </w:rPr>
  </w:style>
  <w:style w:type="paragraph" w:styleId="TOC2">
    <w:name w:val="toc 2"/>
    <w:basedOn w:val="Normal"/>
    <w:next w:val="Normal"/>
    <w:autoRedefine/>
    <w:uiPriority w:val="39"/>
    <w:unhideWhenUsed/>
    <w:rsid w:val="00FD0AB9"/>
    <w:pPr>
      <w:tabs>
        <w:tab w:val="left" w:pos="720"/>
        <w:tab w:val="decimal" w:leader="dot" w:pos="8640"/>
      </w:tabs>
      <w:spacing w:after="240" w:line="240" w:lineRule="auto"/>
      <w:ind w:left="1440" w:hanging="720"/>
    </w:pPr>
  </w:style>
  <w:style w:type="paragraph" w:styleId="TOC3">
    <w:name w:val="toc 3"/>
    <w:basedOn w:val="Normal"/>
    <w:next w:val="Normal"/>
    <w:autoRedefine/>
    <w:uiPriority w:val="39"/>
    <w:unhideWhenUsed/>
    <w:rsid w:val="00FD0AB9"/>
    <w:pPr>
      <w:tabs>
        <w:tab w:val="left" w:pos="720"/>
        <w:tab w:val="decimal" w:leader="dot" w:pos="8640"/>
      </w:tabs>
      <w:spacing w:after="240" w:line="240" w:lineRule="auto"/>
      <w:ind w:left="2160" w:hanging="720"/>
    </w:pPr>
  </w:style>
  <w:style w:type="paragraph" w:styleId="TOC4">
    <w:name w:val="toc 4"/>
    <w:basedOn w:val="Normal"/>
    <w:next w:val="Normal"/>
    <w:autoRedefine/>
    <w:uiPriority w:val="39"/>
    <w:unhideWhenUsed/>
    <w:rsid w:val="00CD3492"/>
    <w:pPr>
      <w:spacing w:after="240" w:line="240" w:lineRule="auto"/>
      <w:ind w:left="2880" w:hanging="720"/>
    </w:p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UnresolvedMention1">
    <w:name w:val="Unresolved Mention1"/>
    <w:basedOn w:val="DefaultParagraphFont"/>
    <w:uiPriority w:val="99"/>
    <w:semiHidden/>
    <w:unhideWhenUsed/>
    <w:rsid w:val="00B45BC0"/>
    <w:rPr>
      <w:color w:val="605E5C"/>
      <w:shd w:val="clear" w:color="auto" w:fill="E1DFDD"/>
    </w:rPr>
  </w:style>
  <w:style w:type="character" w:customStyle="1" w:styleId="Heading6Char">
    <w:name w:val="Heading 6 Char"/>
    <w:basedOn w:val="DefaultParagraphFont"/>
    <w:link w:val="Heading6"/>
    <w:uiPriority w:val="9"/>
    <w:semiHidden/>
    <w:rsid w:val="00C4363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4363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436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363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A145F"/>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6639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ttorneygeneral.gov" TargetMode="External" /><Relationship Id="rId12" Type="http://schemas.openxmlformats.org/officeDocument/2006/relationships/hyperlink" Target="mailto:Robert.eubanks@ohioattorneygeneral.gov" TargetMode="External" /><Relationship Id="rId13" Type="http://schemas.openxmlformats.org/officeDocument/2006/relationships/hyperlink" Target="mailto:Nicholas.walstra@puco.ohio.gov"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Larisa.vaysman@duke-energy.com" TargetMode="Externa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ambrosia.logsd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5CC5-0E5C-4F22-AF25-B684202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Duke Tax Cuts.docx</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2019-09-25T13:51:16Z</dcterms:created>
  <dcterms:modified xsi:type="dcterms:W3CDTF">2019-09-25T13:51:16Z</dcterms:modified>
</cp:coreProperties>
</file>