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125CF" w:rsidRPr="00FB05EA" w14:paraId="03370D81" w14:textId="77777777">
      <w:pPr>
        <w:jc w:val="right"/>
        <w:rPr>
          <w:b/>
          <w:bCs/>
          <w:i/>
          <w:iCs/>
        </w:rPr>
      </w:pPr>
      <w:r w:rsidRPr="00FB05EA">
        <w:rPr>
          <w:b/>
          <w:bCs/>
          <w:i/>
          <w:iCs/>
        </w:rPr>
        <w:t>OCC EXHIBIT_______</w:t>
      </w:r>
    </w:p>
    <w:p w:rsidR="00B125CF" w:rsidRPr="00FB05EA" w14:paraId="720DAD55" w14:textId="77777777">
      <w:pPr>
        <w:jc w:val="center"/>
      </w:pPr>
    </w:p>
    <w:p w:rsidR="00B125CF" w:rsidRPr="00FB05EA" w14:paraId="11BF7AD0" w14:textId="77777777">
      <w:pPr>
        <w:pStyle w:val="HTMLPreformatted"/>
        <w:jc w:val="center"/>
        <w:rPr>
          <w:rFonts w:ascii="Times New Roman" w:hAnsi="Times New Roman" w:cs="Times New Roman"/>
          <w:b/>
          <w:bCs/>
          <w:sz w:val="24"/>
          <w:szCs w:val="24"/>
        </w:rPr>
      </w:pPr>
      <w:r w:rsidRPr="00FB05EA">
        <w:rPr>
          <w:rFonts w:ascii="Times New Roman" w:hAnsi="Times New Roman" w:cs="Times New Roman"/>
          <w:b/>
          <w:bCs/>
          <w:sz w:val="24"/>
          <w:szCs w:val="24"/>
        </w:rPr>
        <w:t>BEFORE</w:t>
      </w:r>
    </w:p>
    <w:p w:rsidR="00B125CF" w:rsidRPr="00FB05EA" w14:paraId="79D73B60" w14:textId="77777777">
      <w:pPr>
        <w:pStyle w:val="HTMLPreformatted"/>
        <w:jc w:val="center"/>
        <w:rPr>
          <w:rFonts w:ascii="Times New Roman" w:hAnsi="Times New Roman" w:cs="Times New Roman"/>
          <w:b/>
          <w:bCs/>
          <w:sz w:val="24"/>
          <w:szCs w:val="24"/>
        </w:rPr>
      </w:pPr>
      <w:r w:rsidRPr="00FB05EA">
        <w:rPr>
          <w:rFonts w:ascii="Times New Roman" w:hAnsi="Times New Roman" w:cs="Times New Roman"/>
          <w:b/>
          <w:bCs/>
          <w:sz w:val="24"/>
          <w:szCs w:val="24"/>
        </w:rPr>
        <w:t>THE PUBLIC UTILITIES COMMISSION OF OHIO</w:t>
      </w:r>
    </w:p>
    <w:p w:rsidR="00B125CF" w:rsidRPr="00FB05EA" w14:paraId="510DCC75" w14:textId="77777777">
      <w:pPr>
        <w:pStyle w:val="HTMLPreformatted"/>
        <w:jc w:val="center"/>
        <w:rPr>
          <w:rFonts w:ascii="Times New Roman" w:hAnsi="Times New Roman" w:cs="Times New Roman"/>
          <w:b/>
          <w:bCs/>
          <w:sz w:val="24"/>
          <w:szCs w:val="24"/>
        </w:rPr>
      </w:pPr>
    </w:p>
    <w:p w:rsidR="00B125CF" w:rsidRPr="00FB05EA" w14:paraId="196984A4" w14:textId="77777777">
      <w:pPr>
        <w:pStyle w:val="HTMLPreformatted"/>
        <w:jc w:val="center"/>
        <w:rPr>
          <w:rFonts w:ascii="Times New Roman" w:hAnsi="Times New Roman" w:cs="Times New Roman"/>
          <w:sz w:val="24"/>
          <w:szCs w:val="24"/>
        </w:rPr>
      </w:pPr>
    </w:p>
    <w:tbl>
      <w:tblPr>
        <w:tblW w:w="9092" w:type="dxa"/>
        <w:tblLook w:val="01E0"/>
      </w:tblPr>
      <w:tblGrid>
        <w:gridCol w:w="4230"/>
        <w:gridCol w:w="462"/>
        <w:gridCol w:w="4400"/>
      </w:tblGrid>
      <w:tr w14:paraId="067DF3E1" w14:textId="77777777">
        <w:tblPrEx>
          <w:tblW w:w="9092" w:type="dxa"/>
          <w:tblLook w:val="01E0"/>
        </w:tblPrEx>
        <w:trPr>
          <w:trHeight w:val="1845"/>
        </w:trPr>
        <w:tc>
          <w:tcPr>
            <w:tcW w:w="4230" w:type="dxa"/>
            <w:shd w:val="clear" w:color="auto" w:fill="auto"/>
          </w:tcPr>
          <w:p w:rsidR="00B125CF" w:rsidRPr="00FB05EA" w14:paraId="00123CC8" w14:textId="77777777">
            <w:pPr>
              <w:autoSpaceDE w:val="0"/>
              <w:autoSpaceDN w:val="0"/>
              <w:adjustRightInd w:val="0"/>
            </w:pPr>
            <w:r w:rsidRPr="00FB05EA">
              <w:rPr>
                <w:rFonts w:eastAsiaTheme="minorHAnsi"/>
              </w:rPr>
              <w:t xml:space="preserve">In the Matter of the Application of the </w:t>
            </w:r>
          </w:p>
          <w:p w:rsidR="00B125CF" w:rsidRPr="00FB05EA" w14:paraId="56B276C8" w14:textId="77777777">
            <w:pPr>
              <w:autoSpaceDE w:val="0"/>
              <w:autoSpaceDN w:val="0"/>
              <w:adjustRightInd w:val="0"/>
            </w:pPr>
            <w:r w:rsidRPr="00FB05EA">
              <w:rPr>
                <w:rFonts w:eastAsiaTheme="minorHAnsi"/>
              </w:rPr>
              <w:t>Ohio Department of Development for an Order Approving Adjustments to the Universal Service Fund Riders of Jurisdictional Ohio Electric Distribution Utilities.</w:t>
            </w:r>
          </w:p>
        </w:tc>
        <w:tc>
          <w:tcPr>
            <w:tcW w:w="462" w:type="dxa"/>
            <w:shd w:val="clear" w:color="auto" w:fill="auto"/>
          </w:tcPr>
          <w:p w:rsidR="00B125CF" w:rsidRPr="00FB05EA" w14:paraId="1783C45B"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p w:rsidR="00B125CF" w:rsidRPr="00FB05EA" w14:paraId="3510952D"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p w:rsidR="00B125CF" w:rsidRPr="00FB05EA" w14:paraId="5837A913"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p w:rsidR="00B125CF" w:rsidRPr="00FB05EA" w14:paraId="6A5E33EA"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p w:rsidR="00B125CF" w:rsidRPr="00FB05EA" w14:paraId="3AFA7512"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p w:rsidR="00B125CF" w:rsidRPr="00FB05EA" w14:paraId="3569FDF2"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w:t>
            </w:r>
          </w:p>
        </w:tc>
        <w:tc>
          <w:tcPr>
            <w:tcW w:w="4400" w:type="dxa"/>
            <w:shd w:val="clear" w:color="auto" w:fill="auto"/>
          </w:tcPr>
          <w:p w:rsidR="00B125CF" w:rsidRPr="00FB05EA" w14:paraId="3E3FEE8D" w14:textId="77777777">
            <w:pPr>
              <w:pStyle w:val="HTMLPreformatted"/>
              <w:rPr>
                <w:rFonts w:ascii="Times New Roman" w:hAnsi="Times New Roman" w:cs="Times New Roman"/>
                <w:sz w:val="24"/>
                <w:szCs w:val="24"/>
              </w:rPr>
            </w:pPr>
          </w:p>
          <w:p w:rsidR="00B125CF" w:rsidRPr="00FB05EA" w14:paraId="35AF758F" w14:textId="77777777">
            <w:pPr>
              <w:pStyle w:val="HTMLPreformatted"/>
              <w:rPr>
                <w:rFonts w:ascii="Times New Roman" w:eastAsia="Courier New" w:hAnsi="Times New Roman" w:cs="Times New Roman"/>
                <w:sz w:val="24"/>
                <w:szCs w:val="24"/>
              </w:rPr>
            </w:pPr>
          </w:p>
          <w:p w:rsidR="00B125CF" w:rsidRPr="00FB05EA" w14:paraId="273DBCBA" w14:textId="77777777">
            <w:pPr>
              <w:pStyle w:val="HTMLPreformatted"/>
              <w:rPr>
                <w:rFonts w:ascii="Times New Roman" w:hAnsi="Times New Roman" w:cs="Times New Roman"/>
                <w:sz w:val="24"/>
                <w:szCs w:val="24"/>
              </w:rPr>
            </w:pPr>
            <w:r w:rsidRPr="00FB05EA">
              <w:rPr>
                <w:rFonts w:ascii="Times New Roman" w:eastAsia="Courier New" w:hAnsi="Times New Roman" w:cs="Times New Roman"/>
                <w:sz w:val="24"/>
                <w:szCs w:val="24"/>
              </w:rPr>
              <w:t>Case No. 22-556-EL-USF</w:t>
            </w:r>
          </w:p>
        </w:tc>
      </w:tr>
    </w:tbl>
    <w:p w:rsidR="00B125CF" w:rsidRPr="00FB05EA" w14:paraId="2901BD15" w14:textId="77777777">
      <w:pPr>
        <w:pStyle w:val="HTMLPreformatted"/>
        <w:jc w:val="center"/>
        <w:rPr>
          <w:rFonts w:ascii="Times New Roman" w:hAnsi="Times New Roman" w:cs="Times New Roman"/>
          <w:sz w:val="24"/>
          <w:szCs w:val="24"/>
        </w:rPr>
      </w:pPr>
    </w:p>
    <w:p w:rsidR="00B125CF" w:rsidRPr="00FB05EA" w14:paraId="42BF86E6" w14:textId="77777777">
      <w:pPr>
        <w:autoSpaceDE w:val="0"/>
        <w:autoSpaceDN w:val="0"/>
        <w:adjustRightInd w:val="0"/>
        <w:jc w:val="center"/>
        <w:rPr>
          <w:b/>
          <w:bCs/>
        </w:rPr>
      </w:pPr>
    </w:p>
    <w:p w:rsidR="00B125CF" w:rsidRPr="00FB05EA" w14:paraId="48A70F34" w14:textId="77777777">
      <w:pPr>
        <w:autoSpaceDE w:val="0"/>
        <w:autoSpaceDN w:val="0"/>
        <w:adjustRightInd w:val="0"/>
        <w:jc w:val="center"/>
        <w:rPr>
          <w:b/>
          <w:bCs/>
        </w:rPr>
      </w:pPr>
    </w:p>
    <w:p w:rsidR="00B125CF" w:rsidRPr="00FB05EA" w14:paraId="4BFF1C13" w14:textId="77777777">
      <w:pPr>
        <w:autoSpaceDE w:val="0"/>
        <w:autoSpaceDN w:val="0"/>
        <w:adjustRightInd w:val="0"/>
        <w:jc w:val="center"/>
        <w:rPr>
          <w:b/>
          <w:bCs/>
        </w:rPr>
      </w:pPr>
    </w:p>
    <w:p w:rsidR="00B125CF" w:rsidRPr="00FB05EA" w14:paraId="14E4EB1C" w14:textId="31998E1D">
      <w:pPr>
        <w:jc w:val="center"/>
        <w:rPr>
          <w:b/>
          <w:bCs/>
        </w:rPr>
      </w:pPr>
      <w:r w:rsidRPr="00FB05EA">
        <w:rPr>
          <w:b/>
          <w:bCs/>
        </w:rPr>
        <w:t>TESTIMONY RECOMMENDING CONSUMER PROTECTIONS INSTEAD OF THE ODOD/ ELECTRIC UTILITIES</w:t>
      </w:r>
      <w:r w:rsidRPr="00FB05EA" w:rsidR="009B4371">
        <w:rPr>
          <w:b/>
          <w:bCs/>
        </w:rPr>
        <w:t>’</w:t>
      </w:r>
      <w:r w:rsidRPr="00FB05EA">
        <w:rPr>
          <w:b/>
          <w:bCs/>
        </w:rPr>
        <w:t xml:space="preserve">/ INDUSTRIAL GROUPS’ SETTLEMENT </w:t>
      </w:r>
    </w:p>
    <w:p w:rsidR="00B125CF" w:rsidRPr="00FB05EA" w14:paraId="2D1C3B5C" w14:textId="77777777">
      <w:pPr>
        <w:jc w:val="center"/>
        <w:rPr>
          <w:b/>
          <w:bCs/>
        </w:rPr>
      </w:pPr>
      <w:r w:rsidRPr="00FB05EA">
        <w:rPr>
          <w:b/>
          <w:bCs/>
        </w:rPr>
        <w:t>BY</w:t>
      </w:r>
    </w:p>
    <w:p w:rsidR="00B125CF" w:rsidRPr="00FB05EA" w14:paraId="2F1DF604" w14:textId="77777777">
      <w:pPr>
        <w:jc w:val="center"/>
        <w:rPr>
          <w:b/>
          <w:bCs/>
        </w:rPr>
      </w:pPr>
      <w:r w:rsidRPr="00FB05EA">
        <w:rPr>
          <w:b/>
          <w:bCs/>
        </w:rPr>
        <w:t>JAMES D. WILLIAMS</w:t>
      </w:r>
    </w:p>
    <w:p w:rsidR="00B125CF" w:rsidRPr="00FB05EA" w14:paraId="2B73B6C5" w14:textId="77777777">
      <w:pPr>
        <w:jc w:val="center"/>
        <w:rPr>
          <w:b/>
          <w:bCs/>
        </w:rPr>
      </w:pPr>
    </w:p>
    <w:p w:rsidR="00B125CF" w:rsidRPr="00FB05EA" w14:paraId="113769B4" w14:textId="77777777">
      <w:pPr>
        <w:jc w:val="center"/>
        <w:rPr>
          <w:b/>
          <w:bCs/>
        </w:rPr>
      </w:pPr>
    </w:p>
    <w:p w:rsidR="00B125CF" w:rsidRPr="00FB05EA" w14:paraId="15DED278" w14:textId="77777777">
      <w:pPr>
        <w:jc w:val="center"/>
        <w:rPr>
          <w:b/>
          <w:bCs/>
        </w:rPr>
      </w:pPr>
    </w:p>
    <w:p w:rsidR="00B125CF" w:rsidRPr="00FB05EA" w14:paraId="203D024A" w14:textId="77777777">
      <w:pPr>
        <w:jc w:val="center"/>
        <w:rPr>
          <w:b/>
          <w:bCs/>
        </w:rPr>
      </w:pPr>
      <w:r w:rsidRPr="00FB05EA">
        <w:rPr>
          <w:b/>
          <w:bCs/>
        </w:rPr>
        <w:t>On Behalf of</w:t>
      </w:r>
    </w:p>
    <w:p w:rsidR="00B125CF" w:rsidRPr="00FB05EA" w14:paraId="5F8D894D" w14:textId="77777777">
      <w:pPr>
        <w:jc w:val="center"/>
        <w:rPr>
          <w:b/>
          <w:bCs/>
          <w:caps/>
        </w:rPr>
      </w:pPr>
      <w:r w:rsidRPr="00FB05EA">
        <w:rPr>
          <w:b/>
          <w:bCs/>
        </w:rPr>
        <w:t>Office of the Ohio Consumers' Counsel</w:t>
      </w:r>
    </w:p>
    <w:p w:rsidR="00B125CF" w:rsidRPr="00FB05EA" w14:paraId="53D9468F" w14:textId="77777777">
      <w:pPr>
        <w:jc w:val="center"/>
        <w:rPr>
          <w:i/>
          <w:iCs/>
        </w:rPr>
      </w:pPr>
      <w:r w:rsidRPr="00FB05EA">
        <w:rPr>
          <w:i/>
          <w:iCs/>
        </w:rPr>
        <w:t>65 East State Street, Suite 700</w:t>
      </w:r>
    </w:p>
    <w:p w:rsidR="00B125CF" w:rsidRPr="00FB05EA" w14:paraId="5174B1E4" w14:textId="77777777">
      <w:pPr>
        <w:jc w:val="center"/>
        <w:rPr>
          <w:i/>
          <w:iCs/>
        </w:rPr>
      </w:pPr>
      <w:r w:rsidRPr="00FB05EA">
        <w:rPr>
          <w:i/>
          <w:iCs/>
        </w:rPr>
        <w:t>Columbus, Ohio 43215</w:t>
      </w:r>
    </w:p>
    <w:p w:rsidR="00B125CF" w:rsidRPr="00FB05EA" w14:paraId="04D95EC9" w14:textId="77777777">
      <w:pPr>
        <w:jc w:val="center"/>
      </w:pPr>
    </w:p>
    <w:p w:rsidR="00B125CF" w:rsidRPr="00FB05EA" w14:paraId="2215E82A" w14:textId="77777777"/>
    <w:p w:rsidR="00B125CF" w:rsidRPr="00FB05EA" w14:paraId="3D784E01" w14:textId="77777777">
      <w:pPr>
        <w:jc w:val="center"/>
      </w:pPr>
    </w:p>
    <w:p w:rsidR="00B125CF" w:rsidRPr="00FB05EA" w14:paraId="4B553F6C" w14:textId="6CEA0734">
      <w:pPr>
        <w:jc w:val="center"/>
        <w:rPr>
          <w:b/>
          <w:bCs/>
          <w:iCs/>
        </w:rPr>
        <w:sectPr>
          <w:headerReference w:type="even" r:id="rId6"/>
          <w:headerReference w:type="default" r:id="rId7"/>
          <w:footerReference w:type="default" r:id="rId8"/>
          <w:pgSz w:w="12240" w:h="15840" w:code="1"/>
          <w:pgMar w:top="1440" w:right="1800" w:bottom="1440" w:left="1800" w:header="720" w:footer="720" w:gutter="0"/>
          <w:cols w:space="720"/>
          <w:titlePg/>
          <w:docGrid w:linePitch="360"/>
        </w:sectPr>
      </w:pPr>
      <w:r w:rsidRPr="00FB05EA">
        <w:rPr>
          <w:b/>
          <w:bCs/>
          <w:iCs/>
        </w:rPr>
        <w:t xml:space="preserve">November </w:t>
      </w:r>
      <w:r w:rsidRPr="00FB05EA" w:rsidR="008E5739">
        <w:rPr>
          <w:b/>
          <w:bCs/>
          <w:iCs/>
        </w:rPr>
        <w:t>23</w:t>
      </w:r>
      <w:r w:rsidRPr="00FB05EA" w:rsidR="003359D5">
        <w:rPr>
          <w:b/>
          <w:bCs/>
          <w:iCs/>
        </w:rPr>
        <w:t>, 2022</w:t>
      </w:r>
    </w:p>
    <w:p w:rsidR="00B125CF" w:rsidRPr="00FB05EA" w:rsidP="00FF5A20" w14:paraId="206F01E1" w14:textId="77777777">
      <w:pPr>
        <w:suppressLineNumbers/>
        <w:jc w:val="center"/>
        <w:rPr>
          <w:b/>
          <w:bCs/>
          <w:u w:val="single"/>
        </w:rPr>
      </w:pPr>
      <w:r w:rsidRPr="00FB05EA">
        <w:rPr>
          <w:b/>
          <w:bCs/>
          <w:u w:val="single"/>
        </w:rPr>
        <w:t>TABLE OF CONTENTS</w:t>
      </w:r>
    </w:p>
    <w:p w:rsidR="00B125CF" w:rsidRPr="00FB05EA" w:rsidP="00FF5A20" w14:paraId="5DA7E0F0" w14:textId="77777777">
      <w:pPr>
        <w:suppressLineNumbers/>
      </w:pPr>
    </w:p>
    <w:p w:rsidR="00B125CF" w:rsidRPr="00FB05EA" w:rsidP="00FF5A20" w14:paraId="0C6D4CFA" w14:textId="75F132AF">
      <w:pPr>
        <w:suppressLineNumbers/>
        <w:jc w:val="right"/>
        <w:rPr>
          <w:b/>
        </w:rPr>
      </w:pPr>
      <w:r w:rsidRPr="00FB05EA">
        <w:rPr>
          <w:b/>
        </w:rPr>
        <w:t>Page</w:t>
      </w:r>
    </w:p>
    <w:p w:rsidR="00E26EA9" w:rsidRPr="00FB05EA" w:rsidP="00E26EA9" w14:paraId="41326161" w14:textId="77777777">
      <w:pPr>
        <w:suppressLineNumbers/>
        <w:jc w:val="right"/>
        <w:rPr>
          <w:b/>
        </w:rPr>
      </w:pPr>
    </w:p>
    <w:p w:rsidR="00FD16BA" w14:paraId="01E11EE4" w14:textId="36D446EC">
      <w:pPr>
        <w:pStyle w:val="TOC1"/>
        <w:rPr>
          <w:rFonts w:asciiTheme="minorHAnsi" w:eastAsiaTheme="minorEastAsia" w:hAnsiTheme="minorHAnsi" w:cstheme="minorBidi"/>
          <w:bCs w:val="0"/>
          <w:caps w:val="0"/>
          <w:sz w:val="22"/>
          <w:szCs w:val="22"/>
        </w:rPr>
      </w:pPr>
      <w:r w:rsidRPr="00FB05EA">
        <w:fldChar w:fldCharType="begin"/>
      </w:r>
      <w:r w:rsidRPr="00FB05EA">
        <w:instrText xml:space="preserve"> TOC \o "1-3" \h \z \u </w:instrText>
      </w:r>
      <w:r w:rsidRPr="00FB05EA">
        <w:fldChar w:fldCharType="separate"/>
      </w:r>
      <w:hyperlink w:anchor="_Toc120115155" w:history="1">
        <w:r w:rsidRPr="002452C9">
          <w:rPr>
            <w:rStyle w:val="Hyperlink"/>
          </w:rPr>
          <w:t>I.</w:t>
        </w:r>
        <w:r>
          <w:rPr>
            <w:rFonts w:asciiTheme="minorHAnsi" w:eastAsiaTheme="minorEastAsia" w:hAnsiTheme="minorHAnsi" w:cstheme="minorBidi"/>
            <w:bCs w:val="0"/>
            <w:caps w:val="0"/>
            <w:sz w:val="22"/>
            <w:szCs w:val="22"/>
          </w:rPr>
          <w:tab/>
        </w:r>
        <w:r w:rsidRPr="002452C9">
          <w:rPr>
            <w:rStyle w:val="Hyperlink"/>
          </w:rPr>
          <w:t>INTRODUCTION</w:t>
        </w:r>
        <w:r>
          <w:rPr>
            <w:webHidden/>
          </w:rPr>
          <w:tab/>
        </w:r>
        <w:r>
          <w:rPr>
            <w:webHidden/>
          </w:rPr>
          <w:fldChar w:fldCharType="begin"/>
        </w:r>
        <w:r>
          <w:rPr>
            <w:webHidden/>
          </w:rPr>
          <w:instrText xml:space="preserve"> PAGEREF _Toc120115155 \h </w:instrText>
        </w:r>
        <w:r>
          <w:rPr>
            <w:webHidden/>
          </w:rPr>
          <w:fldChar w:fldCharType="separate"/>
        </w:r>
        <w:r>
          <w:rPr>
            <w:webHidden/>
          </w:rPr>
          <w:t>1</w:t>
        </w:r>
        <w:r>
          <w:rPr>
            <w:webHidden/>
          </w:rPr>
          <w:fldChar w:fldCharType="end"/>
        </w:r>
      </w:hyperlink>
    </w:p>
    <w:p w:rsidR="00FD16BA" w14:paraId="346AC79A" w14:textId="6B9F0FA9">
      <w:pPr>
        <w:pStyle w:val="TOC1"/>
        <w:rPr>
          <w:rFonts w:asciiTheme="minorHAnsi" w:eastAsiaTheme="minorEastAsia" w:hAnsiTheme="minorHAnsi" w:cstheme="minorBidi"/>
          <w:bCs w:val="0"/>
          <w:caps w:val="0"/>
          <w:sz w:val="22"/>
          <w:szCs w:val="22"/>
        </w:rPr>
      </w:pPr>
      <w:hyperlink w:anchor="_Toc120115156" w:history="1">
        <w:r w:rsidRPr="002452C9">
          <w:rPr>
            <w:rStyle w:val="Hyperlink"/>
          </w:rPr>
          <w:t>II.</w:t>
        </w:r>
        <w:r>
          <w:rPr>
            <w:rFonts w:asciiTheme="minorHAnsi" w:eastAsiaTheme="minorEastAsia" w:hAnsiTheme="minorHAnsi" w:cstheme="minorBidi"/>
            <w:bCs w:val="0"/>
            <w:caps w:val="0"/>
            <w:sz w:val="22"/>
            <w:szCs w:val="22"/>
          </w:rPr>
          <w:tab/>
        </w:r>
        <w:r w:rsidRPr="002452C9">
          <w:rPr>
            <w:rStyle w:val="Hyperlink"/>
          </w:rPr>
          <w:t>PURPOSE</w:t>
        </w:r>
        <w:r>
          <w:rPr>
            <w:webHidden/>
          </w:rPr>
          <w:tab/>
        </w:r>
        <w:r>
          <w:rPr>
            <w:webHidden/>
          </w:rPr>
          <w:fldChar w:fldCharType="begin"/>
        </w:r>
        <w:r>
          <w:rPr>
            <w:webHidden/>
          </w:rPr>
          <w:instrText xml:space="preserve"> PAGEREF _Toc120115156 \h </w:instrText>
        </w:r>
        <w:r>
          <w:rPr>
            <w:webHidden/>
          </w:rPr>
          <w:fldChar w:fldCharType="separate"/>
        </w:r>
        <w:r>
          <w:rPr>
            <w:webHidden/>
          </w:rPr>
          <w:t>2</w:t>
        </w:r>
        <w:r>
          <w:rPr>
            <w:webHidden/>
          </w:rPr>
          <w:fldChar w:fldCharType="end"/>
        </w:r>
      </w:hyperlink>
    </w:p>
    <w:p w:rsidR="00FD16BA" w14:paraId="7F783051" w14:textId="52C903D3">
      <w:pPr>
        <w:pStyle w:val="TOC1"/>
        <w:rPr>
          <w:rFonts w:asciiTheme="minorHAnsi" w:eastAsiaTheme="minorEastAsia" w:hAnsiTheme="minorHAnsi" w:cstheme="minorBidi"/>
          <w:bCs w:val="0"/>
          <w:caps w:val="0"/>
          <w:sz w:val="22"/>
          <w:szCs w:val="22"/>
        </w:rPr>
      </w:pPr>
      <w:hyperlink w:anchor="_Toc120115157" w:history="1">
        <w:r w:rsidRPr="002452C9">
          <w:rPr>
            <w:rStyle w:val="Hyperlink"/>
          </w:rPr>
          <w:t>III.</w:t>
        </w:r>
        <w:r>
          <w:rPr>
            <w:rFonts w:asciiTheme="minorHAnsi" w:eastAsiaTheme="minorEastAsia" w:hAnsiTheme="minorHAnsi" w:cstheme="minorBidi"/>
            <w:bCs w:val="0"/>
            <w:caps w:val="0"/>
            <w:sz w:val="22"/>
            <w:szCs w:val="22"/>
          </w:rPr>
          <w:tab/>
        </w:r>
        <w:r w:rsidRPr="002452C9">
          <w:rPr>
            <w:rStyle w:val="Hyperlink"/>
          </w:rPr>
          <w:t>The ODOD, ELECTRIC UTILITIES AND INDUSTRIAL settlement fails THE THREE-PRONG TEST THAT THE PUCO USES FOR EVALUATING SETTLEMENTS.</w:t>
        </w:r>
        <w:r>
          <w:rPr>
            <w:webHidden/>
          </w:rPr>
          <w:tab/>
        </w:r>
        <w:r>
          <w:rPr>
            <w:webHidden/>
          </w:rPr>
          <w:fldChar w:fldCharType="begin"/>
        </w:r>
        <w:r>
          <w:rPr>
            <w:webHidden/>
          </w:rPr>
          <w:instrText xml:space="preserve"> PAGEREF _Toc120115157 \h </w:instrText>
        </w:r>
        <w:r>
          <w:rPr>
            <w:webHidden/>
          </w:rPr>
          <w:fldChar w:fldCharType="separate"/>
        </w:r>
        <w:r>
          <w:rPr>
            <w:webHidden/>
          </w:rPr>
          <w:t>4</w:t>
        </w:r>
        <w:r>
          <w:rPr>
            <w:webHidden/>
          </w:rPr>
          <w:fldChar w:fldCharType="end"/>
        </w:r>
      </w:hyperlink>
    </w:p>
    <w:p w:rsidR="00FD16BA" w14:paraId="40E28E4F" w14:textId="40D592E6">
      <w:pPr>
        <w:pStyle w:val="TOC1"/>
        <w:rPr>
          <w:rFonts w:asciiTheme="minorHAnsi" w:eastAsiaTheme="minorEastAsia" w:hAnsiTheme="minorHAnsi" w:cstheme="minorBidi"/>
          <w:bCs w:val="0"/>
          <w:caps w:val="0"/>
          <w:sz w:val="22"/>
          <w:szCs w:val="22"/>
        </w:rPr>
      </w:pPr>
      <w:hyperlink w:anchor="_Toc120115158" w:history="1">
        <w:r w:rsidRPr="002452C9">
          <w:rPr>
            <w:rStyle w:val="Hyperlink"/>
          </w:rPr>
          <w:t>Iv.</w:t>
        </w:r>
        <w:r>
          <w:rPr>
            <w:rFonts w:asciiTheme="minorHAnsi" w:eastAsiaTheme="minorEastAsia" w:hAnsiTheme="minorHAnsi" w:cstheme="minorBidi"/>
            <w:bCs w:val="0"/>
            <w:caps w:val="0"/>
            <w:sz w:val="22"/>
            <w:szCs w:val="22"/>
          </w:rPr>
          <w:tab/>
        </w:r>
        <w:r w:rsidRPr="002452C9">
          <w:rPr>
            <w:rStyle w:val="Hyperlink"/>
          </w:rPr>
          <w:t>CONCLUSION</w:t>
        </w:r>
        <w:r>
          <w:rPr>
            <w:webHidden/>
          </w:rPr>
          <w:tab/>
        </w:r>
        <w:r>
          <w:rPr>
            <w:webHidden/>
          </w:rPr>
          <w:fldChar w:fldCharType="begin"/>
        </w:r>
        <w:r>
          <w:rPr>
            <w:webHidden/>
          </w:rPr>
          <w:instrText xml:space="preserve"> PAGEREF _Toc120115158 \h </w:instrText>
        </w:r>
        <w:r>
          <w:rPr>
            <w:webHidden/>
          </w:rPr>
          <w:fldChar w:fldCharType="separate"/>
        </w:r>
        <w:r>
          <w:rPr>
            <w:webHidden/>
          </w:rPr>
          <w:t>10</w:t>
        </w:r>
        <w:r>
          <w:rPr>
            <w:webHidden/>
          </w:rPr>
          <w:fldChar w:fldCharType="end"/>
        </w:r>
      </w:hyperlink>
    </w:p>
    <w:p w:rsidR="00B125CF" w:rsidRPr="00FB05EA" w:rsidP="00E26EA9" w14:paraId="43DE547E" w14:textId="4E7A4257">
      <w:pPr>
        <w:suppressLineNumbers/>
        <w:rPr>
          <w:b/>
          <w:caps/>
          <w:noProof/>
        </w:rPr>
      </w:pPr>
      <w:r w:rsidRPr="00FB05EA">
        <w:rPr>
          <w:bCs/>
          <w:caps/>
          <w:noProof/>
        </w:rPr>
        <w:fldChar w:fldCharType="end"/>
      </w:r>
    </w:p>
    <w:p w:rsidR="00B125CF" w:rsidRPr="00FB05EA" w:rsidP="00E26EA9" w14:paraId="443524E4" w14:textId="77777777">
      <w:pPr>
        <w:suppressLineNumbers/>
      </w:pPr>
    </w:p>
    <w:p w:rsidR="003359D5" w:rsidRPr="00FB05EA" w:rsidP="00E26EA9" w14:paraId="75526FEC" w14:textId="77777777">
      <w:pPr>
        <w:pStyle w:val="TOC1"/>
      </w:pPr>
    </w:p>
    <w:p w:rsidR="00C766BB" w:rsidRPr="00FB05EA" w:rsidP="00FF5A20" w14:paraId="6C9E4F8A" w14:textId="6CD80842">
      <w:pPr>
        <w:suppressLineNumbers/>
        <w:tabs>
          <w:tab w:val="left" w:pos="2160"/>
          <w:tab w:val="left" w:leader="dot" w:pos="8640"/>
        </w:tabs>
        <w:spacing w:line="480" w:lineRule="auto"/>
      </w:pPr>
      <w:bookmarkStart w:id="0" w:name="_Toc317859570"/>
      <w:bookmarkStart w:id="1" w:name="_Toc386462073"/>
      <w:bookmarkStart w:id="2" w:name="_Toc398624429"/>
      <w:bookmarkStart w:id="3" w:name="_Toc407798625"/>
    </w:p>
    <w:p w:rsidR="003359D5" w:rsidRPr="00FB05EA" w:rsidP="00FF5A20" w14:paraId="35B99E0B" w14:textId="77777777">
      <w:pPr>
        <w:suppressLineNumbers/>
        <w:tabs>
          <w:tab w:val="left" w:pos="2160"/>
          <w:tab w:val="left" w:leader="dot" w:pos="8640"/>
        </w:tabs>
        <w:spacing w:line="480" w:lineRule="auto"/>
      </w:pPr>
    </w:p>
    <w:p w:rsidR="00C766BB" w:rsidRPr="00FB05EA" w:rsidP="00FF5A20" w14:paraId="3BBCB9D6" w14:textId="0002BC32">
      <w:pPr>
        <w:suppressLineNumbers/>
        <w:tabs>
          <w:tab w:val="left" w:pos="2160"/>
          <w:tab w:val="left" w:leader="dot" w:pos="8640"/>
        </w:tabs>
        <w:spacing w:line="480" w:lineRule="auto"/>
      </w:pPr>
    </w:p>
    <w:p w:rsidR="00C766BB" w:rsidRPr="00FB05EA" w:rsidP="00FF5A20" w14:paraId="03FA79E6" w14:textId="176661C6">
      <w:pPr>
        <w:suppressLineNumbers/>
        <w:tabs>
          <w:tab w:val="left" w:pos="2160"/>
          <w:tab w:val="left" w:leader="dot" w:pos="8640"/>
        </w:tabs>
        <w:spacing w:line="480" w:lineRule="auto"/>
      </w:pPr>
    </w:p>
    <w:p w:rsidR="00C766BB" w:rsidRPr="00FB05EA" w:rsidP="00FF5A20" w14:paraId="4DC1B68E" w14:textId="7DB4E972">
      <w:pPr>
        <w:suppressLineNumbers/>
        <w:tabs>
          <w:tab w:val="left" w:pos="2160"/>
          <w:tab w:val="left" w:leader="dot" w:pos="8640"/>
        </w:tabs>
        <w:spacing w:line="480" w:lineRule="auto"/>
      </w:pPr>
    </w:p>
    <w:p w:rsidR="00C766BB" w:rsidRPr="00FB05EA" w:rsidP="00FF5A20" w14:paraId="206CB5E6" w14:textId="781C4CE4">
      <w:pPr>
        <w:suppressLineNumbers/>
        <w:tabs>
          <w:tab w:val="left" w:pos="2160"/>
          <w:tab w:val="left" w:leader="dot" w:pos="8640"/>
        </w:tabs>
        <w:spacing w:line="480" w:lineRule="auto"/>
      </w:pPr>
    </w:p>
    <w:p w:rsidR="00C85872" w:rsidRPr="00FB05EA" w:rsidP="00C766BB" w14:paraId="019D6870" w14:textId="77777777">
      <w:pPr>
        <w:tabs>
          <w:tab w:val="left" w:pos="2160"/>
          <w:tab w:val="left" w:leader="dot" w:pos="8640"/>
        </w:tabs>
        <w:spacing w:line="480" w:lineRule="auto"/>
        <w:sectPr w:rsidSect="000A26D5">
          <w:headerReference w:type="default" r:id="rId9"/>
          <w:footerReference w:type="default" r:id="rId10"/>
          <w:pgSz w:w="12240" w:h="15840" w:code="1"/>
          <w:pgMar w:top="1440" w:right="1800" w:bottom="1440" w:left="1800" w:header="720" w:footer="720" w:gutter="0"/>
          <w:lnNumType w:countBy="1"/>
          <w:pgNumType w:fmt="lowerRoman" w:start="1"/>
          <w:cols w:space="720"/>
          <w:docGrid w:linePitch="326"/>
        </w:sectPr>
      </w:pPr>
    </w:p>
    <w:p w:rsidR="00B125CF" w:rsidRPr="00FB05EA" w:rsidP="00B433E0" w14:paraId="0524CBE0" w14:textId="77777777">
      <w:pPr>
        <w:pStyle w:val="Heading1"/>
        <w:rPr>
          <w:rStyle w:val="IntenseReference"/>
          <w:b/>
          <w:bCs/>
          <w:smallCaps w:val="0"/>
          <w:color w:val="000000" w:themeColor="text1"/>
          <w:spacing w:val="0"/>
        </w:rPr>
      </w:pPr>
      <w:bookmarkStart w:id="4" w:name="_Toc480889290"/>
      <w:bookmarkStart w:id="5" w:name="_Toc120115155"/>
      <w:r w:rsidRPr="00FB05EA">
        <w:rPr>
          <w:rStyle w:val="IntenseReference"/>
          <w:b/>
          <w:bCs/>
          <w:smallCaps w:val="0"/>
          <w:color w:val="000000" w:themeColor="text1"/>
          <w:spacing w:val="0"/>
        </w:rPr>
        <w:t>I.</w:t>
      </w:r>
      <w:r w:rsidRPr="00FB05EA">
        <w:rPr>
          <w:rStyle w:val="IntenseReference"/>
          <w:b/>
          <w:bCs/>
          <w:smallCaps w:val="0"/>
          <w:color w:val="000000" w:themeColor="text1"/>
          <w:spacing w:val="0"/>
        </w:rPr>
        <w:tab/>
        <w:t>INTRODUCTION</w:t>
      </w:r>
      <w:bookmarkEnd w:id="0"/>
      <w:bookmarkEnd w:id="1"/>
      <w:bookmarkEnd w:id="2"/>
      <w:bookmarkEnd w:id="3"/>
      <w:bookmarkEnd w:id="4"/>
      <w:bookmarkEnd w:id="5"/>
    </w:p>
    <w:p w:rsidR="00B125CF" w:rsidRPr="00FB05EA" w14:paraId="6FAE10D0" w14:textId="77777777">
      <w:pPr>
        <w:spacing w:line="480" w:lineRule="auto"/>
      </w:pPr>
    </w:p>
    <w:p w:rsidR="00B125CF" w:rsidRPr="00FB05EA" w14:paraId="03C7DD7F" w14:textId="77777777">
      <w:pPr>
        <w:tabs>
          <w:tab w:val="left" w:pos="720"/>
          <w:tab w:val="left" w:pos="1440"/>
          <w:tab w:val="left" w:leader="dot" w:pos="8640"/>
        </w:tabs>
        <w:spacing w:line="480" w:lineRule="auto"/>
        <w:rPr>
          <w:b/>
          <w:bCs/>
          <w:i/>
          <w:iCs/>
        </w:rPr>
      </w:pPr>
      <w:r w:rsidRPr="00FB05EA">
        <w:rPr>
          <w:b/>
          <w:bCs/>
          <w:i/>
          <w:iCs/>
        </w:rPr>
        <w:t>Q1.</w:t>
      </w:r>
      <w:r w:rsidRPr="00FB05EA">
        <w:rPr>
          <w:b/>
          <w:bCs/>
          <w:i/>
          <w:iCs/>
        </w:rPr>
        <w:tab/>
        <w:t>PLEASE STATE YOUR NAME, BUSINESS ADDRESS, AND POSITION.</w:t>
      </w:r>
    </w:p>
    <w:p w:rsidR="00B125CF" w:rsidRPr="00FB05EA" w14:paraId="25891433" w14:textId="77777777">
      <w:pPr>
        <w:tabs>
          <w:tab w:val="left" w:pos="720"/>
          <w:tab w:val="left" w:pos="1440"/>
          <w:tab w:val="left" w:leader="dot" w:pos="8640"/>
        </w:tabs>
        <w:spacing w:line="480" w:lineRule="auto"/>
        <w:ind w:left="720" w:hanging="720"/>
      </w:pPr>
      <w:r w:rsidRPr="00FB05EA">
        <w:rPr>
          <w:b/>
          <w:bCs/>
          <w:i/>
          <w:iCs/>
        </w:rPr>
        <w:t>A1</w:t>
      </w:r>
      <w:r w:rsidRPr="00FB05EA">
        <w:rPr>
          <w:b/>
          <w:bCs/>
          <w:iCs/>
        </w:rPr>
        <w:t>.</w:t>
      </w:r>
      <w:r w:rsidRPr="00FB05EA">
        <w:tab/>
        <w:t>My name is James D. Williams. My business address is 65 E. State Street, Suite 700, Columbus Ohio 43215. I am employed by Sterling Staffing Services (which serves state government among others) and work on behalf of the Office of the Ohio Consumers’ Counsel (“OCC”) as a Senior Utility Consumer Policy Analyst.</w:t>
      </w:r>
    </w:p>
    <w:p w:rsidR="00B125CF" w:rsidRPr="00FB05EA" w14:paraId="16D8B1CF" w14:textId="77777777">
      <w:pPr>
        <w:tabs>
          <w:tab w:val="left" w:pos="720"/>
          <w:tab w:val="left" w:pos="1440"/>
          <w:tab w:val="left" w:leader="dot" w:pos="8640"/>
        </w:tabs>
        <w:spacing w:line="480" w:lineRule="auto"/>
      </w:pPr>
    </w:p>
    <w:p w:rsidR="00B125CF" w:rsidRPr="00FB05EA" w14:paraId="122A1E68" w14:textId="58AA55F4">
      <w:pPr>
        <w:tabs>
          <w:tab w:val="left" w:pos="720"/>
          <w:tab w:val="left" w:pos="1440"/>
          <w:tab w:val="left" w:leader="dot" w:pos="8640"/>
        </w:tabs>
        <w:spacing w:line="480" w:lineRule="auto"/>
        <w:ind w:left="720" w:hanging="720"/>
        <w:rPr>
          <w:b/>
          <w:bCs/>
          <w:i/>
          <w:iCs/>
        </w:rPr>
      </w:pPr>
      <w:r w:rsidRPr="00FB05EA">
        <w:rPr>
          <w:b/>
          <w:bCs/>
          <w:i/>
          <w:iCs/>
        </w:rPr>
        <w:t>Q2.</w:t>
      </w:r>
      <w:r w:rsidRPr="00FB05EA">
        <w:rPr>
          <w:b/>
          <w:bCs/>
          <w:i/>
          <w:iCs/>
        </w:rPr>
        <w:tab/>
      </w:r>
      <w:r w:rsidRPr="00FB05EA" w:rsidR="00C766BB">
        <w:rPr>
          <w:b/>
          <w:bCs/>
          <w:i/>
          <w:iCs/>
        </w:rPr>
        <w:t xml:space="preserve">HAVE YOU </w:t>
      </w:r>
      <w:r w:rsidRPr="00FB05EA" w:rsidR="001B57B8">
        <w:rPr>
          <w:b/>
          <w:bCs/>
          <w:i/>
          <w:iCs/>
        </w:rPr>
        <w:t xml:space="preserve">PREVIOUSLY </w:t>
      </w:r>
      <w:r w:rsidRPr="00FB05EA" w:rsidR="00C766BB">
        <w:rPr>
          <w:b/>
          <w:bCs/>
          <w:i/>
          <w:iCs/>
        </w:rPr>
        <w:t>TESTIFIED IN THIS PROCEEDING?</w:t>
      </w:r>
    </w:p>
    <w:p w:rsidR="00016D83" w:rsidRPr="00FB05EA" w:rsidP="00016D83" w14:paraId="28EA21C7" w14:textId="7D7FDEB3">
      <w:pPr>
        <w:tabs>
          <w:tab w:val="left" w:pos="720"/>
          <w:tab w:val="left" w:pos="1440"/>
          <w:tab w:val="left" w:leader="dot" w:pos="8640"/>
        </w:tabs>
        <w:spacing w:line="480" w:lineRule="auto"/>
        <w:ind w:left="720" w:hanging="720"/>
      </w:pPr>
      <w:r w:rsidRPr="00FB05EA">
        <w:rPr>
          <w:b/>
          <w:bCs/>
          <w:i/>
          <w:iCs/>
        </w:rPr>
        <w:t>A2.</w:t>
      </w:r>
      <w:r w:rsidRPr="00FB05EA">
        <w:tab/>
      </w:r>
      <w:r w:rsidRPr="00FB05EA" w:rsidR="00C766BB">
        <w:t xml:space="preserve">Yes. </w:t>
      </w:r>
      <w:r w:rsidRPr="00FB05EA">
        <w:t xml:space="preserve">I </w:t>
      </w:r>
      <w:r w:rsidRPr="00FB05EA" w:rsidR="00472C8D">
        <w:t xml:space="preserve">testified in a </w:t>
      </w:r>
      <w:r w:rsidRPr="00FB05EA" w:rsidR="00552D14">
        <w:t xml:space="preserve">hearing that was conducted on </w:t>
      </w:r>
      <w:r w:rsidRPr="00FB05EA" w:rsidR="00472C8D">
        <w:t xml:space="preserve">August 30, 2023 to </w:t>
      </w:r>
      <w:r w:rsidRPr="00FB05EA" w:rsidR="00C766BB">
        <w:t>oppos</w:t>
      </w:r>
      <w:r w:rsidRPr="00FB05EA" w:rsidR="00472C8D">
        <w:t xml:space="preserve">e </w:t>
      </w:r>
      <w:r w:rsidRPr="00FB05EA" w:rsidR="00C766BB">
        <w:t xml:space="preserve">a Stipulation and Recommendation </w:t>
      </w:r>
      <w:r w:rsidRPr="00FB05EA" w:rsidR="001B57B8">
        <w:t xml:space="preserve">(“Settlement”) </w:t>
      </w:r>
      <w:r w:rsidRPr="00FB05EA" w:rsidR="00C766BB">
        <w:t xml:space="preserve">that was </w:t>
      </w:r>
      <w:r w:rsidRPr="00FB05EA" w:rsidR="001B57B8">
        <w:t xml:space="preserve">reached between the Ohio Department of Development (“ODOD”), AEP Ohio, Duke Energy Ohio, AES Ohio, Industrial Energy Users (“IEU”) – Ohio, and Ohio Energy Group (“OEG”). The Settlement </w:t>
      </w:r>
      <w:r w:rsidRPr="00FB05EA" w:rsidR="00552D14">
        <w:t xml:space="preserve">that was </w:t>
      </w:r>
      <w:r w:rsidRPr="00FB05EA" w:rsidR="001B57B8">
        <w:t>filed on August 5, 2022 pertained to the Notice of Intent (“NOI”) phase of the U</w:t>
      </w:r>
      <w:r w:rsidRPr="00FB05EA" w:rsidR="00472C8D">
        <w:t xml:space="preserve">niversal </w:t>
      </w:r>
      <w:r w:rsidRPr="00FB05EA" w:rsidR="001B57B8">
        <w:t>S</w:t>
      </w:r>
      <w:r w:rsidRPr="00FB05EA" w:rsidR="00472C8D">
        <w:t xml:space="preserve">ervice </w:t>
      </w:r>
      <w:r w:rsidRPr="00FB05EA" w:rsidR="001B57B8">
        <w:t>F</w:t>
      </w:r>
      <w:r w:rsidRPr="00FB05EA" w:rsidR="00472C8D">
        <w:t>und (“USF”)</w:t>
      </w:r>
      <w:r w:rsidRPr="00FB05EA" w:rsidR="001B57B8">
        <w:t>.</w:t>
      </w:r>
      <w:r>
        <w:rPr>
          <w:rStyle w:val="FootnoteReference"/>
        </w:rPr>
        <w:footnoteReference w:id="2"/>
      </w:r>
      <w:r w:rsidRPr="00FB05EA" w:rsidR="007A2F43">
        <w:t xml:space="preserve"> </w:t>
      </w:r>
      <w:r w:rsidRPr="00FB05EA" w:rsidR="00297B4D">
        <w:t xml:space="preserve">The NOI phase of the USF proceeding </w:t>
      </w:r>
      <w:r w:rsidRPr="00FB05EA" w:rsidR="009B4371">
        <w:t>sought</w:t>
      </w:r>
      <w:r w:rsidRPr="00FB05EA" w:rsidR="00297B4D">
        <w:t xml:space="preserve"> PUCO approval for the specific methodology that will be used by ODOD to calculate the USF rider rates that will be charged to customers by each of the electric distribution utilities (“EDUs”). </w:t>
      </w:r>
      <w:r w:rsidRPr="00FB05EA">
        <w:br w:type="page"/>
      </w:r>
    </w:p>
    <w:p w:rsidR="00B125CF" w:rsidRPr="00FB05EA" w:rsidP="00FE20BE" w14:paraId="4BE5C4B9" w14:textId="7010C7D4">
      <w:pPr>
        <w:pStyle w:val="Heading1"/>
      </w:pPr>
      <w:bookmarkStart w:id="6" w:name="_Toc317859571"/>
      <w:bookmarkStart w:id="7" w:name="_Toc386462074"/>
      <w:bookmarkStart w:id="8" w:name="_Toc398624430"/>
      <w:bookmarkStart w:id="9" w:name="_Toc407798626"/>
      <w:bookmarkStart w:id="10" w:name="_Toc480889291"/>
      <w:bookmarkStart w:id="11" w:name="_Toc120115156"/>
      <w:r w:rsidRPr="00FB05EA">
        <w:t>II.</w:t>
      </w:r>
      <w:r w:rsidRPr="00FB05EA">
        <w:tab/>
        <w:t>PURPOSE</w:t>
      </w:r>
      <w:bookmarkEnd w:id="6"/>
      <w:bookmarkEnd w:id="7"/>
      <w:bookmarkEnd w:id="8"/>
      <w:bookmarkEnd w:id="9"/>
      <w:bookmarkEnd w:id="10"/>
      <w:bookmarkEnd w:id="11"/>
    </w:p>
    <w:p w:rsidR="00B125CF" w:rsidRPr="00FB05EA" w14:paraId="48B8BD28" w14:textId="77777777">
      <w:pPr>
        <w:spacing w:line="480" w:lineRule="auto"/>
      </w:pPr>
    </w:p>
    <w:p w:rsidR="00B125CF" w:rsidRPr="00FB05EA" w:rsidP="0074541A" w14:paraId="723D7A19" w14:textId="08B4C553">
      <w:pPr>
        <w:tabs>
          <w:tab w:val="left" w:pos="720"/>
          <w:tab w:val="left" w:pos="1440"/>
          <w:tab w:val="left" w:leader="dot" w:pos="8640"/>
        </w:tabs>
        <w:ind w:left="720" w:hanging="720"/>
        <w:rPr>
          <w:b/>
          <w:bCs/>
          <w:i/>
          <w:iCs/>
        </w:rPr>
      </w:pPr>
      <w:r w:rsidRPr="00FB05EA">
        <w:rPr>
          <w:b/>
          <w:bCs/>
          <w:i/>
          <w:iCs/>
        </w:rPr>
        <w:t>Q</w:t>
      </w:r>
      <w:r w:rsidRPr="00FB05EA" w:rsidR="00552D14">
        <w:rPr>
          <w:b/>
          <w:bCs/>
          <w:i/>
          <w:iCs/>
        </w:rPr>
        <w:t>3</w:t>
      </w:r>
      <w:r w:rsidRPr="00FB05EA">
        <w:rPr>
          <w:b/>
          <w:bCs/>
          <w:iCs/>
        </w:rPr>
        <w:t>.</w:t>
      </w:r>
      <w:r w:rsidRPr="00FB05EA">
        <w:rPr>
          <w:b/>
          <w:bCs/>
          <w:i/>
          <w:iCs/>
        </w:rPr>
        <w:tab/>
        <w:t xml:space="preserve">WHAT IS THE PURPOSE OF YOUR </w:t>
      </w:r>
      <w:r w:rsidRPr="00FB05EA" w:rsidR="00552D14">
        <w:rPr>
          <w:b/>
          <w:bCs/>
          <w:i/>
          <w:iCs/>
        </w:rPr>
        <w:t xml:space="preserve">CURRENT </w:t>
      </w:r>
      <w:r w:rsidRPr="00FB05EA">
        <w:rPr>
          <w:b/>
          <w:bCs/>
          <w:i/>
          <w:iCs/>
        </w:rPr>
        <w:t>TESTIMONY IN THIS PROCEEDING?</w:t>
      </w:r>
    </w:p>
    <w:p w:rsidR="0074541A" w:rsidRPr="00FB05EA" w:rsidP="0074541A" w14:paraId="1A02BAB3" w14:textId="77777777">
      <w:pPr>
        <w:tabs>
          <w:tab w:val="left" w:pos="720"/>
          <w:tab w:val="left" w:pos="1440"/>
          <w:tab w:val="left" w:leader="dot" w:pos="8640"/>
        </w:tabs>
        <w:ind w:left="720" w:hanging="720"/>
        <w:rPr>
          <w:b/>
          <w:bCs/>
          <w:i/>
          <w:iCs/>
        </w:rPr>
      </w:pPr>
    </w:p>
    <w:p w:rsidR="00B125CF" w:rsidRPr="00FB05EA" w14:paraId="3B8217BB" w14:textId="5C92B548">
      <w:pPr>
        <w:spacing w:line="480" w:lineRule="auto"/>
        <w:ind w:left="720" w:hanging="720"/>
      </w:pPr>
      <w:r w:rsidRPr="00FB05EA">
        <w:rPr>
          <w:b/>
          <w:bCs/>
          <w:i/>
          <w:iCs/>
        </w:rPr>
        <w:t>A</w:t>
      </w:r>
      <w:r w:rsidRPr="00FB05EA" w:rsidR="00552D14">
        <w:rPr>
          <w:b/>
          <w:bCs/>
          <w:i/>
          <w:iCs/>
        </w:rPr>
        <w:t>3</w:t>
      </w:r>
      <w:r w:rsidRPr="00FB05EA">
        <w:rPr>
          <w:b/>
          <w:bCs/>
          <w:i/>
          <w:iCs/>
        </w:rPr>
        <w:t>.</w:t>
      </w:r>
      <w:r w:rsidRPr="00FB05EA">
        <w:rPr>
          <w:i/>
          <w:iCs/>
        </w:rPr>
        <w:tab/>
      </w:r>
      <w:r w:rsidRPr="00FB05EA">
        <w:t>The purpose</w:t>
      </w:r>
      <w:r w:rsidRPr="00FB05EA">
        <w:rPr>
          <w:iCs/>
        </w:rPr>
        <w:t xml:space="preserve"> of </w:t>
      </w:r>
      <w:r w:rsidRPr="00FB05EA" w:rsidR="00622DF1">
        <w:rPr>
          <w:iCs/>
        </w:rPr>
        <w:t xml:space="preserve">this </w:t>
      </w:r>
      <w:r w:rsidRPr="00FB05EA">
        <w:rPr>
          <w:iCs/>
        </w:rPr>
        <w:t xml:space="preserve">testimony is to </w:t>
      </w:r>
      <w:r w:rsidRPr="00FB05EA" w:rsidR="00B77304">
        <w:rPr>
          <w:iCs/>
        </w:rPr>
        <w:t xml:space="preserve">recommend the Joint Stipulation and Recommendation (“Settlement”) filed on November 23, 2022 should be rejected by the PUCO for failing the </w:t>
      </w:r>
      <w:r w:rsidRPr="00FB05EA" w:rsidR="00C93214">
        <w:rPr>
          <w:iCs/>
        </w:rPr>
        <w:t xml:space="preserve">PUCO’s </w:t>
      </w:r>
      <w:r w:rsidRPr="00FB05EA" w:rsidR="00B77304">
        <w:rPr>
          <w:iCs/>
        </w:rPr>
        <w:t xml:space="preserve">three-prong test. I will also </w:t>
      </w:r>
      <w:r w:rsidRPr="00FB05EA">
        <w:rPr>
          <w:iCs/>
        </w:rPr>
        <w:t>address c</w:t>
      </w:r>
      <w:r w:rsidRPr="00FB05EA">
        <w:t xml:space="preserve">ertain issues related to the </w:t>
      </w:r>
      <w:r w:rsidRPr="00FB05EA" w:rsidR="00297B4D">
        <w:t xml:space="preserve">current </w:t>
      </w:r>
      <w:r w:rsidRPr="00FB05EA">
        <w:t xml:space="preserve">Settlement reached between the Ohio Department of Development (“ODOD”), AEP Ohio, Duke Energy Ohio, AES Ohio, Industrial Energy Users (“IEU”)-Ohio, and Ohio Energy Group (“OEG”). </w:t>
      </w:r>
      <w:r w:rsidRPr="00FB05EA" w:rsidR="00472C8D">
        <w:t>T</w:t>
      </w:r>
      <w:r w:rsidRPr="00FB05EA">
        <w:t xml:space="preserve">he </w:t>
      </w:r>
      <w:r w:rsidRPr="00FB05EA" w:rsidR="00472C8D">
        <w:t xml:space="preserve">current </w:t>
      </w:r>
      <w:r w:rsidRPr="00FB05EA">
        <w:t xml:space="preserve">Settlement was filed on </w:t>
      </w:r>
      <w:r w:rsidRPr="00FB05EA" w:rsidR="001C34DD">
        <w:t>November 23, 2022 and</w:t>
      </w:r>
      <w:r w:rsidRPr="00FB05EA">
        <w:t xml:space="preserve"> </w:t>
      </w:r>
      <w:r w:rsidRPr="00FB05EA" w:rsidR="00297B4D">
        <w:t xml:space="preserve">recommends that the PUCO approve the </w:t>
      </w:r>
      <w:r w:rsidRPr="00FB05EA" w:rsidR="00395C5E">
        <w:t xml:space="preserve">USF </w:t>
      </w:r>
      <w:r w:rsidRPr="00FB05EA" w:rsidR="00297B4D">
        <w:t xml:space="preserve">rider </w:t>
      </w:r>
      <w:r w:rsidRPr="00FB05EA" w:rsidR="00472C8D">
        <w:t xml:space="preserve">rates that will be charged to </w:t>
      </w:r>
      <w:r w:rsidRPr="00FB05EA" w:rsidR="00395C5E">
        <w:t xml:space="preserve">customers </w:t>
      </w:r>
      <w:r w:rsidRPr="00FB05EA" w:rsidR="00472C8D">
        <w:t>of each of the</w:t>
      </w:r>
      <w:r w:rsidRPr="00FB05EA" w:rsidR="00297B4D">
        <w:t xml:space="preserve"> e</w:t>
      </w:r>
      <w:r w:rsidRPr="00FB05EA" w:rsidR="00472C8D">
        <w:t xml:space="preserve">lectric </w:t>
      </w:r>
      <w:r w:rsidRPr="00FB05EA" w:rsidR="00297B4D">
        <w:t>d</w:t>
      </w:r>
      <w:r w:rsidRPr="00FB05EA" w:rsidR="00472C8D">
        <w:t xml:space="preserve">istribution </w:t>
      </w:r>
      <w:r w:rsidRPr="00FB05EA" w:rsidR="00297B4D">
        <w:t>u</w:t>
      </w:r>
      <w:r w:rsidRPr="00FB05EA" w:rsidR="00472C8D">
        <w:t xml:space="preserve">tilities </w:t>
      </w:r>
      <w:r w:rsidRPr="00FB05EA" w:rsidR="00395C5E">
        <w:t>(“EDUs”) in 2023.</w:t>
      </w:r>
      <w:r>
        <w:rPr>
          <w:rStyle w:val="FootnoteReference"/>
        </w:rPr>
        <w:footnoteReference w:id="3"/>
      </w:r>
      <w:r w:rsidRPr="00FB05EA">
        <w:t xml:space="preserve"> </w:t>
      </w:r>
    </w:p>
    <w:p w:rsidR="00B125CF" w:rsidRPr="00FB05EA" w14:paraId="08D52426" w14:textId="77777777">
      <w:pPr>
        <w:spacing w:line="480" w:lineRule="auto"/>
        <w:ind w:left="720" w:hanging="720"/>
      </w:pPr>
    </w:p>
    <w:p w:rsidR="00357CCC" w:rsidRPr="00FB05EA" w:rsidP="00357CCC" w14:paraId="0E785934" w14:textId="179E88DA">
      <w:pPr>
        <w:spacing w:line="480" w:lineRule="auto"/>
        <w:ind w:left="720"/>
      </w:pPr>
      <w:r w:rsidRPr="00FB05EA">
        <w:t xml:space="preserve">Specifically, </w:t>
      </w:r>
      <w:r w:rsidRPr="00FB05EA" w:rsidR="00622DF1">
        <w:t xml:space="preserve">in my previous testimony I explained how the unlawful practice of charging PIPP customers electricity rates that exceeded the standard service offer (“SSO”) rates </w:t>
      </w:r>
      <w:r w:rsidRPr="00FB05EA" w:rsidR="00D57321">
        <w:t xml:space="preserve">by </w:t>
      </w:r>
      <w:r w:rsidRPr="00FB05EA" w:rsidR="00622DF1">
        <w:t xml:space="preserve">each of the EDUs would result in significant increases in the USF rider rates. </w:t>
      </w:r>
      <w:r w:rsidRPr="00FB05EA" w:rsidR="00D57321">
        <w:t xml:space="preserve">But </w:t>
      </w:r>
      <w:r w:rsidRPr="00FB05EA" w:rsidR="009B4371">
        <w:t>the testimony</w:t>
      </w:r>
      <w:r w:rsidRPr="00FB05EA" w:rsidR="00B32FD4">
        <w:t xml:space="preserve"> explained that </w:t>
      </w:r>
      <w:r w:rsidRPr="00FB05EA" w:rsidR="00D57321">
        <w:t>the full magnitude of the actual increases on the USF would not be known until ODOD filed its application to increase USF rates in October 2022.</w:t>
      </w:r>
      <w:r>
        <w:rPr>
          <w:rStyle w:val="FootnoteReference"/>
        </w:rPr>
        <w:footnoteReference w:id="4"/>
      </w:r>
    </w:p>
    <w:p w:rsidR="00122558" w:rsidRPr="00FB05EA" w:rsidP="00357CCC" w14:paraId="37F4C33A" w14:textId="77777777">
      <w:pPr>
        <w:spacing w:line="480" w:lineRule="auto"/>
        <w:ind w:left="720"/>
      </w:pPr>
    </w:p>
    <w:p w:rsidR="008B0314" w:rsidRPr="00FB05EA" w:rsidP="008B0314" w14:paraId="74081172" w14:textId="28052038">
      <w:pPr>
        <w:spacing w:line="480" w:lineRule="auto"/>
        <w:ind w:left="720"/>
      </w:pPr>
      <w:r w:rsidRPr="00FB05EA">
        <w:t>ODOD has now filed an application</w:t>
      </w:r>
      <w:r>
        <w:rPr>
          <w:rStyle w:val="FootnoteReference"/>
        </w:rPr>
        <w:footnoteReference w:id="5"/>
      </w:r>
      <w:r w:rsidRPr="00FB05EA">
        <w:t xml:space="preserve"> and an amended application</w:t>
      </w:r>
      <w:r>
        <w:rPr>
          <w:rStyle w:val="FootnoteReference"/>
        </w:rPr>
        <w:footnoteReference w:id="6"/>
      </w:r>
      <w:r w:rsidRPr="00FB05EA">
        <w:t xml:space="preserve"> and the impact on the USF is staggering. According to the </w:t>
      </w:r>
      <w:r w:rsidRPr="00FB05EA" w:rsidR="008036ED">
        <w:t xml:space="preserve">original </w:t>
      </w:r>
      <w:r w:rsidRPr="00FB05EA">
        <w:t xml:space="preserve">application, the 2023 </w:t>
      </w:r>
      <w:r w:rsidRPr="00FB05EA" w:rsidR="008036ED">
        <w:t xml:space="preserve">aggregated </w:t>
      </w:r>
      <w:r w:rsidRPr="00FB05EA">
        <w:t>USF revenue requirement is $3</w:t>
      </w:r>
      <w:r w:rsidRPr="00FB05EA" w:rsidR="008036ED">
        <w:t>30,654,685 compared to the 2022 aggregated USF revenue requirement of $187,258,690.</w:t>
      </w:r>
      <w:r>
        <w:rPr>
          <w:rStyle w:val="FootnoteReference"/>
        </w:rPr>
        <w:footnoteReference w:id="7"/>
      </w:r>
      <w:r w:rsidRPr="00FB05EA" w:rsidR="008036ED">
        <w:t xml:space="preserve"> The amended application increases the aggregated 2023 revenue requirement to $368,032,282.</w:t>
      </w:r>
      <w:r>
        <w:rPr>
          <w:rStyle w:val="FootnoteReference"/>
        </w:rPr>
        <w:footnoteReference w:id="8"/>
      </w:r>
      <w:r w:rsidRPr="00FB05EA" w:rsidR="008036ED">
        <w:t xml:space="preserve"> </w:t>
      </w:r>
      <w:r w:rsidRPr="00FB05EA" w:rsidR="00037636">
        <w:t xml:space="preserve">This is a 97% increase over the 2022 revenue requirement. </w:t>
      </w:r>
      <w:r w:rsidRPr="00FB05EA" w:rsidR="00483E39">
        <w:t xml:space="preserve">The approximate $37.4 million increase in the </w:t>
      </w:r>
      <w:r w:rsidRPr="00FB05EA" w:rsidR="00CC4757">
        <w:t xml:space="preserve">amended </w:t>
      </w:r>
      <w:r w:rsidRPr="00FB05EA" w:rsidR="00483E39">
        <w:t>revenue requirement is attributed to the use of actual data for September 2022 whereas September 2021 data was used in the original application.</w:t>
      </w:r>
      <w:r>
        <w:rPr>
          <w:rStyle w:val="FootnoteReference"/>
        </w:rPr>
        <w:footnoteReference w:id="9"/>
      </w:r>
      <w:r w:rsidRPr="00FB05EA" w:rsidR="00483E39">
        <w:t xml:space="preserve"> </w:t>
      </w:r>
      <w:r w:rsidRPr="00FB05EA" w:rsidR="00DD75E8">
        <w:t>Not surprisingly, a</w:t>
      </w:r>
      <w:r w:rsidRPr="00FB05EA" w:rsidR="00483E39">
        <w:t xml:space="preserve"> primary difference between the </w:t>
      </w:r>
      <w:r w:rsidRPr="00FB05EA" w:rsidR="00DD75E8">
        <w:t xml:space="preserve">September 2021 and September 2022 is that all of the EDUs are now charging PIPP customers rates that exceed the SSO rates as I explained in my </w:t>
      </w:r>
      <w:r w:rsidRPr="00FB05EA" w:rsidR="00F44648">
        <w:t>previous testimony.</w:t>
      </w:r>
      <w:r>
        <w:rPr>
          <w:rStyle w:val="FootnoteReference"/>
        </w:rPr>
        <w:footnoteReference w:id="10"/>
      </w:r>
      <w:r w:rsidRPr="00FB05EA" w:rsidR="00F44648">
        <w:t xml:space="preserve"> And in fact, the rates charged to PIPP customers on a kWh basis are over twice the SSO rate that is charged to non-PIPP customers.</w:t>
      </w:r>
      <w:r>
        <w:rPr>
          <w:rStyle w:val="FootnoteReference"/>
        </w:rPr>
        <w:footnoteReference w:id="11"/>
      </w:r>
      <w:r w:rsidRPr="00FB05EA">
        <w:br w:type="page"/>
      </w:r>
    </w:p>
    <w:p w:rsidR="00B125CF" w:rsidRPr="00FB05EA" w14:paraId="73D876A8" w14:textId="32641D9F">
      <w:pPr>
        <w:spacing w:line="480" w:lineRule="auto"/>
        <w:ind w:left="720"/>
      </w:pPr>
      <w:r w:rsidRPr="00FB05EA">
        <w:t>M</w:t>
      </w:r>
      <w:r w:rsidRPr="00FB05EA" w:rsidR="003359D5">
        <w:t xml:space="preserve">y understanding </w:t>
      </w:r>
      <w:r w:rsidRPr="00FB05EA">
        <w:t>(</w:t>
      </w:r>
      <w:r w:rsidRPr="00FB05EA" w:rsidR="00B46E74">
        <w:t>as explained in previous testimony</w:t>
      </w:r>
      <w:r w:rsidRPr="00FB05EA">
        <w:t>)</w:t>
      </w:r>
      <w:r w:rsidRPr="00FB05EA" w:rsidR="00B46E74">
        <w:t xml:space="preserve"> </w:t>
      </w:r>
      <w:r w:rsidRPr="00FB05EA">
        <w:t xml:space="preserve">is </w:t>
      </w:r>
      <w:r w:rsidRPr="00FB05EA" w:rsidR="003359D5">
        <w:t>that R.C. 4928.542(B) requires that any competitive procurement process to serve PIPP customers reduce the cost of PIPP relative to the standard service offer charges established through an electric security plan</w:t>
      </w:r>
      <w:r w:rsidRPr="00FB05EA">
        <w:t>. Moreover,</w:t>
      </w:r>
      <w:r w:rsidRPr="00FB05EA" w:rsidR="00B46E74">
        <w:t xml:space="preserve"> R.C. 4928.542(C) requires the competitive auction process to provide the best value for customers paying the USF</w:t>
      </w:r>
      <w:r w:rsidRPr="00FB05EA" w:rsidR="003359D5">
        <w:t>.</w:t>
      </w:r>
      <w:r w:rsidRPr="00FB05EA" w:rsidR="00B46E74">
        <w:t xml:space="preserve"> A $180,773,590 increase in the aggregate USF revenue requirement between 2022 and 2023 that is primarily attributed to </w:t>
      </w:r>
      <w:r w:rsidRPr="00FB05EA" w:rsidR="00C93214">
        <w:t>higher rates charged to PIPP consumers through</w:t>
      </w:r>
      <w:r w:rsidRPr="00FB05EA" w:rsidR="00CC4757">
        <w:t xml:space="preserve"> the </w:t>
      </w:r>
      <w:r w:rsidRPr="00FB05EA" w:rsidR="00C93214">
        <w:t xml:space="preserve">unlawful </w:t>
      </w:r>
      <w:r w:rsidRPr="00FB05EA" w:rsidR="00CC4757">
        <w:t xml:space="preserve">PIPP competitive auction process. </w:t>
      </w:r>
    </w:p>
    <w:p w:rsidR="00B125CF" w:rsidRPr="00FB05EA" w14:paraId="524CF55B" w14:textId="77777777">
      <w:pPr>
        <w:spacing w:line="480" w:lineRule="auto"/>
        <w:ind w:left="720"/>
        <w:rPr>
          <w:iCs/>
        </w:rPr>
      </w:pPr>
    </w:p>
    <w:p w:rsidR="00B125CF" w:rsidRPr="00FB05EA" w14:paraId="0FFA95E4" w14:textId="26FE8EEF">
      <w:pPr>
        <w:pStyle w:val="Heading1"/>
      </w:pPr>
      <w:bookmarkStart w:id="12" w:name="_Toc120115157"/>
      <w:r w:rsidRPr="00FB05EA">
        <w:t>I</w:t>
      </w:r>
      <w:r w:rsidRPr="00FB05EA" w:rsidR="0083327B">
        <w:t>II</w:t>
      </w:r>
      <w:r w:rsidRPr="00FB05EA">
        <w:t>.</w:t>
      </w:r>
      <w:r w:rsidRPr="00FB05EA">
        <w:tab/>
        <w:t>The ODOD, ELECTRIC UTILITIES AND INDUSTRIAL settlement fails THE THREE-PRONG TEST THAT THE PUCO USES FOR EVALUATING SETTLEMENTS.</w:t>
      </w:r>
      <w:bookmarkEnd w:id="12"/>
    </w:p>
    <w:p w:rsidR="00B125CF" w:rsidRPr="00FB05EA" w14:paraId="1B550959" w14:textId="77777777">
      <w:pPr>
        <w:spacing w:line="480" w:lineRule="auto"/>
      </w:pPr>
    </w:p>
    <w:p w:rsidR="00B125CF" w:rsidRPr="00FB05EA" w:rsidP="00684AD1" w14:paraId="285453AE" w14:textId="5F1C26C3">
      <w:pPr>
        <w:ind w:left="720" w:hanging="720"/>
        <w:rPr>
          <w:b/>
          <w:bCs/>
          <w:i/>
          <w:iCs/>
        </w:rPr>
      </w:pPr>
      <w:r w:rsidRPr="00FB05EA">
        <w:rPr>
          <w:b/>
          <w:bCs/>
          <w:i/>
          <w:iCs/>
        </w:rPr>
        <w:t>Q</w:t>
      </w:r>
      <w:r w:rsidRPr="00FB05EA" w:rsidR="0083327B">
        <w:rPr>
          <w:b/>
          <w:bCs/>
          <w:i/>
          <w:iCs/>
        </w:rPr>
        <w:t>4</w:t>
      </w:r>
      <w:r w:rsidRPr="00FB05EA">
        <w:rPr>
          <w:b/>
          <w:bCs/>
          <w:i/>
          <w:iCs/>
        </w:rPr>
        <w:t>.</w:t>
      </w:r>
      <w:r w:rsidRPr="00FB05EA">
        <w:tab/>
      </w:r>
      <w:r w:rsidRPr="00FB05EA">
        <w:rPr>
          <w:b/>
          <w:bCs/>
          <w:i/>
          <w:iCs/>
        </w:rPr>
        <w:t>WHAT CRITERIA DOES THE PUCO RELY UPON FOR CONSIDERING WHETHER TO ADOPT A SETTLEMENT?</w:t>
      </w:r>
    </w:p>
    <w:p w:rsidR="00684AD1" w:rsidRPr="00FB05EA" w:rsidP="00684AD1" w14:paraId="5607E686" w14:textId="77777777">
      <w:pPr>
        <w:ind w:left="720" w:hanging="720"/>
      </w:pPr>
    </w:p>
    <w:p w:rsidR="008B0314" w:rsidRPr="00FB05EA" w:rsidP="008B0314" w14:paraId="6D7D3849" w14:textId="6762E12E">
      <w:pPr>
        <w:spacing w:line="480" w:lineRule="auto"/>
        <w:ind w:left="720" w:hanging="720"/>
      </w:pPr>
      <w:r w:rsidRPr="00FB05EA">
        <w:rPr>
          <w:b/>
          <w:bCs/>
          <w:i/>
          <w:iCs/>
        </w:rPr>
        <w:t>A</w:t>
      </w:r>
      <w:r w:rsidRPr="00FB05EA" w:rsidR="0083327B">
        <w:rPr>
          <w:b/>
          <w:bCs/>
          <w:i/>
          <w:iCs/>
        </w:rPr>
        <w:t>4</w:t>
      </w:r>
      <w:r w:rsidRPr="00FB05EA">
        <w:rPr>
          <w:b/>
          <w:bCs/>
          <w:i/>
          <w:iCs/>
        </w:rPr>
        <w:t>.</w:t>
      </w:r>
      <w:r w:rsidRPr="00FB05EA">
        <w:tab/>
        <w:t>It is my understanding that the PUCO will adopt a settlement only if it meets all of the three criteria delineated below. The PUCO must analyze the Settlement and decide the following:</w:t>
      </w:r>
    </w:p>
    <w:p w:rsidR="00B125CF" w:rsidRPr="00FB05EA" w14:paraId="1587234C" w14:textId="77777777">
      <w:pPr>
        <w:spacing w:line="480" w:lineRule="auto"/>
        <w:ind w:left="1440" w:hanging="720"/>
      </w:pPr>
      <w:r w:rsidRPr="00FB05EA">
        <w:t>1.</w:t>
      </w:r>
      <w:r w:rsidRPr="00FB05EA">
        <w:tab/>
        <w:t>Is the settlement a product of serious bargaining among capable, knowledgeable parties representing diverse interests?</w:t>
      </w:r>
      <w:r>
        <w:rPr>
          <w:rStyle w:val="FootnoteReference"/>
        </w:rPr>
        <w:footnoteReference w:id="12"/>
      </w:r>
      <w:r w:rsidRPr="00FB05EA">
        <w:t xml:space="preserve"> </w:t>
      </w:r>
    </w:p>
    <w:p w:rsidR="00B125CF" w:rsidRPr="00FB05EA" w14:paraId="7C61DAD2" w14:textId="77777777">
      <w:pPr>
        <w:spacing w:line="480" w:lineRule="auto"/>
        <w:ind w:left="1440" w:hanging="720"/>
      </w:pPr>
      <w:r w:rsidRPr="00FB05EA">
        <w:t>2.</w:t>
      </w:r>
      <w:r w:rsidRPr="00FB05EA">
        <w:tab/>
      </w:r>
      <w:bookmarkStart w:id="13" w:name="_Hlk110843101"/>
      <w:r w:rsidRPr="00FB05EA">
        <w:t>Does the settlement, as a package, benefit customers and the public interest</w:t>
      </w:r>
      <w:bookmarkEnd w:id="13"/>
      <w:r w:rsidRPr="00FB05EA">
        <w:t>?</w:t>
      </w:r>
    </w:p>
    <w:p w:rsidR="00B125CF" w:rsidRPr="00FB05EA" w14:paraId="51149DAE" w14:textId="77777777">
      <w:pPr>
        <w:spacing w:line="480" w:lineRule="auto"/>
        <w:ind w:left="1440" w:hanging="720"/>
      </w:pPr>
      <w:r w:rsidRPr="00FB05EA">
        <w:t>3.</w:t>
      </w:r>
      <w:r w:rsidRPr="00FB05EA">
        <w:tab/>
        <w:t>Does the settlement package violate any important regulatory principle or practice?</w:t>
      </w:r>
      <w:r>
        <w:rPr>
          <w:rStyle w:val="FootnoteReference"/>
        </w:rPr>
        <w:footnoteReference w:id="13"/>
      </w:r>
      <w:r w:rsidRPr="00FB05EA">
        <w:br/>
      </w:r>
    </w:p>
    <w:p w:rsidR="00B125CF" w:rsidRPr="00FB05EA" w:rsidP="00685390" w14:paraId="1EF1EB90" w14:textId="303D43D4">
      <w:pPr>
        <w:ind w:left="720" w:hanging="720"/>
        <w:rPr>
          <w:b/>
          <w:bCs/>
          <w:i/>
          <w:iCs/>
        </w:rPr>
      </w:pPr>
      <w:r w:rsidRPr="00FB05EA">
        <w:rPr>
          <w:b/>
          <w:bCs/>
          <w:i/>
          <w:iCs/>
        </w:rPr>
        <w:t>Q</w:t>
      </w:r>
      <w:r w:rsidRPr="00FB05EA" w:rsidR="00446E40">
        <w:rPr>
          <w:b/>
          <w:bCs/>
          <w:i/>
          <w:iCs/>
        </w:rPr>
        <w:t>5</w:t>
      </w:r>
      <w:r w:rsidRPr="00FB05EA">
        <w:rPr>
          <w:b/>
          <w:bCs/>
          <w:i/>
          <w:iCs/>
        </w:rPr>
        <w:t>.</w:t>
      </w:r>
      <w:r w:rsidRPr="00FB05EA">
        <w:rPr>
          <w:b/>
          <w:bCs/>
        </w:rPr>
        <w:tab/>
      </w:r>
      <w:r w:rsidRPr="00FB05EA">
        <w:rPr>
          <w:b/>
          <w:bCs/>
          <w:i/>
          <w:iCs/>
        </w:rPr>
        <w:t>DOES THE SETTLEMENT FILED IN THIS PROCEEDING MEET ALL THREE CRITERIA?</w:t>
      </w:r>
    </w:p>
    <w:p w:rsidR="00685390" w:rsidRPr="00FB05EA" w:rsidP="00685390" w14:paraId="395FE8F8" w14:textId="77777777">
      <w:pPr>
        <w:ind w:left="720" w:hanging="720"/>
        <w:rPr>
          <w:b/>
          <w:bCs/>
        </w:rPr>
      </w:pPr>
    </w:p>
    <w:p w:rsidR="00B125CF" w:rsidRPr="00FB05EA" w14:paraId="41E6B480" w14:textId="65A0DFAA">
      <w:pPr>
        <w:spacing w:line="480" w:lineRule="auto"/>
        <w:ind w:left="720" w:hanging="720"/>
        <w:rPr>
          <w:b/>
          <w:bCs/>
          <w:iCs/>
        </w:rPr>
      </w:pPr>
      <w:r w:rsidRPr="00FB05EA">
        <w:rPr>
          <w:b/>
          <w:bCs/>
          <w:i/>
          <w:iCs/>
        </w:rPr>
        <w:t>A</w:t>
      </w:r>
      <w:r w:rsidRPr="00FB05EA" w:rsidR="00446E40">
        <w:rPr>
          <w:b/>
          <w:bCs/>
          <w:i/>
          <w:iCs/>
        </w:rPr>
        <w:t>5</w:t>
      </w:r>
      <w:r w:rsidRPr="00FB05EA">
        <w:rPr>
          <w:b/>
          <w:bCs/>
          <w:i/>
          <w:iCs/>
        </w:rPr>
        <w:t>.</w:t>
      </w:r>
      <w:r w:rsidRPr="00FB05EA">
        <w:t xml:space="preserve"> </w:t>
      </w:r>
      <w:r w:rsidRPr="00FB05EA">
        <w:tab/>
        <w:t>No. The proposed Settlement does not meet the three-prong test, as I explain below. Further, the PUCO’s three-prong test is unfair and should not be used.</w:t>
      </w:r>
      <w:r w:rsidRPr="00FB05EA">
        <w:br/>
      </w:r>
    </w:p>
    <w:p w:rsidR="00B125CF" w:rsidRPr="00FB05EA" w:rsidP="00685390" w14:paraId="4AA76D63" w14:textId="79D6CEF4">
      <w:pPr>
        <w:pStyle w:val="Question"/>
        <w:spacing w:line="240" w:lineRule="auto"/>
        <w:rPr>
          <w:rFonts w:ascii="Times New Roman" w:hAnsi="Times New Roman"/>
        </w:rPr>
      </w:pPr>
      <w:r w:rsidRPr="00FB05EA">
        <w:rPr>
          <w:rFonts w:ascii="Times New Roman" w:hAnsi="Times New Roman"/>
        </w:rPr>
        <w:t>Q</w:t>
      </w:r>
      <w:r w:rsidRPr="00FB05EA" w:rsidR="00446E40">
        <w:rPr>
          <w:rFonts w:ascii="Times New Roman" w:hAnsi="Times New Roman"/>
        </w:rPr>
        <w:t>6</w:t>
      </w:r>
      <w:r w:rsidRPr="00FB05EA">
        <w:rPr>
          <w:rFonts w:ascii="Times New Roman" w:hAnsi="Times New Roman"/>
        </w:rPr>
        <w:t>.</w:t>
      </w:r>
      <w:r w:rsidRPr="00FB05EA">
        <w:rPr>
          <w:rFonts w:ascii="Times New Roman" w:hAnsi="Times New Roman"/>
        </w:rPr>
        <w:tab/>
        <w:t xml:space="preserve">PLEASE PROVIDE A BRIEF DESCRIPTION OF THE </w:t>
      </w:r>
      <w:r w:rsidRPr="00FB05EA" w:rsidR="00B32FD4">
        <w:rPr>
          <w:rFonts w:ascii="Times New Roman" w:hAnsi="Times New Roman"/>
        </w:rPr>
        <w:t xml:space="preserve">Joint Settlement </w:t>
      </w:r>
      <w:r w:rsidRPr="00FB05EA">
        <w:rPr>
          <w:rFonts w:ascii="Times New Roman" w:hAnsi="Times New Roman"/>
        </w:rPr>
        <w:t>THAT WAS FILED BY odod, ELECTRIC UTILITIES AND INDUSTRIAL GROUPS IN THIS PROCEEDING.</w:t>
      </w:r>
    </w:p>
    <w:p w:rsidR="00685390" w:rsidRPr="00FB05EA" w:rsidP="00685390" w14:paraId="40CE5190" w14:textId="77777777">
      <w:pPr>
        <w:pStyle w:val="Question"/>
        <w:spacing w:line="240" w:lineRule="auto"/>
        <w:rPr>
          <w:rFonts w:ascii="Times New Roman" w:hAnsi="Times New Roman"/>
        </w:rPr>
      </w:pPr>
    </w:p>
    <w:p w:rsidR="00C80C01" w:rsidP="00C80C01" w14:paraId="4115C8D7" w14:textId="36917CE1">
      <w:pPr>
        <w:spacing w:line="480" w:lineRule="auto"/>
        <w:ind w:left="720" w:hanging="720"/>
        <w:rPr>
          <w:b/>
        </w:rPr>
      </w:pPr>
      <w:r w:rsidRPr="00FB05EA">
        <w:rPr>
          <w:b/>
          <w:i/>
          <w:iCs/>
        </w:rPr>
        <w:t>A</w:t>
      </w:r>
      <w:r w:rsidRPr="00FB05EA" w:rsidR="00446E40">
        <w:rPr>
          <w:b/>
          <w:i/>
          <w:iCs/>
        </w:rPr>
        <w:t>6</w:t>
      </w:r>
      <w:r w:rsidRPr="00FB05EA">
        <w:rPr>
          <w:b/>
          <w:i/>
          <w:iCs/>
        </w:rPr>
        <w:t>.</w:t>
      </w:r>
      <w:r w:rsidRPr="00FB05EA">
        <w:rPr>
          <w:iCs/>
        </w:rPr>
        <w:tab/>
        <w:t xml:space="preserve">The </w:t>
      </w:r>
      <w:r w:rsidRPr="00FB05EA" w:rsidR="00B32FD4">
        <w:rPr>
          <w:iCs/>
        </w:rPr>
        <w:t xml:space="preserve">Joint </w:t>
      </w:r>
      <w:r w:rsidRPr="00FB05EA">
        <w:rPr>
          <w:iCs/>
        </w:rPr>
        <w:t xml:space="preserve">Settlement </w:t>
      </w:r>
      <w:r w:rsidRPr="00FB05EA" w:rsidR="00EC210B">
        <w:rPr>
          <w:iCs/>
        </w:rPr>
        <w:t>accepts and recommends that the PUCO approve the amended application with the USF revenue requirements for each of the EDUs in 2023.</w:t>
      </w:r>
      <w:r>
        <w:rPr>
          <w:rStyle w:val="FootnoteReference"/>
          <w:iCs/>
        </w:rPr>
        <w:footnoteReference w:id="14"/>
      </w:r>
      <w:r w:rsidRPr="00FB05EA" w:rsidR="007A2F43">
        <w:rPr>
          <w:iCs/>
        </w:rPr>
        <w:t xml:space="preserve"> </w:t>
      </w:r>
      <w:r w:rsidRPr="00FB05EA" w:rsidR="00B32FD4">
        <w:rPr>
          <w:iCs/>
        </w:rPr>
        <w:t xml:space="preserve">The following table provides the </w:t>
      </w:r>
      <w:r w:rsidRPr="00FB05EA" w:rsidR="00F04AC8">
        <w:rPr>
          <w:iCs/>
        </w:rPr>
        <w:t xml:space="preserve">2023 </w:t>
      </w:r>
      <w:r w:rsidRPr="00FB05EA" w:rsidR="00B32FD4">
        <w:rPr>
          <w:iCs/>
        </w:rPr>
        <w:t xml:space="preserve">USF revenue requirements for each of the EDUs </w:t>
      </w:r>
      <w:r w:rsidRPr="00FB05EA" w:rsidR="00F04AC8">
        <w:rPr>
          <w:iCs/>
        </w:rPr>
        <w:t>compared with the 2022 USF revenue requirement</w:t>
      </w:r>
      <w:r w:rsidRPr="00FB05EA" w:rsidR="00EC210B">
        <w:rPr>
          <w:iCs/>
        </w:rPr>
        <w:t>.</w:t>
      </w:r>
      <w:r>
        <w:rPr>
          <w:rStyle w:val="FootnoteReference"/>
          <w:iCs/>
        </w:rPr>
        <w:footnoteReference w:id="15"/>
      </w:r>
      <w:r w:rsidRPr="00FB05EA" w:rsidR="002E6E73">
        <w:rPr>
          <w:iCs/>
        </w:rPr>
        <w:t xml:space="preserve"> </w:t>
      </w:r>
      <w:r>
        <w:rPr>
          <w:b/>
        </w:rPr>
        <w:br w:type="page"/>
      </w:r>
    </w:p>
    <w:p w:rsidR="00EC210B" w:rsidRPr="00FB05EA" w:rsidP="000E3621" w14:paraId="1CB09E61" w14:textId="3E50E95F">
      <w:pPr>
        <w:spacing w:line="480" w:lineRule="auto"/>
        <w:ind w:left="720" w:hanging="720"/>
        <w:jc w:val="center"/>
        <w:rPr>
          <w:b/>
        </w:rPr>
      </w:pPr>
      <w:r w:rsidRPr="00FB05EA">
        <w:rPr>
          <w:b/>
        </w:rPr>
        <w:t>Table 1: Comparison of 2023 USF Revenue Requirement with 2022</w:t>
      </w:r>
    </w:p>
    <w:tbl>
      <w:tblPr>
        <w:tblStyle w:val="TableGrid"/>
        <w:tblW w:w="0" w:type="auto"/>
        <w:tblInd w:w="720" w:type="dxa"/>
        <w:tblLook w:val="04A0"/>
      </w:tblPr>
      <w:tblGrid>
        <w:gridCol w:w="1553"/>
        <w:gridCol w:w="1625"/>
        <w:gridCol w:w="1625"/>
        <w:gridCol w:w="1625"/>
        <w:gridCol w:w="1482"/>
      </w:tblGrid>
      <w:tr w14:paraId="193734AB" w14:textId="77777777" w:rsidTr="00F04AC8">
        <w:tblPrEx>
          <w:tblW w:w="0" w:type="auto"/>
          <w:tblInd w:w="720" w:type="dxa"/>
          <w:tblLook w:val="04A0"/>
        </w:tblPrEx>
        <w:trPr>
          <w:trHeight w:val="845"/>
        </w:trPr>
        <w:tc>
          <w:tcPr>
            <w:tcW w:w="1726" w:type="dxa"/>
          </w:tcPr>
          <w:p w:rsidR="00F04AC8" w:rsidRPr="00FB05EA" w:rsidP="000E3621" w14:paraId="1348DAE3" w14:textId="02FA99BD">
            <w:pPr>
              <w:rPr>
                <w:iCs/>
              </w:rPr>
            </w:pPr>
            <w:r w:rsidRPr="00FB05EA">
              <w:rPr>
                <w:iCs/>
              </w:rPr>
              <w:t>EDU</w:t>
            </w:r>
          </w:p>
        </w:tc>
        <w:tc>
          <w:tcPr>
            <w:tcW w:w="1726" w:type="dxa"/>
          </w:tcPr>
          <w:p w:rsidR="00F04AC8" w:rsidRPr="00FB05EA" w:rsidP="000E3621" w14:paraId="6D01F5A1" w14:textId="0CC2DE31">
            <w:pPr>
              <w:rPr>
                <w:iCs/>
              </w:rPr>
            </w:pPr>
            <w:r w:rsidRPr="00FB05EA">
              <w:rPr>
                <w:iCs/>
              </w:rPr>
              <w:t>2023 USF Revenue Requirement</w:t>
            </w:r>
          </w:p>
        </w:tc>
        <w:tc>
          <w:tcPr>
            <w:tcW w:w="1726" w:type="dxa"/>
          </w:tcPr>
          <w:p w:rsidR="00F04AC8" w:rsidRPr="00FB05EA" w:rsidP="000E3621" w14:paraId="7F39000B" w14:textId="0F7BA13F">
            <w:pPr>
              <w:rPr>
                <w:iCs/>
              </w:rPr>
            </w:pPr>
            <w:r w:rsidRPr="00FB05EA">
              <w:rPr>
                <w:iCs/>
              </w:rPr>
              <w:t>2022 USF Revenue Requirement</w:t>
            </w:r>
          </w:p>
        </w:tc>
        <w:tc>
          <w:tcPr>
            <w:tcW w:w="1726" w:type="dxa"/>
          </w:tcPr>
          <w:p w:rsidR="00F04AC8" w:rsidRPr="00FB05EA" w:rsidP="000E3621" w14:paraId="48C3AF31" w14:textId="78AED9A4">
            <w:pPr>
              <w:rPr>
                <w:iCs/>
              </w:rPr>
            </w:pPr>
            <w:r w:rsidRPr="00FB05EA">
              <w:rPr>
                <w:iCs/>
              </w:rPr>
              <w:t>Difference</w:t>
            </w:r>
          </w:p>
        </w:tc>
        <w:tc>
          <w:tcPr>
            <w:tcW w:w="1726" w:type="dxa"/>
          </w:tcPr>
          <w:p w:rsidR="00F04AC8" w:rsidRPr="00FB05EA" w:rsidP="000E3621" w14:paraId="1624B4C2" w14:textId="7B8F9F67">
            <w:pPr>
              <w:rPr>
                <w:iCs/>
              </w:rPr>
            </w:pPr>
            <w:r w:rsidRPr="00FB05EA">
              <w:rPr>
                <w:iCs/>
              </w:rPr>
              <w:t>Percentage Increase</w:t>
            </w:r>
          </w:p>
        </w:tc>
      </w:tr>
      <w:tr w14:paraId="70A7B729" w14:textId="77777777" w:rsidTr="00F04AC8">
        <w:tblPrEx>
          <w:tblW w:w="0" w:type="auto"/>
          <w:tblInd w:w="720" w:type="dxa"/>
          <w:tblLook w:val="04A0"/>
        </w:tblPrEx>
        <w:tc>
          <w:tcPr>
            <w:tcW w:w="1726" w:type="dxa"/>
          </w:tcPr>
          <w:p w:rsidR="00F04AC8" w:rsidRPr="00FB05EA" w:rsidP="000E3621" w14:paraId="75EC54D1" w14:textId="7D11A8A1">
            <w:pPr>
              <w:rPr>
                <w:iCs/>
              </w:rPr>
            </w:pPr>
            <w:r w:rsidRPr="00FB05EA">
              <w:rPr>
                <w:iCs/>
              </w:rPr>
              <w:t>AEP Ohio</w:t>
            </w:r>
          </w:p>
        </w:tc>
        <w:tc>
          <w:tcPr>
            <w:tcW w:w="1726" w:type="dxa"/>
          </w:tcPr>
          <w:p w:rsidR="00F04AC8" w:rsidRPr="00FB05EA" w:rsidP="000E3621" w14:paraId="067EC7D2" w14:textId="543E39FF">
            <w:pPr>
              <w:rPr>
                <w:iCs/>
              </w:rPr>
            </w:pPr>
            <w:r w:rsidRPr="00FB05EA">
              <w:rPr>
                <w:iCs/>
              </w:rPr>
              <w:t>$180,761,552</w:t>
            </w:r>
          </w:p>
        </w:tc>
        <w:tc>
          <w:tcPr>
            <w:tcW w:w="1726" w:type="dxa"/>
          </w:tcPr>
          <w:p w:rsidR="00F04AC8" w:rsidRPr="00FB05EA" w:rsidP="000E3621" w14:paraId="48C47A5C" w14:textId="658FD2F5">
            <w:pPr>
              <w:rPr>
                <w:iCs/>
              </w:rPr>
            </w:pPr>
            <w:r w:rsidRPr="00FB05EA">
              <w:rPr>
                <w:iCs/>
              </w:rPr>
              <w:t>$80,600,646</w:t>
            </w:r>
          </w:p>
        </w:tc>
        <w:tc>
          <w:tcPr>
            <w:tcW w:w="1726" w:type="dxa"/>
          </w:tcPr>
          <w:p w:rsidR="00F04AC8" w:rsidRPr="00FB05EA" w:rsidP="000E3621" w14:paraId="349708AB" w14:textId="2F3154A7">
            <w:pPr>
              <w:rPr>
                <w:iCs/>
              </w:rPr>
            </w:pPr>
            <w:r w:rsidRPr="00FB05EA">
              <w:rPr>
                <w:iCs/>
              </w:rPr>
              <w:t>$100,160,906</w:t>
            </w:r>
          </w:p>
        </w:tc>
        <w:tc>
          <w:tcPr>
            <w:tcW w:w="1726" w:type="dxa"/>
          </w:tcPr>
          <w:p w:rsidR="00F04AC8" w:rsidRPr="00FB05EA" w:rsidP="000E3621" w14:paraId="21345B85" w14:textId="5B0930C5">
            <w:pPr>
              <w:rPr>
                <w:iCs/>
              </w:rPr>
            </w:pPr>
            <w:r w:rsidRPr="00FB05EA">
              <w:rPr>
                <w:iCs/>
              </w:rPr>
              <w:t>124.3%</w:t>
            </w:r>
          </w:p>
        </w:tc>
      </w:tr>
      <w:tr w14:paraId="712030C5" w14:textId="77777777" w:rsidTr="00F04AC8">
        <w:tblPrEx>
          <w:tblW w:w="0" w:type="auto"/>
          <w:tblInd w:w="720" w:type="dxa"/>
          <w:tblLook w:val="04A0"/>
        </w:tblPrEx>
        <w:tc>
          <w:tcPr>
            <w:tcW w:w="1726" w:type="dxa"/>
          </w:tcPr>
          <w:p w:rsidR="00F04AC8" w:rsidRPr="00FB05EA" w:rsidP="000E3621" w14:paraId="6D2A826C" w14:textId="5787B605">
            <w:pPr>
              <w:rPr>
                <w:iCs/>
              </w:rPr>
            </w:pPr>
            <w:r w:rsidRPr="00FB05EA">
              <w:rPr>
                <w:iCs/>
              </w:rPr>
              <w:t>AES Ohio</w:t>
            </w:r>
          </w:p>
        </w:tc>
        <w:tc>
          <w:tcPr>
            <w:tcW w:w="1726" w:type="dxa"/>
          </w:tcPr>
          <w:p w:rsidR="00F04AC8" w:rsidRPr="00FB05EA" w:rsidP="000E3621" w14:paraId="12DA640C" w14:textId="7082856C">
            <w:pPr>
              <w:rPr>
                <w:iCs/>
              </w:rPr>
            </w:pPr>
            <w:r w:rsidRPr="00FB05EA">
              <w:rPr>
                <w:iCs/>
              </w:rPr>
              <w:t>$40,905,828</w:t>
            </w:r>
          </w:p>
        </w:tc>
        <w:tc>
          <w:tcPr>
            <w:tcW w:w="1726" w:type="dxa"/>
          </w:tcPr>
          <w:p w:rsidR="00F04AC8" w:rsidRPr="00FB05EA" w:rsidP="000E3621" w14:paraId="5F3CC8BF" w14:textId="679FF040">
            <w:pPr>
              <w:rPr>
                <w:iCs/>
              </w:rPr>
            </w:pPr>
            <w:r w:rsidRPr="00FB05EA">
              <w:rPr>
                <w:iCs/>
              </w:rPr>
              <w:t>$9,547,863</w:t>
            </w:r>
          </w:p>
        </w:tc>
        <w:tc>
          <w:tcPr>
            <w:tcW w:w="1726" w:type="dxa"/>
          </w:tcPr>
          <w:p w:rsidR="00F04AC8" w:rsidRPr="00FB05EA" w:rsidP="000E3621" w14:paraId="39EE1D8E" w14:textId="406AAED4">
            <w:pPr>
              <w:rPr>
                <w:iCs/>
              </w:rPr>
            </w:pPr>
            <w:r w:rsidRPr="00FB05EA">
              <w:rPr>
                <w:iCs/>
              </w:rPr>
              <w:t>$31,357,964</w:t>
            </w:r>
          </w:p>
        </w:tc>
        <w:tc>
          <w:tcPr>
            <w:tcW w:w="1726" w:type="dxa"/>
          </w:tcPr>
          <w:p w:rsidR="00F04AC8" w:rsidRPr="00FB05EA" w:rsidP="000E3621" w14:paraId="7EF0A613" w14:textId="5D158616">
            <w:pPr>
              <w:rPr>
                <w:iCs/>
              </w:rPr>
            </w:pPr>
            <w:r w:rsidRPr="00FB05EA">
              <w:rPr>
                <w:iCs/>
              </w:rPr>
              <w:t>328.4%</w:t>
            </w:r>
          </w:p>
        </w:tc>
      </w:tr>
      <w:tr w14:paraId="3C25C561" w14:textId="77777777" w:rsidTr="00F04AC8">
        <w:tblPrEx>
          <w:tblW w:w="0" w:type="auto"/>
          <w:tblInd w:w="720" w:type="dxa"/>
          <w:tblLook w:val="04A0"/>
        </w:tblPrEx>
        <w:tc>
          <w:tcPr>
            <w:tcW w:w="1726" w:type="dxa"/>
          </w:tcPr>
          <w:p w:rsidR="00F04AC8" w:rsidRPr="00FB05EA" w:rsidP="000E3621" w14:paraId="7AFBD7CB" w14:textId="0900A33B">
            <w:pPr>
              <w:rPr>
                <w:iCs/>
              </w:rPr>
            </w:pPr>
            <w:r w:rsidRPr="00FB05EA">
              <w:rPr>
                <w:iCs/>
              </w:rPr>
              <w:t>Duke Energy Ohio</w:t>
            </w:r>
          </w:p>
        </w:tc>
        <w:tc>
          <w:tcPr>
            <w:tcW w:w="1726" w:type="dxa"/>
          </w:tcPr>
          <w:p w:rsidR="00F04AC8" w:rsidRPr="00FB05EA" w:rsidP="000E3621" w14:paraId="2A928C0C" w14:textId="5CB98DAB">
            <w:pPr>
              <w:rPr>
                <w:iCs/>
              </w:rPr>
            </w:pPr>
            <w:r w:rsidRPr="00FB05EA">
              <w:rPr>
                <w:iCs/>
              </w:rPr>
              <w:t>$34,784,697</w:t>
            </w:r>
          </w:p>
        </w:tc>
        <w:tc>
          <w:tcPr>
            <w:tcW w:w="1726" w:type="dxa"/>
          </w:tcPr>
          <w:p w:rsidR="00F04AC8" w:rsidRPr="00FB05EA" w:rsidP="000E3621" w14:paraId="5313613B" w14:textId="38903768">
            <w:pPr>
              <w:rPr>
                <w:iCs/>
              </w:rPr>
            </w:pPr>
            <w:r w:rsidRPr="00FB05EA">
              <w:rPr>
                <w:iCs/>
              </w:rPr>
              <w:t>$11,485,776</w:t>
            </w:r>
          </w:p>
        </w:tc>
        <w:tc>
          <w:tcPr>
            <w:tcW w:w="1726" w:type="dxa"/>
          </w:tcPr>
          <w:p w:rsidR="00F04AC8" w:rsidRPr="00FB05EA" w:rsidP="000E3621" w14:paraId="2985E91B" w14:textId="5329A33F">
            <w:pPr>
              <w:rPr>
                <w:iCs/>
              </w:rPr>
            </w:pPr>
            <w:r w:rsidRPr="00FB05EA">
              <w:rPr>
                <w:iCs/>
              </w:rPr>
              <w:t>$23,298,921</w:t>
            </w:r>
          </w:p>
        </w:tc>
        <w:tc>
          <w:tcPr>
            <w:tcW w:w="1726" w:type="dxa"/>
          </w:tcPr>
          <w:p w:rsidR="00F04AC8" w:rsidRPr="00FB05EA" w:rsidP="000E3621" w14:paraId="114C6E07" w14:textId="43B3EEAE">
            <w:pPr>
              <w:rPr>
                <w:iCs/>
              </w:rPr>
            </w:pPr>
            <w:r w:rsidRPr="00FB05EA">
              <w:rPr>
                <w:iCs/>
              </w:rPr>
              <w:t>202.9%</w:t>
            </w:r>
          </w:p>
        </w:tc>
      </w:tr>
      <w:tr w14:paraId="4B9CBE79" w14:textId="77777777" w:rsidTr="00F04AC8">
        <w:tblPrEx>
          <w:tblW w:w="0" w:type="auto"/>
          <w:tblInd w:w="720" w:type="dxa"/>
          <w:tblLook w:val="04A0"/>
        </w:tblPrEx>
        <w:tc>
          <w:tcPr>
            <w:tcW w:w="1726" w:type="dxa"/>
          </w:tcPr>
          <w:p w:rsidR="00F04AC8" w:rsidRPr="00FB05EA" w:rsidP="000E3621" w14:paraId="1011F4FB" w14:textId="62F662B6">
            <w:pPr>
              <w:rPr>
                <w:iCs/>
              </w:rPr>
            </w:pPr>
            <w:r w:rsidRPr="00FB05EA">
              <w:rPr>
                <w:iCs/>
              </w:rPr>
              <w:t>Cleveland Electric Illuminating</w:t>
            </w:r>
          </w:p>
        </w:tc>
        <w:tc>
          <w:tcPr>
            <w:tcW w:w="1726" w:type="dxa"/>
          </w:tcPr>
          <w:p w:rsidR="00F04AC8" w:rsidRPr="00FB05EA" w:rsidP="000E3621" w14:paraId="1BEFF363" w14:textId="135173A4">
            <w:pPr>
              <w:rPr>
                <w:iCs/>
              </w:rPr>
            </w:pPr>
            <w:r w:rsidRPr="00FB05EA">
              <w:rPr>
                <w:iCs/>
              </w:rPr>
              <w:t>$30,434,758</w:t>
            </w:r>
          </w:p>
        </w:tc>
        <w:tc>
          <w:tcPr>
            <w:tcW w:w="1726" w:type="dxa"/>
          </w:tcPr>
          <w:p w:rsidR="00F04AC8" w:rsidRPr="00FB05EA" w:rsidP="000E3621" w14:paraId="5F58EB43" w14:textId="0EDBF5EB">
            <w:pPr>
              <w:rPr>
                <w:iCs/>
              </w:rPr>
            </w:pPr>
            <w:r w:rsidRPr="00FB05EA">
              <w:rPr>
                <w:iCs/>
              </w:rPr>
              <w:t>$23,243,736</w:t>
            </w:r>
          </w:p>
        </w:tc>
        <w:tc>
          <w:tcPr>
            <w:tcW w:w="1726" w:type="dxa"/>
          </w:tcPr>
          <w:p w:rsidR="00F04AC8" w:rsidRPr="00FB05EA" w:rsidP="000E3621" w14:paraId="7146626C" w14:textId="1276A6E1">
            <w:pPr>
              <w:rPr>
                <w:iCs/>
              </w:rPr>
            </w:pPr>
            <w:r w:rsidRPr="00FB05EA">
              <w:rPr>
                <w:iCs/>
              </w:rPr>
              <w:t>$7,191,022</w:t>
            </w:r>
          </w:p>
        </w:tc>
        <w:tc>
          <w:tcPr>
            <w:tcW w:w="1726" w:type="dxa"/>
          </w:tcPr>
          <w:p w:rsidR="00F04AC8" w:rsidRPr="00FB05EA" w:rsidP="000E3621" w14:paraId="343AB774" w14:textId="3C54B169">
            <w:pPr>
              <w:rPr>
                <w:iCs/>
              </w:rPr>
            </w:pPr>
            <w:r w:rsidRPr="00FB05EA">
              <w:rPr>
                <w:iCs/>
              </w:rPr>
              <w:t>30.9%</w:t>
            </w:r>
          </w:p>
        </w:tc>
      </w:tr>
      <w:tr w14:paraId="0B4EE635" w14:textId="77777777" w:rsidTr="00F04AC8">
        <w:tblPrEx>
          <w:tblW w:w="0" w:type="auto"/>
          <w:tblInd w:w="720" w:type="dxa"/>
          <w:tblLook w:val="04A0"/>
        </w:tblPrEx>
        <w:tc>
          <w:tcPr>
            <w:tcW w:w="1726" w:type="dxa"/>
          </w:tcPr>
          <w:p w:rsidR="00F04AC8" w:rsidRPr="00FB05EA" w:rsidP="000E3621" w14:paraId="5743FFEC" w14:textId="341FF460">
            <w:pPr>
              <w:rPr>
                <w:iCs/>
              </w:rPr>
            </w:pPr>
            <w:r w:rsidRPr="00FB05EA">
              <w:rPr>
                <w:iCs/>
              </w:rPr>
              <w:t>Ohio Edison</w:t>
            </w:r>
          </w:p>
        </w:tc>
        <w:tc>
          <w:tcPr>
            <w:tcW w:w="1726" w:type="dxa"/>
          </w:tcPr>
          <w:p w:rsidR="00F04AC8" w:rsidRPr="00FB05EA" w:rsidP="000E3621" w14:paraId="66BDE403" w14:textId="7AB46CB8">
            <w:pPr>
              <w:rPr>
                <w:iCs/>
              </w:rPr>
            </w:pPr>
            <w:r w:rsidRPr="00FB05EA">
              <w:rPr>
                <w:iCs/>
              </w:rPr>
              <w:t>$62,368,675</w:t>
            </w:r>
          </w:p>
        </w:tc>
        <w:tc>
          <w:tcPr>
            <w:tcW w:w="1726" w:type="dxa"/>
          </w:tcPr>
          <w:p w:rsidR="00F04AC8" w:rsidRPr="00FB05EA" w:rsidP="000E3621" w14:paraId="1DE13AC8" w14:textId="783FE60C">
            <w:pPr>
              <w:rPr>
                <w:iCs/>
              </w:rPr>
            </w:pPr>
            <w:r w:rsidRPr="00FB05EA">
              <w:rPr>
                <w:iCs/>
              </w:rPr>
              <w:t>$47,307,588</w:t>
            </w:r>
          </w:p>
        </w:tc>
        <w:tc>
          <w:tcPr>
            <w:tcW w:w="1726" w:type="dxa"/>
          </w:tcPr>
          <w:p w:rsidR="00F04AC8" w:rsidRPr="00FB05EA" w:rsidP="000E3621" w14:paraId="6498CF83" w14:textId="76A0914D">
            <w:pPr>
              <w:rPr>
                <w:iCs/>
              </w:rPr>
            </w:pPr>
            <w:r w:rsidRPr="00FB05EA">
              <w:rPr>
                <w:iCs/>
              </w:rPr>
              <w:t>$15,061,087</w:t>
            </w:r>
          </w:p>
        </w:tc>
        <w:tc>
          <w:tcPr>
            <w:tcW w:w="1726" w:type="dxa"/>
          </w:tcPr>
          <w:p w:rsidR="00F04AC8" w:rsidRPr="00FB05EA" w:rsidP="000E3621" w14:paraId="555DD205" w14:textId="177A63E6">
            <w:pPr>
              <w:rPr>
                <w:iCs/>
              </w:rPr>
            </w:pPr>
            <w:r w:rsidRPr="00FB05EA">
              <w:rPr>
                <w:iCs/>
              </w:rPr>
              <w:t>31.8%</w:t>
            </w:r>
          </w:p>
        </w:tc>
      </w:tr>
      <w:tr w14:paraId="61D5991B" w14:textId="77777777" w:rsidTr="00F04AC8">
        <w:tblPrEx>
          <w:tblW w:w="0" w:type="auto"/>
          <w:tblInd w:w="720" w:type="dxa"/>
          <w:tblLook w:val="04A0"/>
        </w:tblPrEx>
        <w:tc>
          <w:tcPr>
            <w:tcW w:w="1726" w:type="dxa"/>
          </w:tcPr>
          <w:p w:rsidR="00F04AC8" w:rsidRPr="00FB05EA" w:rsidP="000E3621" w14:paraId="6CE2314E" w14:textId="2AEA8CD8">
            <w:pPr>
              <w:rPr>
                <w:iCs/>
              </w:rPr>
            </w:pPr>
            <w:r w:rsidRPr="00FB05EA">
              <w:rPr>
                <w:iCs/>
              </w:rPr>
              <w:t>Toledo Edison</w:t>
            </w:r>
          </w:p>
        </w:tc>
        <w:tc>
          <w:tcPr>
            <w:tcW w:w="1726" w:type="dxa"/>
          </w:tcPr>
          <w:p w:rsidR="00F04AC8" w:rsidRPr="00FB05EA" w:rsidP="000E3621" w14:paraId="3C8A6410" w14:textId="590B4833">
            <w:pPr>
              <w:rPr>
                <w:iCs/>
              </w:rPr>
            </w:pPr>
            <w:r w:rsidRPr="00FB05EA">
              <w:rPr>
                <w:iCs/>
              </w:rPr>
              <w:t>$18,776,773</w:t>
            </w:r>
          </w:p>
        </w:tc>
        <w:tc>
          <w:tcPr>
            <w:tcW w:w="1726" w:type="dxa"/>
          </w:tcPr>
          <w:p w:rsidR="00F04AC8" w:rsidRPr="00FB05EA" w:rsidP="000E3621" w14:paraId="242D94DA" w14:textId="10CB5BA7">
            <w:pPr>
              <w:rPr>
                <w:iCs/>
              </w:rPr>
            </w:pPr>
            <w:r w:rsidRPr="00FB05EA">
              <w:rPr>
                <w:iCs/>
              </w:rPr>
              <w:t>$15,073,083</w:t>
            </w:r>
          </w:p>
        </w:tc>
        <w:tc>
          <w:tcPr>
            <w:tcW w:w="1726" w:type="dxa"/>
          </w:tcPr>
          <w:p w:rsidR="00F04AC8" w:rsidRPr="00FB05EA" w:rsidP="000E3621" w14:paraId="03B43D46" w14:textId="1842E050">
            <w:pPr>
              <w:rPr>
                <w:iCs/>
              </w:rPr>
            </w:pPr>
            <w:r w:rsidRPr="00FB05EA">
              <w:rPr>
                <w:iCs/>
              </w:rPr>
              <w:t>$3,703,690</w:t>
            </w:r>
          </w:p>
        </w:tc>
        <w:tc>
          <w:tcPr>
            <w:tcW w:w="1726" w:type="dxa"/>
          </w:tcPr>
          <w:p w:rsidR="00F04AC8" w:rsidRPr="00FB05EA" w:rsidP="000E3621" w14:paraId="349F643F" w14:textId="0FD3CE98">
            <w:pPr>
              <w:rPr>
                <w:iCs/>
              </w:rPr>
            </w:pPr>
            <w:r w:rsidRPr="00FB05EA">
              <w:rPr>
                <w:iCs/>
              </w:rPr>
              <w:t>24.6%</w:t>
            </w:r>
          </w:p>
        </w:tc>
      </w:tr>
      <w:tr w14:paraId="6A345CD3" w14:textId="77777777" w:rsidTr="00F04AC8">
        <w:tblPrEx>
          <w:tblW w:w="0" w:type="auto"/>
          <w:tblInd w:w="720" w:type="dxa"/>
          <w:tblLook w:val="04A0"/>
        </w:tblPrEx>
        <w:tc>
          <w:tcPr>
            <w:tcW w:w="1726" w:type="dxa"/>
          </w:tcPr>
          <w:p w:rsidR="00F04AC8" w:rsidRPr="00FB05EA" w:rsidP="000E3621" w14:paraId="5A5F80F1" w14:textId="03A52275">
            <w:pPr>
              <w:rPr>
                <w:iCs/>
              </w:rPr>
            </w:pPr>
            <w:r w:rsidRPr="00FB05EA">
              <w:rPr>
                <w:iCs/>
              </w:rPr>
              <w:t>Total</w:t>
            </w:r>
          </w:p>
        </w:tc>
        <w:tc>
          <w:tcPr>
            <w:tcW w:w="1726" w:type="dxa"/>
          </w:tcPr>
          <w:p w:rsidR="00F04AC8" w:rsidRPr="00FB05EA" w:rsidP="000E3621" w14:paraId="1CE2791E" w14:textId="48E39FFA">
            <w:pPr>
              <w:rPr>
                <w:iCs/>
              </w:rPr>
            </w:pPr>
            <w:r w:rsidRPr="00FB05EA">
              <w:rPr>
                <w:iCs/>
              </w:rPr>
              <w:t>$368,032,282</w:t>
            </w:r>
          </w:p>
        </w:tc>
        <w:tc>
          <w:tcPr>
            <w:tcW w:w="1726" w:type="dxa"/>
          </w:tcPr>
          <w:p w:rsidR="00F04AC8" w:rsidRPr="00FB05EA" w:rsidP="000E3621" w14:paraId="374D2607" w14:textId="483629CC">
            <w:pPr>
              <w:rPr>
                <w:iCs/>
              </w:rPr>
            </w:pPr>
            <w:r w:rsidRPr="00FB05EA">
              <w:rPr>
                <w:iCs/>
              </w:rPr>
              <w:t>$187,258,690</w:t>
            </w:r>
          </w:p>
        </w:tc>
        <w:tc>
          <w:tcPr>
            <w:tcW w:w="1726" w:type="dxa"/>
          </w:tcPr>
          <w:p w:rsidR="00F04AC8" w:rsidRPr="00FB05EA" w:rsidP="000E3621" w14:paraId="25B8A1E0" w14:textId="66424B43">
            <w:pPr>
              <w:rPr>
                <w:iCs/>
              </w:rPr>
            </w:pPr>
            <w:r w:rsidRPr="00FB05EA">
              <w:rPr>
                <w:iCs/>
              </w:rPr>
              <w:t>$180,773,590</w:t>
            </w:r>
          </w:p>
        </w:tc>
        <w:tc>
          <w:tcPr>
            <w:tcW w:w="1726" w:type="dxa"/>
          </w:tcPr>
          <w:p w:rsidR="00F04AC8" w:rsidRPr="00FB05EA" w:rsidP="000E3621" w14:paraId="3726E538" w14:textId="5D434BF9">
            <w:pPr>
              <w:rPr>
                <w:iCs/>
              </w:rPr>
            </w:pPr>
            <w:r w:rsidRPr="00FB05EA">
              <w:rPr>
                <w:iCs/>
              </w:rPr>
              <w:t>96.5%</w:t>
            </w:r>
          </w:p>
        </w:tc>
      </w:tr>
    </w:tbl>
    <w:p w:rsidR="00446E40" w:rsidRPr="00FB05EA" w:rsidP="000E3621" w14:paraId="68C6F19E" w14:textId="77777777">
      <w:pPr>
        <w:spacing w:line="480" w:lineRule="auto"/>
        <w:rPr>
          <w:iCs/>
        </w:rPr>
      </w:pPr>
    </w:p>
    <w:p w:rsidR="008519D2" w:rsidP="008519D2" w14:paraId="1075932E" w14:textId="52E140D2">
      <w:pPr>
        <w:spacing w:line="480" w:lineRule="auto"/>
        <w:ind w:left="720" w:hanging="720"/>
        <w:rPr>
          <w:iCs/>
        </w:rPr>
      </w:pPr>
      <w:r w:rsidRPr="00FB05EA">
        <w:rPr>
          <w:iCs/>
        </w:rPr>
        <w:tab/>
        <w:t xml:space="preserve">The joint settlement also accepts and recommends that the PUCO approve the amended application with the individual rates for each of the </w:t>
      </w:r>
      <w:r w:rsidRPr="00FB05EA" w:rsidR="009B4371">
        <w:rPr>
          <w:iCs/>
        </w:rPr>
        <w:t>EDUs</w:t>
      </w:r>
      <w:r w:rsidRPr="00FB05EA">
        <w:rPr>
          <w:iCs/>
        </w:rPr>
        <w:t xml:space="preserve"> in 2023.</w:t>
      </w:r>
      <w:r>
        <w:rPr>
          <w:rStyle w:val="FootnoteReference"/>
          <w:iCs/>
        </w:rPr>
        <w:footnoteReference w:id="16"/>
      </w:r>
      <w:r w:rsidRPr="00FB05EA" w:rsidR="007A2F43">
        <w:rPr>
          <w:iCs/>
        </w:rPr>
        <w:t xml:space="preserve"> </w:t>
      </w:r>
      <w:r w:rsidRPr="00FB05EA" w:rsidR="009E2DD9">
        <w:rPr>
          <w:iCs/>
        </w:rPr>
        <w:t>The following table provides the 2023 USF rates for each of the EDUs compared with the 2022 USF rates.</w:t>
      </w:r>
    </w:p>
    <w:p w:rsidR="00F137A9" w:rsidRPr="00FB05EA" w:rsidP="00962320" w14:paraId="26808D42" w14:textId="77777777">
      <w:pPr>
        <w:ind w:left="720" w:hanging="720"/>
        <w:rPr>
          <w:b/>
          <w:bCs/>
          <w:iCs/>
        </w:rPr>
      </w:pPr>
    </w:p>
    <w:p w:rsidR="009E2DD9" w:rsidRPr="00FB05EA" w:rsidP="009E2DD9" w14:paraId="024D58AA" w14:textId="24EF6EAC">
      <w:pPr>
        <w:spacing w:line="480" w:lineRule="auto"/>
        <w:ind w:left="720" w:hanging="720"/>
        <w:jc w:val="center"/>
        <w:rPr>
          <w:b/>
          <w:bCs/>
          <w:iCs/>
        </w:rPr>
      </w:pPr>
      <w:r w:rsidRPr="00FB05EA">
        <w:rPr>
          <w:b/>
          <w:bCs/>
          <w:iCs/>
        </w:rPr>
        <w:t>Table 2: Comparison of 2023 USF Rates Compared with 2022 USF Rates</w:t>
      </w:r>
    </w:p>
    <w:tbl>
      <w:tblPr>
        <w:tblStyle w:val="TableGrid"/>
        <w:tblW w:w="0" w:type="auto"/>
        <w:tblInd w:w="720" w:type="dxa"/>
        <w:tblLook w:val="04A0"/>
      </w:tblPr>
      <w:tblGrid>
        <w:gridCol w:w="1017"/>
        <w:gridCol w:w="1389"/>
        <w:gridCol w:w="1389"/>
        <w:gridCol w:w="1389"/>
        <w:gridCol w:w="1389"/>
        <w:gridCol w:w="1337"/>
      </w:tblGrid>
      <w:tr w14:paraId="112AC15D" w14:textId="77777777" w:rsidTr="00446E40">
        <w:tblPrEx>
          <w:tblW w:w="0" w:type="auto"/>
          <w:tblInd w:w="720" w:type="dxa"/>
          <w:tblLook w:val="04A0"/>
        </w:tblPrEx>
        <w:tc>
          <w:tcPr>
            <w:tcW w:w="1017" w:type="dxa"/>
          </w:tcPr>
          <w:p w:rsidR="009E2DD9" w:rsidRPr="00FB05EA" w:rsidP="009E2DD9" w14:paraId="0704EA7E" w14:textId="25F871F6">
            <w:pPr>
              <w:jc w:val="center"/>
              <w:rPr>
                <w:iCs/>
              </w:rPr>
            </w:pPr>
            <w:r w:rsidRPr="00FB05EA">
              <w:rPr>
                <w:iCs/>
              </w:rPr>
              <w:t>EDU</w:t>
            </w:r>
          </w:p>
        </w:tc>
        <w:tc>
          <w:tcPr>
            <w:tcW w:w="1389" w:type="dxa"/>
          </w:tcPr>
          <w:p w:rsidR="009E2DD9" w:rsidRPr="00FB05EA" w:rsidP="009E2DD9" w14:paraId="62A48F28" w14:textId="6BA7FA0E">
            <w:pPr>
              <w:jc w:val="center"/>
              <w:rPr>
                <w:iCs/>
              </w:rPr>
            </w:pPr>
            <w:r w:rsidRPr="00FB05EA">
              <w:rPr>
                <w:iCs/>
              </w:rPr>
              <w:t>2023 First 833,000 kWh</w:t>
            </w:r>
          </w:p>
        </w:tc>
        <w:tc>
          <w:tcPr>
            <w:tcW w:w="1389" w:type="dxa"/>
          </w:tcPr>
          <w:p w:rsidR="009E2DD9" w:rsidRPr="00FB05EA" w:rsidP="009E2DD9" w14:paraId="5E14D1E3" w14:textId="4F7C496A">
            <w:pPr>
              <w:jc w:val="center"/>
              <w:rPr>
                <w:iCs/>
              </w:rPr>
            </w:pPr>
            <w:r w:rsidRPr="00FB05EA">
              <w:rPr>
                <w:iCs/>
              </w:rPr>
              <w:t xml:space="preserve">2023 </w:t>
            </w:r>
            <w:r w:rsidRPr="00FB05EA">
              <w:rPr>
                <w:iCs/>
              </w:rPr>
              <w:t>Above 833,000 kWh</w:t>
            </w:r>
          </w:p>
        </w:tc>
        <w:tc>
          <w:tcPr>
            <w:tcW w:w="1389" w:type="dxa"/>
          </w:tcPr>
          <w:p w:rsidR="009E2DD9" w:rsidRPr="00FB05EA" w:rsidP="009E2DD9" w14:paraId="5FC4E1EE" w14:textId="419972FA">
            <w:pPr>
              <w:jc w:val="center"/>
              <w:rPr>
                <w:iCs/>
              </w:rPr>
            </w:pPr>
            <w:r w:rsidRPr="00FB05EA">
              <w:rPr>
                <w:iCs/>
              </w:rPr>
              <w:t>2022 First 833,000 kWh</w:t>
            </w:r>
          </w:p>
        </w:tc>
        <w:tc>
          <w:tcPr>
            <w:tcW w:w="1389" w:type="dxa"/>
          </w:tcPr>
          <w:p w:rsidR="009E2DD9" w:rsidRPr="00FB05EA" w:rsidP="009E2DD9" w14:paraId="1F1C59F4" w14:textId="790B5883">
            <w:pPr>
              <w:jc w:val="center"/>
              <w:rPr>
                <w:iCs/>
              </w:rPr>
            </w:pPr>
            <w:r w:rsidRPr="00FB05EA">
              <w:rPr>
                <w:iCs/>
              </w:rPr>
              <w:t xml:space="preserve">2022 </w:t>
            </w:r>
            <w:r w:rsidRPr="00FB05EA">
              <w:rPr>
                <w:iCs/>
              </w:rPr>
              <w:t>Above 833,000 kWh</w:t>
            </w:r>
          </w:p>
        </w:tc>
        <w:tc>
          <w:tcPr>
            <w:tcW w:w="1337" w:type="dxa"/>
          </w:tcPr>
          <w:p w:rsidR="009E2DD9" w:rsidRPr="00FB05EA" w:rsidP="009E2DD9" w14:paraId="1DB3AE19" w14:textId="3D3A0C93">
            <w:pPr>
              <w:jc w:val="center"/>
              <w:rPr>
                <w:iCs/>
              </w:rPr>
            </w:pPr>
            <w:r w:rsidRPr="00FB05EA">
              <w:rPr>
                <w:iCs/>
              </w:rPr>
              <w:t>Percentage Difference (1st Block)</w:t>
            </w:r>
          </w:p>
        </w:tc>
      </w:tr>
      <w:tr w14:paraId="2B8507E3" w14:textId="77777777" w:rsidTr="00446E40">
        <w:tblPrEx>
          <w:tblW w:w="0" w:type="auto"/>
          <w:tblInd w:w="720" w:type="dxa"/>
          <w:tblLook w:val="04A0"/>
        </w:tblPrEx>
        <w:tc>
          <w:tcPr>
            <w:tcW w:w="1017" w:type="dxa"/>
          </w:tcPr>
          <w:p w:rsidR="009E2DD9" w:rsidRPr="00FB05EA" w:rsidP="009E2DD9" w14:paraId="3048BCD1" w14:textId="018C4D73">
            <w:pPr>
              <w:jc w:val="center"/>
              <w:rPr>
                <w:iCs/>
              </w:rPr>
            </w:pPr>
            <w:r w:rsidRPr="00FB05EA">
              <w:rPr>
                <w:iCs/>
              </w:rPr>
              <w:t>AEP Ohio</w:t>
            </w:r>
          </w:p>
        </w:tc>
        <w:tc>
          <w:tcPr>
            <w:tcW w:w="1389" w:type="dxa"/>
          </w:tcPr>
          <w:p w:rsidR="009E2DD9" w:rsidRPr="00FB05EA" w:rsidP="009E2DD9" w14:paraId="718061F5" w14:textId="3310F6A5">
            <w:pPr>
              <w:jc w:val="center"/>
              <w:rPr>
                <w:iCs/>
              </w:rPr>
            </w:pPr>
            <w:r w:rsidRPr="00FB05EA">
              <w:rPr>
                <w:iCs/>
              </w:rPr>
              <w:t>$0.0053667</w:t>
            </w:r>
          </w:p>
        </w:tc>
        <w:tc>
          <w:tcPr>
            <w:tcW w:w="1389" w:type="dxa"/>
          </w:tcPr>
          <w:p w:rsidR="009E2DD9" w:rsidRPr="00FB05EA" w:rsidP="009E2DD9" w14:paraId="653AF182" w14:textId="33230E80">
            <w:pPr>
              <w:jc w:val="center"/>
              <w:rPr>
                <w:iCs/>
              </w:rPr>
            </w:pPr>
            <w:r w:rsidRPr="00FB05EA">
              <w:rPr>
                <w:iCs/>
              </w:rPr>
              <w:t>$0.0001756</w:t>
            </w:r>
          </w:p>
        </w:tc>
        <w:tc>
          <w:tcPr>
            <w:tcW w:w="1389" w:type="dxa"/>
          </w:tcPr>
          <w:p w:rsidR="009E2DD9" w:rsidRPr="00FB05EA" w:rsidP="009E2DD9" w14:paraId="214FEBA9" w14:textId="6507618D">
            <w:pPr>
              <w:jc w:val="center"/>
              <w:rPr>
                <w:iCs/>
              </w:rPr>
            </w:pPr>
            <w:r w:rsidRPr="00FB05EA">
              <w:rPr>
                <w:iCs/>
              </w:rPr>
              <w:t>$0.0024127</w:t>
            </w:r>
          </w:p>
        </w:tc>
        <w:tc>
          <w:tcPr>
            <w:tcW w:w="1389" w:type="dxa"/>
          </w:tcPr>
          <w:p w:rsidR="009E2DD9" w:rsidRPr="00FB05EA" w:rsidP="009E2DD9" w14:paraId="1210674C" w14:textId="24A7DC5B">
            <w:pPr>
              <w:jc w:val="center"/>
              <w:rPr>
                <w:iCs/>
              </w:rPr>
            </w:pPr>
            <w:r w:rsidRPr="00FB05EA">
              <w:rPr>
                <w:iCs/>
              </w:rPr>
              <w:t>$0.0001756</w:t>
            </w:r>
          </w:p>
        </w:tc>
        <w:tc>
          <w:tcPr>
            <w:tcW w:w="1337" w:type="dxa"/>
          </w:tcPr>
          <w:p w:rsidR="009E2DD9" w:rsidRPr="00FB05EA" w:rsidP="009E2DD9" w14:paraId="1A578B3B" w14:textId="32C44B87">
            <w:pPr>
              <w:jc w:val="center"/>
              <w:rPr>
                <w:iCs/>
              </w:rPr>
            </w:pPr>
            <w:r w:rsidRPr="00FB05EA">
              <w:rPr>
                <w:iCs/>
              </w:rPr>
              <w:t>122.4%</w:t>
            </w:r>
          </w:p>
        </w:tc>
      </w:tr>
      <w:tr w14:paraId="54C1A798" w14:textId="77777777" w:rsidTr="00446E40">
        <w:tblPrEx>
          <w:tblW w:w="0" w:type="auto"/>
          <w:tblInd w:w="720" w:type="dxa"/>
          <w:tblLook w:val="04A0"/>
        </w:tblPrEx>
        <w:tc>
          <w:tcPr>
            <w:tcW w:w="1017" w:type="dxa"/>
          </w:tcPr>
          <w:p w:rsidR="009E2DD9" w:rsidRPr="00FB05EA" w:rsidP="009E2DD9" w14:paraId="298C64CF" w14:textId="07DB9363">
            <w:pPr>
              <w:jc w:val="center"/>
              <w:rPr>
                <w:iCs/>
              </w:rPr>
            </w:pPr>
            <w:r w:rsidRPr="00FB05EA">
              <w:rPr>
                <w:iCs/>
              </w:rPr>
              <w:t>AES</w:t>
            </w:r>
          </w:p>
        </w:tc>
        <w:tc>
          <w:tcPr>
            <w:tcW w:w="1389" w:type="dxa"/>
          </w:tcPr>
          <w:p w:rsidR="009E2DD9" w:rsidRPr="00FB05EA" w:rsidP="009E2DD9" w14:paraId="0A042EC5" w14:textId="4145528C">
            <w:pPr>
              <w:jc w:val="center"/>
              <w:rPr>
                <w:iCs/>
              </w:rPr>
            </w:pPr>
            <w:r w:rsidRPr="00FB05EA">
              <w:rPr>
                <w:iCs/>
              </w:rPr>
              <w:t>$0.0035110</w:t>
            </w:r>
          </w:p>
        </w:tc>
        <w:tc>
          <w:tcPr>
            <w:tcW w:w="1389" w:type="dxa"/>
          </w:tcPr>
          <w:p w:rsidR="009E2DD9" w:rsidRPr="00FB05EA" w:rsidP="009E2DD9" w14:paraId="5D82FFAD" w14:textId="45AEB985">
            <w:pPr>
              <w:jc w:val="center"/>
              <w:rPr>
                <w:iCs/>
              </w:rPr>
            </w:pPr>
            <w:r w:rsidRPr="00FB05EA">
              <w:rPr>
                <w:iCs/>
              </w:rPr>
              <w:t>$0.0005700</w:t>
            </w:r>
          </w:p>
        </w:tc>
        <w:tc>
          <w:tcPr>
            <w:tcW w:w="1389" w:type="dxa"/>
          </w:tcPr>
          <w:p w:rsidR="009E2DD9" w:rsidRPr="00FB05EA" w:rsidP="009E2DD9" w14:paraId="05976DF6" w14:textId="4E768DDF">
            <w:pPr>
              <w:jc w:val="center"/>
              <w:rPr>
                <w:iCs/>
              </w:rPr>
            </w:pPr>
            <w:r w:rsidRPr="00FB05EA">
              <w:rPr>
                <w:iCs/>
              </w:rPr>
              <w:t>$0.0007223</w:t>
            </w:r>
          </w:p>
        </w:tc>
        <w:tc>
          <w:tcPr>
            <w:tcW w:w="1389" w:type="dxa"/>
          </w:tcPr>
          <w:p w:rsidR="009E2DD9" w:rsidRPr="00FB05EA" w:rsidP="009E2DD9" w14:paraId="1D622F3D" w14:textId="03984AD4">
            <w:pPr>
              <w:jc w:val="center"/>
              <w:rPr>
                <w:iCs/>
              </w:rPr>
            </w:pPr>
            <w:r w:rsidRPr="00FB05EA">
              <w:rPr>
                <w:iCs/>
              </w:rPr>
              <w:t>$0.0004213</w:t>
            </w:r>
          </w:p>
        </w:tc>
        <w:tc>
          <w:tcPr>
            <w:tcW w:w="1337" w:type="dxa"/>
          </w:tcPr>
          <w:p w:rsidR="009E2DD9" w:rsidRPr="00FB05EA" w:rsidP="009E2DD9" w14:paraId="5ABB0BD4" w14:textId="7AE25DFC">
            <w:pPr>
              <w:jc w:val="center"/>
              <w:rPr>
                <w:iCs/>
              </w:rPr>
            </w:pPr>
            <w:r w:rsidRPr="00FB05EA">
              <w:rPr>
                <w:iCs/>
              </w:rPr>
              <w:t>386.1%</w:t>
            </w:r>
          </w:p>
        </w:tc>
      </w:tr>
      <w:tr w14:paraId="2BFE8560" w14:textId="77777777" w:rsidTr="00446E40">
        <w:tblPrEx>
          <w:tblW w:w="0" w:type="auto"/>
          <w:tblInd w:w="720" w:type="dxa"/>
          <w:tblLook w:val="04A0"/>
        </w:tblPrEx>
        <w:tc>
          <w:tcPr>
            <w:tcW w:w="1017" w:type="dxa"/>
          </w:tcPr>
          <w:p w:rsidR="009E2DD9" w:rsidRPr="00FB05EA" w:rsidP="009E2DD9" w14:paraId="24475B6C" w14:textId="11D505FA">
            <w:pPr>
              <w:jc w:val="center"/>
              <w:rPr>
                <w:iCs/>
              </w:rPr>
            </w:pPr>
            <w:r w:rsidRPr="00FB05EA">
              <w:rPr>
                <w:iCs/>
              </w:rPr>
              <w:t>Duke</w:t>
            </w:r>
          </w:p>
        </w:tc>
        <w:tc>
          <w:tcPr>
            <w:tcW w:w="1389" w:type="dxa"/>
          </w:tcPr>
          <w:p w:rsidR="009E2DD9" w:rsidRPr="00FB05EA" w:rsidP="009E2DD9" w14:paraId="608AF29C" w14:textId="13560786">
            <w:pPr>
              <w:jc w:val="center"/>
              <w:rPr>
                <w:iCs/>
              </w:rPr>
            </w:pPr>
            <w:r w:rsidRPr="00FB05EA">
              <w:rPr>
                <w:iCs/>
              </w:rPr>
              <w:t>$0.0021270</w:t>
            </w:r>
          </w:p>
        </w:tc>
        <w:tc>
          <w:tcPr>
            <w:tcW w:w="1389" w:type="dxa"/>
          </w:tcPr>
          <w:p w:rsidR="009E2DD9" w:rsidRPr="00FB05EA" w:rsidP="009E2DD9" w14:paraId="4D8A233D" w14:textId="69E509F3">
            <w:pPr>
              <w:jc w:val="center"/>
              <w:rPr>
                <w:iCs/>
              </w:rPr>
            </w:pPr>
            <w:r w:rsidRPr="00FB05EA">
              <w:rPr>
                <w:iCs/>
              </w:rPr>
              <w:t>$0.0004690</w:t>
            </w:r>
          </w:p>
        </w:tc>
        <w:tc>
          <w:tcPr>
            <w:tcW w:w="1389" w:type="dxa"/>
          </w:tcPr>
          <w:p w:rsidR="009E2DD9" w:rsidRPr="00FB05EA" w:rsidP="009E2DD9" w14:paraId="4776A976" w14:textId="5E2A537B">
            <w:pPr>
              <w:jc w:val="center"/>
              <w:rPr>
                <w:iCs/>
              </w:rPr>
            </w:pPr>
            <w:r w:rsidRPr="00FB05EA">
              <w:rPr>
                <w:iCs/>
              </w:rPr>
              <w:t>$0.0006075</w:t>
            </w:r>
          </w:p>
        </w:tc>
        <w:tc>
          <w:tcPr>
            <w:tcW w:w="1389" w:type="dxa"/>
          </w:tcPr>
          <w:p w:rsidR="009E2DD9" w:rsidRPr="00FB05EA" w:rsidP="009E2DD9" w14:paraId="2E4FE697" w14:textId="52C6B3EE">
            <w:pPr>
              <w:jc w:val="center"/>
              <w:rPr>
                <w:iCs/>
              </w:rPr>
            </w:pPr>
            <w:r w:rsidRPr="00FB05EA">
              <w:rPr>
                <w:iCs/>
              </w:rPr>
              <w:t>$0.0003477</w:t>
            </w:r>
          </w:p>
        </w:tc>
        <w:tc>
          <w:tcPr>
            <w:tcW w:w="1337" w:type="dxa"/>
          </w:tcPr>
          <w:p w:rsidR="009E2DD9" w:rsidRPr="00FB05EA" w:rsidP="009E2DD9" w14:paraId="4A4DF6B6" w14:textId="6B487842">
            <w:pPr>
              <w:jc w:val="center"/>
              <w:rPr>
                <w:iCs/>
              </w:rPr>
            </w:pPr>
            <w:r w:rsidRPr="00FB05EA">
              <w:rPr>
                <w:iCs/>
              </w:rPr>
              <w:t>250.1%</w:t>
            </w:r>
          </w:p>
        </w:tc>
      </w:tr>
      <w:tr w14:paraId="3D3EFCE4" w14:textId="77777777" w:rsidTr="00446E40">
        <w:tblPrEx>
          <w:tblW w:w="0" w:type="auto"/>
          <w:tblInd w:w="720" w:type="dxa"/>
          <w:tblLook w:val="04A0"/>
        </w:tblPrEx>
        <w:tc>
          <w:tcPr>
            <w:tcW w:w="1017" w:type="dxa"/>
          </w:tcPr>
          <w:p w:rsidR="009E2DD9" w:rsidRPr="00FB05EA" w:rsidP="009E2DD9" w14:paraId="5E4F84DF" w14:textId="4E1C1078">
            <w:pPr>
              <w:jc w:val="center"/>
              <w:rPr>
                <w:iCs/>
              </w:rPr>
            </w:pPr>
            <w:r w:rsidRPr="00FB05EA">
              <w:rPr>
                <w:iCs/>
              </w:rPr>
              <w:t>CEI</w:t>
            </w:r>
          </w:p>
        </w:tc>
        <w:tc>
          <w:tcPr>
            <w:tcW w:w="1389" w:type="dxa"/>
          </w:tcPr>
          <w:p w:rsidR="009E2DD9" w:rsidRPr="00FB05EA" w:rsidP="009E2DD9" w14:paraId="2BA9466A" w14:textId="6E7C6284">
            <w:pPr>
              <w:jc w:val="center"/>
              <w:rPr>
                <w:iCs/>
              </w:rPr>
            </w:pPr>
            <w:r w:rsidRPr="00FB05EA">
              <w:rPr>
                <w:iCs/>
              </w:rPr>
              <w:t>$0.0020060</w:t>
            </w:r>
          </w:p>
        </w:tc>
        <w:tc>
          <w:tcPr>
            <w:tcW w:w="1389" w:type="dxa"/>
          </w:tcPr>
          <w:p w:rsidR="009E2DD9" w:rsidRPr="00FB05EA" w:rsidP="009E2DD9" w14:paraId="17FF1D76" w14:textId="32D05D5A">
            <w:pPr>
              <w:jc w:val="center"/>
              <w:rPr>
                <w:iCs/>
              </w:rPr>
            </w:pPr>
            <w:r w:rsidRPr="00FB05EA">
              <w:rPr>
                <w:iCs/>
              </w:rPr>
              <w:t>$0.0005680</w:t>
            </w:r>
          </w:p>
        </w:tc>
        <w:tc>
          <w:tcPr>
            <w:tcW w:w="1389" w:type="dxa"/>
          </w:tcPr>
          <w:p w:rsidR="009E2DD9" w:rsidRPr="00FB05EA" w:rsidP="009E2DD9" w14:paraId="311A0040" w14:textId="15F02C93">
            <w:pPr>
              <w:jc w:val="center"/>
              <w:rPr>
                <w:iCs/>
              </w:rPr>
            </w:pPr>
            <w:r w:rsidRPr="00FB05EA">
              <w:rPr>
                <w:iCs/>
              </w:rPr>
              <w:t>$0.0015450</w:t>
            </w:r>
          </w:p>
        </w:tc>
        <w:tc>
          <w:tcPr>
            <w:tcW w:w="1389" w:type="dxa"/>
          </w:tcPr>
          <w:p w:rsidR="009E2DD9" w:rsidRPr="00FB05EA" w:rsidP="009E2DD9" w14:paraId="4D885C8F" w14:textId="5D4DCF28">
            <w:pPr>
              <w:jc w:val="center"/>
              <w:rPr>
                <w:iCs/>
              </w:rPr>
            </w:pPr>
            <w:r w:rsidRPr="00FB05EA">
              <w:rPr>
                <w:iCs/>
              </w:rPr>
              <w:t>$0.0005680</w:t>
            </w:r>
          </w:p>
        </w:tc>
        <w:tc>
          <w:tcPr>
            <w:tcW w:w="1337" w:type="dxa"/>
          </w:tcPr>
          <w:p w:rsidR="009E2DD9" w:rsidRPr="00FB05EA" w:rsidP="009E2DD9" w14:paraId="0353B477" w14:textId="17CB9A29">
            <w:pPr>
              <w:jc w:val="center"/>
              <w:rPr>
                <w:iCs/>
              </w:rPr>
            </w:pPr>
            <w:r w:rsidRPr="00FB05EA">
              <w:rPr>
                <w:iCs/>
              </w:rPr>
              <w:t>29.8%</w:t>
            </w:r>
          </w:p>
        </w:tc>
      </w:tr>
      <w:tr w14:paraId="4A8196EC" w14:textId="77777777" w:rsidTr="00446E40">
        <w:tblPrEx>
          <w:tblW w:w="0" w:type="auto"/>
          <w:tblInd w:w="720" w:type="dxa"/>
          <w:tblLook w:val="04A0"/>
        </w:tblPrEx>
        <w:tc>
          <w:tcPr>
            <w:tcW w:w="1017" w:type="dxa"/>
          </w:tcPr>
          <w:p w:rsidR="009E2DD9" w:rsidRPr="00FB05EA" w:rsidP="009E2DD9" w14:paraId="3478917F" w14:textId="036B94A6">
            <w:pPr>
              <w:jc w:val="center"/>
              <w:rPr>
                <w:iCs/>
              </w:rPr>
            </w:pPr>
            <w:r w:rsidRPr="00FB05EA">
              <w:rPr>
                <w:iCs/>
              </w:rPr>
              <w:t>OE</w:t>
            </w:r>
          </w:p>
        </w:tc>
        <w:tc>
          <w:tcPr>
            <w:tcW w:w="1389" w:type="dxa"/>
          </w:tcPr>
          <w:p w:rsidR="009E2DD9" w:rsidRPr="00FB05EA" w:rsidP="009E2DD9" w14:paraId="10727760" w14:textId="70DBF203">
            <w:pPr>
              <w:jc w:val="center"/>
              <w:rPr>
                <w:iCs/>
              </w:rPr>
            </w:pPr>
            <w:r w:rsidRPr="00FB05EA">
              <w:rPr>
                <w:iCs/>
              </w:rPr>
              <w:t>$0.0029592</w:t>
            </w:r>
          </w:p>
        </w:tc>
        <w:tc>
          <w:tcPr>
            <w:tcW w:w="1389" w:type="dxa"/>
          </w:tcPr>
          <w:p w:rsidR="009E2DD9" w:rsidRPr="00FB05EA" w:rsidP="009E2DD9" w14:paraId="125A673C" w14:textId="48E60C38">
            <w:pPr>
              <w:jc w:val="center"/>
              <w:rPr>
                <w:iCs/>
              </w:rPr>
            </w:pPr>
            <w:r w:rsidRPr="00FB05EA">
              <w:rPr>
                <w:iCs/>
              </w:rPr>
              <w:t>$0.0010461</w:t>
            </w:r>
          </w:p>
        </w:tc>
        <w:tc>
          <w:tcPr>
            <w:tcW w:w="1389" w:type="dxa"/>
          </w:tcPr>
          <w:p w:rsidR="009E2DD9" w:rsidRPr="00FB05EA" w:rsidP="009E2DD9" w14:paraId="3137159B" w14:textId="483A95C8">
            <w:pPr>
              <w:jc w:val="center"/>
              <w:rPr>
                <w:iCs/>
              </w:rPr>
            </w:pPr>
            <w:r w:rsidRPr="00FB05EA">
              <w:rPr>
                <w:iCs/>
              </w:rPr>
              <w:t>$0.0022477</w:t>
            </w:r>
          </w:p>
        </w:tc>
        <w:tc>
          <w:tcPr>
            <w:tcW w:w="1389" w:type="dxa"/>
          </w:tcPr>
          <w:p w:rsidR="009E2DD9" w:rsidRPr="00FB05EA" w:rsidP="009E2DD9" w14:paraId="2944A69D" w14:textId="771F5A02">
            <w:pPr>
              <w:jc w:val="center"/>
              <w:rPr>
                <w:iCs/>
              </w:rPr>
            </w:pPr>
            <w:r w:rsidRPr="00FB05EA">
              <w:rPr>
                <w:iCs/>
              </w:rPr>
              <w:t>$0.0010461</w:t>
            </w:r>
          </w:p>
        </w:tc>
        <w:tc>
          <w:tcPr>
            <w:tcW w:w="1337" w:type="dxa"/>
          </w:tcPr>
          <w:p w:rsidR="009E2DD9" w:rsidRPr="00FB05EA" w:rsidP="009E2DD9" w14:paraId="49B89D91" w14:textId="41DF215F">
            <w:pPr>
              <w:jc w:val="center"/>
              <w:rPr>
                <w:iCs/>
              </w:rPr>
            </w:pPr>
            <w:r w:rsidRPr="00FB05EA">
              <w:rPr>
                <w:iCs/>
              </w:rPr>
              <w:t>31.6%</w:t>
            </w:r>
          </w:p>
        </w:tc>
      </w:tr>
      <w:tr w14:paraId="7D10CDE3" w14:textId="77777777" w:rsidTr="00446E40">
        <w:tblPrEx>
          <w:tblW w:w="0" w:type="auto"/>
          <w:tblInd w:w="720" w:type="dxa"/>
          <w:tblLook w:val="04A0"/>
        </w:tblPrEx>
        <w:tc>
          <w:tcPr>
            <w:tcW w:w="1017" w:type="dxa"/>
          </w:tcPr>
          <w:p w:rsidR="009E2DD9" w:rsidRPr="00FB05EA" w:rsidP="009E2DD9" w14:paraId="6887AE01" w14:textId="134A463D">
            <w:pPr>
              <w:jc w:val="center"/>
              <w:rPr>
                <w:iCs/>
              </w:rPr>
            </w:pPr>
            <w:r w:rsidRPr="00FB05EA">
              <w:rPr>
                <w:iCs/>
              </w:rPr>
              <w:t>TE</w:t>
            </w:r>
          </w:p>
        </w:tc>
        <w:tc>
          <w:tcPr>
            <w:tcW w:w="1389" w:type="dxa"/>
          </w:tcPr>
          <w:p w:rsidR="009E2DD9" w:rsidRPr="00FB05EA" w:rsidP="009E2DD9" w14:paraId="382B4723" w14:textId="2D167640">
            <w:pPr>
              <w:jc w:val="center"/>
              <w:rPr>
                <w:iCs/>
              </w:rPr>
            </w:pPr>
            <w:r w:rsidRPr="00FB05EA">
              <w:rPr>
                <w:iCs/>
              </w:rPr>
              <w:t>$0.0027352</w:t>
            </w:r>
          </w:p>
        </w:tc>
        <w:tc>
          <w:tcPr>
            <w:tcW w:w="1389" w:type="dxa"/>
          </w:tcPr>
          <w:p w:rsidR="009E2DD9" w:rsidRPr="00FB05EA" w:rsidP="009E2DD9" w14:paraId="6F54DD55" w14:textId="3BF21820">
            <w:pPr>
              <w:jc w:val="center"/>
              <w:rPr>
                <w:iCs/>
              </w:rPr>
            </w:pPr>
            <w:r w:rsidRPr="00FB05EA">
              <w:rPr>
                <w:iCs/>
              </w:rPr>
              <w:t>$0.0005610</w:t>
            </w:r>
          </w:p>
        </w:tc>
        <w:tc>
          <w:tcPr>
            <w:tcW w:w="1389" w:type="dxa"/>
          </w:tcPr>
          <w:p w:rsidR="009E2DD9" w:rsidRPr="00FB05EA" w:rsidP="009E2DD9" w14:paraId="25BBFAFE" w14:textId="774535E6">
            <w:pPr>
              <w:jc w:val="center"/>
              <w:rPr>
                <w:iCs/>
              </w:rPr>
            </w:pPr>
            <w:r w:rsidRPr="00FB05EA">
              <w:rPr>
                <w:iCs/>
              </w:rPr>
              <w:t>$0.0021160</w:t>
            </w:r>
          </w:p>
        </w:tc>
        <w:tc>
          <w:tcPr>
            <w:tcW w:w="1389" w:type="dxa"/>
          </w:tcPr>
          <w:p w:rsidR="009E2DD9" w:rsidRPr="00FB05EA" w:rsidP="009E2DD9" w14:paraId="3798B884" w14:textId="5927836B">
            <w:pPr>
              <w:jc w:val="center"/>
              <w:rPr>
                <w:iCs/>
              </w:rPr>
            </w:pPr>
            <w:r w:rsidRPr="00FB05EA">
              <w:rPr>
                <w:iCs/>
              </w:rPr>
              <w:t>$0.0005610</w:t>
            </w:r>
          </w:p>
        </w:tc>
        <w:tc>
          <w:tcPr>
            <w:tcW w:w="1337" w:type="dxa"/>
          </w:tcPr>
          <w:p w:rsidR="009E2DD9" w:rsidRPr="00FB05EA" w:rsidP="009E2DD9" w14:paraId="78EB7C69" w14:textId="48F94438">
            <w:pPr>
              <w:jc w:val="center"/>
              <w:rPr>
                <w:iCs/>
              </w:rPr>
            </w:pPr>
            <w:r w:rsidRPr="00FB05EA">
              <w:rPr>
                <w:iCs/>
              </w:rPr>
              <w:t>29.3%</w:t>
            </w:r>
          </w:p>
        </w:tc>
      </w:tr>
    </w:tbl>
    <w:p w:rsidR="009E2DD9" w:rsidRPr="00FB05EA" w:rsidP="00F137A9" w14:paraId="0D0A4A6A" w14:textId="77777777">
      <w:pPr>
        <w:suppressLineNumbers/>
        <w:ind w:left="720" w:hanging="720"/>
        <w:jc w:val="center"/>
        <w:rPr>
          <w:b/>
          <w:bCs/>
          <w:iCs/>
        </w:rPr>
      </w:pPr>
    </w:p>
    <w:p w:rsidR="00B77304" w:rsidRPr="00FB05EA" w:rsidP="00B77304" w14:paraId="11997CA8" w14:textId="56AA793B">
      <w:pPr>
        <w:ind w:left="720" w:hanging="720"/>
        <w:rPr>
          <w:b/>
          <w:bCs/>
          <w:i/>
          <w:iCs/>
        </w:rPr>
      </w:pPr>
      <w:r w:rsidRPr="00FB05EA">
        <w:rPr>
          <w:b/>
          <w:bCs/>
          <w:i/>
          <w:iCs/>
        </w:rPr>
        <w:t>Q7.</w:t>
      </w:r>
      <w:r w:rsidRPr="00FB05EA">
        <w:rPr>
          <w:b/>
          <w:bCs/>
          <w:i/>
          <w:iCs/>
        </w:rPr>
        <w:tab/>
        <w:t>DOES THE SETTLEMENT FILED IN THIS PROCEEDING MEET THE FIRST PRONG OF THE PUCO’S SETTLEMENT STANDARD?</w:t>
      </w:r>
    </w:p>
    <w:p w:rsidR="00B77304" w:rsidRPr="00FB05EA" w:rsidP="00B77304" w14:paraId="64F9BA80" w14:textId="77777777">
      <w:pPr>
        <w:ind w:left="720" w:hanging="720"/>
        <w:rPr>
          <w:b/>
          <w:bCs/>
          <w:i/>
          <w:iCs/>
        </w:rPr>
      </w:pPr>
    </w:p>
    <w:p w:rsidR="00B77304" w:rsidRPr="00FB05EA" w:rsidP="00B77304" w14:paraId="484FEAB5" w14:textId="2C457954">
      <w:pPr>
        <w:spacing w:line="480" w:lineRule="auto"/>
        <w:ind w:left="720" w:hanging="720"/>
        <w:rPr>
          <w:iCs/>
        </w:rPr>
      </w:pPr>
      <w:r w:rsidRPr="00FB05EA">
        <w:rPr>
          <w:b/>
          <w:bCs/>
          <w:i/>
        </w:rPr>
        <w:t>A7.</w:t>
      </w:r>
      <w:r w:rsidRPr="00FB05EA">
        <w:rPr>
          <w:b/>
          <w:bCs/>
          <w:i/>
        </w:rPr>
        <w:tab/>
      </w:r>
      <w:r w:rsidRPr="00FB05EA">
        <w:rPr>
          <w:iCs/>
        </w:rPr>
        <w:t>No.</w:t>
      </w:r>
      <w:r w:rsidRPr="00FB05EA" w:rsidR="008B0314">
        <w:rPr>
          <w:iCs/>
        </w:rPr>
        <w:t xml:space="preserve"> </w:t>
      </w:r>
      <w:r w:rsidRPr="00FB05EA">
        <w:rPr>
          <w:iCs/>
        </w:rPr>
        <w:t>The Amended Application was filed on November 21, 2022.</w:t>
      </w:r>
      <w:r w:rsidRPr="00FB05EA" w:rsidR="008B0314">
        <w:rPr>
          <w:iCs/>
        </w:rPr>
        <w:t xml:space="preserve"> </w:t>
      </w:r>
      <w:r w:rsidRPr="00FB05EA">
        <w:rPr>
          <w:iCs/>
        </w:rPr>
        <w:t>The Supplemental Testimony of Megan Meadows filed in support of the Amended Application was also filed on November 21, 2022.</w:t>
      </w:r>
      <w:r w:rsidRPr="00FB05EA" w:rsidR="008B0314">
        <w:rPr>
          <w:iCs/>
        </w:rPr>
        <w:t xml:space="preserve"> </w:t>
      </w:r>
      <w:r w:rsidRPr="00FB05EA">
        <w:rPr>
          <w:iCs/>
        </w:rPr>
        <w:t xml:space="preserve">Two days later without any settlement meetings or settlement negotiations the Stipulation was agreed to by </w:t>
      </w:r>
      <w:r w:rsidRPr="00FB05EA" w:rsidR="00C93214">
        <w:rPr>
          <w:iCs/>
        </w:rPr>
        <w:t>IEU-Ohio, AES, AEP, Duke and ODOD</w:t>
      </w:r>
      <w:r w:rsidRPr="00FB05EA">
        <w:rPr>
          <w:iCs/>
        </w:rPr>
        <w:t xml:space="preserve"> and filed at the PUCO on November 23, 2022. A Settlement that reflects </w:t>
      </w:r>
      <w:r w:rsidRPr="00FB05EA" w:rsidR="00C93214">
        <w:rPr>
          <w:iCs/>
        </w:rPr>
        <w:t>limited</w:t>
      </w:r>
      <w:r w:rsidRPr="00FB05EA">
        <w:rPr>
          <w:iCs/>
        </w:rPr>
        <w:t xml:space="preserve"> bargaining </w:t>
      </w:r>
      <w:r w:rsidRPr="00FB05EA" w:rsidR="00C93214">
        <w:rPr>
          <w:iCs/>
        </w:rPr>
        <w:t xml:space="preserve">among the Signatory Parties </w:t>
      </w:r>
      <w:r w:rsidRPr="00FB05EA">
        <w:rPr>
          <w:iCs/>
        </w:rPr>
        <w:t xml:space="preserve">and incorporates the Amended Application without modification cannot possibly meet the PUCO standard. For this reason, the Settlement should be rejected. </w:t>
      </w:r>
    </w:p>
    <w:p w:rsidR="00B77304" w:rsidRPr="00FB05EA" w:rsidP="006A1192" w14:paraId="77D2F004" w14:textId="77777777">
      <w:pPr>
        <w:ind w:left="720" w:hanging="720"/>
        <w:rPr>
          <w:b/>
          <w:bCs/>
          <w:i/>
        </w:rPr>
      </w:pPr>
    </w:p>
    <w:p w:rsidR="00B125CF" w:rsidRPr="00FB05EA" w:rsidP="006A1192" w14:paraId="109C2D9C" w14:textId="1055D7FF">
      <w:pPr>
        <w:ind w:left="720" w:hanging="720"/>
        <w:rPr>
          <w:b/>
          <w:bCs/>
          <w:i/>
          <w:iCs/>
        </w:rPr>
      </w:pPr>
      <w:r w:rsidRPr="00FB05EA">
        <w:rPr>
          <w:b/>
          <w:bCs/>
          <w:i/>
        </w:rPr>
        <w:t>Q</w:t>
      </w:r>
      <w:r w:rsidRPr="00FB05EA" w:rsidR="003F5EC7">
        <w:rPr>
          <w:b/>
          <w:bCs/>
          <w:i/>
        </w:rPr>
        <w:t>8</w:t>
      </w:r>
      <w:r w:rsidRPr="00FB05EA">
        <w:rPr>
          <w:b/>
          <w:bCs/>
          <w:i/>
        </w:rPr>
        <w:t>.</w:t>
      </w:r>
      <w:r w:rsidRPr="00FB05EA">
        <w:rPr>
          <w:i/>
        </w:rPr>
        <w:t xml:space="preserve"> </w:t>
      </w:r>
      <w:r w:rsidRPr="00FB05EA">
        <w:rPr>
          <w:i/>
        </w:rPr>
        <w:tab/>
      </w:r>
      <w:r w:rsidRPr="00FB05EA">
        <w:rPr>
          <w:b/>
          <w:bCs/>
          <w:i/>
          <w:iCs/>
        </w:rPr>
        <w:t>PLEASE EXPLAIN WHY THE PROPOSED SETTLEMENT IS NOT A PRODUCT OF SERIOUS BARGAINING AMONG CAPABLE, KNOWLEDGEABLE PARTIES REPRESENTING DIVERSE INTERESTS?</w:t>
      </w:r>
    </w:p>
    <w:p w:rsidR="006A1192" w:rsidRPr="00FB05EA" w:rsidP="006A1192" w14:paraId="3049BF9F" w14:textId="77777777">
      <w:pPr>
        <w:ind w:left="720" w:hanging="720"/>
        <w:rPr>
          <w:i/>
        </w:rPr>
      </w:pPr>
    </w:p>
    <w:p w:rsidR="00B125CF" w:rsidRPr="00FB05EA" w14:paraId="528E735E" w14:textId="1A64E466">
      <w:pPr>
        <w:spacing w:line="480" w:lineRule="auto"/>
        <w:ind w:left="720" w:hanging="720"/>
        <w:rPr>
          <w:iCs/>
        </w:rPr>
      </w:pPr>
      <w:r w:rsidRPr="00FB05EA">
        <w:rPr>
          <w:b/>
          <w:bCs/>
          <w:i/>
        </w:rPr>
        <w:t>A</w:t>
      </w:r>
      <w:r w:rsidRPr="00FB05EA" w:rsidR="003F5EC7">
        <w:rPr>
          <w:b/>
          <w:bCs/>
          <w:i/>
        </w:rPr>
        <w:t>8</w:t>
      </w:r>
      <w:r w:rsidRPr="00FB05EA">
        <w:rPr>
          <w:b/>
          <w:bCs/>
          <w:i/>
        </w:rPr>
        <w:t>.</w:t>
      </w:r>
      <w:r w:rsidRPr="00FB05EA">
        <w:rPr>
          <w:b/>
          <w:bCs/>
          <w:i/>
        </w:rPr>
        <w:tab/>
      </w:r>
      <w:r w:rsidRPr="00FB05EA">
        <w:rPr>
          <w:iCs/>
        </w:rPr>
        <w:t xml:space="preserve">The PUCO sometimes considers whether stipulating parties reflect a diversity of interests. Especially in this case affecting at-risk Ohioans, the PUCO should consider diversity of interests in the ODOD/Electric Utilities/Industrial Groups’ Settlement. </w:t>
      </w:r>
    </w:p>
    <w:p w:rsidR="002A42E6" w:rsidRPr="00FB05EA" w14:paraId="6C2E49C9" w14:textId="77777777">
      <w:pPr>
        <w:spacing w:line="480" w:lineRule="auto"/>
        <w:ind w:left="720" w:hanging="720"/>
        <w:rPr>
          <w:iCs/>
        </w:rPr>
      </w:pPr>
    </w:p>
    <w:p w:rsidR="00B125CF" w:rsidRPr="00FB05EA" w14:paraId="3DECB1BE" w14:textId="537CDBF7">
      <w:pPr>
        <w:spacing w:line="480" w:lineRule="auto"/>
        <w:ind w:left="720"/>
        <w:rPr>
          <w:iCs/>
        </w:rPr>
      </w:pPr>
      <w:r w:rsidRPr="00FB05EA">
        <w:rPr>
          <w:iCs/>
        </w:rPr>
        <w:t>The Settlement lacks diverse interests, as no party that provides legal representation for residential consumers (here, OCC), signed the Settlement. The Settlement is signed by ODOD, the Electric Distribution Utilities, and industrial groups (Ohio Energy Group and Industrial Energy Users). ODOD is a state agency with the administrative oversight responsibility of the electric PIPP program. From its website, OEG’s purposes include “To negotiate with utilities and energy providers on behalf of OEG members.”</w:t>
      </w:r>
      <w:r w:rsidRPr="00FB05EA" w:rsidR="007A2F43">
        <w:rPr>
          <w:iCs/>
        </w:rPr>
        <w:t xml:space="preserve"> </w:t>
      </w:r>
      <w:r w:rsidRPr="00FB05EA">
        <w:rPr>
          <w:iCs/>
        </w:rPr>
        <w:t>And “</w:t>
      </w:r>
      <w:r w:rsidRPr="00FB05EA">
        <w:t>OEG is an organization of large energy-intensive, trade-exposed utility customers who share a common aim of securing reliable service at competitive rates.”</w:t>
      </w:r>
      <w:r w:rsidRPr="00FB05EA" w:rsidR="007A2F43">
        <w:rPr>
          <w:iCs/>
        </w:rPr>
        <w:t xml:space="preserve"> </w:t>
      </w:r>
      <w:r w:rsidRPr="00FB05EA">
        <w:t xml:space="preserve">From its website, </w:t>
      </w:r>
      <w:r w:rsidRPr="00FB05EA">
        <w:rPr>
          <w:color w:val="000000"/>
        </w:rPr>
        <w:t>IEU-Ohio “is a non-profit trade organization of energy-intensive Ohio industrial and commercial manufacturers working for reliable energy supplies at reasonable prices.”</w:t>
      </w:r>
    </w:p>
    <w:p w:rsidR="00B125CF" w:rsidRPr="00FB05EA" w14:paraId="3C6BA2A3" w14:textId="77777777">
      <w:pPr>
        <w:spacing w:line="480" w:lineRule="auto"/>
        <w:ind w:left="720" w:hanging="720"/>
        <w:rPr>
          <w:iCs/>
        </w:rPr>
      </w:pPr>
    </w:p>
    <w:p w:rsidR="002A42E6" w:rsidP="002A42E6" w14:paraId="47AC2D4F" w14:textId="35F6E061">
      <w:pPr>
        <w:spacing w:line="480" w:lineRule="auto"/>
        <w:ind w:left="720"/>
        <w:rPr>
          <w:iCs/>
        </w:rPr>
      </w:pPr>
      <w:r w:rsidRPr="00FB05EA">
        <w:rPr>
          <w:iCs/>
        </w:rPr>
        <w:t xml:space="preserve">The Settlement stipulators, with their limited interests, are not a proxy for those residential consumers that the Settlement most affects across Ohio. </w:t>
      </w:r>
    </w:p>
    <w:p w:rsidR="004C786F" w:rsidRPr="00FB05EA" w:rsidP="002A42E6" w14:paraId="5B0AC014" w14:textId="77777777">
      <w:pPr>
        <w:spacing w:line="480" w:lineRule="auto"/>
        <w:ind w:left="720"/>
        <w:rPr>
          <w:iCs/>
        </w:rPr>
      </w:pPr>
    </w:p>
    <w:p w:rsidR="00B125CF" w:rsidRPr="00FB05EA" w:rsidP="003425C6" w14:paraId="325A9A6C" w14:textId="2D5D3D0C">
      <w:pPr>
        <w:ind w:left="720" w:hanging="720"/>
        <w:rPr>
          <w:b/>
          <w:bCs/>
          <w:i/>
        </w:rPr>
      </w:pPr>
      <w:r w:rsidRPr="00FB05EA">
        <w:rPr>
          <w:b/>
          <w:bCs/>
          <w:i/>
        </w:rPr>
        <w:t>Q</w:t>
      </w:r>
      <w:r w:rsidRPr="00FB05EA" w:rsidR="003F5EC7">
        <w:rPr>
          <w:b/>
          <w:bCs/>
          <w:i/>
        </w:rPr>
        <w:t>9</w:t>
      </w:r>
      <w:r w:rsidRPr="00FB05EA">
        <w:rPr>
          <w:b/>
          <w:bCs/>
          <w:i/>
        </w:rPr>
        <w:t>.</w:t>
      </w:r>
      <w:r w:rsidRPr="00FB05EA">
        <w:rPr>
          <w:b/>
          <w:bCs/>
          <w:iCs/>
        </w:rPr>
        <w:tab/>
      </w:r>
      <w:r w:rsidRPr="00FB05EA">
        <w:rPr>
          <w:b/>
          <w:bCs/>
          <w:i/>
        </w:rPr>
        <w:t xml:space="preserve">PLEASE EXPLAIN WHY THE PROPOSED </w:t>
      </w:r>
      <w:r w:rsidRPr="00FB05EA" w:rsidR="00491D37">
        <w:rPr>
          <w:b/>
          <w:bCs/>
          <w:i/>
        </w:rPr>
        <w:t xml:space="preserve">JOINT </w:t>
      </w:r>
      <w:r w:rsidRPr="00FB05EA">
        <w:rPr>
          <w:b/>
          <w:bCs/>
          <w:i/>
        </w:rPr>
        <w:t>SETTLEMENT DOES NOT BENEFIT CUSTOMERS AND THE PUBLIC INTEREST.</w:t>
      </w:r>
    </w:p>
    <w:p w:rsidR="003425C6" w:rsidRPr="00FB05EA" w:rsidP="003425C6" w14:paraId="695EFC4A" w14:textId="77777777">
      <w:pPr>
        <w:ind w:left="720" w:hanging="720"/>
        <w:rPr>
          <w:b/>
          <w:bCs/>
        </w:rPr>
      </w:pPr>
    </w:p>
    <w:p w:rsidR="00491D37" w:rsidRPr="00FB05EA" w14:paraId="0BC5A207" w14:textId="56633BC7">
      <w:pPr>
        <w:spacing w:line="480" w:lineRule="auto"/>
        <w:ind w:left="720" w:hanging="720"/>
        <w:rPr>
          <w:iCs/>
        </w:rPr>
      </w:pPr>
      <w:r w:rsidRPr="00FB05EA">
        <w:rPr>
          <w:b/>
          <w:bCs/>
          <w:i/>
        </w:rPr>
        <w:t>A</w:t>
      </w:r>
      <w:r w:rsidRPr="00FB05EA" w:rsidR="003F5EC7">
        <w:rPr>
          <w:b/>
          <w:bCs/>
          <w:i/>
        </w:rPr>
        <w:t>9</w:t>
      </w:r>
      <w:r w:rsidRPr="00FB05EA">
        <w:rPr>
          <w:b/>
          <w:bCs/>
          <w:i/>
        </w:rPr>
        <w:t>.</w:t>
      </w:r>
      <w:r w:rsidRPr="00FB05EA">
        <w:rPr>
          <w:iCs/>
        </w:rPr>
        <w:tab/>
      </w:r>
      <w:r w:rsidRPr="00FB05EA" w:rsidR="00446E40">
        <w:rPr>
          <w:iCs/>
        </w:rPr>
        <w:t xml:space="preserve">The proposed </w:t>
      </w:r>
      <w:r w:rsidRPr="00FB05EA">
        <w:rPr>
          <w:iCs/>
        </w:rPr>
        <w:t xml:space="preserve">Joint </w:t>
      </w:r>
      <w:r w:rsidRPr="00FB05EA" w:rsidR="00446E40">
        <w:rPr>
          <w:iCs/>
        </w:rPr>
        <w:t xml:space="preserve">Settlement </w:t>
      </w:r>
      <w:r w:rsidRPr="00FB05EA">
        <w:rPr>
          <w:iCs/>
        </w:rPr>
        <w:t>results in unreasonably high USF rates that contradict Ohio policy supporting reasonably priced retail electric service.</w:t>
      </w:r>
      <w:r>
        <w:rPr>
          <w:rStyle w:val="FootnoteReference"/>
          <w:iCs/>
        </w:rPr>
        <w:footnoteReference w:id="17"/>
      </w:r>
      <w:r w:rsidRPr="00FB05EA">
        <w:rPr>
          <w:iCs/>
        </w:rPr>
        <w:t xml:space="preserve"> Assuming 1,100 kWh monthly usage, a customer of AEP Ohio will experience a USF rate increase from $2.65 in December 2022 to $5.90 in January 2023. </w:t>
      </w:r>
      <w:r w:rsidRPr="00FB05EA" w:rsidR="009D0DA4">
        <w:rPr>
          <w:iCs/>
        </w:rPr>
        <w:t xml:space="preserve">This is a $3.25 or 123% increase for AEP consumers. </w:t>
      </w:r>
      <w:r w:rsidRPr="00FB05EA">
        <w:rPr>
          <w:iCs/>
        </w:rPr>
        <w:t xml:space="preserve">AES Ohio customers will experience a USF rate increase </w:t>
      </w:r>
      <w:r w:rsidRPr="00FB05EA" w:rsidR="00C93214">
        <w:rPr>
          <w:iCs/>
        </w:rPr>
        <w:t>from</w:t>
      </w:r>
      <w:r w:rsidRPr="00FB05EA">
        <w:rPr>
          <w:iCs/>
        </w:rPr>
        <w:t xml:space="preserve"> $0.79 in December 2022 to $3.86 in January 202</w:t>
      </w:r>
      <w:r w:rsidRPr="00FB05EA" w:rsidR="009D0DA4">
        <w:rPr>
          <w:iCs/>
        </w:rPr>
        <w:t>3</w:t>
      </w:r>
      <w:r w:rsidRPr="00FB05EA">
        <w:rPr>
          <w:iCs/>
        </w:rPr>
        <w:t xml:space="preserve">. </w:t>
      </w:r>
      <w:r w:rsidRPr="00FB05EA" w:rsidR="009D0DA4">
        <w:rPr>
          <w:iCs/>
        </w:rPr>
        <w:t>For AES consumers, this is a $3</w:t>
      </w:r>
      <w:r w:rsidRPr="00FB05EA" w:rsidR="00122558">
        <w:rPr>
          <w:iCs/>
        </w:rPr>
        <w:t>.</w:t>
      </w:r>
      <w:r w:rsidRPr="00FB05EA" w:rsidR="009D0DA4">
        <w:rPr>
          <w:iCs/>
        </w:rPr>
        <w:t xml:space="preserve">07 or 389% increase. </w:t>
      </w:r>
      <w:r w:rsidRPr="00FB05EA">
        <w:rPr>
          <w:iCs/>
        </w:rPr>
        <w:t xml:space="preserve">Customers of Duke Energy Ohio will experience a USF rate increase of $0.67 in December 2022 to $2.34 in January 2023. </w:t>
      </w:r>
      <w:r w:rsidRPr="00FB05EA" w:rsidR="009D0DA4">
        <w:rPr>
          <w:iCs/>
        </w:rPr>
        <w:t xml:space="preserve">This is a $1.67 or 249% increase for Duke consumers. </w:t>
      </w:r>
      <w:r w:rsidRPr="00FB05EA">
        <w:rPr>
          <w:iCs/>
        </w:rPr>
        <w:t>Th</w:t>
      </w:r>
      <w:r w:rsidRPr="00FB05EA" w:rsidR="0093329C">
        <w:rPr>
          <w:iCs/>
        </w:rPr>
        <w:t>ese</w:t>
      </w:r>
      <w:r w:rsidRPr="00FB05EA">
        <w:rPr>
          <w:iCs/>
        </w:rPr>
        <w:t xml:space="preserve"> are significant rate increases </w:t>
      </w:r>
      <w:r w:rsidRPr="00FB05EA" w:rsidR="00CA1AC8">
        <w:rPr>
          <w:iCs/>
        </w:rPr>
        <w:t xml:space="preserve">in a single rider over one month that do not consider the impact of other rate increases, rising </w:t>
      </w:r>
      <w:r w:rsidRPr="00FB05EA" w:rsidR="00037636">
        <w:rPr>
          <w:iCs/>
        </w:rPr>
        <w:t>electricity</w:t>
      </w:r>
      <w:r w:rsidRPr="00FB05EA" w:rsidR="00CA1AC8">
        <w:rPr>
          <w:iCs/>
        </w:rPr>
        <w:t xml:space="preserve"> costs, and on-going inflationary concerns.</w:t>
      </w:r>
      <w:r w:rsidRPr="00FB05EA" w:rsidR="007A2F43">
        <w:rPr>
          <w:iCs/>
        </w:rPr>
        <w:t xml:space="preserve"> </w:t>
      </w:r>
    </w:p>
    <w:p w:rsidR="00382A00" w:rsidRPr="00FB05EA" w14:paraId="6D7326D0" w14:textId="77777777">
      <w:pPr>
        <w:spacing w:line="480" w:lineRule="auto"/>
        <w:ind w:left="720" w:hanging="720"/>
        <w:rPr>
          <w:iCs/>
        </w:rPr>
      </w:pPr>
    </w:p>
    <w:p w:rsidR="00B125CF" w:rsidRPr="00FB05EA" w:rsidP="00CA1AC8" w14:paraId="58E2DDC6" w14:textId="2C3E141E">
      <w:pPr>
        <w:spacing w:line="480" w:lineRule="auto"/>
        <w:ind w:left="720"/>
        <w:rPr>
          <w:iCs/>
        </w:rPr>
      </w:pPr>
      <w:r w:rsidRPr="00FB05EA">
        <w:rPr>
          <w:iCs/>
        </w:rPr>
        <w:t>Customers and the public interest would not benefit</w:t>
      </w:r>
      <w:r w:rsidRPr="00FB05EA" w:rsidR="00C93214">
        <w:rPr>
          <w:iCs/>
        </w:rPr>
        <w:t xml:space="preserve"> from</w:t>
      </w:r>
      <w:r w:rsidRPr="00FB05EA">
        <w:rPr>
          <w:iCs/>
        </w:rPr>
        <w:t xml:space="preserve"> </w:t>
      </w:r>
      <w:r w:rsidRPr="00FB05EA">
        <w:rPr>
          <w:i/>
        </w:rPr>
        <w:t>unreasonably</w:t>
      </w:r>
      <w:r w:rsidRPr="00FB05EA">
        <w:rPr>
          <w:iCs/>
        </w:rPr>
        <w:t xml:space="preserve"> priced retail electric service, but that is what PIPP consumers are getting. The Settlement thus fails this prong. The PUCO should reject the Settlement.</w:t>
      </w:r>
    </w:p>
    <w:p w:rsidR="00B125CF" w:rsidRPr="00FB05EA" w14:paraId="1262EC25" w14:textId="77777777">
      <w:pPr>
        <w:spacing w:line="480" w:lineRule="auto"/>
        <w:ind w:left="720" w:hanging="720"/>
        <w:rPr>
          <w:iCs/>
        </w:rPr>
      </w:pPr>
    </w:p>
    <w:p w:rsidR="00F83E29" w:rsidP="00F83E29" w14:paraId="4F4B60EF" w14:textId="7D7ADA1D">
      <w:pPr>
        <w:ind w:left="720" w:hanging="720"/>
        <w:rPr>
          <w:b/>
          <w:bCs/>
          <w:i/>
        </w:rPr>
      </w:pPr>
      <w:r w:rsidRPr="00FB05EA">
        <w:rPr>
          <w:b/>
          <w:bCs/>
          <w:i/>
        </w:rPr>
        <w:t>Q</w:t>
      </w:r>
      <w:r w:rsidRPr="00FB05EA" w:rsidR="00F03CC1">
        <w:rPr>
          <w:b/>
          <w:bCs/>
          <w:i/>
        </w:rPr>
        <w:t>10</w:t>
      </w:r>
      <w:r w:rsidRPr="00FB05EA">
        <w:rPr>
          <w:b/>
          <w:bCs/>
          <w:i/>
        </w:rPr>
        <w:t>.</w:t>
      </w:r>
      <w:r w:rsidRPr="00FB05EA">
        <w:rPr>
          <w:b/>
          <w:bCs/>
          <w:i/>
        </w:rPr>
        <w:tab/>
        <w:t>PLEASE EXPLAIN HOW THE SETTLEMENT VIOLATES IMPORTANT REGULATORY PRINCIPLES AND PRACTICES.</w:t>
      </w:r>
    </w:p>
    <w:p w:rsidR="004C786F" w:rsidRPr="00FB05EA" w:rsidP="00F83E29" w14:paraId="6D0E881D" w14:textId="77777777">
      <w:pPr>
        <w:ind w:left="720" w:hanging="720"/>
        <w:rPr>
          <w:b/>
          <w:bCs/>
          <w:i/>
        </w:rPr>
      </w:pPr>
    </w:p>
    <w:p w:rsidR="004C786F" w:rsidP="004C786F" w14:paraId="5962DD25" w14:textId="1F751B5C">
      <w:pPr>
        <w:spacing w:line="480" w:lineRule="auto"/>
        <w:ind w:left="720" w:hanging="720"/>
        <w:rPr>
          <w:iCs/>
        </w:rPr>
      </w:pPr>
      <w:r w:rsidRPr="00FB05EA">
        <w:rPr>
          <w:b/>
          <w:bCs/>
          <w:i/>
        </w:rPr>
        <w:t>A</w:t>
      </w:r>
      <w:r w:rsidRPr="00FB05EA" w:rsidR="00F03CC1">
        <w:rPr>
          <w:b/>
          <w:bCs/>
          <w:i/>
        </w:rPr>
        <w:t>10.</w:t>
      </w:r>
      <w:r w:rsidRPr="00FB05EA">
        <w:rPr>
          <w:iCs/>
        </w:rPr>
        <w:tab/>
      </w:r>
      <w:r w:rsidRPr="00FB05EA" w:rsidR="009D0DA4">
        <w:rPr>
          <w:iCs/>
        </w:rPr>
        <w:t>The significant increases in the USF Rider rates are unjust and unreasonable in violation of R.C. 4905.22.</w:t>
      </w:r>
      <w:r w:rsidRPr="00FB05EA" w:rsidR="008B0314">
        <w:rPr>
          <w:iCs/>
        </w:rPr>
        <w:t xml:space="preserve"> </w:t>
      </w:r>
      <w:r w:rsidRPr="00FB05EA" w:rsidR="009D0DA4">
        <w:rPr>
          <w:iCs/>
        </w:rPr>
        <w:t xml:space="preserve">In addition, </w:t>
      </w:r>
      <w:r w:rsidRPr="00FB05EA">
        <w:rPr>
          <w:iCs/>
        </w:rPr>
        <w:t xml:space="preserve">the Settlement contradicts </w:t>
      </w:r>
      <w:r w:rsidRPr="00FB05EA" w:rsidR="00CA1AC8">
        <w:rPr>
          <w:iCs/>
        </w:rPr>
        <w:t xml:space="preserve">Ohio law. R.C. 4928.542(C) requires the competitive auction process to provide the best value for customers paying the USF. The increase in the USF rates is largely attributable to the competitive PIPP auction process </w:t>
      </w:r>
      <w:r w:rsidRPr="00FB05EA">
        <w:rPr>
          <w:iCs/>
        </w:rPr>
        <w:t xml:space="preserve">that has resulted in PIPP rates for electricity that are significantly higher on a per kWh basis than the electric rates that are charged to non-PIPP customers on the EDU SSO. </w:t>
      </w:r>
      <w:r w:rsidRPr="00FB05EA" w:rsidR="00037636">
        <w:rPr>
          <w:iCs/>
        </w:rPr>
        <w:t xml:space="preserve">The PUCO and ODOD need to find a </w:t>
      </w:r>
      <w:r w:rsidRPr="00FB05EA" w:rsidR="006F438C">
        <w:rPr>
          <w:iCs/>
        </w:rPr>
        <w:t xml:space="preserve">competitive auction </w:t>
      </w:r>
      <w:r w:rsidRPr="00FB05EA" w:rsidR="00037636">
        <w:rPr>
          <w:iCs/>
        </w:rPr>
        <w:t>procurement process</w:t>
      </w:r>
      <w:r w:rsidRPr="00FB05EA" w:rsidR="006F438C">
        <w:rPr>
          <w:iCs/>
        </w:rPr>
        <w:t xml:space="preserve"> for at-risk low-income</w:t>
      </w:r>
      <w:r w:rsidRPr="00FB05EA" w:rsidR="00037636">
        <w:rPr>
          <w:iCs/>
        </w:rPr>
        <w:t xml:space="preserve"> </w:t>
      </w:r>
      <w:r w:rsidRPr="00FB05EA" w:rsidR="006F438C">
        <w:rPr>
          <w:iCs/>
        </w:rPr>
        <w:t xml:space="preserve">Ohioans </w:t>
      </w:r>
      <w:r w:rsidRPr="00FB05EA" w:rsidR="00037636">
        <w:rPr>
          <w:iCs/>
        </w:rPr>
        <w:t>that abides by Ohio law</w:t>
      </w:r>
      <w:r w:rsidRPr="00FB05EA" w:rsidR="006F438C">
        <w:rPr>
          <w:iCs/>
        </w:rPr>
        <w:t>.</w:t>
      </w:r>
      <w:r w:rsidRPr="00FB05EA" w:rsidR="00037636">
        <w:rPr>
          <w:iCs/>
        </w:rPr>
        <w:t xml:space="preserve"> </w:t>
      </w:r>
      <w:r w:rsidRPr="00FB05EA" w:rsidR="006F438C">
        <w:rPr>
          <w:iCs/>
        </w:rPr>
        <w:t>U</w:t>
      </w:r>
      <w:r w:rsidRPr="00FB05EA" w:rsidR="00037636">
        <w:rPr>
          <w:iCs/>
        </w:rPr>
        <w:t xml:space="preserve">ntil this happens both agencies are </w:t>
      </w:r>
      <w:r w:rsidRPr="00FB05EA" w:rsidR="00D8541F">
        <w:rPr>
          <w:iCs/>
        </w:rPr>
        <w:t xml:space="preserve">participating in a </w:t>
      </w:r>
      <w:r w:rsidRPr="00FB05EA" w:rsidR="006F438C">
        <w:rPr>
          <w:iCs/>
        </w:rPr>
        <w:t xml:space="preserve">Settlements </w:t>
      </w:r>
      <w:r w:rsidRPr="00FB05EA" w:rsidR="00D8541F">
        <w:rPr>
          <w:iCs/>
        </w:rPr>
        <w:t xml:space="preserve">(through signature or non-opposition) </w:t>
      </w:r>
      <w:r w:rsidRPr="00FB05EA" w:rsidR="006F438C">
        <w:rPr>
          <w:iCs/>
        </w:rPr>
        <w:t xml:space="preserve">that </w:t>
      </w:r>
      <w:r w:rsidRPr="00FB05EA" w:rsidR="00037636">
        <w:rPr>
          <w:iCs/>
        </w:rPr>
        <w:t>violat</w:t>
      </w:r>
      <w:r w:rsidRPr="00FB05EA" w:rsidR="006F438C">
        <w:rPr>
          <w:iCs/>
        </w:rPr>
        <w:t>e</w:t>
      </w:r>
      <w:r w:rsidRPr="00FB05EA" w:rsidR="00037636">
        <w:rPr>
          <w:iCs/>
        </w:rPr>
        <w:t xml:space="preserve"> important regulatory principles. </w:t>
      </w:r>
      <w:r w:rsidRPr="00FB05EA">
        <w:rPr>
          <w:iCs/>
        </w:rPr>
        <w:t xml:space="preserve">The Settlement thus </w:t>
      </w:r>
      <w:r w:rsidRPr="00FB05EA" w:rsidR="00037636">
        <w:rPr>
          <w:iCs/>
        </w:rPr>
        <w:t>fails</w:t>
      </w:r>
      <w:r w:rsidRPr="00FB05EA">
        <w:rPr>
          <w:iCs/>
        </w:rPr>
        <w:t xml:space="preserve"> this prong. The PUCO should not approve the Settlement.</w:t>
      </w:r>
      <w:r w:rsidRPr="00FB05EA" w:rsidR="007A2F43">
        <w:rPr>
          <w:iCs/>
        </w:rPr>
        <w:t xml:space="preserve"> </w:t>
      </w:r>
      <w:r>
        <w:rPr>
          <w:iCs/>
        </w:rPr>
        <w:br w:type="page"/>
      </w:r>
    </w:p>
    <w:p w:rsidR="00B125CF" w:rsidRPr="00FB05EA" w14:paraId="33DABE43" w14:textId="2379432A">
      <w:pPr>
        <w:pStyle w:val="Heading1"/>
      </w:pPr>
      <w:bookmarkStart w:id="14" w:name="_Toc200862193"/>
      <w:bookmarkStart w:id="15" w:name="_Toc200862239"/>
      <w:bookmarkStart w:id="16" w:name="_Toc200862280"/>
      <w:bookmarkStart w:id="17" w:name="_Toc250355738"/>
      <w:bookmarkStart w:id="18" w:name="_Toc264032016"/>
      <w:bookmarkStart w:id="19" w:name="_Toc317859577"/>
      <w:bookmarkStart w:id="20" w:name="_Toc317859765"/>
      <w:bookmarkStart w:id="21" w:name="_Toc386462076"/>
      <w:bookmarkStart w:id="22" w:name="_Toc398624433"/>
      <w:bookmarkStart w:id="23" w:name="_Toc407798631"/>
      <w:bookmarkStart w:id="24" w:name="_Toc480889295"/>
      <w:bookmarkStart w:id="25" w:name="_Toc120115158"/>
      <w:r w:rsidRPr="00FB05EA">
        <w:t>Iv.</w:t>
      </w:r>
      <w:r w:rsidRPr="00FB05EA">
        <w:tab/>
        <w:t>CONCLUSION</w:t>
      </w:r>
      <w:bookmarkEnd w:id="14"/>
      <w:bookmarkEnd w:id="15"/>
      <w:bookmarkEnd w:id="16"/>
      <w:bookmarkEnd w:id="17"/>
      <w:bookmarkEnd w:id="18"/>
      <w:bookmarkEnd w:id="19"/>
      <w:bookmarkEnd w:id="20"/>
      <w:bookmarkEnd w:id="21"/>
      <w:bookmarkEnd w:id="22"/>
      <w:bookmarkEnd w:id="23"/>
      <w:bookmarkEnd w:id="24"/>
      <w:bookmarkEnd w:id="25"/>
    </w:p>
    <w:p w:rsidR="00B125CF" w:rsidRPr="00FB05EA" w14:paraId="69C1CFA7" w14:textId="77777777">
      <w:pPr>
        <w:spacing w:line="480" w:lineRule="auto"/>
      </w:pPr>
    </w:p>
    <w:p w:rsidR="00B125CF" w:rsidRPr="00FB05EA" w14:paraId="4B48262A" w14:textId="0F6DCC2D">
      <w:pPr>
        <w:pStyle w:val="Question"/>
        <w:rPr>
          <w:rFonts w:ascii="Times New Roman" w:hAnsi="Times New Roman"/>
        </w:rPr>
      </w:pPr>
      <w:r w:rsidRPr="00FB05EA">
        <w:rPr>
          <w:rFonts w:ascii="Times New Roman" w:hAnsi="Times New Roman"/>
        </w:rPr>
        <w:t>Q1</w:t>
      </w:r>
      <w:r w:rsidRPr="00FB05EA" w:rsidR="00F03CC1">
        <w:rPr>
          <w:rFonts w:ascii="Times New Roman" w:hAnsi="Times New Roman"/>
        </w:rPr>
        <w:t>1</w:t>
      </w:r>
      <w:r w:rsidRPr="00FB05EA">
        <w:rPr>
          <w:rFonts w:ascii="Times New Roman" w:hAnsi="Times New Roman"/>
        </w:rPr>
        <w:t>.</w:t>
      </w:r>
      <w:r w:rsidRPr="00FB05EA">
        <w:rPr>
          <w:rFonts w:ascii="Times New Roman" w:hAnsi="Times New Roman"/>
        </w:rPr>
        <w:tab/>
        <w:t>DOES THIS CONCLUDE YOUR TESTIMONY?</w:t>
      </w:r>
    </w:p>
    <w:p w:rsidR="00B125CF" w:rsidRPr="00FB05EA" w14:paraId="29ECF3B3" w14:textId="13CE2085">
      <w:pPr>
        <w:pStyle w:val="BodyTextIndent3"/>
        <w:ind w:left="720" w:hanging="720"/>
        <w:sectPr w:rsidSect="00C85872">
          <w:headerReference w:type="default" r:id="rId11"/>
          <w:pgSz w:w="12240" w:h="15840" w:code="1"/>
          <w:pgMar w:top="1440" w:right="1800" w:bottom="1440" w:left="1800" w:header="720" w:footer="720" w:gutter="0"/>
          <w:lnNumType w:countBy="1"/>
          <w:pgNumType w:start="1"/>
          <w:cols w:space="720"/>
          <w:docGrid w:linePitch="326"/>
        </w:sectPr>
      </w:pPr>
      <w:r w:rsidRPr="00FB05EA">
        <w:rPr>
          <w:b/>
          <w:bCs/>
          <w:i/>
          <w:iCs/>
        </w:rPr>
        <w:t>A1</w:t>
      </w:r>
      <w:r w:rsidRPr="00FB05EA" w:rsidR="00F03CC1">
        <w:rPr>
          <w:b/>
          <w:bCs/>
          <w:i/>
          <w:iCs/>
        </w:rPr>
        <w:t>1</w:t>
      </w:r>
      <w:r w:rsidRPr="00FB05EA">
        <w:rPr>
          <w:b/>
          <w:bCs/>
          <w:i/>
          <w:iCs/>
        </w:rPr>
        <w:t>.</w:t>
      </w:r>
      <w:r w:rsidRPr="00FB05EA">
        <w:rPr>
          <w:b/>
          <w:bCs/>
          <w:i/>
          <w:iCs/>
        </w:rPr>
        <w:tab/>
      </w:r>
      <w:r w:rsidRPr="00FB05EA">
        <w:t xml:space="preserve">Yes. However, </w:t>
      </w:r>
      <w:r w:rsidRPr="00FB05EA" w:rsidR="00D467F5">
        <w:t>the Stipulation was filed late in the day on November 23, 2022.</w:t>
      </w:r>
      <w:r w:rsidRPr="00FB05EA" w:rsidR="008B0314">
        <w:t xml:space="preserve"> </w:t>
      </w:r>
      <w:r w:rsidRPr="00FB05EA" w:rsidR="00D467F5">
        <w:t>OCC is filing a Motion</w:t>
      </w:r>
      <w:r w:rsidRPr="00FB05EA" w:rsidR="006F438C">
        <w:t>s</w:t>
      </w:r>
      <w:r w:rsidRPr="00FB05EA" w:rsidR="00D467F5">
        <w:t xml:space="preserve"> for Extension and Continuance of the November 30, 2022 hearing because of the Thanksgiving Holiday and the compressed time period to prepare an opposition.</w:t>
      </w:r>
      <w:r w:rsidRPr="00FB05EA" w:rsidR="008B0314">
        <w:t xml:space="preserve"> </w:t>
      </w:r>
      <w:r w:rsidRPr="00FB05EA" w:rsidR="00D467F5">
        <w:t xml:space="preserve">If </w:t>
      </w:r>
      <w:r w:rsidRPr="00FB05EA" w:rsidR="006F438C">
        <w:t>OCC’s Motions are granted</w:t>
      </w:r>
      <w:r w:rsidRPr="00FB05EA" w:rsidR="00D467F5">
        <w:t xml:space="preserve">, </w:t>
      </w:r>
      <w:r w:rsidRPr="00FB05EA">
        <w:t xml:space="preserve">I reserve the right to </w:t>
      </w:r>
      <w:r w:rsidRPr="00FB05EA" w:rsidR="004904BE">
        <w:t xml:space="preserve">supplement this testimony with further detailed analysis </w:t>
      </w:r>
      <w:r w:rsidRPr="00FB05EA">
        <w:t xml:space="preserve">that may become available through </w:t>
      </w:r>
      <w:r w:rsidRPr="00FB05EA" w:rsidR="00C629B0">
        <w:t xml:space="preserve">additional time to </w:t>
      </w:r>
      <w:r w:rsidRPr="00FB05EA" w:rsidR="006F438C">
        <w:t>conduct discovery on the</w:t>
      </w:r>
      <w:r w:rsidRPr="00FB05EA" w:rsidR="00C629B0">
        <w:t xml:space="preserve"> </w:t>
      </w:r>
      <w:r w:rsidRPr="00FB05EA" w:rsidR="006F438C">
        <w:t>Amended A</w:t>
      </w:r>
      <w:r w:rsidRPr="00FB05EA" w:rsidR="00C629B0">
        <w:t>pplication (filed November 21, 2022), Supplemental Testimony of Megan Meadows (filed November 21, 2022) and the Stipulation.</w:t>
      </w:r>
    </w:p>
    <w:p w:rsidR="00B125CF" w:rsidRPr="00FB05EA" w14:paraId="024DD6B9" w14:textId="77777777">
      <w:pPr>
        <w:pStyle w:val="BodyText"/>
        <w:jc w:val="center"/>
        <w:rPr>
          <w:b/>
          <w:u w:val="single"/>
        </w:rPr>
      </w:pPr>
      <w:r w:rsidRPr="00FB05EA">
        <w:rPr>
          <w:b/>
          <w:u w:val="single"/>
        </w:rPr>
        <w:t>CERTIFICATE OF SERVICE</w:t>
      </w:r>
    </w:p>
    <w:p w:rsidR="00B125CF" w:rsidRPr="00FB05EA" w14:paraId="7F332FA0" w14:textId="472B7705">
      <w:pPr>
        <w:spacing w:before="240" w:line="480" w:lineRule="auto"/>
        <w:ind w:firstLine="720"/>
      </w:pPr>
      <w:r w:rsidRPr="00FB05EA">
        <w:t xml:space="preserve">I hereby certify that a true copy of the foregoing </w:t>
      </w:r>
      <w:r w:rsidRPr="00FB05EA">
        <w:rPr>
          <w:iCs/>
        </w:rPr>
        <w:t>Testimony by James D. Williams on Behalf of Office of the Ohio Consumers’ Counsel was</w:t>
      </w:r>
      <w:r w:rsidRPr="00FB05EA">
        <w:t xml:space="preserve"> served via electronic transmission to the persons listed below on this 23</w:t>
      </w:r>
      <w:r w:rsidRPr="00FB05EA" w:rsidR="005337C8">
        <w:rPr>
          <w:vertAlign w:val="superscript"/>
        </w:rPr>
        <w:t>rd</w:t>
      </w:r>
      <w:r w:rsidRPr="00FB05EA" w:rsidR="005337C8">
        <w:t xml:space="preserve"> </w:t>
      </w:r>
      <w:r w:rsidRPr="00FB05EA">
        <w:t>day of November 2022.</w:t>
      </w:r>
    </w:p>
    <w:p w:rsidR="00B125CF" w:rsidRPr="00FB05EA" w14:paraId="69B704B6" w14:textId="77777777">
      <w:pPr>
        <w:tabs>
          <w:tab w:val="left" w:pos="5040"/>
        </w:tabs>
        <w:rPr>
          <w:i/>
          <w:iCs/>
          <w:u w:val="single"/>
        </w:rPr>
      </w:pPr>
      <w:r w:rsidRPr="00FB05EA">
        <w:tab/>
      </w:r>
      <w:r w:rsidRPr="00FB05EA">
        <w:rPr>
          <w:i/>
          <w:iCs/>
          <w:u w:val="single"/>
        </w:rPr>
        <w:t>/s/ Amy Botschner O’Brien</w:t>
      </w:r>
      <w:r w:rsidRPr="00FB05EA">
        <w:rPr>
          <w:i/>
          <w:iCs/>
          <w:u w:val="single"/>
        </w:rPr>
        <w:tab/>
      </w:r>
    </w:p>
    <w:p w:rsidR="00B125CF" w:rsidRPr="00FB05EA" w14:paraId="2D3CA724" w14:textId="77777777">
      <w:pPr>
        <w:tabs>
          <w:tab w:val="left" w:pos="5040"/>
        </w:tabs>
      </w:pPr>
      <w:r w:rsidRPr="00FB05EA">
        <w:tab/>
        <w:t>Amy Botschner O’Brien</w:t>
      </w:r>
    </w:p>
    <w:p w:rsidR="00B125CF" w:rsidRPr="00FB05EA" w14:paraId="0AE4CE92" w14:textId="77777777">
      <w:pPr>
        <w:tabs>
          <w:tab w:val="left" w:pos="5040"/>
        </w:tabs>
      </w:pPr>
      <w:r w:rsidRPr="00FB05EA">
        <w:tab/>
        <w:t>Assistant Consumers’ Counsel</w:t>
      </w:r>
    </w:p>
    <w:p w:rsidR="00B125CF" w:rsidRPr="00FB05EA" w14:paraId="06D57D40" w14:textId="77777777">
      <w:pPr>
        <w:suppressLineNumbers/>
      </w:pPr>
    </w:p>
    <w:p w:rsidR="00B125CF" w:rsidRPr="00FB05EA" w14:paraId="4732BB4B" w14:textId="77777777">
      <w:pPr>
        <w:suppressLineNumbers/>
      </w:pPr>
      <w:r w:rsidRPr="00FB05EA">
        <w:t>The PUCO’s e-filing system will electronically serve notice of the filing of this document on the following parties:</w:t>
      </w:r>
    </w:p>
    <w:p w:rsidR="00B125CF" w:rsidRPr="00FB05EA" w14:paraId="00480B2F" w14:textId="77777777">
      <w:pPr>
        <w:suppressLineNumbers/>
      </w:pPr>
    </w:p>
    <w:p w:rsidR="00B125CF" w:rsidRPr="00FB05EA" w14:paraId="66E1C2DE" w14:textId="77777777">
      <w:pPr>
        <w:pStyle w:val="CommentText"/>
        <w:jc w:val="center"/>
        <w:rPr>
          <w:b/>
          <w:sz w:val="24"/>
          <w:szCs w:val="24"/>
          <w:u w:val="single"/>
        </w:rPr>
      </w:pPr>
      <w:r w:rsidRPr="00FB05EA">
        <w:rPr>
          <w:b/>
          <w:sz w:val="24"/>
          <w:szCs w:val="24"/>
          <w:u w:val="single"/>
        </w:rPr>
        <w:t>SERVICE LIST</w:t>
      </w:r>
    </w:p>
    <w:p w:rsidR="00B125CF" w:rsidRPr="00FB05EA" w14:paraId="7DFDB2B6" w14:textId="77777777">
      <w:pPr>
        <w:pStyle w:val="CommentText"/>
        <w:jc w:val="center"/>
        <w:rPr>
          <w:b/>
          <w:sz w:val="24"/>
          <w:szCs w:val="24"/>
          <w:u w:val="single"/>
        </w:rPr>
      </w:pPr>
    </w:p>
    <w:tbl>
      <w:tblPr>
        <w:tblW w:w="0" w:type="auto"/>
        <w:tblLook w:val="04A0"/>
      </w:tblPr>
      <w:tblGrid>
        <w:gridCol w:w="4327"/>
        <w:gridCol w:w="4313"/>
      </w:tblGrid>
      <w:tr w14:paraId="0D01F5D7" w14:textId="77777777" w:rsidTr="00664ABC">
        <w:tblPrEx>
          <w:tblW w:w="0" w:type="auto"/>
          <w:tblLook w:val="04A0"/>
        </w:tblPrEx>
        <w:tc>
          <w:tcPr>
            <w:tcW w:w="4428" w:type="dxa"/>
            <w:shd w:val="clear" w:color="auto" w:fill="auto"/>
          </w:tcPr>
          <w:p w:rsidR="00547227" w:rsidRPr="00FB05EA" w:rsidP="00664ABC" w14:paraId="0B8ABC8A" w14:textId="77777777">
            <w:hyperlink r:id="rId12" w:history="1">
              <w:r w:rsidRPr="00FB05EA">
                <w:rPr>
                  <w:color w:val="0000FF"/>
                  <w:u w:val="single"/>
                </w:rPr>
                <w:t>sarah.feldkamp@ohioAGO.gov</w:t>
              </w:r>
            </w:hyperlink>
          </w:p>
          <w:p w:rsidR="00547227" w:rsidRPr="00FB05EA" w:rsidP="00664ABC" w14:paraId="646FB300" w14:textId="77777777">
            <w:hyperlink r:id="rId13" w:history="1">
              <w:r w:rsidRPr="00FB05EA">
                <w:rPr>
                  <w:color w:val="0000FF"/>
                  <w:u w:val="single"/>
                </w:rPr>
                <w:t>steven.beeler@ohioAGO.gov</w:t>
              </w:r>
            </w:hyperlink>
          </w:p>
          <w:p w:rsidR="00547227" w:rsidRPr="00FB05EA" w:rsidP="00664ABC" w14:paraId="2C330209" w14:textId="77777777">
            <w:pPr>
              <w:autoSpaceDE w:val="0"/>
              <w:autoSpaceDN w:val="0"/>
              <w:adjustRightInd w:val="0"/>
              <w:rPr>
                <w:color w:val="0000FF"/>
              </w:rPr>
            </w:pPr>
            <w:hyperlink r:id="rId13" w:history="1">
              <w:r w:rsidRPr="00FB05EA">
                <w:rPr>
                  <w:color w:val="0000FF"/>
                  <w:u w:val="single"/>
                </w:rPr>
                <w:t>mkurtz@BKLlawfirm.com</w:t>
              </w:r>
            </w:hyperlink>
          </w:p>
          <w:p w:rsidR="00547227" w:rsidRPr="00FB05EA" w:rsidP="00664ABC" w14:paraId="3BE1D07D" w14:textId="77777777">
            <w:pPr>
              <w:autoSpaceDE w:val="0"/>
              <w:autoSpaceDN w:val="0"/>
              <w:adjustRightInd w:val="0"/>
              <w:rPr>
                <w:color w:val="0000FF"/>
              </w:rPr>
            </w:pPr>
            <w:hyperlink r:id="rId13" w:history="1">
              <w:r w:rsidRPr="00FB05EA">
                <w:rPr>
                  <w:color w:val="0000FF"/>
                  <w:u w:val="single"/>
                </w:rPr>
                <w:t>kboehm@BKLlawfirm.com</w:t>
              </w:r>
            </w:hyperlink>
          </w:p>
          <w:p w:rsidR="00547227" w:rsidRPr="00FB05EA" w:rsidP="00664ABC" w14:paraId="61080E3F" w14:textId="77777777">
            <w:pPr>
              <w:rPr>
                <w:color w:val="0000FF"/>
                <w:u w:val="single"/>
              </w:rPr>
            </w:pPr>
            <w:hyperlink r:id="rId13" w:history="1">
              <w:r w:rsidRPr="00FB05EA">
                <w:rPr>
                  <w:color w:val="0000FF"/>
                  <w:u w:val="single"/>
                </w:rPr>
                <w:t>jkylercohn@BKLlawfirm.com</w:t>
              </w:r>
            </w:hyperlink>
          </w:p>
          <w:p w:rsidR="00547227" w:rsidRPr="00FB05EA" w:rsidP="00664ABC" w14:paraId="0D1761A1" w14:textId="77777777">
            <w:pPr>
              <w:rPr>
                <w:color w:val="0000FF"/>
              </w:rPr>
            </w:pPr>
            <w:hyperlink r:id="rId14" w:history="1">
              <w:r w:rsidRPr="00FB05EA">
                <w:rPr>
                  <w:color w:val="0000FF"/>
                  <w:u w:val="single"/>
                </w:rPr>
                <w:t>christopher.hollon@aes.com</w:t>
              </w:r>
            </w:hyperlink>
          </w:p>
          <w:p w:rsidR="00547227" w:rsidRPr="00FB05EA" w:rsidP="00664ABC" w14:paraId="55090FB0" w14:textId="77777777">
            <w:pPr>
              <w:rPr>
                <w:color w:val="0000FF"/>
              </w:rPr>
            </w:pPr>
            <w:hyperlink r:id="rId15" w:history="1">
              <w:r w:rsidRPr="00FB05EA">
                <w:rPr>
                  <w:color w:val="0000FF"/>
                  <w:u w:val="single"/>
                </w:rPr>
                <w:t>mjschuler@aep.com</w:t>
              </w:r>
            </w:hyperlink>
          </w:p>
          <w:p w:rsidR="00547227" w:rsidRPr="00FB05EA" w:rsidP="00664ABC" w14:paraId="57ABC79A" w14:textId="77777777">
            <w:pPr>
              <w:rPr>
                <w:color w:val="0000FF"/>
              </w:rPr>
            </w:pPr>
          </w:p>
          <w:p w:rsidR="00547227" w:rsidRPr="00FB05EA" w:rsidP="00664ABC" w14:paraId="741531AA" w14:textId="77777777">
            <w:r w:rsidRPr="00FB05EA">
              <w:t>Attorney Examiner:</w:t>
            </w:r>
          </w:p>
          <w:p w:rsidR="00547227" w:rsidRPr="00FB05EA" w:rsidP="00664ABC" w14:paraId="6C1F34FA" w14:textId="77777777">
            <w:pPr>
              <w:rPr>
                <w:color w:val="0000FF"/>
              </w:rPr>
            </w:pPr>
            <w:hyperlink r:id="rId16" w:history="1">
              <w:r w:rsidRPr="00FB05EA">
                <w:rPr>
                  <w:color w:val="0000FF"/>
                  <w:u w:val="single"/>
                </w:rPr>
                <w:t>greta.see@puco.ohio.gov</w:t>
              </w:r>
            </w:hyperlink>
          </w:p>
          <w:p w:rsidR="00547227" w:rsidRPr="00FB05EA" w:rsidP="00664ABC" w14:paraId="04403C28" w14:textId="77777777">
            <w:pPr>
              <w:rPr>
                <w:color w:val="0000FF"/>
              </w:rPr>
            </w:pPr>
          </w:p>
          <w:p w:rsidR="00547227" w:rsidRPr="00FB05EA" w:rsidP="00664ABC" w14:paraId="2F507C36" w14:textId="77777777"/>
        </w:tc>
        <w:tc>
          <w:tcPr>
            <w:tcW w:w="4428" w:type="dxa"/>
            <w:shd w:val="clear" w:color="auto" w:fill="auto"/>
          </w:tcPr>
          <w:p w:rsidR="00547227" w:rsidRPr="00FB05EA" w:rsidP="00664ABC" w14:paraId="3DB9E781" w14:textId="67BF9859">
            <w:pPr>
              <w:ind w:left="502"/>
              <w:rPr>
                <w:color w:val="0000FF"/>
                <w:u w:val="single"/>
              </w:rPr>
            </w:pPr>
            <w:hyperlink r:id="rId13" w:history="1">
              <w:r w:rsidRPr="00FB05EA">
                <w:rPr>
                  <w:color w:val="0000FF"/>
                  <w:u w:val="single"/>
                </w:rPr>
                <w:t>dstinson@bricker.com</w:t>
              </w:r>
            </w:hyperlink>
          </w:p>
          <w:p w:rsidR="00574885" w:rsidRPr="00FB05EA" w:rsidP="00664ABC" w14:paraId="3C448146" w14:textId="3A483F2F">
            <w:pPr>
              <w:ind w:left="502"/>
            </w:pPr>
            <w:hyperlink r:id="rId17" w:history="1">
              <w:r w:rsidRPr="00FB05EA">
                <w:rPr>
                  <w:rStyle w:val="Hyperlink"/>
                </w:rPr>
                <w:t>dproano@bakerlaw.com</w:t>
              </w:r>
            </w:hyperlink>
          </w:p>
          <w:p w:rsidR="00574885" w:rsidRPr="00FB05EA" w:rsidP="00664ABC" w14:paraId="4210E33C" w14:textId="06DF6927">
            <w:pPr>
              <w:ind w:left="502"/>
            </w:pPr>
            <w:hyperlink r:id="rId18" w:history="1">
              <w:r w:rsidRPr="00FB05EA">
                <w:rPr>
                  <w:rStyle w:val="Hyperlink"/>
                </w:rPr>
                <w:t>ahaque@bakerlaw.com</w:t>
              </w:r>
            </w:hyperlink>
          </w:p>
          <w:p w:rsidR="00574885" w:rsidRPr="00FB05EA" w:rsidP="00664ABC" w14:paraId="216DE9F5" w14:textId="4E019948">
            <w:pPr>
              <w:ind w:left="502"/>
            </w:pPr>
            <w:hyperlink r:id="rId19" w:history="1">
              <w:r w:rsidRPr="00FB05EA">
                <w:rPr>
                  <w:rStyle w:val="Hyperlink"/>
                </w:rPr>
                <w:t>eprouty@bakerlaw.com</w:t>
              </w:r>
            </w:hyperlink>
          </w:p>
          <w:p w:rsidR="00547227" w:rsidRPr="00FB05EA" w:rsidP="00664ABC" w14:paraId="75E9CB79" w14:textId="77777777">
            <w:pPr>
              <w:ind w:left="535"/>
            </w:pPr>
            <w:hyperlink r:id="rId20" w:history="1">
              <w:r w:rsidRPr="00FB05EA">
                <w:rPr>
                  <w:color w:val="0000FF"/>
                  <w:u w:val="single"/>
                </w:rPr>
                <w:t>rocco.dascenzo@duke-energy.com</w:t>
              </w:r>
            </w:hyperlink>
          </w:p>
          <w:p w:rsidR="00547227" w:rsidRPr="00FB05EA" w:rsidP="00664ABC" w14:paraId="252FCF1B" w14:textId="77777777">
            <w:pPr>
              <w:ind w:left="535"/>
            </w:pPr>
            <w:hyperlink r:id="rId21" w:history="1">
              <w:r w:rsidRPr="00FB05EA">
                <w:rPr>
                  <w:color w:val="0000FF"/>
                  <w:u w:val="single"/>
                </w:rPr>
                <w:t>jeanne.kingery@duke-energy.com</w:t>
              </w:r>
            </w:hyperlink>
          </w:p>
          <w:p w:rsidR="00547227" w:rsidRPr="00FB05EA" w:rsidP="00664ABC" w14:paraId="3628F2E2" w14:textId="77777777">
            <w:pPr>
              <w:ind w:left="535"/>
            </w:pPr>
            <w:hyperlink r:id="rId22" w:history="1">
              <w:r w:rsidRPr="00FB05EA">
                <w:rPr>
                  <w:color w:val="0000FF"/>
                  <w:u w:val="single"/>
                </w:rPr>
                <w:t>larisa.vaysman@duke-energy.com</w:t>
              </w:r>
            </w:hyperlink>
          </w:p>
          <w:p w:rsidR="00547227" w:rsidRPr="00FB05EA" w:rsidP="00664ABC" w14:paraId="5BFAAB28" w14:textId="77777777">
            <w:pPr>
              <w:ind w:left="535"/>
            </w:pPr>
            <w:hyperlink r:id="rId23" w:history="1">
              <w:r w:rsidRPr="00FB05EA">
                <w:rPr>
                  <w:color w:val="0000FF"/>
                  <w:u w:val="single"/>
                </w:rPr>
                <w:t>elyse.akhbari@duke-energy.com</w:t>
              </w:r>
            </w:hyperlink>
          </w:p>
          <w:p w:rsidR="00547227" w:rsidRPr="00FB05EA" w:rsidP="00664ABC" w14:paraId="3A84FC51" w14:textId="77777777">
            <w:pPr>
              <w:ind w:left="535"/>
            </w:pPr>
            <w:hyperlink r:id="rId24" w:history="1">
              <w:r w:rsidRPr="00FB05EA">
                <w:rPr>
                  <w:color w:val="0000FF"/>
                  <w:u w:val="single"/>
                </w:rPr>
                <w:t>jbreig@beneschlaw.com</w:t>
              </w:r>
            </w:hyperlink>
          </w:p>
          <w:p w:rsidR="00547227" w:rsidRPr="00FB05EA" w:rsidP="00664ABC" w14:paraId="1AD080A7" w14:textId="77777777">
            <w:pPr>
              <w:ind w:left="535"/>
            </w:pPr>
          </w:p>
          <w:p w:rsidR="00547227" w:rsidRPr="00FB05EA" w:rsidP="00664ABC" w14:paraId="4BE4363F" w14:textId="77777777">
            <w:pPr>
              <w:ind w:left="535"/>
            </w:pPr>
          </w:p>
        </w:tc>
      </w:tr>
    </w:tbl>
    <w:p w:rsidR="00B125CF" w:rsidRPr="00FB05EA" w14:paraId="1D19F6DA" w14:textId="77777777">
      <w:pPr>
        <w:tabs>
          <w:tab w:val="left" w:pos="5040"/>
        </w:tabs>
        <w:jc w:val="center"/>
        <w:rPr>
          <w:b/>
          <w:u w:val="single"/>
        </w:rPr>
      </w:pPr>
    </w:p>
    <w:sectPr>
      <w:headerReference w:type="even" r:id="rId25"/>
      <w:headerReference w:type="default" r:id="rId26"/>
      <w:footerReference w:type="default" r:id="rId27"/>
      <w:headerReference w:type="first" r:id="rId2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37697FA1" w14:textId="77777777">
    <w:pPr>
      <w:pStyle w:val="Footer"/>
      <w:jc w:val="center"/>
    </w:pPr>
    <w: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9155932"/>
      <w:docPartObj>
        <w:docPartGallery w:val="Page Numbers (Bottom of Page)"/>
        <w:docPartUnique/>
      </w:docPartObj>
    </w:sdtPr>
    <w:sdtEndPr>
      <w:rPr>
        <w:noProof/>
      </w:rPr>
    </w:sdtEndPr>
    <w:sdtContent>
      <w:p w:rsidR="00B125CF" w14:paraId="7DDAA7CF"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4023649"/>
      <w:docPartObj>
        <w:docPartGallery w:val="Page Numbers (Bottom of Page)"/>
        <w:docPartUnique/>
      </w:docPartObj>
    </w:sdtPr>
    <w:sdtEndPr>
      <w:rPr>
        <w:noProof/>
      </w:rPr>
    </w:sdtEndPr>
    <w:sdtContent>
      <w:p w:rsidR="00B125CF" w14:paraId="0CA3119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3EED" w14:paraId="4C459AE5" w14:textId="77777777">
      <w:r>
        <w:separator/>
      </w:r>
    </w:p>
  </w:footnote>
  <w:footnote w:type="continuationSeparator" w:id="1">
    <w:p w:rsidR="00083EED" w14:paraId="266C1345" w14:textId="77777777">
      <w:r>
        <w:continuationSeparator/>
      </w:r>
    </w:p>
  </w:footnote>
  <w:footnote w:id="2">
    <w:p w:rsidR="001B57B8" w14:paraId="4E8CC807" w14:textId="28617F45">
      <w:pPr>
        <w:pStyle w:val="FootnoteText"/>
      </w:pPr>
      <w:r>
        <w:rPr>
          <w:rStyle w:val="FootnoteReference"/>
        </w:rPr>
        <w:footnoteRef/>
      </w:r>
      <w:r>
        <w:t xml:space="preserve"> </w:t>
      </w:r>
      <w:r>
        <w:rPr>
          <w:i/>
          <w:iCs/>
        </w:rPr>
        <w:t>In the Matter of the Application of the Ohio Department of Development for an Order Approving Adjustments to the Universal Service Fund Riders of Jurisdictional Ohio Electric Distribution Utilities</w:t>
      </w:r>
      <w:r>
        <w:t>, Case No. 22-556-EL-USF, Joint Stipulation and Recommendation (August 5, 2022).</w:t>
      </w:r>
    </w:p>
  </w:footnote>
  <w:footnote w:id="3">
    <w:p w:rsidR="00B125CF" w14:paraId="20A6F52A" w14:textId="511A9ED6">
      <w:pPr>
        <w:pStyle w:val="FootnoteText"/>
      </w:pPr>
      <w:r>
        <w:rPr>
          <w:rStyle w:val="FootnoteReference"/>
        </w:rPr>
        <w:footnoteRef/>
      </w:r>
      <w:r>
        <w:t xml:space="preserve"> </w:t>
      </w:r>
      <w:r>
        <w:rPr>
          <w:i/>
          <w:iCs/>
        </w:rPr>
        <w:t>In the Matter of the Application of the Ohio Department of Development for an Order Approving Adjustments to the Universal Service Fund Riders of Jurisdictional Ohio Electric Distribution Utilities</w:t>
      </w:r>
      <w:r>
        <w:t>, Case No. 22-556-EL-USF, Joint Stipulation and Recommendation (</w:t>
      </w:r>
      <w:r w:rsidR="00395C5E">
        <w:t xml:space="preserve">November </w:t>
      </w:r>
      <w:r w:rsidR="009B4371">
        <w:t>23</w:t>
      </w:r>
      <w:r w:rsidR="00395C5E">
        <w:t xml:space="preserve">, </w:t>
      </w:r>
      <w:r>
        <w:t>2022)</w:t>
      </w:r>
      <w:r w:rsidR="00395C5E">
        <w:t xml:space="preserve"> at 4. </w:t>
      </w:r>
      <w:r>
        <w:t xml:space="preserve">The Settlement claims that </w:t>
      </w:r>
      <w:r w:rsidR="00395C5E">
        <w:t xml:space="preserve">while </w:t>
      </w:r>
      <w:r>
        <w:t xml:space="preserve">the Commission Staff </w:t>
      </w:r>
      <w:r w:rsidR="00395C5E">
        <w:t xml:space="preserve">is not signatory to </w:t>
      </w:r>
      <w:r>
        <w:t>the Stipulation</w:t>
      </w:r>
      <w:r w:rsidR="00395C5E">
        <w:t>, it does not oppose the stipulation</w:t>
      </w:r>
      <w:r>
        <w:t>.</w:t>
      </w:r>
    </w:p>
  </w:footnote>
  <w:footnote w:id="4">
    <w:p w:rsidR="00D57321" w14:paraId="0CD598DD" w14:textId="795C0E7B">
      <w:pPr>
        <w:pStyle w:val="FootnoteText"/>
      </w:pPr>
      <w:r>
        <w:rPr>
          <w:rStyle w:val="FootnoteReference"/>
        </w:rPr>
        <w:footnoteRef/>
      </w:r>
      <w:r>
        <w:t xml:space="preserve"> JDW-01 (August 19, 2022) at 21.</w:t>
      </w:r>
      <w:r w:rsidR="007A2F43">
        <w:t xml:space="preserve"> </w:t>
      </w:r>
    </w:p>
  </w:footnote>
  <w:footnote w:id="5">
    <w:p w:rsidR="00D57321" w14:paraId="3467F1BB" w14:textId="061D1CBF">
      <w:pPr>
        <w:pStyle w:val="FootnoteText"/>
      </w:pPr>
      <w:r>
        <w:rPr>
          <w:rStyle w:val="FootnoteReference"/>
        </w:rPr>
        <w:footnoteRef/>
      </w:r>
      <w:r>
        <w:t xml:space="preserve"> Case No. 22-556-EL-USF, Application (October 31, 2022).</w:t>
      </w:r>
    </w:p>
  </w:footnote>
  <w:footnote w:id="6">
    <w:p w:rsidR="00D57321" w14:paraId="22D8BC14" w14:textId="4DA27737">
      <w:pPr>
        <w:pStyle w:val="FootnoteText"/>
      </w:pPr>
      <w:r>
        <w:rPr>
          <w:rStyle w:val="FootnoteReference"/>
        </w:rPr>
        <w:footnoteRef/>
      </w:r>
      <w:r>
        <w:t xml:space="preserve"> Case No. 22-556-EL-USF, Amended Application (November 21, 2022).</w:t>
      </w:r>
      <w:r w:rsidR="007A2F43">
        <w:t xml:space="preserve"> </w:t>
      </w:r>
    </w:p>
  </w:footnote>
  <w:footnote w:id="7">
    <w:p w:rsidR="008036ED" w14:paraId="5C18A824" w14:textId="291FEAC7">
      <w:pPr>
        <w:pStyle w:val="FootnoteText"/>
      </w:pPr>
      <w:r>
        <w:rPr>
          <w:rStyle w:val="FootnoteReference"/>
        </w:rPr>
        <w:footnoteRef/>
      </w:r>
      <w:r>
        <w:t xml:space="preserve"> Application at 5.</w:t>
      </w:r>
    </w:p>
  </w:footnote>
  <w:footnote w:id="8">
    <w:p w:rsidR="008036ED" w14:paraId="3EBA4239" w14:textId="1D2CB7B3">
      <w:pPr>
        <w:pStyle w:val="FootnoteText"/>
      </w:pPr>
      <w:r>
        <w:rPr>
          <w:rStyle w:val="FootnoteReference"/>
        </w:rPr>
        <w:footnoteRef/>
      </w:r>
      <w:r>
        <w:t xml:space="preserve"> Amended Application at 5.</w:t>
      </w:r>
    </w:p>
  </w:footnote>
  <w:footnote w:id="9">
    <w:p w:rsidR="00483E39" w14:paraId="4AA84E25" w14:textId="3E3D1587">
      <w:pPr>
        <w:pStyle w:val="FootnoteText"/>
      </w:pPr>
      <w:r>
        <w:rPr>
          <w:rStyle w:val="FootnoteReference"/>
        </w:rPr>
        <w:footnoteRef/>
      </w:r>
      <w:r>
        <w:t xml:space="preserve"> Supplemental Testimony of ODOD witness Megan Meadows (November 21, 2022) at 2. </w:t>
      </w:r>
    </w:p>
  </w:footnote>
  <w:footnote w:id="10">
    <w:p w:rsidR="00F44648" w14:paraId="5AF7D199" w14:textId="157F7ABC">
      <w:pPr>
        <w:pStyle w:val="FootnoteText"/>
      </w:pPr>
      <w:r>
        <w:rPr>
          <w:rStyle w:val="FootnoteReference"/>
        </w:rPr>
        <w:footnoteRef/>
      </w:r>
      <w:r>
        <w:t xml:space="preserve"> JDW-01, at 18. </w:t>
      </w:r>
    </w:p>
  </w:footnote>
  <w:footnote w:id="11">
    <w:p w:rsidR="00F44648" w14:paraId="5CF471E8" w14:textId="03C04955">
      <w:pPr>
        <w:pStyle w:val="FootnoteText"/>
      </w:pPr>
      <w:r>
        <w:rPr>
          <w:rStyle w:val="FootnoteReference"/>
        </w:rPr>
        <w:footnoteRef/>
      </w:r>
      <w:r>
        <w:t xml:space="preserve"> </w:t>
      </w:r>
      <w:r w:rsidRPr="00122558">
        <w:rPr>
          <w:i/>
          <w:iCs/>
        </w:rPr>
        <w:t>See</w:t>
      </w:r>
      <w:r>
        <w:t xml:space="preserve"> JDW-01, Table 1 at 19.</w:t>
      </w:r>
    </w:p>
  </w:footnote>
  <w:footnote w:id="12">
    <w:p w:rsidR="00B125CF" w14:paraId="67EC7674" w14:textId="77777777">
      <w:pPr>
        <w:pStyle w:val="FootnoteText"/>
      </w:pPr>
      <w:r>
        <w:rPr>
          <w:rStyle w:val="FootnoteReference"/>
        </w:rPr>
        <w:footnoteRef/>
      </w:r>
      <w:r>
        <w:t xml:space="preserve"> </w:t>
      </w:r>
      <w:r>
        <w:rPr>
          <w:i/>
          <w:iCs/>
        </w:rPr>
        <w:t>See</w:t>
      </w:r>
      <w:r>
        <w:t xml:space="preserve"> </w:t>
      </w:r>
      <w:r>
        <w:rPr>
          <w:i/>
          <w:iCs/>
        </w:rPr>
        <w:t>In the Matter of the Application of Columbus Southern Power Company and Ohio Power Company, Individually and, if Their Proposed Merger Is Approved, as a Merged Company (collectively, AEP Ohio) for an Increase in Electric Distribution Rates,</w:t>
      </w:r>
      <w:r>
        <w:t xml:space="preserve"> Case No. 11-351-EL-AIR, et al., Opinion and Order (December 14, 2011) at 9; </w:t>
      </w:r>
      <w:r>
        <w:rPr>
          <w:i/>
          <w:iCs/>
        </w:rPr>
        <w:t>In the Matter of the Application Seeking Approval of Ohio Power Company’s Proposal to Enter into an Affiliate Power Purchase Agreement for Inclusion in the Power Purchase Agreement Rider</w:t>
      </w:r>
      <w:r>
        <w:t>, Case No. 14-1693-EL-RDR, et al., Opinion and Order (March 31, 2016) at 52. The PUCO considered the diversity of the signatory parties in that case.</w:t>
      </w:r>
    </w:p>
  </w:footnote>
  <w:footnote w:id="13">
    <w:p w:rsidR="00B125CF" w14:paraId="75893447" w14:textId="77777777">
      <w:pPr>
        <w:spacing w:after="120"/>
        <w:rPr>
          <w:sz w:val="20"/>
          <w:szCs w:val="20"/>
        </w:rPr>
      </w:pPr>
      <w:r>
        <w:rPr>
          <w:rStyle w:val="FootnoteReference"/>
          <w:sz w:val="20"/>
          <w:szCs w:val="20"/>
        </w:rPr>
        <w:footnoteRef/>
      </w:r>
      <w:r>
        <w:rPr>
          <w:sz w:val="20"/>
          <w:szCs w:val="20"/>
        </w:rPr>
        <w:t xml:space="preserve"> </w:t>
      </w:r>
      <w:r>
        <w:rPr>
          <w:i/>
          <w:iCs/>
          <w:sz w:val="20"/>
          <w:szCs w:val="20"/>
        </w:rPr>
        <w:t>Consumers’ Counsel v. Pub. Util. Comm’n.</w:t>
      </w:r>
      <w:r>
        <w:rPr>
          <w:sz w:val="20"/>
          <w:szCs w:val="20"/>
        </w:rPr>
        <w:t xml:space="preserve"> (1992), 64 Ohio St.3d 123, 126.</w:t>
      </w:r>
    </w:p>
  </w:footnote>
  <w:footnote w:id="14">
    <w:p w:rsidR="00EC210B" w14:paraId="1CE728EE" w14:textId="1F7DE33D">
      <w:pPr>
        <w:pStyle w:val="FootnoteText"/>
      </w:pPr>
      <w:r>
        <w:rPr>
          <w:rStyle w:val="FootnoteReference"/>
        </w:rPr>
        <w:footnoteRef/>
      </w:r>
      <w:r>
        <w:t xml:space="preserve"> Joint Stipulation (November 2022) at 3.</w:t>
      </w:r>
    </w:p>
  </w:footnote>
  <w:footnote w:id="15">
    <w:p w:rsidR="00EC210B" w14:paraId="714E7119" w14:textId="4FDD2B3D">
      <w:pPr>
        <w:pStyle w:val="FootnoteText"/>
      </w:pPr>
      <w:r>
        <w:rPr>
          <w:rStyle w:val="FootnoteReference"/>
        </w:rPr>
        <w:footnoteRef/>
      </w:r>
      <w:r>
        <w:t xml:space="preserve"> Amended Application at 5.</w:t>
      </w:r>
    </w:p>
  </w:footnote>
  <w:footnote w:id="16">
    <w:p w:rsidR="002E6E73" w14:paraId="24C30760" w14:textId="3909F0DB">
      <w:pPr>
        <w:pStyle w:val="FootnoteText"/>
      </w:pPr>
      <w:r>
        <w:rPr>
          <w:rStyle w:val="FootnoteReference"/>
        </w:rPr>
        <w:footnoteRef/>
      </w:r>
      <w:r>
        <w:t xml:space="preserve"> Joint Stipulation and Recommendation at 4</w:t>
      </w:r>
      <w:r w:rsidR="003A380B">
        <w:t>.</w:t>
      </w:r>
    </w:p>
  </w:footnote>
  <w:footnote w:id="17">
    <w:p w:rsidR="00491D37" w14:paraId="7FF7F01A" w14:textId="05D4C2E8">
      <w:pPr>
        <w:pStyle w:val="FootnoteText"/>
      </w:pPr>
      <w:r>
        <w:rPr>
          <w:rStyle w:val="FootnoteReference"/>
        </w:rPr>
        <w:footnoteRef/>
      </w:r>
      <w:r>
        <w:t xml:space="preserve"> R.C. 4928.02(A).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0FCB384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19" o:spid="_x0000_s2049" type="#_x0000_t136" style="width:567pt;height:42pt;margin-top:0;margin-left:0;mso-height-percent:0;mso-position-horizontal:center;mso-position-horizontal-relative:margin;mso-position-vertical:center;mso-position-vertical-relative:margin;mso-width-percent:0;mso-wrap-edited:f;position:absolute;rotation:315;z-index:-251656192" o:allowincell="f" fillcolor="#7f7f7f" stroked="f">
          <v:fill opacity="0.5"/>
          <v:textpath style="font-family:'Times New Roman';font-size:1pt" string="CONFIDENTIAL 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3BF39E3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0" o:spid="_x0000_s2050" type="#_x0000_t136" style="width:567pt;height:42pt;margin-top:0;margin-left:0;mso-height-percent:0;mso-position-horizontal:center;mso-position-horizontal-relative:margin;mso-position-vertical:center;mso-position-vertical-relative:margin;mso-width-percent:0;mso-wrap-edited:f;position:absolute;rotation:315;z-index:-251655168" o:allowincell="f" fillcolor="#7f7f7f" stroked="f">
          <v:fill opacity="0.5"/>
          <v:textpath style="font-family:'Times New Roman';font-size:1pt" string="CONFIDENTIAL 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6A6D4C35" w14:textId="77777777">
    <w:pPr>
      <w:pStyle w:val="Header"/>
      <w:jc w:val="cent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872" w:rsidP="00C85872" w14:paraId="51C2E558" w14:textId="77777777">
    <w:pPr>
      <w:pStyle w:val="Header"/>
      <w:jc w:val="center"/>
      <w:rPr>
        <w:i/>
        <w:iCs/>
      </w:rPr>
    </w:pPr>
    <w:r>
      <w:rPr>
        <w:i/>
        <w:iCs/>
      </w:rPr>
      <w:t>Testimony in Opposition to the Settlement by James D. Williams</w:t>
    </w:r>
  </w:p>
  <w:p w:rsidR="00C85872" w:rsidP="00C85872" w14:paraId="3CE54DFD" w14:textId="77777777">
    <w:pPr>
      <w:pStyle w:val="Header"/>
      <w:jc w:val="center"/>
      <w:rPr>
        <w:i/>
        <w:iCs/>
      </w:rPr>
    </w:pPr>
    <w:r>
      <w:rPr>
        <w:i/>
        <w:iCs/>
      </w:rPr>
      <w:t>On Behalf of Office of the Ohio Consumers’ Counsel</w:t>
    </w:r>
  </w:p>
  <w:p w:rsidR="00C85872" w:rsidP="00C85872" w14:paraId="43EDC7C4" w14:textId="77777777">
    <w:pPr>
      <w:pStyle w:val="Header"/>
      <w:jc w:val="center"/>
      <w:rPr>
        <w:i/>
        <w:iCs/>
      </w:rPr>
    </w:pPr>
    <w:r>
      <w:rPr>
        <w:i/>
        <w:iCs/>
      </w:rPr>
      <w:t>PUCO Case No. 22-556-EL-USF</w:t>
    </w:r>
  </w:p>
  <w:p w:rsidR="00C85872" w:rsidP="00C85872" w14:paraId="1E673822" w14:textId="77777777">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5826C44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8" o:spid="_x0000_s2051" type="#_x0000_t136" style="width:567pt;height:42pt;margin-top:0;margin-left:0;mso-height-percent:0;mso-position-horizontal:center;mso-position-horizontal-relative:margin;mso-position-vertical:center;mso-position-vertical-relative:margin;mso-width-percent:0;mso-wrap-edited:f;position:absolute;rotation:315;z-index:-251653120" o:allowincell="f" fillcolor="#7f7f7f" stroked="f">
          <v:fill opacity="0.5"/>
          <v:textpath style="font-family:'Times New Roman';font-size:1pt" string="CONFIDENTIAL WORKING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2902317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5CF" w14:paraId="2527366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7" o:spid="_x0000_s2052" type="#_x0000_t136" style="width:567pt;height:42pt;margin-top:0;margin-left:0;mso-height-percent:0;mso-position-horizontal:center;mso-position-horizontal-relative:margin;mso-position-vertical:center;mso-position-vertical-relative:margin;mso-width-percent:0;mso-wrap-edited:f;position:absolute;rotation:315;z-index:-251654144" o:allowincell="f" fillcolor="#7f7f7f" stroked="f">
          <v:fill opacity="0.5"/>
          <v:textpath style="font-family:'Times New Roman';font-size:1pt" string="CONFIDENTIAL WORKING DRAFT"/>
          <w10:wrap anchorx="margin" anchory="margin"/>
        </v:shape>
      </w:pict>
    </w:r>
    <w:r w:rsidR="003359D5">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wps:spPr>
                    <wps:txbx>
                      <w:txbxContent>
                        <w:p w:rsidR="00B125CF"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3"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o:lock v:ext="edit" shapetype="t"/>
              <v:textbox style="mso-fit-shape-to-text:t">
                <w:txbxContent>
                  <w:p w:rsidR="00B125CF" w14:paraId="1EBBA5B9" w14:textId="77777777">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87ED142"/>
    <w:lvl w:ilvl="0">
      <w:start w:val="1"/>
      <w:numFmt w:val="decimal"/>
      <w:lvlText w:val="%1."/>
      <w:lvlJc w:val="left"/>
      <w:pPr>
        <w:tabs>
          <w:tab w:val="num" w:pos="1800"/>
        </w:tabs>
        <w:ind w:left="1800" w:hanging="360"/>
      </w:pPr>
    </w:lvl>
  </w:abstractNum>
  <w:abstractNum w:abstractNumId="1">
    <w:nsid w:val="FFFFFF7D"/>
    <w:multiLevelType w:val="singleLevel"/>
    <w:tmpl w:val="0D1A1C2C"/>
    <w:lvl w:ilvl="0">
      <w:start w:val="1"/>
      <w:numFmt w:val="decimal"/>
      <w:lvlText w:val="%1."/>
      <w:lvlJc w:val="left"/>
      <w:pPr>
        <w:tabs>
          <w:tab w:val="num" w:pos="1440"/>
        </w:tabs>
        <w:ind w:left="1440" w:hanging="360"/>
      </w:pPr>
    </w:lvl>
  </w:abstractNum>
  <w:abstractNum w:abstractNumId="2">
    <w:nsid w:val="FFFFFF7E"/>
    <w:multiLevelType w:val="singleLevel"/>
    <w:tmpl w:val="588C6EBE"/>
    <w:lvl w:ilvl="0">
      <w:start w:val="1"/>
      <w:numFmt w:val="decimal"/>
      <w:lvlText w:val="%1."/>
      <w:lvlJc w:val="left"/>
      <w:pPr>
        <w:tabs>
          <w:tab w:val="num" w:pos="1080"/>
        </w:tabs>
        <w:ind w:left="1080" w:hanging="360"/>
      </w:pPr>
    </w:lvl>
  </w:abstractNum>
  <w:abstractNum w:abstractNumId="3">
    <w:nsid w:val="FFFFFF7F"/>
    <w:multiLevelType w:val="singleLevel"/>
    <w:tmpl w:val="5614CEA0"/>
    <w:lvl w:ilvl="0">
      <w:start w:val="1"/>
      <w:numFmt w:val="decimal"/>
      <w:lvlText w:val="%1."/>
      <w:lvlJc w:val="left"/>
      <w:pPr>
        <w:tabs>
          <w:tab w:val="num" w:pos="720"/>
        </w:tabs>
        <w:ind w:left="720" w:hanging="360"/>
      </w:pPr>
    </w:lvl>
  </w:abstractNum>
  <w:abstractNum w:abstractNumId="4">
    <w:nsid w:val="FFFFFF80"/>
    <w:multiLevelType w:val="singleLevel"/>
    <w:tmpl w:val="BF941D6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95C3FF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0E6E74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3DEEDD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28E8636"/>
    <w:lvl w:ilvl="0">
      <w:start w:val="1"/>
      <w:numFmt w:val="decimal"/>
      <w:lvlText w:val="%1."/>
      <w:lvlJc w:val="left"/>
      <w:pPr>
        <w:tabs>
          <w:tab w:val="num" w:pos="360"/>
        </w:tabs>
        <w:ind w:left="360" w:hanging="360"/>
      </w:pPr>
    </w:lvl>
  </w:abstractNum>
  <w:abstractNum w:abstractNumId="9">
    <w:nsid w:val="FFFFFF89"/>
    <w:multiLevelType w:val="singleLevel"/>
    <w:tmpl w:val="4EC8B0C2"/>
    <w:lvl w:ilvl="0">
      <w:start w:val="1"/>
      <w:numFmt w:val="bullet"/>
      <w:lvlText w:val=""/>
      <w:lvlJc w:val="left"/>
      <w:pPr>
        <w:tabs>
          <w:tab w:val="num" w:pos="360"/>
        </w:tabs>
        <w:ind w:left="360" w:hanging="360"/>
      </w:pPr>
      <w:rPr>
        <w:rFonts w:ascii="Symbol" w:hAnsi="Symbol" w:cs="Symbol" w:hint="default"/>
      </w:rPr>
    </w:lvl>
  </w:abstractNum>
  <w:abstractNum w:abstractNumId="10">
    <w:nsid w:val="00F90398"/>
    <w:multiLevelType w:val="hybridMultilevel"/>
    <w:tmpl w:val="C1FEAD48"/>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5AE2503"/>
    <w:multiLevelType w:val="hybridMultilevel"/>
    <w:tmpl w:val="612C3356"/>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6C0229E"/>
    <w:multiLevelType w:val="hybridMultilevel"/>
    <w:tmpl w:val="AB12678A"/>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8AA0496"/>
    <w:multiLevelType w:val="hybridMultilevel"/>
    <w:tmpl w:val="396091A8"/>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967787A"/>
    <w:multiLevelType w:val="hybridMultilevel"/>
    <w:tmpl w:val="1132160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0B4B630E"/>
    <w:multiLevelType w:val="hybridMultilevel"/>
    <w:tmpl w:val="6636A188"/>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102B71B1"/>
    <w:multiLevelType w:val="hybridMultilevel"/>
    <w:tmpl w:val="3364F58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45820A8"/>
    <w:multiLevelType w:val="hybridMultilevel"/>
    <w:tmpl w:val="45761A8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15A75306"/>
    <w:multiLevelType w:val="hybridMultilevel"/>
    <w:tmpl w:val="0D164A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7B5324C"/>
    <w:multiLevelType w:val="hybridMultilevel"/>
    <w:tmpl w:val="3AF07226"/>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9B13E33"/>
    <w:multiLevelType w:val="hybridMultilevel"/>
    <w:tmpl w:val="AE0EDD1E"/>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6D7A32"/>
    <w:multiLevelType w:val="hybridMultilevel"/>
    <w:tmpl w:val="A984AA98"/>
    <w:lvl w:ilvl="0">
      <w:start w:val="12"/>
      <w:numFmt w:val="upperLetter"/>
      <w:lvlText w:val="(%1)"/>
      <w:lvlJc w:val="left"/>
      <w:pPr>
        <w:tabs>
          <w:tab w:val="num" w:pos="1845"/>
        </w:tabs>
        <w:ind w:left="1845" w:hanging="405"/>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1C425748"/>
    <w:multiLevelType w:val="hybridMultilevel"/>
    <w:tmpl w:val="B3A8DB6C"/>
    <w:lvl w:ilvl="0">
      <w:start w:val="5"/>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1DF90EA8"/>
    <w:multiLevelType w:val="hybridMultilevel"/>
    <w:tmpl w:val="0BDAEB1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00637B8"/>
    <w:multiLevelType w:val="hybridMultilevel"/>
    <w:tmpl w:val="D5641D2E"/>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2C46810"/>
    <w:multiLevelType w:val="hybridMultilevel"/>
    <w:tmpl w:val="BBA08B58"/>
    <w:lvl w:ilvl="0">
      <w:start w:val="1"/>
      <w:numFmt w:val="upperLetter"/>
      <w:lvlText w:val="%1."/>
      <w:lvlJc w:val="left"/>
      <w:pPr>
        <w:ind w:left="1080" w:hanging="360"/>
      </w:pPr>
      <w:rPr>
        <w:rFonts w:eastAsiaTheme="min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5DB7E0D"/>
    <w:multiLevelType w:val="hybridMultilevel"/>
    <w:tmpl w:val="F774CD22"/>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938721D"/>
    <w:multiLevelType w:val="hybridMultilevel"/>
    <w:tmpl w:val="B00E9F6C"/>
    <w:lvl w:ilvl="0">
      <w:start w:val="2"/>
      <w:numFmt w:val="decimal"/>
      <w:lvlText w:val="%1."/>
      <w:lvlJc w:val="left"/>
      <w:pPr>
        <w:ind w:left="1800" w:hanging="360"/>
      </w:pPr>
      <w:rPr>
        <w:rFonts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324D6462"/>
    <w:multiLevelType w:val="hybridMultilevel"/>
    <w:tmpl w:val="504624B8"/>
    <w:lvl w:ilvl="0">
      <w:start w:val="4"/>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35BC3C18"/>
    <w:multiLevelType w:val="hybridMultilevel"/>
    <w:tmpl w:val="566CE64E"/>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0">
    <w:nsid w:val="38610EA8"/>
    <w:multiLevelType w:val="multilevel"/>
    <w:tmpl w:val="DB96C7D4"/>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31">
    <w:nsid w:val="3A5F043F"/>
    <w:multiLevelType w:val="hybridMultilevel"/>
    <w:tmpl w:val="3D5422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DA0295"/>
    <w:multiLevelType w:val="hybridMultilevel"/>
    <w:tmpl w:val="AF000892"/>
    <w:lvl w:ilvl="0">
      <w:start w:val="1"/>
      <w:numFmt w:val="decimal"/>
      <w:lvlText w:val="%1."/>
      <w:lvlJc w:val="left"/>
      <w:pPr>
        <w:ind w:left="1800" w:hanging="360"/>
      </w:pPr>
      <w:rPr>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40A95DD4"/>
    <w:multiLevelType w:val="hybridMultilevel"/>
    <w:tmpl w:val="CBD07B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126EDE"/>
    <w:multiLevelType w:val="hybridMultilevel"/>
    <w:tmpl w:val="8F5C4C28"/>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6E50A8F"/>
    <w:multiLevelType w:val="hybridMultilevel"/>
    <w:tmpl w:val="525630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49517A12"/>
    <w:multiLevelType w:val="hybridMultilevel"/>
    <w:tmpl w:val="67B4C04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50D670FE"/>
    <w:multiLevelType w:val="hybridMultilevel"/>
    <w:tmpl w:val="203E47E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5B883BB6"/>
    <w:multiLevelType w:val="hybridMultilevel"/>
    <w:tmpl w:val="6ECAC9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503415"/>
    <w:multiLevelType w:val="hybridMultilevel"/>
    <w:tmpl w:val="FC5012A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E55B6F"/>
    <w:multiLevelType w:val="hybridMultilevel"/>
    <w:tmpl w:val="79AC3D8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17"/>
  </w:num>
  <w:num w:numId="14">
    <w:abstractNumId w:val="30"/>
  </w:num>
  <w:num w:numId="15">
    <w:abstractNumId w:val="28"/>
  </w:num>
  <w:num w:numId="16">
    <w:abstractNumId w:val="13"/>
  </w:num>
  <w:num w:numId="17">
    <w:abstractNumId w:val="37"/>
  </w:num>
  <w:num w:numId="18">
    <w:abstractNumId w:val="26"/>
  </w:num>
  <w:num w:numId="19">
    <w:abstractNumId w:val="24"/>
  </w:num>
  <w:num w:numId="20">
    <w:abstractNumId w:val="19"/>
  </w:num>
  <w:num w:numId="21">
    <w:abstractNumId w:val="22"/>
  </w:num>
  <w:num w:numId="22">
    <w:abstractNumId w:val="16"/>
  </w:num>
  <w:num w:numId="23">
    <w:abstractNumId w:val="34"/>
  </w:num>
  <w:num w:numId="24">
    <w:abstractNumId w:val="10"/>
  </w:num>
  <w:num w:numId="25">
    <w:abstractNumId w:val="21"/>
  </w:num>
  <w:num w:numId="26">
    <w:abstractNumId w:val="23"/>
  </w:num>
  <w:num w:numId="27">
    <w:abstractNumId w:val="12"/>
  </w:num>
  <w:num w:numId="28">
    <w:abstractNumId w:val="18"/>
  </w:num>
  <w:num w:numId="29">
    <w:abstractNumId w:val="39"/>
  </w:num>
  <w:num w:numId="30">
    <w:abstractNumId w:val="38"/>
  </w:num>
  <w:num w:numId="31">
    <w:abstractNumId w:val="20"/>
  </w:num>
  <w:num w:numId="32">
    <w:abstractNumId w:val="15"/>
  </w:num>
  <w:num w:numId="33">
    <w:abstractNumId w:val="25"/>
  </w:num>
  <w:num w:numId="34">
    <w:abstractNumId w:val="35"/>
  </w:num>
  <w:num w:numId="35">
    <w:abstractNumId w:val="11"/>
  </w:num>
  <w:num w:numId="36">
    <w:abstractNumId w:val="11"/>
    <w:lvlOverride w:ilvl="0">
      <w:startOverride w:val="1"/>
    </w:lvlOverride>
  </w:num>
  <w:num w:numId="37">
    <w:abstractNumId w:val="11"/>
    <w:lvlOverride w:ilvl="0">
      <w:startOverride w:val="1"/>
    </w:lvlOverride>
  </w:num>
  <w:num w:numId="38">
    <w:abstractNumId w:val="14"/>
  </w:num>
  <w:num w:numId="39">
    <w:abstractNumId w:val="33"/>
  </w:num>
  <w:num w:numId="40">
    <w:abstractNumId w:val="27"/>
  </w:num>
  <w:num w:numId="41">
    <w:abstractNumId w:val="36"/>
  </w:num>
  <w:num w:numId="42">
    <w:abstractNumId w:val="31"/>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CF"/>
    <w:rsid w:val="00016D83"/>
    <w:rsid w:val="00037636"/>
    <w:rsid w:val="00082F0E"/>
    <w:rsid w:val="00083EED"/>
    <w:rsid w:val="000A26D5"/>
    <w:rsid w:val="000B7AD6"/>
    <w:rsid w:val="000E3621"/>
    <w:rsid w:val="0011783E"/>
    <w:rsid w:val="00122558"/>
    <w:rsid w:val="001737F3"/>
    <w:rsid w:val="001B57B8"/>
    <w:rsid w:val="001C34DD"/>
    <w:rsid w:val="002452C9"/>
    <w:rsid w:val="002710C2"/>
    <w:rsid w:val="00297B4D"/>
    <w:rsid w:val="002A42E6"/>
    <w:rsid w:val="002C6E44"/>
    <w:rsid w:val="002D7915"/>
    <w:rsid w:val="002E6E73"/>
    <w:rsid w:val="002F758E"/>
    <w:rsid w:val="003359D5"/>
    <w:rsid w:val="003425C6"/>
    <w:rsid w:val="00357CCC"/>
    <w:rsid w:val="00382A00"/>
    <w:rsid w:val="00395C5E"/>
    <w:rsid w:val="003A380B"/>
    <w:rsid w:val="003F5EC7"/>
    <w:rsid w:val="00446E40"/>
    <w:rsid w:val="00472C8D"/>
    <w:rsid w:val="00483E39"/>
    <w:rsid w:val="004904BE"/>
    <w:rsid w:val="00491D37"/>
    <w:rsid w:val="004C786F"/>
    <w:rsid w:val="00504AED"/>
    <w:rsid w:val="005337C8"/>
    <w:rsid w:val="00547227"/>
    <w:rsid w:val="00552D14"/>
    <w:rsid w:val="00574885"/>
    <w:rsid w:val="005C1845"/>
    <w:rsid w:val="00622DF1"/>
    <w:rsid w:val="00633E9B"/>
    <w:rsid w:val="00664ABC"/>
    <w:rsid w:val="006749D3"/>
    <w:rsid w:val="00684AD1"/>
    <w:rsid w:val="00685390"/>
    <w:rsid w:val="006A1192"/>
    <w:rsid w:val="006A3FDF"/>
    <w:rsid w:val="006B4A3B"/>
    <w:rsid w:val="006E6233"/>
    <w:rsid w:val="006F438C"/>
    <w:rsid w:val="00743D37"/>
    <w:rsid w:val="0074541A"/>
    <w:rsid w:val="007A2F43"/>
    <w:rsid w:val="007D4DE0"/>
    <w:rsid w:val="008036ED"/>
    <w:rsid w:val="0083327B"/>
    <w:rsid w:val="008519D2"/>
    <w:rsid w:val="008B0314"/>
    <w:rsid w:val="008C75ED"/>
    <w:rsid w:val="008E5739"/>
    <w:rsid w:val="008F351F"/>
    <w:rsid w:val="0093329C"/>
    <w:rsid w:val="009357FC"/>
    <w:rsid w:val="00962320"/>
    <w:rsid w:val="00992080"/>
    <w:rsid w:val="009B4371"/>
    <w:rsid w:val="009D0DA4"/>
    <w:rsid w:val="009E2DD9"/>
    <w:rsid w:val="009F72C1"/>
    <w:rsid w:val="00A413F4"/>
    <w:rsid w:val="00B02C61"/>
    <w:rsid w:val="00B125CF"/>
    <w:rsid w:val="00B32FD4"/>
    <w:rsid w:val="00B433E0"/>
    <w:rsid w:val="00B46E74"/>
    <w:rsid w:val="00B77304"/>
    <w:rsid w:val="00BD1DC8"/>
    <w:rsid w:val="00BE4FAE"/>
    <w:rsid w:val="00C629B0"/>
    <w:rsid w:val="00C766BB"/>
    <w:rsid w:val="00C80C01"/>
    <w:rsid w:val="00C85872"/>
    <w:rsid w:val="00C93214"/>
    <w:rsid w:val="00CA1AC8"/>
    <w:rsid w:val="00CA28F7"/>
    <w:rsid w:val="00CA3126"/>
    <w:rsid w:val="00CC4757"/>
    <w:rsid w:val="00D32F67"/>
    <w:rsid w:val="00D467F5"/>
    <w:rsid w:val="00D565C1"/>
    <w:rsid w:val="00D57321"/>
    <w:rsid w:val="00D82DD5"/>
    <w:rsid w:val="00D8541F"/>
    <w:rsid w:val="00DD75E8"/>
    <w:rsid w:val="00E26EA9"/>
    <w:rsid w:val="00E317EA"/>
    <w:rsid w:val="00E56EBD"/>
    <w:rsid w:val="00E848E3"/>
    <w:rsid w:val="00E86C26"/>
    <w:rsid w:val="00E94BE5"/>
    <w:rsid w:val="00EC210B"/>
    <w:rsid w:val="00EC2752"/>
    <w:rsid w:val="00EF03D4"/>
    <w:rsid w:val="00F03CC1"/>
    <w:rsid w:val="00F04AC8"/>
    <w:rsid w:val="00F137A9"/>
    <w:rsid w:val="00F44648"/>
    <w:rsid w:val="00F83E29"/>
    <w:rsid w:val="00FB05EA"/>
    <w:rsid w:val="00FC3113"/>
    <w:rsid w:val="00FD16BA"/>
    <w:rsid w:val="00FE20BE"/>
    <w:rsid w:val="00FE7076"/>
    <w:rsid w:val="00FF5A2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rsid w:val="00B433E0"/>
    <w:pPr>
      <w:keepNext/>
      <w:overflowPunct w:val="0"/>
      <w:autoSpaceDE w:val="0"/>
      <w:autoSpaceDN w:val="0"/>
      <w:adjustRightInd w:val="0"/>
      <w:spacing w:line="480" w:lineRule="auto"/>
      <w:ind w:left="720" w:hanging="720"/>
      <w:textAlignment w:val="baseline"/>
      <w:outlineLvl w:val="0"/>
    </w:pPr>
    <w:rPr>
      <w:b/>
      <w:bCs/>
      <w:caps/>
      <w:color w:val="000000" w:themeColor="text1"/>
      <w:kern w:val="32"/>
    </w:rPr>
  </w:style>
  <w:style w:type="paragraph" w:styleId="Heading2">
    <w:name w:val="heading 2"/>
    <w:basedOn w:val="Normal"/>
    <w:next w:val="Normal"/>
    <w:link w:val="Heading2Char"/>
    <w:autoRedefine/>
    <w:uiPriority w:val="99"/>
    <w:qFormat/>
    <w:pPr>
      <w:spacing w:line="480" w:lineRule="auto"/>
      <w:ind w:left="1440" w:hanging="720"/>
      <w:outlineLvl w:val="1"/>
    </w:pPr>
    <w:rPr>
      <w:rFonts w:ascii="Times New Roman Bold" w:hAnsi="Times New Roman Bold"/>
      <w:b/>
      <w:caps/>
    </w:rPr>
  </w:style>
  <w:style w:type="paragraph" w:styleId="Heading3">
    <w:name w:val="heading 3"/>
    <w:basedOn w:val="Normal"/>
    <w:next w:val="Normal"/>
    <w:link w:val="Heading3Char"/>
    <w:unhideWhenUsed/>
    <w:lock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lock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33E0"/>
    <w:rPr>
      <w:b/>
      <w:bCs/>
      <w:caps/>
      <w:color w:val="000000" w:themeColor="text1"/>
      <w:kern w:val="32"/>
      <w:sz w:val="24"/>
      <w:szCs w:val="24"/>
    </w:rPr>
  </w:style>
  <w:style w:type="character" w:customStyle="1" w:styleId="Heading2Char">
    <w:name w:val="Heading 2 Char"/>
    <w:link w:val="Heading2"/>
    <w:uiPriority w:val="99"/>
    <w:locked/>
    <w:rPr>
      <w:rFonts w:ascii="Times New Roman Bold" w:hAnsi="Times New Roman Bold"/>
      <w:b/>
      <w:caps/>
      <w:sz w:val="24"/>
      <w:szCs w:val="24"/>
    </w:rPr>
  </w:style>
  <w:style w:type="paragraph" w:styleId="BalloonText">
    <w:name w:val="Balloon Text"/>
    <w:basedOn w:val="Normal"/>
    <w:link w:val="BalloonTextChar"/>
    <w:uiPriority w:val="99"/>
    <w:semiHidden/>
    <w:rPr>
      <w:sz w:val="20"/>
      <w:szCs w:val="2"/>
    </w:rPr>
  </w:style>
  <w:style w:type="character" w:customStyle="1" w:styleId="BalloonTextChar">
    <w:name w:val="Balloon Text Char"/>
    <w:link w:val="BalloonText"/>
    <w:uiPriority w:val="99"/>
    <w:semiHidden/>
    <w:locked/>
    <w:rPr>
      <w:sz w:val="20"/>
      <w:szCs w:val="2"/>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Pr>
      <w:rFonts w:ascii="Courier New" w:hAnsi="Courier New" w:cs="Courier New"/>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ANSWER">
    <w:name w:val="ANSWER"/>
    <w:basedOn w:val="Normal"/>
    <w:uiPriority w:val="99"/>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EndnoteText">
    <w:name w:val="endnote text"/>
    <w:basedOn w:val="Normal"/>
    <w:link w:val="EndnoteTextChar"/>
    <w:semiHidden/>
    <w:pPr>
      <w:widowControl w:val="0"/>
    </w:pPr>
    <w:rPr>
      <w:sz w:val="20"/>
      <w:szCs w:val="20"/>
    </w:rPr>
  </w:style>
  <w:style w:type="character" w:customStyle="1" w:styleId="EndnoteTextChar">
    <w:name w:val="Endnote Text Char"/>
    <w:link w:val="EndnoteText"/>
    <w:semiHidden/>
    <w:locked/>
    <w:rPr>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character" w:styleId="Hyperlink">
    <w:name w:val="Hyperlink"/>
    <w:uiPriority w:val="99"/>
    <w:rPr>
      <w:color w:val="0000FF"/>
      <w:u w:val="single"/>
    </w:rPr>
  </w:style>
  <w:style w:type="paragraph" w:styleId="TOC1">
    <w:name w:val="toc 1"/>
    <w:basedOn w:val="Normal"/>
    <w:next w:val="Normal"/>
    <w:autoRedefine/>
    <w:uiPriority w:val="39"/>
    <w:rsid w:val="00E26EA9"/>
    <w:pPr>
      <w:suppressLineNumbers/>
      <w:tabs>
        <w:tab w:val="decimal" w:leader="dot" w:pos="9360"/>
      </w:tabs>
      <w:spacing w:after="240"/>
      <w:ind w:left="720" w:hanging="720"/>
    </w:pPr>
    <w:rPr>
      <w:bCs/>
      <w:caps/>
      <w:noProof/>
    </w:rPr>
  </w:style>
  <w:style w:type="paragraph" w:styleId="NormalWeb">
    <w:name w:val="Normal (Web)"/>
    <w:basedOn w:val="Normal"/>
    <w:uiPriority w:val="99"/>
    <w:pPr>
      <w:spacing w:before="100" w:beforeAutospacing="1" w:after="100" w:afterAutospacing="1"/>
    </w:pPr>
  </w:style>
  <w:style w:type="paragraph" w:styleId="BodyTextIndent3">
    <w:name w:val="Body Text Indent 3"/>
    <w:basedOn w:val="Normal"/>
    <w:link w:val="BodyTextIndent3Char1"/>
    <w:uiPriority w:val="99"/>
    <w:pPr>
      <w:spacing w:line="480" w:lineRule="auto"/>
      <w:ind w:left="360"/>
    </w:p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rPr>
      <w:sz w:val="24"/>
      <w:szCs w:val="24"/>
    </w:rPr>
  </w:style>
  <w:style w:type="paragraph" w:customStyle="1" w:styleId="ColorfulShading-Accent11">
    <w:name w:val="Colorful Shading - Accent 11"/>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pPr>
      <w:ind w:left="720"/>
      <w:contextualSpacing/>
    </w:pPr>
  </w:style>
  <w:style w:type="paragraph" w:styleId="TOC2">
    <w:name w:val="toc 2"/>
    <w:basedOn w:val="Normal"/>
    <w:next w:val="Normal"/>
    <w:autoRedefine/>
    <w:uiPriority w:val="39"/>
    <w:locked/>
    <w:pPr>
      <w:tabs>
        <w:tab w:val="left" w:pos="720"/>
        <w:tab w:val="decimal" w:leader="dot" w:pos="8640"/>
      </w:tabs>
      <w:spacing w:after="240"/>
      <w:ind w:left="1440" w:hanging="720"/>
    </w:pPr>
    <w:rPr>
      <w:caps/>
    </w:rPr>
  </w:style>
  <w:style w:type="paragraph" w:styleId="Revision">
    <w:name w:val="Revision"/>
    <w:hidden/>
    <w:uiPriority w:val="99"/>
    <w:semiHidden/>
    <w:rPr>
      <w:sz w:val="24"/>
      <w:szCs w:val="24"/>
    </w:rPr>
  </w:style>
  <w:style w:type="character" w:styleId="Emphasis">
    <w:name w:val="Emphasis"/>
    <w:basedOn w:val="DefaultParagraphFont"/>
    <w:locked/>
    <w:rPr>
      <w:i/>
      <w:iCs/>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Pr>
      <w:rFonts w:ascii="Consolas" w:hAnsi="Consolas" w:eastAsiaTheme="minorHAnsi" w:cs="Consolas"/>
      <w:sz w:val="21"/>
      <w:szCs w:val="21"/>
    </w:rPr>
  </w:style>
  <w:style w:type="character" w:customStyle="1" w:styleId="PlainTextChar">
    <w:name w:val="Plain Text Char"/>
    <w:basedOn w:val="DefaultParagraphFont"/>
    <w:link w:val="PlainText"/>
    <w:uiPriority w:val="99"/>
    <w:rPr>
      <w:rFonts w:ascii="Consolas" w:hAnsi="Consolas" w:eastAsiaTheme="minorHAnsi" w:cs="Consolas"/>
      <w:sz w:val="21"/>
      <w:szCs w:val="21"/>
    </w:rPr>
  </w:style>
  <w:style w:type="paragraph" w:customStyle="1" w:styleId="BodyA">
    <w:name w:val="Body A"/>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Pr>
      <w:smallCaps/>
      <w:color w:val="C0504D" w:themeColor="accent2"/>
      <w:u w:val="single"/>
    </w:rPr>
  </w:style>
  <w:style w:type="character" w:styleId="IntenseReference">
    <w:name w:val="Intense Reference"/>
    <w:basedOn w:val="DefaultParagraphFont"/>
    <w:uiPriority w:val="32"/>
    <w:rPr>
      <w:b/>
      <w:bCs/>
      <w:smallCaps/>
      <w:color w:val="4F81BD" w:themeColor="accent1"/>
      <w:spacing w:val="5"/>
    </w:rPr>
  </w:style>
  <w:style w:type="paragraph" w:styleId="TOC3">
    <w:name w:val="toc 3"/>
    <w:basedOn w:val="Normal"/>
    <w:next w:val="Normal"/>
    <w:autoRedefine/>
    <w:uiPriority w:val="39"/>
    <w:locked/>
    <w:pPr>
      <w:spacing w:after="100"/>
      <w:ind w:left="480"/>
    </w:pPr>
  </w:style>
  <w:style w:type="paragraph" w:customStyle="1" w:styleId="Question">
    <w:name w:val="Question"/>
    <w:basedOn w:val="Normal"/>
    <w:link w:val="QuestionChar"/>
    <w:qFormat/>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dcontent">
    <w:name w:val="markedconten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rsid w:val="0057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4.xml" /><Relationship Id="rId12" Type="http://schemas.openxmlformats.org/officeDocument/2006/relationships/hyperlink" Target="mailto:sarah.feldkamp@ohioAGO.gov" TargetMode="External" /><Relationship Id="rId13" Type="http://schemas.openxmlformats.org/officeDocument/2006/relationships/hyperlink" Target="about:blank" TargetMode="External" /><Relationship Id="rId14" Type="http://schemas.openxmlformats.org/officeDocument/2006/relationships/hyperlink" Target="mailto:christopher.hollon@aes.com" TargetMode="External" /><Relationship Id="rId15" Type="http://schemas.openxmlformats.org/officeDocument/2006/relationships/hyperlink" Target="mailto:mjschuler@aep.com" TargetMode="External" /><Relationship Id="rId16" Type="http://schemas.openxmlformats.org/officeDocument/2006/relationships/hyperlink" Target="mailto:greta.see@puco.ohio.gov" TargetMode="External" /><Relationship Id="rId17" Type="http://schemas.openxmlformats.org/officeDocument/2006/relationships/hyperlink" Target="mailto:dproano@bakerlaw.com" TargetMode="External" /><Relationship Id="rId18" Type="http://schemas.openxmlformats.org/officeDocument/2006/relationships/hyperlink" Target="mailto:ahaque@bakerlaw.com" TargetMode="External" /><Relationship Id="rId19" Type="http://schemas.openxmlformats.org/officeDocument/2006/relationships/hyperlink" Target="mailto:eprouty@bakerlaw.com" TargetMode="External" /><Relationship Id="rId2" Type="http://schemas.openxmlformats.org/officeDocument/2006/relationships/settings" Target="settings.xml" /><Relationship Id="rId20" Type="http://schemas.openxmlformats.org/officeDocument/2006/relationships/hyperlink" Target="mailto:rocco.dascenzo@duke-energy.com" TargetMode="External" /><Relationship Id="rId21" Type="http://schemas.openxmlformats.org/officeDocument/2006/relationships/hyperlink" Target="mailto:jeanne.kingery@duke-energy.com" TargetMode="External" /><Relationship Id="rId22" Type="http://schemas.openxmlformats.org/officeDocument/2006/relationships/hyperlink" Target="mailto:larisa.vaysman@duke-energy.com" TargetMode="External" /><Relationship Id="rId23" Type="http://schemas.openxmlformats.org/officeDocument/2006/relationships/hyperlink" Target="mailto:elyse.akhbari@duke-energy.com" TargetMode="External" /><Relationship Id="rId24" Type="http://schemas.openxmlformats.org/officeDocument/2006/relationships/hyperlink" Target="mailto:jbreig@beneschlaw.com" TargetMode="External" /><Relationship Id="rId25" Type="http://schemas.openxmlformats.org/officeDocument/2006/relationships/header" Target="header5.xml" /><Relationship Id="rId26" Type="http://schemas.openxmlformats.org/officeDocument/2006/relationships/header" Target="header6.xml" /><Relationship Id="rId27" Type="http://schemas.openxmlformats.org/officeDocument/2006/relationships/footer" Target="footer3.xml" /><Relationship Id="rId28" Type="http://schemas.openxmlformats.org/officeDocument/2006/relationships/header" Target="header7.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9539-BB00-4E99-B025-4BC32B0C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Jim's 11/19/22 USF Testimony AB edits  (00550404.DOCX;1)</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2022-11-23T21:59:33Z</dcterms:created>
  <dcterms:modified xsi:type="dcterms:W3CDTF">2022-11-23T21:59:33Z</dcterms:modified>
</cp:coreProperties>
</file>