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B1" w:rsidRPr="007249C1" w:rsidRDefault="006802B1" w:rsidP="00297E30">
      <w:pPr>
        <w:jc w:val="center"/>
        <w:rPr>
          <w:rFonts w:eastAsia="Calibri"/>
          <w:b/>
          <w:smallCaps/>
          <w:sz w:val="28"/>
          <w:szCs w:val="28"/>
        </w:rPr>
      </w:pPr>
      <w:r w:rsidRPr="007249C1">
        <w:rPr>
          <w:rFonts w:eastAsia="Calibri"/>
          <w:b/>
          <w:smallCaps/>
          <w:sz w:val="28"/>
          <w:szCs w:val="28"/>
        </w:rPr>
        <w:t>Before</w:t>
      </w:r>
    </w:p>
    <w:p w:rsidR="006802B1" w:rsidRDefault="006802B1" w:rsidP="006802B1">
      <w:pPr>
        <w:jc w:val="center"/>
        <w:rPr>
          <w:rFonts w:eastAsia="Calibri"/>
          <w:b/>
          <w:smallCaps/>
          <w:sz w:val="28"/>
          <w:szCs w:val="28"/>
        </w:rPr>
      </w:pPr>
      <w:r w:rsidRPr="007249C1">
        <w:rPr>
          <w:rFonts w:eastAsia="Calibri"/>
          <w:b/>
          <w:smallCaps/>
          <w:sz w:val="28"/>
          <w:szCs w:val="28"/>
        </w:rPr>
        <w:t>The Public Utilities Commission of Ohio</w:t>
      </w:r>
    </w:p>
    <w:p w:rsidR="006802B1" w:rsidRDefault="006802B1" w:rsidP="006802B1">
      <w:pPr>
        <w:jc w:val="center"/>
        <w:rPr>
          <w:rFonts w:eastAsia="Calibri"/>
          <w:b/>
          <w:smallCaps/>
        </w:rPr>
      </w:pPr>
    </w:p>
    <w:p w:rsidR="006802B1" w:rsidRPr="00754DB3" w:rsidRDefault="006802B1" w:rsidP="006802B1">
      <w:pPr>
        <w:jc w:val="center"/>
        <w:rPr>
          <w:rFonts w:eastAsia="Calibri"/>
          <w:b/>
          <w:smallCaps/>
        </w:rPr>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16-395-EL-SSO</w:t>
      </w:r>
    </w:p>
    <w:p w:rsidR="006802B1" w:rsidRPr="00754DB3" w:rsidRDefault="006802B1" w:rsidP="006802B1">
      <w:pPr>
        <w:tabs>
          <w:tab w:val="left" w:pos="4680"/>
          <w:tab w:val="left" w:pos="5220"/>
        </w:tabs>
        <w:autoSpaceDE w:val="0"/>
        <w:autoSpaceDN w:val="0"/>
        <w:adjustRightInd w:val="0"/>
      </w:pPr>
      <w:r w:rsidRPr="00754DB3">
        <w:t>Approval of Its Electric Security Plan</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16-396-EL-ATA</w:t>
      </w:r>
    </w:p>
    <w:p w:rsidR="006802B1" w:rsidRPr="00754DB3" w:rsidRDefault="006802B1" w:rsidP="006802B1">
      <w:pPr>
        <w:tabs>
          <w:tab w:val="left" w:pos="4680"/>
          <w:tab w:val="left" w:pos="5220"/>
        </w:tabs>
        <w:autoSpaceDE w:val="0"/>
        <w:autoSpaceDN w:val="0"/>
        <w:adjustRightInd w:val="0"/>
      </w:pPr>
      <w:r w:rsidRPr="00754DB3">
        <w:t>Approval of Revised Tariffs</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16-397-EL-AAM</w:t>
      </w:r>
    </w:p>
    <w:p w:rsidR="006802B1" w:rsidRPr="00754DB3" w:rsidRDefault="006802B1" w:rsidP="006802B1">
      <w:pPr>
        <w:tabs>
          <w:tab w:val="left" w:pos="4680"/>
          <w:tab w:val="left" w:pos="5220"/>
        </w:tabs>
        <w:autoSpaceDE w:val="0"/>
        <w:autoSpaceDN w:val="0"/>
        <w:adjustRightInd w:val="0"/>
      </w:pPr>
      <w:r w:rsidRPr="00754DB3">
        <w:t>Approval of Certain Accounting Authority</w:t>
      </w:r>
      <w:r w:rsidRPr="00754DB3">
        <w:tab/>
        <w:t>)</w:t>
      </w:r>
    </w:p>
    <w:p w:rsidR="006802B1" w:rsidRPr="00754DB3" w:rsidRDefault="006802B1" w:rsidP="006802B1">
      <w:pPr>
        <w:tabs>
          <w:tab w:val="left" w:pos="4680"/>
          <w:tab w:val="left" w:pos="5220"/>
        </w:tabs>
        <w:autoSpaceDE w:val="0"/>
        <w:autoSpaceDN w:val="0"/>
        <w:adjustRightInd w:val="0"/>
      </w:pPr>
      <w:r w:rsidRPr="00754DB3">
        <w:t>Pursuant to Ohio Rev. Code § 4905.13</w:t>
      </w:r>
      <w:r w:rsidRPr="00754DB3">
        <w:tab/>
        <w:t>)</w:t>
      </w:r>
    </w:p>
    <w:p w:rsidR="006802B1" w:rsidRDefault="006802B1" w:rsidP="006802B1">
      <w:pPr>
        <w:tabs>
          <w:tab w:val="left" w:pos="4680"/>
          <w:tab w:val="left" w:pos="5220"/>
        </w:tabs>
        <w:autoSpaceDE w:val="0"/>
        <w:autoSpaceDN w:val="0"/>
        <w:adjustRightInd w:val="0"/>
      </w:pPr>
    </w:p>
    <w:p w:rsidR="006802B1" w:rsidRPr="00AC2E18" w:rsidRDefault="006802B1" w:rsidP="006802B1">
      <w:pPr>
        <w:tabs>
          <w:tab w:val="left" w:pos="4680"/>
          <w:tab w:val="left" w:pos="5220"/>
        </w:tabs>
        <w:autoSpaceDE w:val="0"/>
        <w:autoSpaceDN w:val="0"/>
        <w:adjustRightInd w:val="0"/>
      </w:pPr>
    </w:p>
    <w:p w:rsidR="006802B1" w:rsidRDefault="006802B1" w:rsidP="006802B1">
      <w:pPr>
        <w:tabs>
          <w:tab w:val="left" w:pos="5040"/>
        </w:tabs>
        <w:rPr>
          <w:rFonts w:eastAsia="Times New Roman"/>
        </w:rPr>
      </w:pPr>
    </w:p>
    <w:p w:rsidR="006802B1" w:rsidRPr="003046A9" w:rsidRDefault="006802B1" w:rsidP="006802B1">
      <w:pPr>
        <w:pBdr>
          <w:bottom w:val="single" w:sz="12" w:space="1" w:color="auto"/>
        </w:pBdr>
        <w:tabs>
          <w:tab w:val="left" w:pos="5040"/>
        </w:tabs>
        <w:rPr>
          <w:rFonts w:eastAsia="Times New Roman"/>
        </w:rPr>
      </w:pPr>
    </w:p>
    <w:p w:rsidR="006802B1" w:rsidRPr="000F2E9D" w:rsidRDefault="006802B1" w:rsidP="006802B1">
      <w:pPr>
        <w:rPr>
          <w:b/>
        </w:rPr>
      </w:pPr>
    </w:p>
    <w:p w:rsidR="006802B1" w:rsidRDefault="006802B1" w:rsidP="006802B1">
      <w:pPr>
        <w:jc w:val="center"/>
        <w:rPr>
          <w:rFonts w:ascii="Arial Bold" w:hAnsi="Arial Bold"/>
          <w:b/>
          <w:smallCaps/>
          <w:sz w:val="28"/>
          <w:szCs w:val="28"/>
        </w:rPr>
      </w:pPr>
      <w:r w:rsidRPr="002E2906">
        <w:rPr>
          <w:rFonts w:ascii="Arial Bold" w:hAnsi="Arial Bold"/>
          <w:b/>
          <w:smallCaps/>
          <w:sz w:val="28"/>
          <w:szCs w:val="28"/>
        </w:rPr>
        <w:t>Industrial Energy Users-Ohio’s</w:t>
      </w:r>
      <w:r>
        <w:rPr>
          <w:rFonts w:ascii="Arial Bold" w:hAnsi="Arial Bold"/>
          <w:b/>
          <w:smallCaps/>
          <w:sz w:val="28"/>
          <w:szCs w:val="28"/>
        </w:rPr>
        <w:t xml:space="preserve"> Motion to Dismiss</w:t>
      </w:r>
    </w:p>
    <w:p w:rsidR="006802B1" w:rsidRDefault="006802B1" w:rsidP="006802B1">
      <w:pPr>
        <w:jc w:val="center"/>
        <w:rPr>
          <w:rFonts w:ascii="Arial Bold" w:hAnsi="Arial Bold"/>
          <w:b/>
          <w:smallCaps/>
          <w:sz w:val="28"/>
          <w:szCs w:val="28"/>
        </w:rPr>
      </w:pPr>
      <w:r>
        <w:rPr>
          <w:rFonts w:ascii="Arial Bold" w:hAnsi="Arial Bold"/>
          <w:b/>
          <w:smallCaps/>
          <w:sz w:val="28"/>
          <w:szCs w:val="28"/>
        </w:rPr>
        <w:t>the Distribution Modernization Rider</w:t>
      </w:r>
    </w:p>
    <w:p w:rsidR="006802B1" w:rsidRDefault="006802B1" w:rsidP="006802B1">
      <w:pPr>
        <w:jc w:val="center"/>
        <w:rPr>
          <w:rFonts w:ascii="Arial Bold" w:hAnsi="Arial Bold"/>
          <w:b/>
          <w:smallCaps/>
          <w:sz w:val="28"/>
          <w:szCs w:val="28"/>
        </w:rPr>
      </w:pPr>
      <w:r>
        <w:rPr>
          <w:rFonts w:ascii="Arial Bold" w:hAnsi="Arial Bold"/>
          <w:b/>
          <w:smallCaps/>
          <w:sz w:val="28"/>
          <w:szCs w:val="28"/>
        </w:rPr>
        <w:t>and Memorandum in Support</w:t>
      </w:r>
    </w:p>
    <w:p w:rsidR="005C1E97" w:rsidRDefault="005C1E97" w:rsidP="006802B1">
      <w:pPr>
        <w:jc w:val="center"/>
        <w:rPr>
          <w:rFonts w:ascii="Arial Bold" w:hAnsi="Arial Bold"/>
          <w:b/>
          <w:smallCaps/>
          <w:sz w:val="28"/>
          <w:szCs w:val="28"/>
        </w:rPr>
      </w:pPr>
    </w:p>
    <w:p w:rsidR="005C1E97" w:rsidRDefault="005C1E97" w:rsidP="006802B1">
      <w:pPr>
        <w:jc w:val="center"/>
        <w:rPr>
          <w:rFonts w:ascii="Arial Bold" w:hAnsi="Arial Bold"/>
          <w:b/>
          <w:smallCaps/>
          <w:sz w:val="28"/>
          <w:szCs w:val="28"/>
        </w:rPr>
      </w:pPr>
      <w:r>
        <w:rPr>
          <w:rFonts w:ascii="Arial Bold" w:hAnsi="Arial Bold"/>
          <w:b/>
          <w:smallCaps/>
          <w:sz w:val="28"/>
          <w:szCs w:val="28"/>
        </w:rPr>
        <w:t>[</w:t>
      </w:r>
      <w:r w:rsidR="00DF16A1">
        <w:rPr>
          <w:rFonts w:ascii="Arial Bold" w:hAnsi="Arial Bold"/>
          <w:b/>
          <w:smallCaps/>
          <w:sz w:val="28"/>
          <w:szCs w:val="28"/>
        </w:rPr>
        <w:t xml:space="preserve">Public </w:t>
      </w:r>
      <w:bookmarkStart w:id="0" w:name="_GoBack"/>
      <w:bookmarkEnd w:id="0"/>
      <w:r>
        <w:rPr>
          <w:rFonts w:ascii="Arial Bold" w:hAnsi="Arial Bold"/>
          <w:b/>
          <w:smallCaps/>
          <w:sz w:val="28"/>
          <w:szCs w:val="28"/>
        </w:rPr>
        <w:t>version]</w:t>
      </w:r>
    </w:p>
    <w:p w:rsidR="006802B1" w:rsidRPr="008810B2" w:rsidRDefault="006802B1" w:rsidP="006802B1">
      <w:pPr>
        <w:pBdr>
          <w:bottom w:val="single" w:sz="12" w:space="1" w:color="auto"/>
        </w:pBdr>
        <w:jc w:val="center"/>
        <w:rPr>
          <w:rFonts w:ascii="Arial Bold" w:hAnsi="Arial Bold"/>
          <w:b/>
          <w:smallCaps/>
        </w:rPr>
      </w:pPr>
    </w:p>
    <w:p w:rsidR="006802B1" w:rsidRDefault="006802B1" w:rsidP="006802B1">
      <w:pPr>
        <w:jc w:val="center"/>
        <w:rPr>
          <w:rFonts w:eastAsia="Times New Roman"/>
          <w:b/>
          <w:smallCaps/>
          <w:u w:val="single"/>
        </w:rPr>
      </w:pPr>
    </w:p>
    <w:p w:rsidR="006802B1" w:rsidRDefault="006802B1" w:rsidP="006802B1">
      <w:pPr>
        <w:jc w:val="center"/>
        <w:rPr>
          <w:rFonts w:eastAsia="Times New Roman"/>
          <w:b/>
          <w:smallCaps/>
          <w:u w:val="single"/>
        </w:rPr>
      </w:pPr>
    </w:p>
    <w:p w:rsidR="006802B1" w:rsidRDefault="006802B1" w:rsidP="006802B1">
      <w:pPr>
        <w:jc w:val="center"/>
        <w:rPr>
          <w:rFonts w:eastAsia="Times New Roman"/>
          <w:b/>
          <w:smallCaps/>
          <w:u w:val="single"/>
        </w:rPr>
      </w:pPr>
    </w:p>
    <w:p w:rsidR="006802B1" w:rsidRDefault="006802B1" w:rsidP="006802B1">
      <w:pPr>
        <w:jc w:val="center"/>
        <w:rPr>
          <w:rFonts w:eastAsia="Times New Roman"/>
          <w:b/>
          <w:smallCaps/>
          <w:u w:val="single"/>
        </w:rPr>
      </w:pPr>
    </w:p>
    <w:p w:rsidR="006802B1" w:rsidRDefault="006802B1" w:rsidP="006802B1">
      <w:pPr>
        <w:tabs>
          <w:tab w:val="left" w:pos="720"/>
          <w:tab w:val="left" w:pos="4320"/>
          <w:tab w:val="right" w:pos="8640"/>
        </w:tabs>
        <w:ind w:left="4680"/>
        <w:rPr>
          <w:rFonts w:eastAsia="Calibri"/>
        </w:rPr>
      </w:pPr>
    </w:p>
    <w:p w:rsidR="006802B1" w:rsidRDefault="006802B1" w:rsidP="006802B1">
      <w:pPr>
        <w:widowControl w:val="0"/>
        <w:ind w:left="3960"/>
        <w:rPr>
          <w:rFonts w:eastAsia="Calibri"/>
          <w:bCs/>
        </w:rPr>
      </w:pPr>
      <w:r>
        <w:rPr>
          <w:rFonts w:eastAsia="Calibri"/>
          <w:bCs/>
        </w:rPr>
        <w:t>Frank P. Darr (Reg. No. 0025469)</w:t>
      </w:r>
    </w:p>
    <w:p w:rsidR="006802B1" w:rsidRDefault="006802B1" w:rsidP="006802B1">
      <w:pPr>
        <w:widowControl w:val="0"/>
        <w:ind w:left="3960"/>
        <w:rPr>
          <w:rFonts w:eastAsia="Calibri"/>
          <w:bCs/>
        </w:rPr>
      </w:pPr>
      <w:r>
        <w:rPr>
          <w:rFonts w:eastAsia="Calibri"/>
          <w:bCs/>
        </w:rPr>
        <w:t>Counsel of Record</w:t>
      </w:r>
    </w:p>
    <w:p w:rsidR="006802B1" w:rsidRDefault="006802B1" w:rsidP="006802B1">
      <w:pPr>
        <w:widowControl w:val="0"/>
        <w:ind w:left="3960"/>
        <w:rPr>
          <w:rFonts w:eastAsia="Calibri"/>
          <w:b/>
          <w:bCs/>
        </w:rPr>
      </w:pPr>
      <w:r>
        <w:rPr>
          <w:rFonts w:eastAsia="Calibri"/>
          <w:bCs/>
        </w:rPr>
        <w:t>Matthew R. Pritchard (Reg. No. 0088070)</w:t>
      </w:r>
    </w:p>
    <w:p w:rsidR="006802B1" w:rsidRDefault="006802B1" w:rsidP="006802B1">
      <w:pPr>
        <w:widowControl w:val="0"/>
        <w:ind w:left="3960"/>
        <w:rPr>
          <w:rFonts w:eastAsia="Calibri"/>
          <w:b/>
          <w:bCs/>
          <w:smallCaps/>
        </w:rPr>
      </w:pPr>
      <w:r>
        <w:rPr>
          <w:rFonts w:eastAsia="Calibri"/>
          <w:bCs/>
          <w:smallCaps/>
        </w:rPr>
        <w:t>McNees Wallace &amp; Nurick LLC</w:t>
      </w:r>
    </w:p>
    <w:p w:rsidR="006802B1" w:rsidRDefault="006802B1" w:rsidP="006802B1">
      <w:pPr>
        <w:widowControl w:val="0"/>
        <w:ind w:left="3960"/>
        <w:rPr>
          <w:rFonts w:eastAsia="Calibri"/>
          <w:b/>
          <w:bCs/>
        </w:rPr>
      </w:pPr>
      <w:r>
        <w:rPr>
          <w:rFonts w:eastAsia="Calibri"/>
          <w:bCs/>
        </w:rPr>
        <w:t>21 East State Street, 17</w:t>
      </w:r>
      <w:r>
        <w:rPr>
          <w:rFonts w:eastAsia="Calibri"/>
          <w:bCs/>
          <w:vertAlign w:val="superscript"/>
        </w:rPr>
        <w:t>TH</w:t>
      </w:r>
      <w:r>
        <w:rPr>
          <w:rFonts w:eastAsia="Calibri"/>
          <w:bCs/>
        </w:rPr>
        <w:t xml:space="preserve"> Floor</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rPr>
      </w:pPr>
      <w:r>
        <w:rPr>
          <w:rFonts w:eastAsia="Calibri"/>
        </w:rPr>
        <w:t>Columbus, OH  43215</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rPr>
      </w:pPr>
      <w:r>
        <w:rPr>
          <w:rFonts w:eastAsia="Calibri"/>
        </w:rPr>
        <w:t>Telephone:  (614) 469-8000</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rPr>
      </w:pPr>
      <w:r>
        <w:rPr>
          <w:rFonts w:eastAsia="Calibri"/>
        </w:rPr>
        <w:t>Telecopier:  (614) 469-4653</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rPr>
        <w:t>fdarr@mwncmh.com</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color w:val="000000"/>
        </w:rPr>
        <w:t>(willing to accept service by e-mail)</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smallCaps/>
          <w:color w:val="000000"/>
        </w:rPr>
      </w:pPr>
      <w:r>
        <w:rPr>
          <w:rFonts w:eastAsia="Calibri"/>
          <w:color w:val="000000"/>
        </w:rPr>
        <w:t>mpritchard@mwncmh.com</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color w:val="000000"/>
        </w:rPr>
      </w:pPr>
      <w:r>
        <w:rPr>
          <w:rFonts w:eastAsia="Calibri"/>
          <w:color w:val="000000"/>
        </w:rPr>
        <w:t>(willing to accept service by e-mail)</w:t>
      </w:r>
    </w:p>
    <w:p w:rsidR="006802B1" w:rsidRDefault="006802B1" w:rsidP="006802B1">
      <w:pPr>
        <w:tabs>
          <w:tab w:val="left" w:pos="-1440"/>
          <w:tab w:val="left" w:pos="-720"/>
          <w:tab w:val="left" w:pos="5040"/>
          <w:tab w:val="center" w:pos="7200"/>
        </w:tabs>
        <w:overflowPunct w:val="0"/>
        <w:autoSpaceDE w:val="0"/>
        <w:autoSpaceDN w:val="0"/>
        <w:adjustRightInd w:val="0"/>
        <w:ind w:left="3960"/>
        <w:rPr>
          <w:rFonts w:eastAsia="Calibri"/>
          <w:b/>
          <w:smallCaps/>
        </w:rPr>
      </w:pPr>
    </w:p>
    <w:p w:rsidR="006802B1" w:rsidRPr="0034578C" w:rsidRDefault="006802B1" w:rsidP="006802B1">
      <w:pPr>
        <w:ind w:left="3960" w:hanging="3960"/>
        <w:rPr>
          <w:rFonts w:ascii="Arial Bold" w:eastAsia="Times New Roman" w:hAnsi="Arial Bold"/>
          <w:smallCaps/>
          <w:sz w:val="28"/>
          <w:u w:val="single"/>
        </w:rPr>
      </w:pPr>
      <w:r>
        <w:rPr>
          <w:rFonts w:ascii="Arial Bold" w:eastAsia="Calibri" w:hAnsi="Arial Bold"/>
          <w:b/>
          <w:smallCaps/>
        </w:rPr>
        <w:t xml:space="preserve">November </w:t>
      </w:r>
      <w:r w:rsidR="00E84B2B">
        <w:rPr>
          <w:rFonts w:ascii="Arial Bold" w:eastAsia="Calibri" w:hAnsi="Arial Bold"/>
          <w:b/>
          <w:smallCaps/>
        </w:rPr>
        <w:t>21</w:t>
      </w:r>
      <w:r w:rsidR="00E84B2B" w:rsidRPr="0034578C">
        <w:rPr>
          <w:rFonts w:ascii="Arial Bold" w:eastAsia="Calibri" w:hAnsi="Arial Bold"/>
          <w:b/>
          <w:smallCaps/>
        </w:rPr>
        <w:t xml:space="preserve">, </w:t>
      </w:r>
      <w:r w:rsidRPr="0034578C">
        <w:rPr>
          <w:rFonts w:ascii="Arial Bold" w:eastAsia="Calibri" w:hAnsi="Arial Bold"/>
          <w:b/>
          <w:smallCaps/>
        </w:rPr>
        <w:t>2016</w:t>
      </w:r>
      <w:r w:rsidRPr="0034578C">
        <w:rPr>
          <w:rFonts w:ascii="Arial Bold" w:eastAsia="Calibri" w:hAnsi="Arial Bold"/>
          <w:b/>
          <w:smallCaps/>
        </w:rPr>
        <w:tab/>
        <w:t>Attorneys for Industrial Energy Users-Ohio</w:t>
      </w:r>
    </w:p>
    <w:p w:rsidR="000C46D6" w:rsidRDefault="000C46D6" w:rsidP="006802B1">
      <w:pPr>
        <w:jc w:val="center"/>
        <w:rPr>
          <w:rFonts w:ascii="Arial Bold" w:eastAsia="Times New Roman" w:hAnsi="Arial Bold"/>
          <w:b/>
          <w:smallCaps/>
          <w:sz w:val="28"/>
        </w:rPr>
        <w:sectPr w:rsidR="000C46D6" w:rsidSect="009F65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38" w:left="1440" w:header="720" w:footer="720" w:gutter="0"/>
          <w:pgNumType w:start="1"/>
          <w:cols w:space="720"/>
          <w:titlePg/>
          <w:docGrid w:linePitch="326"/>
        </w:sectPr>
      </w:pPr>
    </w:p>
    <w:p w:rsidR="00C347BB" w:rsidRPr="00C347BB" w:rsidRDefault="00C347BB" w:rsidP="00C347BB">
      <w:pPr>
        <w:pStyle w:val="TOC1"/>
      </w:pPr>
      <w:r w:rsidRPr="00C347BB">
        <w:lastRenderedPageBreak/>
        <w:t>Table of Contents</w:t>
      </w:r>
    </w:p>
    <w:p w:rsidR="00C347BB" w:rsidRDefault="00C347BB" w:rsidP="00C347BB">
      <w:pPr>
        <w:pStyle w:val="TOC1"/>
      </w:pPr>
    </w:p>
    <w:p w:rsidR="00C347BB" w:rsidRDefault="00C347BB" w:rsidP="00C347BB">
      <w:pPr>
        <w:jc w:val="right"/>
        <w:rPr>
          <w:b/>
          <w:u w:val="single"/>
        </w:rPr>
      </w:pPr>
      <w:r w:rsidRPr="00C347BB">
        <w:rPr>
          <w:b/>
          <w:u w:val="single"/>
        </w:rPr>
        <w:t>Page</w:t>
      </w:r>
    </w:p>
    <w:p w:rsidR="00C347BB" w:rsidRPr="00C347BB" w:rsidRDefault="00C347BB" w:rsidP="00C347BB">
      <w:pPr>
        <w:jc w:val="right"/>
        <w:rPr>
          <w:b/>
          <w:u w:val="single"/>
        </w:rPr>
      </w:pPr>
    </w:p>
    <w:p w:rsidR="00C347BB" w:rsidRPr="00C347BB" w:rsidRDefault="00C347BB" w:rsidP="00C347BB">
      <w:pPr>
        <w:pStyle w:val="TOC1"/>
        <w:tabs>
          <w:tab w:val="clear" w:pos="9350"/>
          <w:tab w:val="right" w:leader="dot" w:pos="9360"/>
        </w:tabs>
        <w:rPr>
          <w:rFonts w:ascii="Arial" w:hAnsi="Arial" w:cs="Arial"/>
          <w:b w:val="0"/>
          <w:noProof/>
          <w:sz w:val="24"/>
        </w:rPr>
      </w:pPr>
      <w:r w:rsidRPr="00026D92">
        <w:rPr>
          <w:rFonts w:ascii="Arial" w:eastAsiaTheme="majorEastAsia" w:hAnsi="Arial" w:cs="Arial"/>
          <w:b w:val="0"/>
          <w:noProof/>
          <w:sz w:val="24"/>
        </w:rPr>
        <w:t>I.</w:t>
      </w:r>
      <w:r w:rsidRPr="00C347BB">
        <w:rPr>
          <w:rFonts w:ascii="Arial" w:hAnsi="Arial" w:cs="Arial"/>
          <w:b w:val="0"/>
          <w:noProof/>
          <w:sz w:val="24"/>
        </w:rPr>
        <w:tab/>
      </w:r>
      <w:r w:rsidRPr="00026D92">
        <w:rPr>
          <w:rFonts w:ascii="Arial" w:eastAsiaTheme="majorEastAsia" w:hAnsi="Arial" w:cs="Arial"/>
          <w:b w:val="0"/>
          <w:noProof/>
          <w:sz w:val="24"/>
        </w:rPr>
        <w:t>Background</w:t>
      </w:r>
      <w:r w:rsidRPr="00C347BB">
        <w:rPr>
          <w:rFonts w:ascii="Arial" w:hAnsi="Arial" w:cs="Arial"/>
          <w:b w:val="0"/>
          <w:noProof/>
          <w:webHidden/>
          <w:sz w:val="24"/>
        </w:rPr>
        <w:tab/>
      </w:r>
      <w:r w:rsidR="00B054D2">
        <w:rPr>
          <w:rFonts w:ascii="Arial" w:hAnsi="Arial" w:cs="Arial"/>
          <w:b w:val="0"/>
          <w:noProof/>
          <w:webHidden/>
          <w:sz w:val="24"/>
        </w:rPr>
        <w:t>4</w:t>
      </w:r>
    </w:p>
    <w:p w:rsidR="00C347BB" w:rsidRPr="00C347BB" w:rsidRDefault="00C347BB" w:rsidP="00C347BB">
      <w:pPr>
        <w:pStyle w:val="TOC1"/>
        <w:tabs>
          <w:tab w:val="clear" w:pos="9350"/>
          <w:tab w:val="right" w:leader="dot" w:pos="9360"/>
        </w:tabs>
        <w:rPr>
          <w:rFonts w:ascii="Arial" w:hAnsi="Arial" w:cs="Arial"/>
          <w:b w:val="0"/>
          <w:noProof/>
          <w:sz w:val="24"/>
        </w:rPr>
      </w:pPr>
      <w:r w:rsidRPr="00026D92">
        <w:rPr>
          <w:rFonts w:ascii="Arial" w:eastAsiaTheme="majorEastAsia" w:hAnsi="Arial" w:cs="Arial"/>
          <w:b w:val="0"/>
          <w:noProof/>
          <w:sz w:val="24"/>
        </w:rPr>
        <w:t>II.</w:t>
      </w:r>
      <w:r w:rsidRPr="00C347BB">
        <w:rPr>
          <w:rFonts w:ascii="Arial" w:hAnsi="Arial" w:cs="Arial"/>
          <w:b w:val="0"/>
          <w:noProof/>
          <w:sz w:val="24"/>
        </w:rPr>
        <w:tab/>
      </w:r>
      <w:r w:rsidRPr="00026D92">
        <w:rPr>
          <w:rFonts w:ascii="Arial" w:eastAsiaTheme="majorEastAsia" w:hAnsi="Arial" w:cs="Arial"/>
          <w:b w:val="0"/>
          <w:noProof/>
          <w:sz w:val="24"/>
        </w:rPr>
        <w:t>Standard of Review</w:t>
      </w:r>
      <w:r w:rsidRPr="00C347BB">
        <w:rPr>
          <w:rFonts w:ascii="Arial" w:hAnsi="Arial" w:cs="Arial"/>
          <w:b w:val="0"/>
          <w:noProof/>
          <w:webHidden/>
          <w:sz w:val="24"/>
        </w:rPr>
        <w:tab/>
      </w:r>
      <w:r w:rsidR="00B054D2">
        <w:rPr>
          <w:rFonts w:ascii="Arial" w:hAnsi="Arial" w:cs="Arial"/>
          <w:b w:val="0"/>
          <w:noProof/>
          <w:webHidden/>
          <w:sz w:val="24"/>
        </w:rPr>
        <w:t>12</w:t>
      </w:r>
    </w:p>
    <w:p w:rsidR="00C347BB" w:rsidRPr="00C347BB" w:rsidRDefault="00C347BB" w:rsidP="00C347BB">
      <w:pPr>
        <w:pStyle w:val="TOC1"/>
        <w:tabs>
          <w:tab w:val="clear" w:pos="9350"/>
          <w:tab w:val="right" w:leader="dot" w:pos="9360"/>
        </w:tabs>
        <w:rPr>
          <w:rFonts w:ascii="Arial" w:hAnsi="Arial" w:cs="Arial"/>
          <w:b w:val="0"/>
          <w:noProof/>
          <w:sz w:val="24"/>
        </w:rPr>
      </w:pPr>
      <w:r w:rsidRPr="00026D92">
        <w:rPr>
          <w:rFonts w:ascii="Arial" w:eastAsiaTheme="majorEastAsia" w:hAnsi="Arial" w:cs="Arial"/>
          <w:b w:val="0"/>
          <w:noProof/>
          <w:sz w:val="24"/>
        </w:rPr>
        <w:t>III.</w:t>
      </w:r>
      <w:r w:rsidRPr="00C347BB">
        <w:rPr>
          <w:rFonts w:ascii="Arial" w:hAnsi="Arial" w:cs="Arial"/>
          <w:b w:val="0"/>
          <w:noProof/>
          <w:sz w:val="24"/>
        </w:rPr>
        <w:tab/>
      </w:r>
      <w:r w:rsidRPr="00026D92">
        <w:rPr>
          <w:rFonts w:ascii="Arial" w:eastAsiaTheme="majorEastAsia" w:hAnsi="Arial" w:cs="Arial"/>
          <w:b w:val="0"/>
          <w:noProof/>
          <w:sz w:val="24"/>
        </w:rPr>
        <w:t>Argument</w:t>
      </w:r>
      <w:r w:rsidRPr="00C347BB">
        <w:rPr>
          <w:rFonts w:ascii="Arial" w:hAnsi="Arial" w:cs="Arial"/>
          <w:b w:val="0"/>
          <w:noProof/>
          <w:webHidden/>
          <w:sz w:val="24"/>
        </w:rPr>
        <w:tab/>
      </w:r>
      <w:r w:rsidR="00B054D2">
        <w:rPr>
          <w:rFonts w:ascii="Arial" w:hAnsi="Arial" w:cs="Arial"/>
          <w:b w:val="0"/>
          <w:noProof/>
          <w:webHidden/>
          <w:sz w:val="24"/>
        </w:rPr>
        <w:t>13</w:t>
      </w:r>
    </w:p>
    <w:p w:rsidR="00C347BB" w:rsidRPr="00C347BB" w:rsidRDefault="00C347BB" w:rsidP="00C347BB">
      <w:pPr>
        <w:pStyle w:val="TOC2"/>
        <w:rPr>
          <w:noProof/>
        </w:rPr>
      </w:pPr>
      <w:r w:rsidRPr="00026D92">
        <w:rPr>
          <w:rFonts w:cs="Arial"/>
          <w:noProof/>
        </w:rPr>
        <w:t>A.</w:t>
      </w:r>
      <w:r w:rsidRPr="00C347BB">
        <w:rPr>
          <w:noProof/>
        </w:rPr>
        <w:tab/>
      </w:r>
      <w:r w:rsidRPr="00026D92">
        <w:rPr>
          <w:rFonts w:cs="Arial"/>
          <w:noProof/>
        </w:rPr>
        <w:t>The DMR violates Ohio’s corporate separation requirements because it would provide an undue preference or advantage to its affiliates, is designed to maintain the financial viability of an affiliate, and generally conflicts with the limitations on financial arrangements between affiliates.  R.C. 4928.17; Rule 4901:1-37-04(C), O.A.C.</w:t>
      </w:r>
      <w:r w:rsidRPr="00C347BB">
        <w:rPr>
          <w:noProof/>
          <w:webHidden/>
        </w:rPr>
        <w:tab/>
      </w:r>
      <w:r w:rsidR="00B054D2">
        <w:rPr>
          <w:noProof/>
          <w:webHidden/>
        </w:rPr>
        <w:t>13</w:t>
      </w:r>
    </w:p>
    <w:p w:rsidR="00C347BB" w:rsidRPr="00C347BB" w:rsidRDefault="00C347BB" w:rsidP="00C347BB">
      <w:pPr>
        <w:pStyle w:val="TOC2"/>
        <w:rPr>
          <w:noProof/>
        </w:rPr>
      </w:pPr>
      <w:r w:rsidRPr="00026D92">
        <w:rPr>
          <w:rFonts w:cs="Arial"/>
          <w:noProof/>
        </w:rPr>
        <w:t>B.</w:t>
      </w:r>
      <w:r w:rsidRPr="00C347BB">
        <w:rPr>
          <w:noProof/>
        </w:rPr>
        <w:tab/>
      </w:r>
      <w:r w:rsidRPr="00026D92">
        <w:rPr>
          <w:rFonts w:cs="Arial"/>
          <w:noProof/>
        </w:rPr>
        <w:t xml:space="preserve">The Commission should dismiss the DMR because it does not satisfy any of the provisions of R.C. 4928.143(B)(2) that would permit the charge to be included in an ESP.  </w:t>
      </w:r>
      <w:r w:rsidRPr="00026D92">
        <w:rPr>
          <w:rFonts w:cs="Arial"/>
          <w:i/>
          <w:noProof/>
        </w:rPr>
        <w:t>In re Application of Columbus S. Power Co.</w:t>
      </w:r>
      <w:r w:rsidRPr="00026D92">
        <w:rPr>
          <w:rFonts w:cs="Arial"/>
          <w:noProof/>
        </w:rPr>
        <w:t>, 128 Ohio St.3d 512, 2011-Ohio-1788.</w:t>
      </w:r>
      <w:r w:rsidRPr="00C347BB">
        <w:rPr>
          <w:noProof/>
          <w:webHidden/>
        </w:rPr>
        <w:tab/>
      </w:r>
      <w:r w:rsidR="00B054D2">
        <w:rPr>
          <w:noProof/>
          <w:webHidden/>
        </w:rPr>
        <w:t>17</w:t>
      </w:r>
    </w:p>
    <w:p w:rsidR="00C347BB" w:rsidRPr="00C347BB" w:rsidRDefault="00C347BB" w:rsidP="00C347BB">
      <w:pPr>
        <w:pStyle w:val="TOC3"/>
        <w:tabs>
          <w:tab w:val="right" w:leader="dot" w:pos="9360"/>
        </w:tabs>
        <w:rPr>
          <w:noProof/>
        </w:rPr>
      </w:pPr>
      <w:r w:rsidRPr="00026D92">
        <w:rPr>
          <w:rFonts w:cs="Arial"/>
          <w:noProof/>
        </w:rPr>
        <w:t>1.</w:t>
      </w:r>
      <w:r w:rsidRPr="00C347BB">
        <w:rPr>
          <w:noProof/>
        </w:rPr>
        <w:tab/>
      </w:r>
      <w:r w:rsidRPr="00026D92">
        <w:rPr>
          <w:rFonts w:cs="Arial"/>
          <w:noProof/>
        </w:rPr>
        <w:t>The DMR does not meet the requirements of R.C. 4928.143(B)(2)(d).</w:t>
      </w:r>
      <w:r w:rsidRPr="00C347BB">
        <w:rPr>
          <w:noProof/>
          <w:webHidden/>
        </w:rPr>
        <w:tab/>
      </w:r>
      <w:r w:rsidR="00B054D2">
        <w:rPr>
          <w:noProof/>
          <w:webHidden/>
        </w:rPr>
        <w:t>18</w:t>
      </w:r>
    </w:p>
    <w:p w:rsidR="00C347BB" w:rsidRPr="00C347BB" w:rsidRDefault="00C347BB" w:rsidP="00C347BB">
      <w:pPr>
        <w:pStyle w:val="TOC3"/>
        <w:tabs>
          <w:tab w:val="right" w:leader="dot" w:pos="9360"/>
        </w:tabs>
        <w:rPr>
          <w:noProof/>
        </w:rPr>
      </w:pPr>
      <w:r w:rsidRPr="00026D92">
        <w:rPr>
          <w:rFonts w:cs="Arial"/>
          <w:noProof/>
        </w:rPr>
        <w:t>2.</w:t>
      </w:r>
      <w:r w:rsidRPr="00C347BB">
        <w:rPr>
          <w:noProof/>
        </w:rPr>
        <w:tab/>
      </w:r>
      <w:r w:rsidRPr="00026D92">
        <w:rPr>
          <w:rFonts w:cs="Arial"/>
          <w:noProof/>
        </w:rPr>
        <w:t>The DMR does not meet the requirements of R.C. 4928.143(B)(2)(h).</w:t>
      </w:r>
      <w:r w:rsidRPr="00C347BB">
        <w:rPr>
          <w:noProof/>
          <w:webHidden/>
        </w:rPr>
        <w:tab/>
      </w:r>
      <w:r w:rsidR="00B054D2">
        <w:rPr>
          <w:noProof/>
          <w:webHidden/>
        </w:rPr>
        <w:t>20</w:t>
      </w:r>
    </w:p>
    <w:p w:rsidR="00C347BB" w:rsidRPr="00C347BB" w:rsidRDefault="00C347BB" w:rsidP="00C347BB">
      <w:pPr>
        <w:pStyle w:val="TOC3"/>
        <w:tabs>
          <w:tab w:val="right" w:leader="dot" w:pos="9360"/>
        </w:tabs>
        <w:rPr>
          <w:noProof/>
        </w:rPr>
      </w:pPr>
      <w:r w:rsidRPr="00026D92">
        <w:rPr>
          <w:rFonts w:cs="Arial"/>
          <w:noProof/>
        </w:rPr>
        <w:t>3.</w:t>
      </w:r>
      <w:r w:rsidRPr="00C347BB">
        <w:rPr>
          <w:noProof/>
        </w:rPr>
        <w:tab/>
      </w:r>
      <w:r w:rsidRPr="00026D92">
        <w:rPr>
          <w:rFonts w:cs="Arial"/>
          <w:noProof/>
        </w:rPr>
        <w:t>The DMR does not meet the requirements of the remaining provisions of R.C. 4928.143(B)(2).</w:t>
      </w:r>
      <w:r w:rsidRPr="00C347BB">
        <w:rPr>
          <w:noProof/>
          <w:webHidden/>
        </w:rPr>
        <w:tab/>
      </w:r>
      <w:r w:rsidR="00B054D2">
        <w:rPr>
          <w:noProof/>
          <w:webHidden/>
        </w:rPr>
        <w:t>22</w:t>
      </w:r>
    </w:p>
    <w:p w:rsidR="00C347BB" w:rsidRPr="00C347BB" w:rsidRDefault="00C347BB" w:rsidP="00C347BB">
      <w:pPr>
        <w:pStyle w:val="TOC2"/>
        <w:rPr>
          <w:noProof/>
        </w:rPr>
      </w:pPr>
      <w:r w:rsidRPr="00026D92">
        <w:rPr>
          <w:rFonts w:cs="Arial"/>
          <w:noProof/>
        </w:rPr>
        <w:t>C.</w:t>
      </w:r>
      <w:r w:rsidRPr="00C347BB">
        <w:rPr>
          <w:noProof/>
        </w:rPr>
        <w:tab/>
      </w:r>
      <w:r w:rsidRPr="00026D92">
        <w:rPr>
          <w:rFonts w:cs="Arial"/>
          <w:noProof/>
        </w:rPr>
        <w:t>The Commission should dismiss the DMR as it would provide DP&amp;L with an anticompetitive subsidy.  R.C. 4928.02(H).</w:t>
      </w:r>
      <w:r w:rsidRPr="00C347BB">
        <w:rPr>
          <w:noProof/>
          <w:webHidden/>
        </w:rPr>
        <w:tab/>
      </w:r>
      <w:r w:rsidR="00B054D2">
        <w:rPr>
          <w:noProof/>
          <w:webHidden/>
        </w:rPr>
        <w:t>24</w:t>
      </w:r>
    </w:p>
    <w:p w:rsidR="00C347BB" w:rsidRPr="00C347BB" w:rsidRDefault="00C347BB" w:rsidP="00C347BB">
      <w:pPr>
        <w:pStyle w:val="TOC2"/>
        <w:rPr>
          <w:noProof/>
        </w:rPr>
      </w:pPr>
      <w:r w:rsidRPr="00026D92">
        <w:rPr>
          <w:rFonts w:cs="Arial"/>
          <w:noProof/>
        </w:rPr>
        <w:t>D.</w:t>
      </w:r>
      <w:r w:rsidRPr="00C347BB">
        <w:rPr>
          <w:noProof/>
        </w:rPr>
        <w:tab/>
      </w:r>
      <w:r w:rsidRPr="00026D92">
        <w:rPr>
          <w:rFonts w:cs="Arial"/>
          <w:noProof/>
        </w:rPr>
        <w:t>The Commission should dismiss the DMR because it would provide DP&amp;L with transition revenue or its equivalent.  R.C. 4928.141; R.C. 4928.38.</w:t>
      </w:r>
      <w:r w:rsidRPr="00C347BB">
        <w:rPr>
          <w:noProof/>
          <w:webHidden/>
        </w:rPr>
        <w:tab/>
      </w:r>
      <w:r w:rsidR="00B054D2">
        <w:rPr>
          <w:noProof/>
          <w:webHidden/>
        </w:rPr>
        <w:t>24</w:t>
      </w:r>
    </w:p>
    <w:p w:rsidR="00C347BB" w:rsidRPr="00C347BB" w:rsidRDefault="00C347BB" w:rsidP="00C347BB">
      <w:pPr>
        <w:pStyle w:val="TOC1"/>
        <w:rPr>
          <w:rFonts w:ascii="Arial" w:hAnsi="Arial" w:cs="Arial"/>
          <w:b w:val="0"/>
          <w:noProof/>
          <w:sz w:val="24"/>
        </w:rPr>
      </w:pPr>
      <w:r w:rsidRPr="00026D92">
        <w:rPr>
          <w:rFonts w:ascii="Arial" w:eastAsiaTheme="majorEastAsia" w:hAnsi="Arial" w:cs="Arial"/>
          <w:b w:val="0"/>
          <w:noProof/>
          <w:sz w:val="24"/>
        </w:rPr>
        <w:t>IV.</w:t>
      </w:r>
      <w:r w:rsidRPr="00C347BB">
        <w:rPr>
          <w:rFonts w:ascii="Arial" w:hAnsi="Arial" w:cs="Arial"/>
          <w:b w:val="0"/>
          <w:noProof/>
          <w:sz w:val="24"/>
        </w:rPr>
        <w:tab/>
      </w:r>
      <w:r w:rsidRPr="00026D92">
        <w:rPr>
          <w:rFonts w:ascii="Arial" w:eastAsiaTheme="majorEastAsia" w:hAnsi="Arial" w:cs="Arial"/>
          <w:b w:val="0"/>
          <w:noProof/>
          <w:sz w:val="24"/>
        </w:rPr>
        <w:t>Conclusion</w:t>
      </w:r>
      <w:r w:rsidRPr="00C347BB">
        <w:rPr>
          <w:rFonts w:ascii="Arial" w:hAnsi="Arial" w:cs="Arial"/>
          <w:b w:val="0"/>
          <w:noProof/>
          <w:webHidden/>
          <w:sz w:val="24"/>
        </w:rPr>
        <w:tab/>
      </w:r>
      <w:r w:rsidR="00B054D2">
        <w:rPr>
          <w:rFonts w:ascii="Arial" w:hAnsi="Arial" w:cs="Arial"/>
          <w:b w:val="0"/>
          <w:noProof/>
          <w:webHidden/>
          <w:sz w:val="24"/>
        </w:rPr>
        <w:t>28</w:t>
      </w:r>
    </w:p>
    <w:p w:rsidR="006802B1" w:rsidRPr="00C347BB" w:rsidRDefault="006802B1" w:rsidP="006802B1">
      <w:pPr>
        <w:jc w:val="center"/>
        <w:rPr>
          <w:rFonts w:eastAsia="Times New Roman" w:cs="Arial"/>
          <w:smallCaps/>
        </w:rPr>
        <w:sectPr w:rsidR="006802B1" w:rsidRPr="00C347BB" w:rsidSect="00D93B23">
          <w:pgSz w:w="12240" w:h="15840" w:code="1"/>
          <w:pgMar w:top="1440" w:right="1440" w:bottom="1138" w:left="1440" w:header="720" w:footer="720" w:gutter="0"/>
          <w:pgNumType w:fmt="lowerRoman" w:start="1"/>
          <w:cols w:space="720"/>
          <w:docGrid w:linePitch="326"/>
        </w:sectPr>
      </w:pPr>
    </w:p>
    <w:p w:rsidR="006802B1" w:rsidRPr="007249C1" w:rsidRDefault="006802B1" w:rsidP="006802B1">
      <w:pPr>
        <w:jc w:val="center"/>
        <w:rPr>
          <w:rFonts w:eastAsia="Calibri"/>
          <w:b/>
          <w:smallCaps/>
          <w:sz w:val="28"/>
          <w:szCs w:val="28"/>
        </w:rPr>
      </w:pPr>
      <w:r w:rsidRPr="007249C1">
        <w:rPr>
          <w:rFonts w:eastAsia="Calibri"/>
          <w:b/>
          <w:smallCaps/>
          <w:sz w:val="28"/>
          <w:szCs w:val="28"/>
        </w:rPr>
        <w:lastRenderedPageBreak/>
        <w:t>Before</w:t>
      </w:r>
    </w:p>
    <w:p w:rsidR="006802B1" w:rsidRDefault="006802B1" w:rsidP="006802B1">
      <w:pPr>
        <w:jc w:val="center"/>
        <w:rPr>
          <w:rFonts w:eastAsia="Calibri"/>
          <w:b/>
          <w:smallCaps/>
          <w:sz w:val="28"/>
          <w:szCs w:val="28"/>
        </w:rPr>
      </w:pPr>
      <w:r w:rsidRPr="007249C1">
        <w:rPr>
          <w:rFonts w:eastAsia="Calibri"/>
          <w:b/>
          <w:smallCaps/>
          <w:sz w:val="28"/>
          <w:szCs w:val="28"/>
        </w:rPr>
        <w:t>The Public Utilities Commission of Ohio</w:t>
      </w:r>
    </w:p>
    <w:p w:rsidR="006802B1" w:rsidRDefault="006802B1" w:rsidP="006802B1">
      <w:pPr>
        <w:jc w:val="center"/>
        <w:rPr>
          <w:rFonts w:eastAsia="Calibri"/>
          <w:b/>
          <w:smallCaps/>
        </w:rPr>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16-395-EL-SSO</w:t>
      </w:r>
    </w:p>
    <w:p w:rsidR="006802B1" w:rsidRPr="00754DB3" w:rsidRDefault="006802B1" w:rsidP="006802B1">
      <w:pPr>
        <w:tabs>
          <w:tab w:val="left" w:pos="4680"/>
          <w:tab w:val="left" w:pos="5220"/>
        </w:tabs>
        <w:autoSpaceDE w:val="0"/>
        <w:autoSpaceDN w:val="0"/>
        <w:adjustRightInd w:val="0"/>
      </w:pPr>
      <w:r w:rsidRPr="00754DB3">
        <w:t>Approval of Its Electric Security Plan</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16-396-EL-ATA</w:t>
      </w:r>
    </w:p>
    <w:p w:rsidR="006802B1" w:rsidRPr="00754DB3" w:rsidRDefault="006802B1" w:rsidP="006802B1">
      <w:pPr>
        <w:tabs>
          <w:tab w:val="left" w:pos="4680"/>
          <w:tab w:val="left" w:pos="5220"/>
        </w:tabs>
        <w:autoSpaceDE w:val="0"/>
        <w:autoSpaceDN w:val="0"/>
        <w:adjustRightInd w:val="0"/>
      </w:pPr>
      <w:r w:rsidRPr="00754DB3">
        <w:t>Approval of Revised Tariffs</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16-397-EL-AAM</w:t>
      </w:r>
    </w:p>
    <w:p w:rsidR="006802B1" w:rsidRPr="00754DB3" w:rsidRDefault="006802B1" w:rsidP="006802B1">
      <w:pPr>
        <w:tabs>
          <w:tab w:val="left" w:pos="4680"/>
          <w:tab w:val="left" w:pos="5220"/>
        </w:tabs>
        <w:autoSpaceDE w:val="0"/>
        <w:autoSpaceDN w:val="0"/>
        <w:adjustRightInd w:val="0"/>
      </w:pPr>
      <w:r w:rsidRPr="00754DB3">
        <w:t>Approval of Certain Accounting Authority</w:t>
      </w:r>
      <w:r w:rsidRPr="00754DB3">
        <w:tab/>
        <w:t>)</w:t>
      </w:r>
    </w:p>
    <w:p w:rsidR="006802B1" w:rsidRPr="00754DB3" w:rsidRDefault="006802B1" w:rsidP="006802B1">
      <w:pPr>
        <w:tabs>
          <w:tab w:val="left" w:pos="4680"/>
          <w:tab w:val="left" w:pos="5220"/>
        </w:tabs>
        <w:autoSpaceDE w:val="0"/>
        <w:autoSpaceDN w:val="0"/>
        <w:adjustRightInd w:val="0"/>
      </w:pPr>
      <w:r w:rsidRPr="00754DB3">
        <w:t>Pursuant to Ohio Rev. Code § 4905.13</w:t>
      </w:r>
      <w:r w:rsidRPr="00754DB3">
        <w:tab/>
        <w:t>)</w:t>
      </w:r>
    </w:p>
    <w:p w:rsidR="006802B1" w:rsidRDefault="006802B1" w:rsidP="006802B1">
      <w:pPr>
        <w:tabs>
          <w:tab w:val="left" w:pos="4680"/>
          <w:tab w:val="left" w:pos="5220"/>
        </w:tabs>
        <w:autoSpaceDE w:val="0"/>
        <w:autoSpaceDN w:val="0"/>
        <w:adjustRightInd w:val="0"/>
      </w:pPr>
    </w:p>
    <w:p w:rsidR="006802B1" w:rsidRPr="003046A9" w:rsidRDefault="006802B1" w:rsidP="006802B1">
      <w:pPr>
        <w:pBdr>
          <w:bottom w:val="single" w:sz="12" w:space="1" w:color="auto"/>
        </w:pBdr>
        <w:tabs>
          <w:tab w:val="left" w:pos="5040"/>
        </w:tabs>
        <w:rPr>
          <w:rFonts w:eastAsia="Times New Roman"/>
        </w:rPr>
      </w:pPr>
    </w:p>
    <w:p w:rsidR="006802B1" w:rsidRPr="000F2E9D" w:rsidRDefault="006802B1" w:rsidP="006802B1">
      <w:pPr>
        <w:rPr>
          <w:b/>
        </w:rPr>
      </w:pPr>
    </w:p>
    <w:p w:rsidR="006802B1" w:rsidRDefault="006802B1" w:rsidP="006802B1">
      <w:pPr>
        <w:jc w:val="center"/>
        <w:rPr>
          <w:rFonts w:ascii="Arial Bold" w:hAnsi="Arial Bold"/>
          <w:b/>
          <w:smallCaps/>
          <w:sz w:val="28"/>
          <w:szCs w:val="28"/>
        </w:rPr>
      </w:pPr>
      <w:r w:rsidRPr="002E2906">
        <w:rPr>
          <w:rFonts w:ascii="Arial Bold" w:hAnsi="Arial Bold"/>
          <w:b/>
          <w:smallCaps/>
          <w:sz w:val="28"/>
          <w:szCs w:val="28"/>
        </w:rPr>
        <w:t>Industrial Energy Users-Ohio’s</w:t>
      </w:r>
      <w:r>
        <w:rPr>
          <w:rFonts w:ascii="Arial Bold" w:hAnsi="Arial Bold"/>
          <w:b/>
          <w:smallCaps/>
          <w:sz w:val="28"/>
          <w:szCs w:val="28"/>
        </w:rPr>
        <w:t xml:space="preserve"> Motion to Dismiss</w:t>
      </w:r>
    </w:p>
    <w:p w:rsidR="006802B1" w:rsidRDefault="006802B1" w:rsidP="006802B1">
      <w:pPr>
        <w:jc w:val="center"/>
        <w:rPr>
          <w:rFonts w:ascii="Arial Bold" w:hAnsi="Arial Bold"/>
          <w:b/>
          <w:smallCaps/>
          <w:sz w:val="28"/>
          <w:szCs w:val="28"/>
        </w:rPr>
      </w:pPr>
      <w:r>
        <w:rPr>
          <w:rFonts w:ascii="Arial Bold" w:hAnsi="Arial Bold"/>
          <w:b/>
          <w:smallCaps/>
          <w:sz w:val="28"/>
          <w:szCs w:val="28"/>
        </w:rPr>
        <w:t>the Distribution Modernization Rider</w:t>
      </w:r>
    </w:p>
    <w:p w:rsidR="006802B1" w:rsidRDefault="006802B1" w:rsidP="006802B1">
      <w:pPr>
        <w:jc w:val="center"/>
        <w:rPr>
          <w:rFonts w:ascii="Arial Bold" w:hAnsi="Arial Bold"/>
          <w:b/>
          <w:smallCaps/>
          <w:sz w:val="28"/>
          <w:szCs w:val="28"/>
        </w:rPr>
      </w:pPr>
      <w:r>
        <w:rPr>
          <w:rFonts w:ascii="Arial Bold" w:hAnsi="Arial Bold"/>
          <w:b/>
          <w:smallCaps/>
          <w:sz w:val="28"/>
          <w:szCs w:val="28"/>
        </w:rPr>
        <w:t>and Memorandum in Support</w:t>
      </w:r>
    </w:p>
    <w:p w:rsidR="006802B1" w:rsidRPr="008810B2" w:rsidRDefault="006802B1" w:rsidP="006802B1">
      <w:pPr>
        <w:pBdr>
          <w:bottom w:val="single" w:sz="12" w:space="1" w:color="auto"/>
        </w:pBdr>
        <w:jc w:val="center"/>
        <w:rPr>
          <w:rFonts w:ascii="Arial Bold" w:hAnsi="Arial Bold"/>
          <w:b/>
          <w:smallCaps/>
        </w:rPr>
      </w:pPr>
    </w:p>
    <w:p w:rsidR="006802B1" w:rsidRDefault="006802B1" w:rsidP="006802B1">
      <w:pPr>
        <w:jc w:val="center"/>
        <w:rPr>
          <w:rFonts w:eastAsia="Times New Roman"/>
          <w:b/>
          <w:smallCaps/>
          <w:u w:val="single"/>
        </w:rPr>
      </w:pPr>
    </w:p>
    <w:p w:rsidR="0058552C" w:rsidRDefault="0058552C" w:rsidP="00907074"/>
    <w:p w:rsidR="00907074" w:rsidRDefault="00907074" w:rsidP="00907074">
      <w:pPr>
        <w:spacing w:line="480" w:lineRule="auto"/>
      </w:pPr>
      <w:r>
        <w:tab/>
        <w:t>Industrial Energy Users-Ohio (“IEU-Ohio”) moves the Public Utilities Commission of Ohio (“Commission”)</w:t>
      </w:r>
      <w:r w:rsidR="004D39E4">
        <w:t>,</w:t>
      </w:r>
      <w:r>
        <w:t xml:space="preserve"> pursuant to Rule 4901-1-12, Ohio Administrative Code (“O.A.C.”), to dismiss from </w:t>
      </w:r>
      <w:r w:rsidR="007F0498">
        <w:t>T</w:t>
      </w:r>
      <w:r>
        <w:t xml:space="preserve">he Dayton Power and Light Company’s </w:t>
      </w:r>
      <w:r w:rsidR="004D39E4">
        <w:t xml:space="preserve">(“DP&amp;L”) </w:t>
      </w:r>
      <w:r w:rsidR="004642F6">
        <w:t xml:space="preserve">amended </w:t>
      </w:r>
      <w:r>
        <w:t>application to establish an electric security plan (“ESP”) (“</w:t>
      </w:r>
      <w:r w:rsidR="004642F6">
        <w:t xml:space="preserve">Amended </w:t>
      </w:r>
      <w:r>
        <w:t xml:space="preserve">Application”) the </w:t>
      </w:r>
      <w:r w:rsidR="004642F6">
        <w:t>Distribution Modernization Rider (“DMR”).</w:t>
      </w:r>
      <w:r>
        <w:t xml:space="preserve">  </w:t>
      </w:r>
    </w:p>
    <w:p w:rsidR="00E44BF7" w:rsidRDefault="004642F6" w:rsidP="00BB2C82">
      <w:pPr>
        <w:spacing w:line="480" w:lineRule="auto"/>
      </w:pPr>
      <w:r>
        <w:tab/>
      </w:r>
      <w:r w:rsidR="005931C5">
        <w:t>T</w:t>
      </w:r>
      <w:r>
        <w:t xml:space="preserve">he </w:t>
      </w:r>
      <w:r w:rsidR="00661B95">
        <w:t xml:space="preserve">proposed nonbypassable </w:t>
      </w:r>
      <w:r>
        <w:t xml:space="preserve">DMR is designed to have DP&amp;L’s captive utility customers pay </w:t>
      </w:r>
      <w:r w:rsidR="00F22F29">
        <w:t>down</w:t>
      </w:r>
      <w:r>
        <w:t xml:space="preserve"> the acquisition premium </w:t>
      </w:r>
      <w:r w:rsidR="00661B95">
        <w:t xml:space="preserve">and </w:t>
      </w:r>
      <w:r w:rsidR="00754336">
        <w:t xml:space="preserve">associated </w:t>
      </w:r>
      <w:r w:rsidR="00661B95">
        <w:t xml:space="preserve">debt </w:t>
      </w:r>
      <w:r w:rsidR="00754336">
        <w:t>that are a result of</w:t>
      </w:r>
      <w:r w:rsidR="00BB2C82">
        <w:t xml:space="preserve"> </w:t>
      </w:r>
      <w:r w:rsidR="00707517">
        <w:t xml:space="preserve">The </w:t>
      </w:r>
      <w:r w:rsidR="007F0498">
        <w:t>AES Corporation’s (“</w:t>
      </w:r>
      <w:r w:rsidR="00BB2C82">
        <w:t>AES</w:t>
      </w:r>
      <w:r w:rsidR="007F0498">
        <w:t>”)</w:t>
      </w:r>
      <w:r w:rsidR="00BB2C82">
        <w:t xml:space="preserve"> highly</w:t>
      </w:r>
      <w:r w:rsidR="007F0498">
        <w:t>-</w:t>
      </w:r>
      <w:r w:rsidR="00BB2C82">
        <w:t>leveraged takeover of DPL Inc. in 2011</w:t>
      </w:r>
      <w:r>
        <w:t xml:space="preserve">.  </w:t>
      </w:r>
      <w:r w:rsidR="00E44BF7">
        <w:t xml:space="preserve">More specifically, DP&amp;L </w:t>
      </w:r>
      <w:r w:rsidR="00BB2C82">
        <w:t>has indicated that of the $1.25 billion in debt AES originally pushed down to DPL Inc.’s books as part of its highly</w:t>
      </w:r>
      <w:r w:rsidR="00707517">
        <w:t>-</w:t>
      </w:r>
      <w:r w:rsidR="00BB2C82">
        <w:t xml:space="preserve">leveraged takeover, </w:t>
      </w:r>
      <w:r w:rsidR="00754336">
        <w:t>approximately $730</w:t>
      </w:r>
      <w:r w:rsidR="00BB2C82">
        <w:t xml:space="preserve"> million in acquisition debt remains on DPL Inc.’s books.  DP&amp;L witness Jackson indicates </w:t>
      </w:r>
      <w:r w:rsidR="00BB2C82">
        <w:lastRenderedPageBreak/>
        <w:t xml:space="preserve">in his prefiled direct testimony that DP&amp;L intends to send </w:t>
      </w:r>
      <w:r w:rsidR="00026D92">
        <w:rPr>
          <w:noProof/>
          <w:color w:val="000000"/>
          <w:highlight w:val="black"/>
        </w:rPr>
        <w:t>''' '''''''''''''''''''</w:t>
      </w:r>
      <w:r w:rsidR="00BB2C82">
        <w:t xml:space="preserve"> of its requested DMR revenue (</w:t>
      </w:r>
      <w:r w:rsidR="00026D92">
        <w:rPr>
          <w:noProof/>
          <w:color w:val="000000"/>
          <w:highlight w:val="black"/>
        </w:rPr>
        <w:t>'''''''''''' '''''''''''''''</w:t>
      </w:r>
      <w:r w:rsidR="00BB2C82">
        <w:t xml:space="preserve">) to DPL Inc. </w:t>
      </w:r>
      <w:r w:rsidR="00316EFB">
        <w:t xml:space="preserve">to allow </w:t>
      </w:r>
      <w:r w:rsidR="00BB2C82">
        <w:t>DPL Inc.</w:t>
      </w:r>
      <w:r w:rsidR="009A69CD">
        <w:t xml:space="preserve"> to pay </w:t>
      </w:r>
      <w:r w:rsidR="00F22F29">
        <w:t>down</w:t>
      </w:r>
      <w:r w:rsidR="009A69CD">
        <w:t xml:space="preserve"> debt on DPL Inc.’s</w:t>
      </w:r>
      <w:r w:rsidR="000907FC">
        <w:t xml:space="preserve"> books. </w:t>
      </w:r>
      <w:r w:rsidR="008515D5">
        <w:t xml:space="preserve"> The remainder of the DMR revenue is designed to pay </w:t>
      </w:r>
      <w:r w:rsidR="00DD6125">
        <w:t xml:space="preserve">down </w:t>
      </w:r>
      <w:r w:rsidR="008515D5">
        <w:t xml:space="preserve">a portion of DP&amp;L’s total company </w:t>
      </w:r>
      <w:r w:rsidR="0016130C">
        <w:t xml:space="preserve">debt </w:t>
      </w:r>
      <w:r w:rsidR="008515D5">
        <w:t>attributable to its generation business but that DP&amp;L otherwise claims cannot be transferred to its affiliate when it divests its generation assets.</w:t>
      </w:r>
    </w:p>
    <w:p w:rsidR="008D0086" w:rsidRDefault="008D0086" w:rsidP="00907074">
      <w:pPr>
        <w:spacing w:line="480" w:lineRule="auto"/>
      </w:pPr>
      <w:r>
        <w:tab/>
      </w:r>
      <w:r w:rsidR="00F22F29">
        <w:t>Under R.C. Chapter 4928</w:t>
      </w:r>
      <w:r w:rsidR="004D39E4">
        <w:t>,</w:t>
      </w:r>
      <w:r w:rsidR="00F22F29">
        <w:t xml:space="preserve"> t</w:t>
      </w:r>
      <w:r w:rsidR="00723C2E">
        <w:t>he Commission</w:t>
      </w:r>
      <w:r w:rsidR="005212FE">
        <w:t xml:space="preserve"> </w:t>
      </w:r>
      <w:r w:rsidR="00723C2E">
        <w:t xml:space="preserve">is without </w:t>
      </w:r>
      <w:r w:rsidR="00F22F29">
        <w:t xml:space="preserve">authority </w:t>
      </w:r>
      <w:r w:rsidR="00723C2E">
        <w:t xml:space="preserve">to authorize </w:t>
      </w:r>
      <w:r w:rsidR="00F22F29">
        <w:t>DP&amp;L</w:t>
      </w:r>
      <w:r w:rsidR="00723C2E">
        <w:t xml:space="preserve"> to implement a charge designed to pay down the </w:t>
      </w:r>
      <w:r w:rsidR="00F22F29">
        <w:t xml:space="preserve">acquisition </w:t>
      </w:r>
      <w:r w:rsidR="00723C2E">
        <w:t xml:space="preserve">debt of </w:t>
      </w:r>
      <w:r w:rsidR="00F22F29">
        <w:t>DPL Inc</w:t>
      </w:r>
      <w:r w:rsidR="00723C2E">
        <w:t xml:space="preserve">.  </w:t>
      </w:r>
      <w:r w:rsidR="005931C5">
        <w:t>Furthermore</w:t>
      </w:r>
      <w:r w:rsidR="00723C2E">
        <w:t xml:space="preserve">, in the case of the </w:t>
      </w:r>
      <w:r w:rsidR="000907FC">
        <w:t xml:space="preserve">acquisition premium </w:t>
      </w:r>
      <w:r w:rsidR="00723C2E">
        <w:t xml:space="preserve">debt at issue here, the Commission has already held that DP&amp;L is precluded from seeking to have its captive utility customers pay </w:t>
      </w:r>
      <w:r w:rsidR="00C65F32">
        <w:t>down</w:t>
      </w:r>
      <w:r w:rsidR="00723C2E">
        <w:t>, directly or indirectly, the acquisition premium and associated debt from AES’ highly</w:t>
      </w:r>
      <w:r w:rsidR="004D39E4">
        <w:t>-</w:t>
      </w:r>
      <w:r w:rsidR="00723C2E">
        <w:t xml:space="preserve">leveraged takeover of DPL Inc. in 2011.  </w:t>
      </w:r>
      <w:r w:rsidR="008515D5">
        <w:t xml:space="preserve">The Commission also lacks the authority to impose a nonbypassable </w:t>
      </w:r>
      <w:r w:rsidR="008A4C52">
        <w:t xml:space="preserve">charge to provide DP&amp;L with additional revenue to pay </w:t>
      </w:r>
      <w:r w:rsidR="00DD6125">
        <w:t>down</w:t>
      </w:r>
      <w:r w:rsidR="008A4C52">
        <w:t xml:space="preserve"> the portion of its total company debt attributable to its generation business.</w:t>
      </w:r>
    </w:p>
    <w:p w:rsidR="005931C5" w:rsidRDefault="005931C5" w:rsidP="00907074">
      <w:pPr>
        <w:spacing w:line="480" w:lineRule="auto"/>
      </w:pPr>
      <w:r>
        <w:tab/>
        <w:t xml:space="preserve">As discussed more fully in the attached </w:t>
      </w:r>
      <w:r w:rsidR="0016130C">
        <w:t>M</w:t>
      </w:r>
      <w:r>
        <w:t xml:space="preserve">emorandum in </w:t>
      </w:r>
      <w:r w:rsidR="0016130C">
        <w:t>S</w:t>
      </w:r>
      <w:r>
        <w:t>upport, the Commission should dismiss</w:t>
      </w:r>
      <w:r w:rsidR="00F30673">
        <w:t xml:space="preserve"> the DMR and should direct DP&amp;L to revise and refile its supporting testimony to reflect to the dismissal of the DMR.</w:t>
      </w:r>
    </w:p>
    <w:p w:rsidR="00D93B23" w:rsidRDefault="00D93B23">
      <w:pPr>
        <w:jc w:val="left"/>
        <w:rPr>
          <w:rFonts w:eastAsia="Times New Roman"/>
        </w:rPr>
      </w:pPr>
    </w:p>
    <w:p w:rsidR="007F0498" w:rsidRDefault="007F0498" w:rsidP="007F0498">
      <w:pPr>
        <w:tabs>
          <w:tab w:val="left" w:pos="4320"/>
          <w:tab w:val="right" w:pos="8640"/>
        </w:tabs>
        <w:ind w:left="4140"/>
        <w:rPr>
          <w:rFonts w:eastAsia="Times New Roman"/>
        </w:rPr>
      </w:pPr>
      <w:r>
        <w:rPr>
          <w:rFonts w:eastAsia="Times New Roman"/>
        </w:rPr>
        <w:t>Respectfully submitted,</w:t>
      </w:r>
      <w:r w:rsidDel="00B74E43">
        <w:rPr>
          <w:rFonts w:eastAsia="Times New Roman"/>
        </w:rPr>
        <w:t xml:space="preserve"> </w:t>
      </w:r>
    </w:p>
    <w:p w:rsidR="007F0498" w:rsidRDefault="007F0498" w:rsidP="007F0498">
      <w:pPr>
        <w:tabs>
          <w:tab w:val="left" w:pos="4320"/>
          <w:tab w:val="right" w:pos="8640"/>
        </w:tabs>
        <w:ind w:left="4140"/>
        <w:rPr>
          <w:rFonts w:eastAsia="Times New Roman"/>
          <w:i/>
          <w:u w:val="single"/>
        </w:rPr>
      </w:pPr>
    </w:p>
    <w:p w:rsidR="007F0498" w:rsidRPr="00935789" w:rsidRDefault="007F0498" w:rsidP="007F0498">
      <w:pPr>
        <w:tabs>
          <w:tab w:val="right" w:pos="8640"/>
        </w:tabs>
        <w:ind w:left="4140"/>
        <w:rPr>
          <w:rFonts w:eastAsia="Times New Roman"/>
          <w:i/>
          <w:u w:val="single"/>
        </w:rPr>
      </w:pPr>
      <w:r w:rsidRPr="00935789">
        <w:rPr>
          <w:rFonts w:eastAsia="Times New Roman"/>
          <w:i/>
          <w:u w:val="single"/>
        </w:rPr>
        <w:t xml:space="preserve">/s/ </w:t>
      </w:r>
      <w:r>
        <w:rPr>
          <w:rFonts w:eastAsia="Times New Roman"/>
          <w:i/>
          <w:u w:val="single"/>
        </w:rPr>
        <w:t>Matthew R. Pritchard</w:t>
      </w:r>
      <w:r w:rsidRPr="00935789">
        <w:rPr>
          <w:rFonts w:eastAsia="Times New Roman"/>
          <w:i/>
          <w:u w:val="single"/>
        </w:rPr>
        <w:tab/>
      </w:r>
    </w:p>
    <w:p w:rsidR="007F0498" w:rsidRDefault="007F0498" w:rsidP="007F0498">
      <w:pPr>
        <w:widowControl w:val="0"/>
        <w:ind w:left="4140"/>
        <w:rPr>
          <w:rFonts w:eastAsia="Calibri"/>
          <w:bCs/>
        </w:rPr>
      </w:pPr>
      <w:r>
        <w:rPr>
          <w:rFonts w:eastAsia="Calibri"/>
          <w:bCs/>
        </w:rPr>
        <w:t>Frank P. Darr (Reg. No. 0025469)</w:t>
      </w:r>
    </w:p>
    <w:p w:rsidR="007F0498" w:rsidRDefault="007F0498" w:rsidP="007F0498">
      <w:pPr>
        <w:widowControl w:val="0"/>
        <w:ind w:left="4140"/>
        <w:rPr>
          <w:rFonts w:eastAsia="Calibri"/>
          <w:bCs/>
        </w:rPr>
      </w:pPr>
      <w:r>
        <w:rPr>
          <w:rFonts w:eastAsia="Calibri"/>
          <w:bCs/>
        </w:rPr>
        <w:t>Counsel of Record</w:t>
      </w:r>
    </w:p>
    <w:p w:rsidR="007F0498" w:rsidRDefault="007F0498" w:rsidP="007F0498">
      <w:pPr>
        <w:widowControl w:val="0"/>
        <w:ind w:left="4140"/>
        <w:rPr>
          <w:rFonts w:eastAsia="Calibri"/>
          <w:b/>
          <w:bCs/>
        </w:rPr>
      </w:pPr>
      <w:r>
        <w:rPr>
          <w:rFonts w:eastAsia="Calibri"/>
          <w:bCs/>
        </w:rPr>
        <w:t>Matthew R. Pritchard (Reg. No. 0088070)</w:t>
      </w:r>
    </w:p>
    <w:p w:rsidR="007F0498" w:rsidRDefault="007F0498" w:rsidP="007F0498">
      <w:pPr>
        <w:widowControl w:val="0"/>
        <w:tabs>
          <w:tab w:val="left" w:pos="4320"/>
        </w:tabs>
        <w:ind w:left="4140"/>
        <w:rPr>
          <w:rFonts w:eastAsia="Times New Roman"/>
          <w:bCs/>
          <w:smallCaps/>
        </w:rPr>
      </w:pPr>
      <w:r>
        <w:rPr>
          <w:rFonts w:eastAsia="Times New Roman"/>
          <w:bCs/>
          <w:smallCaps/>
        </w:rPr>
        <w:t>McNees Wallace &amp; Nurick LLC</w:t>
      </w:r>
    </w:p>
    <w:p w:rsidR="007F0498" w:rsidRDefault="007F0498" w:rsidP="007F0498">
      <w:pPr>
        <w:widowControl w:val="0"/>
        <w:tabs>
          <w:tab w:val="left" w:pos="4320"/>
        </w:tabs>
        <w:ind w:left="4140"/>
        <w:rPr>
          <w:rFonts w:eastAsia="Times New Roman"/>
          <w:bCs/>
          <w:szCs w:val="20"/>
        </w:rPr>
      </w:pPr>
      <w:r>
        <w:rPr>
          <w:rFonts w:eastAsia="Times New Roman"/>
          <w:bCs/>
          <w:szCs w:val="20"/>
        </w:rPr>
        <w:t>21 East State Street, 17</w:t>
      </w:r>
      <w:r>
        <w:rPr>
          <w:rFonts w:eastAsia="Times New Roman"/>
          <w:bCs/>
          <w:szCs w:val="20"/>
          <w:vertAlign w:val="superscript"/>
        </w:rPr>
        <w:t>TH</w:t>
      </w:r>
      <w:r>
        <w:rPr>
          <w:rFonts w:eastAsia="Times New Roman"/>
          <w:bCs/>
          <w:szCs w:val="20"/>
        </w:rPr>
        <w:t xml:space="preserve"> Floor</w:t>
      </w:r>
    </w:p>
    <w:p w:rsidR="007F0498" w:rsidRDefault="007F0498" w:rsidP="007F0498">
      <w:pPr>
        <w:tabs>
          <w:tab w:val="left" w:pos="4320"/>
        </w:tabs>
        <w:ind w:left="4140"/>
        <w:rPr>
          <w:rFonts w:eastAsia="Times New Roman"/>
        </w:rPr>
      </w:pPr>
      <w:r>
        <w:rPr>
          <w:rFonts w:eastAsia="Times New Roman"/>
        </w:rPr>
        <w:t>Columbus, OH  43215</w:t>
      </w:r>
    </w:p>
    <w:p w:rsidR="007F0498" w:rsidRDefault="007F0498" w:rsidP="007F0498">
      <w:pPr>
        <w:ind w:left="4140"/>
        <w:rPr>
          <w:rFonts w:eastAsia="Times New Roman"/>
        </w:rPr>
      </w:pPr>
      <w:r>
        <w:rPr>
          <w:rFonts w:eastAsia="Times New Roman"/>
        </w:rPr>
        <w:t>fdarr@mwncmh.com</w:t>
      </w:r>
    </w:p>
    <w:p w:rsidR="007F0498" w:rsidRDefault="007F0498" w:rsidP="007F0498">
      <w:pPr>
        <w:ind w:left="4140"/>
        <w:rPr>
          <w:rFonts w:eastAsia="Times New Roman"/>
        </w:rPr>
      </w:pPr>
      <w:r>
        <w:rPr>
          <w:rFonts w:eastAsia="Times New Roman"/>
        </w:rPr>
        <w:t>mpritchard@mwncmh.com</w:t>
      </w:r>
    </w:p>
    <w:p w:rsidR="007F0498" w:rsidRDefault="007F0498" w:rsidP="007F0498">
      <w:pPr>
        <w:ind w:left="4140"/>
        <w:rPr>
          <w:rFonts w:eastAsia="Times New Roman"/>
        </w:rPr>
      </w:pPr>
    </w:p>
    <w:p w:rsidR="00436F88" w:rsidRDefault="007F0498" w:rsidP="001C2082">
      <w:pPr>
        <w:ind w:left="4140"/>
      </w:pPr>
      <w:r w:rsidRPr="00E418F7">
        <w:rPr>
          <w:rFonts w:ascii="Arial Bold" w:eastAsia="Times New Roman" w:hAnsi="Arial Bold"/>
          <w:b/>
          <w:bCs/>
          <w:smallCaps/>
        </w:rPr>
        <w:t>Attorneys for</w:t>
      </w:r>
      <w:r w:rsidRPr="00E418F7">
        <w:rPr>
          <w:rFonts w:ascii="Arial Bold" w:eastAsia="Times New Roman" w:hAnsi="Arial Bold"/>
          <w:smallCaps/>
        </w:rPr>
        <w:t xml:space="preserve"> </w:t>
      </w:r>
      <w:r w:rsidRPr="00E418F7">
        <w:rPr>
          <w:rFonts w:ascii="Arial Bold" w:eastAsia="Times New Roman" w:hAnsi="Arial Bold"/>
          <w:b/>
          <w:smallCaps/>
        </w:rPr>
        <w:t>Industrial Energy Users-Ohio</w:t>
      </w:r>
      <w:r w:rsidR="00436F88">
        <w:br w:type="page"/>
      </w:r>
    </w:p>
    <w:p w:rsidR="006802B1" w:rsidRPr="007249C1" w:rsidRDefault="006802B1" w:rsidP="006802B1">
      <w:pPr>
        <w:jc w:val="center"/>
        <w:rPr>
          <w:rFonts w:eastAsia="Calibri"/>
          <w:b/>
          <w:smallCaps/>
          <w:sz w:val="28"/>
          <w:szCs w:val="28"/>
        </w:rPr>
      </w:pPr>
      <w:r w:rsidRPr="007249C1">
        <w:rPr>
          <w:rFonts w:eastAsia="Calibri"/>
          <w:b/>
          <w:smallCaps/>
          <w:sz w:val="28"/>
          <w:szCs w:val="28"/>
        </w:rPr>
        <w:lastRenderedPageBreak/>
        <w:t>Before</w:t>
      </w:r>
    </w:p>
    <w:p w:rsidR="006802B1" w:rsidRDefault="006802B1" w:rsidP="006802B1">
      <w:pPr>
        <w:jc w:val="center"/>
        <w:rPr>
          <w:rFonts w:eastAsia="Calibri"/>
          <w:b/>
          <w:smallCaps/>
          <w:sz w:val="28"/>
          <w:szCs w:val="28"/>
        </w:rPr>
      </w:pPr>
      <w:r w:rsidRPr="007249C1">
        <w:rPr>
          <w:rFonts w:eastAsia="Calibri"/>
          <w:b/>
          <w:smallCaps/>
          <w:sz w:val="28"/>
          <w:szCs w:val="28"/>
        </w:rPr>
        <w:t>The Public Utilities Commission of Ohio</w:t>
      </w:r>
    </w:p>
    <w:p w:rsidR="006802B1" w:rsidRDefault="006802B1" w:rsidP="006802B1">
      <w:pPr>
        <w:jc w:val="center"/>
        <w:rPr>
          <w:rFonts w:eastAsia="Calibri"/>
          <w:b/>
          <w:smallCaps/>
        </w:rPr>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16-395-EL-SSO</w:t>
      </w:r>
    </w:p>
    <w:p w:rsidR="006802B1" w:rsidRPr="00754DB3" w:rsidRDefault="006802B1" w:rsidP="006802B1">
      <w:pPr>
        <w:tabs>
          <w:tab w:val="left" w:pos="4680"/>
          <w:tab w:val="left" w:pos="5220"/>
        </w:tabs>
        <w:autoSpaceDE w:val="0"/>
        <w:autoSpaceDN w:val="0"/>
        <w:adjustRightInd w:val="0"/>
      </w:pPr>
      <w:r w:rsidRPr="00754DB3">
        <w:t>Approval of Its Electric Security Plan</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16-396-EL-ATA</w:t>
      </w:r>
    </w:p>
    <w:p w:rsidR="006802B1" w:rsidRPr="00754DB3" w:rsidRDefault="006802B1" w:rsidP="006802B1">
      <w:pPr>
        <w:tabs>
          <w:tab w:val="left" w:pos="4680"/>
          <w:tab w:val="left" w:pos="5220"/>
        </w:tabs>
        <w:autoSpaceDE w:val="0"/>
        <w:autoSpaceDN w:val="0"/>
        <w:adjustRightInd w:val="0"/>
      </w:pPr>
      <w:r w:rsidRPr="00754DB3">
        <w:t>Approval of Revised Tariffs</w:t>
      </w:r>
      <w:r w:rsidRPr="00754DB3">
        <w:tab/>
        <w:t>)</w:t>
      </w:r>
    </w:p>
    <w:p w:rsidR="006802B1" w:rsidRPr="00754DB3" w:rsidRDefault="006802B1" w:rsidP="006802B1">
      <w:pPr>
        <w:tabs>
          <w:tab w:val="left" w:pos="4680"/>
          <w:tab w:val="left" w:pos="5220"/>
        </w:tabs>
        <w:autoSpaceDE w:val="0"/>
        <w:autoSpaceDN w:val="0"/>
        <w:adjustRightInd w:val="0"/>
      </w:pPr>
    </w:p>
    <w:p w:rsidR="006802B1" w:rsidRPr="00754DB3" w:rsidRDefault="006802B1" w:rsidP="006802B1">
      <w:pPr>
        <w:tabs>
          <w:tab w:val="left" w:pos="4680"/>
          <w:tab w:val="left" w:pos="5220"/>
        </w:tabs>
        <w:autoSpaceDE w:val="0"/>
        <w:autoSpaceDN w:val="0"/>
        <w:adjustRightInd w:val="0"/>
      </w:pPr>
      <w:r w:rsidRPr="00754DB3">
        <w:t>In the Matter of the Application of</w:t>
      </w:r>
      <w:r w:rsidRPr="00754DB3">
        <w:tab/>
        <w:t>)</w:t>
      </w:r>
    </w:p>
    <w:p w:rsidR="006802B1" w:rsidRPr="00754DB3" w:rsidRDefault="006802B1" w:rsidP="006802B1">
      <w:pPr>
        <w:tabs>
          <w:tab w:val="left" w:pos="4680"/>
          <w:tab w:val="left" w:pos="5220"/>
        </w:tabs>
        <w:autoSpaceDE w:val="0"/>
        <w:autoSpaceDN w:val="0"/>
        <w:adjustRightInd w:val="0"/>
      </w:pPr>
      <w:r w:rsidRPr="00754DB3">
        <w:t>The Dayton Power and Light Company for</w:t>
      </w:r>
      <w:r w:rsidRPr="00754DB3">
        <w:tab/>
        <w:t>)</w:t>
      </w:r>
      <w:r w:rsidRPr="00754DB3">
        <w:tab/>
        <w:t>Case No. 16-397-EL-AAM</w:t>
      </w:r>
    </w:p>
    <w:p w:rsidR="006802B1" w:rsidRPr="00754DB3" w:rsidRDefault="006802B1" w:rsidP="006802B1">
      <w:pPr>
        <w:tabs>
          <w:tab w:val="left" w:pos="4680"/>
          <w:tab w:val="left" w:pos="5220"/>
        </w:tabs>
        <w:autoSpaceDE w:val="0"/>
        <w:autoSpaceDN w:val="0"/>
        <w:adjustRightInd w:val="0"/>
      </w:pPr>
      <w:r w:rsidRPr="00754DB3">
        <w:t>Approval of Certain Accounting Authority</w:t>
      </w:r>
      <w:r w:rsidRPr="00754DB3">
        <w:tab/>
        <w:t>)</w:t>
      </w:r>
    </w:p>
    <w:p w:rsidR="006802B1" w:rsidRPr="006802B1" w:rsidRDefault="006802B1" w:rsidP="006802B1">
      <w:pPr>
        <w:tabs>
          <w:tab w:val="left" w:pos="4680"/>
          <w:tab w:val="left" w:pos="5220"/>
        </w:tabs>
        <w:autoSpaceDE w:val="0"/>
        <w:autoSpaceDN w:val="0"/>
        <w:adjustRightInd w:val="0"/>
      </w:pPr>
      <w:r w:rsidRPr="00754DB3">
        <w:t>Pursuant to Ohio Rev. Code § 4905.13</w:t>
      </w:r>
      <w:r w:rsidRPr="00754DB3">
        <w:tab/>
        <w:t>)</w:t>
      </w:r>
    </w:p>
    <w:p w:rsidR="006802B1" w:rsidRPr="003046A9" w:rsidRDefault="006802B1" w:rsidP="006802B1">
      <w:pPr>
        <w:pBdr>
          <w:bottom w:val="single" w:sz="12" w:space="1" w:color="auto"/>
        </w:pBdr>
        <w:tabs>
          <w:tab w:val="left" w:pos="5040"/>
        </w:tabs>
        <w:rPr>
          <w:rFonts w:eastAsia="Times New Roman"/>
        </w:rPr>
      </w:pPr>
    </w:p>
    <w:p w:rsidR="006802B1" w:rsidRPr="000F2E9D" w:rsidRDefault="006802B1" w:rsidP="006802B1">
      <w:pPr>
        <w:rPr>
          <w:b/>
        </w:rPr>
      </w:pPr>
    </w:p>
    <w:p w:rsidR="006802B1" w:rsidRDefault="006802B1" w:rsidP="006802B1">
      <w:pPr>
        <w:jc w:val="center"/>
        <w:rPr>
          <w:rFonts w:ascii="Arial Bold" w:hAnsi="Arial Bold"/>
          <w:b/>
          <w:smallCaps/>
          <w:sz w:val="28"/>
          <w:szCs w:val="28"/>
        </w:rPr>
      </w:pPr>
      <w:r>
        <w:rPr>
          <w:rFonts w:ascii="Arial Bold" w:hAnsi="Arial Bold"/>
          <w:b/>
          <w:smallCaps/>
          <w:sz w:val="28"/>
          <w:szCs w:val="28"/>
        </w:rPr>
        <w:t>Memorandum in Support</w:t>
      </w:r>
    </w:p>
    <w:p w:rsidR="006802B1" w:rsidRPr="008810B2" w:rsidRDefault="006802B1" w:rsidP="006802B1">
      <w:pPr>
        <w:pBdr>
          <w:bottom w:val="single" w:sz="12" w:space="1" w:color="auto"/>
        </w:pBdr>
        <w:jc w:val="center"/>
        <w:rPr>
          <w:rFonts w:ascii="Arial Bold" w:hAnsi="Arial Bold"/>
          <w:b/>
          <w:smallCaps/>
        </w:rPr>
      </w:pPr>
    </w:p>
    <w:p w:rsidR="006802B1" w:rsidRDefault="006802B1" w:rsidP="006802B1">
      <w:pPr>
        <w:jc w:val="center"/>
        <w:rPr>
          <w:rFonts w:eastAsia="Times New Roman"/>
          <w:b/>
          <w:smallCaps/>
          <w:u w:val="single"/>
        </w:rPr>
      </w:pPr>
    </w:p>
    <w:p w:rsidR="001F1DC3" w:rsidRDefault="00AA78F2" w:rsidP="00907074">
      <w:pPr>
        <w:spacing w:line="480" w:lineRule="auto"/>
      </w:pPr>
      <w:r>
        <w:tab/>
      </w:r>
      <w:r w:rsidR="00A15E4A">
        <w:t>Through its Amended Application</w:t>
      </w:r>
      <w:r w:rsidR="00896472">
        <w:t>,</w:t>
      </w:r>
      <w:r w:rsidR="00A15E4A">
        <w:t xml:space="preserve"> DP&amp;L seeks authorization of the DMR.  As </w:t>
      </w:r>
      <w:r w:rsidR="00517776">
        <w:t>proposed</w:t>
      </w:r>
      <w:r w:rsidR="00A15E4A">
        <w:t>,</w:t>
      </w:r>
      <w:r w:rsidR="00517776">
        <w:t xml:space="preserve"> the DMR would allow</w:t>
      </w:r>
      <w:r w:rsidR="00A15E4A">
        <w:t xml:space="preserve"> DP&amp;L to collect $145 million</w:t>
      </w:r>
      <w:r w:rsidR="00517776">
        <w:t xml:space="preserve"> a year on </w:t>
      </w:r>
      <w:r w:rsidR="00A15E4A">
        <w:t xml:space="preserve">a nonbypassable basis for </w:t>
      </w:r>
      <w:r w:rsidR="00896472">
        <w:t xml:space="preserve">seven </w:t>
      </w:r>
      <w:r w:rsidR="00A15E4A">
        <w:t>years, or $1.015 billion</w:t>
      </w:r>
      <w:r w:rsidR="00517776">
        <w:t xml:space="preserve"> over the proposed ESP term</w:t>
      </w:r>
      <w:r w:rsidR="00A15E4A">
        <w:t xml:space="preserve">.  DP&amp;L proposes to use </w:t>
      </w:r>
      <w:r w:rsidR="00026D92">
        <w:rPr>
          <w:noProof/>
          <w:color w:val="000000"/>
          <w:highlight w:val="black"/>
        </w:rPr>
        <w:t>''''''''' '''''''''''''''''''''</w:t>
      </w:r>
      <w:r w:rsidR="00A15E4A">
        <w:t xml:space="preserve"> of the </w:t>
      </w:r>
      <w:r w:rsidR="001F1DC3">
        <w:t xml:space="preserve">DMR revenue it collects </w:t>
      </w:r>
      <w:r w:rsidR="00CA216A">
        <w:t>(</w:t>
      </w:r>
      <w:r w:rsidR="00026D92">
        <w:rPr>
          <w:noProof/>
          <w:color w:val="000000"/>
          <w:highlight w:val="black"/>
        </w:rPr>
        <w:t>''''''''''''' '''''''''''''''' ''''' '''''''''''</w:t>
      </w:r>
      <w:r w:rsidR="00CA216A">
        <w:t xml:space="preserve">) </w:t>
      </w:r>
      <w:r w:rsidR="001F1DC3">
        <w:t>to</w:t>
      </w:r>
      <w:r w:rsidR="00A15E4A">
        <w:t xml:space="preserve"> pay down debt at its </w:t>
      </w:r>
      <w:r w:rsidR="00643466">
        <w:t>parent company, DPL Inc.</w:t>
      </w:r>
      <w:r w:rsidR="001F1DC3">
        <w:t xml:space="preserve">  DP&amp;L proposes to use </w:t>
      </w:r>
      <w:r w:rsidR="00026D92">
        <w:rPr>
          <w:noProof/>
          <w:color w:val="000000"/>
          <w:highlight w:val="black"/>
        </w:rPr>
        <w:t>'''''''''''''''' ''''''</w:t>
      </w:r>
      <w:r w:rsidR="00573391">
        <w:t xml:space="preserve"> of the remaining DMR revenue </w:t>
      </w:r>
      <w:r w:rsidR="001F1DC3">
        <w:t>to pay down its own debt</w:t>
      </w:r>
      <w:r w:rsidR="00CA216A">
        <w:t xml:space="preserve"> (</w:t>
      </w:r>
      <w:r w:rsidR="00026D92">
        <w:rPr>
          <w:noProof/>
          <w:color w:val="000000"/>
          <w:highlight w:val="black"/>
        </w:rPr>
        <w:t>''''''''''''' '''''''''''''''''' ''''' ''''''''''</w:t>
      </w:r>
      <w:r w:rsidR="00573391">
        <w:t xml:space="preserve">).  </w:t>
      </w:r>
    </w:p>
    <w:p w:rsidR="005212FE" w:rsidRDefault="00573391" w:rsidP="00907074">
      <w:pPr>
        <w:spacing w:line="480" w:lineRule="auto"/>
      </w:pPr>
      <w:r>
        <w:tab/>
      </w:r>
      <w:r w:rsidR="00643466">
        <w:t>The majority of the debt at DPL Inc. is associated with debt that AES used to finance its takeover of DPL Inc. in 2011</w:t>
      </w:r>
      <w:r w:rsidR="003E2A9C">
        <w:t>.  As of December 31, 2015, DPL Inc. had $1.25 billion in debt on its books, of which $730 million (58</w:t>
      </w:r>
      <w:r w:rsidR="003220CE">
        <w:t>%</w:t>
      </w:r>
      <w:r w:rsidR="003E2A9C">
        <w:t>) was related to AES</w:t>
      </w:r>
      <w:r w:rsidR="00896472">
        <w:t>’</w:t>
      </w:r>
      <w:r w:rsidR="003E2A9C">
        <w:t xml:space="preserve"> acquisition debt.</w:t>
      </w:r>
      <w:r w:rsidR="003220CE">
        <w:rPr>
          <w:rStyle w:val="FootnoteReference"/>
        </w:rPr>
        <w:footnoteReference w:id="1"/>
      </w:r>
      <w:r w:rsidR="003E2A9C">
        <w:t xml:space="preserve">  </w:t>
      </w:r>
    </w:p>
    <w:p w:rsidR="004854E4" w:rsidRDefault="003220CE" w:rsidP="00F30673">
      <w:pPr>
        <w:spacing w:line="480" w:lineRule="auto"/>
        <w:ind w:firstLine="720"/>
      </w:pPr>
      <w:r>
        <w:t>As to DP&amp;L’s debt, as part of the Commission’s approval of the AES acquisition in 2011</w:t>
      </w:r>
      <w:r w:rsidR="00896472">
        <w:t>,</w:t>
      </w:r>
      <w:r>
        <w:t xml:space="preserve"> DP&amp;L committed to maintaining DP&amp;L’s capital structure at </w:t>
      </w:r>
      <w:r w:rsidR="004854E4">
        <w:t xml:space="preserve">no less than </w:t>
      </w:r>
      <w:r>
        <w:t>50</w:t>
      </w:r>
      <w:r w:rsidR="00896472">
        <w:t>%</w:t>
      </w:r>
      <w:r>
        <w:t xml:space="preserve"> equity </w:t>
      </w:r>
      <w:r>
        <w:lastRenderedPageBreak/>
        <w:t>and 50</w:t>
      </w:r>
      <w:r w:rsidR="00896472">
        <w:t>%</w:t>
      </w:r>
      <w:r>
        <w:t xml:space="preserve"> debt.  </w:t>
      </w:r>
      <w:r w:rsidR="004E1644">
        <w:t>DP&amp;L has argued that the generation asset divestiture will result in noncompliance with this requirement because DP&amp;L will transfer equity with the assets but no debt.</w:t>
      </w:r>
      <w:r w:rsidR="00532E2A">
        <w:rPr>
          <w:rStyle w:val="FootnoteReference"/>
        </w:rPr>
        <w:footnoteReference w:id="2"/>
      </w:r>
      <w:r w:rsidR="004E1644">
        <w:t xml:space="preserve"> </w:t>
      </w:r>
      <w:r w:rsidR="00892EA0">
        <w:t xml:space="preserve"> </w:t>
      </w:r>
      <w:r w:rsidR="004E1644">
        <w:t xml:space="preserve">The Commission has granted a temporary waiver of the 50/50 debt to </w:t>
      </w:r>
      <w:r w:rsidR="00532E2A">
        <w:t>e</w:t>
      </w:r>
      <w:r w:rsidR="004E1644">
        <w:t xml:space="preserve">quity </w:t>
      </w:r>
      <w:r w:rsidR="00532E2A">
        <w:t>capitalization</w:t>
      </w:r>
      <w:r w:rsidR="004E1644">
        <w:t xml:space="preserve"> requirement to allow DP&amp;L to effectuate the generation asset transfer.  However, because DP&amp;L will not be transferring the portion of its total company debt attributable to the generation assets as part of the divestiture, DP&amp;L must pay down that debt to return to the 50/50 capitalization requirement. </w:t>
      </w:r>
    </w:p>
    <w:p w:rsidR="00C94FA6" w:rsidRDefault="00C94FA6" w:rsidP="00907074">
      <w:pPr>
        <w:spacing w:line="480" w:lineRule="auto"/>
      </w:pPr>
      <w:r>
        <w:tab/>
        <w:t>The Commission, however, lacks jurisdiction to authorize DP&amp;L to impose the nonbypassable DMR to pay down debt at DPL Inc. or to pay down generation</w:t>
      </w:r>
      <w:r w:rsidR="00C65F32">
        <w:t>-related</w:t>
      </w:r>
      <w:r>
        <w:t xml:space="preserve"> debt</w:t>
      </w:r>
      <w:r w:rsidR="00C65F32">
        <w:t xml:space="preserve"> at DP&amp;L.</w:t>
      </w:r>
      <w:r>
        <w:t xml:space="preserve">  Because the Commission cannot authorize the DMR</w:t>
      </w:r>
      <w:r w:rsidR="00900F37">
        <w:t>,</w:t>
      </w:r>
      <w:r>
        <w:t xml:space="preserve"> IEU-Ohio requests </w:t>
      </w:r>
      <w:r w:rsidR="00900F37">
        <w:t xml:space="preserve">that </w:t>
      </w:r>
      <w:r>
        <w:t xml:space="preserve">the Commission grant this Motion to Dismiss and </w:t>
      </w:r>
      <w:r w:rsidR="00892EA0">
        <w:t xml:space="preserve">dismiss </w:t>
      </w:r>
      <w:r>
        <w:t>the DMR from DP&amp;L’s Amended Application and direct DP&amp;L to refile its testimony to reflect the dismissal of the DMR.</w:t>
      </w:r>
    </w:p>
    <w:p w:rsidR="000B3F3E" w:rsidRDefault="00C94FA6" w:rsidP="00C94FA6">
      <w:pPr>
        <w:pStyle w:val="Heading1"/>
      </w:pPr>
      <w:bookmarkStart w:id="1" w:name="_Toc467485513"/>
      <w:r>
        <w:t>Background</w:t>
      </w:r>
      <w:bookmarkEnd w:id="1"/>
    </w:p>
    <w:p w:rsidR="008D28D1" w:rsidRDefault="00C94FA6" w:rsidP="00907074">
      <w:pPr>
        <w:spacing w:line="480" w:lineRule="auto"/>
      </w:pPr>
      <w:r>
        <w:tab/>
      </w:r>
      <w:r w:rsidR="00AA78F2">
        <w:t xml:space="preserve">The financial issues </w:t>
      </w:r>
      <w:r w:rsidR="00DF6DC3">
        <w:t xml:space="preserve">underpinning DP&amp;L’s request for the DMR are </w:t>
      </w:r>
      <w:r w:rsidR="008D28D1">
        <w:t xml:space="preserve">being driven </w:t>
      </w:r>
      <w:r w:rsidR="00824F76">
        <w:t xml:space="preserve">in large part </w:t>
      </w:r>
      <w:r w:rsidR="008D28D1">
        <w:t xml:space="preserve">by the out-of-balance debt load at DPL Inc.  </w:t>
      </w:r>
      <w:r w:rsidR="006A477E">
        <w:t>As noted above, DPL Inc. carries a significant debt load</w:t>
      </w:r>
      <w:r w:rsidR="005B4798">
        <w:t xml:space="preserve"> as a result of the</w:t>
      </w:r>
      <w:r w:rsidR="006A477E">
        <w:t xml:space="preserve"> acquisition debt that AES pushed down to DPL Inc. as part of its highly</w:t>
      </w:r>
      <w:r w:rsidR="006A1D81">
        <w:t>-</w:t>
      </w:r>
      <w:r w:rsidR="006A477E">
        <w:t>leveraged takeover of DPL Inc. in 2011.</w:t>
      </w:r>
      <w:r w:rsidR="008D28D1">
        <w:t xml:space="preserve">  </w:t>
      </w:r>
      <w:r w:rsidR="007541FE">
        <w:t>DP&amp;L is essentially DPL Inc.’s sole source of income</w:t>
      </w:r>
      <w:r w:rsidR="00282647">
        <w:t xml:space="preserve"> and therefore the only way for DPL Inc. to satisfy </w:t>
      </w:r>
      <w:r w:rsidR="006A477E">
        <w:t>the repayment obligation for the AES acquisition debt</w:t>
      </w:r>
      <w:r w:rsidR="00282647">
        <w:t xml:space="preserve"> is to turn to AES </w:t>
      </w:r>
      <w:r w:rsidR="00594208">
        <w:t>for repayment</w:t>
      </w:r>
      <w:r w:rsidR="00282647">
        <w:t xml:space="preserve"> or look to DP&amp;L for dividends</w:t>
      </w:r>
      <w:r w:rsidR="007541FE">
        <w:t>.</w:t>
      </w:r>
      <w:r w:rsidR="00DE0DDB">
        <w:rPr>
          <w:rStyle w:val="FootnoteReference"/>
        </w:rPr>
        <w:footnoteReference w:id="3"/>
      </w:r>
      <w:r w:rsidR="007541FE">
        <w:t xml:space="preserve">  </w:t>
      </w:r>
      <w:r w:rsidR="005B4798">
        <w:t xml:space="preserve">In the last ESP case, DP&amp;L proposed the </w:t>
      </w:r>
      <w:r w:rsidR="00900F37">
        <w:t>Service Stability Rider (“</w:t>
      </w:r>
      <w:r w:rsidR="005B4798">
        <w:t>SSR</w:t>
      </w:r>
      <w:r w:rsidR="00900F37">
        <w:t>”)</w:t>
      </w:r>
      <w:r w:rsidR="005B4798">
        <w:t>, turning to customers to prop up DP&amp;L’s total company revenue so that it could continue issuing dividends to DPL Inc.</w:t>
      </w:r>
      <w:r w:rsidR="00CF0E82">
        <w:rPr>
          <w:rStyle w:val="FootnoteReference"/>
        </w:rPr>
        <w:footnoteReference w:id="4"/>
      </w:r>
      <w:r w:rsidR="005B4798">
        <w:t xml:space="preserve">  </w:t>
      </w:r>
      <w:r w:rsidR="001047D2">
        <w:t>Similarly i</w:t>
      </w:r>
      <w:r w:rsidR="005B4798">
        <w:t xml:space="preserve">n this case, </w:t>
      </w:r>
      <w:r w:rsidR="007541FE">
        <w:t>DP&amp;L</w:t>
      </w:r>
      <w:r w:rsidR="00282647">
        <w:t>, DPL Inc. and AES have</w:t>
      </w:r>
      <w:r w:rsidR="00754408">
        <w:t xml:space="preserve"> asked the Commission to allow it </w:t>
      </w:r>
      <w:r w:rsidR="00E02F63">
        <w:t xml:space="preserve">to pay off the acquisition debt </w:t>
      </w:r>
      <w:r w:rsidR="00754408">
        <w:t>with nonbypassable customer charges</w:t>
      </w:r>
      <w:r w:rsidR="00E02F63">
        <w:t>.</w:t>
      </w:r>
    </w:p>
    <w:p w:rsidR="00B7082F" w:rsidRDefault="008D28D1" w:rsidP="00B7082F">
      <w:pPr>
        <w:spacing w:line="480" w:lineRule="auto"/>
      </w:pPr>
      <w:r>
        <w:tab/>
      </w:r>
      <w:r w:rsidR="007541FE">
        <w:t xml:space="preserve">This </w:t>
      </w:r>
      <w:r w:rsidR="00754408">
        <w:t xml:space="preserve">request </w:t>
      </w:r>
      <w:r w:rsidR="007541FE">
        <w:t xml:space="preserve">is </w:t>
      </w:r>
      <w:r w:rsidR="00DF6DC3">
        <w:t xml:space="preserve">no surprise. </w:t>
      </w:r>
      <w:r w:rsidR="00B7082F">
        <w:t xml:space="preserve"> </w:t>
      </w:r>
      <w:r w:rsidR="00A65D53">
        <w:t>Because</w:t>
      </w:r>
      <w:r w:rsidR="00B7082F">
        <w:t xml:space="preserve"> the AES takeover of DPL Inc.</w:t>
      </w:r>
      <w:r w:rsidR="00A65D53">
        <w:t xml:space="preserve"> was highly leveraged</w:t>
      </w:r>
      <w:r w:rsidR="00D866D3">
        <w:t>,</w:t>
      </w:r>
      <w:r w:rsidR="00B7082F">
        <w:t xml:space="preserve"> </w:t>
      </w:r>
      <w:r w:rsidR="006E3862">
        <w:t xml:space="preserve">the </w:t>
      </w:r>
      <w:r w:rsidR="00EE3A36">
        <w:t>Commission Staff warned the Commission about the possibility of merger</w:t>
      </w:r>
      <w:r w:rsidR="003F446D">
        <w:t>-</w:t>
      </w:r>
      <w:r w:rsidR="00EE3A36">
        <w:t>related costs and other negative effects of the merger materializing at DP&amp;L and therefore proposed ring-fencing conditions to help prevent the negative aspects of the transaction from materializing financially at DP&amp;L.</w:t>
      </w:r>
      <w:r w:rsidR="00EE3A36">
        <w:rPr>
          <w:rStyle w:val="FootnoteReference"/>
        </w:rPr>
        <w:footnoteReference w:id="5"/>
      </w:r>
      <w:r w:rsidR="006E3862">
        <w:t xml:space="preserve"> </w:t>
      </w:r>
    </w:p>
    <w:p w:rsidR="0085183E" w:rsidRDefault="00B7082F" w:rsidP="0085183E">
      <w:pPr>
        <w:spacing w:line="480" w:lineRule="auto"/>
      </w:pPr>
      <w:r>
        <w:tab/>
      </w:r>
      <w:r w:rsidR="00A65D53">
        <w:t>Likewise</w:t>
      </w:r>
      <w:r w:rsidR="006E3862">
        <w:t>,</w:t>
      </w:r>
      <w:r w:rsidR="006E3862">
        <w:rPr>
          <w:i/>
        </w:rPr>
        <w:t xml:space="preserve"> </w:t>
      </w:r>
      <w:r w:rsidR="00F4408F">
        <w:t xml:space="preserve">IEU-Ohio warned the Commission that </w:t>
      </w:r>
      <w:r w:rsidR="00F4408F" w:rsidRPr="000710EF">
        <w:t xml:space="preserve">“[t]he highly-leveraged transaction will potentially pressure AES to use its control over DPL to assure that DP&amp;L and other DPL subsidiaries </w:t>
      </w:r>
      <w:r w:rsidR="003F446D">
        <w:t xml:space="preserve">generate </w:t>
      </w:r>
      <w:r w:rsidR="00F4408F" w:rsidRPr="000710EF">
        <w:t>adequate cash flow to service the newly issued debt and that debt service can be expected to be drawn from the customers of DP&amp;L.”</w:t>
      </w:r>
      <w:r w:rsidR="006A1D81">
        <w:rPr>
          <w:rStyle w:val="FootnoteReference"/>
        </w:rPr>
        <w:footnoteReference w:id="6"/>
      </w:r>
      <w:r w:rsidR="00F4408F" w:rsidRPr="000710EF">
        <w:t xml:space="preserve">  </w:t>
      </w:r>
      <w:r w:rsidR="00525937">
        <w:t xml:space="preserve">IEU-Ohio noted that DPL Inc.’s </w:t>
      </w:r>
      <w:r w:rsidR="00F95622">
        <w:t xml:space="preserve">disclosures to the </w:t>
      </w:r>
      <w:r w:rsidR="003F446D">
        <w:t>Securities and Exchange Commission (“</w:t>
      </w:r>
      <w:r w:rsidR="00F95622">
        <w:t>SEC</w:t>
      </w:r>
      <w:r w:rsidR="003F446D">
        <w:t>”)</w:t>
      </w:r>
      <w:r w:rsidR="00F95622">
        <w:t xml:space="preserve"> as part of the proposed merger included</w:t>
      </w:r>
      <w:r w:rsidR="00525937">
        <w:t xml:space="preserve"> </w:t>
      </w:r>
      <w:r w:rsidR="00F204F2">
        <w:t xml:space="preserve">an </w:t>
      </w:r>
      <w:r w:rsidR="00525937">
        <w:t>assumption</w:t>
      </w:r>
      <w:r w:rsidR="00F204F2">
        <w:t xml:space="preserve"> that its</w:t>
      </w:r>
      <w:r w:rsidR="00525937">
        <w:t xml:space="preserve"> nonbypassable provider of last resort </w:t>
      </w:r>
      <w:r w:rsidR="00DA37EE">
        <w:t xml:space="preserve">(“POLR”) </w:t>
      </w:r>
      <w:r w:rsidR="00525937">
        <w:t xml:space="preserve">charge (the </w:t>
      </w:r>
      <w:r w:rsidR="00362668">
        <w:t>Rate Stabilization Charge or “</w:t>
      </w:r>
      <w:r w:rsidR="00525937">
        <w:t>RSC</w:t>
      </w:r>
      <w:r w:rsidR="00F61092">
        <w:t>,</w:t>
      </w:r>
      <w:r w:rsidR="00362668">
        <w:t>”</w:t>
      </w:r>
      <w:r w:rsidR="0039743B">
        <w:t xml:space="preserve"> collecting $76 million/year</w:t>
      </w:r>
      <w:r w:rsidR="00525937">
        <w:t xml:space="preserve">) </w:t>
      </w:r>
      <w:r w:rsidR="0085183E">
        <w:t xml:space="preserve">would continue </w:t>
      </w:r>
      <w:r w:rsidR="00525937">
        <w:t>after its ESP expired in 2012.</w:t>
      </w:r>
      <w:r w:rsidR="00525937">
        <w:rPr>
          <w:rStyle w:val="FootnoteReference"/>
        </w:rPr>
        <w:footnoteReference w:id="7"/>
      </w:r>
      <w:r w:rsidR="0085183E">
        <w:t xml:space="preserve">  Accordingly, IEU-Ohio urged the Commission to</w:t>
      </w:r>
      <w:r w:rsidR="00012DE5">
        <w:t>:</w:t>
      </w:r>
    </w:p>
    <w:p w:rsidR="00637154" w:rsidRDefault="0085183E" w:rsidP="0085183E">
      <w:pPr>
        <w:ind w:left="720" w:right="720"/>
      </w:pPr>
      <w:r>
        <w:t xml:space="preserve">impose conditions on the proposed change in control so as to, among other things, ensure that the consumers have full and unencumbered access to CRES suppliers and </w:t>
      </w:r>
      <w:r w:rsidRPr="002D73C5">
        <w:rPr>
          <w:i/>
          <w:u w:val="single"/>
        </w:rPr>
        <w:t>that the debt service obligations associated with the proposed highly-leveraged transaction are not funded through non-bypassable charges</w:t>
      </w:r>
      <w:r>
        <w:t>, unduly prejudicial capacity charges that apply to shopping customers or their CRES suppliers or other restrictions on shopping.</w:t>
      </w:r>
      <w:r>
        <w:rPr>
          <w:rStyle w:val="FootnoteReference"/>
        </w:rPr>
        <w:footnoteReference w:id="8"/>
      </w:r>
    </w:p>
    <w:p w:rsidR="002D73C5" w:rsidRDefault="002D73C5" w:rsidP="002D73C5"/>
    <w:p w:rsidR="00F057EF" w:rsidRDefault="00AD4530" w:rsidP="00F057EF">
      <w:pPr>
        <w:spacing w:line="480" w:lineRule="auto"/>
      </w:pPr>
      <w:r>
        <w:tab/>
      </w:r>
      <w:r w:rsidR="006F6AA0">
        <w:t xml:space="preserve">The responses in the </w:t>
      </w:r>
      <w:r w:rsidR="006F6AA0">
        <w:rPr>
          <w:i/>
        </w:rPr>
        <w:t xml:space="preserve">Merger Case </w:t>
      </w:r>
      <w:r w:rsidR="006F6AA0">
        <w:t xml:space="preserve">made by DP&amp;L, DPL Inc. and AES </w:t>
      </w:r>
      <w:r w:rsidR="00D438DA">
        <w:t xml:space="preserve">not only dismissed the concerns expressed by Staff and IEU-Ohio as nothing more than the conjecture </w:t>
      </w:r>
      <w:r w:rsidR="00E8392C">
        <w:t xml:space="preserve">of </w:t>
      </w:r>
      <w:r w:rsidR="00AE13B6">
        <w:t xml:space="preserve">a </w:t>
      </w:r>
      <w:r w:rsidR="00D438DA">
        <w:t xml:space="preserve">soothsayer, but they expressly argued to the Commission that </w:t>
      </w:r>
      <w:r w:rsidR="00EC5CDD">
        <w:t>the Commission</w:t>
      </w:r>
      <w:r w:rsidR="00D438DA">
        <w:t xml:space="preserve"> had very limited authority to consider or address</w:t>
      </w:r>
      <w:r w:rsidR="00AB0848">
        <w:t xml:space="preserve"> either</w:t>
      </w:r>
      <w:r w:rsidR="00D438DA">
        <w:t xml:space="preserve"> DP&amp;L’s or DPL Inc.’s finances.</w:t>
      </w:r>
      <w:r w:rsidR="00F057EF">
        <w:rPr>
          <w:rStyle w:val="FootnoteReference"/>
        </w:rPr>
        <w:footnoteReference w:id="9"/>
      </w:r>
      <w:r w:rsidR="00F057EF">
        <w:t xml:space="preserve">  With short memory, DP&amp;L has now sought two charges (the reversed </w:t>
      </w:r>
      <w:r w:rsidR="00124C17">
        <w:t xml:space="preserve">SSR </w:t>
      </w:r>
      <w:r w:rsidR="00F057EF">
        <w:t xml:space="preserve">and the DMR) explicitly designed to address </w:t>
      </w:r>
      <w:r w:rsidR="00940151">
        <w:t>the finances that</w:t>
      </w:r>
      <w:r w:rsidR="00F057EF">
        <w:t xml:space="preserve"> DP&amp;L </w:t>
      </w:r>
      <w:r w:rsidR="00940151">
        <w:t>previously asserted</w:t>
      </w:r>
      <w:r w:rsidR="00F057EF">
        <w:t xml:space="preserve"> w</w:t>
      </w:r>
      <w:r w:rsidR="005C3186">
        <w:t>ere</w:t>
      </w:r>
      <w:r w:rsidR="00F057EF">
        <w:t xml:space="preserve"> beyond the Commission’s jurisdiction.  </w:t>
      </w:r>
    </w:p>
    <w:p w:rsidR="00F057EF" w:rsidRDefault="00F057EF" w:rsidP="00F057EF">
      <w:pPr>
        <w:spacing w:line="480" w:lineRule="auto"/>
      </w:pPr>
      <w:r>
        <w:tab/>
      </w:r>
      <w:r w:rsidR="000627F1">
        <w:t xml:space="preserve">DP&amp;L has </w:t>
      </w:r>
      <w:r w:rsidR="00700C21">
        <w:t xml:space="preserve">also </w:t>
      </w:r>
      <w:r w:rsidR="000627F1">
        <w:t xml:space="preserve">backtracked from additional commitments and statements it made in the </w:t>
      </w:r>
      <w:r w:rsidR="000627F1">
        <w:rPr>
          <w:i/>
        </w:rPr>
        <w:t xml:space="preserve">Merger Case </w:t>
      </w:r>
      <w:r w:rsidR="000627F1">
        <w:t>to secure a finding from the Commission that the proposed merger was in the public interest.  For example, i</w:t>
      </w:r>
      <w:r>
        <w:t xml:space="preserve">n the </w:t>
      </w:r>
      <w:r>
        <w:rPr>
          <w:i/>
        </w:rPr>
        <w:t>Merger Case</w:t>
      </w:r>
      <w:r>
        <w:t>, AES, DPL Inc. and DP&amp;L committed to maintaining DP&amp;L’s credit rating at investment grade.</w:t>
      </w:r>
      <w:r>
        <w:rPr>
          <w:rStyle w:val="FootnoteReference"/>
        </w:rPr>
        <w:footnoteReference w:id="10"/>
      </w:r>
      <w:r>
        <w:t xml:space="preserve">  In this case, DP&amp;L asserts that its credit rating may suffer and be downgraded below investment grade if the Commission does not authorize the DMR.</w:t>
      </w:r>
      <w:r>
        <w:rPr>
          <w:rStyle w:val="FootnoteReference"/>
        </w:rPr>
        <w:footnoteReference w:id="11"/>
      </w:r>
      <w:r w:rsidR="00611F33">
        <w:t xml:space="preserve">  Instead of living up to their commitment, they are turning to customers to eliminate the negative financial hangover of the AES takeover </w:t>
      </w:r>
      <w:r w:rsidR="00EE50B8">
        <w:t>that DP&amp;L claims could potentially result in a downgrade of its credit rating below investment grade</w:t>
      </w:r>
      <w:r w:rsidR="00611F33">
        <w:t>.</w:t>
      </w:r>
      <w:r w:rsidR="0029301F">
        <w:t xml:space="preserve">   </w:t>
      </w:r>
      <w:r w:rsidR="00D83B19">
        <w:t>Furthermore, DP&amp;L’s testimony highlights the unfortunate and unique circumstances that the AES acquisition debt is having on DP&amp;L.  Of 45 integrated utilities, DP&amp;L is one of only three companies with the lowest investment grade rating.</w:t>
      </w:r>
      <w:r w:rsidR="00D83B19">
        <w:rPr>
          <w:rStyle w:val="FootnoteReference"/>
        </w:rPr>
        <w:footnoteReference w:id="12"/>
      </w:r>
      <w:r w:rsidR="00CC27FD">
        <w:t xml:space="preserve">  </w:t>
      </w:r>
    </w:p>
    <w:p w:rsidR="00860D46" w:rsidRDefault="0029301F" w:rsidP="00F057EF">
      <w:pPr>
        <w:spacing w:line="480" w:lineRule="auto"/>
      </w:pPr>
      <w:r>
        <w:tab/>
        <w:t xml:space="preserve">In the </w:t>
      </w:r>
      <w:r>
        <w:rPr>
          <w:i/>
        </w:rPr>
        <w:t>Merger Case</w:t>
      </w:r>
      <w:r>
        <w:t xml:space="preserve">, DP&amp;L, DPL Inc. and AES asserted that the </w:t>
      </w:r>
      <w:r w:rsidR="00215A49">
        <w:t>“‘</w:t>
      </w:r>
      <w:r>
        <w:t>grade’ assigned by the rating agencies directly reflect</w:t>
      </w:r>
      <w:r w:rsidR="00CC27FD">
        <w:t>s</w:t>
      </w:r>
      <w:r>
        <w:t xml:space="preserve"> those agencies’ evaluation of DP&amp;L within the holding company structure.”</w:t>
      </w:r>
      <w:r>
        <w:rPr>
          <w:rStyle w:val="FootnoteReference"/>
        </w:rPr>
        <w:footnoteReference w:id="13"/>
      </w:r>
      <w:r w:rsidR="001B6CE2">
        <w:t xml:space="preserve">  In this case</w:t>
      </w:r>
      <w:r>
        <w:t xml:space="preserve"> and despite </w:t>
      </w:r>
      <w:r w:rsidR="001B6CE2">
        <w:t xml:space="preserve">DP&amp;L’s </w:t>
      </w:r>
      <w:r w:rsidR="00026D92">
        <w:rPr>
          <w:noProof/>
          <w:color w:val="000000"/>
          <w:highlight w:val="black"/>
        </w:rPr>
        <w:t>'''''''''''''''' ''''''''''''''''''' '''''''''''''''''''''''</w:t>
      </w:r>
      <w:r>
        <w:t xml:space="preserve"> associated with </w:t>
      </w:r>
      <w:r w:rsidR="007B3CBD">
        <w:t xml:space="preserve">the </w:t>
      </w:r>
      <w:r w:rsidR="00012DE5">
        <w:t>electric distribution utility (“</w:t>
      </w:r>
      <w:r w:rsidR="007B3CBD">
        <w:t>EDU</w:t>
      </w:r>
      <w:r w:rsidR="00012DE5">
        <w:t>A”)</w:t>
      </w:r>
      <w:r>
        <w:t xml:space="preserve"> (a net income of </w:t>
      </w:r>
      <w:r w:rsidR="00026D92">
        <w:rPr>
          <w:noProof/>
          <w:color w:val="000000"/>
          <w:highlight w:val="black"/>
        </w:rPr>
        <w:t>''''''''''''' '''''''''''''''''</w:t>
      </w:r>
      <w:r>
        <w:t xml:space="preserve"> over the next </w:t>
      </w:r>
      <w:r w:rsidR="00F61092">
        <w:t xml:space="preserve">seven </w:t>
      </w:r>
      <w:r>
        <w:t xml:space="preserve">years, and an average </w:t>
      </w:r>
      <w:r w:rsidR="0048170D">
        <w:t xml:space="preserve">return on equity (“ROE”) </w:t>
      </w:r>
      <w:r>
        <w:t xml:space="preserve">of </w:t>
      </w:r>
      <w:r w:rsidR="00026D92">
        <w:rPr>
          <w:noProof/>
          <w:color w:val="000000"/>
          <w:highlight w:val="black"/>
        </w:rPr>
        <w:t>'''''''''''''''''</w:t>
      </w:r>
      <w:r w:rsidR="0048170D">
        <w:t xml:space="preserve">), </w:t>
      </w:r>
      <w:r>
        <w:t>DP&amp;L asserts that the negative financial condition at DPL Inc. could result in DP&amp;L’s downgrade</w:t>
      </w:r>
      <w:r w:rsidR="003E125D">
        <w:t xml:space="preserve"> below investment grade</w:t>
      </w:r>
      <w:r>
        <w:t>.</w:t>
      </w:r>
      <w:r w:rsidR="001B6CE2">
        <w:rPr>
          <w:rStyle w:val="FootnoteReference"/>
        </w:rPr>
        <w:footnoteReference w:id="14"/>
      </w:r>
      <w:r>
        <w:t xml:space="preserve">  In direct contradiction to its prior statement, DP&amp;L also </w:t>
      </w:r>
      <w:r w:rsidR="007B3CBD">
        <w:t>now claims</w:t>
      </w:r>
      <w:r>
        <w:t xml:space="preserve"> that DP&amp;L’s credit rating is not independent </w:t>
      </w:r>
      <w:r w:rsidR="00F245A3">
        <w:t>from</w:t>
      </w:r>
      <w:r w:rsidR="002A1D98">
        <w:t xml:space="preserve"> </w:t>
      </w:r>
      <w:r>
        <w:t xml:space="preserve">DPL Inc.’s </w:t>
      </w:r>
      <w:r w:rsidR="00F245A3">
        <w:t xml:space="preserve">credit rating </w:t>
      </w:r>
      <w:r>
        <w:t>and that credit rating agencies view DP&amp;L in the context of its corporate family.</w:t>
      </w:r>
      <w:r>
        <w:rPr>
          <w:rStyle w:val="FootnoteReference"/>
        </w:rPr>
        <w:footnoteReference w:id="15"/>
      </w:r>
      <w:r w:rsidR="001C0BC4">
        <w:t xml:space="preserve">  </w:t>
      </w:r>
    </w:p>
    <w:p w:rsidR="00F057EF" w:rsidRDefault="00F057EF" w:rsidP="00F057EF">
      <w:pPr>
        <w:spacing w:line="480" w:lineRule="auto"/>
      </w:pPr>
      <w:r>
        <w:tab/>
        <w:t xml:space="preserve">In the </w:t>
      </w:r>
      <w:r>
        <w:rPr>
          <w:i/>
        </w:rPr>
        <w:t>Merger Case</w:t>
      </w:r>
      <w:r w:rsidR="002A1D98">
        <w:rPr>
          <w:i/>
        </w:rPr>
        <w:t>,</w:t>
      </w:r>
      <w:r>
        <w:rPr>
          <w:i/>
        </w:rPr>
        <w:t xml:space="preserve"> </w:t>
      </w:r>
      <w:r>
        <w:t>AES, DPL Inc. and DP&amp;L committed to maintaining positive retained earnings at DP&amp;L.</w:t>
      </w:r>
      <w:r>
        <w:rPr>
          <w:rStyle w:val="FootnoteReference"/>
        </w:rPr>
        <w:footnoteReference w:id="16"/>
      </w:r>
      <w:r>
        <w:t xml:space="preserve">  This condition was imposed upon DP&amp;L in the </w:t>
      </w:r>
      <w:r>
        <w:rPr>
          <w:i/>
        </w:rPr>
        <w:t xml:space="preserve">Merger Case </w:t>
      </w:r>
      <w:r>
        <w:t xml:space="preserve">and reaffirmed by the Commission in </w:t>
      </w:r>
      <w:r w:rsidR="00F61092">
        <w:t xml:space="preserve">the </w:t>
      </w:r>
      <w:r w:rsidRPr="00CA1583">
        <w:rPr>
          <w:i/>
        </w:rPr>
        <w:t>Asset Divestiture Case</w:t>
      </w:r>
      <w:r>
        <w:t xml:space="preserve">.  </w:t>
      </w:r>
      <w:r w:rsidR="00112ECC">
        <w:t>Between 2012 and 2015, DP&amp;L had a net income of $</w:t>
      </w:r>
      <w:r w:rsidR="006274F6">
        <w:t>393.5</w:t>
      </w:r>
      <w:r w:rsidR="00112ECC">
        <w:t xml:space="preserve"> million</w:t>
      </w:r>
      <w:r w:rsidR="00642AB5">
        <w:rPr>
          <w:rStyle w:val="FootnoteReference"/>
        </w:rPr>
        <w:footnoteReference w:id="17"/>
      </w:r>
      <w:r w:rsidR="00112ECC">
        <w:t xml:space="preserve"> and paid out dividends totaling $</w:t>
      </w:r>
      <w:r w:rsidR="00997E1B">
        <w:t>548.4</w:t>
      </w:r>
      <w:r w:rsidR="00112ECC">
        <w:t xml:space="preserve"> million to DPL Inc.</w:t>
      </w:r>
      <w:r w:rsidR="00112ECC">
        <w:rPr>
          <w:rStyle w:val="FootnoteReference"/>
        </w:rPr>
        <w:footnoteReference w:id="18"/>
      </w:r>
      <w:r w:rsidR="00112ECC">
        <w:t xml:space="preserve">  All of DP&amp;L’s dividends since 2012 have been used </w:t>
      </w:r>
      <w:r w:rsidR="005A4A77">
        <w:t xml:space="preserve">exclusively </w:t>
      </w:r>
      <w:r w:rsidR="00112ECC">
        <w:t xml:space="preserve">by DPL Inc. to </w:t>
      </w:r>
      <w:r w:rsidR="005A4A77">
        <w:t xml:space="preserve">meet interest obligations and </w:t>
      </w:r>
      <w:r w:rsidR="00112ECC">
        <w:t>pay down its debt.</w:t>
      </w:r>
      <w:r w:rsidR="00112ECC">
        <w:rPr>
          <w:rStyle w:val="FootnoteReference"/>
        </w:rPr>
        <w:footnoteReference w:id="19"/>
      </w:r>
      <w:r w:rsidR="00112ECC">
        <w:t xml:space="preserve">  In the second quarter of 2016</w:t>
      </w:r>
      <w:r w:rsidR="00E77FC0">
        <w:t>,</w:t>
      </w:r>
      <w:r w:rsidR="00112ECC">
        <w:t xml:space="preserve"> DP&amp;L undertook an impairment analysis of its generation assets and determined that projected future market revenue was insufficient to cov</w:t>
      </w:r>
      <w:r w:rsidR="00AF147B">
        <w:t xml:space="preserve">er the carrying cost of the plants on DP&amp;L’s books.  Accordingly, DP&amp;L recognized an </w:t>
      </w:r>
      <w:r w:rsidR="005D3D29">
        <w:t>$857.1</w:t>
      </w:r>
      <w:r w:rsidR="00AF147B">
        <w:t xml:space="preserve"> million impairment expense</w:t>
      </w:r>
      <w:r w:rsidR="005508BB">
        <w:t xml:space="preserve">, and the effect of that impairment was to reduce </w:t>
      </w:r>
      <w:r w:rsidR="00AF147B">
        <w:t>DP&amp;L’s retained earnings balance.</w:t>
      </w:r>
      <w:r w:rsidR="00FE4856">
        <w:rPr>
          <w:rStyle w:val="FootnoteReference"/>
        </w:rPr>
        <w:footnoteReference w:id="20"/>
      </w:r>
      <w:r w:rsidR="00AF147B">
        <w:t xml:space="preserve">  A</w:t>
      </w:r>
      <w:r>
        <w:t xml:space="preserve">s of June 30, 2016, DP&amp;L had a negative retained earnings balance of </w:t>
      </w:r>
      <w:r w:rsidR="005D3D29">
        <w:t xml:space="preserve">$61 </w:t>
      </w:r>
      <w:r>
        <w:t>million.</w:t>
      </w:r>
      <w:r w:rsidR="005D3D29">
        <w:rPr>
          <w:rStyle w:val="FootnoteReference"/>
        </w:rPr>
        <w:footnoteReference w:id="21"/>
      </w:r>
      <w:r>
        <w:t xml:space="preserve">  DP&amp;L neither sought nor obtained a waiver of the requirement to maintain a positive retained earnings balance.  Had DP&amp;L paid</w:t>
      </w:r>
      <w:r w:rsidR="003E125D">
        <w:t xml:space="preserve"> out less dividends to DPL Inc.</w:t>
      </w:r>
      <w:r w:rsidR="002A1D98">
        <w:t>,</w:t>
      </w:r>
      <w:r>
        <w:t xml:space="preserve"> its retained earnings balance would have been greater and it could have avoided violating its commitment and the Commission’s orders to maintain a positive retained earnings balance.</w:t>
      </w:r>
    </w:p>
    <w:p w:rsidR="00166A01" w:rsidRDefault="00F057EF" w:rsidP="005508BB">
      <w:pPr>
        <w:spacing w:line="480" w:lineRule="auto"/>
      </w:pPr>
      <w:r>
        <w:tab/>
        <w:t>Without the DMR, DP&amp;L further claims that it may not be in a position to pay normal operating expenses, tax payments, make pension contributions, or make capital investments in its transmission and distributions systems.</w:t>
      </w:r>
      <w:r>
        <w:rPr>
          <w:rStyle w:val="FootnoteReference"/>
        </w:rPr>
        <w:footnoteReference w:id="22"/>
      </w:r>
      <w:r>
        <w:t xml:space="preserve">  </w:t>
      </w:r>
      <w:r w:rsidR="005508BB">
        <w:t>T</w:t>
      </w:r>
      <w:r w:rsidR="00166A01">
        <w:t xml:space="preserve">he doom and gloom </w:t>
      </w:r>
      <w:r w:rsidR="00B33E22">
        <w:t>that percolates throughout DP&amp;L’s Amended Application and supporting testimony</w:t>
      </w:r>
      <w:r w:rsidR="005508BB">
        <w:t>, however,</w:t>
      </w:r>
      <w:r w:rsidR="00B33E22">
        <w:t xml:space="preserve"> is contradicted by DP&amp;L’s </w:t>
      </w:r>
      <w:r w:rsidR="002E213E">
        <w:t>own financial projections.  DP&amp;L projects that</w:t>
      </w:r>
      <w:r w:rsidR="00F12328">
        <w:t xml:space="preserve"> </w:t>
      </w:r>
      <w:r w:rsidR="00F12328">
        <w:rPr>
          <w:i/>
          <w:u w:val="single"/>
        </w:rPr>
        <w:t>without the DMR</w:t>
      </w:r>
      <w:r w:rsidR="002E213E">
        <w:t xml:space="preserve"> it will achieve a </w:t>
      </w:r>
      <w:r w:rsidR="00026D92">
        <w:rPr>
          <w:noProof/>
          <w:color w:val="000000"/>
          <w:highlight w:val="black"/>
        </w:rPr>
        <w:t>''''''''''''''''' '''''''' ''''''''''''''''''' '''' '''''''''''' '''''''''' ''''' '''''''' '''''''''''''''''''''' ''''''''''</w:t>
      </w:r>
      <w:r w:rsidR="002E213E">
        <w:t xml:space="preserve">, that its net income will total </w:t>
      </w:r>
      <w:r w:rsidR="00026D92">
        <w:rPr>
          <w:noProof/>
          <w:color w:val="000000"/>
          <w:highlight w:val="black"/>
        </w:rPr>
        <w:t>''''''''''' '''''''''''''''</w:t>
      </w:r>
      <w:r w:rsidR="002E213E">
        <w:t xml:space="preserve"> over the proposed ESP term,</w:t>
      </w:r>
      <w:r w:rsidR="00826674">
        <w:rPr>
          <w:rStyle w:val="FootnoteReference"/>
        </w:rPr>
        <w:footnoteReference w:id="23"/>
      </w:r>
      <w:r w:rsidR="002E213E">
        <w:t xml:space="preserve"> that its lowest </w:t>
      </w:r>
      <w:r w:rsidR="009539AD">
        <w:t xml:space="preserve">ROE </w:t>
      </w:r>
      <w:r w:rsidR="002E213E">
        <w:t>in any year of the ESP will be</w:t>
      </w:r>
      <w:r w:rsidR="00F12328">
        <w:t xml:space="preserve"> </w:t>
      </w:r>
      <w:r w:rsidR="00026D92">
        <w:rPr>
          <w:noProof/>
          <w:color w:val="000000"/>
          <w:highlight w:val="black"/>
        </w:rPr>
        <w:t>''''''''''''''''''</w:t>
      </w:r>
      <w:r w:rsidR="002E213E">
        <w:t>,</w:t>
      </w:r>
      <w:r w:rsidR="00826674">
        <w:rPr>
          <w:rStyle w:val="FootnoteReference"/>
        </w:rPr>
        <w:footnoteReference w:id="24"/>
      </w:r>
      <w:r w:rsidR="002E213E">
        <w:t xml:space="preserve"> and that the average </w:t>
      </w:r>
      <w:r w:rsidR="009539AD">
        <w:t>ROE</w:t>
      </w:r>
      <w:r w:rsidR="00276328">
        <w:t xml:space="preserve"> over the ESP term is </w:t>
      </w:r>
      <w:r w:rsidR="00026D92">
        <w:rPr>
          <w:noProof/>
          <w:color w:val="000000"/>
          <w:highlight w:val="black"/>
        </w:rPr>
        <w:t>'''''''''''''''''</w:t>
      </w:r>
      <w:r w:rsidR="00F12328">
        <w:t>.</w:t>
      </w:r>
      <w:r w:rsidR="00F12328">
        <w:rPr>
          <w:rStyle w:val="FootnoteReference"/>
        </w:rPr>
        <w:footnoteReference w:id="25"/>
      </w:r>
      <w:r w:rsidR="003023B8">
        <w:t xml:space="preserve">  </w:t>
      </w:r>
    </w:p>
    <w:p w:rsidR="003023B8" w:rsidRDefault="003023B8" w:rsidP="00F057EF">
      <w:pPr>
        <w:spacing w:line="480" w:lineRule="auto"/>
      </w:pPr>
      <w:r>
        <w:tab/>
        <w:t>Moreover, to the extent that a financial issue did exist at DP&amp;L</w:t>
      </w:r>
      <w:r w:rsidR="009539AD">
        <w:t>,</w:t>
      </w:r>
      <w:r>
        <w:t xml:space="preserve"> it </w:t>
      </w:r>
      <w:r w:rsidR="00E91355">
        <w:t>would</w:t>
      </w:r>
      <w:r>
        <w:t xml:space="preserve"> be the result of its generation business or </w:t>
      </w:r>
      <w:r w:rsidR="00E91355">
        <w:t>the drag down from its parent company’s financial situation</w:t>
      </w:r>
      <w:r>
        <w:t xml:space="preserve"> because its distribution and transmission businesses are regulated</w:t>
      </w:r>
      <w:r w:rsidR="004E5927">
        <w:t xml:space="preserve"> and have rates in place that provide DP&amp;L with the opportunity to</w:t>
      </w:r>
      <w:r w:rsidR="00B10486">
        <w:t xml:space="preserve"> recover its expenses and</w:t>
      </w:r>
      <w:r w:rsidR="004E5927">
        <w:t xml:space="preserve"> earn </w:t>
      </w:r>
      <w:r w:rsidR="009539AD">
        <w:t>a</w:t>
      </w:r>
      <w:r w:rsidR="00B10486">
        <w:t xml:space="preserve"> return for </w:t>
      </w:r>
      <w:r w:rsidR="004E5927">
        <w:t>those</w:t>
      </w:r>
      <w:r w:rsidR="00CD4206">
        <w:t xml:space="preserve"> investments</w:t>
      </w:r>
      <w:r>
        <w:t xml:space="preserve">.  </w:t>
      </w:r>
    </w:p>
    <w:p w:rsidR="00DE2207" w:rsidRDefault="00200BE4" w:rsidP="00016308">
      <w:pPr>
        <w:spacing w:line="480" w:lineRule="auto"/>
      </w:pPr>
      <w:r>
        <w:tab/>
        <w:t xml:space="preserve">Finally, customers have already </w:t>
      </w:r>
      <w:r w:rsidR="002C749C">
        <w:t>paid</w:t>
      </w:r>
      <w:r>
        <w:t xml:space="preserve"> $1.3 billion in nonbypassable revenue support since </w:t>
      </w:r>
      <w:r w:rsidR="00016308">
        <w:t>restructuring</w:t>
      </w:r>
      <w:r w:rsidR="00090DE7">
        <w:t xml:space="preserve"> began in Ohio</w:t>
      </w:r>
      <w:r w:rsidR="00016308">
        <w:t xml:space="preserve">.  </w:t>
      </w:r>
      <w:r w:rsidR="00380D6D">
        <w:rPr>
          <w:rFonts w:cs="Arial"/>
        </w:rPr>
        <w:t>This</w:t>
      </w:r>
      <w:r w:rsidR="004D16A4">
        <w:rPr>
          <w:rFonts w:cs="Arial"/>
        </w:rPr>
        <w:t xml:space="preserve"> nonbypassable revenue collection </w:t>
      </w:r>
      <w:r w:rsidR="00DE2207">
        <w:rPr>
          <w:rFonts w:cs="Arial"/>
        </w:rPr>
        <w:t xml:space="preserve">began with DP&amp;L’s receipt of transition revenue authorized as part of </w:t>
      </w:r>
      <w:r w:rsidR="009539AD">
        <w:rPr>
          <w:rFonts w:cs="Arial"/>
        </w:rPr>
        <w:t>Amended Substitute Senate Bill 3 (“</w:t>
      </w:r>
      <w:r w:rsidR="00DE2207">
        <w:rPr>
          <w:rFonts w:cs="Arial"/>
        </w:rPr>
        <w:t>SB 3</w:t>
      </w:r>
      <w:r w:rsidR="009539AD">
        <w:rPr>
          <w:rFonts w:cs="Arial"/>
        </w:rPr>
        <w:t>”)</w:t>
      </w:r>
      <w:r w:rsidR="00DE2207">
        <w:rPr>
          <w:rFonts w:cs="Arial"/>
        </w:rPr>
        <w:t xml:space="preserve">.  DP&amp;L’s claim for transition revenue under </w:t>
      </w:r>
      <w:r w:rsidR="00090DE7">
        <w:rPr>
          <w:rFonts w:cs="Arial"/>
        </w:rPr>
        <w:t xml:space="preserve">its </w:t>
      </w:r>
      <w:r w:rsidR="009539AD">
        <w:rPr>
          <w:rFonts w:cs="Arial"/>
        </w:rPr>
        <w:t>electric transition plan (“</w:t>
      </w:r>
      <w:r w:rsidR="00DE2207">
        <w:rPr>
          <w:rFonts w:cs="Arial"/>
        </w:rPr>
        <w:t>ETP</w:t>
      </w:r>
      <w:r w:rsidR="009539AD">
        <w:rPr>
          <w:rFonts w:cs="Arial"/>
        </w:rPr>
        <w:t>”)</w:t>
      </w:r>
      <w:r w:rsidR="00DE2207">
        <w:rPr>
          <w:rFonts w:cs="Arial"/>
        </w:rPr>
        <w:t xml:space="preserve"> was resolved by way of a settlement approved by the Commission.</w:t>
      </w:r>
      <w:r w:rsidR="00DE2207">
        <w:rPr>
          <w:rStyle w:val="FootnoteReference"/>
          <w:rFonts w:cs="Arial"/>
        </w:rPr>
        <w:footnoteReference w:id="26"/>
      </w:r>
      <w:r w:rsidR="00DE2207">
        <w:rPr>
          <w:rFonts w:cs="Arial"/>
        </w:rPr>
        <w:t xml:space="preserve">  Under the Commission-approved settlement, DP&amp;L was authorized to collect approximately $441 million of transition revenue.</w:t>
      </w:r>
      <w:r w:rsidR="00DE2207">
        <w:rPr>
          <w:rStyle w:val="FootnoteReference"/>
          <w:rFonts w:cs="Arial"/>
        </w:rPr>
        <w:footnoteReference w:id="27"/>
      </w:r>
    </w:p>
    <w:p w:rsidR="002E43E9" w:rsidRDefault="00DE2207" w:rsidP="00DE2207">
      <w:pPr>
        <w:spacing w:line="480" w:lineRule="auto"/>
      </w:pPr>
      <w:r>
        <w:tab/>
      </w:r>
      <w:r w:rsidR="00380D6D">
        <w:t>In 2005</w:t>
      </w:r>
      <w:r w:rsidR="00362668">
        <w:t>,</w:t>
      </w:r>
      <w:r>
        <w:t xml:space="preserve"> DP&amp;L </w:t>
      </w:r>
      <w:r w:rsidR="00511C8D">
        <w:t xml:space="preserve">entered into </w:t>
      </w:r>
      <w:r w:rsidR="00E21B17">
        <w:t xml:space="preserve">a </w:t>
      </w:r>
      <w:r w:rsidR="00511C8D">
        <w:t>settlement</w:t>
      </w:r>
      <w:r w:rsidR="00E21B17">
        <w:t xml:space="preserve"> that was</w:t>
      </w:r>
      <w:r w:rsidR="00511C8D">
        <w:t xml:space="preserve"> ultimately approved by the Commission under which DP&amp;L was able to implement the nonbypassable </w:t>
      </w:r>
      <w:r w:rsidR="002E43E9">
        <w:t>RSC.  The RSC allowed DP&amp;L to collect approximately $76 million per year in nonbypassable revenue support</w:t>
      </w:r>
      <w:r>
        <w:t>.</w:t>
      </w:r>
      <w:r>
        <w:rPr>
          <w:rStyle w:val="FootnoteReference"/>
        </w:rPr>
        <w:footnoteReference w:id="28"/>
      </w:r>
      <w:r>
        <w:t xml:space="preserve">  </w:t>
      </w:r>
      <w:r w:rsidR="00511C8D">
        <w:t>The RSC was e</w:t>
      </w:r>
      <w:r w:rsidR="002E43E9">
        <w:t>xtended as part of a Commission-approved settlement in DP&amp;L’s first ESP case.</w:t>
      </w:r>
      <w:r w:rsidR="00C877F5">
        <w:rPr>
          <w:rStyle w:val="FootnoteReference"/>
        </w:rPr>
        <w:footnoteReference w:id="29"/>
      </w:r>
      <w:r w:rsidR="002E43E9">
        <w:t xml:space="preserve">  </w:t>
      </w:r>
      <w:r>
        <w:t>From 2006 through 2012</w:t>
      </w:r>
      <w:r w:rsidR="004A4754">
        <w:t>,</w:t>
      </w:r>
      <w:r>
        <w:t xml:space="preserve"> DP&amp;L collected $520 million from customers through the RSC.</w:t>
      </w:r>
      <w:r>
        <w:rPr>
          <w:rStyle w:val="FootnoteReference"/>
        </w:rPr>
        <w:footnoteReference w:id="30"/>
      </w:r>
      <w:r>
        <w:t xml:space="preserve">  </w:t>
      </w:r>
      <w:r w:rsidR="002E43E9">
        <w:t xml:space="preserve">Thus, under the </w:t>
      </w:r>
      <w:r w:rsidR="002E43E9" w:rsidRPr="00F30673">
        <w:rPr>
          <w:i/>
        </w:rPr>
        <w:t xml:space="preserve">ETP </w:t>
      </w:r>
      <w:r w:rsidR="00436BC4" w:rsidRPr="00F30673">
        <w:rPr>
          <w:i/>
        </w:rPr>
        <w:t>C</w:t>
      </w:r>
      <w:r w:rsidR="00335590">
        <w:rPr>
          <w:i/>
        </w:rPr>
        <w:t>a</w:t>
      </w:r>
      <w:r w:rsidR="002E43E9" w:rsidRPr="00F30673">
        <w:rPr>
          <w:i/>
        </w:rPr>
        <w:t>se</w:t>
      </w:r>
      <w:r w:rsidR="002E43E9">
        <w:t xml:space="preserve"> Stipulation, </w:t>
      </w:r>
      <w:r w:rsidR="002E43E9" w:rsidRPr="00F30673">
        <w:rPr>
          <w:i/>
        </w:rPr>
        <w:t xml:space="preserve">RSC </w:t>
      </w:r>
      <w:r w:rsidR="00436BC4" w:rsidRPr="00F30673">
        <w:rPr>
          <w:i/>
        </w:rPr>
        <w:t>C</w:t>
      </w:r>
      <w:r w:rsidR="002E43E9" w:rsidRPr="00F30673">
        <w:rPr>
          <w:i/>
        </w:rPr>
        <w:t>ase</w:t>
      </w:r>
      <w:r w:rsidR="002E43E9">
        <w:t xml:space="preserve"> Stipulation, and </w:t>
      </w:r>
      <w:r w:rsidR="002E43E9" w:rsidRPr="00F30673">
        <w:rPr>
          <w:i/>
        </w:rPr>
        <w:t xml:space="preserve">ESP I </w:t>
      </w:r>
      <w:r w:rsidR="00436BC4" w:rsidRPr="00F30673">
        <w:rPr>
          <w:i/>
        </w:rPr>
        <w:t>Case</w:t>
      </w:r>
      <w:r w:rsidR="00436BC4">
        <w:t xml:space="preserve"> </w:t>
      </w:r>
      <w:r w:rsidR="002E43E9">
        <w:t xml:space="preserve">Stipulation, DP&amp;L was able to enter into settlements supported </w:t>
      </w:r>
      <w:r w:rsidR="00A70E8E">
        <w:t xml:space="preserve">by some customer representative </w:t>
      </w:r>
      <w:r w:rsidR="00B0564A">
        <w:t>parties</w:t>
      </w:r>
      <w:r w:rsidR="00D123C2">
        <w:t xml:space="preserve"> that </w:t>
      </w:r>
      <w:r w:rsidR="00B0564A">
        <w:t xml:space="preserve">allowed </w:t>
      </w:r>
      <w:r w:rsidR="00335590">
        <w:t>DP&amp;L</w:t>
      </w:r>
      <w:r w:rsidR="00B0564A">
        <w:t xml:space="preserve"> to collect </w:t>
      </w:r>
      <w:r w:rsidR="002E43E9">
        <w:t>$991 million in nonbypassable revenue support.</w:t>
      </w:r>
    </w:p>
    <w:p w:rsidR="00DE2207" w:rsidRDefault="002E43E9" w:rsidP="00A34F4D">
      <w:pPr>
        <w:spacing w:line="480" w:lineRule="auto"/>
      </w:pPr>
      <w:r>
        <w:tab/>
      </w:r>
      <w:r w:rsidR="001E04E0">
        <w:t xml:space="preserve">At some point, however, the nonbypassable revenue support must cease.  To this end, IEU-Ohio and others filed a motion in 2012 seeking </w:t>
      </w:r>
      <w:r w:rsidR="002C749C">
        <w:t>an</w:t>
      </w:r>
      <w:r w:rsidR="00B0564A">
        <w:t xml:space="preserve"> order </w:t>
      </w:r>
      <w:r w:rsidR="008A0449">
        <w:t>terminating</w:t>
      </w:r>
      <w:r w:rsidR="001E04E0">
        <w:t xml:space="preserve"> the RSC effective December 31, 2012, the last day of DP&amp;L’s stipulated ESP</w:t>
      </w:r>
      <w:r w:rsidR="00747ADF">
        <w:t xml:space="preserve"> I</w:t>
      </w:r>
      <w:r w:rsidR="001E04E0">
        <w:t>.</w:t>
      </w:r>
      <w:r w:rsidR="00C877F5">
        <w:rPr>
          <w:rStyle w:val="FootnoteReference"/>
        </w:rPr>
        <w:footnoteReference w:id="31"/>
      </w:r>
      <w:r w:rsidR="001E04E0">
        <w:t xml:space="preserve">  DP&amp;L opposed that motion</w:t>
      </w:r>
      <w:r w:rsidR="008A0449">
        <w:t>,</w:t>
      </w:r>
      <w:r w:rsidR="001E04E0">
        <w:t xml:space="preserve"> and the Commission ultimately extended the RSC for all of 201</w:t>
      </w:r>
      <w:r w:rsidR="008A0449">
        <w:t>3</w:t>
      </w:r>
      <w:r w:rsidR="00A34F4D">
        <w:t xml:space="preserve">, </w:t>
      </w:r>
      <w:r w:rsidR="00812287">
        <w:t xml:space="preserve">providing </w:t>
      </w:r>
      <w:r w:rsidR="00A34F4D">
        <w:t>another $76 million in nonbypassable revenue support,</w:t>
      </w:r>
      <w:r w:rsidR="001E04E0">
        <w:t xml:space="preserve"> while DP&amp;L’s second ESP applicat</w:t>
      </w:r>
      <w:r w:rsidR="00A34F4D">
        <w:t>ion was litigated and decided.</w:t>
      </w:r>
      <w:r w:rsidR="00DE2207">
        <w:rPr>
          <w:rStyle w:val="FootnoteReference"/>
        </w:rPr>
        <w:footnoteReference w:id="32"/>
      </w:r>
      <w:r w:rsidR="00DE2207">
        <w:t xml:space="preserve">  </w:t>
      </w:r>
    </w:p>
    <w:p w:rsidR="00DE2207" w:rsidRDefault="00831857" w:rsidP="00DE2207">
      <w:pPr>
        <w:pStyle w:val="SCBody"/>
        <w:jc w:val="both"/>
        <w:rPr>
          <w:rFonts w:ascii="Arial" w:hAnsi="Arial" w:cs="Arial"/>
        </w:rPr>
      </w:pPr>
      <w:r>
        <w:rPr>
          <w:rFonts w:ascii="Arial" w:hAnsi="Arial" w:cs="Arial"/>
        </w:rPr>
        <w:t xml:space="preserve">In the </w:t>
      </w:r>
      <w:r w:rsidRPr="00F30673">
        <w:rPr>
          <w:rFonts w:ascii="Arial" w:hAnsi="Arial" w:cs="Arial"/>
          <w:i/>
        </w:rPr>
        <w:t>ESP II Case</w:t>
      </w:r>
      <w:r>
        <w:rPr>
          <w:rFonts w:ascii="Arial" w:hAnsi="Arial" w:cs="Arial"/>
        </w:rPr>
        <w:t xml:space="preserve">, DP&amp;L </w:t>
      </w:r>
      <w:r w:rsidR="00747ADF">
        <w:rPr>
          <w:rFonts w:ascii="Arial" w:hAnsi="Arial" w:cs="Arial"/>
        </w:rPr>
        <w:t xml:space="preserve">then </w:t>
      </w:r>
      <w:r>
        <w:rPr>
          <w:rFonts w:ascii="Arial" w:hAnsi="Arial" w:cs="Arial"/>
        </w:rPr>
        <w:t xml:space="preserve">sought to replace the $76 million/year RSC nonbypassable revenue support with increased and extended support, requesting $135 million/year through the SSR.  The Commission ultimately </w:t>
      </w:r>
      <w:r w:rsidR="005E3B02">
        <w:rPr>
          <w:rFonts w:ascii="Arial" w:hAnsi="Arial" w:cs="Arial"/>
        </w:rPr>
        <w:t xml:space="preserve">authorized </w:t>
      </w:r>
      <w:r>
        <w:rPr>
          <w:rFonts w:ascii="Arial" w:hAnsi="Arial" w:cs="Arial"/>
        </w:rPr>
        <w:t xml:space="preserve">DP&amp;L </w:t>
      </w:r>
      <w:r w:rsidR="00DE2207">
        <w:rPr>
          <w:rFonts w:ascii="Arial" w:hAnsi="Arial" w:cs="Arial"/>
        </w:rPr>
        <w:t xml:space="preserve">to collect an additional $330 million of </w:t>
      </w:r>
      <w:r w:rsidR="002304DC">
        <w:rPr>
          <w:rFonts w:ascii="Arial" w:hAnsi="Arial" w:cs="Arial"/>
        </w:rPr>
        <w:t>nonbypassable revenue support</w:t>
      </w:r>
      <w:r w:rsidR="00DE2207">
        <w:rPr>
          <w:rFonts w:ascii="Arial" w:hAnsi="Arial" w:cs="Arial"/>
        </w:rPr>
        <w:t xml:space="preserve"> under the SSR</w:t>
      </w:r>
      <w:r w:rsidR="00A34F4D">
        <w:rPr>
          <w:rFonts w:ascii="Arial" w:hAnsi="Arial" w:cs="Arial"/>
        </w:rPr>
        <w:t xml:space="preserve"> beginning January 1, 201</w:t>
      </w:r>
      <w:r w:rsidR="008A0449">
        <w:rPr>
          <w:rFonts w:ascii="Arial" w:hAnsi="Arial" w:cs="Arial"/>
        </w:rPr>
        <w:t>4</w:t>
      </w:r>
      <w:r w:rsidR="00DE2207">
        <w:rPr>
          <w:rFonts w:ascii="Arial" w:hAnsi="Arial" w:cs="Arial"/>
        </w:rPr>
        <w:t xml:space="preserve">, and </w:t>
      </w:r>
      <w:r w:rsidR="00A34F4D">
        <w:rPr>
          <w:rFonts w:ascii="Arial" w:hAnsi="Arial" w:cs="Arial"/>
        </w:rPr>
        <w:t xml:space="preserve">authorized DP&amp;L to collect </w:t>
      </w:r>
      <w:r w:rsidR="00DE2207">
        <w:rPr>
          <w:rFonts w:ascii="Arial" w:hAnsi="Arial" w:cs="Arial"/>
        </w:rPr>
        <w:t xml:space="preserve">up to an additional $45.8 million through the </w:t>
      </w:r>
      <w:r w:rsidR="009F6525">
        <w:rPr>
          <w:rFonts w:ascii="Arial" w:hAnsi="Arial" w:cs="Arial"/>
        </w:rPr>
        <w:t>Service Stability Rider-Extension (“</w:t>
      </w:r>
      <w:r w:rsidR="00DE2207">
        <w:rPr>
          <w:rFonts w:ascii="Arial" w:hAnsi="Arial" w:cs="Arial"/>
        </w:rPr>
        <w:t>SSR-E</w:t>
      </w:r>
      <w:r w:rsidR="009F6525">
        <w:rPr>
          <w:rFonts w:ascii="Arial" w:hAnsi="Arial" w:cs="Arial"/>
        </w:rPr>
        <w:t>”)</w:t>
      </w:r>
      <w:r w:rsidR="00DE2207">
        <w:rPr>
          <w:rFonts w:ascii="Arial" w:hAnsi="Arial" w:cs="Arial"/>
        </w:rPr>
        <w:t>.  DP&amp;L collected approximately $2</w:t>
      </w:r>
      <w:r w:rsidR="00711F65">
        <w:rPr>
          <w:rFonts w:ascii="Arial" w:hAnsi="Arial" w:cs="Arial"/>
        </w:rPr>
        <w:t>93</w:t>
      </w:r>
      <w:r w:rsidR="00DE2207">
        <w:rPr>
          <w:rFonts w:ascii="Arial" w:hAnsi="Arial" w:cs="Arial"/>
        </w:rPr>
        <w:t xml:space="preserve"> million under the SSR before </w:t>
      </w:r>
      <w:r w:rsidR="000F0359">
        <w:rPr>
          <w:rFonts w:ascii="Arial" w:hAnsi="Arial" w:cs="Arial"/>
        </w:rPr>
        <w:t xml:space="preserve">the authorization of </w:t>
      </w:r>
      <w:r w:rsidR="00DE2207">
        <w:rPr>
          <w:rFonts w:ascii="Arial" w:hAnsi="Arial" w:cs="Arial"/>
        </w:rPr>
        <w:t>the charge was struck down by the Court and DP&amp;L ceased collecting the charge.</w:t>
      </w:r>
      <w:r w:rsidR="00CC6010">
        <w:rPr>
          <w:rFonts w:ascii="Arial" w:hAnsi="Arial" w:cs="Arial"/>
        </w:rPr>
        <w:t xml:space="preserve">  </w:t>
      </w:r>
      <w:r w:rsidR="00DE2207">
        <w:rPr>
          <w:rFonts w:ascii="Arial" w:hAnsi="Arial" w:cs="Arial"/>
        </w:rPr>
        <w:t>However, with the unlawful SSR eliminated</w:t>
      </w:r>
      <w:r w:rsidR="009F6525">
        <w:rPr>
          <w:rFonts w:ascii="Arial" w:hAnsi="Arial" w:cs="Arial"/>
        </w:rPr>
        <w:t>,</w:t>
      </w:r>
      <w:r w:rsidR="00DE2207">
        <w:rPr>
          <w:rFonts w:ascii="Arial" w:hAnsi="Arial" w:cs="Arial"/>
        </w:rPr>
        <w:t xml:space="preserve"> the Commission unlawfully authorized DP&amp;L to again implement the RSC.</w:t>
      </w:r>
      <w:r w:rsidR="00CC6010">
        <w:rPr>
          <w:rStyle w:val="FootnoteReference"/>
          <w:rFonts w:ascii="Arial" w:hAnsi="Arial" w:cs="Arial"/>
        </w:rPr>
        <w:footnoteReference w:id="33"/>
      </w:r>
      <w:r w:rsidR="00DE2207">
        <w:rPr>
          <w:rFonts w:ascii="Arial" w:hAnsi="Arial" w:cs="Arial"/>
        </w:rPr>
        <w:t xml:space="preserve">  Under the reimplementation </w:t>
      </w:r>
      <w:r w:rsidR="009C3076">
        <w:rPr>
          <w:rFonts w:ascii="Arial" w:hAnsi="Arial" w:cs="Arial"/>
        </w:rPr>
        <w:t>of the RSC</w:t>
      </w:r>
      <w:r w:rsidR="009F6525">
        <w:rPr>
          <w:rFonts w:ascii="Arial" w:hAnsi="Arial" w:cs="Arial"/>
        </w:rPr>
        <w:t>,</w:t>
      </w:r>
      <w:r w:rsidR="009C3076">
        <w:rPr>
          <w:rFonts w:ascii="Arial" w:hAnsi="Arial" w:cs="Arial"/>
        </w:rPr>
        <w:t xml:space="preserve"> DP&amp;L is collecting </w:t>
      </w:r>
      <w:r w:rsidR="00DE2207">
        <w:rPr>
          <w:rFonts w:ascii="Arial" w:hAnsi="Arial" w:cs="Arial"/>
        </w:rPr>
        <w:t xml:space="preserve">over $6 million per month.  </w:t>
      </w:r>
    </w:p>
    <w:p w:rsidR="00DE2207" w:rsidRDefault="007672EE" w:rsidP="00400BAE">
      <w:pPr>
        <w:pStyle w:val="SCBody"/>
        <w:jc w:val="both"/>
        <w:rPr>
          <w:rFonts w:ascii="Arial" w:hAnsi="Arial" w:cs="Arial"/>
        </w:rPr>
      </w:pPr>
      <w:r>
        <w:rPr>
          <w:rFonts w:ascii="Arial" w:hAnsi="Arial" w:cs="Arial"/>
        </w:rPr>
        <w:t xml:space="preserve">Through this Motion to Dismiss IEU-Ohio seeks to end the unlawful and unreasonable extension of nonbypassable revenue support DP&amp;L seeks through the DMR.  </w:t>
      </w:r>
      <w:r w:rsidR="00DE2207">
        <w:rPr>
          <w:rFonts w:ascii="Arial" w:hAnsi="Arial" w:cs="Arial"/>
        </w:rPr>
        <w:t>DP&amp;L’s nonbypassable rider</w:t>
      </w:r>
      <w:r w:rsidR="000F0359">
        <w:rPr>
          <w:rFonts w:ascii="Arial" w:hAnsi="Arial" w:cs="Arial"/>
        </w:rPr>
        <w:t xml:space="preserve">s </w:t>
      </w:r>
      <w:r w:rsidR="00DE2207">
        <w:rPr>
          <w:rFonts w:ascii="Arial" w:hAnsi="Arial" w:cs="Arial"/>
        </w:rPr>
        <w:t>ha</w:t>
      </w:r>
      <w:r w:rsidR="000F0359">
        <w:rPr>
          <w:rFonts w:ascii="Arial" w:hAnsi="Arial" w:cs="Arial"/>
        </w:rPr>
        <w:t>ve</w:t>
      </w:r>
      <w:r w:rsidR="00DE2207">
        <w:rPr>
          <w:rFonts w:ascii="Arial" w:hAnsi="Arial" w:cs="Arial"/>
        </w:rPr>
        <w:t xml:space="preserve"> already generated approximately $1</w:t>
      </w:r>
      <w:r w:rsidR="000F0359">
        <w:rPr>
          <w:rFonts w:ascii="Arial" w:hAnsi="Arial" w:cs="Arial"/>
        </w:rPr>
        <w:t>.</w:t>
      </w:r>
      <w:r w:rsidR="00DE2207">
        <w:rPr>
          <w:rFonts w:ascii="Arial" w:hAnsi="Arial" w:cs="Arial"/>
        </w:rPr>
        <w:t>3</w:t>
      </w:r>
      <w:r w:rsidR="000F0359">
        <w:rPr>
          <w:rFonts w:ascii="Arial" w:hAnsi="Arial" w:cs="Arial"/>
        </w:rPr>
        <w:t xml:space="preserve"> billion</w:t>
      </w:r>
      <w:r w:rsidR="002E76D1">
        <w:rPr>
          <w:rFonts w:ascii="Arial" w:hAnsi="Arial" w:cs="Arial"/>
        </w:rPr>
        <w:t xml:space="preserve"> for DP&amp;L’s benefit</w:t>
      </w:r>
      <w:r w:rsidR="00F40B1A">
        <w:rPr>
          <w:rFonts w:ascii="Arial" w:hAnsi="Arial" w:cs="Arial"/>
        </w:rPr>
        <w:t xml:space="preserve"> since Ohio enacted SB 3</w:t>
      </w:r>
      <w:r w:rsidR="00DE2207">
        <w:rPr>
          <w:rFonts w:ascii="Arial" w:hAnsi="Arial" w:cs="Arial"/>
        </w:rPr>
        <w:t>.  All of this money has been funded b</w:t>
      </w:r>
      <w:r w:rsidR="00D4090B">
        <w:rPr>
          <w:rFonts w:ascii="Arial" w:hAnsi="Arial" w:cs="Arial"/>
        </w:rPr>
        <w:t xml:space="preserve">y DP&amp;L’s captive customers, which </w:t>
      </w:r>
      <w:r w:rsidR="00F9073A">
        <w:rPr>
          <w:rFonts w:ascii="Arial" w:hAnsi="Arial" w:cs="Arial"/>
        </w:rPr>
        <w:t>includes</w:t>
      </w:r>
      <w:r w:rsidR="00DE2207">
        <w:rPr>
          <w:rFonts w:ascii="Arial" w:hAnsi="Arial" w:cs="Arial"/>
        </w:rPr>
        <w:t xml:space="preserve"> </w:t>
      </w:r>
      <w:r w:rsidR="00D4090B">
        <w:rPr>
          <w:rFonts w:ascii="Arial" w:hAnsi="Arial" w:cs="Arial"/>
        </w:rPr>
        <w:t>“</w:t>
      </w:r>
      <w:r w:rsidR="00DE2207">
        <w:rPr>
          <w:rFonts w:ascii="Arial" w:hAnsi="Arial" w:cs="Arial"/>
        </w:rPr>
        <w:t>industrial and commercial customers, who tend to be relatively price sensitive.”</w:t>
      </w:r>
      <w:r w:rsidR="00DE2207">
        <w:rPr>
          <w:rStyle w:val="FootnoteReference"/>
          <w:rFonts w:ascii="Arial" w:hAnsi="Arial" w:cs="Arial"/>
        </w:rPr>
        <w:footnoteReference w:id="34"/>
      </w:r>
      <w:r w:rsidR="00DE2207">
        <w:rPr>
          <w:rFonts w:ascii="Arial" w:hAnsi="Arial" w:cs="Arial"/>
        </w:rPr>
        <w:t xml:space="preserve">  </w:t>
      </w:r>
      <w:r w:rsidR="002C0BC0">
        <w:rPr>
          <w:rFonts w:ascii="Arial" w:hAnsi="Arial" w:cs="Arial"/>
        </w:rPr>
        <w:t>T</w:t>
      </w:r>
      <w:r w:rsidR="00DE2207">
        <w:rPr>
          <w:rFonts w:ascii="Arial" w:hAnsi="Arial" w:cs="Arial"/>
        </w:rPr>
        <w:t>he imposition of another $1</w:t>
      </w:r>
      <w:r w:rsidR="00C72D62">
        <w:rPr>
          <w:rFonts w:ascii="Arial" w:hAnsi="Arial" w:cs="Arial"/>
        </w:rPr>
        <w:t xml:space="preserve"> billion in</w:t>
      </w:r>
      <w:r w:rsidR="00DE2207">
        <w:rPr>
          <w:rFonts w:ascii="Arial" w:hAnsi="Arial" w:cs="Arial"/>
        </w:rPr>
        <w:t xml:space="preserve"> nonbypassable charges </w:t>
      </w:r>
      <w:r w:rsidR="00F40B1A">
        <w:rPr>
          <w:rFonts w:ascii="Arial" w:hAnsi="Arial" w:cs="Arial"/>
        </w:rPr>
        <w:t xml:space="preserve">through the DMR </w:t>
      </w:r>
      <w:r w:rsidR="00DE2207">
        <w:rPr>
          <w:rFonts w:ascii="Arial" w:hAnsi="Arial" w:cs="Arial"/>
        </w:rPr>
        <w:t>on</w:t>
      </w:r>
      <w:r w:rsidR="002C0BC0">
        <w:rPr>
          <w:rFonts w:ascii="Arial" w:hAnsi="Arial" w:cs="Arial"/>
        </w:rPr>
        <w:t xml:space="preserve"> price sensitive bu</w:t>
      </w:r>
      <w:r w:rsidR="00F40B1A">
        <w:rPr>
          <w:rFonts w:ascii="Arial" w:hAnsi="Arial" w:cs="Arial"/>
        </w:rPr>
        <w:t xml:space="preserve">sinesses is not </w:t>
      </w:r>
      <w:r w:rsidR="004624D3">
        <w:rPr>
          <w:rFonts w:ascii="Arial" w:hAnsi="Arial" w:cs="Arial"/>
        </w:rPr>
        <w:t xml:space="preserve">lawful or </w:t>
      </w:r>
      <w:r w:rsidR="00F40B1A">
        <w:rPr>
          <w:rFonts w:ascii="Arial" w:hAnsi="Arial" w:cs="Arial"/>
        </w:rPr>
        <w:t>reasonable</w:t>
      </w:r>
      <w:r w:rsidR="00FA115C">
        <w:rPr>
          <w:rFonts w:ascii="Arial" w:hAnsi="Arial" w:cs="Arial"/>
        </w:rPr>
        <w:t xml:space="preserve"> for a variety of reasons</w:t>
      </w:r>
      <w:r w:rsidR="00E45E9D">
        <w:rPr>
          <w:rFonts w:ascii="Arial" w:hAnsi="Arial" w:cs="Arial"/>
        </w:rPr>
        <w:t xml:space="preserve">.  </w:t>
      </w:r>
      <w:r w:rsidR="00FF1E19">
        <w:rPr>
          <w:rFonts w:ascii="Arial" w:hAnsi="Arial" w:cs="Arial"/>
        </w:rPr>
        <w:t xml:space="preserve">If the Commission holds DP&amp;L, DPL Inc. and AES to their commitments and assertions that they </w:t>
      </w:r>
      <w:r w:rsidR="00CF1A87">
        <w:rPr>
          <w:rFonts w:ascii="Arial" w:hAnsi="Arial" w:cs="Arial"/>
        </w:rPr>
        <w:t xml:space="preserve">made </w:t>
      </w:r>
      <w:r w:rsidR="00FF1E19">
        <w:rPr>
          <w:rFonts w:ascii="Arial" w:hAnsi="Arial" w:cs="Arial"/>
        </w:rPr>
        <w:t xml:space="preserve">to secure approval of the AES takeover </w:t>
      </w:r>
      <w:r w:rsidR="00CF1A87">
        <w:rPr>
          <w:rFonts w:ascii="Arial" w:hAnsi="Arial" w:cs="Arial"/>
        </w:rPr>
        <w:t>of DPL Inc.</w:t>
      </w:r>
      <w:r w:rsidR="000F5A38">
        <w:rPr>
          <w:rFonts w:ascii="Arial" w:hAnsi="Arial" w:cs="Arial"/>
        </w:rPr>
        <w:t>,</w:t>
      </w:r>
      <w:r w:rsidR="00CF1A87">
        <w:rPr>
          <w:rFonts w:ascii="Arial" w:hAnsi="Arial" w:cs="Arial"/>
        </w:rPr>
        <w:t xml:space="preserve"> </w:t>
      </w:r>
      <w:r w:rsidR="00FF1E19">
        <w:rPr>
          <w:rFonts w:ascii="Arial" w:hAnsi="Arial" w:cs="Arial"/>
        </w:rPr>
        <w:t xml:space="preserve">the Commission must dismiss the DMR.  If the Commission balances the reasonableness of </w:t>
      </w:r>
      <w:r w:rsidR="00CD3425">
        <w:rPr>
          <w:rFonts w:ascii="Arial" w:hAnsi="Arial" w:cs="Arial"/>
        </w:rPr>
        <w:t xml:space="preserve">requiring DP&amp;L’s customers to fund $1.015 billion in additional nonbypassable revenue support against the $1.3 billion in nonbypassable revenue support already paid by DP&amp;L’s customers, the Commission must dismiss the DMR.  </w:t>
      </w:r>
      <w:r w:rsidR="00082B7C">
        <w:rPr>
          <w:rFonts w:ascii="Arial" w:hAnsi="Arial" w:cs="Arial"/>
        </w:rPr>
        <w:t>If the Commission seeks to encourage the retention and expansion of businesses in DP&amp;L’s service territory</w:t>
      </w:r>
      <w:r w:rsidR="000F5A38">
        <w:rPr>
          <w:rFonts w:ascii="Arial" w:hAnsi="Arial" w:cs="Arial"/>
        </w:rPr>
        <w:t>,</w:t>
      </w:r>
      <w:r w:rsidR="00082B7C">
        <w:rPr>
          <w:rFonts w:ascii="Arial" w:hAnsi="Arial" w:cs="Arial"/>
        </w:rPr>
        <w:t xml:space="preserve"> it must dismiss the DMR.  </w:t>
      </w:r>
      <w:r w:rsidR="00CD3425">
        <w:rPr>
          <w:rFonts w:ascii="Arial" w:hAnsi="Arial" w:cs="Arial"/>
        </w:rPr>
        <w:t>And as discussed below, if the Commission looks at the lawfulness of authorizing the DMR, the Commission must dismiss the DMR.</w:t>
      </w:r>
    </w:p>
    <w:p w:rsidR="00E748DD" w:rsidRDefault="008942FD" w:rsidP="008942FD">
      <w:pPr>
        <w:pStyle w:val="Heading1"/>
      </w:pPr>
      <w:bookmarkStart w:id="2" w:name="_Toc467485514"/>
      <w:r>
        <w:t>Standard of Review</w:t>
      </w:r>
      <w:bookmarkEnd w:id="2"/>
    </w:p>
    <w:p w:rsidR="003840AF" w:rsidRDefault="003840AF" w:rsidP="003840AF">
      <w:pPr>
        <w:spacing w:line="480" w:lineRule="auto"/>
      </w:pPr>
      <w:r>
        <w:tab/>
        <w:t xml:space="preserve">Although not strictly bound by the Rules of Civil Procedure, R.C. 4903.082 directs the Commission to rely on those rules “wherever practicable.”  Under the Rules of Civil Procedure, a party may file a motion to dismiss for “failure to state a claim upon which relief can be granted.”  Civ.R. 12(B)(6).    </w:t>
      </w:r>
    </w:p>
    <w:p w:rsidR="003840AF" w:rsidRDefault="00823658" w:rsidP="00082B7C">
      <w:pPr>
        <w:spacing w:line="480" w:lineRule="auto"/>
        <w:rPr>
          <w:rFonts w:ascii="Times New Roman" w:hAnsi="Times New Roman" w:cs="Times New Roman"/>
        </w:rPr>
      </w:pPr>
      <w:r>
        <w:tab/>
      </w:r>
      <w:r w:rsidR="003840AF">
        <w:t xml:space="preserve">“The standard for determining whether to grant a Civ.R. 12(B)(6) motion is straightforward.”  </w:t>
      </w:r>
      <w:r w:rsidR="003840AF">
        <w:rPr>
          <w:i/>
        </w:rPr>
        <w:t>City of Cincinnati v. Beretta U.S.A. Corp.</w:t>
      </w:r>
      <w:r w:rsidR="003840AF">
        <w:t xml:space="preserve">, 95 Ohio St.3d 416, 2002-Ohio-2480, ¶ 5.  “In order for a complaint to be dismissed under Civ.R. 12(B)(6) for failure to state a claim, it must appear beyond doubt from the complaint that the plaintiff can prove no set of facts entitling him to relief.”  </w:t>
      </w:r>
      <w:r w:rsidR="003840AF">
        <w:rPr>
          <w:i/>
        </w:rPr>
        <w:t>Id.</w:t>
      </w:r>
      <w:r w:rsidR="003840AF">
        <w:t xml:space="preserve"> (</w:t>
      </w:r>
      <w:r w:rsidR="003840AF">
        <w:rPr>
          <w:i/>
        </w:rPr>
        <w:t>citing</w:t>
      </w:r>
      <w:r w:rsidR="003840AF">
        <w:t xml:space="preserve"> </w:t>
      </w:r>
      <w:r w:rsidR="003840AF">
        <w:rPr>
          <w:i/>
        </w:rPr>
        <w:t>O'Brien v. Univ. Community Tenants Union, Inc.</w:t>
      </w:r>
      <w:r w:rsidR="003840AF">
        <w:t xml:space="preserve">, 42 Ohio St.2d 242, syllabus (1975)). “Furthermore, ‘[i]n construing a complaint upon a motion to dismiss for failure to state a claim, [the court] must presume that all factual allegations of the complaint are true and make all reasonable inferences in favor of the non-moving party.’”  </w:t>
      </w:r>
      <w:r w:rsidR="003840AF">
        <w:rPr>
          <w:i/>
        </w:rPr>
        <w:t>Id.</w:t>
      </w:r>
      <w:r w:rsidR="003840AF">
        <w:t xml:space="preserve"> (</w:t>
      </w:r>
      <w:r w:rsidR="003840AF">
        <w:rPr>
          <w:i/>
        </w:rPr>
        <w:t>quoting</w:t>
      </w:r>
      <w:r w:rsidR="003840AF">
        <w:t xml:space="preserve"> </w:t>
      </w:r>
      <w:r w:rsidR="003840AF">
        <w:rPr>
          <w:i/>
        </w:rPr>
        <w:t>Mitchell v. Lawson Milk Co</w:t>
      </w:r>
      <w:r w:rsidR="003840AF">
        <w:t>., 40 Ohio St.3d 190, 192 (1988)).  The Commission has confirmed that motions to dismiss may be filed in Commission proceedings.</w:t>
      </w:r>
      <w:r w:rsidR="003840AF">
        <w:rPr>
          <w:rStyle w:val="FootnoteReference"/>
        </w:rPr>
        <w:footnoteReference w:id="35"/>
      </w:r>
      <w:r w:rsidR="003840AF">
        <w:rPr>
          <w:rFonts w:ascii="Times New Roman" w:hAnsi="Times New Roman" w:cs="Times New Roman"/>
        </w:rPr>
        <w:t xml:space="preserve"> </w:t>
      </w:r>
    </w:p>
    <w:p w:rsidR="008942FD" w:rsidRDefault="008942FD" w:rsidP="008942FD">
      <w:pPr>
        <w:pStyle w:val="Heading1"/>
      </w:pPr>
      <w:bookmarkStart w:id="3" w:name="_Toc467485515"/>
      <w:r>
        <w:t>Argument</w:t>
      </w:r>
      <w:bookmarkEnd w:id="3"/>
    </w:p>
    <w:p w:rsidR="00694241" w:rsidRDefault="00B01BCF" w:rsidP="003840AF">
      <w:pPr>
        <w:pStyle w:val="Heading2"/>
      </w:pPr>
      <w:bookmarkStart w:id="4" w:name="_Toc467485516"/>
      <w:r>
        <w:t>T</w:t>
      </w:r>
      <w:r w:rsidR="00694241">
        <w:t xml:space="preserve">he DMR </w:t>
      </w:r>
      <w:r w:rsidR="00F6226A">
        <w:t xml:space="preserve">violates Ohio’s corporate separation requirements because it </w:t>
      </w:r>
      <w:r w:rsidR="00694241">
        <w:t xml:space="preserve">would provide an undue preference or advantage to its </w:t>
      </w:r>
      <w:r>
        <w:t>affiliates</w:t>
      </w:r>
      <w:r w:rsidR="00F6226A">
        <w:t xml:space="preserve">, </w:t>
      </w:r>
      <w:r w:rsidR="00694241">
        <w:t>is designed to maintain the fina</w:t>
      </w:r>
      <w:r>
        <w:t>ncial viability of an affiliate</w:t>
      </w:r>
      <w:r w:rsidR="00F6226A">
        <w:t xml:space="preserve">, and generally conflicts with the </w:t>
      </w:r>
      <w:r w:rsidR="006211BC">
        <w:t>limitations on</w:t>
      </w:r>
      <w:r w:rsidR="00F6226A">
        <w:t xml:space="preserve"> financial arrangements between affiliates. </w:t>
      </w:r>
      <w:r w:rsidR="00694241">
        <w:t xml:space="preserve"> R.C. 4928.17; </w:t>
      </w:r>
      <w:r w:rsidR="00534A4E">
        <w:t>Rule 4901:1-37-04(C)</w:t>
      </w:r>
      <w:r w:rsidR="00694241">
        <w:t>, O.A.C.</w:t>
      </w:r>
      <w:bookmarkEnd w:id="4"/>
    </w:p>
    <w:p w:rsidR="000A13C2" w:rsidRDefault="00D2302D" w:rsidP="00D2302D">
      <w:pPr>
        <w:spacing w:line="480" w:lineRule="auto"/>
      </w:pPr>
      <w:r>
        <w:tab/>
      </w:r>
      <w:r w:rsidR="00EC299D">
        <w:t xml:space="preserve">As part of </w:t>
      </w:r>
      <w:r w:rsidR="00262D8A">
        <w:t>SB 3</w:t>
      </w:r>
      <w:r w:rsidR="00036183">
        <w:t xml:space="preserve">, the General Assembly enacted R.C. 4928.17, which </w:t>
      </w:r>
      <w:r>
        <w:t xml:space="preserve">prohibits </w:t>
      </w:r>
      <w:r w:rsidR="00036183">
        <w:t>an EDU</w:t>
      </w:r>
      <w:r>
        <w:t xml:space="preserve"> from providing a noncompetitive retail electric service if either an internal division of </w:t>
      </w:r>
      <w:r w:rsidR="00036183">
        <w:t>the EDU</w:t>
      </w:r>
      <w:r>
        <w:t xml:space="preserve"> or a fully separated affiliate provides a competitive retail electric service or a nonelectric product or service unless </w:t>
      </w:r>
      <w:r w:rsidR="000A13C2">
        <w:t>the EDU</w:t>
      </w:r>
      <w:r>
        <w:t xml:space="preserve"> operates under a corporate separation plan.</w:t>
      </w:r>
      <w:r w:rsidR="00262D8A">
        <w:rPr>
          <w:rStyle w:val="FootnoteReference"/>
        </w:rPr>
        <w:footnoteReference w:id="36"/>
      </w:r>
      <w:r>
        <w:t xml:space="preserve">  R.C. 4928.17(A)(3) further mandates that any corporate separation plan must “ensure that the utility will not extend any undue preference or advantage to any affiliate, division, or part of its own business engaged in the business of supplying the competitive retail electric service or nonelectric product or service.”</w:t>
      </w:r>
      <w:r w:rsidR="002C1FC5">
        <w:t xml:space="preserve">  </w:t>
      </w:r>
      <w:r w:rsidR="00FC0C52">
        <w:t xml:space="preserve">Rule 4901:1-37-04, O.A.C., expands on the prohibited actions </w:t>
      </w:r>
      <w:r w:rsidR="00C330C9">
        <w:t xml:space="preserve">under the corporate separation requirements </w:t>
      </w:r>
      <w:r w:rsidR="00FC0C52">
        <w:t xml:space="preserve">and division (C) of the rule </w:t>
      </w:r>
      <w:r w:rsidR="003A4A1C">
        <w:t>specifies the</w:t>
      </w:r>
      <w:r w:rsidR="002C1FC5">
        <w:t xml:space="preserve"> financial arrangements that are </w:t>
      </w:r>
      <w:r w:rsidR="003A4A1C">
        <w:t xml:space="preserve">explicitly </w:t>
      </w:r>
      <w:r w:rsidR="002C1FC5">
        <w:t xml:space="preserve">prohibited.  </w:t>
      </w:r>
      <w:r w:rsidR="00D45499">
        <w:t>The requirements of R.C. 4928.17 and the Commission’s corporate separation rules on financial arrangement</w:t>
      </w:r>
      <w:r w:rsidR="006211BC">
        <w:t>s</w:t>
      </w:r>
      <w:r w:rsidR="00D45499">
        <w:t xml:space="preserve"> are also explicitly incorporated into DP&amp;L’s corporate separation plan.</w:t>
      </w:r>
      <w:r w:rsidR="00D45499">
        <w:rPr>
          <w:rStyle w:val="FootnoteReference"/>
        </w:rPr>
        <w:footnoteReference w:id="37"/>
      </w:r>
      <w:r w:rsidR="00D45499">
        <w:t xml:space="preserve">  </w:t>
      </w:r>
      <w:r w:rsidR="002C1FC5">
        <w:t>The DMR</w:t>
      </w:r>
      <w:r w:rsidR="00C330C9">
        <w:t xml:space="preserve"> </w:t>
      </w:r>
      <w:r w:rsidR="006E3187">
        <w:t>violates</w:t>
      </w:r>
      <w:r w:rsidR="002C1FC5">
        <w:t xml:space="preserve"> the </w:t>
      </w:r>
      <w:r w:rsidR="00081E78">
        <w:t xml:space="preserve">corporate separation </w:t>
      </w:r>
      <w:r w:rsidR="002C1FC5">
        <w:t xml:space="preserve">requirements </w:t>
      </w:r>
      <w:r w:rsidR="00081E78">
        <w:t>contained in R.C. 4928.17, Rule 4901:1-37-04(C), O.A.C., and in DP&amp;L’s corporate separation plan.</w:t>
      </w:r>
    </w:p>
    <w:p w:rsidR="00541825" w:rsidRDefault="00541825" w:rsidP="00D2302D">
      <w:pPr>
        <w:spacing w:line="480" w:lineRule="auto"/>
      </w:pPr>
      <w:r>
        <w:tab/>
        <w:t>The corporate separation rules apply to EDUs and their affiliates.  The Commission defines affiliates, for purpo</w:t>
      </w:r>
      <w:r w:rsidR="00081E78">
        <w:t>ses of the corporate separation requirements</w:t>
      </w:r>
      <w:r>
        <w:t xml:space="preserve">, </w:t>
      </w:r>
      <w:r w:rsidR="00081E78">
        <w:t xml:space="preserve">as </w:t>
      </w:r>
      <w:r>
        <w:t>“companies that are related to each other due to common ownership or control.</w:t>
      </w:r>
      <w:r w:rsidR="00255140">
        <w:t>”</w:t>
      </w:r>
      <w:r w:rsidR="00255140">
        <w:rPr>
          <w:rStyle w:val="FootnoteReference"/>
        </w:rPr>
        <w:footnoteReference w:id="38"/>
      </w:r>
      <w:r>
        <w:t xml:space="preserve"> </w:t>
      </w:r>
      <w:r w:rsidR="00255140">
        <w:t xml:space="preserve">  </w:t>
      </w:r>
      <w:r>
        <w:t xml:space="preserve">The </w:t>
      </w:r>
      <w:r w:rsidR="00255140">
        <w:t>Commission also defines affiliate to include any</w:t>
      </w:r>
      <w:r>
        <w:t xml:space="preserve"> </w:t>
      </w:r>
      <w:r w:rsidR="00255140">
        <w:t>“</w:t>
      </w:r>
      <w:r>
        <w:t>internal merchant function of the electric utility whereby the electric utility provides a competitive service.”</w:t>
      </w:r>
      <w:r w:rsidR="00255140">
        <w:rPr>
          <w:rStyle w:val="FootnoteReference"/>
        </w:rPr>
        <w:footnoteReference w:id="39"/>
      </w:r>
      <w:r>
        <w:t xml:space="preserve">  </w:t>
      </w:r>
      <w:r w:rsidR="00255140">
        <w:t>Thus, DPL Inc.</w:t>
      </w:r>
      <w:r w:rsidR="00435764">
        <w:t>,</w:t>
      </w:r>
      <w:r w:rsidR="00255140">
        <w:t xml:space="preserve"> as an entity that controls DP&amp;L, and DP&amp;L’s internal generation business are both treated as affiliates of the EDU</w:t>
      </w:r>
      <w:r w:rsidR="00435764">
        <w:t xml:space="preserve"> for purposes of the corporate separation requirements</w:t>
      </w:r>
      <w:r w:rsidR="00255140">
        <w:t>.</w:t>
      </w:r>
      <w:r w:rsidR="0081690F">
        <w:rPr>
          <w:rStyle w:val="FootnoteReference"/>
        </w:rPr>
        <w:footnoteReference w:id="40"/>
      </w:r>
      <w:r w:rsidR="00255140">
        <w:t xml:space="preserve">  </w:t>
      </w:r>
    </w:p>
    <w:p w:rsidR="00530DF9" w:rsidRDefault="00D45499" w:rsidP="00D2302D">
      <w:pPr>
        <w:spacing w:line="480" w:lineRule="auto"/>
      </w:pPr>
      <w:r>
        <w:tab/>
        <w:t xml:space="preserve">As noted above, R.C. 4928.17 prohibits DP&amp;L from providing an undue advantage or preference to an affiliate, but the DMR is designed to do just that.  </w:t>
      </w:r>
      <w:r w:rsidR="00D2302D">
        <w:t xml:space="preserve">If approved, the </w:t>
      </w:r>
      <w:r w:rsidR="00751E6C">
        <w:t xml:space="preserve">DMR will subsidize DPL Inc. and allow DPL Inc. to pay </w:t>
      </w:r>
      <w:r w:rsidR="00F3025E">
        <w:t>down</w:t>
      </w:r>
      <w:r w:rsidR="00751E6C">
        <w:t xml:space="preserve"> the AES acquisition debt related to AES’ highly</w:t>
      </w:r>
      <w:r w:rsidR="00AE3634">
        <w:t>-</w:t>
      </w:r>
      <w:r w:rsidR="00751E6C">
        <w:t xml:space="preserve">leveraged takeover of DPL Inc. in 2011.  </w:t>
      </w:r>
      <w:r w:rsidR="00D2302D">
        <w:t xml:space="preserve"> </w:t>
      </w:r>
      <w:r w:rsidR="00A41BDA">
        <w:t xml:space="preserve">The DMR is uniquely available to support DP&amp;L’s affiliate’s debt issue and therefore the DMR results in an undue advantage and preference to DPL Inc.  </w:t>
      </w:r>
      <w:r w:rsidR="00530DF9">
        <w:t xml:space="preserve">  </w:t>
      </w:r>
    </w:p>
    <w:p w:rsidR="004352DE" w:rsidRDefault="004352DE" w:rsidP="00D2302D">
      <w:pPr>
        <w:spacing w:line="480" w:lineRule="auto"/>
      </w:pPr>
      <w:r>
        <w:tab/>
        <w:t xml:space="preserve">The DMR also explicitly violates </w:t>
      </w:r>
      <w:r w:rsidR="00696615">
        <w:t xml:space="preserve">division </w:t>
      </w:r>
      <w:r>
        <w:t xml:space="preserve">(2) of Rule 4901:1-37-04(C), O.A.C., and at a minimum violates the intent behind </w:t>
      </w:r>
      <w:r w:rsidR="00696615">
        <w:t>divisions</w:t>
      </w:r>
      <w:r>
        <w:t xml:space="preserve"> (1), (3), (4), and (5) of that Rule.  </w:t>
      </w:r>
      <w:r w:rsidR="00266816">
        <w:t>Rule 4901:1-37-04(C), O.A.C.,</w:t>
      </w:r>
      <w:r w:rsidR="003238E6">
        <w:t xml:space="preserve"> provides:</w:t>
      </w:r>
    </w:p>
    <w:p w:rsidR="00AE591C" w:rsidRDefault="00AE591C">
      <w:pPr>
        <w:jc w:val="left"/>
        <w:rPr>
          <w:rFonts w:cs="Arial"/>
        </w:rPr>
      </w:pPr>
      <w:bookmarkStart w:id="5" w:name="4901:1-37-04(C)"/>
      <w:r>
        <w:rPr>
          <w:rFonts w:cs="Arial"/>
        </w:rPr>
        <w:br w:type="page"/>
      </w:r>
    </w:p>
    <w:p w:rsidR="004352DE" w:rsidRDefault="004352DE" w:rsidP="00AE3634">
      <w:pPr>
        <w:ind w:left="1440" w:right="720" w:hanging="720"/>
        <w:rPr>
          <w:rFonts w:cs="Arial"/>
        </w:rPr>
      </w:pPr>
      <w:r w:rsidRPr="00435764">
        <w:rPr>
          <w:rFonts w:cs="Arial"/>
        </w:rPr>
        <w:t>(C)</w:t>
      </w:r>
      <w:bookmarkEnd w:id="5"/>
      <w:r w:rsidR="00AE3634">
        <w:rPr>
          <w:rFonts w:cs="Arial"/>
        </w:rPr>
        <w:tab/>
      </w:r>
      <w:r w:rsidRPr="00435764">
        <w:rPr>
          <w:rFonts w:cs="Arial"/>
        </w:rPr>
        <w:t xml:space="preserve">Financial arrangements. </w:t>
      </w:r>
    </w:p>
    <w:p w:rsidR="00435764" w:rsidRPr="00435764" w:rsidRDefault="00435764" w:rsidP="00AE3634">
      <w:pPr>
        <w:ind w:left="2160" w:right="720" w:hanging="720"/>
        <w:rPr>
          <w:rFonts w:cs="Arial"/>
        </w:rPr>
      </w:pPr>
    </w:p>
    <w:p w:rsidR="004352DE" w:rsidRDefault="004352DE" w:rsidP="00AE3634">
      <w:pPr>
        <w:ind w:left="1440" w:right="720"/>
        <w:rPr>
          <w:rFonts w:eastAsia="Times New Roman" w:cs="Arial"/>
        </w:rPr>
      </w:pPr>
      <w:r w:rsidRPr="00435764">
        <w:rPr>
          <w:rFonts w:eastAsia="Times New Roman" w:cs="Arial"/>
        </w:rPr>
        <w:t xml:space="preserve">Unless otherwise approved by the commission, the financial arrangements of an electric utility are subject to the following restrictions: </w:t>
      </w:r>
    </w:p>
    <w:p w:rsidR="00435764" w:rsidRPr="00435764" w:rsidRDefault="00435764" w:rsidP="00AE3634">
      <w:pPr>
        <w:ind w:left="2160" w:right="720" w:hanging="720"/>
        <w:rPr>
          <w:rFonts w:eastAsia="Times New Roman" w:cs="Arial"/>
        </w:rPr>
      </w:pPr>
    </w:p>
    <w:p w:rsidR="004352DE" w:rsidRPr="003A4A1C" w:rsidRDefault="00435764" w:rsidP="00AE3634">
      <w:pPr>
        <w:ind w:left="2160" w:right="720" w:hanging="720"/>
        <w:rPr>
          <w:rFonts w:eastAsia="Times New Roman" w:cs="Arial"/>
        </w:rPr>
      </w:pPr>
      <w:r w:rsidRPr="003A4A1C">
        <w:rPr>
          <w:rFonts w:eastAsia="Times New Roman" w:cs="Arial"/>
        </w:rPr>
        <w:t>(1)</w:t>
      </w:r>
      <w:r w:rsidR="00AE3634">
        <w:rPr>
          <w:rFonts w:eastAsia="Times New Roman" w:cs="Arial"/>
        </w:rPr>
        <w:tab/>
      </w:r>
      <w:r w:rsidR="004352DE" w:rsidRPr="003A4A1C">
        <w:rPr>
          <w:rFonts w:eastAsia="Times New Roman" w:cs="Arial"/>
        </w:rPr>
        <w:t xml:space="preserve">Any indebtedness incurred by an affiliate shall be without recourse to the electric utility. </w:t>
      </w:r>
    </w:p>
    <w:p w:rsidR="00435764" w:rsidRPr="00435764" w:rsidRDefault="00435764" w:rsidP="00AE3634">
      <w:pPr>
        <w:ind w:left="2160" w:right="720" w:hanging="720"/>
        <w:rPr>
          <w:rFonts w:eastAsia="Times New Roman" w:cs="Arial"/>
        </w:rPr>
      </w:pPr>
    </w:p>
    <w:p w:rsidR="004352DE" w:rsidRDefault="004352DE" w:rsidP="00AE3634">
      <w:pPr>
        <w:ind w:left="2160" w:right="720" w:hanging="720"/>
        <w:rPr>
          <w:rFonts w:eastAsia="Times New Roman" w:cs="Arial"/>
        </w:rPr>
      </w:pPr>
      <w:bookmarkStart w:id="6" w:name="4901:1-37-04(C)(2)"/>
      <w:r w:rsidRPr="00435764">
        <w:rPr>
          <w:rFonts w:eastAsia="Times New Roman" w:cs="Arial"/>
        </w:rPr>
        <w:t>(2)</w:t>
      </w:r>
      <w:bookmarkEnd w:id="6"/>
      <w:r w:rsidR="00AE3634">
        <w:rPr>
          <w:rFonts w:eastAsia="Times New Roman" w:cs="Arial"/>
        </w:rPr>
        <w:tab/>
      </w:r>
      <w:r w:rsidRPr="00435764">
        <w:rPr>
          <w:rFonts w:eastAsia="Times New Roman" w:cs="Arial"/>
        </w:rPr>
        <w:t xml:space="preserve">An electric utility shall not enter into any agreement with terms under which the electric utility is obligated to commit funds to maintain the financial viability of an affiliate. </w:t>
      </w:r>
    </w:p>
    <w:p w:rsidR="00435764" w:rsidRPr="00435764" w:rsidRDefault="00435764" w:rsidP="00AE3634">
      <w:pPr>
        <w:ind w:left="2160" w:right="720" w:hanging="720"/>
        <w:rPr>
          <w:rFonts w:eastAsia="Times New Roman" w:cs="Arial"/>
        </w:rPr>
      </w:pPr>
    </w:p>
    <w:p w:rsidR="004352DE" w:rsidRDefault="004352DE" w:rsidP="00AE3634">
      <w:pPr>
        <w:ind w:left="2160" w:right="720" w:hanging="720"/>
        <w:rPr>
          <w:rFonts w:eastAsia="Times New Roman" w:cs="Arial"/>
        </w:rPr>
      </w:pPr>
      <w:bookmarkStart w:id="7" w:name="4901:1-37-04(C)(3)"/>
      <w:r w:rsidRPr="00435764">
        <w:rPr>
          <w:rFonts w:eastAsia="Times New Roman" w:cs="Arial"/>
        </w:rPr>
        <w:t>(3)</w:t>
      </w:r>
      <w:bookmarkEnd w:id="7"/>
      <w:r w:rsidR="00AE3634">
        <w:rPr>
          <w:rFonts w:eastAsia="Times New Roman" w:cs="Arial"/>
        </w:rPr>
        <w:tab/>
      </w:r>
      <w:r w:rsidRPr="00435764">
        <w:rPr>
          <w:rFonts w:eastAsia="Times New Roman" w:cs="Arial"/>
        </w:rPr>
        <w:t xml:space="preserve">An electric utility shall not make any investment in an affiliate under any circumstances in which the electric utility would be liable for the debts and/or liabilities of the affiliate incurred as a result of actions or omissions of an affiliate. </w:t>
      </w:r>
    </w:p>
    <w:p w:rsidR="00435764" w:rsidRPr="00435764" w:rsidRDefault="00435764" w:rsidP="00AE3634">
      <w:pPr>
        <w:ind w:left="2160" w:right="720" w:hanging="720"/>
        <w:rPr>
          <w:rFonts w:eastAsia="Times New Roman" w:cs="Arial"/>
        </w:rPr>
      </w:pPr>
    </w:p>
    <w:p w:rsidR="004352DE" w:rsidRDefault="004352DE" w:rsidP="00AE3634">
      <w:pPr>
        <w:ind w:left="2160" w:right="720" w:hanging="720"/>
        <w:rPr>
          <w:rFonts w:eastAsia="Times New Roman" w:cs="Arial"/>
        </w:rPr>
      </w:pPr>
      <w:bookmarkStart w:id="8" w:name="4901:1-37-04(C)(4)"/>
      <w:r w:rsidRPr="00435764">
        <w:rPr>
          <w:rFonts w:eastAsia="Times New Roman" w:cs="Arial"/>
        </w:rPr>
        <w:t>(4)</w:t>
      </w:r>
      <w:bookmarkEnd w:id="8"/>
      <w:r w:rsidR="00AE3634">
        <w:rPr>
          <w:rFonts w:eastAsia="Times New Roman" w:cs="Arial"/>
        </w:rPr>
        <w:tab/>
      </w:r>
      <w:r w:rsidRPr="00435764">
        <w:rPr>
          <w:rFonts w:eastAsia="Times New Roman" w:cs="Arial"/>
        </w:rPr>
        <w:t xml:space="preserve">An electric utility shall not issue any security for the purpose of financing the acquisition, ownership, or operation of an affiliate. </w:t>
      </w:r>
    </w:p>
    <w:p w:rsidR="00435764" w:rsidRPr="00435764" w:rsidRDefault="00435764" w:rsidP="00AE3634">
      <w:pPr>
        <w:ind w:left="2160" w:right="720" w:hanging="720"/>
        <w:rPr>
          <w:rFonts w:eastAsia="Times New Roman" w:cs="Arial"/>
        </w:rPr>
      </w:pPr>
    </w:p>
    <w:p w:rsidR="004352DE" w:rsidRDefault="004352DE" w:rsidP="00AE3634">
      <w:pPr>
        <w:ind w:left="2160" w:right="720" w:hanging="720"/>
        <w:rPr>
          <w:rFonts w:eastAsia="Times New Roman" w:cs="Arial"/>
        </w:rPr>
      </w:pPr>
      <w:bookmarkStart w:id="9" w:name="4901:1-37-04(C)(5)"/>
      <w:r w:rsidRPr="00435764">
        <w:rPr>
          <w:rFonts w:eastAsia="Times New Roman" w:cs="Arial"/>
        </w:rPr>
        <w:t>(5)</w:t>
      </w:r>
      <w:bookmarkEnd w:id="9"/>
      <w:r w:rsidR="00AE3634">
        <w:rPr>
          <w:rFonts w:eastAsia="Times New Roman" w:cs="Arial"/>
        </w:rPr>
        <w:tab/>
      </w:r>
      <w:r w:rsidRPr="00435764">
        <w:rPr>
          <w:rFonts w:eastAsia="Times New Roman" w:cs="Arial"/>
        </w:rPr>
        <w:t xml:space="preserve">An electric utility shall not assume any obligation or liability as a guarantor, endorser, surety, or otherwise with respect to any security of an affiliate. </w:t>
      </w:r>
    </w:p>
    <w:p w:rsidR="00435764" w:rsidRPr="00435764" w:rsidRDefault="00435764" w:rsidP="00AE3634">
      <w:pPr>
        <w:ind w:left="2160" w:right="720" w:hanging="720"/>
        <w:rPr>
          <w:rFonts w:eastAsia="Times New Roman" w:cs="Arial"/>
        </w:rPr>
      </w:pPr>
    </w:p>
    <w:p w:rsidR="004352DE" w:rsidRDefault="004352DE" w:rsidP="00AE3634">
      <w:pPr>
        <w:ind w:left="2160" w:right="720" w:hanging="720"/>
        <w:rPr>
          <w:rFonts w:eastAsia="Times New Roman" w:cs="Arial"/>
        </w:rPr>
      </w:pPr>
      <w:bookmarkStart w:id="10" w:name="4901:1-37-04(C)(6)"/>
      <w:r w:rsidRPr="00435764">
        <w:rPr>
          <w:rFonts w:eastAsia="Times New Roman" w:cs="Arial"/>
        </w:rPr>
        <w:t>(6)</w:t>
      </w:r>
      <w:bookmarkEnd w:id="10"/>
      <w:r w:rsidR="00AE3634">
        <w:rPr>
          <w:rFonts w:eastAsia="Times New Roman" w:cs="Arial"/>
        </w:rPr>
        <w:tab/>
      </w:r>
      <w:r w:rsidRPr="00435764">
        <w:rPr>
          <w:rFonts w:eastAsia="Times New Roman" w:cs="Arial"/>
        </w:rPr>
        <w:t xml:space="preserve">An electric utility shall not pledge, mortgage, or use as collateral any assets of the electric utility for the benefit of an affiliate. </w:t>
      </w:r>
    </w:p>
    <w:p w:rsidR="00435764" w:rsidRPr="00435764" w:rsidRDefault="00435764" w:rsidP="00435764">
      <w:pPr>
        <w:ind w:left="720" w:right="720"/>
        <w:rPr>
          <w:rFonts w:eastAsia="Times New Roman" w:cs="Arial"/>
        </w:rPr>
      </w:pPr>
    </w:p>
    <w:p w:rsidR="00530DF9" w:rsidRDefault="00916671" w:rsidP="00D2302D">
      <w:pPr>
        <w:spacing w:line="480" w:lineRule="auto"/>
      </w:pPr>
      <w:r>
        <w:t>Throughout the testimony of DP&amp;L witness</w:t>
      </w:r>
      <w:r w:rsidR="00022135">
        <w:t>es</w:t>
      </w:r>
      <w:r>
        <w:t xml:space="preserve"> Jackson and Malinak, DP&amp;L describes the purpose of the DMR as primarily designed to maintain DPL Inc. at investment grade.  Mr.</w:t>
      </w:r>
      <w:r w:rsidR="00022135">
        <w:t> </w:t>
      </w:r>
      <w:r>
        <w:t xml:space="preserve">Malinak indicates that if DPL Inc. drops below investment grade, </w:t>
      </w:r>
      <w:r w:rsidR="00026D92">
        <w:rPr>
          <w:noProof/>
          <w:color w:val="000000"/>
          <w:highlight w:val="black"/>
        </w:rPr>
        <w:t>'''''' ''''' ''''''''''''''''' ''''''''''''''''' ''''''' '''''''''''''</w:t>
      </w:r>
      <w:r>
        <w:t xml:space="preserve">, then DPL Inc.’s chance of </w:t>
      </w:r>
      <w:r w:rsidR="00022135">
        <w:t xml:space="preserve">default increases from </w:t>
      </w:r>
      <w:r w:rsidR="00026D92">
        <w:rPr>
          <w:noProof/>
          <w:color w:val="000000"/>
          <w:highlight w:val="black"/>
        </w:rPr>
        <w:t>'''''''''''' ''''' '''''''''' ''''' '''''''''''''''''</w:t>
      </w:r>
      <w:r w:rsidR="00022135">
        <w:t>.</w:t>
      </w:r>
      <w:r w:rsidR="00022135">
        <w:rPr>
          <w:rStyle w:val="FootnoteReference"/>
        </w:rPr>
        <w:footnoteReference w:id="41"/>
      </w:r>
      <w:r w:rsidR="00022135">
        <w:t xml:space="preserve">  </w:t>
      </w:r>
      <w:r>
        <w:t xml:space="preserve">Accordingly, </w:t>
      </w:r>
      <w:r w:rsidR="0019046F">
        <w:t xml:space="preserve">DP&amp;L’s pleadings demonstrate </w:t>
      </w:r>
      <w:r w:rsidR="003F17B6">
        <w:t xml:space="preserve">that </w:t>
      </w:r>
      <w:r w:rsidR="00E359EF">
        <w:t>the DMR is designed to maintain the financial viability of</w:t>
      </w:r>
      <w:r w:rsidR="00406090">
        <w:t xml:space="preserve"> DPL Inc., an affiliate of DP&amp;L, in contravention of </w:t>
      </w:r>
      <w:r w:rsidR="00717522">
        <w:t>division (C)</w:t>
      </w:r>
      <w:r w:rsidR="00406090">
        <w:t>(2) of the Rule.</w:t>
      </w:r>
    </w:p>
    <w:p w:rsidR="00BA2828" w:rsidRDefault="00476CBD" w:rsidP="00D2302D">
      <w:pPr>
        <w:spacing w:line="480" w:lineRule="auto"/>
      </w:pPr>
      <w:r>
        <w:tab/>
      </w:r>
      <w:r w:rsidR="00946500">
        <w:t>Division (C)(1) requires DPL Inc.’s debt to be without recourse to DP&amp;L.  Without recourse t</w:t>
      </w:r>
      <w:r w:rsidR="00A27859">
        <w:t xml:space="preserve">o DP&amp;L means that DP&amp;L cannot be held </w:t>
      </w:r>
      <w:r w:rsidR="004D2417">
        <w:t>liable</w:t>
      </w:r>
      <w:r w:rsidR="00A27859">
        <w:t xml:space="preserve"> for the debt</w:t>
      </w:r>
      <w:r w:rsidR="004D2417">
        <w:t xml:space="preserve"> of DPL Inc</w:t>
      </w:r>
      <w:r w:rsidR="00A27859">
        <w:t>.</w:t>
      </w:r>
      <w:r w:rsidR="00F07C58">
        <w:rPr>
          <w:rStyle w:val="FootnoteReference"/>
        </w:rPr>
        <w:footnoteReference w:id="42"/>
      </w:r>
      <w:r w:rsidR="004D2417">
        <w:t xml:space="preserve">  </w:t>
      </w:r>
      <w:r w:rsidR="00BA2828">
        <w:t>DP&amp;L’s financial analysis is premised</w:t>
      </w:r>
      <w:r w:rsidR="007149FB">
        <w:t>, however, on DP&amp;L funding the repayment of its affiliate’s debt so that negative financial impacts at DPL Inc. do not trickle down to DP&amp;L.</w:t>
      </w:r>
      <w:r w:rsidR="00BF1085">
        <w:t xml:space="preserve">  The DMR would effectively make DPL Inc.’s debt </w:t>
      </w:r>
      <w:r w:rsidR="00BF1085">
        <w:rPr>
          <w:i/>
          <w:u w:val="single"/>
        </w:rPr>
        <w:t>with recourse</w:t>
      </w:r>
      <w:r w:rsidR="00BF1085" w:rsidRPr="005C1E97">
        <w:rPr>
          <w:i/>
        </w:rPr>
        <w:t xml:space="preserve"> </w:t>
      </w:r>
      <w:r w:rsidR="00BF1085">
        <w:t>to DP&amp;L.</w:t>
      </w:r>
    </w:p>
    <w:p w:rsidR="0052578D" w:rsidRPr="00BF1085" w:rsidRDefault="0052578D" w:rsidP="00D2302D">
      <w:pPr>
        <w:spacing w:line="480" w:lineRule="auto"/>
      </w:pPr>
      <w:r>
        <w:tab/>
        <w:t>Division (C)(4) of the Rule prohibits an electric utility from issuing any security to finance the acquisition or ownership of an affiliate.   Although the DMR would not require DP&amp;L to issue “security</w:t>
      </w:r>
      <w:r w:rsidR="00C32E13">
        <w:t>,</w:t>
      </w:r>
      <w:r>
        <w:t xml:space="preserve">” it would have DP&amp;L </w:t>
      </w:r>
      <w:r w:rsidR="006122B5">
        <w:t>fund the acquisition and ownership of DPL Inc. by paying down the acquisition debt at DPL Inc. that AES pushed down to DPL Inc. as part of the 2011 takeover of DPL Inc. by AES</w:t>
      </w:r>
      <w:r w:rsidR="000E2999">
        <w:t xml:space="preserve">—the </w:t>
      </w:r>
      <w:r w:rsidR="00C32E13">
        <w:t>very purpose prohibited by this division.</w:t>
      </w:r>
    </w:p>
    <w:p w:rsidR="00406090" w:rsidRDefault="00186C42" w:rsidP="00BF1085">
      <w:pPr>
        <w:spacing w:line="480" w:lineRule="auto"/>
      </w:pPr>
      <w:r>
        <w:tab/>
      </w:r>
      <w:r w:rsidR="00E0603C">
        <w:t>The intent behind d</w:t>
      </w:r>
      <w:r>
        <w:t>ivisions (C)</w:t>
      </w:r>
      <w:r w:rsidR="00E0603C">
        <w:t>(3)</w:t>
      </w:r>
      <w:r w:rsidR="0052578D">
        <w:t>, (5), and (6)</w:t>
      </w:r>
      <w:r w:rsidR="00E0603C">
        <w:t xml:space="preserve"> of the Rule further confirm</w:t>
      </w:r>
      <w:r w:rsidR="000F21CF">
        <w:t>s</w:t>
      </w:r>
      <w:r w:rsidR="00E0603C">
        <w:t xml:space="preserve"> that electric utilities may not engage in any type of financial arrangement </w:t>
      </w:r>
      <w:r w:rsidR="00917146">
        <w:t xml:space="preserve">designed to make the utility directly responsible for the debt of an affiliate.  These divisions prohibit an electric utility from making investments in affiliates which would cause the utility </w:t>
      </w:r>
      <w:r w:rsidR="0052578D">
        <w:t xml:space="preserve">to be liable for affiliate debt; </w:t>
      </w:r>
      <w:r w:rsidR="00917146">
        <w:t>prohibit electric utilities from serving as</w:t>
      </w:r>
      <w:r w:rsidR="009811F6">
        <w:t xml:space="preserve"> a guarantor, endorse</w:t>
      </w:r>
      <w:r w:rsidR="000F21CF">
        <w:t>r</w:t>
      </w:r>
      <w:r w:rsidR="009811F6">
        <w:t xml:space="preserve">, or surety, or in any other way assuming an obligation or liability of an affiliate; and prohibit electric utilities from pledging its assets for the benefit of an affiliate.  These prohibitions clearly delineate the Commission’s intent to segregate the debt and repayment obligations of an affiliate from impacting the operations of an electric utility.  </w:t>
      </w:r>
      <w:r w:rsidR="00C32E13">
        <w:t xml:space="preserve">Despite these regulatory restrictions, DP&amp;L seeks to extract additional </w:t>
      </w:r>
      <w:r w:rsidR="00161232">
        <w:t xml:space="preserve">retail revenues through the nonbypassable DMR to fund the debt obligations at DPL Inc.  </w:t>
      </w:r>
      <w:r w:rsidR="00BF1085">
        <w:t xml:space="preserve">The DMR </w:t>
      </w:r>
      <w:r w:rsidR="00161232">
        <w:t>thus</w:t>
      </w:r>
      <w:r w:rsidR="00BF1085">
        <w:t xml:space="preserve"> conflict</w:t>
      </w:r>
      <w:r w:rsidR="00161232">
        <w:t>s</w:t>
      </w:r>
      <w:r w:rsidR="00BF1085">
        <w:t xml:space="preserve"> with the intent of these provisions.</w:t>
      </w:r>
    </w:p>
    <w:p w:rsidR="00D2302D" w:rsidRPr="00D2302D" w:rsidRDefault="00D86D0D" w:rsidP="00133DCD">
      <w:pPr>
        <w:spacing w:line="480" w:lineRule="auto"/>
      </w:pPr>
      <w:r>
        <w:tab/>
        <w:t xml:space="preserve">In sum, </w:t>
      </w:r>
      <w:r w:rsidR="00B90E67">
        <w:t>t</w:t>
      </w:r>
      <w:r>
        <w:t xml:space="preserve">he DMR would extend an </w:t>
      </w:r>
      <w:r w:rsidR="00E908E7">
        <w:t xml:space="preserve">unlawful </w:t>
      </w:r>
      <w:r>
        <w:t>undue preferen</w:t>
      </w:r>
      <w:r w:rsidR="00C6734C">
        <w:t>c</w:t>
      </w:r>
      <w:r w:rsidR="00E908E7">
        <w:t>e or advantage to its affiliate and</w:t>
      </w:r>
      <w:r w:rsidR="00C6734C">
        <w:t xml:space="preserve"> would result in a</w:t>
      </w:r>
      <w:r w:rsidR="00E908E7">
        <w:t>n unlawful</w:t>
      </w:r>
      <w:r w:rsidR="00C6734C">
        <w:t xml:space="preserve"> financial arrangement</w:t>
      </w:r>
      <w:r w:rsidR="00E908E7">
        <w:t xml:space="preserve"> </w:t>
      </w:r>
      <w:r w:rsidR="0052578D">
        <w:t>that requires DP&amp;L to</w:t>
      </w:r>
      <w:r w:rsidR="00E908E7">
        <w:t xml:space="preserve"> commit to maintain the financial viability of its affiliate for the prohibited purpose of paying down the debt of an affiliate</w:t>
      </w:r>
      <w:r w:rsidR="00360F32">
        <w:t xml:space="preserve"> associated with its acquisition</w:t>
      </w:r>
      <w:r w:rsidR="00E908E7">
        <w:t>.  Accordingly, the DMR violates the corporate separation requirements.</w:t>
      </w:r>
      <w:r w:rsidR="00E359EF">
        <w:tab/>
      </w:r>
    </w:p>
    <w:p w:rsidR="003840AF" w:rsidRDefault="003840AF" w:rsidP="003840AF">
      <w:pPr>
        <w:pStyle w:val="Heading2"/>
      </w:pPr>
      <w:bookmarkStart w:id="11" w:name="_Toc467485517"/>
      <w:r>
        <w:t xml:space="preserve">The Commission should dismiss the DMR because it does not satisfy any of the provisions of R.C. 4928.143(B)(2) that would permit the charge to be included in an ESP.  </w:t>
      </w:r>
      <w:r w:rsidR="00133DCD">
        <w:rPr>
          <w:i/>
        </w:rPr>
        <w:t>In re Application of Columbus S. Power Co.</w:t>
      </w:r>
      <w:r w:rsidR="00133DCD">
        <w:t>, 128 Ohio St.3d 512, 2011-Ohio-1788.</w:t>
      </w:r>
      <w:bookmarkEnd w:id="11"/>
    </w:p>
    <w:p w:rsidR="004016C5" w:rsidRDefault="003C4138" w:rsidP="000E073F">
      <w:pPr>
        <w:spacing w:line="480" w:lineRule="auto"/>
      </w:pPr>
      <w:r>
        <w:tab/>
        <w:t>An EDU is required to offer a standard service offer (“SSO”) to nonshopping cust</w:t>
      </w:r>
      <w:r w:rsidR="000A0314">
        <w:t>omers that takes the form of a market rate offer (“</w:t>
      </w:r>
      <w:r>
        <w:t>MRO</w:t>
      </w:r>
      <w:r w:rsidR="000A0314">
        <w:t>”)</w:t>
      </w:r>
      <w:r>
        <w:t xml:space="preserve"> or an ESP.</w:t>
      </w:r>
      <w:r>
        <w:rPr>
          <w:rStyle w:val="FootnoteReference"/>
        </w:rPr>
        <w:footnoteReference w:id="43"/>
      </w:r>
      <w:r>
        <w:t xml:space="preserve">  As part of an ESP, the</w:t>
      </w:r>
      <w:r w:rsidR="00B34AD5">
        <w:t xml:space="preserve"> Commission may authorize provisions relating to the supply and pricing of electric generation service for nonshopping customers as well as other terms and conditions that fit within one of the nine enumerated provisions </w:t>
      </w:r>
      <w:r w:rsidR="00B33944">
        <w:t xml:space="preserve">of </w:t>
      </w:r>
      <w:r w:rsidR="00B34AD5">
        <w:t xml:space="preserve">R.C. 4928.143(B)(2).  </w:t>
      </w:r>
      <w:r w:rsidR="00031731">
        <w:t>“I</w:t>
      </w:r>
      <w:r w:rsidR="004A0583">
        <w:t xml:space="preserve">f a given provision does not fit within one of the categories listed </w:t>
      </w:r>
      <w:r w:rsidR="00B90E67">
        <w:t>‘</w:t>
      </w:r>
      <w:r w:rsidR="004A0583">
        <w:t>following</w:t>
      </w:r>
      <w:r w:rsidR="00B90E67">
        <w:t>’</w:t>
      </w:r>
      <w:r w:rsidR="004A0583">
        <w:t xml:space="preserve"> (B)(2),</w:t>
      </w:r>
      <w:r w:rsidR="00031731">
        <w:t>” however,</w:t>
      </w:r>
      <w:r w:rsidR="004A0583">
        <w:t xml:space="preserve"> </w:t>
      </w:r>
      <w:r w:rsidR="00031731">
        <w:t>“</w:t>
      </w:r>
      <w:r w:rsidR="004A0583">
        <w:t>it is not authorized by statute.”</w:t>
      </w:r>
      <w:r w:rsidR="004A0583">
        <w:rPr>
          <w:rStyle w:val="FootnoteReference"/>
        </w:rPr>
        <w:footnoteReference w:id="44"/>
      </w:r>
      <w:r w:rsidR="000E073F">
        <w:t xml:space="preserve">  The DMR is not a provision relating to the supply and pricing of electric service </w:t>
      </w:r>
      <w:r w:rsidR="00DB09D5">
        <w:t xml:space="preserve">for nonshopping customers </w:t>
      </w:r>
      <w:r w:rsidR="000E073F">
        <w:t xml:space="preserve">and does not fit within any of the provisions under </w:t>
      </w:r>
      <w:r w:rsidR="004016C5">
        <w:t>R</w:t>
      </w:r>
      <w:r w:rsidR="000E073F">
        <w:t>.C. 4928.143(B)(2).</w:t>
      </w:r>
      <w:r w:rsidR="00DB09D5">
        <w:t xml:space="preserve">  Accordingly, the DMR may not be authorized.</w:t>
      </w:r>
    </w:p>
    <w:p w:rsidR="00AE591C" w:rsidRDefault="00AE591C">
      <w:pPr>
        <w:jc w:val="left"/>
        <w:rPr>
          <w:rFonts w:eastAsiaTheme="majorEastAsia" w:cs="Arial"/>
          <w:b/>
        </w:rPr>
      </w:pPr>
      <w:bookmarkStart w:id="12" w:name="_Toc467485518"/>
      <w:r>
        <w:br w:type="page"/>
      </w:r>
    </w:p>
    <w:p w:rsidR="004C44C0" w:rsidRDefault="004C44C0" w:rsidP="004016C5">
      <w:pPr>
        <w:pStyle w:val="Heading3"/>
      </w:pPr>
      <w:r>
        <w:t>The DMR does not meet the requirements of R.C. 4928.143(B)(2)(d).</w:t>
      </w:r>
      <w:bookmarkEnd w:id="12"/>
    </w:p>
    <w:p w:rsidR="00CC056C" w:rsidRDefault="00CC056C" w:rsidP="00CC056C">
      <w:pPr>
        <w:spacing w:line="480" w:lineRule="auto"/>
      </w:pPr>
      <w:r>
        <w:tab/>
        <w:t xml:space="preserve">To be authorized under </w:t>
      </w:r>
      <w:r w:rsidR="00031731">
        <w:t>R.C. 4928.143(B)(2)(d)</w:t>
      </w:r>
      <w:r w:rsidR="00B33944">
        <w:t>,</w:t>
      </w:r>
      <w:r>
        <w:t xml:space="preserve"> the DMR needs to satisfy three requirements.  </w:t>
      </w:r>
      <w:r w:rsidR="00DB09D5">
        <w:t>First, i</w:t>
      </w:r>
      <w:r>
        <w:t xml:space="preserve">t must be a “term[], condition[], or charge[].”  </w:t>
      </w:r>
      <w:r w:rsidR="00DB09D5">
        <w:t>Second, i</w:t>
      </w:r>
      <w:r>
        <w:t xml:space="preserve">t must </w:t>
      </w:r>
      <w:r w:rsidR="00DB09D5">
        <w:t xml:space="preserve">be </w:t>
      </w:r>
      <w:r>
        <w:t>related to one of the following:  “limitations on customer shopping for retail electric generation service, bypassability, standby, back-up, or supplemental power service, default service, carrying costs, amortization periods, and accounting or deferrals, including future recovery of such deferrals.”  And</w:t>
      </w:r>
      <w:r w:rsidR="00DB09D5">
        <w:t xml:space="preserve"> third</w:t>
      </w:r>
      <w:r>
        <w:t>, it must “have the effect of stabilizing or providing certainty regarding retail electric service.”  The DMR does not satisfy the second or third requirements.</w:t>
      </w:r>
    </w:p>
    <w:p w:rsidR="00CC056C" w:rsidRDefault="00CC056C" w:rsidP="00CC056C">
      <w:pPr>
        <w:spacing w:line="480" w:lineRule="auto"/>
      </w:pPr>
      <w:r>
        <w:tab/>
        <w:t xml:space="preserve">As to the second requirement, the Commission has held that the fact that a charge is nonbypassable does not satisfy the </w:t>
      </w:r>
      <w:r w:rsidR="00DB09D5">
        <w:t xml:space="preserve">second </w:t>
      </w:r>
      <w:r>
        <w:t>requirement as all charges are either bypassable or nonbypassable.</w:t>
      </w:r>
      <w:r w:rsidR="00DB09D5">
        <w:rPr>
          <w:rStyle w:val="FootnoteReference"/>
        </w:rPr>
        <w:footnoteReference w:id="45"/>
      </w:r>
      <w:r>
        <w:t xml:space="preserve">  </w:t>
      </w:r>
      <w:r w:rsidR="00DF316A">
        <w:t>The DMR does not satisfy any of the remaining requirements.  Other than applying to all customers as a nonbypassable charge, the DMR will not limit or encourage any customer to shop or not shop.  The DMR is not related to standby, back-up or supplemental power.  The DMR is not related to any aspect of default service.  The DMR is not related to any carrying charges, amortization periods, or accounting or deferrals.</w:t>
      </w:r>
      <w:r w:rsidR="00E14AF5">
        <w:t xml:space="preserve"> </w:t>
      </w:r>
      <w:r w:rsidR="00ED023C">
        <w:t xml:space="preserve"> </w:t>
      </w:r>
      <w:r w:rsidR="00360F32">
        <w:t>Accordingly, the DMR does not satisfy the second requirement for a charge to be authorized under R.C. 4928.143(B)(2)(d)</w:t>
      </w:r>
      <w:r w:rsidR="007C4472">
        <w:t>.</w:t>
      </w:r>
    </w:p>
    <w:p w:rsidR="00920D13" w:rsidRDefault="007C4472" w:rsidP="00CC056C">
      <w:pPr>
        <w:spacing w:line="480" w:lineRule="auto"/>
      </w:pPr>
      <w:r>
        <w:tab/>
        <w:t xml:space="preserve">As to the third requirement, the DMR will not have the effect of stabilizing or providing certainty regarding retail electric service, in either a physical or financial sense.  </w:t>
      </w:r>
      <w:r w:rsidR="005E4EB9">
        <w:t>Physically, DP&amp;L has filed testimony demonstrating that its distribution reliability meets all of the applicable</w:t>
      </w:r>
      <w:r w:rsidR="00F714DC">
        <w:t xml:space="preserve"> reliability</w:t>
      </w:r>
      <w:r w:rsidR="005E4EB9">
        <w:t xml:space="preserve"> requirements.</w:t>
      </w:r>
      <w:r w:rsidR="00F714DC">
        <w:rPr>
          <w:rStyle w:val="FootnoteReference"/>
        </w:rPr>
        <w:footnoteReference w:id="46"/>
      </w:r>
      <w:r w:rsidR="005E4EB9">
        <w:t xml:space="preserve">  </w:t>
      </w:r>
      <w:r w:rsidR="005D5D13">
        <w:t xml:space="preserve">DP&amp;L has not offered any testimony indicating that the physical supply of electricity will be more certain or more stable with the DMR.  </w:t>
      </w:r>
      <w:r w:rsidR="00920D13">
        <w:t xml:space="preserve">DP&amp;L also projects that it will have a </w:t>
      </w:r>
      <w:r w:rsidR="00026D92">
        <w:rPr>
          <w:noProof/>
          <w:color w:val="000000"/>
          <w:highlight w:val="black"/>
        </w:rPr>
        <w:t>''''''''''''''''''''</w:t>
      </w:r>
      <w:r w:rsidR="00920D13">
        <w:t xml:space="preserve"> net income each year of the proposed ESP, and a net income of </w:t>
      </w:r>
      <w:r w:rsidR="00026D92">
        <w:rPr>
          <w:noProof/>
          <w:color w:val="000000"/>
          <w:highlight w:val="black"/>
        </w:rPr>
        <w:t>''''''''''''' ''''''''''''''''</w:t>
      </w:r>
      <w:r w:rsidR="00920D13">
        <w:t xml:space="preserve"> over the term of the ESP after making the necessary ongoing capital and </w:t>
      </w:r>
      <w:r w:rsidR="00C364BF">
        <w:t>operations and maintenance (“</w:t>
      </w:r>
      <w:r w:rsidR="00920D13">
        <w:t>O&amp;M</w:t>
      </w:r>
      <w:r w:rsidR="00C364BF">
        <w:t>”)</w:t>
      </w:r>
      <w:r w:rsidR="00920D13">
        <w:t xml:space="preserve"> investments in its distribution system.  DP&amp;L has also proposed a Distribution Investment Rider </w:t>
      </w:r>
      <w:r w:rsidR="00EE1DCA">
        <w:t xml:space="preserve">(“DIR”) </w:t>
      </w:r>
      <w:r w:rsidR="00920D13">
        <w:t>that</w:t>
      </w:r>
      <w:r w:rsidR="00EE1DCA">
        <w:t>,</w:t>
      </w:r>
      <w:r w:rsidR="00920D13">
        <w:t xml:space="preserve"> if approved</w:t>
      </w:r>
      <w:r w:rsidR="00EE1DCA">
        <w:t>,</w:t>
      </w:r>
      <w:r w:rsidR="00920D13">
        <w:t xml:space="preserve"> would allow DP&amp;L to recoup</w:t>
      </w:r>
      <w:r w:rsidR="00BE6B83">
        <w:t>,</w:t>
      </w:r>
      <w:r w:rsidR="00920D13">
        <w:t xml:space="preserve"> on an expedited basis, investments in its distribution system</w:t>
      </w:r>
      <w:r w:rsidR="00763779">
        <w:t xml:space="preserve"> and thus maintain the reliability of the distribution system</w:t>
      </w:r>
      <w:r w:rsidR="00920D13">
        <w:t>.</w:t>
      </w:r>
      <w:r w:rsidR="00532649">
        <w:rPr>
          <w:rStyle w:val="FootnoteReference"/>
        </w:rPr>
        <w:footnoteReference w:id="47"/>
      </w:r>
      <w:r w:rsidR="00920D13">
        <w:t xml:space="preserve">  Thus, DP&amp;L’s </w:t>
      </w:r>
      <w:r w:rsidR="00DF548B">
        <w:t>pleadings</w:t>
      </w:r>
      <w:r w:rsidR="00920D13">
        <w:t xml:space="preserve"> cannot support a finding that the DMR will result in a more stable or certain physical delivery of electricity.</w:t>
      </w:r>
    </w:p>
    <w:p w:rsidR="00CC056C" w:rsidRDefault="00920D13" w:rsidP="008D2B4F">
      <w:pPr>
        <w:spacing w:line="480" w:lineRule="auto"/>
      </w:pPr>
      <w:r>
        <w:tab/>
        <w:t xml:space="preserve">DP&amp;L’s Amended Application and prefiled testimony also fails to </w:t>
      </w:r>
      <w:r w:rsidR="00B40695">
        <w:t xml:space="preserve">set forth facts that would support a finding that customers’ bills would be more stable or certain.  DP&amp;L has proposed a number of placeholder riders </w:t>
      </w:r>
      <w:r w:rsidR="00981A88">
        <w:t>with unknown costs and unknown rates that will vary with true-ups over the term of the proposed ESP</w:t>
      </w:r>
      <w:r w:rsidR="00EE1DCA">
        <w:t xml:space="preserve"> [</w:t>
      </w:r>
      <w:r w:rsidR="00B40695">
        <w:t xml:space="preserve">the </w:t>
      </w:r>
      <w:r w:rsidR="00EE1DCA">
        <w:t>Regulatory Compliance Rider (“</w:t>
      </w:r>
      <w:r w:rsidR="00B40695">
        <w:t>RCR</w:t>
      </w:r>
      <w:r w:rsidR="00EE1DCA">
        <w:t>”)</w:t>
      </w:r>
      <w:r w:rsidR="00B40695">
        <w:t xml:space="preserve">, </w:t>
      </w:r>
      <w:r w:rsidR="00EE1DCA">
        <w:t>Uncollectible Rider (“</w:t>
      </w:r>
      <w:r w:rsidR="00B40695">
        <w:t>UEX</w:t>
      </w:r>
      <w:r w:rsidR="00EE1DCA">
        <w:t>”)</w:t>
      </w:r>
      <w:r w:rsidR="00B40695">
        <w:t xml:space="preserve">, </w:t>
      </w:r>
      <w:r w:rsidR="00EE1DCA">
        <w:t>Storm Cost Recovery Rider (“</w:t>
      </w:r>
      <w:r w:rsidR="00B40695">
        <w:t>Storm Rider</w:t>
      </w:r>
      <w:r w:rsidR="00EE1DCA">
        <w:t>”)</w:t>
      </w:r>
      <w:r w:rsidR="00B40695">
        <w:t>,</w:t>
      </w:r>
      <w:r w:rsidR="000F21CF">
        <w:t xml:space="preserve"> </w:t>
      </w:r>
      <w:r w:rsidR="00F31D11">
        <w:t>and the</w:t>
      </w:r>
      <w:r w:rsidR="00B40695">
        <w:t xml:space="preserve"> </w:t>
      </w:r>
      <w:r w:rsidR="00763779">
        <w:t>Clean Energy Rider (“</w:t>
      </w:r>
      <w:r w:rsidR="00B40695">
        <w:t>CER</w:t>
      </w:r>
      <w:r w:rsidR="00763779">
        <w:t>”)</w:t>
      </w:r>
      <w:r w:rsidR="00411075">
        <w:t>],</w:t>
      </w:r>
      <w:r w:rsidR="00981A88">
        <w:rPr>
          <w:rStyle w:val="FootnoteReference"/>
        </w:rPr>
        <w:footnoteReference w:id="48"/>
      </w:r>
      <w:r w:rsidR="00B40695">
        <w:t xml:space="preserve"> has proposed additional riders that provide for ongoing true-ups and adjustments (</w:t>
      </w:r>
      <w:r w:rsidR="000F21CF">
        <w:rPr>
          <w:i/>
        </w:rPr>
        <w:t>i.e.</w:t>
      </w:r>
      <w:r w:rsidR="000F21CF">
        <w:t xml:space="preserve"> </w:t>
      </w:r>
      <w:r w:rsidR="00C07813">
        <w:t>Reconciliation Rider or “</w:t>
      </w:r>
      <w:r w:rsidR="00B40695">
        <w:t>RR</w:t>
      </w:r>
      <w:r w:rsidR="00C07813">
        <w:t>”</w:t>
      </w:r>
      <w:r w:rsidR="00B40695">
        <w:t>),</w:t>
      </w:r>
      <w:r w:rsidR="00981A88">
        <w:rPr>
          <w:rStyle w:val="FootnoteReference"/>
        </w:rPr>
        <w:footnoteReference w:id="49"/>
      </w:r>
      <w:r w:rsidR="00B40695">
        <w:t xml:space="preserve"> and has requested blanket authorization in the Amended Application for authority to propose any additional charge</w:t>
      </w:r>
      <w:r w:rsidR="00C935C5">
        <w:t>s to address any change in law, rule, or regulatory ruling without the need to file a new ESP application.</w:t>
      </w:r>
      <w:r w:rsidR="00981A88">
        <w:rPr>
          <w:rStyle w:val="FootnoteReference"/>
        </w:rPr>
        <w:footnoteReference w:id="50"/>
      </w:r>
      <w:r w:rsidR="00C935C5">
        <w:t xml:space="preserve">  All of these charges will inject </w:t>
      </w:r>
      <w:r w:rsidR="0027438A">
        <w:t>uncertainty</w:t>
      </w:r>
      <w:r w:rsidR="00C935C5">
        <w:t xml:space="preserve"> and instability in customers’ bills.  The DMR, as proposed, </w:t>
      </w:r>
      <w:r w:rsidR="0027438A">
        <w:t xml:space="preserve">will be a fixed </w:t>
      </w:r>
      <w:r w:rsidR="00FA27F1">
        <w:t>rate</w:t>
      </w:r>
      <w:r w:rsidR="0027438A">
        <w:t xml:space="preserve"> </w:t>
      </w:r>
      <w:r w:rsidR="00FA27F1">
        <w:t xml:space="preserve">for </w:t>
      </w:r>
      <w:r w:rsidR="00E822F0">
        <w:t xml:space="preserve">seven </w:t>
      </w:r>
      <w:r w:rsidR="00FA27F1">
        <w:t xml:space="preserve">years </w:t>
      </w:r>
      <w:r w:rsidR="0027438A">
        <w:t>designed to produce $145 million annually</w:t>
      </w:r>
      <w:r w:rsidR="00FA27F1">
        <w:t>, or $1.015 billion over the term of the ESP</w:t>
      </w:r>
      <w:r w:rsidR="0027438A">
        <w:t>.</w:t>
      </w:r>
      <w:r w:rsidR="00FA27F1">
        <w:rPr>
          <w:rStyle w:val="FootnoteReference"/>
        </w:rPr>
        <w:footnoteReference w:id="51"/>
      </w:r>
      <w:r w:rsidR="0027438A">
        <w:t xml:space="preserve">  The DMR will do nothing to reduce the instability and uncertainty that DP&amp;L’s Amended Application intends to force upon customers</w:t>
      </w:r>
      <w:r w:rsidR="00FA27F1">
        <w:t xml:space="preserve"> through a variety of charges with rates that will vary throughout the term of the ESP</w:t>
      </w:r>
      <w:r w:rsidR="0027438A">
        <w:t xml:space="preserve">.  The DMR will </w:t>
      </w:r>
      <w:r w:rsidR="00FA27F1">
        <w:t xml:space="preserve">simply increase customers’ bills.  </w:t>
      </w:r>
    </w:p>
    <w:p w:rsidR="00FA27F1" w:rsidRDefault="00FA27F1" w:rsidP="008D2B4F">
      <w:pPr>
        <w:spacing w:line="480" w:lineRule="auto"/>
      </w:pPr>
      <w:r>
        <w:tab/>
        <w:t>Accordingly, the DMR does not satisfy the requirements of R.C. 4928.143(B)(2)(d).</w:t>
      </w:r>
    </w:p>
    <w:p w:rsidR="004C44C0" w:rsidRDefault="004C44C0" w:rsidP="004016C5">
      <w:pPr>
        <w:pStyle w:val="Heading3"/>
      </w:pPr>
      <w:bookmarkStart w:id="13" w:name="_Toc467485519"/>
      <w:r>
        <w:t>The DMR does not meet the requirements of R.C. 4928.143(B)(2)(h).</w:t>
      </w:r>
      <w:bookmarkEnd w:id="13"/>
    </w:p>
    <w:p w:rsidR="00CB0585" w:rsidRDefault="008D2B4F" w:rsidP="00CB0585">
      <w:pPr>
        <w:spacing w:line="480" w:lineRule="auto"/>
      </w:pPr>
      <w:r>
        <w:tab/>
        <w:t>R.C. 4928.143(B)(2)(h) authorizes the Commission to include provisions regarding an EDU’s distribution service.  The provisions must relate to “single issue ratemaking, a revenue decoupling mechanism or any other incentive ratemaking</w:t>
      </w:r>
      <w:r w:rsidR="00CB0585">
        <w:t>,” or</w:t>
      </w:r>
      <w:r>
        <w:t xml:space="preserve"> </w:t>
      </w:r>
      <w:r w:rsidR="00CB0585">
        <w:t>to “</w:t>
      </w:r>
      <w:r>
        <w:t>distribution infrastructure and modernization incentives for the electric distribution utility</w:t>
      </w:r>
      <w:r w:rsidR="00CB0585">
        <w:t>.”  Before a charge under this provision may be authorized</w:t>
      </w:r>
      <w:r w:rsidR="00EC6C0C">
        <w:t>,</w:t>
      </w:r>
      <w:r w:rsidR="00CB0585">
        <w:t xml:space="preserve"> the Commission “shall examine the reliability of the electric distribution utility's distribution system and ensure that customers' and the electric distribution utility's expectations are aligned and that the electric distribution utility is placing sufficient emphasis on and dedicating sufficient resources to the reliability of its distribution system.”  The DMR does not meet these requirements.</w:t>
      </w:r>
    </w:p>
    <w:p w:rsidR="0059366F" w:rsidRDefault="00CB0585" w:rsidP="00CB0585">
      <w:pPr>
        <w:spacing w:line="480" w:lineRule="auto"/>
      </w:pPr>
      <w:r>
        <w:tab/>
        <w:t xml:space="preserve">As noted above, DP&amp;L proposes to use over </w:t>
      </w:r>
      <w:r w:rsidR="00026D92">
        <w:rPr>
          <w:noProof/>
          <w:color w:val="000000"/>
          <w:highlight w:val="black"/>
        </w:rPr>
        <w:t>''''''''''''</w:t>
      </w:r>
      <w:r>
        <w:t xml:space="preserve"> of the DMR revenue to pay down acquisition debt on DPL Inc.’s books and to pay down DP&amp;L’s </w:t>
      </w:r>
      <w:r w:rsidR="00527335">
        <w:t>generation-related</w:t>
      </w:r>
      <w:r w:rsidR="00D11AA6">
        <w:t xml:space="preserve"> debt</w:t>
      </w:r>
      <w:r>
        <w:t xml:space="preserve">.  </w:t>
      </w:r>
      <w:r w:rsidR="0059366F">
        <w:t>Paying down debt is not among the enumerated items</w:t>
      </w:r>
      <w:r w:rsidR="007A1C68">
        <w:t xml:space="preserve"> permissible under</w:t>
      </w:r>
      <w:r w:rsidR="0059366F">
        <w:t xml:space="preserve"> (B)(2)(h) </w:t>
      </w:r>
      <w:r w:rsidR="007A1C68">
        <w:t xml:space="preserve">and is </w:t>
      </w:r>
      <w:r w:rsidR="0059366F">
        <w:t xml:space="preserve">entirely unrelated to distribution service.  </w:t>
      </w:r>
    </w:p>
    <w:p w:rsidR="00BE07D0" w:rsidRDefault="0059366F" w:rsidP="00451214">
      <w:pPr>
        <w:spacing w:line="480" w:lineRule="auto"/>
      </w:pPr>
      <w:r>
        <w:tab/>
        <w:t xml:space="preserve">Although DP&amp;L acknowledges that it may use </w:t>
      </w:r>
      <w:r w:rsidR="00BE07D0">
        <w:t>a small portion of the DMR revenue</w:t>
      </w:r>
      <w:r w:rsidR="00E12921">
        <w:t xml:space="preserve"> for distribution modernization initiatives</w:t>
      </w:r>
      <w:r w:rsidR="00BE07D0">
        <w:t xml:space="preserve">, the proposed structure of the DMR is inconsistent with </w:t>
      </w:r>
      <w:r w:rsidR="00AB3D37">
        <w:t xml:space="preserve">the </w:t>
      </w:r>
      <w:r w:rsidR="00BE07D0">
        <w:t>Commission</w:t>
      </w:r>
      <w:r w:rsidR="00AB3D37">
        <w:t>’s</w:t>
      </w:r>
      <w:r w:rsidR="00BE07D0">
        <w:t xml:space="preserve"> requirements for a distribution charge.</w:t>
      </w:r>
      <w:r w:rsidR="002F5CE4">
        <w:rPr>
          <w:rStyle w:val="FootnoteReference"/>
        </w:rPr>
        <w:footnoteReference w:id="52"/>
      </w:r>
      <w:r w:rsidR="00BE07D0">
        <w:t xml:space="preserve">  </w:t>
      </w:r>
      <w:r w:rsidR="00C4004F">
        <w:t>As the Commission held</w:t>
      </w:r>
      <w:r w:rsidR="009550E7">
        <w:t xml:space="preserve"> in </w:t>
      </w:r>
      <w:r w:rsidR="009550E7" w:rsidRPr="0023785E">
        <w:rPr>
          <w:i/>
        </w:rPr>
        <w:t xml:space="preserve">AEP’s ESP I </w:t>
      </w:r>
      <w:r w:rsidR="00EC6C0C" w:rsidRPr="0023785E">
        <w:rPr>
          <w:i/>
        </w:rPr>
        <w:t>C</w:t>
      </w:r>
      <w:r w:rsidR="009550E7" w:rsidRPr="0023785E">
        <w:rPr>
          <w:i/>
        </w:rPr>
        <w:t>ase</w:t>
      </w:r>
      <w:r w:rsidR="009550E7">
        <w:t>, that distribution charges authorized under R.C. 4928.143(B)(2)(h) must “be based upon the electric utility’s prudently incurred costs.”</w:t>
      </w:r>
      <w:r w:rsidR="009550E7">
        <w:rPr>
          <w:rStyle w:val="FootnoteReference"/>
        </w:rPr>
        <w:footnoteReference w:id="53"/>
      </w:r>
      <w:r w:rsidR="009550E7">
        <w:t xml:space="preserve">  To do otherwise, the Commission held, would simply provide the EDU with a “blank check</w:t>
      </w:r>
      <w:r w:rsidR="001C4A02">
        <w:t>,</w:t>
      </w:r>
      <w:r w:rsidR="009550E7">
        <w:t>”</w:t>
      </w:r>
      <w:r w:rsidR="001C4A02">
        <w:t xml:space="preserve"> an </w:t>
      </w:r>
      <w:r w:rsidR="002368DD">
        <w:t>outcome</w:t>
      </w:r>
      <w:r w:rsidR="001C4A02">
        <w:t xml:space="preserve"> the Commission concluded was inconsistent with SB 221.</w:t>
      </w:r>
      <w:r w:rsidR="001C4A02">
        <w:rPr>
          <w:rStyle w:val="FootnoteReference"/>
        </w:rPr>
        <w:footnoteReference w:id="54"/>
      </w:r>
      <w:r w:rsidR="001C4A02">
        <w:t xml:space="preserve">  Similarly, in </w:t>
      </w:r>
      <w:r w:rsidR="001C4A02" w:rsidRPr="00F30673">
        <w:rPr>
          <w:i/>
        </w:rPr>
        <w:t>FirstEnergy’s ESP I Case</w:t>
      </w:r>
      <w:r w:rsidR="001C4A02">
        <w:t xml:space="preserve">, the Commission held that a distribution charge under (B)(2)(h) </w:t>
      </w:r>
      <w:r w:rsidR="00EC6C0C">
        <w:t xml:space="preserve">should not be approved </w:t>
      </w:r>
      <w:r w:rsidR="00745779">
        <w:t>“unless it is based on a reasonable, forward-looking modernization program and prudently incurred costs.”</w:t>
      </w:r>
      <w:r w:rsidR="00745779">
        <w:rPr>
          <w:rStyle w:val="FootnoteReference"/>
        </w:rPr>
        <w:footnoteReference w:id="55"/>
      </w:r>
    </w:p>
    <w:p w:rsidR="00323CE2" w:rsidRDefault="00323CE2" w:rsidP="00451214">
      <w:pPr>
        <w:spacing w:line="480" w:lineRule="auto"/>
      </w:pPr>
      <w:r>
        <w:tab/>
        <w:t xml:space="preserve">DP&amp;L has not filed a forward-looking modernization </w:t>
      </w:r>
      <w:r w:rsidR="00C4004F">
        <w:t xml:space="preserve">plan </w:t>
      </w:r>
      <w:r>
        <w:t xml:space="preserve">as part of this ESP, or in any other docket.  As part of its last ESP decision, the Commission conditioned the extension of the SSR-E on DP&amp;L filing a grid modernization program by </w:t>
      </w:r>
      <w:r w:rsidR="00527335">
        <w:t xml:space="preserve">July 1, 2014.  </w:t>
      </w:r>
      <w:r w:rsidR="0072757D">
        <w:t xml:space="preserve">DP&amp;L did not file a grid modernization plan by </w:t>
      </w:r>
      <w:r w:rsidR="00527335">
        <w:t>July 1, 2014</w:t>
      </w:r>
      <w:r w:rsidR="0072757D">
        <w:t>, and has not since filed any such plan.</w:t>
      </w:r>
    </w:p>
    <w:p w:rsidR="0072757D" w:rsidRDefault="0072757D" w:rsidP="00451214">
      <w:pPr>
        <w:spacing w:line="480" w:lineRule="auto"/>
      </w:pPr>
      <w:r>
        <w:tab/>
        <w:t xml:space="preserve">Moreover, the DMR is not based on any prudently incurred costs of DP&amp;L. </w:t>
      </w:r>
      <w:r w:rsidR="00D11AA6">
        <w:t xml:space="preserve"> </w:t>
      </w:r>
      <w:r w:rsidR="00AB3D37">
        <w:t xml:space="preserve">Based on </w:t>
      </w:r>
      <w:r w:rsidR="00B44906">
        <w:t>Commission precedent, therefore, there is no authority to authorize the DMR</w:t>
      </w:r>
      <w:r w:rsidR="00E0320F">
        <w:t xml:space="preserve"> under R.C. 4928.143(B)(2)(h)</w:t>
      </w:r>
      <w:r w:rsidR="00B44906">
        <w:t>.</w:t>
      </w:r>
    </w:p>
    <w:p w:rsidR="003C4138" w:rsidRDefault="004016C5" w:rsidP="004016C5">
      <w:pPr>
        <w:pStyle w:val="Heading3"/>
      </w:pPr>
      <w:bookmarkStart w:id="14" w:name="_Toc467485520"/>
      <w:r>
        <w:t xml:space="preserve">The DMR does not </w:t>
      </w:r>
      <w:r w:rsidR="004C44C0">
        <w:t>meet the requirements of the remaining provisions of R.C. 4928.143(B)(2).</w:t>
      </w:r>
      <w:bookmarkEnd w:id="14"/>
    </w:p>
    <w:p w:rsidR="004C44C0" w:rsidRDefault="00BB11D2" w:rsidP="002B6FD9">
      <w:pPr>
        <w:spacing w:line="480" w:lineRule="auto"/>
      </w:pPr>
      <w:r>
        <w:tab/>
        <w:t xml:space="preserve">The DMR does not </w:t>
      </w:r>
      <w:r w:rsidR="00683FEC">
        <w:t>satisfy any of the remaining provisions of R.C. 4928.143(B)(2)</w:t>
      </w:r>
      <w:r w:rsidR="00F60226">
        <w:t>.</w:t>
      </w:r>
    </w:p>
    <w:p w:rsidR="00B0247E" w:rsidRDefault="00B0247E" w:rsidP="002B6FD9">
      <w:pPr>
        <w:spacing w:line="480" w:lineRule="auto"/>
      </w:pPr>
      <w:r>
        <w:tab/>
      </w:r>
      <w:r w:rsidR="00F60226">
        <w:t xml:space="preserve">Division </w:t>
      </w:r>
      <w:r>
        <w:t xml:space="preserve">(a) </w:t>
      </w:r>
      <w:r w:rsidR="00F60226">
        <w:t xml:space="preserve">of R.C. 4928.143(B)(2) </w:t>
      </w:r>
      <w:r w:rsidR="00362316">
        <w:t>authorizes a provision of an ESP for</w:t>
      </w:r>
      <w:r>
        <w:t xml:space="preserve"> </w:t>
      </w:r>
      <w:r w:rsidR="007E6013">
        <w:t>“</w:t>
      </w:r>
      <w:r w:rsidR="00252B8D">
        <w:t>[</w:t>
      </w:r>
      <w:r w:rsidR="007E6013">
        <w:t>a</w:t>
      </w:r>
      <w:r w:rsidR="00252B8D">
        <w:t>]</w:t>
      </w:r>
      <w:r w:rsidR="007E6013">
        <w:t>utomatic recovery of any of the following costs of the electric distribution utility, provided the cost is prudently incurred: the cost of fuel used to generate the electricity supplied under the offer; the cost of purchased power supplied under the offer, including the cost of energy and capacity, and including purchased power acquired from an affiliate; the cost of emission allowances; and the cost of federally mandated carbon or energy taxes.”  The DMR is not related to the recovery of any</w:t>
      </w:r>
      <w:r w:rsidR="00F60226">
        <w:t xml:space="preserve"> power-related</w:t>
      </w:r>
      <w:r w:rsidR="007E6013">
        <w:t xml:space="preserve"> costs of DP&amp;L.</w:t>
      </w:r>
    </w:p>
    <w:p w:rsidR="008D69D8" w:rsidRDefault="008D69D8" w:rsidP="002B6FD9">
      <w:pPr>
        <w:spacing w:line="480" w:lineRule="auto"/>
      </w:pPr>
      <w:r>
        <w:tab/>
      </w:r>
      <w:r w:rsidR="00F60226">
        <w:t xml:space="preserve">Divisions </w:t>
      </w:r>
      <w:r w:rsidR="007E6013">
        <w:t xml:space="preserve">(b) and (c) </w:t>
      </w:r>
      <w:r w:rsidR="00F60226">
        <w:t xml:space="preserve">of R.C. 4928.143(B)(2) </w:t>
      </w:r>
      <w:r w:rsidR="007E6013">
        <w:t xml:space="preserve">authorize the recovery of costs </w:t>
      </w:r>
      <w:r w:rsidR="00B0306E">
        <w:t>associated with the</w:t>
      </w:r>
      <w:r w:rsidR="007E6013">
        <w:t xml:space="preserve"> construction of an electri</w:t>
      </w:r>
      <w:r w:rsidR="00B0306E">
        <w:t xml:space="preserve">c generating facility upon a finding </w:t>
      </w:r>
      <w:r w:rsidR="00CA6098">
        <w:t>that the facility is needed and was sourced through a competitive bidding process</w:t>
      </w:r>
      <w:r w:rsidR="007E530F">
        <w:t xml:space="preserve"> among other requirements</w:t>
      </w:r>
      <w:r w:rsidR="00CA6098">
        <w:t>.  The DMR is a non-cost</w:t>
      </w:r>
      <w:r w:rsidR="00252B8D">
        <w:t>-</w:t>
      </w:r>
      <w:r w:rsidR="00CA6098">
        <w:t>based revenue supplement unrelated to the construction of any generation facility that would qualify for recovery under these provisions.</w:t>
      </w:r>
    </w:p>
    <w:p w:rsidR="00CA6098" w:rsidRDefault="00CA6098" w:rsidP="002B6FD9">
      <w:pPr>
        <w:spacing w:line="480" w:lineRule="auto"/>
      </w:pPr>
      <w:r>
        <w:tab/>
      </w:r>
      <w:r w:rsidR="00F60226">
        <w:t xml:space="preserve">Division </w:t>
      </w:r>
      <w:r>
        <w:t xml:space="preserve">(e) </w:t>
      </w:r>
      <w:r w:rsidR="00F60226">
        <w:t xml:space="preserve">of R.C. 4928.143(B)(2) </w:t>
      </w:r>
      <w:r>
        <w:t>authorizes automatic increases or decreases in any component of the SSO price.  However, the underlying component of the ESP would have to be independently authorized by the remaining provisions of R.C. 4928.143(B)(2).  The DMR is not a current component of the ESP and is not authorized</w:t>
      </w:r>
      <w:r w:rsidR="007D5704">
        <w:t xml:space="preserve"> by another other provision</w:t>
      </w:r>
      <w:r w:rsidR="00252B8D">
        <w:t>.</w:t>
      </w:r>
    </w:p>
    <w:p w:rsidR="00B92A95" w:rsidRDefault="00B92A95" w:rsidP="002B6FD9">
      <w:pPr>
        <w:spacing w:line="480" w:lineRule="auto"/>
      </w:pPr>
      <w:r>
        <w:tab/>
      </w:r>
      <w:r w:rsidR="00F60226">
        <w:t xml:space="preserve">Division </w:t>
      </w:r>
      <w:r>
        <w:t xml:space="preserve">(f) </w:t>
      </w:r>
      <w:r w:rsidR="00F60226">
        <w:t xml:space="preserve">of R.C. 4928.143(B)(2) </w:t>
      </w:r>
      <w:r>
        <w:t>authorizes an ESP to include provisions relat</w:t>
      </w:r>
      <w:r w:rsidR="00E7007E">
        <w:t>ed to the securitization</w:t>
      </w:r>
      <w:r w:rsidR="00EC5DC8">
        <w:t xml:space="preserve"> of phase-in costs under R.C. 4928.23 to 4928.2318.  The DMR is not related to the securitization of any phase-in costs.</w:t>
      </w:r>
    </w:p>
    <w:p w:rsidR="00EC5DC8" w:rsidRDefault="00EC5DC8" w:rsidP="002B6FD9">
      <w:pPr>
        <w:spacing w:line="480" w:lineRule="auto"/>
      </w:pPr>
      <w:r>
        <w:tab/>
      </w:r>
      <w:r w:rsidR="00F60226">
        <w:t xml:space="preserve">Division </w:t>
      </w:r>
      <w:r>
        <w:t xml:space="preserve">(g) </w:t>
      </w:r>
      <w:r w:rsidR="00F60226">
        <w:t xml:space="preserve">of R.C. 4928.143(B)(2) </w:t>
      </w:r>
      <w:r>
        <w:t xml:space="preserve">authorizes an ESP to include provisions relating to transmission, ancillary, congestion, or any related </w:t>
      </w:r>
      <w:r w:rsidR="005743CC">
        <w:t xml:space="preserve">service required </w:t>
      </w:r>
      <w:r>
        <w:t xml:space="preserve">for the SSO.  The DMR is not related to any </w:t>
      </w:r>
      <w:r w:rsidR="005743CC">
        <w:t xml:space="preserve">retail electric service or </w:t>
      </w:r>
      <w:r>
        <w:t>cost</w:t>
      </w:r>
      <w:r w:rsidR="00252B8D">
        <w:t>,</w:t>
      </w:r>
      <w:r>
        <w:t xml:space="preserve"> let alone </w:t>
      </w:r>
      <w:r w:rsidR="005743CC">
        <w:t>the services identified in this provision</w:t>
      </w:r>
      <w:r w:rsidR="00565771">
        <w:t>.</w:t>
      </w:r>
    </w:p>
    <w:p w:rsidR="00565771" w:rsidRDefault="00565771" w:rsidP="002B6FD9">
      <w:pPr>
        <w:spacing w:line="480" w:lineRule="auto"/>
      </w:pPr>
      <w:r>
        <w:tab/>
      </w:r>
      <w:r w:rsidR="00F60226">
        <w:t xml:space="preserve">Division </w:t>
      </w:r>
      <w:r>
        <w:t xml:space="preserve">(i) </w:t>
      </w:r>
      <w:r w:rsidR="00F60226">
        <w:t xml:space="preserve">of R.C. 4928.143(B)(2) </w:t>
      </w:r>
      <w:r>
        <w:t>authorize</w:t>
      </w:r>
      <w:r w:rsidR="00252B8D">
        <w:t>s</w:t>
      </w:r>
      <w:r>
        <w:t xml:space="preserve"> an ESP to include provision</w:t>
      </w:r>
      <w:r w:rsidR="00D11AA6">
        <w:t>s</w:t>
      </w:r>
      <w:r>
        <w:t xml:space="preserve"> related to “economic development, job retention, and energy efficiency programs, which provisions may allocate program costs across all classes of customers of the utility and those of electric distribution utilities in the same holding company system.”  The DMR is related to paying down debt.  DP&amp;L has not </w:t>
      </w:r>
      <w:r w:rsidR="00006100">
        <w:t xml:space="preserve">set forth </w:t>
      </w:r>
      <w:r>
        <w:t xml:space="preserve">any claims in its Amended Application or </w:t>
      </w:r>
      <w:r w:rsidR="0059552C">
        <w:t xml:space="preserve">prefiled testimony that the DMR </w:t>
      </w:r>
      <w:r w:rsidR="00252B8D">
        <w:t xml:space="preserve">will </w:t>
      </w:r>
      <w:r w:rsidR="0059552C">
        <w:t>result in economic development, job retention, or is related to energy efficien</w:t>
      </w:r>
      <w:r w:rsidR="002B6FD9">
        <w:t>c</w:t>
      </w:r>
      <w:r w:rsidR="0059552C">
        <w:t xml:space="preserve">y programs.  The DMR would actually be counter to economic development </w:t>
      </w:r>
      <w:r w:rsidR="002E6BC4">
        <w:t xml:space="preserve">and job retention </w:t>
      </w:r>
      <w:r w:rsidR="00006100">
        <w:t>because</w:t>
      </w:r>
      <w:r w:rsidR="0059552C">
        <w:t xml:space="preserve"> its load </w:t>
      </w:r>
      <w:r w:rsidR="00362316">
        <w:t>includes</w:t>
      </w:r>
      <w:r w:rsidR="0059552C">
        <w:t xml:space="preserve"> price</w:t>
      </w:r>
      <w:r w:rsidR="003E6031">
        <w:t xml:space="preserve"> </w:t>
      </w:r>
      <w:r w:rsidR="0059552C">
        <w:t>sensitive commercial and industrial customers.</w:t>
      </w:r>
      <w:r w:rsidR="00006100">
        <w:rPr>
          <w:rStyle w:val="FootnoteReference"/>
        </w:rPr>
        <w:footnoteReference w:id="56"/>
      </w:r>
      <w:r w:rsidR="0059552C">
        <w:t xml:space="preserve">  Imposing another $1 billion plus in nonbypassable revenue support </w:t>
      </w:r>
      <w:r w:rsidR="00A94E41">
        <w:t>may very well lead to these price</w:t>
      </w:r>
      <w:r w:rsidR="003E6031">
        <w:t xml:space="preserve"> </w:t>
      </w:r>
      <w:r w:rsidR="00A94E41">
        <w:t xml:space="preserve">sensitive customers </w:t>
      </w:r>
      <w:r w:rsidR="0042785B">
        <w:t>limiting their electric usage</w:t>
      </w:r>
      <w:r w:rsidR="00A94E41">
        <w:t>, hardly an economic development or job retention initiative.  Further</w:t>
      </w:r>
      <w:r w:rsidR="00362316">
        <w:t>,</w:t>
      </w:r>
      <w:r w:rsidR="00A94E41">
        <w:t xml:space="preserve"> DP&amp;L offers nothing to suggest that the DMR is related in any way to energy efficiency programs, and has a separate pending application to implement an </w:t>
      </w:r>
      <w:r w:rsidR="003202F2">
        <w:t>energy efficiency and peak demand reduction (“</w:t>
      </w:r>
      <w:r w:rsidR="00A94E41">
        <w:t>EE/PDR</w:t>
      </w:r>
      <w:r w:rsidR="003202F2">
        <w:t>”)</w:t>
      </w:r>
      <w:r w:rsidR="00A94E41">
        <w:t xml:space="preserve"> plan for 2017-2019.</w:t>
      </w:r>
    </w:p>
    <w:p w:rsidR="0042785B" w:rsidRPr="004C44C0" w:rsidRDefault="0042785B" w:rsidP="002B6FD9">
      <w:pPr>
        <w:spacing w:line="480" w:lineRule="auto"/>
      </w:pPr>
      <w:r>
        <w:tab/>
        <w:t>Accordingly, the DMR is not a provision that may be authorized in an ESP.</w:t>
      </w:r>
    </w:p>
    <w:p w:rsidR="003840AF" w:rsidRDefault="00EB3702" w:rsidP="003840AF">
      <w:pPr>
        <w:pStyle w:val="Heading2"/>
      </w:pPr>
      <w:bookmarkStart w:id="15" w:name="_Toc435422777"/>
      <w:bookmarkStart w:id="16" w:name="_Toc467485521"/>
      <w:r>
        <w:t xml:space="preserve">The Commission should dismiss the DMR </w:t>
      </w:r>
      <w:r w:rsidR="003202F2">
        <w:t xml:space="preserve">as </w:t>
      </w:r>
      <w:r w:rsidR="00493B03">
        <w:t>it would provide DP&amp;L with an anticompetitive subsidy</w:t>
      </w:r>
      <w:r>
        <w:t>.  R.C. 4928.02(H)</w:t>
      </w:r>
      <w:bookmarkEnd w:id="15"/>
      <w:r w:rsidR="004D0408">
        <w:t>.</w:t>
      </w:r>
      <w:bookmarkEnd w:id="16"/>
    </w:p>
    <w:p w:rsidR="00946074" w:rsidRDefault="00946074" w:rsidP="00946074">
      <w:pPr>
        <w:spacing w:line="480" w:lineRule="auto"/>
      </w:pPr>
      <w:r>
        <w:tab/>
        <w:t xml:space="preserve">R.C. 4928.02(H) provides that it is the policy of the State to ensure effective competition in the provision of retail electric service by avoiding anticompetitive subsidies flowing from a noncompetitive retail electric service to a competitive retail electric service or a product or service other than retail electric service or vice versa.  The DMR would violate this prohibition if authorized. </w:t>
      </w:r>
    </w:p>
    <w:p w:rsidR="00EB3702" w:rsidRDefault="00946074" w:rsidP="00946074">
      <w:pPr>
        <w:spacing w:line="480" w:lineRule="auto"/>
      </w:pPr>
      <w:r>
        <w:tab/>
        <w:t xml:space="preserve">The DMR is proposed as a nonbypassable rider and therefore would operate </w:t>
      </w:r>
      <w:r w:rsidR="00AB53F5">
        <w:t xml:space="preserve">as a distribution rider, </w:t>
      </w:r>
      <w:r w:rsidR="00AB53F5">
        <w:rPr>
          <w:i/>
        </w:rPr>
        <w:t>i.e.</w:t>
      </w:r>
      <w:r w:rsidR="00AB53F5">
        <w:t xml:space="preserve"> </w:t>
      </w:r>
      <w:r w:rsidR="005C556A">
        <w:t xml:space="preserve">it would be collected from all customers just as </w:t>
      </w:r>
      <w:r w:rsidR="00195000">
        <w:t>distribution</w:t>
      </w:r>
      <w:r w:rsidR="005C556A">
        <w:t xml:space="preserve"> services are.  Revenues would then be applied to pay down DPL Inc. debt</w:t>
      </w:r>
      <w:r w:rsidR="00963D21">
        <w:t xml:space="preserve"> and DP&amp;L’s generation-related debt</w:t>
      </w:r>
      <w:r w:rsidR="00AB53F5">
        <w:t xml:space="preserve">.  Debt repayment is not directly tied to any electric service and thus would be a product or service other than retail electric service.  As such, the </w:t>
      </w:r>
      <w:r w:rsidR="003202F2">
        <w:t>S</w:t>
      </w:r>
      <w:r w:rsidR="00AB53F5">
        <w:t>tate policy</w:t>
      </w:r>
      <w:r w:rsidR="004A7ABD">
        <w:t xml:space="preserve"> explicitly</w:t>
      </w:r>
      <w:r w:rsidR="00AB53F5">
        <w:t xml:space="preserve"> prohibits the </w:t>
      </w:r>
      <w:r w:rsidR="004A7ABD">
        <w:t xml:space="preserve">Commission from authorizing the DMR.  </w:t>
      </w:r>
    </w:p>
    <w:p w:rsidR="00836BA9" w:rsidRPr="00836BA9" w:rsidRDefault="00836BA9" w:rsidP="00836BA9">
      <w:pPr>
        <w:pStyle w:val="Heading2"/>
      </w:pPr>
      <w:bookmarkStart w:id="17" w:name="_Toc467485522"/>
      <w:r>
        <w:t>The Commission should dismiss the DMR because it would provide DP&amp;L with transition revenue or its equivalent.  R.C. 4928.141; R.C. 4928.38</w:t>
      </w:r>
      <w:r w:rsidR="004D0408">
        <w:t>.</w:t>
      </w:r>
      <w:bookmarkEnd w:id="17"/>
    </w:p>
    <w:p w:rsidR="00836BA9" w:rsidRDefault="0047076C" w:rsidP="00836BA9">
      <w:pPr>
        <w:spacing w:line="480" w:lineRule="auto"/>
      </w:pPr>
      <w:r>
        <w:tab/>
      </w:r>
      <w:r w:rsidR="003F6704">
        <w:t xml:space="preserve">The DMR will allow DP&amp;L to collect transition revenue or its equivalent.  </w:t>
      </w:r>
      <w:r w:rsidR="0028795C">
        <w:t>However, Ohio law, as confirmed by two recent Ohio Supreme Court cases, prohibits such an outcome.</w:t>
      </w:r>
      <w:r w:rsidR="00836BA9">
        <w:rPr>
          <w:rStyle w:val="FootnoteReference"/>
        </w:rPr>
        <w:footnoteReference w:id="57"/>
      </w:r>
      <w:r w:rsidR="00836BA9">
        <w:t xml:space="preserve">  </w:t>
      </w:r>
    </w:p>
    <w:p w:rsidR="00836BA9" w:rsidRDefault="00836BA9" w:rsidP="00836BA9">
      <w:pPr>
        <w:spacing w:line="480" w:lineRule="auto"/>
      </w:pPr>
      <w:r>
        <w:tab/>
      </w:r>
      <w:r>
        <w:rPr>
          <w:rFonts w:eastAsia="Times New Roman" w:cs="Times New Roman"/>
          <w:bCs/>
          <w:color w:val="000000"/>
        </w:rPr>
        <w:t xml:space="preserve">As the Court explained in </w:t>
      </w:r>
      <w:r>
        <w:rPr>
          <w:rFonts w:eastAsia="Times New Roman" w:cs="Times New Roman"/>
          <w:bCs/>
          <w:i/>
          <w:color w:val="000000"/>
        </w:rPr>
        <w:t>Columbus Southern</w:t>
      </w:r>
      <w:r>
        <w:rPr>
          <w:rFonts w:eastAsia="Times New Roman" w:cs="Times New Roman"/>
          <w:bCs/>
          <w:color w:val="000000"/>
        </w:rPr>
        <w:t>, “[u]tilities had until December 31, 2005 … to receive generation transition revenue … [and] were also permitted to receive transition revenue associated with regulatory assets … until December 31, 2010.”</w:t>
      </w:r>
      <w:r>
        <w:rPr>
          <w:rStyle w:val="FootnoteReference"/>
          <w:rFonts w:eastAsia="Times New Roman" w:cs="Times New Roman"/>
          <w:bCs/>
          <w:color w:val="000000"/>
        </w:rPr>
        <w:footnoteReference w:id="58"/>
      </w:r>
      <w:r>
        <w:rPr>
          <w:rFonts w:eastAsia="Times New Roman" w:cs="Times New Roman"/>
          <w:bCs/>
          <w:color w:val="000000"/>
        </w:rPr>
        <w:t xml:space="preserve">  “After that date, R.C. 4928.38 prohibits the commission from ‘authoriz[ing] the receipt of transition revenues or any equivalent revenues by an electric utility.’”</w:t>
      </w:r>
      <w:r>
        <w:rPr>
          <w:rStyle w:val="FootnoteReference"/>
          <w:rFonts w:eastAsia="Times New Roman" w:cs="Times New Roman"/>
          <w:bCs/>
          <w:color w:val="000000"/>
        </w:rPr>
        <w:footnoteReference w:id="59"/>
      </w:r>
      <w:r>
        <w:rPr>
          <w:rFonts w:eastAsia="Times New Roman" w:cs="Times New Roman"/>
          <w:bCs/>
          <w:color w:val="000000"/>
        </w:rPr>
        <w:t xml:space="preserve">  The Court also noted that subsequent legislation enacted in 2008 further “expressly prohibits the recovery of transition costs” under “a standard service offer made through an ESP.”</w:t>
      </w:r>
      <w:r>
        <w:rPr>
          <w:rStyle w:val="FootnoteReference"/>
          <w:rFonts w:eastAsia="Times New Roman" w:cs="Times New Roman"/>
          <w:bCs/>
          <w:color w:val="000000"/>
        </w:rPr>
        <w:footnoteReference w:id="60"/>
      </w:r>
      <w:r>
        <w:rPr>
          <w:rFonts w:eastAsia="Times New Roman" w:cs="Times New Roman"/>
          <w:bCs/>
          <w:color w:val="000000"/>
        </w:rPr>
        <w:t xml:space="preserve">  </w:t>
      </w:r>
    </w:p>
    <w:p w:rsidR="00836BA9" w:rsidRDefault="00836BA9" w:rsidP="00836BA9">
      <w:pPr>
        <w:spacing w:line="480" w:lineRule="auto"/>
        <w:rPr>
          <w:rFonts w:eastAsia="Times New Roman" w:cs="Times New Roman"/>
          <w:bCs/>
          <w:color w:val="000000"/>
        </w:rPr>
      </w:pPr>
      <w:r>
        <w:tab/>
      </w:r>
      <w:r>
        <w:rPr>
          <w:rFonts w:eastAsia="Times New Roman" w:cs="Times New Roman"/>
          <w:bCs/>
          <w:color w:val="000000"/>
        </w:rPr>
        <w:t xml:space="preserve">Turning to the record in the </w:t>
      </w:r>
      <w:r>
        <w:rPr>
          <w:rFonts w:eastAsia="Times New Roman" w:cs="Times New Roman"/>
          <w:bCs/>
          <w:i/>
          <w:color w:val="000000"/>
        </w:rPr>
        <w:t xml:space="preserve">Columbus Southern </w:t>
      </w:r>
      <w:r>
        <w:rPr>
          <w:rFonts w:eastAsia="Times New Roman" w:cs="Times New Roman"/>
          <w:bCs/>
          <w:color w:val="000000"/>
        </w:rPr>
        <w:t xml:space="preserve">case, the Court looked at the true nature of the challenged </w:t>
      </w:r>
      <w:r w:rsidR="00420054">
        <w:rPr>
          <w:rFonts w:eastAsia="Times New Roman" w:cs="Times New Roman"/>
          <w:bCs/>
          <w:color w:val="000000"/>
        </w:rPr>
        <w:t>Retail Stability Rider (“</w:t>
      </w:r>
      <w:r>
        <w:rPr>
          <w:rFonts w:eastAsia="Times New Roman" w:cs="Times New Roman"/>
          <w:bCs/>
          <w:color w:val="000000"/>
        </w:rPr>
        <w:t>RSR</w:t>
      </w:r>
      <w:r w:rsidR="00420054">
        <w:rPr>
          <w:rFonts w:eastAsia="Times New Roman" w:cs="Times New Roman"/>
          <w:bCs/>
          <w:color w:val="000000"/>
        </w:rPr>
        <w:t>”)</w:t>
      </w:r>
      <w:r>
        <w:rPr>
          <w:rFonts w:eastAsia="Times New Roman" w:cs="Times New Roman"/>
          <w:bCs/>
          <w:color w:val="000000"/>
        </w:rPr>
        <w:t xml:space="preserve"> charge to determine if it allowed the collection of transition revenue or its equivalent.  The Court found that AEP-Ohio “proposed the RSR as a means to ensure that the company was not financially harmed during its transition to a fully competitive generation market over the three-year ESP period.”</w:t>
      </w:r>
      <w:r>
        <w:rPr>
          <w:rStyle w:val="FootnoteReference"/>
          <w:rFonts w:eastAsia="Times New Roman" w:cs="Times New Roman"/>
          <w:bCs/>
          <w:color w:val="000000"/>
        </w:rPr>
        <w:footnoteReference w:id="61"/>
      </w:r>
      <w:r>
        <w:rPr>
          <w:rFonts w:eastAsia="Times New Roman" w:cs="Times New Roman"/>
          <w:bCs/>
          <w:color w:val="000000"/>
        </w:rPr>
        <w:t xml:space="preserve">  To achieve this result, AEP-Ohio requested that the Commission “guarantee recovery of lost revenue” through the RSR charge related to three sources of generation revenue:  retail nonfuel generation revenues, decreased capacity revenue, and revenue lost due to customer switching.</w:t>
      </w:r>
      <w:r>
        <w:rPr>
          <w:rStyle w:val="FootnoteReference"/>
          <w:rFonts w:eastAsia="Times New Roman" w:cs="Times New Roman"/>
          <w:bCs/>
          <w:color w:val="000000"/>
        </w:rPr>
        <w:footnoteReference w:id="62"/>
      </w:r>
      <w:r>
        <w:rPr>
          <w:rFonts w:eastAsia="Times New Roman" w:cs="Times New Roman"/>
          <w:bCs/>
          <w:color w:val="000000"/>
        </w:rPr>
        <w:t xml:space="preserve">  “According to [AEP-Ohio’s] witnesses, the RSR was designed to generate enough revenue for the company to achieve a certain rate of return on its generation assets as it transitions to full auction pricing for energy and capacity by June 2015.”</w:t>
      </w:r>
      <w:r>
        <w:rPr>
          <w:rStyle w:val="FootnoteReference"/>
          <w:rFonts w:eastAsia="Times New Roman" w:cs="Times New Roman"/>
          <w:bCs/>
          <w:color w:val="000000"/>
        </w:rPr>
        <w:footnoteReference w:id="63"/>
      </w:r>
      <w:r>
        <w:rPr>
          <w:rFonts w:eastAsia="Times New Roman" w:cs="Times New Roman"/>
          <w:bCs/>
          <w:color w:val="000000"/>
        </w:rPr>
        <w:t xml:space="preserve">  </w:t>
      </w:r>
    </w:p>
    <w:p w:rsidR="00836BA9" w:rsidRDefault="00836BA9" w:rsidP="00836BA9">
      <w:pPr>
        <w:spacing w:line="480" w:lineRule="auto"/>
        <w:rPr>
          <w:rFonts w:eastAsia="Times New Roman" w:cs="Times New Roman"/>
          <w:bCs/>
          <w:i/>
          <w:color w:val="000000"/>
        </w:rPr>
      </w:pPr>
      <w:r>
        <w:rPr>
          <w:rFonts w:eastAsia="Times New Roman" w:cs="Times New Roman"/>
          <w:bCs/>
          <w:color w:val="000000"/>
        </w:rPr>
        <w:tab/>
        <w:t>Based on the nature of AEP-Ohio’s RSR, the Court held that the record supported a finding that the Commission unlawfully authorized AEP-Ohio to collect transition revenue or its equivalent.</w:t>
      </w:r>
      <w:r>
        <w:rPr>
          <w:rStyle w:val="FootnoteReference"/>
          <w:rFonts w:eastAsia="Times New Roman" w:cs="Times New Roman"/>
          <w:bCs/>
          <w:color w:val="000000"/>
        </w:rPr>
        <w:footnoteReference w:id="64"/>
      </w:r>
      <w:r>
        <w:rPr>
          <w:rFonts w:eastAsia="Times New Roman" w:cs="Times New Roman"/>
          <w:bCs/>
          <w:color w:val="000000"/>
        </w:rPr>
        <w:t xml:space="preserve">  The Court found that the nature of the RSR served the same purpose as transition revenue:  both were designed to aid in transitioning to a competitive market.</w:t>
      </w:r>
      <w:r>
        <w:rPr>
          <w:rStyle w:val="FootnoteReference"/>
          <w:rFonts w:eastAsia="Times New Roman" w:cs="Times New Roman"/>
          <w:bCs/>
          <w:color w:val="000000"/>
        </w:rPr>
        <w:footnoteReference w:id="65"/>
      </w:r>
      <w:r>
        <w:rPr>
          <w:rFonts w:eastAsia="Times New Roman" w:cs="Times New Roman"/>
          <w:bCs/>
          <w:color w:val="000000"/>
        </w:rPr>
        <w:t xml:space="preserve">  The Court also noted that transition revenue represented costs that would not be recovered in a competitive market and the RSR provided AEP-Ohio with revenue lost in the competitive market.</w:t>
      </w:r>
      <w:r>
        <w:rPr>
          <w:rStyle w:val="FootnoteReference"/>
          <w:rFonts w:eastAsia="Times New Roman" w:cs="Times New Roman"/>
          <w:bCs/>
          <w:color w:val="000000"/>
        </w:rPr>
        <w:footnoteReference w:id="66"/>
      </w:r>
      <w:r>
        <w:rPr>
          <w:rFonts w:eastAsia="Times New Roman" w:cs="Times New Roman"/>
          <w:bCs/>
          <w:color w:val="000000"/>
        </w:rPr>
        <w:t xml:space="preserve">  “Based on [this] record</w:t>
      </w:r>
      <w:r w:rsidR="00D11AA6">
        <w:rPr>
          <w:rFonts w:eastAsia="Times New Roman" w:cs="Times New Roman"/>
          <w:bCs/>
          <w:color w:val="000000"/>
        </w:rPr>
        <w:t>,</w:t>
      </w:r>
      <w:r>
        <w:rPr>
          <w:rFonts w:eastAsia="Times New Roman" w:cs="Times New Roman"/>
          <w:bCs/>
          <w:color w:val="000000"/>
        </w:rPr>
        <w:t>” the Court concluded that AEP-Ohio’s RSR “recovers the equivalent of transition revenue ….”</w:t>
      </w:r>
      <w:r>
        <w:rPr>
          <w:rStyle w:val="FootnoteReference"/>
          <w:rFonts w:eastAsia="Times New Roman" w:cs="Times New Roman"/>
          <w:bCs/>
          <w:color w:val="000000"/>
        </w:rPr>
        <w:footnoteReference w:id="67"/>
      </w:r>
      <w:r>
        <w:rPr>
          <w:rFonts w:eastAsia="Times New Roman" w:cs="Times New Roman"/>
          <w:bCs/>
          <w:color w:val="000000"/>
        </w:rPr>
        <w:t xml:space="preserve">  </w:t>
      </w:r>
    </w:p>
    <w:p w:rsidR="00836BA9" w:rsidRDefault="00836BA9" w:rsidP="00836BA9">
      <w:pPr>
        <w:spacing w:line="480" w:lineRule="auto"/>
        <w:rPr>
          <w:rFonts w:eastAsia="Times New Roman" w:cs="Times New Roman"/>
          <w:bCs/>
          <w:color w:val="000000"/>
        </w:rPr>
      </w:pPr>
      <w:r>
        <w:rPr>
          <w:rFonts w:eastAsia="Times New Roman" w:cs="Times New Roman"/>
          <w:bCs/>
          <w:color w:val="000000"/>
        </w:rPr>
        <w:tab/>
        <w:t>Like AEP-Ohio’s RSR, DP&amp;L’s SSR permitted DP&amp;L to collect transition revenue or its equivalent.  DP&amp;L proposed the SSR for similar reasons as AEP</w:t>
      </w:r>
      <w:r>
        <w:rPr>
          <w:rFonts w:eastAsia="Times New Roman" w:cs="Times New Roman"/>
          <w:bCs/>
          <w:color w:val="000000"/>
        </w:rPr>
        <w:noBreakHyphen/>
        <w:t>Ohio:  to make up for revenue DP&amp;L was not receiving in the competitive generation market primarily related to “increased [customer] switching, declining wholesale prices, and declining capacity prices.”</w:t>
      </w:r>
      <w:r>
        <w:rPr>
          <w:rStyle w:val="FootnoteReference"/>
          <w:rFonts w:eastAsia="Times New Roman" w:cs="Times New Roman"/>
          <w:bCs/>
          <w:color w:val="000000"/>
        </w:rPr>
        <w:footnoteReference w:id="68"/>
      </w:r>
      <w:r>
        <w:rPr>
          <w:rFonts w:eastAsia="Times New Roman" w:cs="Times New Roman"/>
          <w:bCs/>
          <w:color w:val="000000"/>
        </w:rPr>
        <w:t xml:space="preserve">  The Court reached the same conclusion on DP&amp;L’s SSR as it did with respect to AEP-Ohio’s RSR</w:t>
      </w:r>
      <w:r w:rsidR="000A0585">
        <w:rPr>
          <w:rFonts w:eastAsia="Times New Roman" w:cs="Times New Roman"/>
          <w:bCs/>
          <w:color w:val="000000"/>
        </w:rPr>
        <w:t>,</w:t>
      </w:r>
      <w:r>
        <w:rPr>
          <w:rFonts w:eastAsia="Times New Roman" w:cs="Times New Roman"/>
          <w:bCs/>
          <w:color w:val="000000"/>
        </w:rPr>
        <w:t xml:space="preserve"> holding that “[t]he decision of the Public Utilities Commission [authorizing DP&amp;L’s SSR] is reversed on the authority of [</w:t>
      </w:r>
      <w:r>
        <w:rPr>
          <w:rFonts w:eastAsia="Times New Roman" w:cs="Times New Roman"/>
          <w:bCs/>
          <w:i/>
          <w:color w:val="000000"/>
        </w:rPr>
        <w:t>Columbus Southern</w:t>
      </w:r>
      <w:r>
        <w:rPr>
          <w:rFonts w:eastAsia="Times New Roman" w:cs="Times New Roman"/>
          <w:bCs/>
          <w:color w:val="000000"/>
        </w:rPr>
        <w:t>].”</w:t>
      </w:r>
      <w:r>
        <w:rPr>
          <w:rStyle w:val="FootnoteReference"/>
          <w:rFonts w:eastAsia="Times New Roman" w:cs="Times New Roman"/>
          <w:bCs/>
          <w:color w:val="000000"/>
        </w:rPr>
        <w:footnoteReference w:id="69"/>
      </w:r>
    </w:p>
    <w:p w:rsidR="000A0585" w:rsidRDefault="0016116B" w:rsidP="008F7241">
      <w:pPr>
        <w:spacing w:line="480" w:lineRule="auto"/>
        <w:rPr>
          <w:rFonts w:eastAsia="Times New Roman" w:cs="Times New Roman"/>
          <w:bCs/>
          <w:color w:val="000000"/>
        </w:rPr>
      </w:pPr>
      <w:r>
        <w:rPr>
          <w:rFonts w:eastAsia="Times New Roman" w:cs="Times New Roman"/>
          <w:bCs/>
          <w:color w:val="000000"/>
        </w:rPr>
        <w:tab/>
      </w:r>
      <w:r w:rsidR="00A13AF2">
        <w:rPr>
          <w:rFonts w:eastAsia="Times New Roman" w:cs="Times New Roman"/>
          <w:bCs/>
          <w:color w:val="000000"/>
        </w:rPr>
        <w:t xml:space="preserve">The true nature of the proposed DMR is no different than the RSR and SSR.  The DMR is designed to provide above-market revenue to the utility because it cannot otherwise secure sufficient revenue in the competitive generation market to address its financial ambitions.  </w:t>
      </w:r>
    </w:p>
    <w:p w:rsidR="00836BA9" w:rsidRDefault="00A0182E" w:rsidP="00616355">
      <w:pPr>
        <w:spacing w:line="480" w:lineRule="auto"/>
      </w:pPr>
      <w:r>
        <w:tab/>
      </w:r>
      <w:r w:rsidR="001B4209">
        <w:t xml:space="preserve">Furthermore, DP&amp;L claims that it intends to use the non-cost-based </w:t>
      </w:r>
      <w:r w:rsidR="00D01FAD">
        <w:t xml:space="preserve">DMR revenue to right a situation caused by </w:t>
      </w:r>
      <w:r w:rsidR="00987BA7">
        <w:t xml:space="preserve">its </w:t>
      </w:r>
      <w:r w:rsidR="00D01FAD">
        <w:t>generation business.</w:t>
      </w:r>
      <w:r w:rsidR="000026E6">
        <w:rPr>
          <w:rStyle w:val="FootnoteReference"/>
        </w:rPr>
        <w:footnoteReference w:id="70"/>
      </w:r>
      <w:r w:rsidR="00D01FAD">
        <w:t xml:space="preserve">  </w:t>
      </w:r>
      <w:r>
        <w:t>DP&amp;L’s DMR is designed</w:t>
      </w:r>
      <w:r w:rsidR="005A7545">
        <w:t>,</w:t>
      </w:r>
      <w:r>
        <w:t xml:space="preserve"> </w:t>
      </w:r>
      <w:r w:rsidR="00375000">
        <w:t>in part</w:t>
      </w:r>
      <w:r w:rsidR="005A7545">
        <w:t>,</w:t>
      </w:r>
      <w:r w:rsidR="00375000">
        <w:t xml:space="preserve"> to provide DP&amp;L a nonbypassable revenue stream, not tied to any cost, to pay down generation</w:t>
      </w:r>
      <w:r w:rsidR="00987BA7">
        <w:t>-</w:t>
      </w:r>
      <w:r w:rsidR="00375000">
        <w:t>related debt as DP&amp;L transition</w:t>
      </w:r>
      <w:r w:rsidR="005A7545">
        <w:t>s</w:t>
      </w:r>
      <w:r w:rsidR="00375000">
        <w:t xml:space="preserve"> to a fully separated utility</w:t>
      </w:r>
      <w:r w:rsidR="007C6017">
        <w:t xml:space="preserve">. </w:t>
      </w:r>
      <w:r w:rsidR="00375000">
        <w:t xml:space="preserve"> </w:t>
      </w:r>
      <w:r w:rsidR="00202D0E">
        <w:t xml:space="preserve">Specifically, </w:t>
      </w:r>
      <w:r>
        <w:t xml:space="preserve">DP&amp;L </w:t>
      </w:r>
      <w:r w:rsidR="00DA1E22">
        <w:t>proposes to transfer its generation assets to its affiliate</w:t>
      </w:r>
      <w:r w:rsidR="008F0A13">
        <w:t>, but claims</w:t>
      </w:r>
      <w:r>
        <w:t xml:space="preserve"> that it </w:t>
      </w:r>
      <w:r w:rsidR="00DA1E22">
        <w:t xml:space="preserve">its affiliate will initially have little to no debt carrying capacity.  Accordingly, DP&amp;L </w:t>
      </w:r>
      <w:r w:rsidR="008F0A13">
        <w:t xml:space="preserve">claims </w:t>
      </w:r>
      <w:r w:rsidR="00DA1E22">
        <w:t xml:space="preserve">that it </w:t>
      </w:r>
      <w:r w:rsidR="00202D0E">
        <w:t>cannot</w:t>
      </w:r>
      <w:r>
        <w:t xml:space="preserve"> transfer </w:t>
      </w:r>
      <w:r w:rsidR="007C6017">
        <w:t>the portion of its total company debt attributable to its generation assets to its affiliate as part of that</w:t>
      </w:r>
      <w:r w:rsidR="00DA1E22">
        <w:t xml:space="preserve"> asset transfer.  </w:t>
      </w:r>
      <w:r w:rsidR="006359AE">
        <w:t>Because generation-related debt will remain on DP&amp;L’s books, but equity will be transfer with the assets, it will not remain in compliance with the 50/50 debt to equity capitalization requirement.  To bring itself back into compliance with that requirement, DP&amp;L proposes to use a portion of the DMR revenue to pay down the generation-related debt that will not be transferred with the generation assets.</w:t>
      </w:r>
      <w:r w:rsidR="00400BAE">
        <w:rPr>
          <w:rStyle w:val="FootnoteReference"/>
        </w:rPr>
        <w:footnoteReference w:id="71"/>
      </w:r>
      <w:r w:rsidR="00D51555">
        <w:t xml:space="preserve">  </w:t>
      </w:r>
      <w:r>
        <w:t xml:space="preserve"> </w:t>
      </w:r>
    </w:p>
    <w:p w:rsidR="00BF5EF5" w:rsidRDefault="008718AA" w:rsidP="0023785E">
      <w:pPr>
        <w:spacing w:line="480" w:lineRule="auto"/>
      </w:pPr>
      <w:r>
        <w:rPr>
          <w:rFonts w:eastAsia="Times New Roman" w:cs="Times New Roman"/>
          <w:bCs/>
          <w:color w:val="000000"/>
        </w:rPr>
        <w:tab/>
      </w:r>
      <w:r>
        <w:t>As DP&amp;L’s pleadings demonstrate</w:t>
      </w:r>
      <w:r w:rsidR="00836BA9">
        <w:t xml:space="preserve">, the </w:t>
      </w:r>
      <w:r w:rsidR="00C06AF2">
        <w:t>true nature of the DMR is no different than the</w:t>
      </w:r>
      <w:r w:rsidR="00616355">
        <w:t xml:space="preserve"> </w:t>
      </w:r>
      <w:r w:rsidR="00C06AF2">
        <w:t xml:space="preserve">SSR </w:t>
      </w:r>
      <w:r w:rsidR="00616355">
        <w:t xml:space="preserve">and </w:t>
      </w:r>
      <w:r w:rsidR="00C06AF2">
        <w:t>RSR</w:t>
      </w:r>
      <w:r w:rsidR="00616355">
        <w:t>, which were found to be unlawful transition charges</w:t>
      </w:r>
      <w:r w:rsidR="00C06AF2">
        <w:t xml:space="preserve">.  </w:t>
      </w:r>
      <w:r w:rsidR="00F90258">
        <w:t>Because R.C. 4928.38 prohibits the Commission from authorizing DP&amp;L to collect transition revenue or its equivalent, author</w:t>
      </w:r>
      <w:r w:rsidR="00C668C5">
        <w:t>ization of the DMR is unlawful</w:t>
      </w:r>
      <w:r w:rsidR="00F90258">
        <w:t xml:space="preserve">.  </w:t>
      </w:r>
    </w:p>
    <w:p w:rsidR="00AE591C" w:rsidRDefault="00AE591C">
      <w:pPr>
        <w:jc w:val="left"/>
        <w:rPr>
          <w:rFonts w:eastAsiaTheme="majorEastAsia" w:cs="Arial"/>
          <w:b/>
          <w:caps/>
          <w:szCs w:val="32"/>
          <w:u w:val="single"/>
        </w:rPr>
      </w:pPr>
      <w:bookmarkStart w:id="18" w:name="_Toc467485523"/>
      <w:r>
        <w:br w:type="page"/>
      </w:r>
    </w:p>
    <w:p w:rsidR="003318FD" w:rsidRDefault="00046DE3" w:rsidP="00046DE3">
      <w:pPr>
        <w:pStyle w:val="Heading1"/>
      </w:pPr>
      <w:r>
        <w:t>conclusion</w:t>
      </w:r>
      <w:bookmarkEnd w:id="18"/>
    </w:p>
    <w:p w:rsidR="00BD0EE8" w:rsidRDefault="00046DE3" w:rsidP="00BD0EE8">
      <w:pPr>
        <w:spacing w:line="480" w:lineRule="auto"/>
      </w:pPr>
      <w:r>
        <w:tab/>
      </w:r>
      <w:r w:rsidR="00184019">
        <w:t xml:space="preserve">If approved, the DMR would </w:t>
      </w:r>
      <w:r w:rsidR="0019309C">
        <w:t xml:space="preserve">unlawfully and </w:t>
      </w:r>
      <w:r w:rsidR="00184019">
        <w:t xml:space="preserve">unreasonably require customers to provide DP&amp;L with an additional $1.015 billion in nonbypassable revenue support above and beyond the $1.3 billion in nonbypassable revenue support customers have already provided to DP&amp;L to address debt issues at DPL Inc. and DP&amp;L.  </w:t>
      </w:r>
      <w:r w:rsidR="00F806F0">
        <w:t>The</w:t>
      </w:r>
      <w:r w:rsidR="00184019">
        <w:t xml:space="preserve"> debt issue at DPL Inc. </w:t>
      </w:r>
      <w:r w:rsidR="0019309C">
        <w:t>results from</w:t>
      </w:r>
      <w:r w:rsidR="00184019">
        <w:t xml:space="preserve"> AES’ highly</w:t>
      </w:r>
      <w:r w:rsidR="003C21FD">
        <w:t>-</w:t>
      </w:r>
      <w:r w:rsidR="00184019">
        <w:t xml:space="preserve">leveraged takeover of DPL Inc. in 2011.  The debt issue at DP&amp;L is the result of DP&amp;L’s claim that it cannot transfer the portion of its total company debt associated with its generation assets as part of its corporate separation plan because its affiliate would have little to no debt carrying capacity (largely as a result of the AES acquisition debt that remains at DPL </w:t>
      </w:r>
      <w:r w:rsidR="00195000">
        <w:t>Inc.</w:t>
      </w:r>
      <w:r w:rsidR="00184019">
        <w:t xml:space="preserve">). </w:t>
      </w:r>
      <w:r w:rsidR="00BD0EE8">
        <w:t>The Commission, however, has no authority to authorize the DMR to address the DPL Inc. acquisition debt or DP&amp;L’s generation debt issues.  M</w:t>
      </w:r>
      <w:r w:rsidR="00F806F0">
        <w:t xml:space="preserve">oreover, DP&amp;L’s DMR is a result of a violation of the commitments in the </w:t>
      </w:r>
      <w:r w:rsidR="00F806F0">
        <w:rPr>
          <w:i/>
        </w:rPr>
        <w:t>Merger Case</w:t>
      </w:r>
      <w:r w:rsidR="00F806F0">
        <w:t xml:space="preserve"> made by DP&amp;L, DPL Inc. and AES</w:t>
      </w:r>
      <w:r w:rsidR="006549A7">
        <w:t>,</w:t>
      </w:r>
      <w:r w:rsidR="00F806F0">
        <w:t xml:space="preserve"> and the Commission should hold them to their prior commitments.  </w:t>
      </w:r>
    </w:p>
    <w:p w:rsidR="00A5360A" w:rsidRDefault="00BD0EE8" w:rsidP="00BD0EE8">
      <w:pPr>
        <w:spacing w:line="480" w:lineRule="auto"/>
      </w:pPr>
      <w:r>
        <w:tab/>
        <w:t>Accordingly, IEU-Ohio moves the Commission t</w:t>
      </w:r>
      <w:r w:rsidR="007E3AEC">
        <w:t xml:space="preserve">o grant this </w:t>
      </w:r>
      <w:r>
        <w:t xml:space="preserve">Motion to Dismiss, to </w:t>
      </w:r>
      <w:r w:rsidR="0041504A">
        <w:t xml:space="preserve">dismiss </w:t>
      </w:r>
      <w:r>
        <w:t>the DMR from DP&amp;L’s Amended Application, and to direct DP&amp;L to refile its testimony to reflect the dismissal of its DMR.</w:t>
      </w:r>
    </w:p>
    <w:p w:rsidR="007F0498" w:rsidRDefault="007F0498" w:rsidP="007F0498">
      <w:pPr>
        <w:tabs>
          <w:tab w:val="left" w:pos="4320"/>
          <w:tab w:val="right" w:pos="8640"/>
        </w:tabs>
        <w:ind w:left="4140"/>
        <w:rPr>
          <w:rFonts w:eastAsia="Times New Roman"/>
        </w:rPr>
      </w:pPr>
      <w:r>
        <w:rPr>
          <w:rFonts w:eastAsia="Times New Roman"/>
        </w:rPr>
        <w:t>Respectfully submitted,</w:t>
      </w:r>
      <w:r w:rsidDel="00B74E43">
        <w:rPr>
          <w:rFonts w:eastAsia="Times New Roman"/>
        </w:rPr>
        <w:t xml:space="preserve"> </w:t>
      </w:r>
    </w:p>
    <w:p w:rsidR="007F0498" w:rsidRDefault="007F0498" w:rsidP="007F0498">
      <w:pPr>
        <w:tabs>
          <w:tab w:val="left" w:pos="4320"/>
          <w:tab w:val="right" w:pos="8640"/>
        </w:tabs>
        <w:ind w:left="4140"/>
        <w:rPr>
          <w:rFonts w:eastAsia="Times New Roman"/>
          <w:i/>
          <w:u w:val="single"/>
        </w:rPr>
      </w:pPr>
    </w:p>
    <w:p w:rsidR="007F0498" w:rsidRPr="00935789" w:rsidRDefault="007F0498" w:rsidP="007F0498">
      <w:pPr>
        <w:tabs>
          <w:tab w:val="right" w:pos="8640"/>
        </w:tabs>
        <w:ind w:left="4140"/>
        <w:rPr>
          <w:rFonts w:eastAsia="Times New Roman"/>
          <w:i/>
          <w:u w:val="single"/>
        </w:rPr>
      </w:pPr>
      <w:r w:rsidRPr="00935789">
        <w:rPr>
          <w:rFonts w:eastAsia="Times New Roman"/>
          <w:i/>
          <w:u w:val="single"/>
        </w:rPr>
        <w:t xml:space="preserve">/s/ </w:t>
      </w:r>
      <w:r>
        <w:rPr>
          <w:rFonts w:eastAsia="Times New Roman"/>
          <w:i/>
          <w:u w:val="single"/>
        </w:rPr>
        <w:t>Matthew R. Pritchard</w:t>
      </w:r>
      <w:r w:rsidRPr="00935789">
        <w:rPr>
          <w:rFonts w:eastAsia="Times New Roman"/>
          <w:i/>
          <w:u w:val="single"/>
        </w:rPr>
        <w:tab/>
      </w:r>
    </w:p>
    <w:p w:rsidR="007F0498" w:rsidRDefault="007F0498" w:rsidP="007F0498">
      <w:pPr>
        <w:widowControl w:val="0"/>
        <w:ind w:left="4140"/>
        <w:rPr>
          <w:rFonts w:eastAsia="Calibri"/>
          <w:bCs/>
        </w:rPr>
      </w:pPr>
      <w:r>
        <w:rPr>
          <w:rFonts w:eastAsia="Calibri"/>
          <w:bCs/>
        </w:rPr>
        <w:t>Frank P. Darr (Reg. No. 0025469)</w:t>
      </w:r>
    </w:p>
    <w:p w:rsidR="007F0498" w:rsidRDefault="007F0498" w:rsidP="007F0498">
      <w:pPr>
        <w:widowControl w:val="0"/>
        <w:ind w:left="4140"/>
        <w:rPr>
          <w:rFonts w:eastAsia="Calibri"/>
          <w:bCs/>
        </w:rPr>
      </w:pPr>
      <w:r>
        <w:rPr>
          <w:rFonts w:eastAsia="Calibri"/>
          <w:bCs/>
        </w:rPr>
        <w:t>Counsel of Record</w:t>
      </w:r>
    </w:p>
    <w:p w:rsidR="007F0498" w:rsidRDefault="007F0498" w:rsidP="007F0498">
      <w:pPr>
        <w:widowControl w:val="0"/>
        <w:ind w:left="4140"/>
        <w:rPr>
          <w:rFonts w:eastAsia="Calibri"/>
          <w:b/>
          <w:bCs/>
        </w:rPr>
      </w:pPr>
      <w:r>
        <w:rPr>
          <w:rFonts w:eastAsia="Calibri"/>
          <w:bCs/>
        </w:rPr>
        <w:t>Matthew R. Pritchard (Reg. No. 0088070)</w:t>
      </w:r>
    </w:p>
    <w:p w:rsidR="007F0498" w:rsidRDefault="007F0498" w:rsidP="007F0498">
      <w:pPr>
        <w:widowControl w:val="0"/>
        <w:tabs>
          <w:tab w:val="left" w:pos="4320"/>
        </w:tabs>
        <w:ind w:left="4140"/>
        <w:rPr>
          <w:rFonts w:eastAsia="Times New Roman"/>
          <w:bCs/>
          <w:smallCaps/>
        </w:rPr>
      </w:pPr>
      <w:r>
        <w:rPr>
          <w:rFonts w:eastAsia="Times New Roman"/>
          <w:bCs/>
          <w:smallCaps/>
        </w:rPr>
        <w:t>McNees Wallace &amp; Nurick LLC</w:t>
      </w:r>
    </w:p>
    <w:p w:rsidR="007F0498" w:rsidRDefault="007F0498" w:rsidP="007F0498">
      <w:pPr>
        <w:widowControl w:val="0"/>
        <w:tabs>
          <w:tab w:val="left" w:pos="4320"/>
        </w:tabs>
        <w:ind w:left="4140"/>
        <w:rPr>
          <w:rFonts w:eastAsia="Times New Roman"/>
          <w:bCs/>
          <w:szCs w:val="20"/>
        </w:rPr>
      </w:pPr>
      <w:r>
        <w:rPr>
          <w:rFonts w:eastAsia="Times New Roman"/>
          <w:bCs/>
          <w:szCs w:val="20"/>
        </w:rPr>
        <w:t>21 East State Street, 17</w:t>
      </w:r>
      <w:r>
        <w:rPr>
          <w:rFonts w:eastAsia="Times New Roman"/>
          <w:bCs/>
          <w:szCs w:val="20"/>
          <w:vertAlign w:val="superscript"/>
        </w:rPr>
        <w:t>TH</w:t>
      </w:r>
      <w:r>
        <w:rPr>
          <w:rFonts w:eastAsia="Times New Roman"/>
          <w:bCs/>
          <w:szCs w:val="20"/>
        </w:rPr>
        <w:t xml:space="preserve"> Floor</w:t>
      </w:r>
    </w:p>
    <w:p w:rsidR="007F0498" w:rsidRDefault="007F0498" w:rsidP="007F0498">
      <w:pPr>
        <w:tabs>
          <w:tab w:val="left" w:pos="4320"/>
        </w:tabs>
        <w:ind w:left="4140"/>
        <w:rPr>
          <w:rFonts w:eastAsia="Times New Roman"/>
        </w:rPr>
      </w:pPr>
      <w:r>
        <w:rPr>
          <w:rFonts w:eastAsia="Times New Roman"/>
        </w:rPr>
        <w:t>Columbus, OH  43215</w:t>
      </w:r>
    </w:p>
    <w:p w:rsidR="007F0498" w:rsidRDefault="007F0498" w:rsidP="007F0498">
      <w:pPr>
        <w:ind w:left="4140"/>
        <w:rPr>
          <w:rFonts w:eastAsia="Times New Roman"/>
        </w:rPr>
      </w:pPr>
      <w:r>
        <w:rPr>
          <w:rFonts w:eastAsia="Times New Roman"/>
        </w:rPr>
        <w:t>fdarr@mwncmh.com</w:t>
      </w:r>
    </w:p>
    <w:p w:rsidR="007F0498" w:rsidRDefault="007F0498" w:rsidP="007F0498">
      <w:pPr>
        <w:ind w:left="4140"/>
        <w:rPr>
          <w:rFonts w:eastAsia="Times New Roman"/>
        </w:rPr>
      </w:pPr>
      <w:r>
        <w:rPr>
          <w:rFonts w:eastAsia="Times New Roman"/>
        </w:rPr>
        <w:t>mpritchard@mwncmh.com</w:t>
      </w:r>
    </w:p>
    <w:p w:rsidR="007F0498" w:rsidRDefault="007F0498" w:rsidP="007F0498">
      <w:pPr>
        <w:ind w:left="4140"/>
        <w:rPr>
          <w:rFonts w:eastAsia="Times New Roman"/>
        </w:rPr>
      </w:pPr>
    </w:p>
    <w:p w:rsidR="007F0498" w:rsidRDefault="007F0498" w:rsidP="007F0498">
      <w:pPr>
        <w:ind w:left="4140"/>
        <w:rPr>
          <w:rFonts w:ascii="Arial Bold" w:eastAsia="Times New Roman" w:hAnsi="Arial Bold"/>
          <w:b/>
          <w:smallCaps/>
        </w:rPr>
      </w:pPr>
      <w:r w:rsidRPr="00E418F7">
        <w:rPr>
          <w:rFonts w:ascii="Arial Bold" w:eastAsia="Times New Roman" w:hAnsi="Arial Bold"/>
          <w:b/>
          <w:bCs/>
          <w:smallCaps/>
        </w:rPr>
        <w:t>Attorneys for</w:t>
      </w:r>
      <w:r w:rsidRPr="00E418F7">
        <w:rPr>
          <w:rFonts w:ascii="Arial Bold" w:eastAsia="Times New Roman" w:hAnsi="Arial Bold"/>
          <w:smallCaps/>
        </w:rPr>
        <w:t xml:space="preserve"> </w:t>
      </w:r>
      <w:r w:rsidRPr="00E418F7">
        <w:rPr>
          <w:rFonts w:ascii="Arial Bold" w:eastAsia="Times New Roman" w:hAnsi="Arial Bold"/>
          <w:b/>
          <w:smallCaps/>
        </w:rPr>
        <w:t>Industrial Energy Users-Ohio</w:t>
      </w:r>
    </w:p>
    <w:p w:rsidR="003C21FD" w:rsidRDefault="003C21FD" w:rsidP="00A6537E">
      <w:pPr>
        <w:spacing w:line="480" w:lineRule="auto"/>
        <w:sectPr w:rsidR="003C21FD" w:rsidSect="000242A2">
          <w:headerReference w:type="even" r:id="rId13"/>
          <w:headerReference w:type="default" r:id="rId14"/>
          <w:footerReference w:type="even" r:id="rId15"/>
          <w:footerReference w:type="default" r:id="rId16"/>
          <w:headerReference w:type="first" r:id="rId17"/>
          <w:footerReference w:type="first" r:id="rId18"/>
          <w:pgSz w:w="12240" w:h="15840" w:code="1"/>
          <w:pgMar w:top="1296" w:right="1440" w:bottom="1296" w:left="1440" w:header="720" w:footer="720" w:gutter="0"/>
          <w:pgNumType w:start="1"/>
          <w:cols w:space="720"/>
          <w:titlePg/>
          <w:docGrid w:linePitch="360"/>
        </w:sectPr>
      </w:pPr>
    </w:p>
    <w:p w:rsidR="0078347C" w:rsidRPr="005F203F" w:rsidRDefault="0078347C" w:rsidP="0078347C">
      <w:pPr>
        <w:spacing w:line="480" w:lineRule="auto"/>
        <w:jc w:val="right"/>
        <w:rPr>
          <w:b/>
        </w:rPr>
      </w:pPr>
      <w:r w:rsidRPr="005F203F">
        <w:rPr>
          <w:b/>
        </w:rPr>
        <w:t>Attachment A</w:t>
      </w:r>
    </w:p>
    <w:p w:rsidR="0078347C" w:rsidRPr="005F203F" w:rsidRDefault="0078347C" w:rsidP="0078347C">
      <w:pPr>
        <w:spacing w:line="480" w:lineRule="auto"/>
        <w:jc w:val="right"/>
        <w:rPr>
          <w:b/>
        </w:rPr>
      </w:pPr>
    </w:p>
    <w:p w:rsidR="0078347C" w:rsidRPr="005F203F" w:rsidRDefault="005F203F" w:rsidP="0078347C">
      <w:pPr>
        <w:spacing w:line="480" w:lineRule="auto"/>
        <w:jc w:val="center"/>
        <w:rPr>
          <w:b/>
        </w:rPr>
      </w:pPr>
      <w:r w:rsidRPr="005F203F">
        <w:rPr>
          <w:b/>
        </w:rPr>
        <w:t>DP&amp;L Response to</w:t>
      </w:r>
      <w:r w:rsidR="0078347C" w:rsidRPr="005F203F">
        <w:rPr>
          <w:b/>
        </w:rPr>
        <w:t xml:space="preserve"> IGS INT 2-1</w:t>
      </w:r>
    </w:p>
    <w:p w:rsidR="0078347C" w:rsidRPr="005F203F" w:rsidRDefault="0078347C" w:rsidP="0078347C">
      <w:pPr>
        <w:spacing w:line="480" w:lineRule="auto"/>
        <w:jc w:val="center"/>
        <w:rPr>
          <w:b/>
        </w:rPr>
      </w:pPr>
    </w:p>
    <w:p w:rsidR="0078347C" w:rsidRPr="005F203F" w:rsidRDefault="0078347C" w:rsidP="0078347C">
      <w:pPr>
        <w:spacing w:line="480" w:lineRule="auto"/>
        <w:jc w:val="center"/>
        <w:rPr>
          <w:b/>
        </w:rPr>
      </w:pPr>
      <w:r w:rsidRPr="005F203F">
        <w:rPr>
          <w:b/>
        </w:rPr>
        <w:t>[copy of attachment provided in pdf version of document]</w:t>
      </w:r>
    </w:p>
    <w:p w:rsidR="0078347C" w:rsidRPr="005F203F" w:rsidRDefault="0078347C" w:rsidP="0078347C">
      <w:pPr>
        <w:spacing w:line="480" w:lineRule="auto"/>
        <w:jc w:val="center"/>
        <w:rPr>
          <w:b/>
        </w:rPr>
      </w:pPr>
    </w:p>
    <w:p w:rsidR="0078347C" w:rsidRPr="005F203F" w:rsidRDefault="0078347C" w:rsidP="00C21289">
      <w:pPr>
        <w:spacing w:line="480" w:lineRule="auto"/>
        <w:jc w:val="right"/>
        <w:rPr>
          <w:b/>
        </w:rPr>
        <w:sectPr w:rsidR="0078347C" w:rsidRPr="005F203F" w:rsidSect="00C0405A">
          <w:pgSz w:w="12240" w:h="15840" w:code="1"/>
          <w:pgMar w:top="1440" w:right="1440" w:bottom="1440" w:left="1440" w:header="720" w:footer="720" w:gutter="0"/>
          <w:cols w:space="720"/>
          <w:titlePg/>
          <w:docGrid w:linePitch="360"/>
        </w:sectPr>
      </w:pPr>
    </w:p>
    <w:p w:rsidR="0074566D" w:rsidRPr="005F203F" w:rsidRDefault="00845F63" w:rsidP="005C1E97">
      <w:pPr>
        <w:spacing w:line="480" w:lineRule="auto"/>
        <w:jc w:val="right"/>
        <w:rPr>
          <w:b/>
        </w:rPr>
      </w:pPr>
      <w:r w:rsidRPr="005F203F">
        <w:rPr>
          <w:b/>
        </w:rPr>
        <w:t xml:space="preserve">Attachment </w:t>
      </w:r>
      <w:r w:rsidR="0078347C" w:rsidRPr="005F203F">
        <w:rPr>
          <w:b/>
        </w:rPr>
        <w:t>B</w:t>
      </w:r>
    </w:p>
    <w:p w:rsidR="00845F63" w:rsidRPr="005F203F" w:rsidRDefault="00845F63" w:rsidP="005C1E97">
      <w:pPr>
        <w:spacing w:line="480" w:lineRule="auto"/>
        <w:jc w:val="right"/>
        <w:rPr>
          <w:b/>
        </w:rPr>
      </w:pPr>
    </w:p>
    <w:p w:rsidR="00845F63" w:rsidRPr="005F203F" w:rsidRDefault="00845F63" w:rsidP="005C1E97">
      <w:pPr>
        <w:spacing w:line="480" w:lineRule="auto"/>
        <w:jc w:val="center"/>
        <w:rPr>
          <w:b/>
        </w:rPr>
      </w:pPr>
      <w:r w:rsidRPr="005F203F">
        <w:rPr>
          <w:b/>
        </w:rPr>
        <w:t xml:space="preserve">DP&amp;L Response to </w:t>
      </w:r>
      <w:r w:rsidR="0078347C" w:rsidRPr="005F203F">
        <w:rPr>
          <w:b/>
        </w:rPr>
        <w:t>OCC Set 23 INT 402</w:t>
      </w:r>
    </w:p>
    <w:p w:rsidR="0078347C" w:rsidRPr="005F203F" w:rsidRDefault="0078347C" w:rsidP="005C1E97">
      <w:pPr>
        <w:spacing w:line="480" w:lineRule="auto"/>
        <w:jc w:val="center"/>
        <w:rPr>
          <w:b/>
        </w:rPr>
      </w:pPr>
      <w:r w:rsidRPr="005F203F">
        <w:rPr>
          <w:b/>
        </w:rPr>
        <w:t xml:space="preserve">(Case No. 12-426-EL-SSO, </w:t>
      </w:r>
      <w:r w:rsidRPr="005F203F">
        <w:rPr>
          <w:b/>
          <w:i/>
        </w:rPr>
        <w:t>et al.</w:t>
      </w:r>
      <w:r w:rsidRPr="005F203F">
        <w:rPr>
          <w:b/>
        </w:rPr>
        <w:t>)</w:t>
      </w:r>
    </w:p>
    <w:p w:rsidR="0078347C" w:rsidRPr="005F203F" w:rsidRDefault="0078347C" w:rsidP="005C1E97">
      <w:pPr>
        <w:spacing w:line="480" w:lineRule="auto"/>
        <w:jc w:val="center"/>
        <w:rPr>
          <w:b/>
        </w:rPr>
      </w:pPr>
    </w:p>
    <w:p w:rsidR="0078347C" w:rsidRPr="005F203F" w:rsidRDefault="0078347C" w:rsidP="0078347C">
      <w:pPr>
        <w:spacing w:line="480" w:lineRule="auto"/>
        <w:jc w:val="center"/>
        <w:rPr>
          <w:b/>
        </w:rPr>
      </w:pPr>
      <w:r w:rsidRPr="005F203F">
        <w:rPr>
          <w:b/>
        </w:rPr>
        <w:t>[copy of attachment provided in pdf version of document]</w:t>
      </w:r>
    </w:p>
    <w:p w:rsidR="0078347C" w:rsidRPr="005F203F" w:rsidRDefault="0078347C" w:rsidP="005C1E97">
      <w:pPr>
        <w:spacing w:line="480" w:lineRule="auto"/>
        <w:jc w:val="center"/>
        <w:rPr>
          <w:b/>
        </w:rPr>
      </w:pPr>
    </w:p>
    <w:p w:rsidR="00845F63" w:rsidRPr="005F203F" w:rsidRDefault="00845F63" w:rsidP="005C1E97">
      <w:pPr>
        <w:spacing w:line="480" w:lineRule="auto"/>
        <w:jc w:val="center"/>
        <w:rPr>
          <w:b/>
        </w:rPr>
      </w:pPr>
    </w:p>
    <w:p w:rsidR="00845F63" w:rsidRPr="005F203F" w:rsidRDefault="00845F63" w:rsidP="00845F63">
      <w:pPr>
        <w:spacing w:line="480" w:lineRule="auto"/>
        <w:jc w:val="center"/>
        <w:rPr>
          <w:b/>
        </w:rPr>
        <w:sectPr w:rsidR="00845F63" w:rsidRPr="005F203F" w:rsidSect="00C0405A">
          <w:pgSz w:w="12240" w:h="15840" w:code="1"/>
          <w:pgMar w:top="1440" w:right="1440" w:bottom="1440" w:left="1440" w:header="720" w:footer="720" w:gutter="0"/>
          <w:cols w:space="720"/>
          <w:titlePg/>
          <w:docGrid w:linePitch="360"/>
        </w:sectPr>
      </w:pPr>
    </w:p>
    <w:p w:rsidR="005F203F" w:rsidRDefault="005F203F" w:rsidP="005F203F">
      <w:pPr>
        <w:tabs>
          <w:tab w:val="left" w:pos="2160"/>
          <w:tab w:val="left" w:pos="2280"/>
        </w:tabs>
        <w:ind w:firstLine="90"/>
        <w:jc w:val="center"/>
        <w:rPr>
          <w:rFonts w:ascii="Arial Bold" w:hAnsi="Arial Bold"/>
          <w:b/>
          <w:smallCaps/>
          <w:sz w:val="28"/>
          <w:u w:val="single"/>
        </w:rPr>
      </w:pPr>
      <w:r>
        <w:rPr>
          <w:rFonts w:ascii="Arial Bold" w:hAnsi="Arial Bold"/>
          <w:b/>
          <w:smallCaps/>
          <w:sz w:val="28"/>
          <w:u w:val="single"/>
        </w:rPr>
        <w:t>Certificate of Service</w:t>
      </w:r>
    </w:p>
    <w:p w:rsidR="005F203F" w:rsidRDefault="005F203F" w:rsidP="005F203F">
      <w:pPr>
        <w:tabs>
          <w:tab w:val="left" w:pos="2160"/>
          <w:tab w:val="left" w:pos="2280"/>
        </w:tabs>
        <w:jc w:val="center"/>
        <w:rPr>
          <w:rFonts w:ascii="Arial Bold" w:hAnsi="Arial Bold"/>
          <w:b/>
          <w:smallCaps/>
          <w:sz w:val="28"/>
          <w:u w:val="single"/>
        </w:rPr>
      </w:pPr>
    </w:p>
    <w:p w:rsidR="005F203F" w:rsidRPr="00E66B49" w:rsidRDefault="005F203F" w:rsidP="005F203F">
      <w:pPr>
        <w:spacing w:line="480" w:lineRule="auto"/>
      </w:pPr>
      <w:r>
        <w:tab/>
      </w: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Pr="006465E7">
        <w:rPr>
          <w:i/>
        </w:rPr>
        <w:t xml:space="preserve">Industrial Energy Users-Ohio’s </w:t>
      </w:r>
      <w:r w:rsidRPr="006465E7">
        <w:rPr>
          <w:i/>
          <w:szCs w:val="28"/>
        </w:rPr>
        <w:t>Motion to Dismiss</w:t>
      </w:r>
      <w:r w:rsidR="005F450C">
        <w:rPr>
          <w:i/>
          <w:szCs w:val="28"/>
        </w:rPr>
        <w:t xml:space="preserve"> the Distribution Modernization Rider and </w:t>
      </w:r>
      <w:r w:rsidRPr="00D40779">
        <w:rPr>
          <w:i/>
          <w:szCs w:val="28"/>
        </w:rPr>
        <w:t>Memorandum in Support</w:t>
      </w:r>
      <w:r>
        <w:rPr>
          <w:szCs w:val="28"/>
        </w:rPr>
        <w:t xml:space="preserve"> </w:t>
      </w:r>
      <w:r w:rsidRPr="00E66B49">
        <w:t xml:space="preserve">was sent by, or on behalf of, the undersigned counsel for IEU-Ohio to the following parties of record this </w:t>
      </w:r>
      <w:r>
        <w:t>21</w:t>
      </w:r>
      <w:r w:rsidRPr="00A04217">
        <w:rPr>
          <w:vertAlign w:val="superscript"/>
        </w:rPr>
        <w:t>st</w:t>
      </w:r>
      <w:r>
        <w:t xml:space="preserve"> </w:t>
      </w:r>
      <w:r w:rsidRPr="00E66B49">
        <w:t xml:space="preserve">day of </w:t>
      </w:r>
      <w:r>
        <w:t xml:space="preserve">November 2016, </w:t>
      </w:r>
      <w:r w:rsidRPr="00E66B49">
        <w:rPr>
          <w:i/>
        </w:rPr>
        <w:t>via</w:t>
      </w:r>
      <w:r w:rsidRPr="00E66B49">
        <w:t xml:space="preserve"> electronic transmission. </w:t>
      </w:r>
    </w:p>
    <w:p w:rsidR="005F203F" w:rsidRPr="00320E03" w:rsidRDefault="005F203F" w:rsidP="005F203F">
      <w:pPr>
        <w:tabs>
          <w:tab w:val="center" w:pos="7200"/>
          <w:tab w:val="right" w:pos="9360"/>
        </w:tabs>
        <w:ind w:left="5040"/>
        <w:rPr>
          <w:i/>
          <w:u w:val="single"/>
        </w:rPr>
      </w:pPr>
      <w:r w:rsidRPr="00320E03">
        <w:rPr>
          <w:i/>
          <w:u w:val="single"/>
        </w:rPr>
        <w:t xml:space="preserve">/s/ </w:t>
      </w:r>
      <w:r>
        <w:rPr>
          <w:i/>
          <w:u w:val="single"/>
        </w:rPr>
        <w:t>Matthew R. Pritchard</w:t>
      </w:r>
      <w:r w:rsidRPr="00320E03">
        <w:rPr>
          <w:i/>
          <w:u w:val="single"/>
        </w:rPr>
        <w:tab/>
      </w:r>
    </w:p>
    <w:p w:rsidR="005F203F" w:rsidRDefault="005F203F" w:rsidP="005F203F">
      <w:pPr>
        <w:tabs>
          <w:tab w:val="center" w:pos="7200"/>
          <w:tab w:val="right" w:pos="9360"/>
        </w:tabs>
        <w:ind w:left="5760"/>
      </w:pPr>
      <w:r>
        <w:t>Matthew R. Pritchard</w:t>
      </w:r>
    </w:p>
    <w:p w:rsidR="005F203F" w:rsidRDefault="005F203F" w:rsidP="005F203F">
      <w:pPr>
        <w:tabs>
          <w:tab w:val="center" w:pos="7200"/>
          <w:tab w:val="right" w:pos="9360"/>
        </w:tabs>
        <w:ind w:left="5760"/>
      </w:pPr>
    </w:p>
    <w:p w:rsidR="005F203F" w:rsidRDefault="005F203F" w:rsidP="005F203F">
      <w:pPr>
        <w:tabs>
          <w:tab w:val="center" w:pos="7200"/>
          <w:tab w:val="right" w:pos="9360"/>
        </w:tabs>
        <w:ind w:left="5760"/>
        <w:sectPr w:rsidR="005F203F" w:rsidSect="00AE591C">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Charles J. Faruki</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(Counsel of Record)</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D. Jeffrey Ireland</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Jeffrey S. Sharkey</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FARUKI IRELAND &amp; COX P.L.L.</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110 North Main Street, Suite 1600</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Dayton, OH 45402</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cfaruki@ficlaw.com</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djireland@ficlaw.com</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jsharkey@ficlaw.com</w:t>
      </w:r>
    </w:p>
    <w:p w:rsidR="005F203F" w:rsidRPr="00B6659B" w:rsidRDefault="005F203F" w:rsidP="005F203F">
      <w:pPr>
        <w:autoSpaceDE w:val="0"/>
        <w:autoSpaceDN w:val="0"/>
        <w:adjustRightInd w:val="0"/>
        <w:jc w:val="left"/>
        <w:rPr>
          <w:color w:val="000000" w:themeColor="text1"/>
          <w:sz w:val="20"/>
          <w:szCs w:val="20"/>
        </w:rPr>
      </w:pPr>
    </w:p>
    <w:p w:rsidR="005F203F" w:rsidRPr="00B6659B" w:rsidRDefault="005F203F" w:rsidP="005F203F">
      <w:pPr>
        <w:autoSpaceDE w:val="0"/>
        <w:autoSpaceDN w:val="0"/>
        <w:adjustRightInd w:val="0"/>
        <w:jc w:val="left"/>
        <w:rPr>
          <w:b/>
          <w:smallCaps/>
          <w:color w:val="000000" w:themeColor="text1"/>
          <w:sz w:val="20"/>
          <w:szCs w:val="20"/>
        </w:rPr>
      </w:pPr>
      <w:r w:rsidRPr="00B6659B">
        <w:rPr>
          <w:b/>
          <w:smallCaps/>
          <w:color w:val="000000" w:themeColor="text1"/>
          <w:sz w:val="20"/>
          <w:szCs w:val="20"/>
        </w:rPr>
        <w:t>Counsel for The Dayton Power and</w:t>
      </w:r>
    </w:p>
    <w:p w:rsidR="005F203F" w:rsidRPr="00B6659B" w:rsidRDefault="005F203F" w:rsidP="005F203F">
      <w:pPr>
        <w:jc w:val="left"/>
        <w:rPr>
          <w:b/>
          <w:smallCaps/>
          <w:color w:val="000000" w:themeColor="text1"/>
          <w:sz w:val="20"/>
          <w:szCs w:val="20"/>
        </w:rPr>
      </w:pPr>
      <w:r w:rsidRPr="00B6659B">
        <w:rPr>
          <w:b/>
          <w:smallCaps/>
          <w:color w:val="000000" w:themeColor="text1"/>
          <w:sz w:val="20"/>
          <w:szCs w:val="20"/>
        </w:rPr>
        <w:t>Light Company</w:t>
      </w:r>
    </w:p>
    <w:p w:rsidR="005F203F" w:rsidRPr="00B6659B" w:rsidRDefault="005F203F" w:rsidP="005F203F">
      <w:pPr>
        <w:jc w:val="left"/>
        <w:rPr>
          <w:color w:val="000000" w:themeColor="text1"/>
          <w:sz w:val="20"/>
          <w:szCs w:val="20"/>
        </w:r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Madeline Fleisher</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Kristin Field</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Environmental Law &amp; Policy Center</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21 West Broad St., Suite 500</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mfleisher@elpc.org</w:t>
      </w:r>
    </w:p>
    <w:p w:rsidR="005F203F" w:rsidRPr="00B6659B" w:rsidRDefault="005F203F" w:rsidP="005F203F">
      <w:pPr>
        <w:autoSpaceDE w:val="0"/>
        <w:autoSpaceDN w:val="0"/>
        <w:adjustRightInd w:val="0"/>
        <w:jc w:val="left"/>
        <w:rPr>
          <w:iCs/>
          <w:color w:val="000000" w:themeColor="text1"/>
          <w:sz w:val="20"/>
          <w:szCs w:val="20"/>
        </w:rPr>
      </w:pPr>
    </w:p>
    <w:p w:rsidR="005F203F" w:rsidRPr="00B6659B" w:rsidRDefault="005F203F" w:rsidP="005F203F">
      <w:pPr>
        <w:autoSpaceDE w:val="0"/>
        <w:autoSpaceDN w:val="0"/>
        <w:adjustRightInd w:val="0"/>
        <w:jc w:val="left"/>
        <w:rPr>
          <w:rFonts w:ascii="Arial Bold" w:hAnsi="Arial Bold"/>
          <w:b/>
          <w:iCs/>
          <w:smallCaps/>
          <w:color w:val="000000" w:themeColor="text1"/>
          <w:sz w:val="20"/>
          <w:szCs w:val="20"/>
        </w:rPr>
      </w:pPr>
      <w:r w:rsidRPr="00B6659B">
        <w:rPr>
          <w:rFonts w:ascii="Arial Bold" w:hAnsi="Arial Bold"/>
          <w:b/>
          <w:iCs/>
          <w:smallCaps/>
          <w:color w:val="000000" w:themeColor="text1"/>
          <w:sz w:val="20"/>
          <w:szCs w:val="20"/>
        </w:rPr>
        <w:t>Counsel for the Environmental Law &amp;</w:t>
      </w:r>
    </w:p>
    <w:p w:rsidR="005F203F" w:rsidRPr="00B6659B" w:rsidRDefault="005F203F" w:rsidP="005F203F">
      <w:pPr>
        <w:jc w:val="left"/>
        <w:rPr>
          <w:rFonts w:ascii="Arial Bold" w:hAnsi="Arial Bold"/>
          <w:b/>
          <w:iCs/>
          <w:smallCaps/>
          <w:color w:val="000000" w:themeColor="text1"/>
          <w:sz w:val="20"/>
          <w:szCs w:val="20"/>
        </w:rPr>
      </w:pPr>
      <w:r w:rsidRPr="00B6659B">
        <w:rPr>
          <w:rFonts w:ascii="Arial Bold" w:hAnsi="Arial Bold"/>
          <w:b/>
          <w:iCs/>
          <w:smallCaps/>
          <w:color w:val="000000" w:themeColor="text1"/>
          <w:sz w:val="20"/>
          <w:szCs w:val="20"/>
        </w:rPr>
        <w:t>Policy Center</w:t>
      </w:r>
    </w:p>
    <w:p w:rsidR="005F203F" w:rsidRPr="00B6659B" w:rsidRDefault="005F203F" w:rsidP="005F203F">
      <w:pPr>
        <w:jc w:val="left"/>
        <w:rPr>
          <w:color w:val="000000" w:themeColor="text1"/>
          <w:sz w:val="20"/>
          <w:szCs w:val="20"/>
        </w:r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br w:type="column"/>
        <w:t>Jeffrey W. Mayes</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General Counsel</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Monitoring Analytics, LLC</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2621 Van Buren Avenue, Suite 160</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Valley Forge Corporate Center</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Eagleville, PA  19403</w:t>
      </w:r>
    </w:p>
    <w:p w:rsidR="005F203F" w:rsidRPr="00B6659B" w:rsidRDefault="005F203F" w:rsidP="005F203F">
      <w:pPr>
        <w:jc w:val="left"/>
        <w:rPr>
          <w:iCs/>
          <w:color w:val="000000" w:themeColor="text1"/>
          <w:sz w:val="20"/>
          <w:szCs w:val="20"/>
        </w:rPr>
      </w:pPr>
      <w:r w:rsidRPr="00026D92">
        <w:rPr>
          <w:iCs/>
          <w:sz w:val="20"/>
          <w:szCs w:val="20"/>
        </w:rPr>
        <w:t>jeffrey.mayes@monitoringanalytics.com</w:t>
      </w:r>
    </w:p>
    <w:p w:rsidR="005F203F" w:rsidRPr="00B6659B" w:rsidRDefault="005F203F" w:rsidP="005F203F">
      <w:pPr>
        <w:jc w:val="left"/>
        <w:rPr>
          <w:iCs/>
          <w:color w:val="000000" w:themeColor="text1"/>
          <w:sz w:val="20"/>
          <w:szCs w:val="20"/>
        </w:rPr>
      </w:pPr>
    </w:p>
    <w:p w:rsidR="005F203F" w:rsidRPr="00B6659B" w:rsidRDefault="005F203F" w:rsidP="005F203F">
      <w:pPr>
        <w:jc w:val="left"/>
        <w:rPr>
          <w:rFonts w:ascii="Arial Bold" w:hAnsi="Arial Bold"/>
          <w:b/>
          <w:iCs/>
          <w:smallCaps/>
          <w:color w:val="000000" w:themeColor="text1"/>
          <w:sz w:val="20"/>
          <w:szCs w:val="20"/>
        </w:rPr>
      </w:pPr>
      <w:r w:rsidRPr="00B6659B">
        <w:rPr>
          <w:rFonts w:ascii="Arial Bold" w:hAnsi="Arial Bold"/>
          <w:b/>
          <w:iCs/>
          <w:smallCaps/>
          <w:color w:val="000000" w:themeColor="text1"/>
          <w:sz w:val="20"/>
          <w:szCs w:val="20"/>
        </w:rPr>
        <w:t>Counsel for Monitoring Analytics, LLC</w:t>
      </w:r>
    </w:p>
    <w:p w:rsidR="005F203F" w:rsidRPr="00B6659B" w:rsidRDefault="005F203F" w:rsidP="005F203F">
      <w:pPr>
        <w:autoSpaceDE w:val="0"/>
        <w:autoSpaceDN w:val="0"/>
        <w:adjustRightInd w:val="0"/>
        <w:jc w:val="left"/>
        <w:rPr>
          <w:color w:val="000000" w:themeColor="text1"/>
          <w:sz w:val="20"/>
          <w:szCs w:val="20"/>
        </w:r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Evelyn R. Robinson</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PJM Interconnection, L.L.C.</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2750 Monroe Boulevard</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Audubon, PA 19403</w:t>
      </w:r>
    </w:p>
    <w:p w:rsidR="005F203F" w:rsidRPr="00B6659B" w:rsidRDefault="005F203F" w:rsidP="005F203F">
      <w:pPr>
        <w:jc w:val="left"/>
        <w:rPr>
          <w:iCs/>
          <w:color w:val="000000" w:themeColor="text1"/>
          <w:sz w:val="20"/>
          <w:szCs w:val="20"/>
        </w:rPr>
      </w:pPr>
      <w:r w:rsidRPr="00026D92">
        <w:rPr>
          <w:iCs/>
          <w:sz w:val="20"/>
          <w:szCs w:val="20"/>
        </w:rPr>
        <w:t>evelyn.robinson@pjm.com</w:t>
      </w:r>
    </w:p>
    <w:p w:rsidR="005F203F" w:rsidRPr="00B6659B" w:rsidRDefault="005F203F" w:rsidP="005F203F">
      <w:pPr>
        <w:jc w:val="left"/>
        <w:rPr>
          <w:iCs/>
          <w:color w:val="000000" w:themeColor="text1"/>
          <w:sz w:val="20"/>
          <w:szCs w:val="20"/>
        </w:rPr>
      </w:pPr>
    </w:p>
    <w:p w:rsidR="005F203F" w:rsidRPr="00B6659B" w:rsidRDefault="005F203F" w:rsidP="005F203F">
      <w:pPr>
        <w:autoSpaceDE w:val="0"/>
        <w:autoSpaceDN w:val="0"/>
        <w:adjustRightInd w:val="0"/>
        <w:jc w:val="left"/>
        <w:rPr>
          <w:rFonts w:ascii="Arial Bold" w:hAnsi="Arial Bold"/>
          <w:b/>
          <w:iCs/>
          <w:smallCaps/>
          <w:color w:val="000000" w:themeColor="text1"/>
          <w:sz w:val="20"/>
          <w:szCs w:val="20"/>
        </w:rPr>
      </w:pPr>
      <w:r w:rsidRPr="00B6659B">
        <w:rPr>
          <w:rFonts w:ascii="Arial Bold" w:hAnsi="Arial Bold"/>
          <w:b/>
          <w:iCs/>
          <w:smallCaps/>
          <w:color w:val="000000" w:themeColor="text1"/>
          <w:sz w:val="20"/>
          <w:szCs w:val="20"/>
        </w:rPr>
        <w:t>Counsel for PJM Interconnection, L.L.C.</w:t>
      </w:r>
    </w:p>
    <w:p w:rsidR="005F203F" w:rsidRPr="00B6659B" w:rsidRDefault="005F203F" w:rsidP="005F203F">
      <w:pPr>
        <w:jc w:val="left"/>
        <w:rPr>
          <w:iCs/>
          <w:color w:val="000000" w:themeColor="text1"/>
          <w:sz w:val="20"/>
          <w:szCs w:val="20"/>
        </w:r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Kevin R. Schmidt (Reg. No. 0086722)</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Strategic Public Partners</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88 East Broad Street, Suite 1770</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schmidt@sppgrp.com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Energy Professionals of Ohio</w:t>
      </w:r>
    </w:p>
    <w:p w:rsidR="005F203F" w:rsidRPr="00B6659B" w:rsidRDefault="005F203F" w:rsidP="005F203F">
      <w:pPr>
        <w:autoSpaceDE w:val="0"/>
        <w:autoSpaceDN w:val="0"/>
        <w:adjustRightInd w:val="0"/>
        <w:jc w:val="left"/>
        <w:rPr>
          <w:color w:val="000000" w:themeColor="text1"/>
          <w:sz w:val="20"/>
          <w:szCs w:val="20"/>
        </w:rPr>
        <w:sectPr w:rsidR="005F203F" w:rsidRPr="00B6659B" w:rsidSect="00AE591C">
          <w:type w:val="continuous"/>
          <w:pgSz w:w="12240" w:h="15840" w:code="1"/>
          <w:pgMar w:top="1440" w:right="1440" w:bottom="1440" w:left="1440" w:header="720" w:footer="720" w:gutter="0"/>
          <w:cols w:num="2" w:space="720"/>
          <w:titlePg/>
          <w:docGrid w:linePitch="360"/>
        </w:sectPr>
      </w:pP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David F. Boehm, Esq.</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Michael L. Kurtz, Esq.</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Kurt J. Boehm, Esq.</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Jody Kyler Cohn, Esq.</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Boehm, Kurtz &amp; Lowry</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36 East Seventh Street, Suite 1510</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Cincinnati, OH  45202</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dboehm@BKLlawfirm.com mkurtzt@BKLlawfirm.com</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kboehm@BKLlawfirm.com</w:t>
      </w:r>
    </w:p>
    <w:p w:rsidR="005F203F" w:rsidRPr="00B6659B" w:rsidRDefault="005F203F" w:rsidP="005F203F">
      <w:pPr>
        <w:autoSpaceDE w:val="0"/>
        <w:autoSpaceDN w:val="0"/>
        <w:adjustRightInd w:val="0"/>
        <w:jc w:val="left"/>
        <w:rPr>
          <w:color w:val="000000" w:themeColor="text1"/>
          <w:sz w:val="20"/>
          <w:szCs w:val="20"/>
        </w:rPr>
      </w:pPr>
      <w:r w:rsidRPr="00B6659B">
        <w:rPr>
          <w:color w:val="000000" w:themeColor="text1"/>
          <w:sz w:val="20"/>
          <w:szCs w:val="20"/>
        </w:rPr>
        <w:t>jkylercohn@BKLlawfirm.com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Ohio Energy Group</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William J. Michael</w:t>
      </w:r>
    </w:p>
    <w:p w:rsidR="005F203F" w:rsidRPr="00B6659B" w:rsidRDefault="005F203F" w:rsidP="005F203F">
      <w:pPr>
        <w:jc w:val="left"/>
        <w:rPr>
          <w:color w:val="000000" w:themeColor="text1"/>
          <w:sz w:val="20"/>
          <w:szCs w:val="20"/>
        </w:rPr>
      </w:pPr>
      <w:r w:rsidRPr="00B6659B">
        <w:rPr>
          <w:color w:val="000000" w:themeColor="text1"/>
          <w:sz w:val="20"/>
          <w:szCs w:val="20"/>
        </w:rPr>
        <w:t>Counsel of Record</w:t>
      </w:r>
    </w:p>
    <w:p w:rsidR="005F203F" w:rsidRPr="00B6659B" w:rsidRDefault="005F203F" w:rsidP="005F203F">
      <w:pPr>
        <w:jc w:val="left"/>
        <w:rPr>
          <w:color w:val="000000" w:themeColor="text1"/>
          <w:sz w:val="20"/>
          <w:szCs w:val="20"/>
        </w:rPr>
      </w:pPr>
      <w:r w:rsidRPr="00B6659B">
        <w:rPr>
          <w:color w:val="000000" w:themeColor="text1"/>
          <w:sz w:val="20"/>
          <w:szCs w:val="20"/>
        </w:rPr>
        <w:t>Kevin F. Moore</w:t>
      </w:r>
    </w:p>
    <w:p w:rsidR="005F203F" w:rsidRPr="00B6659B" w:rsidRDefault="005F203F" w:rsidP="005F203F">
      <w:pPr>
        <w:jc w:val="left"/>
        <w:rPr>
          <w:color w:val="000000" w:themeColor="text1"/>
          <w:sz w:val="20"/>
          <w:szCs w:val="20"/>
        </w:rPr>
      </w:pPr>
      <w:r w:rsidRPr="00B6659B">
        <w:rPr>
          <w:color w:val="000000" w:themeColor="text1"/>
          <w:sz w:val="20"/>
          <w:szCs w:val="20"/>
        </w:rPr>
        <w:t>10 West Broad Street, Suite 1800</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43215-3485</w:t>
      </w:r>
    </w:p>
    <w:p w:rsidR="005F203F" w:rsidRPr="00B6659B" w:rsidRDefault="005F203F" w:rsidP="005F203F">
      <w:pPr>
        <w:jc w:val="left"/>
        <w:rPr>
          <w:color w:val="000000" w:themeColor="text1"/>
          <w:sz w:val="20"/>
          <w:szCs w:val="20"/>
        </w:rPr>
      </w:pPr>
      <w:r w:rsidRPr="00026D92">
        <w:rPr>
          <w:sz w:val="20"/>
          <w:szCs w:val="20"/>
        </w:rPr>
        <w:t>William.Michael@occ.ohio.gov</w:t>
      </w:r>
    </w:p>
    <w:p w:rsidR="005F203F" w:rsidRPr="00B6659B" w:rsidRDefault="005F203F" w:rsidP="005F203F">
      <w:pPr>
        <w:jc w:val="left"/>
        <w:rPr>
          <w:color w:val="000000" w:themeColor="text1"/>
          <w:sz w:val="20"/>
          <w:szCs w:val="20"/>
        </w:rPr>
      </w:pPr>
      <w:r w:rsidRPr="00026D92">
        <w:rPr>
          <w:sz w:val="20"/>
          <w:szCs w:val="20"/>
        </w:rPr>
        <w:t>Kevin.Moore@occ.ohio.gov</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Office of the Ohio Consumers’ Counsel</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Angela Paul Whitfield</w:t>
      </w:r>
    </w:p>
    <w:p w:rsidR="005F203F" w:rsidRPr="00B6659B" w:rsidRDefault="005F203F" w:rsidP="005F203F">
      <w:pPr>
        <w:jc w:val="left"/>
        <w:rPr>
          <w:color w:val="000000" w:themeColor="text1"/>
          <w:sz w:val="20"/>
          <w:szCs w:val="20"/>
        </w:rPr>
      </w:pPr>
      <w:r w:rsidRPr="00B6659B">
        <w:rPr>
          <w:color w:val="000000" w:themeColor="text1"/>
          <w:sz w:val="20"/>
          <w:szCs w:val="20"/>
        </w:rPr>
        <w:t>Carpenter Lipps &amp; Leland LLP</w:t>
      </w:r>
    </w:p>
    <w:p w:rsidR="005F203F" w:rsidRPr="00B6659B" w:rsidRDefault="005F203F" w:rsidP="005F203F">
      <w:pPr>
        <w:jc w:val="left"/>
        <w:rPr>
          <w:color w:val="000000" w:themeColor="text1"/>
          <w:sz w:val="20"/>
          <w:szCs w:val="20"/>
        </w:rPr>
      </w:pPr>
      <w:r w:rsidRPr="00B6659B">
        <w:rPr>
          <w:color w:val="000000" w:themeColor="text1"/>
          <w:sz w:val="20"/>
          <w:szCs w:val="20"/>
        </w:rPr>
        <w:t>280 Plaza, Suite 1300</w:t>
      </w:r>
    </w:p>
    <w:p w:rsidR="005F203F" w:rsidRPr="00B6659B" w:rsidRDefault="005F203F" w:rsidP="005F203F">
      <w:pPr>
        <w:jc w:val="left"/>
        <w:rPr>
          <w:color w:val="000000" w:themeColor="text1"/>
          <w:sz w:val="20"/>
          <w:szCs w:val="20"/>
        </w:rPr>
      </w:pPr>
      <w:r w:rsidRPr="00B6659B">
        <w:rPr>
          <w:color w:val="000000" w:themeColor="text1"/>
          <w:sz w:val="20"/>
          <w:szCs w:val="20"/>
        </w:rPr>
        <w:t>280 North High Street</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B6659B">
        <w:rPr>
          <w:color w:val="000000" w:themeColor="text1"/>
          <w:sz w:val="20"/>
          <w:szCs w:val="20"/>
        </w:rPr>
        <w:t>paul@carpenterlipps.com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The Kroger Co.</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Kimberly W. Bojko</w:t>
      </w:r>
    </w:p>
    <w:p w:rsidR="005F203F" w:rsidRPr="00B6659B" w:rsidRDefault="005F203F" w:rsidP="005F203F">
      <w:pPr>
        <w:jc w:val="left"/>
        <w:rPr>
          <w:color w:val="000000" w:themeColor="text1"/>
          <w:sz w:val="20"/>
          <w:szCs w:val="20"/>
        </w:rPr>
      </w:pPr>
      <w:r w:rsidRPr="00B6659B">
        <w:rPr>
          <w:color w:val="000000" w:themeColor="text1"/>
          <w:sz w:val="20"/>
          <w:szCs w:val="20"/>
        </w:rPr>
        <w:t>Danielle M. Ghiloni</w:t>
      </w:r>
    </w:p>
    <w:p w:rsidR="005F203F" w:rsidRPr="00B6659B" w:rsidRDefault="005F203F" w:rsidP="005F203F">
      <w:pPr>
        <w:jc w:val="left"/>
        <w:rPr>
          <w:color w:val="000000" w:themeColor="text1"/>
          <w:sz w:val="20"/>
          <w:szCs w:val="20"/>
        </w:rPr>
      </w:pPr>
      <w:r w:rsidRPr="00B6659B">
        <w:rPr>
          <w:color w:val="000000" w:themeColor="text1"/>
          <w:sz w:val="20"/>
          <w:szCs w:val="20"/>
        </w:rPr>
        <w:t>Carpenter Lipps &amp; Leland LLP</w:t>
      </w:r>
    </w:p>
    <w:p w:rsidR="005F203F" w:rsidRPr="00B6659B" w:rsidRDefault="005F203F" w:rsidP="005F203F">
      <w:pPr>
        <w:jc w:val="left"/>
        <w:rPr>
          <w:color w:val="000000" w:themeColor="text1"/>
          <w:sz w:val="20"/>
          <w:szCs w:val="20"/>
        </w:rPr>
      </w:pPr>
      <w:r w:rsidRPr="00B6659B">
        <w:rPr>
          <w:color w:val="000000" w:themeColor="text1"/>
          <w:sz w:val="20"/>
          <w:szCs w:val="20"/>
        </w:rPr>
        <w:t>280 North High Street, Suite 1300</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Bojko@carpenterlipps.com</w:t>
      </w:r>
    </w:p>
    <w:p w:rsidR="005F203F" w:rsidRPr="00B6659B" w:rsidRDefault="005F203F" w:rsidP="005F203F">
      <w:pPr>
        <w:jc w:val="left"/>
        <w:rPr>
          <w:color w:val="000000" w:themeColor="text1"/>
          <w:sz w:val="20"/>
          <w:szCs w:val="20"/>
        </w:rPr>
      </w:pPr>
      <w:r w:rsidRPr="00026D92">
        <w:rPr>
          <w:sz w:val="20"/>
          <w:szCs w:val="20"/>
        </w:rPr>
        <w:t>Ghiloni@carpenterlipps.com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the Ohio Manufacturers’ Association Energy Group</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Joseph Oliker</w:t>
      </w:r>
    </w:p>
    <w:p w:rsidR="005F203F" w:rsidRPr="00B6659B" w:rsidRDefault="005F203F" w:rsidP="005F203F">
      <w:pPr>
        <w:jc w:val="left"/>
        <w:rPr>
          <w:color w:val="000000" w:themeColor="text1"/>
          <w:sz w:val="20"/>
          <w:szCs w:val="20"/>
        </w:rPr>
      </w:pPr>
      <w:r w:rsidRPr="00B6659B">
        <w:rPr>
          <w:color w:val="000000" w:themeColor="text1"/>
          <w:sz w:val="20"/>
          <w:szCs w:val="20"/>
        </w:rPr>
        <w:t>IGS Energy</w:t>
      </w:r>
    </w:p>
    <w:p w:rsidR="005F203F" w:rsidRPr="00B6659B" w:rsidRDefault="005F203F" w:rsidP="005F203F">
      <w:pPr>
        <w:jc w:val="left"/>
        <w:rPr>
          <w:color w:val="000000" w:themeColor="text1"/>
          <w:sz w:val="20"/>
          <w:szCs w:val="20"/>
        </w:rPr>
      </w:pPr>
      <w:r w:rsidRPr="00B6659B">
        <w:rPr>
          <w:color w:val="000000" w:themeColor="text1"/>
          <w:sz w:val="20"/>
          <w:szCs w:val="20"/>
        </w:rPr>
        <w:t>6100 Emerald Parkway</w:t>
      </w:r>
    </w:p>
    <w:p w:rsidR="005F203F" w:rsidRPr="00B6659B" w:rsidRDefault="005F203F" w:rsidP="005F203F">
      <w:pPr>
        <w:jc w:val="left"/>
        <w:rPr>
          <w:color w:val="000000" w:themeColor="text1"/>
          <w:sz w:val="20"/>
          <w:szCs w:val="20"/>
        </w:rPr>
      </w:pPr>
      <w:r w:rsidRPr="00B6659B">
        <w:rPr>
          <w:color w:val="000000" w:themeColor="text1"/>
          <w:sz w:val="20"/>
          <w:szCs w:val="20"/>
        </w:rPr>
        <w:t>Dublin, OH  43016</w:t>
      </w:r>
    </w:p>
    <w:p w:rsidR="005F203F" w:rsidRPr="00B6659B" w:rsidRDefault="005F203F" w:rsidP="005F203F">
      <w:pPr>
        <w:jc w:val="left"/>
        <w:rPr>
          <w:color w:val="000000" w:themeColor="text1"/>
          <w:sz w:val="20"/>
          <w:szCs w:val="20"/>
        </w:rPr>
      </w:pPr>
      <w:r w:rsidRPr="00026D92">
        <w:rPr>
          <w:sz w:val="20"/>
          <w:szCs w:val="20"/>
        </w:rPr>
        <w:t>joliker@igsenergy.com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IGS Energy</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br w:type="column"/>
        <w:t>Michael J. Settineri</w:t>
      </w:r>
    </w:p>
    <w:p w:rsidR="005F203F" w:rsidRPr="00B6659B" w:rsidRDefault="005F203F" w:rsidP="005F203F">
      <w:pPr>
        <w:jc w:val="left"/>
        <w:rPr>
          <w:color w:val="000000" w:themeColor="text1"/>
          <w:sz w:val="20"/>
          <w:szCs w:val="20"/>
        </w:rPr>
      </w:pPr>
      <w:r w:rsidRPr="00B6659B">
        <w:rPr>
          <w:color w:val="000000" w:themeColor="text1"/>
          <w:sz w:val="20"/>
          <w:szCs w:val="20"/>
        </w:rPr>
        <w:t>Stephen M. Howard</w:t>
      </w:r>
    </w:p>
    <w:p w:rsidR="005F203F" w:rsidRPr="00B6659B" w:rsidRDefault="005F203F" w:rsidP="005F203F">
      <w:pPr>
        <w:jc w:val="left"/>
        <w:rPr>
          <w:color w:val="000000" w:themeColor="text1"/>
          <w:sz w:val="20"/>
          <w:szCs w:val="20"/>
        </w:rPr>
      </w:pPr>
      <w:r w:rsidRPr="00B6659B">
        <w:rPr>
          <w:color w:val="000000" w:themeColor="text1"/>
          <w:sz w:val="20"/>
          <w:szCs w:val="20"/>
        </w:rPr>
        <w:t>Gretchen L. Petrucci</w:t>
      </w:r>
    </w:p>
    <w:p w:rsidR="005F203F" w:rsidRPr="00B6659B" w:rsidRDefault="005F203F" w:rsidP="005F203F">
      <w:pPr>
        <w:jc w:val="left"/>
        <w:rPr>
          <w:color w:val="000000" w:themeColor="text1"/>
          <w:sz w:val="20"/>
          <w:szCs w:val="20"/>
        </w:rPr>
      </w:pPr>
      <w:r w:rsidRPr="00B6659B">
        <w:rPr>
          <w:color w:val="000000" w:themeColor="text1"/>
          <w:sz w:val="20"/>
          <w:szCs w:val="20"/>
        </w:rPr>
        <w:t>Ilya Batikov</w:t>
      </w:r>
    </w:p>
    <w:p w:rsidR="005F203F" w:rsidRPr="00B6659B" w:rsidRDefault="005F203F" w:rsidP="005F203F">
      <w:pPr>
        <w:jc w:val="left"/>
        <w:rPr>
          <w:color w:val="000000" w:themeColor="text1"/>
          <w:sz w:val="20"/>
          <w:szCs w:val="20"/>
        </w:rPr>
      </w:pPr>
      <w:r w:rsidRPr="00B6659B">
        <w:rPr>
          <w:color w:val="000000" w:themeColor="text1"/>
          <w:sz w:val="20"/>
          <w:szCs w:val="20"/>
        </w:rPr>
        <w:t>Vorys, Sater, Seymour and Pease LLP</w:t>
      </w:r>
    </w:p>
    <w:p w:rsidR="005F203F" w:rsidRPr="00B6659B" w:rsidRDefault="005F203F" w:rsidP="005F203F">
      <w:pPr>
        <w:jc w:val="left"/>
        <w:rPr>
          <w:color w:val="000000" w:themeColor="text1"/>
          <w:sz w:val="20"/>
          <w:szCs w:val="20"/>
        </w:rPr>
      </w:pPr>
      <w:r w:rsidRPr="00B6659B">
        <w:rPr>
          <w:color w:val="000000" w:themeColor="text1"/>
          <w:sz w:val="20"/>
          <w:szCs w:val="20"/>
        </w:rPr>
        <w:t>52 E. Gay Street</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mjsettineri@vorys.com</w:t>
      </w:r>
    </w:p>
    <w:p w:rsidR="005F203F" w:rsidRPr="00B6659B" w:rsidRDefault="005F203F" w:rsidP="005F203F">
      <w:pPr>
        <w:jc w:val="left"/>
        <w:rPr>
          <w:color w:val="000000" w:themeColor="text1"/>
          <w:sz w:val="20"/>
          <w:szCs w:val="20"/>
        </w:rPr>
      </w:pPr>
      <w:r w:rsidRPr="00026D92">
        <w:rPr>
          <w:sz w:val="20"/>
          <w:szCs w:val="20"/>
        </w:rPr>
        <w:t>smhoward@vorys.co</w:t>
      </w:r>
      <w:r w:rsidRPr="00B6659B">
        <w:rPr>
          <w:color w:val="000000" w:themeColor="text1"/>
          <w:sz w:val="20"/>
          <w:szCs w:val="20"/>
        </w:rPr>
        <w:t>m</w:t>
      </w:r>
    </w:p>
    <w:p w:rsidR="005F203F" w:rsidRPr="00B6659B" w:rsidRDefault="005F203F" w:rsidP="005F203F">
      <w:pPr>
        <w:jc w:val="left"/>
        <w:rPr>
          <w:color w:val="000000" w:themeColor="text1"/>
          <w:sz w:val="20"/>
          <w:szCs w:val="20"/>
        </w:rPr>
      </w:pPr>
      <w:r w:rsidRPr="00026D92">
        <w:rPr>
          <w:sz w:val="20"/>
          <w:szCs w:val="20"/>
        </w:rPr>
        <w:t>glpetrucci@vorys.com</w:t>
      </w:r>
    </w:p>
    <w:p w:rsidR="005F203F" w:rsidRPr="00B6659B" w:rsidRDefault="005F203F" w:rsidP="005F203F">
      <w:pPr>
        <w:jc w:val="left"/>
        <w:rPr>
          <w:color w:val="000000" w:themeColor="text1"/>
          <w:sz w:val="20"/>
          <w:szCs w:val="20"/>
        </w:rPr>
      </w:pPr>
      <w:r w:rsidRPr="00026D92">
        <w:rPr>
          <w:sz w:val="20"/>
          <w:szCs w:val="20"/>
        </w:rPr>
        <w:t>ibatikov@vorys.com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Dynegy Inc., PJM Power Providers Group and the Electric Power Supply Association and the Retail Energy Supply Association</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Michael D. Dortch</w:t>
      </w:r>
    </w:p>
    <w:p w:rsidR="005F203F" w:rsidRPr="00B6659B" w:rsidRDefault="005F203F" w:rsidP="005F203F">
      <w:pPr>
        <w:jc w:val="left"/>
        <w:rPr>
          <w:color w:val="000000" w:themeColor="text1"/>
          <w:sz w:val="20"/>
          <w:szCs w:val="20"/>
        </w:rPr>
      </w:pPr>
      <w:r w:rsidRPr="00B6659B">
        <w:rPr>
          <w:color w:val="000000" w:themeColor="text1"/>
          <w:sz w:val="20"/>
          <w:szCs w:val="20"/>
        </w:rPr>
        <w:t>Richard R. Parsons</w:t>
      </w:r>
    </w:p>
    <w:p w:rsidR="005F203F" w:rsidRPr="00B6659B" w:rsidRDefault="005F203F" w:rsidP="005F203F">
      <w:pPr>
        <w:jc w:val="left"/>
        <w:rPr>
          <w:color w:val="000000" w:themeColor="text1"/>
          <w:sz w:val="20"/>
          <w:szCs w:val="20"/>
        </w:rPr>
      </w:pPr>
      <w:r w:rsidRPr="00B6659B">
        <w:rPr>
          <w:color w:val="000000" w:themeColor="text1"/>
          <w:sz w:val="20"/>
          <w:szCs w:val="20"/>
        </w:rPr>
        <w:t>Kravitz, Brown &amp; Dortch, LLC</w:t>
      </w:r>
    </w:p>
    <w:p w:rsidR="005F203F" w:rsidRPr="00B6659B" w:rsidRDefault="005F203F" w:rsidP="005F203F">
      <w:pPr>
        <w:jc w:val="left"/>
        <w:rPr>
          <w:color w:val="000000" w:themeColor="text1"/>
          <w:sz w:val="20"/>
          <w:szCs w:val="20"/>
        </w:rPr>
      </w:pPr>
      <w:r w:rsidRPr="00B6659B">
        <w:rPr>
          <w:color w:val="000000" w:themeColor="text1"/>
          <w:sz w:val="20"/>
          <w:szCs w:val="20"/>
        </w:rPr>
        <w:t>65 East State Street, Suite 200</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mdortch@kravitzllc.com</w:t>
      </w:r>
    </w:p>
    <w:p w:rsidR="005F203F" w:rsidRPr="00B6659B" w:rsidRDefault="005F203F" w:rsidP="005F203F">
      <w:pPr>
        <w:jc w:val="left"/>
        <w:rPr>
          <w:color w:val="000000" w:themeColor="text1"/>
          <w:sz w:val="20"/>
          <w:szCs w:val="20"/>
        </w:rPr>
      </w:pPr>
      <w:r w:rsidRPr="00026D92">
        <w:rPr>
          <w:sz w:val="20"/>
          <w:szCs w:val="20"/>
        </w:rPr>
        <w:t>rparsons@kravitzllc.com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Noble Americas Energy Solutions LLC</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Colleen L. Mooney</w:t>
      </w:r>
    </w:p>
    <w:p w:rsidR="005F203F" w:rsidRPr="00B6659B" w:rsidRDefault="005F203F" w:rsidP="005F203F">
      <w:pPr>
        <w:jc w:val="left"/>
        <w:rPr>
          <w:color w:val="000000" w:themeColor="text1"/>
          <w:sz w:val="20"/>
          <w:szCs w:val="20"/>
        </w:rPr>
      </w:pPr>
      <w:r w:rsidRPr="00B6659B">
        <w:rPr>
          <w:color w:val="000000" w:themeColor="text1"/>
          <w:sz w:val="20"/>
          <w:szCs w:val="20"/>
        </w:rPr>
        <w:t>231 West Lima Street</w:t>
      </w:r>
    </w:p>
    <w:p w:rsidR="005F203F" w:rsidRPr="00B6659B" w:rsidRDefault="005F203F" w:rsidP="005F203F">
      <w:pPr>
        <w:jc w:val="left"/>
        <w:rPr>
          <w:color w:val="000000" w:themeColor="text1"/>
          <w:sz w:val="20"/>
          <w:szCs w:val="20"/>
        </w:rPr>
      </w:pPr>
      <w:r w:rsidRPr="00B6659B">
        <w:rPr>
          <w:color w:val="000000" w:themeColor="text1"/>
          <w:sz w:val="20"/>
          <w:szCs w:val="20"/>
        </w:rPr>
        <w:t>PO Box 1793</w:t>
      </w:r>
    </w:p>
    <w:p w:rsidR="005F203F" w:rsidRPr="00B6659B" w:rsidRDefault="005F203F" w:rsidP="005F203F">
      <w:pPr>
        <w:jc w:val="left"/>
        <w:rPr>
          <w:color w:val="000000" w:themeColor="text1"/>
          <w:sz w:val="20"/>
          <w:szCs w:val="20"/>
        </w:rPr>
      </w:pPr>
      <w:r w:rsidRPr="00B6659B">
        <w:rPr>
          <w:color w:val="000000" w:themeColor="text1"/>
          <w:sz w:val="20"/>
          <w:szCs w:val="20"/>
        </w:rPr>
        <w:t>Findlay, OH  45839-1793</w:t>
      </w:r>
    </w:p>
    <w:p w:rsidR="005F203F" w:rsidRPr="00B6659B" w:rsidRDefault="005F203F" w:rsidP="005F203F">
      <w:pPr>
        <w:jc w:val="left"/>
        <w:rPr>
          <w:color w:val="000000" w:themeColor="text1"/>
          <w:sz w:val="20"/>
          <w:szCs w:val="20"/>
        </w:rPr>
      </w:pPr>
      <w:r w:rsidRPr="00026D92">
        <w:rPr>
          <w:sz w:val="20"/>
          <w:szCs w:val="20"/>
        </w:rPr>
        <w:t>cmooney@ohiopartners.org</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Ohio Partners for Affordable Energy</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Trent Dougherty</w:t>
      </w:r>
    </w:p>
    <w:p w:rsidR="005F203F" w:rsidRPr="00B6659B" w:rsidRDefault="005F203F" w:rsidP="005F203F">
      <w:pPr>
        <w:jc w:val="left"/>
        <w:rPr>
          <w:color w:val="000000" w:themeColor="text1"/>
          <w:sz w:val="20"/>
          <w:szCs w:val="20"/>
        </w:rPr>
      </w:pPr>
      <w:r w:rsidRPr="00B6659B">
        <w:rPr>
          <w:color w:val="000000" w:themeColor="text1"/>
          <w:sz w:val="20"/>
          <w:szCs w:val="20"/>
        </w:rPr>
        <w:t>1145 Chesapeake Ave., Suite I</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43212-3449</w:t>
      </w:r>
    </w:p>
    <w:p w:rsidR="005F203F" w:rsidRPr="00B6659B" w:rsidRDefault="005F203F" w:rsidP="005F203F">
      <w:pPr>
        <w:jc w:val="left"/>
        <w:rPr>
          <w:color w:val="000000" w:themeColor="text1"/>
          <w:sz w:val="20"/>
          <w:szCs w:val="20"/>
        </w:rPr>
      </w:pPr>
      <w:r w:rsidRPr="00026D92">
        <w:rPr>
          <w:sz w:val="20"/>
          <w:szCs w:val="20"/>
        </w:rPr>
        <w:t>tdougherty@theOEC.org</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the Ohio Environmental Council and Environmental Defense Fund</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Joel E. Sechler</w:t>
      </w:r>
    </w:p>
    <w:p w:rsidR="005F203F" w:rsidRPr="00B6659B" w:rsidRDefault="005F203F" w:rsidP="005F203F">
      <w:pPr>
        <w:jc w:val="left"/>
        <w:rPr>
          <w:color w:val="000000" w:themeColor="text1"/>
          <w:sz w:val="20"/>
          <w:szCs w:val="20"/>
        </w:rPr>
      </w:pPr>
      <w:r w:rsidRPr="00B6659B">
        <w:rPr>
          <w:color w:val="000000" w:themeColor="text1"/>
          <w:sz w:val="20"/>
          <w:szCs w:val="20"/>
        </w:rPr>
        <w:t>Carpenter Lipps &amp; Leland LLP</w:t>
      </w:r>
    </w:p>
    <w:p w:rsidR="005F203F" w:rsidRPr="00B6659B" w:rsidRDefault="005F203F" w:rsidP="005F203F">
      <w:pPr>
        <w:jc w:val="left"/>
        <w:rPr>
          <w:color w:val="000000" w:themeColor="text1"/>
          <w:sz w:val="20"/>
          <w:szCs w:val="20"/>
        </w:rPr>
      </w:pPr>
      <w:r w:rsidRPr="00B6659B">
        <w:rPr>
          <w:color w:val="000000" w:themeColor="text1"/>
          <w:sz w:val="20"/>
          <w:szCs w:val="20"/>
        </w:rPr>
        <w:t>280 North High Street, Suite 1300</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Sechler@carpenterlipps.com</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sectPr w:rsidR="005F203F" w:rsidRPr="00B6659B" w:rsidSect="00D75011">
          <w:pgSz w:w="12240" w:h="15840" w:code="1"/>
          <w:pgMar w:top="1440" w:right="1440" w:bottom="1440" w:left="1440" w:header="720" w:footer="720" w:gutter="0"/>
          <w:cols w:num="2" w:space="720"/>
          <w:titlePg/>
          <w:docGrid w:linePitch="360"/>
        </w:sectPr>
      </w:pPr>
    </w:p>
    <w:p w:rsidR="005F203F" w:rsidRPr="00B6659B" w:rsidRDefault="005F203F" w:rsidP="005F203F">
      <w:pPr>
        <w:jc w:val="left"/>
        <w:rPr>
          <w:color w:val="000000" w:themeColor="text1"/>
          <w:sz w:val="20"/>
          <w:szCs w:val="20"/>
        </w:rPr>
      </w:pPr>
      <w:r w:rsidRPr="00B6659B">
        <w:rPr>
          <w:color w:val="000000" w:themeColor="text1"/>
          <w:sz w:val="20"/>
          <w:szCs w:val="20"/>
        </w:rPr>
        <w:t>Gregory J. Poulos</w:t>
      </w:r>
    </w:p>
    <w:p w:rsidR="005F203F" w:rsidRPr="00B6659B" w:rsidRDefault="005F203F" w:rsidP="005F203F">
      <w:pPr>
        <w:jc w:val="left"/>
        <w:rPr>
          <w:color w:val="000000" w:themeColor="text1"/>
          <w:sz w:val="20"/>
          <w:szCs w:val="20"/>
        </w:rPr>
      </w:pPr>
      <w:r w:rsidRPr="00B6659B">
        <w:rPr>
          <w:color w:val="000000" w:themeColor="text1"/>
          <w:sz w:val="20"/>
          <w:szCs w:val="20"/>
        </w:rPr>
        <w:t>EnerNOC, Inc.</w:t>
      </w:r>
    </w:p>
    <w:p w:rsidR="005F203F" w:rsidRPr="00B6659B" w:rsidRDefault="005F203F" w:rsidP="005F203F">
      <w:pPr>
        <w:jc w:val="left"/>
        <w:rPr>
          <w:color w:val="000000" w:themeColor="text1"/>
          <w:sz w:val="20"/>
          <w:szCs w:val="20"/>
        </w:rPr>
      </w:pPr>
      <w:r w:rsidRPr="00B6659B">
        <w:rPr>
          <w:color w:val="000000" w:themeColor="text1"/>
          <w:sz w:val="20"/>
          <w:szCs w:val="20"/>
        </w:rPr>
        <w:t>PO Box 29492</w:t>
      </w:r>
    </w:p>
    <w:p w:rsidR="005F203F" w:rsidRPr="00B6659B" w:rsidRDefault="005F203F" w:rsidP="005F203F">
      <w:pPr>
        <w:jc w:val="left"/>
        <w:rPr>
          <w:color w:val="000000" w:themeColor="text1"/>
          <w:sz w:val="20"/>
          <w:szCs w:val="20"/>
        </w:rPr>
      </w:pPr>
      <w:r w:rsidRPr="00B6659B">
        <w:rPr>
          <w:color w:val="000000" w:themeColor="text1"/>
          <w:sz w:val="20"/>
          <w:szCs w:val="20"/>
        </w:rPr>
        <w:t>Columbus, OH  43229</w:t>
      </w:r>
    </w:p>
    <w:p w:rsidR="005F203F" w:rsidRPr="00B6659B" w:rsidRDefault="005F203F" w:rsidP="005F203F">
      <w:pPr>
        <w:jc w:val="left"/>
        <w:rPr>
          <w:color w:val="000000" w:themeColor="text1"/>
          <w:sz w:val="20"/>
          <w:szCs w:val="20"/>
        </w:rPr>
      </w:pPr>
      <w:r w:rsidRPr="00026D92">
        <w:rPr>
          <w:sz w:val="20"/>
          <w:szCs w:val="20"/>
        </w:rPr>
        <w:t>gpoulos@enernoc.com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EnerNOC, Inc.</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Richard L. Sites</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Regulatory Counsel</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Ohio Hospital Association</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155 East Broad Street, 3</w:t>
      </w:r>
      <w:r w:rsidRPr="00B6659B">
        <w:rPr>
          <w:rFonts w:eastAsia="Calibri"/>
          <w:color w:val="000000" w:themeColor="text1"/>
          <w:sz w:val="20"/>
          <w:szCs w:val="20"/>
          <w:vertAlign w:val="superscript"/>
        </w:rPr>
        <w:t>rd</w:t>
      </w:r>
      <w:r w:rsidRPr="00B6659B">
        <w:rPr>
          <w:rFonts w:eastAsia="Calibri"/>
          <w:color w:val="000000" w:themeColor="text1"/>
          <w:sz w:val="20"/>
          <w:szCs w:val="20"/>
        </w:rPr>
        <w:t xml:space="preserve"> Floor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Columbus, OH  43215-3620</w:t>
      </w:r>
    </w:p>
    <w:p w:rsidR="005F203F" w:rsidRPr="00B6659B" w:rsidRDefault="005F203F" w:rsidP="005F203F">
      <w:pPr>
        <w:jc w:val="left"/>
        <w:rPr>
          <w:rFonts w:eastAsia="Calibri"/>
          <w:color w:val="000000" w:themeColor="text1"/>
          <w:sz w:val="20"/>
          <w:szCs w:val="20"/>
        </w:rPr>
      </w:pPr>
      <w:r w:rsidRPr="00026D92">
        <w:rPr>
          <w:rFonts w:eastAsia="Calibri"/>
          <w:sz w:val="20"/>
          <w:szCs w:val="20"/>
        </w:rPr>
        <w:t>rick.sites@ohiohospitals.org</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Matthew Warnock</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Dylan Borchers</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Bricker &amp; Eckler LLP</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100 South Third Street</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Columbus, OH  43215-4291</w:t>
      </w:r>
    </w:p>
    <w:p w:rsidR="005F203F" w:rsidRPr="00B6659B" w:rsidRDefault="005F203F" w:rsidP="005F203F">
      <w:pPr>
        <w:jc w:val="left"/>
        <w:rPr>
          <w:rFonts w:eastAsia="Calibri"/>
          <w:color w:val="000000" w:themeColor="text1"/>
          <w:sz w:val="20"/>
          <w:szCs w:val="20"/>
        </w:rPr>
      </w:pPr>
      <w:r w:rsidRPr="00026D92">
        <w:rPr>
          <w:rFonts w:eastAsia="Calibri"/>
          <w:sz w:val="20"/>
          <w:szCs w:val="20"/>
        </w:rPr>
        <w:t>mwarnock@bricker.com</w:t>
      </w:r>
    </w:p>
    <w:p w:rsidR="005F203F" w:rsidRPr="00B6659B" w:rsidRDefault="005F203F" w:rsidP="005F203F">
      <w:pPr>
        <w:jc w:val="left"/>
        <w:rPr>
          <w:rFonts w:eastAsia="Calibri"/>
          <w:color w:val="000000" w:themeColor="text1"/>
          <w:sz w:val="20"/>
          <w:szCs w:val="20"/>
        </w:rPr>
      </w:pPr>
      <w:r w:rsidRPr="00026D92">
        <w:rPr>
          <w:rFonts w:eastAsia="Calibri"/>
          <w:sz w:val="20"/>
          <w:szCs w:val="20"/>
        </w:rPr>
        <w:t>dborchers@bricker.com</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ascii="Arial Bold" w:eastAsia="Calibri" w:hAnsi="Arial Bold"/>
          <w:b/>
          <w:smallCaps/>
          <w:color w:val="000000" w:themeColor="text1"/>
          <w:sz w:val="20"/>
          <w:szCs w:val="20"/>
        </w:rPr>
      </w:pPr>
      <w:r w:rsidRPr="00B6659B">
        <w:rPr>
          <w:rFonts w:ascii="Arial Bold" w:eastAsia="Calibri" w:hAnsi="Arial Bold"/>
          <w:b/>
          <w:smallCaps/>
          <w:color w:val="000000" w:themeColor="text1"/>
          <w:sz w:val="20"/>
          <w:szCs w:val="20"/>
        </w:rPr>
        <w:t>Counsel for The Ohio Hospital Association</w:t>
      </w:r>
    </w:p>
    <w:p w:rsidR="005F203F" w:rsidRPr="00B6659B" w:rsidRDefault="005F203F" w:rsidP="005F203F">
      <w:pPr>
        <w:jc w:val="left"/>
        <w:rPr>
          <w:rFonts w:ascii="Arial Bold" w:eastAsia="Calibri" w:hAnsi="Arial Bold"/>
          <w:b/>
          <w:smallCaps/>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Richard C. Sahli</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Richard Sahli Law Office, LLC</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981 Pinewood Lane</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Columbus, OH  43230-3662</w:t>
      </w:r>
    </w:p>
    <w:p w:rsidR="005F203F" w:rsidRPr="00B6659B" w:rsidRDefault="005F203F" w:rsidP="005F203F">
      <w:pPr>
        <w:jc w:val="left"/>
        <w:rPr>
          <w:rFonts w:eastAsia="Calibri"/>
          <w:color w:val="000000" w:themeColor="text1"/>
          <w:sz w:val="20"/>
          <w:szCs w:val="20"/>
        </w:rPr>
      </w:pPr>
      <w:r w:rsidRPr="00026D92">
        <w:rPr>
          <w:rFonts w:eastAsia="Calibri"/>
          <w:sz w:val="20"/>
          <w:szCs w:val="20"/>
        </w:rPr>
        <w:t>rsahli@columbus.rr.com</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Tony Mendoza</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Kristin Henry</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Sierra Club Environmental Law Program</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2101 Webster St., 13</w:t>
      </w:r>
      <w:r w:rsidRPr="00B6659B">
        <w:rPr>
          <w:rFonts w:eastAsia="Calibri"/>
          <w:color w:val="000000" w:themeColor="text1"/>
          <w:sz w:val="20"/>
          <w:szCs w:val="20"/>
          <w:vertAlign w:val="superscript"/>
        </w:rPr>
        <w:t>th</w:t>
      </w:r>
      <w:r w:rsidRPr="00B6659B">
        <w:rPr>
          <w:rFonts w:eastAsia="Calibri"/>
          <w:color w:val="000000" w:themeColor="text1"/>
          <w:sz w:val="20"/>
          <w:szCs w:val="20"/>
        </w:rPr>
        <w:t xml:space="preserve"> Floor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Oakland, CA  94612</w:t>
      </w:r>
    </w:p>
    <w:p w:rsidR="005F203F" w:rsidRPr="00B6659B" w:rsidRDefault="005F203F" w:rsidP="005F203F">
      <w:pPr>
        <w:jc w:val="left"/>
        <w:rPr>
          <w:rFonts w:eastAsia="Calibri"/>
          <w:color w:val="000000" w:themeColor="text1"/>
          <w:sz w:val="20"/>
          <w:szCs w:val="20"/>
        </w:rPr>
      </w:pPr>
      <w:r w:rsidRPr="00026D92">
        <w:rPr>
          <w:rFonts w:eastAsia="Calibri"/>
          <w:sz w:val="20"/>
          <w:szCs w:val="20"/>
        </w:rPr>
        <w:t>Tony.mendoza@sierraclub.org</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Kristin.henry@sierraclub.org</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Christopher M. Bzdok</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Olson Bzdok &amp; Howard, P.C.</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420 E. Front Street</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Traverse City, MI  49686</w:t>
      </w:r>
    </w:p>
    <w:p w:rsidR="005F203F" w:rsidRPr="00B6659B" w:rsidRDefault="005F203F" w:rsidP="005F203F">
      <w:pPr>
        <w:jc w:val="left"/>
        <w:rPr>
          <w:rFonts w:eastAsia="Calibri"/>
          <w:color w:val="000000" w:themeColor="text1"/>
          <w:sz w:val="20"/>
          <w:szCs w:val="20"/>
        </w:rPr>
      </w:pPr>
      <w:r w:rsidRPr="00026D92">
        <w:rPr>
          <w:rFonts w:eastAsia="Calibri"/>
          <w:sz w:val="20"/>
          <w:szCs w:val="20"/>
        </w:rPr>
        <w:t>chris@envlaw.com</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ascii="Arial Bold" w:eastAsia="Calibri" w:hAnsi="Arial Bold"/>
          <w:b/>
          <w:smallCaps/>
          <w:color w:val="000000" w:themeColor="text1"/>
          <w:sz w:val="20"/>
          <w:szCs w:val="20"/>
        </w:rPr>
      </w:pPr>
      <w:r w:rsidRPr="00B6659B">
        <w:rPr>
          <w:rFonts w:ascii="Arial Bold" w:eastAsia="Calibri" w:hAnsi="Arial Bold"/>
          <w:b/>
          <w:smallCaps/>
          <w:color w:val="000000" w:themeColor="text1"/>
          <w:sz w:val="20"/>
          <w:szCs w:val="20"/>
        </w:rPr>
        <w:t>Counsel for Sierra Club</w:t>
      </w:r>
    </w:p>
    <w:p w:rsidR="005F203F" w:rsidRPr="00B6659B" w:rsidRDefault="005F203F" w:rsidP="005F203F">
      <w:pPr>
        <w:jc w:val="left"/>
        <w:rPr>
          <w:rFonts w:ascii="Arial Bold" w:eastAsia="Calibri" w:hAnsi="Arial Bold"/>
          <w:b/>
          <w:smallCaps/>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Carl Tamm</w:t>
      </w:r>
    </w:p>
    <w:p w:rsidR="005F203F" w:rsidRPr="00B6659B" w:rsidRDefault="005F203F" w:rsidP="005F203F">
      <w:pPr>
        <w:jc w:val="left"/>
        <w:rPr>
          <w:color w:val="000000" w:themeColor="text1"/>
          <w:sz w:val="20"/>
          <w:szCs w:val="20"/>
        </w:rPr>
      </w:pPr>
      <w:r w:rsidRPr="00B6659B">
        <w:rPr>
          <w:color w:val="000000" w:themeColor="text1"/>
          <w:sz w:val="20"/>
          <w:szCs w:val="20"/>
        </w:rPr>
        <w:t>Classic Connectors, Inc.</w:t>
      </w:r>
    </w:p>
    <w:p w:rsidR="005F203F" w:rsidRPr="00B6659B" w:rsidRDefault="005F203F" w:rsidP="005F203F">
      <w:pPr>
        <w:jc w:val="left"/>
        <w:rPr>
          <w:color w:val="000000" w:themeColor="text1"/>
          <w:sz w:val="20"/>
          <w:szCs w:val="20"/>
        </w:rPr>
      </w:pPr>
      <w:r w:rsidRPr="00B6659B">
        <w:rPr>
          <w:color w:val="000000" w:themeColor="text1"/>
          <w:sz w:val="20"/>
          <w:szCs w:val="20"/>
        </w:rPr>
        <w:t>382 Park Avenue East</w:t>
      </w:r>
    </w:p>
    <w:p w:rsidR="005F203F" w:rsidRPr="00B6659B" w:rsidRDefault="005F203F" w:rsidP="005F203F">
      <w:pPr>
        <w:jc w:val="left"/>
        <w:rPr>
          <w:color w:val="000000" w:themeColor="text1"/>
          <w:sz w:val="20"/>
          <w:szCs w:val="20"/>
        </w:rPr>
      </w:pPr>
      <w:r w:rsidRPr="00B6659B">
        <w:rPr>
          <w:color w:val="000000" w:themeColor="text1"/>
          <w:sz w:val="20"/>
          <w:szCs w:val="20"/>
        </w:rPr>
        <w:t>Mansfield, OH  44905</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On Behalf of Classic Connectors, Inc.</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br w:type="column"/>
        <w:t>Steven D. Lesser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James F. Lang</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N. Trevor Alexander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Calfee, Halter &amp; Griswold LLP</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41 S. High St.</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1200 Huntington Center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Columbus, OH  43215</w:t>
      </w:r>
    </w:p>
    <w:p w:rsidR="005F203F" w:rsidRPr="00B6659B" w:rsidRDefault="005F203F" w:rsidP="005F203F">
      <w:pPr>
        <w:jc w:val="left"/>
        <w:rPr>
          <w:rFonts w:eastAsia="Calibri"/>
          <w:color w:val="000000" w:themeColor="text1"/>
          <w:sz w:val="20"/>
          <w:szCs w:val="20"/>
        </w:rPr>
      </w:pPr>
      <w:r w:rsidRPr="00026D92">
        <w:rPr>
          <w:rFonts w:eastAsia="Calibri"/>
          <w:sz w:val="20"/>
          <w:szCs w:val="20"/>
        </w:rPr>
        <w:t>slesser@calfee.com</w:t>
      </w:r>
    </w:p>
    <w:p w:rsidR="005F203F" w:rsidRPr="00B6659B" w:rsidRDefault="005F203F" w:rsidP="005F203F">
      <w:pPr>
        <w:jc w:val="left"/>
        <w:rPr>
          <w:rFonts w:eastAsia="Calibri"/>
          <w:color w:val="000000" w:themeColor="text1"/>
          <w:sz w:val="20"/>
          <w:szCs w:val="20"/>
        </w:rPr>
      </w:pPr>
      <w:r w:rsidRPr="00026D92">
        <w:rPr>
          <w:rFonts w:eastAsia="Calibri"/>
          <w:sz w:val="20"/>
          <w:szCs w:val="20"/>
        </w:rPr>
        <w:t>jlang@calfee.com</w:t>
      </w:r>
    </w:p>
    <w:p w:rsidR="005F203F" w:rsidRPr="00B6659B" w:rsidRDefault="005F203F" w:rsidP="005F203F">
      <w:pPr>
        <w:jc w:val="left"/>
        <w:rPr>
          <w:rFonts w:eastAsia="Calibri"/>
          <w:color w:val="000000" w:themeColor="text1"/>
          <w:sz w:val="20"/>
          <w:szCs w:val="20"/>
        </w:rPr>
      </w:pPr>
      <w:r w:rsidRPr="00026D92">
        <w:rPr>
          <w:rFonts w:eastAsia="Calibri"/>
          <w:sz w:val="20"/>
          <w:szCs w:val="20"/>
        </w:rPr>
        <w:t>talexander@calfee.com</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ascii="Arial Bold" w:eastAsia="Calibri" w:hAnsi="Arial Bold"/>
          <w:b/>
          <w:smallCaps/>
          <w:color w:val="000000" w:themeColor="text1"/>
          <w:sz w:val="20"/>
          <w:szCs w:val="20"/>
        </w:rPr>
      </w:pPr>
      <w:r w:rsidRPr="00B6659B">
        <w:rPr>
          <w:rFonts w:ascii="Arial Bold" w:eastAsia="Calibri" w:hAnsi="Arial Bold"/>
          <w:b/>
          <w:smallCaps/>
          <w:color w:val="000000" w:themeColor="text1"/>
          <w:sz w:val="20"/>
          <w:szCs w:val="20"/>
        </w:rPr>
        <w:t>Counsel for the City of Dayton and Honda of America Mfg., Inc.</w:t>
      </w:r>
    </w:p>
    <w:p w:rsidR="005F203F" w:rsidRPr="00B6659B" w:rsidRDefault="005F203F" w:rsidP="005F203F">
      <w:pPr>
        <w:jc w:val="left"/>
        <w:rPr>
          <w:rFonts w:ascii="Arial Bold" w:eastAsia="Calibri" w:hAnsi="Arial Bold"/>
          <w:b/>
          <w:smallCaps/>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Amy B. Spiller</w:t>
      </w:r>
    </w:p>
    <w:p w:rsidR="005F203F" w:rsidRPr="00B6659B" w:rsidRDefault="005F203F" w:rsidP="005F203F">
      <w:pPr>
        <w:jc w:val="left"/>
        <w:rPr>
          <w:color w:val="000000" w:themeColor="text1"/>
          <w:sz w:val="20"/>
          <w:szCs w:val="20"/>
        </w:rPr>
      </w:pPr>
      <w:r w:rsidRPr="00B6659B">
        <w:rPr>
          <w:color w:val="000000" w:themeColor="text1"/>
          <w:sz w:val="20"/>
          <w:szCs w:val="20"/>
        </w:rPr>
        <w:t>Elizabeth H. Watts</w:t>
      </w:r>
    </w:p>
    <w:p w:rsidR="005F203F" w:rsidRPr="00B6659B" w:rsidRDefault="005F203F" w:rsidP="005F203F">
      <w:pPr>
        <w:jc w:val="left"/>
        <w:rPr>
          <w:color w:val="000000" w:themeColor="text1"/>
          <w:sz w:val="20"/>
          <w:szCs w:val="20"/>
        </w:rPr>
      </w:pPr>
      <w:r w:rsidRPr="00B6659B">
        <w:rPr>
          <w:color w:val="000000" w:themeColor="text1"/>
          <w:sz w:val="20"/>
          <w:szCs w:val="20"/>
        </w:rPr>
        <w:t>Jeanne W. Kingery</w:t>
      </w:r>
    </w:p>
    <w:p w:rsidR="005F203F" w:rsidRPr="00B6659B" w:rsidRDefault="005F203F" w:rsidP="005F203F">
      <w:pPr>
        <w:jc w:val="left"/>
        <w:rPr>
          <w:color w:val="000000" w:themeColor="text1"/>
          <w:sz w:val="20"/>
          <w:szCs w:val="20"/>
        </w:rPr>
      </w:pPr>
      <w:r w:rsidRPr="00B6659B">
        <w:rPr>
          <w:color w:val="000000" w:themeColor="text1"/>
          <w:sz w:val="20"/>
          <w:szCs w:val="20"/>
        </w:rPr>
        <w:t>139 East Fourth Street</w:t>
      </w:r>
    </w:p>
    <w:p w:rsidR="005F203F" w:rsidRPr="00B6659B" w:rsidRDefault="005F203F" w:rsidP="005F203F">
      <w:pPr>
        <w:jc w:val="left"/>
        <w:rPr>
          <w:color w:val="000000" w:themeColor="text1"/>
          <w:sz w:val="20"/>
          <w:szCs w:val="20"/>
        </w:rPr>
      </w:pPr>
      <w:r w:rsidRPr="00B6659B">
        <w:rPr>
          <w:color w:val="000000" w:themeColor="text1"/>
          <w:sz w:val="20"/>
          <w:szCs w:val="20"/>
        </w:rPr>
        <w:t>1303-Main</w:t>
      </w:r>
    </w:p>
    <w:p w:rsidR="005F203F" w:rsidRPr="00B6659B" w:rsidRDefault="005F203F" w:rsidP="005F203F">
      <w:pPr>
        <w:jc w:val="left"/>
        <w:rPr>
          <w:color w:val="000000" w:themeColor="text1"/>
          <w:sz w:val="20"/>
          <w:szCs w:val="20"/>
        </w:rPr>
      </w:pPr>
      <w:r w:rsidRPr="00B6659B">
        <w:rPr>
          <w:color w:val="000000" w:themeColor="text1"/>
          <w:sz w:val="20"/>
          <w:szCs w:val="20"/>
        </w:rPr>
        <w:t>Cincinnati, OH  45202</w:t>
      </w:r>
    </w:p>
    <w:p w:rsidR="005F203F" w:rsidRPr="00B6659B" w:rsidRDefault="005F203F" w:rsidP="005F203F">
      <w:pPr>
        <w:jc w:val="left"/>
        <w:rPr>
          <w:color w:val="000000" w:themeColor="text1"/>
          <w:sz w:val="20"/>
          <w:szCs w:val="20"/>
        </w:rPr>
      </w:pPr>
      <w:r w:rsidRPr="00B6659B">
        <w:rPr>
          <w:color w:val="000000" w:themeColor="text1"/>
          <w:sz w:val="20"/>
          <w:szCs w:val="20"/>
        </w:rPr>
        <w:t>Amy.Spiller@Duke-Energy.com</w:t>
      </w:r>
    </w:p>
    <w:p w:rsidR="005F203F" w:rsidRPr="00B6659B" w:rsidRDefault="005F203F" w:rsidP="005F203F">
      <w:pPr>
        <w:jc w:val="left"/>
        <w:rPr>
          <w:color w:val="000000" w:themeColor="text1"/>
          <w:sz w:val="20"/>
          <w:szCs w:val="20"/>
        </w:rPr>
      </w:pPr>
      <w:r w:rsidRPr="00B6659B">
        <w:rPr>
          <w:color w:val="000000" w:themeColor="text1"/>
          <w:sz w:val="20"/>
          <w:szCs w:val="20"/>
        </w:rPr>
        <w:t>elizabeth.watts@duke-energy.com</w:t>
      </w:r>
    </w:p>
    <w:p w:rsidR="005F203F" w:rsidRPr="00B6659B" w:rsidRDefault="005F203F" w:rsidP="005F203F">
      <w:pPr>
        <w:jc w:val="left"/>
        <w:rPr>
          <w:color w:val="000000" w:themeColor="text1"/>
          <w:sz w:val="20"/>
          <w:szCs w:val="20"/>
        </w:rPr>
      </w:pPr>
      <w:r w:rsidRPr="00B6659B">
        <w:rPr>
          <w:color w:val="000000" w:themeColor="text1"/>
          <w:sz w:val="20"/>
          <w:szCs w:val="20"/>
        </w:rPr>
        <w:t>Jeanne.kingery@duke-energy.com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eastAsia="Calibri" w:hAnsi="Arial Bold"/>
          <w:b/>
          <w:smallCaps/>
          <w:color w:val="000000" w:themeColor="text1"/>
          <w:sz w:val="20"/>
          <w:szCs w:val="20"/>
        </w:rPr>
      </w:pPr>
      <w:r w:rsidRPr="00B6659B">
        <w:rPr>
          <w:rFonts w:ascii="Arial Bold" w:eastAsia="Calibri" w:hAnsi="Arial Bold"/>
          <w:b/>
          <w:smallCaps/>
          <w:color w:val="000000" w:themeColor="text1"/>
          <w:sz w:val="20"/>
          <w:szCs w:val="20"/>
        </w:rPr>
        <w:t>Counsel for Duke energy Ohio, Inc.</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Lisa Hawrot</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Spilman Thomas &amp; Battle, PLLC</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Century Centre Building</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1233 Main Street, Suite 4000</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Wheeling, WV 26003</w:t>
      </w:r>
    </w:p>
    <w:p w:rsidR="005F203F" w:rsidRPr="00B6659B" w:rsidRDefault="005F203F" w:rsidP="005F203F">
      <w:pPr>
        <w:jc w:val="left"/>
        <w:rPr>
          <w:rFonts w:eastAsia="Calibri"/>
          <w:color w:val="000000" w:themeColor="text1"/>
          <w:sz w:val="20"/>
          <w:szCs w:val="20"/>
        </w:rPr>
      </w:pPr>
      <w:r w:rsidRPr="00026D92">
        <w:rPr>
          <w:rFonts w:eastAsia="Calibri"/>
          <w:sz w:val="20"/>
          <w:szCs w:val="20"/>
        </w:rPr>
        <w:t>lhawrot@spilmanlaw.com</w:t>
      </w:r>
    </w:p>
    <w:p w:rsidR="005F203F" w:rsidRPr="00B6659B" w:rsidRDefault="005F203F" w:rsidP="005F203F">
      <w:pPr>
        <w:jc w:val="left"/>
        <w:rPr>
          <w:rFonts w:ascii="Arial Bold" w:eastAsia="Calibri" w:hAnsi="Arial Bold"/>
          <w:b/>
          <w:smallCaps/>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Derrick Price Williamson</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Spilman Thomas &amp; Battle, PLLC</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1100 Bent Creek Blvd., Suite 101</w:t>
      </w:r>
    </w:p>
    <w:p w:rsidR="005F203F" w:rsidRPr="00B6659B" w:rsidRDefault="005F203F" w:rsidP="005F203F">
      <w:pPr>
        <w:jc w:val="left"/>
        <w:rPr>
          <w:color w:val="000000" w:themeColor="text1"/>
          <w:sz w:val="20"/>
          <w:szCs w:val="20"/>
        </w:rPr>
      </w:pPr>
      <w:r w:rsidRPr="00B6659B">
        <w:rPr>
          <w:color w:val="000000" w:themeColor="text1"/>
          <w:sz w:val="20"/>
          <w:szCs w:val="20"/>
        </w:rPr>
        <w:t>Mechanicsburg, PA  17050</w:t>
      </w:r>
    </w:p>
    <w:p w:rsidR="005F203F" w:rsidRPr="00B6659B" w:rsidRDefault="005F203F" w:rsidP="005F203F">
      <w:pPr>
        <w:jc w:val="left"/>
        <w:rPr>
          <w:color w:val="000000" w:themeColor="text1"/>
          <w:sz w:val="20"/>
          <w:szCs w:val="20"/>
        </w:rPr>
      </w:pPr>
      <w:r w:rsidRPr="00026D92">
        <w:rPr>
          <w:sz w:val="20"/>
          <w:szCs w:val="20"/>
        </w:rPr>
        <w:t>dwilliamson@spilmanlaw.com</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Carrie M. Harris</w:t>
      </w:r>
    </w:p>
    <w:p w:rsidR="005F203F" w:rsidRPr="00B6659B" w:rsidRDefault="005F203F" w:rsidP="005F203F">
      <w:pPr>
        <w:jc w:val="left"/>
        <w:rPr>
          <w:color w:val="000000" w:themeColor="text1"/>
          <w:sz w:val="20"/>
          <w:szCs w:val="20"/>
        </w:rPr>
      </w:pPr>
      <w:r w:rsidRPr="00B6659B">
        <w:rPr>
          <w:color w:val="000000" w:themeColor="text1"/>
          <w:sz w:val="20"/>
          <w:szCs w:val="20"/>
        </w:rPr>
        <w:t>Spilman Thomas &amp; Battle, PLLC</w:t>
      </w:r>
    </w:p>
    <w:p w:rsidR="005F203F" w:rsidRPr="00B6659B" w:rsidRDefault="005F203F" w:rsidP="005F203F">
      <w:pPr>
        <w:jc w:val="left"/>
        <w:rPr>
          <w:color w:val="000000" w:themeColor="text1"/>
          <w:sz w:val="20"/>
          <w:szCs w:val="20"/>
        </w:rPr>
      </w:pPr>
      <w:r w:rsidRPr="00B6659B">
        <w:rPr>
          <w:color w:val="000000" w:themeColor="text1"/>
          <w:sz w:val="20"/>
          <w:szCs w:val="20"/>
        </w:rPr>
        <w:t>310 First Street, Suite 1100</w:t>
      </w:r>
    </w:p>
    <w:p w:rsidR="005F203F" w:rsidRPr="00B6659B" w:rsidRDefault="005F203F" w:rsidP="005F203F">
      <w:pPr>
        <w:jc w:val="left"/>
        <w:rPr>
          <w:color w:val="000000" w:themeColor="text1"/>
          <w:sz w:val="20"/>
          <w:szCs w:val="20"/>
        </w:rPr>
      </w:pPr>
      <w:r w:rsidRPr="00B6659B">
        <w:rPr>
          <w:color w:val="000000" w:themeColor="text1"/>
          <w:sz w:val="20"/>
          <w:szCs w:val="20"/>
        </w:rPr>
        <w:t>PO Box 90</w:t>
      </w:r>
    </w:p>
    <w:p w:rsidR="005F203F" w:rsidRPr="00B6659B" w:rsidRDefault="005F203F" w:rsidP="005F203F">
      <w:pPr>
        <w:jc w:val="left"/>
        <w:rPr>
          <w:color w:val="000000" w:themeColor="text1"/>
          <w:sz w:val="20"/>
          <w:szCs w:val="20"/>
        </w:rPr>
      </w:pPr>
      <w:r w:rsidRPr="00B6659B">
        <w:rPr>
          <w:color w:val="000000" w:themeColor="text1"/>
          <w:sz w:val="20"/>
          <w:szCs w:val="20"/>
        </w:rPr>
        <w:t>Roanoke, VA  24002-0090</w:t>
      </w:r>
    </w:p>
    <w:p w:rsidR="005F203F" w:rsidRPr="00B6659B" w:rsidRDefault="005F203F" w:rsidP="005F203F">
      <w:pPr>
        <w:jc w:val="left"/>
        <w:rPr>
          <w:color w:val="000000" w:themeColor="text1"/>
          <w:sz w:val="20"/>
          <w:szCs w:val="20"/>
        </w:rPr>
      </w:pPr>
      <w:r w:rsidRPr="00026D92">
        <w:rPr>
          <w:sz w:val="20"/>
          <w:szCs w:val="20"/>
        </w:rPr>
        <w:t>charis@spilmanlaw.com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to Wal-Mart Stores East, LP and Sam’s East, Inc.</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sectPr w:rsidR="005F203F" w:rsidRPr="00B6659B" w:rsidSect="00D75011">
          <w:pgSz w:w="12240" w:h="15840" w:code="1"/>
          <w:pgMar w:top="1440" w:right="1440" w:bottom="1440" w:left="1440" w:header="720" w:footer="720" w:gutter="0"/>
          <w:cols w:num="2" w:space="720"/>
          <w:titlePg/>
          <w:docGrid w:linePitch="360"/>
        </w:sectPr>
      </w:pPr>
    </w:p>
    <w:p w:rsidR="005F203F" w:rsidRPr="00B6659B" w:rsidRDefault="005F203F" w:rsidP="005F203F">
      <w:pPr>
        <w:jc w:val="left"/>
        <w:rPr>
          <w:color w:val="000000" w:themeColor="text1"/>
          <w:sz w:val="20"/>
          <w:szCs w:val="20"/>
        </w:rPr>
      </w:pPr>
      <w:r w:rsidRPr="00B6659B">
        <w:rPr>
          <w:color w:val="000000" w:themeColor="text1"/>
          <w:sz w:val="20"/>
          <w:szCs w:val="20"/>
        </w:rPr>
        <w:t>Terrence O’Donnell</w:t>
      </w:r>
    </w:p>
    <w:p w:rsidR="005F203F" w:rsidRPr="00B6659B" w:rsidRDefault="005F203F" w:rsidP="005F203F">
      <w:pPr>
        <w:jc w:val="left"/>
        <w:rPr>
          <w:color w:val="000000" w:themeColor="text1"/>
          <w:sz w:val="20"/>
          <w:szCs w:val="20"/>
        </w:rPr>
      </w:pPr>
      <w:r w:rsidRPr="00B6659B">
        <w:rPr>
          <w:color w:val="000000" w:themeColor="text1"/>
          <w:sz w:val="20"/>
          <w:szCs w:val="20"/>
        </w:rPr>
        <w:t>Raymond Seiler</w:t>
      </w:r>
    </w:p>
    <w:p w:rsidR="005F203F" w:rsidRPr="00B6659B" w:rsidRDefault="005F203F" w:rsidP="005F203F">
      <w:pPr>
        <w:jc w:val="left"/>
        <w:rPr>
          <w:color w:val="000000" w:themeColor="text1"/>
          <w:sz w:val="20"/>
          <w:szCs w:val="20"/>
        </w:rPr>
      </w:pPr>
      <w:r w:rsidRPr="00B6659B">
        <w:rPr>
          <w:color w:val="000000" w:themeColor="text1"/>
          <w:sz w:val="20"/>
          <w:szCs w:val="20"/>
        </w:rPr>
        <w:t>Dickinson Wright PLLC</w:t>
      </w:r>
    </w:p>
    <w:p w:rsidR="005F203F" w:rsidRPr="00B6659B" w:rsidRDefault="005F203F" w:rsidP="005F203F">
      <w:pPr>
        <w:jc w:val="left"/>
        <w:rPr>
          <w:color w:val="000000" w:themeColor="text1"/>
          <w:sz w:val="20"/>
          <w:szCs w:val="20"/>
        </w:rPr>
      </w:pPr>
      <w:r w:rsidRPr="00B6659B">
        <w:rPr>
          <w:color w:val="000000" w:themeColor="text1"/>
          <w:sz w:val="20"/>
          <w:szCs w:val="20"/>
        </w:rPr>
        <w:t>150 E. Gay Street, Suite 2400</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todonnell@dickinsonwright.com</w:t>
      </w:r>
    </w:p>
    <w:p w:rsidR="005F203F" w:rsidRPr="00B6659B" w:rsidRDefault="005F203F" w:rsidP="005F203F">
      <w:pPr>
        <w:jc w:val="left"/>
        <w:rPr>
          <w:color w:val="000000" w:themeColor="text1"/>
          <w:sz w:val="20"/>
          <w:szCs w:val="20"/>
        </w:rPr>
      </w:pPr>
      <w:r w:rsidRPr="00026D92">
        <w:rPr>
          <w:sz w:val="20"/>
          <w:szCs w:val="20"/>
        </w:rPr>
        <w:t>rseiler@dickinsonwright.com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to Mid-Atlantic Renewable Energy Coalition</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Ellis Jacobs</w:t>
      </w:r>
    </w:p>
    <w:p w:rsidR="005F203F" w:rsidRPr="00B6659B" w:rsidRDefault="005F203F" w:rsidP="005F203F">
      <w:pPr>
        <w:jc w:val="left"/>
        <w:rPr>
          <w:color w:val="000000" w:themeColor="text1"/>
          <w:sz w:val="20"/>
          <w:szCs w:val="20"/>
        </w:rPr>
      </w:pPr>
      <w:r w:rsidRPr="00B6659B">
        <w:rPr>
          <w:color w:val="000000" w:themeColor="text1"/>
          <w:sz w:val="20"/>
          <w:szCs w:val="20"/>
        </w:rPr>
        <w:t>130 West Second Street, Suite 700 East</w:t>
      </w:r>
    </w:p>
    <w:p w:rsidR="005F203F" w:rsidRPr="00B6659B" w:rsidRDefault="005F203F" w:rsidP="005F203F">
      <w:pPr>
        <w:jc w:val="left"/>
        <w:rPr>
          <w:color w:val="000000" w:themeColor="text1"/>
          <w:sz w:val="20"/>
          <w:szCs w:val="20"/>
        </w:rPr>
      </w:pPr>
      <w:r w:rsidRPr="00B6659B">
        <w:rPr>
          <w:color w:val="000000" w:themeColor="text1"/>
          <w:sz w:val="20"/>
          <w:szCs w:val="20"/>
        </w:rPr>
        <w:t>Dayton, OH  45402</w:t>
      </w:r>
    </w:p>
    <w:p w:rsidR="005F203F" w:rsidRPr="00B6659B" w:rsidRDefault="005F203F" w:rsidP="005F203F">
      <w:pPr>
        <w:jc w:val="left"/>
        <w:rPr>
          <w:color w:val="000000" w:themeColor="text1"/>
          <w:sz w:val="20"/>
          <w:szCs w:val="20"/>
        </w:rPr>
      </w:pPr>
      <w:r w:rsidRPr="00026D92">
        <w:rPr>
          <w:sz w:val="20"/>
          <w:szCs w:val="20"/>
        </w:rPr>
        <w:t>ejacobs@ablelaw.org</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to Edgemont Neighborhood Coalition and Advocates for Basic Legal Equality</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John R. Doll</w:t>
      </w:r>
    </w:p>
    <w:p w:rsidR="005F203F" w:rsidRPr="00B6659B" w:rsidRDefault="005F203F" w:rsidP="005F203F">
      <w:pPr>
        <w:jc w:val="left"/>
        <w:rPr>
          <w:color w:val="000000" w:themeColor="text1"/>
          <w:sz w:val="20"/>
          <w:szCs w:val="20"/>
        </w:rPr>
      </w:pPr>
      <w:r w:rsidRPr="00B6659B">
        <w:rPr>
          <w:color w:val="000000" w:themeColor="text1"/>
          <w:sz w:val="20"/>
          <w:szCs w:val="20"/>
        </w:rPr>
        <w:t>Matthew T. Crawford</w:t>
      </w:r>
    </w:p>
    <w:p w:rsidR="005F203F" w:rsidRPr="00B6659B" w:rsidRDefault="005F203F" w:rsidP="005F203F">
      <w:pPr>
        <w:jc w:val="left"/>
        <w:rPr>
          <w:color w:val="000000" w:themeColor="text1"/>
          <w:sz w:val="20"/>
          <w:szCs w:val="20"/>
        </w:rPr>
      </w:pPr>
      <w:r w:rsidRPr="00B6659B">
        <w:rPr>
          <w:color w:val="000000" w:themeColor="text1"/>
          <w:sz w:val="20"/>
          <w:szCs w:val="20"/>
        </w:rPr>
        <w:t>111 W. First Street, Suite 1100</w:t>
      </w:r>
    </w:p>
    <w:p w:rsidR="005F203F" w:rsidRPr="00B6659B" w:rsidRDefault="005F203F" w:rsidP="005F203F">
      <w:pPr>
        <w:jc w:val="left"/>
        <w:rPr>
          <w:color w:val="000000" w:themeColor="text1"/>
          <w:sz w:val="20"/>
          <w:szCs w:val="20"/>
        </w:rPr>
      </w:pPr>
      <w:r w:rsidRPr="00B6659B">
        <w:rPr>
          <w:color w:val="000000" w:themeColor="text1"/>
          <w:sz w:val="20"/>
          <w:szCs w:val="20"/>
        </w:rPr>
        <w:t>Dayton, OH  45402-1156</w:t>
      </w:r>
    </w:p>
    <w:p w:rsidR="005F203F" w:rsidRPr="00B6659B" w:rsidRDefault="005F203F" w:rsidP="005F203F">
      <w:pPr>
        <w:jc w:val="left"/>
        <w:rPr>
          <w:color w:val="000000" w:themeColor="text1"/>
          <w:sz w:val="20"/>
          <w:szCs w:val="20"/>
        </w:rPr>
      </w:pPr>
      <w:r w:rsidRPr="00026D92">
        <w:rPr>
          <w:sz w:val="20"/>
          <w:szCs w:val="20"/>
        </w:rPr>
        <w:t>jdoll@djflawfirm.com</w:t>
      </w:r>
    </w:p>
    <w:p w:rsidR="005F203F" w:rsidRPr="00B6659B" w:rsidRDefault="005F203F" w:rsidP="005F203F">
      <w:pPr>
        <w:jc w:val="left"/>
        <w:rPr>
          <w:color w:val="000000" w:themeColor="text1"/>
          <w:sz w:val="20"/>
          <w:szCs w:val="20"/>
        </w:rPr>
      </w:pPr>
      <w:r w:rsidRPr="00026D92">
        <w:rPr>
          <w:sz w:val="20"/>
          <w:szCs w:val="20"/>
        </w:rPr>
        <w:t>mcrawcord@djflawfirm.com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Utility Workers of America, Local 175</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t>Devin Parram</w:t>
      </w:r>
    </w:p>
    <w:p w:rsidR="005F203F" w:rsidRPr="00B6659B" w:rsidRDefault="005F203F" w:rsidP="005F203F">
      <w:pPr>
        <w:jc w:val="left"/>
        <w:rPr>
          <w:color w:val="000000" w:themeColor="text1"/>
          <w:sz w:val="20"/>
          <w:szCs w:val="20"/>
        </w:rPr>
      </w:pPr>
      <w:r w:rsidRPr="00B6659B">
        <w:rPr>
          <w:color w:val="000000" w:themeColor="text1"/>
          <w:sz w:val="20"/>
          <w:szCs w:val="20"/>
        </w:rPr>
        <w:t>Bricker and Eckler LLP</w:t>
      </w:r>
    </w:p>
    <w:p w:rsidR="005F203F" w:rsidRPr="00B6659B" w:rsidRDefault="005F203F" w:rsidP="005F203F">
      <w:pPr>
        <w:jc w:val="left"/>
        <w:rPr>
          <w:color w:val="000000" w:themeColor="text1"/>
          <w:sz w:val="20"/>
          <w:szCs w:val="20"/>
        </w:rPr>
      </w:pPr>
      <w:r w:rsidRPr="00B6659B">
        <w:rPr>
          <w:color w:val="000000" w:themeColor="text1"/>
          <w:sz w:val="20"/>
          <w:szCs w:val="20"/>
        </w:rPr>
        <w:t>100 South Third Street</w:t>
      </w:r>
    </w:p>
    <w:p w:rsidR="005F203F" w:rsidRPr="00B6659B" w:rsidRDefault="005F203F" w:rsidP="005F203F">
      <w:pPr>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026D92">
        <w:rPr>
          <w:sz w:val="20"/>
          <w:szCs w:val="20"/>
        </w:rPr>
        <w:t>dparram@bricker.com</w:t>
      </w:r>
    </w:p>
    <w:p w:rsidR="005F203F" w:rsidRPr="00B6659B" w:rsidRDefault="005F203F" w:rsidP="005F203F">
      <w:pPr>
        <w:jc w:val="left"/>
        <w:rPr>
          <w:color w:val="000000" w:themeColor="text1"/>
          <w:sz w:val="20"/>
          <w:szCs w:val="20"/>
        </w:rPr>
      </w:pPr>
    </w:p>
    <w:p w:rsidR="005F203F" w:rsidRPr="00B6659B" w:rsidRDefault="005F203F" w:rsidP="005F203F">
      <w:pPr>
        <w:jc w:val="left"/>
        <w:rPr>
          <w:rFonts w:ascii="Arial Bold" w:hAnsi="Arial Bold"/>
          <w:b/>
          <w:smallCaps/>
          <w:color w:val="000000" w:themeColor="text1"/>
          <w:sz w:val="20"/>
          <w:szCs w:val="20"/>
        </w:rPr>
      </w:pPr>
      <w:r w:rsidRPr="00B6659B">
        <w:rPr>
          <w:rFonts w:ascii="Arial Bold" w:hAnsi="Arial Bold"/>
          <w:b/>
          <w:smallCaps/>
          <w:color w:val="000000" w:themeColor="text1"/>
          <w:sz w:val="20"/>
          <w:szCs w:val="20"/>
        </w:rPr>
        <w:t>Counsel for People Working Cooperatively, Inc.</w:t>
      </w:r>
    </w:p>
    <w:p w:rsidR="005F203F" w:rsidRPr="00B6659B" w:rsidRDefault="005F203F" w:rsidP="005F203F">
      <w:pPr>
        <w:jc w:val="left"/>
        <w:rPr>
          <w:color w:val="000000" w:themeColor="text1"/>
          <w:sz w:val="20"/>
          <w:szCs w:val="20"/>
        </w:rPr>
      </w:pPr>
    </w:p>
    <w:p w:rsidR="005F203F" w:rsidRPr="00B6659B" w:rsidRDefault="005F203F" w:rsidP="005F203F">
      <w:pPr>
        <w:jc w:val="left"/>
        <w:rPr>
          <w:color w:val="000000" w:themeColor="text1"/>
          <w:sz w:val="20"/>
          <w:szCs w:val="20"/>
        </w:rPr>
      </w:pPr>
      <w:r w:rsidRPr="00B6659B">
        <w:rPr>
          <w:color w:val="000000" w:themeColor="text1"/>
          <w:sz w:val="20"/>
          <w:szCs w:val="20"/>
        </w:rPr>
        <w:br w:type="column"/>
        <w:t>William L. Wright</w:t>
      </w:r>
    </w:p>
    <w:p w:rsidR="005F203F" w:rsidRPr="00B6659B" w:rsidRDefault="005F203F" w:rsidP="005F203F">
      <w:pPr>
        <w:jc w:val="left"/>
        <w:rPr>
          <w:color w:val="000000" w:themeColor="text1"/>
          <w:sz w:val="20"/>
          <w:szCs w:val="20"/>
        </w:rPr>
      </w:pPr>
      <w:r w:rsidRPr="00B6659B">
        <w:rPr>
          <w:color w:val="000000" w:themeColor="text1"/>
          <w:sz w:val="20"/>
          <w:szCs w:val="20"/>
        </w:rPr>
        <w:t>Chief, Public Utilities Section</w:t>
      </w:r>
    </w:p>
    <w:p w:rsidR="005F203F" w:rsidRPr="00B6659B" w:rsidRDefault="005F203F" w:rsidP="005F203F">
      <w:pPr>
        <w:autoSpaceDE w:val="0"/>
        <w:autoSpaceDN w:val="0"/>
        <w:adjustRightInd w:val="0"/>
        <w:snapToGrid w:val="0"/>
        <w:jc w:val="left"/>
        <w:rPr>
          <w:color w:val="000000" w:themeColor="text1"/>
          <w:sz w:val="20"/>
          <w:szCs w:val="20"/>
        </w:rPr>
      </w:pPr>
      <w:r w:rsidRPr="00B6659B">
        <w:rPr>
          <w:color w:val="000000" w:themeColor="text1"/>
          <w:sz w:val="20"/>
          <w:szCs w:val="20"/>
        </w:rPr>
        <w:t>Office of Attorney General</w:t>
      </w:r>
    </w:p>
    <w:p w:rsidR="005F203F" w:rsidRPr="00B6659B" w:rsidRDefault="005F203F" w:rsidP="005F203F">
      <w:pPr>
        <w:autoSpaceDE w:val="0"/>
        <w:autoSpaceDN w:val="0"/>
        <w:adjustRightInd w:val="0"/>
        <w:snapToGrid w:val="0"/>
        <w:jc w:val="left"/>
        <w:rPr>
          <w:color w:val="000000" w:themeColor="text1"/>
          <w:sz w:val="20"/>
          <w:szCs w:val="20"/>
        </w:rPr>
      </w:pPr>
      <w:r w:rsidRPr="00B6659B">
        <w:rPr>
          <w:color w:val="000000" w:themeColor="text1"/>
          <w:sz w:val="20"/>
          <w:szCs w:val="20"/>
        </w:rPr>
        <w:t>30 East Broad Street, 16th Floor</w:t>
      </w:r>
    </w:p>
    <w:p w:rsidR="005F203F" w:rsidRPr="00B6659B" w:rsidRDefault="005F203F" w:rsidP="005F203F">
      <w:pPr>
        <w:autoSpaceDE w:val="0"/>
        <w:autoSpaceDN w:val="0"/>
        <w:adjustRightInd w:val="0"/>
        <w:snapToGrid w:val="0"/>
        <w:jc w:val="left"/>
        <w:rPr>
          <w:color w:val="000000" w:themeColor="text1"/>
          <w:sz w:val="20"/>
          <w:szCs w:val="20"/>
        </w:rPr>
      </w:pPr>
      <w:r w:rsidRPr="00B6659B">
        <w:rPr>
          <w:color w:val="000000" w:themeColor="text1"/>
          <w:sz w:val="20"/>
          <w:szCs w:val="20"/>
        </w:rPr>
        <w:t>Columbus, OH 43215</w:t>
      </w:r>
    </w:p>
    <w:p w:rsidR="005F203F" w:rsidRPr="00B6659B" w:rsidRDefault="005F203F" w:rsidP="005F203F">
      <w:pPr>
        <w:jc w:val="left"/>
        <w:rPr>
          <w:color w:val="000000" w:themeColor="text1"/>
          <w:sz w:val="20"/>
          <w:szCs w:val="20"/>
        </w:rPr>
      </w:pPr>
      <w:r w:rsidRPr="00B6659B">
        <w:rPr>
          <w:color w:val="000000" w:themeColor="text1"/>
          <w:sz w:val="20"/>
          <w:szCs w:val="20"/>
        </w:rPr>
        <w:t>william.wright@ohioattorneygeneral.gov</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eastAsia="Calibri"/>
          <w:b/>
          <w:smallCaps/>
          <w:color w:val="000000" w:themeColor="text1"/>
          <w:sz w:val="20"/>
          <w:szCs w:val="20"/>
        </w:rPr>
      </w:pPr>
      <w:r w:rsidRPr="00B6659B">
        <w:rPr>
          <w:rFonts w:eastAsia="Calibri"/>
          <w:b/>
          <w:smallCaps/>
          <w:color w:val="000000" w:themeColor="text1"/>
          <w:sz w:val="20"/>
          <w:szCs w:val="20"/>
        </w:rPr>
        <w:t>Counsel for the Staff of the Public Utilities Commission of Ohio</w:t>
      </w:r>
    </w:p>
    <w:p w:rsidR="005F203F" w:rsidRPr="00B6659B" w:rsidRDefault="005F203F" w:rsidP="005F203F">
      <w:pPr>
        <w:jc w:val="left"/>
        <w:rPr>
          <w:rFonts w:eastAsia="Calibri"/>
          <w:b/>
          <w:smallCaps/>
          <w:color w:val="000000" w:themeColor="text1"/>
          <w:sz w:val="20"/>
          <w:szCs w:val="20"/>
        </w:rPr>
      </w:pP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Bryce McKenney</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Gregory Price</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Attorney Examiners</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Legal Department</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Public Utilities Commission of Ohio</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180 East Broad Street, 12</w:t>
      </w:r>
      <w:r w:rsidRPr="00B6659B">
        <w:rPr>
          <w:rFonts w:eastAsia="Calibri"/>
          <w:color w:val="000000" w:themeColor="text1"/>
          <w:sz w:val="20"/>
          <w:szCs w:val="20"/>
          <w:vertAlign w:val="superscript"/>
        </w:rPr>
        <w:t>th</w:t>
      </w:r>
      <w:r w:rsidRPr="00B6659B">
        <w:rPr>
          <w:rFonts w:eastAsia="Calibri"/>
          <w:color w:val="000000" w:themeColor="text1"/>
          <w:sz w:val="20"/>
          <w:szCs w:val="20"/>
        </w:rPr>
        <w:t xml:space="preserve"> Floor</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Columbus OH  43215</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bryce.mckenney@puc.state.oh.us</w:t>
      </w:r>
    </w:p>
    <w:p w:rsidR="005F203F" w:rsidRPr="00B6659B" w:rsidRDefault="005F203F" w:rsidP="005F203F">
      <w:pPr>
        <w:jc w:val="left"/>
        <w:rPr>
          <w:rFonts w:eastAsia="Calibri"/>
          <w:color w:val="000000" w:themeColor="text1"/>
          <w:sz w:val="20"/>
          <w:szCs w:val="20"/>
        </w:rPr>
      </w:pPr>
      <w:r w:rsidRPr="00B6659B">
        <w:rPr>
          <w:rFonts w:eastAsia="Calibri"/>
          <w:color w:val="000000" w:themeColor="text1"/>
          <w:sz w:val="20"/>
          <w:szCs w:val="20"/>
        </w:rPr>
        <w:t>gregory.price@puc.state.oh.us</w:t>
      </w:r>
    </w:p>
    <w:p w:rsidR="005F203F" w:rsidRPr="00B6659B" w:rsidRDefault="005F203F" w:rsidP="005F203F">
      <w:pPr>
        <w:jc w:val="left"/>
        <w:rPr>
          <w:rFonts w:eastAsia="Calibri"/>
          <w:color w:val="000000" w:themeColor="text1"/>
          <w:sz w:val="20"/>
          <w:szCs w:val="20"/>
        </w:rPr>
      </w:pPr>
    </w:p>
    <w:p w:rsidR="005F203F" w:rsidRPr="00B6659B" w:rsidRDefault="005F203F" w:rsidP="005F203F">
      <w:pPr>
        <w:jc w:val="left"/>
        <w:rPr>
          <w:rFonts w:ascii="Arial Bold" w:eastAsia="Calibri" w:hAnsi="Arial Bold"/>
          <w:b/>
          <w:smallCaps/>
          <w:color w:val="000000" w:themeColor="text1"/>
          <w:sz w:val="20"/>
          <w:szCs w:val="20"/>
        </w:rPr>
      </w:pPr>
      <w:r w:rsidRPr="00B6659B">
        <w:rPr>
          <w:rFonts w:ascii="Arial Bold" w:eastAsia="Calibri" w:hAnsi="Arial Bold"/>
          <w:b/>
          <w:smallCaps/>
          <w:color w:val="000000" w:themeColor="text1"/>
          <w:sz w:val="20"/>
          <w:szCs w:val="20"/>
        </w:rPr>
        <w:t>Attorney Examiners</w:t>
      </w:r>
    </w:p>
    <w:p w:rsidR="005F203F" w:rsidRPr="00B6659B" w:rsidRDefault="005F203F" w:rsidP="005F203F">
      <w:pPr>
        <w:jc w:val="left"/>
        <w:rPr>
          <w:rFonts w:eastAsia="Calibri"/>
          <w:color w:val="000000" w:themeColor="text1"/>
          <w:sz w:val="20"/>
          <w:szCs w:val="20"/>
        </w:rPr>
      </w:pPr>
    </w:p>
    <w:p w:rsidR="005F203F" w:rsidRPr="00B6659B" w:rsidRDefault="005F203F" w:rsidP="005F203F">
      <w:pPr>
        <w:tabs>
          <w:tab w:val="center" w:pos="7200"/>
          <w:tab w:val="right" w:pos="9360"/>
        </w:tabs>
      </w:pPr>
    </w:p>
    <w:p w:rsidR="00420A41" w:rsidRPr="00B6659B" w:rsidRDefault="00420A41" w:rsidP="005F203F">
      <w:pPr>
        <w:spacing w:line="480" w:lineRule="auto"/>
      </w:pPr>
    </w:p>
    <w:sectPr w:rsidR="00420A41" w:rsidRPr="00B6659B" w:rsidSect="00D75011">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92" w:rsidRDefault="00026D92" w:rsidP="00234E8C">
      <w:r>
        <w:separator/>
      </w:r>
    </w:p>
  </w:endnote>
  <w:endnote w:type="continuationSeparator" w:id="0">
    <w:p w:rsidR="00026D92" w:rsidRDefault="00026D92" w:rsidP="0023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Footer"/>
      <w:framePr w:wrap="around" w:vAnchor="text" w:hAnchor="margin" w:xAlign="center" w:y="1"/>
      <w:rPr>
        <w:rStyle w:val="PageNumber"/>
      </w:rPr>
    </w:pPr>
    <w:r>
      <w:rPr>
        <w:rStyle w:val="PageNumber"/>
        <w:noProof/>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773F" w:rsidRDefault="0009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Footer"/>
      <w:rPr>
        <w:noProof/>
        <w:sz w:val="16"/>
      </w:rPr>
    </w:pPr>
    <w:r w:rsidRPr="003950C2">
      <w:rPr>
        <w:noProof/>
        <w:vanish/>
        <w:sz w:val="16"/>
      </w:rPr>
      <w:t>{</w:t>
    </w:r>
    <w:r w:rsidRPr="003950C2">
      <w:rPr>
        <w:noProof/>
        <w:sz w:val="16"/>
      </w:rPr>
      <w:t>C0100009:2</w:t>
    </w:r>
    <w:r w:rsidRPr="003950C2">
      <w:rPr>
        <w:noProof/>
        <w:vanish/>
        <w:sz w:val="16"/>
      </w:rPr>
      <w:t>}</w:t>
    </w:r>
    <w:r>
      <w:rPr>
        <w:noProof/>
        <w:sz w:val="16"/>
      </w:rPr>
      <w:tab/>
    </w:r>
    <w:r w:rsidRPr="00D93B23">
      <w:rPr>
        <w:noProof/>
        <w:sz w:val="22"/>
        <w:szCs w:val="22"/>
      </w:rPr>
      <w:fldChar w:fldCharType="begin"/>
    </w:r>
    <w:r w:rsidRPr="00D93B23">
      <w:rPr>
        <w:noProof/>
        <w:sz w:val="22"/>
        <w:szCs w:val="22"/>
      </w:rPr>
      <w:instrText xml:space="preserve"> PAGE   \* MERGEFORMAT </w:instrText>
    </w:r>
    <w:r w:rsidRPr="00D93B23">
      <w:rPr>
        <w:noProof/>
        <w:sz w:val="22"/>
        <w:szCs w:val="22"/>
      </w:rPr>
      <w:fldChar w:fldCharType="separate"/>
    </w:r>
    <w:r w:rsidR="003D2AF1">
      <w:rPr>
        <w:noProof/>
        <w:sz w:val="22"/>
        <w:szCs w:val="22"/>
      </w:rPr>
      <w:t>i</w:t>
    </w:r>
    <w:r w:rsidRPr="00D93B23">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rsidP="009F6525">
    <w:pPr>
      <w:pStyle w:val="Footer"/>
    </w:pPr>
    <w:r w:rsidRPr="003950C2">
      <w:rPr>
        <w:noProof/>
        <w:vanish/>
        <w:sz w:val="16"/>
      </w:rPr>
      <w:t>{</w:t>
    </w:r>
    <w:r w:rsidRPr="003950C2">
      <w:rPr>
        <w:noProof/>
        <w:sz w:val="16"/>
      </w:rPr>
      <w:t>C0100009:2</w:t>
    </w:r>
    <w:r w:rsidRPr="003950C2">
      <w:rPr>
        <w:noProof/>
        <w:vanish/>
        <w:sz w:val="16"/>
      </w:rPr>
      <w:t>}</w:t>
    </w:r>
    <w:r>
      <w:rPr>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Pr="00234E8C" w:rsidRDefault="0009773F">
    <w:pPr>
      <w:pStyle w:val="Footer"/>
    </w:pPr>
    <w:r w:rsidRPr="003950C2">
      <w:rPr>
        <w:noProof/>
        <w:vanish/>
        <w:sz w:val="16"/>
      </w:rPr>
      <w:t>{</w:t>
    </w:r>
    <w:r w:rsidRPr="003950C2">
      <w:rPr>
        <w:noProof/>
        <w:sz w:val="16"/>
      </w:rPr>
      <w:t>C0100009:2</w:t>
    </w:r>
    <w:r w:rsidRPr="003950C2">
      <w:rPr>
        <w:noProof/>
        <w:vanish/>
        <w:sz w:val="16"/>
      </w:rPr>
      <w:t>}</w:t>
    </w:r>
    <w:r>
      <w:rPr>
        <w:noProof/>
        <w:sz w:val="16"/>
      </w:rPr>
      <w:tab/>
    </w:r>
    <w:r w:rsidRPr="002A1D98">
      <w:rPr>
        <w:noProof/>
        <w:sz w:val="22"/>
        <w:szCs w:val="22"/>
      </w:rPr>
      <w:fldChar w:fldCharType="begin"/>
    </w:r>
    <w:r w:rsidRPr="002A1D98">
      <w:rPr>
        <w:noProof/>
        <w:sz w:val="22"/>
        <w:szCs w:val="22"/>
      </w:rPr>
      <w:instrText xml:space="preserve"> PAGE   \* MERGEFORMAT </w:instrText>
    </w:r>
    <w:r w:rsidRPr="002A1D98">
      <w:rPr>
        <w:noProof/>
        <w:sz w:val="22"/>
        <w:szCs w:val="22"/>
      </w:rPr>
      <w:fldChar w:fldCharType="separate"/>
    </w:r>
    <w:r w:rsidR="003D2AF1">
      <w:rPr>
        <w:noProof/>
        <w:sz w:val="22"/>
        <w:szCs w:val="22"/>
      </w:rPr>
      <w:t>19</w:t>
    </w:r>
    <w:r w:rsidRPr="002A1D98">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Pr="00234E8C" w:rsidRDefault="0009773F">
    <w:pPr>
      <w:pStyle w:val="Footer"/>
    </w:pPr>
    <w:r w:rsidRPr="003950C2">
      <w:rPr>
        <w:noProof/>
        <w:vanish/>
        <w:sz w:val="16"/>
      </w:rPr>
      <w:t>{</w:t>
    </w:r>
    <w:r w:rsidRPr="003950C2">
      <w:rPr>
        <w:noProof/>
        <w:sz w:val="16"/>
      </w:rPr>
      <w:t>C0100009:2</w:t>
    </w:r>
    <w:r w:rsidRPr="003950C2">
      <w:rPr>
        <w:noProof/>
        <w:vanish/>
        <w:sz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3F" w:rsidRPr="000A295A" w:rsidRDefault="005F203F">
    <w:pPr>
      <w:pStyle w:val="Footer"/>
    </w:pPr>
    <w:r w:rsidRPr="007B7CCA">
      <w:rPr>
        <w:noProof/>
        <w:sz w:val="16"/>
      </w:rPr>
      <w:t>{C51064:3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3F" w:rsidRPr="000A295A" w:rsidRDefault="005F203F" w:rsidP="009A3C0A">
    <w:pPr>
      <w:pStyle w:val="Footer"/>
    </w:pPr>
    <w:r w:rsidRPr="007B7CCA">
      <w:rPr>
        <w:noProof/>
        <w:sz w:val="16"/>
      </w:rPr>
      <w:t>{C51064:3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92" w:rsidRDefault="00026D92" w:rsidP="00234E8C">
      <w:pPr>
        <w:rPr>
          <w:noProof/>
        </w:rPr>
      </w:pPr>
      <w:r>
        <w:rPr>
          <w:noProof/>
        </w:rPr>
        <w:separator/>
      </w:r>
    </w:p>
  </w:footnote>
  <w:footnote w:type="continuationSeparator" w:id="0">
    <w:p w:rsidR="00026D92" w:rsidRDefault="00026D92" w:rsidP="00234E8C">
      <w:r>
        <w:continuationSeparator/>
      </w:r>
    </w:p>
  </w:footnote>
  <w:footnote w:id="1">
    <w:p w:rsidR="0009773F" w:rsidRDefault="0009773F" w:rsidP="002336FF">
      <w:pPr>
        <w:pStyle w:val="FootnoteText"/>
        <w:spacing w:after="120"/>
      </w:pPr>
      <w:r>
        <w:rPr>
          <w:rStyle w:val="FootnoteReference"/>
        </w:rPr>
        <w:footnoteRef/>
      </w:r>
      <w:r>
        <w:t xml:space="preserve"> DP&amp;L Response to IGS INT 2-1 (Attached as Attachment A).</w:t>
      </w:r>
    </w:p>
  </w:footnote>
  <w:footnote w:id="2">
    <w:p w:rsidR="0009773F" w:rsidRPr="005C1E97" w:rsidRDefault="0009773F" w:rsidP="00532E2A">
      <w:pPr>
        <w:pStyle w:val="FootnoteText"/>
        <w:rPr>
          <w:i/>
        </w:rPr>
      </w:pPr>
      <w:r>
        <w:rPr>
          <w:rStyle w:val="FootnoteReference"/>
        </w:rPr>
        <w:footnoteRef/>
      </w:r>
      <w:r>
        <w:t xml:space="preserve"> </w:t>
      </w:r>
      <w:r w:rsidRPr="005C1E97">
        <w:rPr>
          <w:i/>
        </w:rPr>
        <w:t>In the Matter of the Application of The Dayton Power and Light Company for Authority to Transfer or Sell its Generation Assets</w:t>
      </w:r>
      <w:r>
        <w:t>, Case No. 13-2420-EL-UNC, Finding and Order at 17-19 (Sep. 17, 2014) (“</w:t>
      </w:r>
      <w:r>
        <w:rPr>
          <w:i/>
        </w:rPr>
        <w:t>Asset Divestiture Case</w:t>
      </w:r>
      <w:r>
        <w:t>”).</w:t>
      </w:r>
    </w:p>
  </w:footnote>
  <w:footnote w:id="3">
    <w:p w:rsidR="0009773F" w:rsidRPr="001573A2" w:rsidRDefault="0009773F" w:rsidP="002336FF">
      <w:pPr>
        <w:pStyle w:val="FootnoteText"/>
        <w:spacing w:after="120"/>
      </w:pPr>
      <w:r>
        <w:rPr>
          <w:rStyle w:val="FootnoteReference"/>
        </w:rPr>
        <w:footnoteRef/>
      </w:r>
      <w:r>
        <w:t xml:space="preserve"> </w:t>
      </w:r>
      <w:r>
        <w:rPr>
          <w:i/>
        </w:rPr>
        <w:t>See</w:t>
      </w:r>
      <w:r>
        <w:t xml:space="preserve"> Direct Testimony of R. Jeffrey Malinak at 25 (Oct. 31, 2016) (“the ability of DPL to service its debt and remain a viable firm in the medium to long term will directly depend on the cash flows from DP&amp;L”); </w:t>
      </w:r>
      <w:r>
        <w:rPr>
          <w:i/>
        </w:rPr>
        <w:t>id.</w:t>
      </w:r>
      <w:r>
        <w:t xml:space="preserve"> at 26 (revenue from DP&amp;L comprises approximately 96% of DPL Inc.’s total revenue).</w:t>
      </w:r>
    </w:p>
  </w:footnote>
  <w:footnote w:id="4">
    <w:p w:rsidR="0009773F" w:rsidRDefault="0009773F" w:rsidP="002336FF">
      <w:pPr>
        <w:pStyle w:val="FootnoteText"/>
        <w:spacing w:after="120"/>
      </w:pPr>
      <w:r>
        <w:rPr>
          <w:rStyle w:val="FootnoteReference"/>
        </w:rPr>
        <w:footnoteRef/>
      </w:r>
      <w:r>
        <w:t xml:space="preserve"> DP&amp;L collected approximately $293 million through the SSR between January 1, 2014 and August 31, 2016 ($110 million/year for 32 months).  Over the same timeframe, DP&amp;L paid dividends to DPL Inc. totaling approximately $212 million</w:t>
      </w:r>
      <w:r w:rsidRPr="00F25CB3">
        <w:t xml:space="preserve">. </w:t>
      </w:r>
      <w:r>
        <w:t xml:space="preserve"> DPL Inc./DP&amp;L SEC 10-K/A at 75 (Mar. 16, 2016), available at: </w:t>
      </w:r>
      <w:hyperlink r:id="rId1" w:history="1">
        <w:r w:rsidRPr="00621970">
          <w:rPr>
            <w:rStyle w:val="Hyperlink"/>
          </w:rPr>
          <w:t>https://www.sec.gov/Archives/edgar/data/27430/000078725016000042/dpl10k12312015q410-ka.htm</w:t>
        </w:r>
      </w:hyperlink>
      <w:r>
        <w:t xml:space="preserve"> (DP&amp;L paid dividends of $50.9 million in 2015 and $160.8 million in 2014).</w:t>
      </w:r>
      <w:r w:rsidRPr="0023785E">
        <w:t xml:space="preserve"> </w:t>
      </w:r>
    </w:p>
  </w:footnote>
  <w:footnote w:id="5">
    <w:p w:rsidR="0009773F" w:rsidRPr="004B6F05" w:rsidRDefault="0009773F" w:rsidP="002336FF">
      <w:pPr>
        <w:pStyle w:val="FootnoteText"/>
        <w:spacing w:after="120"/>
      </w:pPr>
      <w:r>
        <w:rPr>
          <w:rStyle w:val="FootnoteReference"/>
        </w:rPr>
        <w:footnoteRef/>
      </w:r>
      <w:r>
        <w:t xml:space="preserve"> </w:t>
      </w:r>
      <w:r>
        <w:rPr>
          <w:i/>
        </w:rPr>
        <w:t xml:space="preserve">In The Matter of the Application of The AES Corporation, Dolphin Sub, Inc., DPL Inc. and The Dayton Power and Light Company for Consent and Approval for a Change of Control of The Dayton Power and Light </w:t>
      </w:r>
      <w:r w:rsidRPr="0023785E">
        <w:t>Company</w:t>
      </w:r>
      <w:r>
        <w:t>, Case No. 11</w:t>
      </w:r>
      <w:r>
        <w:noBreakHyphen/>
        <w:t>3002</w:t>
      </w:r>
      <w:r>
        <w:noBreakHyphen/>
        <w:t>EL</w:t>
      </w:r>
      <w:r>
        <w:noBreakHyphen/>
        <w:t>MER, Staff Comments at 4 (July 18, 2011) (“</w:t>
      </w:r>
      <w:r w:rsidRPr="0023785E">
        <w:rPr>
          <w:i/>
        </w:rPr>
        <w:t>Merger Case</w:t>
      </w:r>
      <w:r>
        <w:t>”).  Specifically, Staff recommended that “</w:t>
      </w:r>
      <w:r w:rsidRPr="001C4217">
        <w:rPr>
          <w:rFonts w:cs="Arial"/>
        </w:rPr>
        <w:t>no merger related costs (long or short term) should be recovered through regulated rates and recommends the Commission include this requirement in any approval of the merger.”</w:t>
      </w:r>
      <w:r>
        <w:rPr>
          <w:rFonts w:cs="Arial"/>
        </w:rPr>
        <w:t xml:space="preserve">  </w:t>
      </w:r>
      <w:r>
        <w:rPr>
          <w:rFonts w:cs="Arial"/>
          <w:i/>
        </w:rPr>
        <w:t xml:space="preserve">Id.  </w:t>
      </w:r>
      <w:r w:rsidRPr="004B6F05">
        <w:rPr>
          <w:rFonts w:cs="Arial"/>
        </w:rPr>
        <w:t>Staff further recommended that the Commission “incorporate additional ring-fencing provisions. First, Staff recommends that the Commission include a requirement that DP&amp;L maintain a capital structure of at least 45 percent equity. In addition, Staff recommends that DP&amp;L should maintain a retained earnings to total utility plant ratio of at least ten percent. Staff believes these additional measures should allow DP&amp;L to remain viable even if its affiliated companies become financially unstable.”</w:t>
      </w:r>
      <w:r>
        <w:rPr>
          <w:rFonts w:cs="Arial"/>
        </w:rPr>
        <w:t xml:space="preserve">  </w:t>
      </w:r>
      <w:r>
        <w:rPr>
          <w:rFonts w:cs="Arial"/>
          <w:i/>
        </w:rPr>
        <w:t>Id.</w:t>
      </w:r>
      <w:r>
        <w:rPr>
          <w:rFonts w:cs="Arial"/>
        </w:rPr>
        <w:t xml:space="preserve"> at 6.</w:t>
      </w:r>
    </w:p>
  </w:footnote>
  <w:footnote w:id="6">
    <w:p w:rsidR="0009773F" w:rsidRDefault="0009773F" w:rsidP="005C1E97">
      <w:pPr>
        <w:pStyle w:val="FootnoteText"/>
        <w:spacing w:after="120"/>
      </w:pPr>
      <w:r>
        <w:rPr>
          <w:rStyle w:val="FootnoteReference"/>
        </w:rPr>
        <w:footnoteRef/>
      </w:r>
      <w:r>
        <w:t xml:space="preserve"> </w:t>
      </w:r>
      <w:r>
        <w:rPr>
          <w:i/>
        </w:rPr>
        <w:t>Merger Case</w:t>
      </w:r>
      <w:r>
        <w:t>, IEU-Ohio Initial Comments at 7 (July 18, 2011).</w:t>
      </w:r>
    </w:p>
  </w:footnote>
  <w:footnote w:id="7">
    <w:p w:rsidR="0009773F" w:rsidRPr="00525937" w:rsidRDefault="0009773F" w:rsidP="002336FF">
      <w:pPr>
        <w:pStyle w:val="FootnoteText"/>
        <w:spacing w:after="120"/>
      </w:pPr>
      <w:r>
        <w:rPr>
          <w:rStyle w:val="FootnoteReference"/>
        </w:rPr>
        <w:footnoteRef/>
      </w:r>
      <w:r w:rsidR="00F02D76">
        <w:rPr>
          <w:i/>
        </w:rPr>
        <w:t xml:space="preserve"> </w:t>
      </w:r>
      <w:r w:rsidRPr="005C1E97">
        <w:rPr>
          <w:i/>
        </w:rPr>
        <w:t>Id</w:t>
      </w:r>
      <w:r>
        <w:t>. at 6 (July 18, 2011) (</w:t>
      </w:r>
      <w:r>
        <w:rPr>
          <w:i/>
        </w:rPr>
        <w:t xml:space="preserve">citing </w:t>
      </w:r>
      <w:r>
        <w:t xml:space="preserve">Preliminary Proxy Statement Relating to a Merger, Acquisition or Disposition at 33 (“PREM14 A”).  </w:t>
      </w:r>
      <w:r>
        <w:rPr>
          <w:rFonts w:cs="Arial"/>
        </w:rPr>
        <w:t xml:space="preserve">The PREM14 A was filed with the SEC on June 11, 2011 and is available at: </w:t>
      </w:r>
      <w:hyperlink r:id="rId2" w:history="1">
        <w:r w:rsidRPr="002F38F3">
          <w:rPr>
            <w:rStyle w:val="Hyperlink"/>
            <w:rFonts w:cs="Arial"/>
          </w:rPr>
          <w:t>https://www.sec.gov/Archives/edgar/data/787250/000144757211000059/i11429.htm</w:t>
        </w:r>
      </w:hyperlink>
      <w:r>
        <w:rPr>
          <w:rFonts w:cs="Arial"/>
        </w:rPr>
        <w:t xml:space="preserve">. </w:t>
      </w:r>
    </w:p>
  </w:footnote>
  <w:footnote w:id="8">
    <w:p w:rsidR="0009773F" w:rsidRPr="0085183E" w:rsidRDefault="0009773F" w:rsidP="002336FF">
      <w:pPr>
        <w:pStyle w:val="FootnoteText"/>
        <w:spacing w:after="120"/>
      </w:pPr>
      <w:r>
        <w:rPr>
          <w:rStyle w:val="FootnoteReference"/>
        </w:rPr>
        <w:footnoteRef/>
      </w:r>
      <w:r>
        <w:t xml:space="preserve"> </w:t>
      </w:r>
      <w:r>
        <w:rPr>
          <w:i/>
        </w:rPr>
        <w:t>Merger Case</w:t>
      </w:r>
      <w:r>
        <w:t>, IEU-Ohio Initial Comments at 11 (July 18, 2011) (emphasis added).</w:t>
      </w:r>
    </w:p>
  </w:footnote>
  <w:footnote w:id="9">
    <w:p w:rsidR="0009773F" w:rsidRPr="00C02F5E" w:rsidRDefault="0009773F" w:rsidP="002336FF">
      <w:pPr>
        <w:pStyle w:val="FootnoteText"/>
        <w:spacing w:after="120"/>
      </w:pPr>
      <w:r>
        <w:rPr>
          <w:rStyle w:val="FootnoteReference"/>
        </w:rPr>
        <w:footnoteRef/>
      </w:r>
      <w:r>
        <w:t xml:space="preserve"> </w:t>
      </w:r>
      <w:r>
        <w:rPr>
          <w:i/>
        </w:rPr>
        <w:t>Merger Case</w:t>
      </w:r>
      <w:r>
        <w:t>, Applicants’ Reply Comments at 6-7 (Aug. 18, 2011).</w:t>
      </w:r>
    </w:p>
  </w:footnote>
  <w:footnote w:id="10">
    <w:p w:rsidR="0009773F" w:rsidRPr="005C1E97" w:rsidRDefault="0009773F" w:rsidP="002336FF">
      <w:pPr>
        <w:pStyle w:val="FootnoteText"/>
        <w:spacing w:after="120"/>
      </w:pPr>
      <w:r>
        <w:rPr>
          <w:rStyle w:val="FootnoteReference"/>
        </w:rPr>
        <w:footnoteRef/>
      </w:r>
      <w:r>
        <w:t xml:space="preserve"> </w:t>
      </w:r>
      <w:r>
        <w:rPr>
          <w:i/>
        </w:rPr>
        <w:t>Id.</w:t>
      </w:r>
      <w:r>
        <w:t xml:space="preserve"> at 6.</w:t>
      </w:r>
    </w:p>
  </w:footnote>
  <w:footnote w:id="11">
    <w:p w:rsidR="0009773F" w:rsidRDefault="0009773F" w:rsidP="002336FF">
      <w:pPr>
        <w:pStyle w:val="FootnoteText"/>
        <w:spacing w:after="120"/>
      </w:pPr>
      <w:r>
        <w:rPr>
          <w:rStyle w:val="FootnoteReference"/>
        </w:rPr>
        <w:footnoteRef/>
      </w:r>
      <w:r>
        <w:t xml:space="preserve"> Direct Testimony of R. Jeffrey Malinak at 3-4, 24 (Oct. 31, 2016).</w:t>
      </w:r>
    </w:p>
  </w:footnote>
  <w:footnote w:id="12">
    <w:p w:rsidR="0009773F" w:rsidRDefault="0009773F" w:rsidP="0023785E">
      <w:pPr>
        <w:pStyle w:val="FootnoteText"/>
        <w:spacing w:after="120"/>
      </w:pPr>
      <w:r>
        <w:rPr>
          <w:rStyle w:val="FootnoteReference"/>
        </w:rPr>
        <w:footnoteRef/>
      </w:r>
      <w:r>
        <w:t xml:space="preserve"> Direct Testimony of R. Jeffrey Malinak at 17 (Oct. 31, 2016).  DPL Inc. is also only one of three utility holding companies out of 36 below investment grade and is the lowest-rated company.  </w:t>
      </w:r>
      <w:r w:rsidRPr="0023785E">
        <w:rPr>
          <w:i/>
        </w:rPr>
        <w:t>Id</w:t>
      </w:r>
      <w:r>
        <w:t>.</w:t>
      </w:r>
    </w:p>
  </w:footnote>
  <w:footnote w:id="13">
    <w:p w:rsidR="0009773F" w:rsidRPr="002801B1" w:rsidRDefault="0009773F" w:rsidP="002336FF">
      <w:pPr>
        <w:pStyle w:val="FootnoteText"/>
        <w:spacing w:after="120"/>
        <w:rPr>
          <w:caps/>
        </w:rPr>
      </w:pPr>
      <w:r>
        <w:rPr>
          <w:rStyle w:val="FootnoteReference"/>
        </w:rPr>
        <w:footnoteRef/>
      </w:r>
      <w:r>
        <w:t xml:space="preserve"> </w:t>
      </w:r>
      <w:r>
        <w:rPr>
          <w:i/>
        </w:rPr>
        <w:t>Merger Case</w:t>
      </w:r>
      <w:r>
        <w:t>, Applicants’ Reply Comments at 6 (Aug. 18, 2011).</w:t>
      </w:r>
    </w:p>
  </w:footnote>
  <w:footnote w:id="14">
    <w:p w:rsidR="0009773F" w:rsidRDefault="0009773F" w:rsidP="002336FF">
      <w:pPr>
        <w:pStyle w:val="FootnoteText"/>
        <w:spacing w:after="120"/>
      </w:pPr>
      <w:r>
        <w:rPr>
          <w:rStyle w:val="FootnoteReference"/>
        </w:rPr>
        <w:footnoteRef/>
      </w:r>
      <w:r>
        <w:t xml:space="preserve"> Direct Testimony of Craig L. Jackson at Ex. CLJ-4 (Oct. 11, 2016); Direct Testimony of R. Jeffrey Malinak at 24 (Oct. 31, 2016) (“… if DPL experiences financial stress, it would have a negative effect on DP&amp;L including, but not limited to, unfavorable changes in DP&amp;L’s credit ratings.”)</w:t>
      </w:r>
    </w:p>
  </w:footnote>
  <w:footnote w:id="15">
    <w:p w:rsidR="0009773F" w:rsidRPr="005652EA" w:rsidRDefault="0009773F" w:rsidP="002336FF">
      <w:pPr>
        <w:pStyle w:val="FootnoteText"/>
        <w:spacing w:after="120"/>
      </w:pPr>
      <w:r w:rsidRPr="005652EA">
        <w:rPr>
          <w:rStyle w:val="FootnoteReference"/>
        </w:rPr>
        <w:footnoteRef/>
      </w:r>
      <w:r w:rsidRPr="005652EA">
        <w:t xml:space="preserve"> </w:t>
      </w:r>
      <w:r>
        <w:t>Direct Testimony of R. Jeffrey Malinak at 3-4 (Oct. 31, 2016).</w:t>
      </w:r>
    </w:p>
  </w:footnote>
  <w:footnote w:id="16">
    <w:p w:rsidR="0009773F" w:rsidRPr="005652EA" w:rsidRDefault="0009773F" w:rsidP="002336FF">
      <w:pPr>
        <w:pStyle w:val="FootnoteText"/>
        <w:spacing w:after="120"/>
      </w:pPr>
      <w:r w:rsidRPr="005652EA">
        <w:rPr>
          <w:rStyle w:val="FootnoteReference"/>
        </w:rPr>
        <w:footnoteRef/>
      </w:r>
      <w:r w:rsidRPr="005652EA">
        <w:t xml:space="preserve"> </w:t>
      </w:r>
      <w:r>
        <w:rPr>
          <w:i/>
        </w:rPr>
        <w:t>Merger Case</w:t>
      </w:r>
      <w:r>
        <w:t>, Finding and Order at 9 (Nov. 22, 2011).</w:t>
      </w:r>
    </w:p>
  </w:footnote>
  <w:footnote w:id="17">
    <w:p w:rsidR="0009773F" w:rsidRDefault="0009773F" w:rsidP="005C1E97">
      <w:pPr>
        <w:pStyle w:val="FootnoteText"/>
        <w:spacing w:after="120"/>
      </w:pPr>
      <w:r>
        <w:rPr>
          <w:rStyle w:val="FootnoteReference"/>
        </w:rPr>
        <w:footnoteRef/>
      </w:r>
      <w:r>
        <w:t> 2015 DPL Inc./DP&amp;L SEC 10-K/A at 72 (Mar. 16, 2016) (DP&amp;L reported net incomes of $105.5 million in 2015, $114.1 million in 2014, and $82.7 million in 2013)</w:t>
      </w:r>
      <w:r w:rsidR="00270166">
        <w:t>, available</w:t>
      </w:r>
      <w:r w:rsidR="00270166">
        <w:br/>
        <w:t xml:space="preserve">at:  </w:t>
      </w:r>
      <w:hyperlink r:id="rId3" w:history="1">
        <w:r w:rsidR="000725C3" w:rsidRPr="00A745DD">
          <w:rPr>
            <w:rStyle w:val="Hyperlink"/>
          </w:rPr>
          <w:t>https://www.sec.gov/Archives/edgar/data/27430/000078725016000042/dpl10k12312015q410-ka.htm</w:t>
        </w:r>
      </w:hyperlink>
      <w:r>
        <w:t>;</w:t>
      </w:r>
      <w:r w:rsidR="000725C3">
        <w:t xml:space="preserve"> </w:t>
      </w:r>
      <w:r>
        <w:t xml:space="preserve">2014 DPL Inc./DP&amp;L SEC 10-K at 158 (Mar. 4, 2014) (DP&amp;L reported a net income of $91.2 million in 2012), available at: </w:t>
      </w:r>
      <w:hyperlink r:id="rId4" w:history="1">
        <w:r w:rsidRPr="00621970">
          <w:rPr>
            <w:rStyle w:val="Hyperlink"/>
          </w:rPr>
          <w:t>https://www.sec.gov/Archives/edgar/data/27430/000078725014000011/c250-20131231x10k.htm</w:t>
        </w:r>
      </w:hyperlink>
      <w:r>
        <w:t>.</w:t>
      </w:r>
    </w:p>
  </w:footnote>
  <w:footnote w:id="18">
    <w:p w:rsidR="0009773F" w:rsidRPr="005652EA" w:rsidRDefault="0009773F" w:rsidP="00112ECC">
      <w:pPr>
        <w:pStyle w:val="FootnoteText"/>
        <w:spacing w:after="120"/>
      </w:pPr>
      <w:r w:rsidRPr="005652EA">
        <w:rPr>
          <w:rStyle w:val="FootnoteReference"/>
        </w:rPr>
        <w:footnoteRef/>
      </w:r>
      <w:r w:rsidR="000725C3">
        <w:t> </w:t>
      </w:r>
      <w:r>
        <w:t>2015 DPL Inc./DP&amp;L SEC 10-K/A at 75 (Mar. 16, 2016) (DP&amp;L paid dividends of $50.9 million in 2015, $160.8 million in 2014, and $190.8 million in 2013); 2014 DPL Inc./DP&amp;L SEC 10-K at 164 (DP&amp;L paid out dividends of $145.9 million in 2012).</w:t>
      </w:r>
    </w:p>
  </w:footnote>
  <w:footnote w:id="19">
    <w:p w:rsidR="0009773F" w:rsidRDefault="0009773F" w:rsidP="00112ECC">
      <w:pPr>
        <w:pStyle w:val="FootnoteText"/>
        <w:spacing w:after="120"/>
      </w:pPr>
      <w:r w:rsidRPr="005652EA">
        <w:rPr>
          <w:rStyle w:val="FootnoteReference"/>
        </w:rPr>
        <w:footnoteRef/>
      </w:r>
      <w:r w:rsidRPr="005652EA">
        <w:t xml:space="preserve"> </w:t>
      </w:r>
      <w:r>
        <w:t>Direct Testimony of Craig L. Jackson at 11 (Oct. 11, 2016).</w:t>
      </w:r>
    </w:p>
  </w:footnote>
  <w:footnote w:id="20">
    <w:p w:rsidR="0009773F" w:rsidRDefault="0009773F" w:rsidP="005C1E97">
      <w:pPr>
        <w:pStyle w:val="FootnoteText"/>
        <w:spacing w:after="120"/>
      </w:pPr>
      <w:r>
        <w:rPr>
          <w:rStyle w:val="FootnoteReference"/>
        </w:rPr>
        <w:footnoteRef/>
      </w:r>
      <w:r>
        <w:t xml:space="preserve"> Q2 2016 DPL Inc./DP&amp;L SEC 10-Q at 39 (Aug. 4, 2016), available at: </w:t>
      </w:r>
      <w:hyperlink r:id="rId5" w:history="1">
        <w:r w:rsidR="00270166" w:rsidRPr="00A745DD">
          <w:rPr>
            <w:rStyle w:val="Hyperlink"/>
          </w:rPr>
          <w:t>https://www.sec.gov/Archives/edgar/data/27430/000078725016000053/dpl10q20160630q2.htm</w:t>
        </w:r>
      </w:hyperlink>
      <w:r w:rsidR="00270166">
        <w:t xml:space="preserve">. </w:t>
      </w:r>
    </w:p>
  </w:footnote>
  <w:footnote w:id="21">
    <w:p w:rsidR="0009773F" w:rsidRPr="005D3D29" w:rsidRDefault="0009773F" w:rsidP="005C1E97">
      <w:pPr>
        <w:pStyle w:val="FootnoteText"/>
        <w:spacing w:after="120"/>
      </w:pPr>
      <w:r>
        <w:rPr>
          <w:rStyle w:val="FootnoteReference"/>
        </w:rPr>
        <w:footnoteRef/>
      </w:r>
      <w:r>
        <w:t xml:space="preserve"> </w:t>
      </w:r>
      <w:r>
        <w:rPr>
          <w:i/>
        </w:rPr>
        <w:t>Id.</w:t>
      </w:r>
      <w:r>
        <w:t xml:space="preserve"> at 41.</w:t>
      </w:r>
    </w:p>
  </w:footnote>
  <w:footnote w:id="22">
    <w:p w:rsidR="0009773F" w:rsidRDefault="0009773F" w:rsidP="002336FF">
      <w:pPr>
        <w:pStyle w:val="FootnoteText"/>
        <w:spacing w:after="120"/>
      </w:pPr>
      <w:r>
        <w:rPr>
          <w:rStyle w:val="FootnoteReference"/>
        </w:rPr>
        <w:footnoteRef/>
      </w:r>
      <w:r>
        <w:t xml:space="preserve"> Direct Testimony of Craig L. Jackson at 17 (Oct. 11, 2016).</w:t>
      </w:r>
    </w:p>
  </w:footnote>
  <w:footnote w:id="23">
    <w:p w:rsidR="0009773F" w:rsidRDefault="0009773F" w:rsidP="002336FF">
      <w:pPr>
        <w:pStyle w:val="FootnoteText"/>
        <w:spacing w:after="120"/>
      </w:pPr>
      <w:r w:rsidRPr="005508BB">
        <w:rPr>
          <w:rStyle w:val="FootnoteReference"/>
        </w:rPr>
        <w:footnoteRef/>
      </w:r>
      <w:r w:rsidRPr="005508BB">
        <w:t xml:space="preserve"> Direct Testimony of Craig L. Jackson at Ex. CLJ-4 (Oct. 11, 2016) (sum of line 41).</w:t>
      </w:r>
    </w:p>
  </w:footnote>
  <w:footnote w:id="24">
    <w:p w:rsidR="0009773F" w:rsidRPr="00826674" w:rsidRDefault="0009773F" w:rsidP="002336FF">
      <w:pPr>
        <w:pStyle w:val="FootnoteText"/>
        <w:spacing w:after="120"/>
      </w:pPr>
      <w:r>
        <w:rPr>
          <w:rStyle w:val="FootnoteReference"/>
        </w:rPr>
        <w:footnoteRef/>
      </w:r>
      <w:r>
        <w:t xml:space="preserve"> </w:t>
      </w:r>
      <w:r>
        <w:rPr>
          <w:i/>
        </w:rPr>
        <w:t>Id.</w:t>
      </w:r>
      <w:r>
        <w:t xml:space="preserve"> The annual ROE was calculated as net income excluding the DMR divided by the projected equity balance but without adding back into equity the asset impairment charge write-down, or Line 41/(Line 46 minus Line 45).</w:t>
      </w:r>
    </w:p>
  </w:footnote>
  <w:footnote w:id="25">
    <w:p w:rsidR="0009773F" w:rsidRDefault="0009773F" w:rsidP="002336FF">
      <w:pPr>
        <w:pStyle w:val="FootnoteText"/>
        <w:spacing w:after="120"/>
      </w:pPr>
      <w:r>
        <w:rPr>
          <w:rStyle w:val="FootnoteReference"/>
        </w:rPr>
        <w:footnoteRef/>
      </w:r>
      <w:r>
        <w:t xml:space="preserve"> </w:t>
      </w:r>
      <w:r>
        <w:rPr>
          <w:i/>
        </w:rPr>
        <w:t>Id.</w:t>
      </w:r>
      <w:r>
        <w:t xml:space="preserve">  Mr. Jackson’s Ex. CLJ-4 adds $584 million of equity back into its current and projected equity balance to reverse the effects of its generation asset impairments which has the effect of reducing the ROEs he presents in his testimony.  Mr. Malinak also offers a calculation of DP&amp;L’s ROE during the ESP term without the DMR and without adding back the equity impairment, calculating that DP&amp;L’s ROE would average </w:t>
      </w:r>
      <w:r w:rsidR="00026D92">
        <w:rPr>
          <w:noProof/>
          <w:color w:val="000000"/>
          <w:highlight w:val="black"/>
        </w:rPr>
        <w:t>'''''''''''''''''</w:t>
      </w:r>
      <w:r w:rsidRPr="005508BB">
        <w:t xml:space="preserve"> during the ESP term.</w:t>
      </w:r>
      <w:r>
        <w:t xml:space="preserve">  Direct Testimony of R. Jeffrey Malinak at 8 (Oct. 31, 2016).</w:t>
      </w:r>
    </w:p>
  </w:footnote>
  <w:footnote w:id="26">
    <w:p w:rsidR="0009773F" w:rsidRPr="00840D17" w:rsidRDefault="0009773F" w:rsidP="002336FF">
      <w:pPr>
        <w:pStyle w:val="FootnoteText"/>
        <w:spacing w:after="120"/>
      </w:pPr>
      <w:r>
        <w:rPr>
          <w:rStyle w:val="FootnoteReference"/>
        </w:rPr>
        <w:footnoteRef/>
      </w:r>
      <w:r>
        <w:t xml:space="preserve"> </w:t>
      </w:r>
      <w:r>
        <w:rPr>
          <w:i/>
        </w:rPr>
        <w:t>In the Matter of the Application of the Dayton Power and Light Company for Approval of its Transition Plan Pursuant to Section 4928.31, Revised Code and for the Opportunity to Receive Transition Revenues as Authorized Under Sections 4928.31 to 4928.40, Revised Code</w:t>
      </w:r>
      <w:r>
        <w:t xml:space="preserve">, Case Nos. 99-1687-EL-ETP, </w:t>
      </w:r>
      <w:r>
        <w:rPr>
          <w:i/>
        </w:rPr>
        <w:t>et al.</w:t>
      </w:r>
      <w:r>
        <w:t>, Opinion and Order (Sep. 25, 2000) (“</w:t>
      </w:r>
      <w:r>
        <w:rPr>
          <w:i/>
        </w:rPr>
        <w:t>ETP Case</w:t>
      </w:r>
      <w:r>
        <w:t>”).</w:t>
      </w:r>
    </w:p>
  </w:footnote>
  <w:footnote w:id="27">
    <w:p w:rsidR="0009773F" w:rsidRPr="005508BB" w:rsidRDefault="0009773F" w:rsidP="002336FF">
      <w:pPr>
        <w:pStyle w:val="FootnoteText"/>
        <w:spacing w:after="120"/>
        <w:rPr>
          <w:vertAlign w:val="superscript"/>
        </w:rPr>
      </w:pPr>
      <w:r>
        <w:rPr>
          <w:rStyle w:val="FootnoteReference"/>
        </w:rPr>
        <w:footnoteRef/>
      </w:r>
      <w:r>
        <w:t xml:space="preserve"> </w:t>
      </w:r>
      <w:r>
        <w:rPr>
          <w:i/>
        </w:rPr>
        <w:t>Id.</w:t>
      </w:r>
      <w:r>
        <w:t xml:space="preserve">; </w:t>
      </w:r>
      <w:r>
        <w:rPr>
          <w:i/>
        </w:rPr>
        <w:t>ETP Case</w:t>
      </w:r>
      <w:r>
        <w:t>, Application Part 4, Testimony of Ralph L. Luciani at 4, Exhibit RLL-6 (Dec. 20, 1999) (estimating stranded cost of $231 and regulatory asset recovery of $210 million, for total transition costs of $441 million).</w:t>
      </w:r>
    </w:p>
  </w:footnote>
  <w:footnote w:id="28">
    <w:p w:rsidR="0009773F" w:rsidRDefault="0009773F" w:rsidP="002336FF">
      <w:pPr>
        <w:pStyle w:val="Footnotes"/>
      </w:pPr>
      <w:r>
        <w:rPr>
          <w:rStyle w:val="FootnoteReference"/>
          <w:szCs w:val="20"/>
        </w:rPr>
        <w:footnoteRef/>
      </w:r>
      <w:r>
        <w:rPr>
          <w:i/>
          <w:szCs w:val="20"/>
        </w:rPr>
        <w:t xml:space="preserve"> In the Matter of the Application of the Dayton Power and Light Company for the Creation of a Rate Stabilization Surcharge Rider and Distribution Rate Increase</w:t>
      </w:r>
      <w:r>
        <w:rPr>
          <w:szCs w:val="20"/>
        </w:rPr>
        <w:t>, Case No. 05-276-EL-AIR, Opinion and Order at 11 (Dec. 28, 2005) (“</w:t>
      </w:r>
      <w:r w:rsidRPr="005508BB">
        <w:rPr>
          <w:i/>
          <w:szCs w:val="20"/>
        </w:rPr>
        <w:t>RSC Case</w:t>
      </w:r>
      <w:r>
        <w:rPr>
          <w:szCs w:val="20"/>
        </w:rPr>
        <w:t xml:space="preserve">”).  The RSC was explicitly authorized to provide additional revenue for DP&amp;L’s generation business.  </w:t>
      </w:r>
      <w:r>
        <w:rPr>
          <w:i/>
          <w:szCs w:val="20"/>
        </w:rPr>
        <w:t>Ohio Consumers’ Counsel v. Pub. Util. Comm.</w:t>
      </w:r>
      <w:r>
        <w:rPr>
          <w:szCs w:val="20"/>
        </w:rPr>
        <w:t xml:space="preserve">, 114 Ohio St.3d 340, 2007-Ohio-4276, ¶ 17-26 (RSC was a generation charge); </w:t>
      </w:r>
      <w:r>
        <w:rPr>
          <w:i/>
          <w:szCs w:val="20"/>
        </w:rPr>
        <w:t>In the Matter of the Application of The Dayton Power and Light Company for Approval of Its Electric Security Plan</w:t>
      </w:r>
      <w:r>
        <w:rPr>
          <w:szCs w:val="20"/>
        </w:rPr>
        <w:t xml:space="preserve">, Case Nos. 08-1094-EL-SSO, </w:t>
      </w:r>
      <w:r>
        <w:rPr>
          <w:i/>
          <w:szCs w:val="20"/>
        </w:rPr>
        <w:t>et al.</w:t>
      </w:r>
      <w:r>
        <w:rPr>
          <w:szCs w:val="20"/>
        </w:rPr>
        <w:t>, Opinion and Order at 3-5 (June 24, 2009) (“</w:t>
      </w:r>
      <w:r w:rsidRPr="005C1E97">
        <w:rPr>
          <w:i/>
          <w:szCs w:val="20"/>
        </w:rPr>
        <w:t>ESP I Case</w:t>
      </w:r>
      <w:r>
        <w:rPr>
          <w:szCs w:val="20"/>
        </w:rPr>
        <w:t>”).</w:t>
      </w:r>
    </w:p>
  </w:footnote>
  <w:footnote w:id="29">
    <w:p w:rsidR="0009773F" w:rsidRDefault="0009773F" w:rsidP="0023785E">
      <w:pPr>
        <w:pStyle w:val="FootnoteText"/>
        <w:spacing w:after="120"/>
      </w:pPr>
      <w:r>
        <w:rPr>
          <w:rStyle w:val="FootnoteReference"/>
        </w:rPr>
        <w:footnoteRef/>
      </w:r>
      <w:r>
        <w:t xml:space="preserve"> </w:t>
      </w:r>
      <w:r w:rsidRPr="005C1E97">
        <w:rPr>
          <w:i/>
        </w:rPr>
        <w:t>ESP I Case</w:t>
      </w:r>
      <w:r>
        <w:t>, Opinion and Order at 5 (June 24, 2009) (“</w:t>
      </w:r>
      <w:r w:rsidRPr="005508BB">
        <w:rPr>
          <w:i/>
        </w:rPr>
        <w:t>ESP I Case</w:t>
      </w:r>
      <w:r>
        <w:t>”).</w:t>
      </w:r>
    </w:p>
  </w:footnote>
  <w:footnote w:id="30">
    <w:p w:rsidR="0009773F" w:rsidRDefault="0009773F" w:rsidP="002336FF">
      <w:pPr>
        <w:pStyle w:val="Footnotes"/>
      </w:pPr>
      <w:r>
        <w:rPr>
          <w:rStyle w:val="FootnoteReference"/>
          <w:szCs w:val="20"/>
        </w:rPr>
        <w:footnoteRef/>
      </w:r>
      <w:r>
        <w:rPr>
          <w:szCs w:val="20"/>
        </w:rPr>
        <w:t xml:space="preserve"> </w:t>
      </w:r>
      <w:r>
        <w:rPr>
          <w:i/>
          <w:szCs w:val="20"/>
        </w:rPr>
        <w:t xml:space="preserve">See </w:t>
      </w:r>
      <w:r>
        <w:rPr>
          <w:szCs w:val="20"/>
        </w:rPr>
        <w:t>Attachment B (DP&amp;L Supplemental Responses to OCC Set 23</w:t>
      </w:r>
      <w:r w:rsidR="00270166">
        <w:rPr>
          <w:szCs w:val="20"/>
        </w:rPr>
        <w:t xml:space="preserve"> INT 402 in Case Nos. 12</w:t>
      </w:r>
      <w:r w:rsidR="00270166">
        <w:rPr>
          <w:szCs w:val="20"/>
        </w:rPr>
        <w:noBreakHyphen/>
        <w:t>426</w:t>
      </w:r>
      <w:r w:rsidR="00270166">
        <w:rPr>
          <w:szCs w:val="20"/>
        </w:rPr>
        <w:noBreakHyphen/>
        <w:t>EL</w:t>
      </w:r>
      <w:r w:rsidR="00270166">
        <w:rPr>
          <w:szCs w:val="20"/>
        </w:rPr>
        <w:noBreakHyphen/>
      </w:r>
      <w:r>
        <w:rPr>
          <w:szCs w:val="20"/>
        </w:rPr>
        <w:t xml:space="preserve">SSO, </w:t>
      </w:r>
      <w:r w:rsidRPr="0023785E">
        <w:rPr>
          <w:i/>
          <w:szCs w:val="20"/>
        </w:rPr>
        <w:t>et al.</w:t>
      </w:r>
      <w:r>
        <w:rPr>
          <w:szCs w:val="20"/>
        </w:rPr>
        <w:t>).</w:t>
      </w:r>
    </w:p>
  </w:footnote>
  <w:footnote w:id="31">
    <w:p w:rsidR="0009773F" w:rsidRDefault="0009773F" w:rsidP="0023785E">
      <w:pPr>
        <w:pStyle w:val="FootnoteText"/>
        <w:spacing w:after="120"/>
      </w:pPr>
      <w:r>
        <w:rPr>
          <w:rStyle w:val="FootnoteReference"/>
        </w:rPr>
        <w:footnoteRef/>
      </w:r>
      <w:r>
        <w:t xml:space="preserve"> </w:t>
      </w:r>
      <w:r>
        <w:rPr>
          <w:i/>
        </w:rPr>
        <w:t>ESP I Case</w:t>
      </w:r>
      <w:r>
        <w:t>, Joint Motion Seeking Enforcement of Approved Settlement Agreements and Orders Issued by the Public Utilities Commission of Ohio (Sep. 26, 2012).</w:t>
      </w:r>
      <w:r w:rsidDel="00020F3B">
        <w:t xml:space="preserve"> </w:t>
      </w:r>
    </w:p>
  </w:footnote>
  <w:footnote w:id="32">
    <w:p w:rsidR="0009773F" w:rsidRDefault="0009773F" w:rsidP="002336FF">
      <w:pPr>
        <w:pStyle w:val="Footnotes"/>
      </w:pPr>
      <w:r>
        <w:rPr>
          <w:rStyle w:val="FootnoteReference"/>
          <w:szCs w:val="20"/>
        </w:rPr>
        <w:footnoteRef/>
      </w:r>
      <w:r>
        <w:rPr>
          <w:szCs w:val="20"/>
        </w:rPr>
        <w:t xml:space="preserve"> </w:t>
      </w:r>
      <w:r w:rsidRPr="0023785E">
        <w:rPr>
          <w:i/>
          <w:szCs w:val="20"/>
        </w:rPr>
        <w:t>In the Matter of the Application of The Dayton Power and Light Company for Approval of its Electric Security Plan</w:t>
      </w:r>
      <w:r>
        <w:rPr>
          <w:szCs w:val="20"/>
        </w:rPr>
        <w:t xml:space="preserve">, Case Nos. 12-426-EL-SSO, </w:t>
      </w:r>
      <w:r>
        <w:rPr>
          <w:i/>
          <w:szCs w:val="20"/>
        </w:rPr>
        <w:t>et al</w:t>
      </w:r>
      <w:r>
        <w:rPr>
          <w:szCs w:val="20"/>
        </w:rPr>
        <w:t>., Entry at 4 (Dec. 19, 2012) (hereinafter “</w:t>
      </w:r>
      <w:r>
        <w:rPr>
          <w:i/>
          <w:szCs w:val="20"/>
        </w:rPr>
        <w:t>ESP II Case</w:t>
      </w:r>
      <w:r>
        <w:rPr>
          <w:szCs w:val="20"/>
        </w:rPr>
        <w:t>”).</w:t>
      </w:r>
    </w:p>
  </w:footnote>
  <w:footnote w:id="33">
    <w:p w:rsidR="0009773F" w:rsidRDefault="0009773F" w:rsidP="002336FF">
      <w:pPr>
        <w:pStyle w:val="FootnoteText"/>
        <w:spacing w:after="120"/>
      </w:pPr>
      <w:r w:rsidRPr="00046E35">
        <w:rPr>
          <w:rStyle w:val="FootnoteReference"/>
        </w:rPr>
        <w:footnoteRef/>
      </w:r>
      <w:r w:rsidRPr="00046E35">
        <w:t xml:space="preserve"> </w:t>
      </w:r>
      <w:r>
        <w:rPr>
          <w:i/>
        </w:rPr>
        <w:t>ESP II Case</w:t>
      </w:r>
      <w:r>
        <w:t xml:space="preserve">, Finding and Order (Aug. 26, 2016); </w:t>
      </w:r>
      <w:r>
        <w:rPr>
          <w:i/>
        </w:rPr>
        <w:t>ESP I Case</w:t>
      </w:r>
      <w:r>
        <w:t xml:space="preserve">, Finding and Order (Aug. 26, 2016); </w:t>
      </w:r>
      <w:r w:rsidRPr="005C1E97">
        <w:rPr>
          <w:i/>
        </w:rPr>
        <w:t>see also</w:t>
      </w:r>
      <w:r>
        <w:t xml:space="preserve"> </w:t>
      </w:r>
      <w:r>
        <w:rPr>
          <w:i/>
        </w:rPr>
        <w:t>ESP II Case</w:t>
      </w:r>
      <w:r>
        <w:t xml:space="preserve">, Application for Rehearing of IEU-Ohio (Sep. 26, 2016); </w:t>
      </w:r>
      <w:r>
        <w:rPr>
          <w:i/>
        </w:rPr>
        <w:t>ESP I Case</w:t>
      </w:r>
      <w:r>
        <w:t>, Application for Rehearing of IEU-Ohio (Sep. 26, 2016).</w:t>
      </w:r>
    </w:p>
  </w:footnote>
  <w:footnote w:id="34">
    <w:p w:rsidR="0009773F" w:rsidRDefault="0009773F" w:rsidP="002336FF">
      <w:pPr>
        <w:pStyle w:val="FootnoteText"/>
        <w:spacing w:after="120"/>
      </w:pPr>
      <w:r>
        <w:rPr>
          <w:rStyle w:val="FootnoteReference"/>
        </w:rPr>
        <w:footnoteRef/>
      </w:r>
      <w:r>
        <w:t xml:space="preserve"> Direct Testimony of R. Jeffrey Malinak at 32 (Oct. 31, 2016).</w:t>
      </w:r>
    </w:p>
  </w:footnote>
  <w:footnote w:id="35">
    <w:p w:rsidR="0009773F" w:rsidRDefault="0009773F" w:rsidP="002336FF">
      <w:pPr>
        <w:pStyle w:val="FootnoteText"/>
        <w:spacing w:after="120"/>
      </w:pPr>
      <w:r>
        <w:rPr>
          <w:rStyle w:val="FootnoteReference"/>
        </w:rPr>
        <w:footnoteRef/>
      </w:r>
      <w:r>
        <w:t xml:space="preserve"> </w:t>
      </w:r>
      <w:r>
        <w:rPr>
          <w:i/>
        </w:rPr>
        <w:t>In the Matter of the Application of Duke Energy Ohio, Inc., for the Establishment of a Charge Pursuant to Section 4909.18, Revised Code</w:t>
      </w:r>
      <w:r>
        <w:t xml:space="preserve">, Case Nos. 12-2400-EL-UNC, </w:t>
      </w:r>
      <w:r>
        <w:rPr>
          <w:i/>
        </w:rPr>
        <w:t>et al.,</w:t>
      </w:r>
      <w:r>
        <w:t xml:space="preserve"> Opinion and Order, Concurring Opinion of Commissioner Lynn Slaby (Feb. 13, 2014).</w:t>
      </w:r>
    </w:p>
  </w:footnote>
  <w:footnote w:id="36">
    <w:p w:rsidR="0009773F" w:rsidRDefault="0009773F" w:rsidP="002336FF">
      <w:pPr>
        <w:pStyle w:val="FootnoteText"/>
        <w:spacing w:after="120"/>
      </w:pPr>
      <w:r>
        <w:rPr>
          <w:rStyle w:val="FootnoteReference"/>
        </w:rPr>
        <w:footnoteRef/>
      </w:r>
      <w:r>
        <w:t xml:space="preserve"> Pursuant to Rule 4901:1-37-01(A), O.A.C.</w:t>
      </w:r>
    </w:p>
  </w:footnote>
  <w:footnote w:id="37">
    <w:p w:rsidR="0009773F" w:rsidRPr="00A83400" w:rsidRDefault="0009773F" w:rsidP="002336FF">
      <w:pPr>
        <w:pStyle w:val="FootnoteText"/>
        <w:spacing w:after="120"/>
      </w:pPr>
      <w:r>
        <w:rPr>
          <w:rStyle w:val="FootnoteReference"/>
        </w:rPr>
        <w:footnoteRef/>
      </w:r>
      <w:r>
        <w:t xml:space="preserve"> </w:t>
      </w:r>
      <w:r>
        <w:rPr>
          <w:i/>
        </w:rPr>
        <w:t>In the Matter of the Application of The Dayton Power and Light Company for Authority to Amend Its Corporate Separation Plan</w:t>
      </w:r>
      <w:r>
        <w:t>, Case No. 13-2442-EL-UNC, Application of DP&amp;L to Amend its Corporate Separation Plan, Exhibit A at 7 (Dec. 30, 2013) (“</w:t>
      </w:r>
      <w:r>
        <w:rPr>
          <w:i/>
        </w:rPr>
        <w:t>Corporate Separation Case</w:t>
      </w:r>
      <w:r>
        <w:t>”).</w:t>
      </w:r>
    </w:p>
  </w:footnote>
  <w:footnote w:id="38">
    <w:p w:rsidR="0009773F" w:rsidRDefault="0009773F" w:rsidP="002336FF">
      <w:pPr>
        <w:pStyle w:val="FootnoteText"/>
        <w:spacing w:after="120"/>
      </w:pPr>
      <w:r>
        <w:rPr>
          <w:rStyle w:val="FootnoteReference"/>
        </w:rPr>
        <w:footnoteRef/>
      </w:r>
      <w:r>
        <w:t xml:space="preserve"> Rule 4901:1-37-01(A), O.A.C.  </w:t>
      </w:r>
    </w:p>
  </w:footnote>
  <w:footnote w:id="39">
    <w:p w:rsidR="0009773F" w:rsidRPr="00255140" w:rsidRDefault="0009773F" w:rsidP="002336FF">
      <w:pPr>
        <w:pStyle w:val="FootnoteText"/>
        <w:spacing w:after="120"/>
        <w:rPr>
          <w:i/>
        </w:rPr>
      </w:pPr>
      <w:r>
        <w:rPr>
          <w:rStyle w:val="FootnoteReference"/>
        </w:rPr>
        <w:footnoteRef/>
      </w:r>
      <w:r>
        <w:t xml:space="preserve"> </w:t>
      </w:r>
      <w:r>
        <w:rPr>
          <w:i/>
        </w:rPr>
        <w:t>Id.</w:t>
      </w:r>
    </w:p>
  </w:footnote>
  <w:footnote w:id="40">
    <w:p w:rsidR="0009773F" w:rsidRPr="007E7FAD" w:rsidRDefault="0009773F" w:rsidP="002336FF">
      <w:pPr>
        <w:pStyle w:val="FootnoteText"/>
        <w:spacing w:after="120"/>
      </w:pPr>
      <w:r>
        <w:rPr>
          <w:rStyle w:val="FootnoteReference"/>
        </w:rPr>
        <w:footnoteRef/>
      </w:r>
      <w:r>
        <w:t xml:space="preserve"> </w:t>
      </w:r>
      <w:r w:rsidRPr="007E7FAD">
        <w:t>In</w:t>
      </w:r>
      <w:r>
        <w:t xml:space="preserve"> its corporate separation plan, DP&amp;L also identifies DPL Inc. as an affiliate.  </w:t>
      </w:r>
      <w:r>
        <w:rPr>
          <w:i/>
        </w:rPr>
        <w:t xml:space="preserve">Corporate Separation </w:t>
      </w:r>
      <w:r w:rsidRPr="0023785E">
        <w:rPr>
          <w:i/>
        </w:rPr>
        <w:t>Case</w:t>
      </w:r>
      <w:r>
        <w:t xml:space="preserve">, Application to Amend its Corporate Separation Plan, Exhibit A at 15. (“Organization charts showing how DPL Inc. and its affiliates are organized are attached as Exhibit 1.”); </w:t>
      </w:r>
      <w:r>
        <w:rPr>
          <w:i/>
        </w:rPr>
        <w:t>id.</w:t>
      </w:r>
      <w:r>
        <w:t xml:space="preserve"> at Exhibit 1.</w:t>
      </w:r>
    </w:p>
  </w:footnote>
  <w:footnote w:id="41">
    <w:p w:rsidR="0009773F" w:rsidRDefault="0009773F" w:rsidP="0023785E">
      <w:pPr>
        <w:pStyle w:val="FootnoteText"/>
        <w:spacing w:after="120"/>
      </w:pPr>
      <w:r>
        <w:rPr>
          <w:rStyle w:val="FootnoteReference"/>
        </w:rPr>
        <w:footnoteRef/>
      </w:r>
      <w:r>
        <w:t xml:space="preserve"> Direct Testimony of R. Jeffrey Malinak at 6 (Oct. 31, 2016).</w:t>
      </w:r>
    </w:p>
  </w:footnote>
  <w:footnote w:id="42">
    <w:p w:rsidR="0009773F" w:rsidRPr="00F07C58" w:rsidRDefault="0009773F">
      <w:pPr>
        <w:pStyle w:val="FootnoteText"/>
      </w:pPr>
      <w:r>
        <w:rPr>
          <w:rStyle w:val="FootnoteReference"/>
        </w:rPr>
        <w:footnoteRef/>
      </w:r>
      <w:r>
        <w:t xml:space="preserve"> </w:t>
      </w:r>
      <w:r>
        <w:rPr>
          <w:i/>
        </w:rPr>
        <w:t>See generally</w:t>
      </w:r>
      <w:r>
        <w:t xml:space="preserve"> R.C. 1303.54(E) (explaining effect of “without recourse” language in commercial paper under Ohio’s Uniform Commercial Code).</w:t>
      </w:r>
    </w:p>
  </w:footnote>
  <w:footnote w:id="43">
    <w:p w:rsidR="0009773F" w:rsidRDefault="0009773F" w:rsidP="002336FF">
      <w:pPr>
        <w:pStyle w:val="FootnoteText"/>
        <w:spacing w:after="120"/>
      </w:pPr>
      <w:r>
        <w:rPr>
          <w:rStyle w:val="FootnoteReference"/>
        </w:rPr>
        <w:footnoteRef/>
      </w:r>
      <w:r>
        <w:t xml:space="preserve"> R.C. 4928.141.</w:t>
      </w:r>
    </w:p>
  </w:footnote>
  <w:footnote w:id="44">
    <w:p w:rsidR="0009773F" w:rsidRPr="004A0583" w:rsidRDefault="0009773F" w:rsidP="002336FF">
      <w:pPr>
        <w:pStyle w:val="FootnoteText"/>
        <w:spacing w:after="120"/>
      </w:pPr>
      <w:r>
        <w:rPr>
          <w:rStyle w:val="FootnoteReference"/>
        </w:rPr>
        <w:footnoteRef/>
      </w:r>
      <w:r>
        <w:t xml:space="preserve"> </w:t>
      </w:r>
      <w:r>
        <w:rPr>
          <w:i/>
        </w:rPr>
        <w:t>In re Application of Columbus S. Power Co.</w:t>
      </w:r>
      <w:r>
        <w:t xml:space="preserve">, 128 Ohio St.3d 512, 2011-Ohio-1788, </w:t>
      </w:r>
      <w:r>
        <w:rPr>
          <w:rFonts w:cs="Arial"/>
        </w:rPr>
        <w:t>¶</w:t>
      </w:r>
      <w:r>
        <w:t xml:space="preserve"> 32.</w:t>
      </w:r>
    </w:p>
  </w:footnote>
  <w:footnote w:id="45">
    <w:p w:rsidR="0009773F" w:rsidRPr="00BA74E9" w:rsidRDefault="0009773F" w:rsidP="002336FF">
      <w:pPr>
        <w:pStyle w:val="FootnoteText"/>
        <w:spacing w:after="120"/>
      </w:pPr>
      <w:r w:rsidRPr="005508BB">
        <w:rPr>
          <w:rStyle w:val="FootnoteReference"/>
        </w:rPr>
        <w:footnoteRef/>
      </w:r>
      <w:r w:rsidRPr="005508BB">
        <w:t xml:space="preserve"> </w:t>
      </w:r>
      <w:r w:rsidRPr="00BA74E9">
        <w:rPr>
          <w:i/>
        </w:rPr>
        <w:t>In</w:t>
      </w:r>
      <w:r>
        <w:rPr>
          <w:i/>
        </w:rPr>
        <w:t xml:space="preserve"> the Matter of the Application of Ohio Edison Company, The Cleveland Electric Illuminating Company, and The Toledo Edison Company for Authority to Provide for a Standard Service Offer Pursuant to R.C. 4928.143 in the Form of an Electric Security Plan</w:t>
      </w:r>
      <w:r>
        <w:t>, Case No. 14-1297-EL-SSO, Fifth Entry on Rehearing</w:t>
      </w:r>
      <w:r>
        <w:rPr>
          <w:i/>
        </w:rPr>
        <w:t xml:space="preserve"> </w:t>
      </w:r>
      <w:r>
        <w:t>at 44-45 (Oct. 12, 2016).</w:t>
      </w:r>
    </w:p>
  </w:footnote>
  <w:footnote w:id="46">
    <w:p w:rsidR="0009773F" w:rsidRPr="0023785E" w:rsidRDefault="0009773F" w:rsidP="002336FF">
      <w:pPr>
        <w:pStyle w:val="FootnoteText"/>
        <w:spacing w:after="120"/>
        <w:rPr>
          <w:highlight w:val="yellow"/>
        </w:rPr>
      </w:pPr>
      <w:r w:rsidRPr="005508BB">
        <w:rPr>
          <w:rStyle w:val="FootnoteReference"/>
        </w:rPr>
        <w:footnoteRef/>
      </w:r>
      <w:r w:rsidRPr="005508BB">
        <w:t xml:space="preserve"> Direct Testimony of Kevin L. Hall at 4 (Oct. 11, 2016).</w:t>
      </w:r>
    </w:p>
  </w:footnote>
  <w:footnote w:id="47">
    <w:p w:rsidR="0009773F" w:rsidRDefault="0009773F" w:rsidP="005508BB">
      <w:pPr>
        <w:pStyle w:val="FootnoteText"/>
        <w:spacing w:after="120"/>
      </w:pPr>
      <w:r>
        <w:rPr>
          <w:rStyle w:val="FootnoteReference"/>
        </w:rPr>
        <w:footnoteRef/>
      </w:r>
      <w:r>
        <w:t xml:space="preserve"> DP&amp;L also has a pending distribution rate case in which the Commission will review and address issues related to distribution reliability.</w:t>
      </w:r>
    </w:p>
  </w:footnote>
  <w:footnote w:id="48">
    <w:p w:rsidR="0009773F" w:rsidRPr="005508BB" w:rsidRDefault="0009773F" w:rsidP="002336FF">
      <w:pPr>
        <w:pStyle w:val="FootnoteText"/>
        <w:spacing w:after="120"/>
      </w:pPr>
      <w:r w:rsidRPr="005508BB">
        <w:rPr>
          <w:rStyle w:val="FootnoteReference"/>
        </w:rPr>
        <w:footnoteRef/>
      </w:r>
      <w:r w:rsidRPr="005508BB">
        <w:t xml:space="preserve"> Amended Application at 6-7 (Oct. 11, 2016).</w:t>
      </w:r>
    </w:p>
  </w:footnote>
  <w:footnote w:id="49">
    <w:p w:rsidR="0009773F" w:rsidRPr="002F35A4" w:rsidRDefault="0009773F" w:rsidP="002336FF">
      <w:pPr>
        <w:pStyle w:val="FootnoteText"/>
        <w:spacing w:after="120"/>
      </w:pPr>
      <w:r w:rsidRPr="005508BB">
        <w:rPr>
          <w:rStyle w:val="FootnoteReference"/>
        </w:rPr>
        <w:footnoteRef/>
      </w:r>
      <w:r w:rsidRPr="005508BB">
        <w:t xml:space="preserve"> </w:t>
      </w:r>
      <w:r w:rsidRPr="005508BB">
        <w:rPr>
          <w:i/>
        </w:rPr>
        <w:t>Id.</w:t>
      </w:r>
      <w:r w:rsidRPr="005508BB">
        <w:t xml:space="preserve"> at 5.</w:t>
      </w:r>
    </w:p>
  </w:footnote>
  <w:footnote w:id="50">
    <w:p w:rsidR="0009773F" w:rsidRPr="002F35A4" w:rsidRDefault="0009773F" w:rsidP="002336FF">
      <w:pPr>
        <w:pStyle w:val="FootnoteText"/>
        <w:spacing w:after="120"/>
      </w:pPr>
      <w:r w:rsidRPr="002F35A4">
        <w:rPr>
          <w:rStyle w:val="FootnoteReference"/>
        </w:rPr>
        <w:footnoteRef/>
      </w:r>
      <w:r w:rsidRPr="002F35A4">
        <w:t xml:space="preserve"> </w:t>
      </w:r>
      <w:r w:rsidRPr="002F35A4">
        <w:rPr>
          <w:i/>
        </w:rPr>
        <w:t>Id.</w:t>
      </w:r>
      <w:r w:rsidRPr="002F35A4">
        <w:t xml:space="preserve"> at 7.</w:t>
      </w:r>
    </w:p>
  </w:footnote>
  <w:footnote w:id="51">
    <w:p w:rsidR="0009773F" w:rsidRDefault="0009773F" w:rsidP="002336FF">
      <w:pPr>
        <w:pStyle w:val="FootnoteText"/>
        <w:spacing w:after="120"/>
      </w:pPr>
      <w:r w:rsidRPr="002F35A4">
        <w:rPr>
          <w:rStyle w:val="FootnoteReference"/>
        </w:rPr>
        <w:footnoteRef/>
      </w:r>
      <w:r w:rsidRPr="002F35A4">
        <w:t xml:space="preserve"> </w:t>
      </w:r>
      <w:r w:rsidRPr="002F35A4">
        <w:rPr>
          <w:i/>
        </w:rPr>
        <w:t>Id.</w:t>
      </w:r>
      <w:r w:rsidRPr="002F35A4">
        <w:t xml:space="preserve"> at 1.</w:t>
      </w:r>
    </w:p>
  </w:footnote>
  <w:footnote w:id="52">
    <w:p w:rsidR="0009773F" w:rsidRDefault="0009773F" w:rsidP="002336FF">
      <w:pPr>
        <w:pStyle w:val="FootnoteText"/>
        <w:spacing w:after="120"/>
      </w:pPr>
      <w:r>
        <w:rPr>
          <w:rStyle w:val="FootnoteReference"/>
        </w:rPr>
        <w:footnoteRef/>
      </w:r>
      <w:r>
        <w:t xml:space="preserve"> </w:t>
      </w:r>
      <w:r w:rsidRPr="002F5CE4">
        <w:rPr>
          <w:i/>
        </w:rPr>
        <w:t xml:space="preserve">In </w:t>
      </w:r>
      <w:r>
        <w:rPr>
          <w:i/>
        </w:rPr>
        <w:t xml:space="preserve">the Matter of the Application of </w:t>
      </w:r>
      <w:r w:rsidRPr="002F5CE4">
        <w:rPr>
          <w:i/>
        </w:rPr>
        <w:t xml:space="preserve">Columbus Southern Power </w:t>
      </w:r>
      <w:r>
        <w:rPr>
          <w:i/>
        </w:rPr>
        <w:t xml:space="preserve">Company </w:t>
      </w:r>
      <w:r w:rsidRPr="002F5CE4">
        <w:rPr>
          <w:i/>
        </w:rPr>
        <w:t>for Approval of an Electric Security Plan</w:t>
      </w:r>
      <w:r>
        <w:rPr>
          <w:i/>
        </w:rPr>
        <w:t>; an Amendment to its Corporate Separation Plan; and the Sale or Transfer of Certain Generating Assets</w:t>
      </w:r>
      <w:r>
        <w:t xml:space="preserve">, Case Nos. 08-917-EL-SSO, </w:t>
      </w:r>
      <w:r>
        <w:rPr>
          <w:i/>
        </w:rPr>
        <w:t>et al</w:t>
      </w:r>
      <w:r>
        <w:t>, Opinion and Order at 34-36 (Mar. 18, 2009) (“</w:t>
      </w:r>
      <w:r w:rsidRPr="0023785E">
        <w:rPr>
          <w:i/>
        </w:rPr>
        <w:t>AEP ESP I Case</w:t>
      </w:r>
      <w:r>
        <w:t xml:space="preserve">”); </w:t>
      </w:r>
      <w:r w:rsidRPr="00F97171">
        <w:rPr>
          <w:i/>
        </w:rPr>
        <w:t xml:space="preserve">In the Matter of the Application of Ohio Edison </w:t>
      </w:r>
      <w:r>
        <w:rPr>
          <w:i/>
        </w:rPr>
        <w:t>Company</w:t>
      </w:r>
      <w:r w:rsidRPr="00F97171">
        <w:rPr>
          <w:i/>
        </w:rPr>
        <w:t xml:space="preserve">, </w:t>
      </w:r>
      <w:r>
        <w:rPr>
          <w:i/>
        </w:rPr>
        <w:t>T</w:t>
      </w:r>
      <w:r w:rsidRPr="00F97171">
        <w:rPr>
          <w:i/>
        </w:rPr>
        <w:t xml:space="preserve">he Cleveland </w:t>
      </w:r>
      <w:r>
        <w:rPr>
          <w:i/>
        </w:rPr>
        <w:t xml:space="preserve">Electric </w:t>
      </w:r>
      <w:r w:rsidRPr="00F97171">
        <w:rPr>
          <w:i/>
        </w:rPr>
        <w:t xml:space="preserve">Illuminating </w:t>
      </w:r>
      <w:r>
        <w:rPr>
          <w:i/>
        </w:rPr>
        <w:t>Company, and The Toledo Edison Company for Authority</w:t>
      </w:r>
      <w:r w:rsidRPr="00F97171">
        <w:rPr>
          <w:i/>
        </w:rPr>
        <w:t xml:space="preserve"> </w:t>
      </w:r>
      <w:r>
        <w:rPr>
          <w:i/>
        </w:rPr>
        <w:t>to Establish a Standard Service</w:t>
      </w:r>
      <w:r w:rsidRPr="00F97171">
        <w:rPr>
          <w:i/>
        </w:rPr>
        <w:t xml:space="preserve"> Offer Pursuant to Section 4928.143, Revi</w:t>
      </w:r>
      <w:r>
        <w:rPr>
          <w:i/>
        </w:rPr>
        <w:t>sed Code in the Form of an Electric</w:t>
      </w:r>
      <w:r w:rsidRPr="00F97171">
        <w:rPr>
          <w:i/>
        </w:rPr>
        <w:t xml:space="preserve"> </w:t>
      </w:r>
      <w:r>
        <w:rPr>
          <w:i/>
        </w:rPr>
        <w:t>Security</w:t>
      </w:r>
      <w:r w:rsidRPr="00F97171">
        <w:rPr>
          <w:i/>
        </w:rPr>
        <w:t xml:space="preserve"> Plan</w:t>
      </w:r>
      <w:r>
        <w:t xml:space="preserve">, Case Nos. 08-935-EL-SSO, </w:t>
      </w:r>
      <w:r>
        <w:rPr>
          <w:i/>
        </w:rPr>
        <w:t>et al.,</w:t>
      </w:r>
      <w:r>
        <w:t xml:space="preserve"> Opinion and Order (Dec. 19, 2008) (“</w:t>
      </w:r>
      <w:r w:rsidRPr="0023785E">
        <w:rPr>
          <w:i/>
        </w:rPr>
        <w:t>FE ESP I Case</w:t>
      </w:r>
      <w:r>
        <w:t xml:space="preserve">”); see also </w:t>
      </w:r>
      <w:r w:rsidRPr="00F97171">
        <w:rPr>
          <w:i/>
        </w:rPr>
        <w:t>In re Application of Columbus S. Power Co.</w:t>
      </w:r>
      <w:r>
        <w:t xml:space="preserve">, 138 Ohio St.3d 448, 2014-Ohio-462, ¶¶ 37-38, </w:t>
      </w:r>
      <w:r w:rsidRPr="00E90054">
        <w:rPr>
          <w:i/>
        </w:rPr>
        <w:t>reconsideration denied</w:t>
      </w:r>
      <w:r>
        <w:t>, 139 Ohio St.3d 1408, 2014-Ohio-2245, ¶¶ 37-38 (noting with respect to AEP’s ESP 1 Order that “The commission found, consistent with its prior decisions, that a distribution rider established pursuant to R.C. 4928.143(B)(2)(h) should be based on the electric utility's prudently incurred costs.”).</w:t>
      </w:r>
    </w:p>
  </w:footnote>
  <w:footnote w:id="53">
    <w:p w:rsidR="0009773F" w:rsidRPr="009550E7" w:rsidRDefault="0009773F" w:rsidP="002336FF">
      <w:pPr>
        <w:pStyle w:val="FootnoteText"/>
        <w:spacing w:after="120"/>
      </w:pPr>
      <w:r>
        <w:rPr>
          <w:rStyle w:val="FootnoteReference"/>
        </w:rPr>
        <w:footnoteRef/>
      </w:r>
      <w:r>
        <w:t xml:space="preserve"> </w:t>
      </w:r>
      <w:r>
        <w:rPr>
          <w:i/>
        </w:rPr>
        <w:t>AEP ESP I Case</w:t>
      </w:r>
      <w:r>
        <w:t>, Opinion and Order at 34 (Mar. 18, 2009).</w:t>
      </w:r>
    </w:p>
  </w:footnote>
  <w:footnote w:id="54">
    <w:p w:rsidR="0009773F" w:rsidRPr="001C4A02" w:rsidRDefault="0009773F" w:rsidP="002336FF">
      <w:pPr>
        <w:pStyle w:val="FootnoteText"/>
        <w:spacing w:after="120"/>
        <w:rPr>
          <w:i/>
        </w:rPr>
      </w:pPr>
      <w:r>
        <w:rPr>
          <w:rStyle w:val="FootnoteReference"/>
        </w:rPr>
        <w:footnoteRef/>
      </w:r>
      <w:r>
        <w:t xml:space="preserve"> </w:t>
      </w:r>
      <w:r>
        <w:rPr>
          <w:i/>
        </w:rPr>
        <w:t>Id.</w:t>
      </w:r>
    </w:p>
  </w:footnote>
  <w:footnote w:id="55">
    <w:p w:rsidR="0009773F" w:rsidRPr="00745779" w:rsidRDefault="0009773F" w:rsidP="002336FF">
      <w:pPr>
        <w:pStyle w:val="FootnoteText"/>
        <w:spacing w:after="120"/>
      </w:pPr>
      <w:r>
        <w:rPr>
          <w:rStyle w:val="FootnoteReference"/>
        </w:rPr>
        <w:footnoteRef/>
      </w:r>
      <w:r>
        <w:t xml:space="preserve"> </w:t>
      </w:r>
      <w:r>
        <w:rPr>
          <w:i/>
        </w:rPr>
        <w:t>FE ESP I Case</w:t>
      </w:r>
      <w:r>
        <w:t>, Opinion and Order at 41 (Dec. 19, 2008).</w:t>
      </w:r>
    </w:p>
  </w:footnote>
  <w:footnote w:id="56">
    <w:p w:rsidR="0009773F" w:rsidRDefault="0009773F">
      <w:pPr>
        <w:pStyle w:val="FootnoteText"/>
      </w:pPr>
      <w:r>
        <w:rPr>
          <w:rStyle w:val="FootnoteReference"/>
        </w:rPr>
        <w:footnoteRef/>
      </w:r>
      <w:r>
        <w:t xml:space="preserve"> Direct Testimony of R. Jeffrey Malinak at 32 (Oct. 31, 2016).</w:t>
      </w:r>
    </w:p>
  </w:footnote>
  <w:footnote w:id="57">
    <w:p w:rsidR="0009773F" w:rsidRDefault="0009773F" w:rsidP="002336FF">
      <w:pPr>
        <w:pStyle w:val="FootnoteText"/>
        <w:spacing w:after="120"/>
      </w:pPr>
      <w:r>
        <w:rPr>
          <w:rStyle w:val="FootnoteReference"/>
        </w:rPr>
        <w:footnoteRef/>
      </w:r>
      <w:r>
        <w:t xml:space="preserve"> </w:t>
      </w:r>
      <w:r>
        <w:rPr>
          <w:i/>
        </w:rPr>
        <w:t>In re Application of Columbus S. Power Co.</w:t>
      </w:r>
      <w:r>
        <w:t xml:space="preserve">, Slip Opinion No. 2016-Ohio-1608; </w:t>
      </w:r>
      <w:r w:rsidRPr="005508BB">
        <w:rPr>
          <w:rFonts w:cs="Arial"/>
          <w:bCs/>
          <w:i/>
        </w:rPr>
        <w:t>In re Application of Dayton Power &amp; Light Co.</w:t>
      </w:r>
      <w:r w:rsidRPr="007434EF">
        <w:rPr>
          <w:rFonts w:cs="Arial"/>
          <w:bCs/>
        </w:rPr>
        <w:t>, 147 Ohio St.3d 166, 2016-Ohio-3490.</w:t>
      </w:r>
    </w:p>
  </w:footnote>
  <w:footnote w:id="58">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Columbus Southern</w:t>
      </w:r>
      <w:r>
        <w:rPr>
          <w:rFonts w:eastAsia="Times New Roman" w:cs="Times New Roman"/>
          <w:bCs/>
          <w:color w:val="000000"/>
        </w:rPr>
        <w:t xml:space="preserve">, at ¶ 16.  </w:t>
      </w:r>
    </w:p>
  </w:footnote>
  <w:footnote w:id="59">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 xml:space="preserve">Id.  </w:t>
      </w:r>
    </w:p>
  </w:footnote>
  <w:footnote w:id="60">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17.</w:t>
      </w:r>
    </w:p>
  </w:footnote>
  <w:footnote w:id="61">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23.  </w:t>
      </w:r>
    </w:p>
  </w:footnote>
  <w:footnote w:id="62">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23-24.  </w:t>
      </w:r>
    </w:p>
  </w:footnote>
  <w:footnote w:id="63">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23.</w:t>
      </w:r>
    </w:p>
  </w:footnote>
  <w:footnote w:id="64">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22.  </w:t>
      </w:r>
    </w:p>
  </w:footnote>
  <w:footnote w:id="65">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Id.</w:t>
      </w:r>
      <w:r>
        <w:rPr>
          <w:rFonts w:eastAsia="Times New Roman" w:cs="Times New Roman"/>
          <w:bCs/>
          <w:color w:val="000000"/>
        </w:rPr>
        <w:t xml:space="preserve"> at ¶ 22-23.  </w:t>
      </w:r>
    </w:p>
  </w:footnote>
  <w:footnote w:id="66">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 xml:space="preserve">Id. </w:t>
      </w:r>
      <w:r>
        <w:rPr>
          <w:rFonts w:eastAsia="Times New Roman" w:cs="Times New Roman"/>
          <w:bCs/>
          <w:color w:val="000000"/>
        </w:rPr>
        <w:t xml:space="preserve">at ¶ 22-23.  </w:t>
      </w:r>
    </w:p>
  </w:footnote>
  <w:footnote w:id="67">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 xml:space="preserve">Id. </w:t>
      </w:r>
      <w:r>
        <w:rPr>
          <w:rFonts w:eastAsia="Times New Roman" w:cs="Times New Roman"/>
          <w:bCs/>
          <w:color w:val="000000"/>
        </w:rPr>
        <w:t>at</w:t>
      </w:r>
      <w:r>
        <w:rPr>
          <w:rFonts w:eastAsia="Times New Roman" w:cs="Times New Roman"/>
          <w:bCs/>
          <w:i/>
          <w:color w:val="000000"/>
        </w:rPr>
        <w:t xml:space="preserve"> ¶ 25.</w:t>
      </w:r>
    </w:p>
  </w:footnote>
  <w:footnote w:id="68">
    <w:p w:rsidR="0009773F" w:rsidRDefault="0009773F" w:rsidP="002336FF">
      <w:pPr>
        <w:pStyle w:val="FootnoteText"/>
        <w:spacing w:after="120"/>
      </w:pPr>
      <w:r>
        <w:rPr>
          <w:rStyle w:val="FootnoteReference"/>
        </w:rPr>
        <w:footnoteRef/>
      </w:r>
      <w:r>
        <w:t xml:space="preserve"> </w:t>
      </w:r>
      <w:r>
        <w:rPr>
          <w:rFonts w:eastAsia="Times New Roman" w:cs="Times New Roman"/>
          <w:bCs/>
          <w:i/>
          <w:color w:val="000000"/>
        </w:rPr>
        <w:t>Compare In the Matter of the Application of The Dayton Power and Light Company for Approval of its Electric Security Plan</w:t>
      </w:r>
      <w:r>
        <w:rPr>
          <w:rFonts w:eastAsia="Times New Roman" w:cs="Times New Roman"/>
          <w:bCs/>
          <w:color w:val="000000"/>
        </w:rPr>
        <w:t xml:space="preserve">, Case Nos. 12-426-EL-SSO, </w:t>
      </w:r>
      <w:r w:rsidRPr="0023785E">
        <w:rPr>
          <w:rFonts w:eastAsia="Times New Roman" w:cs="Times New Roman"/>
          <w:bCs/>
          <w:i/>
          <w:color w:val="000000"/>
        </w:rPr>
        <w:t>et al.</w:t>
      </w:r>
      <w:r>
        <w:rPr>
          <w:rFonts w:eastAsia="Times New Roman" w:cs="Times New Roman"/>
          <w:bCs/>
          <w:color w:val="000000"/>
        </w:rPr>
        <w:t xml:space="preserve">, Opinion and Order at 17 (Sept. 4, 2013) (“DP&amp;L ESP II Order”) </w:t>
      </w:r>
      <w:r>
        <w:rPr>
          <w:rFonts w:eastAsia="Times New Roman" w:cs="Times New Roman"/>
          <w:bCs/>
          <w:i/>
          <w:color w:val="000000"/>
        </w:rPr>
        <w:t>with Columbus Southern</w:t>
      </w:r>
      <w:r>
        <w:rPr>
          <w:rFonts w:eastAsia="Times New Roman" w:cs="Times New Roman"/>
          <w:bCs/>
          <w:color w:val="000000"/>
        </w:rPr>
        <w:t xml:space="preserve">, at ¶ 24 (in calculating a revenue requirement for AEP-Ohio’s charge, the Commission focused on three generation-related factors:  nonfuel generation revenue, capacity revenues, and customer switching).  DP&amp;L also confirmed during the hearing that the SSR charge was driven solely by its generation business as it admitted that its revenue from its other two utility lines of business, transmission and distribution, were adequate and would remain so.  </w:t>
      </w:r>
      <w:r>
        <w:rPr>
          <w:rFonts w:eastAsia="Times New Roman" w:cs="Times New Roman"/>
          <w:bCs/>
          <w:i/>
          <w:color w:val="000000"/>
        </w:rPr>
        <w:t>In the Matter of the Application of The Dayton Power and Light Company for Approval of its Electric Security Plan</w:t>
      </w:r>
      <w:r>
        <w:rPr>
          <w:rFonts w:eastAsia="Times New Roman" w:cs="Times New Roman"/>
          <w:bCs/>
          <w:color w:val="000000"/>
        </w:rPr>
        <w:t>, Supreme Court Case No. 2014-1505, First Merit Brief of Appellant Industrial Energy Users-Ohio at 17-18 (</w:t>
      </w:r>
      <w:r>
        <w:rPr>
          <w:rFonts w:eastAsia="Times New Roman" w:cs="Times New Roman"/>
          <w:bCs/>
          <w:i/>
          <w:color w:val="000000"/>
        </w:rPr>
        <w:t>citing</w:t>
      </w:r>
      <w:r>
        <w:rPr>
          <w:rFonts w:eastAsia="Times New Roman" w:cs="Times New Roman"/>
          <w:bCs/>
          <w:color w:val="000000"/>
        </w:rPr>
        <w:t xml:space="preserve"> DP&amp;L Ex. 1 at 13 (Supp. at 2); Tr. Vol. I at 118 (Supp. at 73); Tr. Vol. I at 150 (Supp. at 81)).</w:t>
      </w:r>
    </w:p>
  </w:footnote>
  <w:footnote w:id="69">
    <w:p w:rsidR="0009773F" w:rsidRDefault="0009773F" w:rsidP="002336FF">
      <w:pPr>
        <w:pStyle w:val="FootnoteText"/>
        <w:spacing w:after="120"/>
      </w:pPr>
      <w:r>
        <w:rPr>
          <w:rStyle w:val="FootnoteReference"/>
        </w:rPr>
        <w:footnoteRef/>
      </w:r>
      <w:r>
        <w:t xml:space="preserve"> </w:t>
      </w:r>
      <w:r w:rsidRPr="005C1E97">
        <w:rPr>
          <w:rFonts w:cs="Arial"/>
          <w:bCs/>
          <w:i/>
        </w:rPr>
        <w:t>In re Application of Dayton Power &amp; Light Co</w:t>
      </w:r>
      <w:r w:rsidRPr="007434EF">
        <w:rPr>
          <w:rFonts w:cs="Arial"/>
          <w:bCs/>
        </w:rPr>
        <w:t xml:space="preserve">., 147 Ohio St.3d </w:t>
      </w:r>
      <w:r>
        <w:rPr>
          <w:rFonts w:cs="Arial"/>
          <w:bCs/>
        </w:rPr>
        <w:t>166, 2016-Ohio-3490</w:t>
      </w:r>
      <w:r>
        <w:t>, ¶ 1.</w:t>
      </w:r>
    </w:p>
  </w:footnote>
  <w:footnote w:id="70">
    <w:p w:rsidR="0009773F" w:rsidRDefault="0009773F" w:rsidP="005C1E97">
      <w:pPr>
        <w:pStyle w:val="FootnoteText"/>
        <w:spacing w:after="120"/>
      </w:pPr>
      <w:r>
        <w:rPr>
          <w:rStyle w:val="FootnoteReference"/>
        </w:rPr>
        <w:footnoteRef/>
      </w:r>
      <w:r>
        <w:t xml:space="preserve"> DP&amp;L also claims that the DMR is driven in part by low wholesale market prices, a claim also relied upon for the SSR, and that its financial integrity analysis supporting the DMR is the same analysis it relied upon to support the SSR.  Direct Testimony of Craig L. Jackson at 8 (Oct. 11, 2016); Direct Testimony of R. Jeffrey Malinak at 29-30 (Oct. 31, 2016).  The Court determined that the SSR, supported with these claims and analysis, was unlawful because the SSR was a transition charge.</w:t>
      </w:r>
    </w:p>
  </w:footnote>
  <w:footnote w:id="71">
    <w:p w:rsidR="0009773F" w:rsidRDefault="0009773F" w:rsidP="005C1E97">
      <w:pPr>
        <w:pStyle w:val="FootnoteText"/>
        <w:spacing w:after="120"/>
      </w:pPr>
      <w:r>
        <w:rPr>
          <w:rStyle w:val="FootnoteReference"/>
        </w:rPr>
        <w:footnoteRef/>
      </w:r>
      <w:r>
        <w:t xml:space="preserve"> Mr. Jackson indicates that DP&amp;L intends to rely on the nonbypassable revenue stream its customers provide through the proposed DMR, using a portion of that revenue to pay down </w:t>
      </w:r>
      <w:r w:rsidR="00026D92">
        <w:rPr>
          <w:noProof/>
          <w:color w:val="000000"/>
          <w:highlight w:val="black"/>
        </w:rPr>
        <w:t>'''''''''''</w:t>
      </w:r>
      <w:r>
        <w:t xml:space="preserve"> million of DP&amp;L’s total company debt.  Of the approximately $750 million of debt on DP&amp;L’s books, $300 million is related to pollution control bonds (</w:t>
      </w:r>
      <w:r>
        <w:rPr>
          <w:i/>
        </w:rPr>
        <w:t>i.e.</w:t>
      </w:r>
      <w:r>
        <w:t xml:space="preserve"> debt explicitly used for generation assets).  Direct Testimony of R. Jeffrey Malinak at 34 (Oct. 31,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3F" w:rsidRDefault="000977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3F" w:rsidRDefault="005F20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3F" w:rsidRDefault="005F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2DD"/>
    <w:multiLevelType w:val="multilevel"/>
    <w:tmpl w:val="88C80020"/>
    <w:lvl w:ilvl="0">
      <w:start w:val="1"/>
      <w:numFmt w:val="upperRoman"/>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lvlText w:val="%2."/>
      <w:lvlJc w:val="left"/>
      <w:pPr>
        <w:tabs>
          <w:tab w:val="num" w:pos="1440"/>
        </w:tabs>
        <w:ind w:left="1440" w:hanging="720"/>
      </w:pPr>
      <w:rPr>
        <w:b/>
        <w:caps w:val="0"/>
        <w:strike w:val="0"/>
        <w:dstrike w:val="0"/>
        <w:vanish w:val="0"/>
        <w:webHidden w:val="0"/>
        <w:color w:val="010000"/>
        <w:u w:val="none"/>
        <w:effect w:val="none"/>
        <w:specVanish w:val="0"/>
      </w:rPr>
    </w:lvl>
    <w:lvl w:ilvl="2">
      <w:start w:val="1"/>
      <w:numFmt w:val="decimal"/>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lvlText w:val="%9)"/>
      <w:lvlJc w:val="left"/>
      <w:pPr>
        <w:tabs>
          <w:tab w:val="num" w:pos="6480"/>
        </w:tabs>
        <w:ind w:left="6480" w:hanging="720"/>
      </w:pPr>
      <w:rPr>
        <w:caps w:val="0"/>
        <w:strike w:val="0"/>
        <w:dstrike w:val="0"/>
        <w:vanish w:val="0"/>
        <w:webHidden w:val="0"/>
        <w:color w:val="010000"/>
        <w:u w:val="none"/>
        <w:effect w:val="none"/>
        <w:specVanish w:val="0"/>
      </w:rPr>
    </w:lvl>
  </w:abstractNum>
  <w:abstractNum w:abstractNumId="1" w15:restartNumberingAfterBreak="0">
    <w:nsid w:val="3A4A6A88"/>
    <w:multiLevelType w:val="multilevel"/>
    <w:tmpl w:val="A3163284"/>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15:restartNumberingAfterBreak="0">
    <w:nsid w:val="483F5B15"/>
    <w:multiLevelType w:val="multilevel"/>
    <w:tmpl w:val="88C80020"/>
    <w:lvl w:ilvl="0">
      <w:start w:val="1"/>
      <w:numFmt w:val="upperRoman"/>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lvlText w:val="%2."/>
      <w:lvlJc w:val="left"/>
      <w:pPr>
        <w:tabs>
          <w:tab w:val="num" w:pos="1440"/>
        </w:tabs>
        <w:ind w:left="1440" w:hanging="720"/>
      </w:pPr>
      <w:rPr>
        <w:b/>
        <w:caps w:val="0"/>
        <w:strike w:val="0"/>
        <w:dstrike w:val="0"/>
        <w:vanish w:val="0"/>
        <w:webHidden w:val="0"/>
        <w:color w:val="010000"/>
        <w:u w:val="none"/>
        <w:effect w:val="none"/>
        <w:specVanish w:val="0"/>
      </w:rPr>
    </w:lvl>
    <w:lvl w:ilvl="2">
      <w:start w:val="1"/>
      <w:numFmt w:val="decimal"/>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lvlText w:val="%9)"/>
      <w:lvlJc w:val="left"/>
      <w:pPr>
        <w:tabs>
          <w:tab w:val="num" w:pos="6480"/>
        </w:tabs>
        <w:ind w:left="6480" w:hanging="720"/>
      </w:pPr>
      <w:rPr>
        <w:caps w:val="0"/>
        <w:strike w:val="0"/>
        <w:dstrike w:val="0"/>
        <w:vanish w:val="0"/>
        <w:webHidden w:val="0"/>
        <w:color w:val="010000"/>
        <w:u w:val="none"/>
        <w:effect w:val="none"/>
        <w:specVanish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PUCO Basic&lt;/Name&gt;&lt;Description&gt;General pleading format&lt;/Description&gt;&lt;FilterID&gt;0&lt;/FilterID&gt;&lt;CustomTOCAttached&gt;false&lt;/CustomTOCAttached&gt;&lt;DefaultTOCSchemeID&gt;0&lt;/DefaultTOCSchemeID&gt;&lt;BitMapID&gt;2&lt;/BitMapID&gt;&lt;Hidden&gt;false&lt;/Hidden&gt;&lt;ListIndexUsed&gt;0&lt;/ListIndexUsed&gt;&lt;CapturedDocument&gt;M:\CLIENTS\18480\FE\C50135.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EnforceSchemeFont" w:val="False"/>
    <w:docVar w:name="LastSchemeChoice" w:val="IEU-Ohio PUCO Basic"/>
    <w:docVar w:name="LastSchemeUniqueID" w:val="1"/>
    <w:docVar w:name="LegacyNa" w:val="False"/>
  </w:docVars>
  <w:rsids>
    <w:rsidRoot w:val="00234E8C"/>
    <w:rsid w:val="0000073E"/>
    <w:rsid w:val="000026E6"/>
    <w:rsid w:val="00003CE2"/>
    <w:rsid w:val="00003DA4"/>
    <w:rsid w:val="000051B8"/>
    <w:rsid w:val="00006100"/>
    <w:rsid w:val="00012DE5"/>
    <w:rsid w:val="00016308"/>
    <w:rsid w:val="00016CF2"/>
    <w:rsid w:val="000179B9"/>
    <w:rsid w:val="00020F3B"/>
    <w:rsid w:val="00022135"/>
    <w:rsid w:val="0002309F"/>
    <w:rsid w:val="00023801"/>
    <w:rsid w:val="000242A2"/>
    <w:rsid w:val="00026D92"/>
    <w:rsid w:val="00031731"/>
    <w:rsid w:val="00031F86"/>
    <w:rsid w:val="00036183"/>
    <w:rsid w:val="00040CD4"/>
    <w:rsid w:val="00046DE3"/>
    <w:rsid w:val="00046E35"/>
    <w:rsid w:val="00056C6A"/>
    <w:rsid w:val="000627F1"/>
    <w:rsid w:val="000710EF"/>
    <w:rsid w:val="000725C3"/>
    <w:rsid w:val="00075DC0"/>
    <w:rsid w:val="0007677F"/>
    <w:rsid w:val="00077062"/>
    <w:rsid w:val="00081702"/>
    <w:rsid w:val="00081E78"/>
    <w:rsid w:val="00081F40"/>
    <w:rsid w:val="00082B7C"/>
    <w:rsid w:val="00085963"/>
    <w:rsid w:val="00085988"/>
    <w:rsid w:val="00086D17"/>
    <w:rsid w:val="000907FC"/>
    <w:rsid w:val="00090DE7"/>
    <w:rsid w:val="00092E06"/>
    <w:rsid w:val="00097698"/>
    <w:rsid w:val="0009773F"/>
    <w:rsid w:val="000A0314"/>
    <w:rsid w:val="000A0585"/>
    <w:rsid w:val="000A13C2"/>
    <w:rsid w:val="000A2500"/>
    <w:rsid w:val="000B3F3E"/>
    <w:rsid w:val="000B4F89"/>
    <w:rsid w:val="000B6C1F"/>
    <w:rsid w:val="000C0874"/>
    <w:rsid w:val="000C46D6"/>
    <w:rsid w:val="000E073F"/>
    <w:rsid w:val="000E2999"/>
    <w:rsid w:val="000F0359"/>
    <w:rsid w:val="000F21CF"/>
    <w:rsid w:val="000F5920"/>
    <w:rsid w:val="000F5A38"/>
    <w:rsid w:val="001047D2"/>
    <w:rsid w:val="00112C83"/>
    <w:rsid w:val="00112ECC"/>
    <w:rsid w:val="00124C17"/>
    <w:rsid w:val="001258D4"/>
    <w:rsid w:val="00127C03"/>
    <w:rsid w:val="00133DCD"/>
    <w:rsid w:val="00136553"/>
    <w:rsid w:val="001453A4"/>
    <w:rsid w:val="00155F7E"/>
    <w:rsid w:val="001573A2"/>
    <w:rsid w:val="0016116B"/>
    <w:rsid w:val="00161232"/>
    <w:rsid w:val="0016130C"/>
    <w:rsid w:val="001667BC"/>
    <w:rsid w:val="00166A01"/>
    <w:rsid w:val="001722EC"/>
    <w:rsid w:val="00184019"/>
    <w:rsid w:val="00186C42"/>
    <w:rsid w:val="0019046F"/>
    <w:rsid w:val="0019309C"/>
    <w:rsid w:val="00195000"/>
    <w:rsid w:val="001A6A4B"/>
    <w:rsid w:val="001B4209"/>
    <w:rsid w:val="001B42CB"/>
    <w:rsid w:val="001B6CE2"/>
    <w:rsid w:val="001C0BC4"/>
    <w:rsid w:val="001C2082"/>
    <w:rsid w:val="001C4217"/>
    <w:rsid w:val="001C4A02"/>
    <w:rsid w:val="001C7D32"/>
    <w:rsid w:val="001D7E0D"/>
    <w:rsid w:val="001E04E0"/>
    <w:rsid w:val="001E1293"/>
    <w:rsid w:val="001F1DC3"/>
    <w:rsid w:val="001F3C9E"/>
    <w:rsid w:val="001F439C"/>
    <w:rsid w:val="00200BE4"/>
    <w:rsid w:val="00202D0E"/>
    <w:rsid w:val="00211BB8"/>
    <w:rsid w:val="00214F5B"/>
    <w:rsid w:val="00215A49"/>
    <w:rsid w:val="00217E3F"/>
    <w:rsid w:val="00226569"/>
    <w:rsid w:val="002304DC"/>
    <w:rsid w:val="002336FF"/>
    <w:rsid w:val="00234E8C"/>
    <w:rsid w:val="00235CB6"/>
    <w:rsid w:val="002361EC"/>
    <w:rsid w:val="002368DD"/>
    <w:rsid w:val="0023785E"/>
    <w:rsid w:val="0024772C"/>
    <w:rsid w:val="00252B8D"/>
    <w:rsid w:val="00255140"/>
    <w:rsid w:val="00262D8A"/>
    <w:rsid w:val="00266816"/>
    <w:rsid w:val="00270166"/>
    <w:rsid w:val="0027438A"/>
    <w:rsid w:val="00275727"/>
    <w:rsid w:val="00276328"/>
    <w:rsid w:val="002801B1"/>
    <w:rsid w:val="00282647"/>
    <w:rsid w:val="0028795C"/>
    <w:rsid w:val="00291401"/>
    <w:rsid w:val="0029301F"/>
    <w:rsid w:val="00297E30"/>
    <w:rsid w:val="002A19CA"/>
    <w:rsid w:val="002A1D98"/>
    <w:rsid w:val="002B6B2F"/>
    <w:rsid w:val="002B6FD9"/>
    <w:rsid w:val="002C0BC0"/>
    <w:rsid w:val="002C1FC5"/>
    <w:rsid w:val="002C581F"/>
    <w:rsid w:val="002C599C"/>
    <w:rsid w:val="002C749C"/>
    <w:rsid w:val="002D2914"/>
    <w:rsid w:val="002D2EB1"/>
    <w:rsid w:val="002D360D"/>
    <w:rsid w:val="002D4998"/>
    <w:rsid w:val="002D73C5"/>
    <w:rsid w:val="002E213E"/>
    <w:rsid w:val="002E2210"/>
    <w:rsid w:val="002E43E9"/>
    <w:rsid w:val="002E6BC4"/>
    <w:rsid w:val="002E76D1"/>
    <w:rsid w:val="002F2193"/>
    <w:rsid w:val="002F35A4"/>
    <w:rsid w:val="002F5CE4"/>
    <w:rsid w:val="003023B8"/>
    <w:rsid w:val="00311FE4"/>
    <w:rsid w:val="00314D40"/>
    <w:rsid w:val="00315506"/>
    <w:rsid w:val="00316EFB"/>
    <w:rsid w:val="00317320"/>
    <w:rsid w:val="003202F2"/>
    <w:rsid w:val="003220CE"/>
    <w:rsid w:val="003238E6"/>
    <w:rsid w:val="00323CE2"/>
    <w:rsid w:val="003279C0"/>
    <w:rsid w:val="003318FD"/>
    <w:rsid w:val="00332349"/>
    <w:rsid w:val="00335590"/>
    <w:rsid w:val="003578FE"/>
    <w:rsid w:val="00360F32"/>
    <w:rsid w:val="00362316"/>
    <w:rsid w:val="00362668"/>
    <w:rsid w:val="00375000"/>
    <w:rsid w:val="00380D6D"/>
    <w:rsid w:val="003840AF"/>
    <w:rsid w:val="003950C2"/>
    <w:rsid w:val="00396CE9"/>
    <w:rsid w:val="0039743B"/>
    <w:rsid w:val="00397FFA"/>
    <w:rsid w:val="003A4A1C"/>
    <w:rsid w:val="003A6E96"/>
    <w:rsid w:val="003C07F5"/>
    <w:rsid w:val="003C1199"/>
    <w:rsid w:val="003C21FD"/>
    <w:rsid w:val="003C4138"/>
    <w:rsid w:val="003D0CF9"/>
    <w:rsid w:val="003D2AF1"/>
    <w:rsid w:val="003D646C"/>
    <w:rsid w:val="003E125D"/>
    <w:rsid w:val="003E2A9C"/>
    <w:rsid w:val="003E6031"/>
    <w:rsid w:val="003E67AB"/>
    <w:rsid w:val="003F17B6"/>
    <w:rsid w:val="003F446D"/>
    <w:rsid w:val="003F6704"/>
    <w:rsid w:val="00400BAE"/>
    <w:rsid w:val="004016C5"/>
    <w:rsid w:val="00406090"/>
    <w:rsid w:val="00411075"/>
    <w:rsid w:val="004111E6"/>
    <w:rsid w:val="0041504A"/>
    <w:rsid w:val="00420054"/>
    <w:rsid w:val="00420A41"/>
    <w:rsid w:val="00423B98"/>
    <w:rsid w:val="00424963"/>
    <w:rsid w:val="0042785B"/>
    <w:rsid w:val="00433C05"/>
    <w:rsid w:val="004352DE"/>
    <w:rsid w:val="00435764"/>
    <w:rsid w:val="00435F2F"/>
    <w:rsid w:val="00436BC4"/>
    <w:rsid w:val="00436F88"/>
    <w:rsid w:val="004425B6"/>
    <w:rsid w:val="00451214"/>
    <w:rsid w:val="004624D3"/>
    <w:rsid w:val="004642F6"/>
    <w:rsid w:val="0047076C"/>
    <w:rsid w:val="00472DCB"/>
    <w:rsid w:val="00476AA7"/>
    <w:rsid w:val="00476CBD"/>
    <w:rsid w:val="00481060"/>
    <w:rsid w:val="0048170D"/>
    <w:rsid w:val="004854E4"/>
    <w:rsid w:val="00493B03"/>
    <w:rsid w:val="00493FEA"/>
    <w:rsid w:val="00496205"/>
    <w:rsid w:val="0049661E"/>
    <w:rsid w:val="004A0583"/>
    <w:rsid w:val="004A2D59"/>
    <w:rsid w:val="004A4754"/>
    <w:rsid w:val="004A65D0"/>
    <w:rsid w:val="004A7ABD"/>
    <w:rsid w:val="004B4A77"/>
    <w:rsid w:val="004B589E"/>
    <w:rsid w:val="004B6F05"/>
    <w:rsid w:val="004C44C0"/>
    <w:rsid w:val="004C53E7"/>
    <w:rsid w:val="004D0408"/>
    <w:rsid w:val="004D16A4"/>
    <w:rsid w:val="004D2417"/>
    <w:rsid w:val="004D39E4"/>
    <w:rsid w:val="004E1644"/>
    <w:rsid w:val="004E5927"/>
    <w:rsid w:val="00501850"/>
    <w:rsid w:val="00504DC0"/>
    <w:rsid w:val="005077EF"/>
    <w:rsid w:val="00511C8D"/>
    <w:rsid w:val="00512139"/>
    <w:rsid w:val="00513C16"/>
    <w:rsid w:val="00517776"/>
    <w:rsid w:val="005212FE"/>
    <w:rsid w:val="005243B1"/>
    <w:rsid w:val="0052578D"/>
    <w:rsid w:val="00525937"/>
    <w:rsid w:val="00526CA1"/>
    <w:rsid w:val="00527335"/>
    <w:rsid w:val="00530DF9"/>
    <w:rsid w:val="005325CE"/>
    <w:rsid w:val="00532649"/>
    <w:rsid w:val="00532E2A"/>
    <w:rsid w:val="00534A4E"/>
    <w:rsid w:val="00541825"/>
    <w:rsid w:val="005420B9"/>
    <w:rsid w:val="00543FFA"/>
    <w:rsid w:val="005508BB"/>
    <w:rsid w:val="005569CF"/>
    <w:rsid w:val="00557819"/>
    <w:rsid w:val="005622E6"/>
    <w:rsid w:val="005652EA"/>
    <w:rsid w:val="00565771"/>
    <w:rsid w:val="005709E6"/>
    <w:rsid w:val="00571A41"/>
    <w:rsid w:val="005727FF"/>
    <w:rsid w:val="00573391"/>
    <w:rsid w:val="005743CC"/>
    <w:rsid w:val="00580E07"/>
    <w:rsid w:val="00583152"/>
    <w:rsid w:val="0058552C"/>
    <w:rsid w:val="005931C5"/>
    <w:rsid w:val="0059366F"/>
    <w:rsid w:val="00594208"/>
    <w:rsid w:val="0059552C"/>
    <w:rsid w:val="005A1BFA"/>
    <w:rsid w:val="005A4A77"/>
    <w:rsid w:val="005A7545"/>
    <w:rsid w:val="005B13B2"/>
    <w:rsid w:val="005B4798"/>
    <w:rsid w:val="005C1E97"/>
    <w:rsid w:val="005C3186"/>
    <w:rsid w:val="005C4D59"/>
    <w:rsid w:val="005C556A"/>
    <w:rsid w:val="005C689C"/>
    <w:rsid w:val="005D2CED"/>
    <w:rsid w:val="005D3D29"/>
    <w:rsid w:val="005D579F"/>
    <w:rsid w:val="005D58EE"/>
    <w:rsid w:val="005D5D13"/>
    <w:rsid w:val="005E3B02"/>
    <w:rsid w:val="005E402D"/>
    <w:rsid w:val="005E4EB9"/>
    <w:rsid w:val="005F0408"/>
    <w:rsid w:val="005F203F"/>
    <w:rsid w:val="005F450C"/>
    <w:rsid w:val="00605FFC"/>
    <w:rsid w:val="00611F33"/>
    <w:rsid w:val="00612131"/>
    <w:rsid w:val="006122B5"/>
    <w:rsid w:val="006134C0"/>
    <w:rsid w:val="00616355"/>
    <w:rsid w:val="00620DE2"/>
    <w:rsid w:val="006211BC"/>
    <w:rsid w:val="00623D57"/>
    <w:rsid w:val="006274F6"/>
    <w:rsid w:val="006359AE"/>
    <w:rsid w:val="00637154"/>
    <w:rsid w:val="006413C3"/>
    <w:rsid w:val="00642611"/>
    <w:rsid w:val="00642AB5"/>
    <w:rsid w:val="00643466"/>
    <w:rsid w:val="00644055"/>
    <w:rsid w:val="00646E6C"/>
    <w:rsid w:val="00647DB8"/>
    <w:rsid w:val="006549A7"/>
    <w:rsid w:val="00661B95"/>
    <w:rsid w:val="00674882"/>
    <w:rsid w:val="00677A9D"/>
    <w:rsid w:val="006800AE"/>
    <w:rsid w:val="006802B1"/>
    <w:rsid w:val="00683FEC"/>
    <w:rsid w:val="00685E43"/>
    <w:rsid w:val="00693A45"/>
    <w:rsid w:val="00694241"/>
    <w:rsid w:val="00696615"/>
    <w:rsid w:val="006A1D81"/>
    <w:rsid w:val="006A26BE"/>
    <w:rsid w:val="006A477E"/>
    <w:rsid w:val="006A760A"/>
    <w:rsid w:val="006B4FD9"/>
    <w:rsid w:val="006E3187"/>
    <w:rsid w:val="006E3862"/>
    <w:rsid w:val="006E3D1E"/>
    <w:rsid w:val="006F6AA0"/>
    <w:rsid w:val="00700C21"/>
    <w:rsid w:val="00700C85"/>
    <w:rsid w:val="00707517"/>
    <w:rsid w:val="00711F65"/>
    <w:rsid w:val="00712547"/>
    <w:rsid w:val="00713CD3"/>
    <w:rsid w:val="007149FB"/>
    <w:rsid w:val="00717522"/>
    <w:rsid w:val="00717B17"/>
    <w:rsid w:val="00723C2E"/>
    <w:rsid w:val="00727068"/>
    <w:rsid w:val="0072757D"/>
    <w:rsid w:val="00727C11"/>
    <w:rsid w:val="0073727B"/>
    <w:rsid w:val="0074566D"/>
    <w:rsid w:val="00745779"/>
    <w:rsid w:val="00747ADF"/>
    <w:rsid w:val="007502FF"/>
    <w:rsid w:val="0075136E"/>
    <w:rsid w:val="00751E6C"/>
    <w:rsid w:val="007541FE"/>
    <w:rsid w:val="00754336"/>
    <w:rsid w:val="00754408"/>
    <w:rsid w:val="00754FFB"/>
    <w:rsid w:val="00763779"/>
    <w:rsid w:val="007672EE"/>
    <w:rsid w:val="00767A73"/>
    <w:rsid w:val="00770673"/>
    <w:rsid w:val="00775047"/>
    <w:rsid w:val="0078347C"/>
    <w:rsid w:val="00786DE6"/>
    <w:rsid w:val="007A1C68"/>
    <w:rsid w:val="007B281E"/>
    <w:rsid w:val="007B3CBD"/>
    <w:rsid w:val="007B500E"/>
    <w:rsid w:val="007B67A6"/>
    <w:rsid w:val="007B76E7"/>
    <w:rsid w:val="007C4472"/>
    <w:rsid w:val="007C6017"/>
    <w:rsid w:val="007D5704"/>
    <w:rsid w:val="007E1B20"/>
    <w:rsid w:val="007E3AEC"/>
    <w:rsid w:val="007E530F"/>
    <w:rsid w:val="007E6013"/>
    <w:rsid w:val="007E6618"/>
    <w:rsid w:val="007E6DBB"/>
    <w:rsid w:val="007E7FAD"/>
    <w:rsid w:val="007F0498"/>
    <w:rsid w:val="007F67D9"/>
    <w:rsid w:val="00812287"/>
    <w:rsid w:val="00812722"/>
    <w:rsid w:val="0081690F"/>
    <w:rsid w:val="0081779A"/>
    <w:rsid w:val="00823658"/>
    <w:rsid w:val="008239D5"/>
    <w:rsid w:val="00824F76"/>
    <w:rsid w:val="00826674"/>
    <w:rsid w:val="00826F63"/>
    <w:rsid w:val="00830F9C"/>
    <w:rsid w:val="00831857"/>
    <w:rsid w:val="00836BA9"/>
    <w:rsid w:val="00840D17"/>
    <w:rsid w:val="00845DD1"/>
    <w:rsid w:val="00845F63"/>
    <w:rsid w:val="008515D5"/>
    <w:rsid w:val="0085183E"/>
    <w:rsid w:val="00853CDD"/>
    <w:rsid w:val="00855493"/>
    <w:rsid w:val="00860D46"/>
    <w:rsid w:val="00862B3A"/>
    <w:rsid w:val="008718AA"/>
    <w:rsid w:val="00877E17"/>
    <w:rsid w:val="00881834"/>
    <w:rsid w:val="00887CC5"/>
    <w:rsid w:val="00892EA0"/>
    <w:rsid w:val="008942FD"/>
    <w:rsid w:val="00896472"/>
    <w:rsid w:val="008A0449"/>
    <w:rsid w:val="008A4C52"/>
    <w:rsid w:val="008A7563"/>
    <w:rsid w:val="008B0DF7"/>
    <w:rsid w:val="008B567F"/>
    <w:rsid w:val="008D0086"/>
    <w:rsid w:val="008D22D1"/>
    <w:rsid w:val="008D28D1"/>
    <w:rsid w:val="008D2B4F"/>
    <w:rsid w:val="008D69D8"/>
    <w:rsid w:val="008D790C"/>
    <w:rsid w:val="008E3BF4"/>
    <w:rsid w:val="008F0A13"/>
    <w:rsid w:val="008F7241"/>
    <w:rsid w:val="00900F37"/>
    <w:rsid w:val="00907074"/>
    <w:rsid w:val="00916671"/>
    <w:rsid w:val="00917146"/>
    <w:rsid w:val="00920D13"/>
    <w:rsid w:val="009264D9"/>
    <w:rsid w:val="00931803"/>
    <w:rsid w:val="00940151"/>
    <w:rsid w:val="00946074"/>
    <w:rsid w:val="00946500"/>
    <w:rsid w:val="009539AD"/>
    <w:rsid w:val="009550E7"/>
    <w:rsid w:val="00963D21"/>
    <w:rsid w:val="00965593"/>
    <w:rsid w:val="009773C8"/>
    <w:rsid w:val="009811F6"/>
    <w:rsid w:val="00981A88"/>
    <w:rsid w:val="00983E53"/>
    <w:rsid w:val="00987420"/>
    <w:rsid w:val="00987BA7"/>
    <w:rsid w:val="00997E1B"/>
    <w:rsid w:val="009A2099"/>
    <w:rsid w:val="009A5C16"/>
    <w:rsid w:val="009A69CD"/>
    <w:rsid w:val="009B0AE5"/>
    <w:rsid w:val="009C3076"/>
    <w:rsid w:val="009D0F4E"/>
    <w:rsid w:val="009D3D5A"/>
    <w:rsid w:val="009D73AB"/>
    <w:rsid w:val="009E365F"/>
    <w:rsid w:val="009E6133"/>
    <w:rsid w:val="009F2FA7"/>
    <w:rsid w:val="009F31DD"/>
    <w:rsid w:val="009F6525"/>
    <w:rsid w:val="00A0182E"/>
    <w:rsid w:val="00A01D00"/>
    <w:rsid w:val="00A0245B"/>
    <w:rsid w:val="00A05913"/>
    <w:rsid w:val="00A13AF2"/>
    <w:rsid w:val="00A14290"/>
    <w:rsid w:val="00A15E4A"/>
    <w:rsid w:val="00A16C21"/>
    <w:rsid w:val="00A22B4D"/>
    <w:rsid w:val="00A27859"/>
    <w:rsid w:val="00A3194A"/>
    <w:rsid w:val="00A327D1"/>
    <w:rsid w:val="00A34F4D"/>
    <w:rsid w:val="00A36D4C"/>
    <w:rsid w:val="00A41BDA"/>
    <w:rsid w:val="00A4242C"/>
    <w:rsid w:val="00A4290D"/>
    <w:rsid w:val="00A45B40"/>
    <w:rsid w:val="00A50F9D"/>
    <w:rsid w:val="00A523ED"/>
    <w:rsid w:val="00A5360A"/>
    <w:rsid w:val="00A54D04"/>
    <w:rsid w:val="00A5738A"/>
    <w:rsid w:val="00A60DBE"/>
    <w:rsid w:val="00A61706"/>
    <w:rsid w:val="00A6537E"/>
    <w:rsid w:val="00A65D53"/>
    <w:rsid w:val="00A661C7"/>
    <w:rsid w:val="00A70E8E"/>
    <w:rsid w:val="00A80B79"/>
    <w:rsid w:val="00A83400"/>
    <w:rsid w:val="00A84F7F"/>
    <w:rsid w:val="00A91A5E"/>
    <w:rsid w:val="00A94E41"/>
    <w:rsid w:val="00AA0165"/>
    <w:rsid w:val="00AA1CF5"/>
    <w:rsid w:val="00AA78F2"/>
    <w:rsid w:val="00AB0848"/>
    <w:rsid w:val="00AB3D37"/>
    <w:rsid w:val="00AB53F5"/>
    <w:rsid w:val="00AD02AB"/>
    <w:rsid w:val="00AD0EDD"/>
    <w:rsid w:val="00AD4530"/>
    <w:rsid w:val="00AE13B6"/>
    <w:rsid w:val="00AE3634"/>
    <w:rsid w:val="00AE591C"/>
    <w:rsid w:val="00AF147B"/>
    <w:rsid w:val="00AF3801"/>
    <w:rsid w:val="00B01BCF"/>
    <w:rsid w:val="00B0247E"/>
    <w:rsid w:val="00B0306E"/>
    <w:rsid w:val="00B054D2"/>
    <w:rsid w:val="00B0564A"/>
    <w:rsid w:val="00B10486"/>
    <w:rsid w:val="00B26D10"/>
    <w:rsid w:val="00B33944"/>
    <w:rsid w:val="00B33E22"/>
    <w:rsid w:val="00B34AD5"/>
    <w:rsid w:val="00B40695"/>
    <w:rsid w:val="00B441B7"/>
    <w:rsid w:val="00B44906"/>
    <w:rsid w:val="00B52662"/>
    <w:rsid w:val="00B54778"/>
    <w:rsid w:val="00B60624"/>
    <w:rsid w:val="00B60729"/>
    <w:rsid w:val="00B65C51"/>
    <w:rsid w:val="00B6659B"/>
    <w:rsid w:val="00B679DC"/>
    <w:rsid w:val="00B7082F"/>
    <w:rsid w:val="00B87FA0"/>
    <w:rsid w:val="00B90E67"/>
    <w:rsid w:val="00B91718"/>
    <w:rsid w:val="00B92A95"/>
    <w:rsid w:val="00B943B0"/>
    <w:rsid w:val="00BA2828"/>
    <w:rsid w:val="00BA6B86"/>
    <w:rsid w:val="00BA74E9"/>
    <w:rsid w:val="00BB11D2"/>
    <w:rsid w:val="00BB2C82"/>
    <w:rsid w:val="00BC6D84"/>
    <w:rsid w:val="00BD0941"/>
    <w:rsid w:val="00BD0EE8"/>
    <w:rsid w:val="00BD253A"/>
    <w:rsid w:val="00BE07D0"/>
    <w:rsid w:val="00BE6B83"/>
    <w:rsid w:val="00BF1085"/>
    <w:rsid w:val="00BF3EA9"/>
    <w:rsid w:val="00BF5EF5"/>
    <w:rsid w:val="00C02F5E"/>
    <w:rsid w:val="00C0405A"/>
    <w:rsid w:val="00C06AF2"/>
    <w:rsid w:val="00C07813"/>
    <w:rsid w:val="00C21289"/>
    <w:rsid w:val="00C30DBD"/>
    <w:rsid w:val="00C32E13"/>
    <w:rsid w:val="00C330C9"/>
    <w:rsid w:val="00C347BB"/>
    <w:rsid w:val="00C35266"/>
    <w:rsid w:val="00C364BF"/>
    <w:rsid w:val="00C373CD"/>
    <w:rsid w:val="00C4004F"/>
    <w:rsid w:val="00C56A17"/>
    <w:rsid w:val="00C65F32"/>
    <w:rsid w:val="00C668C5"/>
    <w:rsid w:val="00C6734C"/>
    <w:rsid w:val="00C67E3C"/>
    <w:rsid w:val="00C702F5"/>
    <w:rsid w:val="00C70B3A"/>
    <w:rsid w:val="00C72D62"/>
    <w:rsid w:val="00C74F73"/>
    <w:rsid w:val="00C86055"/>
    <w:rsid w:val="00C877F5"/>
    <w:rsid w:val="00C935C5"/>
    <w:rsid w:val="00C940E7"/>
    <w:rsid w:val="00C94FA6"/>
    <w:rsid w:val="00CA1583"/>
    <w:rsid w:val="00CA216A"/>
    <w:rsid w:val="00CA6098"/>
    <w:rsid w:val="00CB03EA"/>
    <w:rsid w:val="00CB0585"/>
    <w:rsid w:val="00CB630F"/>
    <w:rsid w:val="00CC056C"/>
    <w:rsid w:val="00CC08D2"/>
    <w:rsid w:val="00CC27FD"/>
    <w:rsid w:val="00CC2EEE"/>
    <w:rsid w:val="00CC5230"/>
    <w:rsid w:val="00CC57DD"/>
    <w:rsid w:val="00CC6010"/>
    <w:rsid w:val="00CD3425"/>
    <w:rsid w:val="00CD4206"/>
    <w:rsid w:val="00CE0C89"/>
    <w:rsid w:val="00CE5074"/>
    <w:rsid w:val="00CF0E82"/>
    <w:rsid w:val="00CF1A87"/>
    <w:rsid w:val="00CF48F2"/>
    <w:rsid w:val="00D01FAD"/>
    <w:rsid w:val="00D04865"/>
    <w:rsid w:val="00D11AA6"/>
    <w:rsid w:val="00D123C2"/>
    <w:rsid w:val="00D2302D"/>
    <w:rsid w:val="00D323EA"/>
    <w:rsid w:val="00D36A8C"/>
    <w:rsid w:val="00D4090B"/>
    <w:rsid w:val="00D438DA"/>
    <w:rsid w:val="00D45499"/>
    <w:rsid w:val="00D51555"/>
    <w:rsid w:val="00D67F5B"/>
    <w:rsid w:val="00D824B3"/>
    <w:rsid w:val="00D83916"/>
    <w:rsid w:val="00D83B19"/>
    <w:rsid w:val="00D866D3"/>
    <w:rsid w:val="00D86D0D"/>
    <w:rsid w:val="00D90783"/>
    <w:rsid w:val="00D92609"/>
    <w:rsid w:val="00D93B23"/>
    <w:rsid w:val="00DA1E22"/>
    <w:rsid w:val="00DA37EE"/>
    <w:rsid w:val="00DA4079"/>
    <w:rsid w:val="00DA48D9"/>
    <w:rsid w:val="00DB09D5"/>
    <w:rsid w:val="00DC4C36"/>
    <w:rsid w:val="00DD0997"/>
    <w:rsid w:val="00DD5917"/>
    <w:rsid w:val="00DD6125"/>
    <w:rsid w:val="00DE0DDB"/>
    <w:rsid w:val="00DE2207"/>
    <w:rsid w:val="00DE5B71"/>
    <w:rsid w:val="00DF16A1"/>
    <w:rsid w:val="00DF316A"/>
    <w:rsid w:val="00DF548B"/>
    <w:rsid w:val="00DF671A"/>
    <w:rsid w:val="00DF6DC3"/>
    <w:rsid w:val="00E02F63"/>
    <w:rsid w:val="00E0320F"/>
    <w:rsid w:val="00E045F7"/>
    <w:rsid w:val="00E0603C"/>
    <w:rsid w:val="00E114CC"/>
    <w:rsid w:val="00E1265F"/>
    <w:rsid w:val="00E12921"/>
    <w:rsid w:val="00E14AF5"/>
    <w:rsid w:val="00E20C8E"/>
    <w:rsid w:val="00E21B17"/>
    <w:rsid w:val="00E23FE6"/>
    <w:rsid w:val="00E30D7F"/>
    <w:rsid w:val="00E34DFF"/>
    <w:rsid w:val="00E359EF"/>
    <w:rsid w:val="00E362A4"/>
    <w:rsid w:val="00E37119"/>
    <w:rsid w:val="00E37C88"/>
    <w:rsid w:val="00E44BF7"/>
    <w:rsid w:val="00E45E9D"/>
    <w:rsid w:val="00E55DFA"/>
    <w:rsid w:val="00E646A3"/>
    <w:rsid w:val="00E7007E"/>
    <w:rsid w:val="00E706C8"/>
    <w:rsid w:val="00E748DD"/>
    <w:rsid w:val="00E77FC0"/>
    <w:rsid w:val="00E822F0"/>
    <w:rsid w:val="00E8392C"/>
    <w:rsid w:val="00E84B2B"/>
    <w:rsid w:val="00E86599"/>
    <w:rsid w:val="00E90054"/>
    <w:rsid w:val="00E908E7"/>
    <w:rsid w:val="00E90B7A"/>
    <w:rsid w:val="00E91355"/>
    <w:rsid w:val="00E925D1"/>
    <w:rsid w:val="00EA3223"/>
    <w:rsid w:val="00EB3702"/>
    <w:rsid w:val="00EB44D2"/>
    <w:rsid w:val="00EB4879"/>
    <w:rsid w:val="00EC299D"/>
    <w:rsid w:val="00EC5CDD"/>
    <w:rsid w:val="00EC5DC8"/>
    <w:rsid w:val="00EC6C0C"/>
    <w:rsid w:val="00ED023C"/>
    <w:rsid w:val="00ED7F50"/>
    <w:rsid w:val="00EE0F15"/>
    <w:rsid w:val="00EE164F"/>
    <w:rsid w:val="00EE1DCA"/>
    <w:rsid w:val="00EE3A36"/>
    <w:rsid w:val="00EE4F54"/>
    <w:rsid w:val="00EE50B8"/>
    <w:rsid w:val="00EF6ABD"/>
    <w:rsid w:val="00F02D76"/>
    <w:rsid w:val="00F057EF"/>
    <w:rsid w:val="00F07C58"/>
    <w:rsid w:val="00F1083D"/>
    <w:rsid w:val="00F12328"/>
    <w:rsid w:val="00F12D06"/>
    <w:rsid w:val="00F204F2"/>
    <w:rsid w:val="00F2077E"/>
    <w:rsid w:val="00F22F29"/>
    <w:rsid w:val="00F245A3"/>
    <w:rsid w:val="00F25CB3"/>
    <w:rsid w:val="00F3025E"/>
    <w:rsid w:val="00F30673"/>
    <w:rsid w:val="00F31D11"/>
    <w:rsid w:val="00F37047"/>
    <w:rsid w:val="00F40B1A"/>
    <w:rsid w:val="00F4408F"/>
    <w:rsid w:val="00F47634"/>
    <w:rsid w:val="00F54D5C"/>
    <w:rsid w:val="00F56ADA"/>
    <w:rsid w:val="00F60226"/>
    <w:rsid w:val="00F61092"/>
    <w:rsid w:val="00F62109"/>
    <w:rsid w:val="00F6226A"/>
    <w:rsid w:val="00F6376C"/>
    <w:rsid w:val="00F64285"/>
    <w:rsid w:val="00F714DC"/>
    <w:rsid w:val="00F806F0"/>
    <w:rsid w:val="00F86725"/>
    <w:rsid w:val="00F90258"/>
    <w:rsid w:val="00F9073A"/>
    <w:rsid w:val="00F95622"/>
    <w:rsid w:val="00F97171"/>
    <w:rsid w:val="00FA115C"/>
    <w:rsid w:val="00FA27F1"/>
    <w:rsid w:val="00FA4351"/>
    <w:rsid w:val="00FB57DF"/>
    <w:rsid w:val="00FC0C52"/>
    <w:rsid w:val="00FC5AE6"/>
    <w:rsid w:val="00FD196D"/>
    <w:rsid w:val="00FD7CED"/>
    <w:rsid w:val="00FE04C6"/>
    <w:rsid w:val="00FE0960"/>
    <w:rsid w:val="00FE4856"/>
    <w:rsid w:val="00FF1E19"/>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074"/>
    <w:pPr>
      <w:jc w:val="both"/>
    </w:pPr>
  </w:style>
  <w:style w:type="paragraph" w:styleId="Heading1">
    <w:name w:val="heading 1"/>
    <w:basedOn w:val="Normal"/>
    <w:next w:val="Normal"/>
    <w:link w:val="Heading1Char"/>
    <w:uiPriority w:val="9"/>
    <w:qFormat/>
    <w:rsid w:val="008942FD"/>
    <w:pPr>
      <w:numPr>
        <w:numId w:val="1"/>
      </w:numPr>
      <w:spacing w:before="180" w:after="240"/>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8942FD"/>
    <w:pPr>
      <w:numPr>
        <w:ilvl w:val="1"/>
        <w:numId w:val="1"/>
      </w:numPr>
      <w:tabs>
        <w:tab w:val="left" w:pos="1440"/>
      </w:tabs>
      <w:spacing w:after="240"/>
      <w:outlineLvl w:val="1"/>
    </w:pPr>
    <w:rPr>
      <w:rFonts w:eastAsiaTheme="majorEastAsia" w:cs="Arial"/>
      <w:b/>
      <w:szCs w:val="26"/>
    </w:rPr>
  </w:style>
  <w:style w:type="paragraph" w:styleId="Heading3">
    <w:name w:val="heading 3"/>
    <w:basedOn w:val="Normal"/>
    <w:next w:val="Normal"/>
    <w:link w:val="Heading3Char"/>
    <w:uiPriority w:val="9"/>
    <w:unhideWhenUsed/>
    <w:qFormat/>
    <w:rsid w:val="008942FD"/>
    <w:pPr>
      <w:numPr>
        <w:ilvl w:val="2"/>
        <w:numId w:val="1"/>
      </w:numPr>
      <w:tabs>
        <w:tab w:val="left" w:pos="2160"/>
      </w:tabs>
      <w:spacing w:after="240"/>
      <w:outlineLvl w:val="2"/>
    </w:pPr>
    <w:rPr>
      <w:rFonts w:eastAsiaTheme="majorEastAsia" w:cs="Arial"/>
      <w:b/>
    </w:rPr>
  </w:style>
  <w:style w:type="paragraph" w:styleId="Heading4">
    <w:name w:val="heading 4"/>
    <w:basedOn w:val="Normal"/>
    <w:next w:val="Normal"/>
    <w:link w:val="Heading4Char"/>
    <w:uiPriority w:val="9"/>
    <w:semiHidden/>
    <w:unhideWhenUsed/>
    <w:qFormat/>
    <w:rsid w:val="008942FD"/>
    <w:pPr>
      <w:numPr>
        <w:ilvl w:val="3"/>
        <w:numId w:val="1"/>
      </w:numPr>
      <w:tabs>
        <w:tab w:val="left" w:pos="2880"/>
      </w:tabs>
      <w:spacing w:after="240"/>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8942FD"/>
    <w:pPr>
      <w:numPr>
        <w:ilvl w:val="4"/>
        <w:numId w:val="1"/>
      </w:numPr>
      <w:tabs>
        <w:tab w:val="left" w:pos="3600"/>
      </w:tabs>
      <w:spacing w:after="240"/>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8942FD"/>
    <w:pPr>
      <w:numPr>
        <w:ilvl w:val="5"/>
        <w:numId w:val="1"/>
      </w:numPr>
      <w:tabs>
        <w:tab w:val="left" w:pos="4320"/>
      </w:tabs>
      <w:spacing w:after="240"/>
      <w:outlineLvl w:val="5"/>
    </w:pPr>
    <w:rPr>
      <w:rFonts w:eastAsiaTheme="majorEastAsia" w:cs="Arial"/>
      <w:color w:val="243F60" w:themeColor="accent1" w:themeShade="7F"/>
    </w:rPr>
  </w:style>
  <w:style w:type="paragraph" w:styleId="Heading7">
    <w:name w:val="heading 7"/>
    <w:basedOn w:val="Normal"/>
    <w:next w:val="Normal"/>
    <w:link w:val="Heading7Char"/>
    <w:uiPriority w:val="9"/>
    <w:unhideWhenUsed/>
    <w:qFormat/>
    <w:rsid w:val="008942FD"/>
    <w:pPr>
      <w:numPr>
        <w:ilvl w:val="6"/>
        <w:numId w:val="1"/>
      </w:numPr>
      <w:tabs>
        <w:tab w:val="left" w:pos="5040"/>
      </w:tabs>
      <w:spacing w:after="240"/>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8942FD"/>
    <w:pPr>
      <w:numPr>
        <w:ilvl w:val="7"/>
        <w:numId w:val="1"/>
      </w:numPr>
      <w:tabs>
        <w:tab w:val="left" w:pos="5760"/>
      </w:tabs>
      <w:spacing w:after="240"/>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8942FD"/>
    <w:pPr>
      <w:numPr>
        <w:ilvl w:val="8"/>
        <w:numId w:val="1"/>
      </w:numPr>
      <w:tabs>
        <w:tab w:val="left" w:pos="6480"/>
      </w:tabs>
      <w:spacing w:after="240"/>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E8C"/>
    <w:pPr>
      <w:tabs>
        <w:tab w:val="center" w:pos="4680"/>
        <w:tab w:val="right" w:pos="9360"/>
      </w:tabs>
    </w:pPr>
  </w:style>
  <w:style w:type="character" w:customStyle="1" w:styleId="HeaderChar">
    <w:name w:val="Header Char"/>
    <w:basedOn w:val="DefaultParagraphFont"/>
    <w:link w:val="Header"/>
    <w:rsid w:val="00234E8C"/>
  </w:style>
  <w:style w:type="paragraph" w:styleId="Footer">
    <w:name w:val="footer"/>
    <w:basedOn w:val="Normal"/>
    <w:link w:val="FooterChar"/>
    <w:unhideWhenUsed/>
    <w:rsid w:val="00234E8C"/>
    <w:pPr>
      <w:tabs>
        <w:tab w:val="center" w:pos="4680"/>
        <w:tab w:val="right" w:pos="9360"/>
      </w:tabs>
    </w:pPr>
  </w:style>
  <w:style w:type="character" w:customStyle="1" w:styleId="FooterChar">
    <w:name w:val="Footer Char"/>
    <w:basedOn w:val="DefaultParagraphFont"/>
    <w:link w:val="Footer"/>
    <w:rsid w:val="00234E8C"/>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BF3EA9"/>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BF3EA9"/>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semiHidden/>
    <w:unhideWhenUsed/>
    <w:rsid w:val="00BF3EA9"/>
    <w:rPr>
      <w:vertAlign w:val="superscript"/>
    </w:rPr>
  </w:style>
  <w:style w:type="paragraph" w:styleId="NormalWeb">
    <w:name w:val="Normal (Web)"/>
    <w:basedOn w:val="Normal"/>
    <w:uiPriority w:val="99"/>
    <w:semiHidden/>
    <w:unhideWhenUsed/>
    <w:rsid w:val="00677A9D"/>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F47634"/>
    <w:rPr>
      <w:color w:val="0000FF" w:themeColor="hyperlink"/>
      <w:u w:val="single"/>
    </w:rPr>
  </w:style>
  <w:style w:type="character" w:customStyle="1" w:styleId="Heading1Char">
    <w:name w:val="Heading 1 Char"/>
    <w:basedOn w:val="DefaultParagraphFont"/>
    <w:link w:val="Heading1"/>
    <w:uiPriority w:val="9"/>
    <w:rsid w:val="008942FD"/>
    <w:rPr>
      <w:rFonts w:eastAsiaTheme="majorEastAsia" w:cs="Arial"/>
      <w:b/>
      <w:caps/>
      <w:szCs w:val="32"/>
      <w:u w:val="single"/>
    </w:rPr>
  </w:style>
  <w:style w:type="character" w:customStyle="1" w:styleId="Heading2Char">
    <w:name w:val="Heading 2 Char"/>
    <w:basedOn w:val="DefaultParagraphFont"/>
    <w:link w:val="Heading2"/>
    <w:uiPriority w:val="9"/>
    <w:rsid w:val="008942FD"/>
    <w:rPr>
      <w:rFonts w:eastAsiaTheme="majorEastAsia" w:cs="Arial"/>
      <w:b/>
      <w:szCs w:val="26"/>
    </w:rPr>
  </w:style>
  <w:style w:type="character" w:customStyle="1" w:styleId="Heading3Char">
    <w:name w:val="Heading 3 Char"/>
    <w:basedOn w:val="DefaultParagraphFont"/>
    <w:link w:val="Heading3"/>
    <w:uiPriority w:val="9"/>
    <w:rsid w:val="008942FD"/>
    <w:rPr>
      <w:rFonts w:eastAsiaTheme="majorEastAsia" w:cs="Arial"/>
      <w:b/>
    </w:rPr>
  </w:style>
  <w:style w:type="character" w:customStyle="1" w:styleId="Heading4Char">
    <w:name w:val="Heading 4 Char"/>
    <w:basedOn w:val="DefaultParagraphFont"/>
    <w:link w:val="Heading4"/>
    <w:uiPriority w:val="9"/>
    <w:semiHidden/>
    <w:rsid w:val="008942FD"/>
    <w:rPr>
      <w:rFonts w:eastAsiaTheme="majorEastAsia" w:cs="Arial"/>
      <w:b/>
      <w:i/>
      <w:iCs/>
    </w:rPr>
  </w:style>
  <w:style w:type="character" w:customStyle="1" w:styleId="Heading5Char">
    <w:name w:val="Heading 5 Char"/>
    <w:basedOn w:val="DefaultParagraphFont"/>
    <w:link w:val="Heading5"/>
    <w:uiPriority w:val="9"/>
    <w:semiHidden/>
    <w:rsid w:val="008942FD"/>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8942FD"/>
    <w:rPr>
      <w:rFonts w:eastAsiaTheme="majorEastAsia" w:cs="Arial"/>
      <w:color w:val="243F60" w:themeColor="accent1" w:themeShade="7F"/>
    </w:rPr>
  </w:style>
  <w:style w:type="character" w:customStyle="1" w:styleId="Heading7Char">
    <w:name w:val="Heading 7 Char"/>
    <w:basedOn w:val="DefaultParagraphFont"/>
    <w:link w:val="Heading7"/>
    <w:uiPriority w:val="9"/>
    <w:rsid w:val="008942FD"/>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8942FD"/>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8942FD"/>
    <w:rPr>
      <w:rFonts w:eastAsiaTheme="majorEastAsia" w:cs="Arial"/>
      <w:iCs/>
      <w:color w:val="404040" w:themeColor="text1" w:themeTint="BF"/>
      <w:szCs w:val="21"/>
    </w:rPr>
  </w:style>
  <w:style w:type="character" w:customStyle="1" w:styleId="ssrfcpassagedeactivated">
    <w:name w:val="ss_rfcpassage_deactivated"/>
    <w:basedOn w:val="DefaultParagraphFont"/>
    <w:rsid w:val="003840AF"/>
  </w:style>
  <w:style w:type="paragraph" w:styleId="BalloonText">
    <w:name w:val="Balloon Text"/>
    <w:basedOn w:val="Normal"/>
    <w:link w:val="BalloonTextChar"/>
    <w:uiPriority w:val="99"/>
    <w:semiHidden/>
    <w:unhideWhenUsed/>
    <w:rsid w:val="0038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AF"/>
    <w:rPr>
      <w:rFonts w:ascii="Segoe UI" w:hAnsi="Segoe UI" w:cs="Segoe UI"/>
      <w:sz w:val="18"/>
      <w:szCs w:val="18"/>
    </w:rPr>
  </w:style>
  <w:style w:type="paragraph" w:customStyle="1" w:styleId="SCBody">
    <w:name w:val="S.C. Body"/>
    <w:basedOn w:val="Normal"/>
    <w:qFormat/>
    <w:rsid w:val="00BF5EF5"/>
    <w:pPr>
      <w:spacing w:line="480" w:lineRule="auto"/>
      <w:ind w:firstLine="720"/>
      <w:jc w:val="left"/>
    </w:pPr>
    <w:rPr>
      <w:rFonts w:ascii="Times New Roman" w:eastAsia="Times New Roman" w:hAnsi="Times New Roman" w:cs="Times New Roman"/>
      <w:szCs w:val="20"/>
    </w:rPr>
  </w:style>
  <w:style w:type="paragraph" w:customStyle="1" w:styleId="Footnotes">
    <w:name w:val="Footnotes"/>
    <w:basedOn w:val="Normal"/>
    <w:qFormat/>
    <w:rsid w:val="00BF5EF5"/>
    <w:pPr>
      <w:spacing w:after="120"/>
    </w:pPr>
    <w:rPr>
      <w:rFonts w:cs="Times New Roman"/>
      <w:sz w:val="20"/>
    </w:rPr>
  </w:style>
  <w:style w:type="character" w:styleId="PageNumber">
    <w:name w:val="page number"/>
    <w:basedOn w:val="DefaultParagraphFont"/>
    <w:rsid w:val="006802B1"/>
  </w:style>
  <w:style w:type="character" w:styleId="CommentReference">
    <w:name w:val="annotation reference"/>
    <w:basedOn w:val="DefaultParagraphFont"/>
    <w:uiPriority w:val="99"/>
    <w:semiHidden/>
    <w:unhideWhenUsed/>
    <w:rsid w:val="0016130C"/>
    <w:rPr>
      <w:sz w:val="16"/>
      <w:szCs w:val="16"/>
    </w:rPr>
  </w:style>
  <w:style w:type="paragraph" w:styleId="CommentText">
    <w:name w:val="annotation text"/>
    <w:basedOn w:val="Normal"/>
    <w:link w:val="CommentTextChar"/>
    <w:uiPriority w:val="99"/>
    <w:semiHidden/>
    <w:unhideWhenUsed/>
    <w:rsid w:val="0016130C"/>
    <w:rPr>
      <w:sz w:val="20"/>
      <w:szCs w:val="20"/>
    </w:rPr>
  </w:style>
  <w:style w:type="character" w:customStyle="1" w:styleId="CommentTextChar">
    <w:name w:val="Comment Text Char"/>
    <w:basedOn w:val="DefaultParagraphFont"/>
    <w:link w:val="CommentText"/>
    <w:uiPriority w:val="99"/>
    <w:semiHidden/>
    <w:rsid w:val="0016130C"/>
    <w:rPr>
      <w:sz w:val="20"/>
      <w:szCs w:val="20"/>
    </w:rPr>
  </w:style>
  <w:style w:type="paragraph" w:styleId="CommentSubject">
    <w:name w:val="annotation subject"/>
    <w:basedOn w:val="CommentText"/>
    <w:next w:val="CommentText"/>
    <w:link w:val="CommentSubjectChar"/>
    <w:uiPriority w:val="99"/>
    <w:semiHidden/>
    <w:unhideWhenUsed/>
    <w:rsid w:val="0016130C"/>
    <w:rPr>
      <w:b/>
      <w:bCs/>
    </w:rPr>
  </w:style>
  <w:style w:type="character" w:customStyle="1" w:styleId="CommentSubjectChar">
    <w:name w:val="Comment Subject Char"/>
    <w:basedOn w:val="CommentTextChar"/>
    <w:link w:val="CommentSubject"/>
    <w:uiPriority w:val="99"/>
    <w:semiHidden/>
    <w:rsid w:val="0016130C"/>
    <w:rPr>
      <w:b/>
      <w:bCs/>
      <w:sz w:val="20"/>
      <w:szCs w:val="20"/>
    </w:rPr>
  </w:style>
  <w:style w:type="character" w:styleId="FollowedHyperlink">
    <w:name w:val="FollowedHyperlink"/>
    <w:basedOn w:val="DefaultParagraphFont"/>
    <w:uiPriority w:val="99"/>
    <w:semiHidden/>
    <w:unhideWhenUsed/>
    <w:rsid w:val="00DA37EE"/>
    <w:rPr>
      <w:color w:val="800080" w:themeColor="followedHyperlink"/>
      <w:u w:val="single"/>
    </w:rPr>
  </w:style>
  <w:style w:type="paragraph" w:styleId="Revision">
    <w:name w:val="Revision"/>
    <w:hidden/>
    <w:uiPriority w:val="99"/>
    <w:semiHidden/>
    <w:rsid w:val="00297E30"/>
  </w:style>
  <w:style w:type="paragraph" w:styleId="TOC1">
    <w:name w:val="toc 1"/>
    <w:basedOn w:val="Normal"/>
    <w:next w:val="Normal"/>
    <w:autoRedefine/>
    <w:uiPriority w:val="39"/>
    <w:unhideWhenUsed/>
    <w:rsid w:val="00C347BB"/>
    <w:pPr>
      <w:tabs>
        <w:tab w:val="right" w:leader="dot" w:pos="9350"/>
      </w:tabs>
      <w:spacing w:after="180"/>
      <w:ind w:left="720" w:hanging="720"/>
      <w:jc w:val="center"/>
    </w:pPr>
    <w:rPr>
      <w:rFonts w:ascii="Arial Bold" w:eastAsia="Times New Roman" w:hAnsi="Arial Bold"/>
      <w:b/>
      <w:smallCaps/>
      <w:sz w:val="28"/>
    </w:rPr>
  </w:style>
  <w:style w:type="paragraph" w:styleId="TOC2">
    <w:name w:val="toc 2"/>
    <w:basedOn w:val="Normal"/>
    <w:next w:val="Normal"/>
    <w:autoRedefine/>
    <w:uiPriority w:val="39"/>
    <w:unhideWhenUsed/>
    <w:rsid w:val="00C347BB"/>
    <w:pPr>
      <w:tabs>
        <w:tab w:val="right" w:leader="dot" w:pos="9360"/>
      </w:tabs>
      <w:spacing w:after="100"/>
      <w:ind w:left="1267" w:right="720" w:hanging="547"/>
    </w:pPr>
  </w:style>
  <w:style w:type="paragraph" w:styleId="TOC3">
    <w:name w:val="toc 3"/>
    <w:basedOn w:val="Normal"/>
    <w:next w:val="Normal"/>
    <w:autoRedefine/>
    <w:uiPriority w:val="39"/>
    <w:unhideWhenUsed/>
    <w:rsid w:val="00C347BB"/>
    <w:pPr>
      <w:spacing w:after="100"/>
      <w:ind w:left="1814" w:right="7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505">
      <w:bodyDiv w:val="1"/>
      <w:marLeft w:val="0"/>
      <w:marRight w:val="0"/>
      <w:marTop w:val="0"/>
      <w:marBottom w:val="0"/>
      <w:divBdr>
        <w:top w:val="none" w:sz="0" w:space="0" w:color="auto"/>
        <w:left w:val="none" w:sz="0" w:space="0" w:color="auto"/>
        <w:bottom w:val="none" w:sz="0" w:space="0" w:color="auto"/>
        <w:right w:val="none" w:sz="0" w:space="0" w:color="auto"/>
      </w:divBdr>
    </w:div>
    <w:div w:id="264656627">
      <w:bodyDiv w:val="1"/>
      <w:marLeft w:val="0"/>
      <w:marRight w:val="0"/>
      <w:marTop w:val="0"/>
      <w:marBottom w:val="0"/>
      <w:divBdr>
        <w:top w:val="none" w:sz="0" w:space="0" w:color="auto"/>
        <w:left w:val="none" w:sz="0" w:space="0" w:color="auto"/>
        <w:bottom w:val="none" w:sz="0" w:space="0" w:color="auto"/>
        <w:right w:val="none" w:sz="0" w:space="0" w:color="auto"/>
      </w:divBdr>
    </w:div>
    <w:div w:id="607738118">
      <w:bodyDiv w:val="1"/>
      <w:marLeft w:val="0"/>
      <w:marRight w:val="0"/>
      <w:marTop w:val="0"/>
      <w:marBottom w:val="0"/>
      <w:divBdr>
        <w:top w:val="none" w:sz="0" w:space="0" w:color="auto"/>
        <w:left w:val="none" w:sz="0" w:space="0" w:color="auto"/>
        <w:bottom w:val="none" w:sz="0" w:space="0" w:color="auto"/>
        <w:right w:val="none" w:sz="0" w:space="0" w:color="auto"/>
      </w:divBdr>
    </w:div>
    <w:div w:id="801264542">
      <w:bodyDiv w:val="1"/>
      <w:marLeft w:val="0"/>
      <w:marRight w:val="0"/>
      <w:marTop w:val="0"/>
      <w:marBottom w:val="0"/>
      <w:divBdr>
        <w:top w:val="none" w:sz="0" w:space="0" w:color="auto"/>
        <w:left w:val="none" w:sz="0" w:space="0" w:color="auto"/>
        <w:bottom w:val="none" w:sz="0" w:space="0" w:color="auto"/>
        <w:right w:val="none" w:sz="0" w:space="0" w:color="auto"/>
      </w:divBdr>
    </w:div>
    <w:div w:id="816994127">
      <w:bodyDiv w:val="1"/>
      <w:marLeft w:val="0"/>
      <w:marRight w:val="0"/>
      <w:marTop w:val="0"/>
      <w:marBottom w:val="0"/>
      <w:divBdr>
        <w:top w:val="none" w:sz="0" w:space="0" w:color="auto"/>
        <w:left w:val="none" w:sz="0" w:space="0" w:color="auto"/>
        <w:bottom w:val="none" w:sz="0" w:space="0" w:color="auto"/>
        <w:right w:val="none" w:sz="0" w:space="0" w:color="auto"/>
      </w:divBdr>
    </w:div>
    <w:div w:id="916329489">
      <w:bodyDiv w:val="1"/>
      <w:marLeft w:val="0"/>
      <w:marRight w:val="0"/>
      <w:marTop w:val="0"/>
      <w:marBottom w:val="0"/>
      <w:divBdr>
        <w:top w:val="none" w:sz="0" w:space="0" w:color="auto"/>
        <w:left w:val="none" w:sz="0" w:space="0" w:color="auto"/>
        <w:bottom w:val="none" w:sz="0" w:space="0" w:color="auto"/>
        <w:right w:val="none" w:sz="0" w:space="0" w:color="auto"/>
      </w:divBdr>
    </w:div>
    <w:div w:id="942300358">
      <w:bodyDiv w:val="1"/>
      <w:marLeft w:val="0"/>
      <w:marRight w:val="0"/>
      <w:marTop w:val="0"/>
      <w:marBottom w:val="0"/>
      <w:divBdr>
        <w:top w:val="none" w:sz="0" w:space="0" w:color="auto"/>
        <w:left w:val="none" w:sz="0" w:space="0" w:color="auto"/>
        <w:bottom w:val="none" w:sz="0" w:space="0" w:color="auto"/>
        <w:right w:val="none" w:sz="0" w:space="0" w:color="auto"/>
      </w:divBdr>
    </w:div>
    <w:div w:id="1064836754">
      <w:bodyDiv w:val="1"/>
      <w:marLeft w:val="0"/>
      <w:marRight w:val="0"/>
      <w:marTop w:val="0"/>
      <w:marBottom w:val="0"/>
      <w:divBdr>
        <w:top w:val="none" w:sz="0" w:space="0" w:color="auto"/>
        <w:left w:val="none" w:sz="0" w:space="0" w:color="auto"/>
        <w:bottom w:val="none" w:sz="0" w:space="0" w:color="auto"/>
        <w:right w:val="none" w:sz="0" w:space="0" w:color="auto"/>
      </w:divBdr>
    </w:div>
    <w:div w:id="1121649841">
      <w:bodyDiv w:val="1"/>
      <w:marLeft w:val="0"/>
      <w:marRight w:val="0"/>
      <w:marTop w:val="0"/>
      <w:marBottom w:val="0"/>
      <w:divBdr>
        <w:top w:val="none" w:sz="0" w:space="0" w:color="auto"/>
        <w:left w:val="none" w:sz="0" w:space="0" w:color="auto"/>
        <w:bottom w:val="none" w:sz="0" w:space="0" w:color="auto"/>
        <w:right w:val="none" w:sz="0" w:space="0" w:color="auto"/>
      </w:divBdr>
    </w:div>
    <w:div w:id="1470247120">
      <w:bodyDiv w:val="1"/>
      <w:marLeft w:val="0"/>
      <w:marRight w:val="0"/>
      <w:marTop w:val="0"/>
      <w:marBottom w:val="0"/>
      <w:divBdr>
        <w:top w:val="none" w:sz="0" w:space="0" w:color="auto"/>
        <w:left w:val="none" w:sz="0" w:space="0" w:color="auto"/>
        <w:bottom w:val="none" w:sz="0" w:space="0" w:color="auto"/>
        <w:right w:val="none" w:sz="0" w:space="0" w:color="auto"/>
      </w:divBdr>
    </w:div>
    <w:div w:id="1548569704">
      <w:bodyDiv w:val="1"/>
      <w:marLeft w:val="0"/>
      <w:marRight w:val="0"/>
      <w:marTop w:val="0"/>
      <w:marBottom w:val="0"/>
      <w:divBdr>
        <w:top w:val="none" w:sz="0" w:space="0" w:color="auto"/>
        <w:left w:val="none" w:sz="0" w:space="0" w:color="auto"/>
        <w:bottom w:val="none" w:sz="0" w:space="0" w:color="auto"/>
        <w:right w:val="none" w:sz="0" w:space="0" w:color="auto"/>
      </w:divBdr>
    </w:div>
    <w:div w:id="1606188075">
      <w:bodyDiv w:val="1"/>
      <w:marLeft w:val="0"/>
      <w:marRight w:val="0"/>
      <w:marTop w:val="0"/>
      <w:marBottom w:val="0"/>
      <w:divBdr>
        <w:top w:val="none" w:sz="0" w:space="0" w:color="auto"/>
        <w:left w:val="none" w:sz="0" w:space="0" w:color="auto"/>
        <w:bottom w:val="none" w:sz="0" w:space="0" w:color="auto"/>
        <w:right w:val="none" w:sz="0" w:space="0" w:color="auto"/>
      </w:divBdr>
    </w:div>
    <w:div w:id="1860465575">
      <w:bodyDiv w:val="1"/>
      <w:marLeft w:val="0"/>
      <w:marRight w:val="0"/>
      <w:marTop w:val="0"/>
      <w:marBottom w:val="0"/>
      <w:divBdr>
        <w:top w:val="none" w:sz="0" w:space="0" w:color="auto"/>
        <w:left w:val="none" w:sz="0" w:space="0" w:color="auto"/>
        <w:bottom w:val="none" w:sz="0" w:space="0" w:color="auto"/>
        <w:right w:val="none" w:sz="0" w:space="0" w:color="auto"/>
      </w:divBdr>
    </w:div>
    <w:div w:id="1924335833">
      <w:bodyDiv w:val="1"/>
      <w:marLeft w:val="0"/>
      <w:marRight w:val="0"/>
      <w:marTop w:val="0"/>
      <w:marBottom w:val="0"/>
      <w:divBdr>
        <w:top w:val="none" w:sz="0" w:space="0" w:color="auto"/>
        <w:left w:val="none" w:sz="0" w:space="0" w:color="auto"/>
        <w:bottom w:val="none" w:sz="0" w:space="0" w:color="auto"/>
        <w:right w:val="none" w:sz="0" w:space="0" w:color="auto"/>
      </w:divBdr>
    </w:div>
    <w:div w:id="19890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sec.gov/Archives/edgar/data/27430/000078725016000042/dpl10k12312015q410-ka.htm" TargetMode="External"/><Relationship Id="rId2" Type="http://schemas.openxmlformats.org/officeDocument/2006/relationships/hyperlink" Target="https://www.sec.gov/Archives/edgar/data/787250/000144757211000059/i11429.htm" TargetMode="External"/><Relationship Id="rId1" Type="http://schemas.openxmlformats.org/officeDocument/2006/relationships/hyperlink" Target="https://www.sec.gov/Archives/edgar/data/27430/000078725016000042/dpl10k12312015q410-ka.htm" TargetMode="External"/><Relationship Id="rId5" Type="http://schemas.openxmlformats.org/officeDocument/2006/relationships/hyperlink" Target="https://www.sec.gov/Archives/edgar/data/27430/000078725016000053/dpl10q20160630q2.htm" TargetMode="External"/><Relationship Id="rId4" Type="http://schemas.openxmlformats.org/officeDocument/2006/relationships/hyperlink" Target="https://www.sec.gov/Archives/edgar/data/27430/000078725014000011/c250-20131231x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7964</Words>
  <Characters>44028</Characters>
  <Application>Microsoft Office Word</Application>
  <DocSecurity>0</DocSecurity>
  <PresentationFormat>15|.DOCX</PresentationFormat>
  <Lines>1041</Lines>
  <Paragraphs>428</Paragraphs>
  <ScaleCrop>false</ScaleCrop>
  <HeadingPairs>
    <vt:vector size="2" baseType="variant">
      <vt:variant>
        <vt:lpstr>Title</vt:lpstr>
      </vt:variant>
      <vt:variant>
        <vt:i4>1</vt:i4>
      </vt:variant>
    </vt:vector>
  </HeadingPairs>
  <TitlesOfParts>
    <vt:vector size="1" baseType="lpstr">
      <vt:lpstr>16-395-IEU Motion to Dismiss DMR (Public Version) (C0100043).DOCX</vt:lpstr>
    </vt:vector>
  </TitlesOfParts>
  <Company/>
  <LinksUpToDate>false</LinksUpToDate>
  <CharactersWithSpaces>51893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16-395-IEU Motion to Dismiss DMR (Public Version) (C0100043).DOCX</dc:title>
  <dc:subject/>
  <dc:creator/>
  <cp:keywords/>
  <dc:description/>
  <cp:lastModifiedBy/>
  <cp:revision>1</cp:revision>
  <dcterms:created xsi:type="dcterms:W3CDTF">2016-11-21T19:34:00Z</dcterms:created>
  <dcterms:modified xsi:type="dcterms:W3CDTF">2016-11-21T19:34:00Z</dcterms:modified>
</cp:coreProperties>
</file>