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6F1EA1" w:rsidRPr="00436AE3" w:rsidP="00F27370" w14:paraId="162D2C3B" w14:textId="2F247BD4">
      <w:pPr>
        <w:pStyle w:val="HTMLPreformatted"/>
        <w:jc w:val="center"/>
        <w:rPr>
          <w:rFonts w:ascii="Times New Roman" w:hAnsi="Times New Roman" w:cs="Times New Roman"/>
          <w:b/>
          <w:bCs/>
          <w:sz w:val="24"/>
          <w:szCs w:val="24"/>
        </w:rPr>
      </w:pPr>
      <w:bookmarkStart w:id="0" w:name="_Toc512326203"/>
      <w:bookmarkStart w:id="1" w:name="_GoBack"/>
      <w:bookmarkEnd w:id="1"/>
      <w:r w:rsidRPr="00436AE3">
        <w:rPr>
          <w:rFonts w:ascii="Times New Roman" w:hAnsi="Times New Roman" w:cs="Times New Roman"/>
          <w:b/>
          <w:bCs/>
          <w:sz w:val="24"/>
          <w:szCs w:val="24"/>
        </w:rPr>
        <w:t>BEFORE</w:t>
      </w:r>
    </w:p>
    <w:p w:rsidR="006F1EA1" w:rsidRPr="00436AE3" w:rsidP="00F27370" w14:paraId="5E06845C" w14:textId="77777777">
      <w:pPr>
        <w:pStyle w:val="HTMLPreformatted"/>
        <w:jc w:val="center"/>
        <w:rPr>
          <w:rFonts w:ascii="Times New Roman" w:hAnsi="Times New Roman" w:cs="Times New Roman"/>
          <w:sz w:val="24"/>
          <w:szCs w:val="24"/>
        </w:rPr>
      </w:pPr>
      <w:r w:rsidRPr="00436AE3">
        <w:rPr>
          <w:rFonts w:ascii="Times New Roman" w:hAnsi="Times New Roman" w:cs="Times New Roman"/>
          <w:b/>
          <w:bCs/>
          <w:sz w:val="24"/>
          <w:szCs w:val="24"/>
        </w:rPr>
        <w:t>THE PUBLIC UTILITIES COMMISSION OF OHIO</w:t>
      </w:r>
    </w:p>
    <w:p w:rsidR="006F1EA1" w:rsidRPr="00436AE3" w:rsidP="00F27370" w14:paraId="3B10AEB7" w14:textId="77777777">
      <w:pPr>
        <w:pStyle w:val="HTMLPreformatted"/>
        <w:rPr>
          <w:rFonts w:ascii="Times New Roman" w:hAnsi="Times New Roman" w:cs="Times New Roman"/>
          <w:sz w:val="24"/>
          <w:szCs w:val="24"/>
        </w:rPr>
      </w:pPr>
    </w:p>
    <w:tbl>
      <w:tblPr>
        <w:tblW w:w="9458" w:type="dxa"/>
        <w:tblLook w:val="01E0"/>
      </w:tblPr>
      <w:tblGrid>
        <w:gridCol w:w="4518"/>
        <w:gridCol w:w="540"/>
        <w:gridCol w:w="4400"/>
      </w:tblGrid>
      <w:tr w14:paraId="73AD6143" w14:textId="77777777" w:rsidTr="006F1EA1">
        <w:tblPrEx>
          <w:tblW w:w="9458" w:type="dxa"/>
          <w:tblLook w:val="01E0"/>
        </w:tblPrEx>
        <w:trPr>
          <w:trHeight w:val="807"/>
        </w:trPr>
        <w:tc>
          <w:tcPr>
            <w:tcW w:w="4518" w:type="dxa"/>
            <w:shd w:val="clear" w:color="auto" w:fill="auto"/>
          </w:tcPr>
          <w:p w:rsidR="006F1EA1" w:rsidRPr="00436AE3" w:rsidP="00F27370" w14:paraId="0A0B6E89" w14:textId="77777777">
            <w:pPr>
              <w:autoSpaceDE w:val="0"/>
              <w:autoSpaceDN w:val="0"/>
              <w:adjustRightInd w:val="0"/>
              <w:rPr>
                <w:szCs w:val="24"/>
              </w:rPr>
            </w:pPr>
            <w:r w:rsidRPr="00436AE3">
              <w:rPr>
                <w:szCs w:val="24"/>
              </w:rPr>
              <w:t>In the Matter of the Application of Ohio Edison Company, The Cleveland Electric Illuminating Company, and The Toledo Edison Company for Approval of a Tariff Change.</w:t>
            </w:r>
            <w:r w:rsidRPr="00436AE3" w:rsidR="00FB6556">
              <w:rPr>
                <w:szCs w:val="24"/>
              </w:rPr>
              <w:t xml:space="preserve"> </w:t>
            </w:r>
          </w:p>
        </w:tc>
        <w:tc>
          <w:tcPr>
            <w:tcW w:w="540" w:type="dxa"/>
            <w:shd w:val="clear" w:color="auto" w:fill="auto"/>
          </w:tcPr>
          <w:p w:rsidR="006F1EA1" w:rsidRPr="00436AE3" w:rsidP="00F27370" w14:paraId="739C3F41" w14:textId="77777777">
            <w:pPr>
              <w:pStyle w:val="HTMLPreformatted"/>
              <w:jc w:val="center"/>
              <w:rPr>
                <w:rFonts w:ascii="Times New Roman" w:hAnsi="Times New Roman" w:cs="Times New Roman"/>
                <w:sz w:val="24"/>
                <w:szCs w:val="24"/>
              </w:rPr>
            </w:pPr>
            <w:r w:rsidRPr="00436AE3">
              <w:rPr>
                <w:rFonts w:ascii="Times New Roman" w:hAnsi="Times New Roman" w:cs="Times New Roman"/>
                <w:sz w:val="24"/>
                <w:szCs w:val="24"/>
              </w:rPr>
              <w:t>)</w:t>
            </w:r>
          </w:p>
          <w:p w:rsidR="006F1EA1" w:rsidRPr="00436AE3" w:rsidP="00F27370" w14:paraId="4C339760" w14:textId="77777777">
            <w:pPr>
              <w:pStyle w:val="HTMLPreformatted"/>
              <w:jc w:val="center"/>
              <w:rPr>
                <w:rFonts w:ascii="Times New Roman" w:hAnsi="Times New Roman" w:cs="Times New Roman"/>
                <w:sz w:val="24"/>
                <w:szCs w:val="24"/>
              </w:rPr>
            </w:pPr>
            <w:r w:rsidRPr="00436AE3">
              <w:rPr>
                <w:rFonts w:ascii="Times New Roman" w:hAnsi="Times New Roman" w:cs="Times New Roman"/>
                <w:sz w:val="24"/>
                <w:szCs w:val="24"/>
              </w:rPr>
              <w:t>)</w:t>
            </w:r>
          </w:p>
          <w:p w:rsidR="006F1EA1" w:rsidRPr="00436AE3" w:rsidP="00F27370" w14:paraId="724313F7" w14:textId="77777777">
            <w:pPr>
              <w:pStyle w:val="HTMLPreformatted"/>
              <w:jc w:val="center"/>
              <w:rPr>
                <w:rFonts w:ascii="Times New Roman" w:hAnsi="Times New Roman" w:cs="Times New Roman"/>
                <w:sz w:val="24"/>
                <w:szCs w:val="24"/>
              </w:rPr>
            </w:pPr>
            <w:r w:rsidRPr="00436AE3">
              <w:rPr>
                <w:rFonts w:ascii="Times New Roman" w:hAnsi="Times New Roman" w:cs="Times New Roman"/>
                <w:sz w:val="24"/>
                <w:szCs w:val="24"/>
              </w:rPr>
              <w:t>)</w:t>
            </w:r>
          </w:p>
          <w:p w:rsidR="006F1EA1" w:rsidRPr="00436AE3" w:rsidP="00F27370" w14:paraId="1261DF9F" w14:textId="77777777">
            <w:pPr>
              <w:pStyle w:val="HTMLPreformatted"/>
              <w:jc w:val="center"/>
              <w:rPr>
                <w:rFonts w:ascii="Times New Roman" w:hAnsi="Times New Roman" w:cs="Times New Roman"/>
                <w:sz w:val="24"/>
                <w:szCs w:val="24"/>
              </w:rPr>
            </w:pPr>
            <w:r w:rsidRPr="00436AE3">
              <w:rPr>
                <w:rFonts w:ascii="Times New Roman" w:hAnsi="Times New Roman" w:cs="Times New Roman"/>
                <w:sz w:val="24"/>
                <w:szCs w:val="24"/>
              </w:rPr>
              <w:t>)</w:t>
            </w:r>
          </w:p>
          <w:p w:rsidR="006F1EA1" w:rsidRPr="00436AE3" w:rsidP="00F27370" w14:paraId="4FCC9806" w14:textId="77777777">
            <w:pPr>
              <w:pStyle w:val="HTMLPreformatted"/>
              <w:jc w:val="center"/>
              <w:rPr>
                <w:rFonts w:ascii="Times New Roman" w:hAnsi="Times New Roman" w:cs="Times New Roman"/>
                <w:sz w:val="24"/>
                <w:szCs w:val="24"/>
              </w:rPr>
            </w:pPr>
            <w:r w:rsidRPr="00436AE3">
              <w:rPr>
                <w:rFonts w:ascii="Times New Roman" w:hAnsi="Times New Roman" w:cs="Times New Roman"/>
                <w:sz w:val="24"/>
                <w:szCs w:val="24"/>
              </w:rPr>
              <w:t>)</w:t>
            </w:r>
          </w:p>
        </w:tc>
        <w:tc>
          <w:tcPr>
            <w:tcW w:w="4400" w:type="dxa"/>
            <w:shd w:val="clear" w:color="auto" w:fill="auto"/>
          </w:tcPr>
          <w:p w:rsidR="006F1EA1" w:rsidRPr="00436AE3" w:rsidP="00F27370" w14:paraId="76F10008" w14:textId="77777777">
            <w:pPr>
              <w:pStyle w:val="HTMLPreformatted"/>
              <w:rPr>
                <w:rFonts w:ascii="Times New Roman" w:hAnsi="Times New Roman" w:cs="Times New Roman"/>
                <w:sz w:val="24"/>
                <w:szCs w:val="24"/>
              </w:rPr>
            </w:pPr>
          </w:p>
          <w:p w:rsidR="00932A20" w:rsidRPr="00436AE3" w:rsidP="00F27370" w14:paraId="169B3BA7" w14:textId="77777777">
            <w:pPr>
              <w:pStyle w:val="HTMLPreformatted"/>
              <w:rPr>
                <w:rFonts w:ascii="Times New Roman" w:hAnsi="Times New Roman" w:cs="Times New Roman"/>
                <w:sz w:val="24"/>
                <w:szCs w:val="24"/>
              </w:rPr>
            </w:pPr>
          </w:p>
          <w:p w:rsidR="006F1EA1" w:rsidRPr="00436AE3" w:rsidP="00F27370" w14:paraId="5C4C3C2D" w14:textId="77777777">
            <w:pPr>
              <w:pStyle w:val="HTMLPreformatted"/>
              <w:rPr>
                <w:rFonts w:ascii="Times New Roman" w:hAnsi="Times New Roman" w:cs="Times New Roman"/>
                <w:sz w:val="24"/>
                <w:szCs w:val="24"/>
              </w:rPr>
            </w:pPr>
            <w:r w:rsidRPr="00436AE3">
              <w:rPr>
                <w:rFonts w:ascii="Times New Roman" w:hAnsi="Times New Roman" w:cs="Times New Roman"/>
                <w:sz w:val="24"/>
                <w:szCs w:val="24"/>
              </w:rPr>
              <w:t>Case No. 1</w:t>
            </w:r>
            <w:r w:rsidRPr="00436AE3" w:rsidR="00932A20">
              <w:rPr>
                <w:rFonts w:ascii="Times New Roman" w:hAnsi="Times New Roman" w:cs="Times New Roman"/>
                <w:sz w:val="24"/>
                <w:szCs w:val="24"/>
              </w:rPr>
              <w:t>8-1656-EL-ATA</w:t>
            </w:r>
          </w:p>
        </w:tc>
      </w:tr>
    </w:tbl>
    <w:p w:rsidR="006F1EA1" w:rsidRPr="00436AE3" w:rsidP="00F27370" w14:paraId="5D793C27" w14:textId="77777777">
      <w:pPr>
        <w:pStyle w:val="HTMLPreformatted"/>
        <w:rPr>
          <w:rFonts w:ascii="Times New Roman" w:hAnsi="Times New Roman" w:cs="Times New Roman"/>
          <w:sz w:val="24"/>
          <w:szCs w:val="24"/>
        </w:rPr>
      </w:pPr>
      <w:r w:rsidRPr="00436AE3">
        <w:rPr>
          <w:rFonts w:ascii="Times New Roman" w:hAnsi="Times New Roman" w:cs="Times New Roman"/>
          <w:sz w:val="24"/>
          <w:szCs w:val="24"/>
        </w:rPr>
        <w:tab/>
      </w:r>
    </w:p>
    <w:p w:rsidR="006F1EA1" w:rsidRPr="00436AE3" w:rsidP="00F27370" w14:paraId="0F0584E7" w14:textId="77777777">
      <w:pPr>
        <w:pStyle w:val="HTMLPreformatted"/>
        <w:pBdr>
          <w:top w:val="single" w:sz="12" w:space="1" w:color="auto"/>
        </w:pBdr>
        <w:rPr>
          <w:rFonts w:ascii="Times New Roman" w:hAnsi="Times New Roman" w:cs="Times New Roman"/>
          <w:sz w:val="24"/>
          <w:szCs w:val="24"/>
        </w:rPr>
      </w:pPr>
    </w:p>
    <w:p w:rsidR="006F1EA1" w:rsidRPr="00436AE3" w:rsidP="00F27370" w14:paraId="61C85880" w14:textId="77777777">
      <w:pPr>
        <w:jc w:val="center"/>
        <w:rPr>
          <w:b/>
          <w:bCs/>
          <w:szCs w:val="24"/>
        </w:rPr>
      </w:pPr>
      <w:r w:rsidRPr="00436AE3">
        <w:rPr>
          <w:b/>
          <w:bCs/>
          <w:szCs w:val="24"/>
        </w:rPr>
        <w:t xml:space="preserve">REPLY IN SUPPORT OF </w:t>
      </w:r>
      <w:r w:rsidRPr="00436AE3" w:rsidR="00FA71C8">
        <w:rPr>
          <w:b/>
          <w:bCs/>
          <w:szCs w:val="24"/>
        </w:rPr>
        <w:t xml:space="preserve">MOTION TO REJECT </w:t>
      </w:r>
      <w:r w:rsidRPr="00436AE3" w:rsidR="00932A20">
        <w:rPr>
          <w:b/>
          <w:bCs/>
          <w:szCs w:val="24"/>
        </w:rPr>
        <w:t xml:space="preserve">FIRSTENERGY’S </w:t>
      </w:r>
      <w:r w:rsidRPr="00436AE3" w:rsidR="00FA71C8">
        <w:rPr>
          <w:b/>
          <w:bCs/>
          <w:szCs w:val="24"/>
        </w:rPr>
        <w:t>JULY 31, 2020 REVISED TARIFF UPDATES TO THE TAX SAVINGS ADJUSTMENT RIDER</w:t>
      </w:r>
    </w:p>
    <w:p w:rsidR="006F1EA1" w:rsidRPr="00436AE3" w:rsidP="00F27370" w14:paraId="5DF80462" w14:textId="77777777">
      <w:pPr>
        <w:jc w:val="center"/>
        <w:rPr>
          <w:b/>
          <w:bCs/>
          <w:szCs w:val="24"/>
        </w:rPr>
      </w:pPr>
      <w:r w:rsidRPr="00436AE3">
        <w:rPr>
          <w:b/>
          <w:bCs/>
          <w:szCs w:val="24"/>
        </w:rPr>
        <w:t>BY</w:t>
      </w:r>
    </w:p>
    <w:p w:rsidR="006F1EA1" w:rsidRPr="00436AE3" w:rsidP="00F27370" w14:paraId="0ECD144C" w14:textId="7C330FB8">
      <w:pPr>
        <w:jc w:val="center"/>
        <w:rPr>
          <w:b/>
          <w:bCs/>
          <w:szCs w:val="24"/>
        </w:rPr>
      </w:pPr>
      <w:r w:rsidRPr="00436AE3">
        <w:rPr>
          <w:b/>
          <w:bCs/>
          <w:szCs w:val="24"/>
        </w:rPr>
        <w:t>OFFICE OF THE OHIO CONSUMERS’ COUNSEL</w:t>
      </w:r>
    </w:p>
    <w:p w:rsidR="006F1EA1" w:rsidRPr="00436AE3" w:rsidP="00F27370" w14:paraId="6C906247" w14:textId="77777777">
      <w:pPr>
        <w:pBdr>
          <w:bottom w:val="single" w:sz="12" w:space="1" w:color="auto"/>
        </w:pBdr>
        <w:tabs>
          <w:tab w:val="left" w:pos="4320"/>
        </w:tabs>
        <w:rPr>
          <w:szCs w:val="24"/>
        </w:rPr>
      </w:pPr>
    </w:p>
    <w:bookmarkEnd w:id="0"/>
    <w:p w:rsidR="004318F9" w:rsidRPr="00436AE3" w:rsidP="00F27370" w14:paraId="7A17203F" w14:textId="77777777">
      <w:pPr>
        <w:spacing w:before="240" w:line="480" w:lineRule="auto"/>
        <w:ind w:firstLine="720"/>
        <w:rPr>
          <w:szCs w:val="24"/>
        </w:rPr>
      </w:pPr>
      <w:r w:rsidRPr="00436AE3">
        <w:rPr>
          <w:szCs w:val="24"/>
        </w:rPr>
        <w:t>The Public Utilities Commission of Ohio (“PUCO”) should grant OCC’s September 10, 2020 motion to reject FirstEnergy’s recently-filed tariffs related to the credits that customers receive as a result of the 2017 federal tax cuts.</w:t>
      </w:r>
      <w:r>
        <w:rPr>
          <w:rStyle w:val="FootnoteReference"/>
          <w:szCs w:val="24"/>
        </w:rPr>
        <w:footnoteReference w:id="2"/>
      </w:r>
      <w:r w:rsidRPr="00436AE3">
        <w:rPr>
          <w:szCs w:val="24"/>
        </w:rPr>
        <w:t xml:space="preserve"> </w:t>
      </w:r>
      <w:r w:rsidRPr="00436AE3" w:rsidR="007E7818">
        <w:rPr>
          <w:szCs w:val="24"/>
        </w:rPr>
        <w:t xml:space="preserve">As explained in OCC’s Motion, </w:t>
      </w:r>
      <w:r w:rsidRPr="00436AE3" w:rsidR="005514E8">
        <w:rPr>
          <w:szCs w:val="24"/>
        </w:rPr>
        <w:t>FirstEnergy’s approach would</w:t>
      </w:r>
      <w:r w:rsidRPr="00436AE3" w:rsidR="007E7818">
        <w:rPr>
          <w:szCs w:val="24"/>
        </w:rPr>
        <w:t xml:space="preserve"> </w:t>
      </w:r>
      <w:r w:rsidRPr="00436AE3" w:rsidR="006C4ABF">
        <w:rPr>
          <w:szCs w:val="24"/>
        </w:rPr>
        <w:t xml:space="preserve">deprive consumers of </w:t>
      </w:r>
      <w:r w:rsidRPr="00436AE3" w:rsidR="005514E8">
        <w:rPr>
          <w:szCs w:val="24"/>
        </w:rPr>
        <w:t xml:space="preserve">nearly </w:t>
      </w:r>
      <w:r w:rsidRPr="00436AE3" w:rsidR="006C4ABF">
        <w:rPr>
          <w:szCs w:val="24"/>
        </w:rPr>
        <w:t>$</w:t>
      </w:r>
      <w:r w:rsidRPr="00436AE3" w:rsidR="005514E8">
        <w:rPr>
          <w:szCs w:val="24"/>
        </w:rPr>
        <w:t>40</w:t>
      </w:r>
      <w:r w:rsidRPr="00436AE3" w:rsidR="006C4ABF">
        <w:rPr>
          <w:szCs w:val="24"/>
        </w:rPr>
        <w:t xml:space="preserve"> million in tax-related credits</w:t>
      </w:r>
      <w:r w:rsidRPr="00436AE3" w:rsidR="005514E8">
        <w:rPr>
          <w:szCs w:val="24"/>
        </w:rPr>
        <w:t>,</w:t>
      </w:r>
      <w:r w:rsidRPr="00436AE3" w:rsidR="006C4ABF">
        <w:rPr>
          <w:szCs w:val="24"/>
        </w:rPr>
        <w:t xml:space="preserve"> and</w:t>
      </w:r>
      <w:r w:rsidRPr="00436AE3" w:rsidR="005514E8">
        <w:rPr>
          <w:szCs w:val="24"/>
        </w:rPr>
        <w:t xml:space="preserve"> it</w:t>
      </w:r>
      <w:r w:rsidRPr="00436AE3" w:rsidR="006C4ABF">
        <w:rPr>
          <w:szCs w:val="24"/>
        </w:rPr>
        <w:t xml:space="preserve"> </w:t>
      </w:r>
      <w:r w:rsidRPr="00436AE3" w:rsidR="007E7818">
        <w:rPr>
          <w:szCs w:val="24"/>
        </w:rPr>
        <w:t>violate</w:t>
      </w:r>
      <w:r w:rsidRPr="00436AE3" w:rsidR="005514E8">
        <w:rPr>
          <w:szCs w:val="24"/>
        </w:rPr>
        <w:t>s</w:t>
      </w:r>
      <w:r w:rsidRPr="00436AE3" w:rsidR="007E7818">
        <w:rPr>
          <w:szCs w:val="24"/>
        </w:rPr>
        <w:t xml:space="preserve"> the settlement</w:t>
      </w:r>
      <w:r w:rsidRPr="00436AE3" w:rsidR="00D52165">
        <w:rPr>
          <w:szCs w:val="24"/>
        </w:rPr>
        <w:t xml:space="preserve"> (“Settlement”</w:t>
      </w:r>
      <w:r>
        <w:rPr>
          <w:rStyle w:val="FootnoteReference"/>
          <w:szCs w:val="24"/>
        </w:rPr>
        <w:footnoteReference w:id="3"/>
      </w:r>
      <w:r w:rsidRPr="00436AE3" w:rsidR="00D52165">
        <w:rPr>
          <w:szCs w:val="24"/>
        </w:rPr>
        <w:t>)</w:t>
      </w:r>
      <w:r w:rsidRPr="00436AE3" w:rsidR="007E7818">
        <w:rPr>
          <w:szCs w:val="24"/>
        </w:rPr>
        <w:t xml:space="preserve"> that OCC, FirstEnergy, and others signed and the PUCO approved on July 17, 2019.</w:t>
      </w:r>
      <w:r>
        <w:rPr>
          <w:rStyle w:val="FootnoteReference"/>
          <w:szCs w:val="24"/>
        </w:rPr>
        <w:footnoteReference w:id="4"/>
      </w:r>
      <w:r w:rsidRPr="00436AE3" w:rsidR="007E7818">
        <w:rPr>
          <w:szCs w:val="24"/>
        </w:rPr>
        <w:t xml:space="preserve"> </w:t>
      </w:r>
      <w:r w:rsidRPr="00436AE3">
        <w:rPr>
          <w:szCs w:val="24"/>
        </w:rPr>
        <w:t>Nothing in FirstEnergy’s late-filed</w:t>
      </w:r>
      <w:r>
        <w:rPr>
          <w:rStyle w:val="FootnoteReference"/>
          <w:szCs w:val="24"/>
        </w:rPr>
        <w:footnoteReference w:id="5"/>
      </w:r>
      <w:r w:rsidRPr="00436AE3">
        <w:rPr>
          <w:szCs w:val="24"/>
        </w:rPr>
        <w:t xml:space="preserve"> memorandum contra </w:t>
      </w:r>
      <w:r w:rsidRPr="00436AE3" w:rsidR="007E7818">
        <w:rPr>
          <w:szCs w:val="24"/>
        </w:rPr>
        <w:t>changes this fact.</w:t>
      </w:r>
    </w:p>
    <w:p w:rsidR="007E7818" w:rsidRPr="00436AE3" w:rsidP="00F27370" w14:paraId="643D04CD" w14:textId="77777777">
      <w:pPr>
        <w:keepNext/>
        <w:keepLines/>
        <w:spacing w:after="240"/>
        <w:rPr>
          <w:b/>
          <w:szCs w:val="24"/>
        </w:rPr>
      </w:pPr>
      <w:r w:rsidRPr="00436AE3">
        <w:rPr>
          <w:b/>
          <w:szCs w:val="24"/>
        </w:rPr>
        <w:t>I.</w:t>
      </w:r>
      <w:r w:rsidRPr="00436AE3">
        <w:rPr>
          <w:b/>
          <w:szCs w:val="24"/>
        </w:rPr>
        <w:tab/>
        <w:t>REPLY</w:t>
      </w:r>
    </w:p>
    <w:p w:rsidR="007E7818" w:rsidRPr="00436AE3" w:rsidP="00F27370" w14:paraId="13EE0651" w14:textId="77777777">
      <w:pPr>
        <w:keepNext/>
        <w:keepLines/>
        <w:spacing w:after="240"/>
        <w:ind w:left="1440" w:hanging="720"/>
        <w:rPr>
          <w:b/>
          <w:szCs w:val="24"/>
        </w:rPr>
      </w:pPr>
      <w:r w:rsidRPr="00436AE3">
        <w:rPr>
          <w:b/>
          <w:szCs w:val="24"/>
        </w:rPr>
        <w:t>A.</w:t>
      </w:r>
      <w:r w:rsidRPr="00436AE3">
        <w:rPr>
          <w:b/>
          <w:szCs w:val="24"/>
        </w:rPr>
        <w:tab/>
      </w:r>
      <w:r w:rsidRPr="00436AE3" w:rsidR="00F27370">
        <w:rPr>
          <w:b/>
          <w:szCs w:val="24"/>
        </w:rPr>
        <w:t>Nothing in FirstEnergy’s tariffs or the PUCO’s July 17, 2019 Order provides that FirstEnergy’s updated tariffs were automatically approved as of September 1, 2020.</w:t>
      </w:r>
    </w:p>
    <w:p w:rsidR="007E7818" w:rsidRPr="00436AE3" w:rsidP="00F27370" w14:paraId="2D74FCBC" w14:textId="77777777">
      <w:pPr>
        <w:spacing w:line="480" w:lineRule="auto"/>
        <w:ind w:firstLine="720"/>
        <w:rPr>
          <w:szCs w:val="24"/>
        </w:rPr>
      </w:pPr>
      <w:r w:rsidRPr="00436AE3">
        <w:rPr>
          <w:szCs w:val="24"/>
        </w:rPr>
        <w:t>In its memorandum contra, FirstEnergy argues that its recently-filed tariffs were automatically approved, effective September 1, 2020.</w:t>
      </w:r>
      <w:r>
        <w:rPr>
          <w:rStyle w:val="FootnoteReference"/>
          <w:szCs w:val="24"/>
        </w:rPr>
        <w:footnoteReference w:id="6"/>
      </w:r>
      <w:r w:rsidRPr="00436AE3">
        <w:rPr>
          <w:szCs w:val="24"/>
        </w:rPr>
        <w:t xml:space="preserve"> In support of this claim, FirstEnergy cites Rider TSA tariff sheet no. 91.</w:t>
      </w:r>
      <w:r>
        <w:rPr>
          <w:rStyle w:val="FootnoteReference"/>
          <w:szCs w:val="24"/>
        </w:rPr>
        <w:footnoteReference w:id="7"/>
      </w:r>
      <w:r w:rsidRPr="00436AE3">
        <w:rPr>
          <w:szCs w:val="24"/>
        </w:rPr>
        <w:t xml:space="preserve"> But Rider TSA tariff sheet no. 91 says nothing about rates being automatically approved as of September 1, 2020. To the contrary, it says, “No later than December 1st of each year, the Company will file with the PUCO a request for approval of the Rider credit which, unless ordered by the PUCO, shall become effective on a service rendered basis on January 1st of each year.”</w:t>
      </w:r>
      <w:r>
        <w:rPr>
          <w:rStyle w:val="FootnoteReference"/>
          <w:szCs w:val="24"/>
        </w:rPr>
        <w:footnoteReference w:id="8"/>
      </w:r>
      <w:r w:rsidRPr="00436AE3">
        <w:rPr>
          <w:szCs w:val="24"/>
        </w:rPr>
        <w:t xml:space="preserve"> It is unclear how FirstEnergy could interpret this language as supporting automatic approval as of a different </w:t>
      </w:r>
      <w:r w:rsidRPr="00436AE3" w:rsidR="00CC6975">
        <w:rPr>
          <w:szCs w:val="24"/>
        </w:rPr>
        <w:t>and much earlier date</w:t>
      </w:r>
      <w:r w:rsidRPr="00436AE3">
        <w:rPr>
          <w:szCs w:val="24"/>
        </w:rPr>
        <w:t>, September 1.</w:t>
      </w:r>
    </w:p>
    <w:p w:rsidR="00F27370" w:rsidRPr="00436AE3" w:rsidP="00F27370" w14:paraId="7C1091AF" w14:textId="77777777">
      <w:pPr>
        <w:spacing w:line="480" w:lineRule="auto"/>
        <w:ind w:firstLine="720"/>
        <w:rPr>
          <w:szCs w:val="24"/>
        </w:rPr>
      </w:pPr>
      <w:r w:rsidRPr="00436AE3">
        <w:rPr>
          <w:szCs w:val="24"/>
        </w:rPr>
        <w:t>In support of its claim, FirstEnergy also cites the PUCO’s July 17, 2019 Opinion and Order in this case, wherein the PUCO approved the Settlement.</w:t>
      </w:r>
      <w:r>
        <w:rPr>
          <w:rStyle w:val="FootnoteReference"/>
          <w:szCs w:val="24"/>
        </w:rPr>
        <w:footnoteReference w:id="9"/>
      </w:r>
      <w:r w:rsidRPr="00436AE3">
        <w:rPr>
          <w:szCs w:val="24"/>
        </w:rPr>
        <w:t xml:space="preserve"> Again, it is not clear how FirstEnergy arrived </w:t>
      </w:r>
      <w:r w:rsidRPr="00436AE3" w:rsidR="00B27F1E">
        <w:rPr>
          <w:szCs w:val="24"/>
        </w:rPr>
        <w:t>at this conclusion. Nothing in that order says anything about Rider TSA rates going into effect automatically on September 1.</w:t>
      </w:r>
    </w:p>
    <w:p w:rsidR="00B27F1E" w:rsidRPr="00436AE3" w:rsidP="00F27370" w14:paraId="22B1DB2A" w14:textId="77777777">
      <w:pPr>
        <w:spacing w:line="480" w:lineRule="auto"/>
        <w:ind w:firstLine="720"/>
        <w:rPr>
          <w:szCs w:val="24"/>
        </w:rPr>
      </w:pPr>
      <w:r w:rsidRPr="00436AE3">
        <w:rPr>
          <w:szCs w:val="24"/>
        </w:rPr>
        <w:t>The PUCO should reject FirstEnergy’s baseless claim that its July 31, 2020 tariff filing was automatically approved as of September 1, 2020. Thus, OCC’s Motion is timely, and the PUCO can grant it.</w:t>
      </w:r>
    </w:p>
    <w:p w:rsidR="00B27F1E" w:rsidRPr="00436AE3" w:rsidP="005A1C36" w14:paraId="1C31A603" w14:textId="77777777">
      <w:pPr>
        <w:keepNext/>
        <w:keepLines/>
        <w:spacing w:after="240"/>
        <w:ind w:firstLine="720"/>
        <w:rPr>
          <w:b/>
          <w:szCs w:val="24"/>
        </w:rPr>
      </w:pPr>
      <w:r w:rsidRPr="00436AE3">
        <w:rPr>
          <w:b/>
          <w:szCs w:val="24"/>
        </w:rPr>
        <w:t>B.</w:t>
      </w:r>
      <w:r w:rsidRPr="00436AE3">
        <w:rPr>
          <w:b/>
          <w:szCs w:val="24"/>
        </w:rPr>
        <w:tab/>
      </w:r>
      <w:r w:rsidRPr="00436AE3" w:rsidR="005A1C36">
        <w:rPr>
          <w:b/>
          <w:szCs w:val="24"/>
        </w:rPr>
        <w:t>OCC’s Motion it consistent with the approved Settlement.</w:t>
      </w:r>
    </w:p>
    <w:p w:rsidR="002B6583" w:rsidRPr="00436AE3" w:rsidP="002B6583" w14:paraId="37BA8D11" w14:textId="24EEB826">
      <w:pPr>
        <w:spacing w:line="480" w:lineRule="auto"/>
        <w:ind w:firstLine="720"/>
        <w:rPr>
          <w:szCs w:val="24"/>
        </w:rPr>
      </w:pPr>
      <w:r w:rsidRPr="00436AE3">
        <w:rPr>
          <w:szCs w:val="24"/>
        </w:rPr>
        <w:t>Under the approved Settlement, customers are entitled to credits based on the “final, audited balances” of FirstEnergy’s excess accumulated deferred income taxes (“EDIT”).</w:t>
      </w:r>
      <w:r>
        <w:rPr>
          <w:rStyle w:val="FootnoteReference"/>
          <w:szCs w:val="24"/>
        </w:rPr>
        <w:footnoteReference w:id="10"/>
      </w:r>
      <w:r w:rsidRPr="00436AE3">
        <w:rPr>
          <w:szCs w:val="24"/>
        </w:rPr>
        <w:t xml:space="preserve"> </w:t>
      </w:r>
      <w:r w:rsidRPr="00436AE3" w:rsidR="005A1C36">
        <w:rPr>
          <w:szCs w:val="24"/>
        </w:rPr>
        <w:t xml:space="preserve">In its memorandum contra, FirstEnergy </w:t>
      </w:r>
      <w:r w:rsidRPr="00436AE3">
        <w:rPr>
          <w:szCs w:val="24"/>
        </w:rPr>
        <w:t>argues that the balances reflected in the approved Settlement</w:t>
      </w:r>
      <w:r w:rsidRPr="00436AE3" w:rsidR="005514E8">
        <w:rPr>
          <w:szCs w:val="24"/>
        </w:rPr>
        <w:t>—which are $40 million higher than what FirstEnergy is now using—</w:t>
      </w:r>
      <w:r w:rsidRPr="00436AE3">
        <w:rPr>
          <w:szCs w:val="24"/>
        </w:rPr>
        <w:t>were “illustrative” and thus subject to change.</w:t>
      </w:r>
      <w:r>
        <w:rPr>
          <w:rStyle w:val="FootnoteReference"/>
          <w:szCs w:val="24"/>
        </w:rPr>
        <w:footnoteReference w:id="11"/>
      </w:r>
      <w:r w:rsidRPr="00436AE3">
        <w:rPr>
          <w:szCs w:val="24"/>
        </w:rPr>
        <w:t xml:space="preserve"> But as OCC explained in the Motion, the “illustrative” numbers found in the approved Settlement were not illustrative at all. They were based on an audit by PricewaterhouseCoopers performed long before the Settlement was filed.</w:t>
      </w:r>
      <w:r>
        <w:rPr>
          <w:rStyle w:val="FootnoteReference"/>
          <w:szCs w:val="24"/>
        </w:rPr>
        <w:footnoteReference w:id="12"/>
      </w:r>
      <w:r w:rsidRPr="00436AE3">
        <w:rPr>
          <w:szCs w:val="24"/>
        </w:rPr>
        <w:t xml:space="preserve"> And FirstEnergy itself subsequently admitted that the “final, audited balances” were the same as those identified as “illustrative” in the Settlement.</w:t>
      </w:r>
      <w:r>
        <w:rPr>
          <w:rStyle w:val="FootnoteReference"/>
          <w:szCs w:val="24"/>
        </w:rPr>
        <w:footnoteReference w:id="13"/>
      </w:r>
      <w:r w:rsidRPr="00436AE3">
        <w:rPr>
          <w:szCs w:val="24"/>
        </w:rPr>
        <w:t xml:space="preserve"> So FirstEnergy’s claim that it can unilaterally change its EDIT balances, to the </w:t>
      </w:r>
      <w:r w:rsidRPr="00436AE3" w:rsidR="005514E8">
        <w:rPr>
          <w:szCs w:val="24"/>
        </w:rPr>
        <w:t xml:space="preserve">$40 million </w:t>
      </w:r>
      <w:r w:rsidRPr="00436AE3">
        <w:rPr>
          <w:szCs w:val="24"/>
        </w:rPr>
        <w:t>detriment of consumers, is inconsistent with the approved Settlement.</w:t>
      </w:r>
    </w:p>
    <w:p w:rsidR="00436AE3" w:rsidRPr="00436AE3" w:rsidP="00436AE3" w14:paraId="751B5AF3" w14:textId="77777777">
      <w:pPr>
        <w:ind w:firstLine="720"/>
        <w:rPr>
          <w:szCs w:val="24"/>
        </w:rPr>
      </w:pPr>
    </w:p>
    <w:p w:rsidR="007E7818" w:rsidRPr="00436AE3" w:rsidP="002B6583" w14:paraId="0AC2A610" w14:textId="77777777">
      <w:pPr>
        <w:keepNext/>
        <w:keepLines/>
        <w:spacing w:after="240"/>
        <w:rPr>
          <w:b/>
          <w:szCs w:val="24"/>
        </w:rPr>
      </w:pPr>
      <w:r w:rsidRPr="00436AE3">
        <w:rPr>
          <w:b/>
          <w:szCs w:val="24"/>
        </w:rPr>
        <w:t>II.</w:t>
      </w:r>
      <w:r w:rsidRPr="00436AE3">
        <w:rPr>
          <w:b/>
          <w:szCs w:val="24"/>
        </w:rPr>
        <w:tab/>
        <w:t>CONCLUSION</w:t>
      </w:r>
    </w:p>
    <w:p w:rsidR="007E7818" w:rsidRPr="00436AE3" w:rsidP="00F27370" w14:paraId="686961F7" w14:textId="77777777">
      <w:pPr>
        <w:spacing w:line="480" w:lineRule="auto"/>
        <w:ind w:firstLine="720"/>
        <w:rPr>
          <w:szCs w:val="24"/>
        </w:rPr>
      </w:pPr>
      <w:r w:rsidRPr="00436AE3">
        <w:rPr>
          <w:szCs w:val="24"/>
        </w:rPr>
        <w:t>For the reasons set forth herein and in the Motion, the PUCO should protect consumers by granting the Motion.</w:t>
      </w:r>
      <w:r w:rsidRPr="00436AE3" w:rsidR="00D52165">
        <w:rPr>
          <w:szCs w:val="24"/>
        </w:rPr>
        <w:t xml:space="preserve"> Customers deserve </w:t>
      </w:r>
      <w:r w:rsidRPr="00436AE3" w:rsidR="00D52165">
        <w:rPr>
          <w:i/>
          <w:szCs w:val="24"/>
        </w:rPr>
        <w:t>all</w:t>
      </w:r>
      <w:r w:rsidRPr="00436AE3" w:rsidR="00D52165">
        <w:rPr>
          <w:szCs w:val="24"/>
        </w:rPr>
        <w:t xml:space="preserve"> benefits of the 2017 federal tax cuts, and FirstEnergy does not have the right to unilaterally deny some of those benefits to customers.</w:t>
      </w:r>
    </w:p>
    <w:p w:rsidR="007E7818" w:rsidRPr="00436AE3" w:rsidP="00F27370" w14:paraId="2DE03CBD" w14:textId="77777777">
      <w:pPr>
        <w:spacing w:line="480" w:lineRule="auto"/>
        <w:ind w:firstLine="720"/>
        <w:rPr>
          <w:szCs w:val="24"/>
        </w:rPr>
      </w:pPr>
    </w:p>
    <w:p w:rsidR="007E214F" w:rsidRPr="00436AE3" w:rsidP="00F27370" w14:paraId="0E86E9BE" w14:textId="77777777">
      <w:pPr>
        <w:spacing w:before="240" w:line="480" w:lineRule="auto"/>
        <w:ind w:firstLine="720"/>
        <w:rPr>
          <w:szCs w:val="24"/>
        </w:rPr>
      </w:pPr>
    </w:p>
    <w:p w:rsidR="002C4E27" w:rsidRPr="00436AE3" w:rsidP="00F27370" w14:paraId="68C1D1A6" w14:textId="77777777">
      <w:pPr>
        <w:pStyle w:val="Footer"/>
        <w:tabs>
          <w:tab w:val="clear" w:pos="4320"/>
          <w:tab w:val="clear" w:pos="8640"/>
        </w:tabs>
        <w:ind w:left="4320"/>
        <w:rPr>
          <w:sz w:val="24"/>
          <w:szCs w:val="24"/>
        </w:rPr>
      </w:pPr>
    </w:p>
    <w:p w:rsidR="002C4E27" w:rsidRPr="00436AE3" w:rsidP="00F27370" w14:paraId="6E94ACE9" w14:textId="77777777">
      <w:pPr>
        <w:rPr>
          <w:szCs w:val="24"/>
        </w:rPr>
      </w:pPr>
      <w:r w:rsidRPr="00436AE3">
        <w:rPr>
          <w:szCs w:val="24"/>
        </w:rPr>
        <w:br w:type="page"/>
      </w:r>
    </w:p>
    <w:p w:rsidR="00AC58B9" w:rsidRPr="00436AE3" w:rsidP="00F27370" w14:paraId="58BA5E27" w14:textId="77777777">
      <w:pPr>
        <w:pStyle w:val="Footer"/>
        <w:tabs>
          <w:tab w:val="clear" w:pos="4320"/>
          <w:tab w:val="clear" w:pos="8640"/>
        </w:tabs>
        <w:ind w:left="4320"/>
        <w:rPr>
          <w:sz w:val="24"/>
          <w:szCs w:val="24"/>
        </w:rPr>
      </w:pPr>
      <w:r w:rsidRPr="00436AE3">
        <w:rPr>
          <w:sz w:val="24"/>
          <w:szCs w:val="24"/>
        </w:rPr>
        <w:t>Respectfully submitted,</w:t>
      </w:r>
    </w:p>
    <w:p w:rsidR="00AC58B9" w:rsidRPr="00436AE3" w:rsidP="00F27370" w14:paraId="00BAF396" w14:textId="77777777">
      <w:pPr>
        <w:pStyle w:val="Footer"/>
        <w:tabs>
          <w:tab w:val="clear" w:pos="4320"/>
          <w:tab w:val="clear" w:pos="8640"/>
        </w:tabs>
        <w:ind w:left="4320"/>
        <w:rPr>
          <w:sz w:val="24"/>
          <w:szCs w:val="24"/>
        </w:rPr>
      </w:pPr>
    </w:p>
    <w:p w:rsidR="00AC58B9" w:rsidRPr="00436AE3" w:rsidP="00F27370" w14:paraId="1F1F66CF" w14:textId="77777777">
      <w:pPr>
        <w:pStyle w:val="Footer"/>
        <w:tabs>
          <w:tab w:val="clear" w:pos="4320"/>
          <w:tab w:val="clear" w:pos="8640"/>
        </w:tabs>
        <w:ind w:left="4320"/>
        <w:rPr>
          <w:sz w:val="24"/>
          <w:szCs w:val="24"/>
        </w:rPr>
      </w:pPr>
      <w:r w:rsidRPr="00436AE3">
        <w:rPr>
          <w:sz w:val="24"/>
          <w:szCs w:val="24"/>
        </w:rPr>
        <w:t>Bruce Weston (0016973)</w:t>
      </w:r>
    </w:p>
    <w:p w:rsidR="00AC58B9" w:rsidRPr="00436AE3" w:rsidP="00F27370" w14:paraId="12B7D836" w14:textId="77777777">
      <w:pPr>
        <w:pStyle w:val="Footer"/>
        <w:tabs>
          <w:tab w:val="clear" w:pos="4320"/>
          <w:tab w:val="clear" w:pos="8640"/>
        </w:tabs>
        <w:ind w:left="4320"/>
        <w:rPr>
          <w:sz w:val="24"/>
          <w:szCs w:val="24"/>
        </w:rPr>
      </w:pPr>
      <w:r w:rsidRPr="00436AE3">
        <w:rPr>
          <w:sz w:val="24"/>
          <w:szCs w:val="24"/>
        </w:rPr>
        <w:t>Ohio Consumer’s Counsel</w:t>
      </w:r>
    </w:p>
    <w:p w:rsidR="00AC58B9" w:rsidRPr="00436AE3" w:rsidP="00F27370" w14:paraId="31EE59C3" w14:textId="77777777">
      <w:pPr>
        <w:pStyle w:val="Footer"/>
        <w:tabs>
          <w:tab w:val="left" w:pos="4320"/>
          <w:tab w:val="clear" w:pos="8640"/>
        </w:tabs>
        <w:ind w:left="3600"/>
        <w:rPr>
          <w:sz w:val="24"/>
          <w:szCs w:val="24"/>
        </w:rPr>
      </w:pPr>
    </w:p>
    <w:p w:rsidR="00AC58B9" w:rsidRPr="00436AE3" w:rsidP="00F27370" w14:paraId="1FF64A46" w14:textId="77777777">
      <w:pPr>
        <w:ind w:left="4320"/>
        <w:rPr>
          <w:szCs w:val="24"/>
          <w:u w:val="single"/>
        </w:rPr>
      </w:pPr>
      <w:r w:rsidRPr="00436AE3">
        <w:rPr>
          <w:i/>
          <w:szCs w:val="24"/>
          <w:u w:val="single"/>
        </w:rPr>
        <w:t>/s/ Christopher Healey</w:t>
      </w:r>
      <w:r w:rsidRPr="00436AE3">
        <w:rPr>
          <w:i/>
          <w:szCs w:val="24"/>
          <w:u w:val="single"/>
        </w:rPr>
        <w:tab/>
      </w:r>
      <w:r w:rsidRPr="00436AE3">
        <w:rPr>
          <w:i/>
          <w:szCs w:val="24"/>
          <w:u w:val="single"/>
        </w:rPr>
        <w:tab/>
      </w:r>
      <w:r w:rsidRPr="00436AE3">
        <w:rPr>
          <w:i/>
          <w:szCs w:val="24"/>
          <w:u w:val="single"/>
        </w:rPr>
        <w:tab/>
      </w:r>
    </w:p>
    <w:p w:rsidR="00AC58B9" w:rsidRPr="00436AE3" w:rsidP="00F27370" w14:paraId="468C12A5" w14:textId="77777777">
      <w:pPr>
        <w:tabs>
          <w:tab w:val="left" w:pos="4320"/>
        </w:tabs>
        <w:ind w:left="4320"/>
        <w:rPr>
          <w:szCs w:val="24"/>
        </w:rPr>
      </w:pPr>
      <w:r w:rsidRPr="00436AE3">
        <w:rPr>
          <w:szCs w:val="24"/>
        </w:rPr>
        <w:t>Christopher Healey (0086027)</w:t>
      </w:r>
    </w:p>
    <w:p w:rsidR="00AC58B9" w:rsidRPr="00436AE3" w:rsidP="00F27370" w14:paraId="06B41069" w14:textId="77777777">
      <w:pPr>
        <w:tabs>
          <w:tab w:val="left" w:pos="4320"/>
        </w:tabs>
        <w:ind w:left="4320"/>
        <w:rPr>
          <w:szCs w:val="24"/>
        </w:rPr>
      </w:pPr>
      <w:r w:rsidRPr="00436AE3">
        <w:rPr>
          <w:szCs w:val="24"/>
        </w:rPr>
        <w:t>Counsel of Record</w:t>
      </w:r>
    </w:p>
    <w:p w:rsidR="00AC58B9" w:rsidRPr="00436AE3" w:rsidP="00F27370" w14:paraId="44E63A73" w14:textId="77777777">
      <w:pPr>
        <w:tabs>
          <w:tab w:val="left" w:pos="4320"/>
        </w:tabs>
        <w:ind w:left="4320"/>
        <w:rPr>
          <w:szCs w:val="24"/>
        </w:rPr>
      </w:pPr>
      <w:r w:rsidRPr="00436AE3">
        <w:rPr>
          <w:szCs w:val="24"/>
        </w:rPr>
        <w:t>Angela O’Brien (0097579)</w:t>
      </w:r>
    </w:p>
    <w:p w:rsidR="00AC58B9" w:rsidRPr="00436AE3" w:rsidP="00F27370" w14:paraId="4F5D315B" w14:textId="77777777">
      <w:pPr>
        <w:tabs>
          <w:tab w:val="left" w:pos="4320"/>
        </w:tabs>
        <w:ind w:left="4320"/>
        <w:rPr>
          <w:szCs w:val="24"/>
        </w:rPr>
      </w:pPr>
      <w:r w:rsidRPr="00436AE3">
        <w:rPr>
          <w:szCs w:val="24"/>
        </w:rPr>
        <w:t>Assistant Consumers’ Counsel</w:t>
      </w:r>
    </w:p>
    <w:p w:rsidR="00AC58B9" w:rsidRPr="00436AE3" w:rsidP="00F27370" w14:paraId="453B5942" w14:textId="77777777">
      <w:pPr>
        <w:tabs>
          <w:tab w:val="left" w:pos="4320"/>
        </w:tabs>
        <w:ind w:left="4320"/>
        <w:rPr>
          <w:szCs w:val="24"/>
        </w:rPr>
      </w:pPr>
    </w:p>
    <w:p w:rsidR="00AC58B9" w:rsidRPr="00436AE3" w:rsidP="00F27370" w14:paraId="10DC13B8" w14:textId="77777777">
      <w:pPr>
        <w:ind w:firstLine="4320"/>
        <w:rPr>
          <w:b/>
          <w:bCs/>
          <w:szCs w:val="24"/>
        </w:rPr>
      </w:pPr>
      <w:r w:rsidRPr="00436AE3">
        <w:rPr>
          <w:b/>
          <w:bCs/>
          <w:szCs w:val="24"/>
        </w:rPr>
        <w:t>Office of the Ohio Consumers' Counsel</w:t>
      </w:r>
    </w:p>
    <w:p w:rsidR="00AC58B9" w:rsidRPr="00436AE3" w:rsidP="00F27370" w14:paraId="65ED2C0B" w14:textId="77777777">
      <w:pPr>
        <w:ind w:firstLine="4320"/>
        <w:rPr>
          <w:b/>
          <w:szCs w:val="24"/>
        </w:rPr>
      </w:pPr>
      <w:r w:rsidRPr="00436AE3">
        <w:rPr>
          <w:szCs w:val="24"/>
        </w:rPr>
        <w:t>65 East State Street, 7</w:t>
      </w:r>
      <w:r w:rsidRPr="00436AE3">
        <w:rPr>
          <w:szCs w:val="24"/>
          <w:vertAlign w:val="superscript"/>
        </w:rPr>
        <w:t>th</w:t>
      </w:r>
      <w:r w:rsidRPr="00436AE3">
        <w:rPr>
          <w:szCs w:val="24"/>
        </w:rPr>
        <w:t xml:space="preserve"> Floor</w:t>
      </w:r>
    </w:p>
    <w:p w:rsidR="00AC58B9" w:rsidRPr="00436AE3" w:rsidP="00F27370" w14:paraId="56BF96A9" w14:textId="77777777">
      <w:pPr>
        <w:ind w:firstLine="4320"/>
        <w:rPr>
          <w:b/>
          <w:szCs w:val="24"/>
        </w:rPr>
      </w:pPr>
      <w:r w:rsidRPr="00436AE3">
        <w:rPr>
          <w:szCs w:val="24"/>
        </w:rPr>
        <w:t>Columbus, Ohio 43215</w:t>
      </w:r>
    </w:p>
    <w:p w:rsidR="00AC58B9" w:rsidRPr="00436AE3" w:rsidP="00F27370" w14:paraId="0F03A41E" w14:textId="77777777">
      <w:pPr>
        <w:ind w:firstLine="4320"/>
        <w:rPr>
          <w:szCs w:val="24"/>
        </w:rPr>
      </w:pPr>
      <w:r w:rsidRPr="00436AE3">
        <w:rPr>
          <w:szCs w:val="24"/>
        </w:rPr>
        <w:t>Telephone: [Healey] (614) 466-9571</w:t>
      </w:r>
    </w:p>
    <w:p w:rsidR="00AC58B9" w:rsidRPr="00436AE3" w:rsidP="00F27370" w14:paraId="19BBDAC2" w14:textId="77777777">
      <w:pPr>
        <w:ind w:firstLine="4320"/>
        <w:rPr>
          <w:szCs w:val="24"/>
        </w:rPr>
      </w:pPr>
      <w:r w:rsidRPr="00436AE3">
        <w:rPr>
          <w:szCs w:val="24"/>
        </w:rPr>
        <w:t>Telephone: [O’Brien] (614) 466-9531</w:t>
      </w:r>
    </w:p>
    <w:p w:rsidR="00AC58B9" w:rsidRPr="00436AE3" w:rsidP="00F27370" w14:paraId="56C3FF5E" w14:textId="77777777">
      <w:pPr>
        <w:ind w:left="4320"/>
        <w:rPr>
          <w:szCs w:val="24"/>
        </w:rPr>
      </w:pPr>
      <w:hyperlink r:id="rId6" w:history="1">
        <w:r w:rsidRPr="00436AE3" w:rsidR="0000535A">
          <w:rPr>
            <w:rStyle w:val="Hyperlink"/>
            <w:szCs w:val="24"/>
          </w:rPr>
          <w:t>Christopher.healey@occ.ohio.gov</w:t>
        </w:r>
      </w:hyperlink>
    </w:p>
    <w:p w:rsidR="00AC58B9" w:rsidRPr="00436AE3" w:rsidP="00F27370" w14:paraId="3828B083" w14:textId="77777777">
      <w:pPr>
        <w:ind w:left="4320"/>
        <w:rPr>
          <w:rStyle w:val="Hyperlink"/>
          <w:szCs w:val="24"/>
        </w:rPr>
      </w:pPr>
      <w:hyperlink r:id="rId7" w:history="1">
        <w:r w:rsidRPr="00436AE3" w:rsidR="0000535A">
          <w:rPr>
            <w:rStyle w:val="Hyperlink"/>
            <w:szCs w:val="24"/>
          </w:rPr>
          <w:t>angela.obrien@occ.ohio.gov</w:t>
        </w:r>
      </w:hyperlink>
    </w:p>
    <w:p w:rsidR="00AC58B9" w:rsidRPr="00436AE3" w:rsidP="00F27370" w14:paraId="0C0852A2" w14:textId="77777777">
      <w:pPr>
        <w:ind w:left="4320"/>
        <w:rPr>
          <w:szCs w:val="24"/>
        </w:rPr>
      </w:pPr>
      <w:r w:rsidRPr="00436AE3">
        <w:rPr>
          <w:szCs w:val="24"/>
        </w:rPr>
        <w:t>(willing to accept service by e-mail)</w:t>
      </w:r>
    </w:p>
    <w:p w:rsidR="00AC58B9" w:rsidRPr="00436AE3" w:rsidP="00F27370" w14:paraId="3656B771" w14:textId="77777777">
      <w:pPr>
        <w:spacing w:line="480" w:lineRule="auto"/>
        <w:ind w:firstLine="720"/>
        <w:rPr>
          <w:szCs w:val="24"/>
        </w:rPr>
      </w:pPr>
    </w:p>
    <w:p w:rsidR="00AC58B9" w:rsidRPr="00436AE3" w:rsidP="00F27370" w14:paraId="37C8326F" w14:textId="77777777">
      <w:pPr>
        <w:rPr>
          <w:szCs w:val="24"/>
        </w:rPr>
        <w:sectPr w:rsidSect="00406E4B">
          <w:footerReference w:type="default" r:id="rId8"/>
          <w:footerReference w:type="first" r:id="rId9"/>
          <w:pgSz w:w="12240" w:h="15840"/>
          <w:pgMar w:top="1440" w:right="1440" w:bottom="1440" w:left="1440" w:header="720" w:footer="720" w:gutter="0"/>
          <w:cols w:space="720"/>
          <w:titlePg/>
          <w:docGrid w:linePitch="326"/>
        </w:sectPr>
      </w:pPr>
      <w:r w:rsidRPr="00436AE3">
        <w:rPr>
          <w:szCs w:val="24"/>
        </w:rPr>
        <w:br w:type="page"/>
      </w:r>
    </w:p>
    <w:p w:rsidR="003D1256" w:rsidRPr="00436AE3" w:rsidP="00F27370" w14:paraId="164391A3" w14:textId="77777777">
      <w:pPr>
        <w:pStyle w:val="BodyTextIndent3"/>
        <w:spacing w:line="480" w:lineRule="auto"/>
        <w:ind w:right="-672" w:firstLine="0"/>
        <w:jc w:val="center"/>
        <w:rPr>
          <w:b/>
          <w:bCs/>
          <w:szCs w:val="24"/>
          <w:u w:val="single"/>
        </w:rPr>
      </w:pPr>
      <w:r w:rsidRPr="00436AE3">
        <w:rPr>
          <w:b/>
          <w:bCs/>
          <w:szCs w:val="24"/>
          <w:u w:val="single"/>
        </w:rPr>
        <w:t>CERTIFICATE OF SERVICE</w:t>
      </w:r>
    </w:p>
    <w:p w:rsidR="003D1256" w:rsidRPr="00436AE3" w:rsidP="00F27370" w14:paraId="3936CE5E" w14:textId="77777777">
      <w:pPr>
        <w:spacing w:line="480" w:lineRule="atLeast"/>
        <w:ind w:firstLine="720"/>
        <w:rPr>
          <w:szCs w:val="24"/>
        </w:rPr>
      </w:pPr>
      <w:r w:rsidRPr="00436AE3">
        <w:rPr>
          <w:szCs w:val="24"/>
        </w:rPr>
        <w:t>I hereby certify that a copy of th</w:t>
      </w:r>
      <w:r w:rsidRPr="00436AE3" w:rsidR="006A2617">
        <w:rPr>
          <w:szCs w:val="24"/>
        </w:rPr>
        <w:t xml:space="preserve">is </w:t>
      </w:r>
      <w:r w:rsidRPr="00436AE3" w:rsidR="002B6583">
        <w:rPr>
          <w:szCs w:val="24"/>
        </w:rPr>
        <w:t>Reply</w:t>
      </w:r>
      <w:r w:rsidRPr="00436AE3">
        <w:rPr>
          <w:szCs w:val="24"/>
        </w:rPr>
        <w:t xml:space="preserve"> w</w:t>
      </w:r>
      <w:r w:rsidRPr="00436AE3" w:rsidR="00A934D0">
        <w:rPr>
          <w:szCs w:val="24"/>
        </w:rPr>
        <w:t>as</w:t>
      </w:r>
      <w:r w:rsidRPr="00436AE3">
        <w:rPr>
          <w:szCs w:val="24"/>
        </w:rPr>
        <w:t xml:space="preserve"> served on the persons stated below via electronic transmission this </w:t>
      </w:r>
      <w:r w:rsidRPr="00436AE3" w:rsidR="00C51C41">
        <w:rPr>
          <w:szCs w:val="24"/>
        </w:rPr>
        <w:t>30th</w:t>
      </w:r>
      <w:r w:rsidRPr="00436AE3" w:rsidR="00160250">
        <w:rPr>
          <w:szCs w:val="24"/>
        </w:rPr>
        <w:t xml:space="preserve"> </w:t>
      </w:r>
      <w:r w:rsidRPr="00436AE3">
        <w:rPr>
          <w:szCs w:val="24"/>
        </w:rPr>
        <w:t xml:space="preserve">day of </w:t>
      </w:r>
      <w:r w:rsidRPr="00436AE3" w:rsidR="00C51C41">
        <w:rPr>
          <w:szCs w:val="24"/>
        </w:rPr>
        <w:t>September</w:t>
      </w:r>
      <w:r w:rsidRPr="00436AE3" w:rsidR="006F29D7">
        <w:rPr>
          <w:szCs w:val="24"/>
        </w:rPr>
        <w:t xml:space="preserve"> </w:t>
      </w:r>
      <w:r w:rsidRPr="00436AE3">
        <w:rPr>
          <w:szCs w:val="24"/>
        </w:rPr>
        <w:t>20</w:t>
      </w:r>
      <w:r w:rsidRPr="00436AE3" w:rsidR="006F29D7">
        <w:rPr>
          <w:szCs w:val="24"/>
        </w:rPr>
        <w:t>20</w:t>
      </w:r>
      <w:r w:rsidRPr="00436AE3">
        <w:rPr>
          <w:szCs w:val="24"/>
        </w:rPr>
        <w:t>.</w:t>
      </w:r>
    </w:p>
    <w:p w:rsidR="003D1256" w:rsidRPr="00436AE3" w:rsidP="00F27370" w14:paraId="0697AFD0" w14:textId="77777777">
      <w:pPr>
        <w:spacing w:line="480" w:lineRule="atLeast"/>
        <w:rPr>
          <w:szCs w:val="24"/>
        </w:rPr>
      </w:pPr>
    </w:p>
    <w:p w:rsidR="003D1256" w:rsidRPr="00436AE3" w:rsidP="00F27370" w14:paraId="044072DE" w14:textId="77777777">
      <w:pPr>
        <w:rPr>
          <w:i/>
          <w:iCs/>
          <w:szCs w:val="24"/>
          <w:u w:val="single"/>
        </w:rPr>
      </w:pPr>
      <w:r w:rsidRPr="00436AE3">
        <w:rPr>
          <w:szCs w:val="24"/>
        </w:rPr>
        <w:tab/>
      </w:r>
      <w:r w:rsidRPr="00436AE3">
        <w:rPr>
          <w:szCs w:val="24"/>
        </w:rPr>
        <w:tab/>
      </w:r>
      <w:r w:rsidRPr="00436AE3">
        <w:rPr>
          <w:szCs w:val="24"/>
        </w:rPr>
        <w:tab/>
      </w:r>
      <w:r w:rsidRPr="00436AE3">
        <w:rPr>
          <w:szCs w:val="24"/>
        </w:rPr>
        <w:tab/>
      </w:r>
      <w:r w:rsidRPr="00436AE3">
        <w:rPr>
          <w:szCs w:val="24"/>
        </w:rPr>
        <w:tab/>
      </w:r>
      <w:r w:rsidRPr="00436AE3">
        <w:rPr>
          <w:szCs w:val="24"/>
        </w:rPr>
        <w:tab/>
      </w:r>
      <w:r w:rsidRPr="00436AE3">
        <w:rPr>
          <w:i/>
          <w:iCs/>
          <w:szCs w:val="24"/>
          <w:u w:val="single"/>
        </w:rPr>
        <w:t xml:space="preserve">/s/ </w:t>
      </w:r>
      <w:r w:rsidRPr="00436AE3" w:rsidR="006A2617">
        <w:rPr>
          <w:i/>
          <w:iCs/>
          <w:szCs w:val="24"/>
          <w:u w:val="single"/>
        </w:rPr>
        <w:t>Christopher Healey</w:t>
      </w:r>
      <w:r w:rsidRPr="00436AE3" w:rsidR="006A2617">
        <w:rPr>
          <w:i/>
          <w:iCs/>
          <w:szCs w:val="24"/>
          <w:u w:val="single"/>
        </w:rPr>
        <w:tab/>
      </w:r>
      <w:r w:rsidRPr="00436AE3" w:rsidR="006A2617">
        <w:rPr>
          <w:i/>
          <w:iCs/>
          <w:szCs w:val="24"/>
          <w:u w:val="single"/>
        </w:rPr>
        <w:tab/>
      </w:r>
      <w:r w:rsidRPr="00436AE3" w:rsidR="006A2617">
        <w:rPr>
          <w:i/>
          <w:iCs/>
          <w:szCs w:val="24"/>
          <w:u w:val="single"/>
        </w:rPr>
        <w:tab/>
      </w:r>
    </w:p>
    <w:p w:rsidR="004B6AD4" w:rsidRPr="00436AE3" w:rsidP="00F27370" w14:paraId="378359E2" w14:textId="77777777">
      <w:pPr>
        <w:rPr>
          <w:szCs w:val="24"/>
        </w:rPr>
      </w:pPr>
      <w:r w:rsidRPr="00436AE3">
        <w:rPr>
          <w:szCs w:val="24"/>
        </w:rPr>
        <w:tab/>
      </w:r>
      <w:r w:rsidRPr="00436AE3">
        <w:rPr>
          <w:szCs w:val="24"/>
        </w:rPr>
        <w:tab/>
      </w:r>
      <w:r w:rsidRPr="00436AE3">
        <w:rPr>
          <w:szCs w:val="24"/>
        </w:rPr>
        <w:tab/>
      </w:r>
      <w:r w:rsidRPr="00436AE3">
        <w:rPr>
          <w:szCs w:val="24"/>
        </w:rPr>
        <w:tab/>
      </w:r>
      <w:r w:rsidRPr="00436AE3">
        <w:rPr>
          <w:szCs w:val="24"/>
        </w:rPr>
        <w:tab/>
      </w:r>
      <w:r w:rsidRPr="00436AE3">
        <w:rPr>
          <w:szCs w:val="24"/>
        </w:rPr>
        <w:tab/>
      </w:r>
      <w:r w:rsidRPr="00436AE3" w:rsidR="006A2617">
        <w:rPr>
          <w:szCs w:val="24"/>
        </w:rPr>
        <w:t>Christopher Healey</w:t>
      </w:r>
    </w:p>
    <w:p w:rsidR="003D1256" w:rsidRPr="00436AE3" w:rsidP="00F27370" w14:paraId="451C0586" w14:textId="77777777">
      <w:pPr>
        <w:ind w:left="3600" w:firstLine="720"/>
        <w:rPr>
          <w:szCs w:val="24"/>
        </w:rPr>
      </w:pPr>
      <w:r w:rsidRPr="00436AE3">
        <w:rPr>
          <w:szCs w:val="24"/>
        </w:rPr>
        <w:t>Assistant Consumers’ Counsel</w:t>
      </w:r>
    </w:p>
    <w:p w:rsidR="00652332" w:rsidRPr="00436AE3" w:rsidP="00F27370" w14:paraId="5F0CB806" w14:textId="77777777">
      <w:pPr>
        <w:ind w:left="3600" w:firstLine="720"/>
        <w:rPr>
          <w:szCs w:val="24"/>
        </w:rPr>
      </w:pPr>
    </w:p>
    <w:p w:rsidR="00652332" w:rsidRPr="00436AE3" w:rsidP="00F27370" w14:paraId="05FCAFED" w14:textId="77777777">
      <w:pPr>
        <w:pStyle w:val="CommentText"/>
      </w:pPr>
      <w:r w:rsidRPr="00436AE3">
        <w:t>The PUCO’s e-filing system will electronically serve notice of the filing of this document on the following parties:</w:t>
      </w:r>
    </w:p>
    <w:p w:rsidR="00652332" w:rsidRPr="00436AE3" w:rsidP="00F27370" w14:paraId="49F5C03C" w14:textId="77777777">
      <w:pPr>
        <w:ind w:left="3600" w:firstLine="720"/>
        <w:rPr>
          <w:szCs w:val="24"/>
        </w:rPr>
      </w:pPr>
    </w:p>
    <w:p w:rsidR="002B0145" w:rsidRPr="00436AE3" w:rsidP="002B0145" w14:paraId="73DC8CEB" w14:textId="77777777">
      <w:pPr>
        <w:pStyle w:val="CommentText"/>
        <w:jc w:val="center"/>
        <w:rPr>
          <w:b/>
          <w:u w:val="single"/>
        </w:rPr>
      </w:pPr>
      <w:r w:rsidRPr="00436AE3">
        <w:rPr>
          <w:b/>
          <w:u w:val="single"/>
        </w:rPr>
        <w:t>SERVICE LIST</w:t>
      </w:r>
    </w:p>
    <w:p w:rsidR="002B0145" w:rsidRPr="00436AE3" w:rsidP="002B0145" w14:paraId="6F170C61"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14:paraId="7A587736" w14:textId="77777777" w:rsidTr="005453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2B0145" w:rsidRPr="00436AE3" w:rsidP="00545343" w14:paraId="6242CC90" w14:textId="77777777">
            <w:pPr>
              <w:autoSpaceDE w:val="0"/>
              <w:autoSpaceDN w:val="0"/>
              <w:adjustRightInd w:val="0"/>
              <w:rPr>
                <w:szCs w:val="24"/>
              </w:rPr>
            </w:pPr>
            <w:hyperlink r:id="rId10" w:history="1">
              <w:r w:rsidRPr="00436AE3" w:rsidR="0000535A">
                <w:rPr>
                  <w:rStyle w:val="Hyperlink"/>
                  <w:szCs w:val="24"/>
                </w:rPr>
                <w:t>John.jones@ohioattorneygeneral.goc</w:t>
              </w:r>
            </w:hyperlink>
          </w:p>
          <w:p w:rsidR="002B0145" w:rsidRPr="00436AE3" w:rsidP="00545343" w14:paraId="37AE9CBC" w14:textId="77777777">
            <w:pPr>
              <w:autoSpaceDE w:val="0"/>
              <w:autoSpaceDN w:val="0"/>
              <w:adjustRightInd w:val="0"/>
              <w:rPr>
                <w:bCs/>
                <w:szCs w:val="24"/>
              </w:rPr>
            </w:pPr>
            <w:hyperlink r:id="rId11" w:history="1">
              <w:r w:rsidRPr="00436AE3" w:rsidR="0000535A">
                <w:rPr>
                  <w:rStyle w:val="Hyperlink"/>
                  <w:bCs/>
                  <w:szCs w:val="24"/>
                </w:rPr>
                <w:t>Thomas.lindgren@ohioattorneygeneral.gov</w:t>
              </w:r>
            </w:hyperlink>
          </w:p>
          <w:p w:rsidR="002B0145" w:rsidRPr="00436AE3" w:rsidP="00545343" w14:paraId="40BFABC4" w14:textId="77777777">
            <w:pPr>
              <w:autoSpaceDE w:val="0"/>
              <w:autoSpaceDN w:val="0"/>
              <w:adjustRightInd w:val="0"/>
              <w:rPr>
                <w:szCs w:val="24"/>
              </w:rPr>
            </w:pPr>
            <w:hyperlink r:id="rId12" w:history="1">
              <w:r w:rsidRPr="00436AE3" w:rsidR="0000535A">
                <w:rPr>
                  <w:rStyle w:val="Hyperlink"/>
                  <w:szCs w:val="24"/>
                </w:rPr>
                <w:t>mkurtz@BKLlawfirm.com</w:t>
              </w:r>
            </w:hyperlink>
          </w:p>
          <w:p w:rsidR="002B0145" w:rsidRPr="00436AE3" w:rsidP="00545343" w14:paraId="142D6562" w14:textId="77777777">
            <w:pPr>
              <w:autoSpaceDE w:val="0"/>
              <w:autoSpaceDN w:val="0"/>
              <w:adjustRightInd w:val="0"/>
              <w:rPr>
                <w:szCs w:val="24"/>
              </w:rPr>
            </w:pPr>
            <w:hyperlink r:id="rId13" w:history="1">
              <w:r w:rsidRPr="00436AE3" w:rsidR="0000535A">
                <w:rPr>
                  <w:rStyle w:val="Hyperlink"/>
                  <w:szCs w:val="24"/>
                </w:rPr>
                <w:t>kboehm@BKLlawfirm.com</w:t>
              </w:r>
            </w:hyperlink>
          </w:p>
          <w:p w:rsidR="002B0145" w:rsidRPr="00436AE3" w:rsidP="00545343" w14:paraId="2C9718A6" w14:textId="77777777">
            <w:pPr>
              <w:autoSpaceDE w:val="0"/>
              <w:autoSpaceDN w:val="0"/>
              <w:adjustRightInd w:val="0"/>
              <w:rPr>
                <w:szCs w:val="24"/>
              </w:rPr>
            </w:pPr>
            <w:hyperlink r:id="rId14" w:history="1">
              <w:r w:rsidRPr="00436AE3" w:rsidR="0000535A">
                <w:rPr>
                  <w:rStyle w:val="Hyperlink"/>
                  <w:szCs w:val="24"/>
                </w:rPr>
                <w:t>jkylercohn@BKLlawfirm.com</w:t>
              </w:r>
            </w:hyperlink>
          </w:p>
          <w:p w:rsidR="002B0145" w:rsidRPr="00436AE3" w:rsidP="00545343" w14:paraId="3B996D0D" w14:textId="77777777">
            <w:pPr>
              <w:autoSpaceDE w:val="0"/>
              <w:autoSpaceDN w:val="0"/>
              <w:adjustRightInd w:val="0"/>
              <w:rPr>
                <w:rFonts w:eastAsiaTheme="minorHAnsi"/>
                <w:color w:val="0000FF"/>
                <w:szCs w:val="24"/>
              </w:rPr>
            </w:pPr>
            <w:hyperlink r:id="rId15" w:history="1">
              <w:r w:rsidRPr="00436AE3" w:rsidR="0000535A">
                <w:rPr>
                  <w:rStyle w:val="Hyperlink"/>
                  <w:rFonts w:eastAsiaTheme="minorHAnsi"/>
                  <w:szCs w:val="24"/>
                </w:rPr>
                <w:t>gkrassen@bricker.com</w:t>
              </w:r>
            </w:hyperlink>
          </w:p>
          <w:p w:rsidR="002B0145" w:rsidRPr="00436AE3" w:rsidP="00545343" w14:paraId="07F94FE9" w14:textId="77777777">
            <w:pPr>
              <w:autoSpaceDE w:val="0"/>
              <w:autoSpaceDN w:val="0"/>
              <w:adjustRightInd w:val="0"/>
              <w:rPr>
                <w:rFonts w:eastAsiaTheme="minorHAnsi"/>
                <w:color w:val="0000FF"/>
                <w:szCs w:val="24"/>
              </w:rPr>
            </w:pPr>
            <w:hyperlink r:id="rId16" w:history="1">
              <w:r w:rsidRPr="00436AE3" w:rsidR="0000535A">
                <w:rPr>
                  <w:rStyle w:val="Hyperlink"/>
                  <w:rFonts w:eastAsiaTheme="minorHAnsi"/>
                  <w:szCs w:val="24"/>
                </w:rPr>
                <w:t>dstinson@bricker.com</w:t>
              </w:r>
            </w:hyperlink>
          </w:p>
          <w:p w:rsidR="002B0145" w:rsidRPr="00436AE3" w:rsidP="00545343" w14:paraId="027B5C5D" w14:textId="77777777">
            <w:pPr>
              <w:autoSpaceDE w:val="0"/>
              <w:autoSpaceDN w:val="0"/>
              <w:adjustRightInd w:val="0"/>
              <w:rPr>
                <w:rFonts w:eastAsiaTheme="minorHAnsi"/>
                <w:color w:val="0000FF"/>
                <w:szCs w:val="24"/>
              </w:rPr>
            </w:pPr>
            <w:hyperlink r:id="rId17" w:history="1">
              <w:r w:rsidRPr="00436AE3" w:rsidR="0000535A">
                <w:rPr>
                  <w:rStyle w:val="Hyperlink"/>
                  <w:rFonts w:eastAsiaTheme="minorHAnsi"/>
                  <w:szCs w:val="24"/>
                </w:rPr>
                <w:t>mleppla@theOEC.org</w:t>
              </w:r>
            </w:hyperlink>
          </w:p>
          <w:p w:rsidR="002B0145" w:rsidRPr="00436AE3" w:rsidP="00545343" w14:paraId="51931089" w14:textId="77777777">
            <w:pPr>
              <w:autoSpaceDE w:val="0"/>
              <w:autoSpaceDN w:val="0"/>
              <w:adjustRightInd w:val="0"/>
              <w:rPr>
                <w:rFonts w:eastAsiaTheme="minorHAnsi"/>
                <w:color w:val="0000FF"/>
                <w:szCs w:val="24"/>
              </w:rPr>
            </w:pPr>
            <w:hyperlink r:id="rId18" w:history="1">
              <w:r w:rsidRPr="00436AE3" w:rsidR="0000535A">
                <w:rPr>
                  <w:rStyle w:val="Hyperlink"/>
                  <w:rFonts w:eastAsiaTheme="minorHAnsi"/>
                  <w:szCs w:val="24"/>
                </w:rPr>
                <w:t>tdougherty@theOEC.org</w:t>
              </w:r>
            </w:hyperlink>
          </w:p>
          <w:p w:rsidR="002B0145" w:rsidRPr="00436AE3" w:rsidP="00545343" w14:paraId="11EE2CD2" w14:textId="77777777">
            <w:pPr>
              <w:autoSpaceDE w:val="0"/>
              <w:autoSpaceDN w:val="0"/>
              <w:adjustRightInd w:val="0"/>
              <w:rPr>
                <w:rFonts w:eastAsiaTheme="minorHAnsi"/>
                <w:color w:val="1155CD"/>
                <w:szCs w:val="24"/>
              </w:rPr>
            </w:pPr>
            <w:hyperlink r:id="rId19" w:history="1">
              <w:r w:rsidRPr="00436AE3" w:rsidR="0000535A">
                <w:rPr>
                  <w:rStyle w:val="Hyperlink"/>
                  <w:rFonts w:eastAsiaTheme="minorHAnsi"/>
                  <w:szCs w:val="24"/>
                </w:rPr>
                <w:t>jfinnigan@edf.org</w:t>
              </w:r>
            </w:hyperlink>
          </w:p>
          <w:p w:rsidR="002B0145" w:rsidRPr="00436AE3" w:rsidP="00545343" w14:paraId="793A1E9F" w14:textId="77777777">
            <w:pPr>
              <w:autoSpaceDE w:val="0"/>
              <w:autoSpaceDN w:val="0"/>
              <w:adjustRightInd w:val="0"/>
              <w:rPr>
                <w:rFonts w:eastAsiaTheme="minorHAnsi"/>
                <w:szCs w:val="24"/>
              </w:rPr>
            </w:pPr>
            <w:hyperlink r:id="rId20" w:history="1">
              <w:r w:rsidRPr="00436AE3" w:rsidR="0000535A">
                <w:rPr>
                  <w:rStyle w:val="Hyperlink"/>
                  <w:rFonts w:eastAsiaTheme="minorHAnsi"/>
                  <w:szCs w:val="24"/>
                </w:rPr>
                <w:t>paul@carpenterlipps.com</w:t>
              </w:r>
            </w:hyperlink>
          </w:p>
          <w:p w:rsidR="002B0145" w:rsidRPr="00436AE3" w:rsidP="00545343" w14:paraId="45B5ABA7" w14:textId="77777777">
            <w:pPr>
              <w:autoSpaceDE w:val="0"/>
              <w:autoSpaceDN w:val="0"/>
              <w:adjustRightInd w:val="0"/>
              <w:rPr>
                <w:rStyle w:val="Hyperlink"/>
                <w:rFonts w:eastAsiaTheme="minorHAnsi"/>
                <w:szCs w:val="24"/>
              </w:rPr>
            </w:pPr>
            <w:hyperlink r:id="rId21" w:history="1">
              <w:r w:rsidRPr="00436AE3" w:rsidR="0000535A">
                <w:rPr>
                  <w:rStyle w:val="Hyperlink"/>
                  <w:rFonts w:eastAsiaTheme="minorHAnsi"/>
                  <w:szCs w:val="24"/>
                </w:rPr>
                <w:t>Bojko@carpenterlipps.com</w:t>
              </w:r>
            </w:hyperlink>
          </w:p>
          <w:p w:rsidR="002B0145" w:rsidRPr="00436AE3" w:rsidP="00545343" w14:paraId="6587031A" w14:textId="77777777">
            <w:pPr>
              <w:autoSpaceDE w:val="0"/>
              <w:autoSpaceDN w:val="0"/>
              <w:adjustRightInd w:val="0"/>
              <w:rPr>
                <w:color w:val="0563C2"/>
                <w:szCs w:val="24"/>
              </w:rPr>
            </w:pPr>
            <w:hyperlink r:id="rId22" w:history="1">
              <w:r w:rsidRPr="00436AE3" w:rsidR="0000535A">
                <w:rPr>
                  <w:rStyle w:val="Hyperlink"/>
                  <w:szCs w:val="24"/>
                </w:rPr>
                <w:t>Dressel@carpenterlipps.com</w:t>
              </w:r>
            </w:hyperlink>
          </w:p>
          <w:p w:rsidR="002B0145" w:rsidRPr="00436AE3" w:rsidP="00545343" w14:paraId="078EE9B2" w14:textId="77777777">
            <w:pPr>
              <w:autoSpaceDE w:val="0"/>
              <w:autoSpaceDN w:val="0"/>
              <w:adjustRightInd w:val="0"/>
              <w:rPr>
                <w:rFonts w:eastAsiaTheme="minorHAnsi"/>
                <w:color w:val="0000FF"/>
                <w:szCs w:val="24"/>
              </w:rPr>
            </w:pPr>
            <w:hyperlink r:id="rId23" w:history="1">
              <w:r w:rsidRPr="00436AE3" w:rsidR="0000535A">
                <w:rPr>
                  <w:rStyle w:val="Hyperlink"/>
                  <w:rFonts w:eastAsiaTheme="minorHAnsi"/>
                  <w:szCs w:val="24"/>
                </w:rPr>
                <w:t>ghiloni@carpenterlipps.com</w:t>
              </w:r>
            </w:hyperlink>
          </w:p>
          <w:p w:rsidR="002B0145" w:rsidRPr="00436AE3" w:rsidP="00545343" w14:paraId="10A7FEB3" w14:textId="77777777">
            <w:pPr>
              <w:autoSpaceDE w:val="0"/>
              <w:autoSpaceDN w:val="0"/>
              <w:adjustRightInd w:val="0"/>
              <w:rPr>
                <w:color w:val="0000FF"/>
                <w:szCs w:val="24"/>
              </w:rPr>
            </w:pPr>
            <w:hyperlink r:id="rId24" w:history="1">
              <w:r w:rsidRPr="00436AE3" w:rsidR="0000535A">
                <w:rPr>
                  <w:rStyle w:val="Hyperlink"/>
                  <w:szCs w:val="24"/>
                </w:rPr>
                <w:t>glpetrucci@vorys.com</w:t>
              </w:r>
            </w:hyperlink>
          </w:p>
          <w:p w:rsidR="002B0145" w:rsidRPr="00436AE3" w:rsidP="00545343" w14:paraId="17E2D2E0" w14:textId="77777777">
            <w:pPr>
              <w:pStyle w:val="CommentText"/>
              <w:rPr>
                <w:rFonts w:eastAsiaTheme="minorHAnsi"/>
                <w:color w:val="0000FF"/>
              </w:rPr>
            </w:pPr>
            <w:hyperlink r:id="rId25" w:history="1">
              <w:r w:rsidRPr="00436AE3" w:rsidR="0000535A">
                <w:rPr>
                  <w:rStyle w:val="Hyperlink"/>
                  <w:rFonts w:eastAsiaTheme="minorHAnsi"/>
                </w:rPr>
                <w:t>mwarnock@bricker.com</w:t>
              </w:r>
            </w:hyperlink>
          </w:p>
          <w:p w:rsidR="002B0145" w:rsidRPr="00436AE3" w:rsidP="00545343" w14:paraId="73C0978A" w14:textId="77777777">
            <w:pPr>
              <w:pStyle w:val="CommentText"/>
              <w:rPr>
                <w:rStyle w:val="Hyperlink"/>
                <w:rFonts w:eastAsiaTheme="minorHAnsi"/>
              </w:rPr>
            </w:pPr>
            <w:hyperlink r:id="rId26" w:history="1">
              <w:r w:rsidRPr="00436AE3" w:rsidR="0000535A">
                <w:rPr>
                  <w:rStyle w:val="Hyperlink"/>
                  <w:rFonts w:eastAsiaTheme="minorHAnsi"/>
                </w:rPr>
                <w:t>dborchers@bricker.com</w:t>
              </w:r>
            </w:hyperlink>
          </w:p>
          <w:p w:rsidR="002B0145" w:rsidRPr="00436AE3" w:rsidP="00545343" w14:paraId="3E8283DE" w14:textId="77777777">
            <w:pPr>
              <w:pStyle w:val="CommentText"/>
            </w:pPr>
            <w:hyperlink r:id="rId27" w:history="1">
              <w:r w:rsidRPr="00436AE3" w:rsidR="0000535A">
                <w:rPr>
                  <w:rStyle w:val="Hyperlink"/>
                </w:rPr>
                <w:t>ccox@elpc.org</w:t>
              </w:r>
            </w:hyperlink>
          </w:p>
          <w:p w:rsidR="002B0145" w:rsidRPr="00436AE3" w:rsidP="00545343" w14:paraId="3009A382" w14:textId="77777777">
            <w:pPr>
              <w:autoSpaceDE w:val="0"/>
              <w:autoSpaceDN w:val="0"/>
              <w:adjustRightInd w:val="0"/>
              <w:rPr>
                <w:color w:val="0000FF"/>
                <w:szCs w:val="24"/>
              </w:rPr>
            </w:pPr>
          </w:p>
          <w:p w:rsidR="002B0145" w:rsidRPr="00436AE3" w:rsidP="00545343" w14:paraId="7CD26D1E" w14:textId="77777777">
            <w:pPr>
              <w:autoSpaceDE w:val="0"/>
              <w:autoSpaceDN w:val="0"/>
              <w:adjustRightInd w:val="0"/>
              <w:rPr>
                <w:rFonts w:eastAsiaTheme="minorHAnsi"/>
                <w:color w:val="0000FF"/>
                <w:szCs w:val="24"/>
              </w:rPr>
            </w:pPr>
          </w:p>
          <w:p w:rsidR="002B0145" w:rsidRPr="00436AE3" w:rsidP="00545343" w14:paraId="2FB10F43" w14:textId="77777777">
            <w:pPr>
              <w:pStyle w:val="BodyText"/>
              <w:rPr>
                <w:szCs w:val="24"/>
              </w:rPr>
            </w:pPr>
            <w:r w:rsidRPr="00436AE3">
              <w:rPr>
                <w:szCs w:val="24"/>
              </w:rPr>
              <w:t>Attorney Examiners:</w:t>
            </w:r>
          </w:p>
          <w:p w:rsidR="002B0145" w:rsidRPr="00436AE3" w:rsidP="00545343" w14:paraId="36A33E74" w14:textId="77777777">
            <w:pPr>
              <w:pStyle w:val="BodyText"/>
              <w:rPr>
                <w:color w:val="0000FF"/>
                <w:szCs w:val="24"/>
              </w:rPr>
            </w:pPr>
            <w:hyperlink r:id="rId28" w:history="1">
              <w:r w:rsidRPr="00436AE3" w:rsidR="0000535A">
                <w:rPr>
                  <w:rStyle w:val="Hyperlink"/>
                  <w:szCs w:val="24"/>
                </w:rPr>
                <w:t>Megan.addison@puc.state.oh.us</w:t>
              </w:r>
            </w:hyperlink>
          </w:p>
          <w:p w:rsidR="002B0145" w:rsidRPr="00436AE3" w:rsidP="00545343" w14:paraId="2F9FBC10" w14:textId="77777777">
            <w:pPr>
              <w:pStyle w:val="BodyText"/>
              <w:rPr>
                <w:rFonts w:eastAsiaTheme="minorHAnsi"/>
                <w:color w:val="0000FF"/>
                <w:szCs w:val="24"/>
              </w:rPr>
            </w:pPr>
            <w:hyperlink r:id="rId29" w:history="1">
              <w:r w:rsidRPr="00436AE3" w:rsidR="0000535A">
                <w:rPr>
                  <w:rStyle w:val="Hyperlink"/>
                  <w:szCs w:val="24"/>
                </w:rPr>
                <w:t>Gregory.price@puc.state.oh.us</w:t>
              </w:r>
            </w:hyperlink>
          </w:p>
          <w:p w:rsidR="002B0145" w:rsidRPr="00436AE3" w:rsidP="00545343" w14:paraId="1DFE7613" w14:textId="77777777">
            <w:pPr>
              <w:autoSpaceDE w:val="0"/>
              <w:autoSpaceDN w:val="0"/>
              <w:adjustRightInd w:val="0"/>
              <w:rPr>
                <w:rFonts w:eastAsiaTheme="minorHAnsi"/>
                <w:color w:val="0000FF"/>
                <w:szCs w:val="24"/>
              </w:rPr>
            </w:pPr>
          </w:p>
          <w:p w:rsidR="002B0145" w:rsidRPr="00436AE3" w:rsidP="00545343" w14:paraId="46047C96" w14:textId="77777777">
            <w:pPr>
              <w:autoSpaceDE w:val="0"/>
              <w:autoSpaceDN w:val="0"/>
              <w:adjustRightInd w:val="0"/>
              <w:rPr>
                <w:rFonts w:eastAsiaTheme="minorHAnsi"/>
                <w:szCs w:val="24"/>
              </w:rPr>
            </w:pPr>
          </w:p>
          <w:p w:rsidR="002B0145" w:rsidRPr="00436AE3" w:rsidP="00545343" w14:paraId="352C5D7C" w14:textId="77777777">
            <w:pPr>
              <w:autoSpaceDE w:val="0"/>
              <w:autoSpaceDN w:val="0"/>
              <w:adjustRightInd w:val="0"/>
              <w:rPr>
                <w:rFonts w:eastAsiaTheme="minorHAnsi"/>
                <w:szCs w:val="24"/>
              </w:rPr>
            </w:pPr>
          </w:p>
          <w:p w:rsidR="002B0145" w:rsidRPr="00436AE3" w:rsidP="00545343" w14:paraId="020B3378" w14:textId="77777777">
            <w:pPr>
              <w:autoSpaceDE w:val="0"/>
              <w:autoSpaceDN w:val="0"/>
              <w:adjustRightInd w:val="0"/>
              <w:rPr>
                <w:szCs w:val="24"/>
              </w:rPr>
            </w:pPr>
          </w:p>
          <w:p w:rsidR="002B0145" w:rsidRPr="00436AE3" w:rsidP="00545343" w14:paraId="02C238C5" w14:textId="77777777">
            <w:pPr>
              <w:autoSpaceDE w:val="0"/>
              <w:autoSpaceDN w:val="0"/>
              <w:adjustRightInd w:val="0"/>
              <w:rPr>
                <w:szCs w:val="24"/>
              </w:rPr>
            </w:pPr>
          </w:p>
          <w:p w:rsidR="002B0145" w:rsidRPr="00436AE3" w:rsidP="00545343" w14:paraId="70089D8E" w14:textId="77777777">
            <w:pPr>
              <w:pStyle w:val="BodyText"/>
              <w:rPr>
                <w:bCs/>
                <w:i/>
                <w:szCs w:val="24"/>
              </w:rPr>
            </w:pPr>
          </w:p>
        </w:tc>
        <w:tc>
          <w:tcPr>
            <w:tcW w:w="4788" w:type="dxa"/>
          </w:tcPr>
          <w:p w:rsidR="002B0145" w:rsidRPr="00436AE3" w:rsidP="00545343" w14:paraId="15914612" w14:textId="77777777">
            <w:pPr>
              <w:pStyle w:val="CommentText"/>
              <w:ind w:left="296"/>
              <w:rPr>
                <w:rStyle w:val="Hyperlink"/>
              </w:rPr>
            </w:pPr>
            <w:hyperlink r:id="rId30" w:history="1">
              <w:r w:rsidRPr="00436AE3" w:rsidR="0000535A">
                <w:rPr>
                  <w:rStyle w:val="Hyperlink"/>
                </w:rPr>
                <w:t>jeckert@firstenergycorp.com</w:t>
              </w:r>
            </w:hyperlink>
          </w:p>
          <w:p w:rsidR="002B0145" w:rsidRPr="00436AE3" w:rsidP="00545343" w14:paraId="0139EBB2" w14:textId="77777777">
            <w:pPr>
              <w:pStyle w:val="CommentText"/>
              <w:ind w:left="296"/>
            </w:pPr>
            <w:hyperlink r:id="rId31" w:history="1">
              <w:r w:rsidRPr="00436AE3" w:rsidR="0000535A">
                <w:rPr>
                  <w:rStyle w:val="Hyperlink"/>
                </w:rPr>
                <w:t>bknipe@firstenergycorp.com</w:t>
              </w:r>
            </w:hyperlink>
          </w:p>
          <w:p w:rsidR="002B0145" w:rsidRPr="00436AE3" w:rsidP="00545343" w14:paraId="2613C643" w14:textId="77777777">
            <w:pPr>
              <w:pStyle w:val="BodyText"/>
              <w:rPr>
                <w:i/>
                <w:szCs w:val="24"/>
              </w:rPr>
            </w:pPr>
            <w:r w:rsidRPr="00436AE3">
              <w:rPr>
                <w:iCs/>
                <w:color w:val="0000FF"/>
                <w:szCs w:val="24"/>
              </w:rPr>
              <w:t xml:space="preserve">     </w:t>
            </w:r>
            <w:hyperlink r:id="rId32" w:history="1">
              <w:r w:rsidRPr="00436AE3">
                <w:rPr>
                  <w:rStyle w:val="Hyperlink"/>
                  <w:iCs/>
                  <w:szCs w:val="24"/>
                </w:rPr>
                <w:t>jlang@calfee.com</w:t>
              </w:r>
            </w:hyperlink>
          </w:p>
          <w:p w:rsidR="002B0145" w:rsidRPr="00436AE3" w:rsidP="00545343" w14:paraId="5FA9AD77" w14:textId="77777777">
            <w:pPr>
              <w:pStyle w:val="CommentText"/>
              <w:ind w:left="296"/>
            </w:pPr>
            <w:hyperlink r:id="rId33" w:history="1">
              <w:r w:rsidRPr="00436AE3" w:rsidR="0000535A">
                <w:rPr>
                  <w:rStyle w:val="Hyperlink"/>
                </w:rPr>
                <w:t>mkeaney@calfee.com</w:t>
              </w:r>
            </w:hyperlink>
          </w:p>
          <w:p w:rsidR="002B0145" w:rsidRPr="00436AE3" w:rsidP="00545343" w14:paraId="0B708B42" w14:textId="77777777">
            <w:pPr>
              <w:pStyle w:val="CommentText"/>
              <w:ind w:left="296"/>
            </w:pPr>
            <w:hyperlink r:id="rId34" w:history="1">
              <w:r w:rsidRPr="00436AE3" w:rsidR="0000535A">
                <w:rPr>
                  <w:rStyle w:val="Hyperlink"/>
                </w:rPr>
                <w:t>mpritchard@mwncmh.com</w:t>
              </w:r>
            </w:hyperlink>
          </w:p>
          <w:p w:rsidR="002B0145" w:rsidRPr="00436AE3" w:rsidP="00545343" w14:paraId="779B16AD" w14:textId="77777777">
            <w:pPr>
              <w:pStyle w:val="BodyText"/>
              <w:ind w:left="296"/>
              <w:rPr>
                <w:i/>
                <w:color w:val="0000FF"/>
                <w:szCs w:val="24"/>
              </w:rPr>
            </w:pPr>
            <w:hyperlink r:id="rId35" w:history="1">
              <w:r w:rsidRPr="00436AE3" w:rsidR="0000535A">
                <w:rPr>
                  <w:rStyle w:val="Hyperlink"/>
                  <w:iCs/>
                  <w:szCs w:val="24"/>
                </w:rPr>
                <w:t>rdove@keglerbrown.com</w:t>
              </w:r>
            </w:hyperlink>
          </w:p>
          <w:p w:rsidR="002B0145" w:rsidRPr="00436AE3" w:rsidP="00545343" w14:paraId="13C1D16D" w14:textId="77777777">
            <w:pPr>
              <w:pStyle w:val="BodyText"/>
              <w:ind w:left="296"/>
              <w:rPr>
                <w:rFonts w:eastAsiaTheme="minorHAnsi"/>
                <w:i/>
                <w:szCs w:val="24"/>
              </w:rPr>
            </w:pPr>
            <w:hyperlink r:id="rId36" w:history="1">
              <w:r w:rsidRPr="00436AE3" w:rsidR="0000535A">
                <w:rPr>
                  <w:rStyle w:val="Hyperlink"/>
                  <w:rFonts w:eastAsiaTheme="minorHAnsi"/>
                  <w:iCs/>
                  <w:szCs w:val="24"/>
                </w:rPr>
                <w:t>mdortch@kravitzllc.com</w:t>
              </w:r>
            </w:hyperlink>
          </w:p>
          <w:p w:rsidR="002B0145" w:rsidRPr="00436AE3" w:rsidP="00545343" w14:paraId="0D8C0FB4" w14:textId="77777777">
            <w:pPr>
              <w:autoSpaceDE w:val="0"/>
              <w:autoSpaceDN w:val="0"/>
              <w:adjustRightInd w:val="0"/>
              <w:ind w:left="296"/>
              <w:rPr>
                <w:rFonts w:eastAsiaTheme="minorHAnsi"/>
                <w:color w:val="0000FF"/>
                <w:szCs w:val="24"/>
              </w:rPr>
            </w:pPr>
            <w:hyperlink r:id="rId26" w:history="1">
              <w:r w:rsidRPr="00436AE3" w:rsidR="0000535A">
                <w:rPr>
                  <w:rStyle w:val="Hyperlink"/>
                  <w:rFonts w:eastAsiaTheme="minorHAnsi"/>
                  <w:szCs w:val="24"/>
                </w:rPr>
                <w:t>dborchers@bricker.com</w:t>
              </w:r>
            </w:hyperlink>
          </w:p>
          <w:p w:rsidR="002B0145" w:rsidRPr="00436AE3" w:rsidP="00545343" w14:paraId="51431C58" w14:textId="77777777">
            <w:pPr>
              <w:autoSpaceDE w:val="0"/>
              <w:autoSpaceDN w:val="0"/>
              <w:adjustRightInd w:val="0"/>
              <w:ind w:left="296"/>
              <w:rPr>
                <w:rFonts w:eastAsiaTheme="minorHAnsi"/>
                <w:color w:val="0000FF"/>
                <w:szCs w:val="24"/>
              </w:rPr>
            </w:pPr>
            <w:hyperlink r:id="rId37" w:history="1">
              <w:r w:rsidRPr="00436AE3" w:rsidR="0000535A">
                <w:rPr>
                  <w:rStyle w:val="Hyperlink"/>
                  <w:rFonts w:eastAsiaTheme="minorHAnsi"/>
                  <w:szCs w:val="24"/>
                </w:rPr>
                <w:t>dparram@bricker.com</w:t>
              </w:r>
            </w:hyperlink>
          </w:p>
          <w:p w:rsidR="002B0145" w:rsidRPr="00436AE3" w:rsidP="00545343" w14:paraId="16A33F67" w14:textId="77777777">
            <w:pPr>
              <w:pStyle w:val="CommentText"/>
              <w:ind w:left="296"/>
              <w:rPr>
                <w:rFonts w:eastAsiaTheme="minorHAnsi"/>
                <w:color w:val="0000FF"/>
              </w:rPr>
            </w:pPr>
            <w:hyperlink r:id="rId38" w:history="1">
              <w:r w:rsidRPr="00436AE3" w:rsidR="0000535A">
                <w:rPr>
                  <w:rStyle w:val="Hyperlink"/>
                  <w:rFonts w:eastAsiaTheme="minorHAnsi"/>
                </w:rPr>
                <w:t>nhewell@bricker.com</w:t>
              </w:r>
            </w:hyperlink>
          </w:p>
          <w:p w:rsidR="002B0145" w:rsidRPr="00436AE3" w:rsidP="00545343" w14:paraId="0FC40752" w14:textId="77777777">
            <w:pPr>
              <w:pStyle w:val="CommentText"/>
              <w:ind w:left="296"/>
              <w:rPr>
                <w:rFonts w:eastAsiaTheme="minorHAnsi"/>
              </w:rPr>
            </w:pPr>
            <w:hyperlink r:id="rId39" w:history="1">
              <w:r w:rsidRPr="00436AE3" w:rsidR="0000535A">
                <w:rPr>
                  <w:rStyle w:val="Hyperlink"/>
                  <w:rFonts w:eastAsiaTheme="minorHAnsi"/>
                </w:rPr>
                <w:t>joliker@igsenergy.com</w:t>
              </w:r>
            </w:hyperlink>
          </w:p>
          <w:p w:rsidR="002B0145" w:rsidRPr="00436AE3" w:rsidP="00545343" w14:paraId="6E599167" w14:textId="77777777">
            <w:pPr>
              <w:pStyle w:val="CommentText"/>
              <w:ind w:left="296"/>
              <w:rPr>
                <w:rFonts w:eastAsiaTheme="minorHAnsi"/>
              </w:rPr>
            </w:pPr>
            <w:hyperlink r:id="rId40" w:history="1">
              <w:r w:rsidRPr="00436AE3" w:rsidR="0000535A">
                <w:rPr>
                  <w:rStyle w:val="Hyperlink"/>
                  <w:rFonts w:eastAsiaTheme="minorHAnsi"/>
                </w:rPr>
                <w:t>mnugent@igsenergy.com</w:t>
              </w:r>
            </w:hyperlink>
          </w:p>
          <w:p w:rsidR="002B0145" w:rsidRPr="00436AE3" w:rsidP="00545343" w14:paraId="7D2C1A98" w14:textId="77777777">
            <w:pPr>
              <w:pStyle w:val="CommentText"/>
              <w:ind w:left="296"/>
              <w:rPr>
                <w:rFonts w:eastAsiaTheme="minorHAnsi"/>
              </w:rPr>
            </w:pPr>
            <w:hyperlink r:id="rId41" w:history="1">
              <w:r w:rsidRPr="00436AE3" w:rsidR="0000535A">
                <w:rPr>
                  <w:rStyle w:val="Hyperlink"/>
                  <w:rFonts w:eastAsiaTheme="minorHAnsi"/>
                </w:rPr>
                <w:t>Bethany.Allen@igs.com</w:t>
              </w:r>
            </w:hyperlink>
          </w:p>
          <w:p w:rsidR="002B0145" w:rsidRPr="00436AE3" w:rsidP="00545343" w14:paraId="200534ED" w14:textId="77777777">
            <w:pPr>
              <w:autoSpaceDE w:val="0"/>
              <w:autoSpaceDN w:val="0"/>
              <w:adjustRightInd w:val="0"/>
              <w:ind w:left="296"/>
              <w:rPr>
                <w:rFonts w:eastAsiaTheme="minorHAnsi"/>
                <w:szCs w:val="24"/>
              </w:rPr>
            </w:pPr>
            <w:hyperlink r:id="rId42" w:history="1">
              <w:r w:rsidRPr="00436AE3" w:rsidR="0000535A">
                <w:rPr>
                  <w:rStyle w:val="Hyperlink"/>
                  <w:rFonts w:eastAsiaTheme="minorHAnsi"/>
                  <w:szCs w:val="24"/>
                </w:rPr>
                <w:t>whitt@whitt-sturtevant.com</w:t>
              </w:r>
            </w:hyperlink>
          </w:p>
          <w:p w:rsidR="002B0145" w:rsidRPr="00436AE3" w:rsidP="00545343" w14:paraId="02CC3DBF" w14:textId="77777777">
            <w:pPr>
              <w:autoSpaceDE w:val="0"/>
              <w:autoSpaceDN w:val="0"/>
              <w:adjustRightInd w:val="0"/>
              <w:ind w:left="296"/>
              <w:rPr>
                <w:rFonts w:eastAsiaTheme="minorHAnsi"/>
                <w:szCs w:val="24"/>
              </w:rPr>
            </w:pPr>
            <w:hyperlink r:id="rId43" w:history="1">
              <w:r w:rsidRPr="00436AE3" w:rsidR="0000535A">
                <w:rPr>
                  <w:rStyle w:val="Hyperlink"/>
                  <w:rFonts w:eastAsiaTheme="minorHAnsi"/>
                  <w:szCs w:val="24"/>
                </w:rPr>
                <w:t>campbell@whitt-sturtevant.com</w:t>
              </w:r>
            </w:hyperlink>
          </w:p>
          <w:p w:rsidR="002B0145" w:rsidRPr="00436AE3" w:rsidP="00545343" w14:paraId="70696D19" w14:textId="77777777">
            <w:pPr>
              <w:pStyle w:val="CommentText"/>
              <w:ind w:left="296"/>
              <w:rPr>
                <w:rStyle w:val="Hyperlink"/>
                <w:rFonts w:eastAsiaTheme="minorHAnsi"/>
              </w:rPr>
            </w:pPr>
            <w:hyperlink r:id="rId44" w:history="1">
              <w:r w:rsidRPr="00436AE3" w:rsidR="0000535A">
                <w:rPr>
                  <w:rStyle w:val="Hyperlink"/>
                  <w:rFonts w:eastAsiaTheme="minorHAnsi"/>
                </w:rPr>
                <w:t>fykes@whitt.sturtevant.com</w:t>
              </w:r>
            </w:hyperlink>
          </w:p>
          <w:p w:rsidR="002B0145" w:rsidRPr="00436AE3" w:rsidP="00545343" w14:paraId="178B5870" w14:textId="77777777">
            <w:pPr>
              <w:pStyle w:val="CommentText"/>
              <w:ind w:left="296"/>
              <w:rPr>
                <w:rFonts w:eastAsiaTheme="minorHAnsi"/>
              </w:rPr>
            </w:pPr>
          </w:p>
          <w:p w:rsidR="002B0145" w:rsidRPr="00436AE3" w:rsidP="00545343" w14:paraId="57CC90EF" w14:textId="77777777">
            <w:pPr>
              <w:pStyle w:val="CommentText"/>
              <w:ind w:left="296"/>
              <w:rPr>
                <w:rFonts w:eastAsiaTheme="minorHAnsi"/>
                <w:color w:val="0000FF"/>
              </w:rPr>
            </w:pPr>
          </w:p>
          <w:p w:rsidR="002B0145" w:rsidRPr="00436AE3" w:rsidP="00545343" w14:paraId="5DE10F44" w14:textId="77777777">
            <w:pPr>
              <w:pStyle w:val="CommentText"/>
              <w:ind w:left="296"/>
              <w:rPr>
                <w:rFonts w:eastAsiaTheme="minorHAnsi"/>
                <w:color w:val="0000FF"/>
              </w:rPr>
            </w:pPr>
          </w:p>
          <w:p w:rsidR="002B0145" w:rsidRPr="00436AE3" w:rsidP="00545343" w14:paraId="1E1399DE" w14:textId="77777777">
            <w:pPr>
              <w:pStyle w:val="CommentText"/>
              <w:ind w:left="296"/>
              <w:rPr>
                <w:rFonts w:eastAsiaTheme="minorHAnsi"/>
              </w:rPr>
            </w:pPr>
          </w:p>
          <w:p w:rsidR="002B0145" w:rsidRPr="00436AE3" w:rsidP="00545343" w14:paraId="71029E48" w14:textId="77777777">
            <w:pPr>
              <w:pStyle w:val="CommentText"/>
              <w:ind w:left="296"/>
              <w:rPr>
                <w:rFonts w:eastAsiaTheme="minorHAnsi"/>
              </w:rPr>
            </w:pPr>
          </w:p>
          <w:p w:rsidR="002B0145" w:rsidRPr="00436AE3" w:rsidP="00545343" w14:paraId="0C7F18AF" w14:textId="77777777">
            <w:pPr>
              <w:pStyle w:val="CommentText"/>
              <w:ind w:left="972"/>
              <w:rPr>
                <w:rFonts w:eastAsiaTheme="minorHAnsi"/>
              </w:rPr>
            </w:pPr>
          </w:p>
          <w:p w:rsidR="002B0145" w:rsidRPr="00436AE3" w:rsidP="00545343" w14:paraId="02E2B40A" w14:textId="77777777">
            <w:pPr>
              <w:pStyle w:val="CommentText"/>
              <w:ind w:left="972"/>
              <w:rPr>
                <w:rFonts w:eastAsiaTheme="minorHAnsi"/>
              </w:rPr>
            </w:pPr>
          </w:p>
          <w:p w:rsidR="002B0145" w:rsidRPr="00436AE3" w:rsidP="00545343" w14:paraId="4E219B87" w14:textId="77777777">
            <w:pPr>
              <w:pStyle w:val="CommentText"/>
              <w:ind w:left="972"/>
              <w:rPr>
                <w:b/>
                <w:u w:val="single"/>
              </w:rPr>
            </w:pPr>
          </w:p>
        </w:tc>
      </w:tr>
    </w:tbl>
    <w:p w:rsidR="003D1256" w:rsidRPr="00436AE3" w:rsidP="002B0145" w14:paraId="2EE25C69" w14:textId="77777777">
      <w:pPr>
        <w:pStyle w:val="CommentText"/>
        <w:jc w:val="center"/>
        <w:rPr>
          <w:b/>
          <w:bCs/>
          <w:u w:val="single"/>
        </w:rPr>
      </w:pPr>
    </w:p>
    <w:sectPr w:rsidSect="00406E4B">
      <w:footerReference w:type="first" r:id="rId45"/>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7562094"/>
      <w:docPartObj>
        <w:docPartGallery w:val="Page Numbers (Bottom of Page)"/>
        <w:docPartUnique/>
      </w:docPartObj>
    </w:sdtPr>
    <w:sdtEndPr>
      <w:rPr>
        <w:sz w:val="24"/>
        <w:szCs w:val="24"/>
      </w:rPr>
    </w:sdtEndPr>
    <w:sdtContent>
      <w:p w:rsidR="002B6583" w:rsidRPr="007D0726" w14:paraId="346FDF0D" w14:textId="77777777">
        <w:pPr>
          <w:pStyle w:val="Footer"/>
          <w:jc w:val="center"/>
          <w:rPr>
            <w:sz w:val="24"/>
            <w:szCs w:val="24"/>
          </w:rPr>
        </w:pPr>
        <w:r w:rsidRPr="007D0726">
          <w:rPr>
            <w:sz w:val="24"/>
            <w:szCs w:val="24"/>
          </w:rPr>
          <w:fldChar w:fldCharType="begin"/>
        </w:r>
        <w:r w:rsidRPr="007D0726" w:rsidR="007D0726">
          <w:rPr>
            <w:sz w:val="24"/>
            <w:szCs w:val="24"/>
          </w:rPr>
          <w:instrText xml:space="preserve"> PAGE   \* MERGEFORMAT </w:instrText>
        </w:r>
        <w:r w:rsidRPr="007D0726">
          <w:rPr>
            <w:sz w:val="24"/>
            <w:szCs w:val="24"/>
          </w:rPr>
          <w:fldChar w:fldCharType="separate"/>
        </w:r>
        <w:r w:rsidR="00C51C41">
          <w:rPr>
            <w:noProof/>
            <w:sz w:val="24"/>
            <w:szCs w:val="24"/>
          </w:rPr>
          <w:t>4</w:t>
        </w:r>
        <w:r w:rsidRPr="007D0726">
          <w:rPr>
            <w:noProof/>
            <w:sz w:val="24"/>
            <w:szCs w:val="24"/>
          </w:rPr>
          <w:fldChar w:fldCharType="end"/>
        </w:r>
      </w:p>
    </w:sdtContent>
  </w:sdt>
  <w:p w:rsidR="002B6583" w14:paraId="42CCC5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370" w14:paraId="2B16EB9A" w14:textId="77777777">
    <w:pPr>
      <w:pStyle w:val="Footer"/>
      <w:jc w:val="center"/>
    </w:pPr>
  </w:p>
  <w:p w:rsidR="00F27370" w14:paraId="295946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7370" w:rsidRPr="00041DF9" w14:paraId="543812FC" w14:textId="77777777">
    <w:pPr>
      <w:pStyle w:val="Footer"/>
      <w:jc w:val="center"/>
      <w:rPr>
        <w:sz w:val="24"/>
        <w:szCs w:val="24"/>
      </w:rPr>
    </w:pPr>
    <w:r w:rsidRPr="00041DF9">
      <w:rPr>
        <w:sz w:val="24"/>
        <w:szCs w:val="24"/>
      </w:rPr>
      <w:fldChar w:fldCharType="begin"/>
    </w:r>
    <w:r w:rsidRPr="00041DF9">
      <w:rPr>
        <w:sz w:val="24"/>
        <w:szCs w:val="24"/>
      </w:rPr>
      <w:instrText xml:space="preserve"> PAGE   \* MERGEFORMAT </w:instrText>
    </w:r>
    <w:r w:rsidRPr="00041DF9">
      <w:rPr>
        <w:sz w:val="24"/>
        <w:szCs w:val="24"/>
      </w:rPr>
      <w:fldChar w:fldCharType="separate"/>
    </w:r>
    <w:r w:rsidR="00C51C41">
      <w:rPr>
        <w:noProof/>
        <w:sz w:val="24"/>
        <w:szCs w:val="24"/>
      </w:rPr>
      <w:t>5</w:t>
    </w:r>
    <w:r w:rsidRPr="00041DF9">
      <w:rPr>
        <w:noProof/>
        <w:sz w:val="24"/>
        <w:szCs w:val="24"/>
      </w:rPr>
      <w:fldChar w:fldCharType="end"/>
    </w:r>
  </w:p>
  <w:p w:rsidR="00F27370" w:rsidRPr="00C00B86" w:rsidP="006F1EA1" w14:paraId="063D224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502B" w14:paraId="3D00037C" w14:textId="77777777">
      <w:r>
        <w:separator/>
      </w:r>
    </w:p>
  </w:footnote>
  <w:footnote w:type="continuationSeparator" w:id="1">
    <w:p w:rsidR="00A2502B" w14:paraId="40D16D8C" w14:textId="77777777">
      <w:r>
        <w:continuationSeparator/>
      </w:r>
    </w:p>
  </w:footnote>
  <w:footnote w:id="2">
    <w:p w:rsidR="00F27370" w14:paraId="76780AD1" w14:textId="77777777">
      <w:pPr>
        <w:pStyle w:val="FootnoteText"/>
      </w:pPr>
      <w:r>
        <w:rPr>
          <w:rStyle w:val="FootnoteReference"/>
        </w:rPr>
        <w:footnoteRef/>
      </w:r>
      <w:r>
        <w:t xml:space="preserve"> Motion to Reject FirstEnergy’s July 31, 2020 Revised Tariff Updates to the Tax Savings Adjustment Rider (Sept. 10, 2020) (the “Motion”).</w:t>
      </w:r>
    </w:p>
  </w:footnote>
  <w:footnote w:id="3">
    <w:p w:rsidR="00D52165" w14:paraId="7643F64C" w14:textId="77777777">
      <w:pPr>
        <w:pStyle w:val="FootnoteText"/>
      </w:pPr>
      <w:r>
        <w:rPr>
          <w:rStyle w:val="FootnoteReference"/>
        </w:rPr>
        <w:footnoteRef/>
      </w:r>
      <w:r>
        <w:t xml:space="preserve"> The Settlement consists of the November 11, 2018 Stipulation and Recommendation and January 25, 2019 Supplemental Stipulation and Recommendation.</w:t>
      </w:r>
    </w:p>
  </w:footnote>
  <w:footnote w:id="4">
    <w:p w:rsidR="00F27370" w:rsidRPr="007E7818" w14:paraId="284CC3E9" w14:textId="77777777">
      <w:pPr>
        <w:pStyle w:val="FootnoteText"/>
      </w:pPr>
      <w:r>
        <w:rPr>
          <w:rStyle w:val="FootnoteReference"/>
        </w:rPr>
        <w:footnoteRef/>
      </w:r>
      <w:r>
        <w:t xml:space="preserve"> </w:t>
      </w:r>
      <w:r>
        <w:rPr>
          <w:i/>
        </w:rPr>
        <w:t>See</w:t>
      </w:r>
      <w:r>
        <w:t xml:space="preserve"> Motion at 1.</w:t>
      </w:r>
    </w:p>
  </w:footnote>
  <w:footnote w:id="5">
    <w:p w:rsidR="00F27370" w:rsidRPr="004318F9" w14:paraId="240496B1" w14:textId="77777777">
      <w:pPr>
        <w:pStyle w:val="FootnoteText"/>
      </w:pPr>
      <w:r>
        <w:rPr>
          <w:rStyle w:val="FootnoteReference"/>
        </w:rPr>
        <w:footnoteRef/>
      </w:r>
      <w:r>
        <w:t xml:space="preserve"> FirstEnergy filed its memorandum contra at 11:20 p.m. on September 25, 2020. </w:t>
      </w:r>
      <w:r>
        <w:rPr>
          <w:i/>
        </w:rPr>
        <w:t>See</w:t>
      </w:r>
      <w:r>
        <w:t xml:space="preserve"> Memorandum Contra of Ohio Edison Company, The Cleveland Electric Illuminating Company and the Toledo Edison Company to Reject Tariff of the Office of the Ohio Consumers’ Counsel. Thus, it is deemed to have been filed on September 28, 2020, which is 18 days after OCC’s Motion. OCC is filing a motion to strike FirstEnergy’s memorandum contra concurrently.</w:t>
      </w:r>
    </w:p>
  </w:footnote>
  <w:footnote w:id="6">
    <w:p w:rsidR="00F27370" w14:paraId="5F15BDFE" w14:textId="77777777">
      <w:pPr>
        <w:pStyle w:val="FootnoteText"/>
      </w:pPr>
      <w:r>
        <w:rPr>
          <w:rStyle w:val="FootnoteReference"/>
        </w:rPr>
        <w:footnoteRef/>
      </w:r>
      <w:r>
        <w:t xml:space="preserve"> Memorandum Contra at 2.</w:t>
      </w:r>
    </w:p>
  </w:footnote>
  <w:footnote w:id="7">
    <w:p w:rsidR="00F27370" w14:paraId="6026B43B" w14:textId="77777777">
      <w:pPr>
        <w:pStyle w:val="FootnoteText"/>
      </w:pPr>
      <w:r>
        <w:rPr>
          <w:rStyle w:val="FootnoteReference"/>
        </w:rPr>
        <w:footnoteRef/>
      </w:r>
      <w:r>
        <w:t xml:space="preserve"> Memorandum Contra at 2.</w:t>
      </w:r>
    </w:p>
  </w:footnote>
  <w:footnote w:id="8">
    <w:p w:rsidR="00F27370" w:rsidRPr="00F27370" w14:paraId="47DD180B" w14:textId="77777777">
      <w:pPr>
        <w:pStyle w:val="FootnoteText"/>
      </w:pPr>
      <w:r>
        <w:rPr>
          <w:rStyle w:val="FootnoteReference"/>
        </w:rPr>
        <w:footnoteRef/>
      </w:r>
      <w:r>
        <w:t xml:space="preserve"> </w:t>
      </w:r>
      <w:r>
        <w:rPr>
          <w:i/>
        </w:rPr>
        <w:t>See</w:t>
      </w:r>
      <w:r>
        <w:t xml:space="preserve"> Rider TSA, Sheet 91.</w:t>
      </w:r>
    </w:p>
  </w:footnote>
  <w:footnote w:id="9">
    <w:p w:rsidR="00F27370" w14:paraId="07F04B52" w14:textId="77777777">
      <w:pPr>
        <w:pStyle w:val="FootnoteText"/>
      </w:pPr>
      <w:r>
        <w:rPr>
          <w:rStyle w:val="FootnoteReference"/>
        </w:rPr>
        <w:footnoteRef/>
      </w:r>
      <w:r>
        <w:t xml:space="preserve"> Memorandum Contra at 2.</w:t>
      </w:r>
    </w:p>
  </w:footnote>
  <w:footnote w:id="10">
    <w:p w:rsidR="002B6583" w14:paraId="28863CCB" w14:textId="77777777">
      <w:pPr>
        <w:pStyle w:val="FootnoteText"/>
      </w:pPr>
      <w:r>
        <w:rPr>
          <w:rStyle w:val="FootnoteReference"/>
        </w:rPr>
        <w:footnoteRef/>
      </w:r>
      <w:r>
        <w:t xml:space="preserve"> </w:t>
      </w:r>
      <w:r w:rsidR="00D52165">
        <w:t>Stipulation and Recommendation at</w:t>
      </w:r>
      <w:r>
        <w:t xml:space="preserve"> 9</w:t>
      </w:r>
      <w:r w:rsidR="00D52165">
        <w:t xml:space="preserve"> (Nov. 11, 2018)</w:t>
      </w:r>
      <w:r>
        <w:t>.</w:t>
      </w:r>
    </w:p>
  </w:footnote>
  <w:footnote w:id="11">
    <w:p w:rsidR="002B6583" w14:paraId="40D6ED78" w14:textId="77777777">
      <w:pPr>
        <w:pStyle w:val="FootnoteText"/>
      </w:pPr>
      <w:r>
        <w:rPr>
          <w:rStyle w:val="FootnoteReference"/>
        </w:rPr>
        <w:footnoteRef/>
      </w:r>
      <w:r>
        <w:t xml:space="preserve"> Memorandum Contra at 3.</w:t>
      </w:r>
    </w:p>
  </w:footnote>
  <w:footnote w:id="12">
    <w:p w:rsidR="002B6583" w14:paraId="1060F781" w14:textId="77777777">
      <w:pPr>
        <w:pStyle w:val="FootnoteText"/>
      </w:pPr>
      <w:r>
        <w:rPr>
          <w:rStyle w:val="FootnoteReference"/>
        </w:rPr>
        <w:footnoteRef/>
      </w:r>
      <w:r>
        <w:t xml:space="preserve"> Motion at 3.</w:t>
      </w:r>
    </w:p>
  </w:footnote>
  <w:footnote w:id="13">
    <w:p w:rsidR="002B6583" w14:paraId="7303BA58" w14:textId="77777777">
      <w:pPr>
        <w:pStyle w:val="FootnoteText"/>
      </w:pPr>
      <w:r>
        <w:rPr>
          <w:rStyle w:val="FootnoteReference"/>
        </w:rPr>
        <w:footnoteRef/>
      </w:r>
      <w:r>
        <w:t xml:space="preserve"> Motion at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9572A0F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C54A0D8"/>
    <w:lvl w:ilvl="0">
      <w:start w:val="1"/>
      <w:numFmt w:val="decimal"/>
      <w:lvlText w:val="%1."/>
      <w:lvlJc w:val="left"/>
      <w:pPr>
        <w:tabs>
          <w:tab w:val="num" w:pos="1800"/>
        </w:tabs>
        <w:ind w:left="1800" w:hanging="360"/>
      </w:pPr>
    </w:lvl>
  </w:abstractNum>
  <w:abstractNum w:abstractNumId="2">
    <w:nsid w:val="FFFFFF7D"/>
    <w:multiLevelType w:val="singleLevel"/>
    <w:tmpl w:val="312E1B36"/>
    <w:lvl w:ilvl="0">
      <w:start w:val="1"/>
      <w:numFmt w:val="decimal"/>
      <w:lvlText w:val="%1."/>
      <w:lvlJc w:val="left"/>
      <w:pPr>
        <w:tabs>
          <w:tab w:val="num" w:pos="1440"/>
        </w:tabs>
        <w:ind w:left="1440" w:hanging="360"/>
      </w:pPr>
    </w:lvl>
  </w:abstractNum>
  <w:abstractNum w:abstractNumId="3">
    <w:nsid w:val="FFFFFF7E"/>
    <w:multiLevelType w:val="singleLevel"/>
    <w:tmpl w:val="210418BC"/>
    <w:lvl w:ilvl="0">
      <w:start w:val="1"/>
      <w:numFmt w:val="decimal"/>
      <w:lvlText w:val="%1."/>
      <w:lvlJc w:val="left"/>
      <w:pPr>
        <w:tabs>
          <w:tab w:val="num" w:pos="1080"/>
        </w:tabs>
        <w:ind w:left="1080" w:hanging="360"/>
      </w:pPr>
    </w:lvl>
  </w:abstractNum>
  <w:abstractNum w:abstractNumId="4">
    <w:nsid w:val="FFFFFF7F"/>
    <w:multiLevelType w:val="singleLevel"/>
    <w:tmpl w:val="7F66D9C6"/>
    <w:lvl w:ilvl="0">
      <w:start w:val="1"/>
      <w:numFmt w:val="decimal"/>
      <w:lvlText w:val="%1."/>
      <w:lvlJc w:val="left"/>
      <w:pPr>
        <w:tabs>
          <w:tab w:val="num" w:pos="720"/>
        </w:tabs>
        <w:ind w:left="720" w:hanging="360"/>
      </w:pPr>
    </w:lvl>
  </w:abstractNum>
  <w:abstractNum w:abstractNumId="5">
    <w:nsid w:val="FFFFFF80"/>
    <w:multiLevelType w:val="singleLevel"/>
    <w:tmpl w:val="BBC6222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C0E61C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71C646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9383DF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FF87B24"/>
    <w:lvl w:ilvl="0">
      <w:start w:val="1"/>
      <w:numFmt w:val="decimal"/>
      <w:lvlText w:val="%1."/>
      <w:lvlJc w:val="left"/>
      <w:pPr>
        <w:tabs>
          <w:tab w:val="num" w:pos="360"/>
        </w:tabs>
        <w:ind w:left="360" w:hanging="360"/>
      </w:pPr>
    </w:lvl>
  </w:abstractNum>
  <w:abstractNum w:abstractNumId="10">
    <w:nsid w:val="FFFFFF89"/>
    <w:multiLevelType w:val="singleLevel"/>
    <w:tmpl w:val="BA40DE46"/>
    <w:lvl w:ilvl="0">
      <w:start w:val="1"/>
      <w:numFmt w:val="bullet"/>
      <w:lvlText w:val=""/>
      <w:lvlJc w:val="left"/>
      <w:pPr>
        <w:tabs>
          <w:tab w:val="num" w:pos="360"/>
        </w:tabs>
        <w:ind w:left="360" w:hanging="360"/>
      </w:pPr>
      <w:rPr>
        <w:rFonts w:ascii="Symbol" w:hAnsi="Symbol" w:hint="default"/>
      </w:rPr>
    </w:lvl>
  </w:abstractNum>
  <w:abstractNum w:abstractNumId="1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4DF2AE0"/>
    <w:multiLevelType w:val="hybridMultilevel"/>
    <w:tmpl w:val="20F49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3A90DCC"/>
    <w:multiLevelType w:val="hybridMultilevel"/>
    <w:tmpl w:val="AD10DAEA"/>
    <w:lvl w:ilvl="0">
      <w:start w:val="1"/>
      <w:numFmt w:val="decimalZero"/>
      <w:lvlText w:val="Rec-%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EB4C4E"/>
    <w:multiLevelType w:val="hybridMultilevel"/>
    <w:tmpl w:val="0F20ADFC"/>
    <w:lvl w:ilvl="0">
      <w:start w:val="5"/>
      <w:numFmt w:val="decimal"/>
      <w:lvlText w:val="%1."/>
      <w:lvlJc w:val="left"/>
      <w:pPr>
        <w:ind w:left="126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5">
    <w:nsid w:val="3EBD0E02"/>
    <w:multiLevelType w:val="hybridMultilevel"/>
    <w:tmpl w:val="E90617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497216F"/>
    <w:multiLevelType w:val="hybridMultilevel"/>
    <w:tmpl w:val="33521F98"/>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
    <w:nsid w:val="502D0573"/>
    <w:multiLevelType w:val="hybridMultilevel"/>
    <w:tmpl w:val="15E65ED8"/>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22432E"/>
    <w:multiLevelType w:val="hybridMultilevel"/>
    <w:tmpl w:val="C106BA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72855C2"/>
    <w:multiLevelType w:val="hybridMultilevel"/>
    <w:tmpl w:val="29F4CD58"/>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1">
    <w:nsid w:val="57287260"/>
    <w:multiLevelType w:val="hybridMultilevel"/>
    <w:tmpl w:val="23A018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5A8620DE"/>
    <w:multiLevelType w:val="hybridMultilevel"/>
    <w:tmpl w:val="8160D1D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64FA0A60"/>
    <w:multiLevelType w:val="hybridMultilevel"/>
    <w:tmpl w:val="808E5A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669D6825"/>
    <w:multiLevelType w:val="hybridMultilevel"/>
    <w:tmpl w:val="642A018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DFB078C"/>
    <w:multiLevelType w:val="hybridMultilevel"/>
    <w:tmpl w:val="30708452"/>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18F49C1"/>
    <w:multiLevelType w:val="hybridMultilevel"/>
    <w:tmpl w:val="F718054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1">
    <w:nsid w:val="7D492EB9"/>
    <w:multiLevelType w:val="hybridMultilevel"/>
    <w:tmpl w:val="89363FD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2"/>
  </w:num>
  <w:num w:numId="2">
    <w:abstractNumId w:val="19"/>
  </w:num>
  <w:num w:numId="3">
    <w:abstractNumId w:val="26"/>
  </w:num>
  <w:num w:numId="4">
    <w:abstractNumId w:val="24"/>
  </w:num>
  <w:num w:numId="5">
    <w:abstractNumId w:val="11"/>
  </w:num>
  <w:num w:numId="6">
    <w:abstractNumId w:val="30"/>
  </w:num>
  <w:num w:numId="7">
    <w:abstractNumId w:val="0"/>
  </w:num>
  <w:num w:numId="8">
    <w:abstractNumId w:val="25"/>
  </w:num>
  <w:num w:numId="9">
    <w:abstractNumId w:val="23"/>
  </w:num>
  <w:num w:numId="10">
    <w:abstractNumId w:val="15"/>
  </w:num>
  <w:num w:numId="11">
    <w:abstractNumId w:val="27"/>
  </w:num>
  <w:num w:numId="12">
    <w:abstractNumId w:val="31"/>
  </w:num>
  <w:num w:numId="13">
    <w:abstractNumId w:val="29"/>
  </w:num>
  <w:num w:numId="14">
    <w:abstractNumId w:val="1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7"/>
  </w:num>
  <w:num w:numId="18">
    <w:abstractNumId w:val="12"/>
  </w:num>
  <w:num w:numId="19">
    <w:abstractNumId w:val="16"/>
  </w:num>
  <w:num w:numId="20">
    <w:abstractNumId w:val="21"/>
  </w:num>
  <w:num w:numId="21">
    <w:abstractNumId w:val="13"/>
  </w:num>
  <w:num w:numId="22">
    <w:abstractNumId w:val="20"/>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3F37A7"/>
    <w:rsid w:val="0000535A"/>
    <w:rsid w:val="0001460D"/>
    <w:rsid w:val="00017F7B"/>
    <w:rsid w:val="00033902"/>
    <w:rsid w:val="00034F9B"/>
    <w:rsid w:val="00035A02"/>
    <w:rsid w:val="00036A2D"/>
    <w:rsid w:val="00037AE5"/>
    <w:rsid w:val="00041DF9"/>
    <w:rsid w:val="000724D9"/>
    <w:rsid w:val="000902C6"/>
    <w:rsid w:val="000911EA"/>
    <w:rsid w:val="00093F06"/>
    <w:rsid w:val="00094794"/>
    <w:rsid w:val="00094A42"/>
    <w:rsid w:val="000D20A6"/>
    <w:rsid w:val="000E12D9"/>
    <w:rsid w:val="000E15D9"/>
    <w:rsid w:val="000E20E0"/>
    <w:rsid w:val="000E2DFC"/>
    <w:rsid w:val="000E4FD3"/>
    <w:rsid w:val="000F2414"/>
    <w:rsid w:val="000F34F0"/>
    <w:rsid w:val="000F63B6"/>
    <w:rsid w:val="001038D1"/>
    <w:rsid w:val="001132A6"/>
    <w:rsid w:val="001138B2"/>
    <w:rsid w:val="0011612E"/>
    <w:rsid w:val="00123A9C"/>
    <w:rsid w:val="00124364"/>
    <w:rsid w:val="00125B46"/>
    <w:rsid w:val="0013623A"/>
    <w:rsid w:val="001378AF"/>
    <w:rsid w:val="00144272"/>
    <w:rsid w:val="00146805"/>
    <w:rsid w:val="0015341F"/>
    <w:rsid w:val="00155E3D"/>
    <w:rsid w:val="00160250"/>
    <w:rsid w:val="00164A05"/>
    <w:rsid w:val="00165C1D"/>
    <w:rsid w:val="00177EDE"/>
    <w:rsid w:val="001902A4"/>
    <w:rsid w:val="00191389"/>
    <w:rsid w:val="0019194F"/>
    <w:rsid w:val="001B2158"/>
    <w:rsid w:val="001B2426"/>
    <w:rsid w:val="001B5083"/>
    <w:rsid w:val="001C3E46"/>
    <w:rsid w:val="001D1499"/>
    <w:rsid w:val="001D3C2B"/>
    <w:rsid w:val="001D5BBE"/>
    <w:rsid w:val="001E7D34"/>
    <w:rsid w:val="001F3186"/>
    <w:rsid w:val="001F3EAA"/>
    <w:rsid w:val="001F5037"/>
    <w:rsid w:val="00200A42"/>
    <w:rsid w:val="0020210B"/>
    <w:rsid w:val="00223652"/>
    <w:rsid w:val="00242589"/>
    <w:rsid w:val="00250C9B"/>
    <w:rsid w:val="00265065"/>
    <w:rsid w:val="00277334"/>
    <w:rsid w:val="00280B7B"/>
    <w:rsid w:val="002828A1"/>
    <w:rsid w:val="00292C0B"/>
    <w:rsid w:val="00293FD7"/>
    <w:rsid w:val="002A10E4"/>
    <w:rsid w:val="002A2263"/>
    <w:rsid w:val="002B0145"/>
    <w:rsid w:val="002B36C3"/>
    <w:rsid w:val="002B4CA0"/>
    <w:rsid w:val="002B6583"/>
    <w:rsid w:val="002B72A0"/>
    <w:rsid w:val="002B7A53"/>
    <w:rsid w:val="002C27CE"/>
    <w:rsid w:val="002C4E27"/>
    <w:rsid w:val="002C7096"/>
    <w:rsid w:val="002D02F6"/>
    <w:rsid w:val="002D2840"/>
    <w:rsid w:val="002D3A79"/>
    <w:rsid w:val="002D4626"/>
    <w:rsid w:val="002D4DAB"/>
    <w:rsid w:val="002E0751"/>
    <w:rsid w:val="002E21AE"/>
    <w:rsid w:val="002F237A"/>
    <w:rsid w:val="002F7B4B"/>
    <w:rsid w:val="003066AE"/>
    <w:rsid w:val="003103C9"/>
    <w:rsid w:val="00311558"/>
    <w:rsid w:val="0031295F"/>
    <w:rsid w:val="00314BAE"/>
    <w:rsid w:val="003234CC"/>
    <w:rsid w:val="00325407"/>
    <w:rsid w:val="00327100"/>
    <w:rsid w:val="00333540"/>
    <w:rsid w:val="00353C9D"/>
    <w:rsid w:val="00364CB6"/>
    <w:rsid w:val="003676A0"/>
    <w:rsid w:val="00372B1A"/>
    <w:rsid w:val="00375428"/>
    <w:rsid w:val="00381DFE"/>
    <w:rsid w:val="00390706"/>
    <w:rsid w:val="00391727"/>
    <w:rsid w:val="00393037"/>
    <w:rsid w:val="00397B50"/>
    <w:rsid w:val="003B1E3B"/>
    <w:rsid w:val="003C048D"/>
    <w:rsid w:val="003C05D0"/>
    <w:rsid w:val="003C1C51"/>
    <w:rsid w:val="003D02F7"/>
    <w:rsid w:val="003D1256"/>
    <w:rsid w:val="003D51E0"/>
    <w:rsid w:val="003D5411"/>
    <w:rsid w:val="003D5767"/>
    <w:rsid w:val="003E6D92"/>
    <w:rsid w:val="003F37A7"/>
    <w:rsid w:val="003F4BC9"/>
    <w:rsid w:val="003F54F9"/>
    <w:rsid w:val="003F59E5"/>
    <w:rsid w:val="003F6F55"/>
    <w:rsid w:val="00406BE8"/>
    <w:rsid w:val="00406E4B"/>
    <w:rsid w:val="00407B30"/>
    <w:rsid w:val="004163D6"/>
    <w:rsid w:val="00417A1A"/>
    <w:rsid w:val="004317CA"/>
    <w:rsid w:val="004318F9"/>
    <w:rsid w:val="00436AE3"/>
    <w:rsid w:val="00437B52"/>
    <w:rsid w:val="004446CB"/>
    <w:rsid w:val="00445090"/>
    <w:rsid w:val="00450B37"/>
    <w:rsid w:val="00453BD9"/>
    <w:rsid w:val="00462E30"/>
    <w:rsid w:val="004859FD"/>
    <w:rsid w:val="00487B54"/>
    <w:rsid w:val="004968B7"/>
    <w:rsid w:val="004B6AD4"/>
    <w:rsid w:val="004C5D11"/>
    <w:rsid w:val="004D620D"/>
    <w:rsid w:val="004E5030"/>
    <w:rsid w:val="00504069"/>
    <w:rsid w:val="00507751"/>
    <w:rsid w:val="00512BE4"/>
    <w:rsid w:val="0052706A"/>
    <w:rsid w:val="00534D33"/>
    <w:rsid w:val="00535E7F"/>
    <w:rsid w:val="00545343"/>
    <w:rsid w:val="0054744F"/>
    <w:rsid w:val="00547E04"/>
    <w:rsid w:val="005514E8"/>
    <w:rsid w:val="005607A7"/>
    <w:rsid w:val="00562507"/>
    <w:rsid w:val="00573B42"/>
    <w:rsid w:val="005838E1"/>
    <w:rsid w:val="00594405"/>
    <w:rsid w:val="005A1955"/>
    <w:rsid w:val="005A1C36"/>
    <w:rsid w:val="005A4A93"/>
    <w:rsid w:val="005B2423"/>
    <w:rsid w:val="005D1E7D"/>
    <w:rsid w:val="005D3CEA"/>
    <w:rsid w:val="005E12FA"/>
    <w:rsid w:val="005E1458"/>
    <w:rsid w:val="005E5D64"/>
    <w:rsid w:val="005F0803"/>
    <w:rsid w:val="005F7164"/>
    <w:rsid w:val="00603479"/>
    <w:rsid w:val="00610BDA"/>
    <w:rsid w:val="0061694A"/>
    <w:rsid w:val="00645B01"/>
    <w:rsid w:val="00650368"/>
    <w:rsid w:val="00652332"/>
    <w:rsid w:val="00691DD1"/>
    <w:rsid w:val="00693C9F"/>
    <w:rsid w:val="0069481D"/>
    <w:rsid w:val="006A2617"/>
    <w:rsid w:val="006B386A"/>
    <w:rsid w:val="006B536B"/>
    <w:rsid w:val="006C123E"/>
    <w:rsid w:val="006C1A40"/>
    <w:rsid w:val="006C4ABF"/>
    <w:rsid w:val="006D7CD7"/>
    <w:rsid w:val="006E1630"/>
    <w:rsid w:val="006F1BBB"/>
    <w:rsid w:val="006F1EA1"/>
    <w:rsid w:val="006F29D7"/>
    <w:rsid w:val="006F6001"/>
    <w:rsid w:val="00721D91"/>
    <w:rsid w:val="00724871"/>
    <w:rsid w:val="0073445E"/>
    <w:rsid w:val="00735343"/>
    <w:rsid w:val="00740C4C"/>
    <w:rsid w:val="0074194E"/>
    <w:rsid w:val="00765ACB"/>
    <w:rsid w:val="007671FA"/>
    <w:rsid w:val="007866C0"/>
    <w:rsid w:val="00791C31"/>
    <w:rsid w:val="007A2F3C"/>
    <w:rsid w:val="007B1945"/>
    <w:rsid w:val="007C13FD"/>
    <w:rsid w:val="007D0726"/>
    <w:rsid w:val="007D4B90"/>
    <w:rsid w:val="007D6CA8"/>
    <w:rsid w:val="007E214F"/>
    <w:rsid w:val="007E7818"/>
    <w:rsid w:val="007F24BB"/>
    <w:rsid w:val="007F2D96"/>
    <w:rsid w:val="007F405D"/>
    <w:rsid w:val="00800268"/>
    <w:rsid w:val="0080120F"/>
    <w:rsid w:val="0082402E"/>
    <w:rsid w:val="00825D47"/>
    <w:rsid w:val="00831C54"/>
    <w:rsid w:val="00845247"/>
    <w:rsid w:val="0084690C"/>
    <w:rsid w:val="00846C2C"/>
    <w:rsid w:val="0085316B"/>
    <w:rsid w:val="00861A34"/>
    <w:rsid w:val="00862923"/>
    <w:rsid w:val="00864E73"/>
    <w:rsid w:val="0087002A"/>
    <w:rsid w:val="00870C5F"/>
    <w:rsid w:val="00877656"/>
    <w:rsid w:val="00885A62"/>
    <w:rsid w:val="008936A1"/>
    <w:rsid w:val="008940FB"/>
    <w:rsid w:val="008B3371"/>
    <w:rsid w:val="008B7304"/>
    <w:rsid w:val="008B77EF"/>
    <w:rsid w:val="008D1801"/>
    <w:rsid w:val="008D2269"/>
    <w:rsid w:val="008D3FEA"/>
    <w:rsid w:val="008E49E8"/>
    <w:rsid w:val="008F0B97"/>
    <w:rsid w:val="008F7553"/>
    <w:rsid w:val="00916EF8"/>
    <w:rsid w:val="00920425"/>
    <w:rsid w:val="009264C2"/>
    <w:rsid w:val="00932A20"/>
    <w:rsid w:val="009358D0"/>
    <w:rsid w:val="009512FF"/>
    <w:rsid w:val="009613A5"/>
    <w:rsid w:val="00980D4F"/>
    <w:rsid w:val="0098337F"/>
    <w:rsid w:val="009916EB"/>
    <w:rsid w:val="00997948"/>
    <w:rsid w:val="009A061B"/>
    <w:rsid w:val="009A42FB"/>
    <w:rsid w:val="009A4584"/>
    <w:rsid w:val="009A6593"/>
    <w:rsid w:val="009B5C33"/>
    <w:rsid w:val="009B6850"/>
    <w:rsid w:val="009B7ADF"/>
    <w:rsid w:val="009E612C"/>
    <w:rsid w:val="009F1566"/>
    <w:rsid w:val="009F1A69"/>
    <w:rsid w:val="009F4338"/>
    <w:rsid w:val="009F4F97"/>
    <w:rsid w:val="00A00BDC"/>
    <w:rsid w:val="00A15C5E"/>
    <w:rsid w:val="00A15D1B"/>
    <w:rsid w:val="00A17575"/>
    <w:rsid w:val="00A2502B"/>
    <w:rsid w:val="00A30EAF"/>
    <w:rsid w:val="00A51B97"/>
    <w:rsid w:val="00A555E2"/>
    <w:rsid w:val="00A57D21"/>
    <w:rsid w:val="00A6242D"/>
    <w:rsid w:val="00A656E5"/>
    <w:rsid w:val="00A66DDE"/>
    <w:rsid w:val="00A7762E"/>
    <w:rsid w:val="00A85957"/>
    <w:rsid w:val="00A934D0"/>
    <w:rsid w:val="00AA1135"/>
    <w:rsid w:val="00AA3D75"/>
    <w:rsid w:val="00AA3DA6"/>
    <w:rsid w:val="00AC58B9"/>
    <w:rsid w:val="00AD386B"/>
    <w:rsid w:val="00AD537A"/>
    <w:rsid w:val="00AD5CB4"/>
    <w:rsid w:val="00AE5FE0"/>
    <w:rsid w:val="00AF13C1"/>
    <w:rsid w:val="00AF4112"/>
    <w:rsid w:val="00B04C4C"/>
    <w:rsid w:val="00B13A59"/>
    <w:rsid w:val="00B14E60"/>
    <w:rsid w:val="00B169CA"/>
    <w:rsid w:val="00B24ACF"/>
    <w:rsid w:val="00B25BED"/>
    <w:rsid w:val="00B27F1E"/>
    <w:rsid w:val="00B40090"/>
    <w:rsid w:val="00B41A61"/>
    <w:rsid w:val="00B4736A"/>
    <w:rsid w:val="00B54427"/>
    <w:rsid w:val="00B56C2B"/>
    <w:rsid w:val="00B77976"/>
    <w:rsid w:val="00B86F64"/>
    <w:rsid w:val="00B92DFF"/>
    <w:rsid w:val="00BB0A2F"/>
    <w:rsid w:val="00BB3412"/>
    <w:rsid w:val="00BC22F3"/>
    <w:rsid w:val="00BD08CA"/>
    <w:rsid w:val="00BD21D3"/>
    <w:rsid w:val="00BE4FAC"/>
    <w:rsid w:val="00BF1782"/>
    <w:rsid w:val="00BF5B34"/>
    <w:rsid w:val="00BF760C"/>
    <w:rsid w:val="00C00B86"/>
    <w:rsid w:val="00C04535"/>
    <w:rsid w:val="00C17339"/>
    <w:rsid w:val="00C22D55"/>
    <w:rsid w:val="00C278F4"/>
    <w:rsid w:val="00C31066"/>
    <w:rsid w:val="00C32AED"/>
    <w:rsid w:val="00C36FA8"/>
    <w:rsid w:val="00C46346"/>
    <w:rsid w:val="00C47FFC"/>
    <w:rsid w:val="00C51C41"/>
    <w:rsid w:val="00C53581"/>
    <w:rsid w:val="00C5798A"/>
    <w:rsid w:val="00C60D9A"/>
    <w:rsid w:val="00C75F39"/>
    <w:rsid w:val="00C84370"/>
    <w:rsid w:val="00C850B6"/>
    <w:rsid w:val="00C909C4"/>
    <w:rsid w:val="00C9134F"/>
    <w:rsid w:val="00CA271E"/>
    <w:rsid w:val="00CB585F"/>
    <w:rsid w:val="00CB74DB"/>
    <w:rsid w:val="00CC6975"/>
    <w:rsid w:val="00CD0857"/>
    <w:rsid w:val="00CE392A"/>
    <w:rsid w:val="00CF03AB"/>
    <w:rsid w:val="00CF07EF"/>
    <w:rsid w:val="00CF155C"/>
    <w:rsid w:val="00CF3635"/>
    <w:rsid w:val="00CF4562"/>
    <w:rsid w:val="00CF6D34"/>
    <w:rsid w:val="00D05E62"/>
    <w:rsid w:val="00D10DDE"/>
    <w:rsid w:val="00D30949"/>
    <w:rsid w:val="00D31A90"/>
    <w:rsid w:val="00D421AF"/>
    <w:rsid w:val="00D44108"/>
    <w:rsid w:val="00D448E3"/>
    <w:rsid w:val="00D52165"/>
    <w:rsid w:val="00D56117"/>
    <w:rsid w:val="00D62020"/>
    <w:rsid w:val="00D72F7B"/>
    <w:rsid w:val="00D7482D"/>
    <w:rsid w:val="00D814D6"/>
    <w:rsid w:val="00D83A99"/>
    <w:rsid w:val="00D84F83"/>
    <w:rsid w:val="00D86814"/>
    <w:rsid w:val="00D9390D"/>
    <w:rsid w:val="00DA170E"/>
    <w:rsid w:val="00DA3B63"/>
    <w:rsid w:val="00DA509E"/>
    <w:rsid w:val="00DA63C2"/>
    <w:rsid w:val="00DA79BE"/>
    <w:rsid w:val="00DB68E3"/>
    <w:rsid w:val="00DC4DE4"/>
    <w:rsid w:val="00DE3E60"/>
    <w:rsid w:val="00DE5B43"/>
    <w:rsid w:val="00DF0721"/>
    <w:rsid w:val="00DF4741"/>
    <w:rsid w:val="00E0108B"/>
    <w:rsid w:val="00E039D0"/>
    <w:rsid w:val="00E04958"/>
    <w:rsid w:val="00E17EBC"/>
    <w:rsid w:val="00E43532"/>
    <w:rsid w:val="00E45F3E"/>
    <w:rsid w:val="00E5138B"/>
    <w:rsid w:val="00E53129"/>
    <w:rsid w:val="00E5744C"/>
    <w:rsid w:val="00E60C56"/>
    <w:rsid w:val="00E6103D"/>
    <w:rsid w:val="00E61D62"/>
    <w:rsid w:val="00E73201"/>
    <w:rsid w:val="00E82A6C"/>
    <w:rsid w:val="00E85781"/>
    <w:rsid w:val="00E909C2"/>
    <w:rsid w:val="00E949B1"/>
    <w:rsid w:val="00E94D36"/>
    <w:rsid w:val="00E96FD3"/>
    <w:rsid w:val="00EA7BF5"/>
    <w:rsid w:val="00EB6875"/>
    <w:rsid w:val="00EC0C48"/>
    <w:rsid w:val="00EC271F"/>
    <w:rsid w:val="00ED4F10"/>
    <w:rsid w:val="00ED5ED7"/>
    <w:rsid w:val="00EF0235"/>
    <w:rsid w:val="00F04B2E"/>
    <w:rsid w:val="00F105FB"/>
    <w:rsid w:val="00F13336"/>
    <w:rsid w:val="00F140AA"/>
    <w:rsid w:val="00F22268"/>
    <w:rsid w:val="00F27370"/>
    <w:rsid w:val="00F36C49"/>
    <w:rsid w:val="00F36EB7"/>
    <w:rsid w:val="00F40567"/>
    <w:rsid w:val="00F428C6"/>
    <w:rsid w:val="00F5129B"/>
    <w:rsid w:val="00F62403"/>
    <w:rsid w:val="00F629EF"/>
    <w:rsid w:val="00F6534A"/>
    <w:rsid w:val="00F677B1"/>
    <w:rsid w:val="00F73E15"/>
    <w:rsid w:val="00F748D2"/>
    <w:rsid w:val="00F93B07"/>
    <w:rsid w:val="00F94B7A"/>
    <w:rsid w:val="00F94EF9"/>
    <w:rsid w:val="00FA29A5"/>
    <w:rsid w:val="00FA5AB2"/>
    <w:rsid w:val="00FA71C8"/>
    <w:rsid w:val="00FA7ADC"/>
    <w:rsid w:val="00FB0045"/>
    <w:rsid w:val="00FB6556"/>
    <w:rsid w:val="00FD7C0C"/>
    <w:rsid w:val="00FE0025"/>
    <w:rsid w:val="00FE6644"/>
    <w:rsid w:val="00FE6A60"/>
    <w:rsid w:val="00FF6A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92E"/>
    <w:rPr>
      <w:sz w:val="24"/>
    </w:rPr>
  </w:style>
  <w:style w:type="paragraph" w:styleId="Heading1">
    <w:name w:val="heading 1"/>
    <w:basedOn w:val="Normal"/>
    <w:next w:val="Normal"/>
    <w:autoRedefine/>
    <w:qFormat/>
    <w:rsid w:val="006F6001"/>
    <w:pPr>
      <w:keepNext/>
      <w:tabs>
        <w:tab w:val="decimal" w:leader="dot" w:pos="8640"/>
      </w:tabs>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165C1D"/>
    <w:pPr>
      <w:keepNext/>
      <w:spacing w:after="240"/>
      <w:ind w:left="1440" w:hanging="720"/>
      <w:outlineLvl w:val="1"/>
    </w:pPr>
    <w:rPr>
      <w:rFonts w:ascii="Times New Roman Bold" w:hAnsi="Times New Roman Bold"/>
      <w:b/>
      <w:szCs w:val="24"/>
    </w:rPr>
  </w:style>
  <w:style w:type="paragraph" w:styleId="Heading3">
    <w:name w:val="heading 3"/>
    <w:basedOn w:val="Normal"/>
    <w:next w:val="Normal"/>
    <w:qFormat/>
    <w:rsid w:val="005D3CEA"/>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D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5D3CEA"/>
    <w:pPr>
      <w:tabs>
        <w:tab w:val="center" w:pos="4320"/>
        <w:tab w:val="right" w:pos="8640"/>
      </w:tabs>
    </w:pPr>
    <w:rPr>
      <w:sz w:val="20"/>
    </w:rPr>
  </w:style>
  <w:style w:type="character" w:styleId="Hyperlink">
    <w:name w:val="Hyperlink"/>
    <w:rsid w:val="005D3CEA"/>
    <w:rPr>
      <w:color w:val="0000FF"/>
      <w:u w:val="single"/>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1"/>
    <w:uiPriority w:val="99"/>
    <w:rsid w:val="00575D25"/>
    <w:pPr>
      <w:spacing w:after="120"/>
    </w:pPr>
    <w:rPr>
      <w:sz w:val="20"/>
    </w:rPr>
  </w:style>
  <w:style w:type="character" w:styleId="FootnoteReference">
    <w:name w:val="footnote reference"/>
    <w:uiPriority w:val="99"/>
    <w:rsid w:val="005D3CEA"/>
    <w:rPr>
      <w:vertAlign w:val="superscript"/>
    </w:rPr>
  </w:style>
  <w:style w:type="paragraph" w:styleId="BodyTextIndent">
    <w:name w:val="Body Text Indent"/>
    <w:basedOn w:val="Normal"/>
    <w:link w:val="BodyTextIndentChar"/>
    <w:rsid w:val="005D3CEA"/>
    <w:pPr>
      <w:spacing w:line="480" w:lineRule="auto"/>
      <w:ind w:firstLine="720"/>
    </w:pPr>
  </w:style>
  <w:style w:type="paragraph" w:styleId="BodyTextIndent3">
    <w:name w:val="Body Text Indent 3"/>
    <w:basedOn w:val="Normal"/>
    <w:rsid w:val="005D3CEA"/>
    <w:pPr>
      <w:spacing w:line="480" w:lineRule="atLeast"/>
      <w:ind w:firstLine="720"/>
    </w:pPr>
  </w:style>
  <w:style w:type="paragraph" w:styleId="BodyTextIndent2">
    <w:name w:val="Body Text Indent 2"/>
    <w:basedOn w:val="Normal"/>
    <w:rsid w:val="005D3CEA"/>
    <w:pPr>
      <w:tabs>
        <w:tab w:val="left" w:pos="720"/>
      </w:tabs>
      <w:spacing w:before="240" w:after="240"/>
      <w:ind w:left="1464" w:hanging="744"/>
    </w:pPr>
  </w:style>
  <w:style w:type="character" w:styleId="PageNumber">
    <w:name w:val="page number"/>
    <w:basedOn w:val="DefaultParagraphFont"/>
    <w:rsid w:val="005D3CEA"/>
  </w:style>
  <w:style w:type="paragraph" w:styleId="BodyText">
    <w:name w:val="Body Text"/>
    <w:basedOn w:val="Normal"/>
    <w:link w:val="BodyTextChar"/>
    <w:rsid w:val="005D3CEA"/>
    <w:pPr>
      <w:jc w:val="both"/>
    </w:pPr>
  </w:style>
  <w:style w:type="paragraph" w:styleId="BlockText">
    <w:name w:val="Block Text"/>
    <w:basedOn w:val="Normal"/>
    <w:rsid w:val="005D3CEA"/>
    <w:pPr>
      <w:ind w:left="1440" w:right="720"/>
    </w:pPr>
  </w:style>
  <w:style w:type="paragraph" w:styleId="EndnoteText">
    <w:name w:val="endnote text"/>
    <w:basedOn w:val="Normal"/>
    <w:semiHidden/>
    <w:rsid w:val="005D3CEA"/>
    <w:rPr>
      <w:sz w:val="20"/>
    </w:rPr>
  </w:style>
  <w:style w:type="character" w:styleId="EndnoteReference">
    <w:name w:val="endnote reference"/>
    <w:semiHidden/>
    <w:rsid w:val="005D3CEA"/>
    <w:rPr>
      <w:vertAlign w:val="superscript"/>
    </w:rPr>
  </w:style>
  <w:style w:type="paragraph" w:styleId="BodyText2">
    <w:name w:val="Body Text 2"/>
    <w:basedOn w:val="Normal"/>
    <w:rsid w:val="005D3CEA"/>
    <w:pPr>
      <w:spacing w:line="480" w:lineRule="auto"/>
      <w:ind w:right="1440"/>
    </w:pPr>
  </w:style>
  <w:style w:type="paragraph" w:styleId="Header">
    <w:name w:val="header"/>
    <w:basedOn w:val="Normal"/>
    <w:rsid w:val="005D3CEA"/>
    <w:pPr>
      <w:tabs>
        <w:tab w:val="center" w:pos="4320"/>
        <w:tab w:val="right" w:pos="8640"/>
      </w:tabs>
    </w:pPr>
  </w:style>
  <w:style w:type="paragraph" w:styleId="BalloonText">
    <w:name w:val="Balloon Text"/>
    <w:basedOn w:val="Normal"/>
    <w:semiHidden/>
    <w:rsid w:val="005D3CEA"/>
    <w:rPr>
      <w:rFonts w:ascii="Lucida Grande" w:hAnsi="Lucida Grande"/>
      <w:sz w:val="18"/>
      <w:szCs w:val="18"/>
    </w:rPr>
  </w:style>
  <w:style w:type="character" w:styleId="CommentReference">
    <w:name w:val="annotation reference"/>
    <w:semiHidden/>
    <w:rsid w:val="005D3CEA"/>
    <w:rPr>
      <w:sz w:val="18"/>
    </w:rPr>
  </w:style>
  <w:style w:type="paragraph" w:styleId="CommentText">
    <w:name w:val="annotation text"/>
    <w:basedOn w:val="Normal"/>
    <w:link w:val="CommentTextChar"/>
    <w:rsid w:val="005D3CEA"/>
    <w:rPr>
      <w:szCs w:val="24"/>
    </w:rPr>
  </w:style>
  <w:style w:type="paragraph" w:styleId="CommentSubject">
    <w:name w:val="annotation subject"/>
    <w:basedOn w:val="CommentText"/>
    <w:next w:val="CommentText"/>
    <w:semiHidden/>
    <w:rsid w:val="005D3CEA"/>
    <w:rPr>
      <w:szCs w:val="20"/>
    </w:rPr>
  </w:style>
  <w:style w:type="character" w:styleId="FollowedHyperlink">
    <w:name w:val="FollowedHyperlink"/>
    <w:rsid w:val="005D3CEA"/>
    <w:rPr>
      <w:color w:val="800080"/>
      <w:u w:val="single"/>
    </w:rPr>
  </w:style>
  <w:style w:type="character" w:customStyle="1" w:styleId="term1">
    <w:name w:val="term1"/>
    <w:rsid w:val="005D3CEA"/>
    <w:rPr>
      <w:b/>
      <w:bCs/>
    </w:rPr>
  </w:style>
  <w:style w:type="table" w:styleId="TableGrid">
    <w:name w:val="Table Grid"/>
    <w:basedOn w:val="TableNormal"/>
    <w:rsid w:val="005D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5D3CEA"/>
    <w:pPr>
      <w:suppressAutoHyphens/>
      <w:spacing w:line="480" w:lineRule="atLeast"/>
      <w:ind w:firstLine="720"/>
    </w:pPr>
    <w:rPr>
      <w:lang w:eastAsia="ar-SA"/>
    </w:rPr>
  </w:style>
  <w:style w:type="paragraph" w:styleId="Revision">
    <w:name w:val="Revision"/>
    <w:hidden/>
    <w:uiPriority w:val="99"/>
    <w:semiHidden/>
    <w:rsid w:val="00552C9B"/>
    <w:rPr>
      <w:sz w:val="24"/>
    </w:rPr>
  </w:style>
  <w:style w:type="character" w:customStyle="1" w:styleId="FooterChar">
    <w:name w:val="Footer Char"/>
    <w:link w:val="Footer"/>
    <w:uiPriority w:val="99"/>
    <w:rsid w:val="004C7036"/>
  </w:style>
  <w:style w:type="character" w:customStyle="1" w:styleId="BodyTextChar">
    <w:name w:val="Body Text Char"/>
    <w:link w:val="BodyText"/>
    <w:rsid w:val="008B3E12"/>
    <w:rPr>
      <w:sz w:val="24"/>
    </w:rPr>
  </w:style>
  <w:style w:type="character" w:customStyle="1" w:styleId="BodyTextIndentChar">
    <w:name w:val="Body Text Indent Char"/>
    <w:link w:val="BodyTextIndent"/>
    <w:rsid w:val="008B3E12"/>
    <w:rPr>
      <w:sz w:val="24"/>
    </w:rPr>
  </w:style>
  <w:style w:type="paragraph" w:styleId="TOC1">
    <w:name w:val="toc 1"/>
    <w:basedOn w:val="Normal"/>
    <w:next w:val="Normal"/>
    <w:autoRedefine/>
    <w:uiPriority w:val="39"/>
    <w:qFormat/>
    <w:rsid w:val="00174310"/>
    <w:pPr>
      <w:tabs>
        <w:tab w:val="left" w:pos="720"/>
        <w:tab w:val="decimal" w:leader="dot" w:pos="8640"/>
      </w:tabs>
      <w:spacing w:after="240"/>
      <w:ind w:left="720" w:hanging="720"/>
    </w:pPr>
  </w:style>
  <w:style w:type="paragraph" w:styleId="TOC2">
    <w:name w:val="toc 2"/>
    <w:basedOn w:val="Normal"/>
    <w:next w:val="Normal"/>
    <w:autoRedefine/>
    <w:uiPriority w:val="39"/>
    <w:qFormat/>
    <w:rsid w:val="00174310"/>
    <w:pPr>
      <w:tabs>
        <w:tab w:val="left" w:pos="720"/>
        <w:tab w:val="decimal" w:leader="dot" w:pos="8640"/>
      </w:tabs>
      <w:spacing w:after="240"/>
      <w:ind w:left="1440" w:hanging="720"/>
    </w:pPr>
  </w:style>
  <w:style w:type="table" w:customStyle="1" w:styleId="TableGrid1">
    <w:name w:val="Table Grid1"/>
    <w:basedOn w:val="TableNormal"/>
    <w:next w:val="TableGrid"/>
    <w:uiPriority w:val="59"/>
    <w:rsid w:val="00A12E89"/>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31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fn Char"/>
    <w:link w:val="FootnoteText"/>
    <w:uiPriority w:val="99"/>
    <w:locked/>
    <w:rsid w:val="00575D25"/>
  </w:style>
  <w:style w:type="table" w:customStyle="1" w:styleId="TableGrid3">
    <w:name w:val="Table Grid3"/>
    <w:basedOn w:val="TableNormal"/>
    <w:next w:val="TableGrid"/>
    <w:uiPriority w:val="59"/>
    <w:rsid w:val="00327D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00B86"/>
    <w:rPr>
      <w:color w:val="808080"/>
      <w:shd w:val="clear" w:color="auto" w:fill="E6E6E6"/>
    </w:rPr>
  </w:style>
  <w:style w:type="character" w:customStyle="1" w:styleId="FootnoteTextChar">
    <w:name w:val="Footnote Text Char"/>
    <w:uiPriority w:val="99"/>
    <w:rsid w:val="001A37BB"/>
    <w:rPr>
      <w:rFonts w:ascii="Calibri" w:eastAsia="Calibri" w:hAnsi="Calibri"/>
    </w:rPr>
  </w:style>
  <w:style w:type="paragraph" w:styleId="ListParagraph">
    <w:name w:val="List Paragraph"/>
    <w:basedOn w:val="Normal"/>
    <w:uiPriority w:val="34"/>
    <w:qFormat/>
    <w:rsid w:val="001A37BB"/>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rsid w:val="002B7494"/>
    <w:rPr>
      <w:sz w:val="24"/>
      <w:szCs w:val="24"/>
    </w:rPr>
  </w:style>
  <w:style w:type="paragraph" w:styleId="Caption">
    <w:name w:val="caption"/>
    <w:basedOn w:val="Normal"/>
    <w:next w:val="Normal"/>
    <w:uiPriority w:val="35"/>
    <w:qFormat/>
    <w:rsid w:val="00C04535"/>
    <w:pPr>
      <w:keepNext/>
      <w:spacing w:before="120" w:after="120"/>
      <w:jc w:val="center"/>
    </w:pPr>
    <w:rPr>
      <w:rFonts w:ascii="Cambria" w:hAnsi="Cambria"/>
      <w:b/>
      <w:sz w:val="20"/>
      <w:szCs w:val="18"/>
      <w:lang w:bidi="en-US"/>
    </w:rPr>
  </w:style>
  <w:style w:type="paragraph" w:customStyle="1" w:styleId="IndentParagraph">
    <w:name w:val="Indent Paragraph"/>
    <w:basedOn w:val="Normal"/>
    <w:link w:val="IndentParagraphChar"/>
    <w:qFormat/>
    <w:rsid w:val="00C04535"/>
    <w:pPr>
      <w:spacing w:before="120" w:after="120"/>
      <w:ind w:firstLine="432"/>
      <w:jc w:val="both"/>
    </w:pPr>
    <w:rPr>
      <w:rFonts w:ascii="Cambria" w:hAnsi="Cambria"/>
      <w:sz w:val="22"/>
      <w:szCs w:val="22"/>
      <w:lang w:bidi="en-US"/>
    </w:rPr>
  </w:style>
  <w:style w:type="character" w:customStyle="1" w:styleId="IndentParagraphChar">
    <w:name w:val="Indent Paragraph Char"/>
    <w:link w:val="IndentParagraph"/>
    <w:rsid w:val="00C04535"/>
    <w:rPr>
      <w:rFonts w:ascii="Cambria" w:hAnsi="Cambria"/>
      <w:sz w:val="22"/>
      <w:szCs w:val="22"/>
      <w:lang w:eastAsia="en-US" w:bidi="en-US"/>
    </w:rPr>
  </w:style>
  <w:style w:type="character" w:customStyle="1" w:styleId="UnresolvedMention2">
    <w:name w:val="Unresolved Mention2"/>
    <w:basedOn w:val="DefaultParagraphFont"/>
    <w:uiPriority w:val="99"/>
    <w:semiHidden/>
    <w:unhideWhenUsed/>
    <w:rsid w:val="00EC271F"/>
    <w:rPr>
      <w:color w:val="605E5C"/>
      <w:shd w:val="clear" w:color="auto" w:fill="E1DFDD"/>
    </w:rPr>
  </w:style>
  <w:style w:type="paragraph" w:styleId="NormalWeb">
    <w:name w:val="Normal (Web)"/>
    <w:basedOn w:val="Normal"/>
    <w:uiPriority w:val="99"/>
    <w:semiHidden/>
    <w:unhideWhenUsed/>
    <w:rsid w:val="00724871"/>
    <w:pPr>
      <w:spacing w:before="100" w:beforeAutospacing="1" w:after="100" w:afterAutospacing="1"/>
    </w:pPr>
    <w:rPr>
      <w:szCs w:val="24"/>
    </w:rPr>
  </w:style>
  <w:style w:type="character" w:customStyle="1" w:styleId="UnresolvedMention3">
    <w:name w:val="Unresolved Mention3"/>
    <w:basedOn w:val="DefaultParagraphFont"/>
    <w:uiPriority w:val="99"/>
    <w:semiHidden/>
    <w:unhideWhenUsed/>
    <w:rsid w:val="002B0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jones@ohioattorneygeneral.goc" TargetMode="External" /><Relationship Id="rId11" Type="http://schemas.openxmlformats.org/officeDocument/2006/relationships/hyperlink" Target="mailto:Thomas.lindgren@ohioattorneygeneral.gov" TargetMode="External" /><Relationship Id="rId12" Type="http://schemas.openxmlformats.org/officeDocument/2006/relationships/hyperlink" Target="mailto:mkurtz@BKLlawfirm.com" TargetMode="External" /><Relationship Id="rId13" Type="http://schemas.openxmlformats.org/officeDocument/2006/relationships/hyperlink" Target="mailto:kboehm@BKLlawfirm.com" TargetMode="External" /><Relationship Id="rId14" Type="http://schemas.openxmlformats.org/officeDocument/2006/relationships/hyperlink" Target="mailto:jkylercohn@BKLlawfirm.com" TargetMode="External" /><Relationship Id="rId15" Type="http://schemas.openxmlformats.org/officeDocument/2006/relationships/hyperlink" Target="mailto:gkrassen@bricker.com" TargetMode="External" /><Relationship Id="rId16" Type="http://schemas.openxmlformats.org/officeDocument/2006/relationships/hyperlink" Target="mailto:dstinson@bricker.com" TargetMode="External" /><Relationship Id="rId17" Type="http://schemas.openxmlformats.org/officeDocument/2006/relationships/hyperlink" Target="mailto:mleppla@theOEC.org" TargetMode="External" /><Relationship Id="rId18" Type="http://schemas.openxmlformats.org/officeDocument/2006/relationships/hyperlink" Target="mailto:tdougherty@theOEC.org" TargetMode="External" /><Relationship Id="rId19" Type="http://schemas.openxmlformats.org/officeDocument/2006/relationships/hyperlink" Target="mailto:jfinnigan@edf.org"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hyperlink" Target="mailto:Bojko@carpenterlipps.com" TargetMode="External" /><Relationship Id="rId22" Type="http://schemas.openxmlformats.org/officeDocument/2006/relationships/hyperlink" Target="mailto:Dressel@carpenterlipps.com" TargetMode="External" /><Relationship Id="rId23" Type="http://schemas.openxmlformats.org/officeDocument/2006/relationships/hyperlink" Target="mailto:ghiloni@carpenterlipps.com" TargetMode="External" /><Relationship Id="rId24" Type="http://schemas.openxmlformats.org/officeDocument/2006/relationships/hyperlink" Target="mailto:glpetrucci@vorys.com" TargetMode="External" /><Relationship Id="rId25" Type="http://schemas.openxmlformats.org/officeDocument/2006/relationships/hyperlink" Target="mailto:mwarnock@bricker.com" TargetMode="External" /><Relationship Id="rId26" Type="http://schemas.openxmlformats.org/officeDocument/2006/relationships/hyperlink" Target="mailto:dborchers@bricker.com" TargetMode="External" /><Relationship Id="rId27" Type="http://schemas.openxmlformats.org/officeDocument/2006/relationships/hyperlink" Target="mailto:ccox@elpc.org" TargetMode="External" /><Relationship Id="rId28" Type="http://schemas.openxmlformats.org/officeDocument/2006/relationships/hyperlink" Target="mailto:Megan.addison@puc.state.oh.us" TargetMode="External" /><Relationship Id="rId29" Type="http://schemas.openxmlformats.org/officeDocument/2006/relationships/hyperlink" Target="mailto:Gregory.price@puc.state.oh.us" TargetMode="External" /><Relationship Id="rId3" Type="http://schemas.openxmlformats.org/officeDocument/2006/relationships/webSettings" Target="webSettings.xml" /><Relationship Id="rId30" Type="http://schemas.openxmlformats.org/officeDocument/2006/relationships/hyperlink" Target="mailto:jeckert@firstenergycorp.com" TargetMode="External" /><Relationship Id="rId31" Type="http://schemas.openxmlformats.org/officeDocument/2006/relationships/hyperlink" Target="mailto:bknipe@firstenergycorp.com" TargetMode="External" /><Relationship Id="rId32" Type="http://schemas.openxmlformats.org/officeDocument/2006/relationships/hyperlink" Target="mailto:jlang@calfee.com" TargetMode="External" /><Relationship Id="rId33" Type="http://schemas.openxmlformats.org/officeDocument/2006/relationships/hyperlink" Target="mailto:mkeaney@calfee.com" TargetMode="External" /><Relationship Id="rId34" Type="http://schemas.openxmlformats.org/officeDocument/2006/relationships/hyperlink" Target="mailto:mpritchard@mwncmh.com" TargetMode="External" /><Relationship Id="rId35" Type="http://schemas.openxmlformats.org/officeDocument/2006/relationships/hyperlink" Target="mailto:rdove@keglerbrown.com" TargetMode="External" /><Relationship Id="rId36" Type="http://schemas.openxmlformats.org/officeDocument/2006/relationships/hyperlink" Target="mailto:mdortch@kravitzllc.com" TargetMode="External" /><Relationship Id="rId37" Type="http://schemas.openxmlformats.org/officeDocument/2006/relationships/hyperlink" Target="mailto:dparram@bricker.com" TargetMode="External" /><Relationship Id="rId38" Type="http://schemas.openxmlformats.org/officeDocument/2006/relationships/hyperlink" Target="mailto:nhewell@bricker.com" TargetMode="External" /><Relationship Id="rId39" Type="http://schemas.openxmlformats.org/officeDocument/2006/relationships/hyperlink" Target="mailto:joliker@igsenergy.com" TargetMode="External" /><Relationship Id="rId4" Type="http://schemas.openxmlformats.org/officeDocument/2006/relationships/fontTable" Target="fontTable.xml" /><Relationship Id="rId40" Type="http://schemas.openxmlformats.org/officeDocument/2006/relationships/hyperlink" Target="mailto:mnugent@igsenergy.com" TargetMode="External" /><Relationship Id="rId41" Type="http://schemas.openxmlformats.org/officeDocument/2006/relationships/hyperlink" Target="mailto:Bethany.Allen@igs.com" TargetMode="External" /><Relationship Id="rId42" Type="http://schemas.openxmlformats.org/officeDocument/2006/relationships/hyperlink" Target="mailto:whitt@whitt-sturtevant.com" TargetMode="External" /><Relationship Id="rId43" Type="http://schemas.openxmlformats.org/officeDocument/2006/relationships/hyperlink" Target="mailto:campbell@whitt-sturtevant.com" TargetMode="External" /><Relationship Id="rId44" Type="http://schemas.openxmlformats.org/officeDocument/2006/relationships/hyperlink" Target="mailto:glover@whitt-sturtevant.com" TargetMode="External" /><Relationship Id="rId45" Type="http://schemas.openxmlformats.org/officeDocument/2006/relationships/footer" Target="footer3.xm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hyperlink" Target="mailto:angela.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E454-C1D7-4004-B7AB-59E1A93C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 18-1656 - OCC Motion to Reject Tariff Filing. rw.dfs.  (00146511.DOCX;1)</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2020-09-30T15:07:44Z</dcterms:created>
  <dcterms:modified xsi:type="dcterms:W3CDTF">2020-09-30T15:07:44Z</dcterms:modified>
</cp:coreProperties>
</file>